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FF7C7"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A6293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quince de octubre de dos mil veinticinco. </w:t>
      </w:r>
    </w:p>
    <w:p w14:paraId="71F188EC" w14:textId="77777777" w:rsidR="00D671CA" w:rsidRPr="00A62933" w:rsidRDefault="00C23F3B">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A62933">
        <w:rPr>
          <w:rFonts w:ascii="Palatino Linotype" w:eastAsia="Palatino Linotype" w:hAnsi="Palatino Linotype" w:cs="Palatino Linotype"/>
          <w:b/>
          <w:sz w:val="22"/>
          <w:szCs w:val="22"/>
        </w:rPr>
        <w:t>VISTO</w:t>
      </w:r>
      <w:r w:rsidRPr="00A62933">
        <w:rPr>
          <w:rFonts w:ascii="Palatino Linotype" w:eastAsia="Palatino Linotype" w:hAnsi="Palatino Linotype" w:cs="Palatino Linotype"/>
          <w:sz w:val="22"/>
          <w:szCs w:val="22"/>
        </w:rPr>
        <w:t xml:space="preserve"> el expediente formado con motivo del recurso de revisión </w:t>
      </w:r>
      <w:r w:rsidRPr="00A62933">
        <w:rPr>
          <w:rFonts w:ascii="Palatino Linotype" w:eastAsia="Palatino Linotype" w:hAnsi="Palatino Linotype" w:cs="Palatino Linotype"/>
          <w:b/>
          <w:sz w:val="22"/>
          <w:szCs w:val="22"/>
        </w:rPr>
        <w:t>07324/INFOEM/IP/RR/2025</w:t>
      </w:r>
      <w:r w:rsidRPr="00A62933">
        <w:rPr>
          <w:rFonts w:ascii="Palatino Linotype" w:eastAsia="Palatino Linotype" w:hAnsi="Palatino Linotype" w:cs="Palatino Linotype"/>
          <w:sz w:val="22"/>
          <w:szCs w:val="22"/>
        </w:rPr>
        <w:t>, interpuesto por</w:t>
      </w:r>
      <w:r w:rsidRPr="00A62933">
        <w:rPr>
          <w:rFonts w:ascii="Palatino Linotype" w:eastAsia="Palatino Linotype" w:hAnsi="Palatino Linotype" w:cs="Palatino Linotype"/>
          <w:b/>
          <w:sz w:val="22"/>
          <w:szCs w:val="22"/>
        </w:rPr>
        <w:t xml:space="preserve"> una persona que no proporcionó nombre o seudónimo,</w:t>
      </w:r>
      <w:r w:rsidRPr="00A62933">
        <w:rPr>
          <w:rFonts w:ascii="Palatino Linotype" w:eastAsia="Palatino Linotype" w:hAnsi="Palatino Linotype" w:cs="Palatino Linotype"/>
          <w:sz w:val="22"/>
          <w:szCs w:val="22"/>
        </w:rPr>
        <w:t xml:space="preserve"> en lo sucesivo</w:t>
      </w:r>
      <w:r w:rsidRPr="00A62933">
        <w:rPr>
          <w:rFonts w:ascii="Palatino Linotype" w:eastAsia="Palatino Linotype" w:hAnsi="Palatino Linotype" w:cs="Palatino Linotype"/>
          <w:b/>
          <w:sz w:val="22"/>
          <w:szCs w:val="22"/>
        </w:rPr>
        <w:t xml:space="preserve"> </w:t>
      </w:r>
      <w:r w:rsidRPr="00A62933">
        <w:rPr>
          <w:rFonts w:ascii="Palatino Linotype" w:eastAsia="Palatino Linotype" w:hAnsi="Palatino Linotype" w:cs="Palatino Linotype"/>
          <w:sz w:val="22"/>
          <w:szCs w:val="22"/>
        </w:rPr>
        <w:t xml:space="preserve">la parte </w:t>
      </w:r>
      <w:r w:rsidRPr="00A62933">
        <w:rPr>
          <w:rFonts w:ascii="Palatino Linotype" w:eastAsia="Palatino Linotype" w:hAnsi="Palatino Linotype" w:cs="Palatino Linotype"/>
          <w:b/>
          <w:sz w:val="22"/>
          <w:szCs w:val="22"/>
        </w:rPr>
        <w:t>Recurrente,</w:t>
      </w:r>
      <w:r w:rsidRPr="00A62933">
        <w:rPr>
          <w:rFonts w:ascii="Palatino Linotype" w:eastAsia="Palatino Linotype" w:hAnsi="Palatino Linotype" w:cs="Palatino Linotype"/>
          <w:sz w:val="22"/>
          <w:szCs w:val="22"/>
        </w:rPr>
        <w:t xml:space="preserve"> en contra de la respuesta a la solicitud de información con número de folio</w:t>
      </w:r>
      <w:r w:rsidRPr="00A62933">
        <w:rPr>
          <w:rFonts w:ascii="Palatino Linotype" w:eastAsia="Palatino Linotype" w:hAnsi="Palatino Linotype" w:cs="Palatino Linotype"/>
          <w:b/>
          <w:sz w:val="22"/>
          <w:szCs w:val="22"/>
        </w:rPr>
        <w:t xml:space="preserve"> 02566/TOLUCA/IP/2025, </w:t>
      </w:r>
      <w:r w:rsidRPr="00A62933">
        <w:rPr>
          <w:rFonts w:ascii="Palatino Linotype" w:eastAsia="Palatino Linotype" w:hAnsi="Palatino Linotype" w:cs="Palatino Linotype"/>
          <w:sz w:val="22"/>
          <w:szCs w:val="22"/>
        </w:rPr>
        <w:t xml:space="preserve">por parte del </w:t>
      </w:r>
      <w:r w:rsidRPr="00A62933">
        <w:rPr>
          <w:rFonts w:ascii="Palatino Linotype" w:eastAsia="Palatino Linotype" w:hAnsi="Palatino Linotype" w:cs="Palatino Linotype"/>
          <w:b/>
          <w:sz w:val="22"/>
          <w:szCs w:val="22"/>
        </w:rPr>
        <w:t xml:space="preserve">Ayuntamiento de Toluca, </w:t>
      </w:r>
      <w:r w:rsidRPr="00A62933">
        <w:rPr>
          <w:rFonts w:ascii="Palatino Linotype" w:eastAsia="Palatino Linotype" w:hAnsi="Palatino Linotype" w:cs="Palatino Linotype"/>
          <w:sz w:val="22"/>
          <w:szCs w:val="22"/>
        </w:rPr>
        <w:t xml:space="preserve">en lo sucesivo 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 xml:space="preserve">se procede a dictar la presente resolución con base en los siguientes: </w:t>
      </w:r>
    </w:p>
    <w:p w14:paraId="5A1EBAD9" w14:textId="77777777" w:rsidR="00D671CA" w:rsidRPr="00A62933" w:rsidRDefault="00C23F3B">
      <w:pPr>
        <w:spacing w:before="240" w:after="240" w:line="360" w:lineRule="auto"/>
        <w:jc w:val="center"/>
        <w:rPr>
          <w:rFonts w:ascii="Palatino Linotype" w:eastAsia="Palatino Linotype" w:hAnsi="Palatino Linotype" w:cs="Palatino Linotype"/>
          <w:b/>
          <w:sz w:val="22"/>
          <w:szCs w:val="22"/>
        </w:rPr>
      </w:pPr>
      <w:r w:rsidRPr="00A62933">
        <w:rPr>
          <w:rFonts w:ascii="Palatino Linotype" w:eastAsia="Palatino Linotype" w:hAnsi="Palatino Linotype" w:cs="Palatino Linotype"/>
          <w:b/>
          <w:sz w:val="22"/>
          <w:szCs w:val="22"/>
        </w:rPr>
        <w:t>I. A N T E C E D E N T E S</w:t>
      </w:r>
    </w:p>
    <w:p w14:paraId="67F2ED13"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A62933">
        <w:rPr>
          <w:rFonts w:ascii="Palatino Linotype" w:eastAsia="Palatino Linotype" w:hAnsi="Palatino Linotype" w:cs="Palatino Linotype"/>
          <w:b/>
          <w:sz w:val="22"/>
          <w:szCs w:val="22"/>
        </w:rPr>
        <w:t>1. Solicitud de acceso a la información.</w:t>
      </w:r>
      <w:r w:rsidRPr="00A62933">
        <w:rPr>
          <w:rFonts w:ascii="Palatino Linotype" w:eastAsia="Palatino Linotype" w:hAnsi="Palatino Linotype" w:cs="Palatino Linotype"/>
          <w:sz w:val="22"/>
          <w:szCs w:val="22"/>
        </w:rPr>
        <w:t xml:space="preserve"> El </w:t>
      </w:r>
      <w:r w:rsidRPr="00A62933">
        <w:rPr>
          <w:rFonts w:ascii="Palatino Linotype" w:eastAsia="Palatino Linotype" w:hAnsi="Palatino Linotype" w:cs="Palatino Linotype"/>
          <w:b/>
          <w:sz w:val="22"/>
          <w:szCs w:val="22"/>
        </w:rPr>
        <w:t>veintinueve de abril de dos mil veinticinco,</w:t>
      </w:r>
      <w:r w:rsidRPr="00A62933">
        <w:rPr>
          <w:rFonts w:ascii="Palatino Linotype" w:eastAsia="Palatino Linotype" w:hAnsi="Palatino Linotype" w:cs="Palatino Linotype"/>
          <w:sz w:val="22"/>
          <w:szCs w:val="22"/>
        </w:rPr>
        <w:t xml:space="preserve"> la parte </w:t>
      </w:r>
      <w:r w:rsidRPr="00A62933">
        <w:rPr>
          <w:rFonts w:ascii="Palatino Linotype" w:eastAsia="Palatino Linotype" w:hAnsi="Palatino Linotype" w:cs="Palatino Linotype"/>
          <w:b/>
          <w:sz w:val="22"/>
          <w:szCs w:val="22"/>
        </w:rPr>
        <w:t xml:space="preserve">Recurrente </w:t>
      </w:r>
      <w:r w:rsidRPr="00A62933">
        <w:rPr>
          <w:rFonts w:ascii="Palatino Linotype" w:eastAsia="Palatino Linotype" w:hAnsi="Palatino Linotype" w:cs="Palatino Linotype"/>
          <w:sz w:val="22"/>
          <w:szCs w:val="22"/>
        </w:rPr>
        <w:t xml:space="preserve">presentó la solicitud de acceso a la información pública ante el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xml:space="preserve">, a través del Sistema de Acceso a la Información Mexiquense, en lo subsecuente el </w:t>
      </w:r>
      <w:r w:rsidRPr="00A62933">
        <w:rPr>
          <w:rFonts w:ascii="Palatino Linotype" w:eastAsia="Palatino Linotype" w:hAnsi="Palatino Linotype" w:cs="Palatino Linotype"/>
          <w:b/>
          <w:sz w:val="22"/>
          <w:szCs w:val="22"/>
        </w:rPr>
        <w:t>SAIMEX,</w:t>
      </w:r>
      <w:r w:rsidRPr="00A62933">
        <w:rPr>
          <w:rFonts w:ascii="Palatino Linotype" w:eastAsia="Palatino Linotype" w:hAnsi="Palatino Linotype" w:cs="Palatino Linotype"/>
          <w:sz w:val="22"/>
          <w:szCs w:val="22"/>
        </w:rPr>
        <w:t xml:space="preserve"> mediante la cual requirió lo siguiente:</w:t>
      </w:r>
    </w:p>
    <w:p w14:paraId="6D7DCE5D" w14:textId="77777777" w:rsidR="00D671CA" w:rsidRPr="00A62933" w:rsidRDefault="00C23F3B">
      <w:pPr>
        <w:spacing w:before="120" w:after="120"/>
        <w:ind w:left="851" w:right="902"/>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i/>
          <w:sz w:val="22"/>
          <w:szCs w:val="22"/>
        </w:rPr>
        <w:t xml:space="preserve"> “Los oficios recibidos en la contraloría de todos más Dirección, coordinaciones o caulquier área del ayuntamiento y de ciudadanos o Servidores públicos del 1 de enero al 31 de enero de 2025.</w:t>
      </w:r>
      <w:r w:rsidRPr="00A62933">
        <w:rPr>
          <w:rFonts w:ascii="Palatino Linotype" w:eastAsia="Palatino Linotype" w:hAnsi="Palatino Linotype" w:cs="Palatino Linotype"/>
          <w:b/>
          <w:i/>
          <w:sz w:val="22"/>
          <w:szCs w:val="22"/>
        </w:rPr>
        <w:t>”</w:t>
      </w:r>
      <w:r w:rsidRPr="00A62933">
        <w:rPr>
          <w:rFonts w:ascii="Palatino Linotype" w:eastAsia="Palatino Linotype" w:hAnsi="Palatino Linotype" w:cs="Palatino Linotype"/>
          <w:i/>
          <w:sz w:val="22"/>
          <w:szCs w:val="22"/>
        </w:rPr>
        <w:t xml:space="preserve"> (sic) </w:t>
      </w:r>
    </w:p>
    <w:p w14:paraId="0E62A52C"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A62933">
        <w:rPr>
          <w:rFonts w:ascii="Palatino Linotype" w:eastAsia="Palatino Linotype" w:hAnsi="Palatino Linotype" w:cs="Palatino Linotype"/>
          <w:b/>
          <w:sz w:val="22"/>
          <w:szCs w:val="22"/>
        </w:rPr>
        <w:t>Modalidad de Entrega:</w:t>
      </w:r>
      <w:r w:rsidRPr="00A62933">
        <w:rPr>
          <w:rFonts w:ascii="Palatino Linotype" w:eastAsia="Palatino Linotype" w:hAnsi="Palatino Linotype" w:cs="Palatino Linotype"/>
          <w:sz w:val="22"/>
          <w:szCs w:val="22"/>
        </w:rPr>
        <w:t xml:space="preserve"> a través del</w:t>
      </w:r>
      <w:r w:rsidRPr="00A62933">
        <w:rPr>
          <w:rFonts w:ascii="Palatino Linotype" w:eastAsia="Palatino Linotype" w:hAnsi="Palatino Linotype" w:cs="Palatino Linotype"/>
          <w:b/>
          <w:sz w:val="22"/>
          <w:szCs w:val="22"/>
        </w:rPr>
        <w:t xml:space="preserve"> SAIMEX.</w:t>
      </w:r>
    </w:p>
    <w:p w14:paraId="7967454C" w14:textId="77777777" w:rsidR="00D671CA" w:rsidRPr="00A62933" w:rsidRDefault="00C23F3B">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b/>
          <w:sz w:val="22"/>
          <w:szCs w:val="22"/>
        </w:rPr>
        <w:t xml:space="preserve">2. Prórroga. </w:t>
      </w:r>
      <w:r w:rsidRPr="00A62933">
        <w:rPr>
          <w:rFonts w:ascii="Palatino Linotype" w:eastAsia="Palatino Linotype" w:hAnsi="Palatino Linotype" w:cs="Palatino Linotype"/>
          <w:sz w:val="22"/>
          <w:szCs w:val="22"/>
        </w:rPr>
        <w:t xml:space="preserve">El </w:t>
      </w:r>
      <w:r w:rsidRPr="00A62933">
        <w:rPr>
          <w:rFonts w:ascii="Palatino Linotype" w:eastAsia="Palatino Linotype" w:hAnsi="Palatino Linotype" w:cs="Palatino Linotype"/>
          <w:b/>
          <w:sz w:val="22"/>
          <w:szCs w:val="22"/>
        </w:rPr>
        <w:t xml:space="preserve">veintidós de mayo de dos mil veinticinco, </w:t>
      </w:r>
      <w:r w:rsidRPr="00A62933">
        <w:rPr>
          <w:rFonts w:ascii="Palatino Linotype" w:eastAsia="Palatino Linotype" w:hAnsi="Palatino Linotype" w:cs="Palatino Linotype"/>
          <w:sz w:val="22"/>
          <w:szCs w:val="22"/>
        </w:rPr>
        <w:t xml:space="preserve">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notificó a la persona solicitante la prórroga para dar respuesta a la solicitud</w:t>
      </w:r>
      <w:r w:rsidRPr="00A62933">
        <w:rPr>
          <w:rFonts w:ascii="Palatino Linotype" w:eastAsia="Palatino Linotype" w:hAnsi="Palatino Linotype" w:cs="Palatino Linotype"/>
          <w:b/>
          <w:sz w:val="22"/>
          <w:szCs w:val="22"/>
        </w:rPr>
        <w:t>,</w:t>
      </w:r>
      <w:r w:rsidRPr="00A62933">
        <w:rPr>
          <w:rFonts w:ascii="Palatino Linotype" w:eastAsia="Palatino Linotype" w:hAnsi="Palatino Linotype" w:cs="Palatino Linotype"/>
          <w:sz w:val="22"/>
          <w:szCs w:val="22"/>
        </w:rPr>
        <w:t xml:space="preserve"> medularmente en los siguientes términos:</w:t>
      </w:r>
    </w:p>
    <w:p w14:paraId="09DA7D48" w14:textId="77777777" w:rsidR="00D671CA" w:rsidRPr="00A62933" w:rsidRDefault="00C23F3B">
      <w:pPr>
        <w:spacing w:before="240" w:after="24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“Con fundamento en lo señalado en el artículo 163 de la Ley de Transparencia y Acceso a la Información Pública del Estado de México y Municipios, se solicitó prórroga por siete días hábiles más, para dar atención a la solicitud de </w:t>
      </w:r>
      <w:r w:rsidRPr="00A62933">
        <w:rPr>
          <w:rFonts w:ascii="Palatino Linotype" w:eastAsia="Palatino Linotype" w:hAnsi="Palatino Linotype" w:cs="Palatino Linotype"/>
          <w:i/>
          <w:sz w:val="22"/>
          <w:szCs w:val="22"/>
        </w:rPr>
        <w:lastRenderedPageBreak/>
        <w:t>información registrada con número 02566/TOLUCA/IP/2025, recibida a través del Sistema de Acceso a la Información Mexiquense (SAIMEX), misma que fue procedente, quedando bajo el acuerdo CT/SE/608 /2025., en la Sexcentésima Octava Sesión Extraordinaria 2025 del Comité de Transparencia del Municipio de Toluca, Administración 2025- 2027, de fecha 20/05/2025,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 (sic)</w:t>
      </w:r>
    </w:p>
    <w:p w14:paraId="1E04F29F"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anexó el Acta de la Sexcentésima Octava Sesión Extraordinaria del Comité de Transparencia número CT/SE/608/2025, mediante la cual se aprobó la ampliación del plazo para dar respuesta a la solicitud de información 02566/TOLUCA/IP/2025.</w:t>
      </w:r>
    </w:p>
    <w:p w14:paraId="3EDC91D5"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b/>
          <w:sz w:val="22"/>
          <w:szCs w:val="22"/>
        </w:rPr>
        <w:t xml:space="preserve">3. Respuesta. </w:t>
      </w:r>
      <w:r w:rsidRPr="00A62933">
        <w:rPr>
          <w:rFonts w:ascii="Palatino Linotype" w:eastAsia="Palatino Linotype" w:hAnsi="Palatino Linotype" w:cs="Palatino Linotype"/>
          <w:sz w:val="22"/>
          <w:szCs w:val="22"/>
        </w:rPr>
        <w:t xml:space="preserve">El </w:t>
      </w:r>
      <w:r w:rsidRPr="00A62933">
        <w:rPr>
          <w:rFonts w:ascii="Palatino Linotype" w:eastAsia="Palatino Linotype" w:hAnsi="Palatino Linotype" w:cs="Palatino Linotype"/>
          <w:b/>
          <w:sz w:val="22"/>
          <w:szCs w:val="22"/>
        </w:rPr>
        <w:t>dos de junio de dos mil veinticinco,</w:t>
      </w:r>
      <w:r w:rsidRPr="00A62933">
        <w:rPr>
          <w:rFonts w:ascii="Palatino Linotype" w:eastAsia="Palatino Linotype" w:hAnsi="Palatino Linotype" w:cs="Palatino Linotype"/>
          <w:sz w:val="22"/>
          <w:szCs w:val="22"/>
        </w:rPr>
        <w:t xml:space="preserve"> 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2ED36A94" w14:textId="77777777" w:rsidR="00D671CA" w:rsidRPr="00A62933" w:rsidRDefault="00C23F3B">
      <w:pPr>
        <w:spacing w:before="240" w:after="24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“…En atención a la solicitud con folio 02566/TOLUCA/IP/2025, me permito adjuntar al presente la respuesta correspondiente DE LA CONTRALORÍA MUNICIPAL, asimismo sus respectivos anexos, Sin más por el momento, reciba un saludo...” (sic)</w:t>
      </w:r>
    </w:p>
    <w:p w14:paraId="7FAC6D34"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 xml:space="preserve">adjuntó los siguientes archivos: </w:t>
      </w:r>
    </w:p>
    <w:p w14:paraId="14E661FF"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“2025-OFI-2082-SMX-2566.pdf” contiene el oficio número 203010000/02082/2025, mediante el cual la titular del Órgano Interno de Control manifestó lo siguiente:</w:t>
      </w:r>
    </w:p>
    <w:p w14:paraId="654A4216" w14:textId="77777777" w:rsidR="00D671CA" w:rsidRPr="00A62933" w:rsidRDefault="00C23F3B">
      <w:pPr>
        <w:spacing w:before="240" w:after="24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“1. Se hace entrega en versión publica de los oficios recibidos en el Órgano Interno de Control del 0L de enero al 31 de enero de 2025, que NO sean parte de expedientes que se encuentren en etapa de auditoría, investigación, sustanciación y resolutor, con fundamento a la Sexcentésima Octava Sesión Extraordinaria del Comité de Transparencia de fecha 20 de mayo de 2025, mediante acuerdo CT/SE/608/09/2025. </w:t>
      </w:r>
    </w:p>
    <w:p w14:paraId="6CD626A6" w14:textId="77777777" w:rsidR="00D671CA" w:rsidRPr="00A62933" w:rsidRDefault="00C23F3B">
      <w:pPr>
        <w:spacing w:before="240" w:after="24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lastRenderedPageBreak/>
        <w:t>2. Con fundamento a la Sexcentésima Octava Sesión Extraordinaria del Comité de Transparencia de fecha 20 de mayo de 2025, mediante acuerdo CT/SE/608/08/2025, se aprobó la propuesta para la clasificación de Información como Reservada por un periodo de 3 años correspondiente a los oficios recibidos en el Órgano Interno de Control del 01 de enero al 31 de enero de 2025, toda vez que son parte de expedientes que se encuentran en etapa de auditoría, investigación, sustanciación y resolutor.”</w:t>
      </w:r>
    </w:p>
    <w:p w14:paraId="6E959448"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“ENERO 2025- OFICIOS PARA EL CONTRALOR_redacted.pdf”, consta de 15 hojas y contiene oficios recibidos en la Contraloría Municipal, durante el mes de enero de 2025, emitidos por diversas áreas.</w:t>
      </w:r>
    </w:p>
    <w:p w14:paraId="7B66703C"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“ENERO 2025 CIRCULARES ENVIADAS DELEGACIÓN.pdf”, consta de 15 hojas y contiene circulares recibidas en la Contraloría Municipal, durante el mes de enero de 2025.</w:t>
      </w:r>
    </w:p>
    <w:p w14:paraId="23ECA529"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“ENERO 2025-CIRCULARES ENVIADAS A LA DELEGACIÓN.pdf”, consta de 14 hojas y contiene circulares recibidas en la Contraloría Municipal, durante el mes de enero de 2025.</w:t>
      </w:r>
    </w:p>
    <w:p w14:paraId="4888D702"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“CONTRALORÍA.pdf”, consta de 18 hojas y contiene oficios recibidos en la Contraloría Municipal, durante el mes de enero de 2025, emitidos por diversas áreas.</w:t>
      </w:r>
    </w:p>
    <w:p w14:paraId="44AD3BA5"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“ENERO 2025-OFICIOS ENVIADOS A LA DELEGACIÓN 1.pdf”, consta de ciento cincuenta y seis hojas, y contiene oficios recibidos en la Contraloría Municipal, durante el mes de enero de 2025, emitidos por diversas áreas.</w:t>
      </w:r>
    </w:p>
    <w:p w14:paraId="44D61390"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“ENERO 2025- CONVOCATORIAS.pdf”, consta de 76 hojas y contiene oficios recibidos en la Contraloría Municipal, durante el mes de enero de 2025, emitidos por diversas áreas.</w:t>
      </w:r>
    </w:p>
    <w:p w14:paraId="63B9675B" w14:textId="77777777" w:rsidR="00D671CA" w:rsidRPr="00A62933" w:rsidRDefault="00C23F3B">
      <w:pPr>
        <w:spacing w:before="240" w:after="240" w:line="360" w:lineRule="auto"/>
        <w:ind w:right="49"/>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 “ACTA SEXCENTÉSIMA OCTAVA SESIÓN EXTRAORDINARIA 2025.pdf”, contiene el Acta de la Sexcentésima Octava Sesión Extraordinaria del Comité de Transparencia del Municipio de Toluca, en la que se sometió a consideración de los integrantes la solicitud de prórroga para dar respuesta a la solicitud 02566/TOLUCA/IP/2025, como punto 3 del orden del día; la propuesta de clasificación como información reservada en su totalidad, por un periodo de 3 años, de la información referente a oficios recibidos en enero de 2025 que son parte de expedientes en etapa de auditoría, investigación, sustanciación y resolución, para dar respuesta a la Solicitud de Información número 02566/TOLUCA/IP/2025; y la propuesta de clasificación como información confidencial de forma parcial, los datos personales contenidos en oficios recibidos en enero de 2025 que NO son parte de expedientes en etapa de auditoría, investigación, sustanciación y resolución, para dar respuesta a la Solicitud de Información número 02566/TOLUCA/IP/2025,, presentadas por a Servidora Pública Habilitada de la Contraloría Municipal.</w:t>
      </w:r>
    </w:p>
    <w:p w14:paraId="5ABF0B6A"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b/>
          <w:sz w:val="22"/>
          <w:szCs w:val="22"/>
        </w:rPr>
        <w:t xml:space="preserve">4. Interposición del recurso de revisión. </w:t>
      </w:r>
      <w:r w:rsidRPr="00A62933">
        <w:rPr>
          <w:rFonts w:ascii="Palatino Linotype" w:eastAsia="Palatino Linotype" w:hAnsi="Palatino Linotype" w:cs="Palatino Linotype"/>
          <w:sz w:val="22"/>
          <w:szCs w:val="22"/>
        </w:rPr>
        <w:t xml:space="preserve">Inconforme con los términos de la respuesta emitida por parte del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xml:space="preserve">, el </w:t>
      </w:r>
      <w:r w:rsidRPr="00A62933">
        <w:rPr>
          <w:rFonts w:ascii="Palatino Linotype" w:eastAsia="Palatino Linotype" w:hAnsi="Palatino Linotype" w:cs="Palatino Linotype"/>
          <w:b/>
          <w:sz w:val="22"/>
          <w:szCs w:val="22"/>
        </w:rPr>
        <w:t>diecisiete de junio de dos mil veinticinco,</w:t>
      </w:r>
      <w:r w:rsidRPr="00A62933">
        <w:rPr>
          <w:rFonts w:ascii="Palatino Linotype" w:eastAsia="Palatino Linotype" w:hAnsi="Palatino Linotype" w:cs="Palatino Linotype"/>
          <w:sz w:val="22"/>
          <w:szCs w:val="22"/>
        </w:rPr>
        <w:t xml:space="preserve"> la parte </w:t>
      </w:r>
      <w:r w:rsidRPr="00A62933">
        <w:rPr>
          <w:rFonts w:ascii="Palatino Linotype" w:eastAsia="Palatino Linotype" w:hAnsi="Palatino Linotype" w:cs="Palatino Linotype"/>
          <w:b/>
          <w:sz w:val="22"/>
          <w:szCs w:val="22"/>
        </w:rPr>
        <w:t>Recurrente</w:t>
      </w:r>
      <w:r w:rsidRPr="00A62933">
        <w:rPr>
          <w:rFonts w:ascii="Palatino Linotype" w:eastAsia="Palatino Linotype" w:hAnsi="Palatino Linotype" w:cs="Palatino Linotype"/>
          <w:sz w:val="22"/>
          <w:szCs w:val="22"/>
        </w:rPr>
        <w:t xml:space="preserve"> interpuso el recurso de revisión a través de </w:t>
      </w:r>
      <w:r w:rsidRPr="00A62933">
        <w:rPr>
          <w:rFonts w:ascii="Palatino Linotype" w:eastAsia="Palatino Linotype" w:hAnsi="Palatino Linotype" w:cs="Palatino Linotype"/>
          <w:b/>
          <w:sz w:val="22"/>
          <w:szCs w:val="22"/>
        </w:rPr>
        <w:t xml:space="preserve">SAIMEX, </w:t>
      </w:r>
      <w:r w:rsidRPr="00A62933">
        <w:rPr>
          <w:rFonts w:ascii="Palatino Linotype" w:eastAsia="Palatino Linotype" w:hAnsi="Palatino Linotype" w:cs="Palatino Linotype"/>
          <w:sz w:val="22"/>
          <w:szCs w:val="22"/>
        </w:rPr>
        <w:t>en donde se manifestó de la siguiente manera:</w:t>
      </w:r>
    </w:p>
    <w:p w14:paraId="6E25B6EC" w14:textId="77777777" w:rsidR="00D671CA" w:rsidRPr="00A62933" w:rsidRDefault="00C23F3B">
      <w:pPr>
        <w:spacing w:before="240" w:after="240" w:line="360" w:lineRule="auto"/>
        <w:ind w:right="49"/>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b/>
          <w:sz w:val="22"/>
          <w:szCs w:val="22"/>
        </w:rPr>
        <w:t xml:space="preserve">Acto impugnado: </w:t>
      </w:r>
    </w:p>
    <w:p w14:paraId="37E77EA3" w14:textId="77777777" w:rsidR="00D671CA" w:rsidRPr="00A62933" w:rsidRDefault="00C23F3B">
      <w:pPr>
        <w:ind w:left="851" w:right="900"/>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“Esa contraloria no evita la corrupción es parte de ella permite la opacidad de la unidad de transparencia de acuerdo con otro saimex donde las areas entregaron los oficios recibidos por la contraloria en este saimex no lo estan entregando todo” (sic)</w:t>
      </w:r>
    </w:p>
    <w:p w14:paraId="46F1F347" w14:textId="77777777" w:rsidR="00D671CA" w:rsidRPr="00A62933" w:rsidRDefault="00C23F3B">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A62933">
        <w:rPr>
          <w:rFonts w:ascii="Palatino Linotype" w:eastAsia="Palatino Linotype" w:hAnsi="Palatino Linotype" w:cs="Palatino Linotype"/>
          <w:b/>
          <w:sz w:val="22"/>
          <w:szCs w:val="22"/>
        </w:rPr>
        <w:t>Y, Razones o motivos de inconformidad</w:t>
      </w:r>
      <w:r w:rsidRPr="00A62933">
        <w:rPr>
          <w:rFonts w:ascii="Palatino Linotype" w:eastAsia="Palatino Linotype" w:hAnsi="Palatino Linotype" w:cs="Palatino Linotype"/>
          <w:sz w:val="22"/>
          <w:szCs w:val="22"/>
        </w:rPr>
        <w:t>:</w:t>
      </w:r>
    </w:p>
    <w:p w14:paraId="4B0ED03F" w14:textId="77777777" w:rsidR="00D671CA" w:rsidRPr="00A62933" w:rsidRDefault="00C23F3B">
      <w:pPr>
        <w:tabs>
          <w:tab w:val="left" w:pos="2745"/>
        </w:tabs>
        <w:spacing w:before="240" w:after="24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“una prorroga fuera del plazo establecido y la falta de inromaicón no esta completa estan ocultando” (sic)</w:t>
      </w:r>
    </w:p>
    <w:p w14:paraId="1257D87B" w14:textId="77777777" w:rsidR="00D671CA" w:rsidRPr="00A62933" w:rsidRDefault="00C23F3B">
      <w:pPr>
        <w:spacing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b/>
          <w:sz w:val="22"/>
          <w:szCs w:val="22"/>
        </w:rPr>
        <w:t xml:space="preserve">5. Turno. </w:t>
      </w:r>
      <w:r w:rsidRPr="00A6293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62933">
        <w:rPr>
          <w:rFonts w:ascii="Palatino Linotype" w:eastAsia="Palatino Linotype" w:hAnsi="Palatino Linotype" w:cs="Palatino Linotype"/>
          <w:b/>
          <w:sz w:val="22"/>
          <w:szCs w:val="22"/>
        </w:rPr>
        <w:t xml:space="preserve">Guadalupe Ramírez Peña, </w:t>
      </w:r>
      <w:r w:rsidRPr="00A62933">
        <w:rPr>
          <w:rFonts w:ascii="Palatino Linotype" w:eastAsia="Palatino Linotype" w:hAnsi="Palatino Linotype" w:cs="Palatino Linotype"/>
          <w:sz w:val="22"/>
          <w:szCs w:val="22"/>
        </w:rPr>
        <w:t>a efecto de que analizara sobre su admisión o su desechamiento.</w:t>
      </w:r>
    </w:p>
    <w:p w14:paraId="4F18A71F" w14:textId="77777777" w:rsidR="00D671CA" w:rsidRPr="00A62933" w:rsidRDefault="00C23F3B">
      <w:pPr>
        <w:spacing w:before="240" w:after="240" w:line="360" w:lineRule="auto"/>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b/>
          <w:sz w:val="22"/>
          <w:szCs w:val="22"/>
        </w:rPr>
        <w:t>6. Admisión del Recurso de revisión.</w:t>
      </w:r>
      <w:r w:rsidRPr="00A62933">
        <w:rPr>
          <w:rFonts w:ascii="Palatino Linotype" w:eastAsia="Palatino Linotype" w:hAnsi="Palatino Linotype" w:cs="Palatino Linotype"/>
          <w:sz w:val="22"/>
          <w:szCs w:val="22"/>
        </w:rPr>
        <w:t xml:space="preserve"> El</w:t>
      </w:r>
      <w:r w:rsidRPr="00A62933">
        <w:rPr>
          <w:rFonts w:ascii="Palatino Linotype" w:eastAsia="Palatino Linotype" w:hAnsi="Palatino Linotype" w:cs="Palatino Linotype"/>
          <w:b/>
          <w:sz w:val="22"/>
          <w:szCs w:val="22"/>
        </w:rPr>
        <w:t xml:space="preserve"> veinte de junio de dos mil veinticinco, </w:t>
      </w:r>
      <w:r w:rsidRPr="00A6293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presentara su informe justificado.</w:t>
      </w:r>
    </w:p>
    <w:p w14:paraId="7FD03230"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A62933">
        <w:rPr>
          <w:rFonts w:ascii="Palatino Linotype" w:eastAsia="Palatino Linotype" w:hAnsi="Palatino Linotype" w:cs="Palatino Linotype"/>
          <w:b/>
          <w:sz w:val="22"/>
          <w:szCs w:val="22"/>
        </w:rPr>
        <w:t>7. Manifestaciones</w:t>
      </w:r>
      <w:r w:rsidRPr="00A62933">
        <w:rPr>
          <w:rFonts w:ascii="Palatino Linotype" w:eastAsia="Palatino Linotype" w:hAnsi="Palatino Linotype" w:cs="Palatino Linotype"/>
          <w:sz w:val="22"/>
          <w:szCs w:val="22"/>
        </w:rPr>
        <w:t xml:space="preserve">. El </w:t>
      </w:r>
      <w:r w:rsidRPr="00A62933">
        <w:rPr>
          <w:rFonts w:ascii="Palatino Linotype" w:eastAsia="Palatino Linotype" w:hAnsi="Palatino Linotype" w:cs="Palatino Linotype"/>
          <w:b/>
          <w:sz w:val="22"/>
          <w:szCs w:val="22"/>
        </w:rPr>
        <w:t>uno de julio de dos mil veinticinco</w:t>
      </w:r>
      <w:r w:rsidRPr="00A62933">
        <w:rPr>
          <w:rFonts w:ascii="Palatino Linotype" w:eastAsia="Palatino Linotype" w:hAnsi="Palatino Linotype" w:cs="Palatino Linotype"/>
          <w:sz w:val="22"/>
          <w:szCs w:val="22"/>
        </w:rPr>
        <w:t xml:space="preserve">, el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xml:space="preserve"> remitió, a través del SAIMEX, el escrito mediante el cual el titular de la Unidad de transparencia, por conducto del Órgano Interno de Control, ratificó la respuesta proporcionada en primera instancia.</w:t>
      </w:r>
    </w:p>
    <w:p w14:paraId="71226B26"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507579A1"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b/>
          <w:sz w:val="22"/>
          <w:szCs w:val="22"/>
        </w:rPr>
        <w:t xml:space="preserve">8. Cierre de instrucción. </w:t>
      </w:r>
      <w:r w:rsidRPr="00A6293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A62933">
        <w:rPr>
          <w:rFonts w:ascii="Palatino Linotype" w:eastAsia="Palatino Linotype" w:hAnsi="Palatino Linotype" w:cs="Palatino Linotype"/>
          <w:b/>
          <w:sz w:val="22"/>
          <w:szCs w:val="22"/>
        </w:rPr>
        <w:t>dos de octubre de dos mil veinticinco</w:t>
      </w:r>
      <w:r w:rsidRPr="00A6293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5C7F3D3" w14:textId="77777777" w:rsidR="00D671CA" w:rsidRPr="00A62933" w:rsidRDefault="00C23F3B">
      <w:pPr>
        <w:widowControl w:val="0"/>
        <w:spacing w:before="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b/>
          <w:sz w:val="22"/>
          <w:szCs w:val="22"/>
        </w:rPr>
        <w:t>9. Ampliación del término para resolver</w:t>
      </w:r>
      <w:r w:rsidRPr="00A62933">
        <w:rPr>
          <w:rFonts w:ascii="Palatino Linotype" w:eastAsia="Palatino Linotype" w:hAnsi="Palatino Linotype" w:cs="Palatino Linotype"/>
          <w:sz w:val="22"/>
          <w:szCs w:val="22"/>
        </w:rPr>
        <w:t xml:space="preserve">. El </w:t>
      </w:r>
      <w:r w:rsidRPr="00A62933">
        <w:rPr>
          <w:rFonts w:ascii="Palatino Linotype" w:eastAsia="Palatino Linotype" w:hAnsi="Palatino Linotype" w:cs="Palatino Linotype"/>
          <w:b/>
          <w:sz w:val="22"/>
          <w:szCs w:val="22"/>
        </w:rPr>
        <w:t>seis de octubre de dos mil veinticinco</w:t>
      </w:r>
      <w:r w:rsidRPr="00A62933">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mediante acuerdo notificado el siete de octubre de dos mil veinticinco. </w:t>
      </w:r>
    </w:p>
    <w:p w14:paraId="22E1B36E"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7AD4B44"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E2D5468"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0BF86B"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45E428" w14:textId="77777777" w:rsidR="00D671CA" w:rsidRPr="00A62933" w:rsidRDefault="00C23F3B">
      <w:pPr>
        <w:spacing w:before="240" w:after="240" w:line="360" w:lineRule="auto"/>
        <w:jc w:val="both"/>
        <w:rPr>
          <w:rFonts w:ascii="Palatino Linotype" w:eastAsia="Palatino Linotype" w:hAnsi="Palatino Linotype" w:cs="Palatino Linotype"/>
          <w:strike/>
          <w:sz w:val="22"/>
          <w:szCs w:val="22"/>
        </w:rPr>
      </w:pPr>
      <w:r w:rsidRPr="00A6293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E4EB0B8" w14:textId="77777777" w:rsidR="00D671CA" w:rsidRPr="00A62933" w:rsidRDefault="00C23F3B">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7BDE42AE" w14:textId="77777777" w:rsidR="00D671CA" w:rsidRPr="00A62933" w:rsidRDefault="00C23F3B">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Actividad Procesal del interesado. Acciones u omisiones del interesado.</w:t>
      </w:r>
    </w:p>
    <w:p w14:paraId="18B10420" w14:textId="77777777" w:rsidR="00D671CA" w:rsidRPr="00A62933" w:rsidRDefault="00C23F3B">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9F7FD4A" w14:textId="77777777" w:rsidR="00D671CA" w:rsidRPr="00A62933" w:rsidRDefault="00C23F3B">
      <w:pPr>
        <w:tabs>
          <w:tab w:val="left" w:pos="567"/>
        </w:tabs>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19BCEC88"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CADF6A" w14:textId="77777777" w:rsidR="00D671CA" w:rsidRPr="00A62933" w:rsidRDefault="00C23F3B">
      <w:pPr>
        <w:spacing w:before="240" w:after="240" w:line="360" w:lineRule="auto"/>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A6293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A62933">
        <w:rPr>
          <w:rFonts w:ascii="Palatino Linotype" w:eastAsia="Palatino Linotype" w:hAnsi="Palatino Linotype" w:cs="Palatino Linotype"/>
          <w:sz w:val="22"/>
          <w:szCs w:val="22"/>
        </w:rPr>
        <w:t>, visible en la Gaceta del Seminario Judicial de la Federación con el registro digital 205635.</w:t>
      </w:r>
    </w:p>
    <w:p w14:paraId="24E9E6B0"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43A71C"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A6EA75B" w14:textId="77777777" w:rsidR="00D671CA" w:rsidRPr="00A62933" w:rsidRDefault="00C23F3B">
      <w:pPr>
        <w:spacing w:before="120" w:after="120"/>
        <w:ind w:left="851" w:right="902"/>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 </w:t>
      </w: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PLAZO RAZONABLE PARA RESOLVER. DIMENSIÓN Y EFECTOS DE ESTE CONCEPTO CUANDO SE ADUCE EXCESIVA CARGA DE TRABAJO</w:t>
      </w: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sz w:val="22"/>
          <w:szCs w:val="22"/>
        </w:rPr>
        <w:t xml:space="preserve"> consultable en el Seminario Judicial de la Federación y su gaceta, con el registro digital 2002351.</w:t>
      </w:r>
    </w:p>
    <w:p w14:paraId="5216FACA" w14:textId="77777777" w:rsidR="00D671CA" w:rsidRPr="00A62933" w:rsidRDefault="00C23F3B">
      <w:pPr>
        <w:spacing w:before="120" w:after="120"/>
        <w:ind w:left="851" w:right="902"/>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sz w:val="22"/>
          <w:szCs w:val="22"/>
        </w:rPr>
        <w:t>, visible en el Seminario Judicial de la Federación y su gaceta, con el registro digital 2002350.</w:t>
      </w:r>
    </w:p>
    <w:p w14:paraId="56A00214"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37CAC48"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0EA1906" w14:textId="77777777" w:rsidR="00D671CA" w:rsidRPr="00A62933" w:rsidRDefault="00C23F3B">
      <w:pPr>
        <w:widowControl w:val="0"/>
        <w:spacing w:before="240" w:after="240" w:line="360" w:lineRule="auto"/>
        <w:jc w:val="center"/>
        <w:rPr>
          <w:rFonts w:ascii="Palatino Linotype" w:eastAsia="Palatino Linotype" w:hAnsi="Palatino Linotype" w:cs="Palatino Linotype"/>
          <w:b/>
          <w:sz w:val="22"/>
          <w:szCs w:val="22"/>
        </w:rPr>
      </w:pPr>
      <w:r w:rsidRPr="00A62933">
        <w:rPr>
          <w:rFonts w:ascii="Palatino Linotype" w:eastAsia="Palatino Linotype" w:hAnsi="Palatino Linotype" w:cs="Palatino Linotype"/>
          <w:b/>
          <w:sz w:val="22"/>
          <w:szCs w:val="22"/>
        </w:rPr>
        <w:t>II. C O N S I D E R A N D O S</w:t>
      </w:r>
    </w:p>
    <w:p w14:paraId="5FCEF756"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b/>
          <w:sz w:val="22"/>
          <w:szCs w:val="22"/>
        </w:rPr>
        <w:t>Primero. Competencia.</w:t>
      </w:r>
      <w:r w:rsidRPr="00A6293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1F37756"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bookmarkStart w:id="7" w:name="_heading=h.tyjcwt" w:colFirst="0" w:colLast="0"/>
      <w:bookmarkEnd w:id="7"/>
      <w:r w:rsidRPr="00A62933">
        <w:rPr>
          <w:rFonts w:ascii="Palatino Linotype" w:eastAsia="Palatino Linotype" w:hAnsi="Palatino Linotype" w:cs="Palatino Linotype"/>
          <w:b/>
          <w:sz w:val="22"/>
          <w:szCs w:val="22"/>
        </w:rPr>
        <w:t>Segundo. Oportunidad y Procedibilidad del Recurso de Revisión</w:t>
      </w:r>
      <w:r w:rsidRPr="00A6293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435D099"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 xml:space="preserve">remitió la respuesta a la solicitud de información el día </w:t>
      </w:r>
      <w:r w:rsidRPr="00A62933">
        <w:rPr>
          <w:rFonts w:ascii="Palatino Linotype" w:eastAsia="Palatino Linotype" w:hAnsi="Palatino Linotype" w:cs="Palatino Linotype"/>
          <w:b/>
          <w:sz w:val="22"/>
          <w:szCs w:val="22"/>
        </w:rPr>
        <w:t xml:space="preserve">dos de junio de dos mil veinticinco, </w:t>
      </w:r>
      <w:r w:rsidRPr="00A62933">
        <w:rPr>
          <w:rFonts w:ascii="Palatino Linotype" w:eastAsia="Palatino Linotype" w:hAnsi="Palatino Linotype" w:cs="Palatino Linotype"/>
          <w:sz w:val="22"/>
          <w:szCs w:val="22"/>
        </w:rPr>
        <w:t xml:space="preserve">mientras que el recurso de revisión interpuesto por la parte </w:t>
      </w:r>
      <w:r w:rsidRPr="00A62933">
        <w:rPr>
          <w:rFonts w:ascii="Palatino Linotype" w:eastAsia="Palatino Linotype" w:hAnsi="Palatino Linotype" w:cs="Palatino Linotype"/>
          <w:b/>
          <w:sz w:val="22"/>
          <w:szCs w:val="22"/>
        </w:rPr>
        <w:t xml:space="preserve">Recurrente, </w:t>
      </w:r>
      <w:r w:rsidRPr="00A62933">
        <w:rPr>
          <w:rFonts w:ascii="Palatino Linotype" w:eastAsia="Palatino Linotype" w:hAnsi="Palatino Linotype" w:cs="Palatino Linotype"/>
          <w:sz w:val="22"/>
          <w:szCs w:val="22"/>
        </w:rPr>
        <w:t>se tuvo por presentado el día</w:t>
      </w:r>
      <w:r w:rsidRPr="00A62933">
        <w:rPr>
          <w:rFonts w:ascii="Palatino Linotype" w:eastAsia="Palatino Linotype" w:hAnsi="Palatino Linotype" w:cs="Palatino Linotype"/>
          <w:b/>
          <w:sz w:val="22"/>
          <w:szCs w:val="22"/>
        </w:rPr>
        <w:t xml:space="preserve"> diecisiete de junio de dos mil veinticinco, </w:t>
      </w:r>
      <w:r w:rsidRPr="00A62933">
        <w:rPr>
          <w:rFonts w:ascii="Palatino Linotype" w:eastAsia="Palatino Linotype" w:hAnsi="Palatino Linotype" w:cs="Palatino Linotype"/>
          <w:sz w:val="22"/>
          <w:szCs w:val="22"/>
        </w:rPr>
        <w:t>esto es, décimo primer día hábil posterior a aquel en el que tuvo conocimiento de la respuesta impugnada. En este sentido, se concluye que el presente recurso de revisión se encuentra dentro de los márgenes temporales previstos en las disposiciones legales referidas.</w:t>
      </w:r>
    </w:p>
    <w:p w14:paraId="6F903374"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A12D9FC"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A62933">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041614E" w14:textId="77777777" w:rsidR="00D671CA" w:rsidRPr="00A62933" w:rsidRDefault="00C23F3B">
      <w:pPr>
        <w:spacing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Además, por cuanto hace a la procedibilidad del recurso de revisión, es de suma importancia señalar que la parte</w:t>
      </w:r>
      <w:r w:rsidRPr="00A62933">
        <w:rPr>
          <w:rFonts w:ascii="Palatino Linotype" w:eastAsia="Palatino Linotype" w:hAnsi="Palatino Linotype" w:cs="Palatino Linotype"/>
          <w:b/>
          <w:sz w:val="22"/>
          <w:szCs w:val="22"/>
        </w:rPr>
        <w:t xml:space="preserve"> Recurrente</w:t>
      </w:r>
      <w:r w:rsidRPr="00A62933">
        <w:rPr>
          <w:rFonts w:ascii="Palatino Linotype" w:eastAsia="Palatino Linotype" w:hAnsi="Palatino Linotype" w:cs="Palatino Linotype"/>
          <w:sz w:val="22"/>
          <w:szCs w:val="22"/>
        </w:rPr>
        <w:t xml:space="preserve">, no señaló un </w:t>
      </w:r>
      <w:r w:rsidRPr="00A62933">
        <w:rPr>
          <w:rFonts w:ascii="Palatino Linotype" w:eastAsia="Palatino Linotype" w:hAnsi="Palatino Linotype" w:cs="Palatino Linotype"/>
          <w:b/>
          <w:sz w:val="22"/>
          <w:szCs w:val="22"/>
        </w:rPr>
        <w:t>nombre</w:t>
      </w:r>
      <w:r w:rsidRPr="00A62933">
        <w:rPr>
          <w:rFonts w:ascii="Palatino Linotype" w:eastAsia="Palatino Linotype" w:hAnsi="Palatino Linotype" w:cs="Palatino Linotype"/>
          <w:sz w:val="22"/>
          <w:szCs w:val="22"/>
        </w:rPr>
        <w:t xml:space="preserv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73EAF20"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Las solicitudes anónimas</w:t>
      </w:r>
      <w:r w:rsidRPr="00A62933">
        <w:rPr>
          <w:rFonts w:ascii="Palatino Linotype" w:eastAsia="Palatino Linotype" w:hAnsi="Palatino Linotype" w:cs="Palatino Linotype"/>
          <w:i/>
          <w:sz w:val="22"/>
          <w:szCs w:val="22"/>
        </w:rPr>
        <w:t xml:space="preserve">, con nombre incompleto o </w:t>
      </w:r>
      <w:r w:rsidRPr="00A62933">
        <w:rPr>
          <w:rFonts w:ascii="Palatino Linotype" w:eastAsia="Palatino Linotype" w:hAnsi="Palatino Linotype" w:cs="Palatino Linotype"/>
          <w:b/>
          <w:i/>
          <w:sz w:val="22"/>
          <w:szCs w:val="22"/>
        </w:rPr>
        <w:t>seudónimo</w:t>
      </w:r>
      <w:r w:rsidRPr="00A62933">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7AD12488" w14:textId="77777777" w:rsidR="00D671CA" w:rsidRPr="00A62933" w:rsidRDefault="00C23F3B">
      <w:pPr>
        <w:spacing w:before="240" w:after="240" w:line="360" w:lineRule="auto"/>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A62933">
        <w:rPr>
          <w:rFonts w:ascii="Palatino Linotype" w:eastAsia="Palatino Linotype" w:hAnsi="Palatino Linotype" w:cs="Palatino Linotype"/>
          <w:b/>
          <w:sz w:val="22"/>
          <w:szCs w:val="22"/>
        </w:rPr>
        <w:t xml:space="preserve"> SAIMEX.</w:t>
      </w:r>
    </w:p>
    <w:p w14:paraId="4473614E"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A62933">
        <w:rPr>
          <w:rFonts w:ascii="Palatino Linotype" w:eastAsia="Palatino Linotype" w:hAnsi="Palatino Linotype" w:cs="Palatino Linotype"/>
          <w:b/>
          <w:sz w:val="22"/>
          <w:szCs w:val="22"/>
        </w:rPr>
        <w:t>Recurrente</w:t>
      </w:r>
      <w:r w:rsidRPr="00A62933">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1968B665" w14:textId="77777777" w:rsidR="00D671CA" w:rsidRPr="00A62933" w:rsidRDefault="00C23F3B">
      <w:pPr>
        <w:tabs>
          <w:tab w:val="left" w:pos="7938"/>
        </w:tabs>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Artículo 179.</w:t>
      </w:r>
      <w:r w:rsidRPr="00A6293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129F7FD" w14:textId="77777777" w:rsidR="00D671CA" w:rsidRPr="00A62933" w:rsidRDefault="00C23F3B">
      <w:pPr>
        <w:tabs>
          <w:tab w:val="left" w:pos="7938"/>
        </w:tabs>
        <w:spacing w:before="120" w:after="120"/>
        <w:ind w:left="1134"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221B80B3" w14:textId="77777777" w:rsidR="00D671CA" w:rsidRPr="00A62933" w:rsidRDefault="00C23F3B">
      <w:pPr>
        <w:tabs>
          <w:tab w:val="left" w:pos="7938"/>
        </w:tabs>
        <w:spacing w:before="120" w:after="120"/>
        <w:ind w:left="1134"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V.</w:t>
      </w:r>
      <w:r w:rsidRPr="00A62933">
        <w:rPr>
          <w:rFonts w:ascii="Palatino Linotype" w:eastAsia="Palatino Linotype" w:hAnsi="Palatino Linotype" w:cs="Palatino Linotype"/>
          <w:i/>
          <w:sz w:val="22"/>
          <w:szCs w:val="22"/>
        </w:rPr>
        <w:t xml:space="preserve"> La entrega de información incompleta;”</w:t>
      </w:r>
    </w:p>
    <w:p w14:paraId="14251A10" w14:textId="77777777" w:rsidR="00D671CA" w:rsidRPr="00A62933" w:rsidRDefault="00C23F3B">
      <w:pPr>
        <w:spacing w:before="240" w:after="240" w:line="360" w:lineRule="auto"/>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b/>
          <w:sz w:val="22"/>
          <w:szCs w:val="22"/>
        </w:rPr>
        <w:t xml:space="preserve">Tercero. Materia de la revisión. </w:t>
      </w:r>
      <w:r w:rsidRPr="00A6293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62933">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A62933">
        <w:rPr>
          <w:rFonts w:ascii="Palatino Linotype" w:eastAsia="Palatino Linotype" w:hAnsi="Palatino Linotype" w:cs="Palatino Linotype"/>
          <w:sz w:val="22"/>
          <w:szCs w:val="22"/>
        </w:rPr>
        <w:t xml:space="preserve">de la parte </w:t>
      </w:r>
      <w:r w:rsidRPr="00A62933">
        <w:rPr>
          <w:rFonts w:ascii="Palatino Linotype" w:eastAsia="Palatino Linotype" w:hAnsi="Palatino Linotype" w:cs="Palatino Linotype"/>
          <w:b/>
          <w:sz w:val="22"/>
          <w:szCs w:val="22"/>
        </w:rPr>
        <w:t>Recurrente</w:t>
      </w:r>
      <w:r w:rsidRPr="00A62933">
        <w:rPr>
          <w:rFonts w:ascii="Palatino Linotype" w:eastAsia="Palatino Linotype" w:hAnsi="Palatino Linotype" w:cs="Palatino Linotype"/>
          <w:sz w:val="22"/>
          <w:szCs w:val="22"/>
        </w:rPr>
        <w:t>, o en su defecto, en caso de ser procedente, ordenar la entrega de información.</w:t>
      </w:r>
    </w:p>
    <w:p w14:paraId="6E6592C7"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A62933">
        <w:rPr>
          <w:rFonts w:ascii="Palatino Linotype" w:eastAsia="Palatino Linotype" w:hAnsi="Palatino Linotype" w:cs="Palatino Linotype"/>
          <w:b/>
          <w:sz w:val="22"/>
          <w:szCs w:val="22"/>
        </w:rPr>
        <w:t xml:space="preserve">Cuarto. Estudio del asunto. </w:t>
      </w:r>
      <w:r w:rsidRPr="00A62933">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9BCDA9F"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Artículo 4</w:t>
      </w:r>
      <w:r w:rsidRPr="00A6293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D1BE930"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6293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2CDD810"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62933">
        <w:rPr>
          <w:rFonts w:ascii="Palatino Linotype" w:eastAsia="Palatino Linotype" w:hAnsi="Palatino Linotype" w:cs="Palatino Linotype"/>
          <w:i/>
          <w:sz w:val="22"/>
          <w:szCs w:val="22"/>
        </w:rPr>
        <w:t>.”</w:t>
      </w:r>
    </w:p>
    <w:p w14:paraId="0DE6C0F2"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884C34D"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“Artículo 12.-</w:t>
      </w:r>
      <w:r w:rsidRPr="00A6293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8455470"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26C52302" w14:textId="77777777" w:rsidR="00D671CA" w:rsidRPr="00A62933" w:rsidRDefault="00C23F3B">
      <w:pPr>
        <w:spacing w:before="240" w:after="240" w:line="360" w:lineRule="auto"/>
        <w:ind w:right="-93"/>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3DCC0CA" w14:textId="77777777" w:rsidR="00D671CA" w:rsidRPr="00A62933" w:rsidRDefault="00C23F3B">
      <w:pPr>
        <w:spacing w:before="240" w:after="240" w:line="360" w:lineRule="auto"/>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A62933">
        <w:rPr>
          <w:rFonts w:ascii="Palatino Linotype" w:eastAsia="Palatino Linotype" w:hAnsi="Palatino Linotype" w:cs="Palatino Linotype"/>
          <w:b/>
          <w:sz w:val="22"/>
          <w:szCs w:val="22"/>
        </w:rPr>
        <w:t xml:space="preserve"> </w:t>
      </w:r>
    </w:p>
    <w:p w14:paraId="76DD0701"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No existe obligación de elaborar documentos ad hoc para atender las solicitudes de acceso a la información.</w:t>
      </w:r>
      <w:r w:rsidRPr="00A6293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862BADC" w14:textId="77777777" w:rsidR="00D671CA" w:rsidRPr="00A62933" w:rsidRDefault="00C23F3B">
      <w:pPr>
        <w:spacing w:before="120" w:after="12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EA74963" w14:textId="77777777" w:rsidR="00D671CA" w:rsidRPr="00A62933" w:rsidRDefault="00C23F3B">
      <w:pPr>
        <w:spacing w:before="120" w:after="12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2B72F0A"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 xml:space="preserve">Artículo 3. </w:t>
      </w:r>
      <w:r w:rsidRPr="00A62933">
        <w:rPr>
          <w:rFonts w:ascii="Palatino Linotype" w:eastAsia="Palatino Linotype" w:hAnsi="Palatino Linotype" w:cs="Palatino Linotype"/>
          <w:i/>
          <w:sz w:val="22"/>
          <w:szCs w:val="22"/>
        </w:rPr>
        <w:t>Para los efectos de la presente Ley se entenderá por:</w:t>
      </w:r>
    </w:p>
    <w:p w14:paraId="18943E78"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0A2D3F0A"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XI. Documento:</w:t>
      </w:r>
      <w:r w:rsidRPr="00A62933">
        <w:rPr>
          <w:rFonts w:ascii="Palatino Linotype" w:eastAsia="Palatino Linotype" w:hAnsi="Palatino Linotype" w:cs="Palatino Linotype"/>
          <w:i/>
          <w:sz w:val="22"/>
          <w:szCs w:val="22"/>
        </w:rPr>
        <w:t xml:space="preserve"> Los expedientes, reportes, estudios, actas</w:t>
      </w:r>
      <w:r w:rsidRPr="00A62933">
        <w:rPr>
          <w:rFonts w:ascii="Palatino Linotype" w:eastAsia="Palatino Linotype" w:hAnsi="Palatino Linotype" w:cs="Palatino Linotype"/>
          <w:b/>
          <w:i/>
          <w:sz w:val="22"/>
          <w:szCs w:val="22"/>
        </w:rPr>
        <w:t>,</w:t>
      </w:r>
      <w:r w:rsidRPr="00A6293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4D81404"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848576"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sz w:val="22"/>
          <w:szCs w:val="22"/>
        </w:rPr>
        <w:t>“</w:t>
      </w:r>
      <w:r w:rsidRPr="00A6293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6293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00FFEC"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C66C48B"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D8EF119"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FC41570"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0773CDC" w14:textId="77777777" w:rsidR="00D671CA" w:rsidRPr="00A62933" w:rsidRDefault="00C23F3B">
      <w:pPr>
        <w:spacing w:before="240" w:after="240" w:line="360" w:lineRule="auto"/>
        <w:ind w:right="51"/>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9668F39"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E916C99" w14:textId="77777777" w:rsidR="00D671CA" w:rsidRPr="00A62933" w:rsidRDefault="00C23F3B">
      <w:pPr>
        <w:spacing w:before="240" w:after="240" w:line="360" w:lineRule="auto"/>
        <w:ind w:right="51"/>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A62933">
        <w:rPr>
          <w:rFonts w:ascii="Palatino Linotype" w:eastAsia="Palatino Linotype" w:hAnsi="Palatino Linotype" w:cs="Palatino Linotype"/>
          <w:b/>
          <w:sz w:val="22"/>
          <w:szCs w:val="22"/>
        </w:rPr>
        <w:t>Recurrente</w:t>
      </w:r>
      <w:r w:rsidRPr="00A62933">
        <w:rPr>
          <w:rFonts w:ascii="Palatino Linotype" w:eastAsia="Palatino Linotype" w:hAnsi="Palatino Linotype" w:cs="Palatino Linotype"/>
          <w:sz w:val="22"/>
          <w:szCs w:val="22"/>
        </w:rPr>
        <w:t xml:space="preserve"> requirió al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le proporcione, información consistente en lo siguiente:</w:t>
      </w:r>
    </w:p>
    <w:p w14:paraId="2C002331" w14:textId="77777777" w:rsidR="00D671CA" w:rsidRPr="00A62933" w:rsidRDefault="00C23F3B">
      <w:pPr>
        <w:pBdr>
          <w:top w:val="nil"/>
          <w:left w:val="nil"/>
          <w:bottom w:val="nil"/>
          <w:right w:val="nil"/>
          <w:between w:val="nil"/>
        </w:pBdr>
        <w:spacing w:before="120" w:after="120" w:line="360" w:lineRule="auto"/>
        <w:ind w:left="284" w:right="49"/>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1. Los oficios recibidos en la Contraloría Municipal de todos las Direcciones, Coordinaciones o cualquier área del ayuntamiento y de ciudadanos o servidores públicos, del 01 al 31 de enero de 2025.</w:t>
      </w:r>
    </w:p>
    <w:p w14:paraId="1C52E126"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En respuesta, 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por conducto de la Contraloría Municipio hizo entrega de diversos oficios que fueron recibidos en dicha dependencia durante el mes de enero de 2025.</w:t>
      </w:r>
    </w:p>
    <w:p w14:paraId="32943A2F"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Sin embargo, al no estar conforme con los términos de la respuesta proporcionada, la parte </w:t>
      </w:r>
      <w:r w:rsidRPr="00A62933">
        <w:rPr>
          <w:rFonts w:ascii="Palatino Linotype" w:eastAsia="Palatino Linotype" w:hAnsi="Palatino Linotype" w:cs="Palatino Linotype"/>
          <w:b/>
          <w:sz w:val="22"/>
          <w:szCs w:val="22"/>
        </w:rPr>
        <w:t xml:space="preserve">Recurrente </w:t>
      </w:r>
      <w:r w:rsidRPr="00A62933">
        <w:rPr>
          <w:rFonts w:ascii="Palatino Linotype" w:eastAsia="Palatino Linotype" w:hAnsi="Palatino Linotype" w:cs="Palatino Linotype"/>
          <w:sz w:val="22"/>
          <w:szCs w:val="22"/>
        </w:rPr>
        <w:t>presentó el recurso de revisión que nos ocupa, donde señaló como motivo de inconformidad que se hizo entrega la información incompleta.</w:t>
      </w:r>
    </w:p>
    <w:p w14:paraId="7B88EC92"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Es oportuno referir que no escapa de la óptica de este Organismo Garante que la persona solicitante, al momento de  interponer su recurso de revisión, realizó diversos planteamientos subjetivos, tales como “</w:t>
      </w:r>
      <w:r w:rsidRPr="00A62933">
        <w:rPr>
          <w:rFonts w:ascii="Palatino Linotype" w:eastAsia="Palatino Linotype" w:hAnsi="Palatino Linotype" w:cs="Palatino Linotype"/>
          <w:i/>
          <w:sz w:val="22"/>
          <w:szCs w:val="22"/>
        </w:rPr>
        <w:t>Esa contraloria no evita la corrupción es parte de ella permite la opacidad de la unidad de transparencia...</w:t>
      </w:r>
      <w:r w:rsidRPr="00A62933">
        <w:rPr>
          <w:rFonts w:ascii="Palatino Linotype" w:eastAsia="Palatino Linotype" w:hAnsi="Palatino Linotype" w:cs="Palatino Linotype"/>
          <w:sz w:val="22"/>
          <w:szCs w:val="22"/>
        </w:rPr>
        <w:t>” (sic), ante lo cual se puntualiza que el Derecho al acceso a la información pública constituye una prerrogativa para acceder a documentos o registros de información pública generada o en posesión de los Sujetos Obligados,  motivo por el cual, este Organismo Garante precisa que dichas manifestaciones no son susceptibles de ser tomadas en consideración en la resolución del presente asunto, toda vez que no constituyen el ejercicio de un Derecho de acceso a la información pública, sino más bien el ejercicio de un Derecho de expresión, cuya finalidad consiste en contextualizar sus motivos de inconformidad. En este sentido, se trata de manifestaciones sobre las cuales este Instituto no está facultado para pronunciarse.</w:t>
      </w:r>
    </w:p>
    <w:p w14:paraId="4EE89287"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En la etapa de manifestaciones 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 xml:space="preserve">ratificó en lo sustancial la respuesta proporcionada en primera instancia, mientras que la parte </w:t>
      </w:r>
      <w:r w:rsidRPr="00A62933">
        <w:rPr>
          <w:rFonts w:ascii="Palatino Linotype" w:eastAsia="Palatino Linotype" w:hAnsi="Palatino Linotype" w:cs="Palatino Linotype"/>
          <w:b/>
          <w:sz w:val="22"/>
          <w:szCs w:val="22"/>
        </w:rPr>
        <w:t xml:space="preserve">Recurrente, </w:t>
      </w:r>
      <w:r w:rsidRPr="00A62933">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4B4A17B0" w14:textId="77777777" w:rsidR="00D671CA" w:rsidRPr="00A62933" w:rsidRDefault="00C23F3B">
      <w:pPr>
        <w:spacing w:before="280" w:after="28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Una vez establecidas las posturas de las partes, se procede al análisis del requerimiento de información combatido, así como la información proporcionada por 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 xml:space="preserve">en contraposición con el motivo de inconformidad alegado por la parte </w:t>
      </w:r>
      <w:r w:rsidRPr="00A62933">
        <w:rPr>
          <w:rFonts w:ascii="Palatino Linotype" w:eastAsia="Palatino Linotype" w:hAnsi="Palatino Linotype" w:cs="Palatino Linotype"/>
          <w:b/>
          <w:sz w:val="22"/>
          <w:szCs w:val="22"/>
        </w:rPr>
        <w:t xml:space="preserve">Recurrente, </w:t>
      </w:r>
      <w:r w:rsidRPr="00A62933">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747BA230"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En este sentido, toda vez que la materia del requerimiento versa sobre los oficios emitidos y recibidos en la presidencia municipal, la solicitud fue atendida por la unidad administrativa que genera, administra y/o posee la información de mérito, siendo esta la Contraloría Municipal, al solicitarse los oficios recibidos en dicha dependencia, se considera que en el presente asunto se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4609F0D1"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Al respecto es de suma importancia recordar que la persona servidora pública habilitada competente, en atención a la solicitud, entregó en versión pública, de los oficios recibidos en el Órgano Interno de Control del 01 al 31 de enero de 2025, que NO sean parte de expedientes que se encuentren en etapa de auditoría, investigación, sustanciación y resolutor; clasificó como información reservada los oficios recibidos en el Órgano Interno de Control del 01 al 31 de enero de 2025, que son parte de expedientes que se encuentran en etapa de auditoría, investigación, sustanciación y resolutor; asimismo, hizo entrega del acta de la Sexcentésima Octava Sesión Extraordinaria del Comité de Transparencia de fecha 20 de mayo de 2025, mediante la cual se aprobó la clasificación parcial y total correspondiente, esto mediante los acuerdos CT/SE/608/09/2025 y CT/SE/608/08/2025, respectivamente.</w:t>
      </w:r>
    </w:p>
    <w:p w14:paraId="066852A1"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En este sentido, debe mencionarse que, de la revisión efectuada por este Organismo Garante, al soporte documental entregado en respuesta se concluyó lo siguiente:</w:t>
      </w:r>
    </w:p>
    <w:p w14:paraId="6B368FA7"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Que los archivos ENERO 2025 CIRCULARES ENVIADAS DELEGACIÓN.pdf y ENERO 2025-CIRCULARES ENVIADAS A LA DELEGACIÓN.pdf, no guardan relación con lo solicitado al contener circulares recibidas por la Contraloría Municipal.</w:t>
      </w:r>
    </w:p>
    <w:p w14:paraId="2731D71B"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Que los oficios contenidos en el archivo CONTRALORÍA.pdf, se entregaron íntegros y completos.</w:t>
      </w:r>
    </w:p>
    <w:p w14:paraId="3E15EDC4"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Que los oficios contenidos en el archivo ENERO 2025- CONVOCATORIAS.pdf, si bien se entregaron integros, en algunos casos no se adjuntaron todas las páginas de cada oficio, por ejemplo, los números 2010A4000/UT/CT/0066-b/2025 y 2010A4000/UT/CT/0001-b/202, localizados en las páginas 2 y 75 del archivo. Lo anterior se afirma así en virtud de que no se adjuntó la página que contiene el nombre y la firma del emisor.</w:t>
      </w:r>
    </w:p>
    <w:p w14:paraId="6A4F5290"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Que oficios contenidos en el archivo ENERO 2025- OFICIOS PARA EL CONTRALOR_redacted.pdf, se entregaron incompletos al no haberse remitido en algunos casos la página que contiene la firma del emisor, asimismo, se hizo entrega de 2 anexos en los cuales se testó el número de empleado.</w:t>
      </w:r>
    </w:p>
    <w:p w14:paraId="001F60C4"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Que en los oficios contenidos en el archivo ENERO 2025-OFICIOS ENVIADOS A LA DELEGACIÓN 1.pdf, se entregaron incompletos al no haberse remitido en algunos casos la página que contiene la firma del emisor, asimismo, se hizo entrega de 1 anexo en el cual se testó el nombre de servidores públicos sancionados con amonestaciones privadas, o fueron inhabilitados de 3 a 12 meses.</w:t>
      </w:r>
    </w:p>
    <w:p w14:paraId="4ECFFBBF"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Respecto a las versiones públicas es de señalar que fueron aprobadas por el Comité de Transparencia mediante el ACUERDO CT/SE/608/09/2025, de la Sexcentésima Octava Sesión Extraordinaria 2025, en donde, con fundamento en el artículo 143 del Ley de Transparencia y Acceso a la Información Pública del Estado de México y Municipios, se argumentó que el nombre y número de empleado, son datos susceptibles que permite que las personas físicas sean identificadas, en tal virtud dicha información debe ser clasificada como confidencial, por contener secciones que consignan datos personales, al formar parte de su esfera íntima, conforme a lo siguiente:</w:t>
      </w:r>
    </w:p>
    <w:p w14:paraId="1BF99F3D"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Nombre</w:t>
      </w:r>
      <w:r w:rsidRPr="00A62933">
        <w:rPr>
          <w:rFonts w:ascii="Palatino Linotype" w:eastAsia="Palatino Linotype" w:hAnsi="Palatino Linotype" w:cs="Palatino Linotype"/>
          <w:i/>
          <w:sz w:val="22"/>
          <w:szCs w:val="22"/>
        </w:rPr>
        <w:t>: Mientras que el nombre, es conceptualizado por el Código Civil del Estado de México, como aquel que se designa a una persona, y que le permite definirse de otro individuo, que se forma con el sustantivo propio y el primer apellido del padre y de la madre, el cual este constituye un dato personal e intransferible. Que en las Resoluciones RRA 1774/18, RRA 1780/18 y RRA 11496/20 emitidas por la INAl señaló que el nombre es uno de los atributos de la personalidad y la manifestación principal del derecho subjetivo a la identidad, toda vez que no se refiere a servidores públicos; en virtud de que hace a una persona física identificada e identificable, y que dar publicidad al mismo vulneraría su ámbito de privacidad. Por lo anterior, es conveniente señalar que el nombre de una persona física es un dato personal, por lo que debe considerarse como un dato confidencial, en términos de los artículos 113 fracción I de la Ley Federal de Transparencia у Acceso a la Información Pública.</w:t>
      </w:r>
    </w:p>
    <w:p w14:paraId="525EA8A6"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Número de empleado</w:t>
      </w:r>
      <w:r w:rsidRPr="00A62933">
        <w:rPr>
          <w:rFonts w:ascii="Palatino Linotype" w:eastAsia="Palatino Linotype" w:hAnsi="Palatino Linotype" w:cs="Palatino Linotype"/>
          <w:i/>
          <w:sz w:val="22"/>
          <w:szCs w:val="22"/>
        </w:rPr>
        <w:t>: El Instituto Nacional de Transparencia, Acceso a la Información y Protección de Datos Personales (INAI) emitió el criterio 3/2014 que a la letra dice:</w:t>
      </w:r>
    </w:p>
    <w:p w14:paraId="1478B8B5"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Número de empleado, o su equivalente, si se integra con datos personales del trabajador o permite acceder a éstos sin necesidad de una contraseña, constituye información confidencial</w:t>
      </w:r>
      <w:r w:rsidRPr="00A62933">
        <w:rPr>
          <w:rFonts w:ascii="Palatino Linotype" w:eastAsia="Palatino Linotype" w:hAnsi="Palatino Linotype" w:cs="Palatino Linotype"/>
          <w:i/>
          <w:sz w:val="22"/>
          <w:szCs w:val="22"/>
        </w:rPr>
        <w:t>.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7652A768"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Como se logra vislumbrar, el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xml:space="preserve"> no acreditó que los datos referidos son susceptibles de ser clasificados como información confidencial, toda vez que, si bien fundó la clasificación en el artículo 143, fracción I de la Ley de la materia local, no señaló las razones o circunstancias especiales que lo llevaron a concluir que el caso particular se ajusta al supuesto previsto por la norma legal invocada como fundamento. </w:t>
      </w:r>
    </w:p>
    <w:p w14:paraId="5BED2EB3"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Lo anterior en virtud de que el  nombre que fue testado corresponde a servidores públicos, dato que por regla general es considerado como información pública, sin embargo, bajo ciertas excepciones también puede considerarse como confidencial, como en el caso concreto que pudiera relacionarse con sanciones por faltas no graves.</w:t>
      </w:r>
    </w:p>
    <w:p w14:paraId="352574DA"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Como sustento a lo anterior es dable señalar que de conformidad con el artículo 92, fracción XXII, de la Ley de Transparencia y Acceso a la Información Pública del Estado de México y Municipios, los sujetos obligados deben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entre ellos, el listado de servidores públicos con sanciones administrativas definitivas, en donde se especifique la causa de sanción y la disposición, como se lee en seguida, </w:t>
      </w:r>
    </w:p>
    <w:p w14:paraId="79009147"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Artículo 92</w:t>
      </w:r>
      <w:r w:rsidRPr="00A62933">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5D258F1"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11AACAAE"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XXII</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El listado de Servidores Públicos con sanciones administrativas definitivas</w:t>
      </w:r>
      <w:r w:rsidRPr="00A62933">
        <w:rPr>
          <w:rFonts w:ascii="Palatino Linotype" w:eastAsia="Palatino Linotype" w:hAnsi="Palatino Linotype" w:cs="Palatino Linotype"/>
          <w:i/>
          <w:sz w:val="22"/>
          <w:szCs w:val="22"/>
        </w:rPr>
        <w:t>, especificando la causa de sanción y la disposición;"</w:t>
      </w:r>
    </w:p>
    <w:p w14:paraId="602E205E" w14:textId="77777777" w:rsidR="00D671CA" w:rsidRPr="00A62933" w:rsidRDefault="00C23F3B">
      <w:pPr>
        <w:spacing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No obstante, </w:t>
      </w:r>
      <w:r w:rsidRPr="00A62933">
        <w:rPr>
          <w:rFonts w:ascii="Palatino Linotype" w:eastAsia="Palatino Linotype" w:hAnsi="Palatino Linotype" w:cs="Palatino Linotype"/>
          <w:b/>
          <w:sz w:val="22"/>
          <w:szCs w:val="22"/>
          <w:u w:val="single"/>
        </w:rPr>
        <w:t>sólo pueden ser dadas a conocer las responsabilidades administrativas</w:t>
      </w:r>
      <w:r w:rsidRPr="00A62933">
        <w:rPr>
          <w:rFonts w:ascii="Palatino Linotype" w:eastAsia="Palatino Linotype" w:hAnsi="Palatino Linotype" w:cs="Palatino Linotype"/>
          <w:sz w:val="22"/>
          <w:szCs w:val="22"/>
        </w:rPr>
        <w:t xml:space="preserve"> </w:t>
      </w:r>
      <w:r w:rsidRPr="00A62933">
        <w:rPr>
          <w:rFonts w:ascii="Palatino Linotype" w:eastAsia="Palatino Linotype" w:hAnsi="Palatino Linotype" w:cs="Palatino Linotype"/>
          <w:b/>
          <w:sz w:val="22"/>
          <w:szCs w:val="22"/>
          <w:u w:val="single"/>
        </w:rPr>
        <w:t>por faltas graves</w:t>
      </w:r>
      <w:r w:rsidRPr="00A62933">
        <w:rPr>
          <w:rFonts w:ascii="Palatino Linotype" w:eastAsia="Palatino Linotype" w:hAnsi="Palatino Linotype" w:cs="Palatino Linotype"/>
          <w:sz w:val="22"/>
          <w:szCs w:val="22"/>
        </w:rPr>
        <w:t xml:space="preserve">. Lo anterior, con motivo de la entrada en vigor de la Ley del Sistema Anticorrupción del Estado de México y Municipios publicada en el periódico oficial "Gaceta del Gobierno" el treinta de mayo de 2017, que establece que </w:t>
      </w:r>
      <w:r w:rsidRPr="00A62933">
        <w:rPr>
          <w:rFonts w:ascii="Palatino Linotype" w:eastAsia="Palatino Linotype" w:hAnsi="Palatino Linotype" w:cs="Palatino Linotype"/>
          <w:b/>
          <w:sz w:val="22"/>
          <w:szCs w:val="22"/>
          <w:u w:val="single"/>
        </w:rPr>
        <w:t>las sanciones no graves no serán públicas</w:t>
      </w:r>
      <w:r w:rsidRPr="00A62933">
        <w:rPr>
          <w:rFonts w:ascii="Palatino Linotype" w:eastAsia="Palatino Linotype" w:hAnsi="Palatino Linotype" w:cs="Palatino Linotype"/>
          <w:sz w:val="22"/>
          <w:szCs w:val="22"/>
        </w:rPr>
        <w:t>, toda vez que dicha información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14:paraId="649CA7F6"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 xml:space="preserve">“Artículo 53. Las sanciones impuestas por faltas administrativas graves serán del conocimiento público </w:t>
      </w:r>
      <w:r w:rsidRPr="00A62933">
        <w:rPr>
          <w:rFonts w:ascii="Palatino Linotype" w:eastAsia="Palatino Linotype" w:hAnsi="Palatino Linotype" w:cs="Palatino Linotype"/>
          <w:b/>
          <w:i/>
          <w:sz w:val="22"/>
          <w:szCs w:val="22"/>
          <w:u w:val="single"/>
        </w:rPr>
        <w:t>cuando éstas contengan impedimentos o inhabilitaciones</w:t>
      </w:r>
      <w:r w:rsidRPr="00A62933">
        <w:rPr>
          <w:rFonts w:ascii="Palatino Linotype" w:eastAsia="Palatino Linotype" w:hAnsi="Palatino Linotype" w:cs="Palatino Linotype"/>
          <w:i/>
          <w:sz w:val="22"/>
          <w:szCs w:val="22"/>
        </w:rPr>
        <w:t xml:space="preserve"> para ser contratados como servidores públicos o como prestadores de servicios o contratistas del sector público, en términos de la Ley de Responsabilidades Administrativas del Estado de México y Municipios.</w:t>
      </w:r>
    </w:p>
    <w:p w14:paraId="68E48532"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Los registros de </w:t>
      </w:r>
      <w:r w:rsidRPr="00A62933">
        <w:rPr>
          <w:rFonts w:ascii="Palatino Linotype" w:eastAsia="Palatino Linotype" w:hAnsi="Palatino Linotype" w:cs="Palatino Linotype"/>
          <w:b/>
          <w:i/>
          <w:sz w:val="22"/>
          <w:szCs w:val="22"/>
          <w:u w:val="single"/>
        </w:rPr>
        <w:t>las sanciones relativas a responsabilidades administrativas no graves, quedarán registradas para efectos de eventual reincidencia, pero no serán públicas.</w:t>
      </w:r>
      <w:r w:rsidRPr="00A62933">
        <w:rPr>
          <w:rFonts w:ascii="Palatino Linotype" w:eastAsia="Palatino Linotype" w:hAnsi="Palatino Linotype" w:cs="Palatino Linotype"/>
          <w:i/>
          <w:sz w:val="22"/>
          <w:szCs w:val="22"/>
        </w:rPr>
        <w:t>”</w:t>
      </w:r>
    </w:p>
    <w:p w14:paraId="21D6C088"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Además de lo anterior, es oportuno mencionar que de conformidad con el articulo 79, del Capitulo Primero de la Ley de Responsabilidades Administrativas del Estado de México y Municipios, los órganos internos de control están facultados para imponer las siguientes sanciones por faltas administrativas no graves.</w:t>
      </w:r>
    </w:p>
    <w:p w14:paraId="46A4F46D" w14:textId="77777777" w:rsidR="00D671CA" w:rsidRPr="00A62933" w:rsidRDefault="00C23F3B">
      <w:pPr>
        <w:spacing w:before="120" w:after="120"/>
        <w:ind w:left="851" w:right="902"/>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sz w:val="22"/>
          <w:szCs w:val="22"/>
        </w:rPr>
        <w:t>“CAPÍTULO PRIMERO</w:t>
      </w:r>
    </w:p>
    <w:p w14:paraId="4141DD54" w14:textId="77777777" w:rsidR="00D671CA" w:rsidRPr="00A62933" w:rsidRDefault="00C23F3B">
      <w:pPr>
        <w:spacing w:before="120" w:after="120"/>
        <w:ind w:left="851" w:right="902"/>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sz w:val="22"/>
          <w:szCs w:val="22"/>
        </w:rPr>
        <w:t xml:space="preserve">DE LAS SANCIONES POR FALTAS ADMINISTRATIVAS </w:t>
      </w:r>
      <w:r w:rsidRPr="00A62933">
        <w:rPr>
          <w:rFonts w:ascii="Palatino Linotype" w:eastAsia="Palatino Linotype" w:hAnsi="Palatino Linotype" w:cs="Palatino Linotype"/>
          <w:b/>
          <w:i/>
          <w:sz w:val="22"/>
          <w:szCs w:val="22"/>
          <w:u w:val="single"/>
        </w:rPr>
        <w:t>NO GRAVES</w:t>
      </w:r>
      <w:r w:rsidRPr="00A62933">
        <w:rPr>
          <w:rFonts w:ascii="Palatino Linotype" w:eastAsia="Palatino Linotype" w:hAnsi="Palatino Linotype" w:cs="Palatino Linotype"/>
          <w:b/>
          <w:i/>
          <w:sz w:val="22"/>
          <w:szCs w:val="22"/>
        </w:rPr>
        <w:t xml:space="preserve"> </w:t>
      </w:r>
    </w:p>
    <w:p w14:paraId="16D4B04B"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Artículo 79</w:t>
      </w:r>
      <w:r w:rsidRPr="00A62933">
        <w:rPr>
          <w:rFonts w:ascii="Palatino Linotype" w:eastAsia="Palatino Linotype" w:hAnsi="Palatino Linotype" w:cs="Palatino Linotype"/>
          <w:i/>
          <w:sz w:val="22"/>
          <w:szCs w:val="22"/>
        </w:rPr>
        <w:t xml:space="preserve">. En los casos de responsabilidades administrativas distintas a las que son competencia del Tribunal de Justicia Administrativa, la Secretaría de la Contraloría o los órganos internos de control impondrán las sanciones administrativas siguientes: </w:t>
      </w:r>
    </w:p>
    <w:p w14:paraId="787BD960"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u w:val="single"/>
        </w:rPr>
        <w:t>Amonestación pública o privada</w:t>
      </w:r>
      <w:r w:rsidRPr="00A62933">
        <w:rPr>
          <w:rFonts w:ascii="Palatino Linotype" w:eastAsia="Palatino Linotype" w:hAnsi="Palatino Linotype" w:cs="Palatino Linotype"/>
          <w:i/>
          <w:sz w:val="22"/>
          <w:szCs w:val="22"/>
        </w:rPr>
        <w:t xml:space="preserve">. </w:t>
      </w:r>
    </w:p>
    <w:p w14:paraId="424F378E"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w:t>
      </w:r>
      <w:r w:rsidRPr="00A62933">
        <w:rPr>
          <w:rFonts w:ascii="Palatino Linotype" w:eastAsia="Palatino Linotype" w:hAnsi="Palatino Linotype" w:cs="Palatino Linotype"/>
          <w:i/>
          <w:sz w:val="22"/>
          <w:szCs w:val="22"/>
        </w:rPr>
        <w:t xml:space="preserve">. Suspensión del empleo, cargo o comisión, sin goce de sueldo por un periodo no menor de un día ni mayor a treinta días naturales. </w:t>
      </w:r>
    </w:p>
    <w:p w14:paraId="741309D7"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III.</w:t>
      </w:r>
      <w:r w:rsidRPr="00A62933">
        <w:rPr>
          <w:rFonts w:ascii="Palatino Linotype" w:eastAsia="Palatino Linotype" w:hAnsi="Palatino Linotype" w:cs="Palatino Linotype"/>
          <w:i/>
          <w:sz w:val="22"/>
          <w:szCs w:val="22"/>
        </w:rPr>
        <w:t xml:space="preserve"> Destitución de su empleo, cargo o comisión.</w:t>
      </w:r>
    </w:p>
    <w:p w14:paraId="196D7358"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u w:val="single"/>
        </w:rPr>
      </w:pPr>
      <w:r w:rsidRPr="00A62933">
        <w:rPr>
          <w:rFonts w:ascii="Palatino Linotype" w:eastAsia="Palatino Linotype" w:hAnsi="Palatino Linotype" w:cs="Palatino Linotype"/>
          <w:b/>
          <w:i/>
          <w:sz w:val="22"/>
          <w:szCs w:val="22"/>
        </w:rPr>
        <w:t xml:space="preserve">IV. </w:t>
      </w:r>
      <w:r w:rsidRPr="00A62933">
        <w:rPr>
          <w:rFonts w:ascii="Palatino Linotype" w:eastAsia="Palatino Linotype" w:hAnsi="Palatino Linotype" w:cs="Palatino Linotype"/>
          <w:b/>
          <w:i/>
          <w:sz w:val="22"/>
          <w:szCs w:val="22"/>
          <w:u w:val="single"/>
        </w:rPr>
        <w:t>Inhabilitación temporal</w:t>
      </w:r>
      <w:r w:rsidRPr="00A62933">
        <w:rPr>
          <w:rFonts w:ascii="Palatino Linotype" w:eastAsia="Palatino Linotype" w:hAnsi="Palatino Linotype" w:cs="Palatino Linotype"/>
          <w:b/>
          <w:i/>
          <w:sz w:val="22"/>
          <w:szCs w:val="22"/>
        </w:rPr>
        <w:t xml:space="preserve"> para desempeñar empleos, cargos o comisiones en el servicio público y para participar en adquisiciones, arrendamientos, servicios u obras públicas, </w:t>
      </w:r>
      <w:r w:rsidRPr="00A62933">
        <w:rPr>
          <w:rFonts w:ascii="Palatino Linotype" w:eastAsia="Palatino Linotype" w:hAnsi="Palatino Linotype" w:cs="Palatino Linotype"/>
          <w:b/>
          <w:i/>
          <w:sz w:val="22"/>
          <w:szCs w:val="22"/>
          <w:u w:val="single"/>
        </w:rPr>
        <w:t>por un período no menor de tres meses ni mayor de un año</w:t>
      </w:r>
      <w:r w:rsidRPr="00A62933">
        <w:rPr>
          <w:rFonts w:ascii="Palatino Linotype" w:eastAsia="Palatino Linotype" w:hAnsi="Palatino Linotype" w:cs="Palatino Linotype"/>
          <w:i/>
          <w:sz w:val="22"/>
          <w:szCs w:val="22"/>
          <w:u w:val="single"/>
        </w:rPr>
        <w:t xml:space="preserve">. </w:t>
      </w:r>
    </w:p>
    <w:p w14:paraId="16EEC2B9"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La Secretaría de la Contraloría y los órganos internos de control podrán imponer una o más de las sanciones administrativas señaladas en este artículo, siempre y cuando sean compatibles entre ellas y de acuerdo a la trascendencia de la falta administrativa no grave.”</w:t>
      </w:r>
    </w:p>
    <w:p w14:paraId="60B0FF2F"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En este entendido, es evidente que en los casos relacionados con procedimientos concluidos instaurados en contra de servidores públicos </w:t>
      </w:r>
      <w:r w:rsidRPr="00A62933">
        <w:rPr>
          <w:rFonts w:ascii="Palatino Linotype" w:eastAsia="Palatino Linotype" w:hAnsi="Palatino Linotype" w:cs="Palatino Linotype"/>
          <w:b/>
          <w:sz w:val="22"/>
          <w:szCs w:val="22"/>
        </w:rPr>
        <w:t xml:space="preserve">por faltas no graves condenatorias, </w:t>
      </w:r>
      <w:r w:rsidRPr="00A62933">
        <w:rPr>
          <w:rFonts w:ascii="Palatino Linotype" w:eastAsia="Palatino Linotype" w:hAnsi="Palatino Linotype" w:cs="Palatino Linotype"/>
          <w:sz w:val="22"/>
          <w:szCs w:val="22"/>
        </w:rPr>
        <w:t xml:space="preserve"> los datos personales de los servidores públicos, incluido su nombre y aquellos datos que les identifiquen o le hagan identificables, como su cargo, deben ser clasificados como información confidencial en términos del artículo 143, fracción I de la Ley de Transparencia y Acceso a la Información Pública del Estado de México y Municipios. </w:t>
      </w:r>
    </w:p>
    <w:p w14:paraId="013A8EF6"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Mientras que en caso del numero de empleado, no se señaló en el acta si este se conformaba por datos personales o permitía el acceso a los mismos, como por ejemplo la clave CURP de los servidores públicos, en cuyo caso se actualizaría el supuesto previsto en el artículo 143, fracción I de la Ley de Transparencia y Acceso a la Información Pública del Estado de México y Municipios. </w:t>
      </w:r>
    </w:p>
    <w:p w14:paraId="3E8B2186"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Ahora bien, en lo que respecta a los </w:t>
      </w:r>
      <w:r w:rsidRPr="00A62933">
        <w:rPr>
          <w:rFonts w:ascii="Palatino Linotype" w:eastAsia="Palatino Linotype" w:hAnsi="Palatino Linotype" w:cs="Palatino Linotype"/>
          <w:b/>
          <w:sz w:val="22"/>
          <w:szCs w:val="22"/>
        </w:rPr>
        <w:t>oficios que fueron clasificados como reservados en su totalidad, al ser parte de expedientes que se encuentran en etapa de auditoría, investigación, sustanciación y resolución,</w:t>
      </w:r>
      <w:r w:rsidRPr="00A62933">
        <w:rPr>
          <w:rFonts w:ascii="Palatino Linotype" w:eastAsia="Palatino Linotype" w:hAnsi="Palatino Linotype" w:cs="Palatino Linotype"/>
          <w:sz w:val="22"/>
          <w:szCs w:val="22"/>
        </w:rPr>
        <w:t xml:space="preserve"> 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como se desprende del artículo 91 de la Ley de la Materia que es del tenor literal siguiente:</w:t>
      </w:r>
    </w:p>
    <w:p w14:paraId="7A91E752" w14:textId="77777777" w:rsidR="00D671CA" w:rsidRPr="00A62933" w:rsidRDefault="00C23F3B">
      <w:pPr>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 xml:space="preserve">“Artículo 91. </w:t>
      </w:r>
      <w:r w:rsidRPr="00A6293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A6431B2"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Es importante mencionar que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00D34BB7"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La Ley de Transparencia y Acceso a la Información Pública del Estado de México y Municipios, define como </w:t>
      </w:r>
      <w:r w:rsidRPr="00A62933">
        <w:rPr>
          <w:rFonts w:ascii="Palatino Linotype" w:eastAsia="Palatino Linotype" w:hAnsi="Palatino Linotype" w:cs="Palatino Linotype"/>
          <w:b/>
          <w:sz w:val="22"/>
          <w:szCs w:val="22"/>
        </w:rPr>
        <w:t xml:space="preserve">información reservada </w:t>
      </w:r>
      <w:r w:rsidRPr="00A62933">
        <w:rPr>
          <w:rFonts w:ascii="Palatino Linotype" w:eastAsia="Palatino Linotype" w:hAnsi="Palatino Linotype" w:cs="Palatino Linotype"/>
          <w:sz w:val="22"/>
          <w:szCs w:val="22"/>
        </w:rPr>
        <w:t xml:space="preserve">a la información pública clasificada con este carácter de manera temporal por las disposiciones de la Ley de la Materia, cuya divulgación puede causar daños a las  seguridad pública, y como </w:t>
      </w:r>
      <w:r w:rsidRPr="00A62933">
        <w:rPr>
          <w:rFonts w:ascii="Palatino Linotype" w:eastAsia="Palatino Linotype" w:hAnsi="Palatino Linotype" w:cs="Palatino Linotype"/>
          <w:b/>
          <w:sz w:val="22"/>
          <w:szCs w:val="22"/>
        </w:rPr>
        <w:t>información confidencial</w:t>
      </w:r>
      <w:r w:rsidRPr="00A62933">
        <w:rPr>
          <w:rFonts w:ascii="Palatino Linotype" w:eastAsia="Palatino Linotype" w:hAnsi="Palatino Linotype" w:cs="Palatino Linotype"/>
          <w:sz w:val="22"/>
          <w:szCs w:val="22"/>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w:t>
      </w:r>
    </w:p>
    <w:p w14:paraId="450C5AFC" w14:textId="77777777" w:rsidR="00D671CA" w:rsidRPr="00A62933" w:rsidRDefault="00C23F3B">
      <w:pPr>
        <w:spacing w:before="240" w:after="240" w:line="360" w:lineRule="auto"/>
        <w:ind w:right="13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En relación con las implicaciones anteriores, cabe considerar que los titulares de las áreas son los responsables de clasificar la información mediante el Comité de Transparencia por ser la autoridad máxima al interior de los Sujetos Obligados, al ser éste un Cuerpo Colegiado que se integra para resolver sobre la información que debe clasificarse, así como para atender y resolver los requerimientos de las Unidades de Transparencia y del Instituto.</w:t>
      </w:r>
    </w:p>
    <w:p w14:paraId="060B5589" w14:textId="77777777" w:rsidR="00D671CA" w:rsidRPr="00A62933" w:rsidRDefault="00C23F3B">
      <w:pPr>
        <w:spacing w:before="240" w:after="240" w:line="360" w:lineRule="auto"/>
        <w:ind w:right="139"/>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 xml:space="preserve">La misma norma referida, considera en su artículo 140, fracción VIII, que el acceso a la información pública será restringido excepcionalmente por razones de interés público, cuando ésta sea clasificada </w:t>
      </w:r>
      <w:r w:rsidRPr="00A62933">
        <w:rPr>
          <w:rFonts w:ascii="Palatino Linotype" w:eastAsia="Palatino Linotype" w:hAnsi="Palatino Linotype" w:cs="Palatino Linotype"/>
          <w:b/>
          <w:sz w:val="22"/>
          <w:szCs w:val="22"/>
        </w:rPr>
        <w:t>como reservada porque</w:t>
      </w:r>
      <w:r w:rsidRPr="00A62933">
        <w:rPr>
          <w:sz w:val="22"/>
          <w:szCs w:val="22"/>
        </w:rPr>
        <w:t xml:space="preserve"> </w:t>
      </w:r>
      <w:r w:rsidRPr="00A62933">
        <w:rPr>
          <w:rFonts w:ascii="Palatino Linotype" w:eastAsia="Palatino Linotype" w:hAnsi="Palatino Linotype" w:cs="Palatino Linotype"/>
          <w:b/>
          <w:sz w:val="22"/>
          <w:szCs w:val="22"/>
        </w:rPr>
        <w:t>vulnere la conducción de los expedientes judiciales o de los procedimientos administrativos seguidos en forma de juicio, en tanto no hayan quedado firmes.</w:t>
      </w:r>
    </w:p>
    <w:p w14:paraId="7BDD1B7E" w14:textId="77777777" w:rsidR="00D671CA" w:rsidRPr="00A62933" w:rsidRDefault="00C23F3B">
      <w:pPr>
        <w:spacing w:before="240" w:after="240" w:line="360" w:lineRule="auto"/>
        <w:ind w:right="13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Asimismo, la Ley de la Materia establece que la clasificación de la información como reservada permanecerá con tal carácter hasta por un periodo de cinco años contados a partir de su clasificación, salvo que antes de su cumplimiento dejaran de existir los motivos de su reserva, pero excepcionalmente y con aprobación del Comité de Transparencia los Sujetos Obligados podrán ampliar el periodo de reserva hasta por un periodo de cinco años adicionales, por una sola vez, siempre y cuando justifiquen que subsistente las causas que dieron origen a su clasificación.</w:t>
      </w:r>
    </w:p>
    <w:p w14:paraId="6C74AFD9" w14:textId="77777777" w:rsidR="00D671CA" w:rsidRPr="00A62933" w:rsidRDefault="00C23F3B">
      <w:pPr>
        <w:spacing w:before="240" w:after="240" w:line="360" w:lineRule="auto"/>
        <w:ind w:right="13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Ahora bien, para motivar la clasificación de la información o en su caso, la ampliación del plazo de reserva, se deberán señalar las razones, motivos o circunstancias especiales que llevaron al Sujeto Obligado a concluir que el caso particular se ajusta a los supuestos previstos en el artículo 140 de la Ley de Transparencia en la entidad, debiendo en todo momento aplicar la prueba de daño y hacer mención del plazo al que estará sujeto la reserva.</w:t>
      </w:r>
    </w:p>
    <w:p w14:paraId="538B1A6E"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Los Sujetos Obligados no podrán emitir acuerdos de carácter general ni particular que clasifiquen documentos o información como reservada, ya que dicha clasificación, ya sea parcial o total, debe estar acorde con la actualización de los supuestos definidos en la ley de la materia, resaltándose que se debe realizar conforme a un análisis caso por caso, mediante la aplicación de la enunciada prueba de daño.</w:t>
      </w:r>
    </w:p>
    <w:p w14:paraId="1A81DEE1"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En tal contexto, en términos generales, las Leyes de la materia disponen que, para proceder a realizar la reserva de la información, no basta que se refiera a alguno de los supuestos que enmarque la Ley, sino que es necesario que la autoridad demuestre que la divulgación de la información, puede afectar, poner en riesgo o dañar el interés público protegido, mediante elementos objetivos que evalúen si existe un riego actual e inminente, siguiendo los parámetros exigidos de conformidad con lo establecido en el artículo 112 de la Ley General de Transparencia y Acceso a la Información Pública, los artículos 91, 128, 129, 140 y 141, de la Ley de Transparencia y Acceso a la Información Pública del Estado de México y Municipios, y los Capítulos II y V de los Lineamientos Generales de Clasificación y Desclasificación de la Información, así como para la Elaboración de Versiones Públicas.</w:t>
      </w:r>
    </w:p>
    <w:p w14:paraId="03502D51"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Corolario a lo anterior, es de precisar que la clasificación de la información no se da por el simple mandato de la Ley, sino que es necesario que los Sujetos Obligados</w:t>
      </w:r>
      <w:r w:rsidRPr="00A62933">
        <w:rPr>
          <w:rFonts w:ascii="Palatino Linotype" w:eastAsia="Palatino Linotype" w:hAnsi="Palatino Linotype" w:cs="Palatino Linotype"/>
          <w:b/>
          <w:sz w:val="22"/>
          <w:szCs w:val="22"/>
        </w:rPr>
        <w:t>,</w:t>
      </w:r>
      <w:r w:rsidRPr="00A62933">
        <w:rPr>
          <w:rFonts w:ascii="Palatino Linotype" w:eastAsia="Palatino Linotype" w:hAnsi="Palatino Linotype" w:cs="Palatino Linotype"/>
          <w:sz w:val="22"/>
          <w:szCs w:val="22"/>
        </w:rPr>
        <w:t xml:space="preserve">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de así resultar procedente el proyecto de clasificación de la información se presente ante al Comité de Transparencia, y que finalmente, sea este último quien apruebe, modifique o revoque la misma, como se desprende de los artículos 49 fracciones II y VIII, 53 fracción X, y 59 fracción V, de la Ley de Transparencia y Acceso a la Información Pública del Estado de México y Municipios.</w:t>
      </w:r>
    </w:p>
    <w:p w14:paraId="35E72C28"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En el caso particular, 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remitió el Acta de la Sexcentésima Octava Sesión Extraordinaria del Comité de Transparencia, por medio de la cual, como punto diez del orden del día, se aprobó el ACUERDO CT/SE/608/08/2025 relativo a la clasificación oficios recibidos en el Órgano Interno de Control del 01 al 31 de enero de 2025, bajo el argumento de que son parte de expedientes que se encuentran en etapa de auditoría, investigación, sustanciación y resolución, con fundamento en lo establecido en el articulo 140, fracción VIII de la Ley de la Materia local.</w:t>
      </w:r>
    </w:p>
    <w:p w14:paraId="0095C910"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Sin embargo, derivado del análisis efectuado por este Organismo Garante se advirtió que dicho acuerdo, además de que no cumple con las formalidades que establece el  lineamiento Trigésimo Tercero, de los Lineamientos Generales en Materia de Clasificación y Desclasificación de la Información, que dispone lo siguiente:</w:t>
      </w:r>
    </w:p>
    <w:p w14:paraId="0D4F1CB8" w14:textId="77777777" w:rsidR="00D671CA" w:rsidRPr="00A62933" w:rsidRDefault="00C23F3B">
      <w:pPr>
        <w:spacing w:before="120" w:after="120"/>
        <w:ind w:left="851" w:right="758"/>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Trigésimo tercero</w:t>
      </w:r>
      <w:r w:rsidRPr="00A62933">
        <w:rPr>
          <w:rFonts w:ascii="Palatino Linotype" w:eastAsia="Palatino Linotype" w:hAnsi="Palatino Linotype" w:cs="Palatino Linotype"/>
          <w:i/>
          <w:sz w:val="22"/>
          <w:szCs w:val="22"/>
        </w:rPr>
        <w:t>. Para la aplicación de la prueba de daño a la que hace referencia el artículo 104 de la Ley General, los sujetos obligados atenderán lo siguiente:</w:t>
      </w:r>
    </w:p>
    <w:p w14:paraId="2F0D7146" w14:textId="77777777" w:rsidR="00D671CA" w:rsidRPr="00A62933" w:rsidRDefault="00C23F3B">
      <w:pPr>
        <w:tabs>
          <w:tab w:val="left" w:pos="1701"/>
        </w:tabs>
        <w:spacing w:before="120" w:after="120"/>
        <w:ind w:left="851" w:right="760"/>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sz w:val="22"/>
          <w:szCs w:val="22"/>
        </w:rPr>
        <w:t xml:space="preserve">I. </w:t>
      </w:r>
      <w:r w:rsidRPr="00A62933">
        <w:rPr>
          <w:rFonts w:ascii="Palatino Linotype" w:eastAsia="Palatino Linotype" w:hAnsi="Palatino Linotype" w:cs="Palatino Linotype"/>
          <w:i/>
          <w:sz w:val="22"/>
          <w:szCs w:val="22"/>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31BF52C6" w14:textId="77777777" w:rsidR="00D671CA" w:rsidRPr="00A62933" w:rsidRDefault="00C23F3B">
      <w:pPr>
        <w:tabs>
          <w:tab w:val="left" w:pos="1701"/>
        </w:tabs>
        <w:spacing w:before="120" w:after="120"/>
        <w:ind w:left="851" w:right="76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w:t>
      </w:r>
      <w:r w:rsidRPr="00A62933">
        <w:rPr>
          <w:rFonts w:ascii="Palatino Linotype" w:eastAsia="Palatino Linotype" w:hAnsi="Palatino Linotype" w:cs="Palatino Linotype"/>
          <w:i/>
          <w:sz w:val="22"/>
          <w:szCs w:val="22"/>
        </w:rPr>
        <w:t>. Se deberá motivar la clasificación, señalando las circunstancias de modo, tiempo y lugar que acrediten el vínculo entre la difusión de la información y la afectación al interés público o a la seguridad nacional;</w:t>
      </w:r>
    </w:p>
    <w:p w14:paraId="13D74AF0" w14:textId="77777777" w:rsidR="00D671CA" w:rsidRPr="00A62933" w:rsidRDefault="00C23F3B">
      <w:pPr>
        <w:tabs>
          <w:tab w:val="left" w:pos="1701"/>
        </w:tabs>
        <w:spacing w:before="120" w:after="120"/>
        <w:ind w:left="851" w:right="76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III.</w:t>
      </w:r>
      <w:r w:rsidRPr="00A62933">
        <w:rPr>
          <w:rFonts w:ascii="Palatino Linotype" w:eastAsia="Palatino Linotype" w:hAnsi="Palatino Linotype" w:cs="Palatino Linotype"/>
          <w:i/>
          <w:sz w:val="22"/>
          <w:szCs w:val="22"/>
        </w:rPr>
        <w:t xml:space="preserve"> Se deberán precisar las razones objetivas por las que la apertura de la información generaría un riesgo de perjuicio real, demostrable e identificable al interés jurídico tutelado de que se trate;</w:t>
      </w:r>
    </w:p>
    <w:p w14:paraId="4562A294" w14:textId="77777777" w:rsidR="00D671CA" w:rsidRPr="00A62933" w:rsidRDefault="00C23F3B">
      <w:pPr>
        <w:tabs>
          <w:tab w:val="left" w:pos="1701"/>
        </w:tabs>
        <w:spacing w:before="120" w:after="120"/>
        <w:ind w:left="851" w:right="760"/>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sz w:val="22"/>
          <w:szCs w:val="22"/>
        </w:rPr>
        <w:t>IV.</w:t>
      </w:r>
      <w:r w:rsidRPr="00A62933">
        <w:rPr>
          <w:rFonts w:ascii="Palatino Linotype" w:eastAsia="Palatino Linotype" w:hAnsi="Palatino Linotype" w:cs="Palatino Linotype"/>
          <w:i/>
          <w:sz w:val="22"/>
          <w:szCs w:val="22"/>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A62933">
        <w:rPr>
          <w:rFonts w:ascii="Palatino Linotype" w:eastAsia="Palatino Linotype" w:hAnsi="Palatino Linotype" w:cs="Palatino Linotype"/>
          <w:b/>
          <w:i/>
          <w:sz w:val="22"/>
          <w:szCs w:val="22"/>
        </w:rPr>
        <w:t xml:space="preserve"> </w:t>
      </w:r>
    </w:p>
    <w:p w14:paraId="7403F199" w14:textId="77777777" w:rsidR="00D671CA" w:rsidRPr="00A62933" w:rsidRDefault="00C23F3B">
      <w:pPr>
        <w:tabs>
          <w:tab w:val="left" w:pos="1701"/>
        </w:tabs>
        <w:spacing w:before="120" w:after="120"/>
        <w:ind w:left="851" w:right="760"/>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sz w:val="22"/>
          <w:szCs w:val="22"/>
        </w:rPr>
        <w:t>V</w:t>
      </w:r>
      <w:r w:rsidRPr="00A62933">
        <w:rPr>
          <w:rFonts w:ascii="Palatino Linotype" w:eastAsia="Palatino Linotype" w:hAnsi="Palatino Linotype" w:cs="Palatino Linotype"/>
          <w:i/>
          <w:sz w:val="22"/>
          <w:szCs w:val="22"/>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A62933">
        <w:rPr>
          <w:rFonts w:ascii="Palatino Linotype" w:eastAsia="Palatino Linotype" w:hAnsi="Palatino Linotype" w:cs="Palatino Linotype"/>
          <w:b/>
          <w:i/>
          <w:sz w:val="22"/>
          <w:szCs w:val="22"/>
        </w:rPr>
        <w:t xml:space="preserve"> </w:t>
      </w:r>
    </w:p>
    <w:p w14:paraId="56587D68" w14:textId="77777777" w:rsidR="00D671CA" w:rsidRPr="00A62933" w:rsidRDefault="00C23F3B">
      <w:pPr>
        <w:tabs>
          <w:tab w:val="left" w:pos="1701"/>
        </w:tabs>
        <w:spacing w:before="120" w:after="120"/>
        <w:ind w:left="851" w:right="76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VI</w:t>
      </w:r>
      <w:r w:rsidRPr="00A62933">
        <w:rPr>
          <w:rFonts w:ascii="Palatino Linotype" w:eastAsia="Palatino Linotype" w:hAnsi="Palatino Linotype" w:cs="Palatino Linotype"/>
          <w:i/>
          <w:sz w:val="22"/>
          <w:szCs w:val="22"/>
        </w:rPr>
        <w:t>.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1BCFDE51"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No justificó de forma fundada y motivada la restricción al Derecho de acceso a la información, toda vez que se limitó a referir que los oficios que pretendió clasificar son parte de expedientes en etapa de auditoría, investigación, sustanciación y resolución, sin acreditar el cumplimiento de los elementos que prevé el lineamiento Vigésimo cuarto de los Lineamientos Generales en materia de clasificación, a saber:</w:t>
      </w:r>
    </w:p>
    <w:p w14:paraId="1090939C"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“Vigésimo cuarto</w:t>
      </w:r>
      <w:r w:rsidRPr="00A62933">
        <w:rPr>
          <w:rFonts w:ascii="Palatino Linotype" w:eastAsia="Palatino Linotype" w:hAnsi="Palatino Linotype" w:cs="Palatino Linotype"/>
          <w:i/>
          <w:sz w:val="22"/>
          <w:szCs w:val="22"/>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14:paraId="157B7468"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w:t>
      </w:r>
      <w:r w:rsidRPr="00A62933">
        <w:rPr>
          <w:rFonts w:ascii="Palatino Linotype" w:eastAsia="Palatino Linotype" w:hAnsi="Palatino Linotype" w:cs="Palatino Linotype"/>
          <w:i/>
          <w:sz w:val="22"/>
          <w:szCs w:val="22"/>
        </w:rPr>
        <w:t xml:space="preserve"> La existencia de un procedimiento de verificación del cumplimiento de las leyes; </w:t>
      </w:r>
    </w:p>
    <w:p w14:paraId="3C2D7E1E"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w:t>
      </w:r>
      <w:r w:rsidRPr="00A62933">
        <w:rPr>
          <w:rFonts w:ascii="Palatino Linotype" w:eastAsia="Palatino Linotype" w:hAnsi="Palatino Linotype" w:cs="Palatino Linotype"/>
          <w:i/>
          <w:sz w:val="22"/>
          <w:szCs w:val="22"/>
        </w:rPr>
        <w:t xml:space="preserve">. Que el procedimiento se encuentre en trámite; </w:t>
      </w:r>
    </w:p>
    <w:p w14:paraId="384C118D"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III</w:t>
      </w:r>
      <w:r w:rsidRPr="00A62933">
        <w:rPr>
          <w:rFonts w:ascii="Palatino Linotype" w:eastAsia="Palatino Linotype" w:hAnsi="Palatino Linotype" w:cs="Palatino Linotype"/>
          <w:i/>
          <w:sz w:val="22"/>
          <w:szCs w:val="22"/>
        </w:rPr>
        <w:t xml:space="preserve">. La vinculación directa con las actividades que realiza la autoridad en el procedimiento de verificación del cumplimiento de las leyes, y </w:t>
      </w:r>
    </w:p>
    <w:p w14:paraId="594A2118"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IV</w:t>
      </w:r>
      <w:r w:rsidRPr="00A62933">
        <w:rPr>
          <w:rFonts w:ascii="Palatino Linotype" w:eastAsia="Palatino Linotype" w:hAnsi="Palatino Linotype" w:cs="Palatino Linotype"/>
          <w:i/>
          <w:sz w:val="22"/>
          <w:szCs w:val="22"/>
        </w:rPr>
        <w:t>. Que la difusión de la información impida u obstaculice las actividades de inspección, supervisión o vigilancia que realicen las autoridades en el procedimiento de verificación del cumplimiento de las leyes.”</w:t>
      </w:r>
    </w:p>
    <w:p w14:paraId="0BE46B84"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En este tenor, no se acreditó la existencia de un procedimiento o procedimientos de verificación, así como tampoco se refirió que este o estos se encontraban en trámite, ni se acreditó que los oficios se vinculaban directamente con las actividades que realiza la  autoridad en el procedimiento de verificación, y por último, que la difusión de la información impida u obstaculice las actividades de inspección, supervisión o vigilancia que realicen las autoridades en el procedimiento de verificación.</w:t>
      </w:r>
    </w:p>
    <w:p w14:paraId="54FD599B"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De igual forma, no se advierte en el acuerdo la referencia al o los oficios que fueron clasificados como reservados, sin tener certeza de cuáles y cuantos se clasificaron.</w:t>
      </w:r>
    </w:p>
    <w:p w14:paraId="1663610F"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Y, por último, y no menos importante, no debe perderse de vista el contenido del artículo 142, fracción IV, de la Ley de Transparencia y Acceso a la Información Pública del Estado de México y Municipios, que es del tenor literal siguiente: </w:t>
      </w:r>
    </w:p>
    <w:p w14:paraId="7D8F3671" w14:textId="77777777" w:rsidR="00D671CA" w:rsidRPr="00A62933" w:rsidRDefault="00C23F3B">
      <w:pPr>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“Artículo 142.</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 xml:space="preserve">Bajo ninguna circunstancia podrá invocarse el carácter de reservado </w:t>
      </w:r>
      <w:r w:rsidRPr="00A62933">
        <w:rPr>
          <w:rFonts w:ascii="Palatino Linotype" w:eastAsia="Palatino Linotype" w:hAnsi="Palatino Linotype" w:cs="Palatino Linotype"/>
          <w:i/>
          <w:sz w:val="22"/>
          <w:szCs w:val="22"/>
        </w:rPr>
        <w:t xml:space="preserve">cuando: </w:t>
      </w:r>
    </w:p>
    <w:p w14:paraId="7A287D84" w14:textId="77777777" w:rsidR="00D671CA" w:rsidRPr="00A62933" w:rsidRDefault="00C23F3B">
      <w:pPr>
        <w:tabs>
          <w:tab w:val="left" w:pos="1134"/>
        </w:tabs>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w:t>
      </w:r>
      <w:r w:rsidRPr="00A62933">
        <w:rPr>
          <w:rFonts w:ascii="Palatino Linotype" w:eastAsia="Palatino Linotype" w:hAnsi="Palatino Linotype" w:cs="Palatino Linotype"/>
          <w:i/>
          <w:sz w:val="22"/>
          <w:szCs w:val="22"/>
        </w:rPr>
        <w:t xml:space="preserve"> Se trate de </w:t>
      </w:r>
      <w:r w:rsidRPr="00A62933">
        <w:rPr>
          <w:rFonts w:ascii="Palatino Linotype" w:eastAsia="Palatino Linotype" w:hAnsi="Palatino Linotype" w:cs="Palatino Linotype"/>
          <w:b/>
          <w:i/>
          <w:sz w:val="22"/>
          <w:szCs w:val="22"/>
        </w:rPr>
        <w:t>violaciones graves de derechos humanos</w:t>
      </w:r>
      <w:r w:rsidRPr="00A62933">
        <w:rPr>
          <w:rFonts w:ascii="Palatino Linotype" w:eastAsia="Palatino Linotype" w:hAnsi="Palatino Linotype" w:cs="Palatino Linotype"/>
          <w:i/>
          <w:sz w:val="22"/>
          <w:szCs w:val="22"/>
        </w:rPr>
        <w:t xml:space="preserve">, calificada así por autoridad competente; </w:t>
      </w:r>
    </w:p>
    <w:p w14:paraId="7E642384" w14:textId="77777777" w:rsidR="00D671CA" w:rsidRPr="00A62933" w:rsidRDefault="00C23F3B">
      <w:pPr>
        <w:tabs>
          <w:tab w:val="left" w:pos="1134"/>
        </w:tabs>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w:t>
      </w:r>
      <w:r w:rsidRPr="00A62933">
        <w:rPr>
          <w:rFonts w:ascii="Palatino Linotype" w:eastAsia="Palatino Linotype" w:hAnsi="Palatino Linotype" w:cs="Palatino Linotype"/>
          <w:i/>
          <w:sz w:val="22"/>
          <w:szCs w:val="22"/>
        </w:rPr>
        <w:t xml:space="preserve"> Se trate de la </w:t>
      </w:r>
      <w:r w:rsidRPr="00A62933">
        <w:rPr>
          <w:rFonts w:ascii="Palatino Linotype" w:eastAsia="Palatino Linotype" w:hAnsi="Palatino Linotype" w:cs="Palatino Linotype"/>
          <w:b/>
          <w:i/>
          <w:sz w:val="22"/>
          <w:szCs w:val="22"/>
        </w:rPr>
        <w:t>investigación de posibles violaciones graves de derechos humanos</w:t>
      </w:r>
      <w:r w:rsidRPr="00A62933">
        <w:rPr>
          <w:rFonts w:ascii="Palatino Linotype" w:eastAsia="Palatino Linotype" w:hAnsi="Palatino Linotype" w:cs="Palatino Linotype"/>
          <w:i/>
          <w:sz w:val="22"/>
          <w:szCs w:val="22"/>
        </w:rPr>
        <w:t xml:space="preserve"> aun cuando no exista pronunciamiento previo de autoridad competente, cuando se determine, a partir de criterios cuantitativos y cualitativos la trascendencia social de las violaciones; </w:t>
      </w:r>
    </w:p>
    <w:p w14:paraId="62B374D0" w14:textId="77777777" w:rsidR="00D671CA" w:rsidRPr="00A62933" w:rsidRDefault="00C23F3B">
      <w:pPr>
        <w:tabs>
          <w:tab w:val="left" w:pos="1134"/>
        </w:tabs>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III.</w:t>
      </w:r>
      <w:r w:rsidRPr="00A62933">
        <w:rPr>
          <w:rFonts w:ascii="Palatino Linotype" w:eastAsia="Palatino Linotype" w:hAnsi="Palatino Linotype" w:cs="Palatino Linotype"/>
          <w:i/>
          <w:sz w:val="22"/>
          <w:szCs w:val="22"/>
        </w:rPr>
        <w:t xml:space="preserve"> Se trate de </w:t>
      </w:r>
      <w:r w:rsidRPr="00A62933">
        <w:rPr>
          <w:rFonts w:ascii="Palatino Linotype" w:eastAsia="Palatino Linotype" w:hAnsi="Palatino Linotype" w:cs="Palatino Linotype"/>
          <w:b/>
          <w:i/>
          <w:sz w:val="22"/>
          <w:szCs w:val="22"/>
        </w:rPr>
        <w:t>delitos de lesa humanidad</w:t>
      </w:r>
      <w:r w:rsidRPr="00A62933">
        <w:rPr>
          <w:rFonts w:ascii="Palatino Linotype" w:eastAsia="Palatino Linotype" w:hAnsi="Palatino Linotype" w:cs="Palatino Linotype"/>
          <w:i/>
          <w:sz w:val="22"/>
          <w:szCs w:val="22"/>
        </w:rPr>
        <w:t xml:space="preserve"> conforme a los tratados ratificados por el Senado de la República, las resoluciones emitidas por organismos internacionales cuya competencia sea reconocida por el Estado Mexicano, así como en las disposiciones jurídicas aplicables; y </w:t>
      </w:r>
    </w:p>
    <w:p w14:paraId="19954521" w14:textId="77777777" w:rsidR="00D671CA" w:rsidRPr="00A62933" w:rsidRDefault="00C23F3B">
      <w:pPr>
        <w:tabs>
          <w:tab w:val="left" w:pos="1134"/>
        </w:tabs>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IV</w:t>
      </w:r>
      <w:r w:rsidRPr="00A62933">
        <w:rPr>
          <w:rFonts w:ascii="Palatino Linotype" w:eastAsia="Palatino Linotype" w:hAnsi="Palatino Linotype" w:cs="Palatino Linotype"/>
          <w:i/>
          <w:sz w:val="22"/>
          <w:szCs w:val="22"/>
        </w:rPr>
        <w:t xml:space="preserve">. Se trate de </w:t>
      </w:r>
      <w:r w:rsidRPr="00A62933">
        <w:rPr>
          <w:rFonts w:ascii="Palatino Linotype" w:eastAsia="Palatino Linotype" w:hAnsi="Palatino Linotype" w:cs="Palatino Linotype"/>
          <w:b/>
          <w:i/>
          <w:sz w:val="22"/>
          <w:szCs w:val="22"/>
        </w:rPr>
        <w:t>información relacionada con actos de corrupción</w:t>
      </w:r>
      <w:r w:rsidRPr="00A62933">
        <w:rPr>
          <w:rFonts w:ascii="Palatino Linotype" w:eastAsia="Palatino Linotype" w:hAnsi="Palatino Linotype" w:cs="Palatino Linotype"/>
          <w:i/>
          <w:sz w:val="22"/>
          <w:szCs w:val="22"/>
        </w:rPr>
        <w:t xml:space="preserve"> de conformidad con las disposiciones jurídicas aplicables.”</w:t>
      </w:r>
    </w:p>
    <w:p w14:paraId="0E89B63E"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Del precepto citado se desprende que aquella información que se relacione con violaciones graves a derechos humanos, delitos de lesa humanidad o actos de corrupción, no puede actualizar alguno de los supuestos de clasificación como información reservada establecidos en el artículo 140 de la Ley de Transparencia y Acceso a la Información Pública del Estado de México y Municipios.</w:t>
      </w:r>
    </w:p>
    <w:p w14:paraId="5421254A"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Dicho lo anterior, cobra relevancia señalar que México ha participado, firmado y ratificado tres convenciones internacionales de combate contra la corrupción, a saber: la Convención Interamericana contra la Corrupción (OEA 1997), la Convención para Combatir el Cohecho de Servidores Públicos en Transacciones Comerciales Internacionales (OCDE 1999) y la Convención de las Naciones Unidas contra la Corrupción (ONU 2004).</w:t>
      </w:r>
    </w:p>
    <w:p w14:paraId="16A06DA3"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En ese sentido, la Convención Interamericana contra la Corrupción, señala que </w:t>
      </w:r>
      <w:r w:rsidRPr="00A62933">
        <w:rPr>
          <w:rFonts w:ascii="Palatino Linotype" w:eastAsia="Palatino Linotype" w:hAnsi="Palatino Linotype" w:cs="Palatino Linotype"/>
          <w:b/>
          <w:sz w:val="22"/>
          <w:szCs w:val="22"/>
          <w:u w:val="single"/>
        </w:rPr>
        <w:t>la corrupción socava la legitimidad de las instituciones públicas, atenta contra la sociedad, el orden moral y la justicia, así como contra el desarrollo integral de los pueblos</w:t>
      </w:r>
      <w:r w:rsidRPr="00A62933">
        <w:rPr>
          <w:rFonts w:ascii="Palatino Linotype" w:eastAsia="Palatino Linotype" w:hAnsi="Palatino Linotype" w:cs="Palatino Linotype"/>
          <w:sz w:val="22"/>
          <w:szCs w:val="22"/>
        </w:rPr>
        <w:t>; asimismo, considera que el combate contra la corrupción fortalece las instituciones democráticas, evita distorsiones de la economía, vicios en la gestión pública y el deterioro de la moral social.</w:t>
      </w:r>
    </w:p>
    <w:p w14:paraId="239AD351"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En específico, en el artículo VI de dicha Convención se señalan las siguientes conductas como actos de corrupción:</w:t>
      </w:r>
    </w:p>
    <w:p w14:paraId="05A9A0BF"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a. El requerimiento o la aceptación, directa o indirectamente, por un funcionario público o una persona que ejerza funciones públicas, de cualquier objeto de valor pecuniario u otros beneficios como dádivas, favores, promesas o ventajas para sí mismo o para otra persona o entidad a cambio de la realización u omisión de cualquier acto en el ejercicio de sus funciones públicas; </w:t>
      </w:r>
    </w:p>
    <w:p w14:paraId="57887C74"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b. El ofrecimiento o el otorgamiento, directa o indirectamente, a un funcionario público o a una persona que ejerza funciones públicas, de cualquier objeto de valor pecuniario u otros beneficios como dádivas, favores, promesas o ventajas para ese funcionario público o para otra persona o entidad a cambio de la realización u omisión de cualquier acto en el ejercicio de sus funciones públicas; </w:t>
      </w:r>
    </w:p>
    <w:p w14:paraId="2A1B4968"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c. La realización por parte de un funcionario público o una persona que ejerza funciones públicas de cualquier acto u omisión en el ejercicio de sus funciones, con el fin de obtener ilícitamente beneficios para sí mismo o para un tercero;</w:t>
      </w:r>
    </w:p>
    <w:p w14:paraId="73DBD765"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d. El aprovechamiento doloso u ocultación de bienes provenientes de cualesquiera de los actos a los que se refiere el presente artículo; y</w:t>
      </w:r>
    </w:p>
    <w:p w14:paraId="53E33BDF"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 La participación como autor, coautor, instigador, cómplice, encubridor o en cualquier otra forma en la comisión, tentativa de comisión, asociación o confabulación para la comisión de cualquiera de los actos a los que se refiere el presente artículo.</w:t>
      </w:r>
    </w:p>
    <w:p w14:paraId="4F7CAF5B" w14:textId="77777777" w:rsidR="00D671CA" w:rsidRPr="00A62933" w:rsidRDefault="00C23F3B">
      <w:pPr>
        <w:spacing w:before="240" w:after="240" w:line="360" w:lineRule="auto"/>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 xml:space="preserve">Bajo lo previo, es posible reflexionar que </w:t>
      </w:r>
      <w:r w:rsidRPr="00A62933">
        <w:rPr>
          <w:rFonts w:ascii="Palatino Linotype" w:eastAsia="Palatino Linotype" w:hAnsi="Palatino Linotype" w:cs="Palatino Linotype"/>
          <w:b/>
          <w:sz w:val="22"/>
          <w:szCs w:val="22"/>
        </w:rPr>
        <w:t>la corrupción no solo es un fenómeno que debilita a las instituciones democráticas y a la gobernabilidad, sino que también, fomenta la impunidad, socava el Estado de derecho y exacerba la desigualdad, además de que afecta a los derechos humanos</w:t>
      </w:r>
      <w:r w:rsidRPr="00A62933">
        <w:rPr>
          <w:rFonts w:ascii="Palatino Linotype" w:eastAsia="Palatino Linotype" w:hAnsi="Palatino Linotype" w:cs="Palatino Linotype"/>
          <w:sz w:val="22"/>
          <w:szCs w:val="22"/>
        </w:rPr>
        <w:t xml:space="preserve">, por lo que, </w:t>
      </w:r>
      <w:r w:rsidRPr="00A62933">
        <w:rPr>
          <w:rFonts w:ascii="Palatino Linotype" w:eastAsia="Palatino Linotype" w:hAnsi="Palatino Linotype" w:cs="Palatino Linotype"/>
          <w:b/>
          <w:sz w:val="22"/>
          <w:szCs w:val="22"/>
        </w:rPr>
        <w:t>cobra una relevancia social la rendición de cuentas respecto a información o hechos que estén vinculados o relacionados con actos de corrupción.</w:t>
      </w:r>
    </w:p>
    <w:p w14:paraId="7D600BA0" w14:textId="77777777" w:rsidR="00D671CA" w:rsidRPr="00A62933" w:rsidRDefault="00C23F3B">
      <w:pPr>
        <w:spacing w:before="240" w:after="240" w:line="360" w:lineRule="auto"/>
        <w:jc w:val="both"/>
        <w:rPr>
          <w:rFonts w:ascii="Palatino Linotype" w:eastAsia="Palatino Linotype" w:hAnsi="Palatino Linotype" w:cs="Palatino Linotype"/>
          <w:b/>
          <w:sz w:val="22"/>
          <w:szCs w:val="22"/>
          <w:u w:val="single"/>
        </w:rPr>
      </w:pPr>
      <w:r w:rsidRPr="00A62933">
        <w:rPr>
          <w:rFonts w:ascii="Palatino Linotype" w:eastAsia="Palatino Linotype" w:hAnsi="Palatino Linotype" w:cs="Palatino Linotype"/>
          <w:sz w:val="22"/>
          <w:szCs w:val="22"/>
        </w:rPr>
        <w:t xml:space="preserve">Asimismo, conforme a la definición de servidor público que establece tanto el artículo 108 de nuestra Constitución como el artículo 212 del Código Penal Federal reformado, es posible considerar como </w:t>
      </w:r>
      <w:r w:rsidRPr="00A62933">
        <w:rPr>
          <w:rFonts w:ascii="Palatino Linotype" w:eastAsia="Palatino Linotype" w:hAnsi="Palatino Linotype" w:cs="Palatino Linotype"/>
          <w:b/>
          <w:i/>
          <w:sz w:val="22"/>
          <w:szCs w:val="22"/>
        </w:rPr>
        <w:t>acto de corrupción</w:t>
      </w:r>
      <w:r w:rsidRPr="00A62933">
        <w:rPr>
          <w:rFonts w:ascii="Palatino Linotype" w:eastAsia="Palatino Linotype" w:hAnsi="Palatino Linotype" w:cs="Palatino Linotype"/>
          <w:sz w:val="22"/>
          <w:szCs w:val="22"/>
        </w:rPr>
        <w:t xml:space="preserve">, la </w:t>
      </w:r>
      <w:r w:rsidRPr="00A62933">
        <w:rPr>
          <w:rFonts w:ascii="Palatino Linotype" w:eastAsia="Palatino Linotype" w:hAnsi="Palatino Linotype" w:cs="Palatino Linotype"/>
          <w:b/>
          <w:sz w:val="22"/>
          <w:szCs w:val="22"/>
        </w:rPr>
        <w:t xml:space="preserve">acción u omisión que llevé a cabo una persona que desempeñe un empleo, cargo o comisión en las instituciones gubernamentales, así como por particulares con funciones públicas, en la cual, en pleno ejercicio de sus funciones, </w:t>
      </w:r>
      <w:r w:rsidRPr="00A62933">
        <w:rPr>
          <w:rFonts w:ascii="Palatino Linotype" w:eastAsia="Palatino Linotype" w:hAnsi="Palatino Linotype" w:cs="Palatino Linotype"/>
          <w:b/>
          <w:sz w:val="22"/>
          <w:szCs w:val="22"/>
          <w:u w:val="single"/>
        </w:rPr>
        <w:t>obtenga un beneficio o una ventaja de cualquier naturaleza para sí o un tercero</w:t>
      </w:r>
      <w:r w:rsidRPr="00A62933">
        <w:rPr>
          <w:rFonts w:ascii="Palatino Linotype" w:eastAsia="Palatino Linotype" w:hAnsi="Palatino Linotype" w:cs="Palatino Linotype"/>
          <w:b/>
          <w:sz w:val="22"/>
          <w:szCs w:val="22"/>
        </w:rPr>
        <w:t xml:space="preserve"> sobre algún hecho que no sea permisible en las normas vigentes, </w:t>
      </w:r>
      <w:r w:rsidRPr="00A62933">
        <w:rPr>
          <w:rFonts w:ascii="Palatino Linotype" w:eastAsia="Palatino Linotype" w:hAnsi="Palatino Linotype" w:cs="Palatino Linotype"/>
          <w:b/>
          <w:sz w:val="22"/>
          <w:szCs w:val="22"/>
          <w:u w:val="single"/>
        </w:rPr>
        <w:t>o bien, incurra en una conducta catalogada por la Ley como acto de corrupción.</w:t>
      </w:r>
    </w:p>
    <w:p w14:paraId="68AAE399"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Mientras que el Código Penal del Estado de México establece en el Título Sexto Delitos por Hechos de Corrupción, del Libro Segundo, a los siguientes: </w:t>
      </w:r>
    </w:p>
    <w:p w14:paraId="7EEA42C3"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 xml:space="preserve">Incumplimiento de funciones públicas (artículo 331), </w:t>
      </w:r>
    </w:p>
    <w:p w14:paraId="7C103F67"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Ejercicio indebido de función pública (artículo 332)</w:t>
      </w:r>
    </w:p>
    <w:p w14:paraId="165D4955"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Abandono de funciones públicas (artículo 333)</w:t>
      </w:r>
    </w:p>
    <w:p w14:paraId="13D2FF8C"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Coalición (artículo 334)</w:t>
      </w:r>
    </w:p>
    <w:p w14:paraId="20A26425"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Abuso de autoridad (artículos 335, 336, 337, 338 y 339)</w:t>
      </w:r>
    </w:p>
    <w:p w14:paraId="10E8A175"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Uso ilícito de atribuciones y facultades (artículo 340)</w:t>
      </w:r>
    </w:p>
    <w:p w14:paraId="4786B9F4"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Concusión (artículo 342)</w:t>
      </w:r>
    </w:p>
    <w:p w14:paraId="1698A52D"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Intimidación (artículo 343)</w:t>
      </w:r>
    </w:p>
    <w:p w14:paraId="79057986"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Ejercicio abusivo de funciones (artículo 344)</w:t>
      </w:r>
    </w:p>
    <w:p w14:paraId="62140323"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Tráfico de influencia (artículo 345)</w:t>
      </w:r>
    </w:p>
    <w:p w14:paraId="34C9407D"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Cohecho (artículos 347, 348 y 350)</w:t>
      </w:r>
    </w:p>
    <w:p w14:paraId="27BBCF08"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 xml:space="preserve">Peculado (artículo 351) </w:t>
      </w:r>
    </w:p>
    <w:p w14:paraId="6B0234A7" w14:textId="77777777" w:rsidR="00D671CA" w:rsidRPr="00A62933" w:rsidRDefault="00C23F3B">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Enriquecimiento Ilícito (artículo 352)</w:t>
      </w:r>
    </w:p>
    <w:p w14:paraId="4EAAE733"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Dicha información es de gran trascendencia, ya que al estar involucrados servidores públicos existe una afectación directa al interés público en torno a las atribuciones de los entes públicos, como lo es, de manera enunciativa, más no limitativa, la administración de su patrimonio, la erogación de recursos públicos o la recaudación de contribuciones, derechos, impuestos, etcétera, lo cual afecta no sólo al ente público sino a toda la sociedad en general.</w:t>
      </w:r>
    </w:p>
    <w:p w14:paraId="0D74652C"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En función de lo expuesto, y considerando las conductas que pudieran ser investigadas, es que el derecho de acceso a la información cobra una relevancia trascendental para la sociedad en general, ya que a través del ejercicio de éste se puede conocer información relacionada con hechos de corrupción, que además por la importancia que ésta tiene para el erario municipal, resulta de mayor interés el impacto que dichas conductas pudieron tener en su detrimento, encuadrando en los artículos 3, fracción XXII y 9, fracción VII, de la Ley de Transparencia y Acceso a la Información Pública del Estado de México, este Instituto establece como:</w:t>
      </w:r>
    </w:p>
    <w:p w14:paraId="455A1410" w14:textId="77777777" w:rsidR="00D671CA" w:rsidRPr="00A62933" w:rsidRDefault="00C23F3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“Artículo 3.</w:t>
      </w:r>
      <w:r w:rsidRPr="00A62933">
        <w:rPr>
          <w:rFonts w:ascii="Palatino Linotype" w:eastAsia="Palatino Linotype" w:hAnsi="Palatino Linotype" w:cs="Palatino Linotype"/>
          <w:i/>
          <w:sz w:val="22"/>
          <w:szCs w:val="22"/>
        </w:rPr>
        <w:t xml:space="preserve"> Para los efectos de la presente Ley se entenderá por:</w:t>
      </w:r>
    </w:p>
    <w:p w14:paraId="2BC083CE" w14:textId="77777777" w:rsidR="00D671CA" w:rsidRPr="00A62933" w:rsidRDefault="00C23F3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138D2F16" w14:textId="77777777" w:rsidR="00D671CA" w:rsidRPr="00A62933" w:rsidRDefault="00C23F3B">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sz w:val="22"/>
          <w:szCs w:val="22"/>
        </w:rPr>
        <w:t>XXII. Información de interés público:</w:t>
      </w:r>
      <w:r w:rsidRPr="00A62933">
        <w:rPr>
          <w:rFonts w:ascii="Palatino Linotype" w:eastAsia="Palatino Linotype" w:hAnsi="Palatino Linotype" w:cs="Palatino Linotype"/>
          <w:i/>
          <w:sz w:val="22"/>
          <w:szCs w:val="22"/>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2A5409C7" w14:textId="77777777" w:rsidR="00D671CA" w:rsidRPr="00A62933" w:rsidRDefault="00C23F3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7507E644" w14:textId="77777777" w:rsidR="00D671CA" w:rsidRPr="00A62933" w:rsidRDefault="00C23F3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Artículo 9.</w:t>
      </w:r>
      <w:r w:rsidRPr="00A62933">
        <w:rPr>
          <w:rFonts w:ascii="Palatino Linotype" w:eastAsia="Palatino Linotype" w:hAnsi="Palatino Linotype" w:cs="Palatino Linotype"/>
          <w:i/>
          <w:sz w:val="22"/>
          <w:szCs w:val="22"/>
        </w:rPr>
        <w:t xml:space="preserve"> El Instituto deberá regir su funcionamiento de acuerdo a los siguientes principios:</w:t>
      </w:r>
    </w:p>
    <w:p w14:paraId="4B19A9C6" w14:textId="77777777" w:rsidR="00D671CA" w:rsidRPr="00A62933" w:rsidRDefault="00C23F3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32930080" w14:textId="77777777" w:rsidR="00D671CA" w:rsidRPr="00A62933" w:rsidRDefault="00C23F3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VII. Máxima Publicidad:</w:t>
      </w:r>
      <w:r w:rsidRPr="00A62933">
        <w:rPr>
          <w:rFonts w:ascii="Palatino Linotype" w:eastAsia="Palatino Linotype" w:hAnsi="Palatino Linotype" w:cs="Palatino Linotype"/>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democrática…”(Sic)</w:t>
      </w:r>
    </w:p>
    <w:p w14:paraId="4C86F3BC"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De lo anterior, se colige que el interés público está relacionado con el principio de máxima publicidad y las excepciones a la clasificación de la información; pues existe un interés general de la sociedad de conocer sobre los posibles actos de corrupción al no ser afectaciones que se dan en lo individual, sino que existe un detrimento en un grupo o en la población en general.</w:t>
      </w:r>
    </w:p>
    <w:p w14:paraId="704146D7" w14:textId="77777777" w:rsidR="00D671CA" w:rsidRPr="00A62933" w:rsidRDefault="00C23F3B">
      <w:pPr>
        <w:spacing w:before="240" w:after="240" w:line="360" w:lineRule="auto"/>
        <w:jc w:val="both"/>
        <w:rPr>
          <w:rFonts w:ascii="Palatino Linotype" w:eastAsia="Palatino Linotype" w:hAnsi="Palatino Linotype" w:cs="Palatino Linotype"/>
          <w:b/>
          <w:sz w:val="22"/>
          <w:szCs w:val="22"/>
          <w:u w:val="single"/>
        </w:rPr>
      </w:pPr>
      <w:r w:rsidRPr="00A62933">
        <w:rPr>
          <w:rFonts w:ascii="Palatino Linotype" w:eastAsia="Palatino Linotype" w:hAnsi="Palatino Linotype" w:cs="Palatino Linotype"/>
          <w:sz w:val="22"/>
          <w:szCs w:val="22"/>
        </w:rPr>
        <w:t xml:space="preserve">Por tal motivo, se considera para el caso de que existiera algún procedimiento relacionado con faltas administrativas en trámite, en contra de servidores públicos y que estuviera relacionado con alguna excepción de las establecidas en el artículo 142 de la Ley de Transparencia y Acceso a la Información Pública del Estado de México y Municipios, tales como actos de corrupción, se </w:t>
      </w:r>
      <w:r w:rsidRPr="00A62933">
        <w:rPr>
          <w:rFonts w:ascii="Palatino Linotype" w:eastAsia="Palatino Linotype" w:hAnsi="Palatino Linotype" w:cs="Palatino Linotype"/>
          <w:b/>
          <w:sz w:val="22"/>
          <w:szCs w:val="22"/>
          <w:u w:val="single"/>
        </w:rPr>
        <w:t>deberá entregar el soporte documental correspondiente que dé cuenta de la existencia de dichos procedimientos en versión pública de ser necesario, conforme al considerando siguiente.</w:t>
      </w:r>
    </w:p>
    <w:p w14:paraId="13479441" w14:textId="77777777" w:rsidR="00D671CA" w:rsidRPr="00A62933" w:rsidRDefault="00C23F3B">
      <w:pPr>
        <w:spacing w:before="240" w:after="240" w:line="360" w:lineRule="auto"/>
        <w:jc w:val="both"/>
        <w:rPr>
          <w:rFonts w:ascii="Palatino Linotype" w:eastAsia="Palatino Linotype" w:hAnsi="Palatino Linotype" w:cs="Palatino Linotype"/>
          <w:b/>
          <w:sz w:val="22"/>
          <w:szCs w:val="22"/>
          <w:u w:val="single"/>
        </w:rPr>
      </w:pPr>
      <w:r w:rsidRPr="00A62933">
        <w:rPr>
          <w:rFonts w:ascii="Palatino Linotype" w:eastAsia="Palatino Linotype" w:hAnsi="Palatino Linotype" w:cs="Palatino Linotype"/>
          <w:sz w:val="22"/>
          <w:szCs w:val="22"/>
        </w:rPr>
        <w:t xml:space="preserve">Es de suma importancia mencionar que si bien entregar información respecto a la existencia de un procedimiento de sanción administrativa, podría generar una percepción negativa de los servidores públicos presuntamente infractores, ocasionando un perjuicio en su </w:t>
      </w:r>
      <w:r w:rsidRPr="00A62933">
        <w:rPr>
          <w:rFonts w:ascii="Palatino Linotype" w:eastAsia="Palatino Linotype" w:hAnsi="Palatino Linotype" w:cs="Palatino Linotype"/>
          <w:b/>
          <w:sz w:val="22"/>
          <w:szCs w:val="22"/>
        </w:rPr>
        <w:t xml:space="preserve">honor, intimidad, buena imagen y nombre, así como a su vida privada, </w:t>
      </w:r>
      <w:r w:rsidRPr="00A62933">
        <w:rPr>
          <w:rFonts w:ascii="Palatino Linotype" w:eastAsia="Palatino Linotype" w:hAnsi="Palatino Linotype" w:cs="Palatino Linotype"/>
          <w:sz w:val="22"/>
          <w:szCs w:val="22"/>
        </w:rPr>
        <w:t xml:space="preserve">también lo es, que </w:t>
      </w:r>
      <w:r w:rsidRPr="00A62933">
        <w:rPr>
          <w:rFonts w:ascii="Palatino Linotype" w:eastAsia="Palatino Linotype" w:hAnsi="Palatino Linotype" w:cs="Palatino Linotype"/>
          <w:b/>
          <w:sz w:val="22"/>
          <w:szCs w:val="22"/>
          <w:u w:val="single"/>
        </w:rPr>
        <w:t>tratándose de asuntos relacionados con actos de corrupción, se trataría de una falta grave</w:t>
      </w:r>
      <w:r w:rsidRPr="00A62933">
        <w:rPr>
          <w:rFonts w:ascii="Palatino Linotype" w:eastAsia="Palatino Linotype" w:hAnsi="Palatino Linotype" w:cs="Palatino Linotype"/>
          <w:b/>
          <w:sz w:val="22"/>
          <w:szCs w:val="22"/>
        </w:rPr>
        <w:t xml:space="preserve">, </w:t>
      </w:r>
      <w:r w:rsidRPr="00A62933">
        <w:rPr>
          <w:rFonts w:ascii="Palatino Linotype" w:eastAsia="Palatino Linotype" w:hAnsi="Palatino Linotype" w:cs="Palatino Linotype"/>
          <w:b/>
          <w:sz w:val="22"/>
          <w:szCs w:val="22"/>
          <w:u w:val="single"/>
        </w:rPr>
        <w:t>por lo que tales prerrogativas quedan supeditadas al interés mayor de conocer tales eventualidades y por lo tanto no precede la clasificación de su nombre en términos del artículo 143, fracción I de la Ley de la materia.</w:t>
      </w:r>
    </w:p>
    <w:p w14:paraId="3C0F35B0"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Aunado a lo anterior, cierto es que toda persona tiene derecho a la presunción de inocencia hasta en tanto se demuestre lo contrario, sin embargo, en el caso de actos de corrupción nos encontramos ante un caso de trascendencia social e interés público, sobreviniendo una colisión entre derechos fundamentales, esto es, por una parte, se busca mantener la secrecía de los nombres de los servidores públicos denunciados, es decir, el nombre de las personas que enfrentan acusaciones sobre esos actos y; por otro, se pretende dar acceso a información que es de interés de los ciudadanos porque versa sobre una afectación económica al erario público.</w:t>
      </w:r>
    </w:p>
    <w:p w14:paraId="2E8B83FE" w14:textId="77777777" w:rsidR="00D671CA" w:rsidRPr="00A62933" w:rsidRDefault="00C23F3B">
      <w:pPr>
        <w:spacing w:before="240" w:after="240" w:line="360" w:lineRule="auto"/>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 xml:space="preserve">En tal contexto, si los hechos investigados son en razón de conductas presuntamente ilegales, el ejercicio ilícito de servicio público, el uso ilícito de funciones, el cohecho, peculado y enriquecimiento ilícito, de personas que en el ejercicio de sus funciones públicas, causaron un detrimento y se presume obtuvieron un beneficio personal, luego entonces </w:t>
      </w:r>
      <w:r w:rsidRPr="00A62933">
        <w:rPr>
          <w:rFonts w:ascii="Palatino Linotype" w:eastAsia="Palatino Linotype" w:hAnsi="Palatino Linotype" w:cs="Palatino Linotype"/>
          <w:b/>
          <w:sz w:val="22"/>
          <w:szCs w:val="22"/>
        </w:rPr>
        <w:t>existe una preferencia social mayor que trasciende para dar a conocer, precisamente los nombres de los servidores o ex servidores que enfrentan acusaciones sobre este caso, debiendo por tanto darse a conocer dicho dato, en caso de actualizarse la excepción a la excepción, prevista en el artículo 142 dela Ley de la materia, por lo que en el presente caso no se vulneran los derechos de la persona referida, aun cuando es plenamente identificada.</w:t>
      </w:r>
    </w:p>
    <w:p w14:paraId="3953860F"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 efecto de sustentar lo anterior, es aplicable por analogía la determinación del entonces Instituto Nacional de Transparencia, Acceso a la Información y Protección de Datos Personales (INAI), en la Resolución del Recurso de Revisión de Acceso con número de folio RRA 12225/22, que en su parte conducente, señala lo siguiente:</w:t>
      </w:r>
    </w:p>
    <w:p w14:paraId="544ABEAC" w14:textId="77777777" w:rsidR="00D671CA" w:rsidRPr="00A62933" w:rsidRDefault="00D671CA">
      <w:pPr>
        <w:spacing w:before="240" w:after="240" w:line="360" w:lineRule="auto"/>
        <w:jc w:val="both"/>
        <w:rPr>
          <w:rFonts w:ascii="Palatino Linotype" w:eastAsia="Palatino Linotype" w:hAnsi="Palatino Linotype" w:cs="Palatino Linotype"/>
          <w:sz w:val="22"/>
          <w:szCs w:val="22"/>
        </w:rPr>
      </w:pPr>
    </w:p>
    <w:p w14:paraId="5281A26D"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ANÁLISIS DE INTERÉS PÚBLICO</w:t>
      </w:r>
    </w:p>
    <w:p w14:paraId="5241168C"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260AE8BB"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Señalado lo anterior, resulta necesario realizar una ponderación de los dos intereses jurídicos tutelados que convergen en la controversia que se dirime, para lo cual, resulta pertinente traer al estudio lo señalado en el artículo 155 de la Ley Federal de Transparencia y Acceso a la Información Pública, el cual prevé que cuando exista una colisión de derechos, este Instituto, al resolver el recurso de revisión, deberá aplicar una prueba de interés público con base en elementos de idoneidad, necesidad y proporcionalidad. Para estos efectos, se entenderá por: </w:t>
      </w:r>
    </w:p>
    <w:p w14:paraId="0B8F08AE"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Noto Sans Symbols" w:eastAsia="Noto Sans Symbols" w:hAnsi="Noto Sans Symbols" w:cs="Noto Sans Symbols"/>
          <w:i/>
          <w:sz w:val="22"/>
          <w:szCs w:val="22"/>
        </w:rPr>
        <w:t>∙</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Idoneidad:</w:t>
      </w:r>
      <w:r w:rsidRPr="00A62933">
        <w:rPr>
          <w:rFonts w:ascii="Palatino Linotype" w:eastAsia="Palatino Linotype" w:hAnsi="Palatino Linotype" w:cs="Palatino Linotype"/>
          <w:i/>
          <w:sz w:val="22"/>
          <w:szCs w:val="22"/>
        </w:rPr>
        <w:t xml:space="preserve"> La legitimidad del derecho adoptado como preferente, que sea el adecuado para el logro de un fin constitucionalmente válido o apto para conseguir el fin pretendido; </w:t>
      </w:r>
    </w:p>
    <w:p w14:paraId="094CBE47"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Noto Sans Symbols" w:eastAsia="Noto Sans Symbols" w:hAnsi="Noto Sans Symbols" w:cs="Noto Sans Symbols"/>
          <w:i/>
          <w:sz w:val="22"/>
          <w:szCs w:val="22"/>
        </w:rPr>
        <w:t>∙</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Necesidad:</w:t>
      </w:r>
      <w:r w:rsidRPr="00A62933">
        <w:rPr>
          <w:rFonts w:ascii="Palatino Linotype" w:eastAsia="Palatino Linotype" w:hAnsi="Palatino Linotype" w:cs="Palatino Linotype"/>
          <w:i/>
          <w:sz w:val="22"/>
          <w:szCs w:val="22"/>
        </w:rPr>
        <w:t xml:space="preserve"> La falta de un medio alternativo menos lesivo a la apertura de la información, para satisfacer el interés público, y </w:t>
      </w:r>
    </w:p>
    <w:p w14:paraId="602C4CB5"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Noto Sans Symbols" w:eastAsia="Noto Sans Symbols" w:hAnsi="Noto Sans Symbols" w:cs="Noto Sans Symbols"/>
          <w:i/>
          <w:sz w:val="22"/>
          <w:szCs w:val="22"/>
        </w:rPr>
        <w:t>∙</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Proporcionalidad:</w:t>
      </w:r>
      <w:r w:rsidRPr="00A62933">
        <w:rPr>
          <w:rFonts w:ascii="Palatino Linotype" w:eastAsia="Palatino Linotype" w:hAnsi="Palatino Linotype" w:cs="Palatino Linotype"/>
          <w:i/>
          <w:sz w:val="22"/>
          <w:szCs w:val="22"/>
        </w:rPr>
        <w:t xml:space="preserve"> El equilibrio entre perjuicio y beneficio a favor del interés público, a fin de que la decisión tomada represente un beneficio mayor al perjuicio que podría causar a la población.</w:t>
      </w:r>
    </w:p>
    <w:p w14:paraId="1E87AE52"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En el mismo sentido, resulta aplicable la tesis I.4o.A.70 K, emitida por Tribunales Colegiados de Circuito, publicada en el Semanario Judicial de la Federación y su Gaceta, Tomo XXIV, página 2346, de agosto de 2006, Novena Época, materia común: </w:t>
      </w:r>
    </w:p>
    <w:p w14:paraId="56374F36"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“SUSPENSIÓN EN EL AMPARO. CONFORME A LA TEORÍA DE PONDERACIÓN DE PRINCIPIOS DEBE NEGARSE SI EL INTERÉS SOCIAL CONSTITUCIONALMENTE TUTELADO ES PREFERENTE AL DEL PARTICULAR. Cuando dos derechos fundamentales entran en colisión, se debe resolver el problema atendiendo a las características y naturaleza del caso concreto, conforme al criterio de proporcionalidad, ponderando los elementos o subprincipios siguientes: a) idoneidad</w:t>
      </w:r>
      <w:r w:rsidRPr="00A62933">
        <w:rPr>
          <w:rFonts w:ascii="Palatino Linotype" w:eastAsia="Palatino Linotype" w:hAnsi="Palatino Linotype" w:cs="Palatino Linotype"/>
          <w:i/>
          <w:sz w:val="22"/>
          <w:szCs w:val="22"/>
        </w:rPr>
        <w:t xml:space="preserve">, la cual es la legitimidad constitucional del principio adoptado como preferente, por resultar ser el adecuado para el logro de un fin constitucionalmente válido o apto para conseguir el objetivo pretendido; </w:t>
      </w:r>
      <w:r w:rsidRPr="00A62933">
        <w:rPr>
          <w:rFonts w:ascii="Palatino Linotype" w:eastAsia="Palatino Linotype" w:hAnsi="Palatino Linotype" w:cs="Palatino Linotype"/>
          <w:b/>
          <w:i/>
          <w:sz w:val="22"/>
          <w:szCs w:val="22"/>
        </w:rPr>
        <w:t>b) necesidad</w:t>
      </w:r>
      <w:r w:rsidRPr="00A62933">
        <w:rPr>
          <w:rFonts w:ascii="Palatino Linotype" w:eastAsia="Palatino Linotype" w:hAnsi="Palatino Linotype" w:cs="Palatino Linotype"/>
          <w:i/>
          <w:sz w:val="22"/>
          <w:szCs w:val="22"/>
        </w:rPr>
        <w:t xml:space="preserve">, consistente en que no exista otro medio menos limitativo para satisfacer el fin del interés público y que sacrifique, en menor medida, los principios constitucionales afectados por el uso de esos medios; o sea, que resulte imprescindible la restricción, porque no exista un medio menos oneroso, en términos del sacrificio de otros principios constitucionales, para alcanzar el fin deseado y que afecten en menor grado los derechos fundamentales de los implicados; y </w:t>
      </w:r>
      <w:r w:rsidRPr="00A62933">
        <w:rPr>
          <w:rFonts w:ascii="Palatino Linotype" w:eastAsia="Palatino Linotype" w:hAnsi="Palatino Linotype" w:cs="Palatino Linotype"/>
          <w:b/>
          <w:i/>
          <w:sz w:val="22"/>
          <w:szCs w:val="22"/>
        </w:rPr>
        <w:t>c) el mandato de proporcionalidad entre medios y fines implica que al elegir entre un perjuicio y un beneficio a favor de dos bienes tutelados, el principio satisfecho o que resulta privilegiado lo sea en mayor proporción que el sacrificado</w:t>
      </w:r>
      <w:r w:rsidRPr="00A62933">
        <w:rPr>
          <w:rFonts w:ascii="Palatino Linotype" w:eastAsia="Palatino Linotype" w:hAnsi="Palatino Linotype" w:cs="Palatino Linotype"/>
          <w:i/>
          <w:sz w:val="22"/>
          <w:szCs w:val="22"/>
        </w:rPr>
        <w:t>. Esto es que no se renuncie o sacrifiquen valores y principios con mayor peso o medida a aquel que se desea satisfacer. Así, el derecho o principio que debe prevalecer, en el caso, es aquel que optimice los intereses en conflicto y, por ende, privilegiándose el que resulte indispensable y que conlleve a un mayor beneficio o cause un menor daño. Consecuentemente, tratándose de la suspensión debe negarse dicha medida cautelar cuando el interés social constitucionalmente tutelado es preferente al del particular, ya que el derecho o principio a primar debe ser aquel que cause un menor daño y el que resulta indispensable privilegiarse, o sea, el que evidentemente conlleve a un mayor beneficio.”</w:t>
      </w:r>
    </w:p>
    <w:p w14:paraId="22E6B923"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Como se aprecia de la tesis citada, cuando dos derechos fundamentales entran en colisión, el problema se debe resolver atendiendo a las características y naturaleza del caso concreto, conforme al criterio de proporcionalidad, ponderando los elementos o subprincipios de idoneidad, necesidad y proporcionalidad, antes descritos.</w:t>
      </w:r>
    </w:p>
    <w:p w14:paraId="08594A7C"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14:paraId="648B378F" w14:textId="77777777" w:rsidR="00D671CA" w:rsidRPr="00A62933" w:rsidRDefault="00C23F3B">
      <w:pPr>
        <w:numPr>
          <w:ilvl w:val="0"/>
          <w:numId w:val="3"/>
        </w:numPr>
        <w:pBdr>
          <w:top w:val="nil"/>
          <w:left w:val="nil"/>
          <w:bottom w:val="nil"/>
          <w:right w:val="nil"/>
          <w:between w:val="nil"/>
        </w:pBdr>
        <w:spacing w:before="120" w:after="120"/>
        <w:ind w:left="284" w:right="333" w:firstLine="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u w:val="single"/>
        </w:rPr>
        <w:t>IDONEIDAD</w:t>
      </w:r>
      <w:r w:rsidRPr="00A62933">
        <w:rPr>
          <w:rFonts w:ascii="Palatino Linotype" w:eastAsia="Palatino Linotype" w:hAnsi="Palatino Linotype" w:cs="Palatino Linotype"/>
          <w:b/>
          <w:i/>
          <w:sz w:val="22"/>
          <w:szCs w:val="22"/>
        </w:rPr>
        <w:t>.</w:t>
      </w:r>
      <w:r w:rsidRPr="00A62933">
        <w:rPr>
          <w:rFonts w:ascii="Palatino Linotype" w:eastAsia="Palatino Linotype" w:hAnsi="Palatino Linotype" w:cs="Palatino Linotype"/>
          <w:i/>
          <w:sz w:val="22"/>
          <w:szCs w:val="22"/>
        </w:rPr>
        <w:t xml:space="preserve"> La legitimidad del derecho adoptado como preferente, que sea el adecuado para el logro de una finalidad constitucionalmente válida o apta para conseguir el fin pretendido. </w:t>
      </w:r>
    </w:p>
    <w:p w14:paraId="4BDF51D9"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El artículo 6 constitucional, apartado A, fracción I estipula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5153D70F"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Conforme a dicho precepto, el Estado Mexicano está constreñido a publicitar sus actos, pues se reconoce el derecho fundamental de los ciudadanos a acceder a la información que obra en poder de la autoridad, que como lo ha expuesto el Pleno de la Suprema Corte de Justicia de la Nación en la tesis "ACCESO A LA INFORMACIÓN. SU NATURALEZA COMO GARANTÍAS INDIVIDUAL Y SOCIAL.", el cual contiene una doble dimensión: individual y social. </w:t>
      </w:r>
    </w:p>
    <w:p w14:paraId="186E4380"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Noto Sans Symbols" w:eastAsia="Noto Sans Symbols" w:hAnsi="Noto Sans Symbols" w:cs="Noto Sans Symbols"/>
          <w:i/>
          <w:sz w:val="22"/>
          <w:szCs w:val="22"/>
        </w:rPr>
        <w:t>∙</w:t>
      </w:r>
      <w:r w:rsidRPr="00A62933">
        <w:rPr>
          <w:rFonts w:ascii="Palatino Linotype" w:eastAsia="Palatino Linotype" w:hAnsi="Palatino Linotype" w:cs="Palatino Linotype"/>
          <w:i/>
          <w:sz w:val="22"/>
          <w:szCs w:val="22"/>
        </w:rPr>
        <w:t xml:space="preserve"> En aspecto individual, maximiza el campo de la autonomía personal, posibilita el ejercicio de la libertad de expresión en un contexto diversidad de datos, voces y opiniones. </w:t>
      </w:r>
    </w:p>
    <w:p w14:paraId="5920524D"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Noto Sans Symbols" w:eastAsia="Noto Sans Symbols" w:hAnsi="Noto Sans Symbols" w:cs="Noto Sans Symbols"/>
          <w:i/>
          <w:sz w:val="22"/>
          <w:szCs w:val="22"/>
        </w:rPr>
        <w:t>∙</w:t>
      </w:r>
      <w:r w:rsidRPr="00A62933">
        <w:rPr>
          <w:rFonts w:ascii="Palatino Linotype" w:eastAsia="Palatino Linotype" w:hAnsi="Palatino Linotype" w:cs="Palatino Linotype"/>
          <w:i/>
          <w:sz w:val="22"/>
          <w:szCs w:val="22"/>
        </w:rPr>
        <w:t xml:space="preserve"> Mientras que, en el social, evidencia el valor instrumental de la información no sólo como factor de autorrealización personal, sino como un mecanismo de control institucional, pues se trata de un derecho fundado en la publicidad de los actos de gobierno y la transparencia en el actuar de la administración, conducente y necesaria para la rendición de cuentas. </w:t>
      </w:r>
    </w:p>
    <w:p w14:paraId="480234C8"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Así, el derecho de acceso a la información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w:t>
      </w:r>
    </w:p>
    <w:p w14:paraId="17AFAA36"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Al respecto, el interés de conocer los nombres de los servidores públicos que enfrentan acusaciones sobre estos casos evidencia el ejercicio del derecho de acceso a la información, en virtud de que se trata de un caso relacionado con presuntos hechos de corrupción cometidos con recursos públicos. </w:t>
      </w:r>
    </w:p>
    <w:p w14:paraId="49218D05" w14:textId="77777777" w:rsidR="00D671CA" w:rsidRPr="00A62933" w:rsidRDefault="00C23F3B">
      <w:pPr>
        <w:spacing w:before="120" w:after="120"/>
        <w:ind w:left="284" w:right="333"/>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i/>
          <w:sz w:val="22"/>
          <w:szCs w:val="22"/>
        </w:rPr>
        <w:t xml:space="preserve">En ese orden, </w:t>
      </w:r>
      <w:r w:rsidRPr="00A62933">
        <w:rPr>
          <w:rFonts w:ascii="Palatino Linotype" w:eastAsia="Palatino Linotype" w:hAnsi="Palatino Linotype" w:cs="Palatino Linotype"/>
          <w:b/>
          <w:i/>
          <w:sz w:val="22"/>
          <w:szCs w:val="22"/>
        </w:rPr>
        <w:t>si los hechos investigados son en razón de conductas presuntamente ilegales, el ejercicio ilícito de servicio público, el uso ilícito de funciones, el cohecho, peculado y enriquecimiento ilícito, de personas que en el ejercicio de sus funciones públicas, causaron un detrimento en el erario</w:t>
      </w:r>
      <w:r w:rsidRPr="00A62933">
        <w:rPr>
          <w:rFonts w:ascii="Palatino Linotype" w:eastAsia="Palatino Linotype" w:hAnsi="Palatino Linotype" w:cs="Palatino Linotype"/>
          <w:i/>
          <w:sz w:val="22"/>
          <w:szCs w:val="22"/>
        </w:rPr>
        <w:t xml:space="preserve"> federal a través de los recursos públicos destinados al Servicio de Administración Tributaria que dejaron de ingresar con las que </w:t>
      </w:r>
      <w:r w:rsidRPr="00A62933">
        <w:rPr>
          <w:rFonts w:ascii="Palatino Linotype" w:eastAsia="Palatino Linotype" w:hAnsi="Palatino Linotype" w:cs="Palatino Linotype"/>
          <w:b/>
          <w:i/>
          <w:sz w:val="22"/>
          <w:szCs w:val="22"/>
        </w:rPr>
        <w:t>se presume obtuvieron un beneficio personal</w:t>
      </w:r>
      <w:r w:rsidRPr="00A62933">
        <w:rPr>
          <w:rFonts w:ascii="Palatino Linotype" w:eastAsia="Palatino Linotype" w:hAnsi="Palatino Linotype" w:cs="Palatino Linotype"/>
          <w:i/>
          <w:sz w:val="22"/>
          <w:szCs w:val="22"/>
        </w:rPr>
        <w:t xml:space="preserve">, luego entonces </w:t>
      </w:r>
      <w:r w:rsidRPr="00A62933">
        <w:rPr>
          <w:rFonts w:ascii="Palatino Linotype" w:eastAsia="Palatino Linotype" w:hAnsi="Palatino Linotype" w:cs="Palatino Linotype"/>
          <w:b/>
          <w:i/>
          <w:sz w:val="22"/>
          <w:szCs w:val="22"/>
        </w:rPr>
        <w:t xml:space="preserve">existe una preferencia social mayor que trasciende para dar a conocer, precisamente los nombres de los servidores que enfrentan acusaciones sobre este caso. </w:t>
      </w:r>
    </w:p>
    <w:p w14:paraId="272BC386"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Por lo tanto, en el caso, prevalece el derecho de acceso a la información sobre la protección de su intimidad, honor, imagen y presunción de inocencia, toda vez que es el medio idóneo para la rendición de cuentas sobre la efectiva investigación de hechos relacionados con el desempeño de las funciones de los servidores públicos y ex servidores públicos de en relación con los hechos investigados, lo que deja en segundo lugar la necesidad individual de proteger sus nombres. </w:t>
      </w:r>
    </w:p>
    <w:p w14:paraId="54F8A2D3" w14:textId="77777777" w:rsidR="00D671CA" w:rsidRPr="00A62933" w:rsidRDefault="00C23F3B">
      <w:pPr>
        <w:numPr>
          <w:ilvl w:val="0"/>
          <w:numId w:val="3"/>
        </w:numPr>
        <w:pBdr>
          <w:top w:val="nil"/>
          <w:left w:val="nil"/>
          <w:bottom w:val="nil"/>
          <w:right w:val="nil"/>
          <w:between w:val="nil"/>
        </w:pBdr>
        <w:spacing w:before="120" w:after="120"/>
        <w:ind w:left="284" w:right="333" w:firstLine="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u w:val="single"/>
        </w:rPr>
        <w:t>NECESIDAD</w:t>
      </w:r>
      <w:r w:rsidRPr="00A62933">
        <w:rPr>
          <w:rFonts w:ascii="Palatino Linotype" w:eastAsia="Palatino Linotype" w:hAnsi="Palatino Linotype" w:cs="Palatino Linotype"/>
          <w:i/>
          <w:sz w:val="22"/>
          <w:szCs w:val="22"/>
        </w:rPr>
        <w:t xml:space="preserve">. La falta de un medio alternativo menos lesivo a la apertura de la información, para satisfacer el interés público. </w:t>
      </w:r>
    </w:p>
    <w:p w14:paraId="618B6CDD"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A través del ejercicio del derecho a la información se cubre la necesidad de la colectividad de estar en posibilidad de evaluar el desempeño de las autoridades que la representan, en ese sentido, constituye la vía más eficaz para que toda la sociedad conozca la información relacionada con las conductas denunciadas por parte del Servicio de Administración Tributaria que forman parte de la investigación por parte de la Fiscalía General de la República.</w:t>
      </w:r>
    </w:p>
    <w:p w14:paraId="3CDC4FEC"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Esto es, </w:t>
      </w:r>
      <w:r w:rsidRPr="00A62933">
        <w:rPr>
          <w:rFonts w:ascii="Palatino Linotype" w:eastAsia="Palatino Linotype" w:hAnsi="Palatino Linotype" w:cs="Palatino Linotype"/>
          <w:b/>
          <w:i/>
          <w:sz w:val="22"/>
          <w:szCs w:val="22"/>
        </w:rPr>
        <w:t>la necesidad de la colectividad de estar en posibilidad de evaluar el desempeño de las autoridades que la representa, constituye la vía más eficaz para que toda la sociedad conozca la información relacionada con los nombres de los servidores públicos y ex servidores públicos que enfrentan acusaciones sobre los casos denunciados, puesto que probablemente incurrieron en diversos delitos de corrupción</w:t>
      </w:r>
      <w:r w:rsidRPr="00A62933">
        <w:rPr>
          <w:rFonts w:ascii="Palatino Linotype" w:eastAsia="Palatino Linotype" w:hAnsi="Palatino Linotype" w:cs="Palatino Linotype"/>
          <w:i/>
          <w:sz w:val="22"/>
          <w:szCs w:val="22"/>
        </w:rPr>
        <w:t xml:space="preserve">, tales como cohecho, peculado y enriquecimiento ilícito, catalogados como actos de corrupción en el Código Penal Federal, así como en la Convención Interamericana contra la Corrupción. </w:t>
      </w:r>
    </w:p>
    <w:p w14:paraId="6AF2F151"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En este sentido, nuevamente el derecho de acceso a la información prevalece sobre la protección de la información solicitada, puesto que el sacrificio que implica la revelación de los nombres de los servidores públicos y ex servidores es el medio menos oneroso para que la sociedad conozca quiénes de los servidores públicos o ex servidores públicos, que supuestamente velan así por el manejo y la debida aplicación de fondos y recursos federales, probablemente están involucrados en el desvío de dichos recursos, lo cual, de ser el caso, indudablemente repercute en la economía del país, así como el nombre de cualquier otra persona involucrada en los hechos. </w:t>
      </w:r>
    </w:p>
    <w:p w14:paraId="05208F70"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Es decir, si se negara el derecho de acceso a los datos peticionados, -en el caso concreto- se impediría que la sociedad tuviera los elementos informativos necesarios para el debido escrutinio del ejercicio de la actividad del sujeto obligado, en cuanto a sus facultades de investigación, en este caso, respecto de los delitos catalogados como actos de corrupción en el Código Penal Federal.</w:t>
      </w:r>
      <w:r w:rsidRPr="00A62933">
        <w:rPr>
          <w:rFonts w:ascii="Palatino Linotype" w:eastAsia="Palatino Linotype" w:hAnsi="Palatino Linotype" w:cs="Palatino Linotype"/>
          <w:b/>
          <w:i/>
          <w:sz w:val="22"/>
          <w:szCs w:val="22"/>
        </w:rPr>
        <w:t xml:space="preserve"> </w:t>
      </w:r>
    </w:p>
    <w:p w14:paraId="4D2B7B73" w14:textId="77777777" w:rsidR="00D671CA" w:rsidRPr="00A62933" w:rsidRDefault="00C23F3B">
      <w:pPr>
        <w:numPr>
          <w:ilvl w:val="0"/>
          <w:numId w:val="3"/>
        </w:numPr>
        <w:pBdr>
          <w:top w:val="nil"/>
          <w:left w:val="nil"/>
          <w:bottom w:val="nil"/>
          <w:right w:val="nil"/>
          <w:between w:val="nil"/>
        </w:pBdr>
        <w:spacing w:before="120" w:after="120"/>
        <w:ind w:left="284" w:right="333" w:firstLine="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u w:val="single"/>
        </w:rPr>
        <w:t>PROPORCIONALIDAD</w:t>
      </w:r>
      <w:r w:rsidRPr="00A62933">
        <w:rPr>
          <w:rFonts w:ascii="Palatino Linotype" w:eastAsia="Palatino Linotype" w:hAnsi="Palatino Linotype" w:cs="Palatino Linotype"/>
          <w:i/>
          <w:sz w:val="22"/>
          <w:szCs w:val="22"/>
          <w:u w:val="single"/>
        </w:rPr>
        <w:t>.</w:t>
      </w:r>
      <w:r w:rsidRPr="00A62933">
        <w:rPr>
          <w:rFonts w:ascii="Palatino Linotype" w:eastAsia="Palatino Linotype" w:hAnsi="Palatino Linotype" w:cs="Palatino Linotype"/>
          <w:i/>
          <w:sz w:val="22"/>
          <w:szCs w:val="22"/>
        </w:rPr>
        <w:t xml:space="preserve"> El equilibrio entre perjuicio y beneficio a favor del interés público, a fin de que la decisión tomada represente un beneficio mayor al perjuicio que podría causar a la población. </w:t>
      </w:r>
    </w:p>
    <w:p w14:paraId="182BDAB9"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Conforme a lo expuesto, </w:t>
      </w:r>
      <w:r w:rsidRPr="00A62933">
        <w:rPr>
          <w:rFonts w:ascii="Palatino Linotype" w:eastAsia="Palatino Linotype" w:hAnsi="Palatino Linotype" w:cs="Palatino Linotype"/>
          <w:b/>
          <w:i/>
          <w:sz w:val="22"/>
          <w:szCs w:val="22"/>
        </w:rPr>
        <w:t>si bien se causa un perjuicio a la intimidad, honor, imagen y presunción de inocencia, de los servidores y ex servidores públicos que enfrentan acusaciones sobre diversos casos</w:t>
      </w:r>
      <w:r w:rsidRPr="00A62933">
        <w:rPr>
          <w:rFonts w:ascii="Palatino Linotype" w:eastAsia="Palatino Linotype" w:hAnsi="Palatino Linotype" w:cs="Palatino Linotype"/>
          <w:i/>
          <w:sz w:val="22"/>
          <w:szCs w:val="22"/>
        </w:rPr>
        <w:t xml:space="preserve">, lo cierto es que, </w:t>
      </w:r>
      <w:r w:rsidRPr="00A62933">
        <w:rPr>
          <w:rFonts w:ascii="Palatino Linotype" w:eastAsia="Palatino Linotype" w:hAnsi="Palatino Linotype" w:cs="Palatino Linotype"/>
          <w:b/>
          <w:i/>
          <w:sz w:val="22"/>
          <w:szCs w:val="22"/>
        </w:rPr>
        <w:t>divulgar sus nombres representa un beneficio mayor para la sociedad puesto que rinde cuentas sobre quiénes están probablemente implicados en conductas relacionadas con hechos de corrupción</w:t>
      </w:r>
      <w:r w:rsidRPr="00A62933">
        <w:rPr>
          <w:rFonts w:ascii="Palatino Linotype" w:eastAsia="Palatino Linotype" w:hAnsi="Palatino Linotype" w:cs="Palatino Linotype"/>
          <w:i/>
          <w:sz w:val="22"/>
          <w:szCs w:val="22"/>
        </w:rPr>
        <w:t xml:space="preserve">. </w:t>
      </w:r>
    </w:p>
    <w:p w14:paraId="6572ACEB"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Sumado a lo anterior, debemos recordar que uno de los señalamientos de la Convención Interamericana contra la Corrupción, lo cual ha sido ratificado por México, es que la corrupción atenta contra la sociedad, el orden moral y la justicia. </w:t>
      </w:r>
    </w:p>
    <w:p w14:paraId="7B6098AC"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De manera que, si la Fiscalía General de la República aperturó diversas carpetas de investigación en contra de las personas que posiblemente cometieron actos de corrupción, el hecho de que dé a conocer sus nombres, independientemente de que se encuentre en la fase de investigación, significaría rendir cuentas del compromiso del Estado Mexicano en el combate a la corrupción ante la Comisión Interamericana de los Derechos Humanos, y frente a la sociedad nacional e internacional. </w:t>
      </w:r>
    </w:p>
    <w:p w14:paraId="43CDEE81" w14:textId="77777777" w:rsidR="00D671CA" w:rsidRPr="00A62933" w:rsidRDefault="00C23F3B">
      <w:pPr>
        <w:spacing w:before="120" w:after="120"/>
        <w:ind w:left="284" w:right="333"/>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En este sentido, se robustece la necesidad de que impere el derecho de acceso a la información sobre los principios antes referidos, toda vez que es proporcional la satisfacción de la sociedad de conocer la información de interés, toda vez que, de ser el caso, la declaración de inocencia, en su momento, los liberará de los señalamientos a que haya lugar. </w:t>
      </w:r>
    </w:p>
    <w:p w14:paraId="4E43939E" w14:textId="77777777" w:rsidR="00D671CA" w:rsidRPr="00A62933" w:rsidRDefault="00C23F3B">
      <w:pPr>
        <w:spacing w:before="120" w:after="120"/>
        <w:ind w:left="284" w:right="333"/>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i/>
          <w:sz w:val="22"/>
          <w:szCs w:val="22"/>
        </w:rPr>
        <w:t xml:space="preserve">Por tanto, es posible concluir que, en la ponderación realizada, se cumple con los tres elementos para dotarle de preminencia al derecho de acceso a la información, a efecto de poder entregar la información relativa a los servidores o ex servidores denunciados pues con el análisis de interés público </w:t>
      </w:r>
      <w:r w:rsidRPr="00A62933">
        <w:rPr>
          <w:rFonts w:ascii="Palatino Linotype" w:eastAsia="Palatino Linotype" w:hAnsi="Palatino Linotype" w:cs="Palatino Linotype"/>
          <w:b/>
          <w:i/>
          <w:sz w:val="22"/>
          <w:szCs w:val="22"/>
        </w:rPr>
        <w:t>no es posible clasificarla en términos del artículo 113, fracción I de la Ley de la materia.”</w:t>
      </w:r>
    </w:p>
    <w:p w14:paraId="1182FC8D"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Con base en los argumentos expuestos se estima que para tener por satisfecho el Derecho de acceso a la información de la persona solicitante, es necesario que 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haga entrega de lo siguiente:</w:t>
      </w:r>
    </w:p>
    <w:p w14:paraId="691F7321"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1. Los oficios que fueron proporcionados de forma incompleta a través de los archivos ENERO 2025- CONVOCATORIAS.pdf, ENERO 2025- OFICIOS PARA EL CONTRALOR_redacted.pdf, y ENERO 2025-OFICIOS ENVIADOS A LA DELEGACIÓN 1.pdf, en versión pública de ser procedente.</w:t>
      </w:r>
    </w:p>
    <w:p w14:paraId="7690A4E2"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2. Los oficios que formaban parte de </w:t>
      </w:r>
      <w:r w:rsidRPr="00A62933">
        <w:rPr>
          <w:rFonts w:ascii="Palatino Linotype" w:eastAsia="Palatino Linotype" w:hAnsi="Palatino Linotype" w:cs="Palatino Linotype"/>
          <w:b/>
          <w:sz w:val="22"/>
          <w:szCs w:val="22"/>
        </w:rPr>
        <w:t xml:space="preserve">expedientes que se encontraban en etapa de auditoría, investigación, sustanciación y resolución, al veintinueve de abril de dos mil veinticinco, </w:t>
      </w:r>
      <w:r w:rsidRPr="00A62933">
        <w:rPr>
          <w:rFonts w:ascii="Palatino Linotype" w:eastAsia="Palatino Linotype" w:hAnsi="Palatino Linotype" w:cs="Palatino Linotype"/>
          <w:sz w:val="22"/>
          <w:szCs w:val="22"/>
        </w:rPr>
        <w:t>relacionados con actos de corrupción o posibles violaciones graves a derechos humanos, de conformidad con el artículo 142, de la Ley de Transparencia y Acceso a la Información Pública del Estado de México y Municipios.</w:t>
      </w:r>
    </w:p>
    <w:p w14:paraId="26126186"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3. Acuerdo del Comité de Transparencia en donde de manera fundada y motivada, confirme la clasificación de los oficios que eran parte de expedientes en etapa de auditoría, investigación, sustanciación y resolución, al veintinueve de abril de dos mil veinticinco, como información reservada, en términos de los artículos 128, 129, 135 y 140 de la Ley de Transparencia y Acceso a la Información Pública del Estado de México y Municipios, con excepción de los referidos en el punto anterior.</w:t>
      </w:r>
    </w:p>
    <w:p w14:paraId="2A34090E" w14:textId="77777777" w:rsidR="00D671CA" w:rsidRPr="00A62933" w:rsidRDefault="00C23F3B">
      <w:pPr>
        <w:spacing w:before="240" w:after="240" w:line="360" w:lineRule="auto"/>
        <w:ind w:left="284"/>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4. El acuerdo de Acuerdo del Comité de Transparencia de conformidad con la Ley de Transparencia y Acceso a la Información Pública del Estado de México y Municipios, en el que funde y motive las razones sobre los datos que se suprimieron en los oficios proporcionados en respuesta; así como de los oficios que serán proporcionados en cumplimiento al punto 1</w:t>
      </w:r>
      <w:r w:rsidRPr="00A62933">
        <w:rPr>
          <w:rFonts w:ascii="Palatino Linotype" w:eastAsia="Palatino Linotype" w:hAnsi="Palatino Linotype" w:cs="Palatino Linotype"/>
          <w:b/>
          <w:sz w:val="22"/>
          <w:szCs w:val="22"/>
        </w:rPr>
        <w:t>.</w:t>
      </w:r>
    </w:p>
    <w:p w14:paraId="294C1A7B"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No obstante, para el caso de que derivado de la búsqueda que se ordena, no se llegaran a localizar oficios que formaban parte de </w:t>
      </w:r>
      <w:r w:rsidRPr="00A62933">
        <w:rPr>
          <w:rFonts w:ascii="Palatino Linotype" w:eastAsia="Palatino Linotype" w:hAnsi="Palatino Linotype" w:cs="Palatino Linotype"/>
          <w:b/>
          <w:sz w:val="22"/>
          <w:szCs w:val="22"/>
        </w:rPr>
        <w:t xml:space="preserve">expedientes que se encontraban en etapa de auditoría, investigación, sustanciación y resolución a la fecha que se indica, </w:t>
      </w:r>
      <w:r w:rsidRPr="00A62933">
        <w:rPr>
          <w:rFonts w:ascii="Palatino Linotype" w:eastAsia="Palatino Linotype" w:hAnsi="Palatino Linotype" w:cs="Palatino Linotype"/>
          <w:sz w:val="22"/>
          <w:szCs w:val="22"/>
        </w:rPr>
        <w:t>por no haberse generado, bastará con que así se haga del conocimiento de la persona solicitante en términos del artículo 19, párrafo segundo de la Ley de la Materia, que es del tenor literal siguiente:</w:t>
      </w:r>
    </w:p>
    <w:p w14:paraId="67A0A398" w14:textId="77777777" w:rsidR="00D671CA" w:rsidRPr="00A62933" w:rsidRDefault="00C23F3B">
      <w:pPr>
        <w:spacing w:before="240" w:after="24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Artículo 19</w:t>
      </w:r>
      <w:r w:rsidRPr="00A62933">
        <w:rPr>
          <w:rFonts w:ascii="Palatino Linotype" w:eastAsia="Palatino Linotype" w:hAnsi="Palatino Linotype" w:cs="Palatino Linotype"/>
          <w:i/>
          <w:sz w:val="22"/>
          <w:szCs w:val="22"/>
        </w:rPr>
        <w:t>…</w:t>
      </w:r>
    </w:p>
    <w:p w14:paraId="18B0DFEE" w14:textId="77777777" w:rsidR="00D671CA" w:rsidRPr="00A62933" w:rsidRDefault="00C23F3B">
      <w:pPr>
        <w:spacing w:before="240" w:after="24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548B5B8A" w14:textId="77777777" w:rsidR="00D671CA" w:rsidRPr="00A62933" w:rsidRDefault="00C23F3B">
      <w:pPr>
        <w:spacing w:line="360" w:lineRule="auto"/>
        <w:ind w:right="62"/>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Finalmente, respecto de los motivos de inconformidad alegados por la parte </w:t>
      </w:r>
      <w:r w:rsidRPr="00A62933">
        <w:rPr>
          <w:rFonts w:ascii="Palatino Linotype" w:eastAsia="Palatino Linotype" w:hAnsi="Palatino Linotype" w:cs="Palatino Linotype"/>
          <w:b/>
          <w:sz w:val="22"/>
          <w:szCs w:val="22"/>
        </w:rPr>
        <w:t>Recurrente,</w:t>
      </w:r>
      <w:r w:rsidRPr="00A62933">
        <w:rPr>
          <w:rFonts w:ascii="Palatino Linotype" w:eastAsia="Palatino Linotype" w:hAnsi="Palatino Linotype" w:cs="Palatino Linotype"/>
          <w:sz w:val="22"/>
          <w:szCs w:val="22"/>
        </w:rPr>
        <w:t xml:space="preserve"> respecto del plazo para notificar la prórroga para dar respuesta a la solicitud, es necesario apuntar que de conformidad con el artículo 163 de la Ley de Transparencia local, la prórroga debe darse en los siguientes términos:</w:t>
      </w:r>
    </w:p>
    <w:p w14:paraId="0143B22D" w14:textId="77777777" w:rsidR="00D671CA" w:rsidRPr="00A62933" w:rsidRDefault="00C23F3B">
      <w:pPr>
        <w:pBdr>
          <w:top w:val="nil"/>
          <w:left w:val="nil"/>
          <w:bottom w:val="nil"/>
          <w:right w:val="nil"/>
          <w:between w:val="nil"/>
        </w:pBdr>
        <w:spacing w:before="240" w:after="240"/>
        <w:ind w:left="851" w:right="993"/>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Artículo 163.</w:t>
      </w:r>
      <w:r w:rsidRPr="00A62933">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w:t>
      </w:r>
      <w:r w:rsidRPr="00A62933">
        <w:rPr>
          <w:rFonts w:ascii="Palatino Linotype" w:eastAsia="Palatino Linotype" w:hAnsi="Palatino Linotype" w:cs="Palatino Linotype"/>
          <w:b/>
          <w:i/>
          <w:sz w:val="22"/>
          <w:szCs w:val="22"/>
        </w:rPr>
        <w:t>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w:t>
      </w:r>
      <w:r w:rsidRPr="00A62933">
        <w:rPr>
          <w:rFonts w:ascii="Palatino Linotype" w:eastAsia="Palatino Linotype" w:hAnsi="Palatino Linotype" w:cs="Palatino Linotype"/>
          <w:i/>
          <w:sz w:val="22"/>
          <w:szCs w:val="22"/>
        </w:rPr>
        <w:t>, antes de su vencimiento. No podrán invocarse como causales de ampliación del plazo motivos que supongan negligencia o descuido del sujeto obligado en el desahogo de la solicitud.” (Sic)</w:t>
      </w:r>
    </w:p>
    <w:p w14:paraId="1D171130" w14:textId="77777777" w:rsidR="00D671CA" w:rsidRPr="00A62933" w:rsidRDefault="00C23F3B">
      <w:pPr>
        <w:spacing w:before="240" w:after="240" w:line="360" w:lineRule="auto"/>
        <w:ind w:right="62"/>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De manera que dentro del trámite a la solicitud de información, se prevé que, de ser el caso en el que se requiera ampliar el plazo, deberán existir razones fundadas y motivadas, las cuales serán asentadas en una resolución emitida por el Comité de Transparencia y posteriormente este documento se notificará al solicitante antes del vencimiento del plazo, situación que no aconteció en el caso particular y es por ello que la parte</w:t>
      </w:r>
      <w:r w:rsidRPr="00A62933">
        <w:rPr>
          <w:rFonts w:ascii="Palatino Linotype" w:eastAsia="Palatino Linotype" w:hAnsi="Palatino Linotype" w:cs="Palatino Linotype"/>
          <w:b/>
          <w:sz w:val="22"/>
          <w:szCs w:val="22"/>
        </w:rPr>
        <w:t xml:space="preserve"> Recurrente</w:t>
      </w:r>
      <w:r w:rsidRPr="00A62933">
        <w:rPr>
          <w:rFonts w:ascii="Palatino Linotype" w:eastAsia="Palatino Linotype" w:hAnsi="Palatino Linotype" w:cs="Palatino Linotype"/>
          <w:sz w:val="22"/>
          <w:szCs w:val="22"/>
        </w:rPr>
        <w:t xml:space="preserve"> argumenta esta circunstancia al momento de la interposición del Recurso de Revisión, no obstante, es de señalar que el Recurso de Revisión, no es el medio para subsanar faltas u omisiones procesales, por lo que dicha manifestación no encuadra en algún supuesto de procedencia establecido en el artículo 179 de la Ley de Transparencia y Acceso a la Información Pública, determinándose improcedente su estudio. </w:t>
      </w:r>
    </w:p>
    <w:p w14:paraId="18FB11B1" w14:textId="77777777" w:rsidR="00D671CA" w:rsidRPr="00A62933" w:rsidRDefault="00C23F3B">
      <w:pPr>
        <w:spacing w:before="240" w:after="240" w:line="360" w:lineRule="auto"/>
        <w:ind w:right="62"/>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Y, si bien la falta de la tramitación el acuerdo de prórroga resulta ser una inconsistencia procesal y ello no impide que se sustancie el medio de impugnación, se insta al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xml:space="preserve"> a desarrollar, en lo subsecuente, y con mayor diligencia el Procedimiento de Acceso a la Información Pública.</w:t>
      </w:r>
    </w:p>
    <w:p w14:paraId="72E27B91" w14:textId="77777777" w:rsidR="00D671CA" w:rsidRPr="00A62933" w:rsidRDefault="00C23F3B">
      <w:pPr>
        <w:tabs>
          <w:tab w:val="left" w:pos="975"/>
        </w:tabs>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De lo hasta aquí expuesto, se concluye que los motivos de inconformidad de la parte </w:t>
      </w:r>
      <w:r w:rsidRPr="00A62933">
        <w:rPr>
          <w:rFonts w:ascii="Palatino Linotype" w:eastAsia="Palatino Linotype" w:hAnsi="Palatino Linotype" w:cs="Palatino Linotype"/>
          <w:b/>
          <w:sz w:val="22"/>
          <w:szCs w:val="22"/>
        </w:rPr>
        <w:t xml:space="preserve">Recurrente </w:t>
      </w:r>
      <w:r w:rsidRPr="00A62933">
        <w:rPr>
          <w:rFonts w:ascii="Palatino Linotype" w:eastAsia="Palatino Linotype" w:hAnsi="Palatino Linotype" w:cs="Palatino Linotype"/>
          <w:sz w:val="22"/>
          <w:szCs w:val="22"/>
        </w:rPr>
        <w:t xml:space="preserve">devienen fundados, siendo procedente </w:t>
      </w:r>
      <w:r w:rsidRPr="00A62933">
        <w:rPr>
          <w:rFonts w:ascii="Palatino Linotype" w:eastAsia="Palatino Linotype" w:hAnsi="Palatino Linotype" w:cs="Palatino Linotype"/>
          <w:i/>
          <w:sz w:val="22"/>
          <w:szCs w:val="22"/>
        </w:rPr>
        <w:t xml:space="preserve">Modificar </w:t>
      </w:r>
      <w:r w:rsidRPr="00A62933">
        <w:rPr>
          <w:rFonts w:ascii="Palatino Linotype" w:eastAsia="Palatino Linotype" w:hAnsi="Palatino Linotype" w:cs="Palatino Linotype"/>
          <w:sz w:val="22"/>
          <w:szCs w:val="22"/>
        </w:rPr>
        <w:t xml:space="preserve">la respuesta proporcionada por el </w:t>
      </w:r>
      <w:r w:rsidRPr="00A62933">
        <w:rPr>
          <w:rFonts w:ascii="Palatino Linotype" w:eastAsia="Palatino Linotype" w:hAnsi="Palatino Linotype" w:cs="Palatino Linotype"/>
          <w:b/>
          <w:sz w:val="22"/>
          <w:szCs w:val="22"/>
        </w:rPr>
        <w:t xml:space="preserve">Sujeto Obligado </w:t>
      </w:r>
      <w:r w:rsidRPr="00A62933">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75AB5E13" w14:textId="77777777" w:rsidR="00D671CA" w:rsidRPr="00A62933" w:rsidRDefault="00C23F3B">
      <w:pPr>
        <w:spacing w:before="240" w:after="240" w:line="360" w:lineRule="auto"/>
        <w:ind w:right="51"/>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b/>
          <w:sz w:val="22"/>
          <w:szCs w:val="22"/>
        </w:rPr>
        <w:t xml:space="preserve">Quinto. Versión Pública. </w:t>
      </w:r>
      <w:r w:rsidRPr="00A62933">
        <w:rPr>
          <w:rFonts w:ascii="Palatino Linotype" w:eastAsia="Palatino Linotype" w:hAnsi="Palatino Linotype" w:cs="Palatino Linotype"/>
          <w:sz w:val="22"/>
          <w:szCs w:val="22"/>
        </w:rPr>
        <w:t>Como fue debidamente apuntado, el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A44F2D1"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22415C4"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D63D1E0"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097757C5"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sz w:val="22"/>
          <w:szCs w:val="22"/>
        </w:rPr>
        <w:t> </w:t>
      </w: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Artículo 3.</w:t>
      </w:r>
      <w:r w:rsidRPr="00A62933">
        <w:rPr>
          <w:rFonts w:ascii="Palatino Linotype" w:eastAsia="Palatino Linotype" w:hAnsi="Palatino Linotype" w:cs="Palatino Linotype"/>
          <w:i/>
          <w:sz w:val="22"/>
          <w:szCs w:val="22"/>
        </w:rPr>
        <w:t xml:space="preserve"> Para los efectos de la presente Ley se entenderá por:</w:t>
      </w:r>
    </w:p>
    <w:p w14:paraId="426EC86E" w14:textId="77777777" w:rsidR="00D671CA" w:rsidRPr="00A62933" w:rsidRDefault="00C23F3B">
      <w:pPr>
        <w:tabs>
          <w:tab w:val="left" w:pos="1276"/>
        </w:tabs>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2F0BEFB7" w14:textId="77777777" w:rsidR="00D671CA" w:rsidRPr="00A62933" w:rsidRDefault="00C23F3B">
      <w:pPr>
        <w:tabs>
          <w:tab w:val="left" w:pos="1276"/>
        </w:tabs>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IX. Datos personales</w:t>
      </w:r>
      <w:r w:rsidRPr="00A62933">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7F80B74" w14:textId="77777777" w:rsidR="00D671CA" w:rsidRPr="00A62933" w:rsidRDefault="00C23F3B">
      <w:pPr>
        <w:tabs>
          <w:tab w:val="left" w:pos="1276"/>
        </w:tabs>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01DC6864" w14:textId="77777777" w:rsidR="00D671CA" w:rsidRPr="00A62933" w:rsidRDefault="00C23F3B">
      <w:pPr>
        <w:tabs>
          <w:tab w:val="left" w:pos="1276"/>
        </w:tabs>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XX. Información clasificada</w:t>
      </w:r>
      <w:r w:rsidRPr="00A62933">
        <w:rPr>
          <w:rFonts w:ascii="Palatino Linotype" w:eastAsia="Palatino Linotype" w:hAnsi="Palatino Linotype" w:cs="Palatino Linotype"/>
          <w:i/>
          <w:sz w:val="22"/>
          <w:szCs w:val="22"/>
        </w:rPr>
        <w:t>: Aquella considerada por la presente Ley como reservada o confidencial;</w:t>
      </w:r>
    </w:p>
    <w:p w14:paraId="7F9D728E" w14:textId="77777777" w:rsidR="00D671CA" w:rsidRPr="00A62933" w:rsidRDefault="00C23F3B">
      <w:pPr>
        <w:tabs>
          <w:tab w:val="left" w:pos="1276"/>
        </w:tabs>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XXI. Información confidencial</w:t>
      </w:r>
      <w:r w:rsidRPr="00A62933">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40B490" w14:textId="77777777" w:rsidR="00D671CA" w:rsidRPr="00A62933" w:rsidRDefault="00C23F3B">
      <w:pPr>
        <w:tabs>
          <w:tab w:val="left" w:pos="1276"/>
        </w:tabs>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0B5BD65A" w14:textId="77777777" w:rsidR="00D671CA" w:rsidRPr="00A62933" w:rsidRDefault="00C23F3B">
      <w:pPr>
        <w:tabs>
          <w:tab w:val="left" w:pos="1276"/>
        </w:tabs>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XXXII. Protección de Datos Personales</w:t>
      </w:r>
      <w:r w:rsidRPr="00A62933">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D3AEC99" w14:textId="77777777" w:rsidR="00D671CA" w:rsidRPr="00A62933" w:rsidRDefault="00C23F3B">
      <w:pPr>
        <w:tabs>
          <w:tab w:val="left" w:pos="1276"/>
        </w:tabs>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3893825F" w14:textId="77777777" w:rsidR="00D671CA" w:rsidRPr="00A62933" w:rsidRDefault="00C23F3B">
      <w:pPr>
        <w:tabs>
          <w:tab w:val="left" w:pos="1276"/>
        </w:tabs>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XLV. Versión pública</w:t>
      </w:r>
      <w:r w:rsidRPr="00A6293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DFD59B8"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 Artículo 6</w:t>
      </w:r>
      <w:r w:rsidRPr="00A62933">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B67AE33"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6392C9DE"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Artículo 91.</w:t>
      </w:r>
      <w:r w:rsidRPr="00A6293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A62933">
        <w:rPr>
          <w:rFonts w:ascii="Palatino Linotype" w:eastAsia="Palatino Linotype" w:hAnsi="Palatino Linotype" w:cs="Palatino Linotype"/>
          <w:i/>
          <w:sz w:val="22"/>
          <w:szCs w:val="22"/>
        </w:rPr>
        <w:br/>
        <w:t>…</w:t>
      </w:r>
    </w:p>
    <w:p w14:paraId="115746B5"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Artículo 132.</w:t>
      </w:r>
      <w:r w:rsidRPr="00A62933">
        <w:rPr>
          <w:rFonts w:ascii="Palatino Linotype" w:eastAsia="Palatino Linotype" w:hAnsi="Palatino Linotype" w:cs="Palatino Linotype"/>
          <w:i/>
          <w:sz w:val="22"/>
          <w:szCs w:val="22"/>
        </w:rPr>
        <w:t xml:space="preserve"> La clasificación de la información se llevará a cabo en el momento en que:</w:t>
      </w:r>
    </w:p>
    <w:p w14:paraId="5C40474C"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w:t>
      </w:r>
      <w:r w:rsidRPr="00A62933">
        <w:rPr>
          <w:rFonts w:ascii="Palatino Linotype" w:eastAsia="Palatino Linotype" w:hAnsi="Palatino Linotype" w:cs="Palatino Linotype"/>
          <w:i/>
          <w:sz w:val="22"/>
          <w:szCs w:val="22"/>
        </w:rPr>
        <w:t>. Se reciba una solicitud de acceso a la información;</w:t>
      </w:r>
    </w:p>
    <w:p w14:paraId="28FC1BA2"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w:t>
      </w:r>
      <w:r w:rsidRPr="00A62933">
        <w:rPr>
          <w:rFonts w:ascii="Palatino Linotype" w:eastAsia="Palatino Linotype" w:hAnsi="Palatino Linotype" w:cs="Palatino Linotype"/>
          <w:i/>
          <w:sz w:val="22"/>
          <w:szCs w:val="22"/>
        </w:rPr>
        <w:t xml:space="preserve"> Se determine mediante resolución de autoridad competente; o</w:t>
      </w:r>
    </w:p>
    <w:p w14:paraId="6ABCD457"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III.</w:t>
      </w:r>
      <w:r w:rsidRPr="00A62933">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92AFA2D"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w:t>
      </w:r>
    </w:p>
    <w:p w14:paraId="30CC71C1"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Artículo 137.</w:t>
      </w:r>
      <w:r w:rsidRPr="00A6293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34D80D"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 Artículo 143.</w:t>
      </w:r>
      <w:r w:rsidRPr="00A62933">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C512385"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w:t>
      </w:r>
      <w:r w:rsidRPr="00A62933">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FCC7305" w14:textId="77777777" w:rsidR="00D671CA" w:rsidRPr="00A62933" w:rsidRDefault="00C23F3B">
      <w:pPr>
        <w:spacing w:before="240" w:after="240" w:line="360" w:lineRule="auto"/>
        <w:ind w:right="50"/>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1654828" w14:textId="77777777" w:rsidR="00D671CA" w:rsidRPr="00A62933" w:rsidRDefault="00C23F3B">
      <w:pPr>
        <w:spacing w:before="240" w:after="240" w:line="360" w:lineRule="auto"/>
        <w:ind w:right="50"/>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58DE8FF" w14:textId="77777777" w:rsidR="00D671CA" w:rsidRPr="00A62933" w:rsidRDefault="00C23F3B">
      <w:pPr>
        <w:spacing w:before="240" w:after="240" w:line="360" w:lineRule="auto"/>
        <w:ind w:right="50"/>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030368A" w14:textId="77777777" w:rsidR="00D671CA" w:rsidRPr="00A62933" w:rsidRDefault="00C23F3B">
      <w:pPr>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“Artículo 49.</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Los Comités de Transparencia</w:t>
      </w:r>
      <w:r w:rsidRPr="00A62933">
        <w:rPr>
          <w:rFonts w:ascii="Palatino Linotype" w:eastAsia="Palatino Linotype" w:hAnsi="Palatino Linotype" w:cs="Palatino Linotype"/>
          <w:i/>
          <w:sz w:val="22"/>
          <w:szCs w:val="22"/>
        </w:rPr>
        <w:t xml:space="preserve"> tendrán las siguientes atribuciones:</w:t>
      </w:r>
    </w:p>
    <w:p w14:paraId="54A8EC93" w14:textId="77777777" w:rsidR="00D671CA" w:rsidRPr="00A62933" w:rsidRDefault="00C23F3B">
      <w:pPr>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VIII. Aprobar, modificar o revocar la clasificación de la información</w:t>
      </w:r>
      <w:r w:rsidRPr="00A62933">
        <w:rPr>
          <w:rFonts w:ascii="Palatino Linotype" w:eastAsia="Palatino Linotype" w:hAnsi="Palatino Linotype" w:cs="Palatino Linotype"/>
          <w:i/>
          <w:sz w:val="22"/>
          <w:szCs w:val="22"/>
        </w:rPr>
        <w:t>…”</w:t>
      </w:r>
    </w:p>
    <w:p w14:paraId="6F88B631" w14:textId="77777777" w:rsidR="00D671CA" w:rsidRPr="00A62933" w:rsidRDefault="00C23F3B">
      <w:pPr>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Artículo 53.</w:t>
      </w:r>
      <w:r w:rsidRPr="00A62933">
        <w:rPr>
          <w:rFonts w:ascii="Palatino Linotype" w:eastAsia="Palatino Linotype" w:hAnsi="Palatino Linotype" w:cs="Palatino Linotype"/>
          <w:i/>
          <w:sz w:val="22"/>
          <w:szCs w:val="22"/>
        </w:rPr>
        <w:t xml:space="preserve"> Las </w:t>
      </w:r>
      <w:r w:rsidRPr="00A62933">
        <w:rPr>
          <w:rFonts w:ascii="Palatino Linotype" w:eastAsia="Palatino Linotype" w:hAnsi="Palatino Linotype" w:cs="Palatino Linotype"/>
          <w:b/>
          <w:i/>
          <w:sz w:val="22"/>
          <w:szCs w:val="22"/>
        </w:rPr>
        <w:t>Unidades de Transparencia</w:t>
      </w:r>
      <w:r w:rsidRPr="00A62933">
        <w:rPr>
          <w:rFonts w:ascii="Palatino Linotype" w:eastAsia="Palatino Linotype" w:hAnsi="Palatino Linotype" w:cs="Palatino Linotype"/>
          <w:i/>
          <w:sz w:val="22"/>
          <w:szCs w:val="22"/>
        </w:rPr>
        <w:t xml:space="preserve"> tendrán las siguientes </w:t>
      </w:r>
      <w:r w:rsidRPr="00A62933">
        <w:rPr>
          <w:rFonts w:ascii="Palatino Linotype" w:eastAsia="Palatino Linotype" w:hAnsi="Palatino Linotype" w:cs="Palatino Linotype"/>
          <w:b/>
          <w:i/>
          <w:sz w:val="22"/>
          <w:szCs w:val="22"/>
        </w:rPr>
        <w:t>funciones</w:t>
      </w:r>
      <w:r w:rsidRPr="00A62933">
        <w:rPr>
          <w:rFonts w:ascii="Palatino Linotype" w:eastAsia="Palatino Linotype" w:hAnsi="Palatino Linotype" w:cs="Palatino Linotype"/>
          <w:i/>
          <w:sz w:val="22"/>
          <w:szCs w:val="22"/>
        </w:rPr>
        <w:t>:</w:t>
      </w:r>
    </w:p>
    <w:p w14:paraId="6AC26884" w14:textId="77777777" w:rsidR="00D671CA" w:rsidRPr="00A62933" w:rsidRDefault="00C23F3B">
      <w:pPr>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X. Presentar ante el Comité, el proyecto de clasificación de información</w:t>
      </w:r>
      <w:r w:rsidRPr="00A62933">
        <w:rPr>
          <w:rFonts w:ascii="Palatino Linotype" w:eastAsia="Palatino Linotype" w:hAnsi="Palatino Linotype" w:cs="Palatino Linotype"/>
          <w:i/>
          <w:sz w:val="22"/>
          <w:szCs w:val="22"/>
        </w:rPr>
        <w:t xml:space="preserve">…” </w:t>
      </w:r>
    </w:p>
    <w:p w14:paraId="3F306D64" w14:textId="77777777" w:rsidR="00D671CA" w:rsidRPr="00A62933" w:rsidRDefault="00C23F3B">
      <w:pPr>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“Artículo 59.</w:t>
      </w:r>
      <w:r w:rsidRPr="00A62933">
        <w:rPr>
          <w:rFonts w:ascii="Palatino Linotype" w:eastAsia="Palatino Linotype" w:hAnsi="Palatino Linotype" w:cs="Palatino Linotype"/>
          <w:i/>
          <w:sz w:val="22"/>
          <w:szCs w:val="22"/>
        </w:rPr>
        <w:t xml:space="preserve"> Los </w:t>
      </w:r>
      <w:r w:rsidRPr="00A62933">
        <w:rPr>
          <w:rFonts w:ascii="Palatino Linotype" w:eastAsia="Palatino Linotype" w:hAnsi="Palatino Linotype" w:cs="Palatino Linotype"/>
          <w:b/>
          <w:i/>
          <w:sz w:val="22"/>
          <w:szCs w:val="22"/>
        </w:rPr>
        <w:t>servidores públicos habilitados</w:t>
      </w:r>
      <w:r w:rsidRPr="00A62933">
        <w:rPr>
          <w:rFonts w:ascii="Palatino Linotype" w:eastAsia="Palatino Linotype" w:hAnsi="Palatino Linotype" w:cs="Palatino Linotype"/>
          <w:i/>
          <w:sz w:val="22"/>
          <w:szCs w:val="22"/>
        </w:rPr>
        <w:t xml:space="preserve"> tendrán las </w:t>
      </w:r>
      <w:r w:rsidRPr="00A62933">
        <w:rPr>
          <w:rFonts w:ascii="Palatino Linotype" w:eastAsia="Palatino Linotype" w:hAnsi="Palatino Linotype" w:cs="Palatino Linotype"/>
          <w:b/>
          <w:i/>
          <w:sz w:val="22"/>
          <w:szCs w:val="22"/>
        </w:rPr>
        <w:t>funciones</w:t>
      </w:r>
      <w:r w:rsidRPr="00A62933">
        <w:rPr>
          <w:rFonts w:ascii="Palatino Linotype" w:eastAsia="Palatino Linotype" w:hAnsi="Palatino Linotype" w:cs="Palatino Linotype"/>
          <w:i/>
          <w:sz w:val="22"/>
          <w:szCs w:val="22"/>
        </w:rPr>
        <w:t xml:space="preserve"> siguientes:</w:t>
      </w:r>
    </w:p>
    <w:p w14:paraId="3FE15C36" w14:textId="77777777" w:rsidR="00D671CA" w:rsidRPr="00A62933" w:rsidRDefault="00C23F3B">
      <w:pPr>
        <w:spacing w:before="120" w:after="120"/>
        <w:ind w:left="1134"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62933">
        <w:rPr>
          <w:rFonts w:ascii="Palatino Linotype" w:eastAsia="Palatino Linotype" w:hAnsi="Palatino Linotype" w:cs="Palatino Linotype"/>
          <w:i/>
          <w:sz w:val="22"/>
          <w:szCs w:val="22"/>
        </w:rPr>
        <w:t>, la cual tendrá los fundamentos y argumentos en que se basa dicha propuesta…”</w:t>
      </w:r>
    </w:p>
    <w:p w14:paraId="439B5703"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965EE4C"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1673BC25"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Artículo 149.</w:t>
      </w:r>
      <w:r w:rsidRPr="00A62933">
        <w:rPr>
          <w:rFonts w:ascii="Palatino Linotype" w:eastAsia="Palatino Linotype" w:hAnsi="Palatino Linotype" w:cs="Palatino Linotype"/>
          <w:i/>
          <w:sz w:val="22"/>
          <w:szCs w:val="22"/>
        </w:rPr>
        <w:t xml:space="preserve"> El </w:t>
      </w:r>
      <w:r w:rsidRPr="00A62933">
        <w:rPr>
          <w:rFonts w:ascii="Palatino Linotype" w:eastAsia="Palatino Linotype" w:hAnsi="Palatino Linotype" w:cs="Palatino Linotype"/>
          <w:b/>
          <w:i/>
          <w:sz w:val="22"/>
          <w:szCs w:val="22"/>
        </w:rPr>
        <w:t>acuerdo que clasifique la información como confidencial</w:t>
      </w:r>
      <w:r w:rsidRPr="00A6293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1058572" w14:textId="77777777" w:rsidR="00D671CA" w:rsidRPr="00A62933" w:rsidRDefault="00C23F3B">
      <w:pPr>
        <w:spacing w:before="240" w:after="240" w:line="360" w:lineRule="auto"/>
        <w:ind w:right="51"/>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Es decir, el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BDD547B" w14:textId="77777777" w:rsidR="00D671CA" w:rsidRPr="00A62933" w:rsidRDefault="00C23F3B">
      <w:pPr>
        <w:spacing w:before="240" w:after="240" w:line="360" w:lineRule="auto"/>
        <w:ind w:right="49"/>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Atento a lo anterior, cabe señalar que el Comité de Transparencia del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74FEEC70"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Segundo.-</w:t>
      </w:r>
      <w:r w:rsidRPr="00A62933">
        <w:rPr>
          <w:rFonts w:ascii="Palatino Linotype" w:eastAsia="Palatino Linotype" w:hAnsi="Palatino Linotype" w:cs="Palatino Linotype"/>
          <w:i/>
          <w:sz w:val="22"/>
          <w:szCs w:val="22"/>
        </w:rPr>
        <w:t xml:space="preserve"> Para efectos de los presentes Lineamientos Generales, se entenderá por:</w:t>
      </w:r>
    </w:p>
    <w:p w14:paraId="72C18B55" w14:textId="77777777" w:rsidR="00D671CA" w:rsidRPr="00A62933" w:rsidRDefault="00C23F3B">
      <w:pPr>
        <w:tabs>
          <w:tab w:val="left" w:pos="8222"/>
        </w:tabs>
        <w:spacing w:before="120" w:after="120"/>
        <w:ind w:left="1134"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XVIII.</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Versión pública:</w:t>
      </w:r>
      <w:r w:rsidRPr="00A6293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62933">
        <w:rPr>
          <w:rFonts w:ascii="Palatino Linotype" w:eastAsia="Palatino Linotype" w:hAnsi="Palatino Linotype" w:cs="Palatino Linotype"/>
          <w:b/>
          <w:i/>
          <w:sz w:val="22"/>
          <w:szCs w:val="22"/>
        </w:rPr>
        <w:t>fundando y motivando la</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reserva o confidencialidad</w:t>
      </w:r>
      <w:r w:rsidRPr="00A62933">
        <w:rPr>
          <w:rFonts w:ascii="Palatino Linotype" w:eastAsia="Palatino Linotype" w:hAnsi="Palatino Linotype" w:cs="Palatino Linotype"/>
          <w:i/>
          <w:sz w:val="22"/>
          <w:szCs w:val="22"/>
        </w:rPr>
        <w:t>, a través de la resolución que para tal efecto emita el Comité de Transparencia.</w:t>
      </w:r>
    </w:p>
    <w:p w14:paraId="060B2575"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sz w:val="22"/>
          <w:szCs w:val="22"/>
        </w:rPr>
        <w:t>...</w:t>
      </w:r>
    </w:p>
    <w:p w14:paraId="74A8AA6E"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Cuarto.</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Para clasificar la información como</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reservada o</w:t>
      </w:r>
      <w:r w:rsidRPr="00A62933">
        <w:rPr>
          <w:rFonts w:ascii="Palatino Linotype" w:eastAsia="Palatino Linotype" w:hAnsi="Palatino Linotype" w:cs="Palatino Linotype"/>
          <w:i/>
          <w:sz w:val="22"/>
          <w:szCs w:val="22"/>
        </w:rPr>
        <w:t xml:space="preserve"> </w:t>
      </w:r>
      <w:r w:rsidRPr="00A62933">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A62933">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59F2F42"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6E49CAA"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Quinto.</w:t>
      </w:r>
      <w:r w:rsidRPr="00A6293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B5B0D9C"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Sexto.</w:t>
      </w:r>
      <w:r w:rsidRPr="00A62933">
        <w:rPr>
          <w:rFonts w:ascii="Palatino Linotype" w:eastAsia="Palatino Linotype" w:hAnsi="Palatino Linotype" w:cs="Palatino Linotype"/>
          <w:i/>
          <w:sz w:val="22"/>
          <w:szCs w:val="22"/>
        </w:rPr>
        <w:t xml:space="preserve"> Se deroga.</w:t>
      </w:r>
    </w:p>
    <w:p w14:paraId="7F25EA11"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Séptimo.</w:t>
      </w:r>
      <w:r w:rsidRPr="00A62933">
        <w:rPr>
          <w:rFonts w:ascii="Palatino Linotype" w:eastAsia="Palatino Linotype" w:hAnsi="Palatino Linotype" w:cs="Palatino Linotype"/>
          <w:i/>
          <w:sz w:val="22"/>
          <w:szCs w:val="22"/>
        </w:rPr>
        <w:t xml:space="preserve"> La clasificación de la información se llevará a cabo en el momento en que:</w:t>
      </w:r>
    </w:p>
    <w:p w14:paraId="6C918A8E" w14:textId="77777777" w:rsidR="00D671CA" w:rsidRPr="00A62933" w:rsidRDefault="00C23F3B">
      <w:pPr>
        <w:tabs>
          <w:tab w:val="left" w:pos="8222"/>
        </w:tabs>
        <w:spacing w:before="120" w:after="120"/>
        <w:ind w:left="1134"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w:t>
      </w:r>
      <w:r w:rsidRPr="00A62933">
        <w:rPr>
          <w:rFonts w:ascii="Palatino Linotype" w:eastAsia="Palatino Linotype" w:hAnsi="Palatino Linotype" w:cs="Palatino Linotype"/>
          <w:i/>
          <w:sz w:val="22"/>
          <w:szCs w:val="22"/>
        </w:rPr>
        <w:t xml:space="preserve"> Se reciba una solicitud de acceso a la información;</w:t>
      </w:r>
    </w:p>
    <w:p w14:paraId="267D5782" w14:textId="77777777" w:rsidR="00D671CA" w:rsidRPr="00A62933" w:rsidRDefault="00C23F3B">
      <w:pPr>
        <w:tabs>
          <w:tab w:val="left" w:pos="8222"/>
        </w:tabs>
        <w:spacing w:before="120" w:after="120"/>
        <w:ind w:left="1134"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w:t>
      </w:r>
      <w:r w:rsidRPr="00A62933">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3192DBB0" w14:textId="77777777" w:rsidR="00D671CA" w:rsidRPr="00A62933" w:rsidRDefault="00C23F3B">
      <w:pPr>
        <w:tabs>
          <w:tab w:val="left" w:pos="8222"/>
        </w:tabs>
        <w:spacing w:before="120" w:after="120"/>
        <w:ind w:left="1134"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III.</w:t>
      </w:r>
      <w:r w:rsidRPr="00A6293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A02B106"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A62933">
        <w:rPr>
          <w:rFonts w:ascii="Palatino Linotype" w:eastAsia="Palatino Linotype" w:hAnsi="Palatino Linotype" w:cs="Palatino Linotype"/>
          <w:sz w:val="22"/>
          <w:szCs w:val="22"/>
        </w:rPr>
        <w:t xml:space="preserve">, </w:t>
      </w:r>
      <w:r w:rsidRPr="00A62933">
        <w:rPr>
          <w:rFonts w:ascii="Palatino Linotype" w:eastAsia="Palatino Linotype" w:hAnsi="Palatino Linotype" w:cs="Palatino Linotype"/>
          <w:i/>
          <w:sz w:val="22"/>
          <w:szCs w:val="22"/>
        </w:rPr>
        <w:t>conforme a su naturaleza, si encuadra en una causal de reserva o de confidencialidad.</w:t>
      </w:r>
    </w:p>
    <w:p w14:paraId="044E14F7"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Octavo.</w:t>
      </w:r>
      <w:r w:rsidRPr="00A6293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286FCC8"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F9C4F36"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A979A31"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Noveno.</w:t>
      </w:r>
      <w:r w:rsidRPr="00A6293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5031FE4"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Décimo.</w:t>
      </w:r>
      <w:r w:rsidRPr="00A6293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3EB62B7"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836EE1B" w14:textId="77777777" w:rsidR="00D671CA" w:rsidRPr="00A62933" w:rsidRDefault="00C23F3B">
      <w:pPr>
        <w:tabs>
          <w:tab w:val="left" w:pos="8222"/>
        </w:tabs>
        <w:spacing w:before="120" w:after="120"/>
        <w:ind w:left="851" w:right="1134"/>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Décimo primero.</w:t>
      </w:r>
      <w:r w:rsidRPr="00A6293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E5963AB" w14:textId="77777777" w:rsidR="00D671CA" w:rsidRPr="00A62933" w:rsidRDefault="00C23F3B">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36515324"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 xml:space="preserve"> “Quincuagésimo. </w:t>
      </w:r>
      <w:r w:rsidRPr="00A62933">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8EF5282" w14:textId="77777777" w:rsidR="00D671CA" w:rsidRPr="00A62933" w:rsidRDefault="00C23F3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 xml:space="preserve">Quincuagésimo primero. </w:t>
      </w:r>
      <w:r w:rsidRPr="00A62933">
        <w:rPr>
          <w:rFonts w:ascii="Palatino Linotype" w:eastAsia="Palatino Linotype" w:hAnsi="Palatino Linotype" w:cs="Palatino Linotype"/>
          <w:i/>
          <w:sz w:val="22"/>
          <w:szCs w:val="22"/>
        </w:rPr>
        <w:t xml:space="preserve">Toda acta del Comité de Transparencia deberá contener: </w:t>
      </w:r>
    </w:p>
    <w:p w14:paraId="403D3B8A" w14:textId="77777777" w:rsidR="00D671CA" w:rsidRPr="00A62933" w:rsidRDefault="00C23F3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w:t>
      </w:r>
      <w:r w:rsidRPr="00A62933">
        <w:rPr>
          <w:rFonts w:ascii="Palatino Linotype" w:eastAsia="Palatino Linotype" w:hAnsi="Palatino Linotype" w:cs="Palatino Linotype"/>
          <w:i/>
          <w:sz w:val="22"/>
          <w:szCs w:val="22"/>
        </w:rPr>
        <w:t xml:space="preserve"> El número de sesión y fecha; </w:t>
      </w:r>
    </w:p>
    <w:p w14:paraId="0821EFB5" w14:textId="77777777" w:rsidR="00D671CA" w:rsidRPr="00A62933" w:rsidRDefault="00C23F3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w:t>
      </w:r>
      <w:r w:rsidRPr="00A62933">
        <w:rPr>
          <w:rFonts w:ascii="Palatino Linotype" w:eastAsia="Palatino Linotype" w:hAnsi="Palatino Linotype" w:cs="Palatino Linotype"/>
          <w:i/>
          <w:sz w:val="22"/>
          <w:szCs w:val="22"/>
        </w:rPr>
        <w:t xml:space="preserve">. El nombre del área que solicitó la clasificación de información; </w:t>
      </w:r>
    </w:p>
    <w:p w14:paraId="18F5ACAD" w14:textId="77777777" w:rsidR="00D671CA" w:rsidRPr="00A62933" w:rsidRDefault="00C23F3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III</w:t>
      </w:r>
      <w:r w:rsidRPr="00A62933">
        <w:rPr>
          <w:rFonts w:ascii="Palatino Linotype" w:eastAsia="Palatino Linotype" w:hAnsi="Palatino Linotype" w:cs="Palatino Linotype"/>
          <w:i/>
          <w:sz w:val="22"/>
          <w:szCs w:val="22"/>
        </w:rPr>
        <w:t xml:space="preserve">. La fundamentación legal y motivación correspondiente; </w:t>
      </w:r>
    </w:p>
    <w:p w14:paraId="23EE2BFC" w14:textId="77777777" w:rsidR="00D671CA" w:rsidRPr="00A62933" w:rsidRDefault="00C23F3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IV</w:t>
      </w:r>
      <w:r w:rsidRPr="00A62933">
        <w:rPr>
          <w:rFonts w:ascii="Palatino Linotype" w:eastAsia="Palatino Linotype" w:hAnsi="Palatino Linotype" w:cs="Palatino Linotype"/>
          <w:i/>
          <w:sz w:val="22"/>
          <w:szCs w:val="22"/>
        </w:rPr>
        <w:t xml:space="preserve">. La resolución o resoluciones aprobadas; y </w:t>
      </w:r>
    </w:p>
    <w:p w14:paraId="031A32CD" w14:textId="77777777" w:rsidR="00D671CA" w:rsidRPr="00A62933" w:rsidRDefault="00C23F3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V</w:t>
      </w:r>
      <w:r w:rsidRPr="00A62933">
        <w:rPr>
          <w:rFonts w:ascii="Palatino Linotype" w:eastAsia="Palatino Linotype" w:hAnsi="Palatino Linotype" w:cs="Palatino Linotype"/>
          <w:i/>
          <w:sz w:val="22"/>
          <w:szCs w:val="22"/>
        </w:rPr>
        <w:t xml:space="preserve">. La rúbrica o firma digital de cada integrante del Comité de Transparencia. </w:t>
      </w:r>
    </w:p>
    <w:p w14:paraId="1F1B8431" w14:textId="77777777" w:rsidR="00D671CA" w:rsidRPr="00A62933" w:rsidRDefault="00C23F3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DAB1B99" w14:textId="77777777" w:rsidR="00D671CA" w:rsidRPr="00A62933" w:rsidRDefault="00C23F3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w:t>
      </w:r>
      <w:r w:rsidRPr="00A62933">
        <w:rPr>
          <w:rFonts w:ascii="Palatino Linotype" w:eastAsia="Palatino Linotype" w:hAnsi="Palatino Linotype" w:cs="Palatino Linotype"/>
          <w:i/>
          <w:sz w:val="22"/>
          <w:szCs w:val="22"/>
        </w:rPr>
        <w:t xml:space="preserve"> Los motivos y razonamientos que sustenten la confirmación o modificación de la prueba de daño;</w:t>
      </w:r>
    </w:p>
    <w:p w14:paraId="284EBE96" w14:textId="77777777" w:rsidR="00D671CA" w:rsidRPr="00A62933" w:rsidRDefault="00C23F3B">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sz w:val="22"/>
          <w:szCs w:val="22"/>
        </w:rPr>
        <w:t>II</w:t>
      </w:r>
      <w:r w:rsidRPr="00A62933">
        <w:rPr>
          <w:rFonts w:ascii="Palatino Linotype" w:eastAsia="Palatino Linotype" w:hAnsi="Palatino Linotype" w:cs="Palatino Linotype"/>
          <w:i/>
          <w:sz w:val="22"/>
          <w:szCs w:val="22"/>
        </w:rPr>
        <w:t>. Descripción de las partes o secciones reservadas, en caso de clasificación parcial</w:t>
      </w:r>
      <w:r w:rsidRPr="00A62933">
        <w:rPr>
          <w:rFonts w:ascii="Palatino Linotype" w:eastAsia="Palatino Linotype" w:hAnsi="Palatino Linotype" w:cs="Palatino Linotype"/>
          <w:b/>
          <w:i/>
          <w:sz w:val="22"/>
          <w:szCs w:val="22"/>
        </w:rPr>
        <w:t xml:space="preserve">; </w:t>
      </w:r>
    </w:p>
    <w:p w14:paraId="6FF239A9" w14:textId="77777777" w:rsidR="00D671CA" w:rsidRPr="00A62933" w:rsidRDefault="00C23F3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III.</w:t>
      </w:r>
      <w:r w:rsidRPr="00A62933">
        <w:rPr>
          <w:rFonts w:ascii="Palatino Linotype" w:eastAsia="Palatino Linotype" w:hAnsi="Palatino Linotype" w:cs="Palatino Linotype"/>
          <w:i/>
          <w:sz w:val="22"/>
          <w:szCs w:val="22"/>
        </w:rPr>
        <w:t xml:space="preserve"> El periodo por el que mantendrá su clasificación y fecha de expiración; y </w:t>
      </w:r>
    </w:p>
    <w:p w14:paraId="3A9AF8F0" w14:textId="77777777" w:rsidR="00D671CA" w:rsidRPr="00A62933" w:rsidRDefault="00C23F3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IV.</w:t>
      </w:r>
      <w:r w:rsidRPr="00A62933">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64CE26E" w14:textId="77777777" w:rsidR="00D671CA" w:rsidRPr="00A62933" w:rsidRDefault="00C23F3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E978E99" w14:textId="77777777" w:rsidR="00D671CA" w:rsidRPr="00A62933" w:rsidRDefault="00C23F3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74647FF"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w:t>
      </w:r>
    </w:p>
    <w:p w14:paraId="2E44AEE5" w14:textId="77777777" w:rsidR="00D671CA" w:rsidRPr="00A62933" w:rsidRDefault="00C23F3B">
      <w:pPr>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r w:rsidRPr="00A62933">
        <w:rPr>
          <w:rFonts w:ascii="Palatino Linotype" w:eastAsia="Palatino Linotype" w:hAnsi="Palatino Linotype" w:cs="Palatino Linotype"/>
          <w:b/>
          <w:i/>
          <w:sz w:val="22"/>
          <w:szCs w:val="22"/>
        </w:rPr>
        <w:t>Quincuagésimo segundo</w:t>
      </w:r>
      <w:r w:rsidRPr="00A62933">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BF655F2" w14:textId="77777777" w:rsidR="00D671CA" w:rsidRPr="00A62933" w:rsidRDefault="00C23F3B">
      <w:pPr>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44BD4B8" w14:textId="77777777" w:rsidR="00D671CA" w:rsidRPr="00A62933" w:rsidRDefault="00C23F3B">
      <w:pPr>
        <w:spacing w:before="120" w:after="120"/>
        <w:ind w:left="1134"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w:t>
      </w:r>
      <w:r w:rsidRPr="00A62933">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7C2C6C55" w14:textId="77777777" w:rsidR="00D671CA" w:rsidRPr="00A62933" w:rsidRDefault="00C23F3B">
      <w:pPr>
        <w:spacing w:before="120" w:after="120"/>
        <w:ind w:left="1134"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w:t>
      </w:r>
      <w:r w:rsidRPr="00A62933">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F4502BF" w14:textId="77777777" w:rsidR="00D671CA" w:rsidRPr="00A62933" w:rsidRDefault="00C23F3B">
      <w:pPr>
        <w:spacing w:before="120" w:after="120"/>
        <w:ind w:left="1134"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III.</w:t>
      </w:r>
      <w:r w:rsidRPr="00A62933">
        <w:rPr>
          <w:rFonts w:ascii="Palatino Linotype" w:eastAsia="Palatino Linotype" w:hAnsi="Palatino Linotype" w:cs="Palatino Linotype"/>
          <w:i/>
          <w:sz w:val="22"/>
          <w:szCs w:val="22"/>
        </w:rPr>
        <w:t xml:space="preserve"> Señalar las personas o instancias autorizadas a acceder a la información clasificada.</w:t>
      </w:r>
    </w:p>
    <w:p w14:paraId="25873B9F" w14:textId="77777777" w:rsidR="00D671CA" w:rsidRPr="00A62933" w:rsidRDefault="00C23F3B">
      <w:pPr>
        <w:spacing w:before="120" w:after="120"/>
        <w:ind w:left="851" w:right="900"/>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006FB42" w14:textId="77777777" w:rsidR="00D671CA" w:rsidRPr="00A62933" w:rsidRDefault="00C23F3B">
      <w:pPr>
        <w:spacing w:before="240" w:after="240" w:line="360" w:lineRule="auto"/>
        <w:ind w:right="50"/>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En relación directa con ello deberá observar el Lineamiento Quincuagésimo tercero de los Lineamientos Generales en Materia de Clasificación y Desclasificación de la Información supraindicados, que establece los formatos para la clasificación de los documentos, conforme a lo siguiente: </w:t>
      </w:r>
    </w:p>
    <w:p w14:paraId="36E1EB2B" w14:textId="77777777" w:rsidR="00D671CA" w:rsidRPr="00A62933" w:rsidRDefault="00C23F3B">
      <w:pPr>
        <w:ind w:left="851" w:right="900"/>
        <w:jc w:val="center"/>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sz w:val="22"/>
          <w:szCs w:val="22"/>
        </w:rPr>
        <w:t>CAPÍTULO VIII</w:t>
      </w:r>
    </w:p>
    <w:p w14:paraId="1407A272" w14:textId="77777777" w:rsidR="00D671CA" w:rsidRPr="00A62933" w:rsidRDefault="00C23F3B">
      <w:pPr>
        <w:ind w:left="851" w:right="900"/>
        <w:jc w:val="center"/>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sz w:val="22"/>
          <w:szCs w:val="22"/>
        </w:rPr>
        <w:t xml:space="preserve">DE LOS ELEMENTOS PARA LA CLASIFICACIÓN </w:t>
      </w:r>
    </w:p>
    <w:p w14:paraId="03EFB062" w14:textId="77777777" w:rsidR="00D671CA" w:rsidRPr="00A62933" w:rsidRDefault="00C23F3B">
      <w:pPr>
        <w:ind w:left="851" w:right="900"/>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w:t>
      </w:r>
    </w:p>
    <w:p w14:paraId="1D4E3F39"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 xml:space="preserve">Quincuagésimo tercero. </w:t>
      </w:r>
      <w:r w:rsidRPr="00A62933">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A62933">
        <w:rPr>
          <w:rFonts w:ascii="Palatino Linotype" w:eastAsia="Palatino Linotype" w:hAnsi="Palatino Linotype" w:cs="Palatino Linotype"/>
          <w:b/>
          <w:i/>
          <w:sz w:val="22"/>
          <w:szCs w:val="22"/>
        </w:rPr>
        <w:t xml:space="preserve">, </w:t>
      </w:r>
      <w:r w:rsidRPr="00A62933">
        <w:rPr>
          <w:rFonts w:ascii="Palatino Linotype" w:eastAsia="Palatino Linotype" w:hAnsi="Palatino Linotype" w:cs="Palatino Linotype"/>
          <w:i/>
          <w:sz w:val="22"/>
          <w:szCs w:val="22"/>
        </w:rPr>
        <w:t xml:space="preserve">es el siguiente: </w:t>
      </w:r>
    </w:p>
    <w:p w14:paraId="5DDC3A35" w14:textId="77777777" w:rsidR="00D671CA" w:rsidRPr="00A62933" w:rsidRDefault="00C23F3B">
      <w:pPr>
        <w:spacing w:before="120" w:after="120"/>
        <w:ind w:left="851" w:right="902"/>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noProof/>
          <w:sz w:val="22"/>
          <w:szCs w:val="22"/>
        </w:rPr>
        <w:drawing>
          <wp:inline distT="0" distB="0" distL="0" distR="0" wp14:anchorId="51CF4DE1" wp14:editId="18EB9628">
            <wp:extent cx="4295775" cy="295275"/>
            <wp:effectExtent l="0" t="0" r="0" b="0"/>
            <wp:docPr id="19520825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95731"/>
                    <a:stretch>
                      <a:fillRect/>
                    </a:stretch>
                  </pic:blipFill>
                  <pic:spPr>
                    <a:xfrm>
                      <a:off x="0" y="0"/>
                      <a:ext cx="4295775" cy="295275"/>
                    </a:xfrm>
                    <a:prstGeom prst="rect">
                      <a:avLst/>
                    </a:prstGeom>
                    <a:ln/>
                  </pic:spPr>
                </pic:pic>
              </a:graphicData>
            </a:graphic>
          </wp:inline>
        </w:drawing>
      </w:r>
    </w:p>
    <w:p w14:paraId="64B1EE8D" w14:textId="77777777" w:rsidR="00D671CA" w:rsidRPr="00A62933" w:rsidRDefault="00C23F3B">
      <w:pPr>
        <w:spacing w:before="120" w:after="120"/>
        <w:ind w:left="851" w:right="902"/>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noProof/>
          <w:sz w:val="22"/>
          <w:szCs w:val="22"/>
        </w:rPr>
        <w:drawing>
          <wp:inline distT="0" distB="0" distL="0" distR="0" wp14:anchorId="20EC3D6C" wp14:editId="21FD1740">
            <wp:extent cx="4333875" cy="2959788"/>
            <wp:effectExtent l="0" t="0" r="0" b="0"/>
            <wp:docPr id="19520825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30908" b="26237"/>
                    <a:stretch>
                      <a:fillRect/>
                    </a:stretch>
                  </pic:blipFill>
                  <pic:spPr>
                    <a:xfrm>
                      <a:off x="0" y="0"/>
                      <a:ext cx="4333875" cy="2959788"/>
                    </a:xfrm>
                    <a:prstGeom prst="rect">
                      <a:avLst/>
                    </a:prstGeom>
                    <a:ln/>
                  </pic:spPr>
                </pic:pic>
              </a:graphicData>
            </a:graphic>
          </wp:inline>
        </w:drawing>
      </w:r>
    </w:p>
    <w:p w14:paraId="19197543" w14:textId="77777777" w:rsidR="00D671CA" w:rsidRPr="00A62933" w:rsidRDefault="00C23F3B">
      <w:pPr>
        <w:spacing w:before="120" w:after="120"/>
        <w:ind w:left="851" w:right="902"/>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noProof/>
          <w:sz w:val="22"/>
          <w:szCs w:val="22"/>
        </w:rPr>
        <w:drawing>
          <wp:inline distT="0" distB="0" distL="0" distR="0" wp14:anchorId="0571C2E0" wp14:editId="784DCFEE">
            <wp:extent cx="4333875" cy="1803319"/>
            <wp:effectExtent l="0" t="0" r="0" b="0"/>
            <wp:docPr id="19520825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73398" b="491"/>
                    <a:stretch>
                      <a:fillRect/>
                    </a:stretch>
                  </pic:blipFill>
                  <pic:spPr>
                    <a:xfrm>
                      <a:off x="0" y="0"/>
                      <a:ext cx="4333875" cy="1803319"/>
                    </a:xfrm>
                    <a:prstGeom prst="rect">
                      <a:avLst/>
                    </a:prstGeom>
                    <a:ln/>
                  </pic:spPr>
                </pic:pic>
              </a:graphicData>
            </a:graphic>
          </wp:inline>
        </w:drawing>
      </w:r>
    </w:p>
    <w:p w14:paraId="00B43D3F"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Los documentos que integren un expediente reservado en su totalidad no deberán marcarse en lo individual.</w:t>
      </w:r>
    </w:p>
    <w:p w14:paraId="1D9E4C51"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5CE27C44"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Asimismo, deberá observar los Lineamientos Quincuagésimo cuarto, Quincuagésimo quinto, Quincuagésimo sexto, Quincuagésimo séptimo y Quincuagésimo octavo, establecen lo siguiente:</w:t>
      </w:r>
    </w:p>
    <w:p w14:paraId="77C634EC" w14:textId="77777777" w:rsidR="00D671CA" w:rsidRPr="00A62933" w:rsidRDefault="00C23F3B">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sz w:val="22"/>
          <w:szCs w:val="22"/>
        </w:rPr>
        <w:t xml:space="preserve">Quincuagésimo cuarto. </w:t>
      </w:r>
      <w:r w:rsidRPr="00A62933">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A62933">
        <w:rPr>
          <w:rFonts w:ascii="Palatino Linotype" w:eastAsia="Palatino Linotype" w:hAnsi="Palatino Linotype" w:cs="Palatino Linotype"/>
          <w:b/>
          <w:i/>
          <w:sz w:val="22"/>
          <w:szCs w:val="22"/>
        </w:rPr>
        <w:t xml:space="preserve"> </w:t>
      </w:r>
    </w:p>
    <w:p w14:paraId="09E93FC4"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 xml:space="preserve">Quincuagésimo quinto. </w:t>
      </w:r>
      <w:r w:rsidRPr="00A62933">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44009C2" w14:textId="77777777" w:rsidR="00D671CA" w:rsidRPr="00A62933" w:rsidRDefault="00C23F3B">
      <w:pPr>
        <w:spacing w:before="120" w:after="120"/>
        <w:ind w:left="851" w:right="902"/>
        <w:jc w:val="both"/>
        <w:rPr>
          <w:rFonts w:ascii="Palatino Linotype" w:eastAsia="Palatino Linotype" w:hAnsi="Palatino Linotype" w:cs="Palatino Linotype"/>
          <w:b/>
          <w:i/>
          <w:sz w:val="22"/>
          <w:szCs w:val="22"/>
        </w:rPr>
      </w:pPr>
      <w:r w:rsidRPr="00A62933">
        <w:rPr>
          <w:rFonts w:ascii="Palatino Linotype" w:eastAsia="Palatino Linotype" w:hAnsi="Palatino Linotype" w:cs="Palatino Linotype"/>
          <w:b/>
          <w:i/>
          <w:sz w:val="22"/>
          <w:szCs w:val="22"/>
        </w:rPr>
        <w:t>...</w:t>
      </w:r>
    </w:p>
    <w:p w14:paraId="37C34339"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Quincuagésimo séptimo</w:t>
      </w:r>
      <w:r w:rsidRPr="00A6293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8F6C330"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w:t>
      </w:r>
      <w:r w:rsidRPr="00A62933">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DAAEE58"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w:t>
      </w:r>
      <w:r w:rsidRPr="00A62933">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1865AA4" w14:textId="77777777" w:rsidR="00D671CA" w:rsidRPr="00A62933" w:rsidRDefault="00C23F3B">
      <w:pPr>
        <w:spacing w:before="120" w:after="120"/>
        <w:ind w:left="1134"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III</w:t>
      </w:r>
      <w:r w:rsidRPr="00A62933">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A503A04"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2CE8FC9" w14:textId="77777777" w:rsidR="00D671CA" w:rsidRPr="00A62933" w:rsidRDefault="00C23F3B">
      <w:pPr>
        <w:spacing w:before="120" w:after="120"/>
        <w:ind w:left="851" w:right="902"/>
        <w:jc w:val="both"/>
        <w:rPr>
          <w:rFonts w:ascii="Palatino Linotype" w:eastAsia="Palatino Linotype" w:hAnsi="Palatino Linotype" w:cs="Palatino Linotype"/>
          <w:i/>
          <w:sz w:val="22"/>
          <w:szCs w:val="22"/>
        </w:rPr>
      </w:pPr>
      <w:r w:rsidRPr="00A62933">
        <w:rPr>
          <w:rFonts w:ascii="Palatino Linotype" w:eastAsia="Palatino Linotype" w:hAnsi="Palatino Linotype" w:cs="Palatino Linotype"/>
          <w:b/>
          <w:i/>
          <w:sz w:val="22"/>
          <w:szCs w:val="22"/>
        </w:rPr>
        <w:t>Quincuagésimo octavo</w:t>
      </w:r>
      <w:r w:rsidRPr="00A62933">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96ECDD0"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Así, con fundamento en lo prescrito en los artículos 5 párrafos trigésimo tercero, trigésimo cuarto y trigésimo quinto de la Constitución Política del Estado Libre y Soberano de México; 2, fracción II; 29, 36 fracciones I y II; 176, 178, 181, 185 y 186 fracción II de la Ley de Transparencia y Acceso a la Información Pública del Estado de México y Municipios, este Pleno:</w:t>
      </w:r>
    </w:p>
    <w:p w14:paraId="3ADA7C75" w14:textId="77777777" w:rsidR="00D671CA" w:rsidRPr="00A62933" w:rsidRDefault="00C23F3B">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A62933">
        <w:rPr>
          <w:rFonts w:ascii="Palatino Linotype" w:eastAsia="Palatino Linotype" w:hAnsi="Palatino Linotype" w:cs="Palatino Linotype"/>
          <w:b/>
          <w:sz w:val="22"/>
          <w:szCs w:val="22"/>
        </w:rPr>
        <w:t>III. R E S U E L V E</w:t>
      </w:r>
    </w:p>
    <w:p w14:paraId="6AE56174"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bookmarkStart w:id="9" w:name="_heading=h.26in1rg" w:colFirst="0" w:colLast="0"/>
      <w:bookmarkEnd w:id="9"/>
      <w:r w:rsidRPr="00A62933">
        <w:rPr>
          <w:rFonts w:ascii="Palatino Linotype" w:eastAsia="Palatino Linotype" w:hAnsi="Palatino Linotype" w:cs="Palatino Linotype"/>
          <w:b/>
          <w:sz w:val="22"/>
          <w:szCs w:val="22"/>
        </w:rPr>
        <w:t xml:space="preserve">Primero. </w:t>
      </w:r>
      <w:r w:rsidRPr="00A62933">
        <w:rPr>
          <w:rFonts w:ascii="Palatino Linotype" w:eastAsia="Palatino Linotype" w:hAnsi="Palatino Linotype" w:cs="Palatino Linotype"/>
          <w:sz w:val="22"/>
          <w:szCs w:val="22"/>
        </w:rPr>
        <w:t>Resultan</w:t>
      </w:r>
      <w:r w:rsidRPr="00A62933">
        <w:rPr>
          <w:rFonts w:ascii="Palatino Linotype" w:eastAsia="Palatino Linotype" w:hAnsi="Palatino Linotype" w:cs="Palatino Linotype"/>
          <w:b/>
          <w:sz w:val="22"/>
          <w:szCs w:val="22"/>
        </w:rPr>
        <w:t xml:space="preserve"> fundadas</w:t>
      </w:r>
      <w:r w:rsidRPr="00A62933">
        <w:rPr>
          <w:rFonts w:ascii="Palatino Linotype" w:eastAsia="Palatino Linotype" w:hAnsi="Palatino Linotype" w:cs="Palatino Linotype"/>
          <w:sz w:val="22"/>
          <w:szCs w:val="22"/>
        </w:rPr>
        <w:t xml:space="preserve"> las razones o motivos de inconformidad hechos valer por la parte</w:t>
      </w:r>
      <w:r w:rsidRPr="00A62933">
        <w:rPr>
          <w:rFonts w:ascii="Palatino Linotype" w:eastAsia="Palatino Linotype" w:hAnsi="Palatino Linotype" w:cs="Palatino Linotype"/>
          <w:b/>
          <w:sz w:val="22"/>
          <w:szCs w:val="22"/>
        </w:rPr>
        <w:t xml:space="preserve"> Recurrente</w:t>
      </w:r>
      <w:r w:rsidRPr="00A62933">
        <w:rPr>
          <w:rFonts w:ascii="Palatino Linotype" w:eastAsia="Palatino Linotype" w:hAnsi="Palatino Linotype" w:cs="Palatino Linotype"/>
          <w:sz w:val="22"/>
          <w:szCs w:val="22"/>
        </w:rPr>
        <w:t xml:space="preserve"> en el recurso de revisión </w:t>
      </w:r>
      <w:r w:rsidRPr="00A62933">
        <w:rPr>
          <w:rFonts w:ascii="Palatino Linotype" w:eastAsia="Palatino Linotype" w:hAnsi="Palatino Linotype" w:cs="Palatino Linotype"/>
          <w:b/>
          <w:sz w:val="22"/>
          <w:szCs w:val="22"/>
        </w:rPr>
        <w:t>07324/INFOEM/IP/RR/2025</w:t>
      </w:r>
      <w:r w:rsidRPr="00A62933">
        <w:rPr>
          <w:rFonts w:ascii="Palatino Linotype" w:eastAsia="Palatino Linotype" w:hAnsi="Palatino Linotype" w:cs="Palatino Linotype"/>
          <w:sz w:val="22"/>
          <w:szCs w:val="22"/>
        </w:rPr>
        <w:t xml:space="preserve">; por lo que, en términos del </w:t>
      </w:r>
      <w:r w:rsidRPr="00A62933">
        <w:rPr>
          <w:rFonts w:ascii="Palatino Linotype" w:eastAsia="Palatino Linotype" w:hAnsi="Palatino Linotype" w:cs="Palatino Linotype"/>
          <w:b/>
          <w:sz w:val="22"/>
          <w:szCs w:val="22"/>
        </w:rPr>
        <w:t>Considerando</w:t>
      </w:r>
      <w:r w:rsidRPr="00A62933">
        <w:rPr>
          <w:rFonts w:ascii="Palatino Linotype" w:eastAsia="Palatino Linotype" w:hAnsi="Palatino Linotype" w:cs="Palatino Linotype"/>
          <w:sz w:val="22"/>
          <w:szCs w:val="22"/>
        </w:rPr>
        <w:t xml:space="preserve"> </w:t>
      </w:r>
      <w:r w:rsidRPr="00A62933">
        <w:rPr>
          <w:rFonts w:ascii="Palatino Linotype" w:eastAsia="Palatino Linotype" w:hAnsi="Palatino Linotype" w:cs="Palatino Linotype"/>
          <w:b/>
          <w:sz w:val="22"/>
          <w:szCs w:val="22"/>
        </w:rPr>
        <w:t xml:space="preserve">Cuarto </w:t>
      </w:r>
      <w:r w:rsidRPr="00A62933">
        <w:rPr>
          <w:rFonts w:ascii="Palatino Linotype" w:eastAsia="Palatino Linotype" w:hAnsi="Palatino Linotype" w:cs="Palatino Linotype"/>
          <w:sz w:val="22"/>
          <w:szCs w:val="22"/>
        </w:rPr>
        <w:t xml:space="preserve">de esta resolución, se </w:t>
      </w:r>
      <w:r w:rsidRPr="00A62933">
        <w:rPr>
          <w:rFonts w:ascii="Palatino Linotype" w:eastAsia="Palatino Linotype" w:hAnsi="Palatino Linotype" w:cs="Palatino Linotype"/>
          <w:b/>
          <w:sz w:val="22"/>
          <w:szCs w:val="22"/>
        </w:rPr>
        <w:t xml:space="preserve">Modifica </w:t>
      </w:r>
      <w:r w:rsidRPr="00A62933">
        <w:rPr>
          <w:rFonts w:ascii="Palatino Linotype" w:eastAsia="Palatino Linotype" w:hAnsi="Palatino Linotype" w:cs="Palatino Linotype"/>
          <w:sz w:val="22"/>
          <w:szCs w:val="22"/>
        </w:rPr>
        <w:t xml:space="preserve">la respuesta emitida por el </w:t>
      </w:r>
      <w:r w:rsidRPr="00A62933">
        <w:rPr>
          <w:rFonts w:ascii="Palatino Linotype" w:eastAsia="Palatino Linotype" w:hAnsi="Palatino Linotype" w:cs="Palatino Linotype"/>
          <w:b/>
          <w:sz w:val="22"/>
          <w:szCs w:val="22"/>
        </w:rPr>
        <w:t xml:space="preserve">Sujeto Obligado. </w:t>
      </w:r>
    </w:p>
    <w:p w14:paraId="7CD88DE2" w14:textId="77777777" w:rsidR="00D671CA" w:rsidRPr="00A62933" w:rsidRDefault="00C23F3B">
      <w:pPr>
        <w:spacing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b/>
          <w:sz w:val="22"/>
          <w:szCs w:val="22"/>
        </w:rPr>
        <w:t xml:space="preserve">Segundo. </w:t>
      </w:r>
      <w:r w:rsidRPr="00A62933">
        <w:rPr>
          <w:rFonts w:ascii="Palatino Linotype" w:eastAsia="Palatino Linotype" w:hAnsi="Palatino Linotype" w:cs="Palatino Linotype"/>
          <w:sz w:val="22"/>
          <w:szCs w:val="22"/>
        </w:rPr>
        <w:t xml:space="preserve">Se </w:t>
      </w:r>
      <w:r w:rsidRPr="00A62933">
        <w:rPr>
          <w:rFonts w:ascii="Palatino Linotype" w:eastAsia="Palatino Linotype" w:hAnsi="Palatino Linotype" w:cs="Palatino Linotype"/>
          <w:b/>
          <w:sz w:val="22"/>
          <w:szCs w:val="22"/>
        </w:rPr>
        <w:t>Ordena</w:t>
      </w:r>
      <w:r w:rsidRPr="00A62933">
        <w:rPr>
          <w:rFonts w:ascii="Palatino Linotype" w:eastAsia="Palatino Linotype" w:hAnsi="Palatino Linotype" w:cs="Palatino Linotype"/>
          <w:sz w:val="22"/>
          <w:szCs w:val="22"/>
        </w:rPr>
        <w:t xml:space="preserve"> al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xml:space="preserve">, en términos de los Considerandos </w:t>
      </w:r>
      <w:r w:rsidRPr="00A62933">
        <w:rPr>
          <w:rFonts w:ascii="Palatino Linotype" w:eastAsia="Palatino Linotype" w:hAnsi="Palatino Linotype" w:cs="Palatino Linotype"/>
          <w:b/>
          <w:sz w:val="22"/>
          <w:szCs w:val="22"/>
        </w:rPr>
        <w:t xml:space="preserve">Cuarto </w:t>
      </w:r>
      <w:r w:rsidRPr="00A62933">
        <w:rPr>
          <w:rFonts w:ascii="Palatino Linotype" w:eastAsia="Palatino Linotype" w:hAnsi="Palatino Linotype" w:cs="Palatino Linotype"/>
          <w:sz w:val="22"/>
          <w:szCs w:val="22"/>
        </w:rPr>
        <w:t xml:space="preserve">y </w:t>
      </w:r>
      <w:r w:rsidRPr="00A62933">
        <w:rPr>
          <w:rFonts w:ascii="Palatino Linotype" w:eastAsia="Palatino Linotype" w:hAnsi="Palatino Linotype" w:cs="Palatino Linotype"/>
          <w:b/>
          <w:sz w:val="22"/>
          <w:szCs w:val="22"/>
        </w:rPr>
        <w:t xml:space="preserve">Quinto </w:t>
      </w:r>
      <w:r w:rsidRPr="00A62933">
        <w:rPr>
          <w:rFonts w:ascii="Palatino Linotype" w:eastAsia="Palatino Linotype" w:hAnsi="Palatino Linotype" w:cs="Palatino Linotype"/>
          <w:sz w:val="22"/>
          <w:szCs w:val="22"/>
        </w:rPr>
        <w:t xml:space="preserve">de esta resolución, haga entrega, vía </w:t>
      </w:r>
      <w:r w:rsidRPr="00A62933">
        <w:rPr>
          <w:rFonts w:ascii="Palatino Linotype" w:eastAsia="Palatino Linotype" w:hAnsi="Palatino Linotype" w:cs="Palatino Linotype"/>
          <w:b/>
          <w:sz w:val="22"/>
          <w:szCs w:val="22"/>
        </w:rPr>
        <w:t>SAIMEX</w:t>
      </w:r>
      <w:r w:rsidRPr="00A62933">
        <w:rPr>
          <w:rFonts w:ascii="Palatino Linotype" w:eastAsia="Palatino Linotype" w:hAnsi="Palatino Linotype" w:cs="Palatino Linotype"/>
          <w:sz w:val="22"/>
          <w:szCs w:val="22"/>
        </w:rPr>
        <w:t>, de lo siguiente:</w:t>
      </w:r>
    </w:p>
    <w:p w14:paraId="1AC802ED"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1. Los oficios recibidos que fueron proporcionados de forma incompleta a través de los archivos ENERO 2025- CONVOCATORIAS.pdf, ENERO 2025- OFICIOS PARA EL CONTRALOR_redacted.pdf, y ENERO 2025-OFICIOS ENVIADOS A LA DELEGACIÓN 1.pdf, en versión pública de ser procedente.</w:t>
      </w:r>
    </w:p>
    <w:p w14:paraId="06250043"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2. Los oficios recibidos que formaban parte de expedientes que se encontraban en etapa de auditoría, investigación, sustanciación y resolución, del uno al treinta y uno de enero de dos mil veinticinco, relacionados con actos de corrupción o posibles violaciones graves a derechos humanos, de conformidad con el artículo 142, de la Ley de Transparencia y Acceso a la Información Pública del Estado de México y Municipios.</w:t>
      </w:r>
    </w:p>
    <w:p w14:paraId="5487CCBA" w14:textId="77777777" w:rsidR="00D671CA" w:rsidRPr="00A62933" w:rsidRDefault="00C23F3B">
      <w:pPr>
        <w:spacing w:before="240" w:after="240" w:line="360" w:lineRule="auto"/>
        <w:ind w:left="284"/>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3. Acuerdo del Comité de Transparencia en donde de manera fundada y motivada, confirme la clasificación de los oficios que eran parte de expedientes en etapa de auditoría, investigación, sustanciación y resolución, en trámite a la fecha de la solicitud, generados del uno al treinta y uno de enero de dos mil veinticinco, como información reservada, en términos de los artículos 128, 129, 135 y 140 de la Ley de Transparencia y Acceso a la Información Pública del Estado de México y Municipios, con excepción de los referidos en el punto anterior.</w:t>
      </w:r>
    </w:p>
    <w:p w14:paraId="78C5D2DC" w14:textId="77777777" w:rsidR="00D671CA" w:rsidRPr="00A62933" w:rsidRDefault="00C23F3B">
      <w:pPr>
        <w:spacing w:before="240" w:after="240" w:line="360" w:lineRule="auto"/>
        <w:ind w:left="284"/>
        <w:jc w:val="both"/>
        <w:rPr>
          <w:rFonts w:ascii="Palatino Linotype" w:eastAsia="Palatino Linotype" w:hAnsi="Palatino Linotype" w:cs="Palatino Linotype"/>
          <w:b/>
          <w:sz w:val="22"/>
          <w:szCs w:val="22"/>
        </w:rPr>
      </w:pPr>
      <w:r w:rsidRPr="00A62933">
        <w:rPr>
          <w:rFonts w:ascii="Palatino Linotype" w:eastAsia="Palatino Linotype" w:hAnsi="Palatino Linotype" w:cs="Palatino Linotype"/>
          <w:sz w:val="22"/>
          <w:szCs w:val="22"/>
        </w:rPr>
        <w:t>4. El acuerdo de Acuerdo del Comité de Transparencia de conformidad con la Ley de Transparencia y Acceso a la Información Pública del Estado de México y Municipios, en el que funde y motive las razones sobre los datos que se suprimieron en los oficios proporcionados en respuesta; así como de los oficios que serán proporcionados en cumplimiento al punto 1</w:t>
      </w:r>
      <w:r w:rsidRPr="00A62933">
        <w:rPr>
          <w:rFonts w:ascii="Palatino Linotype" w:eastAsia="Palatino Linotype" w:hAnsi="Palatino Linotype" w:cs="Palatino Linotype"/>
          <w:b/>
          <w:sz w:val="22"/>
          <w:szCs w:val="22"/>
        </w:rPr>
        <w:t>.</w:t>
      </w:r>
    </w:p>
    <w:p w14:paraId="58373336" w14:textId="77777777" w:rsidR="00D671CA" w:rsidRPr="00A62933" w:rsidRDefault="00C23F3B">
      <w:pPr>
        <w:tabs>
          <w:tab w:val="left" w:pos="851"/>
        </w:tabs>
        <w:spacing w:before="120" w:after="120"/>
        <w:ind w:left="284" w:right="49"/>
        <w:jc w:val="both"/>
        <w:rPr>
          <w:rFonts w:ascii="Palatino Linotype" w:eastAsia="Palatino Linotype" w:hAnsi="Palatino Linotype" w:cs="Palatino Linotype"/>
          <w:i/>
          <w:sz w:val="20"/>
          <w:szCs w:val="20"/>
        </w:rPr>
      </w:pPr>
      <w:r w:rsidRPr="00A62933">
        <w:rPr>
          <w:rFonts w:ascii="Palatino Linotype" w:eastAsia="Palatino Linotype" w:hAnsi="Palatino Linotype" w:cs="Palatino Linotype"/>
          <w:i/>
          <w:sz w:val="20"/>
          <w:szCs w:val="20"/>
        </w:rPr>
        <w:t xml:space="preserve">En el supuesto que la información ordenada en el punto 2, no obre en sus archivos por no haberse generado, bastará con que así lo haga del conocimiento de la parte </w:t>
      </w:r>
      <w:r w:rsidRPr="00A62933">
        <w:rPr>
          <w:rFonts w:ascii="Palatino Linotype" w:eastAsia="Palatino Linotype" w:hAnsi="Palatino Linotype" w:cs="Palatino Linotype"/>
          <w:b/>
          <w:i/>
          <w:sz w:val="20"/>
          <w:szCs w:val="20"/>
        </w:rPr>
        <w:t>Recurrente</w:t>
      </w:r>
      <w:r w:rsidRPr="00A62933">
        <w:rPr>
          <w:rFonts w:ascii="Palatino Linotype" w:eastAsia="Palatino Linotype" w:hAnsi="Palatino Linotype" w:cs="Palatino Linotype"/>
          <w:i/>
          <w:sz w:val="20"/>
          <w:szCs w:val="20"/>
        </w:rPr>
        <w:t>, de manera fundada y motivada, en términos del artículo 19, párrafo segundo de la Ley de Transparencia y Acceso a la Información Pública del Estado de México y Municipios, para tener por colmado el requerimiento de información.</w:t>
      </w:r>
    </w:p>
    <w:p w14:paraId="58B49108"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b/>
          <w:sz w:val="22"/>
          <w:szCs w:val="22"/>
        </w:rPr>
        <w:t xml:space="preserve">Tercero. Notifíquese, </w:t>
      </w:r>
      <w:r w:rsidRPr="00A62933">
        <w:rPr>
          <w:rFonts w:ascii="Palatino Linotype" w:eastAsia="Palatino Linotype" w:hAnsi="Palatino Linotype" w:cs="Palatino Linotype"/>
          <w:sz w:val="22"/>
          <w:szCs w:val="22"/>
        </w:rPr>
        <w:t xml:space="preserve">vía </w:t>
      </w:r>
      <w:r w:rsidRPr="00A62933">
        <w:rPr>
          <w:rFonts w:ascii="Palatino Linotype" w:eastAsia="Palatino Linotype" w:hAnsi="Palatino Linotype" w:cs="Palatino Linotype"/>
          <w:b/>
          <w:sz w:val="22"/>
          <w:szCs w:val="22"/>
        </w:rPr>
        <w:t>SAIMEX</w:t>
      </w:r>
      <w:r w:rsidRPr="00A62933">
        <w:rPr>
          <w:rFonts w:ascii="Palatino Linotype" w:eastAsia="Palatino Linotype" w:hAnsi="Palatino Linotype" w:cs="Palatino Linotype"/>
          <w:sz w:val="22"/>
          <w:szCs w:val="22"/>
        </w:rPr>
        <w:t xml:space="preserve">, al Titular de la Unidad de Transparencia del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22CC7C2"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r w:rsidRPr="00A62933">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A62933">
        <w:rPr>
          <w:rFonts w:ascii="Palatino Linotype" w:eastAsia="Palatino Linotype" w:hAnsi="Palatino Linotype" w:cs="Palatino Linotype"/>
          <w:b/>
          <w:sz w:val="22"/>
          <w:szCs w:val="22"/>
        </w:rPr>
        <w:t>Sujeto Obligado</w:t>
      </w:r>
      <w:r w:rsidRPr="00A62933">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AF82DE0" w14:textId="77777777" w:rsidR="00D671CA" w:rsidRPr="00A62933" w:rsidRDefault="00C23F3B">
      <w:pPr>
        <w:spacing w:before="240" w:after="240" w:line="360" w:lineRule="auto"/>
        <w:jc w:val="both"/>
        <w:rPr>
          <w:rFonts w:ascii="Palatino Linotype" w:eastAsia="Palatino Linotype" w:hAnsi="Palatino Linotype" w:cs="Palatino Linotype"/>
          <w:sz w:val="22"/>
          <w:szCs w:val="22"/>
        </w:rPr>
      </w:pPr>
      <w:bookmarkStart w:id="10" w:name="_heading=h.17dp8vu" w:colFirst="0" w:colLast="0"/>
      <w:bookmarkEnd w:id="10"/>
      <w:r w:rsidRPr="00A62933">
        <w:rPr>
          <w:rFonts w:ascii="Palatino Linotype" w:eastAsia="Palatino Linotype" w:hAnsi="Palatino Linotype" w:cs="Palatino Linotype"/>
          <w:b/>
          <w:sz w:val="22"/>
          <w:szCs w:val="22"/>
        </w:rPr>
        <w:t xml:space="preserve">Cuarto.  Notifíquese, </w:t>
      </w:r>
      <w:r w:rsidRPr="00A62933">
        <w:rPr>
          <w:rFonts w:ascii="Palatino Linotype" w:eastAsia="Palatino Linotype" w:hAnsi="Palatino Linotype" w:cs="Palatino Linotype"/>
          <w:sz w:val="22"/>
          <w:szCs w:val="22"/>
        </w:rPr>
        <w:t xml:space="preserve">vía </w:t>
      </w:r>
      <w:r w:rsidRPr="00A62933">
        <w:rPr>
          <w:rFonts w:ascii="Palatino Linotype" w:eastAsia="Palatino Linotype" w:hAnsi="Palatino Linotype" w:cs="Palatino Linotype"/>
          <w:b/>
          <w:sz w:val="22"/>
          <w:szCs w:val="22"/>
        </w:rPr>
        <w:t>SAIMEX</w:t>
      </w:r>
      <w:r w:rsidRPr="00A62933">
        <w:rPr>
          <w:rFonts w:ascii="Palatino Linotype" w:eastAsia="Palatino Linotype" w:hAnsi="Palatino Linotype" w:cs="Palatino Linotype"/>
          <w:sz w:val="22"/>
          <w:szCs w:val="22"/>
        </w:rPr>
        <w:t xml:space="preserve">, a la parte </w:t>
      </w:r>
      <w:r w:rsidRPr="00A62933">
        <w:rPr>
          <w:rFonts w:ascii="Palatino Linotype" w:eastAsia="Palatino Linotype" w:hAnsi="Palatino Linotype" w:cs="Palatino Linotype"/>
          <w:b/>
          <w:sz w:val="22"/>
          <w:szCs w:val="22"/>
        </w:rPr>
        <w:t>Recurrente</w:t>
      </w:r>
      <w:r w:rsidRPr="00A62933">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E04C065" w14:textId="70C9E941" w:rsidR="00D671CA" w:rsidRPr="00D03052" w:rsidRDefault="00C23F3B">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1" w:name="_heading=h.lnxbz9" w:colFirst="0" w:colLast="0"/>
      <w:bookmarkEnd w:id="11"/>
      <w:r w:rsidRPr="00A6293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Y GUADALUPE RAMÍREZ PEÑA</w:t>
      </w:r>
      <w:r w:rsidR="00D03052" w:rsidRPr="00A62933">
        <w:rPr>
          <w:rFonts w:ascii="Palatino Linotype" w:eastAsia="Palatino Linotype" w:hAnsi="Palatino Linotype" w:cs="Palatino Linotype"/>
          <w:sz w:val="22"/>
          <w:szCs w:val="22"/>
        </w:rPr>
        <w:t>, EMITIENDO VOTO PARTICULAR</w:t>
      </w:r>
      <w:r w:rsidRPr="00A62933">
        <w:rPr>
          <w:rFonts w:ascii="Palatino Linotype" w:eastAsia="Palatino Linotype" w:hAnsi="Palatino Linotype" w:cs="Palatino Linotype"/>
          <w:sz w:val="22"/>
          <w:szCs w:val="22"/>
        </w:rPr>
        <w:t>, EN LA TRIGÉSIMA SÉPTIMA SESIÓN ORDINARIA CELEBRADA EL QUINCE DE OCTUBRE DE DOS MIL VEINTICINCO, ANTE EL SECRETARIO TÉCNICO DEL PLENO ALEXIS TAPIA RAMÍREZ.</w:t>
      </w:r>
      <w:r w:rsidRPr="00D03052">
        <w:rPr>
          <w:rFonts w:ascii="Palatino Linotype" w:eastAsia="Palatino Linotype" w:hAnsi="Palatino Linotype" w:cs="Palatino Linotype"/>
          <w:sz w:val="22"/>
          <w:szCs w:val="22"/>
        </w:rPr>
        <w:t xml:space="preserve"> </w:t>
      </w:r>
    </w:p>
    <w:p w14:paraId="6755AA3F" w14:textId="62AEFF2E" w:rsidR="00F25594" w:rsidRDefault="00F25594">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kioe63n5ci3a" w:colFirst="0" w:colLast="0"/>
      <w:bookmarkEnd w:id="12"/>
      <w:r>
        <w:rPr>
          <w:rFonts w:ascii="Palatino Linotype" w:eastAsia="Palatino Linotype" w:hAnsi="Palatino Linotype" w:cs="Palatino Linotype"/>
          <w:sz w:val="22"/>
          <w:szCs w:val="22"/>
        </w:rPr>
        <w:br w:type="page"/>
      </w:r>
    </w:p>
    <w:p w14:paraId="6E807F5E" w14:textId="77777777" w:rsidR="00D671CA" w:rsidRPr="00D03052" w:rsidRDefault="00D671CA">
      <w:pPr>
        <w:tabs>
          <w:tab w:val="left" w:pos="8647"/>
        </w:tabs>
        <w:spacing w:before="240" w:after="240" w:line="360" w:lineRule="auto"/>
        <w:ind w:right="51"/>
        <w:jc w:val="both"/>
        <w:rPr>
          <w:rFonts w:ascii="Palatino Linotype" w:eastAsia="Palatino Linotype" w:hAnsi="Palatino Linotype" w:cs="Palatino Linotype"/>
          <w:sz w:val="22"/>
          <w:szCs w:val="22"/>
        </w:rPr>
      </w:pPr>
    </w:p>
    <w:p w14:paraId="5C711EA2" w14:textId="77777777" w:rsidR="00D671CA" w:rsidRPr="00D03052" w:rsidRDefault="00D671CA">
      <w:pPr>
        <w:spacing w:line="360" w:lineRule="auto"/>
        <w:jc w:val="both"/>
        <w:rPr>
          <w:rFonts w:ascii="Palatino Linotype" w:eastAsia="Palatino Linotype" w:hAnsi="Palatino Linotype" w:cs="Palatino Linotype"/>
          <w:sz w:val="22"/>
          <w:szCs w:val="22"/>
        </w:rPr>
      </w:pPr>
    </w:p>
    <w:p w14:paraId="1D153642" w14:textId="77777777" w:rsidR="00D671CA" w:rsidRPr="00D03052" w:rsidRDefault="00D671CA">
      <w:pPr>
        <w:spacing w:line="360" w:lineRule="auto"/>
        <w:jc w:val="both"/>
        <w:rPr>
          <w:rFonts w:ascii="Palatino Linotype" w:eastAsia="Palatino Linotype" w:hAnsi="Palatino Linotype" w:cs="Palatino Linotype"/>
          <w:sz w:val="22"/>
          <w:szCs w:val="22"/>
        </w:rPr>
      </w:pPr>
    </w:p>
    <w:sectPr w:rsidR="00D671CA" w:rsidRPr="00D0305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E497D" w14:textId="77777777" w:rsidR="0090329A" w:rsidRDefault="0090329A">
      <w:r>
        <w:separator/>
      </w:r>
    </w:p>
  </w:endnote>
  <w:endnote w:type="continuationSeparator" w:id="0">
    <w:p w14:paraId="4DCEB0B5" w14:textId="77777777" w:rsidR="0090329A" w:rsidRDefault="0090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7D061" w14:textId="4CB712DB" w:rsidR="00D671CA" w:rsidRDefault="00C23F3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22714">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22714">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4E4203F0" w14:textId="77777777" w:rsidR="00D671CA" w:rsidRDefault="00D671C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A6833" w14:textId="16D6F33F" w:rsidR="00D671CA" w:rsidRDefault="00C23F3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2271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22714">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26FC41DF" w14:textId="77777777" w:rsidR="00D671CA" w:rsidRDefault="00D671C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59569" w14:textId="77777777" w:rsidR="0090329A" w:rsidRDefault="0090329A">
      <w:r>
        <w:separator/>
      </w:r>
    </w:p>
  </w:footnote>
  <w:footnote w:type="continuationSeparator" w:id="0">
    <w:p w14:paraId="763A637F" w14:textId="77777777" w:rsidR="0090329A" w:rsidRDefault="009032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56B6F" w14:textId="77777777" w:rsidR="00D671CA" w:rsidRDefault="00C23F3B">
    <w:pPr>
      <w:rPr>
        <w:rFonts w:ascii="Cambria" w:eastAsia="Cambria" w:hAnsi="Cambria" w:cs="Cambria"/>
        <w:color w:val="000000"/>
      </w:rPr>
    </w:pPr>
    <w:r>
      <w:rPr>
        <w:noProof/>
      </w:rPr>
      <w:drawing>
        <wp:anchor distT="0" distB="0" distL="0" distR="0" simplePos="0" relativeHeight="251658240" behindDoc="1" locked="0" layoutInCell="1" hidden="0" allowOverlap="1" wp14:anchorId="51AB3F45" wp14:editId="31A7194D">
          <wp:simplePos x="0" y="0"/>
          <wp:positionH relativeFrom="column">
            <wp:posOffset>-1080088</wp:posOffset>
          </wp:positionH>
          <wp:positionV relativeFrom="paragraph">
            <wp:posOffset>-488257</wp:posOffset>
          </wp:positionV>
          <wp:extent cx="7809865" cy="10165715"/>
          <wp:effectExtent l="0" t="0" r="0" b="0"/>
          <wp:wrapNone/>
          <wp:docPr id="19520825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0"/>
      <w:tblW w:w="5953" w:type="dxa"/>
      <w:tblInd w:w="3261" w:type="dxa"/>
      <w:tblLayout w:type="fixed"/>
      <w:tblLook w:val="0400" w:firstRow="0" w:lastRow="0" w:firstColumn="0" w:lastColumn="0" w:noHBand="0" w:noVBand="1"/>
    </w:tblPr>
    <w:tblGrid>
      <w:gridCol w:w="2489"/>
      <w:gridCol w:w="3464"/>
    </w:tblGrid>
    <w:tr w:rsidR="00D671CA" w14:paraId="69E654D0" w14:textId="77777777">
      <w:tc>
        <w:tcPr>
          <w:tcW w:w="2489" w:type="dxa"/>
        </w:tcPr>
        <w:p w14:paraId="4297711E" w14:textId="77777777" w:rsidR="00D671CA" w:rsidRDefault="00C23F3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6DB6609" w14:textId="77777777" w:rsidR="00D671CA" w:rsidRDefault="00C23F3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07324/INFOEM/IP/RR/2025</w:t>
          </w:r>
        </w:p>
      </w:tc>
    </w:tr>
    <w:tr w:rsidR="00D671CA" w14:paraId="2804C67A" w14:textId="77777777">
      <w:trPr>
        <w:trHeight w:val="228"/>
      </w:trPr>
      <w:tc>
        <w:tcPr>
          <w:tcW w:w="2489" w:type="dxa"/>
          <w:vAlign w:val="center"/>
        </w:tcPr>
        <w:p w14:paraId="44509ED5" w14:textId="77777777" w:rsidR="00D671CA" w:rsidRDefault="00C23F3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3EA211A" w14:textId="77777777" w:rsidR="00D671CA" w:rsidRDefault="00C23F3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671CA" w14:paraId="2E138C9B" w14:textId="77777777">
      <w:tc>
        <w:tcPr>
          <w:tcW w:w="2489" w:type="dxa"/>
          <w:vAlign w:val="center"/>
        </w:tcPr>
        <w:p w14:paraId="5A3EFC9A" w14:textId="77777777" w:rsidR="00D671CA" w:rsidRDefault="00C23F3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D6D8852" w14:textId="77777777" w:rsidR="00D671CA" w:rsidRDefault="00C23F3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05CF7B" w14:textId="77777777" w:rsidR="00D671CA" w:rsidRDefault="00C23F3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3CFA" w14:textId="77777777" w:rsidR="00D671CA" w:rsidRDefault="00C23F3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28273A4" wp14:editId="119B3E29">
          <wp:simplePos x="0" y="0"/>
          <wp:positionH relativeFrom="column">
            <wp:posOffset>-1080130</wp:posOffset>
          </wp:positionH>
          <wp:positionV relativeFrom="paragraph">
            <wp:posOffset>-369889</wp:posOffset>
          </wp:positionV>
          <wp:extent cx="7809865" cy="10165715"/>
          <wp:effectExtent l="0" t="0" r="0" b="0"/>
          <wp:wrapNone/>
          <wp:docPr id="19520825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1"/>
      <w:tblW w:w="5953" w:type="dxa"/>
      <w:tblInd w:w="3261" w:type="dxa"/>
      <w:tblLayout w:type="fixed"/>
      <w:tblLook w:val="0400" w:firstRow="0" w:lastRow="0" w:firstColumn="0" w:lastColumn="0" w:noHBand="0" w:noVBand="1"/>
    </w:tblPr>
    <w:tblGrid>
      <w:gridCol w:w="2489"/>
      <w:gridCol w:w="3464"/>
    </w:tblGrid>
    <w:tr w:rsidR="00D671CA" w14:paraId="2C657C79" w14:textId="77777777">
      <w:tc>
        <w:tcPr>
          <w:tcW w:w="2489" w:type="dxa"/>
        </w:tcPr>
        <w:p w14:paraId="12ED189E" w14:textId="77777777" w:rsidR="00D671CA" w:rsidRDefault="00C23F3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CD6180D" w14:textId="77777777" w:rsidR="00D671CA" w:rsidRDefault="00C23F3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07324/INFOEM/IP/RR/2025</w:t>
          </w:r>
        </w:p>
      </w:tc>
    </w:tr>
    <w:tr w:rsidR="00D671CA" w14:paraId="22377C84" w14:textId="77777777">
      <w:tc>
        <w:tcPr>
          <w:tcW w:w="2489" w:type="dxa"/>
        </w:tcPr>
        <w:p w14:paraId="4C64E7F3" w14:textId="77777777" w:rsidR="00D671CA" w:rsidRDefault="00C23F3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562345BE" w14:textId="77777777" w:rsidR="00D671CA" w:rsidRDefault="00D671CA">
          <w:pPr>
            <w:ind w:right="175"/>
            <w:jc w:val="both"/>
            <w:rPr>
              <w:rFonts w:ascii="Palatino Linotype" w:eastAsia="Palatino Linotype" w:hAnsi="Palatino Linotype" w:cs="Palatino Linotype"/>
              <w:b/>
              <w:color w:val="FF0000"/>
              <w:sz w:val="22"/>
              <w:szCs w:val="22"/>
              <w:highlight w:val="yellow"/>
            </w:rPr>
          </w:pPr>
        </w:p>
      </w:tc>
    </w:tr>
    <w:tr w:rsidR="00D671CA" w14:paraId="2F80E9A1" w14:textId="77777777">
      <w:trPr>
        <w:trHeight w:val="228"/>
      </w:trPr>
      <w:tc>
        <w:tcPr>
          <w:tcW w:w="2489" w:type="dxa"/>
          <w:vAlign w:val="center"/>
        </w:tcPr>
        <w:p w14:paraId="45B09C69" w14:textId="77777777" w:rsidR="00D671CA" w:rsidRDefault="00C23F3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36D346C" w14:textId="77777777" w:rsidR="00D671CA" w:rsidRDefault="00C23F3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671CA" w14:paraId="2FDB4BB8" w14:textId="77777777">
      <w:tc>
        <w:tcPr>
          <w:tcW w:w="2489" w:type="dxa"/>
          <w:vAlign w:val="center"/>
        </w:tcPr>
        <w:p w14:paraId="7F8F8985" w14:textId="77777777" w:rsidR="00D671CA" w:rsidRDefault="00C23F3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09BB0D2" w14:textId="77777777" w:rsidR="00D671CA" w:rsidRDefault="00C23F3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AF4AD1C" w14:textId="77777777" w:rsidR="00D671CA" w:rsidRDefault="00D671C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2573"/>
    <w:multiLevelType w:val="multilevel"/>
    <w:tmpl w:val="C844612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E310EFD"/>
    <w:multiLevelType w:val="multilevel"/>
    <w:tmpl w:val="67549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1B56BB"/>
    <w:multiLevelType w:val="multilevel"/>
    <w:tmpl w:val="36EC575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CA"/>
    <w:rsid w:val="00322714"/>
    <w:rsid w:val="0090329A"/>
    <w:rsid w:val="00A62933"/>
    <w:rsid w:val="00AB2A25"/>
    <w:rsid w:val="00C23F3B"/>
    <w:rsid w:val="00D03052"/>
    <w:rsid w:val="00D671CA"/>
    <w:rsid w:val="00F255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598A"/>
  <w15:docId w15:val="{D4D5DD69-E52C-4DF7-9B97-E43ACFCA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a">
    <w:basedOn w:val="TableNormalf4"/>
    <w:tblPr>
      <w:tblStyleRowBandSize w:val="1"/>
      <w:tblStyleColBandSize w:val="1"/>
      <w:tblCellMar>
        <w:left w:w="115" w:type="dxa"/>
        <w:right w:w="115" w:type="dxa"/>
      </w:tblCellMar>
    </w:tblPr>
  </w:style>
  <w:style w:type="table" w:customStyle="1" w:styleId="a0">
    <w:basedOn w:val="TableNormalf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3"/>
    <w:tblPr>
      <w:tblStyleRowBandSize w:val="1"/>
      <w:tblStyleColBandSize w:val="1"/>
      <w:tblCellMar>
        <w:left w:w="115" w:type="dxa"/>
        <w:right w:w="115" w:type="dxa"/>
      </w:tblCellMar>
    </w:tblPr>
  </w:style>
  <w:style w:type="table" w:customStyle="1" w:styleId="a4">
    <w:basedOn w:val="TableNormalf3"/>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2"/>
    <w:tblPr>
      <w:tblStyleRowBandSize w:val="1"/>
      <w:tblStyleColBandSize w:val="1"/>
      <w:tblCellMar>
        <w:left w:w="108" w:type="dxa"/>
        <w:right w:w="108" w:type="dxa"/>
      </w:tblCellMar>
    </w:tblPr>
  </w:style>
  <w:style w:type="table" w:customStyle="1" w:styleId="a6">
    <w:basedOn w:val="TableNormalf2"/>
    <w:tblPr>
      <w:tblStyleRowBandSize w:val="1"/>
      <w:tblStyleColBandSize w:val="1"/>
      <w:tblCellMar>
        <w:left w:w="108" w:type="dxa"/>
        <w:right w:w="108" w:type="dxa"/>
      </w:tblCellMar>
    </w:tblPr>
  </w:style>
  <w:style w:type="table" w:customStyle="1" w:styleId="a7">
    <w:basedOn w:val="TableNormalf2"/>
    <w:tblPr>
      <w:tblStyleRowBandSize w:val="1"/>
      <w:tblStyleColBandSize w:val="1"/>
      <w:tblCellMar>
        <w:left w:w="108" w:type="dxa"/>
        <w:right w:w="108" w:type="dxa"/>
      </w:tblCellMar>
    </w:tblPr>
  </w:style>
  <w:style w:type="table" w:customStyle="1" w:styleId="a8">
    <w:basedOn w:val="TableNormalf2"/>
    <w:tblPr>
      <w:tblStyleRowBandSize w:val="1"/>
      <w:tblStyleColBandSize w:val="1"/>
      <w:tblCellMar>
        <w:left w:w="108" w:type="dxa"/>
        <w:right w:w="108" w:type="dxa"/>
      </w:tblCellMar>
    </w:tblPr>
  </w:style>
  <w:style w:type="table" w:customStyle="1" w:styleId="a9">
    <w:basedOn w:val="TableNormalf2"/>
    <w:tblPr>
      <w:tblStyleRowBandSize w:val="1"/>
      <w:tblStyleColBandSize w:val="1"/>
      <w:tblCellMar>
        <w:left w:w="108" w:type="dxa"/>
        <w:right w:w="108" w:type="dxa"/>
      </w:tblCellMar>
    </w:tblPr>
  </w:style>
  <w:style w:type="table" w:customStyle="1" w:styleId="aa">
    <w:basedOn w:val="TableNormalf2"/>
    <w:tblPr>
      <w:tblStyleRowBandSize w:val="1"/>
      <w:tblStyleColBandSize w:val="1"/>
      <w:tblCellMar>
        <w:left w:w="115" w:type="dxa"/>
        <w:right w:w="115" w:type="dxa"/>
      </w:tblCellMar>
    </w:tblPr>
  </w:style>
  <w:style w:type="table" w:customStyle="1" w:styleId="ab">
    <w:basedOn w:val="TableNormalf2"/>
    <w:tblPr>
      <w:tblStyleRowBandSize w:val="1"/>
      <w:tblStyleColBandSize w:val="1"/>
      <w:tblCellMar>
        <w:left w:w="115" w:type="dxa"/>
        <w:right w:w="115" w:type="dxa"/>
      </w:tblCellMar>
    </w:tblPr>
  </w:style>
  <w:style w:type="table" w:customStyle="1" w:styleId="ac">
    <w:basedOn w:val="TableNormalf1"/>
    <w:tblPr>
      <w:tblStyleRowBandSize w:val="1"/>
      <w:tblStyleColBandSize w:val="1"/>
      <w:tblCellMar>
        <w:left w:w="108" w:type="dxa"/>
        <w:right w:w="108" w:type="dxa"/>
      </w:tblCellMar>
    </w:tblPr>
  </w:style>
  <w:style w:type="table" w:customStyle="1" w:styleId="ad">
    <w:basedOn w:val="TableNormalf1"/>
    <w:tblPr>
      <w:tblStyleRowBandSize w:val="1"/>
      <w:tblStyleColBandSize w:val="1"/>
      <w:tblCellMar>
        <w:left w:w="115" w:type="dxa"/>
        <w:right w:w="115" w:type="dxa"/>
      </w:tblCellMar>
    </w:tblPr>
  </w:style>
  <w:style w:type="table" w:customStyle="1" w:styleId="ae">
    <w:basedOn w:val="TableNormalf1"/>
    <w:tblPr>
      <w:tblStyleRowBandSize w:val="1"/>
      <w:tblStyleColBandSize w:val="1"/>
      <w:tblCellMar>
        <w:left w:w="115" w:type="dxa"/>
        <w:right w:w="115" w:type="dxa"/>
      </w:tblCellMar>
    </w:tblPr>
  </w:style>
  <w:style w:type="table" w:customStyle="1" w:styleId="af">
    <w:basedOn w:val="TableNormalf0"/>
    <w:tblPr>
      <w:tblStyleRowBandSize w:val="1"/>
      <w:tblStyleColBandSize w:val="1"/>
      <w:tblCellMar>
        <w:left w:w="115" w:type="dxa"/>
        <w:right w:w="115" w:type="dxa"/>
      </w:tblCellMar>
    </w:tblPr>
  </w:style>
  <w:style w:type="table" w:customStyle="1" w:styleId="af0">
    <w:basedOn w:val="TableNormalf0"/>
    <w:tblPr>
      <w:tblStyleRowBandSize w:val="1"/>
      <w:tblStyleColBandSize w:val="1"/>
      <w:tblCellMar>
        <w:left w:w="115" w:type="dxa"/>
        <w:right w:w="115" w:type="dxa"/>
      </w:tblCellMar>
    </w:tblPr>
  </w:style>
  <w:style w:type="table" w:customStyle="1" w:styleId="af1">
    <w:basedOn w:val="TableNormalf0"/>
    <w:tblPr>
      <w:tblStyleRowBandSize w:val="1"/>
      <w:tblStyleColBandSize w:val="1"/>
      <w:tblCellMar>
        <w:left w:w="115" w:type="dxa"/>
        <w:right w:w="115" w:type="dxa"/>
      </w:tblCellMar>
    </w:tblPr>
  </w:style>
  <w:style w:type="table" w:customStyle="1" w:styleId="af2">
    <w:basedOn w:val="TableNormalf"/>
    <w:tblPr>
      <w:tblStyleRowBandSize w:val="1"/>
      <w:tblStyleColBandSize w:val="1"/>
      <w:tblCellMar>
        <w:left w:w="115" w:type="dxa"/>
        <w:right w:w="115" w:type="dxa"/>
      </w:tblCellMar>
    </w:tblPr>
  </w:style>
  <w:style w:type="table" w:customStyle="1" w:styleId="af3">
    <w:basedOn w:val="TableNormalf"/>
    <w:tblPr>
      <w:tblStyleRowBandSize w:val="1"/>
      <w:tblStyleColBandSize w:val="1"/>
      <w:tblCellMar>
        <w:left w:w="115" w:type="dxa"/>
        <w:right w:w="115" w:type="dxa"/>
      </w:tblCellMar>
    </w:tblPr>
  </w:style>
  <w:style w:type="table" w:customStyle="1" w:styleId="af4">
    <w:basedOn w:val="TableNormale"/>
    <w:tblPr>
      <w:tblStyleRowBandSize w:val="1"/>
      <w:tblStyleColBandSize w:val="1"/>
      <w:tblCellMar>
        <w:left w:w="115" w:type="dxa"/>
        <w:right w:w="115" w:type="dxa"/>
      </w:tblCellMar>
    </w:tblPr>
  </w:style>
  <w:style w:type="table" w:customStyle="1" w:styleId="af5">
    <w:basedOn w:val="TableNormale"/>
    <w:tblPr>
      <w:tblStyleRowBandSize w:val="1"/>
      <w:tblStyleColBandSize w:val="1"/>
      <w:tblCellMar>
        <w:left w:w="115" w:type="dxa"/>
        <w:right w:w="115" w:type="dxa"/>
      </w:tblCellMar>
    </w:tblPr>
  </w:style>
  <w:style w:type="table" w:customStyle="1" w:styleId="af6">
    <w:basedOn w:val="TableNormald"/>
    <w:tblPr>
      <w:tblStyleRowBandSize w:val="1"/>
      <w:tblStyleColBandSize w:val="1"/>
      <w:tblCellMar>
        <w:left w:w="115" w:type="dxa"/>
        <w:right w:w="115" w:type="dxa"/>
      </w:tblCellMar>
    </w:tblPr>
  </w:style>
  <w:style w:type="table" w:customStyle="1" w:styleId="af7">
    <w:basedOn w:val="TableNormald"/>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c"/>
    <w:tblPr>
      <w:tblStyleRowBandSize w:val="1"/>
      <w:tblStyleColBandSize w:val="1"/>
      <w:tblCellMar>
        <w:left w:w="115" w:type="dxa"/>
        <w:right w:w="115" w:type="dxa"/>
      </w:tblCellMar>
    </w:tblPr>
  </w:style>
  <w:style w:type="table" w:customStyle="1" w:styleId="af9">
    <w:basedOn w:val="TableNormalc"/>
    <w:tblPr>
      <w:tblStyleRowBandSize w:val="1"/>
      <w:tblStyleColBandSize w:val="1"/>
      <w:tblCellMar>
        <w:left w:w="115" w:type="dxa"/>
        <w:right w:w="115" w:type="dxa"/>
      </w:tblCellMar>
    </w:tblPr>
  </w:style>
  <w:style w:type="table" w:customStyle="1" w:styleId="afa">
    <w:basedOn w:val="TableNormalb"/>
    <w:tblPr>
      <w:tblStyleRowBandSize w:val="1"/>
      <w:tblStyleColBandSize w:val="1"/>
      <w:tblCellMar>
        <w:left w:w="115" w:type="dxa"/>
        <w:right w:w="115" w:type="dxa"/>
      </w:tblCellMar>
    </w:tblPr>
  </w:style>
  <w:style w:type="table" w:customStyle="1" w:styleId="afb">
    <w:basedOn w:val="TableNormalb"/>
    <w:tblPr>
      <w:tblStyleRowBandSize w:val="1"/>
      <w:tblStyleColBandSize w:val="1"/>
      <w:tblCellMar>
        <w:left w:w="115" w:type="dxa"/>
        <w:right w:w="115" w:type="dxa"/>
      </w:tblCellMar>
    </w:tblPr>
  </w:style>
  <w:style w:type="table" w:customStyle="1" w:styleId="afc">
    <w:basedOn w:val="TableNormala"/>
    <w:tblPr>
      <w:tblStyleRowBandSize w:val="1"/>
      <w:tblStyleColBandSize w:val="1"/>
      <w:tblCellMar>
        <w:left w:w="115" w:type="dxa"/>
        <w:right w:w="115" w:type="dxa"/>
      </w:tblCellMar>
    </w:tblPr>
  </w:style>
  <w:style w:type="table" w:customStyle="1" w:styleId="afd">
    <w:basedOn w:val="TableNormala"/>
    <w:tblPr>
      <w:tblStyleRowBandSize w:val="1"/>
      <w:tblStyleColBandSize w:val="1"/>
      <w:tblCellMar>
        <w:left w:w="115" w:type="dxa"/>
        <w:right w:w="115" w:type="dxa"/>
      </w:tblCellMar>
    </w:tblPr>
  </w:style>
  <w:style w:type="table" w:customStyle="1" w:styleId="afe">
    <w:basedOn w:val="TableNormal9"/>
    <w:tblPr>
      <w:tblStyleRowBandSize w:val="1"/>
      <w:tblStyleColBandSize w:val="1"/>
      <w:tblCellMar>
        <w:left w:w="115" w:type="dxa"/>
        <w:right w:w="115" w:type="dxa"/>
      </w:tblCellMar>
    </w:tblPr>
  </w:style>
  <w:style w:type="table" w:customStyle="1" w:styleId="aff">
    <w:basedOn w:val="TableNormal9"/>
    <w:tblPr>
      <w:tblStyleRowBandSize w:val="1"/>
      <w:tblStyleColBandSize w:val="1"/>
      <w:tblCellMar>
        <w:left w:w="115" w:type="dxa"/>
        <w:right w:w="115" w:type="dxa"/>
      </w:tblCellMar>
    </w:tblPr>
  </w:style>
  <w:style w:type="table" w:customStyle="1" w:styleId="aff0">
    <w:basedOn w:val="TableNormal8"/>
    <w:tblPr>
      <w:tblStyleRowBandSize w:val="1"/>
      <w:tblStyleColBandSize w:val="1"/>
      <w:tblCellMar>
        <w:left w:w="115" w:type="dxa"/>
        <w:right w:w="115" w:type="dxa"/>
      </w:tblCellMar>
    </w:tblPr>
  </w:style>
  <w:style w:type="table" w:customStyle="1" w:styleId="aff1">
    <w:basedOn w:val="TableNormal8"/>
    <w:tblPr>
      <w:tblStyleRowBandSize w:val="1"/>
      <w:tblStyleColBandSize w:val="1"/>
      <w:tblCellMar>
        <w:left w:w="115" w:type="dxa"/>
        <w:right w:w="115" w:type="dxa"/>
      </w:tblCellMar>
    </w:tblPr>
  </w:style>
  <w:style w:type="table" w:customStyle="1" w:styleId="aff2">
    <w:basedOn w:val="TableNormal7"/>
    <w:tblPr>
      <w:tblStyleRowBandSize w:val="1"/>
      <w:tblStyleColBandSize w:val="1"/>
      <w:tblCellMar>
        <w:left w:w="115" w:type="dxa"/>
        <w:right w:w="115" w:type="dxa"/>
      </w:tblCellMar>
    </w:tblPr>
  </w:style>
  <w:style w:type="table" w:customStyle="1" w:styleId="aff3">
    <w:basedOn w:val="TableNormal7"/>
    <w:tblPr>
      <w:tblStyleRowBandSize w:val="1"/>
      <w:tblStyleColBandSize w:val="1"/>
      <w:tblCellMar>
        <w:left w:w="115" w:type="dxa"/>
        <w:right w:w="115" w:type="dxa"/>
      </w:tblCellMar>
    </w:tblPr>
  </w:style>
  <w:style w:type="table" w:customStyle="1" w:styleId="aff4">
    <w:basedOn w:val="TableNormal6"/>
    <w:tblPr>
      <w:tblStyleRowBandSize w:val="1"/>
      <w:tblStyleColBandSize w:val="1"/>
      <w:tblCellMar>
        <w:left w:w="115" w:type="dxa"/>
        <w:right w:w="115" w:type="dxa"/>
      </w:tblCellMar>
    </w:tblPr>
  </w:style>
  <w:style w:type="table" w:customStyle="1" w:styleId="aff5">
    <w:basedOn w:val="TableNormal6"/>
    <w:tblPr>
      <w:tblStyleRowBandSize w:val="1"/>
      <w:tblStyleColBandSize w:val="1"/>
      <w:tblCellMar>
        <w:left w:w="115" w:type="dxa"/>
        <w:right w:w="115" w:type="dxa"/>
      </w:tblCellMar>
    </w:tblPr>
  </w:style>
  <w:style w:type="table" w:customStyle="1" w:styleId="aff6">
    <w:basedOn w:val="TableNormal5"/>
    <w:tblPr>
      <w:tblStyleRowBandSize w:val="1"/>
      <w:tblStyleColBandSize w:val="1"/>
      <w:tblCellMar>
        <w:left w:w="115" w:type="dxa"/>
        <w:right w:w="115" w:type="dxa"/>
      </w:tblCellMar>
    </w:tblPr>
  </w:style>
  <w:style w:type="table" w:customStyle="1" w:styleId="aff7">
    <w:basedOn w:val="TableNormal5"/>
    <w:tblPr>
      <w:tblStyleRowBandSize w:val="1"/>
      <w:tblStyleColBandSize w:val="1"/>
      <w:tblCellMar>
        <w:left w:w="115" w:type="dxa"/>
        <w:right w:w="115" w:type="dxa"/>
      </w:tblCellMar>
    </w:tblPr>
  </w:style>
  <w:style w:type="table" w:customStyle="1" w:styleId="aff8">
    <w:basedOn w:val="TableNormal4"/>
    <w:tblPr>
      <w:tblStyleRowBandSize w:val="1"/>
      <w:tblStyleColBandSize w:val="1"/>
      <w:tblCellMar>
        <w:left w:w="115" w:type="dxa"/>
        <w:right w:w="115" w:type="dxa"/>
      </w:tblCellMar>
    </w:tblPr>
  </w:style>
  <w:style w:type="table" w:customStyle="1" w:styleId="aff9">
    <w:basedOn w:val="TableNormal4"/>
    <w:tblPr>
      <w:tblStyleRowBandSize w:val="1"/>
      <w:tblStyleColBandSize w:val="1"/>
      <w:tblCellMar>
        <w:left w:w="115" w:type="dxa"/>
        <w:right w:w="115" w:type="dxa"/>
      </w:tblCellMar>
    </w:tblPr>
  </w:style>
  <w:style w:type="table" w:customStyle="1" w:styleId="affa">
    <w:basedOn w:val="TableNormal3"/>
    <w:tblPr>
      <w:tblStyleRowBandSize w:val="1"/>
      <w:tblStyleColBandSize w:val="1"/>
      <w:tblCellMar>
        <w:left w:w="115" w:type="dxa"/>
        <w:right w:w="115" w:type="dxa"/>
      </w:tblCellMar>
    </w:tblPr>
  </w:style>
  <w:style w:type="table" w:customStyle="1" w:styleId="affb">
    <w:basedOn w:val="TableNormal3"/>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top w:w="0" w:type="dxa"/>
        <w:left w:w="115" w:type="dxa"/>
        <w:bottom w:w="0" w:type="dxa"/>
        <w:right w:w="115" w:type="dxa"/>
      </w:tblCellMar>
    </w:tblPr>
  </w:style>
  <w:style w:type="table" w:customStyle="1" w:styleId="afff">
    <w:basedOn w:val="TableNormal1"/>
    <w:tblPr>
      <w:tblStyleRowBandSize w:val="1"/>
      <w:tblStyleColBandSize w:val="1"/>
      <w:tblCellMar>
        <w:top w:w="0" w:type="dxa"/>
        <w:left w:w="115" w:type="dxa"/>
        <w:bottom w:w="0"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0">
    <w:basedOn w:val="TableNormal0"/>
    <w:tblPr>
      <w:tblStyleRowBandSize w:val="1"/>
      <w:tblStyleColBandSize w:val="1"/>
      <w:tblCellMar>
        <w:top w:w="0" w:type="dxa"/>
        <w:left w:w="115" w:type="dxa"/>
        <w:bottom w:w="0" w:type="dxa"/>
        <w:right w:w="115"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YXN9JGqzbqI7REypBhls5dshcA==">CgMxLjAyCWguM3JkY3JqbjIOaC5kYWozajJ4bzZxNjYyCGguZ2pkZ3hzMgloLjNkeTZ2a20yCWguMzBqMHpsbDIJaC4yczhleW8xMghoLnR5amN3dDIJaC4yZXQ5MnAwMgloLjI2aW4xcmcyCWguMTdkcDh2dTIIaC5sbnhiejkyDmgua2lvZTYzbjVjaTNhOAByITE1dm5aUHZyZzhyY0NXc0tlZndhb1l0SE01TzRGQ0Z3Sg==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16388</Words>
  <Characters>90137</Characters>
  <Application>Microsoft Office Word</Application>
  <DocSecurity>0</DocSecurity>
  <Lines>751</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2025-10-17T00:46:00Z</cp:lastPrinted>
  <dcterms:created xsi:type="dcterms:W3CDTF">2025-11-14T17:05:00Z</dcterms:created>
  <dcterms:modified xsi:type="dcterms:W3CDTF">2025-11-14T17:05:00Z</dcterms:modified>
</cp:coreProperties>
</file>