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C7191" w14:textId="77777777" w:rsidR="005B20E8" w:rsidRPr="00D15C02" w:rsidRDefault="006A055B">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D15C02">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D15C02">
        <w:rPr>
          <w:rFonts w:ascii="Palatino Linotype" w:eastAsia="Palatino Linotype" w:hAnsi="Palatino Linotype" w:cs="Palatino Linotype"/>
          <w:b/>
          <w:sz w:val="22"/>
          <w:szCs w:val="22"/>
        </w:rPr>
        <w:t>a cinco de noviembre de dos mil veinticinco</w:t>
      </w:r>
      <w:r w:rsidRPr="00D15C02">
        <w:rPr>
          <w:rFonts w:ascii="Palatino Linotype" w:eastAsia="Palatino Linotype" w:hAnsi="Palatino Linotype" w:cs="Palatino Linotype"/>
          <w:sz w:val="22"/>
          <w:szCs w:val="22"/>
        </w:rPr>
        <w:t xml:space="preserve">. </w:t>
      </w:r>
    </w:p>
    <w:p w14:paraId="66CD7D3F" w14:textId="77777777" w:rsidR="005B20E8" w:rsidRPr="00D15C02" w:rsidRDefault="006A055B">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D15C02">
        <w:rPr>
          <w:rFonts w:ascii="Palatino Linotype" w:eastAsia="Palatino Linotype" w:hAnsi="Palatino Linotype" w:cs="Palatino Linotype"/>
          <w:b/>
          <w:sz w:val="22"/>
          <w:szCs w:val="22"/>
        </w:rPr>
        <w:t>Visto</w:t>
      </w:r>
      <w:r w:rsidRPr="00D15C02">
        <w:rPr>
          <w:rFonts w:ascii="Palatino Linotype" w:eastAsia="Palatino Linotype" w:hAnsi="Palatino Linotype" w:cs="Palatino Linotype"/>
          <w:sz w:val="22"/>
          <w:szCs w:val="22"/>
        </w:rPr>
        <w:t xml:space="preserve"> el expediente formado con motivo del recurso de revisión </w:t>
      </w:r>
      <w:r w:rsidRPr="00D15C02">
        <w:rPr>
          <w:rFonts w:ascii="Palatino Linotype" w:eastAsia="Palatino Linotype" w:hAnsi="Palatino Linotype" w:cs="Palatino Linotype"/>
          <w:b/>
          <w:sz w:val="22"/>
          <w:szCs w:val="22"/>
        </w:rPr>
        <w:t>06129/INFOEM/IP/RR/2025</w:t>
      </w:r>
      <w:r w:rsidRPr="00D15C02">
        <w:rPr>
          <w:rFonts w:ascii="Palatino Linotype" w:eastAsia="Palatino Linotype" w:hAnsi="Palatino Linotype" w:cs="Palatino Linotype"/>
          <w:sz w:val="22"/>
          <w:szCs w:val="22"/>
        </w:rPr>
        <w:t>, interpuesto por</w:t>
      </w:r>
      <w:r w:rsidRPr="00D15C02">
        <w:rPr>
          <w:rFonts w:ascii="Arial" w:eastAsia="Arial" w:hAnsi="Arial" w:cs="Arial"/>
          <w:b/>
          <w:sz w:val="15"/>
          <w:szCs w:val="15"/>
          <w:shd w:val="clear" w:color="auto" w:fill="F7F7F8"/>
        </w:rPr>
        <w:t xml:space="preserve"> </w:t>
      </w:r>
      <w:r w:rsidRPr="00D15C02">
        <w:rPr>
          <w:rFonts w:ascii="Palatino Linotype" w:eastAsia="Palatino Linotype" w:hAnsi="Palatino Linotype" w:cs="Palatino Linotype"/>
          <w:b/>
          <w:sz w:val="22"/>
          <w:szCs w:val="22"/>
        </w:rPr>
        <w:t>una persona usuaria del Sistema de Acceso a la Información Mexiquense que no proporcionó nombre,</w:t>
      </w:r>
      <w:r w:rsidRPr="00D15C02">
        <w:rPr>
          <w:rFonts w:ascii="Palatino Linotype" w:eastAsia="Palatino Linotype" w:hAnsi="Palatino Linotype" w:cs="Palatino Linotype"/>
          <w:sz w:val="22"/>
          <w:szCs w:val="22"/>
        </w:rPr>
        <w:t xml:space="preserve"> en lo sucesivo</w:t>
      </w:r>
      <w:r w:rsidRPr="00D15C02">
        <w:rPr>
          <w:rFonts w:ascii="Palatino Linotype" w:eastAsia="Palatino Linotype" w:hAnsi="Palatino Linotype" w:cs="Palatino Linotype"/>
          <w:b/>
          <w:sz w:val="22"/>
          <w:szCs w:val="22"/>
        </w:rPr>
        <w:t xml:space="preserve"> la parte</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Recurrente,</w:t>
      </w:r>
      <w:r w:rsidRPr="00D15C02">
        <w:rPr>
          <w:rFonts w:ascii="Palatino Linotype" w:eastAsia="Palatino Linotype" w:hAnsi="Palatino Linotype" w:cs="Palatino Linotype"/>
          <w:sz w:val="22"/>
          <w:szCs w:val="22"/>
        </w:rPr>
        <w:t xml:space="preserve"> en contra de la respuesta a su solicitud de información con número de folio </w:t>
      </w:r>
      <w:r w:rsidRPr="00D15C02">
        <w:rPr>
          <w:rFonts w:ascii="Palatino Linotype" w:eastAsia="Palatino Linotype" w:hAnsi="Palatino Linotype" w:cs="Palatino Linotype"/>
          <w:b/>
          <w:sz w:val="22"/>
          <w:szCs w:val="22"/>
        </w:rPr>
        <w:t xml:space="preserve">00305/ZINACANT/IP/2025, </w:t>
      </w:r>
      <w:r w:rsidRPr="00D15C02">
        <w:rPr>
          <w:rFonts w:ascii="Palatino Linotype" w:eastAsia="Palatino Linotype" w:hAnsi="Palatino Linotype" w:cs="Palatino Linotype"/>
          <w:sz w:val="22"/>
          <w:szCs w:val="22"/>
        </w:rPr>
        <w:t>por parte del</w:t>
      </w:r>
      <w:r w:rsidRPr="00D15C02">
        <w:rPr>
          <w:rFonts w:ascii="Palatino Linotype" w:eastAsia="Palatino Linotype" w:hAnsi="Palatino Linotype" w:cs="Palatino Linotype"/>
          <w:b/>
          <w:sz w:val="22"/>
          <w:szCs w:val="22"/>
        </w:rPr>
        <w:t xml:space="preserve"> Ayuntamiento de Zinacantepec</w:t>
      </w:r>
      <w:r w:rsidRPr="00D15C02">
        <w:rPr>
          <w:rFonts w:ascii="Palatino Linotype" w:eastAsia="Palatino Linotype" w:hAnsi="Palatino Linotype" w:cs="Palatino Linotype"/>
          <w:sz w:val="22"/>
          <w:szCs w:val="22"/>
        </w:rPr>
        <w:t>,</w:t>
      </w:r>
      <w:r w:rsidRPr="00D15C02">
        <w:rPr>
          <w:rFonts w:ascii="Palatino Linotype" w:eastAsia="Palatino Linotype" w:hAnsi="Palatino Linotype" w:cs="Palatino Linotype"/>
          <w:b/>
          <w:sz w:val="22"/>
          <w:szCs w:val="22"/>
        </w:rPr>
        <w:t xml:space="preserve"> </w:t>
      </w:r>
      <w:r w:rsidRPr="00D15C02">
        <w:rPr>
          <w:rFonts w:ascii="Palatino Linotype" w:eastAsia="Palatino Linotype" w:hAnsi="Palatino Linotype" w:cs="Palatino Linotype"/>
          <w:sz w:val="22"/>
          <w:szCs w:val="22"/>
        </w:rPr>
        <w:t xml:space="preserve">en lo sucesivo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 xml:space="preserve">se procede a dictar la presente resolución con base en los siguientes: </w:t>
      </w:r>
    </w:p>
    <w:p w14:paraId="744AD538" w14:textId="77777777" w:rsidR="005B20E8" w:rsidRPr="00D15C02" w:rsidRDefault="006A055B">
      <w:pPr>
        <w:spacing w:before="240" w:after="240" w:line="360" w:lineRule="auto"/>
        <w:jc w:val="center"/>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I. A N T E C E D E N T E S</w:t>
      </w:r>
    </w:p>
    <w:p w14:paraId="75E2B56F" w14:textId="77777777" w:rsidR="005B20E8" w:rsidRPr="00D15C02" w:rsidRDefault="006A055B">
      <w:pPr>
        <w:spacing w:before="240" w:after="24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1. Solicitud de acceso a la información.</w:t>
      </w:r>
      <w:r w:rsidRPr="00D15C02">
        <w:rPr>
          <w:rFonts w:ascii="Palatino Linotype" w:eastAsia="Palatino Linotype" w:hAnsi="Palatino Linotype" w:cs="Palatino Linotype"/>
          <w:sz w:val="22"/>
          <w:szCs w:val="22"/>
        </w:rPr>
        <w:t xml:space="preserve"> El </w:t>
      </w:r>
      <w:r w:rsidRPr="00D15C02">
        <w:rPr>
          <w:rFonts w:ascii="Palatino Linotype" w:eastAsia="Palatino Linotype" w:hAnsi="Palatino Linotype" w:cs="Palatino Linotype"/>
          <w:b/>
          <w:sz w:val="22"/>
          <w:szCs w:val="22"/>
        </w:rPr>
        <w:t>seis de mayo de dos mil veinticinco,</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la parte</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 xml:space="preserve">Recurrente </w:t>
      </w:r>
      <w:r w:rsidRPr="00D15C02">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D15C02">
        <w:rPr>
          <w:rFonts w:ascii="Palatino Linotype" w:eastAsia="Palatino Linotype" w:hAnsi="Palatino Linotype" w:cs="Palatino Linotype"/>
          <w:b/>
          <w:sz w:val="22"/>
          <w:szCs w:val="22"/>
        </w:rPr>
        <w:t>Sujeto Obligado</w:t>
      </w:r>
      <w:r w:rsidRPr="00D15C02">
        <w:rPr>
          <w:rFonts w:ascii="Palatino Linotype" w:eastAsia="Palatino Linotype" w:hAnsi="Palatino Linotype" w:cs="Palatino Linotype"/>
          <w:sz w:val="22"/>
          <w:szCs w:val="22"/>
        </w:rPr>
        <w:t xml:space="preserve">, la solicitud de acceso a la información pública a la que se le asignó el número </w:t>
      </w:r>
      <w:r w:rsidRPr="00D15C02">
        <w:rPr>
          <w:rFonts w:ascii="Palatino Linotype" w:eastAsia="Palatino Linotype" w:hAnsi="Palatino Linotype" w:cs="Palatino Linotype"/>
          <w:b/>
          <w:sz w:val="22"/>
          <w:szCs w:val="22"/>
        </w:rPr>
        <w:t xml:space="preserve">00305/ZINACANT/IP/2025; </w:t>
      </w:r>
      <w:r w:rsidRPr="00D15C02">
        <w:rPr>
          <w:rFonts w:ascii="Palatino Linotype" w:eastAsia="Palatino Linotype" w:hAnsi="Palatino Linotype" w:cs="Palatino Linotype"/>
          <w:sz w:val="22"/>
          <w:szCs w:val="22"/>
        </w:rPr>
        <w:t xml:space="preserve">mediante la cual se requirió la información siguiente: </w:t>
      </w:r>
    </w:p>
    <w:p w14:paraId="15575957" w14:textId="77777777" w:rsidR="005B20E8" w:rsidRPr="00D15C02" w:rsidRDefault="006A055B">
      <w:pPr>
        <w:spacing w:before="240" w:after="240"/>
        <w:ind w:left="567" w:right="902"/>
        <w:jc w:val="both"/>
        <w:rPr>
          <w:rFonts w:ascii="Palatino Linotype" w:eastAsia="Palatino Linotype" w:hAnsi="Palatino Linotype" w:cs="Palatino Linotype"/>
          <w:i/>
          <w:sz w:val="22"/>
          <w:szCs w:val="22"/>
        </w:rPr>
      </w:pPr>
      <w:bookmarkStart w:id="3" w:name="_heading=h.gjdgxs" w:colFirst="0" w:colLast="0"/>
      <w:bookmarkEnd w:id="3"/>
      <w:r w:rsidRPr="00D15C02">
        <w:rPr>
          <w:rFonts w:ascii="Palatino Linotype" w:eastAsia="Palatino Linotype" w:hAnsi="Palatino Linotype" w:cs="Palatino Linotype"/>
          <w:i/>
          <w:sz w:val="22"/>
          <w:szCs w:val="22"/>
        </w:rPr>
        <w:t xml:space="preserve">“Requiero acceso a las bitácoras de patrullaje preventivo de todas las unidades de la policía municipal durante los últimos 6 meses, detallando fechas, horarios, rutas recorridas, personal asignado y número de incidentes atendidos por turno." (Sic) </w:t>
      </w:r>
    </w:p>
    <w:p w14:paraId="530B1561" w14:textId="77777777" w:rsidR="005B20E8" w:rsidRPr="00D15C02" w:rsidRDefault="006A055B">
      <w:pPr>
        <w:spacing w:before="240" w:after="240"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Modalidad de Entrega:</w:t>
      </w:r>
      <w:r w:rsidRPr="00D15C02">
        <w:rPr>
          <w:rFonts w:ascii="Palatino Linotype" w:eastAsia="Palatino Linotype" w:hAnsi="Palatino Linotype" w:cs="Palatino Linotype"/>
          <w:sz w:val="22"/>
          <w:szCs w:val="22"/>
        </w:rPr>
        <w:t xml:space="preserve"> a través del Sistema de Acceso a la Información Mexiquense (SAIMEX).</w:t>
      </w:r>
    </w:p>
    <w:p w14:paraId="6B3FFB9C" w14:textId="77777777" w:rsidR="005B20E8" w:rsidRPr="00D15C02" w:rsidRDefault="006A055B">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bookmarkStart w:id="4" w:name="_heading=h.3dy6vkm" w:colFirst="0" w:colLast="0"/>
      <w:bookmarkEnd w:id="4"/>
      <w:r w:rsidRPr="00D15C02">
        <w:rPr>
          <w:rFonts w:ascii="Palatino Linotype" w:eastAsia="Palatino Linotype" w:hAnsi="Palatino Linotype" w:cs="Palatino Linotype"/>
          <w:b/>
          <w:sz w:val="22"/>
          <w:szCs w:val="22"/>
        </w:rPr>
        <w:lastRenderedPageBreak/>
        <w:t xml:space="preserve">2. Respuesta. </w:t>
      </w:r>
      <w:r w:rsidRPr="00D15C02">
        <w:rPr>
          <w:rFonts w:ascii="Palatino Linotype" w:eastAsia="Palatino Linotype" w:hAnsi="Palatino Linotype" w:cs="Palatino Linotype"/>
          <w:sz w:val="22"/>
          <w:szCs w:val="22"/>
        </w:rPr>
        <w:t xml:space="preserve">El </w:t>
      </w:r>
      <w:r w:rsidRPr="00D15C02">
        <w:rPr>
          <w:rFonts w:ascii="Palatino Linotype" w:eastAsia="Palatino Linotype" w:hAnsi="Palatino Linotype" w:cs="Palatino Linotype"/>
          <w:b/>
          <w:sz w:val="22"/>
          <w:szCs w:val="22"/>
        </w:rPr>
        <w:t>veintiséis de mayo de dos mil veinticinco</w:t>
      </w:r>
      <w:r w:rsidRPr="00D15C02">
        <w:rPr>
          <w:rFonts w:ascii="Palatino Linotype" w:eastAsia="Palatino Linotype" w:hAnsi="Palatino Linotype" w:cs="Palatino Linotype"/>
          <w:sz w:val="22"/>
          <w:szCs w:val="22"/>
        </w:rPr>
        <w:t xml:space="preserve">,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10A4738E" w14:textId="77777777" w:rsidR="005B20E8" w:rsidRPr="00D15C02" w:rsidRDefault="006A055B">
      <w:pPr>
        <w:spacing w:before="240" w:after="240"/>
        <w:ind w:left="567" w:right="902"/>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remito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 (Sic)</w:t>
      </w:r>
    </w:p>
    <w:p w14:paraId="0FF1C703" w14:textId="77777777" w:rsidR="005B20E8" w:rsidRPr="00D15C02" w:rsidRDefault="006A055B">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Adjunto a la respuesta,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hizo entrega de la siguiente información:</w:t>
      </w:r>
    </w:p>
    <w:p w14:paraId="496C68F3" w14:textId="77777777" w:rsidR="005B20E8" w:rsidRPr="00D15C02" w:rsidRDefault="006A055B">
      <w:pPr>
        <w:numPr>
          <w:ilvl w:val="0"/>
          <w:numId w:val="2"/>
        </w:numPr>
        <w:pBdr>
          <w:top w:val="nil"/>
          <w:left w:val="nil"/>
          <w:bottom w:val="nil"/>
          <w:right w:val="nil"/>
          <w:between w:val="nil"/>
        </w:pBdr>
        <w:tabs>
          <w:tab w:val="left" w:pos="142"/>
          <w:tab w:val="left" w:pos="284"/>
        </w:tabs>
        <w:spacing w:before="240" w:line="276"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Oficio del 16 de mayo de 2025, a través del cual el Director de Seguridad Pública y Tránsito indica que la información requerida actualiza el supuesto de clasificación como reservada previsto en el artículo 140 fracción VI de la Ley de Transparencia Local; asimismo, desarrolla prueba de daño.</w:t>
      </w:r>
    </w:p>
    <w:p w14:paraId="5F030838" w14:textId="77777777" w:rsidR="005B20E8" w:rsidRPr="00D15C02" w:rsidRDefault="005B20E8">
      <w:pPr>
        <w:pBdr>
          <w:top w:val="nil"/>
          <w:left w:val="nil"/>
          <w:bottom w:val="nil"/>
          <w:right w:val="nil"/>
          <w:between w:val="nil"/>
        </w:pBdr>
        <w:tabs>
          <w:tab w:val="left" w:pos="142"/>
          <w:tab w:val="left" w:pos="284"/>
        </w:tabs>
        <w:spacing w:line="276" w:lineRule="auto"/>
        <w:ind w:left="720"/>
        <w:jc w:val="both"/>
        <w:rPr>
          <w:rFonts w:ascii="Palatino Linotype" w:eastAsia="Palatino Linotype" w:hAnsi="Palatino Linotype" w:cs="Palatino Linotype"/>
          <w:b/>
          <w:sz w:val="22"/>
          <w:szCs w:val="22"/>
        </w:rPr>
      </w:pPr>
    </w:p>
    <w:p w14:paraId="125F334C" w14:textId="77777777" w:rsidR="005B20E8" w:rsidRPr="00D15C02" w:rsidRDefault="006A055B">
      <w:pPr>
        <w:numPr>
          <w:ilvl w:val="0"/>
          <w:numId w:val="2"/>
        </w:numPr>
        <w:pBdr>
          <w:top w:val="nil"/>
          <w:left w:val="nil"/>
          <w:bottom w:val="nil"/>
          <w:right w:val="nil"/>
          <w:between w:val="nil"/>
        </w:pBdr>
        <w:tabs>
          <w:tab w:val="left" w:pos="142"/>
          <w:tab w:val="left" w:pos="284"/>
        </w:tabs>
        <w:spacing w:line="276"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Oficio del 16 de mayo de 2025, a través del cual el Secretario Técnico del Consejo Municipal de Seguridad indicó que la información requerida no se encuentra dentro de sus atribuciones.</w:t>
      </w:r>
    </w:p>
    <w:p w14:paraId="693FB41D" w14:textId="77777777" w:rsidR="005B20E8" w:rsidRPr="00D15C02" w:rsidRDefault="005B20E8">
      <w:pPr>
        <w:pBdr>
          <w:top w:val="nil"/>
          <w:left w:val="nil"/>
          <w:bottom w:val="nil"/>
          <w:right w:val="nil"/>
          <w:between w:val="nil"/>
        </w:pBdr>
        <w:ind w:left="720"/>
        <w:rPr>
          <w:rFonts w:ascii="Palatino Linotype" w:eastAsia="Palatino Linotype" w:hAnsi="Palatino Linotype" w:cs="Palatino Linotype"/>
          <w:b/>
          <w:sz w:val="22"/>
          <w:szCs w:val="22"/>
        </w:rPr>
      </w:pPr>
    </w:p>
    <w:p w14:paraId="4BED9DA4" w14:textId="77777777" w:rsidR="005B20E8" w:rsidRPr="00D15C02" w:rsidRDefault="006A055B">
      <w:pPr>
        <w:numPr>
          <w:ilvl w:val="0"/>
          <w:numId w:val="2"/>
        </w:numPr>
        <w:pBdr>
          <w:top w:val="nil"/>
          <w:left w:val="nil"/>
          <w:bottom w:val="nil"/>
          <w:right w:val="nil"/>
          <w:between w:val="nil"/>
        </w:pBdr>
        <w:tabs>
          <w:tab w:val="left" w:pos="142"/>
          <w:tab w:val="left" w:pos="284"/>
        </w:tabs>
        <w:spacing w:after="240" w:line="276"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Oficio del 26 de mayo de 2025, a través del cual la Titular de la Unidad de Transparencia indicó que remitía la respuesta proporcionada por las áreas competentes.</w:t>
      </w:r>
    </w:p>
    <w:p w14:paraId="75C58600" w14:textId="77777777" w:rsidR="005B20E8" w:rsidRPr="00D15C02" w:rsidRDefault="006A055B">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lastRenderedPageBreak/>
        <w:t xml:space="preserve">3. Interposición del recurso de revisión. </w:t>
      </w:r>
      <w:r w:rsidRPr="00D15C02">
        <w:rPr>
          <w:rFonts w:ascii="Palatino Linotype" w:eastAsia="Palatino Linotype" w:hAnsi="Palatino Linotype" w:cs="Palatino Linotype"/>
          <w:sz w:val="22"/>
          <w:szCs w:val="22"/>
        </w:rPr>
        <w:t xml:space="preserve">Inconforme la persona solicitante con la respuesta a su solicitud de información por parte del </w:t>
      </w:r>
      <w:r w:rsidRPr="00D15C02">
        <w:rPr>
          <w:rFonts w:ascii="Palatino Linotype" w:eastAsia="Palatino Linotype" w:hAnsi="Palatino Linotype" w:cs="Palatino Linotype"/>
          <w:b/>
          <w:sz w:val="22"/>
          <w:szCs w:val="22"/>
        </w:rPr>
        <w:t>Sujeto Obligado</w:t>
      </w:r>
      <w:r w:rsidRPr="00D15C02">
        <w:rPr>
          <w:rFonts w:ascii="Palatino Linotype" w:eastAsia="Palatino Linotype" w:hAnsi="Palatino Linotype" w:cs="Palatino Linotype"/>
          <w:sz w:val="22"/>
          <w:szCs w:val="22"/>
        </w:rPr>
        <w:t>, el</w:t>
      </w:r>
      <w:r w:rsidRPr="00D15C02">
        <w:rPr>
          <w:rFonts w:ascii="Palatino Linotype" w:eastAsia="Palatino Linotype" w:hAnsi="Palatino Linotype" w:cs="Palatino Linotype"/>
          <w:b/>
          <w:sz w:val="22"/>
          <w:szCs w:val="22"/>
        </w:rPr>
        <w:t xml:space="preserve"> veintiocho de mayo de dos mil veinticinco,</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la parte</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Recurrente</w:t>
      </w:r>
      <w:r w:rsidRPr="00D15C02">
        <w:rPr>
          <w:rFonts w:ascii="Palatino Linotype" w:eastAsia="Palatino Linotype" w:hAnsi="Palatino Linotype" w:cs="Palatino Linotype"/>
          <w:sz w:val="22"/>
          <w:szCs w:val="22"/>
        </w:rPr>
        <w:t xml:space="preserve"> interpuso el recurso de revisión a través de </w:t>
      </w:r>
      <w:r w:rsidRPr="00D15C02">
        <w:rPr>
          <w:rFonts w:ascii="Palatino Linotype" w:eastAsia="Palatino Linotype" w:hAnsi="Palatino Linotype" w:cs="Palatino Linotype"/>
          <w:b/>
          <w:sz w:val="22"/>
          <w:szCs w:val="22"/>
        </w:rPr>
        <w:t xml:space="preserve">SAIMEX, </w:t>
      </w:r>
      <w:r w:rsidRPr="00D15C02">
        <w:rPr>
          <w:rFonts w:ascii="Palatino Linotype" w:eastAsia="Palatino Linotype" w:hAnsi="Palatino Linotype" w:cs="Palatino Linotype"/>
          <w:sz w:val="22"/>
          <w:szCs w:val="22"/>
        </w:rPr>
        <w:t>en donde se manifestó de la siguiente manera:</w:t>
      </w:r>
    </w:p>
    <w:p w14:paraId="35B29DA5" w14:textId="77777777" w:rsidR="005B20E8" w:rsidRPr="00D15C02" w:rsidRDefault="006A055B">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a) Acto impugnado: </w:t>
      </w:r>
      <w:r w:rsidRPr="00D15C02">
        <w:rPr>
          <w:rFonts w:ascii="Palatino Linotype" w:eastAsia="Palatino Linotype" w:hAnsi="Palatino Linotype" w:cs="Palatino Linotype"/>
          <w:i/>
          <w:sz w:val="22"/>
          <w:szCs w:val="22"/>
        </w:rPr>
        <w:t>“NO ENTREGA INFORMACION” (Sic)</w:t>
      </w:r>
    </w:p>
    <w:p w14:paraId="20568F4C" w14:textId="77777777" w:rsidR="005B20E8" w:rsidRPr="00D15C02" w:rsidRDefault="006A055B">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D15C02">
        <w:rPr>
          <w:rFonts w:ascii="Palatino Linotype" w:eastAsia="Palatino Linotype" w:hAnsi="Palatino Linotype" w:cs="Palatino Linotype"/>
          <w:b/>
          <w:sz w:val="22"/>
          <w:szCs w:val="22"/>
        </w:rPr>
        <w:t>b) Razones o motivos de inconformidad</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i/>
          <w:sz w:val="22"/>
          <w:szCs w:val="22"/>
        </w:rPr>
        <w:t>“NO ENTREGA LA INFORMACION COMPLETA” (Sic)</w:t>
      </w:r>
    </w:p>
    <w:p w14:paraId="33C40D9C" w14:textId="77777777" w:rsidR="005B20E8" w:rsidRPr="00D15C02" w:rsidRDefault="005B20E8">
      <w:pPr>
        <w:spacing w:line="276" w:lineRule="auto"/>
        <w:ind w:left="567" w:right="900"/>
        <w:jc w:val="both"/>
        <w:rPr>
          <w:rFonts w:ascii="Palatino Linotype" w:eastAsia="Palatino Linotype" w:hAnsi="Palatino Linotype" w:cs="Palatino Linotype"/>
          <w:i/>
          <w:sz w:val="22"/>
          <w:szCs w:val="22"/>
        </w:rPr>
      </w:pPr>
    </w:p>
    <w:p w14:paraId="034AD997" w14:textId="77777777" w:rsidR="005B20E8" w:rsidRPr="00D15C02" w:rsidRDefault="006A055B">
      <w:pPr>
        <w:spacing w:line="360" w:lineRule="auto"/>
        <w:ind w:right="51"/>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 xml:space="preserve">4. Turno. </w:t>
      </w:r>
      <w:r w:rsidRPr="00D15C02">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D15C02">
        <w:rPr>
          <w:rFonts w:ascii="Palatino Linotype" w:eastAsia="Palatino Linotype" w:hAnsi="Palatino Linotype" w:cs="Palatino Linotype"/>
          <w:b/>
          <w:sz w:val="22"/>
          <w:szCs w:val="22"/>
        </w:rPr>
        <w:t xml:space="preserve">Guadalupe Ramírez Peña, </w:t>
      </w:r>
      <w:r w:rsidRPr="00D15C02">
        <w:rPr>
          <w:rFonts w:ascii="Palatino Linotype" w:eastAsia="Palatino Linotype" w:hAnsi="Palatino Linotype" w:cs="Palatino Linotype"/>
          <w:sz w:val="22"/>
          <w:szCs w:val="22"/>
        </w:rPr>
        <w:t>a efecto de que analizara sobre su admisión o su desechamiento.</w:t>
      </w:r>
    </w:p>
    <w:p w14:paraId="698A2702" w14:textId="77777777" w:rsidR="005B20E8" w:rsidRPr="00D15C02" w:rsidRDefault="005B20E8">
      <w:pPr>
        <w:spacing w:line="360" w:lineRule="auto"/>
        <w:ind w:right="51"/>
        <w:jc w:val="both"/>
        <w:rPr>
          <w:rFonts w:ascii="Palatino Linotype" w:eastAsia="Palatino Linotype" w:hAnsi="Palatino Linotype" w:cs="Palatino Linotype"/>
          <w:sz w:val="22"/>
          <w:szCs w:val="22"/>
        </w:rPr>
      </w:pPr>
    </w:p>
    <w:p w14:paraId="7407578F"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5. Admisión del Recurso de revisión.</w:t>
      </w:r>
      <w:r w:rsidRPr="00D15C02">
        <w:rPr>
          <w:rFonts w:ascii="Palatino Linotype" w:eastAsia="Palatino Linotype" w:hAnsi="Palatino Linotype" w:cs="Palatino Linotype"/>
          <w:sz w:val="22"/>
          <w:szCs w:val="22"/>
        </w:rPr>
        <w:t xml:space="preserve"> El </w:t>
      </w:r>
      <w:r w:rsidRPr="00D15C02">
        <w:rPr>
          <w:rFonts w:ascii="Palatino Linotype" w:eastAsia="Palatino Linotype" w:hAnsi="Palatino Linotype" w:cs="Palatino Linotype"/>
          <w:b/>
          <w:sz w:val="22"/>
          <w:szCs w:val="22"/>
        </w:rPr>
        <w:t xml:space="preserve">dos de junio de dos mil veinticinco, </w:t>
      </w:r>
      <w:r w:rsidRPr="00D15C02">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presentara su informe justificado.</w:t>
      </w:r>
    </w:p>
    <w:p w14:paraId="58B70601"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06E345A" w14:textId="77777777" w:rsidR="005B20E8" w:rsidRPr="00D15C02" w:rsidRDefault="006A055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D15C02">
        <w:rPr>
          <w:rFonts w:ascii="Palatino Linotype" w:eastAsia="Palatino Linotype" w:hAnsi="Palatino Linotype" w:cs="Palatino Linotype"/>
          <w:b/>
          <w:sz w:val="22"/>
          <w:szCs w:val="22"/>
        </w:rPr>
        <w:t>6. Manifestaciones</w:t>
      </w:r>
      <w:r w:rsidRPr="00D15C02">
        <w:rPr>
          <w:rFonts w:ascii="Palatino Linotype" w:eastAsia="Palatino Linotype" w:hAnsi="Palatino Linotype" w:cs="Palatino Linotype"/>
          <w:sz w:val="22"/>
          <w:szCs w:val="22"/>
        </w:rPr>
        <w:t xml:space="preserve">. De las constancias que integran el expediente en que se actúa, se advierte que, durante el periodo de manifestaciones,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 xml:space="preserve">rindió informe justificado en fecha </w:t>
      </w:r>
      <w:r w:rsidRPr="00D15C02">
        <w:rPr>
          <w:rFonts w:ascii="Palatino Linotype" w:eastAsia="Palatino Linotype" w:hAnsi="Palatino Linotype" w:cs="Palatino Linotype"/>
          <w:b/>
          <w:sz w:val="22"/>
          <w:szCs w:val="22"/>
        </w:rPr>
        <w:t xml:space="preserve">veinticuatro de junio de dos mil veinticinco, </w:t>
      </w:r>
      <w:r w:rsidRPr="00D15C02">
        <w:rPr>
          <w:rFonts w:ascii="Palatino Linotype" w:eastAsia="Palatino Linotype" w:hAnsi="Palatino Linotype" w:cs="Palatino Linotype"/>
          <w:sz w:val="22"/>
          <w:szCs w:val="22"/>
        </w:rPr>
        <w:t>a través de la siguiente información:</w:t>
      </w:r>
    </w:p>
    <w:p w14:paraId="1EDB07F6" w14:textId="77777777" w:rsidR="005B20E8" w:rsidRPr="00D15C02" w:rsidRDefault="006A055B">
      <w:pPr>
        <w:numPr>
          <w:ilvl w:val="0"/>
          <w:numId w:val="3"/>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Acta de la Novena Sesión Extraordinaria del Comité de Transparencia celebrada el 13 de junio de 2025, en la que bajo el punto cuatro del orden del día se llevó a cabo la clasificación como información reservada de la información requerida en el presente asunto, por actualizar el supuesto previsto en la fracción VI del artículo 140 de la Ley de Transparencia Local.</w:t>
      </w:r>
    </w:p>
    <w:p w14:paraId="53CD22BD" w14:textId="77777777" w:rsidR="005B20E8" w:rsidRPr="00D15C02" w:rsidRDefault="005B20E8">
      <w:pPr>
        <w:pBdr>
          <w:top w:val="nil"/>
          <w:left w:val="nil"/>
          <w:bottom w:val="nil"/>
          <w:right w:val="nil"/>
          <w:between w:val="nil"/>
        </w:pBdr>
        <w:tabs>
          <w:tab w:val="left" w:pos="426"/>
        </w:tabs>
        <w:spacing w:line="276" w:lineRule="auto"/>
        <w:ind w:left="360" w:right="49"/>
        <w:jc w:val="both"/>
        <w:rPr>
          <w:rFonts w:ascii="Palatino Linotype" w:eastAsia="Palatino Linotype" w:hAnsi="Palatino Linotype" w:cs="Palatino Linotype"/>
          <w:sz w:val="22"/>
          <w:szCs w:val="22"/>
        </w:rPr>
      </w:pPr>
    </w:p>
    <w:p w14:paraId="7FBA7EBE" w14:textId="77777777" w:rsidR="005B20E8" w:rsidRPr="00D15C02" w:rsidRDefault="006A055B">
      <w:pPr>
        <w:numPr>
          <w:ilvl w:val="0"/>
          <w:numId w:val="3"/>
        </w:numPr>
        <w:pBdr>
          <w:top w:val="nil"/>
          <w:left w:val="nil"/>
          <w:bottom w:val="nil"/>
          <w:right w:val="nil"/>
          <w:between w:val="nil"/>
        </w:pBdr>
        <w:tabs>
          <w:tab w:val="left" w:pos="426"/>
        </w:tabs>
        <w:spacing w:line="276"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Oficio a través del cual la Titular de la Unidad de Transparencia solicitó el sobreseimiento del recurso de revisión, en razón de que adjuntó el acta del Comité de Transparencia donde se aprueba la reserva de la información.</w:t>
      </w:r>
    </w:p>
    <w:p w14:paraId="309D2B85" w14:textId="77777777" w:rsidR="005B20E8" w:rsidRPr="00D15C02" w:rsidRDefault="005B20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189B67C2" w14:textId="77777777" w:rsidR="005B20E8" w:rsidRPr="00D15C02" w:rsidRDefault="006A055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Documentos los anteriores que fueron puestos a la vista de la parte </w:t>
      </w:r>
      <w:r w:rsidRPr="00D15C02">
        <w:rPr>
          <w:rFonts w:ascii="Palatino Linotype" w:eastAsia="Palatino Linotype" w:hAnsi="Palatino Linotype" w:cs="Palatino Linotype"/>
          <w:b/>
          <w:sz w:val="22"/>
          <w:szCs w:val="22"/>
        </w:rPr>
        <w:t xml:space="preserve">Recurrente </w:t>
      </w:r>
      <w:r w:rsidRPr="00D15C02">
        <w:rPr>
          <w:rFonts w:ascii="Palatino Linotype" w:eastAsia="Palatino Linotype" w:hAnsi="Palatino Linotype" w:cs="Palatino Linotype"/>
          <w:sz w:val="22"/>
          <w:szCs w:val="22"/>
        </w:rPr>
        <w:t>para efecto de que hiciera valer sus manifestaciones o rindiera alegatos que conforme a derecho resultaran procedentes; no obstante, fue omisa en ejercer dicha prerrogativa.</w:t>
      </w:r>
    </w:p>
    <w:p w14:paraId="1CE83A2C" w14:textId="77777777" w:rsidR="005B20E8" w:rsidRPr="00D15C02" w:rsidRDefault="005B20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140C6269" w14:textId="77777777" w:rsidR="005B20E8" w:rsidRPr="00D15C02" w:rsidRDefault="006A055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7. Ampliación del término para resolver</w:t>
      </w:r>
      <w:r w:rsidRPr="00D15C02">
        <w:rPr>
          <w:rFonts w:ascii="Palatino Linotype" w:eastAsia="Palatino Linotype" w:hAnsi="Palatino Linotype" w:cs="Palatino Linotype"/>
          <w:sz w:val="22"/>
          <w:szCs w:val="22"/>
        </w:rPr>
        <w:t xml:space="preserve">. Mediante acuerdo del </w:t>
      </w:r>
      <w:r w:rsidRPr="00D15C02">
        <w:rPr>
          <w:rFonts w:ascii="Palatino Linotype" w:eastAsia="Palatino Linotype" w:hAnsi="Palatino Linotype" w:cs="Palatino Linotype"/>
          <w:b/>
          <w:sz w:val="22"/>
          <w:szCs w:val="22"/>
        </w:rPr>
        <w:t>veintidós de octubre de dos mil veinticinco</w:t>
      </w:r>
      <w:r w:rsidRPr="00D15C02">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A280101" w14:textId="77777777" w:rsidR="005B20E8" w:rsidRPr="00D15C02" w:rsidRDefault="005B20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BBB594F"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D5DEC49"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273E9C64"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8026313"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E9F92F6"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D5D703"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8A65A72"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E87E69"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2246686C" w14:textId="77777777" w:rsidR="005B20E8" w:rsidRPr="00D15C02" w:rsidRDefault="006A055B">
      <w:pPr>
        <w:spacing w:line="360" w:lineRule="auto"/>
        <w:jc w:val="both"/>
        <w:rPr>
          <w:rFonts w:ascii="Palatino Linotype" w:eastAsia="Palatino Linotype" w:hAnsi="Palatino Linotype" w:cs="Palatino Linotype"/>
          <w:strike/>
          <w:sz w:val="22"/>
          <w:szCs w:val="22"/>
        </w:rPr>
      </w:pPr>
      <w:r w:rsidRPr="00D15C02">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0220CED4"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FAB5B74" w14:textId="77777777" w:rsidR="005B20E8" w:rsidRPr="00D15C02" w:rsidRDefault="006A055B">
      <w:pPr>
        <w:numPr>
          <w:ilvl w:val="0"/>
          <w:numId w:val="1"/>
        </w:num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Complejidad del Asunto:</w:t>
      </w:r>
      <w:r w:rsidRPr="00D15C02">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2BE05313" w14:textId="77777777" w:rsidR="005B20E8" w:rsidRPr="00D15C02" w:rsidRDefault="005B20E8">
      <w:pPr>
        <w:spacing w:line="360" w:lineRule="auto"/>
        <w:ind w:left="927"/>
        <w:jc w:val="both"/>
        <w:rPr>
          <w:rFonts w:ascii="Palatino Linotype" w:eastAsia="Palatino Linotype" w:hAnsi="Palatino Linotype" w:cs="Palatino Linotype"/>
          <w:sz w:val="22"/>
          <w:szCs w:val="22"/>
        </w:rPr>
      </w:pPr>
    </w:p>
    <w:p w14:paraId="57DFD9E4" w14:textId="77777777" w:rsidR="005B20E8" w:rsidRPr="00D15C02" w:rsidRDefault="006A055B">
      <w:pPr>
        <w:numPr>
          <w:ilvl w:val="0"/>
          <w:numId w:val="1"/>
        </w:num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Actividad Procesal del interesado.</w:t>
      </w:r>
      <w:r w:rsidRPr="00D15C02">
        <w:rPr>
          <w:rFonts w:ascii="Palatino Linotype" w:eastAsia="Palatino Linotype" w:hAnsi="Palatino Linotype" w:cs="Palatino Linotype"/>
          <w:sz w:val="22"/>
          <w:szCs w:val="22"/>
        </w:rPr>
        <w:t xml:space="preserve"> Acciones u omisiones del interesado.</w:t>
      </w:r>
    </w:p>
    <w:p w14:paraId="41B6DF70" w14:textId="77777777" w:rsidR="005B20E8" w:rsidRPr="00D15C02" w:rsidRDefault="005B20E8">
      <w:pPr>
        <w:spacing w:line="360" w:lineRule="auto"/>
        <w:ind w:left="927"/>
        <w:jc w:val="both"/>
        <w:rPr>
          <w:rFonts w:ascii="Palatino Linotype" w:eastAsia="Palatino Linotype" w:hAnsi="Palatino Linotype" w:cs="Palatino Linotype"/>
          <w:sz w:val="22"/>
          <w:szCs w:val="22"/>
        </w:rPr>
      </w:pPr>
    </w:p>
    <w:p w14:paraId="1FA69CD6" w14:textId="77777777" w:rsidR="005B20E8" w:rsidRPr="00D15C02" w:rsidRDefault="006A055B">
      <w:pPr>
        <w:numPr>
          <w:ilvl w:val="0"/>
          <w:numId w:val="1"/>
        </w:num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Conducta de la Autoridad:</w:t>
      </w:r>
      <w:r w:rsidRPr="00D15C02">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5DB8CB7" w14:textId="77777777" w:rsidR="005B20E8" w:rsidRPr="00D15C02" w:rsidRDefault="005B20E8">
      <w:pPr>
        <w:spacing w:line="360" w:lineRule="auto"/>
        <w:ind w:left="927"/>
        <w:jc w:val="both"/>
        <w:rPr>
          <w:rFonts w:ascii="Palatino Linotype" w:eastAsia="Palatino Linotype" w:hAnsi="Palatino Linotype" w:cs="Palatino Linotype"/>
          <w:sz w:val="22"/>
          <w:szCs w:val="22"/>
        </w:rPr>
      </w:pPr>
    </w:p>
    <w:p w14:paraId="62B2338D" w14:textId="77777777" w:rsidR="005B20E8" w:rsidRPr="00D15C02" w:rsidRDefault="006A055B">
      <w:pPr>
        <w:numPr>
          <w:ilvl w:val="0"/>
          <w:numId w:val="1"/>
        </w:num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 xml:space="preserve">La afectación generada en la situación jurídica de la persona involucrada en el proceso: </w:t>
      </w:r>
      <w:r w:rsidRPr="00D15C02">
        <w:rPr>
          <w:rFonts w:ascii="Palatino Linotype" w:eastAsia="Palatino Linotype" w:hAnsi="Palatino Linotype" w:cs="Palatino Linotype"/>
          <w:sz w:val="22"/>
          <w:szCs w:val="22"/>
        </w:rPr>
        <w:t>Violación a sus derechos humanos.</w:t>
      </w:r>
    </w:p>
    <w:p w14:paraId="697097B7"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F792C1D"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69E05D8"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752D082"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D15C02">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D15C02">
        <w:rPr>
          <w:rFonts w:ascii="Palatino Linotype" w:eastAsia="Palatino Linotype" w:hAnsi="Palatino Linotype" w:cs="Palatino Linotype"/>
          <w:sz w:val="22"/>
          <w:szCs w:val="22"/>
        </w:rPr>
        <w:t>, visible en la Gaceta del Seminario Judicial de la Federación con el registro digital 205635.</w:t>
      </w:r>
    </w:p>
    <w:p w14:paraId="3F160F67"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4C59A5C7"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639A873"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CFFFF80"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3F97C0F"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25192BE2" w14:textId="77777777" w:rsidR="005B20E8" w:rsidRPr="00D15C02" w:rsidRDefault="006A055B">
      <w:pPr>
        <w:spacing w:line="360" w:lineRule="auto"/>
        <w:ind w:left="567" w:right="616"/>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i/>
          <w:sz w:val="22"/>
          <w:szCs w:val="22"/>
        </w:rPr>
        <w:t>“PLAZO RAZONABLE PARA RESOLVER. DIMENSIÓN Y EFECTOS DE ESTE CONCEPTO CUANDO SE ADUCE EXCESIVA CARGA DE TRABAJO.”</w:t>
      </w:r>
      <w:r w:rsidRPr="00D15C02">
        <w:rPr>
          <w:rFonts w:ascii="Palatino Linotype" w:eastAsia="Palatino Linotype" w:hAnsi="Palatino Linotype" w:cs="Palatino Linotype"/>
          <w:sz w:val="22"/>
          <w:szCs w:val="22"/>
        </w:rPr>
        <w:t xml:space="preserve"> consultable en el Seminario Judicial de la Federación y su gaceta, con el registro digital 2002351.</w:t>
      </w:r>
    </w:p>
    <w:p w14:paraId="51B54E2C" w14:textId="77777777" w:rsidR="005B20E8" w:rsidRPr="00D15C02" w:rsidRDefault="005B20E8">
      <w:pPr>
        <w:spacing w:line="360" w:lineRule="auto"/>
        <w:ind w:left="567" w:right="616"/>
        <w:jc w:val="both"/>
        <w:rPr>
          <w:rFonts w:ascii="Palatino Linotype" w:eastAsia="Palatino Linotype" w:hAnsi="Palatino Linotype" w:cs="Palatino Linotype"/>
          <w:b/>
          <w:sz w:val="22"/>
          <w:szCs w:val="22"/>
        </w:rPr>
      </w:pPr>
    </w:p>
    <w:p w14:paraId="3384DC5B" w14:textId="77777777" w:rsidR="005B20E8" w:rsidRPr="00D15C02" w:rsidRDefault="006A055B">
      <w:pPr>
        <w:spacing w:line="360" w:lineRule="auto"/>
        <w:ind w:left="567" w:right="616"/>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D15C02">
        <w:rPr>
          <w:rFonts w:ascii="Palatino Linotype" w:eastAsia="Palatino Linotype" w:hAnsi="Palatino Linotype" w:cs="Palatino Linotype"/>
          <w:sz w:val="22"/>
          <w:szCs w:val="22"/>
        </w:rPr>
        <w:t>, visible en el Seminario Judicial de la Federación y su gaceta, con el registro digital 2002350.</w:t>
      </w:r>
    </w:p>
    <w:p w14:paraId="0B0657E4" w14:textId="77777777" w:rsidR="005B20E8" w:rsidRPr="00D15C02" w:rsidRDefault="005B20E8">
      <w:pPr>
        <w:spacing w:line="360" w:lineRule="auto"/>
        <w:ind w:left="567" w:right="616"/>
        <w:jc w:val="both"/>
        <w:rPr>
          <w:rFonts w:ascii="Palatino Linotype" w:eastAsia="Palatino Linotype" w:hAnsi="Palatino Linotype" w:cs="Palatino Linotype"/>
          <w:sz w:val="22"/>
          <w:szCs w:val="22"/>
        </w:rPr>
      </w:pPr>
    </w:p>
    <w:p w14:paraId="0D668E96"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3278D248" w14:textId="77777777" w:rsidR="005B20E8" w:rsidRPr="00D15C02" w:rsidRDefault="005B20E8">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027DA10" w14:textId="77777777" w:rsidR="005B20E8" w:rsidRPr="00D15C02" w:rsidRDefault="006A055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 xml:space="preserve">8. Cierre de instrucción. </w:t>
      </w:r>
      <w:r w:rsidRPr="00D15C02">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D15C02">
        <w:rPr>
          <w:rFonts w:ascii="Palatino Linotype" w:eastAsia="Palatino Linotype" w:hAnsi="Palatino Linotype" w:cs="Palatino Linotype"/>
          <w:b/>
          <w:sz w:val="22"/>
          <w:szCs w:val="22"/>
        </w:rPr>
        <w:t>veintiocho de octubre de dos mil veinticinco,</w:t>
      </w:r>
      <w:r w:rsidRPr="00D15C02">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3E583B5" w14:textId="77777777" w:rsidR="005B20E8" w:rsidRPr="00D15C02" w:rsidRDefault="005B20E8">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46FAA62C" w14:textId="77777777" w:rsidR="005B20E8" w:rsidRPr="00D15C02" w:rsidRDefault="006A055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8C5C3B9" w14:textId="77777777" w:rsidR="005B20E8" w:rsidRPr="00D15C02" w:rsidRDefault="006A055B">
      <w:pPr>
        <w:widowControl w:val="0"/>
        <w:spacing w:before="240" w:after="240" w:line="360" w:lineRule="auto"/>
        <w:jc w:val="center"/>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II. C O N S I D E R A N D O S</w:t>
      </w:r>
    </w:p>
    <w:p w14:paraId="75F24C99" w14:textId="5BBE0463"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Primero. Competencia.</w:t>
      </w:r>
      <w:r w:rsidRPr="00D15C02">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CC3974" w:rsidRPr="00D15C0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15C02">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B7172DB"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A501D56" w14:textId="77777777" w:rsidR="005B20E8" w:rsidRPr="00D15C02" w:rsidRDefault="006A055B">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D15C02">
        <w:rPr>
          <w:rFonts w:ascii="Palatino Linotype" w:eastAsia="Palatino Linotype" w:hAnsi="Palatino Linotype" w:cs="Palatino Linotype"/>
          <w:b/>
          <w:sz w:val="22"/>
          <w:szCs w:val="22"/>
        </w:rPr>
        <w:t>Segundo. Oportunidad y Procedibilidad del Recurso de Revisión</w:t>
      </w:r>
      <w:r w:rsidRPr="00D15C02">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E826E17"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CC66051"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remitió la respuesta a la solicitud de información el</w:t>
      </w:r>
      <w:r w:rsidRPr="00D15C02">
        <w:t xml:space="preserve"> </w:t>
      </w:r>
      <w:r w:rsidRPr="00D15C02">
        <w:rPr>
          <w:rFonts w:ascii="Palatino Linotype" w:eastAsia="Palatino Linotype" w:hAnsi="Palatino Linotype" w:cs="Palatino Linotype"/>
          <w:b/>
          <w:sz w:val="22"/>
          <w:szCs w:val="22"/>
        </w:rPr>
        <w:t xml:space="preserve">veintiséis de mayo de dos mil veinticinco, </w:t>
      </w:r>
      <w:r w:rsidRPr="00D15C02">
        <w:rPr>
          <w:rFonts w:ascii="Palatino Linotype" w:eastAsia="Palatino Linotype" w:hAnsi="Palatino Linotype" w:cs="Palatino Linotype"/>
          <w:sz w:val="22"/>
          <w:szCs w:val="22"/>
        </w:rPr>
        <w:t xml:space="preserve">mientras que el recurso de revisión interpuesto por </w:t>
      </w:r>
      <w:r w:rsidRPr="00D15C02">
        <w:rPr>
          <w:rFonts w:ascii="Palatino Linotype" w:eastAsia="Palatino Linotype" w:hAnsi="Palatino Linotype" w:cs="Palatino Linotype"/>
          <w:b/>
          <w:sz w:val="22"/>
          <w:szCs w:val="22"/>
        </w:rPr>
        <w:t>la parte</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Recurrente</w:t>
      </w:r>
      <w:r w:rsidRPr="00D15C02">
        <w:rPr>
          <w:rFonts w:ascii="Palatino Linotype" w:eastAsia="Palatino Linotype" w:hAnsi="Palatino Linotype" w:cs="Palatino Linotype"/>
          <w:sz w:val="22"/>
          <w:szCs w:val="22"/>
        </w:rPr>
        <w:t xml:space="preserve">, se tuvo por presentado el </w:t>
      </w:r>
      <w:r w:rsidRPr="00D15C02">
        <w:rPr>
          <w:rFonts w:ascii="Palatino Linotype" w:eastAsia="Palatino Linotype" w:hAnsi="Palatino Linotype" w:cs="Palatino Linotype"/>
          <w:b/>
          <w:sz w:val="22"/>
          <w:szCs w:val="22"/>
        </w:rPr>
        <w:t>veintiocho de mayo de dos mil veinticinco</w:t>
      </w:r>
      <w:r w:rsidRPr="00D15C02">
        <w:rPr>
          <w:rFonts w:ascii="Palatino Linotype" w:eastAsia="Palatino Linotype" w:hAnsi="Palatino Linotype" w:cs="Palatino Linotype"/>
          <w:sz w:val="22"/>
          <w:szCs w:val="22"/>
        </w:rPr>
        <w:t xml:space="preserve"> esto es, el </w:t>
      </w:r>
      <w:r w:rsidRPr="00D15C02">
        <w:rPr>
          <w:rFonts w:ascii="Palatino Linotype" w:eastAsia="Palatino Linotype" w:hAnsi="Palatino Linotype" w:cs="Palatino Linotype"/>
          <w:b/>
          <w:sz w:val="22"/>
          <w:szCs w:val="22"/>
          <w:u w:val="single"/>
        </w:rPr>
        <w:t>primer</w:t>
      </w:r>
      <w:r w:rsidRPr="00D15C02">
        <w:rPr>
          <w:rFonts w:ascii="Palatino Linotype" w:eastAsia="Palatino Linotype" w:hAnsi="Palatino Linotype" w:cs="Palatino Linotype"/>
          <w:sz w:val="22"/>
          <w:szCs w:val="22"/>
        </w:rPr>
        <w:t xml:space="preserve"> día hábil siguiente a aquel </w:t>
      </w:r>
      <w:r w:rsidRPr="00D15C02">
        <w:rPr>
          <w:rFonts w:ascii="Palatino Linotype" w:eastAsia="Palatino Linotype" w:hAnsi="Palatino Linotype" w:cs="Palatino Linotype"/>
          <w:b/>
          <w:sz w:val="22"/>
          <w:szCs w:val="22"/>
        </w:rPr>
        <w:t>en que se tuvo conocimiento de la respuesta impugnada</w:t>
      </w:r>
      <w:r w:rsidRPr="00D15C02">
        <w:rPr>
          <w:rFonts w:ascii="Palatino Linotype" w:eastAsia="Palatino Linotype" w:hAnsi="Palatino Linotype" w:cs="Palatino Linotype"/>
          <w:sz w:val="22"/>
          <w:szCs w:val="22"/>
        </w:rPr>
        <w:t xml:space="preserve">. </w:t>
      </w:r>
    </w:p>
    <w:p w14:paraId="0169D5ED"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5440980C"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4D15F1FB"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5DF10585" w14:textId="77777777" w:rsidR="005B20E8" w:rsidRPr="00D15C02" w:rsidRDefault="006A055B">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D15C02">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26DA945" w14:textId="77777777" w:rsidR="005B20E8" w:rsidRPr="00D15C02" w:rsidRDefault="005B20E8">
      <w:pPr>
        <w:tabs>
          <w:tab w:val="left" w:pos="7938"/>
        </w:tabs>
        <w:spacing w:line="360" w:lineRule="auto"/>
        <w:jc w:val="both"/>
        <w:rPr>
          <w:rFonts w:ascii="Palatino Linotype" w:eastAsia="Palatino Linotype" w:hAnsi="Palatino Linotype" w:cs="Palatino Linotype"/>
          <w:sz w:val="22"/>
          <w:szCs w:val="22"/>
        </w:rPr>
      </w:pPr>
    </w:p>
    <w:p w14:paraId="44036966"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Por otro lado, es de suma importancia mencionar que, si bien la parte</w:t>
      </w:r>
      <w:r w:rsidRPr="00D15C02">
        <w:rPr>
          <w:rFonts w:ascii="Palatino Linotype" w:eastAsia="Palatino Linotype" w:hAnsi="Palatino Linotype" w:cs="Palatino Linotype"/>
          <w:b/>
          <w:sz w:val="22"/>
          <w:szCs w:val="22"/>
        </w:rPr>
        <w:t xml:space="preserve"> Recurrente</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no</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proporcionó nombre,</w:t>
      </w:r>
      <w:r w:rsidRPr="00D15C02">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EF43C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307EBFA" w14:textId="77777777" w:rsidR="005B20E8" w:rsidRPr="00D15C02" w:rsidRDefault="006A055B">
      <w:pPr>
        <w:spacing w:line="276" w:lineRule="auto"/>
        <w:ind w:left="851" w:right="902"/>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i/>
          <w:sz w:val="22"/>
          <w:szCs w:val="22"/>
        </w:rPr>
        <w:t>"</w:t>
      </w:r>
      <w:r w:rsidRPr="00D15C02">
        <w:rPr>
          <w:rFonts w:ascii="Palatino Linotype" w:eastAsia="Palatino Linotype" w:hAnsi="Palatino Linotype" w:cs="Palatino Linotype"/>
          <w:b/>
          <w:i/>
          <w:sz w:val="22"/>
          <w:szCs w:val="22"/>
        </w:rPr>
        <w:t>Las solicitudes anónimas,</w:t>
      </w:r>
      <w:r w:rsidRPr="00D15C02">
        <w:rPr>
          <w:rFonts w:ascii="Palatino Linotype" w:eastAsia="Palatino Linotype" w:hAnsi="Palatino Linotype" w:cs="Palatino Linotype"/>
          <w:i/>
          <w:sz w:val="22"/>
          <w:szCs w:val="22"/>
        </w:rPr>
        <w:t xml:space="preserve"> con nombre incompleto o seudónimo </w:t>
      </w:r>
      <w:r w:rsidRPr="00D15C02">
        <w:rPr>
          <w:rFonts w:ascii="Palatino Linotype" w:eastAsia="Palatino Linotype" w:hAnsi="Palatino Linotype" w:cs="Palatino Linotype"/>
          <w:b/>
          <w:i/>
          <w:sz w:val="22"/>
          <w:szCs w:val="22"/>
        </w:rPr>
        <w:t>serán procedentes para su trámite por parte del sujeto obligado ante quien se presente</w:t>
      </w:r>
      <w:r w:rsidRPr="00D15C02">
        <w:rPr>
          <w:rFonts w:ascii="Palatino Linotype" w:eastAsia="Palatino Linotype" w:hAnsi="Palatino Linotype" w:cs="Palatino Linotype"/>
          <w:i/>
          <w:sz w:val="22"/>
          <w:szCs w:val="22"/>
        </w:rPr>
        <w:t>. No podrá requerirse información adicional con motivo del nombre proporcionado por el solicitante."</w:t>
      </w:r>
    </w:p>
    <w:p w14:paraId="41F4C8FC" w14:textId="77777777" w:rsidR="005B20E8" w:rsidRPr="00D15C02" w:rsidRDefault="005B20E8">
      <w:pPr>
        <w:tabs>
          <w:tab w:val="left" w:pos="7938"/>
        </w:tabs>
        <w:spacing w:line="360" w:lineRule="auto"/>
        <w:jc w:val="both"/>
        <w:rPr>
          <w:rFonts w:ascii="Palatino Linotype" w:eastAsia="Palatino Linotype" w:hAnsi="Palatino Linotype" w:cs="Palatino Linotype"/>
          <w:sz w:val="22"/>
          <w:szCs w:val="22"/>
        </w:rPr>
      </w:pPr>
    </w:p>
    <w:p w14:paraId="66CF4C5A"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Finalmente, se advierte que resulta procedente la interposición del recurso, según lo manifestado por </w:t>
      </w:r>
      <w:r w:rsidRPr="00D15C02">
        <w:rPr>
          <w:rFonts w:ascii="Palatino Linotype" w:eastAsia="Palatino Linotype" w:hAnsi="Palatino Linotype" w:cs="Palatino Linotype"/>
          <w:b/>
          <w:sz w:val="22"/>
          <w:szCs w:val="22"/>
        </w:rPr>
        <w:t>la parte</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Recurrente</w:t>
      </w:r>
      <w:r w:rsidRPr="00D15C02">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39B10C9C"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583D966F" w14:textId="77777777" w:rsidR="005B20E8" w:rsidRPr="00D15C02" w:rsidRDefault="006A055B">
      <w:pPr>
        <w:ind w:left="567" w:right="902"/>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w:t>
      </w:r>
      <w:r w:rsidRPr="00D15C02">
        <w:rPr>
          <w:rFonts w:ascii="Palatino Linotype" w:eastAsia="Palatino Linotype" w:hAnsi="Palatino Linotype" w:cs="Palatino Linotype"/>
          <w:b/>
          <w:i/>
          <w:sz w:val="22"/>
          <w:szCs w:val="22"/>
        </w:rPr>
        <w:t>Artículo 179.</w:t>
      </w:r>
      <w:r w:rsidRPr="00D15C0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DC11164" w14:textId="77777777" w:rsidR="005B20E8" w:rsidRPr="00D15C02" w:rsidRDefault="006A055B">
      <w:pPr>
        <w:ind w:left="567" w:right="902"/>
        <w:jc w:val="both"/>
        <w:rPr>
          <w:rFonts w:ascii="Palatino Linotype" w:eastAsia="Palatino Linotype" w:hAnsi="Palatino Linotype" w:cs="Palatino Linotype"/>
          <w:b/>
          <w:i/>
          <w:sz w:val="22"/>
          <w:szCs w:val="22"/>
        </w:rPr>
      </w:pPr>
      <w:r w:rsidRPr="00D15C02">
        <w:rPr>
          <w:rFonts w:ascii="Palatino Linotype" w:eastAsia="Palatino Linotype" w:hAnsi="Palatino Linotype" w:cs="Palatino Linotype"/>
          <w:b/>
          <w:i/>
          <w:sz w:val="22"/>
          <w:szCs w:val="22"/>
        </w:rPr>
        <w:t>I. La negativa a la información solicitada;</w:t>
      </w:r>
    </w:p>
    <w:p w14:paraId="02C506D8" w14:textId="77777777" w:rsidR="005B20E8" w:rsidRPr="00D15C02" w:rsidRDefault="006A055B">
      <w:pPr>
        <w:ind w:left="567" w:right="902"/>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 xml:space="preserve"> […]”</w:t>
      </w:r>
    </w:p>
    <w:p w14:paraId="5BA433F4" w14:textId="77777777" w:rsidR="005B20E8" w:rsidRPr="00D15C02" w:rsidRDefault="005B20E8">
      <w:pPr>
        <w:ind w:left="567"/>
        <w:rPr>
          <w:rFonts w:ascii="Palatino Linotype" w:eastAsia="Palatino Linotype" w:hAnsi="Palatino Linotype" w:cs="Palatino Linotype"/>
          <w:b/>
          <w:i/>
          <w:sz w:val="22"/>
          <w:szCs w:val="22"/>
        </w:rPr>
      </w:pPr>
    </w:p>
    <w:p w14:paraId="456A0D48" w14:textId="77777777" w:rsidR="005B20E8" w:rsidRPr="00D15C02" w:rsidRDefault="006A055B">
      <w:pPr>
        <w:ind w:left="567" w:right="900"/>
        <w:jc w:val="right"/>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 xml:space="preserve"> </w:t>
      </w:r>
      <w:r w:rsidRPr="00D15C02">
        <w:rPr>
          <w:rFonts w:ascii="Palatino Linotype" w:eastAsia="Palatino Linotype" w:hAnsi="Palatino Linotype" w:cs="Palatino Linotype"/>
          <w:i/>
          <w:sz w:val="22"/>
          <w:szCs w:val="22"/>
        </w:rPr>
        <w:t>(Énfasis añadido)</w:t>
      </w:r>
    </w:p>
    <w:p w14:paraId="108C5462" w14:textId="77777777" w:rsidR="005B20E8" w:rsidRPr="00D15C02" w:rsidRDefault="005B20E8">
      <w:pPr>
        <w:ind w:left="567" w:right="900"/>
        <w:jc w:val="right"/>
        <w:rPr>
          <w:rFonts w:ascii="Palatino Linotype" w:eastAsia="Palatino Linotype" w:hAnsi="Palatino Linotype" w:cs="Palatino Linotype"/>
          <w:b/>
          <w:i/>
          <w:sz w:val="22"/>
          <w:szCs w:val="22"/>
        </w:rPr>
      </w:pPr>
    </w:p>
    <w:p w14:paraId="728DE32E"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Tercero. Materia de la revisión. </w:t>
      </w:r>
      <w:r w:rsidRPr="00D15C02">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15C02">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D15C02">
        <w:rPr>
          <w:rFonts w:ascii="Palatino Linotype" w:eastAsia="Palatino Linotype" w:hAnsi="Palatino Linotype" w:cs="Palatino Linotype"/>
          <w:sz w:val="22"/>
          <w:szCs w:val="22"/>
        </w:rPr>
        <w:t xml:space="preserve"> o en su defecto, en caso de ser procedente, ordenar la entrega de la información oportuna.</w:t>
      </w:r>
    </w:p>
    <w:p w14:paraId="485142AA"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0773D69"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 xml:space="preserve">Cuarto. Estudio del asunto. </w:t>
      </w:r>
      <w:r w:rsidRPr="00D15C02">
        <w:rPr>
          <w:rFonts w:ascii="Palatino Linotype" w:eastAsia="Palatino Linotype" w:hAnsi="Palatino Linotype" w:cs="Palatino Linotype"/>
          <w:sz w:val="22"/>
          <w:szCs w:val="22"/>
        </w:rPr>
        <w:t xml:space="preserve">Antes de entrar al análisis de los pronunciamientos del </w:t>
      </w:r>
      <w:r w:rsidRPr="00D15C02">
        <w:rPr>
          <w:rFonts w:ascii="Palatino Linotype" w:eastAsia="Palatino Linotype" w:hAnsi="Palatino Linotype" w:cs="Palatino Linotype"/>
          <w:b/>
          <w:sz w:val="22"/>
          <w:szCs w:val="22"/>
        </w:rPr>
        <w:t>Sujeto Obligado</w:t>
      </w:r>
      <w:r w:rsidRPr="00D15C02">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97BD431"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E8816C6" w14:textId="77777777" w:rsidR="005B20E8" w:rsidRPr="00D15C02" w:rsidRDefault="006A055B">
      <w:pPr>
        <w:spacing w:line="276" w:lineRule="auto"/>
        <w:ind w:left="851" w:right="850"/>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D15C0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5DE5B89" w14:textId="77777777" w:rsidR="005B20E8" w:rsidRPr="00D15C02" w:rsidRDefault="006A055B">
      <w:pPr>
        <w:spacing w:line="276" w:lineRule="auto"/>
        <w:ind w:left="851" w:right="850"/>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E6A53B1" w14:textId="77777777" w:rsidR="005B20E8" w:rsidRPr="00D15C02" w:rsidRDefault="006A055B">
      <w:pPr>
        <w:spacing w:line="276" w:lineRule="auto"/>
        <w:ind w:left="851" w:right="850"/>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15C0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0195444" w14:textId="77777777" w:rsidR="005B20E8" w:rsidRPr="00D15C02" w:rsidRDefault="006A055B">
      <w:pPr>
        <w:spacing w:line="276" w:lineRule="auto"/>
        <w:ind w:left="851" w:right="850"/>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i/>
          <w:sz w:val="22"/>
          <w:szCs w:val="22"/>
        </w:rPr>
        <w:t>[…]</w:t>
      </w:r>
    </w:p>
    <w:p w14:paraId="06C27991" w14:textId="77777777" w:rsidR="005B20E8" w:rsidRPr="00D15C02" w:rsidRDefault="006A055B">
      <w:pPr>
        <w:spacing w:line="276" w:lineRule="auto"/>
        <w:ind w:left="851" w:right="901"/>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i/>
          <w:sz w:val="22"/>
          <w:szCs w:val="22"/>
        </w:rPr>
        <w:t>“Artículo 6o.</w:t>
      </w:r>
    </w:p>
    <w:p w14:paraId="6DBE6060" w14:textId="77777777" w:rsidR="005B20E8" w:rsidRPr="00D15C02" w:rsidRDefault="006A055B">
      <w:pPr>
        <w:spacing w:line="276" w:lineRule="auto"/>
        <w:ind w:left="851" w:right="901"/>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i/>
          <w:sz w:val="22"/>
          <w:szCs w:val="22"/>
        </w:rPr>
        <w:t>[...]</w:t>
      </w:r>
    </w:p>
    <w:p w14:paraId="3B8445A0" w14:textId="77777777" w:rsidR="005B20E8" w:rsidRPr="00D15C02" w:rsidRDefault="006A055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 xml:space="preserve">A. Para el ejercicio del derecho de acceso a la información, la Federación y </w:t>
      </w:r>
      <w:r w:rsidRPr="00D15C02">
        <w:rPr>
          <w:rFonts w:ascii="Palatino Linotype" w:eastAsia="Palatino Linotype" w:hAnsi="Palatino Linotype" w:cs="Palatino Linotype"/>
          <w:b/>
          <w:i/>
          <w:sz w:val="22"/>
          <w:szCs w:val="22"/>
          <w:u w:val="single"/>
        </w:rPr>
        <w:t>las entidades federativas</w:t>
      </w:r>
      <w:r w:rsidRPr="00D15C02">
        <w:rPr>
          <w:rFonts w:ascii="Palatino Linotype" w:eastAsia="Palatino Linotype" w:hAnsi="Palatino Linotype" w:cs="Palatino Linotype"/>
          <w:b/>
          <w:i/>
          <w:sz w:val="22"/>
          <w:szCs w:val="22"/>
        </w:rPr>
        <w:t>,</w:t>
      </w:r>
      <w:r w:rsidRPr="00D15C02">
        <w:rPr>
          <w:rFonts w:ascii="Palatino Linotype" w:eastAsia="Palatino Linotype" w:hAnsi="Palatino Linotype" w:cs="Palatino Linotype"/>
          <w:i/>
          <w:sz w:val="22"/>
          <w:szCs w:val="22"/>
        </w:rPr>
        <w:t xml:space="preserve"> en el ámbito de sus respectivas competencias, se regirán por los siguientes principios y bases:</w:t>
      </w:r>
    </w:p>
    <w:p w14:paraId="5C6FE39D" w14:textId="77777777" w:rsidR="005B20E8" w:rsidRPr="00D15C02" w:rsidRDefault="006A055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 </w:t>
      </w:r>
      <w:r w:rsidRPr="00D15C02">
        <w:rPr>
          <w:rFonts w:ascii="Palatino Linotype" w:eastAsia="Palatino Linotype" w:hAnsi="Palatino Linotype" w:cs="Palatino Linotype"/>
          <w:b/>
          <w:i/>
          <w:sz w:val="22"/>
          <w:szCs w:val="22"/>
        </w:rPr>
        <w:t xml:space="preserve">I. </w:t>
      </w:r>
      <w:r w:rsidRPr="00D15C0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D15C02">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D15C02">
        <w:rPr>
          <w:rFonts w:ascii="Palatino Linotype" w:eastAsia="Palatino Linotype" w:hAnsi="Palatino Linotype" w:cs="Palatino Linotype"/>
          <w:b/>
          <w:i/>
          <w:sz w:val="22"/>
          <w:szCs w:val="22"/>
        </w:rPr>
        <w:t>es pública y sólo podrá ser reservada temporalmente por razones de interés público y seguridad nacional,</w:t>
      </w:r>
      <w:r w:rsidRPr="00D15C0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B7BEBBB" w14:textId="77777777" w:rsidR="005B20E8" w:rsidRPr="00D15C02" w:rsidRDefault="006A055B">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D15C0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6C0F3BC6" w14:textId="77777777" w:rsidR="005B20E8" w:rsidRPr="00D15C02" w:rsidRDefault="006A055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 </w:t>
      </w:r>
      <w:r w:rsidRPr="00D15C02">
        <w:rPr>
          <w:rFonts w:ascii="Palatino Linotype" w:eastAsia="Palatino Linotype" w:hAnsi="Palatino Linotype" w:cs="Palatino Linotype"/>
          <w:b/>
          <w:i/>
          <w:sz w:val="22"/>
          <w:szCs w:val="22"/>
        </w:rPr>
        <w:t xml:space="preserve">III. </w:t>
      </w:r>
      <w:r w:rsidRPr="00D15C0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D15C02">
        <w:rPr>
          <w:rFonts w:ascii="Palatino Linotype" w:eastAsia="Palatino Linotype" w:hAnsi="Palatino Linotype" w:cs="Palatino Linotype"/>
          <w:i/>
          <w:sz w:val="22"/>
          <w:szCs w:val="22"/>
        </w:rPr>
        <w:t xml:space="preserve"> a sus datos personales o a la rectificación de éstos.</w:t>
      </w:r>
    </w:p>
    <w:p w14:paraId="1F7508C7" w14:textId="77777777" w:rsidR="005B20E8" w:rsidRPr="00D15C02" w:rsidRDefault="006A055B">
      <w:pPr>
        <w:pBdr>
          <w:top w:val="nil"/>
          <w:left w:val="nil"/>
          <w:bottom w:val="nil"/>
          <w:right w:val="nil"/>
          <w:between w:val="nil"/>
        </w:pBdr>
        <w:spacing w:before="240" w:after="240"/>
        <w:ind w:left="851" w:right="851"/>
        <w:jc w:val="both"/>
      </w:pPr>
      <w:r w:rsidRPr="00D15C02">
        <w:rPr>
          <w:rFonts w:ascii="Palatino Linotype" w:eastAsia="Palatino Linotype" w:hAnsi="Palatino Linotype" w:cs="Palatino Linotype"/>
          <w:b/>
          <w:i/>
          <w:sz w:val="22"/>
          <w:szCs w:val="22"/>
        </w:rPr>
        <w:t>…</w:t>
      </w:r>
    </w:p>
    <w:p w14:paraId="67DE78DB" w14:textId="77777777" w:rsidR="005B20E8" w:rsidRPr="00D15C02" w:rsidRDefault="006A055B">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IV.</w:t>
      </w:r>
      <w:r w:rsidRPr="00D15C02">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CCF5D19" w14:textId="77777777" w:rsidR="005B20E8" w:rsidRPr="00D15C02" w:rsidRDefault="006A055B">
      <w:pPr>
        <w:pBdr>
          <w:top w:val="nil"/>
          <w:left w:val="nil"/>
          <w:bottom w:val="nil"/>
          <w:right w:val="nil"/>
          <w:between w:val="nil"/>
        </w:pBdr>
        <w:spacing w:before="240" w:after="240"/>
        <w:ind w:left="851" w:right="851"/>
        <w:jc w:val="both"/>
      </w:pPr>
      <w:r w:rsidRPr="00D15C02">
        <w:rPr>
          <w:rFonts w:ascii="Palatino Linotype" w:eastAsia="Palatino Linotype" w:hAnsi="Palatino Linotype" w:cs="Palatino Linotype"/>
          <w:b/>
          <w:i/>
          <w:sz w:val="22"/>
          <w:szCs w:val="22"/>
        </w:rPr>
        <w:t xml:space="preserve">V. </w:t>
      </w:r>
      <w:r w:rsidRPr="00D15C0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A33655F" w14:textId="77777777" w:rsidR="005B20E8" w:rsidRPr="00D15C02" w:rsidRDefault="006A055B">
      <w:pPr>
        <w:pBdr>
          <w:top w:val="nil"/>
          <w:left w:val="nil"/>
          <w:bottom w:val="nil"/>
          <w:right w:val="nil"/>
          <w:between w:val="nil"/>
        </w:pBdr>
        <w:spacing w:before="240" w:after="240"/>
        <w:ind w:left="851" w:right="851"/>
        <w:jc w:val="both"/>
      </w:pPr>
      <w:r w:rsidRPr="00D15C02">
        <w:rPr>
          <w:rFonts w:ascii="Palatino Linotype" w:eastAsia="Palatino Linotype" w:hAnsi="Palatino Linotype" w:cs="Palatino Linotype"/>
          <w:i/>
          <w:sz w:val="22"/>
          <w:szCs w:val="22"/>
        </w:rPr>
        <w:t> </w:t>
      </w:r>
      <w:r w:rsidRPr="00D15C02">
        <w:rPr>
          <w:rFonts w:ascii="Palatino Linotype" w:eastAsia="Palatino Linotype" w:hAnsi="Palatino Linotype" w:cs="Palatino Linotype"/>
          <w:b/>
          <w:i/>
          <w:sz w:val="22"/>
          <w:szCs w:val="22"/>
        </w:rPr>
        <w:t xml:space="preserve">VI. </w:t>
      </w:r>
      <w:r w:rsidRPr="00D15C0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40C4A675" w14:textId="77777777" w:rsidR="005B20E8" w:rsidRPr="00D15C02" w:rsidRDefault="006A055B">
      <w:pPr>
        <w:pBdr>
          <w:top w:val="nil"/>
          <w:left w:val="nil"/>
          <w:bottom w:val="nil"/>
          <w:right w:val="nil"/>
          <w:between w:val="nil"/>
        </w:pBdr>
        <w:spacing w:before="240" w:after="240"/>
        <w:ind w:left="851" w:right="851"/>
        <w:jc w:val="both"/>
      </w:pPr>
      <w:r w:rsidRPr="00D15C02">
        <w:rPr>
          <w:rFonts w:ascii="Palatino Linotype" w:eastAsia="Palatino Linotype" w:hAnsi="Palatino Linotype" w:cs="Palatino Linotype"/>
          <w:i/>
          <w:sz w:val="22"/>
          <w:szCs w:val="22"/>
        </w:rPr>
        <w:t> </w:t>
      </w:r>
      <w:r w:rsidRPr="00D15C02">
        <w:rPr>
          <w:rFonts w:ascii="Palatino Linotype" w:eastAsia="Palatino Linotype" w:hAnsi="Palatino Linotype" w:cs="Palatino Linotype"/>
          <w:b/>
          <w:i/>
          <w:sz w:val="22"/>
          <w:szCs w:val="22"/>
        </w:rPr>
        <w:t xml:space="preserve">VII. </w:t>
      </w:r>
      <w:r w:rsidRPr="00D15C0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332B224" w14:textId="77777777" w:rsidR="005B20E8" w:rsidRPr="00D15C02" w:rsidRDefault="005B20E8">
      <w:pPr>
        <w:spacing w:line="276" w:lineRule="auto"/>
        <w:ind w:left="851" w:right="851"/>
        <w:jc w:val="both"/>
        <w:rPr>
          <w:rFonts w:ascii="Palatino Linotype" w:eastAsia="Palatino Linotype" w:hAnsi="Palatino Linotype" w:cs="Palatino Linotype"/>
          <w:sz w:val="22"/>
          <w:szCs w:val="22"/>
        </w:rPr>
      </w:pPr>
    </w:p>
    <w:p w14:paraId="5AE8EE89"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513E758"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579EF22F"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w:t>
      </w:r>
      <w:r w:rsidRPr="00D15C02">
        <w:rPr>
          <w:rFonts w:ascii="Palatino Linotype" w:eastAsia="Palatino Linotype" w:hAnsi="Palatino Linotype" w:cs="Palatino Linotype"/>
          <w:b/>
          <w:i/>
          <w:sz w:val="22"/>
          <w:szCs w:val="22"/>
        </w:rPr>
        <w:t>Artículo 4</w:t>
      </w:r>
      <w:r w:rsidRPr="00D15C0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7BDDF67" w14:textId="77777777" w:rsidR="005B20E8" w:rsidRPr="00D15C02" w:rsidRDefault="005B20E8">
      <w:pPr>
        <w:spacing w:line="276" w:lineRule="auto"/>
        <w:ind w:left="567" w:right="616"/>
        <w:jc w:val="both"/>
        <w:rPr>
          <w:rFonts w:ascii="Palatino Linotype" w:eastAsia="Palatino Linotype" w:hAnsi="Palatino Linotype" w:cs="Palatino Linotype"/>
          <w:i/>
          <w:sz w:val="22"/>
          <w:szCs w:val="22"/>
        </w:rPr>
      </w:pPr>
    </w:p>
    <w:p w14:paraId="1A301C3B"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D15C0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2B7C48C" w14:textId="77777777" w:rsidR="005B20E8" w:rsidRPr="00D15C02" w:rsidRDefault="005B20E8">
      <w:pPr>
        <w:spacing w:line="276" w:lineRule="auto"/>
        <w:ind w:left="567" w:right="616"/>
        <w:jc w:val="both"/>
        <w:rPr>
          <w:rFonts w:ascii="Palatino Linotype" w:eastAsia="Palatino Linotype" w:hAnsi="Palatino Linotype" w:cs="Palatino Linotype"/>
          <w:i/>
          <w:sz w:val="22"/>
          <w:szCs w:val="22"/>
        </w:rPr>
      </w:pPr>
    </w:p>
    <w:p w14:paraId="1EFC02C8"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D15C02">
        <w:rPr>
          <w:rFonts w:ascii="Palatino Linotype" w:eastAsia="Palatino Linotype" w:hAnsi="Palatino Linotype" w:cs="Palatino Linotype"/>
          <w:i/>
          <w:sz w:val="22"/>
          <w:szCs w:val="22"/>
        </w:rPr>
        <w:t>.”</w:t>
      </w:r>
    </w:p>
    <w:p w14:paraId="450376EA"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0F5DB0E"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2E17F13"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FD4F7AE"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“Artículo 12.-</w:t>
      </w:r>
      <w:r w:rsidRPr="00D15C0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82ED11D" w14:textId="77777777" w:rsidR="005B20E8" w:rsidRPr="00D15C02" w:rsidRDefault="005B20E8">
      <w:pPr>
        <w:spacing w:line="276" w:lineRule="auto"/>
        <w:ind w:left="567" w:right="616"/>
        <w:jc w:val="both"/>
        <w:rPr>
          <w:rFonts w:ascii="Palatino Linotype" w:eastAsia="Palatino Linotype" w:hAnsi="Palatino Linotype" w:cs="Palatino Linotype"/>
          <w:i/>
          <w:sz w:val="22"/>
          <w:szCs w:val="22"/>
        </w:rPr>
      </w:pPr>
    </w:p>
    <w:p w14:paraId="2719059A" w14:textId="77777777" w:rsidR="005B20E8" w:rsidRPr="00D15C02" w:rsidRDefault="006A055B">
      <w:pPr>
        <w:spacing w:line="276" w:lineRule="auto"/>
        <w:ind w:left="567" w:right="616"/>
        <w:jc w:val="both"/>
        <w:rPr>
          <w:rFonts w:ascii="Palatino Linotype" w:eastAsia="Palatino Linotype" w:hAnsi="Palatino Linotype" w:cs="Palatino Linotype"/>
          <w:b/>
          <w:i/>
          <w:sz w:val="22"/>
          <w:szCs w:val="22"/>
        </w:rPr>
      </w:pPr>
      <w:r w:rsidRPr="00D15C0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D15C02">
        <w:rPr>
          <w:rFonts w:ascii="Palatino Linotype" w:eastAsia="Palatino Linotype" w:hAnsi="Palatino Linotype" w:cs="Palatino Linotype"/>
          <w:i/>
          <w:sz w:val="22"/>
          <w:szCs w:val="22"/>
        </w:rPr>
        <w:t xml:space="preserve">. </w:t>
      </w:r>
      <w:r w:rsidRPr="00D15C02">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5F8A40A" w14:textId="77777777" w:rsidR="005B20E8" w:rsidRPr="00D15C02" w:rsidRDefault="005B20E8">
      <w:pPr>
        <w:spacing w:line="360" w:lineRule="auto"/>
        <w:ind w:left="567" w:right="616"/>
        <w:jc w:val="both"/>
        <w:rPr>
          <w:rFonts w:ascii="Palatino Linotype" w:eastAsia="Palatino Linotype" w:hAnsi="Palatino Linotype" w:cs="Palatino Linotype"/>
          <w:i/>
          <w:sz w:val="22"/>
          <w:szCs w:val="22"/>
        </w:rPr>
      </w:pPr>
    </w:p>
    <w:p w14:paraId="2EB9C4DD" w14:textId="77777777" w:rsidR="005B20E8" w:rsidRPr="00D15C02" w:rsidRDefault="006A055B">
      <w:pPr>
        <w:spacing w:line="360" w:lineRule="auto"/>
        <w:ind w:right="-93"/>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27C212BA" w14:textId="77777777" w:rsidR="005B20E8" w:rsidRPr="00D15C02" w:rsidRDefault="005B20E8">
      <w:pPr>
        <w:spacing w:line="360" w:lineRule="auto"/>
        <w:ind w:right="-93"/>
        <w:jc w:val="both"/>
        <w:rPr>
          <w:rFonts w:ascii="Palatino Linotype" w:eastAsia="Palatino Linotype" w:hAnsi="Palatino Linotype" w:cs="Palatino Linotype"/>
          <w:sz w:val="22"/>
          <w:szCs w:val="22"/>
        </w:rPr>
      </w:pPr>
    </w:p>
    <w:p w14:paraId="5B552523"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15C02">
        <w:rPr>
          <w:rFonts w:ascii="Palatino Linotype" w:eastAsia="Palatino Linotype" w:hAnsi="Palatino Linotype" w:cs="Palatino Linotype"/>
          <w:b/>
          <w:sz w:val="22"/>
          <w:szCs w:val="22"/>
        </w:rPr>
        <w:t xml:space="preserve"> </w:t>
      </w:r>
    </w:p>
    <w:p w14:paraId="6C7E9910"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w:t>
      </w:r>
      <w:r w:rsidRPr="00D15C02">
        <w:rPr>
          <w:rFonts w:ascii="Palatino Linotype" w:eastAsia="Palatino Linotype" w:hAnsi="Palatino Linotype" w:cs="Palatino Linotype"/>
          <w:b/>
          <w:i/>
          <w:sz w:val="22"/>
          <w:szCs w:val="22"/>
        </w:rPr>
        <w:t>No existe obligación de elaborar documentos ad hoc para atender las solicitudes de acceso a la información.</w:t>
      </w:r>
      <w:r w:rsidRPr="00D15C0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FC2E37D" w14:textId="77777777" w:rsidR="005B20E8" w:rsidRPr="00D15C02" w:rsidRDefault="005B20E8">
      <w:pPr>
        <w:spacing w:line="360" w:lineRule="auto"/>
        <w:ind w:right="-93"/>
        <w:jc w:val="both"/>
        <w:rPr>
          <w:rFonts w:ascii="Palatino Linotype" w:eastAsia="Palatino Linotype" w:hAnsi="Palatino Linotype" w:cs="Palatino Linotype"/>
          <w:sz w:val="22"/>
          <w:szCs w:val="22"/>
        </w:rPr>
      </w:pPr>
    </w:p>
    <w:p w14:paraId="029E02D0"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2DE9539"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00F4CE7" w14:textId="77777777" w:rsidR="005B20E8" w:rsidRPr="00D15C02" w:rsidRDefault="006A055B">
      <w:pPr>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606164D" w14:textId="77777777" w:rsidR="005B20E8" w:rsidRPr="00D15C02" w:rsidRDefault="005B20E8">
      <w:pPr>
        <w:spacing w:line="360" w:lineRule="auto"/>
        <w:ind w:right="49"/>
        <w:jc w:val="both"/>
        <w:rPr>
          <w:rFonts w:ascii="Palatino Linotype" w:eastAsia="Palatino Linotype" w:hAnsi="Palatino Linotype" w:cs="Palatino Linotype"/>
          <w:sz w:val="22"/>
          <w:szCs w:val="22"/>
        </w:rPr>
      </w:pPr>
    </w:p>
    <w:p w14:paraId="429258BF"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6369E3" w14:textId="77777777" w:rsidR="005B20E8" w:rsidRPr="00D15C02" w:rsidRDefault="005B20E8">
      <w:pPr>
        <w:spacing w:line="360" w:lineRule="auto"/>
        <w:ind w:left="851" w:right="899"/>
        <w:jc w:val="both"/>
        <w:rPr>
          <w:rFonts w:ascii="Palatino Linotype" w:eastAsia="Palatino Linotype" w:hAnsi="Palatino Linotype" w:cs="Palatino Linotype"/>
          <w:i/>
          <w:sz w:val="22"/>
          <w:szCs w:val="22"/>
        </w:rPr>
      </w:pPr>
    </w:p>
    <w:p w14:paraId="17E1DC6B"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w:t>
      </w:r>
      <w:r w:rsidRPr="00D15C02">
        <w:rPr>
          <w:rFonts w:ascii="Palatino Linotype" w:eastAsia="Palatino Linotype" w:hAnsi="Palatino Linotype" w:cs="Palatino Linotype"/>
          <w:b/>
          <w:i/>
          <w:sz w:val="22"/>
          <w:szCs w:val="22"/>
        </w:rPr>
        <w:t xml:space="preserve">Artículo 3. </w:t>
      </w:r>
      <w:r w:rsidRPr="00D15C02">
        <w:rPr>
          <w:rFonts w:ascii="Palatino Linotype" w:eastAsia="Palatino Linotype" w:hAnsi="Palatino Linotype" w:cs="Palatino Linotype"/>
          <w:i/>
          <w:sz w:val="22"/>
          <w:szCs w:val="22"/>
        </w:rPr>
        <w:t>Para los efectos de la presente Ley se entenderá por:</w:t>
      </w:r>
    </w:p>
    <w:p w14:paraId="4ED1BC21"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w:t>
      </w:r>
    </w:p>
    <w:p w14:paraId="5F2B0DDC"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XI. Documento:</w:t>
      </w:r>
      <w:r w:rsidRPr="00D15C02">
        <w:rPr>
          <w:rFonts w:ascii="Palatino Linotype" w:eastAsia="Palatino Linotype" w:hAnsi="Palatino Linotype" w:cs="Palatino Linotype"/>
          <w:i/>
          <w:sz w:val="22"/>
          <w:szCs w:val="22"/>
        </w:rPr>
        <w:t xml:space="preserve"> Los expedientes, reportes, estudios, actas</w:t>
      </w:r>
      <w:r w:rsidRPr="00D15C02">
        <w:rPr>
          <w:rFonts w:ascii="Palatino Linotype" w:eastAsia="Palatino Linotype" w:hAnsi="Palatino Linotype" w:cs="Palatino Linotype"/>
          <w:b/>
          <w:i/>
          <w:sz w:val="22"/>
          <w:szCs w:val="22"/>
        </w:rPr>
        <w:t>,</w:t>
      </w:r>
      <w:r w:rsidRPr="00D15C0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1BFA2E4" w14:textId="77777777" w:rsidR="005B20E8" w:rsidRPr="00D15C02" w:rsidRDefault="005B20E8">
      <w:pPr>
        <w:spacing w:line="360" w:lineRule="auto"/>
        <w:ind w:left="851" w:right="899"/>
        <w:jc w:val="both"/>
        <w:rPr>
          <w:rFonts w:ascii="Palatino Linotype" w:eastAsia="Palatino Linotype" w:hAnsi="Palatino Linotype" w:cs="Palatino Linotype"/>
          <w:sz w:val="22"/>
          <w:szCs w:val="22"/>
        </w:rPr>
      </w:pPr>
    </w:p>
    <w:p w14:paraId="7FD8C2DD"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9B8A7C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C092AC5" w14:textId="77777777" w:rsidR="005B20E8" w:rsidRPr="00D15C02" w:rsidRDefault="006A055B">
      <w:pPr>
        <w:spacing w:line="276" w:lineRule="auto"/>
        <w:ind w:left="567" w:right="616"/>
        <w:jc w:val="both"/>
        <w:rPr>
          <w:rFonts w:ascii="Palatino Linotype" w:eastAsia="Palatino Linotype" w:hAnsi="Palatino Linotype" w:cs="Palatino Linotype"/>
          <w:b/>
          <w:i/>
          <w:sz w:val="22"/>
          <w:szCs w:val="22"/>
        </w:rPr>
      </w:pPr>
      <w:r w:rsidRPr="00D15C02">
        <w:rPr>
          <w:rFonts w:ascii="Palatino Linotype" w:eastAsia="Palatino Linotype" w:hAnsi="Palatino Linotype" w:cs="Palatino Linotype"/>
          <w:b/>
          <w:sz w:val="22"/>
          <w:szCs w:val="22"/>
        </w:rPr>
        <w:t>“</w:t>
      </w:r>
      <w:r w:rsidRPr="00D15C02">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D15C0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6BAD197"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8073172"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700C6F7" w14:textId="77777777" w:rsidR="005B20E8" w:rsidRPr="00D15C02" w:rsidRDefault="006A055B">
      <w:pPr>
        <w:spacing w:line="276" w:lineRule="auto"/>
        <w:ind w:left="567" w:right="616"/>
        <w:jc w:val="both"/>
        <w:rPr>
          <w:rFonts w:ascii="Palatino Linotype" w:eastAsia="Palatino Linotype" w:hAnsi="Palatino Linotype" w:cs="Palatino Linotype"/>
          <w:b/>
          <w:i/>
          <w:sz w:val="22"/>
          <w:szCs w:val="22"/>
        </w:rPr>
      </w:pPr>
      <w:r w:rsidRPr="00D15C02">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3DDE8CA" w14:textId="77777777" w:rsidR="005B20E8" w:rsidRPr="00D15C02" w:rsidRDefault="006A055B">
      <w:pPr>
        <w:spacing w:line="276" w:lineRule="auto"/>
        <w:ind w:left="567" w:right="616"/>
        <w:jc w:val="both"/>
        <w:rPr>
          <w:rFonts w:ascii="Palatino Linotype" w:eastAsia="Palatino Linotype" w:hAnsi="Palatino Linotype" w:cs="Palatino Linotype"/>
          <w:b/>
          <w:i/>
          <w:sz w:val="22"/>
          <w:szCs w:val="22"/>
        </w:rPr>
      </w:pPr>
      <w:r w:rsidRPr="00D15C02">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03387F47" w14:textId="77777777" w:rsidR="005B20E8" w:rsidRPr="00D15C02" w:rsidRDefault="005B20E8">
      <w:pPr>
        <w:spacing w:line="276" w:lineRule="auto"/>
        <w:ind w:left="567" w:right="616"/>
        <w:jc w:val="both"/>
        <w:rPr>
          <w:rFonts w:ascii="Palatino Linotype" w:eastAsia="Palatino Linotype" w:hAnsi="Palatino Linotype" w:cs="Palatino Linotype"/>
          <w:b/>
          <w:i/>
          <w:sz w:val="22"/>
          <w:szCs w:val="22"/>
        </w:rPr>
      </w:pPr>
    </w:p>
    <w:p w14:paraId="29777DDE"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De ahí que el </w:t>
      </w:r>
      <w:r w:rsidRPr="00D15C02">
        <w:rPr>
          <w:rFonts w:ascii="Palatino Linotype" w:eastAsia="Palatino Linotype" w:hAnsi="Palatino Linotype" w:cs="Palatino Linotype"/>
          <w:b/>
          <w:sz w:val="22"/>
          <w:szCs w:val="22"/>
        </w:rPr>
        <w:t>Sujeto Obligado</w:t>
      </w:r>
      <w:r w:rsidRPr="00D15C02">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D15C02">
        <w:rPr>
          <w:rFonts w:ascii="Palatino Linotype" w:eastAsia="Palatino Linotype" w:hAnsi="Palatino Linotype" w:cs="Palatino Linotype"/>
          <w:sz w:val="22"/>
          <w:szCs w:val="22"/>
          <w:vertAlign w:val="superscript"/>
        </w:rPr>
        <w:footnoteReference w:id="1"/>
      </w:r>
      <w:r w:rsidRPr="00D15C02">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D15C02">
        <w:rPr>
          <w:rFonts w:ascii="Palatino Linotype" w:eastAsia="Palatino Linotype" w:hAnsi="Palatino Linotype" w:cs="Palatino Linotype"/>
          <w:sz w:val="22"/>
          <w:szCs w:val="22"/>
          <w:vertAlign w:val="superscript"/>
        </w:rPr>
        <w:footnoteReference w:id="2"/>
      </w:r>
      <w:r w:rsidRPr="00D15C02">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68247488" w14:textId="77777777" w:rsidR="005B20E8" w:rsidRPr="00D15C02" w:rsidRDefault="005B20E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59976FCE" w14:textId="77777777" w:rsidR="005B20E8" w:rsidRPr="00D15C02" w:rsidRDefault="006A055B">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9" w:name="_heading=h.1y810tw" w:colFirst="0" w:colLast="0"/>
      <w:bookmarkEnd w:id="9"/>
      <w:r w:rsidRPr="00D15C02">
        <w:rPr>
          <w:rFonts w:ascii="Palatino Linotype" w:eastAsia="Palatino Linotype" w:hAnsi="Palatino Linotype" w:cs="Palatino Linotype"/>
          <w:sz w:val="22"/>
          <w:szCs w:val="22"/>
        </w:rPr>
        <w:t xml:space="preserve">Para ello, conviene iniciar el presente estudio señalando que la persona solicitante requirió del </w:t>
      </w:r>
      <w:r w:rsidRPr="00D15C02">
        <w:rPr>
          <w:rFonts w:ascii="Palatino Linotype" w:eastAsia="Palatino Linotype" w:hAnsi="Palatino Linotype" w:cs="Palatino Linotype"/>
          <w:b/>
          <w:sz w:val="22"/>
          <w:szCs w:val="22"/>
        </w:rPr>
        <w:t>Sujeto Obligado, respecto de los últimos 6 meses, esto es, del 06 noviembre de 2024 al 06 de mayo de 2025, lo siguiente:</w:t>
      </w:r>
    </w:p>
    <w:p w14:paraId="21A908FB" w14:textId="77777777" w:rsidR="005B20E8" w:rsidRPr="00D15C02" w:rsidRDefault="005B20E8">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p>
    <w:p w14:paraId="6CCA422C" w14:textId="77777777" w:rsidR="005B20E8" w:rsidRPr="00D15C02" w:rsidRDefault="006A055B">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Las bitácoras de patrullaje preventivo de todas las unidades de la policía municipal que detallen fechas, horarios, rutas recorridas, personal asignado y número de incidentes atendidos por turno.</w:t>
      </w:r>
    </w:p>
    <w:p w14:paraId="26598CA5" w14:textId="77777777" w:rsidR="005B20E8" w:rsidRPr="00D15C02" w:rsidRDefault="005B20E8">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547556C1" w14:textId="7777777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 xml:space="preserve">En respuesta,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por conducto del Director de Seguridad Pública y Tránsito indicó que la información requerida actualiza el supuesto de clasificación como información reservada previsto en el artículo 140 fracción VI de la Ley de Transparencia Local; asimismo, desarrolló su prueba de daño.</w:t>
      </w:r>
    </w:p>
    <w:p w14:paraId="348E0886" w14:textId="77777777" w:rsidR="005B20E8" w:rsidRPr="00D15C02" w:rsidRDefault="005B20E8">
      <w:pPr>
        <w:spacing w:line="360" w:lineRule="auto"/>
        <w:ind w:right="49"/>
        <w:jc w:val="both"/>
        <w:rPr>
          <w:rFonts w:ascii="Palatino Linotype" w:eastAsia="Palatino Linotype" w:hAnsi="Palatino Linotype" w:cs="Palatino Linotype"/>
          <w:b/>
          <w:sz w:val="22"/>
          <w:szCs w:val="22"/>
        </w:rPr>
      </w:pPr>
    </w:p>
    <w:p w14:paraId="47E9D16C" w14:textId="77777777" w:rsidR="005B20E8" w:rsidRPr="00D15C02" w:rsidRDefault="006A055B">
      <w:pPr>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Inconforme con la respuesta, la parte </w:t>
      </w:r>
      <w:r w:rsidRPr="00D15C02">
        <w:rPr>
          <w:rFonts w:ascii="Palatino Linotype" w:eastAsia="Palatino Linotype" w:hAnsi="Palatino Linotype" w:cs="Palatino Linotype"/>
          <w:b/>
          <w:sz w:val="22"/>
          <w:szCs w:val="22"/>
        </w:rPr>
        <w:t xml:space="preserve">Recurrente </w:t>
      </w:r>
      <w:r w:rsidRPr="00D15C02">
        <w:rPr>
          <w:rFonts w:ascii="Palatino Linotype" w:eastAsia="Palatino Linotype" w:hAnsi="Palatino Linotype" w:cs="Palatino Linotype"/>
          <w:sz w:val="22"/>
          <w:szCs w:val="22"/>
        </w:rPr>
        <w:t>promovió el presente recurso de revisión, en el que se inconformó sustancialmente por la negativa a la entrega de la información completa.</w:t>
      </w:r>
    </w:p>
    <w:p w14:paraId="701406C8" w14:textId="77777777" w:rsidR="005B20E8" w:rsidRPr="00D15C02" w:rsidRDefault="005B20E8">
      <w:pPr>
        <w:spacing w:line="360" w:lineRule="auto"/>
        <w:ind w:right="49"/>
        <w:jc w:val="both"/>
        <w:rPr>
          <w:rFonts w:ascii="Palatino Linotype" w:eastAsia="Palatino Linotype" w:hAnsi="Palatino Linotype" w:cs="Palatino Linotype"/>
          <w:sz w:val="22"/>
          <w:szCs w:val="22"/>
        </w:rPr>
      </w:pPr>
    </w:p>
    <w:p w14:paraId="4B550BBC"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Admitido el presente recurso de revisión, en términos del artículo 185 fracción II</w:t>
      </w:r>
      <w:r w:rsidRPr="00D15C02">
        <w:rPr>
          <w:rFonts w:ascii="Palatino Linotype" w:eastAsia="Palatino Linotype" w:hAnsi="Palatino Linotype" w:cs="Palatino Linotype"/>
          <w:sz w:val="22"/>
          <w:szCs w:val="22"/>
          <w:vertAlign w:val="superscript"/>
        </w:rPr>
        <w:footnoteReference w:id="3"/>
      </w:r>
      <w:r w:rsidRPr="00D15C02">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18B0067D"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3F59F0F"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Cabe resaltar que, durante la etapa de manifestaciones</w:t>
      </w:r>
      <w:r w:rsidRPr="00D15C02">
        <w:rPr>
          <w:rFonts w:ascii="Palatino Linotype" w:eastAsia="Palatino Linotype" w:hAnsi="Palatino Linotype" w:cs="Palatino Linotype"/>
          <w:b/>
          <w:sz w:val="22"/>
          <w:szCs w:val="22"/>
        </w:rPr>
        <w:t xml:space="preserve">, </w:t>
      </w:r>
      <w:r w:rsidRPr="00D15C02">
        <w:rPr>
          <w:rFonts w:ascii="Palatino Linotype" w:eastAsia="Palatino Linotype" w:hAnsi="Palatino Linotype" w:cs="Palatino Linotype"/>
          <w:sz w:val="22"/>
          <w:szCs w:val="22"/>
        </w:rPr>
        <w:t xml:space="preserve">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rindió su informe justificado, en el que medularmente solicitó el sobreseimiento del recurso de revisión, en razón de que adjuntó el Acta del Comité de Transparencia donde se aprueba la reserva de la información bajo el supuesto previsto en la fracción VI del artículo 140 de la Ley de Transparencia Local.</w:t>
      </w:r>
    </w:p>
    <w:p w14:paraId="70E3DE62"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0D750EE"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Por su lado, la parte </w:t>
      </w:r>
      <w:r w:rsidRPr="00D15C02">
        <w:rPr>
          <w:rFonts w:ascii="Palatino Linotype" w:eastAsia="Palatino Linotype" w:hAnsi="Palatino Linotype" w:cs="Palatino Linotype"/>
          <w:b/>
          <w:sz w:val="22"/>
          <w:szCs w:val="22"/>
        </w:rPr>
        <w:t xml:space="preserve">Recurrente </w:t>
      </w:r>
      <w:r w:rsidRPr="00D15C02">
        <w:rPr>
          <w:rFonts w:ascii="Palatino Linotype" w:eastAsia="Palatino Linotype" w:hAnsi="Palatino Linotype" w:cs="Palatino Linotype"/>
          <w:sz w:val="22"/>
          <w:szCs w:val="22"/>
        </w:rPr>
        <w:t>fue omisa en rendir manifestaciones o alegatos que conforme a derecho resultaran procedentes.</w:t>
      </w:r>
    </w:p>
    <w:p w14:paraId="0F48BA11"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416DE89"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Precisado lo anterior, se procede a contextualizar el tipo de información requerida, y para ello sirve traer como analogía el Protocolo de Actuación para la realización de patrullajes por parte de elementos de la Secretaría de Seguridad del Estado de México, publicado en el periódico oficial Gaceta del Gobierno del Gobierno del Estado de México el 17 de agosto de 2023, el cual contempla el “</w:t>
      </w:r>
      <w:r w:rsidRPr="00D15C02">
        <w:rPr>
          <w:rFonts w:ascii="Palatino Linotype" w:eastAsia="Palatino Linotype" w:hAnsi="Palatino Linotype" w:cs="Palatino Linotype"/>
          <w:b/>
          <w:sz w:val="22"/>
          <w:szCs w:val="22"/>
        </w:rPr>
        <w:t>Procedimiento de patrullaje preventivo</w:t>
      </w:r>
      <w:r w:rsidRPr="00D15C02">
        <w:rPr>
          <w:rFonts w:ascii="Palatino Linotype" w:eastAsia="Palatino Linotype" w:hAnsi="Palatino Linotype" w:cs="Palatino Linotype"/>
          <w:sz w:val="22"/>
          <w:szCs w:val="22"/>
        </w:rPr>
        <w:t>”.</w:t>
      </w:r>
    </w:p>
    <w:p w14:paraId="2C642F19"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A6F9957"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Para la realización de dicho procedimiento, se debe considerar lo siguiente:</w:t>
      </w:r>
    </w:p>
    <w:p w14:paraId="465A6E7B"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64D304A"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Planificar de acuerdo a la incidencia delictiva y el análisis criminal, considerando los mapeos en las zonas con mayor problemática. </w:t>
      </w:r>
    </w:p>
    <w:p w14:paraId="2A4244ED"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4B5AFADC"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Considerar los diferentes factores como: ubicación geográfica (zonas urbanas, rurales, alta montaña), condición climatológica, día, horarios (diurnos y nocturnos), tipo de población y objetivos establecidos, lo cual permitirá prever recursos humanos y materiales para obtener resultados positivos, y aquellos que permitan inhibir la incidencia delictiva.</w:t>
      </w:r>
    </w:p>
    <w:p w14:paraId="7C569DB0"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1EC6BFD"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u w:val="single"/>
        </w:rPr>
        <w:t>Serán asignados por el mando inmediato y se registrarán en la bitácora personal</w:t>
      </w:r>
      <w:r w:rsidRPr="00D15C02">
        <w:rPr>
          <w:rFonts w:ascii="Palatino Linotype" w:eastAsia="Palatino Linotype" w:hAnsi="Palatino Linotype" w:cs="Palatino Linotype"/>
          <w:sz w:val="22"/>
          <w:szCs w:val="22"/>
        </w:rPr>
        <w:t xml:space="preserve">, también se asentarán los horarios de entrada y salida de los elementos, así como el desarrollo de cualquier eventualidad, además se anotará la comprobación del abastecimiento de combustible y el estado físico en el que se encuentra el vehículo. </w:t>
      </w:r>
    </w:p>
    <w:p w14:paraId="05F796EA"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6545DC"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El mando determinará la zona de responsabilidad y los lugares estratégicos como: paraderos de ascenso y descenso del servicio público de pasajeros, tianguis, intersecciones viales, etcétera, a los elementos pie tierra, así como el vehículo. </w:t>
      </w:r>
    </w:p>
    <w:p w14:paraId="7635BAE5"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64FE951"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Cuando a un elemento le haya sido asignado un cuadrante, no lo podrá abandonar sin previa autorización de su jefe inmediato. </w:t>
      </w:r>
    </w:p>
    <w:p w14:paraId="42B6814C"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E8B1547"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Los elementos que realicen patrullaje en vehículo tienen la responsabilidad de apoyar al personal que lo realice pie tierra encargado de recorrer las áreas de esparcimiento, puentes peatonales, templos y zonas comerciales. </w:t>
      </w:r>
    </w:p>
    <w:p w14:paraId="68BC285F"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565ADCA"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Serán necesarios como mínimo dos elementos para el patrullaje pie tierra y dos elementos para el patrullaje en vehículo. </w:t>
      </w:r>
    </w:p>
    <w:p w14:paraId="78C8D9B9"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C558904"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Los elementos deben permanecer alerta en todo momento, asumiendo la probabilidad de enfrentamiento o ataque por parte de grupos delictivos.</w:t>
      </w:r>
    </w:p>
    <w:p w14:paraId="08762D35"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B0FA0F" w14:textId="7777777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De esta manera, la implementación de la bitácora de patrullaje preventivo en este procedimiento, aplicado al ámbito municipal, es </w:t>
      </w:r>
      <w:r w:rsidRPr="00D15C02">
        <w:rPr>
          <w:rFonts w:ascii="Palatino Linotype" w:eastAsia="Palatino Linotype" w:hAnsi="Palatino Linotype" w:cs="Palatino Linotype"/>
          <w:b/>
          <w:sz w:val="22"/>
          <w:szCs w:val="22"/>
          <w:u w:val="single"/>
        </w:rPr>
        <w:t>ser una herramienta que ayude a prevenir el delito, minimizando la incidencia delictiva con un patrullaje y vigilancia más eficaz, que incluso puede dar como resultado una estrategia predictiva gracias a diferentes procedimientos de análisis delictivo, en este caso táctico-espacial y estadístico.</w:t>
      </w:r>
    </w:p>
    <w:p w14:paraId="7875E6F0"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298F0E" w14:textId="7777777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 mayor abundamiento, la bitácora de patrullaje preventivo es un registro interno y estandarizado que utiliza la Dirección de Seguridad Pública Municipal o equivalente, para documentar las actividades de vigilancia. Su propósito es llevar un control de los rondines realizados por las unidades y el personal policial, con el objetivo de prevenir delitos y fortalecer la seguridad en el municipio.</w:t>
      </w:r>
    </w:p>
    <w:p w14:paraId="7B61EE50"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007848" w14:textId="7777777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Asimismo, dentro de su formato se advierte que pudiera contener la siguiente información de manera enunciativa más no limitativa: fechas, horas de inicio y términos del servicio, personal asignado, sector o rutas, así como datos sobre el registro de actividades (recorridos, horario de rondines, observaciones, incidentes, auxilios prestados, etc)</w:t>
      </w:r>
    </w:p>
    <w:p w14:paraId="681360DC"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A77B7C1" w14:textId="7777777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 xml:space="preserve">Conforme lo expuesto, se logra vislumbrar que la pretensión de la persona solicitante es obtener </w:t>
      </w:r>
      <w:r w:rsidRPr="00D15C02">
        <w:rPr>
          <w:rFonts w:ascii="Palatino Linotype" w:eastAsia="Palatino Linotype" w:hAnsi="Palatino Linotype" w:cs="Palatino Linotype"/>
          <w:b/>
          <w:sz w:val="22"/>
          <w:szCs w:val="22"/>
        </w:rPr>
        <w:t>las bitácoras de patrullaje preventivo de los últimos seis meses, esto es, del 06 de noviembre de 2024 al 6 de mayo de 2025, que contengan información como: fechas, horarios, rutas recorridas, personal asignado e incidentes atendidos por turno.</w:t>
      </w:r>
    </w:p>
    <w:p w14:paraId="6DD14D2A"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8A2D3C" w14:textId="7777777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Establecida dicha circunstancia, es necesario precisar que de las constancias que obran en el expediente se logra vislumbrar que el Sujeto Obligado turnó la solicitud de información a la Dirección de Seguridad Pública y Tránsito, quien conforme su Manual General de Organización vigente, es la encargada de planear, coordinar y operar los servicios de Seguridad Pública y Tránsito, en el territorio municipal, a fin de disminuir la incidencia delictiva, con estricto apego a la legalidad, salvaguardando la integridad y los derechos de las personas y preservando la libertad, el orden y la paz social.</w:t>
      </w:r>
    </w:p>
    <w:p w14:paraId="7CF61CB4"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8B8114B" w14:textId="7777777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Asimismo, tiene dentro de sus atribuciones las siguientes:</w:t>
      </w:r>
    </w:p>
    <w:p w14:paraId="187C0CF1"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A0930D8"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Establecer mecanismos para salvaguardar la integridad de las personas e instituciones públicas, mantener el orden y la paz social en el Municipio; </w:t>
      </w:r>
    </w:p>
    <w:p w14:paraId="7DA3D09E"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872ACC"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Cumplir y hacer cumplir lo estipulado en el Bando Municipal referente a lo concerniente en materia de seguridad pública y tránsito; </w:t>
      </w:r>
    </w:p>
    <w:p w14:paraId="2C818F14"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15ACA3C"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u w:val="single"/>
        </w:rPr>
        <w:t>Prevenir y/o evitar la delincuencia</w:t>
      </w:r>
      <w:r w:rsidRPr="00D15C02">
        <w:rPr>
          <w:rFonts w:ascii="Palatino Linotype" w:eastAsia="Palatino Linotype" w:hAnsi="Palatino Linotype" w:cs="Palatino Linotype"/>
          <w:sz w:val="22"/>
          <w:szCs w:val="22"/>
        </w:rPr>
        <w:t xml:space="preserve">, vagancia y malvivencia en el municipio, fomentando una cultura de autoprotección entre la población; </w:t>
      </w:r>
    </w:p>
    <w:p w14:paraId="130D1CB7"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91365CE"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Establecer acuerdos y convenios de coordinación con instancias federales, estatales y municipales para ejecutar de manera conjunta programas en materia de seguridad pública y tránsito; </w:t>
      </w:r>
    </w:p>
    <w:p w14:paraId="7835868F"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7801C7"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Instruir al cuerpo de seguridad pública municipal y de tránsito, auxiliar a la población y a las organizaciones públicas y privadas en casos de siniestro o desastres y en eventos o dispositivos de seguridad que sean implementados por las autoridades estatales o federales, en que soliciten apoyo de la corporación;</w:t>
      </w:r>
    </w:p>
    <w:p w14:paraId="6EE9036F" w14:textId="77777777" w:rsidR="005B20E8" w:rsidRPr="00D15C02" w:rsidRDefault="005B20E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35B8D9"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Por lo tanto, se tiene que en el presente asunto, se</w:t>
      </w:r>
      <w:r w:rsidRPr="00D15C02">
        <w:rPr>
          <w:rFonts w:ascii="Palatino Linotype" w:eastAsia="Palatino Linotype" w:hAnsi="Palatino Linotype" w:cs="Palatino Linotype"/>
          <w:b/>
          <w:sz w:val="22"/>
          <w:szCs w:val="22"/>
        </w:rPr>
        <w:t xml:space="preserve"> siguió </w:t>
      </w:r>
      <w:r w:rsidRPr="00D15C02">
        <w:rPr>
          <w:rFonts w:ascii="Palatino Linotype" w:eastAsia="Palatino Linotype" w:hAnsi="Palatino Linotype" w:cs="Palatino Linotype"/>
          <w:sz w:val="22"/>
          <w:szCs w:val="22"/>
        </w:rPr>
        <w:t>el procedimiento establecido por el artículo 162 de la Ley de Transparencia y Acceso a la Información Pública del Estado de México y Municipios, ya que se turnó la solicitud a la unidad administrativa en la que pudiera obrar la información requerida, de conformidad con la fracción XXXIX del artículo tercero de la legislación local vigente en materia de transparencia: </w:t>
      </w:r>
    </w:p>
    <w:p w14:paraId="34016308" w14:textId="77777777" w:rsidR="005B20E8" w:rsidRPr="00D15C02" w:rsidRDefault="005B20E8"/>
    <w:p w14:paraId="3440E9AC" w14:textId="77777777" w:rsidR="005B20E8" w:rsidRPr="00D15C02" w:rsidRDefault="006A055B">
      <w:pPr>
        <w:pBdr>
          <w:top w:val="nil"/>
          <w:left w:val="nil"/>
          <w:bottom w:val="nil"/>
          <w:right w:val="nil"/>
          <w:between w:val="nil"/>
        </w:pBdr>
        <w:ind w:left="864" w:right="864"/>
        <w:jc w:val="both"/>
      </w:pPr>
      <w:r w:rsidRPr="00D15C02">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9513511" w14:textId="77777777" w:rsidR="005B20E8" w:rsidRPr="00D15C02" w:rsidRDefault="005B20E8"/>
    <w:p w14:paraId="7B6D8EE2" w14:textId="77777777" w:rsidR="005B20E8" w:rsidRPr="00D15C02" w:rsidRDefault="006A055B">
      <w:pPr>
        <w:pBdr>
          <w:top w:val="nil"/>
          <w:left w:val="nil"/>
          <w:bottom w:val="nil"/>
          <w:right w:val="nil"/>
          <w:between w:val="nil"/>
        </w:pBdr>
        <w:shd w:val="clear" w:color="auto" w:fill="FFFFFF"/>
        <w:spacing w:line="360" w:lineRule="auto"/>
        <w:jc w:val="both"/>
        <w:rPr>
          <w:sz w:val="22"/>
          <w:szCs w:val="22"/>
        </w:rPr>
      </w:pPr>
      <w:r w:rsidRPr="00D15C02">
        <w:rPr>
          <w:rFonts w:ascii="Palatino Linotype" w:eastAsia="Palatino Linotype" w:hAnsi="Palatino Linotype" w:cs="Palatino Linotype"/>
          <w:sz w:val="22"/>
          <w:szCs w:val="22"/>
        </w:rPr>
        <w:t>En este orden de ideas, se advierte que la Unidad de Transparencia cumplió con lo expresado en el artículo 162 de la Ley de Transparencia y Acceso a la Información Pública del Estado de México y Municipios, el cual menciona lo siguiente:</w:t>
      </w:r>
    </w:p>
    <w:p w14:paraId="350F7FC5" w14:textId="77777777" w:rsidR="005B20E8" w:rsidRPr="00D15C02" w:rsidRDefault="005B20E8"/>
    <w:p w14:paraId="2EA57239" w14:textId="77777777" w:rsidR="005B20E8" w:rsidRPr="00D15C02" w:rsidRDefault="006A055B">
      <w:pPr>
        <w:pBdr>
          <w:top w:val="nil"/>
          <w:left w:val="nil"/>
          <w:bottom w:val="nil"/>
          <w:right w:val="nil"/>
          <w:between w:val="nil"/>
        </w:pBdr>
        <w:ind w:left="864" w:right="864"/>
        <w:jc w:val="both"/>
      </w:pPr>
      <w:r w:rsidRPr="00D15C02">
        <w:rPr>
          <w:rFonts w:ascii="Palatino Linotype" w:eastAsia="Palatino Linotype" w:hAnsi="Palatino Linotype" w:cs="Palatino Linotype"/>
          <w:i/>
          <w:sz w:val="22"/>
          <w:szCs w:val="22"/>
        </w:rPr>
        <w:t xml:space="preserve">“Artículo 162. Las unidades de transparencia deberán garantizar que las solicitudes </w:t>
      </w:r>
      <w:r w:rsidRPr="00D15C02">
        <w:rPr>
          <w:rFonts w:ascii="Palatino Linotype" w:eastAsia="Palatino Linotype" w:hAnsi="Palatino Linotype" w:cs="Palatino Linotype"/>
          <w:b/>
          <w:i/>
          <w:sz w:val="22"/>
          <w:szCs w:val="22"/>
        </w:rPr>
        <w:t xml:space="preserve">se turnen a todas las Áreas competentes </w:t>
      </w:r>
      <w:r w:rsidRPr="00D15C02">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1C1BBD64"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F3D6025"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Ahora bien, el Sujeto Obligado a través de la Dirección de Seguridad Pública y Tránsito, señaló que la información era reservada en términos del artículo 140 fracción VI de la Ley de Transparencia y Acceso a la Información Pública del Estado de México y Municipios, así mismo durante la sustanciación del Recurso de Revisión el Sujeto Obligado remitió a través del Informe Justificado el Acta de la Novena Sesión Extraordinaria del Comité de Transparencia celebrada el 13 de junio de 2025, por medio de la cual se aprobó la clasificación como información reservada por un periodo de cinco años las bitácoras de patrullaje preventivo requeridas, en términos del precepto legal indicado.</w:t>
      </w:r>
    </w:p>
    <w:p w14:paraId="209E5BD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635E5E6"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 xml:space="preserve">Por lo anterior, es de indicar que conforme al artículo 20 de la Ley de Transparencia y Acceso a la Información Pública del Estado de México y Municipios, </w:t>
      </w:r>
      <w:r w:rsidRPr="00D15C02">
        <w:rPr>
          <w:rFonts w:ascii="Palatino Linotype" w:eastAsia="Palatino Linotype" w:hAnsi="Palatino Linotype" w:cs="Palatino Linotype"/>
          <w:b/>
          <w:sz w:val="22"/>
          <w:szCs w:val="22"/>
        </w:rPr>
        <w:t>ante la negativa de acceso a la información o su inexistencia, el sujeto obligado deberá demostrar que encuentra en alguna de las excepciones establecidas en la normatividad aplicable.</w:t>
      </w:r>
    </w:p>
    <w:p w14:paraId="0CC19B80"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A772330"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En ese sentido, según Trujillo, Humberto (2019), en el “Diccionario de Transparencia y Acceso a la Información Pública” (p. 201), </w:t>
      </w:r>
      <w:r w:rsidRPr="00D15C02">
        <w:rPr>
          <w:rFonts w:ascii="Palatino Linotype" w:eastAsia="Palatino Linotype" w:hAnsi="Palatino Linotype" w:cs="Palatino Linotype"/>
          <w:b/>
          <w:sz w:val="22"/>
          <w:szCs w:val="22"/>
        </w:rPr>
        <w:t xml:space="preserve">la negativa de acceso a la información </w:t>
      </w:r>
      <w:r w:rsidRPr="00D15C02">
        <w:rPr>
          <w:rFonts w:ascii="Palatino Linotype" w:eastAsia="Palatino Linotype" w:hAnsi="Palatino Linotype" w:cs="Palatino Linotype"/>
          <w:sz w:val="22"/>
          <w:szCs w:val="22"/>
        </w:rPr>
        <w:t xml:space="preserve">ocurre cuando de manera fundada y motivada, una autoridad la niega o la limita, por alguna de las siguientes razones: </w:t>
      </w:r>
    </w:p>
    <w:p w14:paraId="478DD04A"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267C776F" w14:textId="77777777" w:rsidR="005B20E8" w:rsidRPr="00D15C02" w:rsidRDefault="006A055B">
      <w:pPr>
        <w:numPr>
          <w:ilvl w:val="0"/>
          <w:numId w:val="5"/>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La inexistencia de la información (p. 171): </w:t>
      </w:r>
      <w:r w:rsidRPr="00D15C02">
        <w:rPr>
          <w:rFonts w:ascii="Palatino Linotype" w:eastAsia="Palatino Linotype" w:hAnsi="Palatino Linotype" w:cs="Palatino Linotype"/>
          <w:sz w:val="22"/>
          <w:szCs w:val="22"/>
        </w:rPr>
        <w:t>Sucede cuando la información solicitada no se encuentra en los archivos públicos o clasificados de los entes sujetos a las Leyes de Transparencia.</w:t>
      </w:r>
    </w:p>
    <w:p w14:paraId="0FFE9AEB" w14:textId="77777777" w:rsidR="005B20E8" w:rsidRPr="00D15C02" w:rsidRDefault="006A055B">
      <w:pPr>
        <w:numPr>
          <w:ilvl w:val="0"/>
          <w:numId w:val="5"/>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La incompetencia del Sujeto Obligado (p. 171): </w:t>
      </w:r>
      <w:r w:rsidRPr="00D15C02">
        <w:rPr>
          <w:rFonts w:ascii="Palatino Linotype" w:eastAsia="Palatino Linotype" w:hAnsi="Palatino Linotype" w:cs="Palatino Linotype"/>
          <w:sz w:val="22"/>
          <w:szCs w:val="22"/>
        </w:rPr>
        <w:t>Ocurre cuando el Sujeto Obligado carece de atribuciones para poseer la información peticionada.</w:t>
      </w:r>
    </w:p>
    <w:p w14:paraId="3589E8B0" w14:textId="77777777" w:rsidR="005B20E8" w:rsidRPr="00D15C02" w:rsidRDefault="006A055B">
      <w:pPr>
        <w:numPr>
          <w:ilvl w:val="0"/>
          <w:numId w:val="5"/>
        </w:numPr>
        <w:pBdr>
          <w:top w:val="nil"/>
          <w:left w:val="nil"/>
          <w:bottom w:val="nil"/>
          <w:right w:val="nil"/>
          <w:between w:val="nil"/>
        </w:pBdr>
        <w:spacing w:after="200"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La clasificación de la información (p. 70): </w:t>
      </w:r>
      <w:r w:rsidRPr="00D15C02">
        <w:rPr>
          <w:rFonts w:ascii="Palatino Linotype" w:eastAsia="Palatino Linotype" w:hAnsi="Palatino Linotype" w:cs="Palatino Linotype"/>
          <w:sz w:val="2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14:paraId="06B06E13"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97B82FA"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 xml:space="preserve">En ese orden de ideas y en atención a lo anterior, es de señalar que las excepciones al derecho de acceso a la información, consisten en que la documentación sea inexistente, </w:t>
      </w:r>
      <w:r w:rsidRPr="00D15C02">
        <w:rPr>
          <w:rFonts w:ascii="Palatino Linotype" w:eastAsia="Palatino Linotype" w:hAnsi="Palatino Linotype" w:cs="Palatino Linotype"/>
          <w:b/>
          <w:sz w:val="22"/>
          <w:szCs w:val="22"/>
        </w:rPr>
        <w:t>se encuentre clasificada</w:t>
      </w:r>
      <w:r w:rsidRPr="00D15C02">
        <w:rPr>
          <w:rFonts w:ascii="Palatino Linotype" w:eastAsia="Palatino Linotype" w:hAnsi="Palatino Linotype" w:cs="Palatino Linotype"/>
          <w:sz w:val="22"/>
          <w:szCs w:val="22"/>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D15C02">
        <w:rPr>
          <w:rFonts w:ascii="Palatino Linotype" w:eastAsia="Palatino Linotype" w:hAnsi="Palatino Linotype" w:cs="Palatino Linotype"/>
          <w:b/>
          <w:sz w:val="22"/>
          <w:szCs w:val="22"/>
        </w:rPr>
        <w:t>confidenciales o reservados.</w:t>
      </w:r>
    </w:p>
    <w:p w14:paraId="525C93E0" w14:textId="77777777" w:rsidR="005B20E8" w:rsidRPr="00D15C02" w:rsidRDefault="005B20E8">
      <w:pPr>
        <w:spacing w:line="360" w:lineRule="auto"/>
        <w:jc w:val="both"/>
        <w:rPr>
          <w:rFonts w:ascii="Palatino Linotype" w:eastAsia="Palatino Linotype" w:hAnsi="Palatino Linotype" w:cs="Palatino Linotype"/>
          <w:b/>
          <w:sz w:val="22"/>
          <w:szCs w:val="22"/>
        </w:rPr>
      </w:pPr>
    </w:p>
    <w:p w14:paraId="44A1D729"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Así, en los artículos 122, 128 y 130 de la Ley Transparencia y Acceso a la Información Pública del Estado de México y Municipios, se prevé que </w:t>
      </w:r>
      <w:r w:rsidRPr="00D15C02">
        <w:rPr>
          <w:rFonts w:ascii="Palatino Linotype" w:eastAsia="Palatino Linotype" w:hAnsi="Palatino Linotype" w:cs="Palatino Linotype"/>
          <w:b/>
          <w:sz w:val="22"/>
          <w:szCs w:val="22"/>
        </w:rPr>
        <w:t xml:space="preserve">la clasificación </w:t>
      </w:r>
      <w:r w:rsidRPr="00D15C02">
        <w:rPr>
          <w:rFonts w:ascii="Palatino Linotype" w:eastAsia="Palatino Linotype" w:hAnsi="Palatino Linotype" w:cs="Palatino Linotype"/>
          <w:sz w:val="22"/>
          <w:szCs w:val="22"/>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0FC8111F"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94581D8"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Por lo cual, en los casos en que se niegue el acceso a la información, por actualizarse alguno de los supuestos de clasificación, </w:t>
      </w:r>
      <w:r w:rsidRPr="00D15C02">
        <w:rPr>
          <w:rFonts w:ascii="Palatino Linotype" w:eastAsia="Palatino Linotype" w:hAnsi="Palatino Linotype" w:cs="Palatino Linotype"/>
          <w:b/>
          <w:sz w:val="22"/>
          <w:szCs w:val="22"/>
        </w:rPr>
        <w:t xml:space="preserve">el Comité de Transparencia deberá confirmar, modificar o revocar la decisión; </w:t>
      </w:r>
      <w:r w:rsidRPr="00D15C02">
        <w:rPr>
          <w:rFonts w:ascii="Palatino Linotype" w:eastAsia="Palatino Linotype" w:hAnsi="Palatino Linotype" w:cs="Palatino Linotype"/>
          <w:sz w:val="22"/>
          <w:szCs w:val="22"/>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4A92FC0E"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3DC94F5"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 xml:space="preserve">Por su parte, según Bonifaz, Leticia (2016), en la “Ley General de Transparencia y Acceso a la Información Pública Comentada” (p. 342), la </w:t>
      </w:r>
      <w:r w:rsidRPr="00D15C02">
        <w:rPr>
          <w:rFonts w:ascii="Palatino Linotype" w:eastAsia="Palatino Linotype" w:hAnsi="Palatino Linotype" w:cs="Palatino Linotype"/>
          <w:b/>
          <w:sz w:val="22"/>
          <w:szCs w:val="22"/>
        </w:rPr>
        <w:t>clasificación de la información</w:t>
      </w:r>
      <w:r w:rsidRPr="00D15C02">
        <w:rPr>
          <w:rFonts w:ascii="Palatino Linotype" w:eastAsia="Palatino Linotype" w:hAnsi="Palatino Linotype" w:cs="Palatino Linotype"/>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D15C02">
        <w:rPr>
          <w:rFonts w:ascii="Palatino Linotype" w:eastAsia="Palatino Linotype" w:hAnsi="Palatino Linotype" w:cs="Palatino Linotype"/>
          <w:b/>
          <w:sz w:val="22"/>
          <w:szCs w:val="22"/>
        </w:rPr>
        <w:t>de manera adecuada la negativa de información.</w:t>
      </w:r>
    </w:p>
    <w:p w14:paraId="404B35BF" w14:textId="77777777" w:rsidR="005B20E8" w:rsidRPr="00D15C02" w:rsidRDefault="005B20E8">
      <w:pPr>
        <w:spacing w:line="360" w:lineRule="auto"/>
        <w:jc w:val="both"/>
        <w:rPr>
          <w:rFonts w:ascii="Palatino Linotype" w:eastAsia="Palatino Linotype" w:hAnsi="Palatino Linotype" w:cs="Palatino Linotype"/>
          <w:b/>
          <w:sz w:val="22"/>
          <w:szCs w:val="22"/>
        </w:rPr>
      </w:pPr>
    </w:p>
    <w:p w14:paraId="2059C9D0"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Conforme a lo anterior, en el presente caso,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 xml:space="preserve">no señaló que la información era inexistente; al contrario, precisó que no podía proporcionarla al ser reservada; esto es, aludió a una clasificación; al respecto, el </w:t>
      </w:r>
      <w:r w:rsidRPr="00D15C02">
        <w:rPr>
          <w:rFonts w:ascii="Palatino Linotype" w:eastAsia="Palatino Linotype" w:hAnsi="Palatino Linotype" w:cs="Palatino Linotype"/>
          <w:b/>
          <w:sz w:val="22"/>
          <w:szCs w:val="22"/>
        </w:rPr>
        <w:t>Criterio orientador 29/10</w:t>
      </w:r>
      <w:r w:rsidRPr="00D15C02">
        <w:rPr>
          <w:rFonts w:ascii="Palatino Linotype" w:eastAsia="Palatino Linotype" w:hAnsi="Palatino Linotype" w:cs="Palatino Linotype"/>
          <w:sz w:val="22"/>
          <w:szCs w:val="22"/>
        </w:rPr>
        <w:t>, emitido por el Pleno del entonces Instituto Federal de Acceso a la Información y Protección de Datos, precisa lo siguiente:</w:t>
      </w:r>
    </w:p>
    <w:p w14:paraId="2F9FF9D8"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27409FAC" w14:textId="77777777" w:rsidR="005B20E8" w:rsidRPr="00D15C02" w:rsidRDefault="006A055B">
      <w:pPr>
        <w:spacing w:line="276" w:lineRule="auto"/>
        <w:ind w:left="567" w:right="567"/>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“La clasificación y la inexistencia de información son conceptos que no pueden coexistir.</w:t>
      </w:r>
      <w:r w:rsidRPr="00D15C02">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53A58E8" w14:textId="77777777" w:rsidR="005B20E8" w:rsidRPr="00D15C02" w:rsidRDefault="005B20E8">
      <w:pPr>
        <w:spacing w:line="360" w:lineRule="auto"/>
        <w:rPr>
          <w:rFonts w:ascii="Palatino Linotype" w:eastAsia="Palatino Linotype" w:hAnsi="Palatino Linotype" w:cs="Palatino Linotype"/>
          <w:sz w:val="22"/>
          <w:szCs w:val="22"/>
        </w:rPr>
      </w:pPr>
    </w:p>
    <w:p w14:paraId="5A71AACD" w14:textId="77777777" w:rsidR="005B20E8" w:rsidRPr="00D15C02" w:rsidRDefault="006A055B">
      <w:pPr>
        <w:spacing w:line="360" w:lineRule="auto"/>
        <w:jc w:val="both"/>
        <w:rPr>
          <w:rFonts w:ascii="Palatino Linotype" w:eastAsia="Palatino Linotype" w:hAnsi="Palatino Linotype" w:cs="Palatino Linotype"/>
          <w:b/>
          <w:sz w:val="22"/>
          <w:szCs w:val="22"/>
          <w:u w:val="single"/>
        </w:rPr>
      </w:pPr>
      <w:r w:rsidRPr="00D15C02">
        <w:rPr>
          <w:rFonts w:ascii="Palatino Linotype" w:eastAsia="Palatino Linotype" w:hAnsi="Palatino Linotype" w:cs="Palatino Linotype"/>
          <w:b/>
          <w:sz w:val="22"/>
          <w:szCs w:val="22"/>
          <w:u w:val="single"/>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14:paraId="55B25150"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4E657E9"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sz w:val="22"/>
          <w:szCs w:val="22"/>
        </w:rPr>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D15C02">
        <w:rPr>
          <w:rFonts w:ascii="Palatino Linotype" w:eastAsia="Palatino Linotype" w:hAnsi="Palatino Linotype" w:cs="Palatino Linotype"/>
          <w:b/>
          <w:sz w:val="22"/>
          <w:szCs w:val="22"/>
        </w:rPr>
        <w:t>análisis caso por caso.</w:t>
      </w:r>
    </w:p>
    <w:p w14:paraId="03C74410" w14:textId="77777777" w:rsidR="005B20E8" w:rsidRPr="00D15C02" w:rsidRDefault="005B20E8">
      <w:pPr>
        <w:spacing w:line="360" w:lineRule="auto"/>
        <w:jc w:val="both"/>
        <w:rPr>
          <w:rFonts w:ascii="Palatino Linotype" w:eastAsia="Palatino Linotype" w:hAnsi="Palatino Linotype" w:cs="Palatino Linotype"/>
          <w:b/>
          <w:sz w:val="22"/>
          <w:szCs w:val="22"/>
        </w:rPr>
      </w:pPr>
    </w:p>
    <w:p w14:paraId="0E8AD90E"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Además, el artículo 131 de la Ley referida, así como el Quinto de los Lineamientos Generales, establecen que los sujetos obligados </w:t>
      </w:r>
      <w:r w:rsidRPr="00D15C02">
        <w:rPr>
          <w:rFonts w:ascii="Palatino Linotype" w:eastAsia="Palatino Linotype" w:hAnsi="Palatino Linotype" w:cs="Palatino Linotype"/>
          <w:b/>
          <w:sz w:val="22"/>
          <w:szCs w:val="22"/>
        </w:rPr>
        <w:t>deberán fundar y motivar</w:t>
      </w:r>
      <w:r w:rsidRPr="00D15C02">
        <w:rPr>
          <w:rFonts w:ascii="Palatino Linotype" w:eastAsia="Palatino Linotype" w:hAnsi="Palatino Linotype" w:cs="Palatino Linotype"/>
          <w:sz w:val="22"/>
          <w:szCs w:val="22"/>
        </w:rPr>
        <w:t xml:space="preserve"> debidamente la clasificación de la información.</w:t>
      </w:r>
    </w:p>
    <w:p w14:paraId="7FB5AD3F"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7C44ECE"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Al respecto, el Octavo de los Lineamientos Generales, precisa lo siguiente:</w:t>
      </w:r>
    </w:p>
    <w:p w14:paraId="41103E08"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272882DD" w14:textId="77777777" w:rsidR="005B20E8" w:rsidRPr="00D15C02" w:rsidRDefault="006A055B">
      <w:pPr>
        <w:numPr>
          <w:ilvl w:val="0"/>
          <w:numId w:val="6"/>
        </w:numP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Para fundar la clasificación</w:t>
      </w:r>
      <w:r w:rsidRPr="00D15C02">
        <w:rPr>
          <w:rFonts w:ascii="Palatino Linotype" w:eastAsia="Palatino Linotype" w:hAnsi="Palatino Linotype" w:cs="Palatino Linotype"/>
          <w:sz w:val="22"/>
          <w:szCs w:val="22"/>
        </w:rPr>
        <w:t xml:space="preserve"> de la información se deberán señalar el artículo, fracción, inciso, párrafo o numeral de la Ley aplicable;</w:t>
      </w:r>
    </w:p>
    <w:p w14:paraId="58311679" w14:textId="77777777" w:rsidR="005B20E8" w:rsidRPr="00D15C02" w:rsidRDefault="006A055B">
      <w:pPr>
        <w:numPr>
          <w:ilvl w:val="0"/>
          <w:numId w:val="6"/>
        </w:numP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Para motivar la clasificación</w:t>
      </w:r>
      <w:r w:rsidRPr="00D15C02">
        <w:rPr>
          <w:rFonts w:ascii="Palatino Linotype" w:eastAsia="Palatino Linotype" w:hAnsi="Palatino Linotype" w:cs="Palatino Linotype"/>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6E381704" w14:textId="77777777" w:rsidR="005B20E8" w:rsidRPr="00D15C02" w:rsidRDefault="005B20E8">
      <w:pPr>
        <w:pBdr>
          <w:top w:val="nil"/>
          <w:left w:val="nil"/>
          <w:bottom w:val="nil"/>
          <w:right w:val="nil"/>
          <w:between w:val="nil"/>
        </w:pBdr>
        <w:spacing w:line="360" w:lineRule="auto"/>
        <w:ind w:left="720"/>
        <w:rPr>
          <w:rFonts w:ascii="Palatino Linotype" w:eastAsia="Palatino Linotype" w:hAnsi="Palatino Linotype" w:cs="Palatino Linotype"/>
          <w:sz w:val="22"/>
          <w:szCs w:val="22"/>
        </w:rPr>
      </w:pPr>
    </w:p>
    <w:p w14:paraId="78D7E657"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0DAC9B68"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1D2ABBD" w14:textId="77777777" w:rsidR="005B20E8" w:rsidRPr="00D15C02" w:rsidRDefault="006A055B">
      <w:pPr>
        <w:spacing w:line="276" w:lineRule="auto"/>
        <w:ind w:left="567" w:right="567"/>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 xml:space="preserve">“FUNDAMENTACION Y MOTIVACION, CONCEPTO DE. </w:t>
      </w:r>
      <w:r w:rsidRPr="00D15C02">
        <w:rPr>
          <w:rFonts w:ascii="Palatino Linotype" w:eastAsia="Palatino Linotype" w:hAnsi="Palatino Linotype" w:cs="Palatino Linotype"/>
          <w:i/>
          <w:sz w:val="22"/>
          <w:szCs w:val="2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7A134C05" w14:textId="77777777" w:rsidR="005B20E8" w:rsidRPr="00D15C02" w:rsidRDefault="005B20E8">
      <w:pPr>
        <w:spacing w:line="276" w:lineRule="auto"/>
        <w:ind w:left="567" w:right="567"/>
        <w:jc w:val="both"/>
        <w:rPr>
          <w:rFonts w:ascii="Palatino Linotype" w:eastAsia="Palatino Linotype" w:hAnsi="Palatino Linotype" w:cs="Palatino Linotype"/>
          <w:i/>
          <w:sz w:val="22"/>
          <w:szCs w:val="22"/>
        </w:rPr>
      </w:pPr>
    </w:p>
    <w:p w14:paraId="51585E44"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Conforme a lo anterior, se advierte lo siguiente:</w:t>
      </w:r>
    </w:p>
    <w:p w14:paraId="462539AF"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D22C665" w14:textId="77777777" w:rsidR="005B20E8" w:rsidRPr="00D15C02" w:rsidRDefault="006A055B">
      <w:pPr>
        <w:numPr>
          <w:ilvl w:val="0"/>
          <w:numId w:val="7"/>
        </w:numPr>
        <w:spacing w:after="200"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Fundamentación: </w:t>
      </w:r>
      <w:r w:rsidRPr="00D15C02">
        <w:rPr>
          <w:rFonts w:ascii="Palatino Linotype" w:eastAsia="Palatino Linotype" w:hAnsi="Palatino Linotype" w:cs="Palatino Linotype"/>
          <w:sz w:val="22"/>
          <w:szCs w:val="22"/>
        </w:rPr>
        <w:t>Obligación de la autoridad que emite un acto, para citar los preceptos legales, sustantivos y adjetivos, en que se apoye para la determinación tomada.</w:t>
      </w:r>
    </w:p>
    <w:p w14:paraId="5A21BFAC" w14:textId="77777777" w:rsidR="005B20E8" w:rsidRPr="00D15C02" w:rsidRDefault="006A055B">
      <w:pPr>
        <w:numPr>
          <w:ilvl w:val="0"/>
          <w:numId w:val="7"/>
        </w:numPr>
        <w:spacing w:after="200"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Motivación: </w:t>
      </w:r>
      <w:r w:rsidRPr="00D15C02">
        <w:rPr>
          <w:rFonts w:ascii="Palatino Linotype" w:eastAsia="Palatino Linotype" w:hAnsi="Palatino Linotype" w:cs="Palatino Linotype"/>
          <w:sz w:val="22"/>
          <w:szCs w:val="22"/>
        </w:rPr>
        <w:t>Razonamientos lógico-jurídicos sobre porque se consideró en el caso en concreto, que se ajusta a la hipótesis normativa.</w:t>
      </w:r>
    </w:p>
    <w:p w14:paraId="5BC2FF0D"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2BF8032"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En ese orden de ideas, el Trigésimo tercero de los Lineamientos Generales, establece la forma en que se debe fundamentar y motivar la reserva de la información, es decir, a través de los siguientes pasos:</w:t>
      </w:r>
    </w:p>
    <w:p w14:paraId="67A5DC4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10048A9" w14:textId="77777777" w:rsidR="005B20E8" w:rsidRPr="00D15C02" w:rsidRDefault="006A055B">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62F0766D" w14:textId="77777777" w:rsidR="005B20E8" w:rsidRPr="00D15C02" w:rsidRDefault="006A055B">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Se deberá demostrar que la publicidad de la información generaría un riesgo de perjuicio, que rebasa el interés público;</w:t>
      </w:r>
    </w:p>
    <w:p w14:paraId="3DFC172E" w14:textId="77777777" w:rsidR="005B20E8" w:rsidRPr="00D15C02" w:rsidRDefault="006A055B">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Se acreditará el vínculo entre la difusión de la información y la afectación del interés jurídico tutelado;</w:t>
      </w:r>
    </w:p>
    <w:p w14:paraId="0B12028D" w14:textId="77777777" w:rsidR="005B20E8" w:rsidRPr="00D15C02" w:rsidRDefault="006A055B">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Se precisará las razones objetivas por las que la apertura de la información generaría una afectación, por medio del riesgo real, demostrable e identificable;</w:t>
      </w:r>
    </w:p>
    <w:p w14:paraId="4CF88F99" w14:textId="77777777" w:rsidR="005B20E8" w:rsidRPr="00D15C02" w:rsidRDefault="006A055B">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Se deberán señalar las circunstancias de modo, tiempo y lugar del daño, y</w:t>
      </w:r>
    </w:p>
    <w:p w14:paraId="76A9B925" w14:textId="77777777" w:rsidR="005B20E8" w:rsidRPr="00D15C02" w:rsidRDefault="006A055B">
      <w:pPr>
        <w:numPr>
          <w:ilvl w:val="0"/>
          <w:numId w:val="8"/>
        </w:num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Se elegirá la opción de excepción al acceso a la información que menos restrinja, la cual será adecuada y proporcional para la protección del interés público.</w:t>
      </w:r>
    </w:p>
    <w:p w14:paraId="6830B51A"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2FA09F9B"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Ahora bien, de las constancias que obran en el expediente, se advierte que no fundamentó, ni motivó la clasificación de la información, de manera correcta, por las siguientes consideraciones:</w:t>
      </w:r>
    </w:p>
    <w:p w14:paraId="4017CC22"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BFF117C" w14:textId="77777777" w:rsidR="005B20E8" w:rsidRPr="00D15C02" w:rsidRDefault="006A055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No precisó las razones objetivas, concretas y específicas por las cuales la apertura de la información generaría una afectación que rebase el interés público, pues, el Sujeto Obligado confundió la argumentación, entre diversos supuestos que prevé el artículo 140 la Ley de la materia.</w:t>
      </w:r>
    </w:p>
    <w:p w14:paraId="334EB9C9" w14:textId="77777777" w:rsidR="005B20E8" w:rsidRPr="00D15C02" w:rsidRDefault="005B20E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E3A11AF" w14:textId="77777777" w:rsidR="005B20E8" w:rsidRPr="00D15C02" w:rsidRDefault="006A055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Omitió señalar, las circunstancias de tiempo, modo y lugar del daño que produciría entregar la información peticionada. </w:t>
      </w:r>
    </w:p>
    <w:p w14:paraId="44C55338" w14:textId="77777777" w:rsidR="005B20E8" w:rsidRPr="00D15C02" w:rsidRDefault="005B20E8">
      <w:pPr>
        <w:pBdr>
          <w:top w:val="nil"/>
          <w:left w:val="nil"/>
          <w:bottom w:val="nil"/>
          <w:right w:val="nil"/>
          <w:between w:val="nil"/>
        </w:pBdr>
        <w:ind w:left="720"/>
        <w:rPr>
          <w:rFonts w:ascii="Palatino Linotype" w:eastAsia="Palatino Linotype" w:hAnsi="Palatino Linotype" w:cs="Palatino Linotype"/>
          <w:sz w:val="22"/>
          <w:szCs w:val="22"/>
        </w:rPr>
      </w:pPr>
    </w:p>
    <w:p w14:paraId="611673DE" w14:textId="77777777" w:rsidR="005B20E8" w:rsidRPr="00D15C02" w:rsidRDefault="006A055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En el desarrollo de la prueba se analizó el documento denominado parte de novedades por contener información que se pide respecto de las bitácoras de patrullaje preventivo;</w:t>
      </w:r>
      <w:r w:rsidRPr="00D15C02">
        <w:rPr>
          <w:rFonts w:ascii="Palatino Linotype" w:eastAsia="Palatino Linotype" w:hAnsi="Palatino Linotype" w:cs="Palatino Linotype"/>
          <w:b/>
          <w:sz w:val="22"/>
          <w:szCs w:val="22"/>
        </w:rPr>
        <w:t xml:space="preserve"> sin embargo, el parte de novedades no fue requerido y por tanto, el análisis debió centrarse en la documental específica que fue solicitada.</w:t>
      </w:r>
    </w:p>
    <w:p w14:paraId="3567F466" w14:textId="77777777" w:rsidR="005B20E8" w:rsidRPr="00D15C02" w:rsidRDefault="005B20E8">
      <w:pPr>
        <w:pBdr>
          <w:top w:val="nil"/>
          <w:left w:val="nil"/>
          <w:bottom w:val="nil"/>
          <w:right w:val="nil"/>
          <w:between w:val="nil"/>
        </w:pBdr>
        <w:ind w:left="720"/>
        <w:rPr>
          <w:rFonts w:ascii="Palatino Linotype" w:eastAsia="Palatino Linotype" w:hAnsi="Palatino Linotype" w:cs="Palatino Linotype"/>
          <w:sz w:val="22"/>
          <w:szCs w:val="22"/>
        </w:rPr>
      </w:pPr>
    </w:p>
    <w:p w14:paraId="7017C458" w14:textId="77777777" w:rsidR="005B20E8" w:rsidRPr="00D15C02" w:rsidRDefault="006A055B">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sz w:val="20"/>
          <w:szCs w:val="20"/>
        </w:rPr>
      </w:pPr>
      <w:r w:rsidRPr="00D15C02">
        <w:rPr>
          <w:rFonts w:ascii="Palatino Linotype" w:eastAsia="Palatino Linotype" w:hAnsi="Palatino Linotype" w:cs="Palatino Linotype"/>
          <w:sz w:val="22"/>
          <w:szCs w:val="22"/>
        </w:rPr>
        <w:t>No se acreditó el vínculo entre la información peticionada y la afectación que podría causar.</w:t>
      </w:r>
    </w:p>
    <w:p w14:paraId="5AD45542" w14:textId="77777777" w:rsidR="005B20E8" w:rsidRPr="00D15C02" w:rsidRDefault="005B20E8">
      <w:pPr>
        <w:pBdr>
          <w:top w:val="nil"/>
          <w:left w:val="nil"/>
          <w:bottom w:val="nil"/>
          <w:right w:val="nil"/>
          <w:between w:val="nil"/>
        </w:pBdr>
        <w:ind w:left="720"/>
        <w:rPr>
          <w:rFonts w:ascii="Palatino Linotype" w:eastAsia="Palatino Linotype" w:hAnsi="Palatino Linotype" w:cs="Palatino Linotype"/>
          <w:sz w:val="22"/>
          <w:szCs w:val="22"/>
        </w:rPr>
      </w:pPr>
    </w:p>
    <w:p w14:paraId="1ED7B765"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Conforme lo anterior, si bien el Sujeto Obligado proporcionó el Acta emitida por el Comité de Transparencia y la prueba de daño, lo cierto es que esta no se encuentra debidamente fundada y motivada.</w:t>
      </w:r>
    </w:p>
    <w:p w14:paraId="54A35F2E"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A87381D"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No obstante que en el caso el Acta del Comité de Transparencia no se encuentra fundada y motivada, </w:t>
      </w:r>
      <w:r w:rsidRPr="00D15C02">
        <w:rPr>
          <w:rFonts w:ascii="Palatino Linotype" w:eastAsia="Palatino Linotype" w:hAnsi="Palatino Linotype" w:cs="Palatino Linotype"/>
          <w:b/>
          <w:sz w:val="22"/>
          <w:szCs w:val="22"/>
        </w:rPr>
        <w:t xml:space="preserve">es necesario analizar si la entrega de las bitácoras de patrullaje preventivo, actualiza la causal de reserva invocada por el Sujeto Obligado, es decir, </w:t>
      </w:r>
      <w:r w:rsidRPr="00D15C02">
        <w:rPr>
          <w:rFonts w:ascii="Palatino Linotype" w:eastAsia="Palatino Linotype" w:hAnsi="Palatino Linotype" w:cs="Palatino Linotype"/>
          <w:sz w:val="22"/>
          <w:szCs w:val="22"/>
        </w:rPr>
        <w:t>la prevista en</w:t>
      </w:r>
      <w:r w:rsidRPr="00D15C02">
        <w:rPr>
          <w:rFonts w:ascii="Palatino Linotype" w:eastAsia="Palatino Linotype" w:hAnsi="Palatino Linotype" w:cs="Palatino Linotype"/>
          <w:b/>
          <w:sz w:val="22"/>
          <w:szCs w:val="22"/>
        </w:rPr>
        <w:t xml:space="preserve"> </w:t>
      </w:r>
      <w:r w:rsidRPr="00D15C02">
        <w:rPr>
          <w:rFonts w:ascii="Palatino Linotype" w:eastAsia="Palatino Linotype" w:hAnsi="Palatino Linotype" w:cs="Palatino Linotype"/>
          <w:sz w:val="22"/>
          <w:szCs w:val="22"/>
        </w:rPr>
        <w:t>el artículo 140, fracción VI, de la Ley de Transparencia y Acceso a la Información Pública del Estado de México y Municipios (homóloga de la fracción VII del artículo 112 de la Ley General de Transparencia y Acceso a la Información Pública), que dispone lo siguiente:</w:t>
      </w:r>
    </w:p>
    <w:p w14:paraId="50806030" w14:textId="77777777" w:rsidR="005B20E8" w:rsidRPr="00D15C02" w:rsidRDefault="005B20E8">
      <w:pPr>
        <w:spacing w:line="360" w:lineRule="auto"/>
        <w:ind w:left="567" w:right="567"/>
        <w:jc w:val="both"/>
        <w:rPr>
          <w:rFonts w:ascii="Palatino Linotype" w:eastAsia="Palatino Linotype" w:hAnsi="Palatino Linotype" w:cs="Palatino Linotype"/>
          <w:i/>
          <w:sz w:val="20"/>
          <w:szCs w:val="20"/>
        </w:rPr>
      </w:pPr>
    </w:p>
    <w:p w14:paraId="67F6FF5B"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b/>
          <w:i/>
          <w:sz w:val="20"/>
          <w:szCs w:val="20"/>
        </w:rPr>
        <w:t>“Artículo 140.</w:t>
      </w:r>
      <w:r w:rsidRPr="00D15C02">
        <w:rPr>
          <w:rFonts w:ascii="Palatino Linotype" w:eastAsia="Palatino Linotype" w:hAnsi="Palatino Linotype" w:cs="Palatino Linotype"/>
          <w:i/>
          <w:sz w:val="20"/>
          <w:szCs w:val="20"/>
        </w:rPr>
        <w:t xml:space="preserve"> El acceso a la información pública será restringido excepcionalmente, cuando por razones de interés público, ésta sea clasificada como reservada, conforme a los criterios siguientes:</w:t>
      </w:r>
    </w:p>
    <w:p w14:paraId="09AF31CF"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w:t>
      </w:r>
    </w:p>
    <w:p w14:paraId="21168D52"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79384253"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w:t>
      </w:r>
    </w:p>
    <w:p w14:paraId="7E556B8D" w14:textId="77777777" w:rsidR="005B20E8" w:rsidRPr="00D15C02" w:rsidRDefault="005B20E8">
      <w:pPr>
        <w:spacing w:line="360" w:lineRule="auto"/>
        <w:ind w:left="567" w:right="567"/>
        <w:jc w:val="both"/>
        <w:rPr>
          <w:rFonts w:ascii="Palatino Linotype" w:eastAsia="Palatino Linotype" w:hAnsi="Palatino Linotype" w:cs="Palatino Linotype"/>
          <w:i/>
          <w:sz w:val="20"/>
          <w:szCs w:val="20"/>
        </w:rPr>
      </w:pPr>
    </w:p>
    <w:p w14:paraId="2E0BF4BD"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Del precepto legal anteriormente citado se desprende que como información reservada podrá clasificarse aquella que obstruya la persecución de los delitos;</w:t>
      </w:r>
      <w:r w:rsidRPr="00D15C02">
        <w:rPr>
          <w:rFonts w:ascii="Palatino Linotype" w:eastAsia="Palatino Linotype" w:hAnsi="Palatino Linotype" w:cs="Palatino Linotype"/>
          <w:sz w:val="22"/>
          <w:szCs w:val="22"/>
        </w:rPr>
        <w:t xml:space="preserve"> en ese sentido, para acreditar la causal de reserva en comento, los Lineamientos Generales, prevén lo siguiente:</w:t>
      </w:r>
    </w:p>
    <w:p w14:paraId="1BB8BB8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8FEB463"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“Vigésimo sexto.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14:paraId="7E5AEFFC" w14:textId="77777777" w:rsidR="005B20E8" w:rsidRPr="00D15C02" w:rsidRDefault="005B20E8">
      <w:pPr>
        <w:spacing w:line="360" w:lineRule="auto"/>
        <w:ind w:left="567" w:right="567"/>
        <w:jc w:val="both"/>
        <w:rPr>
          <w:rFonts w:ascii="Palatino Linotype" w:eastAsia="Palatino Linotype" w:hAnsi="Palatino Linotype" w:cs="Palatino Linotype"/>
          <w:i/>
          <w:sz w:val="20"/>
          <w:szCs w:val="20"/>
        </w:rPr>
      </w:pPr>
    </w:p>
    <w:p w14:paraId="01B59554"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 xml:space="preserve"> Para que se verifique el supuesto de reserva, cuando se cause un perjuicio a las actividades de persecución de los delitos, deben de actualizarse los siguientes elementos: </w:t>
      </w:r>
    </w:p>
    <w:p w14:paraId="2E2E77E1" w14:textId="77777777" w:rsidR="005B20E8" w:rsidRPr="00D15C02" w:rsidRDefault="005B20E8">
      <w:pPr>
        <w:spacing w:line="360" w:lineRule="auto"/>
        <w:ind w:left="567" w:right="567"/>
        <w:jc w:val="both"/>
        <w:rPr>
          <w:rFonts w:ascii="Palatino Linotype" w:eastAsia="Palatino Linotype" w:hAnsi="Palatino Linotype" w:cs="Palatino Linotype"/>
          <w:i/>
          <w:sz w:val="20"/>
          <w:szCs w:val="20"/>
        </w:rPr>
      </w:pPr>
    </w:p>
    <w:p w14:paraId="47B9CDB4"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I. La existencia de un proceso penal en sustanciación o una carpeta de investigación en trámite;</w:t>
      </w:r>
    </w:p>
    <w:p w14:paraId="3E155080"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 xml:space="preserve"> </w:t>
      </w:r>
    </w:p>
    <w:p w14:paraId="52BE1DBC"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 xml:space="preserve"> II. Que se acredite el vínculo que existe entre la información solicitada y la carpeta de investigación, o el proceso penal, según sea el caso, y</w:t>
      </w:r>
    </w:p>
    <w:p w14:paraId="628789F7" w14:textId="77777777" w:rsidR="005B20E8" w:rsidRPr="00D15C02" w:rsidRDefault="005B20E8">
      <w:pPr>
        <w:spacing w:line="360" w:lineRule="auto"/>
        <w:ind w:left="567" w:right="567"/>
        <w:jc w:val="both"/>
        <w:rPr>
          <w:rFonts w:ascii="Palatino Linotype" w:eastAsia="Palatino Linotype" w:hAnsi="Palatino Linotype" w:cs="Palatino Linotype"/>
          <w:i/>
          <w:sz w:val="20"/>
          <w:szCs w:val="20"/>
        </w:rPr>
      </w:pPr>
    </w:p>
    <w:p w14:paraId="04C4AC50" w14:textId="77777777" w:rsidR="005B20E8" w:rsidRPr="00D15C02" w:rsidRDefault="006A055B">
      <w:pPr>
        <w:spacing w:line="360" w:lineRule="auto"/>
        <w:ind w:left="567" w:right="567"/>
        <w:jc w:val="both"/>
        <w:rPr>
          <w:rFonts w:ascii="Palatino Linotype" w:eastAsia="Palatino Linotype" w:hAnsi="Palatino Linotype" w:cs="Palatino Linotype"/>
          <w:i/>
          <w:sz w:val="20"/>
          <w:szCs w:val="20"/>
        </w:rPr>
      </w:pPr>
      <w:r w:rsidRPr="00D15C02">
        <w:rPr>
          <w:rFonts w:ascii="Palatino Linotype" w:eastAsia="Palatino Linotype" w:hAnsi="Palatino Linotype" w:cs="Palatino Linotype"/>
          <w:i/>
          <w:sz w:val="20"/>
          <w:szCs w:val="20"/>
        </w:rPr>
        <w:t xml:space="preserve"> III. Que la difusión de la información pueda impedir u obstruir las funciones que ejerce el Ministerio Público o su equivalente durante la etapa de investigación o ante los tribunales judiciales con motivo del ejercicio de la acción penal.”</w:t>
      </w:r>
    </w:p>
    <w:p w14:paraId="08133BE7"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4EDC14A"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De lo citado, se desprende que para la actualización del supuesto de reserva convergen diferentes circunstancias para su acreditación, conforme a lo siguiente:</w:t>
      </w:r>
    </w:p>
    <w:p w14:paraId="101D32D1"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4B3323DD" w14:textId="77777777" w:rsidR="005B20E8" w:rsidRPr="00D15C02" w:rsidRDefault="006A055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a. La existencia de un proceso penal en sustanciación o una carpeta de investigación en trámite; </w:t>
      </w:r>
    </w:p>
    <w:p w14:paraId="03F3A803" w14:textId="77777777" w:rsidR="005B20E8" w:rsidRPr="00D15C02" w:rsidRDefault="005B20E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5811C95" w14:textId="77777777" w:rsidR="005B20E8" w:rsidRPr="00D15C02" w:rsidRDefault="006A055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b. Que se acredite el vínculo que existe entre la información solicitada y la carpeta de investigación, o el proceso penal, según sea el caso, y </w:t>
      </w:r>
    </w:p>
    <w:p w14:paraId="35326163" w14:textId="77777777" w:rsidR="005B20E8" w:rsidRPr="00D15C02" w:rsidRDefault="005B20E8">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8CEE3F6" w14:textId="77777777" w:rsidR="005B20E8" w:rsidRPr="00D15C02" w:rsidRDefault="006A055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c. Que la difusión de la información pueda impedir u obstruir las funciones que ejerce el Ministerio Público o su equivalente durante la etapa de investigación o ante los tribunales judiciales con motivo del ejercicio de la acción penal.</w:t>
      </w:r>
    </w:p>
    <w:p w14:paraId="640C3BC4"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445DC185"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Conforme lo anterior, debe decirse que le incumbe al Ministerio Público y en el presente caso, a la Policía Municipal, </w:t>
      </w:r>
      <w:r w:rsidRPr="00D15C02">
        <w:rPr>
          <w:rFonts w:ascii="Palatino Linotype" w:eastAsia="Palatino Linotype" w:hAnsi="Palatino Linotype" w:cs="Palatino Linotype"/>
          <w:b/>
          <w:sz w:val="22"/>
          <w:szCs w:val="22"/>
        </w:rPr>
        <w:t>la investigación que realizan dichos elementos, con el fin de recabar datos, y aportar elementos que se deben servir de base para fundar la acción penal ante la autoridad judicial</w:t>
      </w:r>
      <w:r w:rsidRPr="00D15C02">
        <w:rPr>
          <w:rFonts w:ascii="Palatino Linotype" w:eastAsia="Palatino Linotype" w:hAnsi="Palatino Linotype" w:cs="Palatino Linotype"/>
          <w:sz w:val="22"/>
          <w:szCs w:val="22"/>
        </w:rPr>
        <w:t>, para iniciar una carpeta de investigación y posteriormente, en su caso, un proceso penal.</w:t>
      </w:r>
    </w:p>
    <w:p w14:paraId="5BD5D3B2"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5273F56"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No obstante, para que se actualice el primer elemento, debe existir alguna carpeta de investigación o proceso penal en trámite.</w:t>
      </w:r>
    </w:p>
    <w:p w14:paraId="3DB5A0C2"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BE4F622"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Sin embargo, en el caso en concreto, el ente obligado no aportó elementos que permitan advertir que las bitácoras de patrullaje estuvieran relacionadas con un procedimiento penal, pues no se proporcionó el número de causa penal, o bien, el número de carpeta de investigación en trámite que impide la entrega de la información.</w:t>
      </w:r>
    </w:p>
    <w:p w14:paraId="19C37761"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7AC795FB"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Por lo que, aún y cuando en las bitácoras de patrullaje preventivo se lleve el registro de incidencias y acciones realizadas por la policía, se debe acreditar que las mismas se utilizaron para integrar una carpeta de investigación, o bien, que se encuentran relacionadas con un proceso penal en trámite, para acreditar el primero de los elementos.</w:t>
      </w:r>
    </w:p>
    <w:p w14:paraId="55D1C4E7"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B7BC288"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Ahora, por lo que hace al segundo de los requisitos, referente al vínculo que existe entre la información peticionada y la carpeta de investigación o procedimiento penal</w:t>
      </w:r>
      <w:r w:rsidRPr="00D15C02">
        <w:rPr>
          <w:rFonts w:ascii="Palatino Linotype" w:eastAsia="Palatino Linotype" w:hAnsi="Palatino Linotype" w:cs="Palatino Linotype"/>
          <w:b/>
          <w:sz w:val="22"/>
          <w:szCs w:val="22"/>
        </w:rPr>
        <w:t>, tampoco se acredita,</w:t>
      </w:r>
      <w:r w:rsidRPr="00D15C02">
        <w:rPr>
          <w:rFonts w:ascii="Palatino Linotype" w:eastAsia="Palatino Linotype" w:hAnsi="Palatino Linotype" w:cs="Palatino Linotype"/>
          <w:sz w:val="22"/>
          <w:szCs w:val="22"/>
        </w:rPr>
        <w:t xml:space="preserve"> en razón de que no se aportaron elementos que permitan advertir que las bitácoras de patrullaje preventivo se utilizaron para integrar una carpeta de investigación, o bien, que se encuentran relacionadas con un proceso penal en trámite.</w:t>
      </w:r>
    </w:p>
    <w:p w14:paraId="05E2DBD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B18611A"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Finalmente, por lo que hace al tercero de los requisitos, este Instituto colige que no actualizaría el supuesto, pues no se tiene acreditado que la difusión de la información pueda impedir u obstruir las funciones que ejerce el Ministerio Público o su equivalente durante la etapa de investigación o ante los tribunales judiciales con motivo del ejercicio de la acción penal.</w:t>
      </w:r>
    </w:p>
    <w:p w14:paraId="215223C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67332A2F"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De tal suerte, que las bitácoras de patrullaje preventivo no acreditan la causal de clasificación invocada por el Sujeto Obligado.</w:t>
      </w:r>
    </w:p>
    <w:p w14:paraId="30E64350"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CB11FAB"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Sin embargo, aún y cuando la causal de reserva invocada por el </w:t>
      </w:r>
      <w:r w:rsidRPr="00D15C02">
        <w:rPr>
          <w:rFonts w:ascii="Palatino Linotype" w:eastAsia="Palatino Linotype" w:hAnsi="Palatino Linotype" w:cs="Palatino Linotype"/>
          <w:b/>
          <w:sz w:val="22"/>
          <w:szCs w:val="22"/>
        </w:rPr>
        <w:t xml:space="preserve">Sujeto Obligado </w:t>
      </w:r>
      <w:r w:rsidRPr="00D15C02">
        <w:rPr>
          <w:rFonts w:ascii="Palatino Linotype" w:eastAsia="Palatino Linotype" w:hAnsi="Palatino Linotype" w:cs="Palatino Linotype"/>
          <w:sz w:val="22"/>
          <w:szCs w:val="22"/>
        </w:rPr>
        <w:t>no se actualice, ello no implica que no actualice otro supuesto previsto en la Ley de la materia.</w:t>
      </w:r>
    </w:p>
    <w:p w14:paraId="0218A12A"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5EB8B06"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Se afirma lo anterior, pues atendiendo que las bitácoras de patrullaje preventivo tienen como finalidad llevar un control de los rondines realizados por las unidades y el personal policial, </w:t>
      </w:r>
      <w:r w:rsidRPr="00D15C02">
        <w:rPr>
          <w:rFonts w:ascii="Palatino Linotype" w:eastAsia="Palatino Linotype" w:hAnsi="Palatino Linotype" w:cs="Palatino Linotype"/>
          <w:b/>
          <w:sz w:val="22"/>
          <w:szCs w:val="22"/>
        </w:rPr>
        <w:t>con el objetivo de prevenir delitos y fortalecer la seguridad en el municipio</w:t>
      </w:r>
      <w:r w:rsidRPr="00D15C02">
        <w:rPr>
          <w:rFonts w:ascii="Palatino Linotype" w:eastAsia="Palatino Linotype" w:hAnsi="Palatino Linotype" w:cs="Palatino Linotype"/>
          <w:sz w:val="22"/>
          <w:szCs w:val="22"/>
        </w:rPr>
        <w:t>; se considera que las mismas actualizarían de manera enunciativa más no limitativa el supuesto de reserva previsto en la fracción I del artículo 140 de la Ley de la materia, a saber:</w:t>
      </w:r>
    </w:p>
    <w:p w14:paraId="38411297" w14:textId="77777777" w:rsidR="005B20E8" w:rsidRPr="00D15C02" w:rsidRDefault="006A055B">
      <w:pPr>
        <w:spacing w:line="360"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 xml:space="preserve">Artículo 140. El acceso a la información pública será restringido excepcionalmente, cuando por razones de interés público, ésta sea clasificada como reservada, conforme a los criterios siguientes: </w:t>
      </w:r>
    </w:p>
    <w:p w14:paraId="3372F82C" w14:textId="77777777" w:rsidR="005B20E8" w:rsidRPr="00D15C02" w:rsidRDefault="005B20E8">
      <w:pPr>
        <w:spacing w:line="360" w:lineRule="auto"/>
        <w:ind w:left="567" w:right="616"/>
        <w:jc w:val="both"/>
        <w:rPr>
          <w:rFonts w:ascii="Palatino Linotype" w:eastAsia="Palatino Linotype" w:hAnsi="Palatino Linotype" w:cs="Palatino Linotype"/>
          <w:i/>
          <w:sz w:val="22"/>
          <w:szCs w:val="22"/>
        </w:rPr>
      </w:pPr>
    </w:p>
    <w:p w14:paraId="5CA78BEC" w14:textId="77777777" w:rsidR="005B20E8" w:rsidRPr="00D15C02" w:rsidRDefault="006A055B">
      <w:pPr>
        <w:spacing w:line="360"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I. Comprometa la seguridad pública y cuente con un propósito genuino y un efecto demostrable; […]”</w:t>
      </w:r>
    </w:p>
    <w:p w14:paraId="22AFB1B5"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49411F7B"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Del precepto legal anteriormente citado se desprende que como información reservada podrá clasificarse aquella que comprometa la seguridad pública y cuente con un propósito genuino y un efecto demostrable</w:t>
      </w:r>
      <w:r w:rsidRPr="00D15C02">
        <w:rPr>
          <w:rFonts w:ascii="Palatino Linotype" w:eastAsia="Palatino Linotype" w:hAnsi="Palatino Linotype" w:cs="Palatino Linotype"/>
          <w:b/>
          <w:sz w:val="22"/>
          <w:szCs w:val="22"/>
        </w:rPr>
        <w:t>;</w:t>
      </w:r>
      <w:r w:rsidRPr="00D15C02">
        <w:rPr>
          <w:rFonts w:ascii="Palatino Linotype" w:eastAsia="Palatino Linotype" w:hAnsi="Palatino Linotype" w:cs="Palatino Linotype"/>
          <w:sz w:val="22"/>
          <w:szCs w:val="22"/>
        </w:rPr>
        <w:t xml:space="preserve"> en ese sentido, para acreditar la causal de reserva en comento, los Lineamientos Generales, prevén lo siguiente:</w:t>
      </w:r>
    </w:p>
    <w:p w14:paraId="62618A66"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5307474A"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i/>
          <w:sz w:val="22"/>
          <w:szCs w:val="22"/>
        </w:rPr>
        <w:t xml:space="preserve">“Décimo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 </w:t>
      </w:r>
    </w:p>
    <w:p w14:paraId="5946D2B9" w14:textId="77777777" w:rsidR="005B20E8" w:rsidRPr="00D15C02" w:rsidRDefault="005B20E8">
      <w:pPr>
        <w:spacing w:line="276" w:lineRule="auto"/>
        <w:ind w:left="567" w:right="616"/>
        <w:jc w:val="both"/>
        <w:rPr>
          <w:rFonts w:ascii="Palatino Linotype" w:eastAsia="Palatino Linotype" w:hAnsi="Palatino Linotype" w:cs="Palatino Linotype"/>
          <w:i/>
          <w:sz w:val="22"/>
          <w:szCs w:val="22"/>
        </w:rPr>
      </w:pPr>
    </w:p>
    <w:p w14:paraId="0D0EF22E" w14:textId="77777777" w:rsidR="005B20E8" w:rsidRPr="00D15C02" w:rsidRDefault="006A055B">
      <w:pPr>
        <w:spacing w:line="276" w:lineRule="auto"/>
        <w:ind w:left="567" w:right="616"/>
        <w:jc w:val="both"/>
        <w:rPr>
          <w:rFonts w:ascii="Palatino Linotype" w:eastAsia="Palatino Linotype" w:hAnsi="Palatino Linotype" w:cs="Palatino Linotype"/>
          <w:i/>
          <w:sz w:val="22"/>
          <w:szCs w:val="22"/>
        </w:rPr>
      </w:pPr>
      <w:r w:rsidRPr="00D15C02">
        <w:rPr>
          <w:rFonts w:ascii="Palatino Linotype" w:eastAsia="Palatino Linotype" w:hAnsi="Palatino Linotype" w:cs="Palatino Linotype"/>
          <w:b/>
          <w:i/>
          <w:sz w:val="22"/>
          <w:szCs w:val="22"/>
        </w:rPr>
        <w:t>Se pone en peligro el orden público cuando la difusión de la información pueda</w:t>
      </w:r>
      <w:r w:rsidRPr="00D15C02">
        <w:rPr>
          <w:rFonts w:ascii="Palatino Linotype" w:eastAsia="Palatino Linotype" w:hAnsi="Palatino Linotype" w:cs="Palatino Linotype"/>
          <w:i/>
          <w:sz w:val="22"/>
          <w:szCs w:val="22"/>
        </w:rPr>
        <w:t xml:space="preserve"> entorpecer los sistemas de coordinación interinstitucional en materia de seguridad pública, menoscabar o dificultar las estrategias contra la evasión de reos; o </w:t>
      </w:r>
      <w:r w:rsidRPr="00D15C02">
        <w:rPr>
          <w:rFonts w:ascii="Palatino Linotype" w:eastAsia="Palatino Linotype" w:hAnsi="Palatino Linotype" w:cs="Palatino Linotype"/>
          <w:b/>
          <w:i/>
          <w:sz w:val="22"/>
          <w:szCs w:val="22"/>
        </w:rPr>
        <w:t xml:space="preserve">menoscabar o limitar la capacidad de las autoridades encaminadas a disuadir o prevenir disturbios sociales. </w:t>
      </w:r>
    </w:p>
    <w:p w14:paraId="116D8291" w14:textId="77777777" w:rsidR="005B20E8" w:rsidRPr="00D15C02" w:rsidRDefault="005B20E8">
      <w:pPr>
        <w:spacing w:line="276" w:lineRule="auto"/>
        <w:ind w:left="567" w:right="616"/>
        <w:jc w:val="both"/>
        <w:rPr>
          <w:rFonts w:ascii="Palatino Linotype" w:eastAsia="Palatino Linotype" w:hAnsi="Palatino Linotype" w:cs="Palatino Linotype"/>
          <w:i/>
          <w:sz w:val="22"/>
          <w:szCs w:val="22"/>
        </w:rPr>
      </w:pPr>
    </w:p>
    <w:p w14:paraId="31369C77" w14:textId="77777777" w:rsidR="005B20E8" w:rsidRPr="00D15C02" w:rsidRDefault="006A055B">
      <w:pPr>
        <w:spacing w:line="276" w:lineRule="auto"/>
        <w:ind w:left="567" w:right="616"/>
        <w:jc w:val="both"/>
        <w:rPr>
          <w:rFonts w:ascii="Palatino Linotype" w:eastAsia="Palatino Linotype" w:hAnsi="Palatino Linotype" w:cs="Palatino Linotype"/>
          <w:b/>
          <w:i/>
          <w:sz w:val="22"/>
          <w:szCs w:val="22"/>
        </w:rPr>
      </w:pPr>
      <w:r w:rsidRPr="00D15C02">
        <w:rPr>
          <w:rFonts w:ascii="Palatino Linotype" w:eastAsia="Palatino Linotype" w:hAnsi="Palatino Linotype" w:cs="Palatino Linotype"/>
          <w:i/>
          <w:sz w:val="22"/>
          <w:szCs w:val="22"/>
        </w:rPr>
        <w:t xml:space="preserve">Asimismo, </w:t>
      </w:r>
      <w:r w:rsidRPr="00D15C02">
        <w:rPr>
          <w:rFonts w:ascii="Palatino Linotype" w:eastAsia="Palatino Linotype" w:hAnsi="Palatino Linotype" w:cs="Palatino Linotype"/>
          <w:b/>
          <w:i/>
          <w:sz w:val="22"/>
          <w:szCs w:val="22"/>
        </w:rPr>
        <w:t>podrá considerarse como reservada aquella que revele datos que pudieran ser aprovechados para conocer la capacidad de reacción de las instituciones encargadas de la seguridad pública, sus planes, estrategias, tecnología, información, sistemas de comunicaciones.”</w:t>
      </w:r>
    </w:p>
    <w:p w14:paraId="171D4604" w14:textId="77777777" w:rsidR="005B20E8" w:rsidRPr="00D15C02" w:rsidRDefault="005B20E8">
      <w:pPr>
        <w:ind w:left="567" w:right="616"/>
        <w:jc w:val="both"/>
        <w:rPr>
          <w:rFonts w:ascii="Palatino Linotype" w:eastAsia="Palatino Linotype" w:hAnsi="Palatino Linotype" w:cs="Palatino Linotype"/>
          <w:i/>
          <w:sz w:val="22"/>
          <w:szCs w:val="22"/>
        </w:rPr>
      </w:pPr>
    </w:p>
    <w:p w14:paraId="5913D78D"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Como se desprende de lo anterior, para que se actualice la causal de reserva indicada, en el caso concreto, se tiene que acreditar que con la entrega de la misma se compromete la seguridad pública en el municipio, poniendo en riesgo las funciones a cargo de las autoridades municipales tendientes a preservar y resguardar la vida, la salud, la integridad y el ejercicio de los derechos de las personas, así como para el mantenimiento del orden público.</w:t>
      </w:r>
    </w:p>
    <w:p w14:paraId="69411CBA"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01F809FA"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Situación la anterior, que en el caso se actualizaría, en virtud de que dar a conocer las bitácoras de patrullaje preventivo permitirían conocer los horarios y cuadrantes realizados en determinado periodo, en los que se realizan los patrullajes con la finalidad de prevenir la comisión de delitos; información que pudiera ser aprovechada para conocer la capacidad de reacción de las instituciones encargadas de la seguridad pública, para preservar el orden social.</w:t>
      </w:r>
    </w:p>
    <w:p w14:paraId="23A37FB5"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52670BF6"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Se esta manera, 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por lo que, en el presente caso, deberá proporcionar el acuerdo emitido por el Comité de Transparencia, en donde de manera fundada y motivada, a través de la respectiva prueba de daño, confirme la clasificación como reservada de lo solicitado, en atención a lo analizado en el presente CONSIDERANDO.</w:t>
      </w:r>
    </w:p>
    <w:p w14:paraId="5642B89A" w14:textId="77777777" w:rsidR="005B20E8" w:rsidRPr="00D15C02" w:rsidRDefault="005B20E8">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rPr>
      </w:pPr>
    </w:p>
    <w:p w14:paraId="58B0DCC9" w14:textId="77777777" w:rsidR="005B20E8" w:rsidRPr="00D15C02" w:rsidRDefault="006A055B">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 xml:space="preserve">En esa tesitura, se determina que los motivos de inconformidad resultan </w:t>
      </w:r>
      <w:r w:rsidRPr="00D15C02">
        <w:rPr>
          <w:rFonts w:ascii="Palatino Linotype" w:eastAsia="Palatino Linotype" w:hAnsi="Palatino Linotype" w:cs="Palatino Linotype"/>
          <w:b/>
          <w:sz w:val="22"/>
          <w:szCs w:val="22"/>
        </w:rPr>
        <w:t>parcialmente</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fundados</w:t>
      </w:r>
      <w:r w:rsidRPr="00D15C02">
        <w:rPr>
          <w:rFonts w:ascii="Palatino Linotype" w:eastAsia="Palatino Linotype" w:hAnsi="Palatino Linotype" w:cs="Palatino Linotype"/>
          <w:sz w:val="22"/>
          <w:szCs w:val="22"/>
        </w:rPr>
        <w:t xml:space="preserve">, y toda vez que en el caso no se fundó ni motivo debidamente la clasificación de la información peticionada, resulta procedente </w:t>
      </w:r>
      <w:r w:rsidRPr="00D15C02">
        <w:rPr>
          <w:rFonts w:ascii="Palatino Linotype" w:eastAsia="Palatino Linotype" w:hAnsi="Palatino Linotype" w:cs="Palatino Linotype"/>
          <w:b/>
          <w:sz w:val="22"/>
          <w:szCs w:val="22"/>
        </w:rPr>
        <w:t>Modificar</w:t>
      </w:r>
      <w:r w:rsidRPr="00D15C02">
        <w:rPr>
          <w:rFonts w:ascii="Palatino Linotype" w:eastAsia="Palatino Linotype" w:hAnsi="Palatino Linotype" w:cs="Palatino Linotype"/>
          <w:sz w:val="22"/>
          <w:szCs w:val="22"/>
        </w:rPr>
        <w:t xml:space="preserve"> la respuesta y ordenar que en cumplimiento a la presente resolución, se haga entrega de lo siguiente:</w:t>
      </w:r>
    </w:p>
    <w:p w14:paraId="1412F9FE" w14:textId="77777777" w:rsidR="005B20E8" w:rsidRPr="00D15C02" w:rsidRDefault="005B20E8">
      <w:pPr>
        <w:pBdr>
          <w:top w:val="nil"/>
          <w:left w:val="nil"/>
          <w:bottom w:val="nil"/>
          <w:right w:val="nil"/>
          <w:between w:val="nil"/>
        </w:pBdr>
        <w:spacing w:after="160" w:line="360" w:lineRule="auto"/>
        <w:jc w:val="both"/>
        <w:rPr>
          <w:rFonts w:ascii="Palatino Linotype" w:eastAsia="Palatino Linotype" w:hAnsi="Palatino Linotype" w:cs="Palatino Linotype"/>
          <w:sz w:val="8"/>
          <w:szCs w:val="8"/>
        </w:rPr>
      </w:pPr>
    </w:p>
    <w:p w14:paraId="370D3920" w14:textId="77777777" w:rsidR="005B20E8" w:rsidRPr="00D15C02" w:rsidRDefault="006A055B">
      <w:pPr>
        <w:numPr>
          <w:ilvl w:val="0"/>
          <w:numId w:val="9"/>
        </w:numPr>
        <w:pBdr>
          <w:top w:val="nil"/>
          <w:left w:val="nil"/>
          <w:bottom w:val="nil"/>
          <w:right w:val="nil"/>
          <w:between w:val="nil"/>
        </w:pBdr>
        <w:spacing w:after="160"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El acuerdo de clasificación emitido por el Comité de Transparencia, en donde de manera debidamente fundada y motivada, a través de una prueba de daño, confirme la clasificación como reservada, en términos del artículo 140, fracción I de la Ley de Transparencia y Acceso a la Información Pública del Estado de México y Municipios, de las bitácoras de patrullaje preventivo respecto del periodo comprendido del 06 de noviembre de 2024 al 06 de mayo de 2025, que corresponde a los últimos seis meses requeridos, tomando en consideración la fecha de la solicitud.</w:t>
      </w:r>
    </w:p>
    <w:p w14:paraId="11554EC7" w14:textId="731F07E7" w:rsidR="005B20E8" w:rsidRPr="00D15C02" w:rsidRDefault="006A055B">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0" w:name="_heading=h.nxyfo4yx3i5" w:colFirst="0" w:colLast="0"/>
      <w:bookmarkEnd w:id="10"/>
      <w:r w:rsidRPr="00D15C02">
        <w:rPr>
          <w:rFonts w:ascii="Palatino Linotype" w:eastAsia="Palatino Linotype" w:hAnsi="Palatino Linotype" w:cs="Palatino Linotype"/>
          <w:sz w:val="22"/>
          <w:szCs w:val="22"/>
        </w:rPr>
        <w:t xml:space="preserve">Así, con fundamento en lo prescrito en los artículos </w:t>
      </w:r>
      <w:r w:rsidR="00CC3974" w:rsidRPr="00D15C02">
        <w:rPr>
          <w:rFonts w:ascii="Palatino Linotype" w:eastAsia="Palatino Linotype" w:hAnsi="Palatino Linotype" w:cs="Palatino Linotype"/>
          <w:sz w:val="22"/>
          <w:szCs w:val="22"/>
        </w:rPr>
        <w:t>5 párrafos cuadragésimo cuarto, cuadragésimo quinto y cuadragésimo sexto, fracciones IV y V de la Constitución Política del Estado Libre y Soberano de México; transitorio Cuarto del Decreto número 198 de la “LXII” Legislatura del Estado de México</w:t>
      </w:r>
      <w:r w:rsidRPr="00D15C02">
        <w:rPr>
          <w:rFonts w:ascii="Palatino Linotype" w:eastAsia="Palatino Linotype" w:hAnsi="Palatino Linotype" w:cs="Palatino Linotype"/>
          <w:sz w:val="22"/>
          <w:szCs w:val="22"/>
        </w:rPr>
        <w:t>; 2, fracción II; 29, 36 fracciones I y II; 176, 178, 181, 185 y 186 fracción III de la Ley de Transparencia y Acceso a la Información Pública del Estado de México y Municipios, este Pleno:</w:t>
      </w:r>
    </w:p>
    <w:p w14:paraId="087F102C" w14:textId="0D9C2727" w:rsidR="00CC3974" w:rsidRPr="00D15C02" w:rsidRDefault="00CC39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96BB5D" w14:textId="439EC177" w:rsidR="00CC3974" w:rsidRPr="00D15C02" w:rsidRDefault="00CC39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C70D489" w14:textId="77777777" w:rsidR="00CC3974" w:rsidRPr="00D15C02" w:rsidRDefault="00CC397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0BBED15" w14:textId="77777777" w:rsidR="005B20E8" w:rsidRPr="00D15C02" w:rsidRDefault="006A055B">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1" w:name="_heading=h.ijv98pntcd5s" w:colFirst="0" w:colLast="0"/>
      <w:bookmarkEnd w:id="11"/>
      <w:r w:rsidRPr="00D15C02">
        <w:rPr>
          <w:rFonts w:ascii="Palatino Linotype" w:eastAsia="Palatino Linotype" w:hAnsi="Palatino Linotype" w:cs="Palatino Linotype"/>
          <w:b/>
          <w:sz w:val="22"/>
          <w:szCs w:val="22"/>
        </w:rPr>
        <w:t>III. R E S U E L V E</w:t>
      </w:r>
    </w:p>
    <w:p w14:paraId="1482E85E" w14:textId="77777777" w:rsidR="005B20E8" w:rsidRPr="00D15C02" w:rsidRDefault="005B20E8">
      <w:pPr>
        <w:spacing w:line="360" w:lineRule="auto"/>
        <w:jc w:val="both"/>
        <w:rPr>
          <w:rFonts w:ascii="Palatino Linotype" w:eastAsia="Palatino Linotype" w:hAnsi="Palatino Linotype" w:cs="Palatino Linotype"/>
          <w:b/>
          <w:sz w:val="22"/>
          <w:szCs w:val="22"/>
        </w:rPr>
      </w:pPr>
      <w:bookmarkStart w:id="12" w:name="_heading=h.26in1rg" w:colFirst="0" w:colLast="0"/>
      <w:bookmarkEnd w:id="12"/>
    </w:p>
    <w:p w14:paraId="7D19184A" w14:textId="77777777" w:rsidR="005B20E8" w:rsidRPr="00D15C02" w:rsidRDefault="006A055B">
      <w:pP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 xml:space="preserve">Primero. </w:t>
      </w:r>
      <w:r w:rsidRPr="00D15C02">
        <w:rPr>
          <w:rFonts w:ascii="Palatino Linotype" w:eastAsia="Palatino Linotype" w:hAnsi="Palatino Linotype" w:cs="Palatino Linotype"/>
          <w:sz w:val="22"/>
          <w:szCs w:val="22"/>
        </w:rPr>
        <w:t xml:space="preserve">Resultan </w:t>
      </w:r>
      <w:r w:rsidRPr="00D15C02">
        <w:rPr>
          <w:rFonts w:ascii="Palatino Linotype" w:eastAsia="Palatino Linotype" w:hAnsi="Palatino Linotype" w:cs="Palatino Linotype"/>
          <w:b/>
          <w:sz w:val="22"/>
          <w:szCs w:val="22"/>
        </w:rPr>
        <w:t>parcialmente fundadas</w:t>
      </w:r>
      <w:r w:rsidRPr="00D15C02">
        <w:rPr>
          <w:rFonts w:ascii="Palatino Linotype" w:eastAsia="Palatino Linotype" w:hAnsi="Palatino Linotype" w:cs="Palatino Linotype"/>
          <w:sz w:val="22"/>
          <w:szCs w:val="22"/>
        </w:rPr>
        <w:t xml:space="preserve"> las razones o motivos de inconformidad hechos valer por la parte</w:t>
      </w:r>
      <w:r w:rsidRPr="00D15C02">
        <w:rPr>
          <w:rFonts w:ascii="Palatino Linotype" w:eastAsia="Palatino Linotype" w:hAnsi="Palatino Linotype" w:cs="Palatino Linotype"/>
          <w:b/>
          <w:sz w:val="22"/>
          <w:szCs w:val="22"/>
        </w:rPr>
        <w:t xml:space="preserve"> Recurrente</w:t>
      </w:r>
      <w:r w:rsidRPr="00D15C02">
        <w:rPr>
          <w:rFonts w:ascii="Palatino Linotype" w:eastAsia="Palatino Linotype" w:hAnsi="Palatino Linotype" w:cs="Palatino Linotype"/>
          <w:sz w:val="22"/>
          <w:szCs w:val="22"/>
        </w:rPr>
        <w:t xml:space="preserve"> en el recurso de revisión </w:t>
      </w:r>
      <w:r w:rsidRPr="00D15C02">
        <w:rPr>
          <w:rFonts w:ascii="Palatino Linotype" w:eastAsia="Palatino Linotype" w:hAnsi="Palatino Linotype" w:cs="Palatino Linotype"/>
          <w:b/>
          <w:sz w:val="22"/>
          <w:szCs w:val="22"/>
        </w:rPr>
        <w:t>06129/INFOEM/IP/RR/2025</w:t>
      </w:r>
      <w:r w:rsidRPr="00D15C02">
        <w:rPr>
          <w:rFonts w:ascii="Palatino Linotype" w:eastAsia="Palatino Linotype" w:hAnsi="Palatino Linotype" w:cs="Palatino Linotype"/>
          <w:sz w:val="22"/>
          <w:szCs w:val="22"/>
        </w:rPr>
        <w:t xml:space="preserve">; por lo que, en términos del </w:t>
      </w:r>
      <w:r w:rsidRPr="00D15C02">
        <w:rPr>
          <w:rFonts w:ascii="Palatino Linotype" w:eastAsia="Palatino Linotype" w:hAnsi="Palatino Linotype" w:cs="Palatino Linotype"/>
          <w:b/>
          <w:sz w:val="22"/>
          <w:szCs w:val="22"/>
        </w:rPr>
        <w:t>Considerando</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 xml:space="preserve">Cuarto </w:t>
      </w:r>
      <w:r w:rsidRPr="00D15C02">
        <w:rPr>
          <w:rFonts w:ascii="Palatino Linotype" w:eastAsia="Palatino Linotype" w:hAnsi="Palatino Linotype" w:cs="Palatino Linotype"/>
          <w:sz w:val="22"/>
          <w:szCs w:val="22"/>
        </w:rPr>
        <w:t xml:space="preserve">de esta resolución, se </w:t>
      </w:r>
      <w:r w:rsidRPr="00D15C02">
        <w:rPr>
          <w:rFonts w:ascii="Palatino Linotype" w:eastAsia="Palatino Linotype" w:hAnsi="Palatino Linotype" w:cs="Palatino Linotype"/>
          <w:b/>
          <w:sz w:val="22"/>
          <w:szCs w:val="22"/>
        </w:rPr>
        <w:t xml:space="preserve">Modifica </w:t>
      </w:r>
      <w:r w:rsidRPr="00D15C02">
        <w:rPr>
          <w:rFonts w:ascii="Palatino Linotype" w:eastAsia="Palatino Linotype" w:hAnsi="Palatino Linotype" w:cs="Palatino Linotype"/>
          <w:sz w:val="22"/>
          <w:szCs w:val="22"/>
        </w:rPr>
        <w:t xml:space="preserve">la respuesta emitida por el </w:t>
      </w:r>
      <w:r w:rsidRPr="00D15C02">
        <w:rPr>
          <w:rFonts w:ascii="Palatino Linotype" w:eastAsia="Palatino Linotype" w:hAnsi="Palatino Linotype" w:cs="Palatino Linotype"/>
          <w:b/>
          <w:sz w:val="22"/>
          <w:szCs w:val="22"/>
        </w:rPr>
        <w:t>Sujeto Obligado.</w:t>
      </w:r>
    </w:p>
    <w:p w14:paraId="46C5CD49" w14:textId="77777777" w:rsidR="005B20E8" w:rsidRPr="00D15C02" w:rsidRDefault="005B20E8">
      <w:pPr>
        <w:spacing w:line="360" w:lineRule="auto"/>
        <w:jc w:val="both"/>
        <w:rPr>
          <w:rFonts w:ascii="Palatino Linotype" w:eastAsia="Palatino Linotype" w:hAnsi="Palatino Linotype" w:cs="Palatino Linotype"/>
          <w:b/>
          <w:sz w:val="22"/>
          <w:szCs w:val="22"/>
        </w:rPr>
      </w:pPr>
    </w:p>
    <w:p w14:paraId="2D6153D8" w14:textId="77777777" w:rsidR="005B20E8" w:rsidRPr="00D15C02"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 xml:space="preserve">Segundo. </w:t>
      </w:r>
      <w:r w:rsidRPr="00D15C02">
        <w:rPr>
          <w:rFonts w:ascii="Palatino Linotype" w:eastAsia="Palatino Linotype" w:hAnsi="Palatino Linotype" w:cs="Palatino Linotype"/>
          <w:sz w:val="22"/>
          <w:szCs w:val="22"/>
        </w:rPr>
        <w:t xml:space="preserve">Se </w:t>
      </w:r>
      <w:r w:rsidRPr="00D15C02">
        <w:rPr>
          <w:rFonts w:ascii="Palatino Linotype" w:eastAsia="Palatino Linotype" w:hAnsi="Palatino Linotype" w:cs="Palatino Linotype"/>
          <w:b/>
          <w:sz w:val="22"/>
          <w:szCs w:val="22"/>
        </w:rPr>
        <w:t>Ordena</w:t>
      </w:r>
      <w:r w:rsidRPr="00D15C02">
        <w:rPr>
          <w:rFonts w:ascii="Palatino Linotype" w:eastAsia="Palatino Linotype" w:hAnsi="Palatino Linotype" w:cs="Palatino Linotype"/>
          <w:sz w:val="22"/>
          <w:szCs w:val="22"/>
        </w:rPr>
        <w:t xml:space="preserve"> al </w:t>
      </w:r>
      <w:r w:rsidRPr="00D15C02">
        <w:rPr>
          <w:rFonts w:ascii="Palatino Linotype" w:eastAsia="Palatino Linotype" w:hAnsi="Palatino Linotype" w:cs="Palatino Linotype"/>
          <w:b/>
          <w:sz w:val="22"/>
          <w:szCs w:val="22"/>
        </w:rPr>
        <w:t>Sujeto Obligado</w:t>
      </w:r>
      <w:r w:rsidRPr="00D15C02">
        <w:rPr>
          <w:rFonts w:ascii="Palatino Linotype" w:eastAsia="Palatino Linotype" w:hAnsi="Palatino Linotype" w:cs="Palatino Linotype"/>
          <w:sz w:val="22"/>
          <w:szCs w:val="22"/>
        </w:rPr>
        <w:t xml:space="preserve"> que, en términos del Considerando </w:t>
      </w:r>
      <w:r w:rsidRPr="00D15C02">
        <w:rPr>
          <w:rFonts w:ascii="Palatino Linotype" w:eastAsia="Palatino Linotype" w:hAnsi="Palatino Linotype" w:cs="Palatino Linotype"/>
          <w:b/>
          <w:sz w:val="22"/>
          <w:szCs w:val="22"/>
        </w:rPr>
        <w:t>Cuarto</w:t>
      </w:r>
      <w:r w:rsidRPr="00D15C02">
        <w:rPr>
          <w:rFonts w:ascii="Palatino Linotype" w:eastAsia="Palatino Linotype" w:hAnsi="Palatino Linotype" w:cs="Palatino Linotype"/>
        </w:rPr>
        <w:t xml:space="preserve">, </w:t>
      </w:r>
      <w:r w:rsidRPr="00D15C02">
        <w:rPr>
          <w:rFonts w:ascii="Palatino Linotype" w:eastAsia="Palatino Linotype" w:hAnsi="Palatino Linotype" w:cs="Palatino Linotype"/>
          <w:sz w:val="22"/>
          <w:szCs w:val="22"/>
        </w:rPr>
        <w:t>haga entrega vía Sistema de Acceso a la Información Mexiquense, lo siguiente:</w:t>
      </w:r>
    </w:p>
    <w:p w14:paraId="09DA55A5"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18145C0F" w14:textId="77777777" w:rsidR="005B20E8" w:rsidRPr="00D15C02" w:rsidRDefault="006A055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D15C02">
        <w:rPr>
          <w:rFonts w:ascii="Palatino Linotype" w:eastAsia="Palatino Linotype" w:hAnsi="Palatino Linotype" w:cs="Palatino Linotype"/>
          <w:b/>
          <w:sz w:val="22"/>
          <w:szCs w:val="22"/>
        </w:rPr>
        <w:t>El Acuerdo de clasificación emitido por el Comité de Transparencia, en donde de manera debidamente fundada y motivada, a través de una prueba de daño, confirme la clasificación como reservada, en términos del artículo 140, fracción I de la Ley de Transparencia y Acceso a la Información Pública del Estado de México y Municipios, de las bitácoras de patrullaje preventivo respecto del periodo comprendido del 06 de noviembre de 2024 al 06 de mayo de 2025.</w:t>
      </w:r>
    </w:p>
    <w:p w14:paraId="601C5901" w14:textId="77777777" w:rsidR="005B20E8" w:rsidRPr="00D15C02" w:rsidRDefault="005B20E8">
      <w:pPr>
        <w:pBdr>
          <w:top w:val="nil"/>
          <w:left w:val="nil"/>
          <w:bottom w:val="nil"/>
          <w:right w:val="nil"/>
          <w:between w:val="nil"/>
        </w:pBdr>
        <w:spacing w:line="360" w:lineRule="auto"/>
        <w:ind w:left="360"/>
        <w:jc w:val="both"/>
        <w:rPr>
          <w:rFonts w:ascii="Palatino Linotype" w:eastAsia="Palatino Linotype" w:hAnsi="Palatino Linotype" w:cs="Palatino Linotype"/>
          <w:b/>
          <w:sz w:val="22"/>
          <w:szCs w:val="22"/>
        </w:rPr>
      </w:pPr>
    </w:p>
    <w:p w14:paraId="3A8F65FD" w14:textId="77777777" w:rsidR="005B20E8" w:rsidRPr="00D15C02" w:rsidRDefault="006A055B">
      <w:pPr>
        <w:spacing w:line="360" w:lineRule="auto"/>
        <w:jc w:val="both"/>
        <w:rPr>
          <w:rFonts w:ascii="Palatino Linotype" w:eastAsia="Palatino Linotype" w:hAnsi="Palatino Linotype" w:cs="Palatino Linotype"/>
          <w:sz w:val="22"/>
          <w:szCs w:val="22"/>
        </w:rPr>
      </w:pPr>
      <w:bookmarkStart w:id="13" w:name="_heading=h.17dp8vu" w:colFirst="0" w:colLast="0"/>
      <w:bookmarkEnd w:id="13"/>
      <w:r w:rsidRPr="00D15C02">
        <w:rPr>
          <w:rFonts w:ascii="Palatino Linotype" w:eastAsia="Palatino Linotype" w:hAnsi="Palatino Linotype" w:cs="Palatino Linotype"/>
          <w:b/>
          <w:sz w:val="22"/>
          <w:szCs w:val="22"/>
        </w:rPr>
        <w:t xml:space="preserve">Tercero. Notifíquese, </w:t>
      </w:r>
      <w:r w:rsidRPr="00D15C02">
        <w:rPr>
          <w:rFonts w:ascii="Palatino Linotype" w:eastAsia="Palatino Linotype" w:hAnsi="Palatino Linotype" w:cs="Palatino Linotype"/>
          <w:sz w:val="22"/>
          <w:szCs w:val="22"/>
        </w:rPr>
        <w:t xml:space="preserve">vía </w:t>
      </w:r>
      <w:r w:rsidRPr="00D15C02">
        <w:rPr>
          <w:rFonts w:ascii="Palatino Linotype" w:eastAsia="Palatino Linotype" w:hAnsi="Palatino Linotype" w:cs="Palatino Linotype"/>
          <w:b/>
          <w:sz w:val="22"/>
          <w:szCs w:val="22"/>
        </w:rPr>
        <w:t>SAIMEX</w:t>
      </w:r>
      <w:r w:rsidRPr="00D15C02">
        <w:rPr>
          <w:rFonts w:ascii="Palatino Linotype" w:eastAsia="Palatino Linotype" w:hAnsi="Palatino Linotype" w:cs="Palatino Linotype"/>
          <w:sz w:val="22"/>
          <w:szCs w:val="22"/>
        </w:rPr>
        <w:t xml:space="preserve">, al Titular de la Unidad de Transparencia del </w:t>
      </w:r>
      <w:r w:rsidRPr="00D15C02">
        <w:rPr>
          <w:rFonts w:ascii="Palatino Linotype" w:eastAsia="Palatino Linotype" w:hAnsi="Palatino Linotype" w:cs="Palatino Linotype"/>
          <w:b/>
          <w:sz w:val="22"/>
          <w:szCs w:val="22"/>
        </w:rPr>
        <w:t>Sujeto Obligado,</w:t>
      </w:r>
      <w:r w:rsidRPr="00D15C02">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A486098" w14:textId="77777777" w:rsidR="005B20E8" w:rsidRPr="00D15C02" w:rsidRDefault="005B20E8">
      <w:pPr>
        <w:spacing w:line="360" w:lineRule="auto"/>
        <w:jc w:val="both"/>
        <w:rPr>
          <w:rFonts w:ascii="Palatino Linotype" w:eastAsia="Palatino Linotype" w:hAnsi="Palatino Linotype" w:cs="Palatino Linotype"/>
          <w:sz w:val="22"/>
          <w:szCs w:val="22"/>
        </w:rPr>
      </w:pPr>
    </w:p>
    <w:p w14:paraId="35AE7E36" w14:textId="77777777" w:rsidR="005B20E8" w:rsidRPr="00D15C02" w:rsidRDefault="006A055B">
      <w:pPr>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Cuarto.</w:t>
      </w:r>
      <w:r w:rsidRPr="00D15C02">
        <w:rPr>
          <w:rFonts w:ascii="Palatino Linotype" w:eastAsia="Palatino Linotype" w:hAnsi="Palatino Linotype" w:cs="Palatino Linotype"/>
          <w:sz w:val="22"/>
          <w:szCs w:val="22"/>
        </w:rPr>
        <w:t xml:space="preserve"> </w:t>
      </w:r>
      <w:r w:rsidRPr="00D15C02">
        <w:rPr>
          <w:rFonts w:ascii="Palatino Linotype" w:eastAsia="Palatino Linotype" w:hAnsi="Palatino Linotype" w:cs="Palatino Linotype"/>
          <w:b/>
          <w:sz w:val="22"/>
          <w:szCs w:val="22"/>
        </w:rPr>
        <w:t xml:space="preserve">Notifíquese, </w:t>
      </w:r>
      <w:r w:rsidRPr="00D15C02">
        <w:rPr>
          <w:rFonts w:ascii="Palatino Linotype" w:eastAsia="Palatino Linotype" w:hAnsi="Palatino Linotype" w:cs="Palatino Linotype"/>
          <w:sz w:val="22"/>
          <w:szCs w:val="22"/>
        </w:rPr>
        <w:t xml:space="preserve">vía </w:t>
      </w:r>
      <w:r w:rsidRPr="00D15C02">
        <w:rPr>
          <w:rFonts w:ascii="Palatino Linotype" w:eastAsia="Palatino Linotype" w:hAnsi="Palatino Linotype" w:cs="Palatino Linotype"/>
          <w:b/>
          <w:sz w:val="22"/>
          <w:szCs w:val="22"/>
        </w:rPr>
        <w:t>SAIMEX</w:t>
      </w:r>
      <w:r w:rsidRPr="00D15C02">
        <w:rPr>
          <w:rFonts w:ascii="Palatino Linotype" w:eastAsia="Palatino Linotype" w:hAnsi="Palatino Linotype" w:cs="Palatino Linotype"/>
          <w:sz w:val="22"/>
          <w:szCs w:val="22"/>
        </w:rPr>
        <w:t xml:space="preserve">, al Titular de la Unidad de Transparencia del </w:t>
      </w:r>
      <w:r w:rsidRPr="00D15C02">
        <w:rPr>
          <w:rFonts w:ascii="Palatino Linotype" w:eastAsia="Palatino Linotype" w:hAnsi="Palatino Linotype" w:cs="Palatino Linotype"/>
          <w:b/>
          <w:sz w:val="22"/>
          <w:szCs w:val="22"/>
        </w:rPr>
        <w:t>Sujeto Obligado,</w:t>
      </w:r>
      <w:r w:rsidRPr="00D15C02">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022CB30A" w14:textId="77777777" w:rsidR="005B20E8" w:rsidRPr="00D15C02" w:rsidRDefault="005B20E8">
      <w:pPr>
        <w:spacing w:line="360" w:lineRule="auto"/>
        <w:ind w:right="49"/>
        <w:jc w:val="both"/>
        <w:rPr>
          <w:rFonts w:ascii="Palatino Linotype" w:eastAsia="Palatino Linotype" w:hAnsi="Palatino Linotype" w:cs="Palatino Linotype"/>
          <w:sz w:val="22"/>
          <w:szCs w:val="22"/>
        </w:rPr>
      </w:pPr>
    </w:p>
    <w:p w14:paraId="07DD3CCF" w14:textId="77777777" w:rsidR="005B20E8" w:rsidRPr="00D15C02" w:rsidRDefault="006A055B">
      <w:pPr>
        <w:spacing w:line="360" w:lineRule="auto"/>
        <w:ind w:right="49"/>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b/>
          <w:sz w:val="22"/>
          <w:szCs w:val="22"/>
        </w:rPr>
        <w:t xml:space="preserve">Quinto. Notifíquese vía SAIMEX, </w:t>
      </w:r>
      <w:r w:rsidRPr="00D15C02">
        <w:rPr>
          <w:rFonts w:ascii="Palatino Linotype" w:eastAsia="Palatino Linotype" w:hAnsi="Palatino Linotype" w:cs="Palatino Linotype"/>
          <w:sz w:val="22"/>
          <w:szCs w:val="22"/>
        </w:rPr>
        <w:t xml:space="preserve">la presente resolución a la parte </w:t>
      </w:r>
      <w:r w:rsidRPr="00D15C02">
        <w:rPr>
          <w:rFonts w:ascii="Palatino Linotype" w:eastAsia="Palatino Linotype" w:hAnsi="Palatino Linotype" w:cs="Palatino Linotype"/>
          <w:b/>
          <w:sz w:val="22"/>
          <w:szCs w:val="22"/>
        </w:rPr>
        <w:t>Recurrente</w:t>
      </w:r>
      <w:r w:rsidRPr="00D15C02">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D729131" w14:textId="77777777" w:rsidR="005B20E8" w:rsidRPr="00D15C02" w:rsidRDefault="005B20E8">
      <w:pPr>
        <w:spacing w:line="360" w:lineRule="auto"/>
        <w:ind w:right="49"/>
        <w:jc w:val="both"/>
        <w:rPr>
          <w:rFonts w:ascii="Palatino Linotype" w:eastAsia="Palatino Linotype" w:hAnsi="Palatino Linotype" w:cs="Palatino Linotype"/>
          <w:sz w:val="22"/>
          <w:szCs w:val="22"/>
        </w:rPr>
      </w:pPr>
    </w:p>
    <w:p w14:paraId="3F38D3EB" w14:textId="5E0A48A6" w:rsidR="005B20E8" w:rsidRPr="000D1B4F" w:rsidRDefault="006A055B">
      <w:pPr>
        <w:spacing w:line="360" w:lineRule="auto"/>
        <w:jc w:val="both"/>
        <w:rPr>
          <w:rFonts w:ascii="Palatino Linotype" w:eastAsia="Palatino Linotype" w:hAnsi="Palatino Linotype" w:cs="Palatino Linotype"/>
          <w:sz w:val="22"/>
          <w:szCs w:val="22"/>
        </w:rPr>
      </w:pPr>
      <w:r w:rsidRPr="00D15C02">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CC3974" w:rsidRPr="00D15C02">
        <w:rPr>
          <w:rFonts w:ascii="Palatino Linotype" w:eastAsia="Palatino Linotype" w:hAnsi="Palatino Linotype" w:cs="Palatino Linotype"/>
          <w:sz w:val="22"/>
          <w:szCs w:val="22"/>
        </w:rPr>
        <w:t xml:space="preserve"> (AUSENCIA JUSTIFICADA)</w:t>
      </w:r>
      <w:r w:rsidRPr="00D15C02">
        <w:rPr>
          <w:rFonts w:ascii="Palatino Linotype" w:eastAsia="Palatino Linotype" w:hAnsi="Palatino Linotype" w:cs="Palatino Linotype"/>
          <w:sz w:val="22"/>
          <w:szCs w:val="22"/>
        </w:rPr>
        <w:t>, SHARON CRISTINA MORALES MARTÍNEZ, LUIS GUSTAVO PARRA NORIEGA</w:t>
      </w:r>
      <w:r w:rsidR="00262001" w:rsidRPr="00D15C02">
        <w:rPr>
          <w:rFonts w:ascii="Palatino Linotype" w:eastAsia="Palatino Linotype" w:hAnsi="Palatino Linotype" w:cs="Palatino Linotype"/>
          <w:sz w:val="22"/>
          <w:szCs w:val="22"/>
        </w:rPr>
        <w:t>, EMITIENDO VOTO PARTICULAR</w:t>
      </w:r>
      <w:r w:rsidRPr="00D15C02">
        <w:rPr>
          <w:rFonts w:ascii="Palatino Linotype" w:eastAsia="Palatino Linotype" w:hAnsi="Palatino Linotype" w:cs="Palatino Linotype"/>
          <w:sz w:val="22"/>
          <w:szCs w:val="22"/>
        </w:rPr>
        <w:t xml:space="preserve"> Y GUADALUPE RAMÍREZ PEÑA; EN LA TRIGÉSIMA NOVENA SESIÓN ORDINARIA, CELEBRADA EL CINCO DE NOVIEMBRE DE DOS MIL VEINTICINCO, ANTE EL SECRETARIO TÉCNICO DEL PLENO ALEXIS TAPIA RAMÍREZ.</w:t>
      </w:r>
      <w:r w:rsidRPr="000D1B4F">
        <w:rPr>
          <w:rFonts w:ascii="Palatino Linotype" w:eastAsia="Palatino Linotype" w:hAnsi="Palatino Linotype" w:cs="Palatino Linotype"/>
          <w:sz w:val="22"/>
          <w:szCs w:val="22"/>
        </w:rPr>
        <w:t xml:space="preserve"> </w:t>
      </w:r>
    </w:p>
    <w:p w14:paraId="0226A1BC" w14:textId="77777777" w:rsidR="005B20E8" w:rsidRPr="000D1B4F" w:rsidRDefault="005B20E8">
      <w:pPr>
        <w:rPr>
          <w:rFonts w:ascii="Palatino Linotype" w:eastAsia="Palatino Linotype" w:hAnsi="Palatino Linotype" w:cs="Palatino Linotype"/>
          <w:sz w:val="22"/>
          <w:szCs w:val="22"/>
        </w:rPr>
      </w:pPr>
    </w:p>
    <w:p w14:paraId="1F176817" w14:textId="77777777" w:rsidR="005B20E8" w:rsidRPr="000D1B4F" w:rsidRDefault="005B20E8">
      <w:pPr>
        <w:rPr>
          <w:rFonts w:ascii="Palatino Linotype" w:eastAsia="Palatino Linotype" w:hAnsi="Palatino Linotype" w:cs="Palatino Linotype"/>
          <w:sz w:val="22"/>
          <w:szCs w:val="22"/>
        </w:rPr>
      </w:pPr>
    </w:p>
    <w:p w14:paraId="6000F613" w14:textId="77777777" w:rsidR="005B20E8" w:rsidRPr="000D1B4F" w:rsidRDefault="005B20E8">
      <w:pPr>
        <w:spacing w:line="360" w:lineRule="auto"/>
        <w:jc w:val="both"/>
        <w:rPr>
          <w:rFonts w:ascii="Palatino Linotype" w:eastAsia="Palatino Linotype" w:hAnsi="Palatino Linotype" w:cs="Palatino Linotype"/>
          <w:sz w:val="22"/>
          <w:szCs w:val="22"/>
        </w:rPr>
      </w:pPr>
      <w:bookmarkStart w:id="14" w:name="_heading=h.3rdcrjn" w:colFirst="0" w:colLast="0"/>
      <w:bookmarkEnd w:id="14"/>
    </w:p>
    <w:p w14:paraId="1FED1ED5"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66C48261"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1BCABB80" w14:textId="77777777" w:rsidR="005B20E8" w:rsidRPr="000D1B4F" w:rsidRDefault="005B20E8">
      <w:pPr>
        <w:spacing w:line="360" w:lineRule="auto"/>
        <w:jc w:val="both"/>
        <w:rPr>
          <w:rFonts w:ascii="Palatino Linotype" w:eastAsia="Palatino Linotype" w:hAnsi="Palatino Linotype" w:cs="Palatino Linotype"/>
          <w:sz w:val="22"/>
          <w:szCs w:val="22"/>
        </w:rPr>
      </w:pPr>
      <w:bookmarkStart w:id="15" w:name="_heading=h.1t3h5sf" w:colFirst="0" w:colLast="0"/>
      <w:bookmarkEnd w:id="15"/>
    </w:p>
    <w:p w14:paraId="4B87E56E"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37799530"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4E5D1F50"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658727D6"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0D102C8A"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40895DE9"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70E47AD3"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0848DFED"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6EC33088"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5129BC67"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492DA3F1"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76F73D4C"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05F78A45"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04801DB6"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42007BC6"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27993EA9"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3D05AA2B"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1D5E061F"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3B1D8637"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76B2B33C" w14:textId="77777777" w:rsidR="005B20E8" w:rsidRPr="000D1B4F" w:rsidRDefault="005B20E8">
      <w:pPr>
        <w:spacing w:line="360" w:lineRule="auto"/>
        <w:jc w:val="both"/>
        <w:rPr>
          <w:rFonts w:ascii="Palatino Linotype" w:eastAsia="Palatino Linotype" w:hAnsi="Palatino Linotype" w:cs="Palatino Linotype"/>
          <w:sz w:val="22"/>
          <w:szCs w:val="22"/>
        </w:rPr>
      </w:pPr>
    </w:p>
    <w:p w14:paraId="4092FB09" w14:textId="77777777" w:rsidR="005B20E8" w:rsidRPr="000D1B4F" w:rsidRDefault="005B20E8">
      <w:pPr>
        <w:spacing w:line="360" w:lineRule="auto"/>
        <w:jc w:val="both"/>
        <w:rPr>
          <w:rFonts w:ascii="Palatino Linotype" w:eastAsia="Palatino Linotype" w:hAnsi="Palatino Linotype" w:cs="Palatino Linotype"/>
          <w:sz w:val="22"/>
          <w:szCs w:val="22"/>
        </w:rPr>
      </w:pPr>
    </w:p>
    <w:sectPr w:rsidR="005B20E8" w:rsidRPr="000D1B4F">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CFA1C" w14:textId="77777777" w:rsidR="00964CE8" w:rsidRDefault="00964CE8">
      <w:r>
        <w:separator/>
      </w:r>
    </w:p>
  </w:endnote>
  <w:endnote w:type="continuationSeparator" w:id="0">
    <w:p w14:paraId="31AAFDAF" w14:textId="77777777" w:rsidR="00964CE8" w:rsidRDefault="00964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B1D73C0E-8F83-40CF-90F5-3196D016B40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24C273-6FDD-476D-AD54-A466329BDAB4}"/>
    <w:embedBold r:id="rId3" w:fontKey="{4C718A97-E25F-4D27-BF6B-254CB4EF71E5}"/>
  </w:font>
  <w:font w:name="Cambria">
    <w:panose1 w:val="02040503050406030204"/>
    <w:charset w:val="00"/>
    <w:family w:val="roman"/>
    <w:pitch w:val="variable"/>
    <w:sig w:usb0="E00006FF" w:usb1="420024FF" w:usb2="02000000" w:usb3="00000000" w:csb0="0000019F" w:csb1="00000000"/>
    <w:embedRegular r:id="rId4" w:fontKey="{465AACC1-6129-44DE-8AA0-C4DD5A7E9B7F}"/>
    <w:embedBold r:id="rId5" w:fontKey="{445F0534-59F6-48CB-AC0A-1B2E8561F8DD}"/>
    <w:embedBoldItalic r:id="rId6" w:fontKey="{A26E1A48-3458-421F-8AAC-F0A9BC0C2517}"/>
  </w:font>
  <w:font w:name="Segoe UI">
    <w:panose1 w:val="020B0502040204020203"/>
    <w:charset w:val="00"/>
    <w:family w:val="swiss"/>
    <w:pitch w:val="variable"/>
    <w:sig w:usb0="E4002EFF" w:usb1="C000E47F" w:usb2="00000009" w:usb3="00000000" w:csb0="000001FF" w:csb1="00000000"/>
    <w:embedRegular r:id="rId7" w:fontKey="{17593E76-FB30-40BB-89A1-D0497E3CB250}"/>
  </w:font>
  <w:font w:name="Georgia">
    <w:panose1 w:val="02040502050405020303"/>
    <w:charset w:val="00"/>
    <w:family w:val="roman"/>
    <w:pitch w:val="variable"/>
    <w:sig w:usb0="00000287" w:usb1="00000000" w:usb2="00000000" w:usb3="00000000" w:csb0="0000009F" w:csb1="00000000"/>
    <w:embedRegular r:id="rId8" w:fontKey="{A031DE8F-D9F5-4E97-9DD9-276D9B1EE974}"/>
    <w:embedItalic r:id="rId9" w:fontKey="{A696390D-6A7F-48FB-A0B0-3EB83ED0A2DF}"/>
  </w:font>
  <w:font w:name="Palatino Linotype">
    <w:panose1 w:val="02040502050505030304"/>
    <w:charset w:val="00"/>
    <w:family w:val="roman"/>
    <w:pitch w:val="variable"/>
    <w:sig w:usb0="E0000287" w:usb1="40000013" w:usb2="00000000" w:usb3="00000000" w:csb0="0000019F" w:csb1="00000000"/>
    <w:embedRegular r:id="rId10" w:fontKey="{6CBBE9AD-EA4D-40DE-83BC-78F7970BD69E}"/>
    <w:embedBold r:id="rId11" w:fontKey="{224F7E16-DA13-4F54-8811-336A35A9AF65}"/>
    <w:embedItalic r:id="rId12" w:fontKey="{64C8670D-70E6-45C5-A44C-2B94C6EDE3C3}"/>
    <w:embedBoldItalic r:id="rId13" w:fontKey="{0B3A4146-DFB9-487E-8D89-BC7A020063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8709A" w14:textId="421D8916" w:rsidR="005B20E8" w:rsidRDefault="006A05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5686">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5686">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16C48AE8" w14:textId="77777777" w:rsidR="005B20E8" w:rsidRDefault="005B20E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883F1" w14:textId="025D40E1" w:rsidR="005B20E8" w:rsidRDefault="006A055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568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5686">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34AA6F5F" w14:textId="77777777" w:rsidR="005B20E8" w:rsidRDefault="005B20E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B09AE" w14:textId="77777777" w:rsidR="00964CE8" w:rsidRDefault="00964CE8">
      <w:r>
        <w:separator/>
      </w:r>
    </w:p>
  </w:footnote>
  <w:footnote w:type="continuationSeparator" w:id="0">
    <w:p w14:paraId="33FCC3CF" w14:textId="77777777" w:rsidR="00964CE8" w:rsidRDefault="00964CE8">
      <w:r>
        <w:continuationSeparator/>
      </w:r>
    </w:p>
  </w:footnote>
  <w:footnote w:id="1">
    <w:p w14:paraId="271DB1ED" w14:textId="77777777" w:rsidR="005B20E8" w:rsidRDefault="006A055B">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393F9FA0" w14:textId="77777777" w:rsidR="005B20E8" w:rsidRDefault="006A055B">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8DB7E63" w14:textId="77777777" w:rsidR="005B20E8" w:rsidRDefault="006A055B">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778C7DD1" w14:textId="77777777" w:rsidR="005B20E8" w:rsidRDefault="006A055B">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529F9" w14:textId="77777777" w:rsidR="005B20E8" w:rsidRDefault="006A055B">
    <w:pPr>
      <w:rPr>
        <w:rFonts w:ascii="Cambria" w:eastAsia="Cambria" w:hAnsi="Cambria" w:cs="Cambria"/>
        <w:color w:val="000000"/>
      </w:rPr>
    </w:pPr>
    <w:r>
      <w:rPr>
        <w:noProof/>
      </w:rPr>
      <w:drawing>
        <wp:anchor distT="0" distB="0" distL="0" distR="0" simplePos="0" relativeHeight="251658240" behindDoc="1" locked="0" layoutInCell="1" hidden="0" allowOverlap="1" wp14:anchorId="53C26F9B" wp14:editId="65407FB9">
          <wp:simplePos x="0" y="0"/>
          <wp:positionH relativeFrom="column">
            <wp:posOffset>-1080103</wp:posOffset>
          </wp:positionH>
          <wp:positionV relativeFrom="paragraph">
            <wp:posOffset>-488278</wp:posOffset>
          </wp:positionV>
          <wp:extent cx="7809865" cy="10165715"/>
          <wp:effectExtent l="0" t="0" r="0"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7087" w:type="dxa"/>
      <w:tblInd w:w="3261" w:type="dxa"/>
      <w:tblLayout w:type="fixed"/>
      <w:tblLook w:val="0400" w:firstRow="0" w:lastRow="0" w:firstColumn="0" w:lastColumn="0" w:noHBand="0" w:noVBand="1"/>
    </w:tblPr>
    <w:tblGrid>
      <w:gridCol w:w="2489"/>
      <w:gridCol w:w="4598"/>
    </w:tblGrid>
    <w:tr w:rsidR="005B20E8" w14:paraId="02FEC3F9" w14:textId="77777777">
      <w:tc>
        <w:tcPr>
          <w:tcW w:w="2489" w:type="dxa"/>
          <w:shd w:val="clear" w:color="auto" w:fill="auto"/>
        </w:tcPr>
        <w:p w14:paraId="4F58131E" w14:textId="77777777" w:rsidR="005B20E8" w:rsidRDefault="006A05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00E241B1" w14:textId="77777777" w:rsidR="005B20E8" w:rsidRDefault="006A05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06129/INFOEM/IP/RR/2025</w:t>
          </w:r>
        </w:p>
      </w:tc>
    </w:tr>
    <w:tr w:rsidR="005B20E8" w14:paraId="1CDE67C0" w14:textId="77777777">
      <w:trPr>
        <w:trHeight w:val="228"/>
      </w:trPr>
      <w:tc>
        <w:tcPr>
          <w:tcW w:w="2489" w:type="dxa"/>
          <w:shd w:val="clear" w:color="auto" w:fill="auto"/>
          <w:vAlign w:val="center"/>
        </w:tcPr>
        <w:p w14:paraId="02B0E26E" w14:textId="77777777" w:rsidR="005B20E8" w:rsidRDefault="006A05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56EB5310" w14:textId="77777777" w:rsidR="005B20E8" w:rsidRDefault="006A055B">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5B20E8" w14:paraId="48CFFC97" w14:textId="77777777">
      <w:tc>
        <w:tcPr>
          <w:tcW w:w="2489" w:type="dxa"/>
          <w:shd w:val="clear" w:color="auto" w:fill="auto"/>
          <w:vAlign w:val="center"/>
        </w:tcPr>
        <w:p w14:paraId="1B3EF071" w14:textId="77777777" w:rsidR="005B20E8" w:rsidRDefault="006A055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89AE1A9" w14:textId="77777777" w:rsidR="005B20E8" w:rsidRDefault="006A055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1A11C8" w14:textId="77777777" w:rsidR="005B20E8" w:rsidRDefault="006A055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8983D" w14:textId="77777777" w:rsidR="005B20E8" w:rsidRDefault="006A055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670C40E" wp14:editId="5F1E43D9">
          <wp:simplePos x="0" y="0"/>
          <wp:positionH relativeFrom="column">
            <wp:posOffset>-1079482</wp:posOffset>
          </wp:positionH>
          <wp:positionV relativeFrom="paragraph">
            <wp:posOffset>-328909</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6945" w:type="dxa"/>
      <w:tblInd w:w="3261" w:type="dxa"/>
      <w:tblLayout w:type="fixed"/>
      <w:tblLook w:val="0400" w:firstRow="0" w:lastRow="0" w:firstColumn="0" w:lastColumn="0" w:noHBand="0" w:noVBand="1"/>
    </w:tblPr>
    <w:tblGrid>
      <w:gridCol w:w="2551"/>
      <w:gridCol w:w="4394"/>
    </w:tblGrid>
    <w:tr w:rsidR="005B20E8" w14:paraId="5835C7AA" w14:textId="77777777">
      <w:tc>
        <w:tcPr>
          <w:tcW w:w="2551" w:type="dxa"/>
          <w:shd w:val="clear" w:color="auto" w:fill="auto"/>
          <w:vAlign w:val="center"/>
        </w:tcPr>
        <w:p w14:paraId="1CD5656E" w14:textId="77777777" w:rsidR="005B20E8" w:rsidRDefault="006A05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41A0FDCF" w14:textId="77777777" w:rsidR="005B20E8" w:rsidRDefault="006A055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06129/INFOEM/IP/RR/2025</w:t>
          </w:r>
        </w:p>
      </w:tc>
    </w:tr>
    <w:tr w:rsidR="005B20E8" w14:paraId="5B4262C8" w14:textId="77777777">
      <w:trPr>
        <w:trHeight w:val="130"/>
      </w:trPr>
      <w:tc>
        <w:tcPr>
          <w:tcW w:w="2551" w:type="dxa"/>
          <w:shd w:val="clear" w:color="auto" w:fill="auto"/>
          <w:vAlign w:val="center"/>
        </w:tcPr>
        <w:p w14:paraId="223999F4" w14:textId="77777777" w:rsidR="005B20E8" w:rsidRDefault="006A05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16D3ED46" w14:textId="77777777" w:rsidR="005B20E8" w:rsidRDefault="005B20E8">
          <w:pPr>
            <w:ind w:left="-45" w:right="1444"/>
            <w:jc w:val="both"/>
            <w:rPr>
              <w:rFonts w:ascii="Palatino Linotype" w:eastAsia="Palatino Linotype" w:hAnsi="Palatino Linotype" w:cs="Palatino Linotype"/>
              <w:b/>
              <w:sz w:val="22"/>
              <w:szCs w:val="22"/>
            </w:rPr>
          </w:pPr>
        </w:p>
      </w:tc>
    </w:tr>
    <w:tr w:rsidR="005B20E8" w14:paraId="7965F072" w14:textId="77777777">
      <w:trPr>
        <w:trHeight w:val="228"/>
      </w:trPr>
      <w:tc>
        <w:tcPr>
          <w:tcW w:w="2551" w:type="dxa"/>
          <w:shd w:val="clear" w:color="auto" w:fill="auto"/>
          <w:vAlign w:val="center"/>
        </w:tcPr>
        <w:p w14:paraId="1CD47005" w14:textId="77777777" w:rsidR="005B20E8" w:rsidRDefault="006A05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CDA2FBC" w14:textId="77777777" w:rsidR="005B20E8" w:rsidRDefault="006A055B">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5B20E8" w14:paraId="55CCD30D" w14:textId="77777777">
      <w:tc>
        <w:tcPr>
          <w:tcW w:w="2551" w:type="dxa"/>
          <w:shd w:val="clear" w:color="auto" w:fill="auto"/>
          <w:vAlign w:val="center"/>
        </w:tcPr>
        <w:p w14:paraId="56C64B9C" w14:textId="77777777" w:rsidR="005B20E8" w:rsidRDefault="006A055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04F85CD" w14:textId="77777777" w:rsidR="005B20E8" w:rsidRDefault="006A055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DC981CD" w14:textId="77777777" w:rsidR="005B20E8" w:rsidRDefault="005B20E8">
    <w:pPr>
      <w:pBdr>
        <w:top w:val="nil"/>
        <w:left w:val="nil"/>
        <w:bottom w:val="nil"/>
        <w:right w:val="nil"/>
        <w:between w:val="nil"/>
      </w:pBdr>
      <w:tabs>
        <w:tab w:val="center" w:pos="4252"/>
        <w:tab w:val="right" w:pos="8504"/>
      </w:tabs>
      <w:rPr>
        <w:rFonts w:ascii="Cambria" w:eastAsia="Cambria" w:hAnsi="Cambria" w:cs="Cambria"/>
        <w:color w:val="000000"/>
      </w:rPr>
    </w:pPr>
  </w:p>
  <w:p w14:paraId="2685546A" w14:textId="77777777" w:rsidR="005B20E8" w:rsidRDefault="005B20E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F5232"/>
    <w:multiLevelType w:val="multilevel"/>
    <w:tmpl w:val="0DF2733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1E15CE8"/>
    <w:multiLevelType w:val="multilevel"/>
    <w:tmpl w:val="D4E03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EF67A2"/>
    <w:multiLevelType w:val="multilevel"/>
    <w:tmpl w:val="0EFE79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84E6C66"/>
    <w:multiLevelType w:val="multilevel"/>
    <w:tmpl w:val="9576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AA3323"/>
    <w:multiLevelType w:val="multilevel"/>
    <w:tmpl w:val="19C84F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4805D5A"/>
    <w:multiLevelType w:val="multilevel"/>
    <w:tmpl w:val="38568E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08A2D06"/>
    <w:multiLevelType w:val="multilevel"/>
    <w:tmpl w:val="0CB49A6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8104BB"/>
    <w:multiLevelType w:val="multilevel"/>
    <w:tmpl w:val="687CF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4E6DBB"/>
    <w:multiLevelType w:val="multilevel"/>
    <w:tmpl w:val="D494E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7"/>
  </w:num>
  <w:num w:numId="3">
    <w:abstractNumId w:val="4"/>
  </w:num>
  <w:num w:numId="4">
    <w:abstractNumId w:val="3"/>
  </w:num>
  <w:num w:numId="5">
    <w:abstractNumId w:val="1"/>
  </w:num>
  <w:num w:numId="6">
    <w:abstractNumId w:val="6"/>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0E8"/>
    <w:rsid w:val="000D1B4F"/>
    <w:rsid w:val="00262001"/>
    <w:rsid w:val="004E4AEF"/>
    <w:rsid w:val="005B20E8"/>
    <w:rsid w:val="006A055B"/>
    <w:rsid w:val="00764A10"/>
    <w:rsid w:val="00964CE8"/>
    <w:rsid w:val="00CC3974"/>
    <w:rsid w:val="00D15C02"/>
    <w:rsid w:val="00D656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6DE32"/>
  <w15:docId w15:val="{C596DCDD-1001-4F9C-8EA0-D9B049EDD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0"/>
    <w:tblPr>
      <w:tblStyleRowBandSize w:val="1"/>
      <w:tblStyleColBandSize w:val="1"/>
      <w:tblCellMar>
        <w:left w:w="115" w:type="dxa"/>
        <w:right w:w="115" w:type="dxa"/>
      </w:tblCellMar>
    </w:tblPr>
  </w:style>
  <w:style w:type="table" w:customStyle="1" w:styleId="3">
    <w:name w:val="3"/>
    <w:basedOn w:val="TableNormal60"/>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RedzQNQOXBJDJQiUcBLLi0NuKQ==">CgMxLjAyCWguMWZvYjl0ZTIJaC40ZDM0b2c4MghoLmdqZGd4czIJaC4zZHk2dmttMgloLjMwajB6bGwyCWguMnM4ZXlvMTIIaC50eWpjd3QyCWguM3pueXNoNzIJaC4xeTgxMHR3Mg1oLm54eWZvNHl4M2k1Mg5oLmlqdjk4cG50Y2Q1czIJaC4yNmluMXJnMgloLjE3ZHA4dnUyCWguM3JkY3JqbjIJaC4xdDNoNXNmOAByITE4d3BzanMwU0p3SVR2ZUNfY1dCY19TOU0zYnVINm05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9599</Words>
  <Characters>52798</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2025-11-07T16:58:00Z</cp:lastPrinted>
  <dcterms:created xsi:type="dcterms:W3CDTF">2025-12-05T17:14:00Z</dcterms:created>
  <dcterms:modified xsi:type="dcterms:W3CDTF">2025-12-05T17:14:00Z</dcterms:modified>
</cp:coreProperties>
</file>