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CA8F0AF" w14:textId="77777777" w:rsidR="00342378" w:rsidRPr="006B3769" w:rsidRDefault="00342378">
          <w:pPr>
            <w:pStyle w:val="TtuloTDC"/>
            <w:rPr>
              <w:rFonts w:ascii="Palatino Linotype" w:hAnsi="Palatino Linotype"/>
              <w:color w:val="auto"/>
              <w:sz w:val="22"/>
              <w:szCs w:val="22"/>
            </w:rPr>
          </w:pPr>
          <w:r w:rsidRPr="006B3769">
            <w:rPr>
              <w:rFonts w:ascii="Palatino Linotype" w:hAnsi="Palatino Linotype"/>
              <w:color w:val="auto"/>
              <w:sz w:val="22"/>
              <w:szCs w:val="22"/>
              <w:lang w:val="es-ES"/>
            </w:rPr>
            <w:t>Contenido</w:t>
          </w:r>
        </w:p>
        <w:p w14:paraId="23159513" w14:textId="6CFBA7C2" w:rsidR="006B3769" w:rsidRPr="006B3769" w:rsidRDefault="00342378">
          <w:pPr>
            <w:pStyle w:val="TDC1"/>
            <w:tabs>
              <w:tab w:val="right" w:leader="dot" w:pos="9034"/>
            </w:tabs>
            <w:rPr>
              <w:rFonts w:asciiTheme="minorHAnsi" w:eastAsiaTheme="minorEastAsia" w:hAnsiTheme="minorHAnsi" w:cstheme="minorBidi"/>
              <w:noProof/>
              <w:sz w:val="22"/>
              <w:szCs w:val="22"/>
              <w:lang w:eastAsia="es-MX"/>
            </w:rPr>
          </w:pPr>
          <w:r w:rsidRPr="006B3769">
            <w:rPr>
              <w:rFonts w:ascii="Palatino Linotype" w:hAnsi="Palatino Linotype"/>
              <w:bCs/>
              <w:sz w:val="22"/>
              <w:szCs w:val="22"/>
              <w:lang w:val="es-ES"/>
            </w:rPr>
            <w:fldChar w:fldCharType="begin"/>
          </w:r>
          <w:r w:rsidRPr="006B3769">
            <w:rPr>
              <w:rFonts w:ascii="Palatino Linotype" w:hAnsi="Palatino Linotype"/>
              <w:bCs/>
              <w:sz w:val="22"/>
              <w:szCs w:val="22"/>
              <w:lang w:val="es-ES"/>
            </w:rPr>
            <w:instrText xml:space="preserve"> TOC \o "1-3" \h \z \u </w:instrText>
          </w:r>
          <w:r w:rsidRPr="006B3769">
            <w:rPr>
              <w:rFonts w:ascii="Palatino Linotype" w:hAnsi="Palatino Linotype"/>
              <w:bCs/>
              <w:sz w:val="22"/>
              <w:szCs w:val="22"/>
              <w:lang w:val="es-ES"/>
            </w:rPr>
            <w:fldChar w:fldCharType="separate"/>
          </w:r>
          <w:hyperlink w:anchor="_Toc206081349" w:history="1">
            <w:r w:rsidR="006B3769" w:rsidRPr="006B3769">
              <w:rPr>
                <w:rStyle w:val="Hipervnculo"/>
                <w:rFonts w:ascii="Palatino Linotype" w:hAnsi="Palatino Linotype"/>
                <w:noProof/>
              </w:rPr>
              <w:t>A N T E C E D E N T E S</w:t>
            </w:r>
            <w:r w:rsidR="006B3769" w:rsidRPr="006B3769">
              <w:rPr>
                <w:noProof/>
                <w:webHidden/>
              </w:rPr>
              <w:tab/>
            </w:r>
            <w:r w:rsidR="006B3769" w:rsidRPr="006B3769">
              <w:rPr>
                <w:noProof/>
                <w:webHidden/>
              </w:rPr>
              <w:fldChar w:fldCharType="begin"/>
            </w:r>
            <w:r w:rsidR="006B3769" w:rsidRPr="006B3769">
              <w:rPr>
                <w:noProof/>
                <w:webHidden/>
              </w:rPr>
              <w:instrText xml:space="preserve"> PAGEREF _Toc206081349 \h </w:instrText>
            </w:r>
            <w:r w:rsidR="006B3769" w:rsidRPr="006B3769">
              <w:rPr>
                <w:noProof/>
                <w:webHidden/>
              </w:rPr>
            </w:r>
            <w:r w:rsidR="006B3769" w:rsidRPr="006B3769">
              <w:rPr>
                <w:noProof/>
                <w:webHidden/>
              </w:rPr>
              <w:fldChar w:fldCharType="separate"/>
            </w:r>
            <w:r w:rsidR="002B6AB5">
              <w:rPr>
                <w:noProof/>
                <w:webHidden/>
              </w:rPr>
              <w:t>2</w:t>
            </w:r>
            <w:r w:rsidR="006B3769" w:rsidRPr="006B3769">
              <w:rPr>
                <w:noProof/>
                <w:webHidden/>
              </w:rPr>
              <w:fldChar w:fldCharType="end"/>
            </w:r>
          </w:hyperlink>
        </w:p>
        <w:p w14:paraId="0E04BDDE" w14:textId="2A78AAEE" w:rsidR="006B3769" w:rsidRPr="006B3769" w:rsidRDefault="006B3769">
          <w:pPr>
            <w:pStyle w:val="TDC2"/>
            <w:tabs>
              <w:tab w:val="right" w:leader="dot" w:pos="9034"/>
            </w:tabs>
            <w:rPr>
              <w:rFonts w:asciiTheme="minorHAnsi" w:eastAsiaTheme="minorEastAsia" w:hAnsiTheme="minorHAnsi" w:cstheme="minorBidi"/>
              <w:noProof/>
              <w:sz w:val="22"/>
              <w:szCs w:val="22"/>
              <w:lang w:eastAsia="es-MX"/>
            </w:rPr>
          </w:pPr>
          <w:hyperlink w:anchor="_Toc206081350" w:history="1">
            <w:r w:rsidRPr="006B3769">
              <w:rPr>
                <w:rStyle w:val="Hipervnculo"/>
                <w:rFonts w:ascii="Palatino Linotype" w:hAnsi="Palatino Linotype"/>
                <w:noProof/>
              </w:rPr>
              <w:t>I. Presentación de la solicitud de información</w:t>
            </w:r>
            <w:r w:rsidRPr="006B3769">
              <w:rPr>
                <w:noProof/>
                <w:webHidden/>
              </w:rPr>
              <w:tab/>
            </w:r>
            <w:r w:rsidRPr="006B3769">
              <w:rPr>
                <w:noProof/>
                <w:webHidden/>
              </w:rPr>
              <w:fldChar w:fldCharType="begin"/>
            </w:r>
            <w:r w:rsidRPr="006B3769">
              <w:rPr>
                <w:noProof/>
                <w:webHidden/>
              </w:rPr>
              <w:instrText xml:space="preserve"> PAGEREF _Toc206081350 \h </w:instrText>
            </w:r>
            <w:r w:rsidRPr="006B3769">
              <w:rPr>
                <w:noProof/>
                <w:webHidden/>
              </w:rPr>
            </w:r>
            <w:r w:rsidRPr="006B3769">
              <w:rPr>
                <w:noProof/>
                <w:webHidden/>
              </w:rPr>
              <w:fldChar w:fldCharType="separate"/>
            </w:r>
            <w:r w:rsidR="002B6AB5">
              <w:rPr>
                <w:noProof/>
                <w:webHidden/>
              </w:rPr>
              <w:t>2</w:t>
            </w:r>
            <w:r w:rsidRPr="006B3769">
              <w:rPr>
                <w:noProof/>
                <w:webHidden/>
              </w:rPr>
              <w:fldChar w:fldCharType="end"/>
            </w:r>
          </w:hyperlink>
        </w:p>
        <w:p w14:paraId="66F49775" w14:textId="6F261C78" w:rsidR="006B3769" w:rsidRPr="006B3769" w:rsidRDefault="006B3769">
          <w:pPr>
            <w:pStyle w:val="TDC2"/>
            <w:tabs>
              <w:tab w:val="right" w:leader="dot" w:pos="9034"/>
            </w:tabs>
            <w:rPr>
              <w:rFonts w:asciiTheme="minorHAnsi" w:eastAsiaTheme="minorEastAsia" w:hAnsiTheme="minorHAnsi" w:cstheme="minorBidi"/>
              <w:noProof/>
              <w:sz w:val="22"/>
              <w:szCs w:val="22"/>
              <w:lang w:eastAsia="es-MX"/>
            </w:rPr>
          </w:pPr>
          <w:hyperlink w:anchor="_Toc206081351" w:history="1">
            <w:r w:rsidRPr="006B3769">
              <w:rPr>
                <w:rStyle w:val="Hipervnculo"/>
                <w:rFonts w:ascii="Palatino Linotype" w:hAnsi="Palatino Linotype" w:cs="Tahoma"/>
                <w:noProof/>
              </w:rPr>
              <w:t>II. Respuesta del Sujeto Obligado</w:t>
            </w:r>
            <w:r w:rsidRPr="006B3769">
              <w:rPr>
                <w:noProof/>
                <w:webHidden/>
              </w:rPr>
              <w:tab/>
            </w:r>
            <w:r w:rsidRPr="006B3769">
              <w:rPr>
                <w:noProof/>
                <w:webHidden/>
              </w:rPr>
              <w:fldChar w:fldCharType="begin"/>
            </w:r>
            <w:r w:rsidRPr="006B3769">
              <w:rPr>
                <w:noProof/>
                <w:webHidden/>
              </w:rPr>
              <w:instrText xml:space="preserve"> PAGEREF _Toc206081351 \h </w:instrText>
            </w:r>
            <w:r w:rsidRPr="006B3769">
              <w:rPr>
                <w:noProof/>
                <w:webHidden/>
              </w:rPr>
            </w:r>
            <w:r w:rsidRPr="006B3769">
              <w:rPr>
                <w:noProof/>
                <w:webHidden/>
              </w:rPr>
              <w:fldChar w:fldCharType="separate"/>
            </w:r>
            <w:r w:rsidR="002B6AB5">
              <w:rPr>
                <w:noProof/>
                <w:webHidden/>
              </w:rPr>
              <w:t>2</w:t>
            </w:r>
            <w:r w:rsidRPr="006B3769">
              <w:rPr>
                <w:noProof/>
                <w:webHidden/>
              </w:rPr>
              <w:fldChar w:fldCharType="end"/>
            </w:r>
          </w:hyperlink>
        </w:p>
        <w:p w14:paraId="50634AFB" w14:textId="55B7835D" w:rsidR="006B3769" w:rsidRPr="006B3769" w:rsidRDefault="006B3769">
          <w:pPr>
            <w:pStyle w:val="TDC2"/>
            <w:tabs>
              <w:tab w:val="right" w:leader="dot" w:pos="9034"/>
            </w:tabs>
            <w:rPr>
              <w:rFonts w:asciiTheme="minorHAnsi" w:eastAsiaTheme="minorEastAsia" w:hAnsiTheme="minorHAnsi" w:cstheme="minorBidi"/>
              <w:noProof/>
              <w:sz w:val="22"/>
              <w:szCs w:val="22"/>
              <w:lang w:eastAsia="es-MX"/>
            </w:rPr>
          </w:pPr>
          <w:hyperlink w:anchor="_Toc206081352" w:history="1">
            <w:r w:rsidRPr="006B3769">
              <w:rPr>
                <w:rStyle w:val="Hipervnculo"/>
                <w:rFonts w:ascii="Palatino Linotype" w:hAnsi="Palatino Linotype" w:cs="Tahoma"/>
                <w:noProof/>
              </w:rPr>
              <w:t>III. Interposición del Recurso de Revisión</w:t>
            </w:r>
            <w:r w:rsidRPr="006B3769">
              <w:rPr>
                <w:noProof/>
                <w:webHidden/>
              </w:rPr>
              <w:tab/>
            </w:r>
            <w:r w:rsidRPr="006B3769">
              <w:rPr>
                <w:noProof/>
                <w:webHidden/>
              </w:rPr>
              <w:fldChar w:fldCharType="begin"/>
            </w:r>
            <w:r w:rsidRPr="006B3769">
              <w:rPr>
                <w:noProof/>
                <w:webHidden/>
              </w:rPr>
              <w:instrText xml:space="preserve"> PAGEREF _Toc206081352 \h </w:instrText>
            </w:r>
            <w:r w:rsidRPr="006B3769">
              <w:rPr>
                <w:noProof/>
                <w:webHidden/>
              </w:rPr>
            </w:r>
            <w:r w:rsidRPr="006B3769">
              <w:rPr>
                <w:noProof/>
                <w:webHidden/>
              </w:rPr>
              <w:fldChar w:fldCharType="separate"/>
            </w:r>
            <w:r w:rsidR="002B6AB5">
              <w:rPr>
                <w:noProof/>
                <w:webHidden/>
              </w:rPr>
              <w:t>4</w:t>
            </w:r>
            <w:r w:rsidRPr="006B3769">
              <w:rPr>
                <w:noProof/>
                <w:webHidden/>
              </w:rPr>
              <w:fldChar w:fldCharType="end"/>
            </w:r>
          </w:hyperlink>
        </w:p>
        <w:p w14:paraId="0C40531B" w14:textId="72439A26" w:rsidR="006B3769" w:rsidRPr="006B3769" w:rsidRDefault="006B3769">
          <w:pPr>
            <w:pStyle w:val="TDC2"/>
            <w:tabs>
              <w:tab w:val="right" w:leader="dot" w:pos="9034"/>
            </w:tabs>
            <w:rPr>
              <w:rFonts w:asciiTheme="minorHAnsi" w:eastAsiaTheme="minorEastAsia" w:hAnsiTheme="minorHAnsi" w:cstheme="minorBidi"/>
              <w:noProof/>
              <w:sz w:val="22"/>
              <w:szCs w:val="22"/>
              <w:lang w:eastAsia="es-MX"/>
            </w:rPr>
          </w:pPr>
          <w:hyperlink w:anchor="_Toc206081353" w:history="1">
            <w:r w:rsidRPr="006B3769">
              <w:rPr>
                <w:rStyle w:val="Hipervnculo"/>
                <w:rFonts w:ascii="Palatino Linotype" w:hAnsi="Palatino Linotype"/>
                <w:noProof/>
              </w:rPr>
              <w:t>IV. Trámite del Recurso de Revisión ante el Instituto</w:t>
            </w:r>
            <w:r w:rsidRPr="006B3769">
              <w:rPr>
                <w:noProof/>
                <w:webHidden/>
              </w:rPr>
              <w:tab/>
            </w:r>
            <w:r w:rsidRPr="006B3769">
              <w:rPr>
                <w:noProof/>
                <w:webHidden/>
              </w:rPr>
              <w:fldChar w:fldCharType="begin"/>
            </w:r>
            <w:r w:rsidRPr="006B3769">
              <w:rPr>
                <w:noProof/>
                <w:webHidden/>
              </w:rPr>
              <w:instrText xml:space="preserve"> PAGEREF _Toc206081353 \h </w:instrText>
            </w:r>
            <w:r w:rsidRPr="006B3769">
              <w:rPr>
                <w:noProof/>
                <w:webHidden/>
              </w:rPr>
            </w:r>
            <w:r w:rsidRPr="006B3769">
              <w:rPr>
                <w:noProof/>
                <w:webHidden/>
              </w:rPr>
              <w:fldChar w:fldCharType="separate"/>
            </w:r>
            <w:r w:rsidR="002B6AB5">
              <w:rPr>
                <w:noProof/>
                <w:webHidden/>
              </w:rPr>
              <w:t>4</w:t>
            </w:r>
            <w:r w:rsidRPr="006B3769">
              <w:rPr>
                <w:noProof/>
                <w:webHidden/>
              </w:rPr>
              <w:fldChar w:fldCharType="end"/>
            </w:r>
          </w:hyperlink>
        </w:p>
        <w:p w14:paraId="1AC0F712" w14:textId="3C8B382A" w:rsidR="006B3769" w:rsidRPr="006B3769" w:rsidRDefault="006B3769">
          <w:pPr>
            <w:pStyle w:val="TDC3"/>
            <w:tabs>
              <w:tab w:val="right" w:leader="dot" w:pos="9034"/>
            </w:tabs>
            <w:rPr>
              <w:rFonts w:asciiTheme="minorHAnsi" w:eastAsiaTheme="minorEastAsia" w:hAnsiTheme="minorHAnsi" w:cstheme="minorBidi"/>
              <w:noProof/>
              <w:sz w:val="22"/>
              <w:szCs w:val="22"/>
              <w:lang w:eastAsia="es-MX"/>
            </w:rPr>
          </w:pPr>
          <w:hyperlink w:anchor="_Toc206081354" w:history="1">
            <w:r w:rsidRPr="006B3769">
              <w:rPr>
                <w:rStyle w:val="Hipervnculo"/>
                <w:rFonts w:ascii="Palatino Linotype" w:hAnsi="Palatino Linotype"/>
                <w:noProof/>
              </w:rPr>
              <w:t>a) Turno del Recurso de Revisión.</w:t>
            </w:r>
            <w:r w:rsidRPr="006B3769">
              <w:rPr>
                <w:noProof/>
                <w:webHidden/>
              </w:rPr>
              <w:tab/>
            </w:r>
            <w:r w:rsidRPr="006B3769">
              <w:rPr>
                <w:noProof/>
                <w:webHidden/>
              </w:rPr>
              <w:fldChar w:fldCharType="begin"/>
            </w:r>
            <w:r w:rsidRPr="006B3769">
              <w:rPr>
                <w:noProof/>
                <w:webHidden/>
              </w:rPr>
              <w:instrText xml:space="preserve"> PAGEREF _Toc206081354 \h </w:instrText>
            </w:r>
            <w:r w:rsidRPr="006B3769">
              <w:rPr>
                <w:noProof/>
                <w:webHidden/>
              </w:rPr>
            </w:r>
            <w:r w:rsidRPr="006B3769">
              <w:rPr>
                <w:noProof/>
                <w:webHidden/>
              </w:rPr>
              <w:fldChar w:fldCharType="separate"/>
            </w:r>
            <w:r w:rsidR="002B6AB5">
              <w:rPr>
                <w:noProof/>
                <w:webHidden/>
              </w:rPr>
              <w:t>4</w:t>
            </w:r>
            <w:r w:rsidRPr="006B3769">
              <w:rPr>
                <w:noProof/>
                <w:webHidden/>
              </w:rPr>
              <w:fldChar w:fldCharType="end"/>
            </w:r>
          </w:hyperlink>
        </w:p>
        <w:p w14:paraId="77D33338" w14:textId="6191A09B" w:rsidR="006B3769" w:rsidRPr="006B3769" w:rsidRDefault="006B3769">
          <w:pPr>
            <w:pStyle w:val="TDC3"/>
            <w:tabs>
              <w:tab w:val="right" w:leader="dot" w:pos="9034"/>
            </w:tabs>
            <w:rPr>
              <w:rFonts w:asciiTheme="minorHAnsi" w:eastAsiaTheme="minorEastAsia" w:hAnsiTheme="minorHAnsi" w:cstheme="minorBidi"/>
              <w:noProof/>
              <w:sz w:val="22"/>
              <w:szCs w:val="22"/>
              <w:lang w:eastAsia="es-MX"/>
            </w:rPr>
          </w:pPr>
          <w:hyperlink w:anchor="_Toc206081355" w:history="1">
            <w:r w:rsidRPr="006B3769">
              <w:rPr>
                <w:rStyle w:val="Hipervnculo"/>
                <w:rFonts w:ascii="Palatino Linotype" w:hAnsi="Palatino Linotype"/>
                <w:noProof/>
              </w:rPr>
              <w:t>b) Admisión del Recurso de Revisión.</w:t>
            </w:r>
            <w:r w:rsidRPr="006B3769">
              <w:rPr>
                <w:noProof/>
                <w:webHidden/>
              </w:rPr>
              <w:tab/>
            </w:r>
            <w:r w:rsidRPr="006B3769">
              <w:rPr>
                <w:noProof/>
                <w:webHidden/>
              </w:rPr>
              <w:fldChar w:fldCharType="begin"/>
            </w:r>
            <w:r w:rsidRPr="006B3769">
              <w:rPr>
                <w:noProof/>
                <w:webHidden/>
              </w:rPr>
              <w:instrText xml:space="preserve"> PAGEREF _Toc206081355 \h </w:instrText>
            </w:r>
            <w:r w:rsidRPr="006B3769">
              <w:rPr>
                <w:noProof/>
                <w:webHidden/>
              </w:rPr>
            </w:r>
            <w:r w:rsidRPr="006B3769">
              <w:rPr>
                <w:noProof/>
                <w:webHidden/>
              </w:rPr>
              <w:fldChar w:fldCharType="separate"/>
            </w:r>
            <w:r w:rsidR="002B6AB5">
              <w:rPr>
                <w:noProof/>
                <w:webHidden/>
              </w:rPr>
              <w:t>4</w:t>
            </w:r>
            <w:r w:rsidRPr="006B3769">
              <w:rPr>
                <w:noProof/>
                <w:webHidden/>
              </w:rPr>
              <w:fldChar w:fldCharType="end"/>
            </w:r>
          </w:hyperlink>
        </w:p>
        <w:p w14:paraId="7C60E8B2" w14:textId="54879A57" w:rsidR="006B3769" w:rsidRPr="006B3769" w:rsidRDefault="006B3769">
          <w:pPr>
            <w:pStyle w:val="TDC3"/>
            <w:tabs>
              <w:tab w:val="right" w:leader="dot" w:pos="9034"/>
            </w:tabs>
            <w:rPr>
              <w:rFonts w:asciiTheme="minorHAnsi" w:eastAsiaTheme="minorEastAsia" w:hAnsiTheme="minorHAnsi" w:cstheme="minorBidi"/>
              <w:noProof/>
              <w:sz w:val="22"/>
              <w:szCs w:val="22"/>
              <w:lang w:eastAsia="es-MX"/>
            </w:rPr>
          </w:pPr>
          <w:hyperlink w:anchor="_Toc206081356" w:history="1">
            <w:r w:rsidRPr="006B3769">
              <w:rPr>
                <w:rStyle w:val="Hipervnculo"/>
                <w:rFonts w:ascii="Palatino Linotype" w:hAnsi="Palatino Linotype"/>
                <w:noProof/>
              </w:rPr>
              <w:t>c) Informe Justificado.</w:t>
            </w:r>
            <w:r w:rsidRPr="006B3769">
              <w:rPr>
                <w:noProof/>
                <w:webHidden/>
              </w:rPr>
              <w:tab/>
            </w:r>
            <w:r w:rsidRPr="006B3769">
              <w:rPr>
                <w:noProof/>
                <w:webHidden/>
              </w:rPr>
              <w:fldChar w:fldCharType="begin"/>
            </w:r>
            <w:r w:rsidRPr="006B3769">
              <w:rPr>
                <w:noProof/>
                <w:webHidden/>
              </w:rPr>
              <w:instrText xml:space="preserve"> PAGEREF _Toc206081356 \h </w:instrText>
            </w:r>
            <w:r w:rsidRPr="006B3769">
              <w:rPr>
                <w:noProof/>
                <w:webHidden/>
              </w:rPr>
            </w:r>
            <w:r w:rsidRPr="006B3769">
              <w:rPr>
                <w:noProof/>
                <w:webHidden/>
              </w:rPr>
              <w:fldChar w:fldCharType="separate"/>
            </w:r>
            <w:r w:rsidR="002B6AB5">
              <w:rPr>
                <w:noProof/>
                <w:webHidden/>
              </w:rPr>
              <w:t>5</w:t>
            </w:r>
            <w:r w:rsidRPr="006B3769">
              <w:rPr>
                <w:noProof/>
                <w:webHidden/>
              </w:rPr>
              <w:fldChar w:fldCharType="end"/>
            </w:r>
          </w:hyperlink>
        </w:p>
        <w:p w14:paraId="2CCBF086" w14:textId="2F3E471C" w:rsidR="006B3769" w:rsidRPr="006B3769" w:rsidRDefault="006B3769">
          <w:pPr>
            <w:pStyle w:val="TDC3"/>
            <w:tabs>
              <w:tab w:val="right" w:leader="dot" w:pos="9034"/>
            </w:tabs>
            <w:rPr>
              <w:rFonts w:asciiTheme="minorHAnsi" w:eastAsiaTheme="minorEastAsia" w:hAnsiTheme="minorHAnsi" w:cstheme="minorBidi"/>
              <w:noProof/>
              <w:sz w:val="22"/>
              <w:szCs w:val="22"/>
              <w:lang w:eastAsia="es-MX"/>
            </w:rPr>
          </w:pPr>
          <w:hyperlink w:anchor="_Toc206081357" w:history="1">
            <w:r w:rsidRPr="006B3769">
              <w:rPr>
                <w:rStyle w:val="Hipervnculo"/>
                <w:rFonts w:ascii="Palatino Linotype" w:hAnsi="Palatino Linotype"/>
                <w:noProof/>
              </w:rPr>
              <w:t>d). Vista del Informe Justificado.</w:t>
            </w:r>
            <w:r w:rsidRPr="006B3769">
              <w:rPr>
                <w:noProof/>
                <w:webHidden/>
              </w:rPr>
              <w:tab/>
            </w:r>
            <w:r w:rsidRPr="006B3769">
              <w:rPr>
                <w:noProof/>
                <w:webHidden/>
              </w:rPr>
              <w:fldChar w:fldCharType="begin"/>
            </w:r>
            <w:r w:rsidRPr="006B3769">
              <w:rPr>
                <w:noProof/>
                <w:webHidden/>
              </w:rPr>
              <w:instrText xml:space="preserve"> PAGEREF _Toc206081357 \h </w:instrText>
            </w:r>
            <w:r w:rsidRPr="006B3769">
              <w:rPr>
                <w:noProof/>
                <w:webHidden/>
              </w:rPr>
            </w:r>
            <w:r w:rsidRPr="006B3769">
              <w:rPr>
                <w:noProof/>
                <w:webHidden/>
              </w:rPr>
              <w:fldChar w:fldCharType="separate"/>
            </w:r>
            <w:r w:rsidR="002B6AB5">
              <w:rPr>
                <w:noProof/>
                <w:webHidden/>
              </w:rPr>
              <w:t>5</w:t>
            </w:r>
            <w:r w:rsidRPr="006B3769">
              <w:rPr>
                <w:noProof/>
                <w:webHidden/>
              </w:rPr>
              <w:fldChar w:fldCharType="end"/>
            </w:r>
          </w:hyperlink>
        </w:p>
        <w:p w14:paraId="26D701E6" w14:textId="01073A68" w:rsidR="006B3769" w:rsidRPr="006B3769" w:rsidRDefault="006B3769">
          <w:pPr>
            <w:pStyle w:val="TDC3"/>
            <w:tabs>
              <w:tab w:val="right" w:leader="dot" w:pos="9034"/>
            </w:tabs>
            <w:rPr>
              <w:rFonts w:asciiTheme="minorHAnsi" w:eastAsiaTheme="minorEastAsia" w:hAnsiTheme="minorHAnsi" w:cstheme="minorBidi"/>
              <w:noProof/>
              <w:sz w:val="22"/>
              <w:szCs w:val="22"/>
              <w:lang w:eastAsia="es-MX"/>
            </w:rPr>
          </w:pPr>
          <w:hyperlink w:anchor="_Toc206081358" w:history="1">
            <w:r w:rsidRPr="006B3769">
              <w:rPr>
                <w:rStyle w:val="Hipervnculo"/>
                <w:rFonts w:ascii="Palatino Linotype" w:hAnsi="Palatino Linotype"/>
                <w:noProof/>
              </w:rPr>
              <w:t>e). Cierre de instrucción</w:t>
            </w:r>
            <w:r w:rsidRPr="006B3769">
              <w:rPr>
                <w:noProof/>
                <w:webHidden/>
              </w:rPr>
              <w:tab/>
            </w:r>
            <w:r w:rsidRPr="006B3769">
              <w:rPr>
                <w:noProof/>
                <w:webHidden/>
              </w:rPr>
              <w:fldChar w:fldCharType="begin"/>
            </w:r>
            <w:r w:rsidRPr="006B3769">
              <w:rPr>
                <w:noProof/>
                <w:webHidden/>
              </w:rPr>
              <w:instrText xml:space="preserve"> PAGEREF _Toc206081358 \h </w:instrText>
            </w:r>
            <w:r w:rsidRPr="006B3769">
              <w:rPr>
                <w:noProof/>
                <w:webHidden/>
              </w:rPr>
            </w:r>
            <w:r w:rsidRPr="006B3769">
              <w:rPr>
                <w:noProof/>
                <w:webHidden/>
              </w:rPr>
              <w:fldChar w:fldCharType="separate"/>
            </w:r>
            <w:r w:rsidR="002B6AB5">
              <w:rPr>
                <w:noProof/>
                <w:webHidden/>
              </w:rPr>
              <w:t>5</w:t>
            </w:r>
            <w:r w:rsidRPr="006B3769">
              <w:rPr>
                <w:noProof/>
                <w:webHidden/>
              </w:rPr>
              <w:fldChar w:fldCharType="end"/>
            </w:r>
          </w:hyperlink>
        </w:p>
        <w:p w14:paraId="21709765" w14:textId="125E53E4" w:rsidR="006B3769" w:rsidRPr="006B3769" w:rsidRDefault="006B3769">
          <w:pPr>
            <w:pStyle w:val="TDC1"/>
            <w:tabs>
              <w:tab w:val="right" w:leader="dot" w:pos="9034"/>
            </w:tabs>
            <w:rPr>
              <w:rFonts w:asciiTheme="minorHAnsi" w:eastAsiaTheme="minorEastAsia" w:hAnsiTheme="minorHAnsi" w:cstheme="minorBidi"/>
              <w:noProof/>
              <w:sz w:val="22"/>
              <w:szCs w:val="22"/>
              <w:lang w:eastAsia="es-MX"/>
            </w:rPr>
          </w:pPr>
          <w:hyperlink w:anchor="_Toc206081359" w:history="1">
            <w:r w:rsidRPr="006B3769">
              <w:rPr>
                <w:rStyle w:val="Hipervnculo"/>
                <w:rFonts w:ascii="Palatino Linotype" w:hAnsi="Palatino Linotype"/>
                <w:noProof/>
              </w:rPr>
              <w:t>C O N S I D E R A N D O S</w:t>
            </w:r>
            <w:r w:rsidRPr="006B3769">
              <w:rPr>
                <w:noProof/>
                <w:webHidden/>
              </w:rPr>
              <w:tab/>
            </w:r>
            <w:r w:rsidRPr="006B3769">
              <w:rPr>
                <w:noProof/>
                <w:webHidden/>
              </w:rPr>
              <w:fldChar w:fldCharType="begin"/>
            </w:r>
            <w:r w:rsidRPr="006B3769">
              <w:rPr>
                <w:noProof/>
                <w:webHidden/>
              </w:rPr>
              <w:instrText xml:space="preserve"> PAGEREF _Toc206081359 \h </w:instrText>
            </w:r>
            <w:r w:rsidRPr="006B3769">
              <w:rPr>
                <w:noProof/>
                <w:webHidden/>
              </w:rPr>
            </w:r>
            <w:r w:rsidRPr="006B3769">
              <w:rPr>
                <w:noProof/>
                <w:webHidden/>
              </w:rPr>
              <w:fldChar w:fldCharType="separate"/>
            </w:r>
            <w:r w:rsidR="002B6AB5">
              <w:rPr>
                <w:noProof/>
                <w:webHidden/>
              </w:rPr>
              <w:t>6</w:t>
            </w:r>
            <w:r w:rsidRPr="006B3769">
              <w:rPr>
                <w:noProof/>
                <w:webHidden/>
              </w:rPr>
              <w:fldChar w:fldCharType="end"/>
            </w:r>
          </w:hyperlink>
        </w:p>
        <w:p w14:paraId="776CB210" w14:textId="6B4EE7B6" w:rsidR="006B3769" w:rsidRPr="006B3769" w:rsidRDefault="006B3769">
          <w:pPr>
            <w:pStyle w:val="TDC2"/>
            <w:tabs>
              <w:tab w:val="right" w:leader="dot" w:pos="9034"/>
            </w:tabs>
            <w:rPr>
              <w:rFonts w:asciiTheme="minorHAnsi" w:eastAsiaTheme="minorEastAsia" w:hAnsiTheme="minorHAnsi" w:cstheme="minorBidi"/>
              <w:noProof/>
              <w:sz w:val="22"/>
              <w:szCs w:val="22"/>
              <w:lang w:eastAsia="es-MX"/>
            </w:rPr>
          </w:pPr>
          <w:hyperlink w:anchor="_Toc206081360" w:history="1">
            <w:r w:rsidRPr="006B3769">
              <w:rPr>
                <w:rStyle w:val="Hipervnculo"/>
                <w:rFonts w:ascii="Palatino Linotype" w:eastAsia="Calibri" w:hAnsi="Palatino Linotype"/>
                <w:noProof/>
                <w:lang w:eastAsia="es-MX"/>
              </w:rPr>
              <w:t xml:space="preserve">PRIMERO. </w:t>
            </w:r>
            <w:r w:rsidRPr="006B3769">
              <w:rPr>
                <w:rStyle w:val="Hipervnculo"/>
                <w:rFonts w:ascii="Palatino Linotype" w:hAnsi="Palatino Linotype"/>
                <w:noProof/>
              </w:rPr>
              <w:t>Competencia</w:t>
            </w:r>
            <w:r w:rsidRPr="006B3769">
              <w:rPr>
                <w:noProof/>
                <w:webHidden/>
              </w:rPr>
              <w:tab/>
            </w:r>
            <w:r w:rsidRPr="006B3769">
              <w:rPr>
                <w:noProof/>
                <w:webHidden/>
              </w:rPr>
              <w:fldChar w:fldCharType="begin"/>
            </w:r>
            <w:r w:rsidRPr="006B3769">
              <w:rPr>
                <w:noProof/>
                <w:webHidden/>
              </w:rPr>
              <w:instrText xml:space="preserve"> PAGEREF _Toc206081360 \h </w:instrText>
            </w:r>
            <w:r w:rsidRPr="006B3769">
              <w:rPr>
                <w:noProof/>
                <w:webHidden/>
              </w:rPr>
            </w:r>
            <w:r w:rsidRPr="006B3769">
              <w:rPr>
                <w:noProof/>
                <w:webHidden/>
              </w:rPr>
              <w:fldChar w:fldCharType="separate"/>
            </w:r>
            <w:r w:rsidR="002B6AB5">
              <w:rPr>
                <w:noProof/>
                <w:webHidden/>
              </w:rPr>
              <w:t>6</w:t>
            </w:r>
            <w:r w:rsidRPr="006B3769">
              <w:rPr>
                <w:noProof/>
                <w:webHidden/>
              </w:rPr>
              <w:fldChar w:fldCharType="end"/>
            </w:r>
          </w:hyperlink>
        </w:p>
        <w:p w14:paraId="1FF80EBE" w14:textId="4C6C363E" w:rsidR="006B3769" w:rsidRPr="006B3769" w:rsidRDefault="006B3769">
          <w:pPr>
            <w:pStyle w:val="TDC1"/>
            <w:tabs>
              <w:tab w:val="right" w:leader="dot" w:pos="9034"/>
            </w:tabs>
            <w:rPr>
              <w:rFonts w:asciiTheme="minorHAnsi" w:eastAsiaTheme="minorEastAsia" w:hAnsiTheme="minorHAnsi" w:cstheme="minorBidi"/>
              <w:noProof/>
              <w:sz w:val="22"/>
              <w:szCs w:val="22"/>
              <w:lang w:eastAsia="es-MX"/>
            </w:rPr>
          </w:pPr>
          <w:hyperlink w:anchor="_Toc206081361" w:history="1">
            <w:r w:rsidRPr="006B3769">
              <w:rPr>
                <w:rStyle w:val="Hipervnculo"/>
                <w:rFonts w:ascii="Palatino Linotype" w:eastAsia="Calibri" w:hAnsi="Palatino Linotype"/>
                <w:noProof/>
                <w:lang w:val="es-ES" w:eastAsia="es-MX"/>
              </w:rPr>
              <w:t>SEGUNDO. Causales de improcedencia</w:t>
            </w:r>
            <w:r w:rsidRPr="006B3769">
              <w:rPr>
                <w:noProof/>
                <w:webHidden/>
              </w:rPr>
              <w:tab/>
            </w:r>
            <w:r w:rsidRPr="006B3769">
              <w:rPr>
                <w:noProof/>
                <w:webHidden/>
              </w:rPr>
              <w:fldChar w:fldCharType="begin"/>
            </w:r>
            <w:r w:rsidRPr="006B3769">
              <w:rPr>
                <w:noProof/>
                <w:webHidden/>
              </w:rPr>
              <w:instrText xml:space="preserve"> PAGEREF _Toc206081361 \h </w:instrText>
            </w:r>
            <w:r w:rsidRPr="006B3769">
              <w:rPr>
                <w:noProof/>
                <w:webHidden/>
              </w:rPr>
            </w:r>
            <w:r w:rsidRPr="006B3769">
              <w:rPr>
                <w:noProof/>
                <w:webHidden/>
              </w:rPr>
              <w:fldChar w:fldCharType="separate"/>
            </w:r>
            <w:r w:rsidR="002B6AB5">
              <w:rPr>
                <w:noProof/>
                <w:webHidden/>
              </w:rPr>
              <w:t>6</w:t>
            </w:r>
            <w:r w:rsidRPr="006B3769">
              <w:rPr>
                <w:noProof/>
                <w:webHidden/>
              </w:rPr>
              <w:fldChar w:fldCharType="end"/>
            </w:r>
          </w:hyperlink>
        </w:p>
        <w:p w14:paraId="0A5A5D7A" w14:textId="6D857699" w:rsidR="006B3769" w:rsidRPr="006B3769" w:rsidRDefault="006B3769">
          <w:pPr>
            <w:pStyle w:val="TDC1"/>
            <w:tabs>
              <w:tab w:val="right" w:leader="dot" w:pos="9034"/>
            </w:tabs>
            <w:rPr>
              <w:rFonts w:asciiTheme="minorHAnsi" w:eastAsiaTheme="minorEastAsia" w:hAnsiTheme="minorHAnsi" w:cstheme="minorBidi"/>
              <w:noProof/>
              <w:sz w:val="22"/>
              <w:szCs w:val="22"/>
              <w:lang w:eastAsia="es-MX"/>
            </w:rPr>
          </w:pPr>
          <w:hyperlink w:anchor="_Toc206081362" w:history="1">
            <w:r w:rsidRPr="006B3769">
              <w:rPr>
                <w:rStyle w:val="Hipervnculo"/>
                <w:rFonts w:ascii="Palatino Linotype" w:eastAsiaTheme="majorEastAsia" w:hAnsi="Palatino Linotype" w:cstheme="majorBidi"/>
                <w:noProof/>
              </w:rPr>
              <w:t>TERCERO. Causales de sobreseimiento</w:t>
            </w:r>
            <w:r w:rsidRPr="006B3769">
              <w:rPr>
                <w:noProof/>
                <w:webHidden/>
              </w:rPr>
              <w:tab/>
            </w:r>
            <w:r w:rsidRPr="006B3769">
              <w:rPr>
                <w:noProof/>
                <w:webHidden/>
              </w:rPr>
              <w:fldChar w:fldCharType="begin"/>
            </w:r>
            <w:r w:rsidRPr="006B3769">
              <w:rPr>
                <w:noProof/>
                <w:webHidden/>
              </w:rPr>
              <w:instrText xml:space="preserve"> PAGEREF _Toc206081362 \h </w:instrText>
            </w:r>
            <w:r w:rsidRPr="006B3769">
              <w:rPr>
                <w:noProof/>
                <w:webHidden/>
              </w:rPr>
            </w:r>
            <w:r w:rsidRPr="006B3769">
              <w:rPr>
                <w:noProof/>
                <w:webHidden/>
              </w:rPr>
              <w:fldChar w:fldCharType="separate"/>
            </w:r>
            <w:r w:rsidR="002B6AB5">
              <w:rPr>
                <w:noProof/>
                <w:webHidden/>
              </w:rPr>
              <w:t>7</w:t>
            </w:r>
            <w:r w:rsidRPr="006B3769">
              <w:rPr>
                <w:noProof/>
                <w:webHidden/>
              </w:rPr>
              <w:fldChar w:fldCharType="end"/>
            </w:r>
          </w:hyperlink>
        </w:p>
        <w:p w14:paraId="47C0CB9D" w14:textId="58B5D926" w:rsidR="006B3769" w:rsidRPr="006B3769" w:rsidRDefault="006B3769">
          <w:pPr>
            <w:pStyle w:val="TDC1"/>
            <w:tabs>
              <w:tab w:val="right" w:leader="dot" w:pos="9034"/>
            </w:tabs>
            <w:rPr>
              <w:rFonts w:asciiTheme="minorHAnsi" w:eastAsiaTheme="minorEastAsia" w:hAnsiTheme="minorHAnsi" w:cstheme="minorBidi"/>
              <w:noProof/>
              <w:sz w:val="22"/>
              <w:szCs w:val="22"/>
              <w:lang w:eastAsia="es-MX"/>
            </w:rPr>
          </w:pPr>
          <w:hyperlink w:anchor="_Toc206081363" w:history="1">
            <w:r w:rsidRPr="006B3769">
              <w:rPr>
                <w:rStyle w:val="Hipervnculo"/>
                <w:rFonts w:ascii="Palatino Linotype" w:hAnsi="Palatino Linotype"/>
                <w:noProof/>
                <w:lang w:val="es-ES"/>
              </w:rPr>
              <w:t>CUARTO. Decisión</w:t>
            </w:r>
            <w:r w:rsidRPr="006B3769">
              <w:rPr>
                <w:noProof/>
                <w:webHidden/>
              </w:rPr>
              <w:tab/>
            </w:r>
            <w:r w:rsidRPr="006B3769">
              <w:rPr>
                <w:noProof/>
                <w:webHidden/>
              </w:rPr>
              <w:fldChar w:fldCharType="begin"/>
            </w:r>
            <w:r w:rsidRPr="006B3769">
              <w:rPr>
                <w:noProof/>
                <w:webHidden/>
              </w:rPr>
              <w:instrText xml:space="preserve"> PAGEREF _Toc206081363 \h </w:instrText>
            </w:r>
            <w:r w:rsidRPr="006B3769">
              <w:rPr>
                <w:noProof/>
                <w:webHidden/>
              </w:rPr>
            </w:r>
            <w:r w:rsidRPr="006B3769">
              <w:rPr>
                <w:noProof/>
                <w:webHidden/>
              </w:rPr>
              <w:fldChar w:fldCharType="separate"/>
            </w:r>
            <w:r w:rsidR="002B6AB5">
              <w:rPr>
                <w:noProof/>
                <w:webHidden/>
              </w:rPr>
              <w:t>11</w:t>
            </w:r>
            <w:r w:rsidRPr="006B3769">
              <w:rPr>
                <w:noProof/>
                <w:webHidden/>
              </w:rPr>
              <w:fldChar w:fldCharType="end"/>
            </w:r>
          </w:hyperlink>
        </w:p>
        <w:p w14:paraId="4A502C03" w14:textId="03A26789" w:rsidR="006B3769" w:rsidRPr="006B3769" w:rsidRDefault="006B3769">
          <w:pPr>
            <w:pStyle w:val="TDC1"/>
            <w:tabs>
              <w:tab w:val="right" w:leader="dot" w:pos="9034"/>
            </w:tabs>
            <w:rPr>
              <w:rFonts w:asciiTheme="minorHAnsi" w:eastAsiaTheme="minorEastAsia" w:hAnsiTheme="minorHAnsi" w:cstheme="minorBidi"/>
              <w:noProof/>
              <w:sz w:val="22"/>
              <w:szCs w:val="22"/>
              <w:lang w:eastAsia="es-MX"/>
            </w:rPr>
          </w:pPr>
          <w:hyperlink w:anchor="_Toc206081364" w:history="1">
            <w:r w:rsidRPr="006B3769">
              <w:rPr>
                <w:rStyle w:val="Hipervnculo"/>
                <w:rFonts w:ascii="Palatino Linotype" w:eastAsia="Calibri" w:hAnsi="Palatino Linotype"/>
                <w:bCs/>
                <w:noProof/>
                <w:lang w:eastAsia="en-US"/>
              </w:rPr>
              <w:t>R E S U E L V E</w:t>
            </w:r>
            <w:r w:rsidRPr="006B3769">
              <w:rPr>
                <w:noProof/>
                <w:webHidden/>
              </w:rPr>
              <w:tab/>
            </w:r>
            <w:r w:rsidRPr="006B3769">
              <w:rPr>
                <w:noProof/>
                <w:webHidden/>
              </w:rPr>
              <w:fldChar w:fldCharType="begin"/>
            </w:r>
            <w:r w:rsidRPr="006B3769">
              <w:rPr>
                <w:noProof/>
                <w:webHidden/>
              </w:rPr>
              <w:instrText xml:space="preserve"> PAGEREF _Toc206081364 \h </w:instrText>
            </w:r>
            <w:r w:rsidRPr="006B3769">
              <w:rPr>
                <w:noProof/>
                <w:webHidden/>
              </w:rPr>
            </w:r>
            <w:r w:rsidRPr="006B3769">
              <w:rPr>
                <w:noProof/>
                <w:webHidden/>
              </w:rPr>
              <w:fldChar w:fldCharType="separate"/>
            </w:r>
            <w:r w:rsidR="002B6AB5">
              <w:rPr>
                <w:noProof/>
                <w:webHidden/>
              </w:rPr>
              <w:t>11</w:t>
            </w:r>
            <w:r w:rsidRPr="006B3769">
              <w:rPr>
                <w:noProof/>
                <w:webHidden/>
              </w:rPr>
              <w:fldChar w:fldCharType="end"/>
            </w:r>
          </w:hyperlink>
        </w:p>
        <w:p w14:paraId="41B8F267" w14:textId="31F5507E" w:rsidR="00342378" w:rsidRPr="00FB571A" w:rsidRDefault="00342378">
          <w:r w:rsidRPr="006B3769">
            <w:rPr>
              <w:rFonts w:ascii="Palatino Linotype" w:hAnsi="Palatino Linotype"/>
              <w:bCs/>
              <w:sz w:val="22"/>
              <w:szCs w:val="22"/>
              <w:lang w:val="es-ES"/>
            </w:rPr>
            <w:fldChar w:fldCharType="end"/>
          </w:r>
        </w:p>
      </w:sdtContent>
    </w:sdt>
    <w:p w14:paraId="6F383C78"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5B74CCBD" w14:textId="77777777" w:rsidR="00501E1B" w:rsidRPr="00FB571A" w:rsidRDefault="00501E1B" w:rsidP="006B0B50">
      <w:pPr>
        <w:tabs>
          <w:tab w:val="left" w:pos="3969"/>
        </w:tabs>
        <w:spacing w:line="360" w:lineRule="auto"/>
        <w:contextualSpacing/>
        <w:jc w:val="both"/>
        <w:rPr>
          <w:rFonts w:ascii="Palatino Linotype" w:hAnsi="Palatino Linotype" w:cs="Tahoma"/>
          <w:bCs/>
          <w:sz w:val="22"/>
          <w:szCs w:val="22"/>
        </w:rPr>
      </w:pPr>
    </w:p>
    <w:p w14:paraId="2ADF6652"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576534B3"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60A399DB" w14:textId="2BDFEB8A"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485BE82C" w14:textId="08E6AE10" w:rsidR="00145D48" w:rsidRDefault="00145D48" w:rsidP="006B0B50">
      <w:pPr>
        <w:tabs>
          <w:tab w:val="left" w:pos="3969"/>
        </w:tabs>
        <w:spacing w:line="360" w:lineRule="auto"/>
        <w:contextualSpacing/>
        <w:jc w:val="both"/>
        <w:rPr>
          <w:rFonts w:ascii="Palatino Linotype" w:hAnsi="Palatino Linotype" w:cs="Tahoma"/>
          <w:bCs/>
          <w:sz w:val="22"/>
          <w:szCs w:val="22"/>
        </w:rPr>
      </w:pPr>
    </w:p>
    <w:p w14:paraId="14B059A2" w14:textId="4C6B49B5" w:rsidR="00145D48" w:rsidRDefault="00145D48" w:rsidP="006B0B50">
      <w:pPr>
        <w:tabs>
          <w:tab w:val="left" w:pos="3969"/>
        </w:tabs>
        <w:spacing w:line="360" w:lineRule="auto"/>
        <w:contextualSpacing/>
        <w:jc w:val="both"/>
        <w:rPr>
          <w:rFonts w:ascii="Palatino Linotype" w:hAnsi="Palatino Linotype" w:cs="Tahoma"/>
          <w:bCs/>
          <w:sz w:val="22"/>
          <w:szCs w:val="22"/>
        </w:rPr>
      </w:pPr>
    </w:p>
    <w:p w14:paraId="4AF784E3" w14:textId="14B1D408" w:rsidR="00145D48" w:rsidRDefault="00145D48" w:rsidP="006B0B50">
      <w:pPr>
        <w:tabs>
          <w:tab w:val="left" w:pos="3969"/>
        </w:tabs>
        <w:spacing w:line="360" w:lineRule="auto"/>
        <w:contextualSpacing/>
        <w:jc w:val="both"/>
        <w:rPr>
          <w:rFonts w:ascii="Palatino Linotype" w:hAnsi="Palatino Linotype" w:cs="Tahoma"/>
          <w:bCs/>
          <w:sz w:val="22"/>
          <w:szCs w:val="22"/>
        </w:rPr>
      </w:pPr>
    </w:p>
    <w:p w14:paraId="051FE90A" w14:textId="77777777" w:rsidR="00145D48" w:rsidRDefault="00145D48" w:rsidP="006B0B50">
      <w:pPr>
        <w:tabs>
          <w:tab w:val="left" w:pos="3969"/>
        </w:tabs>
        <w:spacing w:line="360" w:lineRule="auto"/>
        <w:contextualSpacing/>
        <w:jc w:val="both"/>
        <w:rPr>
          <w:rFonts w:ascii="Palatino Linotype" w:hAnsi="Palatino Linotype" w:cs="Tahoma"/>
          <w:bCs/>
          <w:sz w:val="22"/>
          <w:szCs w:val="22"/>
        </w:rPr>
      </w:pPr>
    </w:p>
    <w:p w14:paraId="7F5256CC"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14D8D410"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5D4C1857" w14:textId="77777777" w:rsidR="00DB28B1" w:rsidRPr="00FB571A" w:rsidRDefault="00DB28B1" w:rsidP="00FF426B">
      <w:pPr>
        <w:spacing w:line="360" w:lineRule="auto"/>
        <w:contextualSpacing/>
        <w:jc w:val="both"/>
        <w:rPr>
          <w:rFonts w:ascii="Palatino Linotype" w:hAnsi="Palatino Linotype" w:cs="Tahoma"/>
          <w:bCs/>
          <w:sz w:val="22"/>
          <w:szCs w:val="22"/>
        </w:rPr>
      </w:pPr>
    </w:p>
    <w:p w14:paraId="4B4EBA17" w14:textId="20109732"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4313EA">
        <w:rPr>
          <w:rFonts w:ascii="Palatino Linotype" w:hAnsi="Palatino Linotype" w:cs="Tahoma"/>
          <w:bCs/>
          <w:sz w:val="22"/>
          <w:szCs w:val="22"/>
        </w:rPr>
        <w:t>trece de agosto</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2645E132"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61DCF0A9" w14:textId="247DAB7F"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EA42EE">
        <w:rPr>
          <w:rFonts w:ascii="Palatino Linotype" w:hAnsi="Palatino Linotype" w:cs="Tahoma"/>
          <w:b/>
          <w:bCs/>
          <w:color w:val="0D0D0D" w:themeColor="text1" w:themeTint="F2"/>
          <w:sz w:val="22"/>
          <w:szCs w:val="22"/>
        </w:rPr>
        <w:t>08016</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Recurrente o Particular, en contra de la respuesta del Sujeto Obligado</w:t>
      </w:r>
      <w:r w:rsidRPr="00FB571A">
        <w:rPr>
          <w:rFonts w:ascii="Palatino Linotype" w:hAnsi="Palatino Linotype"/>
          <w:sz w:val="22"/>
          <w:szCs w:val="22"/>
        </w:rPr>
        <w:t xml:space="preserve"> </w:t>
      </w:r>
      <w:r w:rsidR="004B553D">
        <w:rPr>
          <w:rFonts w:ascii="Palatino Linotype" w:eastAsia="Calibri" w:hAnsi="Palatino Linotype" w:cs="Tahoma"/>
          <w:b/>
          <w:bCs/>
          <w:sz w:val="22"/>
          <w:szCs w:val="22"/>
          <w:lang w:eastAsia="en-US"/>
        </w:rPr>
        <w:t>Ayuntamiento de Toluca</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740977C1"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2A442AB0" w14:textId="77777777" w:rsidR="00E35DF9" w:rsidRPr="00FB571A" w:rsidRDefault="00E35DF9" w:rsidP="00342378">
      <w:pPr>
        <w:pStyle w:val="Ttulo1"/>
        <w:jc w:val="center"/>
        <w:rPr>
          <w:rFonts w:ascii="Palatino Linotype" w:hAnsi="Palatino Linotype"/>
          <w:b/>
          <w:sz w:val="22"/>
          <w:szCs w:val="22"/>
        </w:rPr>
      </w:pPr>
      <w:bookmarkStart w:id="1" w:name="_Toc206081349"/>
      <w:r w:rsidRPr="00FB571A">
        <w:rPr>
          <w:rFonts w:ascii="Palatino Linotype" w:hAnsi="Palatino Linotype"/>
          <w:b/>
          <w:color w:val="auto"/>
          <w:sz w:val="22"/>
          <w:szCs w:val="22"/>
        </w:rPr>
        <w:t>A N T E C E D E N T E S</w:t>
      </w:r>
      <w:bookmarkEnd w:id="1"/>
    </w:p>
    <w:p w14:paraId="14267A48"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232DD58E" w14:textId="77777777" w:rsidR="00E35DF9" w:rsidRPr="00DB28B1" w:rsidRDefault="00E35DF9" w:rsidP="00DB28B1">
      <w:pPr>
        <w:pStyle w:val="Ttulo2"/>
        <w:rPr>
          <w:rFonts w:ascii="Palatino Linotype" w:hAnsi="Palatino Linotype"/>
          <w:b/>
          <w:color w:val="auto"/>
          <w:sz w:val="22"/>
          <w:szCs w:val="22"/>
        </w:rPr>
      </w:pPr>
      <w:bookmarkStart w:id="2" w:name="_Toc206081350"/>
      <w:r w:rsidRPr="00DB28B1">
        <w:rPr>
          <w:rFonts w:ascii="Palatino Linotype" w:hAnsi="Palatino Linotype"/>
          <w:b/>
          <w:color w:val="auto"/>
          <w:sz w:val="22"/>
          <w:szCs w:val="22"/>
        </w:rPr>
        <w:t>I. Presentación de la solicitud de información</w:t>
      </w:r>
      <w:bookmarkEnd w:id="2"/>
    </w:p>
    <w:p w14:paraId="3066614F"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0F5B99C9" w14:textId="0CC84A7D" w:rsidR="00D807FB"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4313EA">
        <w:rPr>
          <w:rFonts w:ascii="Palatino Linotype" w:hAnsi="Palatino Linotype" w:cs="Tahoma"/>
          <w:sz w:val="22"/>
          <w:szCs w:val="22"/>
        </w:rPr>
        <w:t>veint</w:t>
      </w:r>
      <w:r w:rsidR="00EA42EE">
        <w:rPr>
          <w:rFonts w:ascii="Palatino Linotype" w:hAnsi="Palatino Linotype" w:cs="Tahoma"/>
          <w:sz w:val="22"/>
          <w:szCs w:val="22"/>
        </w:rPr>
        <w:t>e</w:t>
      </w:r>
      <w:r w:rsidR="004313EA">
        <w:rPr>
          <w:rFonts w:ascii="Palatino Linotype" w:hAnsi="Palatino Linotype" w:cs="Tahoma"/>
          <w:sz w:val="22"/>
          <w:szCs w:val="22"/>
        </w:rPr>
        <w:t xml:space="preserve"> de mayo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4B553D">
        <w:rPr>
          <w:rFonts w:ascii="Palatino Linotype" w:hAnsi="Palatino Linotype" w:cs="Tahoma"/>
          <w:b/>
          <w:bCs/>
          <w:sz w:val="22"/>
          <w:szCs w:val="22"/>
        </w:rPr>
        <w:t>Ayuntamiento de Toluca</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EA42EE" w:rsidRPr="00EA42EE">
        <w:rPr>
          <w:rFonts w:ascii="Palatino Linotype" w:hAnsi="Palatino Linotype" w:cs="Tahoma"/>
          <w:b/>
          <w:bCs/>
          <w:sz w:val="22"/>
          <w:szCs w:val="22"/>
        </w:rPr>
        <w:t>02923</w:t>
      </w:r>
      <w:r w:rsidR="00CC13FB" w:rsidRPr="00CC13FB">
        <w:rPr>
          <w:rFonts w:ascii="Palatino Linotype" w:hAnsi="Palatino Linotype" w:cs="Tahoma"/>
          <w:b/>
          <w:bCs/>
          <w:sz w:val="22"/>
          <w:szCs w:val="22"/>
        </w:rPr>
        <w:t>/TOLUCA/IP/2025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7ADE5707" w14:textId="77777777" w:rsidR="000164F0" w:rsidRPr="00FB571A" w:rsidRDefault="000164F0" w:rsidP="00FF426B">
      <w:pPr>
        <w:tabs>
          <w:tab w:val="left" w:pos="567"/>
        </w:tabs>
        <w:spacing w:line="360" w:lineRule="auto"/>
        <w:contextualSpacing/>
        <w:jc w:val="both"/>
        <w:rPr>
          <w:rFonts w:ascii="Palatino Linotype" w:hAnsi="Palatino Linotype" w:cs="Tahoma"/>
          <w:sz w:val="22"/>
        </w:rPr>
      </w:pPr>
    </w:p>
    <w:p w14:paraId="4827761B"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2CEACB97" w14:textId="071C5401" w:rsidR="000F2B83" w:rsidRPr="00FB571A"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EA42EE" w:rsidRPr="00EA42EE">
        <w:rPr>
          <w:rFonts w:ascii="Palatino Linotype" w:hAnsi="Palatino Linotype"/>
          <w:i/>
          <w:iCs/>
          <w:color w:val="000000"/>
          <w:sz w:val="20"/>
          <w:szCs w:val="20"/>
        </w:rPr>
        <w:t>Solicito las funciones que desempeñan los servidores públicos adscritos a la Dirección de Equidad de Género</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46913B45"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4C9B909F"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1988AF12" w14:textId="77777777" w:rsidR="004D62C9"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570F0055" w14:textId="77777777" w:rsidR="00681D84" w:rsidRPr="00FB571A" w:rsidRDefault="00954EDD" w:rsidP="00342378">
      <w:pPr>
        <w:pStyle w:val="Ttulo2"/>
      </w:pPr>
      <w:bookmarkStart w:id="3" w:name="_Toc206081351"/>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758CB1C4"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318C93D5" w14:textId="2755EDE3" w:rsidR="009C323D" w:rsidRPr="00FB571A"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422731">
        <w:rPr>
          <w:rFonts w:ascii="Palatino Linotype" w:hAnsi="Palatino Linotype" w:cs="Tahoma"/>
          <w:sz w:val="22"/>
          <w:szCs w:val="22"/>
        </w:rPr>
        <w:t>diez</w:t>
      </w:r>
      <w:r w:rsidR="004D62C9">
        <w:rPr>
          <w:rFonts w:ascii="Palatino Linotype" w:hAnsi="Palatino Linotype" w:cs="Tahoma"/>
          <w:sz w:val="22"/>
          <w:szCs w:val="22"/>
        </w:rPr>
        <w:t xml:space="preserve"> de junio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79100DF2" w14:textId="77777777" w:rsidR="00F86BFB" w:rsidRPr="00FB571A"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77F3E643" w14:textId="77777777" w:rsidR="00996302" w:rsidRPr="00FB571A"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2C6B614E" w14:textId="77777777" w:rsidR="00422731" w:rsidRDefault="00422731"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22731">
        <w:rPr>
          <w:rFonts w:ascii="Palatino Linotype" w:hAnsi="Palatino Linotype" w:cs="Tahoma"/>
          <w:i/>
          <w:szCs w:val="22"/>
        </w:rPr>
        <w:t>En atención a la solicitud con folio 02923/TOLUCA/IP/2025, me permito adjuntar al presente la respuesta correspondiente, Sin más por el momento, reciba un saludo.</w:t>
      </w:r>
    </w:p>
    <w:p w14:paraId="33C90698" w14:textId="2E80B2F2" w:rsidR="007401D6" w:rsidRPr="00FB571A" w:rsidRDefault="00785311"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420EC2FF" w14:textId="77777777" w:rsidR="007401D6"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0F3B9A42" w14:textId="7640EE42" w:rsidR="00807961" w:rsidRDefault="004B553D" w:rsidP="004D62C9">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954EDD">
        <w:rPr>
          <w:rFonts w:ascii="Palatino Linotype" w:hAnsi="Palatino Linotype" w:cs="Tahoma"/>
          <w:sz w:val="22"/>
          <w:szCs w:val="22"/>
        </w:rPr>
        <w:t>Además</w:t>
      </w:r>
      <w:r w:rsidR="00954EDD" w:rsidRPr="00954EDD">
        <w:rPr>
          <w:rFonts w:ascii="Palatino Linotype" w:hAnsi="Palatino Linotype" w:cs="Tahoma"/>
          <w:sz w:val="22"/>
          <w:szCs w:val="22"/>
        </w:rPr>
        <w:t>,</w:t>
      </w:r>
      <w:r w:rsidRPr="00954EDD">
        <w:rPr>
          <w:rFonts w:ascii="Palatino Linotype" w:hAnsi="Palatino Linotype" w:cs="Tahoma"/>
          <w:sz w:val="22"/>
          <w:szCs w:val="22"/>
        </w:rPr>
        <w:t xml:space="preserve"> adjuntó </w:t>
      </w:r>
      <w:r w:rsidR="004D62C9">
        <w:rPr>
          <w:rFonts w:ascii="Palatino Linotype" w:hAnsi="Palatino Linotype" w:cs="Tahoma"/>
          <w:sz w:val="22"/>
          <w:szCs w:val="22"/>
        </w:rPr>
        <w:t xml:space="preserve">el </w:t>
      </w:r>
      <w:r w:rsidR="0095328A">
        <w:rPr>
          <w:rFonts w:ascii="Palatino Linotype" w:hAnsi="Palatino Linotype" w:cs="Tahoma"/>
          <w:sz w:val="22"/>
          <w:szCs w:val="22"/>
        </w:rPr>
        <w:t>archivo</w:t>
      </w:r>
      <w:r w:rsidR="004D62C9" w:rsidRPr="004D62C9">
        <w:t xml:space="preserve"> </w:t>
      </w:r>
      <w:r w:rsidR="00422731" w:rsidRPr="00422731">
        <w:rPr>
          <w:rFonts w:ascii="Palatino Linotype" w:hAnsi="Palatino Linotype" w:cs="Tahoma"/>
          <w:b/>
          <w:bCs/>
          <w:i/>
          <w:iCs/>
          <w:sz w:val="22"/>
          <w:szCs w:val="22"/>
        </w:rPr>
        <w:t>2923.pdf</w:t>
      </w:r>
      <w:r w:rsidR="00422731">
        <w:rPr>
          <w:rFonts w:ascii="Palatino Linotype" w:hAnsi="Palatino Linotype" w:cs="Tahoma"/>
          <w:b/>
          <w:bCs/>
          <w:i/>
          <w:iCs/>
          <w:sz w:val="22"/>
          <w:szCs w:val="22"/>
        </w:rPr>
        <w:t xml:space="preserve"> </w:t>
      </w:r>
      <w:r w:rsidR="00422731">
        <w:rPr>
          <w:rFonts w:ascii="Palatino Linotype" w:hAnsi="Palatino Linotype" w:cs="Tahoma"/>
          <w:bCs/>
          <w:iCs/>
          <w:sz w:val="22"/>
          <w:szCs w:val="22"/>
        </w:rPr>
        <w:t>que corresponde a un o</w:t>
      </w:r>
      <w:r w:rsidR="00807961">
        <w:rPr>
          <w:rFonts w:ascii="Palatino Linotype" w:hAnsi="Palatino Linotype" w:cs="Tahoma"/>
          <w:sz w:val="22"/>
          <w:szCs w:val="22"/>
        </w:rPr>
        <w:t>ficio en el que manifestó lo siguiente:</w:t>
      </w:r>
    </w:p>
    <w:p w14:paraId="7C998E3F" w14:textId="77777777" w:rsidR="00807961" w:rsidRDefault="00807961" w:rsidP="00807961">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3218B207" w14:textId="3B0CC9A4" w:rsidR="00422731" w:rsidRDefault="00DB28B1" w:rsidP="00422731">
      <w:pPr>
        <w:tabs>
          <w:tab w:val="left" w:pos="2282"/>
        </w:tabs>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r w:rsidR="004D62C9">
        <w:rPr>
          <w:rFonts w:ascii="Palatino Linotype" w:hAnsi="Palatino Linotype" w:cs="Tahoma"/>
          <w:i/>
          <w:szCs w:val="22"/>
        </w:rPr>
        <w:t xml:space="preserve"> </w:t>
      </w:r>
    </w:p>
    <w:p w14:paraId="74A05EEF" w14:textId="77777777" w:rsidR="00422731" w:rsidRDefault="00422731" w:rsidP="00422731">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422731">
        <w:rPr>
          <w:rFonts w:ascii="Palatino Linotype" w:hAnsi="Palatino Linotype" w:cs="Tahoma"/>
          <w:i/>
          <w:szCs w:val="22"/>
        </w:rPr>
        <w:t xml:space="preserve">Esta </w:t>
      </w:r>
      <w:r w:rsidRPr="0078510C">
        <w:rPr>
          <w:rFonts w:ascii="Palatino Linotype" w:hAnsi="Palatino Linotype" w:cs="Tahoma"/>
          <w:b/>
          <w:i/>
          <w:szCs w:val="22"/>
        </w:rPr>
        <w:t>Dirección General de Educación, Cultura y Turismo</w:t>
      </w:r>
      <w:r w:rsidRPr="00422731">
        <w:rPr>
          <w:rFonts w:ascii="Palatino Linotype" w:hAnsi="Palatino Linotype" w:cs="Tahoma"/>
          <w:i/>
          <w:szCs w:val="22"/>
        </w:rPr>
        <w:t xml:space="preserve">, con fundamento en lo dispuesto en el </w:t>
      </w:r>
      <w:r w:rsidRPr="0078510C">
        <w:rPr>
          <w:rFonts w:ascii="Palatino Linotype" w:hAnsi="Palatino Linotype" w:cs="Tahoma"/>
          <w:b/>
          <w:i/>
          <w:szCs w:val="22"/>
        </w:rPr>
        <w:t>Manual de Organización de la Administración Pública Municipal de Toluca</w:t>
      </w:r>
      <w:r w:rsidRPr="00422731">
        <w:rPr>
          <w:rFonts w:ascii="Palatino Linotype" w:hAnsi="Palatino Linotype" w:cs="Tahoma"/>
          <w:i/>
          <w:szCs w:val="22"/>
        </w:rPr>
        <w:t xml:space="preserve">, realizó una búsqueda exhaustiva en sus archivos físicos y electrónicos, y </w:t>
      </w:r>
      <w:r w:rsidRPr="0078510C">
        <w:rPr>
          <w:rFonts w:ascii="Palatino Linotype" w:hAnsi="Palatino Linotype" w:cs="Tahoma"/>
          <w:b/>
          <w:i/>
          <w:szCs w:val="22"/>
        </w:rPr>
        <w:t>no localizó información relacionada con la Dirección de Equidad de Género</w:t>
      </w:r>
      <w:r w:rsidRPr="00422731">
        <w:rPr>
          <w:rFonts w:ascii="Palatino Linotype" w:hAnsi="Palatino Linotype" w:cs="Tahoma"/>
          <w:i/>
          <w:szCs w:val="22"/>
        </w:rPr>
        <w:t xml:space="preserve">, debido a que </w:t>
      </w:r>
      <w:r w:rsidRPr="0078510C">
        <w:rPr>
          <w:rFonts w:ascii="Palatino Linotype" w:hAnsi="Palatino Linotype" w:cs="Tahoma"/>
          <w:b/>
          <w:i/>
          <w:szCs w:val="22"/>
        </w:rPr>
        <w:t>dicha unidad administrativa no forma parte del organigrama ni se encuentra adscrita a esta Dirección General.</w:t>
      </w:r>
      <w:r w:rsidRPr="00422731">
        <w:rPr>
          <w:rFonts w:ascii="Palatino Linotype" w:hAnsi="Palatino Linotype" w:cs="Tahoma"/>
          <w:i/>
          <w:szCs w:val="22"/>
        </w:rPr>
        <w:t xml:space="preserve"> </w:t>
      </w:r>
    </w:p>
    <w:p w14:paraId="5198D676" w14:textId="77777777" w:rsidR="00422731" w:rsidRDefault="00422731" w:rsidP="00422731">
      <w:pPr>
        <w:tabs>
          <w:tab w:val="left" w:pos="2282"/>
        </w:tabs>
        <w:autoSpaceDE w:val="0"/>
        <w:autoSpaceDN w:val="0"/>
        <w:adjustRightInd w:val="0"/>
        <w:spacing w:line="360" w:lineRule="auto"/>
        <w:ind w:left="567" w:right="539"/>
        <w:jc w:val="both"/>
        <w:rPr>
          <w:rFonts w:ascii="Palatino Linotype" w:hAnsi="Palatino Linotype" w:cs="Tahoma"/>
          <w:i/>
          <w:szCs w:val="22"/>
        </w:rPr>
      </w:pPr>
    </w:p>
    <w:p w14:paraId="5EC92962" w14:textId="4766E62B" w:rsidR="00422731" w:rsidRDefault="00422731" w:rsidP="00422731">
      <w:pPr>
        <w:tabs>
          <w:tab w:val="left" w:pos="2282"/>
        </w:tabs>
        <w:autoSpaceDE w:val="0"/>
        <w:autoSpaceDN w:val="0"/>
        <w:adjustRightInd w:val="0"/>
        <w:spacing w:line="360" w:lineRule="auto"/>
        <w:ind w:left="567" w:right="539"/>
        <w:jc w:val="both"/>
        <w:rPr>
          <w:rFonts w:ascii="Palatino Linotype" w:hAnsi="Palatino Linotype" w:cs="Tahoma"/>
          <w:i/>
          <w:szCs w:val="22"/>
        </w:rPr>
      </w:pPr>
      <w:r w:rsidRPr="00422731">
        <w:rPr>
          <w:rFonts w:ascii="Palatino Linotype" w:hAnsi="Palatino Linotype" w:cs="Tahoma"/>
          <w:i/>
          <w:szCs w:val="22"/>
        </w:rPr>
        <w:t xml:space="preserve">Por lo anterior, </w:t>
      </w:r>
      <w:r w:rsidRPr="0078510C">
        <w:rPr>
          <w:rFonts w:ascii="Palatino Linotype" w:hAnsi="Palatino Linotype" w:cs="Tahoma"/>
          <w:b/>
          <w:i/>
          <w:szCs w:val="22"/>
        </w:rPr>
        <w:t>esta unidad no cuenta con atribuciones para generar, custodiar o poseer información relativa a las funciones de los servidores públicos de la Dirección de Equidad de Género</w:t>
      </w:r>
      <w:r w:rsidRPr="00422731">
        <w:rPr>
          <w:rFonts w:ascii="Palatino Linotype" w:hAnsi="Palatino Linotype" w:cs="Tahoma"/>
          <w:i/>
          <w:szCs w:val="22"/>
        </w:rPr>
        <w:t xml:space="preserve">, por lo que no es competente para atender lo solicitado, de conformidad con lo dispuesto en el </w:t>
      </w:r>
      <w:r w:rsidRPr="0078510C">
        <w:rPr>
          <w:rFonts w:ascii="Palatino Linotype" w:hAnsi="Palatino Linotype" w:cs="Tahoma"/>
          <w:b/>
          <w:i/>
          <w:szCs w:val="22"/>
        </w:rPr>
        <w:t>artículo 31, fracción I de la Ley de Transparencia y Acceso a la Información Pública del Estado de México y Municipios</w:t>
      </w:r>
      <w:r w:rsidRPr="00422731">
        <w:rPr>
          <w:rFonts w:ascii="Palatino Linotype" w:hAnsi="Palatino Linotype" w:cs="Tahoma"/>
          <w:i/>
          <w:szCs w:val="22"/>
        </w:rPr>
        <w:t xml:space="preserve">, que establece la obligación de los sujetos obligados de </w:t>
      </w:r>
      <w:r w:rsidRPr="0078510C">
        <w:rPr>
          <w:rFonts w:ascii="Palatino Linotype" w:hAnsi="Palatino Linotype" w:cs="Tahoma"/>
          <w:b/>
          <w:i/>
          <w:szCs w:val="22"/>
        </w:rPr>
        <w:t xml:space="preserve">orientar al solicitante cuando la unidad no sea competente </w:t>
      </w:r>
      <w:r w:rsidRPr="00422731">
        <w:rPr>
          <w:rFonts w:ascii="Palatino Linotype" w:hAnsi="Palatino Linotype" w:cs="Tahoma"/>
          <w:i/>
          <w:szCs w:val="22"/>
        </w:rPr>
        <w:t>para entregar la información.</w:t>
      </w:r>
    </w:p>
    <w:p w14:paraId="46455796" w14:textId="787294F3" w:rsidR="00DB28B1" w:rsidRPr="00DB28B1" w:rsidRDefault="00DB28B1" w:rsidP="00422731">
      <w:pPr>
        <w:tabs>
          <w:tab w:val="left" w:pos="2282"/>
        </w:tabs>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16AB00E4" w14:textId="2578F529" w:rsidR="0095328A" w:rsidRDefault="0095328A" w:rsidP="00954EDD">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2C61DCD2" w14:textId="0DADD8A8" w:rsidR="00145D48" w:rsidRDefault="00145D48" w:rsidP="00954EDD">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615D4F97" w14:textId="10995A7F" w:rsidR="00145D48" w:rsidRDefault="00145D48" w:rsidP="00954EDD">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663172DB" w14:textId="77777777" w:rsidR="00145D48" w:rsidRDefault="00145D48" w:rsidP="00954EDD">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94DE99E" w14:textId="77777777" w:rsidR="001A412B" w:rsidRPr="00FB571A" w:rsidRDefault="007812D1" w:rsidP="00342378">
      <w:pPr>
        <w:pStyle w:val="Ttulo2"/>
        <w:rPr>
          <w:rFonts w:ascii="Palatino Linotype" w:hAnsi="Palatino Linotype" w:cs="Tahoma"/>
          <w:b/>
          <w:color w:val="auto"/>
          <w:sz w:val="22"/>
          <w:szCs w:val="22"/>
        </w:rPr>
      </w:pPr>
      <w:bookmarkStart w:id="4" w:name="_Toc206081352"/>
      <w:bookmarkEnd w:id="0"/>
      <w:r w:rsidRPr="00FB571A">
        <w:rPr>
          <w:rFonts w:ascii="Palatino Linotype" w:hAnsi="Palatino Linotype" w:cs="Tahoma"/>
          <w:b/>
          <w:color w:val="auto"/>
          <w:sz w:val="22"/>
          <w:szCs w:val="22"/>
        </w:rPr>
        <w:lastRenderedPageBreak/>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7D08347A"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3ED2239B" w14:textId="7AA51A24"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78510C">
        <w:rPr>
          <w:rFonts w:ascii="Palatino Linotype" w:hAnsi="Palatino Linotype" w:cs="Tahoma"/>
          <w:sz w:val="22"/>
          <w:szCs w:val="22"/>
        </w:rPr>
        <w:t>primero</w:t>
      </w:r>
      <w:r w:rsidR="004D62C9">
        <w:rPr>
          <w:rFonts w:ascii="Palatino Linotype" w:hAnsi="Palatino Linotype" w:cs="Tahoma"/>
          <w:sz w:val="22"/>
          <w:szCs w:val="22"/>
        </w:rPr>
        <w:t xml:space="preserve"> de julio</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1EACD1BE"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66F73718"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35098217" w14:textId="7DD130F6"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78510C" w:rsidRPr="0078510C">
        <w:rPr>
          <w:rFonts w:ascii="Palatino Linotype" w:hAnsi="Palatino Linotype" w:cs="Tahoma"/>
          <w:bCs/>
          <w:i/>
          <w:szCs w:val="22"/>
        </w:rPr>
        <w:t xml:space="preserve">la entrega de la </w:t>
      </w:r>
      <w:proofErr w:type="spellStart"/>
      <w:r w:rsidR="0078510C" w:rsidRPr="0078510C">
        <w:rPr>
          <w:rFonts w:ascii="Palatino Linotype" w:hAnsi="Palatino Linotype" w:cs="Tahoma"/>
          <w:bCs/>
          <w:i/>
          <w:szCs w:val="22"/>
        </w:rPr>
        <w:t>informaicón</w:t>
      </w:r>
      <w:proofErr w:type="spellEnd"/>
      <w:r w:rsidR="0078510C" w:rsidRPr="0078510C">
        <w:rPr>
          <w:rFonts w:ascii="Palatino Linotype" w:hAnsi="Palatino Linotype" w:cs="Tahoma"/>
          <w:bCs/>
          <w:i/>
          <w:szCs w:val="22"/>
        </w:rPr>
        <w:t xml:space="preserve"> </w:t>
      </w:r>
      <w:proofErr w:type="spellStart"/>
      <w:r w:rsidR="0078510C" w:rsidRPr="0078510C">
        <w:rPr>
          <w:rFonts w:ascii="Palatino Linotype" w:hAnsi="Palatino Linotype" w:cs="Tahoma"/>
          <w:bCs/>
          <w:i/>
          <w:szCs w:val="22"/>
        </w:rPr>
        <w:t>esta</w:t>
      </w:r>
      <w:proofErr w:type="spellEnd"/>
      <w:r w:rsidR="0078510C" w:rsidRPr="0078510C">
        <w:rPr>
          <w:rFonts w:ascii="Palatino Linotype" w:hAnsi="Palatino Linotype" w:cs="Tahoma"/>
          <w:bCs/>
          <w:i/>
          <w:szCs w:val="22"/>
        </w:rPr>
        <w:t xml:space="preserve"> incompleta y mal testado</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48D07530"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002C7B32"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457EEEF3" w14:textId="2FD8C052"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78510C" w:rsidRPr="0078510C">
        <w:rPr>
          <w:rFonts w:ascii="Palatino Linotype" w:hAnsi="Palatino Linotype" w:cs="Tahoma"/>
          <w:bCs/>
          <w:i/>
          <w:szCs w:val="24"/>
        </w:rPr>
        <w:t xml:space="preserve">la entrega de la </w:t>
      </w:r>
      <w:proofErr w:type="spellStart"/>
      <w:r w:rsidR="0078510C" w:rsidRPr="0078510C">
        <w:rPr>
          <w:rFonts w:ascii="Palatino Linotype" w:hAnsi="Palatino Linotype" w:cs="Tahoma"/>
          <w:bCs/>
          <w:i/>
          <w:szCs w:val="24"/>
        </w:rPr>
        <w:t>informaicón</w:t>
      </w:r>
      <w:proofErr w:type="spellEnd"/>
      <w:r w:rsidR="0078510C" w:rsidRPr="0078510C">
        <w:rPr>
          <w:rFonts w:ascii="Palatino Linotype" w:hAnsi="Palatino Linotype" w:cs="Tahoma"/>
          <w:bCs/>
          <w:i/>
          <w:szCs w:val="24"/>
        </w:rPr>
        <w:t xml:space="preserve"> </w:t>
      </w:r>
      <w:proofErr w:type="spellStart"/>
      <w:r w:rsidR="0078510C" w:rsidRPr="0078510C">
        <w:rPr>
          <w:rFonts w:ascii="Palatino Linotype" w:hAnsi="Palatino Linotype" w:cs="Tahoma"/>
          <w:bCs/>
          <w:i/>
          <w:szCs w:val="24"/>
        </w:rPr>
        <w:t>esta</w:t>
      </w:r>
      <w:proofErr w:type="spellEnd"/>
      <w:r w:rsidR="0078510C" w:rsidRPr="0078510C">
        <w:rPr>
          <w:rFonts w:ascii="Palatino Linotype" w:hAnsi="Palatino Linotype" w:cs="Tahoma"/>
          <w:bCs/>
          <w:i/>
          <w:szCs w:val="24"/>
        </w:rPr>
        <w:t xml:space="preserve"> incompleta y mal testado</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31A1CC8D" w14:textId="77777777" w:rsidR="00342378" w:rsidRPr="00FB571A" w:rsidRDefault="00342378" w:rsidP="00342378">
      <w:pPr>
        <w:spacing w:line="360" w:lineRule="auto"/>
        <w:ind w:right="539"/>
        <w:contextualSpacing/>
        <w:jc w:val="both"/>
        <w:rPr>
          <w:rFonts w:ascii="Palatino Linotype" w:hAnsi="Palatino Linotype" w:cs="Tahoma"/>
          <w:bCs/>
          <w:i/>
          <w:szCs w:val="24"/>
        </w:rPr>
      </w:pPr>
    </w:p>
    <w:p w14:paraId="27311125" w14:textId="77777777" w:rsidR="009A7587" w:rsidRPr="00FB571A" w:rsidRDefault="00BF4B55" w:rsidP="00342378">
      <w:pPr>
        <w:pStyle w:val="Ttulo2"/>
        <w:rPr>
          <w:rFonts w:ascii="Palatino Linotype" w:eastAsia="Batang" w:hAnsi="Palatino Linotype" w:cs="Tahoma"/>
          <w:b/>
          <w:bCs/>
          <w:color w:val="auto"/>
          <w:sz w:val="22"/>
          <w:szCs w:val="22"/>
        </w:rPr>
      </w:pPr>
      <w:bookmarkStart w:id="6" w:name="_Toc206081353"/>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206B7CB4"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569BCB13" w14:textId="72C7F9ED" w:rsidR="00C950E3" w:rsidRPr="00FB571A" w:rsidRDefault="009A7587" w:rsidP="00FF426B">
      <w:pPr>
        <w:spacing w:line="360" w:lineRule="auto"/>
        <w:contextualSpacing/>
        <w:jc w:val="both"/>
        <w:rPr>
          <w:rFonts w:ascii="Palatino Linotype" w:eastAsia="Batang" w:hAnsi="Palatino Linotype" w:cs="Tahoma"/>
          <w:bCs/>
          <w:sz w:val="22"/>
          <w:szCs w:val="22"/>
        </w:rPr>
      </w:pPr>
      <w:bookmarkStart w:id="7" w:name="_Toc206081354"/>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78510C">
        <w:rPr>
          <w:rFonts w:ascii="Palatino Linotype" w:hAnsi="Palatino Linotype" w:cs="Tahoma"/>
          <w:sz w:val="22"/>
          <w:szCs w:val="22"/>
        </w:rPr>
        <w:t>primero</w:t>
      </w:r>
      <w:r w:rsidR="004D62C9">
        <w:rPr>
          <w:rFonts w:ascii="Palatino Linotype" w:hAnsi="Palatino Linotype" w:cs="Tahoma"/>
          <w:sz w:val="22"/>
          <w:szCs w:val="22"/>
        </w:rPr>
        <w:t xml:space="preserve"> de julio</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78510C">
        <w:rPr>
          <w:rFonts w:ascii="Palatino Linotype" w:eastAsia="Batang" w:hAnsi="Palatino Linotype" w:cs="Tahoma"/>
          <w:b/>
          <w:bCs/>
          <w:sz w:val="22"/>
          <w:szCs w:val="22"/>
        </w:rPr>
        <w:t>08016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1CA6EE5"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3E0D1C9C" w14:textId="331110BE" w:rsidR="00253937" w:rsidRPr="00FB571A" w:rsidRDefault="009A7587" w:rsidP="00FF426B">
      <w:pPr>
        <w:spacing w:line="360" w:lineRule="auto"/>
        <w:contextualSpacing/>
        <w:jc w:val="both"/>
        <w:rPr>
          <w:rFonts w:ascii="Palatino Linotype" w:hAnsi="Palatino Linotype" w:cs="Tahoma"/>
          <w:bCs/>
          <w:sz w:val="22"/>
          <w:szCs w:val="22"/>
          <w:lang w:val="es-ES_tradnl"/>
        </w:rPr>
      </w:pPr>
      <w:bookmarkStart w:id="8" w:name="_Toc206081355"/>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E07D4E">
        <w:rPr>
          <w:rFonts w:ascii="Palatino Linotype" w:hAnsi="Palatino Linotype" w:cs="Tahoma"/>
          <w:bCs/>
          <w:sz w:val="22"/>
          <w:szCs w:val="22"/>
        </w:rPr>
        <w:t>cuatro</w:t>
      </w:r>
      <w:r w:rsidR="004D62C9">
        <w:rPr>
          <w:rFonts w:ascii="Palatino Linotype" w:hAnsi="Palatino Linotype" w:cs="Tahoma"/>
          <w:bCs/>
          <w:sz w:val="22"/>
          <w:szCs w:val="22"/>
        </w:rPr>
        <w:t xml:space="preserve"> de julio</w:t>
      </w:r>
      <w:r w:rsidR="008E1D82">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80F6936"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2243FC9C" w14:textId="165EE744" w:rsidR="00DF22DA" w:rsidRPr="00FB571A" w:rsidRDefault="00DF22DA" w:rsidP="00DF22DA">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6081356"/>
      <w:r w:rsidRPr="00FB571A">
        <w:rPr>
          <w:rStyle w:val="Ttulo3Car"/>
          <w:rFonts w:ascii="Palatino Linotype" w:hAnsi="Palatino Linotype"/>
          <w:b/>
          <w:color w:val="auto"/>
          <w:sz w:val="22"/>
          <w:szCs w:val="22"/>
        </w:rPr>
        <w:t>c) Informe Justificado.</w:t>
      </w:r>
      <w:bookmarkEnd w:id="9"/>
      <w:bookmarkEnd w:id="10"/>
      <w:bookmarkEnd w:id="11"/>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E07D4E">
        <w:rPr>
          <w:rFonts w:ascii="Palatino Linotype" w:eastAsia="Batang" w:hAnsi="Palatino Linotype" w:cs="Tahoma"/>
          <w:bCs/>
          <w:sz w:val="22"/>
          <w:szCs w:val="22"/>
          <w:lang w:val="es-ES_tradnl"/>
        </w:rPr>
        <w:t>quince</w:t>
      </w:r>
      <w:r w:rsidR="004D62C9">
        <w:rPr>
          <w:rFonts w:ascii="Palatino Linotype" w:eastAsia="Batang" w:hAnsi="Palatino Linotype" w:cs="Tahoma"/>
          <w:bCs/>
          <w:sz w:val="22"/>
          <w:szCs w:val="22"/>
          <w:lang w:val="es-ES_tradnl"/>
        </w:rPr>
        <w:t xml:space="preserve"> de julio</w:t>
      </w:r>
      <w:r w:rsidR="00251517">
        <w:rPr>
          <w:rFonts w:ascii="Palatino Linotype" w:eastAsia="Batang" w:hAnsi="Palatino Linotype" w:cs="Tahoma"/>
          <w:bCs/>
          <w:sz w:val="22"/>
          <w:szCs w:val="22"/>
          <w:lang w:val="es-ES_tradnl"/>
        </w:rPr>
        <w:t xml:space="preserve">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 como se muestra a continuación</w:t>
      </w:r>
      <w:r w:rsidRPr="00FB571A">
        <w:rPr>
          <w:rFonts w:ascii="Palatino Linotype" w:eastAsia="Batang" w:hAnsi="Palatino Linotype" w:cs="Tahoma"/>
          <w:bCs/>
          <w:sz w:val="22"/>
          <w:szCs w:val="22"/>
          <w:lang w:val="es-ES_tradnl"/>
        </w:rPr>
        <w:t>:</w:t>
      </w:r>
    </w:p>
    <w:p w14:paraId="253EA4CC" w14:textId="77777777" w:rsidR="00DF22DA" w:rsidRPr="00FB571A" w:rsidRDefault="00DF22DA" w:rsidP="00DF22DA">
      <w:pPr>
        <w:spacing w:line="360" w:lineRule="auto"/>
        <w:jc w:val="both"/>
        <w:rPr>
          <w:rFonts w:ascii="Palatino Linotype" w:eastAsia="Batang" w:hAnsi="Palatino Linotype" w:cs="Tahoma"/>
          <w:bCs/>
          <w:sz w:val="22"/>
          <w:szCs w:val="22"/>
          <w:lang w:val="es-ES_tradnl"/>
        </w:rPr>
      </w:pPr>
    </w:p>
    <w:p w14:paraId="3FA3FDEE" w14:textId="4FF552E8" w:rsidR="00DF22DA" w:rsidRPr="00FB571A" w:rsidRDefault="00DF22DA" w:rsidP="00DF22DA">
      <w:pPr>
        <w:spacing w:line="360" w:lineRule="auto"/>
        <w:ind w:left="567" w:right="539"/>
        <w:jc w:val="both"/>
        <w:rPr>
          <w:rFonts w:ascii="Palatino Linotype" w:eastAsia="Batang" w:hAnsi="Palatino Linotype" w:cs="Tahoma"/>
          <w:bCs/>
          <w:i/>
          <w:szCs w:val="22"/>
          <w:lang w:val="es-ES_tradnl"/>
        </w:rPr>
      </w:pPr>
      <w:r w:rsidRPr="00FB571A">
        <w:rPr>
          <w:rFonts w:ascii="Palatino Linotype" w:eastAsia="Batang" w:hAnsi="Palatino Linotype" w:cs="Tahoma"/>
          <w:bCs/>
          <w:i/>
          <w:szCs w:val="22"/>
          <w:lang w:val="es-ES_tradnl"/>
        </w:rPr>
        <w:t>“…</w:t>
      </w:r>
      <w:r w:rsidR="00E07D4E" w:rsidRPr="00E07D4E">
        <w:rPr>
          <w:rFonts w:ascii="Palatino Linotype" w:eastAsia="Batang" w:hAnsi="Palatino Linotype" w:cs="Tahoma"/>
          <w:bCs/>
          <w:i/>
          <w:szCs w:val="22"/>
        </w:rPr>
        <w:t xml:space="preserve">a través de este acto, comparezco a realizar la </w:t>
      </w:r>
      <w:r w:rsidR="00E07D4E" w:rsidRPr="00E07D4E">
        <w:rPr>
          <w:rFonts w:ascii="Palatino Linotype" w:eastAsia="Batang" w:hAnsi="Palatino Linotype" w:cs="Tahoma"/>
          <w:b/>
          <w:bCs/>
          <w:i/>
          <w:szCs w:val="22"/>
        </w:rPr>
        <w:t>ratificación de la respuesta</w:t>
      </w:r>
      <w:r w:rsidR="00E07D4E" w:rsidRPr="00E07D4E">
        <w:rPr>
          <w:rFonts w:ascii="Palatino Linotype" w:eastAsia="Batang" w:hAnsi="Palatino Linotype" w:cs="Tahoma"/>
          <w:bCs/>
          <w:i/>
          <w:szCs w:val="22"/>
        </w:rPr>
        <w:t xml:space="preserve"> emitida por la Dirección General de Educación, Cultura y Turismo y Servidor Público Habilitado, el 10 de junio de 2025 a la solicitud </w:t>
      </w:r>
      <w:r w:rsidR="00E07D4E" w:rsidRPr="00E07D4E">
        <w:rPr>
          <w:rFonts w:ascii="Palatino Linotype" w:eastAsia="Batang" w:hAnsi="Palatino Linotype" w:cs="Tahoma"/>
          <w:b/>
          <w:bCs/>
          <w:i/>
          <w:szCs w:val="22"/>
        </w:rPr>
        <w:t>02923/TOLUCA/IP/2025</w:t>
      </w:r>
      <w:r w:rsidR="00E07D4E" w:rsidRPr="00E07D4E">
        <w:rPr>
          <w:rFonts w:ascii="Palatino Linotype" w:eastAsia="Batang" w:hAnsi="Palatino Linotype" w:cs="Tahoma"/>
          <w:bCs/>
          <w:i/>
          <w:szCs w:val="22"/>
        </w:rPr>
        <w:t xml:space="preserve">, relacionada con el </w:t>
      </w:r>
      <w:r w:rsidR="00E07D4E" w:rsidRPr="00E07D4E">
        <w:rPr>
          <w:rFonts w:ascii="Palatino Linotype" w:eastAsia="Batang" w:hAnsi="Palatino Linotype" w:cs="Tahoma"/>
          <w:b/>
          <w:bCs/>
          <w:i/>
          <w:szCs w:val="22"/>
        </w:rPr>
        <w:t>Recurso de Revisión 08016/INFOEM/IP/RR/2025</w:t>
      </w:r>
      <w:r w:rsidR="00E07D4E" w:rsidRPr="00E07D4E">
        <w:rPr>
          <w:rFonts w:ascii="Palatino Linotype" w:eastAsia="Batang" w:hAnsi="Palatino Linotype" w:cs="Tahoma"/>
          <w:bCs/>
          <w:i/>
          <w:szCs w:val="22"/>
        </w:rPr>
        <w:t xml:space="preserve">, máxime que una vez realizada una búsqueda minuciosa en el Código Reglamentario Municipal de Toluca, no se localizó alguna estructura administrativa denominada </w:t>
      </w:r>
      <w:r w:rsidR="00E07D4E" w:rsidRPr="00E07D4E">
        <w:rPr>
          <w:rFonts w:ascii="Palatino Linotype" w:eastAsia="Batang" w:hAnsi="Palatino Linotype" w:cs="Tahoma"/>
          <w:b/>
          <w:bCs/>
          <w:i/>
          <w:szCs w:val="22"/>
        </w:rPr>
        <w:t>“Dirección de Equidad de Género</w:t>
      </w:r>
      <w:r w:rsidR="00E07D4E" w:rsidRPr="00E07D4E">
        <w:rPr>
          <w:rFonts w:ascii="Palatino Linotype" w:eastAsia="Batang" w:hAnsi="Palatino Linotype" w:cs="Tahoma"/>
          <w:bCs/>
          <w:i/>
          <w:szCs w:val="22"/>
        </w:rPr>
        <w:t xml:space="preserve">” por lo tanto no es posible turnar la solicitud al área referida, pues al no existir, deja sin materia a la Unidad de Transparencia para dar cumplimiento a lo establecido en el artículo </w:t>
      </w:r>
      <w:r w:rsidR="00E07D4E" w:rsidRPr="00E07D4E">
        <w:rPr>
          <w:rFonts w:ascii="Palatino Linotype" w:eastAsia="Batang" w:hAnsi="Palatino Linotype" w:cs="Tahoma"/>
          <w:b/>
          <w:bCs/>
          <w:i/>
          <w:szCs w:val="22"/>
        </w:rPr>
        <w:t>162</w:t>
      </w:r>
      <w:r w:rsidR="00E07D4E" w:rsidRPr="00E07D4E">
        <w:rPr>
          <w:rFonts w:ascii="Palatino Linotype" w:eastAsia="Batang" w:hAnsi="Palatino Linotype" w:cs="Tahoma"/>
          <w:bCs/>
          <w:i/>
          <w:szCs w:val="22"/>
        </w:rPr>
        <w:t xml:space="preserve"> de la Ley de Transparencia y Acceso a la Información Pública del Estado de México y Municipios vigente.</w:t>
      </w:r>
      <w:r>
        <w:rPr>
          <w:rFonts w:ascii="Palatino Linotype" w:eastAsia="Batang" w:hAnsi="Palatino Linotype" w:cs="Tahoma"/>
          <w:bCs/>
          <w:i/>
          <w:szCs w:val="22"/>
          <w:lang w:val="es-ES_tradnl"/>
        </w:rPr>
        <w:t>…”</w:t>
      </w:r>
    </w:p>
    <w:p w14:paraId="115178FE" w14:textId="77777777" w:rsidR="00251517" w:rsidRDefault="00251517" w:rsidP="00DF22DA">
      <w:pPr>
        <w:spacing w:line="360" w:lineRule="auto"/>
        <w:jc w:val="both"/>
        <w:rPr>
          <w:rStyle w:val="Ttulo3Car"/>
          <w:rFonts w:ascii="Palatino Linotype" w:hAnsi="Palatino Linotype"/>
          <w:b/>
          <w:color w:val="auto"/>
          <w:sz w:val="22"/>
        </w:rPr>
      </w:pPr>
      <w:bookmarkStart w:id="12" w:name="_Toc190261914"/>
      <w:bookmarkStart w:id="13" w:name="_Toc196917718"/>
    </w:p>
    <w:p w14:paraId="7D9B6077" w14:textId="46F4F609" w:rsidR="00DF22DA" w:rsidRPr="00FB571A" w:rsidRDefault="006B3769" w:rsidP="00DF22DA">
      <w:pPr>
        <w:spacing w:line="360" w:lineRule="auto"/>
        <w:jc w:val="both"/>
        <w:rPr>
          <w:rFonts w:ascii="Palatino Linotype" w:hAnsi="Palatino Linotype" w:cs="Tahoma"/>
          <w:sz w:val="22"/>
          <w:szCs w:val="22"/>
        </w:rPr>
      </w:pPr>
      <w:bookmarkStart w:id="14" w:name="_Toc206081357"/>
      <w:r>
        <w:rPr>
          <w:rStyle w:val="Ttulo3Car"/>
          <w:rFonts w:ascii="Palatino Linotype" w:hAnsi="Palatino Linotype"/>
          <w:b/>
          <w:color w:val="auto"/>
          <w:sz w:val="22"/>
        </w:rPr>
        <w:t>d)</w:t>
      </w:r>
      <w:r w:rsidR="00DF22DA" w:rsidRPr="00FB571A">
        <w:rPr>
          <w:rStyle w:val="Ttulo3Car"/>
          <w:rFonts w:ascii="Palatino Linotype" w:hAnsi="Palatino Linotype"/>
          <w:b/>
          <w:color w:val="auto"/>
          <w:sz w:val="22"/>
        </w:rPr>
        <w:t xml:space="preserve"> Vista del Informe Justificado.</w:t>
      </w:r>
      <w:bookmarkEnd w:id="12"/>
      <w:bookmarkEnd w:id="13"/>
      <w:bookmarkEnd w:id="14"/>
      <w:r w:rsidR="00DF22DA" w:rsidRPr="00FB571A">
        <w:rPr>
          <w:rFonts w:ascii="Palatino Linotype" w:hAnsi="Palatino Linotype" w:cs="Tahoma"/>
          <w:sz w:val="18"/>
          <w:szCs w:val="22"/>
        </w:rPr>
        <w:t xml:space="preserve"> </w:t>
      </w:r>
      <w:r w:rsidR="00DF22DA" w:rsidRPr="00FB571A">
        <w:rPr>
          <w:rFonts w:ascii="Palatino Linotype" w:hAnsi="Palatino Linotype" w:cs="Tahoma"/>
          <w:sz w:val="22"/>
          <w:szCs w:val="22"/>
        </w:rPr>
        <w:t xml:space="preserve">El </w:t>
      </w:r>
      <w:r w:rsidR="00E07D4E">
        <w:rPr>
          <w:rFonts w:ascii="Palatino Linotype" w:hAnsi="Palatino Linotype" w:cs="Tahoma"/>
          <w:sz w:val="22"/>
          <w:szCs w:val="22"/>
        </w:rPr>
        <w:t>seis</w:t>
      </w:r>
      <w:r w:rsidR="004D62C9">
        <w:rPr>
          <w:rFonts w:ascii="Palatino Linotype" w:hAnsi="Palatino Linotype" w:cs="Tahoma"/>
          <w:sz w:val="22"/>
          <w:szCs w:val="22"/>
        </w:rPr>
        <w:t xml:space="preserve"> de agosto</w:t>
      </w:r>
      <w:r w:rsidR="00DF22DA">
        <w:rPr>
          <w:rFonts w:ascii="Palatino Linotype" w:hAnsi="Palatino Linotype" w:cs="Tahoma"/>
          <w:sz w:val="22"/>
          <w:szCs w:val="22"/>
        </w:rPr>
        <w:t xml:space="preserve"> </w:t>
      </w:r>
      <w:r w:rsidR="00DF22DA"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CD0BE46" w14:textId="77777777" w:rsidR="00EA2594" w:rsidRDefault="00EA2594" w:rsidP="00EA2594">
      <w:pPr>
        <w:spacing w:line="360" w:lineRule="auto"/>
        <w:jc w:val="both"/>
        <w:rPr>
          <w:rFonts w:ascii="Palatino Linotype" w:hAnsi="Palatino Linotype" w:cs="Tahoma"/>
          <w:b/>
          <w:sz w:val="22"/>
          <w:szCs w:val="24"/>
        </w:rPr>
      </w:pPr>
    </w:p>
    <w:p w14:paraId="7F2065CF" w14:textId="6223076A" w:rsidR="00ED5DF5" w:rsidRPr="00FB571A" w:rsidRDefault="008E1D82" w:rsidP="00FF426B">
      <w:pPr>
        <w:spacing w:line="360" w:lineRule="auto"/>
        <w:jc w:val="both"/>
        <w:rPr>
          <w:rFonts w:ascii="Palatino Linotype" w:hAnsi="Palatino Linotype" w:cs="Tahoma"/>
          <w:sz w:val="22"/>
          <w:szCs w:val="22"/>
        </w:rPr>
      </w:pPr>
      <w:bookmarkStart w:id="15" w:name="_Toc206081358"/>
      <w:r>
        <w:rPr>
          <w:rStyle w:val="Ttulo3Car"/>
          <w:rFonts w:ascii="Palatino Linotype" w:hAnsi="Palatino Linotype"/>
          <w:b/>
          <w:color w:val="auto"/>
          <w:sz w:val="22"/>
          <w:szCs w:val="22"/>
        </w:rPr>
        <w:t>e</w:t>
      </w:r>
      <w:r w:rsidR="006B3769">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4D62C9">
        <w:rPr>
          <w:rFonts w:ascii="Palatino Linotype" w:hAnsi="Palatino Linotype" w:cs="Tahoma"/>
          <w:sz w:val="22"/>
          <w:szCs w:val="22"/>
        </w:rPr>
        <w:t>doce de agosto</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18EEA2FF" w14:textId="77777777" w:rsidR="0079675C" w:rsidRPr="00FB571A" w:rsidRDefault="0079675C" w:rsidP="00FF426B">
      <w:pPr>
        <w:spacing w:line="360" w:lineRule="auto"/>
        <w:jc w:val="both"/>
        <w:rPr>
          <w:rFonts w:ascii="Palatino Linotype" w:hAnsi="Palatino Linotype" w:cs="Tahoma"/>
          <w:sz w:val="22"/>
          <w:szCs w:val="22"/>
        </w:rPr>
      </w:pPr>
    </w:p>
    <w:p w14:paraId="15EFE097" w14:textId="77777777" w:rsidR="004F2D88" w:rsidRDefault="004F2D88" w:rsidP="00FF426B">
      <w:pPr>
        <w:spacing w:line="360" w:lineRule="auto"/>
        <w:contextualSpacing/>
        <w:jc w:val="both"/>
        <w:rPr>
          <w:rFonts w:ascii="Palatino Linotype" w:hAnsi="Palatino Linotype" w:cs="Tahoma"/>
          <w:color w:val="000000"/>
          <w:sz w:val="22"/>
          <w:szCs w:val="22"/>
        </w:rPr>
      </w:pPr>
      <w:proofErr w:type="gramStart"/>
      <w:r w:rsidRPr="00FB571A">
        <w:rPr>
          <w:rFonts w:ascii="Palatino Linotype" w:hAnsi="Palatino Linotype" w:cs="Tahoma"/>
          <w:color w:val="000000"/>
          <w:sz w:val="22"/>
          <w:szCs w:val="22"/>
        </w:rPr>
        <w:lastRenderedPageBreak/>
        <w:t xml:space="preserve">En </w:t>
      </w:r>
      <w:r w:rsidR="00367F82" w:rsidRPr="00FB571A">
        <w:rPr>
          <w:rFonts w:ascii="Palatino Linotype" w:hAnsi="Palatino Linotype" w:cs="Tahoma"/>
          <w:color w:val="000000"/>
          <w:sz w:val="22"/>
          <w:szCs w:val="22"/>
        </w:rPr>
        <w:t>razón de</w:t>
      </w:r>
      <w:proofErr w:type="gramEnd"/>
      <w:r w:rsidR="00367F82" w:rsidRPr="00FB571A">
        <w:rPr>
          <w:rFonts w:ascii="Palatino Linotype" w:hAnsi="Palatino Linotype" w:cs="Tahoma"/>
          <w:color w:val="000000"/>
          <w:sz w:val="22"/>
          <w:szCs w:val="22"/>
        </w:rPr>
        <w:t xml:space="preserv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w:t>
      </w:r>
      <w:proofErr w:type="gramStart"/>
      <w:r w:rsidRPr="00FB571A">
        <w:rPr>
          <w:rFonts w:ascii="Palatino Linotype" w:hAnsi="Palatino Linotype" w:cs="Tahoma"/>
          <w:color w:val="000000"/>
          <w:sz w:val="22"/>
          <w:szCs w:val="22"/>
        </w:rPr>
        <w:t>de acuerdo a</w:t>
      </w:r>
      <w:proofErr w:type="gramEnd"/>
      <w:r w:rsidRPr="00FB571A">
        <w:rPr>
          <w:rFonts w:ascii="Palatino Linotype" w:hAnsi="Palatino Linotype" w:cs="Tahoma"/>
          <w:color w:val="000000"/>
          <w:sz w:val="22"/>
          <w:szCs w:val="22"/>
        </w:rPr>
        <w:t xml:space="preserve">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2E87AD11" w14:textId="77777777" w:rsidR="001C0C73" w:rsidRPr="00FB571A" w:rsidRDefault="001C0C73" w:rsidP="00FF426B">
      <w:pPr>
        <w:spacing w:line="360" w:lineRule="auto"/>
        <w:contextualSpacing/>
        <w:jc w:val="both"/>
        <w:rPr>
          <w:rFonts w:ascii="Palatino Linotype" w:hAnsi="Palatino Linotype" w:cs="Tahoma"/>
          <w:color w:val="000000"/>
          <w:sz w:val="22"/>
          <w:szCs w:val="22"/>
        </w:rPr>
      </w:pPr>
    </w:p>
    <w:p w14:paraId="26071F19" w14:textId="77777777" w:rsidR="00EA4E4A" w:rsidRPr="00FB571A" w:rsidRDefault="00EA4E4A" w:rsidP="00342378">
      <w:pPr>
        <w:pStyle w:val="Ttulo1"/>
        <w:jc w:val="center"/>
        <w:rPr>
          <w:rFonts w:ascii="Palatino Linotype" w:hAnsi="Palatino Linotype"/>
          <w:b/>
          <w:color w:val="auto"/>
          <w:sz w:val="22"/>
          <w:szCs w:val="22"/>
        </w:rPr>
      </w:pPr>
      <w:bookmarkStart w:id="16" w:name="_Toc206081359"/>
      <w:r w:rsidRPr="00FB571A">
        <w:rPr>
          <w:rFonts w:ascii="Palatino Linotype" w:hAnsi="Palatino Linotype"/>
          <w:b/>
          <w:color w:val="auto"/>
          <w:sz w:val="22"/>
          <w:szCs w:val="22"/>
        </w:rPr>
        <w:t>C O N S I D E R A N D O S</w:t>
      </w:r>
      <w:bookmarkEnd w:id="16"/>
    </w:p>
    <w:p w14:paraId="7A40C537"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21DAC598" w14:textId="77777777" w:rsidR="00EA4E4A" w:rsidRPr="00FB571A" w:rsidRDefault="00EA4E4A" w:rsidP="00342378">
      <w:pPr>
        <w:pStyle w:val="Ttulo2"/>
        <w:rPr>
          <w:rFonts w:ascii="Palatino Linotype" w:hAnsi="Palatino Linotype"/>
          <w:b/>
          <w:sz w:val="22"/>
          <w:szCs w:val="22"/>
        </w:rPr>
      </w:pPr>
      <w:bookmarkStart w:id="17" w:name="_Toc206081360"/>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60DB205F"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5175D9A4" w14:textId="77777777" w:rsidR="005C0E48" w:rsidRPr="005C0E48" w:rsidRDefault="005C0E48" w:rsidP="005C0E48">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8"/>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12B4F75" w14:textId="77777777" w:rsidR="00F66601" w:rsidRDefault="00F66601" w:rsidP="00FF426B">
      <w:pPr>
        <w:spacing w:line="360" w:lineRule="auto"/>
        <w:jc w:val="both"/>
        <w:rPr>
          <w:rFonts w:ascii="Palatino Linotype" w:hAnsi="Palatino Linotype" w:cs="Tahoma"/>
          <w:sz w:val="22"/>
          <w:szCs w:val="22"/>
          <w:shd w:val="clear" w:color="auto" w:fill="FFFFFF"/>
        </w:rPr>
      </w:pPr>
    </w:p>
    <w:p w14:paraId="489C58DE" w14:textId="77777777" w:rsidR="00011CC2" w:rsidRPr="001A61B2" w:rsidRDefault="00011CC2" w:rsidP="00011CC2">
      <w:pPr>
        <w:pStyle w:val="Ttulo1"/>
        <w:spacing w:before="0" w:line="360" w:lineRule="auto"/>
        <w:rPr>
          <w:rFonts w:ascii="Palatino Linotype" w:eastAsia="Calibri" w:hAnsi="Palatino Linotype"/>
          <w:b/>
          <w:color w:val="auto"/>
          <w:sz w:val="22"/>
          <w:szCs w:val="22"/>
          <w:lang w:val="es-ES" w:eastAsia="es-MX"/>
        </w:rPr>
      </w:pPr>
      <w:bookmarkStart w:id="19" w:name="_Toc193798175"/>
      <w:bookmarkStart w:id="20" w:name="_Toc206081361"/>
      <w:r w:rsidRPr="001A61B2">
        <w:rPr>
          <w:rFonts w:ascii="Palatino Linotype" w:eastAsia="Calibri" w:hAnsi="Palatino Linotype"/>
          <w:b/>
          <w:color w:val="auto"/>
          <w:sz w:val="22"/>
          <w:szCs w:val="22"/>
          <w:lang w:val="es-ES" w:eastAsia="es-MX"/>
        </w:rPr>
        <w:t>SEGUNDO. Causales de improcedencia</w:t>
      </w:r>
      <w:bookmarkEnd w:id="19"/>
      <w:bookmarkEnd w:id="20"/>
    </w:p>
    <w:p w14:paraId="310A118B" w14:textId="77777777" w:rsidR="00011CC2" w:rsidRPr="00597B4E" w:rsidRDefault="00011CC2" w:rsidP="00011CC2">
      <w:pPr>
        <w:autoSpaceDE w:val="0"/>
        <w:autoSpaceDN w:val="0"/>
        <w:adjustRightInd w:val="0"/>
        <w:spacing w:line="360" w:lineRule="auto"/>
        <w:ind w:right="-28"/>
        <w:jc w:val="both"/>
        <w:rPr>
          <w:rFonts w:ascii="Palatino Linotype" w:eastAsia="Calibri" w:hAnsi="Palatino Linotype" w:cs="Tahoma"/>
          <w:b/>
          <w:color w:val="FF0000"/>
          <w:sz w:val="22"/>
          <w:szCs w:val="22"/>
          <w:lang w:val="es-ES" w:eastAsia="es-MX"/>
        </w:rPr>
      </w:pPr>
    </w:p>
    <w:p w14:paraId="6A4FD39E" w14:textId="77777777" w:rsidR="00011CC2" w:rsidRPr="00B92982" w:rsidRDefault="00011CC2" w:rsidP="00011CC2">
      <w:pPr>
        <w:autoSpaceDE w:val="0"/>
        <w:autoSpaceDN w:val="0"/>
        <w:adjustRightInd w:val="0"/>
        <w:spacing w:line="360" w:lineRule="auto"/>
        <w:ind w:right="-28"/>
        <w:jc w:val="both"/>
        <w:rPr>
          <w:rFonts w:ascii="Palatino Linotype" w:eastAsia="Calibri" w:hAnsi="Palatino Linotype" w:cs="Tahoma"/>
          <w:sz w:val="22"/>
          <w:szCs w:val="22"/>
          <w:lang w:val="es-ES" w:eastAsia="es-MX"/>
        </w:rPr>
      </w:pPr>
      <w:r w:rsidRPr="00B92982">
        <w:rPr>
          <w:rFonts w:ascii="Palatino Linotype" w:eastAsia="Calibri" w:hAnsi="Palatino Linotype" w:cs="Tahoma"/>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B92982">
        <w:rPr>
          <w:rFonts w:ascii="Palatino Linotype" w:eastAsia="Calibri" w:hAnsi="Palatino Linotype" w:cs="Tahoma"/>
          <w:sz w:val="22"/>
          <w:szCs w:val="22"/>
          <w:lang w:val="es-ES" w:eastAsia="es-MX"/>
        </w:rPr>
        <w:lastRenderedPageBreak/>
        <w:t>supuestos establecidos en el artículo 191 de la Ley de Transparencia y Acceso a la Información Pública del Estado de México y Municipios, por ser improcedente.</w:t>
      </w:r>
    </w:p>
    <w:p w14:paraId="1376313D" w14:textId="77777777" w:rsidR="00011CC2" w:rsidRDefault="00011CC2" w:rsidP="00011CC2">
      <w:pPr>
        <w:spacing w:line="360" w:lineRule="auto"/>
        <w:jc w:val="both"/>
        <w:rPr>
          <w:rFonts w:ascii="Palatino Linotype" w:hAnsi="Palatino Linotype" w:cs="Tahoma"/>
          <w:color w:val="FF0000"/>
          <w:sz w:val="22"/>
          <w:szCs w:val="24"/>
        </w:rPr>
      </w:pPr>
    </w:p>
    <w:p w14:paraId="384BA6A9" w14:textId="77777777" w:rsidR="00011CC2" w:rsidRDefault="00011CC2" w:rsidP="00011CC2">
      <w:pPr>
        <w:spacing w:line="360" w:lineRule="auto"/>
        <w:jc w:val="both"/>
        <w:rPr>
          <w:rFonts w:ascii="Palatino Linotype" w:hAnsi="Palatino Linotype" w:cs="Tahoma"/>
          <w:sz w:val="22"/>
          <w:szCs w:val="24"/>
        </w:rPr>
      </w:pPr>
      <w:r>
        <w:rPr>
          <w:rFonts w:ascii="Palatino Linotype" w:hAnsi="Palatino Linotype" w:cs="Tahoma"/>
          <w:sz w:val="22"/>
          <w:szCs w:val="24"/>
        </w:rPr>
        <w:t xml:space="preserve">En el presente caso, </w:t>
      </w:r>
      <w:r w:rsidRPr="00F57F9F">
        <w:rPr>
          <w:rFonts w:ascii="Palatino Linotype" w:hAnsi="Palatino Linotype" w:cs="Tahoma"/>
          <w:sz w:val="22"/>
          <w:szCs w:val="24"/>
        </w:rPr>
        <w:t>no se actualizan las causales de improcedencia establecidas en el artículo 191,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49456F65" w14:textId="77777777" w:rsidR="00011CC2" w:rsidRDefault="00011CC2" w:rsidP="00011CC2">
      <w:pPr>
        <w:spacing w:line="360" w:lineRule="auto"/>
        <w:jc w:val="both"/>
        <w:rPr>
          <w:rFonts w:ascii="Palatino Linotype" w:hAnsi="Palatino Linotype" w:cs="Tahoma"/>
          <w:color w:val="FF0000"/>
          <w:sz w:val="22"/>
          <w:szCs w:val="24"/>
        </w:rPr>
      </w:pPr>
    </w:p>
    <w:p w14:paraId="07CF52E8" w14:textId="6763ACF4" w:rsidR="00011CC2" w:rsidRPr="00B92982" w:rsidRDefault="00011CC2" w:rsidP="00011CC2">
      <w:pPr>
        <w:spacing w:line="360" w:lineRule="auto"/>
        <w:jc w:val="both"/>
        <w:rPr>
          <w:rFonts w:ascii="Palatino Linotype" w:hAnsi="Palatino Linotype" w:cs="Tahoma"/>
          <w:sz w:val="22"/>
          <w:szCs w:val="24"/>
        </w:rPr>
      </w:pPr>
      <w:r w:rsidRPr="00B92982">
        <w:rPr>
          <w:rFonts w:ascii="Palatino Linotype" w:hAnsi="Palatino Linotype" w:cs="Tahoma"/>
          <w:sz w:val="22"/>
          <w:szCs w:val="24"/>
        </w:rPr>
        <w:t xml:space="preserve">Asimismo, se actualiza la causal de procedencia del Recurso de Revisión señalada en el artículo 179, fracción </w:t>
      </w:r>
      <w:r>
        <w:rPr>
          <w:rFonts w:ascii="Palatino Linotype" w:hAnsi="Palatino Linotype" w:cs="Tahoma"/>
          <w:sz w:val="22"/>
          <w:szCs w:val="24"/>
        </w:rPr>
        <w:t>II y V</w:t>
      </w:r>
      <w:r w:rsidRPr="00B92982">
        <w:rPr>
          <w:rFonts w:ascii="Palatino Linotype" w:hAnsi="Palatino Linotype" w:cs="Tahoma"/>
          <w:sz w:val="22"/>
          <w:szCs w:val="24"/>
        </w:rPr>
        <w:t xml:space="preserve">, de la Ley en cita, pues el Recurrente se inconformó con la entrega de la información </w:t>
      </w:r>
      <w:r>
        <w:rPr>
          <w:rFonts w:ascii="Palatino Linotype" w:hAnsi="Palatino Linotype" w:cs="Tahoma"/>
          <w:sz w:val="22"/>
          <w:szCs w:val="24"/>
        </w:rPr>
        <w:t>incompleta y la clasificación de la información</w:t>
      </w:r>
      <w:r w:rsidRPr="00B92982">
        <w:rPr>
          <w:rFonts w:ascii="Palatino Linotype" w:hAnsi="Palatino Linotype" w:cs="Tahoma"/>
          <w:sz w:val="22"/>
          <w:szCs w:val="24"/>
        </w:rPr>
        <w:t>.</w:t>
      </w:r>
    </w:p>
    <w:p w14:paraId="37AC4042" w14:textId="77777777" w:rsidR="00011CC2" w:rsidRPr="00597B4E" w:rsidRDefault="00011CC2" w:rsidP="00011CC2">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402B2AA3" w14:textId="77777777" w:rsidR="00011CC2" w:rsidRPr="00011CC2" w:rsidRDefault="00011CC2" w:rsidP="00011CC2">
      <w:pPr>
        <w:keepNext/>
        <w:keepLines/>
        <w:spacing w:line="360" w:lineRule="auto"/>
        <w:outlineLvl w:val="0"/>
        <w:rPr>
          <w:rFonts w:ascii="Palatino Linotype" w:eastAsiaTheme="majorEastAsia" w:hAnsi="Palatino Linotype" w:cstheme="majorBidi"/>
          <w:b/>
          <w:sz w:val="22"/>
          <w:szCs w:val="22"/>
        </w:rPr>
      </w:pPr>
      <w:bookmarkStart w:id="21" w:name="_Toc193798176"/>
      <w:bookmarkStart w:id="22" w:name="_Toc206081362"/>
      <w:r w:rsidRPr="00011CC2">
        <w:rPr>
          <w:rFonts w:ascii="Palatino Linotype" w:eastAsiaTheme="majorEastAsia" w:hAnsi="Palatino Linotype" w:cstheme="majorBidi"/>
          <w:b/>
          <w:sz w:val="22"/>
          <w:szCs w:val="22"/>
        </w:rPr>
        <w:t>TERCERO. Causales de sobreseimiento</w:t>
      </w:r>
      <w:bookmarkEnd w:id="21"/>
      <w:bookmarkEnd w:id="22"/>
    </w:p>
    <w:p w14:paraId="530F80E3" w14:textId="77777777" w:rsidR="00011CC2" w:rsidRPr="00011CC2" w:rsidRDefault="00011CC2" w:rsidP="00011CC2">
      <w:pPr>
        <w:spacing w:line="360" w:lineRule="auto"/>
        <w:ind w:right="-28"/>
        <w:jc w:val="both"/>
        <w:rPr>
          <w:rFonts w:ascii="Palatino Linotype" w:eastAsia="Calibri" w:hAnsi="Palatino Linotype" w:cs="Tahoma"/>
          <w:color w:val="FF0000"/>
          <w:sz w:val="22"/>
          <w:szCs w:val="22"/>
          <w:lang w:val="es-ES" w:eastAsia="es-ES_tradnl"/>
        </w:rPr>
      </w:pPr>
    </w:p>
    <w:p w14:paraId="14D05DDB" w14:textId="77777777" w:rsidR="00011CC2" w:rsidRPr="00011CC2" w:rsidRDefault="00011CC2" w:rsidP="00011CC2">
      <w:pPr>
        <w:spacing w:line="360" w:lineRule="auto"/>
        <w:jc w:val="both"/>
        <w:rPr>
          <w:rFonts w:ascii="Palatino Linotype" w:hAnsi="Palatino Linotype" w:cs="Tahoma"/>
          <w:sz w:val="22"/>
          <w:szCs w:val="24"/>
        </w:rPr>
      </w:pPr>
      <w:r w:rsidRPr="00011CC2">
        <w:rPr>
          <w:rFonts w:ascii="Palatino Linotype" w:hAnsi="Palatino Linotype" w:cs="Tahoma"/>
          <w:sz w:val="22"/>
          <w:szCs w:val="24"/>
        </w:rPr>
        <w:t xml:space="preserve">Por ser de previo y especial pronunciamiento, este Instituto analiza si se actualiza alguna causal de sobreseimiento. </w:t>
      </w:r>
    </w:p>
    <w:p w14:paraId="0B02510B" w14:textId="77777777" w:rsidR="000164F0" w:rsidRDefault="000164F0" w:rsidP="000164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5C4D234" w14:textId="77777777" w:rsidR="00011CC2" w:rsidRPr="00B92982" w:rsidRDefault="00011CC2" w:rsidP="00011CC2">
      <w:pPr>
        <w:spacing w:line="360" w:lineRule="auto"/>
        <w:jc w:val="both"/>
        <w:rPr>
          <w:rFonts w:ascii="Palatino Linotype" w:hAnsi="Palatino Linotype" w:cs="Tahoma"/>
          <w:sz w:val="22"/>
          <w:szCs w:val="24"/>
        </w:rPr>
      </w:pPr>
      <w:r w:rsidRPr="00B92982">
        <w:rPr>
          <w:rFonts w:ascii="Palatino Linotype" w:hAnsi="Palatino Linotype" w:cs="Tahoma"/>
          <w:bCs/>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B92982">
        <w:rPr>
          <w:rFonts w:ascii="Palatino Linotype" w:hAnsi="Palatino Linotype" w:cs="Tahoma"/>
          <w:b/>
          <w:bCs/>
          <w:sz w:val="22"/>
          <w:szCs w:val="22"/>
        </w:rPr>
        <w:t>que no se actualizan los supuestos de sobreseimiento previstos en las fracciones I, II, III y V</w:t>
      </w:r>
      <w:r w:rsidRPr="00B92982">
        <w:rPr>
          <w:rFonts w:ascii="Palatino Linotype" w:hAnsi="Palatino Linotype" w:cs="Tahoma"/>
          <w:bCs/>
          <w:sz w:val="22"/>
          <w:szCs w:val="22"/>
        </w:rPr>
        <w:t xml:space="preserve">, </w:t>
      </w:r>
      <w:r w:rsidRPr="00B92982">
        <w:rPr>
          <w:rFonts w:ascii="Palatino Linotype" w:eastAsia="Calibri" w:hAnsi="Palatino Linotype" w:cs="Tahoma"/>
          <w:sz w:val="22"/>
        </w:rPr>
        <w:t xml:space="preserve">toda vez que no hay constancias en el expediente en que se actúa, de que la Recurrente se haya desistido, haya fallecido, haya modificado o revocada su respuesta  o bien, </w:t>
      </w:r>
      <w:r w:rsidRPr="00B92982">
        <w:rPr>
          <w:rFonts w:ascii="Palatino Linotype" w:hAnsi="Palatino Linotype" w:cs="Tahoma"/>
          <w:sz w:val="22"/>
          <w:szCs w:val="24"/>
        </w:rPr>
        <w:t>que el Recurso de Revisión haya queda sin materia.</w:t>
      </w:r>
    </w:p>
    <w:p w14:paraId="6AC0D314" w14:textId="77777777" w:rsidR="00011CC2" w:rsidRPr="00597B4E" w:rsidRDefault="00011CC2" w:rsidP="00011CC2">
      <w:pPr>
        <w:spacing w:line="360" w:lineRule="auto"/>
        <w:jc w:val="both"/>
        <w:rPr>
          <w:rFonts w:ascii="Palatino Linotype" w:hAnsi="Palatino Linotype" w:cs="Tahoma"/>
          <w:color w:val="FF0000"/>
          <w:sz w:val="22"/>
          <w:szCs w:val="24"/>
        </w:rPr>
      </w:pPr>
    </w:p>
    <w:p w14:paraId="026E9D55" w14:textId="77777777" w:rsidR="00011CC2" w:rsidRPr="00B92982" w:rsidRDefault="00011CC2" w:rsidP="00011CC2">
      <w:pPr>
        <w:spacing w:line="360" w:lineRule="auto"/>
        <w:jc w:val="both"/>
        <w:rPr>
          <w:rFonts w:ascii="Palatino Linotype" w:hAnsi="Palatino Linotype" w:cs="Tahoma"/>
          <w:bCs/>
          <w:sz w:val="22"/>
          <w:szCs w:val="22"/>
          <w:lang w:val="es-ES"/>
        </w:rPr>
      </w:pPr>
      <w:r w:rsidRPr="00B92982">
        <w:rPr>
          <w:rFonts w:ascii="Palatino Linotype" w:hAnsi="Palatino Linotype" w:cs="Tahoma"/>
          <w:bCs/>
          <w:sz w:val="22"/>
          <w:szCs w:val="22"/>
        </w:rPr>
        <w:lastRenderedPageBreak/>
        <w:t xml:space="preserve">No obstante, por lo que hace a la hipótesis prevista en la </w:t>
      </w:r>
      <w:r w:rsidRPr="00B92982">
        <w:rPr>
          <w:rFonts w:ascii="Palatino Linotype" w:hAnsi="Palatino Linotype" w:cs="Tahoma"/>
          <w:b/>
          <w:bCs/>
          <w:sz w:val="22"/>
          <w:szCs w:val="22"/>
        </w:rPr>
        <w:t>fracción IV</w:t>
      </w:r>
      <w:r w:rsidRPr="00B92982">
        <w:rPr>
          <w:rFonts w:ascii="Palatino Linotype" w:hAnsi="Palatino Linotype" w:cs="Tahoma"/>
          <w:bCs/>
          <w:sz w:val="22"/>
          <w:szCs w:val="22"/>
        </w:rPr>
        <w:t xml:space="preserve">, a saber, </w:t>
      </w:r>
      <w:proofErr w:type="gramStart"/>
      <w:r w:rsidRPr="00B92982">
        <w:rPr>
          <w:rFonts w:ascii="Palatino Linotype" w:hAnsi="Palatino Linotype" w:cs="Tahoma"/>
          <w:bCs/>
          <w:sz w:val="22"/>
          <w:szCs w:val="22"/>
        </w:rPr>
        <w:t>que</w:t>
      </w:r>
      <w:proofErr w:type="gramEnd"/>
      <w:r w:rsidRPr="00B92982">
        <w:rPr>
          <w:rFonts w:ascii="Palatino Linotype" w:hAnsi="Palatino Linotype" w:cs="Tahoma"/>
          <w:bCs/>
          <w:sz w:val="22"/>
          <w:szCs w:val="22"/>
        </w:rPr>
        <w:t xml:space="preserve"> una vez admitido el Recurso de Revisión, aparezca alguna causal de improcedencia en términos de la presente Ley, resulta necesario analizar</w:t>
      </w:r>
      <w:r w:rsidRPr="00B92982">
        <w:rPr>
          <w:rFonts w:ascii="Palatino Linotype" w:hAnsi="Palatino Linotype" w:cs="Tahoma"/>
          <w:bCs/>
          <w:sz w:val="22"/>
          <w:szCs w:val="22"/>
          <w:lang w:val="es-ES"/>
        </w:rPr>
        <w:t xml:space="preserve"> el artículo 191, fracciones III</w:t>
      </w:r>
      <w:r w:rsidRPr="00B92982">
        <w:rPr>
          <w:rFonts w:ascii="Palatino Linotype" w:eastAsia="Calibri" w:hAnsi="Palatino Linotype" w:cs="Tahoma"/>
          <w:bCs/>
          <w:sz w:val="22"/>
          <w:szCs w:val="22"/>
          <w:lang w:val="es-ES" w:eastAsia="es-ES_tradnl"/>
        </w:rPr>
        <w:t xml:space="preserve">, de dicho ordenamiento jurídico, que establece que el Recurso de Revisión será desechado por improcedente, cuando dicho medio no actualice alguno de los supuestos previstos en el diverso 179 de la presente Ley. </w:t>
      </w:r>
      <w:r w:rsidRPr="00B92982">
        <w:rPr>
          <w:rFonts w:ascii="Palatino Linotype" w:hAnsi="Palatino Linotype" w:cs="Arial"/>
          <w:bCs/>
          <w:sz w:val="22"/>
          <w:szCs w:val="22"/>
        </w:rPr>
        <w:t>En ese orden de ideas, dicho artículo prevé lo siguiente:</w:t>
      </w:r>
    </w:p>
    <w:p w14:paraId="68966B0B" w14:textId="77777777" w:rsidR="00011CC2" w:rsidRPr="00B92982" w:rsidRDefault="00011CC2" w:rsidP="00011CC2">
      <w:pPr>
        <w:spacing w:line="360" w:lineRule="auto"/>
        <w:jc w:val="both"/>
        <w:rPr>
          <w:rFonts w:ascii="Palatino Linotype" w:hAnsi="Palatino Linotype" w:cs="Arial"/>
          <w:bCs/>
          <w:sz w:val="22"/>
          <w:szCs w:val="22"/>
        </w:rPr>
      </w:pPr>
    </w:p>
    <w:p w14:paraId="6D95626E"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
          <w:bCs/>
          <w:i/>
          <w:lang w:eastAsia="en-US"/>
        </w:rPr>
        <w:t xml:space="preserve">“Artículo 179. </w:t>
      </w:r>
      <w:r w:rsidRPr="00B92982">
        <w:rPr>
          <w:rFonts w:ascii="Palatino Linotype" w:eastAsiaTheme="minorHAnsi" w:hAnsi="Palatino Linotype" w:cs="Arial"/>
          <w:bCs/>
          <w:i/>
          <w:lang w:eastAsia="en-US"/>
        </w:rPr>
        <w:t xml:space="preserve">El recurso de revisión es un medio de protección que la Ley otorga a los particulares, para hacer valer su derecho de acceso a la información pública, y procederá en contra de las siguientes causas: </w:t>
      </w:r>
    </w:p>
    <w:p w14:paraId="16EE1A36"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p>
    <w:p w14:paraId="47705405"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I. La negativa a la información solicitada; </w:t>
      </w:r>
    </w:p>
    <w:p w14:paraId="3B542BD1"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II. La clasificación de la información; </w:t>
      </w:r>
    </w:p>
    <w:p w14:paraId="2721CF43"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III. La declaración de inexistencia de la información; </w:t>
      </w:r>
    </w:p>
    <w:p w14:paraId="57190B1D"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IV. La declaración de incompetencia por el sujeto obligado; </w:t>
      </w:r>
    </w:p>
    <w:p w14:paraId="76CC4634"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V. La entrega de información incompleta; </w:t>
      </w:r>
    </w:p>
    <w:p w14:paraId="15AE1D99"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VI. La entrega de información que no corresponda con lo solicitado; </w:t>
      </w:r>
    </w:p>
    <w:p w14:paraId="53B22EDA"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VII. La falta de respuesta a una solicitud de acceso a la información; </w:t>
      </w:r>
    </w:p>
    <w:p w14:paraId="75BC4AD7"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VIII. La notificación, entrega o puesta a disposición de información en una modalidad o formato distinto al solicitado; </w:t>
      </w:r>
    </w:p>
    <w:p w14:paraId="53901EA7"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IX. La entrega o puesta a disposición de información en un formato incomprensible y/o no accesible para el solicitante; </w:t>
      </w:r>
    </w:p>
    <w:p w14:paraId="5AF4D2F2"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X. Los costos o tiempos de entrega de la información; </w:t>
      </w:r>
    </w:p>
    <w:p w14:paraId="7D4D656D"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XI. La falta de trámite a una solicitud; </w:t>
      </w:r>
    </w:p>
    <w:p w14:paraId="1D390CCC" w14:textId="77777777" w:rsidR="00011CC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XII. La negativa a permitir la consulta directa de la información; </w:t>
      </w:r>
    </w:p>
    <w:p w14:paraId="30ACADE0"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 xml:space="preserve">XIII. La falta, deficiencia o insuficiencia de la fundamentación y/o motivación en la respuesta; y </w:t>
      </w:r>
    </w:p>
    <w:p w14:paraId="6B9733F4"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XIV. La orientación a un trámite específico.</w:t>
      </w:r>
    </w:p>
    <w:p w14:paraId="22B0FFB8" w14:textId="77777777" w:rsidR="00011CC2" w:rsidRPr="00B92982" w:rsidRDefault="00011CC2" w:rsidP="00011CC2">
      <w:pPr>
        <w:spacing w:line="360" w:lineRule="auto"/>
        <w:ind w:left="567" w:right="567"/>
        <w:jc w:val="both"/>
        <w:rPr>
          <w:rFonts w:ascii="Palatino Linotype" w:eastAsiaTheme="minorHAnsi" w:hAnsi="Palatino Linotype" w:cs="Arial"/>
          <w:bCs/>
          <w:i/>
          <w:lang w:eastAsia="en-US"/>
        </w:rPr>
      </w:pPr>
      <w:r w:rsidRPr="00B92982">
        <w:rPr>
          <w:rFonts w:ascii="Palatino Linotype" w:eastAsiaTheme="minorHAnsi" w:hAnsi="Palatino Linotype" w:cs="Arial"/>
          <w:bCs/>
          <w:i/>
          <w:lang w:eastAsia="en-US"/>
        </w:rPr>
        <w:t>…”</w:t>
      </w:r>
    </w:p>
    <w:p w14:paraId="7B4EF4DB" w14:textId="77777777" w:rsidR="00011CC2" w:rsidRDefault="00011CC2" w:rsidP="00011CC2">
      <w:pPr>
        <w:spacing w:line="360" w:lineRule="auto"/>
        <w:jc w:val="both"/>
        <w:rPr>
          <w:rFonts w:ascii="Palatino Linotype" w:hAnsi="Palatino Linotype"/>
          <w:b/>
          <w:bCs/>
          <w:sz w:val="22"/>
          <w:szCs w:val="22"/>
          <w:lang w:val="es-ES"/>
        </w:rPr>
      </w:pPr>
    </w:p>
    <w:p w14:paraId="1F146C8C" w14:textId="77777777" w:rsidR="00011CC2" w:rsidRPr="00F57F9F" w:rsidRDefault="00011CC2" w:rsidP="00011CC2">
      <w:pPr>
        <w:tabs>
          <w:tab w:val="left" w:pos="4962"/>
        </w:tabs>
        <w:spacing w:line="360" w:lineRule="auto"/>
        <w:jc w:val="both"/>
        <w:rPr>
          <w:rFonts w:ascii="Palatino Linotype" w:eastAsia="Palatino Linotype" w:hAnsi="Palatino Linotype" w:cs="Tahoma"/>
          <w:sz w:val="22"/>
          <w:szCs w:val="22"/>
          <w:lang w:val="es-ES" w:eastAsia="en-US"/>
        </w:rPr>
      </w:pPr>
      <w:r w:rsidRPr="00F57F9F">
        <w:rPr>
          <w:rFonts w:ascii="Palatino Linotype" w:eastAsia="Palatino Linotype" w:hAnsi="Palatino Linotype" w:cs="Tahoma"/>
          <w:sz w:val="22"/>
          <w:szCs w:val="22"/>
          <w:lang w:val="es-ES" w:eastAsia="en-US"/>
        </w:rPr>
        <w:lastRenderedPageBreak/>
        <w:t>En ese contexto,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6D94FB6B" w14:textId="77777777" w:rsidR="00011CC2" w:rsidRPr="00F57F9F" w:rsidRDefault="00011CC2" w:rsidP="00011CC2">
      <w:pPr>
        <w:tabs>
          <w:tab w:val="left" w:pos="4962"/>
        </w:tabs>
        <w:spacing w:line="360" w:lineRule="auto"/>
        <w:jc w:val="both"/>
        <w:rPr>
          <w:rFonts w:ascii="Palatino Linotype" w:eastAsia="Palatino Linotype" w:hAnsi="Palatino Linotype" w:cs="Tahoma"/>
          <w:sz w:val="22"/>
          <w:szCs w:val="22"/>
          <w:lang w:val="es-ES" w:eastAsia="en-US"/>
        </w:rPr>
      </w:pPr>
    </w:p>
    <w:p w14:paraId="077E196E" w14:textId="77777777" w:rsidR="00011CC2" w:rsidRPr="00F57F9F" w:rsidRDefault="00011CC2" w:rsidP="00011CC2">
      <w:pPr>
        <w:tabs>
          <w:tab w:val="left" w:pos="4962"/>
        </w:tabs>
        <w:spacing w:line="360" w:lineRule="auto"/>
        <w:jc w:val="both"/>
        <w:rPr>
          <w:rFonts w:ascii="Palatino Linotype" w:eastAsia="Palatino Linotype" w:hAnsi="Palatino Linotype" w:cs="Tahoma"/>
          <w:sz w:val="22"/>
          <w:szCs w:val="22"/>
          <w:lang w:val="es-ES" w:eastAsia="en-US"/>
        </w:rPr>
      </w:pPr>
      <w:r w:rsidRPr="00F57F9F">
        <w:rPr>
          <w:rFonts w:ascii="Palatino Linotype" w:eastAsia="Palatino Linotype" w:hAnsi="Palatino Linotype" w:cs="Tahoma"/>
          <w:sz w:val="22"/>
          <w:szCs w:val="22"/>
          <w:lang w:val="es-ES" w:eastAsia="en-US"/>
        </w:rPr>
        <w:t>Además, conforme al Diccionario de Transparencia y Acceso a la Información Pública y la página oficial de este Instituto (</w:t>
      </w:r>
      <w:hyperlink r:id="rId8" w:anchor="queEsRRdeIP" w:history="1">
        <w:r w:rsidRPr="00F57F9F">
          <w:rPr>
            <w:rFonts w:ascii="Palatino Linotype" w:eastAsia="Palatino Linotype" w:hAnsi="Palatino Linotype" w:cs="Tahoma"/>
            <w:sz w:val="22"/>
            <w:szCs w:val="22"/>
            <w:lang w:val="es-ES" w:eastAsia="en-US"/>
          </w:rPr>
          <w:t>https://www.infoem.org.mx/es/content/informacion-publica#queEsRRdeIP</w:t>
        </w:r>
      </w:hyperlink>
      <w:r w:rsidRPr="00F57F9F">
        <w:rPr>
          <w:rFonts w:ascii="Palatino Linotype" w:eastAsia="Palatino Linotype" w:hAnsi="Palatino Linotype" w:cs="Tahoma"/>
          <w:sz w:val="22"/>
          <w:szCs w:val="22"/>
          <w:lang w:val="es-ES" w:eastAsia="en-U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r>
        <w:rPr>
          <w:rFonts w:ascii="Palatino Linotype" w:eastAsia="Palatino Linotype" w:hAnsi="Palatino Linotype" w:cs="Tahoma"/>
          <w:sz w:val="22"/>
          <w:szCs w:val="22"/>
          <w:lang w:val="es-ES" w:eastAsia="en-US"/>
        </w:rPr>
        <w:t xml:space="preserve"> </w:t>
      </w:r>
      <w:r w:rsidRPr="00F57F9F">
        <w:rPr>
          <w:rFonts w:ascii="Palatino Linotype" w:eastAsia="Palatino Linotype" w:hAnsi="Palatino Linotype" w:cs="Tahoma"/>
          <w:sz w:val="22"/>
          <w:szCs w:val="22"/>
          <w:lang w:val="es-ES" w:eastAsia="en-U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F57F9F">
        <w:rPr>
          <w:rFonts w:ascii="Palatino Linotype" w:eastAsia="Palatino Linotype" w:hAnsi="Palatino Linotype" w:cs="Tahoma"/>
          <w:b/>
          <w:sz w:val="22"/>
          <w:szCs w:val="22"/>
          <w:u w:val="single"/>
          <w:lang w:val="es-ES" w:eastAsia="en-US"/>
        </w:rPr>
        <w:t>a una solicitud de información específica.</w:t>
      </w:r>
    </w:p>
    <w:p w14:paraId="0BA2579F" w14:textId="77777777" w:rsidR="00011CC2" w:rsidRPr="00F57F9F" w:rsidRDefault="00011CC2" w:rsidP="00011CC2">
      <w:pPr>
        <w:tabs>
          <w:tab w:val="left" w:pos="4962"/>
        </w:tabs>
        <w:spacing w:line="360" w:lineRule="auto"/>
        <w:jc w:val="both"/>
        <w:rPr>
          <w:rFonts w:ascii="Palatino Linotype" w:eastAsia="Palatino Linotype" w:hAnsi="Palatino Linotype" w:cs="Tahoma"/>
          <w:sz w:val="22"/>
          <w:szCs w:val="22"/>
          <w:lang w:val="es-ES" w:eastAsia="en-US"/>
        </w:rPr>
      </w:pPr>
    </w:p>
    <w:p w14:paraId="6E082D40" w14:textId="77777777" w:rsidR="00011CC2" w:rsidRDefault="00011CC2" w:rsidP="00011CC2">
      <w:pPr>
        <w:spacing w:line="360" w:lineRule="auto"/>
        <w:jc w:val="both"/>
        <w:rPr>
          <w:rFonts w:ascii="Palatino Linotype" w:eastAsia="Calibri" w:hAnsi="Palatino Linotype" w:cs="Tahoma"/>
          <w:sz w:val="22"/>
          <w:szCs w:val="22"/>
          <w:lang w:eastAsia="en-US"/>
        </w:rPr>
      </w:pPr>
      <w:r w:rsidRPr="00F57F9F">
        <w:rPr>
          <w:rFonts w:ascii="Palatino Linotype" w:eastAsia="Palatino Linotype" w:hAnsi="Palatino Linotype" w:cs="Tahoma"/>
          <w:sz w:val="22"/>
          <w:szCs w:val="22"/>
          <w:lang w:val="es-ES" w:eastAsia="en-US"/>
        </w:rPr>
        <w:t xml:space="preserve">Con base en lo anterior, y a efecto de verificar si el presente Recurso de Revisión actualiza alguna causal de procedencia del artículo 179 de la Ley de la Materia citado en párrafos que anteceden, </w:t>
      </w:r>
      <w:r w:rsidRPr="00F57F9F">
        <w:rPr>
          <w:rFonts w:ascii="Palatino Linotype" w:eastAsia="Palatino Linotype" w:hAnsi="Palatino Linotype" w:cs="Palatino Linotype"/>
          <w:sz w:val="22"/>
          <w:szCs w:val="22"/>
          <w:lang w:val="es-ES" w:eastAsia="en-US"/>
        </w:rPr>
        <w:t xml:space="preserve">es necesario </w:t>
      </w:r>
      <w:r w:rsidRPr="00F57F9F">
        <w:rPr>
          <w:rFonts w:ascii="Palatino Linotype" w:eastAsia="Calibri" w:hAnsi="Palatino Linotype" w:cs="Tahoma"/>
          <w:sz w:val="22"/>
          <w:szCs w:val="22"/>
          <w:lang w:eastAsia="en-US"/>
        </w:rPr>
        <w:t>realizar un cuadro que contenga lo solicitado, la respuesta emitida por el Sujeto Obligado y la inconformidad por parte de la Persona Recurrente, como se muestra a continuación:</w:t>
      </w:r>
    </w:p>
    <w:p w14:paraId="2BCD3E51" w14:textId="77777777" w:rsidR="00011CC2" w:rsidRDefault="00011CC2" w:rsidP="000164F0">
      <w:pPr>
        <w:autoSpaceDE w:val="0"/>
        <w:autoSpaceDN w:val="0"/>
        <w:adjustRightInd w:val="0"/>
        <w:spacing w:line="360" w:lineRule="auto"/>
        <w:jc w:val="both"/>
        <w:rPr>
          <w:rFonts w:ascii="Palatino Linotype" w:eastAsia="Calibri" w:hAnsi="Palatino Linotype" w:cs="Tahoma"/>
          <w:color w:val="000000"/>
          <w:sz w:val="22"/>
          <w:szCs w:val="22"/>
          <w:lang w:eastAsia="es-MX"/>
        </w:rPr>
      </w:pPr>
    </w:p>
    <w:tbl>
      <w:tblPr>
        <w:tblStyle w:val="Tablaconcuadrcula"/>
        <w:tblW w:w="0" w:type="auto"/>
        <w:tblLayout w:type="fixed"/>
        <w:tblLook w:val="04A0" w:firstRow="1" w:lastRow="0" w:firstColumn="1" w:lastColumn="0" w:noHBand="0" w:noVBand="1"/>
      </w:tblPr>
      <w:tblGrid>
        <w:gridCol w:w="2405"/>
        <w:gridCol w:w="2693"/>
        <w:gridCol w:w="3823"/>
      </w:tblGrid>
      <w:tr w:rsidR="00011CC2" w:rsidRPr="00011CC2" w14:paraId="3BE8AA00" w14:textId="77777777" w:rsidTr="00011CC2">
        <w:tc>
          <w:tcPr>
            <w:tcW w:w="2405" w:type="dxa"/>
            <w:shd w:val="clear" w:color="auto" w:fill="FFE599" w:themeFill="accent4" w:themeFillTint="66"/>
          </w:tcPr>
          <w:p w14:paraId="5A650CD2" w14:textId="77777777" w:rsidR="00011CC2" w:rsidRPr="00011CC2" w:rsidRDefault="00011CC2" w:rsidP="00F36B26">
            <w:pPr>
              <w:spacing w:line="360" w:lineRule="auto"/>
              <w:jc w:val="center"/>
              <w:rPr>
                <w:rFonts w:ascii="Palatino Linotype" w:eastAsia="Calibri" w:hAnsi="Palatino Linotype" w:cs="Tahoma"/>
                <w:b/>
                <w:bCs/>
              </w:rPr>
            </w:pPr>
            <w:r w:rsidRPr="00011CC2">
              <w:rPr>
                <w:rFonts w:ascii="Palatino Linotype" w:eastAsia="Calibri" w:hAnsi="Palatino Linotype" w:cs="Tahoma"/>
                <w:b/>
                <w:bCs/>
              </w:rPr>
              <w:t>Solicitud</w:t>
            </w:r>
          </w:p>
        </w:tc>
        <w:tc>
          <w:tcPr>
            <w:tcW w:w="2693" w:type="dxa"/>
            <w:shd w:val="clear" w:color="auto" w:fill="FFE599" w:themeFill="accent4" w:themeFillTint="66"/>
          </w:tcPr>
          <w:p w14:paraId="71A9AF66" w14:textId="77777777" w:rsidR="00011CC2" w:rsidRPr="00011CC2" w:rsidRDefault="00011CC2" w:rsidP="00F36B26">
            <w:pPr>
              <w:spacing w:line="360" w:lineRule="auto"/>
              <w:jc w:val="center"/>
              <w:rPr>
                <w:rFonts w:ascii="Palatino Linotype" w:eastAsia="Calibri" w:hAnsi="Palatino Linotype" w:cs="Tahoma"/>
                <w:b/>
                <w:bCs/>
              </w:rPr>
            </w:pPr>
            <w:r w:rsidRPr="00011CC2">
              <w:rPr>
                <w:rFonts w:ascii="Palatino Linotype" w:eastAsia="Calibri" w:hAnsi="Palatino Linotype" w:cs="Tahoma"/>
                <w:b/>
                <w:bCs/>
              </w:rPr>
              <w:t>Respuesta</w:t>
            </w:r>
          </w:p>
        </w:tc>
        <w:tc>
          <w:tcPr>
            <w:tcW w:w="3823" w:type="dxa"/>
            <w:shd w:val="clear" w:color="auto" w:fill="FFE599" w:themeFill="accent4" w:themeFillTint="66"/>
          </w:tcPr>
          <w:p w14:paraId="15BAD777" w14:textId="77777777" w:rsidR="00011CC2" w:rsidRPr="00011CC2" w:rsidRDefault="00011CC2" w:rsidP="00F36B26">
            <w:pPr>
              <w:tabs>
                <w:tab w:val="left" w:pos="1861"/>
              </w:tabs>
              <w:spacing w:line="360" w:lineRule="auto"/>
              <w:rPr>
                <w:rFonts w:ascii="Palatino Linotype" w:eastAsia="Calibri" w:hAnsi="Palatino Linotype" w:cs="Tahoma"/>
                <w:b/>
                <w:bCs/>
              </w:rPr>
            </w:pPr>
            <w:r w:rsidRPr="00011CC2">
              <w:rPr>
                <w:rFonts w:ascii="Palatino Linotype" w:eastAsia="Calibri" w:hAnsi="Palatino Linotype" w:cs="Tahoma"/>
                <w:b/>
                <w:bCs/>
              </w:rPr>
              <w:t>Inconformidad</w:t>
            </w:r>
          </w:p>
        </w:tc>
      </w:tr>
      <w:tr w:rsidR="00011CC2" w:rsidRPr="00011CC2" w14:paraId="38E2D846" w14:textId="77777777" w:rsidTr="00011CC2">
        <w:tc>
          <w:tcPr>
            <w:tcW w:w="2405" w:type="dxa"/>
          </w:tcPr>
          <w:p w14:paraId="67CE9D8F" w14:textId="3D66AC6D" w:rsidR="00011CC2" w:rsidRPr="00011CC2" w:rsidRDefault="00011CC2" w:rsidP="00F36B26">
            <w:pPr>
              <w:spacing w:line="360" w:lineRule="auto"/>
              <w:jc w:val="both"/>
              <w:rPr>
                <w:rFonts w:ascii="Palatino Linotype" w:eastAsia="Calibri" w:hAnsi="Palatino Linotype" w:cs="Tahoma"/>
              </w:rPr>
            </w:pPr>
            <w:r w:rsidRPr="00011CC2">
              <w:rPr>
                <w:rFonts w:ascii="Palatino Linotype" w:eastAsia="Calibri" w:hAnsi="Palatino Linotype" w:cs="Tahoma"/>
              </w:rPr>
              <w:t xml:space="preserve">Las funciones que desempeñan los servidores públicos </w:t>
            </w:r>
            <w:r w:rsidRPr="00011CC2">
              <w:rPr>
                <w:rFonts w:ascii="Palatino Linotype" w:eastAsia="Calibri" w:hAnsi="Palatino Linotype" w:cs="Tahoma"/>
              </w:rPr>
              <w:lastRenderedPageBreak/>
              <w:t>adscritos a la Dirección de Equidad de Género</w:t>
            </w:r>
          </w:p>
        </w:tc>
        <w:tc>
          <w:tcPr>
            <w:tcW w:w="2693" w:type="dxa"/>
          </w:tcPr>
          <w:p w14:paraId="7C7F75CD" w14:textId="2BC816AA" w:rsidR="00011CC2" w:rsidRPr="00011CC2" w:rsidRDefault="00011CC2" w:rsidP="00011CC2">
            <w:pPr>
              <w:tabs>
                <w:tab w:val="left" w:pos="4962"/>
              </w:tabs>
              <w:spacing w:line="360" w:lineRule="auto"/>
              <w:ind w:right="-28"/>
              <w:jc w:val="both"/>
              <w:rPr>
                <w:rFonts w:ascii="Palatino Linotype" w:eastAsia="Calibri" w:hAnsi="Palatino Linotype" w:cs="Tahoma"/>
                <w:iCs/>
                <w:lang w:eastAsia="es-ES_tradnl"/>
              </w:rPr>
            </w:pPr>
            <w:r w:rsidRPr="00011CC2">
              <w:rPr>
                <w:rFonts w:ascii="Palatino Linotype" w:eastAsia="Calibri" w:hAnsi="Palatino Linotype" w:cs="Tahoma"/>
              </w:rPr>
              <w:lastRenderedPageBreak/>
              <w:t xml:space="preserve">El Sujeto Obligado </w:t>
            </w:r>
            <w:r w:rsidRPr="00011CC2">
              <w:rPr>
                <w:rFonts w:ascii="Palatino Linotype" w:eastAsia="Calibri" w:hAnsi="Palatino Linotype" w:cs="Tahoma"/>
                <w:iCs/>
                <w:lang w:eastAsia="es-ES_tradnl"/>
              </w:rPr>
              <w:t xml:space="preserve">informó que no cuenta con dicha información, toda vez que la Dirección de Equidad de </w:t>
            </w:r>
            <w:r w:rsidRPr="00011CC2">
              <w:rPr>
                <w:rFonts w:ascii="Palatino Linotype" w:eastAsia="Calibri" w:hAnsi="Palatino Linotype" w:cs="Tahoma"/>
                <w:iCs/>
                <w:lang w:eastAsia="es-ES_tradnl"/>
              </w:rPr>
              <w:lastRenderedPageBreak/>
              <w:t>Género no forma parte del organigrama de la Dirección General de Educación, Cultura y Turismo</w:t>
            </w:r>
            <w:r>
              <w:rPr>
                <w:rFonts w:ascii="Palatino Linotype" w:eastAsia="Calibri" w:hAnsi="Palatino Linotype" w:cs="Tahoma"/>
                <w:iCs/>
                <w:lang w:eastAsia="es-ES_tradnl"/>
              </w:rPr>
              <w:t>, es decir, aludió a que la información era inexistente.</w:t>
            </w:r>
          </w:p>
        </w:tc>
        <w:tc>
          <w:tcPr>
            <w:tcW w:w="3823" w:type="dxa"/>
          </w:tcPr>
          <w:p w14:paraId="40D7272B" w14:textId="77777777" w:rsidR="00011CC2" w:rsidRPr="00011CC2" w:rsidRDefault="00011CC2" w:rsidP="00F36B26">
            <w:pPr>
              <w:tabs>
                <w:tab w:val="left" w:pos="1861"/>
              </w:tabs>
              <w:spacing w:line="276" w:lineRule="auto"/>
              <w:rPr>
                <w:rFonts w:ascii="Palatino Linotype" w:eastAsia="Calibri" w:hAnsi="Palatino Linotype" w:cs="Tahoma"/>
                <w:bCs/>
                <w:i/>
              </w:rPr>
            </w:pPr>
            <w:r w:rsidRPr="00011CC2">
              <w:rPr>
                <w:rFonts w:ascii="Palatino Linotype" w:eastAsia="Calibri" w:hAnsi="Palatino Linotype" w:cs="Tahoma"/>
                <w:b/>
                <w:bCs/>
                <w:i/>
              </w:rPr>
              <w:lastRenderedPageBreak/>
              <w:t>“ACTO IMPUGNADO</w:t>
            </w:r>
          </w:p>
          <w:p w14:paraId="19067377" w14:textId="652503FA" w:rsidR="00011CC2" w:rsidRPr="00011CC2" w:rsidRDefault="00011CC2" w:rsidP="00F36B26">
            <w:pPr>
              <w:tabs>
                <w:tab w:val="left" w:pos="1861"/>
              </w:tabs>
              <w:spacing w:line="276" w:lineRule="auto"/>
              <w:rPr>
                <w:rFonts w:ascii="Palatino Linotype" w:eastAsia="Calibri" w:hAnsi="Palatino Linotype" w:cs="Tahoma"/>
                <w:i/>
              </w:rPr>
            </w:pPr>
            <w:r w:rsidRPr="0078510C">
              <w:rPr>
                <w:rFonts w:ascii="Palatino Linotype" w:hAnsi="Palatino Linotype" w:cs="Tahoma"/>
                <w:bCs/>
                <w:i/>
                <w:szCs w:val="22"/>
              </w:rPr>
              <w:t xml:space="preserve">la entrega de la </w:t>
            </w:r>
            <w:proofErr w:type="spellStart"/>
            <w:r w:rsidRPr="0078510C">
              <w:rPr>
                <w:rFonts w:ascii="Palatino Linotype" w:hAnsi="Palatino Linotype" w:cs="Tahoma"/>
                <w:bCs/>
                <w:i/>
                <w:szCs w:val="22"/>
              </w:rPr>
              <w:t>informaicón</w:t>
            </w:r>
            <w:proofErr w:type="spellEnd"/>
            <w:r w:rsidRPr="0078510C">
              <w:rPr>
                <w:rFonts w:ascii="Palatino Linotype" w:hAnsi="Palatino Linotype" w:cs="Tahoma"/>
                <w:bCs/>
                <w:i/>
                <w:szCs w:val="22"/>
              </w:rPr>
              <w:t xml:space="preserve"> </w:t>
            </w:r>
            <w:proofErr w:type="spellStart"/>
            <w:r w:rsidRPr="0078510C">
              <w:rPr>
                <w:rFonts w:ascii="Palatino Linotype" w:hAnsi="Palatino Linotype" w:cs="Tahoma"/>
                <w:bCs/>
                <w:i/>
                <w:szCs w:val="22"/>
              </w:rPr>
              <w:t>esta</w:t>
            </w:r>
            <w:proofErr w:type="spellEnd"/>
            <w:r w:rsidRPr="0078510C">
              <w:rPr>
                <w:rFonts w:ascii="Palatino Linotype" w:hAnsi="Palatino Linotype" w:cs="Tahoma"/>
                <w:bCs/>
                <w:i/>
                <w:szCs w:val="22"/>
              </w:rPr>
              <w:t xml:space="preserve"> incompleta y mal testado</w:t>
            </w:r>
            <w:r w:rsidRPr="00011CC2">
              <w:rPr>
                <w:rFonts w:ascii="Palatino Linotype" w:eastAsia="Calibri" w:hAnsi="Palatino Linotype" w:cs="Tahoma"/>
                <w:i/>
              </w:rPr>
              <w:t>” (Sic.)</w:t>
            </w:r>
          </w:p>
          <w:p w14:paraId="6F290957" w14:textId="77777777" w:rsidR="00011CC2" w:rsidRDefault="00011CC2" w:rsidP="00F36B26">
            <w:pPr>
              <w:tabs>
                <w:tab w:val="left" w:pos="1861"/>
              </w:tabs>
              <w:spacing w:line="276" w:lineRule="auto"/>
              <w:jc w:val="both"/>
              <w:rPr>
                <w:rFonts w:ascii="Palatino Linotype" w:eastAsia="Calibri" w:hAnsi="Palatino Linotype" w:cs="Tahoma"/>
                <w:b/>
                <w:i/>
              </w:rPr>
            </w:pPr>
          </w:p>
          <w:p w14:paraId="366621E6" w14:textId="58166B8E" w:rsidR="00011CC2" w:rsidRPr="00011CC2" w:rsidRDefault="00011CC2" w:rsidP="00F36B26">
            <w:pPr>
              <w:tabs>
                <w:tab w:val="left" w:pos="1861"/>
              </w:tabs>
              <w:spacing w:line="276" w:lineRule="auto"/>
              <w:jc w:val="both"/>
              <w:rPr>
                <w:rFonts w:ascii="Palatino Linotype" w:eastAsia="Calibri" w:hAnsi="Palatino Linotype" w:cs="Tahoma"/>
                <w:b/>
                <w:i/>
              </w:rPr>
            </w:pPr>
            <w:r w:rsidRPr="00011CC2">
              <w:rPr>
                <w:rFonts w:ascii="Palatino Linotype" w:eastAsia="Calibri" w:hAnsi="Palatino Linotype" w:cs="Tahoma"/>
                <w:b/>
                <w:i/>
              </w:rPr>
              <w:lastRenderedPageBreak/>
              <w:t>“RAZONES O MOTIVOS DE LA INCONFORMIDAD</w:t>
            </w:r>
          </w:p>
          <w:p w14:paraId="072F33CC" w14:textId="41308AF8" w:rsidR="00011CC2" w:rsidRPr="00011CC2" w:rsidRDefault="00011CC2" w:rsidP="00F36B26">
            <w:pPr>
              <w:tabs>
                <w:tab w:val="left" w:pos="1861"/>
              </w:tabs>
              <w:spacing w:line="276" w:lineRule="auto"/>
              <w:rPr>
                <w:rFonts w:ascii="Palatino Linotype" w:eastAsia="Calibri" w:hAnsi="Palatino Linotype" w:cs="Tahoma"/>
                <w:i/>
              </w:rPr>
            </w:pPr>
            <w:r w:rsidRPr="0078510C">
              <w:rPr>
                <w:rFonts w:ascii="Palatino Linotype" w:hAnsi="Palatino Linotype" w:cs="Tahoma"/>
                <w:bCs/>
                <w:i/>
                <w:szCs w:val="22"/>
              </w:rPr>
              <w:t xml:space="preserve">la entrega de la </w:t>
            </w:r>
            <w:proofErr w:type="spellStart"/>
            <w:r w:rsidRPr="0078510C">
              <w:rPr>
                <w:rFonts w:ascii="Palatino Linotype" w:hAnsi="Palatino Linotype" w:cs="Tahoma"/>
                <w:bCs/>
                <w:i/>
                <w:szCs w:val="22"/>
              </w:rPr>
              <w:t>informaicón</w:t>
            </w:r>
            <w:proofErr w:type="spellEnd"/>
            <w:r w:rsidRPr="0078510C">
              <w:rPr>
                <w:rFonts w:ascii="Palatino Linotype" w:hAnsi="Palatino Linotype" w:cs="Tahoma"/>
                <w:bCs/>
                <w:i/>
                <w:szCs w:val="22"/>
              </w:rPr>
              <w:t xml:space="preserve"> </w:t>
            </w:r>
            <w:proofErr w:type="spellStart"/>
            <w:r w:rsidRPr="0078510C">
              <w:rPr>
                <w:rFonts w:ascii="Palatino Linotype" w:hAnsi="Palatino Linotype" w:cs="Tahoma"/>
                <w:bCs/>
                <w:i/>
                <w:szCs w:val="22"/>
              </w:rPr>
              <w:t>esta</w:t>
            </w:r>
            <w:proofErr w:type="spellEnd"/>
            <w:r w:rsidRPr="0078510C">
              <w:rPr>
                <w:rFonts w:ascii="Palatino Linotype" w:hAnsi="Palatino Linotype" w:cs="Tahoma"/>
                <w:bCs/>
                <w:i/>
                <w:szCs w:val="22"/>
              </w:rPr>
              <w:t xml:space="preserve"> incompleta y mal testado</w:t>
            </w:r>
            <w:r w:rsidRPr="00011CC2">
              <w:rPr>
                <w:rFonts w:ascii="Palatino Linotype" w:eastAsia="Calibri" w:hAnsi="Palatino Linotype" w:cs="Tahoma"/>
                <w:i/>
              </w:rPr>
              <w:t>” (Sic.)</w:t>
            </w:r>
          </w:p>
        </w:tc>
      </w:tr>
    </w:tbl>
    <w:p w14:paraId="55F515C1" w14:textId="77777777" w:rsidR="00011CC2" w:rsidRDefault="00011CC2" w:rsidP="000164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D213F1" w14:textId="38EE6BFF" w:rsidR="00011CC2" w:rsidRPr="006011C7" w:rsidRDefault="00011CC2" w:rsidP="00011CC2">
      <w:pPr>
        <w:tabs>
          <w:tab w:val="left" w:pos="4962"/>
        </w:tabs>
        <w:spacing w:line="360" w:lineRule="auto"/>
        <w:jc w:val="both"/>
        <w:rPr>
          <w:rFonts w:ascii="Palatino Linotype" w:eastAsia="Palatino Linotype" w:hAnsi="Palatino Linotype" w:cs="Tahoma"/>
          <w:sz w:val="22"/>
          <w:szCs w:val="22"/>
          <w:lang w:val="x-none" w:eastAsia="en-US"/>
        </w:rPr>
      </w:pPr>
      <w:r>
        <w:rPr>
          <w:rFonts w:ascii="Palatino Linotype" w:hAnsi="Palatino Linotype" w:cs="Tahoma"/>
          <w:sz w:val="22"/>
          <w:szCs w:val="22"/>
          <w:lang w:val="es-ES"/>
        </w:rPr>
        <w:t xml:space="preserve">Conforme a lo anterior, se logra vislumbrar que el Sujeto Obligado señaló que la información era inexistente; mientras que el Particular se agravió porque no se le entregó la información de manera completa y le testaban datos públicos; por lo que, dicho agravio no actualiza alguna </w:t>
      </w:r>
      <w:r w:rsidRPr="006011C7">
        <w:rPr>
          <w:rFonts w:ascii="Palatino Linotype" w:eastAsia="Palatino Linotype" w:hAnsi="Palatino Linotype" w:cs="Tahoma"/>
          <w:sz w:val="22"/>
          <w:szCs w:val="22"/>
          <w:lang w:val="x-none" w:eastAsia="en-US"/>
        </w:rPr>
        <w:t>causal de procedencia, por las siguientes consideraciones:</w:t>
      </w:r>
    </w:p>
    <w:p w14:paraId="0253ED3B" w14:textId="77777777" w:rsidR="00011CC2" w:rsidRPr="006011C7" w:rsidRDefault="00011CC2" w:rsidP="00011CC2">
      <w:pPr>
        <w:tabs>
          <w:tab w:val="left" w:pos="4962"/>
        </w:tabs>
        <w:spacing w:line="360" w:lineRule="auto"/>
        <w:jc w:val="both"/>
        <w:rPr>
          <w:rFonts w:ascii="Palatino Linotype" w:eastAsia="Palatino Linotype" w:hAnsi="Palatino Linotype" w:cs="Tahoma"/>
          <w:sz w:val="22"/>
          <w:szCs w:val="22"/>
          <w:lang w:val="es-ES" w:eastAsia="en-US"/>
        </w:rPr>
      </w:pPr>
    </w:p>
    <w:p w14:paraId="68C09A64" w14:textId="6DCA229B" w:rsidR="00011CC2" w:rsidRPr="006011C7" w:rsidRDefault="00011CC2" w:rsidP="00011CC2">
      <w:pPr>
        <w:numPr>
          <w:ilvl w:val="0"/>
          <w:numId w:val="43"/>
        </w:numPr>
        <w:tabs>
          <w:tab w:val="left" w:pos="4962"/>
        </w:tabs>
        <w:spacing w:after="160" w:line="360" w:lineRule="auto"/>
        <w:contextualSpacing/>
        <w:jc w:val="both"/>
        <w:rPr>
          <w:rFonts w:ascii="Palatino Linotype" w:eastAsia="Palatino Linotype" w:hAnsi="Palatino Linotype" w:cs="Tahoma"/>
          <w:sz w:val="22"/>
          <w:szCs w:val="24"/>
          <w:lang w:val="es-ES" w:eastAsia="en-US"/>
        </w:rPr>
      </w:pPr>
      <w:r w:rsidRPr="006011C7">
        <w:rPr>
          <w:rFonts w:ascii="Palatino Linotype" w:eastAsia="Palatino Linotype" w:hAnsi="Palatino Linotype" w:cs="Tahoma"/>
          <w:sz w:val="22"/>
          <w:szCs w:val="24"/>
          <w:lang w:val="es-ES" w:eastAsia="en-US"/>
        </w:rPr>
        <w:t>No se inconformó</w:t>
      </w:r>
      <w:r w:rsidRPr="006011C7">
        <w:rPr>
          <w:rFonts w:ascii="Palatino Linotype" w:eastAsia="Palatino Linotype" w:hAnsi="Palatino Linotype" w:cs="Tahoma"/>
          <w:sz w:val="22"/>
          <w:szCs w:val="24"/>
          <w:lang w:val="x-none" w:eastAsia="en-US"/>
        </w:rPr>
        <w:t xml:space="preserve"> </w:t>
      </w:r>
      <w:r>
        <w:rPr>
          <w:rFonts w:ascii="Palatino Linotype" w:eastAsia="Palatino Linotype" w:hAnsi="Palatino Linotype" w:cs="Tahoma"/>
          <w:sz w:val="22"/>
          <w:szCs w:val="24"/>
          <w:lang w:eastAsia="en-US"/>
        </w:rPr>
        <w:t>de la inexistencia de la información, y</w:t>
      </w:r>
    </w:p>
    <w:p w14:paraId="3FEFE3BE" w14:textId="389601A7" w:rsidR="00011CC2" w:rsidRPr="006011C7" w:rsidRDefault="00011CC2" w:rsidP="00011CC2">
      <w:pPr>
        <w:numPr>
          <w:ilvl w:val="0"/>
          <w:numId w:val="43"/>
        </w:numPr>
        <w:tabs>
          <w:tab w:val="left" w:pos="4962"/>
        </w:tabs>
        <w:spacing w:after="160" w:line="360" w:lineRule="auto"/>
        <w:contextualSpacing/>
        <w:jc w:val="both"/>
        <w:rPr>
          <w:rFonts w:ascii="Palatino Linotype" w:eastAsia="Palatino Linotype" w:hAnsi="Palatino Linotype" w:cs="Tahoma"/>
          <w:sz w:val="22"/>
          <w:szCs w:val="24"/>
          <w:lang w:val="es-ES" w:eastAsia="en-US"/>
        </w:rPr>
      </w:pPr>
      <w:r>
        <w:rPr>
          <w:rFonts w:ascii="Palatino Linotype" w:eastAsia="Palatino Linotype" w:hAnsi="Palatino Linotype" w:cs="Tahoma"/>
          <w:sz w:val="22"/>
          <w:szCs w:val="24"/>
          <w:lang w:val="es-ES" w:eastAsia="en-US"/>
        </w:rPr>
        <w:t>El Sujeto Obligado no entregó ninguna documental, ni testo dato alguno.</w:t>
      </w:r>
    </w:p>
    <w:p w14:paraId="45737159" w14:textId="77777777" w:rsidR="00011CC2" w:rsidRDefault="00011CC2" w:rsidP="000164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52B181F" w14:textId="0CCB12EA" w:rsidR="00011CC2" w:rsidRPr="006011C7" w:rsidRDefault="00011CC2" w:rsidP="00011CC2">
      <w:pPr>
        <w:tabs>
          <w:tab w:val="left" w:pos="4962"/>
        </w:tabs>
        <w:spacing w:line="360" w:lineRule="auto"/>
        <w:ind w:right="-28"/>
        <w:jc w:val="both"/>
        <w:rPr>
          <w:rFonts w:ascii="Palatino Linotype" w:eastAsia="Palatino Linotype" w:hAnsi="Palatino Linotype" w:cs="Palatino Linotype"/>
          <w:sz w:val="22"/>
          <w:szCs w:val="22"/>
          <w:lang w:eastAsia="en-US"/>
        </w:rPr>
      </w:pPr>
      <w:r>
        <w:rPr>
          <w:rFonts w:ascii="Palatino Linotype" w:eastAsia="Palatino Linotype" w:hAnsi="Palatino Linotype" w:cs="Palatino Linotype"/>
          <w:sz w:val="22"/>
          <w:szCs w:val="22"/>
          <w:lang w:eastAsia="en-US"/>
        </w:rPr>
        <w:t xml:space="preserve">De tal circunstancia, este Instituto considera que la </w:t>
      </w:r>
      <w:r w:rsidRPr="006011C7">
        <w:rPr>
          <w:rFonts w:ascii="Palatino Linotype" w:eastAsia="Palatino Linotype" w:hAnsi="Palatino Linotype" w:cs="Palatino Linotype"/>
          <w:sz w:val="22"/>
          <w:szCs w:val="22"/>
          <w:lang w:eastAsia="en-US"/>
        </w:rPr>
        <w:t>inconformidad de l</w:t>
      </w:r>
      <w:r>
        <w:rPr>
          <w:rFonts w:ascii="Palatino Linotype" w:eastAsia="Palatino Linotype" w:hAnsi="Palatino Linotype" w:cs="Palatino Linotype"/>
          <w:sz w:val="22"/>
          <w:szCs w:val="22"/>
          <w:lang w:eastAsia="en-US"/>
        </w:rPr>
        <w:t>a</w:t>
      </w:r>
      <w:r w:rsidRPr="006011C7">
        <w:rPr>
          <w:rFonts w:ascii="Palatino Linotype" w:eastAsia="Palatino Linotype" w:hAnsi="Palatino Linotype" w:cs="Palatino Linotype"/>
          <w:sz w:val="22"/>
          <w:szCs w:val="22"/>
          <w:lang w:eastAsia="en-US"/>
        </w:rPr>
        <w:t xml:space="preserve"> </w:t>
      </w:r>
      <w:r>
        <w:rPr>
          <w:rFonts w:ascii="Palatino Linotype" w:eastAsia="Palatino Linotype" w:hAnsi="Palatino Linotype" w:cs="Palatino Linotype"/>
          <w:sz w:val="22"/>
          <w:szCs w:val="22"/>
          <w:lang w:eastAsia="en-US"/>
        </w:rPr>
        <w:t xml:space="preserve">persona </w:t>
      </w:r>
      <w:proofErr w:type="gramStart"/>
      <w:r>
        <w:rPr>
          <w:rFonts w:ascii="Palatino Linotype" w:eastAsia="Palatino Linotype" w:hAnsi="Palatino Linotype" w:cs="Palatino Linotype"/>
          <w:sz w:val="22"/>
          <w:szCs w:val="22"/>
          <w:lang w:eastAsia="en-US"/>
        </w:rPr>
        <w:t>Solicitante,</w:t>
      </w:r>
      <w:proofErr w:type="gramEnd"/>
      <w:r>
        <w:rPr>
          <w:rFonts w:ascii="Palatino Linotype" w:eastAsia="Palatino Linotype" w:hAnsi="Palatino Linotype" w:cs="Palatino Linotype"/>
          <w:sz w:val="22"/>
          <w:szCs w:val="22"/>
          <w:lang w:eastAsia="en-US"/>
        </w:rPr>
        <w:t xml:space="preserve"> corresponde a</w:t>
      </w:r>
      <w:r w:rsidRPr="006011C7">
        <w:rPr>
          <w:rFonts w:ascii="Palatino Linotype" w:eastAsia="Palatino Linotype" w:hAnsi="Palatino Linotype" w:cs="Palatino Linotype"/>
          <w:sz w:val="22"/>
          <w:szCs w:val="22"/>
          <w:lang w:eastAsia="en-US"/>
        </w:rPr>
        <w:t xml:space="preserve"> un agravio a otra solicitud de información</w:t>
      </w:r>
      <w:r>
        <w:rPr>
          <w:rFonts w:ascii="Palatino Linotype" w:eastAsia="Palatino Linotype" w:hAnsi="Palatino Linotype" w:cs="Palatino Linotype"/>
          <w:sz w:val="22"/>
          <w:szCs w:val="22"/>
          <w:lang w:eastAsia="en-US"/>
        </w:rPr>
        <w:t>, dado que el agravio no guarda relación con lo proporcionado en respuesta</w:t>
      </w:r>
      <w:r w:rsidRPr="006011C7">
        <w:rPr>
          <w:rFonts w:ascii="Palatino Linotype" w:eastAsia="Palatino Linotype" w:hAnsi="Palatino Linotype" w:cs="Palatino Linotype"/>
          <w:sz w:val="22"/>
          <w:szCs w:val="22"/>
          <w:lang w:eastAsia="en-US"/>
        </w:rPr>
        <w:t xml:space="preserve">; por lo que, en el presente caso, la Particular no emitió ninguna inconformidad con la respuesta entregada. </w:t>
      </w:r>
    </w:p>
    <w:p w14:paraId="4149450A" w14:textId="77777777" w:rsidR="00011CC2" w:rsidRPr="006011C7" w:rsidRDefault="00011CC2" w:rsidP="00011CC2">
      <w:pPr>
        <w:tabs>
          <w:tab w:val="left" w:pos="4962"/>
        </w:tabs>
        <w:spacing w:line="360" w:lineRule="auto"/>
        <w:ind w:right="-28"/>
        <w:jc w:val="both"/>
        <w:rPr>
          <w:rFonts w:ascii="Palatino Linotype" w:eastAsia="Palatino Linotype" w:hAnsi="Palatino Linotype" w:cs="Palatino Linotype"/>
          <w:sz w:val="22"/>
          <w:szCs w:val="22"/>
          <w:lang w:eastAsia="en-US"/>
        </w:rPr>
      </w:pPr>
    </w:p>
    <w:p w14:paraId="32EA5A10" w14:textId="77777777" w:rsidR="00011CC2" w:rsidRPr="00103C8A" w:rsidRDefault="00011CC2" w:rsidP="00011CC2">
      <w:pPr>
        <w:tabs>
          <w:tab w:val="left" w:pos="4962"/>
        </w:tabs>
        <w:spacing w:line="360" w:lineRule="auto"/>
        <w:ind w:right="-28"/>
        <w:jc w:val="both"/>
        <w:rPr>
          <w:rFonts w:ascii="Palatino Linotype" w:eastAsia="Palatino Linotype" w:hAnsi="Palatino Linotype" w:cs="Tahoma"/>
          <w:bCs/>
          <w:sz w:val="22"/>
          <w:szCs w:val="22"/>
          <w:lang w:eastAsia="en-US"/>
        </w:rPr>
      </w:pPr>
      <w:r w:rsidRPr="00103C8A">
        <w:rPr>
          <w:rFonts w:ascii="Palatino Linotype" w:eastAsia="Palatino Linotype" w:hAnsi="Palatino Linotype" w:cs="Palatino Linotype"/>
          <w:sz w:val="22"/>
          <w:szCs w:val="22"/>
          <w:lang w:eastAsia="en-US"/>
        </w:rPr>
        <w:t xml:space="preserve">Así, se logra vislumbrar que, la inconformidad referida por el Particular no actualiza alguna causal de procedencia, pues como ya se refirió, no existe inconformidad con la respuesta entregada, y, por lo tanto, se materializa la causal de </w:t>
      </w:r>
      <w:proofErr w:type="spellStart"/>
      <w:r w:rsidRPr="00103C8A">
        <w:rPr>
          <w:rFonts w:ascii="Palatino Linotype" w:eastAsia="Palatino Linotype" w:hAnsi="Palatino Linotype" w:cs="Palatino Linotype"/>
          <w:sz w:val="22"/>
          <w:szCs w:val="22"/>
          <w:lang w:eastAsia="en-US"/>
        </w:rPr>
        <w:t>desechamiento</w:t>
      </w:r>
      <w:proofErr w:type="spellEnd"/>
      <w:r w:rsidRPr="00103C8A">
        <w:rPr>
          <w:rFonts w:ascii="Palatino Linotype" w:eastAsia="Palatino Linotype" w:hAnsi="Palatino Linotype" w:cs="Palatino Linotype"/>
          <w:sz w:val="22"/>
          <w:szCs w:val="22"/>
          <w:lang w:eastAsia="en-US"/>
        </w:rPr>
        <w:t xml:space="preserve"> establecida en el artículo 191, fracción III, de la Ley de la materia; sin embargo, toda vez que fue necesario admitir el Medio de Impugnación, para verificar dicha circunstancia, lo procedente es </w:t>
      </w:r>
      <w:r w:rsidRPr="00103C8A">
        <w:rPr>
          <w:rFonts w:ascii="Palatino Linotype" w:eastAsia="Palatino Linotype" w:hAnsi="Palatino Linotype" w:cs="Palatino Linotype"/>
          <w:b/>
          <w:bCs/>
          <w:sz w:val="22"/>
          <w:szCs w:val="22"/>
          <w:lang w:eastAsia="en-US"/>
        </w:rPr>
        <w:t>SOBRESEER</w:t>
      </w:r>
      <w:r w:rsidRPr="00103C8A">
        <w:rPr>
          <w:rFonts w:ascii="Palatino Linotype" w:eastAsia="Palatino Linotype" w:hAnsi="Palatino Linotype" w:cs="Palatino Linotype"/>
          <w:sz w:val="22"/>
          <w:szCs w:val="22"/>
          <w:lang w:eastAsia="en-US"/>
        </w:rPr>
        <w:t xml:space="preserve"> el mismo.</w:t>
      </w:r>
    </w:p>
    <w:p w14:paraId="66E75CBE" w14:textId="77777777" w:rsidR="00011CC2" w:rsidRDefault="00011CC2" w:rsidP="000164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591C3C" w14:textId="77777777" w:rsidR="00011CC2" w:rsidRPr="001A61B2" w:rsidRDefault="00011CC2" w:rsidP="00011CC2">
      <w:pPr>
        <w:pStyle w:val="Ttulo1"/>
        <w:spacing w:before="0" w:line="360" w:lineRule="auto"/>
        <w:rPr>
          <w:rFonts w:ascii="Palatino Linotype" w:hAnsi="Palatino Linotype"/>
          <w:b/>
          <w:color w:val="auto"/>
          <w:sz w:val="22"/>
          <w:szCs w:val="22"/>
          <w:lang w:val="es-ES"/>
        </w:rPr>
      </w:pPr>
      <w:bookmarkStart w:id="23" w:name="_Toc193798177"/>
      <w:bookmarkStart w:id="24" w:name="_Toc206081363"/>
      <w:r w:rsidRPr="001A61B2">
        <w:rPr>
          <w:rFonts w:ascii="Palatino Linotype" w:hAnsi="Palatino Linotype"/>
          <w:b/>
          <w:color w:val="auto"/>
          <w:sz w:val="22"/>
          <w:szCs w:val="22"/>
          <w:lang w:val="es-ES"/>
        </w:rPr>
        <w:lastRenderedPageBreak/>
        <w:t>CUARTO. Decisión</w:t>
      </w:r>
      <w:bookmarkEnd w:id="23"/>
      <w:bookmarkEnd w:id="24"/>
    </w:p>
    <w:p w14:paraId="45F1BC3A" w14:textId="77777777" w:rsidR="000164F0" w:rsidRDefault="000164F0" w:rsidP="000164F0">
      <w:pPr>
        <w:spacing w:line="360" w:lineRule="auto"/>
        <w:jc w:val="both"/>
        <w:rPr>
          <w:rFonts w:ascii="Palatino Linotype" w:hAnsi="Palatino Linotype" w:cs="Tahoma"/>
          <w:b/>
          <w:sz w:val="22"/>
          <w:szCs w:val="22"/>
          <w:lang w:val="es-ES"/>
        </w:rPr>
      </w:pPr>
    </w:p>
    <w:p w14:paraId="797D6F02" w14:textId="77777777" w:rsidR="00011CC2" w:rsidRPr="00D40A7A" w:rsidRDefault="00011CC2" w:rsidP="00011CC2">
      <w:pPr>
        <w:spacing w:line="360" w:lineRule="auto"/>
        <w:jc w:val="both"/>
        <w:rPr>
          <w:rFonts w:ascii="Palatino Linotype" w:hAnsi="Palatino Linotype" w:cs="Tahoma"/>
          <w:sz w:val="22"/>
          <w:szCs w:val="22"/>
          <w:lang w:val="es-ES"/>
        </w:rPr>
      </w:pPr>
      <w:r w:rsidRPr="00D40A7A">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D40A7A">
        <w:rPr>
          <w:rFonts w:ascii="Palatino Linotype" w:hAnsi="Palatino Linotype" w:cs="Tahoma"/>
          <w:b/>
          <w:sz w:val="22"/>
          <w:szCs w:val="22"/>
          <w:lang w:val="es-ES"/>
        </w:rPr>
        <w:t xml:space="preserve">SOBRESEER </w:t>
      </w:r>
      <w:r w:rsidRPr="00D40A7A">
        <w:rPr>
          <w:rFonts w:ascii="Palatino Linotype" w:hAnsi="Palatino Linotype" w:cs="Tahoma"/>
          <w:sz w:val="22"/>
          <w:szCs w:val="22"/>
          <w:lang w:val="es-ES"/>
        </w:rPr>
        <w:t xml:space="preserve">el Recurso de Revisión, en virtud de que se actualiza la hipótesis normativa prevista en la fracción IV, del diverso 192, en relación, con el 191, </w:t>
      </w:r>
      <w:r>
        <w:rPr>
          <w:rFonts w:ascii="Palatino Linotype" w:hAnsi="Palatino Linotype" w:cs="Tahoma"/>
          <w:sz w:val="22"/>
          <w:szCs w:val="22"/>
          <w:lang w:val="es-ES"/>
        </w:rPr>
        <w:t>fracción III</w:t>
      </w:r>
      <w:r w:rsidRPr="00D40A7A">
        <w:rPr>
          <w:rFonts w:ascii="Palatino Linotype" w:hAnsi="Palatino Linotype" w:cs="Tahoma"/>
          <w:sz w:val="22"/>
          <w:szCs w:val="22"/>
          <w:lang w:val="es-ES"/>
        </w:rPr>
        <w:t>, ambos del citado ordenamiento legal.</w:t>
      </w:r>
    </w:p>
    <w:p w14:paraId="4DF47956" w14:textId="77777777" w:rsidR="000164F0" w:rsidRDefault="000164F0" w:rsidP="000164F0">
      <w:pPr>
        <w:spacing w:line="360" w:lineRule="auto"/>
        <w:contextualSpacing/>
        <w:jc w:val="both"/>
        <w:rPr>
          <w:rFonts w:ascii="Palatino Linotype" w:eastAsia="Calibri" w:hAnsi="Palatino Linotype" w:cs="Tahoma"/>
          <w:b/>
          <w:bCs/>
          <w:iCs/>
          <w:sz w:val="22"/>
          <w:szCs w:val="22"/>
          <w:u w:val="single"/>
          <w:lang w:val="es-ES" w:eastAsia="es-ES_tradnl"/>
        </w:rPr>
      </w:pPr>
    </w:p>
    <w:p w14:paraId="36DFC8EF" w14:textId="77777777" w:rsidR="000164F0" w:rsidRPr="00282260" w:rsidRDefault="000164F0" w:rsidP="000164F0">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422C59DB" w14:textId="77777777" w:rsidR="000164F0" w:rsidRDefault="000164F0" w:rsidP="000164F0">
      <w:pPr>
        <w:spacing w:line="360" w:lineRule="auto"/>
        <w:jc w:val="both"/>
        <w:rPr>
          <w:rFonts w:ascii="Palatino Linotype" w:eastAsia="Calibri" w:hAnsi="Palatino Linotype" w:cs="Tahoma"/>
          <w:iCs/>
          <w:sz w:val="22"/>
          <w:szCs w:val="22"/>
          <w:lang w:eastAsia="es-ES_tradnl"/>
        </w:rPr>
      </w:pPr>
    </w:p>
    <w:p w14:paraId="3A800904" w14:textId="29F0D871" w:rsidR="000164F0" w:rsidRDefault="000164F0" w:rsidP="000164F0">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Pr>
          <w:rFonts w:ascii="Palatino Linotype" w:eastAsia="Calibri" w:hAnsi="Palatino Linotype" w:cs="Tahoma"/>
          <w:b/>
          <w:iCs/>
          <w:sz w:val="22"/>
          <w:szCs w:val="22"/>
          <w:lang w:val="es-ES" w:eastAsia="es-ES_tradnl"/>
        </w:rPr>
        <w:t>Sobreseer</w:t>
      </w:r>
      <w:r>
        <w:rPr>
          <w:rFonts w:ascii="Palatino Linotype" w:eastAsia="Calibri" w:hAnsi="Palatino Linotype" w:cs="Tahoma"/>
          <w:iCs/>
          <w:sz w:val="22"/>
          <w:szCs w:val="22"/>
          <w:lang w:val="es-ES" w:eastAsia="es-ES_tradnl"/>
        </w:rPr>
        <w:t xml:space="preserve"> el presente Recurso de Revisión, toda vez que </w:t>
      </w:r>
      <w:r w:rsidR="001E75E1">
        <w:rPr>
          <w:rFonts w:ascii="Palatino Linotype" w:eastAsia="Calibri" w:hAnsi="Palatino Linotype" w:cs="Tahoma"/>
          <w:iCs/>
          <w:sz w:val="22"/>
          <w:szCs w:val="22"/>
          <w:lang w:val="es-ES" w:eastAsia="es-ES_tradnl"/>
        </w:rPr>
        <w:t>sus motivos de inconformidad no guardan relación con lo entregado en respuesta</w:t>
      </w:r>
      <w:r>
        <w:rPr>
          <w:rFonts w:ascii="Palatino Linotype" w:eastAsia="Calibri" w:hAnsi="Palatino Linotype" w:cs="Tahoma"/>
          <w:iCs/>
          <w:sz w:val="22"/>
          <w:szCs w:val="22"/>
          <w:lang w:val="es-ES" w:eastAsia="es-ES_tradnl"/>
        </w:rPr>
        <w:t>.</w:t>
      </w:r>
    </w:p>
    <w:p w14:paraId="5CE6ABDA" w14:textId="77777777" w:rsidR="000164F0" w:rsidRDefault="000164F0" w:rsidP="000164F0">
      <w:pPr>
        <w:spacing w:line="360" w:lineRule="auto"/>
        <w:contextualSpacing/>
        <w:jc w:val="both"/>
        <w:rPr>
          <w:rFonts w:ascii="Palatino Linotype" w:eastAsia="Calibri" w:hAnsi="Palatino Linotype" w:cs="Tahoma"/>
          <w:iCs/>
          <w:sz w:val="22"/>
          <w:szCs w:val="22"/>
          <w:lang w:val="es-ES" w:eastAsia="es-ES_tradnl"/>
        </w:rPr>
      </w:pPr>
    </w:p>
    <w:p w14:paraId="2CFE6B68" w14:textId="77777777" w:rsidR="000164F0" w:rsidRDefault="000164F0" w:rsidP="000164F0">
      <w:pPr>
        <w:spacing w:line="360" w:lineRule="auto"/>
        <w:contextualSpacing/>
        <w:jc w:val="both"/>
        <w:rPr>
          <w:rFonts w:ascii="Palatino Linotype" w:eastAsia="Calibri" w:hAnsi="Palatino Linotype" w:cs="Tahoma"/>
          <w:iCs/>
          <w:sz w:val="22"/>
          <w:szCs w:val="22"/>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w:t>
      </w:r>
      <w:proofErr w:type="gramEnd"/>
      <w:r w:rsidRPr="00282260">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r>
        <w:rPr>
          <w:rFonts w:ascii="Palatino Linotype" w:eastAsia="Calibri" w:hAnsi="Palatino Linotype" w:cs="Tahoma"/>
          <w:iCs/>
          <w:sz w:val="22"/>
          <w:szCs w:val="22"/>
          <w:lang w:val="es-ES" w:eastAsia="es-ES_tradnl"/>
        </w:rPr>
        <w:t xml:space="preserve"> </w:t>
      </w:r>
    </w:p>
    <w:p w14:paraId="376B49AD" w14:textId="77777777" w:rsidR="000164F0" w:rsidRDefault="000164F0" w:rsidP="000164F0">
      <w:pPr>
        <w:spacing w:line="360" w:lineRule="auto"/>
        <w:contextualSpacing/>
        <w:jc w:val="both"/>
        <w:rPr>
          <w:rFonts w:ascii="Palatino Linotype" w:eastAsia="Calibri" w:hAnsi="Palatino Linotype" w:cs="Tahoma"/>
          <w:iCs/>
          <w:sz w:val="22"/>
          <w:szCs w:val="22"/>
          <w:lang w:val="es-ES" w:eastAsia="es-ES_tradnl"/>
        </w:rPr>
      </w:pPr>
    </w:p>
    <w:p w14:paraId="29F643F9" w14:textId="77777777" w:rsidR="000164F0" w:rsidRPr="007C0B21" w:rsidRDefault="000164F0" w:rsidP="000164F0">
      <w:pPr>
        <w:spacing w:line="360" w:lineRule="auto"/>
        <w:contextualSpacing/>
        <w:jc w:val="both"/>
        <w:rPr>
          <w:rFonts w:ascii="Palatino Linotype" w:eastAsia="Calibri" w:hAnsi="Palatino Linotype" w:cs="Tahoma"/>
          <w:bCs/>
          <w:sz w:val="22"/>
          <w:lang w:eastAsia="en-US"/>
        </w:rPr>
      </w:pPr>
      <w:r w:rsidRPr="007C0B21">
        <w:rPr>
          <w:rFonts w:ascii="Palatino Linotype" w:eastAsia="Calibri" w:hAnsi="Palatino Linotype" w:cs="Tahoma"/>
          <w:bCs/>
          <w:sz w:val="22"/>
          <w:lang w:eastAsia="en-US"/>
        </w:rPr>
        <w:t>Por lo expuesto y fundado, este Pleno:</w:t>
      </w:r>
    </w:p>
    <w:p w14:paraId="679A5DEE" w14:textId="77777777" w:rsidR="000164F0" w:rsidRDefault="000164F0" w:rsidP="000164F0">
      <w:pPr>
        <w:spacing w:line="360" w:lineRule="auto"/>
        <w:ind w:right="-91"/>
        <w:jc w:val="center"/>
        <w:rPr>
          <w:rFonts w:ascii="Palatino Linotype" w:eastAsia="Calibri" w:hAnsi="Palatino Linotype" w:cs="Tahoma"/>
          <w:b/>
          <w:bCs/>
          <w:sz w:val="22"/>
          <w:szCs w:val="22"/>
          <w:lang w:eastAsia="en-US"/>
        </w:rPr>
      </w:pPr>
    </w:p>
    <w:p w14:paraId="28124F53" w14:textId="77777777" w:rsidR="000164F0" w:rsidRPr="00145D48" w:rsidRDefault="000164F0" w:rsidP="00145D48">
      <w:pPr>
        <w:pStyle w:val="Ttulo1"/>
        <w:jc w:val="center"/>
        <w:rPr>
          <w:rFonts w:ascii="Palatino Linotype" w:eastAsia="Calibri" w:hAnsi="Palatino Linotype"/>
          <w:b/>
          <w:bCs/>
          <w:color w:val="auto"/>
          <w:sz w:val="22"/>
          <w:szCs w:val="22"/>
          <w:lang w:eastAsia="en-US"/>
        </w:rPr>
      </w:pPr>
      <w:bookmarkStart w:id="25" w:name="_Toc206081364"/>
      <w:r w:rsidRPr="00145D48">
        <w:rPr>
          <w:rFonts w:ascii="Palatino Linotype" w:eastAsia="Calibri" w:hAnsi="Palatino Linotype"/>
          <w:b/>
          <w:bCs/>
          <w:color w:val="auto"/>
          <w:sz w:val="22"/>
          <w:szCs w:val="22"/>
          <w:lang w:eastAsia="en-US"/>
        </w:rPr>
        <w:t>R E S U E L V E</w:t>
      </w:r>
      <w:bookmarkEnd w:id="25"/>
    </w:p>
    <w:p w14:paraId="6179F127" w14:textId="77777777" w:rsidR="000164F0" w:rsidRPr="007C0B21" w:rsidRDefault="000164F0" w:rsidP="000164F0">
      <w:pPr>
        <w:spacing w:line="360" w:lineRule="auto"/>
        <w:jc w:val="center"/>
        <w:rPr>
          <w:rFonts w:ascii="Palatino Linotype" w:hAnsi="Palatino Linotype" w:cs="Tahoma"/>
          <w:b/>
          <w:bCs/>
          <w:sz w:val="22"/>
          <w:szCs w:val="22"/>
        </w:rPr>
      </w:pPr>
    </w:p>
    <w:p w14:paraId="1D9017B4" w14:textId="77777777" w:rsidR="00011CC2" w:rsidRPr="00071506" w:rsidRDefault="000164F0" w:rsidP="00011CC2">
      <w:pPr>
        <w:spacing w:line="360" w:lineRule="auto"/>
        <w:jc w:val="both"/>
        <w:rPr>
          <w:rFonts w:ascii="Palatino Linotype" w:hAnsi="Palatino Linotype" w:cs="Tahoma"/>
          <w:sz w:val="22"/>
          <w:szCs w:val="22"/>
          <w:lang w:val="es-E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Pr>
          <w:rFonts w:ascii="Palatino Linotype" w:eastAsia="Calibri" w:hAnsi="Palatino Linotype" w:cs="Tahoma"/>
          <w:b/>
          <w:bCs/>
          <w:iCs/>
          <w:sz w:val="22"/>
          <w:szCs w:val="22"/>
          <w:lang w:eastAsia="en-US"/>
        </w:rPr>
        <w:t>SOBRESEE</w:t>
      </w:r>
      <w:r w:rsidRPr="007271A0">
        <w:rPr>
          <w:rFonts w:ascii="Palatino Linotype" w:eastAsia="Calibri" w:hAnsi="Palatino Linotype" w:cs="Tahoma"/>
          <w:bCs/>
          <w:iCs/>
          <w:sz w:val="22"/>
          <w:szCs w:val="22"/>
          <w:lang w:eastAsia="en-US"/>
        </w:rPr>
        <w:t xml:space="preserve"> </w:t>
      </w:r>
      <w:r w:rsidRPr="00727FC3">
        <w:rPr>
          <w:rFonts w:ascii="Palatino Linotype" w:eastAsia="Calibri" w:hAnsi="Palatino Linotype" w:cs="Tahoma"/>
          <w:bCs/>
          <w:iCs/>
          <w:sz w:val="22"/>
          <w:szCs w:val="22"/>
          <w:lang w:eastAsia="en-US"/>
        </w:rPr>
        <w:t xml:space="preserve">el Recurso de Revisión </w:t>
      </w:r>
      <w:r w:rsidR="001E75E1" w:rsidRPr="00011CC2">
        <w:rPr>
          <w:rFonts w:ascii="Palatino Linotype" w:eastAsia="Calibri" w:hAnsi="Palatino Linotype" w:cs="Tahoma"/>
          <w:iCs/>
          <w:sz w:val="22"/>
          <w:szCs w:val="22"/>
          <w:lang w:eastAsia="en-US"/>
        </w:rPr>
        <w:t>08016</w:t>
      </w:r>
      <w:r w:rsidRPr="00011CC2">
        <w:rPr>
          <w:rFonts w:ascii="Palatino Linotype" w:eastAsia="Calibri" w:hAnsi="Palatino Linotype" w:cs="Tahoma"/>
          <w:iCs/>
          <w:sz w:val="22"/>
          <w:szCs w:val="22"/>
          <w:lang w:eastAsia="en-US"/>
        </w:rPr>
        <w:t>/INFOEM/IP/RR/202</w:t>
      </w:r>
      <w:r w:rsidR="001E75E1" w:rsidRPr="00011CC2">
        <w:rPr>
          <w:rFonts w:ascii="Palatino Linotype" w:eastAsia="Calibri" w:hAnsi="Palatino Linotype" w:cs="Tahoma"/>
          <w:iCs/>
          <w:sz w:val="22"/>
          <w:szCs w:val="22"/>
          <w:lang w:eastAsia="en-US"/>
        </w:rPr>
        <w:t>5</w:t>
      </w:r>
      <w:r w:rsidRPr="00727FC3">
        <w:rPr>
          <w:rFonts w:ascii="Palatino Linotype" w:eastAsia="Calibri" w:hAnsi="Palatino Linotype" w:cs="Tahoma"/>
          <w:bCs/>
          <w:iCs/>
          <w:sz w:val="22"/>
          <w:szCs w:val="22"/>
          <w:lang w:eastAsia="en-US"/>
        </w:rPr>
        <w:t xml:space="preserve">, </w:t>
      </w:r>
      <w:r w:rsidR="00011CC2" w:rsidRPr="00071506">
        <w:rPr>
          <w:rFonts w:ascii="Palatino Linotype" w:hAnsi="Palatino Linotype" w:cs="Tahoma"/>
          <w:bCs/>
          <w:sz w:val="22"/>
          <w:szCs w:val="22"/>
          <w:lang w:val="es-ES"/>
        </w:rPr>
        <w:t xml:space="preserve">en términos del artículo 192, fracción IV, de la Ley de Transparencia y Acceso a la Información Pública del Estado de México y Municipios, </w:t>
      </w:r>
      <w:r w:rsidR="00011CC2" w:rsidRPr="00071506">
        <w:rPr>
          <w:rFonts w:ascii="Palatino Linotype" w:hAnsi="Palatino Linotype" w:cs="Tahoma"/>
          <w:sz w:val="22"/>
          <w:szCs w:val="22"/>
          <w:lang w:val="es-ES"/>
        </w:rPr>
        <w:t>por actualizarse la causal de improcedencia establecida en la fracción III, del artículo 191 de dicho ordenamiento jurídico, en términos de los Considerandos TERCERO y CUARTO de la presente Resolución.</w:t>
      </w:r>
    </w:p>
    <w:p w14:paraId="1E254262" w14:textId="3BEA1A86" w:rsidR="000164F0" w:rsidRPr="00CC5299" w:rsidRDefault="000164F0" w:rsidP="000164F0">
      <w:pPr>
        <w:spacing w:line="360" w:lineRule="auto"/>
        <w:contextualSpacing/>
        <w:jc w:val="both"/>
        <w:rPr>
          <w:rFonts w:ascii="Palatino Linotype" w:eastAsia="Calibri" w:hAnsi="Palatino Linotype" w:cs="Tahoma"/>
          <w:iCs/>
          <w:sz w:val="22"/>
          <w:szCs w:val="22"/>
          <w:lang w:eastAsia="en-US"/>
        </w:rPr>
      </w:pPr>
    </w:p>
    <w:p w14:paraId="16705B95" w14:textId="77777777" w:rsidR="000164F0" w:rsidRPr="007271A0" w:rsidRDefault="000164F0" w:rsidP="000164F0">
      <w:pPr>
        <w:spacing w:line="360" w:lineRule="auto"/>
        <w:contextualSpacing/>
        <w:jc w:val="both"/>
        <w:rPr>
          <w:rFonts w:ascii="Palatino Linotype" w:eastAsia="Calibri" w:hAnsi="Palatino Linotype" w:cs="Tahoma"/>
          <w:bCs/>
          <w:iCs/>
          <w:sz w:val="22"/>
          <w:szCs w:val="22"/>
          <w:lang w:eastAsia="en-US"/>
        </w:rPr>
      </w:pPr>
    </w:p>
    <w:p w14:paraId="6F761C85" w14:textId="77777777" w:rsidR="000164F0" w:rsidRPr="007271A0" w:rsidRDefault="000164F0" w:rsidP="000164F0">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SEGUNDO. NOTIFÍQUESE</w:t>
      </w:r>
      <w:r>
        <w:rPr>
          <w:rFonts w:ascii="Palatino Linotype" w:eastAsia="Calibri" w:hAnsi="Palatino Linotype" w:cs="Tahoma"/>
          <w:b/>
          <w:bCs/>
          <w:iCs/>
          <w:sz w:val="22"/>
          <w:szCs w:val="22"/>
          <w:lang w:eastAsia="en-US"/>
        </w:rPr>
        <w:t xml:space="preserve"> POR SAIMEX</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21311FC4" w14:textId="77777777" w:rsidR="000164F0" w:rsidRPr="007271A0" w:rsidRDefault="000164F0" w:rsidP="000164F0">
      <w:pPr>
        <w:spacing w:line="360" w:lineRule="auto"/>
        <w:contextualSpacing/>
        <w:jc w:val="both"/>
        <w:rPr>
          <w:rFonts w:ascii="Palatino Linotype" w:eastAsia="Calibri" w:hAnsi="Palatino Linotype" w:cs="Tahoma"/>
          <w:bCs/>
          <w:iCs/>
          <w:sz w:val="22"/>
          <w:szCs w:val="22"/>
          <w:lang w:eastAsia="en-US"/>
        </w:rPr>
      </w:pPr>
    </w:p>
    <w:p w14:paraId="749C6902" w14:textId="77777777" w:rsidR="000164F0" w:rsidRPr="00765B45" w:rsidRDefault="000164F0" w:rsidP="000164F0">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Pr>
          <w:rFonts w:ascii="Palatino Linotype" w:eastAsia="Calibri" w:hAnsi="Palatino Linotype" w:cs="Tahoma"/>
          <w:b/>
          <w:bCs/>
          <w:iCs/>
          <w:sz w:val="22"/>
          <w:szCs w:val="22"/>
          <w:lang w:eastAsia="en-US"/>
        </w:rPr>
        <w:t xml:space="preserve"> POR SAIMEX</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F756485" w14:textId="77777777" w:rsidR="000164F0" w:rsidRDefault="000164F0" w:rsidP="000164F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9F560BC" w14:textId="007996D4"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C13FB">
        <w:rPr>
          <w:rFonts w:ascii="Palatino Linotype" w:hAnsi="Palatino Linotype" w:cs="Tahoma"/>
          <w:sz w:val="22"/>
          <w:szCs w:val="22"/>
          <w:lang w:eastAsia="es-MX"/>
        </w:rPr>
        <w:t>VIGÉSIMA</w:t>
      </w:r>
      <w:r w:rsidR="00462AEC">
        <w:rPr>
          <w:rFonts w:ascii="Palatino Linotype" w:hAnsi="Palatino Linotype" w:cs="Tahoma"/>
          <w:sz w:val="22"/>
          <w:szCs w:val="22"/>
          <w:lang w:eastAsia="es-MX"/>
        </w:rPr>
        <w:t xml:space="preserve"> </w:t>
      </w:r>
      <w:r w:rsidR="00A11C5C">
        <w:rPr>
          <w:rFonts w:ascii="Palatino Linotype" w:hAnsi="Palatino Linotype" w:cs="Tahoma"/>
          <w:sz w:val="22"/>
          <w:szCs w:val="22"/>
          <w:lang w:eastAsia="es-MX"/>
        </w:rPr>
        <w:t>OCTAVA</w:t>
      </w:r>
      <w:r w:rsidR="00057616">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A11C5C">
        <w:rPr>
          <w:rFonts w:ascii="Palatino Linotype" w:hAnsi="Palatino Linotype" w:cs="Tahoma"/>
          <w:sz w:val="22"/>
          <w:szCs w:val="22"/>
          <w:lang w:eastAsia="es-MX"/>
        </w:rPr>
        <w:t xml:space="preserve">TRECE DE AGOSTO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058CF2CD" w14:textId="77777777" w:rsidR="00163BAA" w:rsidRDefault="00163BAA" w:rsidP="00FF426B">
      <w:pPr>
        <w:spacing w:line="360" w:lineRule="auto"/>
        <w:contextualSpacing/>
        <w:jc w:val="both"/>
        <w:rPr>
          <w:rFonts w:ascii="Palatino Linotype" w:hAnsi="Palatino Linotype" w:cs="Tahoma"/>
          <w:sz w:val="22"/>
          <w:szCs w:val="22"/>
        </w:rPr>
      </w:pPr>
    </w:p>
    <w:p w14:paraId="0B4B6889" w14:textId="77777777" w:rsidR="00163BAA" w:rsidRDefault="00163BAA" w:rsidP="00FF426B">
      <w:pPr>
        <w:spacing w:line="360" w:lineRule="auto"/>
        <w:contextualSpacing/>
        <w:jc w:val="both"/>
        <w:rPr>
          <w:rFonts w:ascii="Palatino Linotype" w:hAnsi="Palatino Linotype" w:cs="Tahoma"/>
          <w:sz w:val="22"/>
          <w:szCs w:val="22"/>
        </w:rPr>
      </w:pPr>
    </w:p>
    <w:p w14:paraId="66F5FCE0" w14:textId="77777777" w:rsidR="0089175F" w:rsidRDefault="0089175F" w:rsidP="00FF426B">
      <w:pPr>
        <w:spacing w:line="360" w:lineRule="auto"/>
        <w:contextualSpacing/>
        <w:jc w:val="both"/>
        <w:rPr>
          <w:rFonts w:ascii="Palatino Linotype" w:hAnsi="Palatino Linotype" w:cs="Tahoma"/>
          <w:sz w:val="22"/>
          <w:szCs w:val="22"/>
        </w:rPr>
      </w:pPr>
    </w:p>
    <w:p w14:paraId="05F3048E" w14:textId="77777777" w:rsidR="0089175F" w:rsidRDefault="0089175F" w:rsidP="00FF426B">
      <w:pPr>
        <w:spacing w:line="360" w:lineRule="auto"/>
        <w:contextualSpacing/>
        <w:jc w:val="both"/>
        <w:rPr>
          <w:rFonts w:ascii="Palatino Linotype" w:hAnsi="Palatino Linotype" w:cs="Tahoma"/>
          <w:sz w:val="22"/>
          <w:szCs w:val="22"/>
        </w:rPr>
      </w:pPr>
    </w:p>
    <w:p w14:paraId="570273A2" w14:textId="77777777" w:rsidR="0089175F" w:rsidRDefault="0089175F" w:rsidP="00FF426B">
      <w:pPr>
        <w:spacing w:line="360" w:lineRule="auto"/>
        <w:contextualSpacing/>
        <w:jc w:val="both"/>
        <w:rPr>
          <w:rFonts w:ascii="Palatino Linotype" w:hAnsi="Palatino Linotype" w:cs="Tahoma"/>
          <w:sz w:val="22"/>
          <w:szCs w:val="22"/>
        </w:rPr>
      </w:pPr>
    </w:p>
    <w:p w14:paraId="141AE299" w14:textId="77777777" w:rsidR="0089175F" w:rsidRDefault="0089175F" w:rsidP="00FF426B">
      <w:pPr>
        <w:spacing w:line="360" w:lineRule="auto"/>
        <w:contextualSpacing/>
        <w:jc w:val="both"/>
        <w:rPr>
          <w:rFonts w:ascii="Palatino Linotype" w:hAnsi="Palatino Linotype" w:cs="Tahoma"/>
          <w:sz w:val="22"/>
          <w:szCs w:val="22"/>
        </w:rPr>
      </w:pPr>
    </w:p>
    <w:p w14:paraId="6673CBC4" w14:textId="77777777" w:rsidR="001F1A77" w:rsidRDefault="001F1A77" w:rsidP="00FF426B">
      <w:pPr>
        <w:spacing w:line="360" w:lineRule="auto"/>
        <w:contextualSpacing/>
        <w:jc w:val="both"/>
        <w:rPr>
          <w:rFonts w:ascii="Palatino Linotype" w:hAnsi="Palatino Linotype" w:cs="Tahoma"/>
          <w:sz w:val="22"/>
          <w:szCs w:val="22"/>
        </w:rPr>
      </w:pPr>
    </w:p>
    <w:p w14:paraId="035D0349" w14:textId="77777777" w:rsidR="001F1A77" w:rsidRDefault="001F1A77" w:rsidP="00FF426B">
      <w:pPr>
        <w:spacing w:line="360" w:lineRule="auto"/>
        <w:contextualSpacing/>
        <w:jc w:val="both"/>
        <w:rPr>
          <w:rFonts w:ascii="Palatino Linotype" w:hAnsi="Palatino Linotype" w:cs="Tahoma"/>
          <w:sz w:val="22"/>
          <w:szCs w:val="22"/>
        </w:rPr>
      </w:pPr>
    </w:p>
    <w:p w14:paraId="2253BC45" w14:textId="77777777" w:rsidR="000B1059" w:rsidRDefault="000B1059" w:rsidP="00FF426B">
      <w:pPr>
        <w:spacing w:line="360" w:lineRule="auto"/>
        <w:contextualSpacing/>
        <w:jc w:val="both"/>
        <w:rPr>
          <w:rFonts w:ascii="Palatino Linotype" w:hAnsi="Palatino Linotype" w:cs="Tahoma"/>
          <w:sz w:val="22"/>
          <w:szCs w:val="22"/>
        </w:rPr>
      </w:pPr>
    </w:p>
    <w:p w14:paraId="016A781D" w14:textId="77777777" w:rsidR="000B1059" w:rsidRDefault="000B1059" w:rsidP="00FF426B">
      <w:pPr>
        <w:spacing w:line="360" w:lineRule="auto"/>
        <w:contextualSpacing/>
        <w:jc w:val="both"/>
        <w:rPr>
          <w:rFonts w:ascii="Palatino Linotype" w:hAnsi="Palatino Linotype" w:cs="Tahoma"/>
          <w:sz w:val="22"/>
          <w:szCs w:val="22"/>
        </w:rPr>
      </w:pPr>
    </w:p>
    <w:p w14:paraId="6C8EAA3A" w14:textId="77777777" w:rsidR="000B1059" w:rsidRDefault="000B1059" w:rsidP="00FF426B">
      <w:pPr>
        <w:spacing w:line="360" w:lineRule="auto"/>
        <w:contextualSpacing/>
        <w:jc w:val="both"/>
        <w:rPr>
          <w:rFonts w:ascii="Palatino Linotype" w:hAnsi="Palatino Linotype" w:cs="Tahoma"/>
          <w:sz w:val="22"/>
          <w:szCs w:val="22"/>
        </w:rPr>
      </w:pPr>
    </w:p>
    <w:p w14:paraId="38256E08" w14:textId="77777777" w:rsidR="001F1A77" w:rsidRDefault="001F1A77" w:rsidP="00FF426B">
      <w:pPr>
        <w:spacing w:line="360" w:lineRule="auto"/>
        <w:contextualSpacing/>
        <w:jc w:val="both"/>
        <w:rPr>
          <w:rFonts w:ascii="Palatino Linotype" w:hAnsi="Palatino Linotype" w:cs="Tahoma"/>
          <w:sz w:val="22"/>
          <w:szCs w:val="22"/>
        </w:rPr>
      </w:pPr>
    </w:p>
    <w:p w14:paraId="0EFAEAC6" w14:textId="77777777" w:rsidR="001F1A77" w:rsidRDefault="001F1A77" w:rsidP="00FF426B">
      <w:pPr>
        <w:spacing w:line="360" w:lineRule="auto"/>
        <w:contextualSpacing/>
        <w:jc w:val="both"/>
        <w:rPr>
          <w:rFonts w:ascii="Palatino Linotype" w:hAnsi="Palatino Linotype" w:cs="Tahoma"/>
          <w:sz w:val="22"/>
          <w:szCs w:val="22"/>
        </w:rPr>
      </w:pPr>
    </w:p>
    <w:p w14:paraId="4B0D5471" w14:textId="77777777" w:rsidR="001F1A77" w:rsidRDefault="001F1A77" w:rsidP="00FF426B">
      <w:pPr>
        <w:spacing w:line="360" w:lineRule="auto"/>
        <w:contextualSpacing/>
        <w:jc w:val="both"/>
        <w:rPr>
          <w:rFonts w:ascii="Palatino Linotype" w:hAnsi="Palatino Linotype" w:cs="Tahoma"/>
          <w:sz w:val="22"/>
          <w:szCs w:val="22"/>
        </w:rPr>
      </w:pPr>
    </w:p>
    <w:p w14:paraId="596D5AD3" w14:textId="77777777" w:rsidR="001F1A77" w:rsidRDefault="001F1A77" w:rsidP="00FF426B">
      <w:pPr>
        <w:spacing w:line="360" w:lineRule="auto"/>
        <w:contextualSpacing/>
        <w:jc w:val="both"/>
        <w:rPr>
          <w:rFonts w:ascii="Palatino Linotype" w:hAnsi="Palatino Linotype" w:cs="Tahoma"/>
          <w:sz w:val="22"/>
          <w:szCs w:val="22"/>
        </w:rPr>
      </w:pPr>
    </w:p>
    <w:p w14:paraId="53424072" w14:textId="77777777" w:rsidR="001F1A77" w:rsidRDefault="001F1A77" w:rsidP="00FF426B">
      <w:pPr>
        <w:spacing w:line="360" w:lineRule="auto"/>
        <w:contextualSpacing/>
        <w:jc w:val="both"/>
        <w:rPr>
          <w:rFonts w:ascii="Palatino Linotype" w:hAnsi="Palatino Linotype" w:cs="Tahoma"/>
          <w:sz w:val="22"/>
          <w:szCs w:val="22"/>
        </w:rPr>
      </w:pPr>
    </w:p>
    <w:p w14:paraId="2FAF2F8E" w14:textId="77777777" w:rsidR="001F1A77" w:rsidRDefault="001F1A77" w:rsidP="00FF426B">
      <w:pPr>
        <w:spacing w:line="360" w:lineRule="auto"/>
        <w:contextualSpacing/>
        <w:jc w:val="both"/>
        <w:rPr>
          <w:rFonts w:ascii="Palatino Linotype" w:hAnsi="Palatino Linotype" w:cs="Tahoma"/>
          <w:sz w:val="22"/>
          <w:szCs w:val="22"/>
        </w:rPr>
      </w:pPr>
    </w:p>
    <w:p w14:paraId="6EC021C4" w14:textId="77777777" w:rsidR="001F1A77" w:rsidRDefault="001F1A77" w:rsidP="00FF426B">
      <w:pPr>
        <w:spacing w:line="360" w:lineRule="auto"/>
        <w:contextualSpacing/>
        <w:jc w:val="both"/>
        <w:rPr>
          <w:rFonts w:ascii="Palatino Linotype" w:hAnsi="Palatino Linotype" w:cs="Tahoma"/>
          <w:sz w:val="22"/>
          <w:szCs w:val="22"/>
        </w:rPr>
      </w:pPr>
    </w:p>
    <w:p w14:paraId="5BDC4B78" w14:textId="77777777" w:rsidR="001F1A77" w:rsidRPr="003A1DF0" w:rsidRDefault="001F1A77" w:rsidP="00FF426B">
      <w:pPr>
        <w:spacing w:line="360" w:lineRule="auto"/>
        <w:contextualSpacing/>
        <w:jc w:val="both"/>
        <w:rPr>
          <w:rFonts w:ascii="Palatino Linotype" w:hAnsi="Palatino Linotype" w:cs="Tahoma"/>
          <w:sz w:val="22"/>
          <w:szCs w:val="22"/>
        </w:rPr>
      </w:pPr>
    </w:p>
    <w:p w14:paraId="2D4830C2"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8E41" w14:textId="77777777" w:rsidR="00A31F79" w:rsidRDefault="00A31F79" w:rsidP="00B31222">
      <w:r>
        <w:separator/>
      </w:r>
    </w:p>
  </w:endnote>
  <w:endnote w:type="continuationSeparator" w:id="0">
    <w:p w14:paraId="0767C8F0" w14:textId="77777777" w:rsidR="00A31F79" w:rsidRDefault="00A31F79" w:rsidP="00B31222">
      <w:r>
        <w:continuationSeparator/>
      </w:r>
    </w:p>
  </w:endnote>
  <w:endnote w:type="continuationNotice" w:id="1">
    <w:p w14:paraId="5ADB24F3" w14:textId="77777777" w:rsidR="00A31F79" w:rsidRDefault="00A31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CDB1B47" w14:textId="77777777" w:rsidR="000164F0" w:rsidRDefault="000164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376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3769">
              <w:rPr>
                <w:b/>
                <w:bCs/>
                <w:noProof/>
              </w:rPr>
              <w:t>13</w:t>
            </w:r>
            <w:r>
              <w:rPr>
                <w:b/>
                <w:bCs/>
                <w:sz w:val="24"/>
                <w:szCs w:val="24"/>
              </w:rPr>
              <w:fldChar w:fldCharType="end"/>
            </w:r>
          </w:p>
        </w:sdtContent>
      </w:sdt>
    </w:sdtContent>
  </w:sdt>
  <w:p w14:paraId="2CB2764B" w14:textId="77777777" w:rsidR="000164F0" w:rsidRDefault="000164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249DD54" w14:textId="77777777" w:rsidR="000164F0" w:rsidRDefault="000164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376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3769">
              <w:rPr>
                <w:b/>
                <w:bCs/>
                <w:noProof/>
              </w:rPr>
              <w:t>13</w:t>
            </w:r>
            <w:r>
              <w:rPr>
                <w:b/>
                <w:bCs/>
                <w:sz w:val="24"/>
                <w:szCs w:val="24"/>
              </w:rPr>
              <w:fldChar w:fldCharType="end"/>
            </w:r>
          </w:p>
        </w:sdtContent>
      </w:sdt>
    </w:sdtContent>
  </w:sdt>
  <w:p w14:paraId="46BCC02C" w14:textId="77777777" w:rsidR="000164F0" w:rsidRDefault="00016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31B2" w14:textId="77777777" w:rsidR="00A31F79" w:rsidRDefault="00A31F79" w:rsidP="00B31222">
      <w:r>
        <w:separator/>
      </w:r>
    </w:p>
  </w:footnote>
  <w:footnote w:type="continuationSeparator" w:id="0">
    <w:p w14:paraId="3D917B1D" w14:textId="77777777" w:rsidR="00A31F79" w:rsidRDefault="00A31F79" w:rsidP="00B31222">
      <w:r>
        <w:continuationSeparator/>
      </w:r>
    </w:p>
  </w:footnote>
  <w:footnote w:type="continuationNotice" w:id="1">
    <w:p w14:paraId="0358BFD5" w14:textId="77777777" w:rsidR="00A31F79" w:rsidRDefault="00A31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8F48" w14:textId="77777777" w:rsidR="000164F0" w:rsidRDefault="00000000">
    <w:pPr>
      <w:pStyle w:val="Encabezado"/>
    </w:pPr>
    <w:r>
      <w:rPr>
        <w:noProof/>
        <w:lang w:eastAsia="es-MX"/>
      </w:rPr>
      <w:pict w14:anchorId="5ECD7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0164F0" w:rsidRPr="005C106F" w14:paraId="3B792383" w14:textId="77777777" w:rsidTr="00202DB8">
      <w:trPr>
        <w:trHeight w:val="1435"/>
      </w:trPr>
      <w:tc>
        <w:tcPr>
          <w:tcW w:w="2835" w:type="dxa"/>
        </w:tcPr>
        <w:p w14:paraId="728CD200" w14:textId="77777777" w:rsidR="000164F0" w:rsidRPr="005C106F" w:rsidRDefault="000164F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B07CDA6" wp14:editId="45690A9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1F614EED" w14:textId="77777777" w:rsidR="000164F0" w:rsidRDefault="000164F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164F0" w14:paraId="3A3CDF52" w14:textId="77777777" w:rsidTr="00DF3BE8">
            <w:trPr>
              <w:trHeight w:val="144"/>
            </w:trPr>
            <w:tc>
              <w:tcPr>
                <w:tcW w:w="2589" w:type="dxa"/>
              </w:tcPr>
              <w:p w14:paraId="731D9690" w14:textId="77777777" w:rsidR="000164F0" w:rsidRPr="00431A70" w:rsidRDefault="000164F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126028E" w14:textId="345CA519" w:rsidR="000164F0" w:rsidRPr="00431A70" w:rsidRDefault="000164F0"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08016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5</w:t>
                </w:r>
              </w:p>
            </w:tc>
          </w:tr>
          <w:tr w:rsidR="000164F0" w14:paraId="2721F746" w14:textId="77777777" w:rsidTr="00DF3BE8">
            <w:trPr>
              <w:trHeight w:val="283"/>
            </w:trPr>
            <w:tc>
              <w:tcPr>
                <w:tcW w:w="2589" w:type="dxa"/>
              </w:tcPr>
              <w:p w14:paraId="4C502F8B" w14:textId="77777777" w:rsidR="000164F0" w:rsidRPr="00431A70" w:rsidRDefault="000164F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B3CD0C5" w14:textId="77777777" w:rsidR="000164F0" w:rsidRPr="005F13CF" w:rsidRDefault="000164F0"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0164F0" w14:paraId="5353F06C" w14:textId="77777777" w:rsidTr="00DF3BE8">
            <w:trPr>
              <w:trHeight w:val="283"/>
            </w:trPr>
            <w:tc>
              <w:tcPr>
                <w:tcW w:w="2589" w:type="dxa"/>
              </w:tcPr>
              <w:p w14:paraId="5D180CDF" w14:textId="77777777" w:rsidR="000164F0" w:rsidRPr="00431A70" w:rsidRDefault="000164F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EB2BC0C" w14:textId="77777777" w:rsidR="000164F0" w:rsidRDefault="000164F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9E50DEC" w14:textId="77777777" w:rsidR="000164F0" w:rsidRPr="00431A70" w:rsidRDefault="000164F0" w:rsidP="005F13CF">
                <w:pPr>
                  <w:tabs>
                    <w:tab w:val="right" w:pos="8838"/>
                  </w:tabs>
                  <w:ind w:left="-106" w:right="171"/>
                  <w:jc w:val="both"/>
                  <w:rPr>
                    <w:rFonts w:ascii="Palatino Linotype" w:eastAsia="Calibri" w:hAnsi="Palatino Linotype" w:cs="Tahoma"/>
                    <w:b/>
                    <w:sz w:val="22"/>
                    <w:szCs w:val="22"/>
                    <w:lang w:eastAsia="en-US"/>
                  </w:rPr>
                </w:pPr>
              </w:p>
            </w:tc>
          </w:tr>
        </w:tbl>
        <w:p w14:paraId="563B4955" w14:textId="77777777" w:rsidR="000164F0" w:rsidRPr="005C106F" w:rsidRDefault="000164F0" w:rsidP="005743D2">
          <w:pPr>
            <w:tabs>
              <w:tab w:val="right" w:pos="8838"/>
            </w:tabs>
            <w:ind w:left="-28"/>
            <w:jc w:val="both"/>
            <w:rPr>
              <w:rFonts w:ascii="Arial" w:eastAsia="Calibri" w:hAnsi="Arial" w:cs="Arial"/>
              <w:b/>
              <w:sz w:val="22"/>
              <w:szCs w:val="22"/>
              <w:lang w:eastAsia="en-US"/>
            </w:rPr>
          </w:pPr>
        </w:p>
      </w:tc>
    </w:tr>
  </w:tbl>
  <w:p w14:paraId="31542611" w14:textId="77777777" w:rsidR="000164F0" w:rsidRPr="00A25151" w:rsidRDefault="000164F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0164F0" w:rsidRPr="00330DA7" w14:paraId="457FC0AF" w14:textId="77777777" w:rsidTr="003B165A">
      <w:trPr>
        <w:trHeight w:val="1435"/>
      </w:trPr>
      <w:tc>
        <w:tcPr>
          <w:tcW w:w="2835" w:type="dxa"/>
        </w:tcPr>
        <w:p w14:paraId="68352D25" w14:textId="77777777" w:rsidR="000164F0" w:rsidRPr="00330DA7" w:rsidRDefault="000164F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9C8CA14" wp14:editId="56FD3F1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164F0" w:rsidRPr="00431A70" w14:paraId="2B8A0655" w14:textId="77777777" w:rsidTr="00DF3BE8">
            <w:trPr>
              <w:trHeight w:val="144"/>
            </w:trPr>
            <w:tc>
              <w:tcPr>
                <w:tcW w:w="2589" w:type="dxa"/>
              </w:tcPr>
              <w:p w14:paraId="5B11E564" w14:textId="77777777" w:rsidR="000164F0" w:rsidRPr="00431A70" w:rsidRDefault="000164F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89A1E52" w14:textId="067D2A9D" w:rsidR="000164F0" w:rsidRPr="00431A70" w:rsidRDefault="000164F0"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08016/INFOEM/IP/RR/2025</w:t>
                </w:r>
              </w:p>
            </w:tc>
          </w:tr>
          <w:tr w:rsidR="000164F0" w:rsidRPr="00286D0C" w14:paraId="71FA6AD2" w14:textId="77777777" w:rsidTr="00DF3BE8">
            <w:trPr>
              <w:trHeight w:val="144"/>
            </w:trPr>
            <w:tc>
              <w:tcPr>
                <w:tcW w:w="2589" w:type="dxa"/>
              </w:tcPr>
              <w:p w14:paraId="6921BCD9" w14:textId="77777777" w:rsidR="000164F0" w:rsidRPr="00431A70" w:rsidRDefault="000164F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E56C618" w14:textId="77777777" w:rsidR="000164F0" w:rsidRPr="00286D0C" w:rsidRDefault="000164F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0164F0" w:rsidRPr="00431A70" w14:paraId="3937A20B" w14:textId="77777777" w:rsidTr="00DF3BE8">
            <w:trPr>
              <w:trHeight w:val="283"/>
            </w:trPr>
            <w:tc>
              <w:tcPr>
                <w:tcW w:w="2589" w:type="dxa"/>
              </w:tcPr>
              <w:p w14:paraId="2EE0EDE8" w14:textId="77777777" w:rsidR="000164F0" w:rsidRPr="00431A70" w:rsidRDefault="000164F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6139B40" w14:textId="77777777" w:rsidR="000164F0" w:rsidRPr="005F13CF" w:rsidRDefault="000164F0"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0164F0" w:rsidRPr="00431A70" w14:paraId="3EC152BE" w14:textId="77777777" w:rsidTr="00DF3BE8">
            <w:trPr>
              <w:trHeight w:val="283"/>
            </w:trPr>
            <w:tc>
              <w:tcPr>
                <w:tcW w:w="2589" w:type="dxa"/>
              </w:tcPr>
              <w:p w14:paraId="265057E4" w14:textId="77777777" w:rsidR="000164F0" w:rsidRPr="00431A70" w:rsidRDefault="000164F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487BC6" w14:textId="77777777" w:rsidR="000164F0" w:rsidRPr="00431A70" w:rsidRDefault="000164F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9900796" w14:textId="77777777" w:rsidR="000164F0" w:rsidRPr="00330DA7" w:rsidRDefault="000164F0" w:rsidP="00DB7E5F">
          <w:pPr>
            <w:tabs>
              <w:tab w:val="right" w:pos="8838"/>
            </w:tabs>
            <w:ind w:left="-28"/>
            <w:jc w:val="both"/>
            <w:rPr>
              <w:rFonts w:ascii="Arial" w:eastAsia="Calibri" w:hAnsi="Arial" w:cs="Arial"/>
              <w:b/>
              <w:sz w:val="22"/>
              <w:szCs w:val="22"/>
              <w:lang w:eastAsia="en-US"/>
            </w:rPr>
          </w:pPr>
        </w:p>
      </w:tc>
    </w:tr>
  </w:tbl>
  <w:p w14:paraId="510FE672" w14:textId="77777777" w:rsidR="000164F0" w:rsidRPr="00330DA7" w:rsidRDefault="000164F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7B3E18"/>
    <w:multiLevelType w:val="hybridMultilevel"/>
    <w:tmpl w:val="C3EA6E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3137120">
    <w:abstractNumId w:val="0"/>
  </w:num>
  <w:num w:numId="2" w16cid:durableId="1702314063">
    <w:abstractNumId w:val="10"/>
  </w:num>
  <w:num w:numId="3" w16cid:durableId="20031919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514027">
    <w:abstractNumId w:val="2"/>
  </w:num>
  <w:num w:numId="5" w16cid:durableId="500240048">
    <w:abstractNumId w:val="41"/>
  </w:num>
  <w:num w:numId="6" w16cid:durableId="1918322382">
    <w:abstractNumId w:val="6"/>
  </w:num>
  <w:num w:numId="7" w16cid:durableId="897596267">
    <w:abstractNumId w:val="9"/>
  </w:num>
  <w:num w:numId="8" w16cid:durableId="1493526469">
    <w:abstractNumId w:val="25"/>
  </w:num>
  <w:num w:numId="9" w16cid:durableId="1418403546">
    <w:abstractNumId w:val="5"/>
    <w:lvlOverride w:ilvl="0">
      <w:startOverride w:val="1"/>
    </w:lvlOverride>
    <w:lvlOverride w:ilvl="1"/>
    <w:lvlOverride w:ilvl="2"/>
    <w:lvlOverride w:ilvl="3"/>
    <w:lvlOverride w:ilvl="4"/>
    <w:lvlOverride w:ilvl="5"/>
    <w:lvlOverride w:ilvl="6"/>
    <w:lvlOverride w:ilvl="7"/>
    <w:lvlOverride w:ilvl="8"/>
  </w:num>
  <w:num w:numId="10" w16cid:durableId="2100981515">
    <w:abstractNumId w:val="33"/>
    <w:lvlOverride w:ilvl="0">
      <w:startOverride w:val="1"/>
    </w:lvlOverride>
    <w:lvlOverride w:ilvl="1"/>
    <w:lvlOverride w:ilvl="2"/>
    <w:lvlOverride w:ilvl="3"/>
    <w:lvlOverride w:ilvl="4"/>
    <w:lvlOverride w:ilvl="5"/>
    <w:lvlOverride w:ilvl="6"/>
    <w:lvlOverride w:ilvl="7"/>
    <w:lvlOverride w:ilvl="8"/>
  </w:num>
  <w:num w:numId="11" w16cid:durableId="2142268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633505">
    <w:abstractNumId w:val="21"/>
  </w:num>
  <w:num w:numId="13" w16cid:durableId="1482849758">
    <w:abstractNumId w:val="39"/>
  </w:num>
  <w:num w:numId="14" w16cid:durableId="1376275560">
    <w:abstractNumId w:val="18"/>
  </w:num>
  <w:num w:numId="15" w16cid:durableId="995181112">
    <w:abstractNumId w:val="20"/>
  </w:num>
  <w:num w:numId="16" w16cid:durableId="2080978997">
    <w:abstractNumId w:val="38"/>
  </w:num>
  <w:num w:numId="17" w16cid:durableId="1532232265">
    <w:abstractNumId w:val="15"/>
  </w:num>
  <w:num w:numId="18" w16cid:durableId="102921922">
    <w:abstractNumId w:val="22"/>
  </w:num>
  <w:num w:numId="19" w16cid:durableId="1794211360">
    <w:abstractNumId w:val="3"/>
  </w:num>
  <w:num w:numId="20" w16cid:durableId="1320160460">
    <w:abstractNumId w:val="29"/>
  </w:num>
  <w:num w:numId="21" w16cid:durableId="1295402034">
    <w:abstractNumId w:val="34"/>
  </w:num>
  <w:num w:numId="22" w16cid:durableId="1548837428">
    <w:abstractNumId w:val="36"/>
  </w:num>
  <w:num w:numId="23" w16cid:durableId="2096046478">
    <w:abstractNumId w:val="24"/>
  </w:num>
  <w:num w:numId="24" w16cid:durableId="1405955330">
    <w:abstractNumId w:val="17"/>
  </w:num>
  <w:num w:numId="25" w16cid:durableId="1582137289">
    <w:abstractNumId w:val="31"/>
  </w:num>
  <w:num w:numId="26" w16cid:durableId="989863560">
    <w:abstractNumId w:val="11"/>
  </w:num>
  <w:num w:numId="27" w16cid:durableId="1911887850">
    <w:abstractNumId w:val="13"/>
  </w:num>
  <w:num w:numId="28" w16cid:durableId="366567794">
    <w:abstractNumId w:val="19"/>
  </w:num>
  <w:num w:numId="29" w16cid:durableId="723413951">
    <w:abstractNumId w:val="8"/>
  </w:num>
  <w:num w:numId="30" w16cid:durableId="389041140">
    <w:abstractNumId w:val="30"/>
  </w:num>
  <w:num w:numId="31" w16cid:durableId="420025178">
    <w:abstractNumId w:val="32"/>
  </w:num>
  <w:num w:numId="32" w16cid:durableId="636178874">
    <w:abstractNumId w:val="23"/>
  </w:num>
  <w:num w:numId="33" w16cid:durableId="1554349787">
    <w:abstractNumId w:val="27"/>
  </w:num>
  <w:num w:numId="34" w16cid:durableId="1820149731">
    <w:abstractNumId w:val="28"/>
  </w:num>
  <w:num w:numId="35" w16cid:durableId="4438864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808637">
    <w:abstractNumId w:val="35"/>
  </w:num>
  <w:num w:numId="37" w16cid:durableId="1073695796">
    <w:abstractNumId w:val="12"/>
  </w:num>
  <w:num w:numId="38" w16cid:durableId="423383931">
    <w:abstractNumId w:val="4"/>
  </w:num>
  <w:num w:numId="39" w16cid:durableId="761413340">
    <w:abstractNumId w:val="7"/>
  </w:num>
  <w:num w:numId="40" w16cid:durableId="1901742047">
    <w:abstractNumId w:val="40"/>
  </w:num>
  <w:num w:numId="41" w16cid:durableId="133452990">
    <w:abstractNumId w:val="1"/>
  </w:num>
  <w:num w:numId="42" w16cid:durableId="1288463170">
    <w:abstractNumId w:val="14"/>
  </w:num>
  <w:num w:numId="43" w16cid:durableId="139501236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1CC2"/>
    <w:rsid w:val="00012B7E"/>
    <w:rsid w:val="00013291"/>
    <w:rsid w:val="00013861"/>
    <w:rsid w:val="00013A19"/>
    <w:rsid w:val="00013C8D"/>
    <w:rsid w:val="0001402B"/>
    <w:rsid w:val="00014465"/>
    <w:rsid w:val="00014BC5"/>
    <w:rsid w:val="00015D5C"/>
    <w:rsid w:val="00015FA1"/>
    <w:rsid w:val="0001639F"/>
    <w:rsid w:val="000164F0"/>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928"/>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5D48"/>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5E1"/>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6AB5"/>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731"/>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6379"/>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769"/>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06C"/>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5C3"/>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10C"/>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4547"/>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B7D"/>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1F79"/>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47E6C"/>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90D"/>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14E"/>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3E71"/>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07D4E"/>
    <w:rsid w:val="00E104F6"/>
    <w:rsid w:val="00E10748"/>
    <w:rsid w:val="00E10C8E"/>
    <w:rsid w:val="00E11847"/>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37E7"/>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2EE"/>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3FE4"/>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D04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A92F-BEC7-4F83-9CFF-45A4BD51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2859</Words>
  <Characters>15729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3</cp:revision>
  <cp:lastPrinted>2025-08-15T05:33:00Z</cp:lastPrinted>
  <dcterms:created xsi:type="dcterms:W3CDTF">2025-08-15T05:33:00Z</dcterms:created>
  <dcterms:modified xsi:type="dcterms:W3CDTF">2025-08-15T05:33:00Z</dcterms:modified>
</cp:coreProperties>
</file>