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33F1" w:rsidRPr="00B4323C" w:rsidRDefault="00727C65">
      <w:pPr>
        <w:tabs>
          <w:tab w:val="left" w:pos="3465"/>
        </w:tabs>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color w:val="000000"/>
        </w:rPr>
        <w:t>Resolución d</w:t>
      </w:r>
      <w:bookmarkStart w:id="0" w:name="_GoBack"/>
      <w:bookmarkEnd w:id="0"/>
      <w:r w:rsidRPr="00B4323C">
        <w:rPr>
          <w:rFonts w:ascii="Palatino Linotype" w:eastAsia="Palatino Linotype" w:hAnsi="Palatino Linotype" w:cs="Palatino Linotype"/>
          <w:color w:val="000000"/>
        </w:rPr>
        <w:t>el Pleno del Instituto de Transparencia, Acceso a la Información Pública y Protección de Datos Personales del Estado de México y Municipios, con domicilio en Metepec, Estado de México; de fecha seis (06) de febrero de dos mil veinticinco.</w:t>
      </w:r>
    </w:p>
    <w:p w:rsidR="003133F1" w:rsidRPr="00B4323C" w:rsidRDefault="003133F1">
      <w:pPr>
        <w:tabs>
          <w:tab w:val="left" w:pos="3465"/>
        </w:tabs>
        <w:spacing w:line="360" w:lineRule="auto"/>
        <w:ind w:right="-787"/>
        <w:jc w:val="both"/>
        <w:rPr>
          <w:rFonts w:ascii="Palatino Linotype" w:eastAsia="Palatino Linotype" w:hAnsi="Palatino Linotype" w:cs="Palatino Linotype"/>
          <w:color w:val="000000"/>
        </w:rPr>
      </w:pPr>
    </w:p>
    <w:p w:rsidR="003133F1" w:rsidRPr="00B4323C" w:rsidRDefault="00727C65">
      <w:pPr>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b/>
          <w:color w:val="000000"/>
        </w:rPr>
        <w:t>VISTO</w:t>
      </w:r>
      <w:r w:rsidRPr="00B4323C">
        <w:rPr>
          <w:rFonts w:ascii="Palatino Linotype" w:eastAsia="Palatino Linotype" w:hAnsi="Palatino Linotype" w:cs="Palatino Linotype"/>
          <w:color w:val="000000"/>
        </w:rPr>
        <w:t xml:space="preserve"> el expediente electrónico formado con motivo de los recursos de revisión </w:t>
      </w:r>
      <w:r w:rsidRPr="00B4323C">
        <w:rPr>
          <w:rFonts w:ascii="Palatino Linotype" w:eastAsia="Palatino Linotype" w:hAnsi="Palatino Linotype" w:cs="Palatino Linotype"/>
          <w:b/>
        </w:rPr>
        <w:t xml:space="preserve">04128/INFOEM/IP/RR/2024 y </w:t>
      </w:r>
      <w:r w:rsidRPr="00B4323C">
        <w:rPr>
          <w:rFonts w:ascii="Palatino Linotype" w:eastAsia="Palatino Linotype" w:hAnsi="Palatino Linotype" w:cs="Palatino Linotype"/>
          <w:b/>
          <w:color w:val="000000"/>
        </w:rPr>
        <w:t>04133/INFOEM/IP/RR/2024</w:t>
      </w:r>
      <w:r w:rsidRPr="00B4323C">
        <w:rPr>
          <w:rFonts w:ascii="Palatino Linotype" w:eastAsia="Palatino Linotype" w:hAnsi="Palatino Linotype" w:cs="Palatino Linotype"/>
          <w:color w:val="000000"/>
        </w:rPr>
        <w:t>,</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color w:val="000000"/>
        </w:rPr>
        <w:t xml:space="preserve">promovido por </w:t>
      </w:r>
      <w:r w:rsidR="001011B3">
        <w:rPr>
          <w:rFonts w:ascii="Palatino Linotype" w:eastAsia="Palatino Linotype" w:hAnsi="Palatino Linotype" w:cs="Palatino Linotype"/>
          <w:b/>
        </w:rPr>
        <w:t>XXXXXXXXXX</w:t>
      </w:r>
      <w:r w:rsidRPr="00B4323C">
        <w:rPr>
          <w:rFonts w:ascii="Palatino Linotype" w:eastAsia="Palatino Linotype" w:hAnsi="Palatino Linotype" w:cs="Palatino Linotype"/>
          <w:color w:val="000000"/>
        </w:rPr>
        <w:t xml:space="preserve">, a quien en lo sucesivo se le identificará como </w:t>
      </w:r>
      <w:r w:rsidRPr="00B4323C">
        <w:rPr>
          <w:rFonts w:ascii="Palatino Linotype" w:eastAsia="Palatino Linotype" w:hAnsi="Palatino Linotype" w:cs="Palatino Linotype"/>
          <w:b/>
          <w:color w:val="000000"/>
        </w:rPr>
        <w:t>EL RECURRENTE</w:t>
      </w:r>
      <w:r w:rsidRPr="00B4323C">
        <w:rPr>
          <w:rFonts w:ascii="Palatino Linotype" w:eastAsia="Palatino Linotype" w:hAnsi="Palatino Linotype" w:cs="Palatino Linotype"/>
          <w:color w:val="000000"/>
        </w:rPr>
        <w:t xml:space="preserve">, en contra de las respuestas del </w:t>
      </w:r>
      <w:r w:rsidRPr="00B4323C">
        <w:rPr>
          <w:rFonts w:ascii="Palatino Linotype" w:eastAsia="Palatino Linotype" w:hAnsi="Palatino Linotype" w:cs="Palatino Linotype"/>
          <w:b/>
          <w:color w:val="000000"/>
        </w:rPr>
        <w:t xml:space="preserve">Ayuntamiento de Temamatla, </w:t>
      </w:r>
      <w:r w:rsidRPr="00B4323C">
        <w:rPr>
          <w:rFonts w:ascii="Palatino Linotype" w:eastAsia="Palatino Linotype" w:hAnsi="Palatino Linotype" w:cs="Palatino Linotype"/>
          <w:color w:val="000000"/>
        </w:rPr>
        <w:t xml:space="preserve">en </w:t>
      </w:r>
      <w:r w:rsidRPr="00B4323C">
        <w:rPr>
          <w:rFonts w:ascii="Palatino Linotype" w:eastAsia="Palatino Linotype" w:hAnsi="Palatino Linotype" w:cs="Palatino Linotype"/>
        </w:rPr>
        <w:t>adelante</w:t>
      </w:r>
      <w:r w:rsidRPr="00B4323C">
        <w:rPr>
          <w:rFonts w:ascii="Palatino Linotype" w:eastAsia="Palatino Linotype" w:hAnsi="Palatino Linotype" w:cs="Palatino Linotype"/>
          <w:color w:val="000000"/>
        </w:rPr>
        <w:t xml:space="preserve"> el</w:t>
      </w:r>
      <w:r w:rsidRPr="00B4323C">
        <w:rPr>
          <w:rFonts w:ascii="Palatino Linotype" w:eastAsia="Palatino Linotype" w:hAnsi="Palatino Linotype" w:cs="Palatino Linotype"/>
          <w:b/>
          <w:color w:val="000000"/>
        </w:rPr>
        <w:t xml:space="preserve"> SUJETO OBLIGADO</w:t>
      </w:r>
      <w:r w:rsidRPr="00B4323C">
        <w:rPr>
          <w:rFonts w:ascii="Palatino Linotype" w:eastAsia="Palatino Linotype" w:hAnsi="Palatino Linotype" w:cs="Palatino Linotype"/>
          <w:color w:val="000000"/>
        </w:rPr>
        <w:t>, se procede a dictar la presente resolución, con base en los siguientes:</w:t>
      </w:r>
    </w:p>
    <w:p w:rsidR="003133F1" w:rsidRPr="00B4323C" w:rsidRDefault="003133F1">
      <w:pPr>
        <w:spacing w:line="360" w:lineRule="auto"/>
        <w:ind w:right="-787"/>
        <w:jc w:val="both"/>
        <w:rPr>
          <w:rFonts w:ascii="Palatino Linotype" w:eastAsia="Palatino Linotype" w:hAnsi="Palatino Linotype" w:cs="Palatino Linotype"/>
        </w:rPr>
      </w:pPr>
    </w:p>
    <w:p w:rsidR="003133F1" w:rsidRPr="00B4323C" w:rsidRDefault="00727C65">
      <w:pPr>
        <w:pStyle w:val="Ttulo1"/>
        <w:spacing w:before="0" w:line="360" w:lineRule="auto"/>
        <w:ind w:right="-787"/>
        <w:jc w:val="center"/>
        <w:rPr>
          <w:rFonts w:ascii="Palatino Linotype" w:eastAsia="Palatino Linotype" w:hAnsi="Palatino Linotype" w:cs="Palatino Linotype"/>
          <w:b/>
          <w:color w:val="000000"/>
          <w:sz w:val="24"/>
          <w:szCs w:val="24"/>
        </w:rPr>
      </w:pPr>
      <w:bookmarkStart w:id="1" w:name="_heading=h.gjdgxs" w:colFirst="0" w:colLast="0"/>
      <w:bookmarkEnd w:id="1"/>
      <w:r w:rsidRPr="00B4323C">
        <w:rPr>
          <w:rFonts w:ascii="Palatino Linotype" w:eastAsia="Palatino Linotype" w:hAnsi="Palatino Linotype" w:cs="Palatino Linotype"/>
          <w:b/>
          <w:color w:val="000000"/>
          <w:sz w:val="24"/>
          <w:szCs w:val="24"/>
        </w:rPr>
        <w:t>A N T E C E D E N T E S</w:t>
      </w:r>
    </w:p>
    <w:p w:rsidR="003133F1" w:rsidRPr="00B4323C" w:rsidRDefault="003133F1">
      <w:pPr>
        <w:ind w:right="-787"/>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El </w:t>
      </w:r>
      <w:r w:rsidRPr="00B4323C">
        <w:rPr>
          <w:rFonts w:ascii="Palatino Linotype" w:eastAsia="Palatino Linotype" w:hAnsi="Palatino Linotype" w:cs="Palatino Linotype"/>
          <w:b/>
        </w:rPr>
        <w:t>doce</w:t>
      </w:r>
      <w:r w:rsidRPr="00B4323C">
        <w:rPr>
          <w:rFonts w:ascii="Palatino Linotype" w:eastAsia="Palatino Linotype" w:hAnsi="Palatino Linotype" w:cs="Palatino Linotype"/>
          <w:b/>
          <w:color w:val="000000"/>
        </w:rPr>
        <w:t xml:space="preserve"> de </w:t>
      </w:r>
      <w:r w:rsidRPr="00B4323C">
        <w:rPr>
          <w:rFonts w:ascii="Palatino Linotype" w:eastAsia="Palatino Linotype" w:hAnsi="Palatino Linotype" w:cs="Palatino Linotype"/>
          <w:b/>
        </w:rPr>
        <w:t>junio</w:t>
      </w:r>
      <w:r w:rsidRPr="00B4323C">
        <w:rPr>
          <w:rFonts w:ascii="Palatino Linotype" w:eastAsia="Palatino Linotype" w:hAnsi="Palatino Linotype" w:cs="Palatino Linotype"/>
          <w:b/>
          <w:color w:val="000000"/>
        </w:rPr>
        <w:t xml:space="preserve"> de dos mil veinti</w:t>
      </w:r>
      <w:r w:rsidRPr="00B4323C">
        <w:rPr>
          <w:rFonts w:ascii="Palatino Linotype" w:eastAsia="Palatino Linotype" w:hAnsi="Palatino Linotype" w:cs="Palatino Linotype"/>
          <w:b/>
        </w:rPr>
        <w:t>cuatro</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color w:val="000000"/>
        </w:rPr>
        <w:t xml:space="preserve">se presentó ante el </w:t>
      </w:r>
      <w:r w:rsidRPr="00B4323C">
        <w:rPr>
          <w:rFonts w:ascii="Palatino Linotype" w:eastAsia="Palatino Linotype" w:hAnsi="Palatino Linotype" w:cs="Palatino Linotype"/>
          <w:b/>
          <w:color w:val="000000"/>
        </w:rPr>
        <w:t>SUJETO OBLIGADO</w:t>
      </w:r>
      <w:r w:rsidRPr="00B4323C">
        <w:rPr>
          <w:rFonts w:ascii="Palatino Linotype" w:eastAsia="Palatino Linotype" w:hAnsi="Palatino Linotype" w:cs="Palatino Linotype"/>
          <w:color w:val="000000"/>
        </w:rPr>
        <w:t xml:space="preserve"> vía SAIMEX, las solicitudes de información pública registradas con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números</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b/>
        </w:rPr>
        <w:t xml:space="preserve">00130/TEMAMATL/IP/2024 </w:t>
      </w:r>
      <w:r w:rsidRPr="00B4323C">
        <w:rPr>
          <w:rFonts w:ascii="Palatino Linotype" w:eastAsia="Palatino Linotype" w:hAnsi="Palatino Linotype" w:cs="Palatino Linotype"/>
        </w:rPr>
        <w:t>y</w:t>
      </w:r>
      <w:r w:rsidRPr="00B4323C">
        <w:rPr>
          <w:rFonts w:ascii="Palatino Linotype" w:eastAsia="Palatino Linotype" w:hAnsi="Palatino Linotype" w:cs="Palatino Linotype"/>
          <w:b/>
        </w:rPr>
        <w:t xml:space="preserve"> </w:t>
      </w:r>
      <w:r w:rsidRPr="00B4323C">
        <w:rPr>
          <w:rFonts w:ascii="Palatino Linotype" w:eastAsia="Palatino Linotype" w:hAnsi="Palatino Linotype" w:cs="Palatino Linotype"/>
          <w:b/>
          <w:color w:val="000000"/>
        </w:rPr>
        <w:t>00132/TEMAMATL/IP/2024</w:t>
      </w:r>
      <w:r w:rsidRPr="00B4323C">
        <w:rPr>
          <w:rFonts w:ascii="Palatino Linotype" w:eastAsia="Palatino Linotype" w:hAnsi="Palatino Linotype" w:cs="Palatino Linotype"/>
          <w:b/>
        </w:rPr>
        <w:t xml:space="preserve">, </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rPr>
        <w:t>en la que</w:t>
      </w:r>
      <w:r w:rsidRPr="00B4323C">
        <w:rPr>
          <w:rFonts w:ascii="Palatino Linotype" w:eastAsia="Palatino Linotype" w:hAnsi="Palatino Linotype" w:cs="Palatino Linotype"/>
          <w:color w:val="000000"/>
        </w:rPr>
        <w:t xml:space="preserve"> se solicitó la siguiente información:</w:t>
      </w:r>
    </w:p>
    <w:p w:rsidR="003133F1" w:rsidRPr="00B4323C" w:rsidRDefault="003133F1">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rsidR="003133F1" w:rsidRPr="00B4323C" w:rsidRDefault="00727C65">
      <w:pPr>
        <w:spacing w:line="360" w:lineRule="auto"/>
        <w:ind w:left="426" w:right="-787"/>
        <w:jc w:val="both"/>
        <w:rPr>
          <w:rFonts w:ascii="Palatino Linotype" w:eastAsia="Palatino Linotype" w:hAnsi="Palatino Linotype" w:cs="Palatino Linotype"/>
          <w:i/>
        </w:rPr>
      </w:pPr>
      <w:r w:rsidRPr="00B4323C">
        <w:rPr>
          <w:rFonts w:ascii="Palatino Linotype" w:eastAsia="Palatino Linotype" w:hAnsi="Palatino Linotype" w:cs="Palatino Linotype"/>
          <w:i/>
        </w:rPr>
        <w:t>“BUENAS TARDES. SOLICITO DE LA MANERA MAS ATENTA Y RESPETUOSA Y ASI MISMO CONFERME A LOS ESTABLECIDO EN LAS LEYES APLICABLES. SOLICITO INFORMACIÓN EN FORMATO DIGITAL, GENERADA EN LA ADMINISTRACIÓN 2022-2024 Y POR ESTE MEDIO. - GASTOS POR CONCEPTO Y PARTIDA PRESUPUESTARIA -PADRON DE PROVEEDORES Y CONTRATISTAS CON SUS CONTRATOS Y FACTURAS RESPECTIVAS DE LOS AÑOS 2022,2023 Y LO GENERADO EN EL 2024”</w:t>
      </w:r>
    </w:p>
    <w:p w:rsidR="003133F1" w:rsidRPr="00B4323C" w:rsidRDefault="00727C65">
      <w:pPr>
        <w:pBdr>
          <w:top w:val="nil"/>
          <w:left w:val="nil"/>
          <w:bottom w:val="nil"/>
          <w:right w:val="nil"/>
          <w:between w:val="nil"/>
        </w:pBdr>
        <w:spacing w:line="360" w:lineRule="auto"/>
        <w:ind w:left="426"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i/>
          <w:color w:val="000000"/>
        </w:rPr>
        <w:lastRenderedPageBreak/>
        <w:t>“BUENAS TARDES. SOLICITO DE LA MANERA MAS ATENTA Y RESPETUOSA Y ASI MISMO CONFERME A LOS ESTABLECIDO EN LAS LEYES APLICABLES. SOLICITO INFORMACIÓN EN FORMATO DIGITAL, GENERADA EN LA ADMINISTRACIÓN 2022-2024 Y POR ESTE MEDIO. - DE LAS RESOLUCIONES Y DE LOS LAUDOS ,GENERADOS EN LOS AÑOS 2022.2023,2024,-SOLICITO EL LISTADO DE TODOS LOS SERVIDORES PUBLICOS QUE ATUALMENTE LABORAN , CON SU SUELDO . - SOLICITO TODAS LAS LISTAS DE asistencia de LOS SERVIDORES PUBLICOS QUE LABORARON EN LOS AÑOS 2022,2023,2024 .- SOLICITO LA NOMINA GENERAL Y LA CANTIDAD TOTAL DE LO QUE SE GASTA EN SALARIOS CADA QUINCENA DESDE EL AÑO 2022 AL AÑO 2024”</w:t>
      </w:r>
    </w:p>
    <w:p w:rsidR="003133F1" w:rsidRPr="00B4323C" w:rsidRDefault="003133F1">
      <w:pPr>
        <w:pBdr>
          <w:top w:val="nil"/>
          <w:left w:val="nil"/>
          <w:bottom w:val="nil"/>
          <w:right w:val="nil"/>
          <w:between w:val="nil"/>
        </w:pBdr>
        <w:spacing w:line="360" w:lineRule="auto"/>
        <w:ind w:left="851" w:right="-787"/>
        <w:jc w:val="both"/>
        <w:rPr>
          <w:rFonts w:ascii="Palatino Linotype" w:eastAsia="Palatino Linotype" w:hAnsi="Palatino Linotype" w:cs="Palatino Linotype"/>
          <w:color w:val="000000"/>
        </w:rPr>
      </w:pPr>
    </w:p>
    <w:p w:rsidR="003133F1" w:rsidRPr="00B4323C" w:rsidRDefault="00727C65">
      <w:pPr>
        <w:numPr>
          <w:ilvl w:val="0"/>
          <w:numId w:val="4"/>
        </w:numPr>
        <w:pBdr>
          <w:top w:val="nil"/>
          <w:left w:val="nil"/>
          <w:bottom w:val="nil"/>
          <w:right w:val="nil"/>
          <w:between w:val="nil"/>
        </w:pBdr>
        <w:spacing w:line="360" w:lineRule="auto"/>
        <w:ind w:left="851"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color w:val="000000"/>
        </w:rPr>
        <w:t xml:space="preserve">Se eligió como modalidad de entrega de la información: A través del </w:t>
      </w:r>
      <w:r w:rsidRPr="00B4323C">
        <w:rPr>
          <w:rFonts w:ascii="Palatino Linotype" w:eastAsia="Palatino Linotype" w:hAnsi="Palatino Linotype" w:cs="Palatino Linotype"/>
          <w:b/>
          <w:color w:val="000000"/>
        </w:rPr>
        <w:t>SAIMEX.</w:t>
      </w:r>
    </w:p>
    <w:p w:rsidR="003133F1" w:rsidRPr="00B4323C" w:rsidRDefault="003133F1">
      <w:pPr>
        <w:pBdr>
          <w:top w:val="nil"/>
          <w:left w:val="nil"/>
          <w:bottom w:val="nil"/>
          <w:right w:val="nil"/>
          <w:between w:val="nil"/>
        </w:pBdr>
        <w:spacing w:line="360" w:lineRule="auto"/>
        <w:ind w:left="851" w:right="-787"/>
        <w:jc w:val="both"/>
        <w:rPr>
          <w:rFonts w:ascii="Palatino Linotype" w:eastAsia="Palatino Linotype" w:hAnsi="Palatino Linotype" w:cs="Palatino Linotype"/>
          <w:color w:val="000000"/>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El </w:t>
      </w:r>
      <w:r w:rsidRPr="00B4323C">
        <w:rPr>
          <w:rFonts w:ascii="Palatino Linotype" w:eastAsia="Palatino Linotype" w:hAnsi="Palatino Linotype" w:cs="Palatino Linotype"/>
          <w:b/>
          <w:color w:val="000000"/>
        </w:rPr>
        <w:t>veinte y ve</w:t>
      </w:r>
      <w:r w:rsidRPr="00B4323C">
        <w:rPr>
          <w:rFonts w:ascii="Palatino Linotype" w:eastAsia="Palatino Linotype" w:hAnsi="Palatino Linotype" w:cs="Palatino Linotype"/>
          <w:b/>
        </w:rPr>
        <w:t>intiuno</w:t>
      </w:r>
      <w:r w:rsidRPr="00B4323C">
        <w:rPr>
          <w:rFonts w:ascii="Palatino Linotype" w:eastAsia="Palatino Linotype" w:hAnsi="Palatino Linotype" w:cs="Palatino Linotype"/>
          <w:b/>
          <w:color w:val="000000"/>
        </w:rPr>
        <w:t xml:space="preserve"> de junio de dos mil veinticuatro</w:t>
      </w:r>
      <w:r w:rsidRPr="00B4323C">
        <w:rPr>
          <w:rFonts w:ascii="Palatino Linotype" w:eastAsia="Palatino Linotype" w:hAnsi="Palatino Linotype" w:cs="Palatino Linotype"/>
          <w:color w:val="000000"/>
        </w:rPr>
        <w:t xml:space="preserve">, el </w:t>
      </w:r>
      <w:r w:rsidRPr="00B4323C">
        <w:rPr>
          <w:rFonts w:ascii="Palatino Linotype" w:eastAsia="Palatino Linotype" w:hAnsi="Palatino Linotype" w:cs="Palatino Linotype"/>
          <w:b/>
          <w:color w:val="000000"/>
        </w:rPr>
        <w:t>SUJETO OBLIGADO,</w:t>
      </w:r>
      <w:r w:rsidRPr="00B4323C">
        <w:rPr>
          <w:rFonts w:ascii="Palatino Linotype" w:eastAsia="Palatino Linotype" w:hAnsi="Palatino Linotype" w:cs="Palatino Linotype"/>
          <w:color w:val="000000"/>
        </w:rPr>
        <w:t xml:space="preserve"> dio respuesta en los siguientes térm</w:t>
      </w:r>
      <w:r w:rsidRPr="00B4323C">
        <w:rPr>
          <w:rFonts w:ascii="Palatino Linotype" w:eastAsia="Palatino Linotype" w:hAnsi="Palatino Linotype" w:cs="Palatino Linotype"/>
        </w:rPr>
        <w:t>inos:</w:t>
      </w:r>
    </w:p>
    <w:p w:rsidR="003133F1" w:rsidRPr="00B4323C" w:rsidRDefault="00727C65">
      <w:pPr>
        <w:spacing w:line="360" w:lineRule="auto"/>
        <w:ind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b/>
          <w:sz w:val="22"/>
          <w:szCs w:val="22"/>
        </w:rPr>
        <w:t xml:space="preserve">04128/INFOEM/IP/RR/2024: </w:t>
      </w:r>
      <w:r w:rsidRPr="00B4323C">
        <w:rPr>
          <w:rFonts w:ascii="Palatino Linotype" w:eastAsia="Palatino Linotype" w:hAnsi="Palatino Linotype" w:cs="Palatino Linotype"/>
          <w:sz w:val="22"/>
          <w:szCs w:val="22"/>
        </w:rPr>
        <w:t xml:space="preserve">a través de dos archivos electrónicos en formato PDF denominados </w:t>
      </w:r>
      <w:r w:rsidRPr="00B4323C">
        <w:rPr>
          <w:rFonts w:ascii="Palatino Linotype" w:eastAsia="Palatino Linotype" w:hAnsi="Palatino Linotype" w:cs="Palatino Linotype"/>
          <w:i/>
          <w:sz w:val="22"/>
          <w:szCs w:val="22"/>
        </w:rPr>
        <w:t>ACTAS TRANSPARENCIA.pdf</w:t>
      </w:r>
      <w:r w:rsidRPr="00B4323C">
        <w:rPr>
          <w:rFonts w:ascii="Palatino Linotype" w:eastAsia="Palatino Linotype" w:hAnsi="Palatino Linotype" w:cs="Palatino Linotype"/>
          <w:sz w:val="22"/>
          <w:szCs w:val="22"/>
        </w:rPr>
        <w:t xml:space="preserve"> y </w:t>
      </w:r>
      <w:r w:rsidRPr="00B4323C">
        <w:rPr>
          <w:rFonts w:ascii="Palatino Linotype" w:eastAsia="Palatino Linotype" w:hAnsi="Palatino Linotype" w:cs="Palatino Linotype"/>
          <w:i/>
          <w:sz w:val="22"/>
          <w:szCs w:val="22"/>
        </w:rPr>
        <w:t xml:space="preserve">TESORERÍA 130.pdf, </w:t>
      </w:r>
      <w:r w:rsidRPr="00B4323C">
        <w:rPr>
          <w:rFonts w:ascii="Palatino Linotype" w:eastAsia="Palatino Linotype" w:hAnsi="Palatino Linotype" w:cs="Palatino Linotype"/>
          <w:sz w:val="22"/>
          <w:szCs w:val="22"/>
        </w:rPr>
        <w:t xml:space="preserve">que contienen el acta de la sexagésima segunda sesión ordinaria del Comité de Transparencia del Ayuntamiento de Temamatla, mediante la cual se aprobó el cambio de modalidad a consulta directa para la entrega de información dentro de la solicitud 00130/TEMAMATL/IP/2024, así como el oficio MT/TESORERIAMPAL/OI/296/2024, por el que la Tesorera Municipal de Temamatla, informó a Titular de la Unidad de Transparencia del mismo municipio, la propuesta de cambio de modalidad a consulta directa, para atender la solicitud referida en líneas anteriores. </w:t>
      </w:r>
    </w:p>
    <w:p w:rsidR="003133F1" w:rsidRPr="00B4323C" w:rsidRDefault="003133F1">
      <w:pPr>
        <w:spacing w:line="360" w:lineRule="auto"/>
        <w:ind w:right="-220"/>
        <w:jc w:val="both"/>
        <w:rPr>
          <w:rFonts w:ascii="Palatino Linotype" w:eastAsia="Palatino Linotype" w:hAnsi="Palatino Linotype" w:cs="Palatino Linotype"/>
          <w:i/>
          <w:sz w:val="22"/>
          <w:szCs w:val="22"/>
        </w:rPr>
      </w:pPr>
    </w:p>
    <w:p w:rsidR="003133F1" w:rsidRPr="00B4323C" w:rsidRDefault="00727C65">
      <w:pPr>
        <w:pBdr>
          <w:top w:val="nil"/>
          <w:left w:val="nil"/>
          <w:bottom w:val="nil"/>
          <w:right w:val="nil"/>
          <w:between w:val="nil"/>
        </w:pBdr>
        <w:spacing w:line="360" w:lineRule="auto"/>
        <w:ind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b/>
          <w:sz w:val="22"/>
          <w:szCs w:val="22"/>
        </w:rPr>
        <w:lastRenderedPageBreak/>
        <w:t xml:space="preserve">04133/INFOEM/IP/RR/2024: </w:t>
      </w:r>
      <w:r w:rsidRPr="00B4323C">
        <w:rPr>
          <w:rFonts w:ascii="Palatino Linotype" w:eastAsia="Palatino Linotype" w:hAnsi="Palatino Linotype" w:cs="Palatino Linotype"/>
          <w:color w:val="000000"/>
          <w:sz w:val="22"/>
          <w:szCs w:val="22"/>
        </w:rPr>
        <w:t xml:space="preserve">a través de tres archivos electrónicos en formato PDF denominados </w:t>
      </w:r>
      <w:r w:rsidRPr="00B4323C">
        <w:rPr>
          <w:rFonts w:ascii="Palatino Linotype" w:eastAsia="Palatino Linotype" w:hAnsi="Palatino Linotype" w:cs="Palatino Linotype"/>
          <w:b/>
          <w:i/>
          <w:color w:val="000000"/>
          <w:sz w:val="22"/>
          <w:szCs w:val="22"/>
        </w:rPr>
        <w:t>132 administración.pdf, Acta 61.pdf</w:t>
      </w:r>
      <w:r w:rsidRPr="00B4323C">
        <w:rPr>
          <w:rFonts w:ascii="Palatino Linotype" w:eastAsia="Palatino Linotype" w:hAnsi="Palatino Linotype" w:cs="Palatino Linotype"/>
          <w:b/>
          <w:color w:val="000000"/>
          <w:sz w:val="22"/>
          <w:szCs w:val="22"/>
        </w:rPr>
        <w:t xml:space="preserve"> </w:t>
      </w:r>
      <w:r w:rsidRPr="00B4323C">
        <w:rPr>
          <w:rFonts w:ascii="Palatino Linotype" w:eastAsia="Palatino Linotype" w:hAnsi="Palatino Linotype" w:cs="Palatino Linotype"/>
          <w:color w:val="000000"/>
          <w:sz w:val="22"/>
          <w:szCs w:val="22"/>
        </w:rPr>
        <w:t>y</w:t>
      </w:r>
      <w:r w:rsidRPr="00B4323C">
        <w:rPr>
          <w:rFonts w:ascii="Palatino Linotype" w:eastAsia="Palatino Linotype" w:hAnsi="Palatino Linotype" w:cs="Palatino Linotype"/>
          <w:b/>
          <w:color w:val="000000"/>
          <w:sz w:val="22"/>
          <w:szCs w:val="22"/>
        </w:rPr>
        <w:t xml:space="preserve"> </w:t>
      </w:r>
      <w:r w:rsidRPr="00B4323C">
        <w:rPr>
          <w:rFonts w:ascii="Palatino Linotype" w:eastAsia="Palatino Linotype" w:hAnsi="Palatino Linotype" w:cs="Palatino Linotype"/>
          <w:b/>
          <w:i/>
          <w:color w:val="000000"/>
          <w:sz w:val="22"/>
          <w:szCs w:val="22"/>
        </w:rPr>
        <w:t>132.pdf</w:t>
      </w:r>
      <w:r w:rsidRPr="00B4323C">
        <w:rPr>
          <w:rFonts w:ascii="Palatino Linotype" w:eastAsia="Palatino Linotype" w:hAnsi="Palatino Linotype" w:cs="Palatino Linotype"/>
          <w:color w:val="000000"/>
          <w:sz w:val="22"/>
          <w:szCs w:val="22"/>
        </w:rPr>
        <w:t>, que corresponde a un oficio signado por el Director de Administración, mediante el cual remite un enlace en el que refiere se puede localizar la nómina general y la cantidad de salarios pegados; asimismo que las listas de asistencia de todos los servidores públicos que actualmente laboran en el Ayuntamiento corresponde a un volumen de 864 fojas por carpeta, teniendo un total de 4166 fojas; acta del Comité de Transparencia mediante el cual se aprueba las versiones públicas del soporte documental que da atención a la solicitud de información; oficio signado por el Director Jurídico, mediante el cual informa que esa unidad administrativa genera resoluciones, ni laudos.</w:t>
      </w:r>
    </w:p>
    <w:p w:rsidR="003133F1" w:rsidRPr="00B4323C" w:rsidRDefault="003133F1">
      <w:pPr>
        <w:pBdr>
          <w:top w:val="nil"/>
          <w:left w:val="nil"/>
          <w:bottom w:val="nil"/>
          <w:right w:val="nil"/>
          <w:between w:val="nil"/>
        </w:pBdr>
        <w:spacing w:line="360" w:lineRule="auto"/>
        <w:ind w:right="-787"/>
        <w:jc w:val="both"/>
        <w:rPr>
          <w:rFonts w:ascii="Palatino Linotype" w:eastAsia="Palatino Linotype" w:hAnsi="Palatino Linotype" w:cs="Palatino Linotype"/>
          <w:i/>
          <w:color w:val="000000"/>
        </w:rPr>
      </w:pPr>
    </w:p>
    <w:p w:rsidR="003133F1" w:rsidRPr="00B4323C" w:rsidRDefault="00727C65">
      <w:pPr>
        <w:numPr>
          <w:ilvl w:val="0"/>
          <w:numId w:val="2"/>
        </w:numPr>
        <w:pBdr>
          <w:top w:val="nil"/>
          <w:left w:val="nil"/>
          <w:bottom w:val="nil"/>
          <w:right w:val="nil"/>
          <w:between w:val="nil"/>
        </w:pBdr>
        <w:tabs>
          <w:tab w:val="left" w:pos="0"/>
        </w:tabs>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El </w:t>
      </w:r>
      <w:r w:rsidRPr="00B4323C">
        <w:rPr>
          <w:rFonts w:ascii="Palatino Linotype" w:eastAsia="Palatino Linotype" w:hAnsi="Palatino Linotype" w:cs="Palatino Linotype"/>
          <w:b/>
          <w:color w:val="000000"/>
        </w:rPr>
        <w:t>cuatro de julio de dos mil veinticuatro</w:t>
      </w:r>
      <w:r w:rsidRPr="00B4323C">
        <w:rPr>
          <w:rFonts w:ascii="Palatino Linotype" w:eastAsia="Palatino Linotype" w:hAnsi="Palatino Linotype" w:cs="Palatino Linotype"/>
          <w:color w:val="000000"/>
        </w:rPr>
        <w:t>, el particular interpuso el recurso de revisión en contra de la respuesta, manifestando las siguientes razones o motivos de inconformidad:</w:t>
      </w:r>
    </w:p>
    <w:p w:rsidR="003133F1" w:rsidRPr="00B4323C" w:rsidRDefault="00727C65">
      <w:pPr>
        <w:tabs>
          <w:tab w:val="center" w:pos="4419"/>
          <w:tab w:val="right" w:pos="8838"/>
        </w:tabs>
        <w:ind w:right="-220"/>
        <w:rPr>
          <w:rFonts w:ascii="Palatino Linotype" w:eastAsia="Palatino Linotype" w:hAnsi="Palatino Linotype" w:cs="Palatino Linotype"/>
          <w:b/>
          <w:sz w:val="22"/>
          <w:szCs w:val="22"/>
        </w:rPr>
      </w:pPr>
      <w:r w:rsidRPr="00B4323C">
        <w:rPr>
          <w:rFonts w:ascii="Palatino Linotype" w:eastAsia="Palatino Linotype" w:hAnsi="Palatino Linotype" w:cs="Palatino Linotype"/>
          <w:b/>
          <w:sz w:val="22"/>
          <w:szCs w:val="22"/>
        </w:rPr>
        <w:t>04128/INFOEM/IP/RR/2024:</w:t>
      </w:r>
    </w:p>
    <w:p w:rsidR="003133F1" w:rsidRPr="00B4323C" w:rsidRDefault="003133F1">
      <w:pPr>
        <w:tabs>
          <w:tab w:val="center" w:pos="4419"/>
          <w:tab w:val="right" w:pos="8838"/>
        </w:tabs>
        <w:ind w:right="-220"/>
        <w:rPr>
          <w:rFonts w:ascii="Palatino Linotype" w:eastAsia="Palatino Linotype" w:hAnsi="Palatino Linotype" w:cs="Palatino Linotype"/>
          <w:b/>
          <w:sz w:val="22"/>
          <w:szCs w:val="22"/>
        </w:rPr>
      </w:pPr>
    </w:p>
    <w:p w:rsidR="003133F1" w:rsidRPr="00B4323C" w:rsidRDefault="00727C65">
      <w:pPr>
        <w:spacing w:line="360" w:lineRule="auto"/>
        <w:ind w:right="-220"/>
        <w:jc w:val="both"/>
        <w:rPr>
          <w:rFonts w:ascii="Palatino Linotype" w:eastAsia="Palatino Linotype" w:hAnsi="Palatino Linotype" w:cs="Palatino Linotype"/>
          <w:i/>
          <w:sz w:val="22"/>
          <w:szCs w:val="22"/>
        </w:rPr>
      </w:pPr>
      <w:r w:rsidRPr="00B4323C">
        <w:rPr>
          <w:rFonts w:ascii="Palatino Linotype" w:eastAsia="Palatino Linotype" w:hAnsi="Palatino Linotype" w:cs="Palatino Linotype"/>
          <w:b/>
          <w:sz w:val="22"/>
          <w:szCs w:val="22"/>
        </w:rPr>
        <w:t xml:space="preserve">Acto impugnado: </w:t>
      </w:r>
      <w:r w:rsidRPr="00B4323C">
        <w:rPr>
          <w:rFonts w:ascii="Palatino Linotype" w:eastAsia="Palatino Linotype" w:hAnsi="Palatino Linotype" w:cs="Palatino Linotype"/>
          <w:i/>
          <w:sz w:val="22"/>
          <w:szCs w:val="22"/>
        </w:rPr>
        <w:t>“se anexa documento”</w:t>
      </w:r>
    </w:p>
    <w:p w:rsidR="003133F1" w:rsidRPr="00B4323C" w:rsidRDefault="00727C65">
      <w:pPr>
        <w:spacing w:line="360" w:lineRule="auto"/>
        <w:ind w:right="-220"/>
        <w:jc w:val="both"/>
        <w:rPr>
          <w:rFonts w:ascii="Palatino Linotype" w:eastAsia="Palatino Linotype" w:hAnsi="Palatino Linotype" w:cs="Palatino Linotype"/>
          <w:i/>
          <w:sz w:val="22"/>
          <w:szCs w:val="22"/>
        </w:rPr>
      </w:pPr>
      <w:r w:rsidRPr="00B4323C">
        <w:rPr>
          <w:rFonts w:ascii="Palatino Linotype" w:eastAsia="Palatino Linotype" w:hAnsi="Palatino Linotype" w:cs="Palatino Linotype"/>
          <w:b/>
          <w:sz w:val="22"/>
          <w:szCs w:val="22"/>
        </w:rPr>
        <w:t xml:space="preserve">Razones o Motivos de inconformidad: </w:t>
      </w:r>
      <w:r w:rsidRPr="00B4323C">
        <w:rPr>
          <w:rFonts w:ascii="Palatino Linotype" w:eastAsia="Palatino Linotype" w:hAnsi="Palatino Linotype" w:cs="Palatino Linotype"/>
          <w:i/>
          <w:sz w:val="22"/>
          <w:szCs w:val="22"/>
        </w:rPr>
        <w:t>“se anexa documento”</w:t>
      </w:r>
    </w:p>
    <w:p w:rsidR="003133F1" w:rsidRPr="00B4323C" w:rsidRDefault="00727C65">
      <w:pPr>
        <w:numPr>
          <w:ilvl w:val="0"/>
          <w:numId w:val="4"/>
        </w:numPr>
        <w:spacing w:line="360" w:lineRule="auto"/>
        <w:ind w:left="993" w:right="-220"/>
        <w:jc w:val="both"/>
        <w:rPr>
          <w:rFonts w:ascii="Palatino Linotype" w:eastAsia="Palatino Linotype" w:hAnsi="Palatino Linotype" w:cs="Palatino Linotype"/>
          <w:i/>
          <w:sz w:val="22"/>
          <w:szCs w:val="22"/>
        </w:rPr>
      </w:pPr>
      <w:r w:rsidRPr="00B4323C">
        <w:rPr>
          <w:rFonts w:ascii="Palatino Linotype" w:eastAsia="Palatino Linotype" w:hAnsi="Palatino Linotype" w:cs="Palatino Linotype"/>
          <w:sz w:val="22"/>
          <w:szCs w:val="22"/>
        </w:rPr>
        <w:t xml:space="preserve">Se adjunta un archivo </w:t>
      </w:r>
      <w:r w:rsidRPr="00B4323C">
        <w:rPr>
          <w:rFonts w:ascii="Palatino Linotype" w:eastAsia="Palatino Linotype" w:hAnsi="Palatino Linotype" w:cs="Palatino Linotype"/>
          <w:b/>
          <w:sz w:val="22"/>
          <w:szCs w:val="22"/>
        </w:rPr>
        <w:t>132.pdf</w:t>
      </w:r>
      <w:r w:rsidRPr="00B4323C">
        <w:rPr>
          <w:rFonts w:ascii="Palatino Linotype" w:eastAsia="Palatino Linotype" w:hAnsi="Palatino Linotype" w:cs="Palatino Linotype"/>
          <w:sz w:val="22"/>
          <w:szCs w:val="22"/>
        </w:rPr>
        <w:t>, cuyo contenido, cuyo contenido es el siguiente:</w:t>
      </w:r>
    </w:p>
    <w:p w:rsidR="003133F1" w:rsidRPr="00B4323C" w:rsidRDefault="00727C65">
      <w:pPr>
        <w:spacing w:line="360" w:lineRule="auto"/>
        <w:ind w:left="566" w:right="-220"/>
        <w:jc w:val="both"/>
        <w:rPr>
          <w:rFonts w:ascii="Palatino Linotype" w:eastAsia="Palatino Linotype" w:hAnsi="Palatino Linotype" w:cs="Palatino Linotype"/>
          <w:i/>
          <w:sz w:val="22"/>
          <w:szCs w:val="22"/>
        </w:rPr>
      </w:pPr>
      <w:r w:rsidRPr="00B4323C">
        <w:rPr>
          <w:rFonts w:ascii="Palatino Linotype" w:eastAsia="Palatino Linotype" w:hAnsi="Palatino Linotype" w:cs="Palatino Linotype"/>
          <w:i/>
          <w:sz w:val="22"/>
          <w:szCs w:val="22"/>
        </w:rPr>
        <w:t xml:space="preserve">Por medio del presente le envió un cordial saludo, así mismo manifiesto mi inconformidad respecto a la respuesta de la solicitud de información con número de folio 00130/TEMAMATL/IP/2024, la cual fue presentada mediante el sistema SAIMEX al sujeto obligado AYUNTAMIENTO DE TEMAMATLA, solicitando lo siguiente: “BUENAS TARDES. SOLICITO DE LA MANERA MAS ATENTA Y RESPETUOSA Y ASI MISMO CONFERME A LOS ESTABLECIDO EN LAS LEYES APLICABLES. SOLICITO INFORMACIÓN EN FORMATO DIGITAL, GENERADA EN LA ADMINISTRACIÓN 2022-2024 Y POR ESTE MEDIO. - GASTOS POR CONCEPTO Y PARTIDA PRESUPUESTARIA -PADRON DE PROVEEDORES Y </w:t>
      </w:r>
      <w:r w:rsidRPr="00B4323C">
        <w:rPr>
          <w:rFonts w:ascii="Palatino Linotype" w:eastAsia="Palatino Linotype" w:hAnsi="Palatino Linotype" w:cs="Palatino Linotype"/>
          <w:i/>
          <w:sz w:val="22"/>
          <w:szCs w:val="22"/>
        </w:rPr>
        <w:lastRenderedPageBreak/>
        <w:t>CONTRATISTAS CON SUS CONTRATOS Y FACTURAS RESPECTIVAS DE LOS AÑOS 2022,2023 Y LO GENERADO EN EL 2024”. Mi inconformidad es que en los oficios de contestación realizan el cambio de modalidad de entrega de información, ya que su servidor solicito la entrega de información mediante el sistema SAIMEX. MOTIVO DE INCONFORMIDAD: La notificación, entrega o puesta a disposición de información en una modalidad o formato distinto al solicitado Solicitando de la manera más respetuosa no cambie la modalidad de entrega ya que no me es posible asistir personalmente Todo esto conforme a lo establecido en EL ARTICULO SEXTO DE LA CONSTITUCIÓN POLITICA DE LOS ESTADOS UNIDOS MEXICANOS</w:t>
      </w:r>
    </w:p>
    <w:p w:rsidR="003133F1" w:rsidRPr="00B4323C" w:rsidRDefault="003133F1">
      <w:pPr>
        <w:spacing w:line="360" w:lineRule="auto"/>
        <w:ind w:left="1724" w:right="-220"/>
        <w:jc w:val="both"/>
        <w:rPr>
          <w:rFonts w:ascii="Palatino Linotype" w:eastAsia="Palatino Linotype" w:hAnsi="Palatino Linotype" w:cs="Palatino Linotype"/>
          <w:sz w:val="22"/>
          <w:szCs w:val="22"/>
        </w:rPr>
      </w:pPr>
    </w:p>
    <w:p w:rsidR="003133F1" w:rsidRPr="00B4323C" w:rsidRDefault="00727C65">
      <w:pPr>
        <w:tabs>
          <w:tab w:val="center" w:pos="4419"/>
          <w:tab w:val="right" w:pos="8838"/>
        </w:tabs>
        <w:ind w:right="-220"/>
        <w:rPr>
          <w:rFonts w:ascii="Palatino Linotype" w:eastAsia="Palatino Linotype" w:hAnsi="Palatino Linotype" w:cs="Palatino Linotype"/>
          <w:b/>
          <w:sz w:val="22"/>
          <w:szCs w:val="22"/>
        </w:rPr>
      </w:pPr>
      <w:r w:rsidRPr="00B4323C">
        <w:rPr>
          <w:rFonts w:ascii="Palatino Linotype" w:eastAsia="Palatino Linotype" w:hAnsi="Palatino Linotype" w:cs="Palatino Linotype"/>
          <w:b/>
          <w:sz w:val="22"/>
          <w:szCs w:val="22"/>
        </w:rPr>
        <w:t>04133/INFOEM/IP/RR/2024:</w:t>
      </w:r>
    </w:p>
    <w:p w:rsidR="003133F1" w:rsidRPr="00B4323C" w:rsidRDefault="003133F1">
      <w:pPr>
        <w:tabs>
          <w:tab w:val="center" w:pos="4419"/>
          <w:tab w:val="right" w:pos="8838"/>
        </w:tabs>
        <w:ind w:right="-220"/>
        <w:rPr>
          <w:rFonts w:ascii="Palatino Linotype" w:eastAsia="Palatino Linotype" w:hAnsi="Palatino Linotype" w:cs="Palatino Linotype"/>
          <w:b/>
          <w:sz w:val="22"/>
          <w:szCs w:val="22"/>
        </w:rPr>
      </w:pPr>
    </w:p>
    <w:p w:rsidR="003133F1" w:rsidRPr="00B4323C" w:rsidRDefault="00727C65">
      <w:pPr>
        <w:pBdr>
          <w:top w:val="nil"/>
          <w:left w:val="nil"/>
          <w:bottom w:val="nil"/>
          <w:right w:val="nil"/>
          <w:between w:val="nil"/>
        </w:pBdr>
        <w:spacing w:line="360" w:lineRule="auto"/>
        <w:ind w:right="-220"/>
        <w:jc w:val="both"/>
        <w:rPr>
          <w:rFonts w:ascii="Palatino Linotype" w:eastAsia="Palatino Linotype" w:hAnsi="Palatino Linotype" w:cs="Palatino Linotype"/>
          <w:i/>
          <w:color w:val="000000"/>
          <w:sz w:val="22"/>
          <w:szCs w:val="22"/>
        </w:rPr>
      </w:pPr>
      <w:bookmarkStart w:id="2" w:name="_heading=h.30j0zll" w:colFirst="0" w:colLast="0"/>
      <w:bookmarkEnd w:id="2"/>
      <w:r w:rsidRPr="00B4323C">
        <w:rPr>
          <w:rFonts w:ascii="Palatino Linotype" w:eastAsia="Palatino Linotype" w:hAnsi="Palatino Linotype" w:cs="Palatino Linotype"/>
          <w:b/>
          <w:color w:val="000000"/>
          <w:sz w:val="22"/>
          <w:szCs w:val="22"/>
        </w:rPr>
        <w:t xml:space="preserve">Acto impugnado: </w:t>
      </w:r>
      <w:r w:rsidRPr="00B4323C">
        <w:rPr>
          <w:rFonts w:ascii="Palatino Linotype" w:eastAsia="Palatino Linotype" w:hAnsi="Palatino Linotype" w:cs="Palatino Linotype"/>
          <w:i/>
          <w:color w:val="000000"/>
          <w:sz w:val="22"/>
          <w:szCs w:val="22"/>
        </w:rPr>
        <w:t>“se anexa documento”</w:t>
      </w:r>
    </w:p>
    <w:p w:rsidR="003133F1" w:rsidRPr="00B4323C" w:rsidRDefault="00727C65">
      <w:pPr>
        <w:pBdr>
          <w:top w:val="nil"/>
          <w:left w:val="nil"/>
          <w:bottom w:val="nil"/>
          <w:right w:val="nil"/>
          <w:between w:val="nil"/>
        </w:pBdr>
        <w:spacing w:line="360" w:lineRule="auto"/>
        <w:ind w:right="-220"/>
        <w:jc w:val="both"/>
        <w:rPr>
          <w:rFonts w:ascii="Palatino Linotype" w:eastAsia="Palatino Linotype" w:hAnsi="Palatino Linotype" w:cs="Palatino Linotype"/>
          <w:i/>
          <w:color w:val="000000"/>
          <w:sz w:val="22"/>
          <w:szCs w:val="22"/>
        </w:rPr>
      </w:pPr>
      <w:bookmarkStart w:id="3" w:name="_heading=h.1fob9te" w:colFirst="0" w:colLast="0"/>
      <w:bookmarkEnd w:id="3"/>
      <w:r w:rsidRPr="00B4323C">
        <w:rPr>
          <w:rFonts w:ascii="Palatino Linotype" w:eastAsia="Palatino Linotype" w:hAnsi="Palatino Linotype" w:cs="Palatino Linotype"/>
          <w:b/>
          <w:color w:val="000000"/>
          <w:sz w:val="22"/>
          <w:szCs w:val="22"/>
        </w:rPr>
        <w:t xml:space="preserve">Razones o Motivos de inconformidad: </w:t>
      </w:r>
      <w:r w:rsidRPr="00B4323C">
        <w:rPr>
          <w:rFonts w:ascii="Palatino Linotype" w:eastAsia="Palatino Linotype" w:hAnsi="Palatino Linotype" w:cs="Palatino Linotype"/>
          <w:i/>
          <w:color w:val="000000"/>
          <w:sz w:val="22"/>
          <w:szCs w:val="22"/>
        </w:rPr>
        <w:t>“se anexa documento”</w:t>
      </w:r>
    </w:p>
    <w:p w:rsidR="003133F1" w:rsidRPr="00B4323C" w:rsidRDefault="00727C65">
      <w:pPr>
        <w:numPr>
          <w:ilvl w:val="0"/>
          <w:numId w:val="4"/>
        </w:numPr>
        <w:pBdr>
          <w:top w:val="nil"/>
          <w:left w:val="nil"/>
          <w:bottom w:val="nil"/>
          <w:right w:val="nil"/>
          <w:between w:val="nil"/>
        </w:pBdr>
        <w:spacing w:line="360" w:lineRule="auto"/>
        <w:ind w:left="993"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color w:val="000000"/>
          <w:sz w:val="22"/>
          <w:szCs w:val="22"/>
        </w:rPr>
        <w:t xml:space="preserve">Se adjunta un archivo </w:t>
      </w:r>
      <w:r w:rsidRPr="00B4323C">
        <w:rPr>
          <w:rFonts w:ascii="Palatino Linotype" w:eastAsia="Palatino Linotype" w:hAnsi="Palatino Linotype" w:cs="Palatino Linotype"/>
          <w:b/>
          <w:color w:val="000000"/>
          <w:sz w:val="22"/>
          <w:szCs w:val="22"/>
        </w:rPr>
        <w:t>132.pdf</w:t>
      </w:r>
      <w:r w:rsidRPr="00B4323C">
        <w:rPr>
          <w:rFonts w:ascii="Palatino Linotype" w:eastAsia="Palatino Linotype" w:hAnsi="Palatino Linotype" w:cs="Palatino Linotype"/>
          <w:color w:val="000000"/>
          <w:sz w:val="22"/>
          <w:szCs w:val="22"/>
        </w:rPr>
        <w:t>, cuyo contenido, cuyo contenido es el siguiente:</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 xml:space="preserve">Por medio del presente le envió un cordial saludo, así mismo manifiesto mi inconformidad respecto a la respuesta de la solicitud de información con número de folio 00132/TEMAMATL/IP/2024, la cual fue presentada mediante el sistema SAIMEX al sujeto obligado AYUNTAMIENTO DE TEMAMATLA, solicitando lo siguiente: “BUENAS TARDES. SOLICITO DE LA MANERA MAS ATENTA Y RESPETUOSA Y ASI MISMO CONFERME A LOS ESTABLECIDO EN LAS LEYES APLICABLES. SOLICITO INFORMACIÓN EN FORMATO DIGITAL, GENERADA EN LA ADMINISTRACIÓN 2022-2024 Y POR ESTE MEDIO. - DE LAS RESOLUCIONES Y DE LOS LAUDOS ,GENERADOS EN LOS AÑOS 2022.2023,2024,-SOLICITO EL LISTADO DE TODOS LOS SERVIDORES PUBLICOS QUE ATUALMENTE LABORAN , CON SU SUELDO . - SOLICITO TODAS LAS LISTAS DE asistencia de LOS SERVIDORES PUBLICOS QUE LABORARON EN LOS AÑOS 2022,2023,2024 .- SOLICITO LA NOMINA GENERAL Y LA </w:t>
      </w:r>
      <w:r w:rsidRPr="00B4323C">
        <w:rPr>
          <w:rFonts w:ascii="Palatino Linotype" w:eastAsia="Palatino Linotype" w:hAnsi="Palatino Linotype" w:cs="Palatino Linotype"/>
          <w:i/>
          <w:color w:val="000000"/>
          <w:sz w:val="22"/>
          <w:szCs w:val="22"/>
        </w:rPr>
        <w:lastRenderedPageBreak/>
        <w:t>CANTIDAD TOTAL DE LO QUE SE GASTA EN SALARIOS CADA QUINCENA DESDE EL AÑO 2022 AL AÑO 2024”.</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Mi inconformidad es que en el oficio de contestación solicitan la modalidad de entrega a consulta directa , asi mismo no se me entrega información sobre - SOLICITO TODAS LAS LISTAS DE asistencia de LOS SERVIDORES PUBLICOS QUE LABORARON EN LOS AÑOS 2022,2023,2024 .- SOLICITO LA NOMINA GENERAL Y LA CANTIDAD TOTAL DE LO QUE SE GASTA EN SALARIOS CADA QUINCENA DESDE EL AÑO 2022 AL AÑO 2024”.</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Asi mismo no me entregan información sobre “LAS RESOLUCIONES Y DE LOS LAUDOS ,GENERADOS EN LOS AÑOS 2022.2023,2024”</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Solicito por favor no me modifiquen la modalidad de entrega ya que no me es</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posible asistir personalmente.</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MOTIVO DE INCONFORMIDAD: La entrega de información que no corresponde con lo solicitado, así mismo la entrega de información incompleta, se me notifica el cambio de modalidad de entrega de información distinta al solicitado.</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Solicitando de la manera más respetuosa no se me lesione mi derecho humano de</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acceso a la información pública.</w:t>
      </w:r>
    </w:p>
    <w:p w:rsidR="003133F1" w:rsidRPr="00B4323C" w:rsidRDefault="00727C65">
      <w:pPr>
        <w:pBdr>
          <w:top w:val="nil"/>
          <w:left w:val="nil"/>
          <w:bottom w:val="nil"/>
          <w:right w:val="nil"/>
          <w:between w:val="nil"/>
        </w:pBdr>
        <w:spacing w:line="360" w:lineRule="auto"/>
        <w:ind w:left="567"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Todo esto conforme a lo establecido en EL ARTICULO SEXTO DE LA CONSTITUCIÓN POLITICA DE LOS ESTADOS UNIDOS MEXICANOS”</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i/>
          <w:color w:val="000000"/>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La Comisionada Ponente con fundamento en lo dispuesto por el artículo 185 fracción II de la ley de la materia, a través del acuerdo de admisión de fechas </w:t>
      </w:r>
      <w:r w:rsidRPr="00B4323C">
        <w:rPr>
          <w:rFonts w:ascii="Palatino Linotype" w:eastAsia="Palatino Linotype" w:hAnsi="Palatino Linotype" w:cs="Palatino Linotype"/>
          <w:b/>
          <w:color w:val="000000"/>
        </w:rPr>
        <w:t>nueve y quince de julio de dos mil veinticuatro</w:t>
      </w:r>
      <w:r w:rsidRPr="00B4323C">
        <w:rPr>
          <w:rFonts w:ascii="Palatino Linotype" w:eastAsia="Palatino Linotype" w:hAnsi="Palatino Linotype" w:cs="Palatino Linotype"/>
          <w:color w:val="000000"/>
        </w:rPr>
        <w:t xml:space="preserve">, puso a disposición de las partes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expedientes electrónicos vía </w:t>
      </w:r>
      <w:r w:rsidRPr="00B4323C">
        <w:rPr>
          <w:rFonts w:ascii="Palatino Linotype" w:eastAsia="Palatino Linotype" w:hAnsi="Palatino Linotype" w:cs="Palatino Linotype"/>
          <w:b/>
          <w:color w:val="000000"/>
        </w:rPr>
        <w:t xml:space="preserve">SAIMEX, </w:t>
      </w:r>
      <w:r w:rsidRPr="00B4323C">
        <w:rPr>
          <w:rFonts w:ascii="Palatino Linotype" w:eastAsia="Palatino Linotype" w:hAnsi="Palatino Linotype" w:cs="Palatino Linotype"/>
          <w:color w:val="000000"/>
        </w:rPr>
        <w:t xml:space="preserve">a efecto de que en un plazo máximo de siete días </w:t>
      </w:r>
      <w:r w:rsidRPr="00B4323C">
        <w:rPr>
          <w:rFonts w:ascii="Palatino Linotype" w:eastAsia="Palatino Linotype" w:hAnsi="Palatino Linotype" w:cs="Palatino Linotype"/>
        </w:rPr>
        <w:t>manifestara</w:t>
      </w:r>
      <w:r w:rsidRPr="00B4323C">
        <w:rPr>
          <w:rFonts w:ascii="Palatino Linotype" w:eastAsia="Palatino Linotype" w:hAnsi="Palatino Linotype" w:cs="Palatino Linotype"/>
          <w:color w:val="000000"/>
        </w:rPr>
        <w:t xml:space="preserve"> lo que a su derecho conviniera, </w:t>
      </w:r>
      <w:r w:rsidRPr="00B4323C">
        <w:rPr>
          <w:rFonts w:ascii="Palatino Linotype" w:eastAsia="Palatino Linotype" w:hAnsi="Palatino Linotype" w:cs="Palatino Linotype"/>
        </w:rPr>
        <w:t>ofreciera</w:t>
      </w:r>
      <w:r w:rsidRPr="00B4323C">
        <w:rPr>
          <w:rFonts w:ascii="Palatino Linotype" w:eastAsia="Palatino Linotype" w:hAnsi="Palatino Linotype" w:cs="Palatino Linotype"/>
          <w:color w:val="000000"/>
        </w:rPr>
        <w:t xml:space="preserve"> pruebas y alegatos según corresponda a los casos concretos, y el </w:t>
      </w:r>
      <w:r w:rsidRPr="00B4323C">
        <w:rPr>
          <w:rFonts w:ascii="Palatino Linotype" w:eastAsia="Palatino Linotype" w:hAnsi="Palatino Linotype" w:cs="Palatino Linotype"/>
          <w:b/>
          <w:color w:val="000000"/>
        </w:rPr>
        <w:t>SUJETO OBLIGADO</w:t>
      </w:r>
      <w:r w:rsidRPr="00B4323C">
        <w:rPr>
          <w:rFonts w:ascii="Palatino Linotype" w:eastAsia="Palatino Linotype" w:hAnsi="Palatino Linotype" w:cs="Palatino Linotype"/>
          <w:color w:val="000000"/>
        </w:rPr>
        <w:t xml:space="preserve"> presentará el Informe Justificado procedente.</w:t>
      </w: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lastRenderedPageBreak/>
        <w:t xml:space="preserve">De lo anterior el </w:t>
      </w:r>
      <w:r w:rsidRPr="00B4323C">
        <w:rPr>
          <w:rFonts w:ascii="Palatino Linotype" w:eastAsia="Palatino Linotype" w:hAnsi="Palatino Linotype" w:cs="Palatino Linotype"/>
          <w:b/>
          <w:color w:val="000000"/>
        </w:rPr>
        <w:t>SUJETO</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b/>
          <w:color w:val="000000"/>
        </w:rPr>
        <w:t>OBLIGADO</w:t>
      </w:r>
      <w:r w:rsidRPr="00B4323C">
        <w:rPr>
          <w:rFonts w:ascii="Palatino Linotype" w:eastAsia="Palatino Linotype" w:hAnsi="Palatino Linotype" w:cs="Palatino Linotype"/>
          <w:color w:val="000000"/>
        </w:rPr>
        <w:t xml:space="preserve"> en fechas diez y treinta de julio de dos mil veinticuatro, presentó sus informes justificados, mismos que no fueron notificados a la parte solicitante en virtud de que se desistió expresamente de los recursos de revisión, como se precisara en párrafos subsecuentes. Por su parte, el </w:t>
      </w:r>
      <w:r w:rsidRPr="00B4323C">
        <w:rPr>
          <w:rFonts w:ascii="Palatino Linotype" w:eastAsia="Palatino Linotype" w:hAnsi="Palatino Linotype" w:cs="Palatino Linotype"/>
          <w:b/>
          <w:color w:val="000000"/>
        </w:rPr>
        <w:t xml:space="preserve">PARTICULAR </w:t>
      </w:r>
      <w:r w:rsidRPr="00B4323C">
        <w:rPr>
          <w:rFonts w:ascii="Palatino Linotype" w:eastAsia="Palatino Linotype" w:hAnsi="Palatino Linotype" w:cs="Palatino Linotype"/>
          <w:color w:val="000000"/>
        </w:rPr>
        <w:t xml:space="preserve">dejó de realizar manifestaciones que a su derecho conviniera y asistiera. </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Este organismo garante no pasa por alto justificar, que la dilación en la resolución del presente asunto encuentra justificación en el alto número de recursos de revisión recibidos el cual  se ha incrementado, circunstancia atípica que ha rebasado las capacidades técnicas y humanas del personal encargado de la proyección de las resoluciones a dichos medios de impugnación.</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lastRenderedPageBreak/>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 xml:space="preserve">Por ello, excepcionalmente, si un asunto es resuelto con posterioridad a los plazos señalados por la norma debe analizarse la razonabilidad de dicha dilación atendiendo a los siguientes criterios:  </w:t>
      </w:r>
    </w:p>
    <w:p w:rsidR="003133F1" w:rsidRPr="00B4323C" w:rsidRDefault="00727C65">
      <w:pPr>
        <w:numPr>
          <w:ilvl w:val="0"/>
          <w:numId w:val="1"/>
        </w:numPr>
        <w:spacing w:line="360" w:lineRule="auto"/>
        <w:ind w:left="708" w:right="-220" w:firstLine="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sz w:val="22"/>
          <w:szCs w:val="22"/>
        </w:rPr>
        <w:t xml:space="preserve">Complejidad del asunto: La complejidad de la prueba, la pluralidad de sujetos procesales, el tiempo transcurrido, las características y contexto del recurso. </w:t>
      </w:r>
    </w:p>
    <w:p w:rsidR="003133F1" w:rsidRPr="00B4323C" w:rsidRDefault="00727C65">
      <w:pPr>
        <w:spacing w:line="360" w:lineRule="auto"/>
        <w:ind w:left="708"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sz w:val="22"/>
          <w:szCs w:val="22"/>
        </w:rPr>
        <w:t>b)        Actividad Procesal del interesado. Acciones u omisiones del interesado.</w:t>
      </w:r>
    </w:p>
    <w:p w:rsidR="003133F1" w:rsidRPr="00B4323C" w:rsidRDefault="00727C65">
      <w:pPr>
        <w:spacing w:line="360" w:lineRule="auto"/>
        <w:ind w:left="708"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sz w:val="22"/>
          <w:szCs w:val="22"/>
        </w:rPr>
        <w:t>c)   Conducta de la Autoridad: Las Acciones u omisiones realizadas en el procedimiento. Así como si la autoridad actuó con la debida diligencia.</w:t>
      </w:r>
    </w:p>
    <w:p w:rsidR="003133F1" w:rsidRPr="00B4323C" w:rsidRDefault="00727C65">
      <w:pPr>
        <w:spacing w:line="360" w:lineRule="auto"/>
        <w:ind w:left="708"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sz w:val="22"/>
          <w:szCs w:val="22"/>
        </w:rPr>
        <w:t>d)      La afectación generada en la situación jurídica de la persona involucrada en el proceso: Violación a sus derechos humanos.</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b/>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 xml:space="preserve">Argumento que encuentra sustento en la jurisprudencia P./J. 32/92 emitida por el Pleno de la Suprema Corte de Justicia de la Nación del rubro </w:t>
      </w:r>
      <w:r w:rsidRPr="00B4323C">
        <w:rPr>
          <w:rFonts w:ascii="Palatino Linotype" w:eastAsia="Palatino Linotype" w:hAnsi="Palatino Linotype" w:cs="Palatino Linotype"/>
          <w:i/>
        </w:rPr>
        <w:t xml:space="preserve">“TÉRMINOS PROCESALES. PARA DETERMINAR SI UN FUNCIONARIO JUDICIAL ACTUÓ INDEBIDAMENTE POR </w:t>
      </w:r>
      <w:r w:rsidRPr="00B4323C">
        <w:rPr>
          <w:rFonts w:ascii="Palatino Linotype" w:eastAsia="Palatino Linotype" w:hAnsi="Palatino Linotype" w:cs="Palatino Linotype"/>
          <w:i/>
        </w:rPr>
        <w:lastRenderedPageBreak/>
        <w:t>NO RESPETARLOS SE DEBE ATENDER AL PRESUPUESTO QUE CONSIDERÓ EL LEGISLADOR AL FIJARLOS Y LAS CARACTERÍSTICAS DEL CASO.”</w:t>
      </w:r>
      <w:r w:rsidRPr="00B4323C">
        <w:rPr>
          <w:rFonts w:ascii="Palatino Linotype" w:eastAsia="Palatino Linotype" w:hAnsi="Palatino Linotype" w:cs="Palatino Linotype"/>
        </w:rPr>
        <w:t>, visible en la Gaceta del Semanario Judicial de la Federación con el registro digital 205635.</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b/>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b/>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Por ello, este organismo garante comprometido con la tutela de los derechos humanos confiados, señala que este exceso del plazo legal para resolver el presente asunto, resulta de carácter excepcional.</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b/>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Al respecto, también son de considerar los criterios sostenidos por el Cuarto Tribunal Colegiado en Materia Administrativa del Primer Circuito, cuyos rubros y datos de identificación son los siguientes:</w:t>
      </w:r>
    </w:p>
    <w:p w:rsidR="003133F1" w:rsidRPr="00B4323C" w:rsidRDefault="00727C65">
      <w:pPr>
        <w:spacing w:line="360" w:lineRule="auto"/>
        <w:ind w:left="851"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sz w:val="22"/>
          <w:szCs w:val="22"/>
        </w:rPr>
        <w:t xml:space="preserve"> </w:t>
      </w:r>
      <w:r w:rsidRPr="00B4323C">
        <w:rPr>
          <w:rFonts w:ascii="Palatino Linotype" w:eastAsia="Palatino Linotype" w:hAnsi="Palatino Linotype" w:cs="Palatino Linotype"/>
          <w:i/>
          <w:sz w:val="22"/>
          <w:szCs w:val="22"/>
        </w:rPr>
        <w:t>“PLAZO RAZONABLE PARA RESOLVER. DIMENSIÓN Y EFECTOS DE ESTE CONCEPTO CUANDO SE ADUCE EXCESIVA CARGA DE TRABAJO.”</w:t>
      </w:r>
      <w:r w:rsidRPr="00B4323C">
        <w:rPr>
          <w:rFonts w:ascii="Palatino Linotype" w:eastAsia="Palatino Linotype" w:hAnsi="Palatino Linotype" w:cs="Palatino Linotype"/>
          <w:sz w:val="22"/>
          <w:szCs w:val="22"/>
        </w:rPr>
        <w:t xml:space="preserve"> consultable en el Semanario Judicial de la Federación y su gaceta, con el registro digital 2002351.</w:t>
      </w:r>
    </w:p>
    <w:p w:rsidR="003133F1" w:rsidRPr="00B4323C" w:rsidRDefault="003133F1">
      <w:pPr>
        <w:spacing w:line="360" w:lineRule="auto"/>
        <w:ind w:left="851" w:right="-220"/>
        <w:jc w:val="both"/>
        <w:rPr>
          <w:rFonts w:ascii="Palatino Linotype" w:eastAsia="Palatino Linotype" w:hAnsi="Palatino Linotype" w:cs="Palatino Linotype"/>
          <w:b/>
          <w:sz w:val="22"/>
          <w:szCs w:val="22"/>
        </w:rPr>
      </w:pPr>
    </w:p>
    <w:p w:rsidR="003133F1" w:rsidRPr="00B4323C" w:rsidRDefault="00727C65">
      <w:pPr>
        <w:spacing w:line="360" w:lineRule="auto"/>
        <w:ind w:left="851" w:right="-220"/>
        <w:jc w:val="both"/>
        <w:rPr>
          <w:rFonts w:ascii="Palatino Linotype" w:eastAsia="Palatino Linotype" w:hAnsi="Palatino Linotype" w:cs="Palatino Linotype"/>
          <w:sz w:val="22"/>
          <w:szCs w:val="22"/>
        </w:rPr>
      </w:pPr>
      <w:r w:rsidRPr="00B4323C">
        <w:rPr>
          <w:rFonts w:ascii="Palatino Linotype" w:eastAsia="Palatino Linotype" w:hAnsi="Palatino Linotype" w:cs="Palatino Linotype"/>
          <w:i/>
          <w:sz w:val="22"/>
          <w:szCs w:val="22"/>
        </w:rPr>
        <w:lastRenderedPageBreak/>
        <w:t>“PLAZO RAZONABLE PARA RESOLVER. CONCEPTO Y ELEMENTOS QUE LO INTEGRAN A LA LUZ DEL DERECHO INTERNACIONAL DE LOS DERECHOS HUMANOS.”</w:t>
      </w:r>
      <w:r w:rsidRPr="00B4323C">
        <w:rPr>
          <w:rFonts w:ascii="Palatino Linotype" w:eastAsia="Palatino Linotype" w:hAnsi="Palatino Linotype" w:cs="Palatino Linotype"/>
          <w:sz w:val="22"/>
          <w:szCs w:val="22"/>
        </w:rPr>
        <w:t>, visible en el Semanario Judicial de la Federación y su gaceta, con el registro digital 2002350.</w:t>
      </w:r>
    </w:p>
    <w:p w:rsidR="003133F1" w:rsidRPr="00B4323C" w:rsidRDefault="003133F1">
      <w:pPr>
        <w:pBdr>
          <w:top w:val="nil"/>
          <w:left w:val="nil"/>
          <w:bottom w:val="nil"/>
          <w:right w:val="nil"/>
          <w:between w:val="nil"/>
        </w:pBdr>
        <w:spacing w:line="360" w:lineRule="auto"/>
        <w:ind w:left="360" w:right="-787"/>
        <w:jc w:val="both"/>
        <w:rPr>
          <w:rFonts w:ascii="Palatino Linotype" w:eastAsia="Palatino Linotype" w:hAnsi="Palatino Linotype" w:cs="Palatino Linotype"/>
          <w:b/>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 xml:space="preserve">Por ello, este Organismo Garante comprometido con la tutela de los derechos humanos confiados, señala que este exceso de plazo legal para resolver el presente asunto, resulta de carácter excepcional. </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b/>
          <w:color w:val="000000"/>
        </w:rPr>
      </w:pPr>
      <w:bookmarkStart w:id="4" w:name="_heading=h.3znysh7" w:colFirst="0" w:colLast="0"/>
      <w:bookmarkEnd w:id="4"/>
      <w:r w:rsidRPr="00B4323C">
        <w:rPr>
          <w:rFonts w:ascii="Palatino Linotype" w:eastAsia="Palatino Linotype" w:hAnsi="Palatino Linotype" w:cs="Palatino Linotype"/>
          <w:color w:val="000000"/>
        </w:rPr>
        <w:t>Seguidamente, mediante acuerdos de fecha treinta de enero del año en curso se decretó el cierre de instrucción, por lo que no h</w:t>
      </w:r>
      <w:r w:rsidR="00B75061" w:rsidRPr="00B4323C">
        <w:rPr>
          <w:rFonts w:ascii="Palatino Linotype" w:eastAsia="Palatino Linotype" w:hAnsi="Palatino Linotype" w:cs="Palatino Linotype"/>
          <w:color w:val="000000"/>
        </w:rPr>
        <w:t>abiendo más que hacer constar, y----</w:t>
      </w:r>
      <w:r w:rsidRPr="00B4323C">
        <w:rPr>
          <w:rFonts w:ascii="Palatino Linotype" w:eastAsia="Palatino Linotype" w:hAnsi="Palatino Linotype" w:cs="Palatino Linotype"/>
        </w:rPr>
        <w:t>----------</w:t>
      </w:r>
    </w:p>
    <w:p w:rsidR="003133F1" w:rsidRPr="00B4323C" w:rsidRDefault="003133F1">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p>
    <w:p w:rsidR="003133F1" w:rsidRPr="00B4323C" w:rsidRDefault="00727C65">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r w:rsidRPr="00B4323C">
        <w:rPr>
          <w:rFonts w:ascii="Palatino Linotype" w:eastAsia="Palatino Linotype" w:hAnsi="Palatino Linotype" w:cs="Palatino Linotype"/>
          <w:b/>
          <w:color w:val="000000"/>
        </w:rPr>
        <w:t>C O N S I D E R A N D O</w:t>
      </w:r>
    </w:p>
    <w:p w:rsidR="003133F1" w:rsidRPr="00B4323C" w:rsidRDefault="003133F1">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p>
    <w:p w:rsidR="003133F1" w:rsidRPr="00B4323C" w:rsidRDefault="00727C65">
      <w:pPr>
        <w:pStyle w:val="Ttulo2"/>
        <w:spacing w:before="0" w:line="360" w:lineRule="auto"/>
        <w:ind w:right="-787"/>
        <w:rPr>
          <w:rFonts w:ascii="Palatino Linotype" w:eastAsia="Palatino Linotype" w:hAnsi="Palatino Linotype" w:cs="Palatino Linotype"/>
          <w:b/>
          <w:color w:val="000000"/>
          <w:sz w:val="24"/>
          <w:szCs w:val="24"/>
        </w:rPr>
      </w:pPr>
      <w:bookmarkStart w:id="5" w:name="_heading=h.2et92p0" w:colFirst="0" w:colLast="0"/>
      <w:bookmarkEnd w:id="5"/>
      <w:r w:rsidRPr="00B4323C">
        <w:rPr>
          <w:rFonts w:ascii="Palatino Linotype" w:eastAsia="Palatino Linotype" w:hAnsi="Palatino Linotype" w:cs="Palatino Linotype"/>
          <w:b/>
          <w:color w:val="000000"/>
          <w:sz w:val="24"/>
          <w:szCs w:val="24"/>
        </w:rPr>
        <w:t>PRIMERO. De la competencia</w:t>
      </w: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rsidR="003133F1" w:rsidRPr="00B4323C" w:rsidRDefault="00727C65">
      <w:pPr>
        <w:pStyle w:val="Ttulo2"/>
        <w:spacing w:before="0" w:line="360" w:lineRule="auto"/>
        <w:ind w:right="-787"/>
        <w:rPr>
          <w:rFonts w:ascii="Palatino Linotype" w:eastAsia="Palatino Linotype" w:hAnsi="Palatino Linotype" w:cs="Palatino Linotype"/>
          <w:b/>
          <w:color w:val="000000"/>
          <w:sz w:val="24"/>
          <w:szCs w:val="24"/>
        </w:rPr>
      </w:pPr>
      <w:bookmarkStart w:id="6" w:name="_heading=h.tyjcwt" w:colFirst="0" w:colLast="0"/>
      <w:bookmarkEnd w:id="6"/>
      <w:r w:rsidRPr="00B4323C">
        <w:rPr>
          <w:rFonts w:ascii="Palatino Linotype" w:eastAsia="Palatino Linotype" w:hAnsi="Palatino Linotype" w:cs="Palatino Linotype"/>
          <w:b/>
          <w:color w:val="000000"/>
          <w:sz w:val="24"/>
          <w:szCs w:val="24"/>
        </w:rPr>
        <w:lastRenderedPageBreak/>
        <w:t>SEGUNDO. De la oportunidad y procedencia.</w:t>
      </w: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Este Órgano Garante considera que los medios de impugnación reúnen los requisitos de procedencia toda vez que: los recursos fueron presentados dentro del plazo establecido en el artículo 178, de la Ley de Transparencia y Acceso a la Información Pública del Estado de México y Municipios; asimismo no se tiene conocimiento de que se encuentre en trámite algún medio de defensa presentado por el Recurrente ante otra instancia.</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rPr>
        <w:t>A su vez</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rPr>
        <w:t xml:space="preserve">se </w:t>
      </w:r>
      <w:r w:rsidRPr="00B4323C">
        <w:rPr>
          <w:rFonts w:ascii="Palatino Linotype" w:eastAsia="Palatino Linotype" w:hAnsi="Palatino Linotype" w:cs="Palatino Linotype"/>
          <w:color w:val="000000"/>
        </w:rPr>
        <w:t>advierte que el escrito contiene las formalidades previstas por el artículo 180, último párrafo de la Ley de Transparencia y Acceso a la Información Pública del Estado de México y Municipios, por lo que es procedente que este Instituto de Transparencia, Acceso a la Información Pública y Protección de Datos Personales del Estado de México y Municipios, conozca y resuelva el presente recurso.</w:t>
      </w:r>
    </w:p>
    <w:p w:rsidR="003133F1" w:rsidRPr="00B4323C" w:rsidRDefault="003133F1">
      <w:pPr>
        <w:spacing w:line="360" w:lineRule="auto"/>
        <w:ind w:right="-787"/>
        <w:jc w:val="both"/>
        <w:rPr>
          <w:rFonts w:ascii="Palatino Linotype" w:eastAsia="Palatino Linotype" w:hAnsi="Palatino Linotype" w:cs="Palatino Linotype"/>
          <w:color w:val="000000"/>
        </w:rPr>
      </w:pPr>
    </w:p>
    <w:p w:rsidR="003133F1" w:rsidRPr="00B4323C" w:rsidRDefault="00727C65">
      <w:pPr>
        <w:pStyle w:val="Ttulo1"/>
        <w:spacing w:before="0" w:line="360" w:lineRule="auto"/>
        <w:ind w:right="-787"/>
        <w:rPr>
          <w:rFonts w:ascii="Palatino Linotype" w:eastAsia="Palatino Linotype" w:hAnsi="Palatino Linotype" w:cs="Palatino Linotype"/>
          <w:b/>
          <w:color w:val="000000"/>
          <w:sz w:val="24"/>
          <w:szCs w:val="24"/>
        </w:rPr>
      </w:pPr>
      <w:bookmarkStart w:id="7" w:name="_heading=h.3dy6vkm" w:colFirst="0" w:colLast="0"/>
      <w:bookmarkEnd w:id="7"/>
      <w:r w:rsidRPr="00B4323C">
        <w:rPr>
          <w:rFonts w:ascii="Palatino Linotype" w:eastAsia="Palatino Linotype" w:hAnsi="Palatino Linotype" w:cs="Palatino Linotype"/>
          <w:b/>
          <w:color w:val="000000"/>
          <w:sz w:val="24"/>
          <w:szCs w:val="24"/>
        </w:rPr>
        <w:t xml:space="preserve">TERCERO. Del planteamiento de la </w:t>
      </w:r>
      <w:r w:rsidRPr="00B4323C">
        <w:rPr>
          <w:rFonts w:ascii="Palatino Linotype" w:eastAsia="Palatino Linotype" w:hAnsi="Palatino Linotype" w:cs="Palatino Linotype"/>
          <w:b/>
          <w:i/>
          <w:color w:val="000000"/>
          <w:sz w:val="24"/>
          <w:szCs w:val="24"/>
        </w:rPr>
        <w:t>Litis</w:t>
      </w:r>
      <w:r w:rsidRPr="00B4323C">
        <w:rPr>
          <w:rFonts w:ascii="Palatino Linotype" w:eastAsia="Palatino Linotype" w:hAnsi="Palatino Linotype" w:cs="Palatino Linotype"/>
          <w:b/>
          <w:color w:val="000000"/>
          <w:sz w:val="24"/>
          <w:szCs w:val="24"/>
        </w:rPr>
        <w:t>.</w:t>
      </w: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Se solicitó tener acceso, a la información que a continuación se desagrega:</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color w:val="000000"/>
          <w:sz w:val="22"/>
          <w:szCs w:val="22"/>
        </w:rPr>
      </w:pPr>
      <w:r w:rsidRPr="00B4323C">
        <w:rPr>
          <w:rFonts w:ascii="Palatino Linotype" w:eastAsia="Palatino Linotype" w:hAnsi="Palatino Linotype" w:cs="Palatino Linotype"/>
          <w:b/>
          <w:color w:val="000000"/>
          <w:sz w:val="22"/>
          <w:szCs w:val="22"/>
        </w:rPr>
        <w:t>Formato digital, generada en la administración 2022-2024 vía SAIMEX de las resoluciones y de los laudos, generados en los años 2022 a 2024;</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color w:val="000000"/>
          <w:sz w:val="22"/>
          <w:szCs w:val="22"/>
        </w:rPr>
      </w:pPr>
      <w:r w:rsidRPr="00B4323C">
        <w:rPr>
          <w:rFonts w:ascii="Palatino Linotype" w:eastAsia="Palatino Linotype" w:hAnsi="Palatino Linotype" w:cs="Palatino Linotype"/>
          <w:b/>
          <w:color w:val="000000"/>
          <w:sz w:val="22"/>
          <w:szCs w:val="22"/>
        </w:rPr>
        <w:t>Listado de los servidores públicos que actualmente laboran  y su sueldo:</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color w:val="000000"/>
          <w:sz w:val="22"/>
          <w:szCs w:val="22"/>
        </w:rPr>
      </w:pPr>
      <w:r w:rsidRPr="00B4323C">
        <w:rPr>
          <w:rFonts w:ascii="Palatino Linotype" w:eastAsia="Palatino Linotype" w:hAnsi="Palatino Linotype" w:cs="Palatino Linotype"/>
          <w:b/>
          <w:color w:val="000000"/>
          <w:sz w:val="22"/>
          <w:szCs w:val="22"/>
        </w:rPr>
        <w:t>Listas de asistencia de los servidores públicos que laboraron en los años 2022 a 2024; y</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color w:val="000000"/>
          <w:sz w:val="22"/>
          <w:szCs w:val="22"/>
        </w:rPr>
      </w:pPr>
      <w:r w:rsidRPr="00B4323C">
        <w:rPr>
          <w:rFonts w:ascii="Palatino Linotype" w:eastAsia="Palatino Linotype" w:hAnsi="Palatino Linotype" w:cs="Palatino Linotype"/>
          <w:b/>
          <w:sz w:val="22"/>
          <w:szCs w:val="22"/>
        </w:rPr>
        <w:t>Nómina</w:t>
      </w:r>
      <w:r w:rsidRPr="00B4323C">
        <w:rPr>
          <w:rFonts w:ascii="Palatino Linotype" w:eastAsia="Palatino Linotype" w:hAnsi="Palatino Linotype" w:cs="Palatino Linotype"/>
          <w:b/>
          <w:color w:val="000000"/>
          <w:sz w:val="22"/>
          <w:szCs w:val="22"/>
        </w:rPr>
        <w:t xml:space="preserve"> general y la cantidad total de lo que se gasta en salarios cada quincena desde el año 2022 a 2024.</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sz w:val="22"/>
          <w:szCs w:val="22"/>
        </w:rPr>
      </w:pPr>
      <w:r w:rsidRPr="00B4323C">
        <w:rPr>
          <w:rFonts w:ascii="Palatino Linotype" w:eastAsia="Palatino Linotype" w:hAnsi="Palatino Linotype" w:cs="Palatino Linotype"/>
          <w:b/>
          <w:sz w:val="22"/>
          <w:szCs w:val="22"/>
        </w:rPr>
        <w:t>Gastos por concepto y partida presupuestaria</w:t>
      </w:r>
    </w:p>
    <w:p w:rsidR="003133F1" w:rsidRPr="00B4323C" w:rsidRDefault="00727C65">
      <w:pPr>
        <w:numPr>
          <w:ilvl w:val="0"/>
          <w:numId w:val="5"/>
        </w:numPr>
        <w:pBdr>
          <w:top w:val="nil"/>
          <w:left w:val="nil"/>
          <w:bottom w:val="nil"/>
          <w:right w:val="nil"/>
          <w:between w:val="nil"/>
        </w:pBdr>
        <w:spacing w:line="360" w:lineRule="auto"/>
        <w:ind w:right="-220"/>
        <w:jc w:val="both"/>
        <w:rPr>
          <w:rFonts w:ascii="Palatino Linotype" w:eastAsia="Palatino Linotype" w:hAnsi="Palatino Linotype" w:cs="Palatino Linotype"/>
          <w:b/>
          <w:sz w:val="22"/>
          <w:szCs w:val="22"/>
        </w:rPr>
      </w:pPr>
      <w:r w:rsidRPr="00B4323C">
        <w:rPr>
          <w:rFonts w:ascii="Palatino Linotype" w:eastAsia="Palatino Linotype" w:hAnsi="Palatino Linotype" w:cs="Palatino Linotype"/>
          <w:b/>
          <w:sz w:val="22"/>
          <w:szCs w:val="22"/>
        </w:rPr>
        <w:t xml:space="preserve">padrón de proveedores y contratistas con sus contratos y facturas de los años 2022, 2023 y 2024. </w:t>
      </w:r>
    </w:p>
    <w:p w:rsidR="003133F1" w:rsidRPr="00B4323C" w:rsidRDefault="003133F1">
      <w:pPr>
        <w:pBdr>
          <w:top w:val="nil"/>
          <w:left w:val="nil"/>
          <w:bottom w:val="nil"/>
          <w:right w:val="nil"/>
          <w:between w:val="nil"/>
        </w:pBdr>
        <w:spacing w:line="360" w:lineRule="auto"/>
        <w:ind w:left="778" w:right="-787"/>
        <w:jc w:val="both"/>
        <w:rPr>
          <w:rFonts w:ascii="Palatino Linotype" w:eastAsia="Palatino Linotype" w:hAnsi="Palatino Linotype" w:cs="Palatino Linotype"/>
          <w:b/>
          <w:color w:val="000000"/>
        </w:rPr>
      </w:pP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En respuesta, el </w:t>
      </w:r>
      <w:r w:rsidRPr="00B4323C">
        <w:rPr>
          <w:rFonts w:ascii="Palatino Linotype" w:eastAsia="Palatino Linotype" w:hAnsi="Palatino Linotype" w:cs="Palatino Linotype"/>
          <w:b/>
          <w:color w:val="000000"/>
        </w:rPr>
        <w:t xml:space="preserve">SUJETO OBLIGADO </w:t>
      </w:r>
      <w:r w:rsidRPr="00B4323C">
        <w:rPr>
          <w:rFonts w:ascii="Palatino Linotype" w:eastAsia="Palatino Linotype" w:hAnsi="Palatino Linotype" w:cs="Palatino Linotype"/>
          <w:color w:val="000000"/>
        </w:rPr>
        <w:t>remitió los archivos descritos en el anterior Párrafo 2, no obstante el particular se inconformó, aduciendo de manera general que la entrega de información que no corresponde con la solicitada y el cambio de modalidad respectivamente.</w:t>
      </w:r>
    </w:p>
    <w:p w:rsidR="003133F1" w:rsidRPr="00B4323C" w:rsidRDefault="00727C65">
      <w:pPr>
        <w:tabs>
          <w:tab w:val="left" w:pos="933"/>
        </w:tabs>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color w:val="000000"/>
        </w:rPr>
        <w:tab/>
      </w:r>
    </w:p>
    <w:p w:rsidR="003133F1" w:rsidRPr="00B4323C" w:rsidRDefault="00727C65">
      <w:pPr>
        <w:numPr>
          <w:ilvl w:val="0"/>
          <w:numId w:val="2"/>
        </w:numPr>
        <w:pBdr>
          <w:top w:val="nil"/>
          <w:left w:val="nil"/>
          <w:bottom w:val="nil"/>
          <w:right w:val="nil"/>
          <w:between w:val="nil"/>
        </w:pBd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En dichas condiciones, la </w:t>
      </w:r>
      <w:r w:rsidRPr="00B4323C">
        <w:rPr>
          <w:rFonts w:ascii="Palatino Linotype" w:eastAsia="Palatino Linotype" w:hAnsi="Palatino Linotype" w:cs="Palatino Linotype"/>
          <w:i/>
          <w:color w:val="000000"/>
        </w:rPr>
        <w:t>Litis</w:t>
      </w:r>
      <w:r w:rsidRPr="00B4323C">
        <w:rPr>
          <w:rFonts w:ascii="Palatino Linotype" w:eastAsia="Palatino Linotype" w:hAnsi="Palatino Linotype" w:cs="Palatino Linotype"/>
          <w:color w:val="000000"/>
        </w:rPr>
        <w:t xml:space="preserve"> a resolver en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recursos se circunscribe a determinar si se actualizan las causales de procedencia previstas en el artículo 179, </w:t>
      </w:r>
      <w:r w:rsidRPr="00B4323C">
        <w:rPr>
          <w:rFonts w:ascii="Palatino Linotype" w:eastAsia="Palatino Linotype" w:hAnsi="Palatino Linotype" w:cs="Palatino Linotype"/>
          <w:b/>
          <w:color w:val="000000"/>
        </w:rPr>
        <w:t xml:space="preserve">fracción VI y VIII </w:t>
      </w:r>
      <w:r w:rsidRPr="00B4323C">
        <w:rPr>
          <w:rFonts w:ascii="Palatino Linotype" w:eastAsia="Palatino Linotype" w:hAnsi="Palatino Linotype" w:cs="Palatino Linotype"/>
          <w:color w:val="000000"/>
        </w:rPr>
        <w:t xml:space="preserve">de la </w:t>
      </w:r>
      <w:r w:rsidRPr="00B4323C">
        <w:rPr>
          <w:rFonts w:ascii="Palatino Linotype" w:eastAsia="Palatino Linotype" w:hAnsi="Palatino Linotype" w:cs="Palatino Linotype"/>
          <w:b/>
          <w:color w:val="000000"/>
        </w:rPr>
        <w:t xml:space="preserve">Ley de Transparencia y Acceso a la Información Pública del Estado de </w:t>
      </w:r>
      <w:r w:rsidRPr="00B4323C">
        <w:rPr>
          <w:rFonts w:ascii="Palatino Linotype" w:eastAsia="Palatino Linotype" w:hAnsi="Palatino Linotype" w:cs="Palatino Linotype"/>
          <w:color w:val="000000"/>
        </w:rPr>
        <w:t>México</w:t>
      </w:r>
      <w:r w:rsidRPr="00B4323C">
        <w:rPr>
          <w:rFonts w:ascii="Palatino Linotype" w:eastAsia="Palatino Linotype" w:hAnsi="Palatino Linotype" w:cs="Palatino Linotype"/>
          <w:b/>
          <w:color w:val="000000"/>
        </w:rPr>
        <w:t xml:space="preserve"> y </w:t>
      </w:r>
      <w:r w:rsidRPr="00B4323C">
        <w:rPr>
          <w:rFonts w:ascii="Palatino Linotype" w:eastAsia="Palatino Linotype" w:hAnsi="Palatino Linotype" w:cs="Palatino Linotype"/>
          <w:color w:val="000000"/>
        </w:rPr>
        <w:t xml:space="preserve">Municipios; </w:t>
      </w:r>
      <w:r w:rsidRPr="00B4323C">
        <w:rPr>
          <w:rFonts w:ascii="Palatino Linotype" w:eastAsia="Palatino Linotype" w:hAnsi="Palatino Linotype" w:cs="Palatino Linotype"/>
        </w:rPr>
        <w:t>fracciones</w:t>
      </w:r>
      <w:r w:rsidRPr="00B4323C">
        <w:rPr>
          <w:rFonts w:ascii="Palatino Linotype" w:eastAsia="Palatino Linotype" w:hAnsi="Palatino Linotype" w:cs="Palatino Linotype"/>
          <w:color w:val="000000"/>
        </w:rPr>
        <w:t xml:space="preserve"> que determina la hipótesis jurídica relativa a la entrega de información que no corresponda con lo solicitado y </w:t>
      </w:r>
      <w:r w:rsidRPr="00B4323C">
        <w:rPr>
          <w:rFonts w:ascii="Palatino Linotype" w:eastAsia="Palatino Linotype" w:hAnsi="Palatino Linotype" w:cs="Palatino Linotype"/>
        </w:rPr>
        <w:t>l</w:t>
      </w:r>
      <w:r w:rsidRPr="00B4323C">
        <w:rPr>
          <w:rFonts w:ascii="Palatino Linotype" w:eastAsia="Palatino Linotype" w:hAnsi="Palatino Linotype" w:cs="Palatino Linotype"/>
          <w:color w:val="000000"/>
        </w:rPr>
        <w:t xml:space="preserve">a notificación, entrega o puesta a disposición de información en una modalidad o formato distinto al solicitado; contexto de los cuales se dolió </w:t>
      </w:r>
      <w:r w:rsidRPr="00B4323C">
        <w:rPr>
          <w:rFonts w:ascii="Palatino Linotype" w:eastAsia="Palatino Linotype" w:hAnsi="Palatino Linotype" w:cs="Palatino Linotype"/>
          <w:b/>
          <w:color w:val="000000"/>
        </w:rPr>
        <w:t xml:space="preserve">EL RECURRENTE </w:t>
      </w:r>
      <w:r w:rsidRPr="00B4323C">
        <w:rPr>
          <w:rFonts w:ascii="Palatino Linotype" w:eastAsia="Palatino Linotype" w:hAnsi="Palatino Linotype" w:cs="Palatino Linotype"/>
          <w:color w:val="000000"/>
        </w:rPr>
        <w:t xml:space="preserve">al momento de interponer su inconformidad. De modo tal que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presentes recursos de revisión se </w:t>
      </w:r>
      <w:r w:rsidRPr="00B4323C">
        <w:rPr>
          <w:rFonts w:ascii="Palatino Linotype" w:eastAsia="Palatino Linotype" w:hAnsi="Palatino Linotype" w:cs="Palatino Linotype"/>
        </w:rPr>
        <w:t>abocaron</w:t>
      </w:r>
      <w:r w:rsidRPr="00B4323C">
        <w:rPr>
          <w:rFonts w:ascii="Palatino Linotype" w:eastAsia="Palatino Linotype" w:hAnsi="Palatino Linotype" w:cs="Palatino Linotype"/>
          <w:color w:val="000000"/>
        </w:rPr>
        <w:t xml:space="preserve"> en determinar si el </w:t>
      </w:r>
      <w:r w:rsidRPr="00B4323C">
        <w:rPr>
          <w:rFonts w:ascii="Palatino Linotype" w:eastAsia="Palatino Linotype" w:hAnsi="Palatino Linotype" w:cs="Palatino Linotype"/>
          <w:b/>
          <w:color w:val="000000"/>
        </w:rPr>
        <w:t>SUJETO</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b/>
          <w:color w:val="000000"/>
        </w:rPr>
        <w:t>OBLIGADO</w:t>
      </w:r>
      <w:r w:rsidRPr="00B4323C">
        <w:rPr>
          <w:rFonts w:ascii="Palatino Linotype" w:eastAsia="Palatino Linotype" w:hAnsi="Palatino Linotype" w:cs="Palatino Linotype"/>
          <w:color w:val="000000"/>
        </w:rPr>
        <w:t xml:space="preserve"> con su respuesta ciertamente actualiza las causales de procedencia</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color w:val="000000"/>
        </w:rPr>
        <w:t xml:space="preserve">antes señalada. </w:t>
      </w:r>
    </w:p>
    <w:p w:rsidR="003133F1" w:rsidRPr="00B4323C" w:rsidRDefault="003133F1">
      <w:pPr>
        <w:spacing w:line="360" w:lineRule="auto"/>
        <w:ind w:right="-787"/>
        <w:rPr>
          <w:rFonts w:ascii="Palatino Linotype" w:eastAsia="Palatino Linotype" w:hAnsi="Palatino Linotype" w:cs="Palatino Linotype"/>
          <w:color w:val="000000"/>
        </w:rPr>
      </w:pPr>
    </w:p>
    <w:p w:rsidR="003133F1" w:rsidRPr="00B4323C" w:rsidRDefault="00727C65">
      <w:pPr>
        <w:pStyle w:val="Ttulo2"/>
        <w:spacing w:before="0" w:line="360" w:lineRule="auto"/>
        <w:ind w:right="-787"/>
        <w:rPr>
          <w:rFonts w:ascii="Palatino Linotype" w:eastAsia="Palatino Linotype" w:hAnsi="Palatino Linotype" w:cs="Palatino Linotype"/>
          <w:b/>
          <w:color w:val="000000"/>
          <w:sz w:val="24"/>
          <w:szCs w:val="24"/>
        </w:rPr>
      </w:pPr>
      <w:bookmarkStart w:id="8" w:name="_heading=h.1t3h5sf" w:colFirst="0" w:colLast="0"/>
      <w:bookmarkEnd w:id="8"/>
      <w:r w:rsidRPr="00B4323C">
        <w:rPr>
          <w:rFonts w:ascii="Palatino Linotype" w:eastAsia="Palatino Linotype" w:hAnsi="Palatino Linotype" w:cs="Palatino Linotype"/>
          <w:b/>
          <w:color w:val="000000"/>
          <w:sz w:val="24"/>
          <w:szCs w:val="24"/>
        </w:rPr>
        <w:t>CUARTO. De las causales de sobreseimiento</w:t>
      </w:r>
    </w:p>
    <w:p w:rsidR="003133F1" w:rsidRPr="00B4323C" w:rsidRDefault="00727C65">
      <w:pPr>
        <w:numPr>
          <w:ilvl w:val="0"/>
          <w:numId w:val="2"/>
        </w:numPr>
        <w:spacing w:line="360" w:lineRule="auto"/>
        <w:ind w:left="0" w:right="-787" w:firstLine="0"/>
        <w:jc w:val="both"/>
      </w:pPr>
      <w:r w:rsidRPr="00B4323C">
        <w:rPr>
          <w:rFonts w:ascii="Palatino Linotype" w:eastAsia="Palatino Linotype" w:hAnsi="Palatino Linotype" w:cs="Palatino Linotype"/>
        </w:rPr>
        <w:t xml:space="preserve">Acotada la </w:t>
      </w:r>
      <w:r w:rsidRPr="00B4323C">
        <w:rPr>
          <w:rFonts w:ascii="Palatino Linotype" w:eastAsia="Palatino Linotype" w:hAnsi="Palatino Linotype" w:cs="Palatino Linotype"/>
          <w:i/>
        </w:rPr>
        <w:t>Litis</w:t>
      </w:r>
      <w:r w:rsidRPr="00B4323C">
        <w:rPr>
          <w:rFonts w:ascii="Palatino Linotype" w:eastAsia="Palatino Linotype" w:hAnsi="Palatino Linotype" w:cs="Palatino Linotype"/>
        </w:rPr>
        <w:t xml:space="preserve">, es dable puntualizar inicialmente en términos </w:t>
      </w:r>
      <w:r w:rsidRPr="00B4323C">
        <w:rPr>
          <w:rFonts w:ascii="Palatino Linotype" w:eastAsia="Palatino Linotype" w:hAnsi="Palatino Linotype" w:cs="Palatino Linotype"/>
          <w:color w:val="000000"/>
        </w:rPr>
        <w:t>generales</w:t>
      </w:r>
      <w:r w:rsidRPr="00B4323C">
        <w:rPr>
          <w:rFonts w:ascii="Palatino Linotype" w:eastAsia="Palatino Linotype" w:hAnsi="Palatino Linotype" w:cs="Palatino Linotype"/>
        </w:rPr>
        <w:t xml:space="preserve">, que el </w:t>
      </w:r>
      <w:r w:rsidRPr="00B4323C">
        <w:rPr>
          <w:rFonts w:ascii="Palatino Linotype" w:eastAsia="Palatino Linotype" w:hAnsi="Palatino Linotype" w:cs="Palatino Linotype"/>
          <w:color w:val="000000"/>
        </w:rPr>
        <w:t>Derecho</w:t>
      </w:r>
      <w:r w:rsidRPr="00B4323C">
        <w:rPr>
          <w:rFonts w:ascii="Palatino Linotype" w:eastAsia="Palatino Linotype" w:hAnsi="Palatino Linotype" w:cs="Palatino Linotype"/>
        </w:rPr>
        <w:t xml:space="preserve"> de Acceso a la Información Pública es un Derecho Humano reconocido en el Pacto de Derechos Civiles y Políticos en su artículo 19.2; en la Convención Americana sobre Derechos Humanos en su artículo 13.1, así como en el artículo 6°, apartado A), fracción I de la Constitución Política de los Estados Unidos Mexicanos, el cual establece que toda la </w:t>
      </w:r>
      <w:r w:rsidRPr="00B4323C">
        <w:rPr>
          <w:rFonts w:ascii="Palatino Linotype" w:eastAsia="Palatino Linotype" w:hAnsi="Palatino Linotype" w:cs="Palatino Linotype"/>
        </w:rPr>
        <w:lastRenderedPageBreak/>
        <w:t>información en posesión de cualquier autoridad es pública y sólo podrá ser reservada temporalmente por razones de interés público.</w:t>
      </w:r>
    </w:p>
    <w:p w:rsidR="003133F1" w:rsidRPr="00B4323C" w:rsidRDefault="003133F1">
      <w:pPr>
        <w:spacing w:line="360" w:lineRule="auto"/>
        <w:ind w:right="-787"/>
        <w:jc w:val="both"/>
        <w:rPr>
          <w:rFonts w:ascii="Palatino Linotype" w:eastAsia="Palatino Linotype" w:hAnsi="Palatino Linotype" w:cs="Palatino Linotype"/>
        </w:rPr>
      </w:pPr>
    </w:p>
    <w:p w:rsidR="003133F1" w:rsidRPr="00B4323C" w:rsidRDefault="00727C65">
      <w:pPr>
        <w:numPr>
          <w:ilvl w:val="0"/>
          <w:numId w:val="2"/>
        </w:numPr>
        <w:spacing w:line="360" w:lineRule="auto"/>
        <w:ind w:left="0" w:right="-787" w:firstLine="0"/>
        <w:jc w:val="both"/>
      </w:pPr>
      <w:r w:rsidRPr="00B4323C">
        <w:rPr>
          <w:rFonts w:ascii="Palatino Linotype" w:eastAsia="Palatino Linotype" w:hAnsi="Palatino Linotype" w:cs="Palatino Linotype"/>
        </w:rPr>
        <w:t>Por su parte, la Ley General de Transparencia y Acceso a la Información Pública, dispone en su artículo 70 que la información que corresponde a las Obligaciones de Transparencia debe estar disponible para cualquier persona de manera permanente y actualizada. 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rsidR="003133F1" w:rsidRPr="00B4323C" w:rsidRDefault="003133F1">
      <w:pPr>
        <w:spacing w:line="360" w:lineRule="auto"/>
        <w:ind w:right="-787"/>
        <w:jc w:val="both"/>
        <w:rPr>
          <w:rFonts w:ascii="Palatino Linotype" w:eastAsia="Palatino Linotype" w:hAnsi="Palatino Linotype" w:cs="Palatino Linotype"/>
        </w:rPr>
      </w:pPr>
    </w:p>
    <w:p w:rsidR="003133F1" w:rsidRPr="00B4323C" w:rsidRDefault="00727C65">
      <w:pPr>
        <w:numPr>
          <w:ilvl w:val="0"/>
          <w:numId w:val="2"/>
        </w:numPr>
        <w:spacing w:line="360" w:lineRule="auto"/>
        <w:ind w:left="0" w:right="-787" w:firstLine="0"/>
        <w:jc w:val="both"/>
      </w:pPr>
      <w:r w:rsidRPr="00B4323C">
        <w:rPr>
          <w:rFonts w:ascii="Palatino Linotype" w:eastAsia="Palatino Linotype" w:hAnsi="Palatino Linotype" w:cs="Palatino Linotype"/>
        </w:rPr>
        <w:t>En el mismo sentido, la Ley de Transparencia y Acceso a la Información Pública del Estado de México y Municipios (Reglamentaria del artículo 5° de la Constitución Local), establece en su artículo 12 que quienes generen, recopilen, administren, manejen, procesen, archiven o conserven información pública serán responsables de la misma, del mismo modo, el artículo 18 establece que los Sujetos Obligados deberán documentar todo acto que derive del ejercicio de sus facultades, competencias o funciones desde su origen la eventual publicidad y reutilización de la información que generen.</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pPr>
      <w:r w:rsidRPr="00B4323C">
        <w:rPr>
          <w:rFonts w:ascii="Palatino Linotype" w:eastAsia="Palatino Linotype" w:hAnsi="Palatino Linotype" w:cs="Palatino Linotype"/>
        </w:rPr>
        <w:t xml:space="preserve">Finalmente, es relevante mencionar que el artículo 19 del ordenamiento local de la materia señala que se presume que la información debe existir si se refiere a las facultades, competencias y funciones que los ordenamientos jurídicos aplicables otorgan a los sujetos </w:t>
      </w:r>
      <w:r w:rsidRPr="00B4323C">
        <w:rPr>
          <w:rFonts w:ascii="Palatino Linotype" w:eastAsia="Palatino Linotype" w:hAnsi="Palatino Linotype" w:cs="Palatino Linotype"/>
        </w:rPr>
        <w:lastRenderedPageBreak/>
        <w:t>obligados y en caso de que dichas facultades no se hayan ejercido, se deberá motivar la respuesta en función de las causas que motivaron tal circunstancia.</w:t>
      </w:r>
    </w:p>
    <w:p w:rsidR="003133F1" w:rsidRPr="00B4323C" w:rsidRDefault="003133F1">
      <w:pPr>
        <w:spacing w:line="360" w:lineRule="auto"/>
        <w:ind w:right="-787"/>
        <w:jc w:val="both"/>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rFonts w:ascii="Palatino Linotype" w:eastAsia="Palatino Linotype" w:hAnsi="Palatino Linotype" w:cs="Palatino Linotype"/>
          <w:b/>
          <w:color w:val="000000"/>
        </w:rPr>
      </w:pPr>
      <w:bookmarkStart w:id="9" w:name="_heading=h.4d34og8" w:colFirst="0" w:colLast="0"/>
      <w:bookmarkEnd w:id="9"/>
      <w:r w:rsidRPr="00B4323C">
        <w:rPr>
          <w:rFonts w:ascii="Palatino Linotype" w:eastAsia="Palatino Linotype" w:hAnsi="Palatino Linotype" w:cs="Palatino Linotype"/>
          <w:color w:val="000000"/>
        </w:rPr>
        <w:t xml:space="preserve">Luego entonces, si bien es cierto ya se emitió un pronunciamiento por parte del </w:t>
      </w:r>
      <w:r w:rsidRPr="00B4323C">
        <w:rPr>
          <w:rFonts w:ascii="Palatino Linotype" w:eastAsia="Palatino Linotype" w:hAnsi="Palatino Linotype" w:cs="Palatino Linotype"/>
          <w:b/>
          <w:color w:val="000000"/>
        </w:rPr>
        <w:t>SUJETO OBLIGADO</w:t>
      </w:r>
      <w:r w:rsidRPr="00B4323C">
        <w:rPr>
          <w:rFonts w:ascii="Palatino Linotype" w:eastAsia="Palatino Linotype" w:hAnsi="Palatino Linotype" w:cs="Palatino Linotype"/>
          <w:color w:val="000000"/>
        </w:rPr>
        <w:t xml:space="preserve">, del soporte documental requerido respecto del cual este </w:t>
      </w:r>
      <w:r w:rsidRPr="00B4323C">
        <w:rPr>
          <w:rFonts w:ascii="Palatino Linotype" w:eastAsia="Palatino Linotype" w:hAnsi="Palatino Linotype" w:cs="Palatino Linotype"/>
        </w:rPr>
        <w:t>Órgano Garante carece de facultades para dudar de la veracidad de tales pronunciamientos.</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rFonts w:ascii="Palatino Linotype" w:eastAsia="Palatino Linotype" w:hAnsi="Palatino Linotype" w:cs="Palatino Linotype"/>
          <w:b/>
          <w:color w:val="000000"/>
        </w:rPr>
      </w:pPr>
      <w:r w:rsidRPr="00B4323C">
        <w:rPr>
          <w:rFonts w:ascii="Palatino Linotype" w:eastAsia="Palatino Linotype" w:hAnsi="Palatino Linotype" w:cs="Palatino Linotype"/>
        </w:rPr>
        <w:t xml:space="preserve">Para lo cual  resulta necesario puntualizar con claridad que éste Órgano Garante no está facultado para pronunciarse sobre la veracidad de la información que los Sujetos Obligados ponen a disposición de los solicitantes; situación que se aleja de las atribuciones de este Instituto </w:t>
      </w:r>
      <w:r w:rsidRPr="00B4323C">
        <w:rPr>
          <w:rFonts w:ascii="Palatino Linotype" w:eastAsia="Palatino Linotype" w:hAnsi="Palatino Linotype" w:cs="Palatino Linotype"/>
          <w:i/>
          <w:color w:val="000000"/>
        </w:rPr>
        <w:t>máxime</w:t>
      </w:r>
      <w:r w:rsidRPr="00B4323C">
        <w:rPr>
          <w:rFonts w:ascii="Palatino Linotype" w:eastAsia="Palatino Linotype" w:hAnsi="Palatino Linotype" w:cs="Palatino Linotype"/>
          <w:color w:val="000000"/>
        </w:rPr>
        <w:t xml:space="preserve"> que </w:t>
      </w:r>
      <w:r w:rsidRPr="00B4323C">
        <w:rPr>
          <w:rFonts w:ascii="Palatino Linotype" w:eastAsia="Palatino Linotype" w:hAnsi="Palatino Linotype" w:cs="Palatino Linotype"/>
          <w:b/>
          <w:color w:val="000000"/>
          <w:u w:val="single"/>
        </w:rPr>
        <w:t>al momento que ponen a disposición ésta, la misma tiene el carácter oficial y se presume veraz, tan es así que la misma queda registrada en el Sistema de Acceso a la Información Mexiquense (SAIMEX).</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pPr>
      <w:r w:rsidRPr="00B4323C">
        <w:rPr>
          <w:rFonts w:ascii="Palatino Linotype" w:eastAsia="Palatino Linotype" w:hAnsi="Palatino Linotype" w:cs="Palatino Linotype"/>
        </w:rPr>
        <w:t xml:space="preserve">Así mismo, la </w:t>
      </w:r>
      <w:r w:rsidRPr="00B4323C">
        <w:rPr>
          <w:rFonts w:ascii="Palatino Linotype" w:eastAsia="Palatino Linotype" w:hAnsi="Palatino Linotype" w:cs="Palatino Linotype"/>
          <w:b/>
        </w:rPr>
        <w:t xml:space="preserve">Ley de Transparencia y Acceso a la Información Pública del Estado de </w:t>
      </w:r>
      <w:r w:rsidRPr="00B4323C">
        <w:rPr>
          <w:rFonts w:ascii="Palatino Linotype" w:eastAsia="Palatino Linotype" w:hAnsi="Palatino Linotype" w:cs="Palatino Linotype"/>
          <w:color w:val="000000"/>
        </w:rPr>
        <w:t>México</w:t>
      </w:r>
      <w:r w:rsidRPr="00B4323C">
        <w:rPr>
          <w:rFonts w:ascii="Palatino Linotype" w:eastAsia="Palatino Linotype" w:hAnsi="Palatino Linotype" w:cs="Palatino Linotype"/>
          <w:b/>
        </w:rPr>
        <w:t xml:space="preserve"> y Municipios</w:t>
      </w:r>
      <w:r w:rsidRPr="00B4323C">
        <w:rPr>
          <w:rFonts w:ascii="Palatino Linotype" w:eastAsia="Palatino Linotype" w:hAnsi="Palatino Linotype" w:cs="Palatino Linotype"/>
        </w:rPr>
        <w:t xml:space="preserve"> establece que la información pública generada, administrada o en posesión de los Sujetos Obligados en ejercicio de sus atribuciones, será accesible de manera permanente a cualquier persona, privilegiando el principio de máxima publicidad de la información, por lo que deberán apegarse en todo momento a los criterios de publicidad, veracidad, oportunidad entre otros, numeral en comento que a la letra señala;</w:t>
      </w:r>
    </w:p>
    <w:p w:rsidR="003133F1" w:rsidRPr="00B4323C" w:rsidRDefault="00727C65">
      <w:pPr>
        <w:pBdr>
          <w:top w:val="nil"/>
          <w:left w:val="nil"/>
          <w:bottom w:val="nil"/>
          <w:right w:val="nil"/>
          <w:between w:val="nil"/>
        </w:pBdr>
        <w:spacing w:line="360" w:lineRule="auto"/>
        <w:ind w:left="644" w:right="-79"/>
        <w:jc w:val="both"/>
        <w:rPr>
          <w:rFonts w:ascii="Palatino Linotype" w:eastAsia="Palatino Linotype" w:hAnsi="Palatino Linotype" w:cs="Palatino Linotype"/>
          <w:b/>
          <w:i/>
          <w:color w:val="000000"/>
          <w:sz w:val="22"/>
          <w:szCs w:val="22"/>
        </w:rPr>
      </w:pPr>
      <w:r w:rsidRPr="00B4323C">
        <w:rPr>
          <w:rFonts w:ascii="Palatino Linotype" w:eastAsia="Palatino Linotype" w:hAnsi="Palatino Linotype" w:cs="Palatino Linotype"/>
          <w:i/>
          <w:color w:val="000000"/>
          <w:sz w:val="22"/>
          <w:szCs w:val="22"/>
        </w:rPr>
        <w:t xml:space="preserve">Artículo 3.- La información pública generada, administrada o en posesión de los Sujetos Obligados en ejercicio de sus atribuciones, será accesible de manera permanente a cualquier persona, privilegiando el principio de máxima publicidad de la información. </w:t>
      </w:r>
      <w:r w:rsidRPr="00B4323C">
        <w:rPr>
          <w:rFonts w:ascii="Palatino Linotype" w:eastAsia="Palatino Linotype" w:hAnsi="Palatino Linotype" w:cs="Palatino Linotype"/>
          <w:b/>
          <w:i/>
          <w:color w:val="000000"/>
          <w:sz w:val="22"/>
          <w:szCs w:val="22"/>
        </w:rPr>
        <w:t xml:space="preserve">Los Sujetos Obligados deben poner en práctica, políticas y programas de acceso a la información </w:t>
      </w:r>
      <w:r w:rsidRPr="00B4323C">
        <w:rPr>
          <w:rFonts w:ascii="Palatino Linotype" w:eastAsia="Palatino Linotype" w:hAnsi="Palatino Linotype" w:cs="Palatino Linotype"/>
          <w:b/>
          <w:i/>
          <w:color w:val="000000"/>
          <w:sz w:val="22"/>
          <w:szCs w:val="22"/>
        </w:rPr>
        <w:lastRenderedPageBreak/>
        <w:t>que se apeguen a criterios de publicidad, veracidad, oportunidad, precisión y suficiencia en beneficio de los solicitantes.</w:t>
      </w:r>
    </w:p>
    <w:p w:rsidR="003133F1" w:rsidRPr="00B4323C" w:rsidRDefault="003133F1">
      <w:pPr>
        <w:spacing w:line="360" w:lineRule="auto"/>
        <w:ind w:right="-787"/>
        <w:jc w:val="both"/>
        <w:rPr>
          <w:rFonts w:ascii="Palatino Linotype" w:eastAsia="Palatino Linotype" w:hAnsi="Palatino Linotype" w:cs="Palatino Linotype"/>
          <w:b/>
          <w:i/>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rPr>
        <w:t xml:space="preserve">Numerales que compelen al </w:t>
      </w:r>
      <w:r w:rsidRPr="00B4323C">
        <w:rPr>
          <w:rFonts w:ascii="Palatino Linotype" w:eastAsia="Palatino Linotype" w:hAnsi="Palatino Linotype" w:cs="Palatino Linotype"/>
          <w:b/>
        </w:rPr>
        <w:t>SUJETO OBLIGADO</w:t>
      </w:r>
      <w:r w:rsidRPr="00B4323C">
        <w:rPr>
          <w:rFonts w:ascii="Palatino Linotype" w:eastAsia="Palatino Linotype" w:hAnsi="Palatino Linotype" w:cs="Palatino Linotype"/>
        </w:rPr>
        <w:t xml:space="preserve"> a apegarse en todo momento a los criterios ya expuestos, impidiendo a este Órgano Colegiado cuestionar la veracidad de la información. En ese contexto, en razón del artículo 166 de la Ley de Transparencia y Acceso a la Información Pública del Estado de México y Municipios, que establece que la obligación de acceso a la información pública se tendrá por cumplida cuando el solicitante tenga a su disposición la información requerida.</w:t>
      </w:r>
    </w:p>
    <w:p w:rsidR="003133F1" w:rsidRPr="00B4323C" w:rsidRDefault="003133F1">
      <w:pPr>
        <w:spacing w:line="360" w:lineRule="auto"/>
        <w:ind w:right="-787"/>
        <w:jc w:val="both"/>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También lo es que resulta dable mencionar que se omitirá un análisis respecto del contenido de lo entregado a efecto de determinar si corresponde a la información solicitada o en </w:t>
      </w:r>
      <w:r w:rsidRPr="00B4323C">
        <w:rPr>
          <w:rFonts w:ascii="Palatino Linotype" w:eastAsia="Palatino Linotype" w:hAnsi="Palatino Linotype" w:cs="Palatino Linotype"/>
        </w:rPr>
        <w:t>su</w:t>
      </w:r>
      <w:r w:rsidRPr="00B4323C">
        <w:rPr>
          <w:rFonts w:ascii="Palatino Linotype" w:eastAsia="Palatino Linotype" w:hAnsi="Palatino Linotype" w:cs="Palatino Linotype"/>
          <w:color w:val="000000"/>
        </w:rPr>
        <w:t xml:space="preserve"> caso ordenar su entrega; toda vez que el ahora </w:t>
      </w:r>
      <w:r w:rsidRPr="00B4323C">
        <w:rPr>
          <w:rFonts w:ascii="Palatino Linotype" w:eastAsia="Palatino Linotype" w:hAnsi="Palatino Linotype" w:cs="Palatino Linotype"/>
          <w:b/>
          <w:color w:val="000000"/>
        </w:rPr>
        <w:t xml:space="preserve">RECURRENTE </w:t>
      </w:r>
      <w:r w:rsidRPr="00B4323C">
        <w:rPr>
          <w:rFonts w:ascii="Palatino Linotype" w:eastAsia="Palatino Linotype" w:hAnsi="Palatino Linotype" w:cs="Palatino Linotype"/>
          <w:color w:val="000000"/>
        </w:rPr>
        <w:t xml:space="preserve">de </w:t>
      </w:r>
      <w:r w:rsidRPr="00B4323C">
        <w:rPr>
          <w:rFonts w:ascii="Palatino Linotype" w:eastAsia="Palatino Linotype" w:hAnsi="Palatino Linotype" w:cs="Palatino Linotype"/>
          <w:i/>
          <w:color w:val="000000"/>
        </w:rPr>
        <w:t>mutuo propio</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rPr>
        <w:t>tomó</w:t>
      </w:r>
      <w:r w:rsidRPr="00B4323C">
        <w:rPr>
          <w:rFonts w:ascii="Palatino Linotype" w:eastAsia="Palatino Linotype" w:hAnsi="Palatino Linotype" w:cs="Palatino Linotype"/>
          <w:color w:val="000000"/>
        </w:rPr>
        <w:t xml:space="preserve"> la decisión irrevocable de desistirse de los recursos de revisión, al quedar registrado en el SAIMEX al tenor del siguiente argumento: "</w:t>
      </w:r>
      <w:r w:rsidRPr="00B4323C">
        <w:rPr>
          <w:rFonts w:ascii="Palatino Linotype" w:eastAsia="Palatino Linotype" w:hAnsi="Palatino Linotype" w:cs="Palatino Linotype"/>
        </w:rPr>
        <w:t xml:space="preserve"> </w:t>
      </w:r>
      <w:r w:rsidRPr="00B4323C">
        <w:rPr>
          <w:rFonts w:ascii="Palatino Linotype" w:eastAsia="Palatino Linotype" w:hAnsi="Palatino Linotype" w:cs="Palatino Linotype"/>
          <w:i/>
          <w:color w:val="000000"/>
        </w:rPr>
        <w:t>informacion entregada</w:t>
      </w:r>
      <w:r w:rsidRPr="00B4323C">
        <w:rPr>
          <w:rFonts w:ascii="Palatino Linotype" w:eastAsia="Palatino Linotype" w:hAnsi="Palatino Linotype" w:cs="Palatino Linotype"/>
          <w:color w:val="000000"/>
        </w:rPr>
        <w:t>"</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En atención a las consideraciones anteriores, este Instituto advierte que en el presente caso, se actualiza la hipótesis prevista en el artículo 192, fracción I, de la Ley de Transparencia y Acceso a la Información Pública del Estado de México y Municipios, que dispone lo siguiente: </w:t>
      </w:r>
    </w:p>
    <w:p w:rsidR="003133F1" w:rsidRPr="00B4323C" w:rsidRDefault="00727C65">
      <w:pPr>
        <w:tabs>
          <w:tab w:val="left" w:pos="851"/>
        </w:tabs>
        <w:spacing w:line="360" w:lineRule="auto"/>
        <w:ind w:left="851"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w:t>
      </w:r>
      <w:r w:rsidRPr="00B4323C">
        <w:rPr>
          <w:rFonts w:ascii="Palatino Linotype" w:eastAsia="Palatino Linotype" w:hAnsi="Palatino Linotype" w:cs="Palatino Linotype"/>
          <w:b/>
          <w:i/>
          <w:color w:val="000000"/>
          <w:sz w:val="22"/>
          <w:szCs w:val="22"/>
        </w:rPr>
        <w:t>Artículo 192.</w:t>
      </w:r>
      <w:r w:rsidRPr="00B4323C">
        <w:rPr>
          <w:rFonts w:ascii="Palatino Linotype" w:eastAsia="Palatino Linotype" w:hAnsi="Palatino Linotype" w:cs="Palatino Linotype"/>
          <w:i/>
          <w:color w:val="000000"/>
          <w:sz w:val="22"/>
          <w:szCs w:val="22"/>
        </w:rPr>
        <w:t xml:space="preserve"> </w:t>
      </w:r>
      <w:r w:rsidRPr="00B4323C">
        <w:rPr>
          <w:rFonts w:ascii="Palatino Linotype" w:eastAsia="Palatino Linotype" w:hAnsi="Palatino Linotype" w:cs="Palatino Linotype"/>
          <w:b/>
          <w:i/>
          <w:color w:val="000000"/>
          <w:sz w:val="22"/>
          <w:szCs w:val="22"/>
          <w:u w:val="single"/>
        </w:rPr>
        <w:t>El recurso será sobreseído</w:t>
      </w:r>
      <w:r w:rsidRPr="00B4323C">
        <w:rPr>
          <w:rFonts w:ascii="Palatino Linotype" w:eastAsia="Palatino Linotype" w:hAnsi="Palatino Linotype" w:cs="Palatino Linotype"/>
          <w:i/>
          <w:color w:val="000000"/>
          <w:sz w:val="22"/>
          <w:szCs w:val="22"/>
        </w:rPr>
        <w:t xml:space="preserve">, en todo o en parte, </w:t>
      </w:r>
      <w:r w:rsidRPr="00B4323C">
        <w:rPr>
          <w:rFonts w:ascii="Palatino Linotype" w:eastAsia="Palatino Linotype" w:hAnsi="Palatino Linotype" w:cs="Palatino Linotype"/>
          <w:b/>
          <w:i/>
          <w:color w:val="000000"/>
          <w:sz w:val="22"/>
          <w:szCs w:val="22"/>
          <w:u w:val="single"/>
        </w:rPr>
        <w:t>cuando una vez admitido</w:t>
      </w:r>
      <w:r w:rsidRPr="00B4323C">
        <w:rPr>
          <w:rFonts w:ascii="Palatino Linotype" w:eastAsia="Palatino Linotype" w:hAnsi="Palatino Linotype" w:cs="Palatino Linotype"/>
          <w:i/>
          <w:color w:val="000000"/>
          <w:sz w:val="22"/>
          <w:szCs w:val="22"/>
        </w:rPr>
        <w:t>, se actualicen alguno de los siguientes supuestos:</w:t>
      </w:r>
    </w:p>
    <w:p w:rsidR="003133F1" w:rsidRPr="00B4323C" w:rsidRDefault="00727C65">
      <w:pPr>
        <w:tabs>
          <w:tab w:val="left" w:pos="851"/>
        </w:tabs>
        <w:spacing w:line="360" w:lineRule="auto"/>
        <w:ind w:left="851"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b/>
          <w:i/>
          <w:color w:val="000000"/>
          <w:sz w:val="22"/>
          <w:szCs w:val="22"/>
        </w:rPr>
        <w:t>I.</w:t>
      </w:r>
      <w:r w:rsidRPr="00B4323C">
        <w:rPr>
          <w:rFonts w:ascii="Palatino Linotype" w:eastAsia="Palatino Linotype" w:hAnsi="Palatino Linotype" w:cs="Palatino Linotype"/>
          <w:i/>
          <w:color w:val="000000"/>
          <w:sz w:val="22"/>
          <w:szCs w:val="22"/>
        </w:rPr>
        <w:t xml:space="preserve"> </w:t>
      </w:r>
      <w:r w:rsidRPr="00B4323C">
        <w:rPr>
          <w:rFonts w:ascii="Palatino Linotype" w:eastAsia="Palatino Linotype" w:hAnsi="Palatino Linotype" w:cs="Palatino Linotype"/>
          <w:b/>
          <w:i/>
          <w:color w:val="000000"/>
          <w:sz w:val="22"/>
          <w:szCs w:val="22"/>
          <w:u w:val="single"/>
        </w:rPr>
        <w:t>LA RECURRENTE se desista expresamente del recurso</w:t>
      </w:r>
      <w:r w:rsidRPr="00B4323C">
        <w:rPr>
          <w:rFonts w:ascii="Palatino Linotype" w:eastAsia="Palatino Linotype" w:hAnsi="Palatino Linotype" w:cs="Palatino Linotype"/>
          <w:i/>
          <w:color w:val="000000"/>
          <w:sz w:val="22"/>
          <w:szCs w:val="22"/>
        </w:rPr>
        <w:t>;”</w:t>
      </w:r>
    </w:p>
    <w:p w:rsidR="003133F1" w:rsidRPr="00B4323C" w:rsidRDefault="003133F1">
      <w:pPr>
        <w:tabs>
          <w:tab w:val="left" w:pos="851"/>
        </w:tabs>
        <w:spacing w:line="360" w:lineRule="auto"/>
        <w:ind w:left="851" w:right="-787"/>
        <w:jc w:val="both"/>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color w:val="000000"/>
        </w:rPr>
        <w:lastRenderedPageBreak/>
        <w:t xml:space="preserve">En consecuencia, se determina </w:t>
      </w:r>
      <w:r w:rsidRPr="00B4323C">
        <w:rPr>
          <w:rFonts w:ascii="Palatino Linotype" w:eastAsia="Palatino Linotype" w:hAnsi="Palatino Linotype" w:cs="Palatino Linotype"/>
          <w:b/>
          <w:color w:val="000000"/>
        </w:rPr>
        <w:t>SOBRESEER</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presentes Recursos de Revisión, en términos del artículo 186, fracción I, de la Ley de Transparencia y Acceso a la Información Pública del Estado de México y Municipios:</w:t>
      </w:r>
    </w:p>
    <w:p w:rsidR="003133F1" w:rsidRPr="00B4323C" w:rsidRDefault="00727C65">
      <w:pPr>
        <w:tabs>
          <w:tab w:val="left" w:pos="851"/>
        </w:tabs>
        <w:spacing w:line="360" w:lineRule="auto"/>
        <w:ind w:left="851" w:right="-787"/>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w:t>
      </w:r>
      <w:r w:rsidRPr="00B4323C">
        <w:rPr>
          <w:rFonts w:ascii="Palatino Linotype" w:eastAsia="Palatino Linotype" w:hAnsi="Palatino Linotype" w:cs="Palatino Linotype"/>
          <w:b/>
          <w:i/>
          <w:color w:val="000000"/>
          <w:sz w:val="22"/>
          <w:szCs w:val="22"/>
        </w:rPr>
        <w:t xml:space="preserve">Artículo 186. </w:t>
      </w:r>
      <w:r w:rsidRPr="00B4323C">
        <w:rPr>
          <w:rFonts w:ascii="Palatino Linotype" w:eastAsia="Palatino Linotype" w:hAnsi="Palatino Linotype" w:cs="Palatino Linotype"/>
          <w:b/>
          <w:i/>
          <w:color w:val="000000"/>
          <w:sz w:val="22"/>
          <w:szCs w:val="22"/>
          <w:u w:val="single"/>
        </w:rPr>
        <w:t>Las resoluciones del Instituto podrán</w:t>
      </w:r>
      <w:r w:rsidRPr="00B4323C">
        <w:rPr>
          <w:rFonts w:ascii="Palatino Linotype" w:eastAsia="Palatino Linotype" w:hAnsi="Palatino Linotype" w:cs="Palatino Linotype"/>
          <w:i/>
          <w:color w:val="000000"/>
          <w:sz w:val="22"/>
          <w:szCs w:val="22"/>
        </w:rPr>
        <w:t xml:space="preserve">: </w:t>
      </w:r>
    </w:p>
    <w:p w:rsidR="003133F1" w:rsidRPr="00B4323C" w:rsidRDefault="00727C65">
      <w:pPr>
        <w:numPr>
          <w:ilvl w:val="0"/>
          <w:numId w:val="3"/>
        </w:numPr>
        <w:pBdr>
          <w:top w:val="nil"/>
          <w:left w:val="nil"/>
          <w:bottom w:val="nil"/>
          <w:right w:val="nil"/>
          <w:between w:val="nil"/>
        </w:pBdr>
        <w:tabs>
          <w:tab w:val="left" w:pos="851"/>
        </w:tabs>
        <w:spacing w:line="360" w:lineRule="auto"/>
        <w:ind w:right="-787"/>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 xml:space="preserve">Desechar o </w:t>
      </w:r>
      <w:r w:rsidRPr="00B4323C">
        <w:rPr>
          <w:rFonts w:ascii="Palatino Linotype" w:eastAsia="Palatino Linotype" w:hAnsi="Palatino Linotype" w:cs="Palatino Linotype"/>
          <w:b/>
          <w:i/>
          <w:color w:val="000000"/>
          <w:sz w:val="22"/>
          <w:szCs w:val="22"/>
          <w:u w:val="single"/>
        </w:rPr>
        <w:t>sobreseer el recurso</w:t>
      </w:r>
      <w:r w:rsidRPr="00B4323C">
        <w:rPr>
          <w:rFonts w:ascii="Palatino Linotype" w:eastAsia="Palatino Linotype" w:hAnsi="Palatino Linotype" w:cs="Palatino Linotype"/>
          <w:i/>
          <w:color w:val="000000"/>
          <w:sz w:val="22"/>
          <w:szCs w:val="22"/>
        </w:rPr>
        <w:t xml:space="preserve">;” </w:t>
      </w:r>
    </w:p>
    <w:p w:rsidR="003133F1" w:rsidRPr="00B4323C" w:rsidRDefault="003133F1">
      <w:pPr>
        <w:pBdr>
          <w:top w:val="nil"/>
          <w:left w:val="nil"/>
          <w:bottom w:val="nil"/>
          <w:right w:val="nil"/>
          <w:between w:val="nil"/>
        </w:pBdr>
        <w:tabs>
          <w:tab w:val="left" w:pos="851"/>
        </w:tabs>
        <w:spacing w:line="360" w:lineRule="auto"/>
        <w:ind w:left="1571" w:right="-787"/>
        <w:jc w:val="both"/>
        <w:rPr>
          <w:rFonts w:ascii="Palatino Linotype" w:eastAsia="Palatino Linotype" w:hAnsi="Palatino Linotype" w:cs="Palatino Linotype"/>
          <w:i/>
          <w:color w:val="000000"/>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color w:val="000000"/>
        </w:rPr>
        <w:t xml:space="preserve">Derivado de lo anterior, es conveniente referir que este Órgano Garante no se pronuncia sobre las razones o motivos de inconformidad expuestos por </w:t>
      </w:r>
      <w:r w:rsidRPr="00B4323C">
        <w:rPr>
          <w:rFonts w:ascii="Palatino Linotype" w:eastAsia="Palatino Linotype" w:hAnsi="Palatino Linotype" w:cs="Palatino Linotype"/>
          <w:b/>
          <w:color w:val="000000"/>
        </w:rPr>
        <w:t>LA RECURRENTE</w:t>
      </w:r>
      <w:r w:rsidRPr="00B4323C">
        <w:rPr>
          <w:rFonts w:ascii="Palatino Linotype" w:eastAsia="Palatino Linotype" w:hAnsi="Palatino Linotype" w:cs="Palatino Linotype"/>
          <w:color w:val="000000"/>
        </w:rPr>
        <w:t>, toda vez que se infiere al desistimiento voluntario realizado por la misma</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color w:val="000000"/>
        </w:rPr>
        <w:t xml:space="preserve">en fecha </w:t>
      </w:r>
      <w:r w:rsidRPr="00B4323C">
        <w:rPr>
          <w:rFonts w:ascii="Palatino Linotype" w:eastAsia="Palatino Linotype" w:hAnsi="Palatino Linotype" w:cs="Palatino Linotype"/>
          <w:b/>
          <w:color w:val="000000"/>
        </w:rPr>
        <w:t xml:space="preserve">veintitrés de enero de dos mil veinticinco, </w:t>
      </w:r>
      <w:r w:rsidRPr="00B4323C">
        <w:rPr>
          <w:rFonts w:ascii="Palatino Linotype" w:eastAsia="Palatino Linotype" w:hAnsi="Palatino Linotype" w:cs="Palatino Linotype"/>
          <w:color w:val="000000"/>
        </w:rPr>
        <w:t>siendo aplicable Tesis Aislada (Constitucional) de la Décima Época visible en el Semanario Judicial de la Federación, emitida por la Segunda Sala, CDXXV/2014 (10a.), con número de registro 2008086 cuyo rubro y texto establece lo siguiente:</w:t>
      </w:r>
    </w:p>
    <w:p w:rsidR="003133F1" w:rsidRPr="00B4323C" w:rsidRDefault="00727C65">
      <w:pPr>
        <w:tabs>
          <w:tab w:val="left" w:pos="851"/>
        </w:tabs>
        <w:spacing w:line="360" w:lineRule="auto"/>
        <w:ind w:left="851" w:right="-220"/>
        <w:jc w:val="both"/>
        <w:rPr>
          <w:rFonts w:ascii="Palatino Linotype" w:eastAsia="Palatino Linotype" w:hAnsi="Palatino Linotype" w:cs="Palatino Linotype"/>
          <w:b/>
          <w:i/>
          <w:color w:val="000000"/>
          <w:sz w:val="22"/>
          <w:szCs w:val="22"/>
        </w:rPr>
      </w:pPr>
      <w:r w:rsidRPr="00B4323C">
        <w:rPr>
          <w:rFonts w:ascii="Palatino Linotype" w:eastAsia="Palatino Linotype" w:hAnsi="Palatino Linotype" w:cs="Palatino Linotype"/>
          <w:b/>
          <w:i/>
          <w:color w:val="000000"/>
          <w:sz w:val="22"/>
          <w:szCs w:val="22"/>
        </w:rPr>
        <w:t>“AUTONOMÍA DE LA VOLUNTAD. ES UN PRINCIPIO DE RANGO CONSTITUCIONAL.</w:t>
      </w:r>
    </w:p>
    <w:p w:rsidR="003133F1" w:rsidRPr="00B4323C" w:rsidRDefault="00727C65">
      <w:pPr>
        <w:tabs>
          <w:tab w:val="left" w:pos="851"/>
        </w:tabs>
        <w:spacing w:line="360" w:lineRule="auto"/>
        <w:ind w:left="851" w:right="-220"/>
        <w:jc w:val="both"/>
        <w:rPr>
          <w:rFonts w:ascii="Palatino Linotype" w:eastAsia="Palatino Linotype" w:hAnsi="Palatino Linotype" w:cs="Palatino Linotype"/>
          <w:i/>
          <w:color w:val="000000"/>
          <w:sz w:val="22"/>
          <w:szCs w:val="22"/>
        </w:rPr>
      </w:pPr>
      <w:r w:rsidRPr="00B4323C">
        <w:rPr>
          <w:rFonts w:ascii="Palatino Linotype" w:eastAsia="Palatino Linotype" w:hAnsi="Palatino Linotype" w:cs="Palatino Linotype"/>
          <w:i/>
          <w:color w:val="000000"/>
          <w:sz w:val="22"/>
          <w:szCs w:val="22"/>
        </w:rPr>
        <w:t xml:space="preserve">A consideración de esta Primera Sala de la Suprema Corte de Justicia de la Nación, el </w:t>
      </w:r>
      <w:r w:rsidRPr="00B4323C">
        <w:rPr>
          <w:rFonts w:ascii="Palatino Linotype" w:eastAsia="Palatino Linotype" w:hAnsi="Palatino Linotype" w:cs="Palatino Linotype"/>
          <w:b/>
          <w:i/>
          <w:color w:val="000000"/>
          <w:sz w:val="22"/>
          <w:szCs w:val="22"/>
        </w:rPr>
        <w:t>principio de autonomía de la voluntad</w:t>
      </w:r>
      <w:r w:rsidRPr="00B4323C">
        <w:rPr>
          <w:rFonts w:ascii="Palatino Linotype" w:eastAsia="Palatino Linotype" w:hAnsi="Palatino Linotype" w:cs="Palatino Linotype"/>
          <w:i/>
          <w:color w:val="000000"/>
          <w:sz w:val="22"/>
          <w:szCs w:val="22"/>
        </w:rPr>
        <w:t xml:space="preserve"> goza de rango constitucional y no debe ser reconducido a un simple principio que rige el derecho civil. Así las cosas, el respeto del individuo como persona requiere el respeto de su autodeterminación individual, por lo que si no existe libertad del individuo para estructurar sus relaciones jurídicas de acuerdo con sus deseos, no se respeta la autodeterminación de ese sujeto. Aunado a lo anterior, el principio de autonomía de la voluntad tiene reflejo en el derecho de propiedad y en la libertad de contratación, la cual también es un elemento central del libre desarrollo de la personalidad, y en cuya virtud las partes de una relación jurídica son libres para gestionar su propio interés y regular sus relaciones, sin injerencias externas.</w:t>
      </w: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color w:val="000000"/>
        </w:rPr>
        <w:lastRenderedPageBreak/>
        <w:t xml:space="preserve">De lo anteriormente citado, se advierte la manifestación implícita por </w:t>
      </w:r>
      <w:r w:rsidRPr="00B4323C">
        <w:rPr>
          <w:rFonts w:ascii="Palatino Linotype" w:eastAsia="Palatino Linotype" w:hAnsi="Palatino Linotype" w:cs="Palatino Linotype"/>
          <w:b/>
        </w:rPr>
        <w:t>EL</w:t>
      </w:r>
      <w:r w:rsidRPr="00B4323C">
        <w:rPr>
          <w:rFonts w:ascii="Palatino Linotype" w:eastAsia="Palatino Linotype" w:hAnsi="Palatino Linotype" w:cs="Palatino Linotype"/>
          <w:b/>
          <w:color w:val="000000"/>
        </w:rPr>
        <w:t xml:space="preserve"> RECURRENTE</w:t>
      </w:r>
      <w:r w:rsidRPr="00B4323C">
        <w:rPr>
          <w:rFonts w:ascii="Palatino Linotype" w:eastAsia="Palatino Linotype" w:hAnsi="Palatino Linotype" w:cs="Palatino Linotype"/>
          <w:color w:val="000000"/>
        </w:rPr>
        <w:t xml:space="preserve"> respecto a desistirse de la pretensión plasmada, por lo que acepta que el procedimiento concluya sin provocar consecuencias de derecho; al mismo tiempo genera que este Órgano Garante no ingrese al análisis de los planteamientos señalados en la </w:t>
      </w:r>
      <w:r w:rsidRPr="00B4323C">
        <w:rPr>
          <w:rFonts w:ascii="Palatino Linotype" w:eastAsia="Palatino Linotype" w:hAnsi="Palatino Linotype" w:cs="Palatino Linotype"/>
          <w:i/>
          <w:color w:val="000000"/>
        </w:rPr>
        <w:t>Litis</w:t>
      </w:r>
      <w:r w:rsidRPr="00B4323C">
        <w:rPr>
          <w:rFonts w:ascii="Palatino Linotype" w:eastAsia="Palatino Linotype" w:hAnsi="Palatino Linotype" w:cs="Palatino Linotype"/>
          <w:color w:val="000000"/>
        </w:rPr>
        <w:t xml:space="preserve">, y únicamente realice el análisis respecto a las actuaciones que subsistan, sin necesidad de ordenar la información de la que se </w:t>
      </w:r>
      <w:r w:rsidRPr="00B4323C">
        <w:rPr>
          <w:rFonts w:ascii="Palatino Linotype" w:eastAsia="Palatino Linotype" w:hAnsi="Palatino Linotype" w:cs="Palatino Linotype"/>
        </w:rPr>
        <w:t>impugnó</w:t>
      </w:r>
      <w:r w:rsidRPr="00B4323C">
        <w:rPr>
          <w:rFonts w:ascii="Palatino Linotype" w:eastAsia="Palatino Linotype" w:hAnsi="Palatino Linotype" w:cs="Palatino Linotype"/>
          <w:color w:val="000000"/>
        </w:rPr>
        <w:t xml:space="preserve"> en el escrito recursal.</w:t>
      </w:r>
    </w:p>
    <w:p w:rsidR="003133F1" w:rsidRPr="00B4323C" w:rsidRDefault="003133F1">
      <w:pPr>
        <w:pBdr>
          <w:top w:val="nil"/>
          <w:left w:val="nil"/>
          <w:bottom w:val="nil"/>
          <w:right w:val="nil"/>
          <w:between w:val="nil"/>
        </w:pBdr>
        <w:spacing w:line="360" w:lineRule="auto"/>
        <w:ind w:left="720" w:right="-787"/>
        <w:rPr>
          <w:rFonts w:ascii="Palatino Linotype" w:eastAsia="Palatino Linotype" w:hAnsi="Palatino Linotype" w:cs="Palatino Linotype"/>
          <w:color w:val="000000"/>
        </w:rPr>
      </w:pPr>
    </w:p>
    <w:p w:rsidR="003133F1" w:rsidRPr="00B4323C" w:rsidRDefault="00727C65">
      <w:pPr>
        <w:numPr>
          <w:ilvl w:val="0"/>
          <w:numId w:val="2"/>
        </w:numPr>
        <w:spacing w:line="360" w:lineRule="auto"/>
        <w:ind w:left="0" w:right="-787" w:firstLine="0"/>
        <w:jc w:val="both"/>
        <w:rPr>
          <w:color w:val="000000"/>
        </w:rPr>
      </w:pPr>
      <w:r w:rsidRPr="00B4323C">
        <w:rPr>
          <w:rFonts w:ascii="Palatino Linotype" w:eastAsia="Palatino Linotype" w:hAnsi="Palatino Linotype" w:cs="Palatino Linotype"/>
        </w:rPr>
        <w:t>Por</w:t>
      </w:r>
      <w:r w:rsidRPr="00B4323C">
        <w:rPr>
          <w:rFonts w:ascii="Palatino Linotype" w:eastAsia="Palatino Linotype" w:hAnsi="Palatino Linotype" w:cs="Palatino Linotype"/>
          <w:color w:val="000000"/>
        </w:rPr>
        <w:t xml:space="preserve"> lo anteriormente expuesto y fundado, este </w:t>
      </w:r>
      <w:r w:rsidRPr="00B4323C">
        <w:rPr>
          <w:rFonts w:ascii="Palatino Linotype" w:eastAsia="Palatino Linotype" w:hAnsi="Palatino Linotype" w:cs="Palatino Linotype"/>
          <w:b/>
          <w:color w:val="000000"/>
        </w:rPr>
        <w:t>ÓRGANO GARANTE</w:t>
      </w:r>
      <w:r w:rsidRPr="00B4323C">
        <w:rPr>
          <w:rFonts w:ascii="Palatino Linotype" w:eastAsia="Palatino Linotype" w:hAnsi="Palatino Linotype" w:cs="Palatino Linotype"/>
          <w:color w:val="000000"/>
        </w:rPr>
        <w:t xml:space="preserve"> emite los siguientes:</w:t>
      </w:r>
    </w:p>
    <w:p w:rsidR="003133F1" w:rsidRPr="00B4323C" w:rsidRDefault="003133F1">
      <w:pPr>
        <w:spacing w:line="360" w:lineRule="auto"/>
        <w:ind w:left="360" w:right="-787"/>
        <w:jc w:val="both"/>
        <w:rPr>
          <w:rFonts w:ascii="Palatino Linotype" w:eastAsia="Palatino Linotype" w:hAnsi="Palatino Linotype" w:cs="Palatino Linotype"/>
        </w:rPr>
      </w:pPr>
    </w:p>
    <w:p w:rsidR="003133F1" w:rsidRPr="00B4323C" w:rsidRDefault="00727C65">
      <w:pPr>
        <w:pStyle w:val="Ttulo1"/>
        <w:spacing w:before="0" w:line="360" w:lineRule="auto"/>
        <w:ind w:right="-787"/>
        <w:jc w:val="center"/>
        <w:rPr>
          <w:rFonts w:ascii="Palatino Linotype" w:eastAsia="Palatino Linotype" w:hAnsi="Palatino Linotype" w:cs="Palatino Linotype"/>
          <w:b/>
          <w:color w:val="000000"/>
          <w:sz w:val="24"/>
          <w:szCs w:val="24"/>
        </w:rPr>
      </w:pPr>
      <w:r w:rsidRPr="00B4323C">
        <w:rPr>
          <w:rFonts w:ascii="Palatino Linotype" w:eastAsia="Palatino Linotype" w:hAnsi="Palatino Linotype" w:cs="Palatino Linotype"/>
          <w:b/>
          <w:color w:val="000000"/>
          <w:sz w:val="24"/>
          <w:szCs w:val="24"/>
        </w:rPr>
        <w:t>R E S O L U T I V O S</w:t>
      </w:r>
    </w:p>
    <w:p w:rsidR="003133F1" w:rsidRPr="00B4323C" w:rsidRDefault="003133F1">
      <w:pPr>
        <w:ind w:right="-787"/>
      </w:pPr>
    </w:p>
    <w:p w:rsidR="003133F1" w:rsidRPr="00B4323C" w:rsidRDefault="00727C65">
      <w:pPr>
        <w:widowControl w:val="0"/>
        <w:tabs>
          <w:tab w:val="left" w:pos="1701"/>
        </w:tabs>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b/>
          <w:color w:val="000000"/>
        </w:rPr>
        <w:t xml:space="preserve">PRIMERO. </w:t>
      </w:r>
      <w:r w:rsidRPr="00B4323C">
        <w:rPr>
          <w:rFonts w:ascii="Palatino Linotype" w:eastAsia="Palatino Linotype" w:hAnsi="Palatino Linotype" w:cs="Palatino Linotype"/>
          <w:color w:val="000000"/>
        </w:rPr>
        <w:t>Se</w:t>
      </w:r>
      <w:r w:rsidRPr="00B4323C">
        <w:rPr>
          <w:rFonts w:ascii="Palatino Linotype" w:eastAsia="Palatino Linotype" w:hAnsi="Palatino Linotype" w:cs="Palatino Linotype"/>
          <w:b/>
          <w:color w:val="000000"/>
        </w:rPr>
        <w:t xml:space="preserve"> SOBRESEEN </w:t>
      </w:r>
      <w:r w:rsidRPr="00B4323C">
        <w:rPr>
          <w:rFonts w:ascii="Palatino Linotype" w:eastAsia="Palatino Linotype" w:hAnsi="Palatino Linotype" w:cs="Palatino Linotype"/>
        </w:rPr>
        <w:t>los</w:t>
      </w:r>
      <w:r w:rsidRPr="00B4323C">
        <w:rPr>
          <w:rFonts w:ascii="Palatino Linotype" w:eastAsia="Palatino Linotype" w:hAnsi="Palatino Linotype" w:cs="Palatino Linotype"/>
          <w:color w:val="000000"/>
        </w:rPr>
        <w:t xml:space="preserve"> Recursos de Revisión </w:t>
      </w:r>
      <w:r w:rsidRPr="00B4323C">
        <w:rPr>
          <w:rFonts w:ascii="Palatino Linotype" w:eastAsia="Palatino Linotype" w:hAnsi="Palatino Linotype" w:cs="Palatino Linotype"/>
          <w:b/>
        </w:rPr>
        <w:t>04128/INFOEM/IP/RR/2024 y 04133/INFOEM/IP/RR/2024</w:t>
      </w:r>
      <w:r w:rsidRPr="00B4323C">
        <w:rPr>
          <w:rFonts w:ascii="Palatino Linotype" w:eastAsia="Palatino Linotype" w:hAnsi="Palatino Linotype" w:cs="Palatino Linotype"/>
          <w:b/>
          <w:color w:val="000000"/>
        </w:rPr>
        <w:t xml:space="preserve">, </w:t>
      </w:r>
      <w:r w:rsidRPr="00B4323C">
        <w:rPr>
          <w:rFonts w:ascii="Palatino Linotype" w:eastAsia="Palatino Linotype" w:hAnsi="Palatino Linotype" w:cs="Palatino Linotype"/>
          <w:color w:val="000000"/>
        </w:rPr>
        <w:t xml:space="preserve">por </w:t>
      </w:r>
      <w:r w:rsidRPr="00B4323C">
        <w:rPr>
          <w:rFonts w:ascii="Palatino Linotype" w:eastAsia="Palatino Linotype" w:hAnsi="Palatino Linotype" w:cs="Palatino Linotype"/>
          <w:b/>
          <w:color w:val="000000"/>
        </w:rPr>
        <w:t xml:space="preserve">actualizarse la causal de improcedencia </w:t>
      </w:r>
      <w:r w:rsidRPr="00B4323C">
        <w:rPr>
          <w:rFonts w:ascii="Palatino Linotype" w:eastAsia="Palatino Linotype" w:hAnsi="Palatino Linotype" w:cs="Palatino Linotype"/>
          <w:color w:val="000000"/>
        </w:rPr>
        <w:t xml:space="preserve">establecida en el artículo 192, fracción I, </w:t>
      </w:r>
      <w:r w:rsidRPr="00B4323C">
        <w:rPr>
          <w:rFonts w:ascii="Palatino Linotype" w:eastAsia="Palatino Linotype" w:hAnsi="Palatino Linotype" w:cs="Palatino Linotype"/>
        </w:rPr>
        <w:t>de la Ley de Transparencia y Acceso a la Información Pública del Estado de México y Municipios</w:t>
      </w:r>
      <w:r w:rsidRPr="00B4323C">
        <w:rPr>
          <w:rFonts w:ascii="Palatino Linotype" w:eastAsia="Palatino Linotype" w:hAnsi="Palatino Linotype" w:cs="Palatino Linotype"/>
          <w:color w:val="000000"/>
        </w:rPr>
        <w:t xml:space="preserve">, por </w:t>
      </w:r>
      <w:r w:rsidRPr="00B4323C">
        <w:rPr>
          <w:rFonts w:ascii="Palatino Linotype" w:eastAsia="Palatino Linotype" w:hAnsi="Palatino Linotype" w:cs="Palatino Linotype"/>
          <w:b/>
          <w:color w:val="000000"/>
        </w:rPr>
        <w:t>haberse desistido expresamente EL RECURRENTE</w:t>
      </w:r>
      <w:r w:rsidRPr="00B4323C">
        <w:rPr>
          <w:rFonts w:ascii="Palatino Linotype" w:eastAsia="Palatino Linotype" w:hAnsi="Palatino Linotype" w:cs="Palatino Linotype"/>
          <w:color w:val="000000"/>
        </w:rPr>
        <w:t>, en términos del Considerando</w:t>
      </w:r>
      <w:r w:rsidRPr="00B4323C">
        <w:rPr>
          <w:rFonts w:ascii="Palatino Linotype" w:eastAsia="Palatino Linotype" w:hAnsi="Palatino Linotype" w:cs="Palatino Linotype"/>
          <w:b/>
          <w:color w:val="000000"/>
        </w:rPr>
        <w:t xml:space="preserve"> CUARTO </w:t>
      </w:r>
      <w:r w:rsidRPr="00B4323C">
        <w:rPr>
          <w:rFonts w:ascii="Palatino Linotype" w:eastAsia="Palatino Linotype" w:hAnsi="Palatino Linotype" w:cs="Palatino Linotype"/>
          <w:color w:val="000000"/>
        </w:rPr>
        <w:t>de la presente Resolución.</w:t>
      </w:r>
    </w:p>
    <w:p w:rsidR="003133F1" w:rsidRPr="00B4323C" w:rsidRDefault="003133F1">
      <w:pPr>
        <w:widowControl w:val="0"/>
        <w:tabs>
          <w:tab w:val="left" w:pos="1701"/>
        </w:tabs>
        <w:spacing w:line="360" w:lineRule="auto"/>
        <w:ind w:right="-787"/>
        <w:jc w:val="both"/>
        <w:rPr>
          <w:rFonts w:ascii="Palatino Linotype" w:eastAsia="Palatino Linotype" w:hAnsi="Palatino Linotype" w:cs="Palatino Linotype"/>
          <w:color w:val="000000"/>
        </w:rPr>
      </w:pPr>
    </w:p>
    <w:p w:rsidR="003133F1" w:rsidRPr="00B4323C" w:rsidRDefault="00727C65">
      <w:pPr>
        <w:widowControl w:val="0"/>
        <w:tabs>
          <w:tab w:val="left" w:pos="1701"/>
        </w:tabs>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b/>
          <w:color w:val="000000"/>
        </w:rPr>
        <w:t xml:space="preserve">SEGUNDO. Notifíquese </w:t>
      </w:r>
      <w:r w:rsidRPr="00B4323C">
        <w:rPr>
          <w:rFonts w:ascii="Palatino Linotype" w:eastAsia="Palatino Linotype" w:hAnsi="Palatino Linotype" w:cs="Palatino Linotype"/>
          <w:color w:val="000000"/>
        </w:rPr>
        <w:t xml:space="preserve">al Titular de la Unidad de Transparencia de </w:t>
      </w:r>
      <w:r w:rsidRPr="00B4323C">
        <w:rPr>
          <w:rFonts w:ascii="Palatino Linotype" w:eastAsia="Palatino Linotype" w:hAnsi="Palatino Linotype" w:cs="Palatino Linotype"/>
          <w:b/>
          <w:color w:val="000000"/>
        </w:rPr>
        <w:t xml:space="preserve">EL SUJETO OBLIGADO, </w:t>
      </w:r>
      <w:r w:rsidRPr="00B4323C">
        <w:rPr>
          <w:rFonts w:ascii="Palatino Linotype" w:eastAsia="Palatino Linotype" w:hAnsi="Palatino Linotype" w:cs="Palatino Linotype"/>
          <w:color w:val="000000"/>
        </w:rPr>
        <w:t xml:space="preserve">vía SAIMEX para su conocimiento. </w:t>
      </w:r>
    </w:p>
    <w:p w:rsidR="003133F1" w:rsidRPr="00B4323C" w:rsidRDefault="003133F1">
      <w:pPr>
        <w:widowControl w:val="0"/>
        <w:tabs>
          <w:tab w:val="left" w:pos="1701"/>
        </w:tabs>
        <w:spacing w:line="360" w:lineRule="auto"/>
        <w:ind w:right="-787"/>
        <w:jc w:val="both"/>
        <w:rPr>
          <w:rFonts w:ascii="Palatino Linotype" w:eastAsia="Palatino Linotype" w:hAnsi="Palatino Linotype" w:cs="Palatino Linotype"/>
          <w:color w:val="000000"/>
        </w:rPr>
      </w:pPr>
    </w:p>
    <w:p w:rsidR="003133F1" w:rsidRPr="00B4323C" w:rsidRDefault="00727C65">
      <w:pPr>
        <w:widowControl w:val="0"/>
        <w:tabs>
          <w:tab w:val="left" w:pos="1701"/>
        </w:tabs>
        <w:spacing w:line="360" w:lineRule="auto"/>
        <w:ind w:right="-787"/>
        <w:jc w:val="both"/>
        <w:rPr>
          <w:rFonts w:ascii="Palatino Linotype" w:eastAsia="Palatino Linotype" w:hAnsi="Palatino Linotype" w:cs="Palatino Linotype"/>
          <w:b/>
          <w:color w:val="000000"/>
        </w:rPr>
      </w:pPr>
      <w:r w:rsidRPr="00B4323C">
        <w:rPr>
          <w:rFonts w:ascii="Palatino Linotype" w:eastAsia="Palatino Linotype" w:hAnsi="Palatino Linotype" w:cs="Palatino Linotype"/>
          <w:b/>
          <w:color w:val="000000"/>
        </w:rPr>
        <w:t>TERCERO</w:t>
      </w:r>
      <w:r w:rsidRPr="00B4323C">
        <w:rPr>
          <w:rFonts w:ascii="Palatino Linotype" w:eastAsia="Palatino Linotype" w:hAnsi="Palatino Linotype" w:cs="Palatino Linotype"/>
          <w:color w:val="000000"/>
        </w:rPr>
        <w:t xml:space="preserve">. </w:t>
      </w:r>
      <w:r w:rsidRPr="00B4323C">
        <w:rPr>
          <w:rFonts w:ascii="Palatino Linotype" w:eastAsia="Palatino Linotype" w:hAnsi="Palatino Linotype" w:cs="Palatino Linotype"/>
          <w:b/>
          <w:color w:val="000000"/>
        </w:rPr>
        <w:t>Notifíquese</w:t>
      </w:r>
      <w:r w:rsidRPr="00B4323C">
        <w:rPr>
          <w:rFonts w:ascii="Palatino Linotype" w:eastAsia="Palatino Linotype" w:hAnsi="Palatino Linotype" w:cs="Palatino Linotype"/>
          <w:color w:val="000000"/>
        </w:rPr>
        <w:t xml:space="preserve"> a </w:t>
      </w:r>
      <w:r w:rsidRPr="00B4323C">
        <w:rPr>
          <w:rFonts w:ascii="Palatino Linotype" w:eastAsia="Palatino Linotype" w:hAnsi="Palatino Linotype" w:cs="Palatino Linotype"/>
          <w:b/>
          <w:color w:val="000000"/>
        </w:rPr>
        <w:t>EL RECURRENTE</w:t>
      </w:r>
      <w:r w:rsidRPr="00B4323C">
        <w:rPr>
          <w:rFonts w:ascii="Palatino Linotype" w:eastAsia="Palatino Linotype" w:hAnsi="Palatino Linotype" w:cs="Palatino Linotype"/>
          <w:color w:val="000000"/>
        </w:rPr>
        <w:t xml:space="preserve"> la presente Resolución vía </w:t>
      </w:r>
      <w:r w:rsidRPr="00B4323C">
        <w:rPr>
          <w:rFonts w:ascii="Palatino Linotype" w:eastAsia="Palatino Linotype" w:hAnsi="Palatino Linotype" w:cs="Palatino Linotype"/>
          <w:b/>
          <w:color w:val="000000"/>
        </w:rPr>
        <w:t>SAIMEX.</w:t>
      </w:r>
    </w:p>
    <w:p w:rsidR="003133F1" w:rsidRPr="00B4323C" w:rsidRDefault="003133F1">
      <w:pPr>
        <w:widowControl w:val="0"/>
        <w:tabs>
          <w:tab w:val="left" w:pos="1701"/>
        </w:tabs>
        <w:spacing w:line="360" w:lineRule="auto"/>
        <w:ind w:right="-787"/>
        <w:jc w:val="both"/>
        <w:rPr>
          <w:rFonts w:ascii="Palatino Linotype" w:eastAsia="Palatino Linotype" w:hAnsi="Palatino Linotype" w:cs="Palatino Linotype"/>
          <w:b/>
          <w:color w:val="000000"/>
        </w:rPr>
      </w:pPr>
    </w:p>
    <w:p w:rsidR="003133F1" w:rsidRPr="00B4323C" w:rsidRDefault="00727C65">
      <w:pPr>
        <w:shd w:val="clear" w:color="auto" w:fill="FFFFFF"/>
        <w:spacing w:line="360" w:lineRule="auto"/>
        <w:ind w:right="-787"/>
        <w:jc w:val="both"/>
        <w:rPr>
          <w:rFonts w:ascii="Palatino Linotype" w:eastAsia="Palatino Linotype" w:hAnsi="Palatino Linotype" w:cs="Palatino Linotype"/>
          <w:color w:val="000000"/>
        </w:rPr>
      </w:pPr>
      <w:r w:rsidRPr="00B4323C">
        <w:rPr>
          <w:rFonts w:ascii="Palatino Linotype" w:eastAsia="Palatino Linotype" w:hAnsi="Palatino Linotype" w:cs="Palatino Linotype"/>
          <w:b/>
          <w:color w:val="000000"/>
        </w:rPr>
        <w:t>CUARTO.</w:t>
      </w:r>
      <w:r w:rsidRPr="00B4323C">
        <w:rPr>
          <w:rFonts w:ascii="Palatino Linotype" w:eastAsia="Palatino Linotype" w:hAnsi="Palatino Linotype" w:cs="Palatino Linotype"/>
          <w:color w:val="000000"/>
        </w:rPr>
        <w:t xml:space="preserve"> Se hace del conocimiento de </w:t>
      </w:r>
      <w:r w:rsidRPr="00B4323C">
        <w:rPr>
          <w:rFonts w:ascii="Palatino Linotype" w:eastAsia="Palatino Linotype" w:hAnsi="Palatino Linotype" w:cs="Palatino Linotype"/>
          <w:b/>
          <w:color w:val="000000"/>
        </w:rPr>
        <w:t>EL RECURRENTE</w:t>
      </w:r>
      <w:r w:rsidRPr="00B4323C">
        <w:rPr>
          <w:rFonts w:ascii="Palatino Linotype" w:eastAsia="Palatino Linotype" w:hAnsi="Palatino Linotype" w:cs="Palatino Linotype"/>
          <w:color w:val="000000"/>
        </w:rPr>
        <w:t xml:space="preserve"> que, de conformidad con lo establecido en el artículo 196 de la Ley de Transparencia y Acceso a la Información Pública </w:t>
      </w:r>
      <w:r w:rsidRPr="00B4323C">
        <w:rPr>
          <w:rFonts w:ascii="Palatino Linotype" w:eastAsia="Palatino Linotype" w:hAnsi="Palatino Linotype" w:cs="Palatino Linotype"/>
          <w:color w:val="000000"/>
        </w:rPr>
        <w:lastRenderedPageBreak/>
        <w:t xml:space="preserve">del Estado de México y Municipios, en caso de que considere que la resolución le cause algún perjuicio podrá </w:t>
      </w:r>
      <w:r w:rsidRPr="00B4323C">
        <w:rPr>
          <w:rFonts w:ascii="Palatino Linotype" w:eastAsia="Palatino Linotype" w:hAnsi="Palatino Linotype" w:cs="Palatino Linotype"/>
        </w:rPr>
        <w:t>impugnar vía</w:t>
      </w:r>
      <w:r w:rsidRPr="00B4323C">
        <w:rPr>
          <w:rFonts w:ascii="Palatino Linotype" w:eastAsia="Palatino Linotype" w:hAnsi="Palatino Linotype" w:cs="Palatino Linotype"/>
          <w:color w:val="000000"/>
        </w:rPr>
        <w:t xml:space="preserve"> juicio de amparo en los términos de las leyes aplicables.</w:t>
      </w:r>
    </w:p>
    <w:p w:rsidR="003133F1" w:rsidRPr="00B4323C" w:rsidRDefault="003133F1">
      <w:pPr>
        <w:shd w:val="clear" w:color="auto" w:fill="FFFFFF"/>
        <w:spacing w:line="360" w:lineRule="auto"/>
        <w:ind w:right="-787"/>
        <w:jc w:val="both"/>
        <w:rPr>
          <w:rFonts w:ascii="Palatino Linotype" w:eastAsia="Palatino Linotype" w:hAnsi="Palatino Linotype" w:cs="Palatino Linotype"/>
          <w:color w:val="000000"/>
        </w:rPr>
      </w:pPr>
      <w:bookmarkStart w:id="10" w:name="_heading=h.2s8eyo1" w:colFirst="0" w:colLast="0"/>
      <w:bookmarkEnd w:id="10"/>
    </w:p>
    <w:p w:rsidR="00FF7681" w:rsidRPr="003C7186" w:rsidRDefault="00FF7681" w:rsidP="00FF7681">
      <w:pPr>
        <w:spacing w:line="360" w:lineRule="auto"/>
        <w:ind w:left="-142" w:right="-660" w:firstLine="1"/>
        <w:jc w:val="both"/>
        <w:rPr>
          <w:rFonts w:ascii="Palatino Linotype" w:hAnsi="Palatino Linotype"/>
        </w:rPr>
      </w:pPr>
      <w:r w:rsidRPr="00B4323C">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CUARTA SESIÓN ORDINARIA CELEBRADA EL SEIS (06) DE FEBRERO DE DOS MIL VEINTICINCO, ANTE EL SECRETARIO TÉCNICO DEL PLENO ALEXIS TAPIA RAMÍREZ.</w:t>
      </w:r>
      <w:r w:rsidRPr="003C7186">
        <w:rPr>
          <w:rFonts w:ascii="Palatino Linotype" w:hAnsi="Palatino Linotype"/>
        </w:rPr>
        <w:t xml:space="preserve"> </w:t>
      </w:r>
    </w:p>
    <w:p w:rsidR="003133F1" w:rsidRDefault="003133F1" w:rsidP="00FF7681">
      <w:pPr>
        <w:spacing w:line="360" w:lineRule="auto"/>
        <w:ind w:right="-660"/>
        <w:jc w:val="both"/>
        <w:rPr>
          <w:rFonts w:ascii="Palatino Linotype" w:eastAsia="Palatino Linotype" w:hAnsi="Palatino Linotype" w:cs="Palatino Linotype"/>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jc w:val="both"/>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p w:rsidR="003133F1" w:rsidRDefault="00727C65">
      <w:pPr>
        <w:tabs>
          <w:tab w:val="left" w:pos="3374"/>
        </w:tabs>
        <w:spacing w:line="360" w:lineRule="auto"/>
        <w:ind w:right="-787"/>
        <w:rPr>
          <w:rFonts w:ascii="Palatino Linotype" w:eastAsia="Palatino Linotype" w:hAnsi="Palatino Linotype" w:cs="Palatino Linotype"/>
          <w:color w:val="000000"/>
        </w:rPr>
      </w:pPr>
      <w:r>
        <w:rPr>
          <w:rFonts w:ascii="Palatino Linotype" w:eastAsia="Palatino Linotype" w:hAnsi="Palatino Linotype" w:cs="Palatino Linotype"/>
          <w:color w:val="000000"/>
        </w:rPr>
        <w:tab/>
      </w:r>
    </w:p>
    <w:p w:rsidR="003133F1" w:rsidRDefault="003133F1">
      <w:pPr>
        <w:tabs>
          <w:tab w:val="left" w:pos="3374"/>
        </w:tabs>
        <w:spacing w:line="360" w:lineRule="auto"/>
        <w:ind w:right="-787"/>
        <w:rPr>
          <w:rFonts w:ascii="Palatino Linotype" w:eastAsia="Palatino Linotype" w:hAnsi="Palatino Linotype" w:cs="Palatino Linotype"/>
          <w:color w:val="000000"/>
        </w:rPr>
      </w:pPr>
    </w:p>
    <w:p w:rsidR="003133F1" w:rsidRDefault="003133F1">
      <w:pPr>
        <w:tabs>
          <w:tab w:val="left" w:pos="3374"/>
        </w:tabs>
        <w:spacing w:line="360" w:lineRule="auto"/>
        <w:ind w:right="-787"/>
        <w:rPr>
          <w:rFonts w:ascii="Palatino Linotype" w:eastAsia="Palatino Linotype" w:hAnsi="Palatino Linotype" w:cs="Palatino Linotype"/>
          <w:color w:val="000000"/>
        </w:rPr>
      </w:pPr>
    </w:p>
    <w:p w:rsidR="003133F1" w:rsidRDefault="003133F1">
      <w:pPr>
        <w:tabs>
          <w:tab w:val="left" w:pos="3374"/>
        </w:tabs>
        <w:spacing w:line="360" w:lineRule="auto"/>
        <w:ind w:right="-787"/>
        <w:rPr>
          <w:rFonts w:ascii="Palatino Linotype" w:eastAsia="Palatino Linotype" w:hAnsi="Palatino Linotype" w:cs="Palatino Linotype"/>
          <w:color w:val="000000"/>
        </w:rPr>
      </w:pPr>
    </w:p>
    <w:p w:rsidR="003133F1" w:rsidRDefault="003133F1">
      <w:pPr>
        <w:tabs>
          <w:tab w:val="left" w:pos="3374"/>
        </w:tabs>
        <w:spacing w:line="360" w:lineRule="auto"/>
        <w:ind w:right="-787"/>
        <w:rPr>
          <w:rFonts w:ascii="Palatino Linotype" w:eastAsia="Palatino Linotype" w:hAnsi="Palatino Linotype" w:cs="Palatino Linotype"/>
          <w:color w:val="000000"/>
        </w:rPr>
      </w:pPr>
    </w:p>
    <w:p w:rsidR="003133F1" w:rsidRDefault="003133F1">
      <w:pPr>
        <w:tabs>
          <w:tab w:val="left" w:pos="3374"/>
        </w:tabs>
        <w:spacing w:line="360" w:lineRule="auto"/>
        <w:ind w:right="-787"/>
        <w:rPr>
          <w:rFonts w:ascii="Palatino Linotype" w:eastAsia="Palatino Linotype" w:hAnsi="Palatino Linotype" w:cs="Palatino Linotype"/>
          <w:color w:val="000000"/>
        </w:rPr>
      </w:pPr>
    </w:p>
    <w:p w:rsidR="003133F1" w:rsidRDefault="003133F1">
      <w:pPr>
        <w:spacing w:line="360" w:lineRule="auto"/>
        <w:ind w:right="-787"/>
        <w:rPr>
          <w:rFonts w:ascii="Palatino Linotype" w:eastAsia="Palatino Linotype" w:hAnsi="Palatino Linotype" w:cs="Palatino Linotype"/>
          <w:color w:val="000000"/>
        </w:rPr>
      </w:pPr>
    </w:p>
    <w:sectPr w:rsidR="003133F1">
      <w:headerReference w:type="even" r:id="rId8"/>
      <w:headerReference w:type="default" r:id="rId9"/>
      <w:footerReference w:type="default" r:id="rId10"/>
      <w:headerReference w:type="first" r:id="rId11"/>
      <w:footerReference w:type="first" r:id="rId12"/>
      <w:pgSz w:w="12240" w:h="15840"/>
      <w:pgMar w:top="2268" w:right="1701" w:bottom="1702"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1993" w:rsidRDefault="00141993">
      <w:r>
        <w:separator/>
      </w:r>
    </w:p>
  </w:endnote>
  <w:endnote w:type="continuationSeparator" w:id="0">
    <w:p w:rsidR="00141993" w:rsidRDefault="00141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00"/>
    <w:family w:val="roman"/>
    <w:pitch w:val="variable"/>
    <w:sig w:usb0="E0000287" w:usb1="40000013" w:usb2="00000000" w:usb3="00000000" w:csb0="0000019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3F1" w:rsidRDefault="00727C65">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1011B3">
      <w:rPr>
        <w:rFonts w:ascii="Palatino Linotype" w:eastAsia="Palatino Linotype" w:hAnsi="Palatino Linotype" w:cs="Palatino Linotype"/>
        <w:noProof/>
        <w:color w:val="000000"/>
        <w:sz w:val="20"/>
        <w:szCs w:val="20"/>
      </w:rPr>
      <w:t>18</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1011B3">
      <w:rPr>
        <w:rFonts w:ascii="Palatino Linotype" w:eastAsia="Palatino Linotype" w:hAnsi="Palatino Linotype" w:cs="Palatino Linotype"/>
        <w:noProof/>
        <w:color w:val="000000"/>
        <w:sz w:val="20"/>
        <w:szCs w:val="20"/>
      </w:rPr>
      <w:t>18</w:t>
    </w:r>
    <w:r>
      <w:rPr>
        <w:rFonts w:ascii="Palatino Linotype" w:eastAsia="Palatino Linotype" w:hAnsi="Palatino Linotype" w:cs="Palatino Linotype"/>
        <w:color w:val="000000"/>
        <w:sz w:val="20"/>
        <w:szCs w:val="20"/>
      </w:rPr>
      <w:fldChar w:fldCharType="end"/>
    </w:r>
  </w:p>
  <w:p w:rsidR="003133F1" w:rsidRDefault="003133F1">
    <w:pPr>
      <w:pBdr>
        <w:top w:val="nil"/>
        <w:left w:val="nil"/>
        <w:bottom w:val="nil"/>
        <w:right w:val="nil"/>
        <w:between w:val="nil"/>
      </w:pBdr>
      <w:tabs>
        <w:tab w:val="center" w:pos="4419"/>
        <w:tab w:val="right" w:pos="8838"/>
      </w:tabs>
      <w:rPr>
        <w:rFonts w:eastAsia="Calibri"/>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3F1" w:rsidRDefault="00727C65">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1011B3">
      <w:rPr>
        <w:rFonts w:ascii="Palatino Linotype" w:eastAsia="Palatino Linotype" w:hAnsi="Palatino Linotype" w:cs="Palatino Linotype"/>
        <w:noProof/>
        <w:color w:val="000000"/>
        <w:sz w:val="20"/>
        <w:szCs w:val="20"/>
      </w:rPr>
      <w:t>1</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1011B3">
      <w:rPr>
        <w:rFonts w:ascii="Palatino Linotype" w:eastAsia="Palatino Linotype" w:hAnsi="Palatino Linotype" w:cs="Palatino Linotype"/>
        <w:noProof/>
        <w:color w:val="000000"/>
        <w:sz w:val="20"/>
        <w:szCs w:val="20"/>
      </w:rPr>
      <w:t>18</w:t>
    </w:r>
    <w:r>
      <w:rPr>
        <w:rFonts w:ascii="Palatino Linotype" w:eastAsia="Palatino Linotype" w:hAnsi="Palatino Linotype" w:cs="Palatino Linotype"/>
        <w:color w:val="000000"/>
        <w:sz w:val="20"/>
        <w:szCs w:val="20"/>
      </w:rPr>
      <w:fldChar w:fldCharType="end"/>
    </w:r>
  </w:p>
  <w:p w:rsidR="003133F1" w:rsidRDefault="003133F1">
    <w:pPr>
      <w:pBdr>
        <w:top w:val="nil"/>
        <w:left w:val="nil"/>
        <w:bottom w:val="nil"/>
        <w:right w:val="nil"/>
        <w:between w:val="nil"/>
      </w:pBdr>
      <w:tabs>
        <w:tab w:val="center" w:pos="4419"/>
        <w:tab w:val="right" w:pos="8838"/>
      </w:tabs>
      <w:rPr>
        <w:rFonts w:eastAsia="Calibri"/>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1993" w:rsidRDefault="00141993">
      <w:r>
        <w:separator/>
      </w:r>
    </w:p>
  </w:footnote>
  <w:footnote w:type="continuationSeparator" w:id="0">
    <w:p w:rsidR="00141993" w:rsidRDefault="001419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3F1" w:rsidRDefault="00141993">
    <w:pPr>
      <w:pBdr>
        <w:top w:val="nil"/>
        <w:left w:val="nil"/>
        <w:bottom w:val="nil"/>
        <w:right w:val="nil"/>
        <w:between w:val="nil"/>
      </w:pBdr>
      <w:tabs>
        <w:tab w:val="center" w:pos="4419"/>
        <w:tab w:val="right" w:pos="8838"/>
      </w:tabs>
      <w:rPr>
        <w:rFonts w:eastAsia="Calibri"/>
        <w:color w:val="000000"/>
      </w:rPr>
    </w:pPr>
    <w:r>
      <w:rPr>
        <w:rFonts w:eastAsia="Calibri"/>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609.4pt;height:793.75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
      <w:tblW w:w="7275" w:type="dxa"/>
      <w:tblInd w:w="2694" w:type="dxa"/>
      <w:tblLayout w:type="fixed"/>
      <w:tblLook w:val="0400" w:firstRow="0" w:lastRow="0" w:firstColumn="0" w:lastColumn="0" w:noHBand="0" w:noVBand="1"/>
    </w:tblPr>
    <w:tblGrid>
      <w:gridCol w:w="2985"/>
      <w:gridCol w:w="4290"/>
    </w:tblGrid>
    <w:tr w:rsidR="003133F1">
      <w:trPr>
        <w:trHeight w:val="227"/>
      </w:trPr>
      <w:tc>
        <w:tcPr>
          <w:tcW w:w="2985" w:type="dxa"/>
          <w:vAlign w:val="center"/>
        </w:tcPr>
        <w:p w:rsidR="003133F1" w:rsidRDefault="00727C65">
          <w:pPr>
            <w:ind w:right="34"/>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290" w:type="dxa"/>
          <w:vAlign w:val="center"/>
        </w:tcPr>
        <w:p w:rsidR="003133F1" w:rsidRDefault="00727C65">
          <w:pPr>
            <w:tabs>
              <w:tab w:val="center" w:pos="4419"/>
              <w:tab w:val="right" w:pos="8838"/>
            </w:tabs>
            <w:ind w:right="-116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sz w:val="22"/>
              <w:szCs w:val="22"/>
            </w:rPr>
            <w:t>04128/INFOEM/IP/RR/2024 y Acumulado</w:t>
          </w:r>
        </w:p>
      </w:tc>
    </w:tr>
    <w:tr w:rsidR="003133F1">
      <w:trPr>
        <w:trHeight w:val="242"/>
      </w:trPr>
      <w:tc>
        <w:tcPr>
          <w:tcW w:w="2985" w:type="dxa"/>
          <w:vAlign w:val="center"/>
        </w:tcPr>
        <w:p w:rsidR="003133F1" w:rsidRDefault="00727C65">
          <w:pPr>
            <w:ind w:right="34"/>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290" w:type="dxa"/>
          <w:vAlign w:val="center"/>
        </w:tcPr>
        <w:p w:rsidR="003133F1" w:rsidRDefault="00727C65">
          <w:pPr>
            <w:pBdr>
              <w:top w:val="nil"/>
              <w:left w:val="nil"/>
              <w:bottom w:val="nil"/>
              <w:right w:val="nil"/>
              <w:between w:val="nil"/>
            </w:pBdr>
            <w:tabs>
              <w:tab w:val="center" w:pos="4419"/>
              <w:tab w:val="right" w:pos="8838"/>
            </w:tabs>
            <w:ind w:right="-1160"/>
            <w:jc w:val="both"/>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Ayuntamiento de Temamatla</w:t>
          </w:r>
        </w:p>
      </w:tc>
    </w:tr>
    <w:tr w:rsidR="003133F1">
      <w:trPr>
        <w:trHeight w:val="342"/>
      </w:trPr>
      <w:tc>
        <w:tcPr>
          <w:tcW w:w="2985" w:type="dxa"/>
          <w:vAlign w:val="center"/>
        </w:tcPr>
        <w:p w:rsidR="003133F1" w:rsidRDefault="00727C65">
          <w:pPr>
            <w:ind w:right="34"/>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290" w:type="dxa"/>
          <w:vAlign w:val="center"/>
        </w:tcPr>
        <w:p w:rsidR="003133F1" w:rsidRDefault="00727C65">
          <w:pPr>
            <w:pBdr>
              <w:top w:val="nil"/>
              <w:left w:val="nil"/>
              <w:bottom w:val="nil"/>
              <w:right w:val="nil"/>
              <w:between w:val="nil"/>
            </w:pBdr>
            <w:tabs>
              <w:tab w:val="center" w:pos="4419"/>
              <w:tab w:val="right" w:pos="8838"/>
            </w:tabs>
            <w:ind w:right="-1160"/>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rsidR="003133F1" w:rsidRDefault="00141993">
    <w:pPr>
      <w:pBdr>
        <w:top w:val="nil"/>
        <w:left w:val="nil"/>
        <w:bottom w:val="nil"/>
        <w:right w:val="nil"/>
        <w:between w:val="nil"/>
      </w:pBdr>
      <w:tabs>
        <w:tab w:val="center" w:pos="4419"/>
        <w:tab w:val="right" w:pos="8838"/>
        <w:tab w:val="left" w:pos="6005"/>
      </w:tabs>
      <w:rPr>
        <w:rFonts w:eastAsia="Calibri"/>
        <w:color w:val="000000"/>
        <w:sz w:val="14"/>
        <w:szCs w:val="14"/>
      </w:rPr>
    </w:pPr>
    <w:r>
      <w:rPr>
        <w:rFonts w:eastAsia="Calibri"/>
        <w:color w:val="000000"/>
        <w:sz w:val="14"/>
        <w:szCs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alt="" style="position:absolute;margin-left:-71.4pt;margin-top:-123.7pt;width:609.4pt;height:793.75pt;z-index:-251659776;mso-position-horizontal-relative:margin;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0"/>
      <w:tblW w:w="8080" w:type="dxa"/>
      <w:tblInd w:w="1985" w:type="dxa"/>
      <w:tblLayout w:type="fixed"/>
      <w:tblLook w:val="0400" w:firstRow="0" w:lastRow="0" w:firstColumn="0" w:lastColumn="0" w:noHBand="0" w:noVBand="1"/>
    </w:tblPr>
    <w:tblGrid>
      <w:gridCol w:w="2970"/>
      <w:gridCol w:w="5110"/>
    </w:tblGrid>
    <w:tr w:rsidR="003133F1" w:rsidTr="00B75061">
      <w:trPr>
        <w:trHeight w:val="227"/>
      </w:trPr>
      <w:tc>
        <w:tcPr>
          <w:tcW w:w="2970" w:type="dxa"/>
          <w:vAlign w:val="center"/>
        </w:tcPr>
        <w:p w:rsidR="003133F1" w:rsidRDefault="00727C65">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5110" w:type="dxa"/>
          <w:vAlign w:val="center"/>
        </w:tcPr>
        <w:p w:rsidR="003133F1" w:rsidRDefault="00727C65">
          <w:pPr>
            <w:pBdr>
              <w:top w:val="nil"/>
              <w:left w:val="nil"/>
              <w:bottom w:val="nil"/>
              <w:right w:val="nil"/>
              <w:between w:val="nil"/>
            </w:pBdr>
            <w:tabs>
              <w:tab w:val="center" w:pos="4944"/>
              <w:tab w:val="right" w:pos="8838"/>
            </w:tabs>
            <w:ind w:right="-1139"/>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041</w:t>
          </w:r>
          <w:r>
            <w:rPr>
              <w:rFonts w:ascii="Palatino Linotype" w:eastAsia="Palatino Linotype" w:hAnsi="Palatino Linotype" w:cs="Palatino Linotype"/>
              <w:sz w:val="22"/>
              <w:szCs w:val="22"/>
            </w:rPr>
            <w:t>28</w:t>
          </w:r>
          <w:r>
            <w:rPr>
              <w:rFonts w:ascii="Palatino Linotype" w:eastAsia="Palatino Linotype" w:hAnsi="Palatino Linotype" w:cs="Palatino Linotype"/>
              <w:color w:val="000000"/>
              <w:sz w:val="22"/>
              <w:szCs w:val="22"/>
            </w:rPr>
            <w:t xml:space="preserve">/INFOEM/IP/RR/2024 y </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cumulado</w:t>
          </w:r>
        </w:p>
      </w:tc>
    </w:tr>
    <w:tr w:rsidR="003133F1" w:rsidTr="00B75061">
      <w:trPr>
        <w:trHeight w:val="242"/>
      </w:trPr>
      <w:tc>
        <w:tcPr>
          <w:tcW w:w="2970" w:type="dxa"/>
          <w:vAlign w:val="center"/>
        </w:tcPr>
        <w:p w:rsidR="003133F1" w:rsidRDefault="00727C65">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5110" w:type="dxa"/>
        </w:tcPr>
        <w:p w:rsidR="003133F1" w:rsidRDefault="001011B3">
          <w:pPr>
            <w:pBdr>
              <w:top w:val="nil"/>
              <w:left w:val="nil"/>
              <w:bottom w:val="nil"/>
              <w:right w:val="nil"/>
              <w:between w:val="nil"/>
            </w:pBdr>
            <w:tabs>
              <w:tab w:val="center" w:pos="4944"/>
              <w:tab w:val="right" w:pos="8838"/>
              <w:tab w:val="left" w:pos="521"/>
            </w:tabs>
            <w:ind w:right="-1139"/>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XXXXXXXXXXXXX</w:t>
          </w:r>
        </w:p>
      </w:tc>
    </w:tr>
    <w:tr w:rsidR="003133F1" w:rsidTr="00B75061">
      <w:trPr>
        <w:trHeight w:val="342"/>
      </w:trPr>
      <w:tc>
        <w:tcPr>
          <w:tcW w:w="2970" w:type="dxa"/>
          <w:vAlign w:val="center"/>
        </w:tcPr>
        <w:p w:rsidR="003133F1" w:rsidRDefault="00727C65">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5110" w:type="dxa"/>
          <w:vAlign w:val="center"/>
        </w:tcPr>
        <w:p w:rsidR="003133F1" w:rsidRDefault="00727C65">
          <w:pPr>
            <w:pBdr>
              <w:top w:val="nil"/>
              <w:left w:val="nil"/>
              <w:bottom w:val="nil"/>
              <w:right w:val="nil"/>
              <w:between w:val="nil"/>
            </w:pBdr>
            <w:tabs>
              <w:tab w:val="center" w:pos="4944"/>
              <w:tab w:val="right" w:pos="8838"/>
            </w:tabs>
            <w:ind w:right="-1139"/>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Ayuntamiento de Temamatla</w:t>
          </w:r>
        </w:p>
      </w:tc>
    </w:tr>
    <w:tr w:rsidR="003133F1" w:rsidTr="00B75061">
      <w:trPr>
        <w:trHeight w:val="342"/>
      </w:trPr>
      <w:tc>
        <w:tcPr>
          <w:tcW w:w="2970" w:type="dxa"/>
          <w:vAlign w:val="center"/>
        </w:tcPr>
        <w:p w:rsidR="003133F1" w:rsidRDefault="00727C65">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5110" w:type="dxa"/>
          <w:vAlign w:val="center"/>
        </w:tcPr>
        <w:p w:rsidR="003133F1" w:rsidRDefault="00727C65">
          <w:pPr>
            <w:pBdr>
              <w:top w:val="nil"/>
              <w:left w:val="nil"/>
              <w:bottom w:val="nil"/>
              <w:right w:val="nil"/>
              <w:between w:val="nil"/>
            </w:pBdr>
            <w:tabs>
              <w:tab w:val="center" w:pos="4944"/>
              <w:tab w:val="right" w:pos="8838"/>
            </w:tabs>
            <w:ind w:right="-1139"/>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rsidR="003133F1" w:rsidRDefault="00141993">
    <w:pPr>
      <w:pBdr>
        <w:top w:val="nil"/>
        <w:left w:val="nil"/>
        <w:bottom w:val="nil"/>
        <w:right w:val="nil"/>
        <w:between w:val="nil"/>
      </w:pBdr>
      <w:tabs>
        <w:tab w:val="center" w:pos="4419"/>
        <w:tab w:val="right" w:pos="8838"/>
      </w:tabs>
      <w:rPr>
        <w:rFonts w:eastAsia="Calibri"/>
        <w:color w:val="000000"/>
        <w:sz w:val="16"/>
        <w:szCs w:val="16"/>
      </w:rPr>
    </w:pPr>
    <w:r>
      <w:rPr>
        <w:sz w:val="14"/>
        <w:szCs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alt="" style="position:absolute;margin-left:-78.75pt;margin-top:-128.55pt;width:609.4pt;height:793.75pt;z-index:-251658752;mso-position-horizontal-relative:margin;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C83576"/>
    <w:multiLevelType w:val="multilevel"/>
    <w:tmpl w:val="446A27EC"/>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213604F"/>
    <w:multiLevelType w:val="multilevel"/>
    <w:tmpl w:val="0E74BC84"/>
    <w:lvl w:ilvl="0">
      <w:start w:val="1"/>
      <w:numFmt w:val="bullet"/>
      <w:lvlText w:val="●"/>
      <w:lvlJc w:val="left"/>
      <w:pPr>
        <w:ind w:left="1724" w:hanging="360"/>
      </w:pPr>
      <w:rPr>
        <w:rFonts w:ascii="Noto Sans Symbols" w:eastAsia="Noto Sans Symbols" w:hAnsi="Noto Sans Symbols" w:cs="Noto Sans Symbols"/>
      </w:rPr>
    </w:lvl>
    <w:lvl w:ilvl="1">
      <w:start w:val="1"/>
      <w:numFmt w:val="bullet"/>
      <w:lvlText w:val="o"/>
      <w:lvlJc w:val="left"/>
      <w:pPr>
        <w:ind w:left="2444" w:hanging="360"/>
      </w:pPr>
      <w:rPr>
        <w:rFonts w:ascii="Courier New" w:eastAsia="Courier New" w:hAnsi="Courier New" w:cs="Courier New"/>
      </w:rPr>
    </w:lvl>
    <w:lvl w:ilvl="2">
      <w:start w:val="1"/>
      <w:numFmt w:val="bullet"/>
      <w:lvlText w:val="▪"/>
      <w:lvlJc w:val="left"/>
      <w:pPr>
        <w:ind w:left="3164" w:hanging="360"/>
      </w:pPr>
      <w:rPr>
        <w:rFonts w:ascii="Noto Sans Symbols" w:eastAsia="Noto Sans Symbols" w:hAnsi="Noto Sans Symbols" w:cs="Noto Sans Symbols"/>
      </w:rPr>
    </w:lvl>
    <w:lvl w:ilvl="3">
      <w:start w:val="1"/>
      <w:numFmt w:val="bullet"/>
      <w:lvlText w:val="●"/>
      <w:lvlJc w:val="left"/>
      <w:pPr>
        <w:ind w:left="3884" w:hanging="360"/>
      </w:pPr>
      <w:rPr>
        <w:rFonts w:ascii="Noto Sans Symbols" w:eastAsia="Noto Sans Symbols" w:hAnsi="Noto Sans Symbols" w:cs="Noto Sans Symbols"/>
      </w:rPr>
    </w:lvl>
    <w:lvl w:ilvl="4">
      <w:start w:val="1"/>
      <w:numFmt w:val="bullet"/>
      <w:lvlText w:val="o"/>
      <w:lvlJc w:val="left"/>
      <w:pPr>
        <w:ind w:left="4604" w:hanging="360"/>
      </w:pPr>
      <w:rPr>
        <w:rFonts w:ascii="Courier New" w:eastAsia="Courier New" w:hAnsi="Courier New" w:cs="Courier New"/>
      </w:rPr>
    </w:lvl>
    <w:lvl w:ilvl="5">
      <w:start w:val="1"/>
      <w:numFmt w:val="bullet"/>
      <w:lvlText w:val="▪"/>
      <w:lvlJc w:val="left"/>
      <w:pPr>
        <w:ind w:left="5324" w:hanging="360"/>
      </w:pPr>
      <w:rPr>
        <w:rFonts w:ascii="Noto Sans Symbols" w:eastAsia="Noto Sans Symbols" w:hAnsi="Noto Sans Symbols" w:cs="Noto Sans Symbols"/>
      </w:rPr>
    </w:lvl>
    <w:lvl w:ilvl="6">
      <w:start w:val="1"/>
      <w:numFmt w:val="bullet"/>
      <w:lvlText w:val="●"/>
      <w:lvlJc w:val="left"/>
      <w:pPr>
        <w:ind w:left="6044" w:hanging="360"/>
      </w:pPr>
      <w:rPr>
        <w:rFonts w:ascii="Noto Sans Symbols" w:eastAsia="Noto Sans Symbols" w:hAnsi="Noto Sans Symbols" w:cs="Noto Sans Symbols"/>
      </w:rPr>
    </w:lvl>
    <w:lvl w:ilvl="7">
      <w:start w:val="1"/>
      <w:numFmt w:val="bullet"/>
      <w:lvlText w:val="o"/>
      <w:lvlJc w:val="left"/>
      <w:pPr>
        <w:ind w:left="6764" w:hanging="360"/>
      </w:pPr>
      <w:rPr>
        <w:rFonts w:ascii="Courier New" w:eastAsia="Courier New" w:hAnsi="Courier New" w:cs="Courier New"/>
      </w:rPr>
    </w:lvl>
    <w:lvl w:ilvl="8">
      <w:start w:val="1"/>
      <w:numFmt w:val="bullet"/>
      <w:lvlText w:val="▪"/>
      <w:lvlJc w:val="left"/>
      <w:pPr>
        <w:ind w:left="7484" w:hanging="360"/>
      </w:pPr>
      <w:rPr>
        <w:rFonts w:ascii="Noto Sans Symbols" w:eastAsia="Noto Sans Symbols" w:hAnsi="Noto Sans Symbols" w:cs="Noto Sans Symbols"/>
      </w:rPr>
    </w:lvl>
  </w:abstractNum>
  <w:abstractNum w:abstractNumId="2" w15:restartNumberingAfterBreak="0">
    <w:nsid w:val="48285EE1"/>
    <w:multiLevelType w:val="multilevel"/>
    <w:tmpl w:val="719A8860"/>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abstractNum w:abstractNumId="3" w15:restartNumberingAfterBreak="0">
    <w:nsid w:val="7B443F29"/>
    <w:multiLevelType w:val="multilevel"/>
    <w:tmpl w:val="9432E92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4" w15:restartNumberingAfterBreak="0">
    <w:nsid w:val="7E16687C"/>
    <w:multiLevelType w:val="multilevel"/>
    <w:tmpl w:val="6520005C"/>
    <w:lvl w:ilvl="0">
      <w:start w:val="1"/>
      <w:numFmt w:val="upperRoman"/>
      <w:lvlText w:val="%1."/>
      <w:lvlJc w:val="left"/>
      <w:pPr>
        <w:ind w:left="1571" w:hanging="720"/>
      </w:pPr>
      <w:rPr>
        <w:b/>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3F1"/>
    <w:rsid w:val="00021DFC"/>
    <w:rsid w:val="001011B3"/>
    <w:rsid w:val="00141993"/>
    <w:rsid w:val="003133F1"/>
    <w:rsid w:val="00727C65"/>
    <w:rsid w:val="00B4323C"/>
    <w:rsid w:val="00B75061"/>
    <w:rsid w:val="00E27643"/>
    <w:rsid w:val="00FC4973"/>
    <w:rsid w:val="00FF768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EAA032AC-D799-412C-8DF0-EDA341E32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s-ES_tradnl"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616"/>
    <w:rPr>
      <w:rFonts w:eastAsiaTheme="minorEastAsia"/>
      <w:lang w:eastAsia="es-ES"/>
    </w:rPr>
  </w:style>
  <w:style w:type="paragraph" w:styleId="Ttulo1">
    <w:name w:val="heading 1"/>
    <w:basedOn w:val="Normal"/>
    <w:next w:val="Normal"/>
    <w:link w:val="Ttulo1Car"/>
    <w:uiPriority w:val="9"/>
    <w:qFormat/>
    <w:rsid w:val="0094261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4261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942616"/>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uiPriority w:val="9"/>
    <w:rsid w:val="00942616"/>
    <w:rPr>
      <w:rFonts w:asciiTheme="majorHAnsi" w:eastAsiaTheme="majorEastAsia" w:hAnsiTheme="majorHAnsi" w:cstheme="majorBidi"/>
      <w:color w:val="2F5496" w:themeColor="accent1" w:themeShade="BF"/>
      <w:sz w:val="26"/>
      <w:szCs w:val="26"/>
      <w:lang w:val="es-ES_tradnl" w:eastAsia="es-ES"/>
    </w:rPr>
  </w:style>
  <w:style w:type="paragraph" w:styleId="Encabezado">
    <w:name w:val="header"/>
    <w:basedOn w:val="Normal"/>
    <w:link w:val="EncabezadoCar"/>
    <w:uiPriority w:val="99"/>
    <w:unhideWhenUsed/>
    <w:rsid w:val="00942616"/>
    <w:pPr>
      <w:tabs>
        <w:tab w:val="center" w:pos="4419"/>
        <w:tab w:val="right" w:pos="8838"/>
      </w:tabs>
    </w:pPr>
  </w:style>
  <w:style w:type="character" w:customStyle="1" w:styleId="EncabezadoCar">
    <w:name w:val="Encabezado Car"/>
    <w:basedOn w:val="Fuentedeprrafopredeter"/>
    <w:link w:val="Encabezado"/>
    <w:uiPriority w:val="99"/>
    <w:rsid w:val="00942616"/>
    <w:rPr>
      <w:rFonts w:eastAsiaTheme="minorEastAsia"/>
      <w:sz w:val="24"/>
      <w:szCs w:val="24"/>
      <w:lang w:val="es-ES_tradnl" w:eastAsia="es-ES"/>
    </w:rPr>
  </w:style>
  <w:style w:type="paragraph" w:styleId="Piedepgina">
    <w:name w:val="footer"/>
    <w:basedOn w:val="Normal"/>
    <w:link w:val="PiedepginaCar"/>
    <w:uiPriority w:val="99"/>
    <w:unhideWhenUsed/>
    <w:rsid w:val="00942616"/>
    <w:pPr>
      <w:tabs>
        <w:tab w:val="center" w:pos="4419"/>
        <w:tab w:val="right" w:pos="8838"/>
      </w:tabs>
    </w:pPr>
  </w:style>
  <w:style w:type="character" w:customStyle="1" w:styleId="PiedepginaCar">
    <w:name w:val="Pie de página Car"/>
    <w:basedOn w:val="Fuentedeprrafopredeter"/>
    <w:link w:val="Piedepgina"/>
    <w:uiPriority w:val="99"/>
    <w:rsid w:val="00942616"/>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942616"/>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42616"/>
    <w:rPr>
      <w:rFonts w:eastAsiaTheme="minorHAnsi"/>
      <w:sz w:val="20"/>
      <w:szCs w:val="20"/>
      <w:lang w:val="es-MX" w:eastAsia="en-US"/>
    </w:rPr>
  </w:style>
  <w:style w:type="character" w:customStyle="1" w:styleId="TextonotapieCar1">
    <w:name w:val="Texto nota pie Car1"/>
    <w:basedOn w:val="Fuentedeprrafopredeter"/>
    <w:uiPriority w:val="99"/>
    <w:semiHidden/>
    <w:rsid w:val="00942616"/>
    <w:rPr>
      <w:rFonts w:eastAsiaTheme="minorEastAsia"/>
      <w:sz w:val="20"/>
      <w:szCs w:val="20"/>
      <w:lang w:val="es-ES_tradnl"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42616"/>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942616"/>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42616"/>
    <w:rPr>
      <w:rFonts w:eastAsiaTheme="minorEastAsia"/>
      <w:sz w:val="24"/>
      <w:szCs w:val="24"/>
      <w:lang w:val="es-ES_tradnl" w:eastAsia="es-ES"/>
    </w:rPr>
  </w:style>
  <w:style w:type="table" w:styleId="Tablanormal1">
    <w:name w:val="Plain Table 1"/>
    <w:basedOn w:val="Tablanormal"/>
    <w:uiPriority w:val="41"/>
    <w:rsid w:val="0094261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
    <w:name w:val="Hyperlink"/>
    <w:basedOn w:val="Fuentedeprrafopredeter"/>
    <w:uiPriority w:val="99"/>
    <w:unhideWhenUsed/>
    <w:rsid w:val="004D1B9C"/>
    <w:rPr>
      <w:color w:val="0563C1" w:themeColor="hyperlink"/>
      <w:u w:val="single"/>
    </w:rPr>
  </w:style>
  <w:style w:type="paragraph" w:customStyle="1" w:styleId="Default">
    <w:name w:val="Default"/>
    <w:qFormat/>
    <w:rsid w:val="00853081"/>
    <w:pPr>
      <w:autoSpaceDE w:val="0"/>
      <w:autoSpaceDN w:val="0"/>
      <w:adjustRightInd w:val="0"/>
    </w:pPr>
    <w:rPr>
      <w:rFonts w:ascii="Palatino Linotype" w:hAnsi="Palatino Linotype" w:cs="Palatino Linotype"/>
      <w:color w:val="000000"/>
    </w:rPr>
  </w:style>
  <w:style w:type="table" w:customStyle="1" w:styleId="Tablanormal12">
    <w:name w:val="Tabla normal 12"/>
    <w:basedOn w:val="Tablanormal"/>
    <w:next w:val="Tablanormal1"/>
    <w:uiPriority w:val="41"/>
    <w:rsid w:val="00F00DB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GWVEQXHjZ7m7TMWVSToqmFyP7g==">CgMxLjAyCGguZ2pkZ3hzMgloLjMwajB6bGwyCWguMWZvYjl0ZTIJaC4zMGowemxsMgloLjFmb2I5dGUyCWguM3pueXNoNzIJaC4yZXQ5MnAwMghoLnR5amN3dDIJaC4zZHk2dmttMgloLjF0M2g1c2YyCWguNGQzNG9nODIJaC4yczhleW8xOAByITFLb2paUUVBSGlraE1LZG9mVE1UV3VsQTFDc2dmSVM2MQ==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18</Pages>
  <Words>4023</Words>
  <Characters>22127</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26098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Belen Sanchez Estrada</dc:creator>
  <cp:lastModifiedBy>INFOEM403</cp:lastModifiedBy>
  <cp:revision>6</cp:revision>
  <cp:lastPrinted>2025-02-07T16:22:00Z</cp:lastPrinted>
  <dcterms:created xsi:type="dcterms:W3CDTF">2025-02-04T18:50:00Z</dcterms:created>
  <dcterms:modified xsi:type="dcterms:W3CDTF">2025-03-25T00:08:00Z</dcterms:modified>
</cp:coreProperties>
</file>