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Palatino Linotype" w:cs="Palatino Linotype" w:eastAsia="Palatino Linotype" w:hAnsi="Palatino Linotype"/>
          <w:sz w:val="22"/>
          <w:szCs w:val="22"/>
        </w:rPr>
      </w:pPr>
      <w:bookmarkStart w:colFirst="0" w:colLast="0" w:name="_heading=h.gjdgxs" w:id="0"/>
      <w:bookmarkEnd w:id="0"/>
      <w:r w:rsidDel="00000000" w:rsidR="00000000" w:rsidRPr="00000000">
        <w:rPr>
          <w:rFonts w:ascii="Palatino Linotype" w:cs="Palatino Linotype" w:eastAsia="Palatino Linotype" w:hAnsi="Palatino Linotype"/>
          <w:sz w:val="22"/>
          <w:szCs w:val="22"/>
          <w:rtl w:val="0"/>
        </w:rPr>
        <w:t xml:space="preserve">Resolución del Pleno del Instituto de Transparencia, Acceso a la Información Pública y Protección de Datos Personales del Estado de México y Municipios, con domicilio en Metepec, Estado de México, de fecha veintiocho de mayo de dos mil veinticinco. </w:t>
      </w:r>
    </w:p>
    <w:p w:rsidR="00000000" w:rsidDel="00000000" w:rsidP="00000000" w:rsidRDefault="00000000" w:rsidRPr="00000000" w14:paraId="00000002">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3">
      <w:pPr>
        <w:spacing w:line="360" w:lineRule="auto"/>
        <w:jc w:val="both"/>
        <w:rPr>
          <w:rFonts w:ascii="Palatino Linotype" w:cs="Palatino Linotype" w:eastAsia="Palatino Linotype" w:hAnsi="Palatino Linotype"/>
          <w:sz w:val="22"/>
          <w:szCs w:val="22"/>
        </w:rPr>
      </w:pPr>
      <w:bookmarkStart w:colFirst="0" w:colLast="0" w:name="_heading=h.dp7byiq9vy8v" w:id="1"/>
      <w:bookmarkEnd w:id="1"/>
      <w:r w:rsidDel="00000000" w:rsidR="00000000" w:rsidRPr="00000000">
        <w:rPr>
          <w:rFonts w:ascii="Palatino Linotype" w:cs="Palatino Linotype" w:eastAsia="Palatino Linotype" w:hAnsi="Palatino Linotype"/>
          <w:b w:val="1"/>
          <w:sz w:val="22"/>
          <w:szCs w:val="22"/>
          <w:rtl w:val="0"/>
        </w:rPr>
        <w:t xml:space="preserve">Visto </w:t>
      </w:r>
      <w:r w:rsidDel="00000000" w:rsidR="00000000" w:rsidRPr="00000000">
        <w:rPr>
          <w:rFonts w:ascii="Palatino Linotype" w:cs="Palatino Linotype" w:eastAsia="Palatino Linotype" w:hAnsi="Palatino Linotype"/>
          <w:sz w:val="22"/>
          <w:szCs w:val="22"/>
          <w:rtl w:val="0"/>
        </w:rPr>
        <w:t xml:space="preserve">el expediente relativo a los recursos de revisión </w:t>
      </w:r>
      <w:r w:rsidDel="00000000" w:rsidR="00000000" w:rsidRPr="00000000">
        <w:rPr>
          <w:rFonts w:ascii="Palatino Linotype" w:cs="Palatino Linotype" w:eastAsia="Palatino Linotype" w:hAnsi="Palatino Linotype"/>
          <w:b w:val="1"/>
          <w:sz w:val="22"/>
          <w:szCs w:val="22"/>
          <w:rtl w:val="0"/>
        </w:rPr>
        <w:t xml:space="preserve">05219/INFOEM/IP/RR/2025 y 05220/INFOEM/IP/RR/2025</w:t>
      </w:r>
      <w:r w:rsidDel="00000000" w:rsidR="00000000" w:rsidRPr="00000000">
        <w:rPr>
          <w:rFonts w:ascii="Palatino Linotype" w:cs="Palatino Linotype" w:eastAsia="Palatino Linotype" w:hAnsi="Palatino Linotype"/>
          <w:sz w:val="22"/>
          <w:szCs w:val="22"/>
          <w:rtl w:val="0"/>
        </w:rPr>
        <w:t xml:space="preserve">, interpuesto por </w:t>
      </w:r>
      <w:r w:rsidDel="00000000" w:rsidR="00000000" w:rsidRPr="00000000">
        <w:rPr>
          <w:rFonts w:ascii="Palatino Linotype" w:cs="Palatino Linotype" w:eastAsia="Palatino Linotype" w:hAnsi="Palatino Linotype"/>
          <w:b w:val="1"/>
          <w:sz w:val="21"/>
          <w:szCs w:val="21"/>
          <w:rtl w:val="0"/>
        </w:rPr>
        <w:t xml:space="preserve">XXXXX XXXXXXX XXXXXXXX XXXXXX, </w:t>
      </w:r>
      <w:r w:rsidDel="00000000" w:rsidR="00000000" w:rsidRPr="00000000">
        <w:rPr>
          <w:rFonts w:ascii="Palatino Linotype" w:cs="Palatino Linotype" w:eastAsia="Palatino Linotype" w:hAnsi="Palatino Linotype"/>
          <w:sz w:val="22"/>
          <w:szCs w:val="22"/>
          <w:rtl w:val="0"/>
        </w:rPr>
        <w:t xml:space="preserve">en lo sucesivo la parte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en contra de la falta de respuesta a las solicitudes de acceso a la información con números de folio</w:t>
      </w:r>
      <w:r w:rsidDel="00000000" w:rsidR="00000000" w:rsidRPr="00000000">
        <w:rPr>
          <w:rFonts w:ascii="Verdana" w:cs="Verdana" w:eastAsia="Verdana" w:hAnsi="Verdana"/>
          <w:b w:val="1"/>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00114/TEPOTZOT/IP/2025 y 00113/TEPOTZOT/IP/2025 </w:t>
      </w:r>
      <w:r w:rsidDel="00000000" w:rsidR="00000000" w:rsidRPr="00000000">
        <w:rPr>
          <w:rFonts w:ascii="Palatino Linotype" w:cs="Palatino Linotype" w:eastAsia="Palatino Linotype" w:hAnsi="Palatino Linotype"/>
          <w:sz w:val="22"/>
          <w:szCs w:val="22"/>
          <w:rtl w:val="0"/>
        </w:rPr>
        <w:t xml:space="preserve">por parte del </w:t>
      </w:r>
      <w:r w:rsidDel="00000000" w:rsidR="00000000" w:rsidRPr="00000000">
        <w:rPr>
          <w:rFonts w:ascii="Palatino Linotype" w:cs="Palatino Linotype" w:eastAsia="Palatino Linotype" w:hAnsi="Palatino Linotype"/>
          <w:b w:val="1"/>
          <w:sz w:val="22"/>
          <w:szCs w:val="22"/>
          <w:rtl w:val="0"/>
        </w:rPr>
        <w:t xml:space="preserve">Ayuntamiento de Tepotzotlán,</w:t>
      </w:r>
      <w:r w:rsidDel="00000000" w:rsidR="00000000" w:rsidRPr="00000000">
        <w:rPr>
          <w:rFonts w:ascii="Palatino Linotype" w:cs="Palatino Linotype" w:eastAsia="Palatino Linotype" w:hAnsi="Palatino Linotype"/>
          <w:sz w:val="22"/>
          <w:szCs w:val="22"/>
          <w:rtl w:val="0"/>
        </w:rPr>
        <w:t xml:space="preserve"> en lo sucesivo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se procede a dictar la presente resolución, con base en lo siguiente. </w:t>
      </w:r>
    </w:p>
    <w:p w:rsidR="00000000" w:rsidDel="00000000" w:rsidP="00000000" w:rsidRDefault="00000000" w:rsidRPr="00000000" w14:paraId="0000000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5">
      <w:pPr>
        <w:numPr>
          <w:ilvl w:val="0"/>
          <w:numId w:val="8"/>
        </w:numPr>
        <w:pBdr>
          <w:top w:space="0" w:sz="0" w:val="nil"/>
          <w:left w:space="0" w:sz="0" w:val="nil"/>
          <w:bottom w:space="0" w:sz="0" w:val="nil"/>
          <w:right w:space="0" w:sz="0" w:val="nil"/>
          <w:between w:space="0" w:sz="0" w:val="nil"/>
        </w:pBdr>
        <w:spacing w:line="360" w:lineRule="auto"/>
        <w:ind w:left="1077" w:hanging="720"/>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 N T E C E D E N T E 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left="1077" w:firstLine="0"/>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1. Solicitudes de acceso a la información. </w:t>
      </w:r>
      <w:r w:rsidDel="00000000" w:rsidR="00000000" w:rsidRPr="00000000">
        <w:rPr>
          <w:rFonts w:ascii="Palatino Linotype" w:cs="Palatino Linotype" w:eastAsia="Palatino Linotype" w:hAnsi="Palatino Linotype"/>
          <w:sz w:val="22"/>
          <w:szCs w:val="22"/>
          <w:rtl w:val="0"/>
        </w:rPr>
        <w:t xml:space="preserve">Con fecha </w:t>
      </w:r>
      <w:r w:rsidDel="00000000" w:rsidR="00000000" w:rsidRPr="00000000">
        <w:rPr>
          <w:rFonts w:ascii="Palatino Linotype" w:cs="Palatino Linotype" w:eastAsia="Palatino Linotype" w:hAnsi="Palatino Linotype"/>
          <w:b w:val="1"/>
          <w:sz w:val="22"/>
          <w:szCs w:val="22"/>
          <w:rtl w:val="0"/>
        </w:rPr>
        <w:t xml:space="preserve">veinte de marzo de dos mil veinticinco</w:t>
      </w:r>
      <w:r w:rsidDel="00000000" w:rsidR="00000000" w:rsidRPr="00000000">
        <w:rPr>
          <w:rFonts w:ascii="Palatino Linotype" w:cs="Palatino Linotype" w:eastAsia="Palatino Linotype" w:hAnsi="Palatino Linotype"/>
          <w:sz w:val="22"/>
          <w:szCs w:val="22"/>
          <w:rtl w:val="0"/>
        </w:rPr>
        <w:t xml:space="preserve">, la parte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formuló a través del Sistema de Acceso a la Información Mexiquense, en adelante </w:t>
      </w:r>
      <w:r w:rsidDel="00000000" w:rsidR="00000000" w:rsidRPr="00000000">
        <w:rPr>
          <w:rFonts w:ascii="Palatino Linotype" w:cs="Palatino Linotype" w:eastAsia="Palatino Linotype" w:hAnsi="Palatino Linotype"/>
          <w:b w:val="1"/>
          <w:sz w:val="22"/>
          <w:szCs w:val="22"/>
          <w:rtl w:val="0"/>
        </w:rPr>
        <w:t xml:space="preserve">SAIMEX,</w:t>
      </w:r>
      <w:r w:rsidDel="00000000" w:rsidR="00000000" w:rsidRPr="00000000">
        <w:rPr>
          <w:rFonts w:ascii="Palatino Linotype" w:cs="Palatino Linotype" w:eastAsia="Palatino Linotype" w:hAnsi="Palatino Linotype"/>
          <w:sz w:val="22"/>
          <w:szCs w:val="22"/>
          <w:rtl w:val="0"/>
        </w:rPr>
        <w:t xml:space="preserve"> solicitudes de información al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requiriéndole lo siguiente:</w:t>
      </w:r>
    </w:p>
    <w:p w:rsidR="00000000" w:rsidDel="00000000" w:rsidP="00000000" w:rsidRDefault="00000000" w:rsidRPr="00000000" w14:paraId="0000000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9">
      <w:pPr>
        <w:spacing w:line="276" w:lineRule="auto"/>
        <w:ind w:lef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00114/TEPOTZOT/IP/2025</w:t>
      </w:r>
      <w:r w:rsidDel="00000000" w:rsidR="00000000" w:rsidRPr="00000000">
        <w:rPr>
          <w:rFonts w:ascii="Palatino Linotype" w:cs="Palatino Linotype" w:eastAsia="Palatino Linotype" w:hAnsi="Palatino Linotype"/>
          <w:i w:val="1"/>
          <w:sz w:val="22"/>
          <w:szCs w:val="22"/>
          <w:rtl w:val="0"/>
        </w:rPr>
        <w:t xml:space="preserve">. Contratos celebrados con la empresa o razón social o persona física denominada XXXX XXXXXXXX XXXXXX XXXX XXXXXXXX durante el periodo 2010 - 2025</w:t>
      </w:r>
    </w:p>
    <w:p w:rsidR="00000000" w:rsidDel="00000000" w:rsidP="00000000" w:rsidRDefault="00000000" w:rsidRPr="00000000" w14:paraId="0000000A">
      <w:pPr>
        <w:spacing w:line="276" w:lineRule="auto"/>
        <w:ind w:left="56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B">
      <w:pPr>
        <w:spacing w:line="276" w:lineRule="auto"/>
        <w:ind w:lef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00113/TEPOTZOT/IP/2025. </w:t>
      </w:r>
      <w:r w:rsidDel="00000000" w:rsidR="00000000" w:rsidRPr="00000000">
        <w:rPr>
          <w:rFonts w:ascii="Palatino Linotype" w:cs="Palatino Linotype" w:eastAsia="Palatino Linotype" w:hAnsi="Palatino Linotype"/>
          <w:i w:val="1"/>
          <w:sz w:val="22"/>
          <w:szCs w:val="22"/>
          <w:rtl w:val="0"/>
        </w:rPr>
        <w:t xml:space="preserve">Contratos celebrados con la empresa o razón social GRUPO ETYNIR S.A. DE C.V. durante el periodo 2010 - 2025.</w:t>
      </w:r>
    </w:p>
    <w:p w:rsidR="00000000" w:rsidDel="00000000" w:rsidP="00000000" w:rsidRDefault="00000000" w:rsidRPr="00000000" w14:paraId="0000000C">
      <w:pPr>
        <w:spacing w:line="276" w:lineRule="auto"/>
        <w:ind w:left="56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Modalidad elegida para la entrega de la información: </w:t>
      </w:r>
      <w:r w:rsidDel="00000000" w:rsidR="00000000" w:rsidRPr="00000000">
        <w:rPr>
          <w:rFonts w:ascii="Palatino Linotype" w:cs="Palatino Linotype" w:eastAsia="Palatino Linotype" w:hAnsi="Palatino Linotype"/>
          <w:sz w:val="22"/>
          <w:szCs w:val="22"/>
          <w:rtl w:val="0"/>
        </w:rPr>
        <w:t xml:space="preserve">a través del SAIMEX.</w:t>
      </w:r>
    </w:p>
    <w:p w:rsidR="00000000" w:rsidDel="00000000" w:rsidP="00000000" w:rsidRDefault="00000000" w:rsidRPr="00000000" w14:paraId="0000000E">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F">
      <w:pPr>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2. Respuesta.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fue omiso en proporcionar respuestas. </w:t>
      </w:r>
      <w:r w:rsidDel="00000000" w:rsidR="00000000" w:rsidRPr="00000000">
        <w:rPr>
          <w:rtl w:val="0"/>
        </w:rPr>
      </w:r>
    </w:p>
    <w:p w:rsidR="00000000" w:rsidDel="00000000" w:rsidP="00000000" w:rsidRDefault="00000000" w:rsidRPr="00000000" w14:paraId="0000001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3. Interposición del recurso de revisión. </w:t>
      </w:r>
      <w:r w:rsidDel="00000000" w:rsidR="00000000" w:rsidRPr="00000000">
        <w:rPr>
          <w:rFonts w:ascii="Palatino Linotype" w:cs="Palatino Linotype" w:eastAsia="Palatino Linotype" w:hAnsi="Palatino Linotype"/>
          <w:sz w:val="22"/>
          <w:szCs w:val="22"/>
          <w:rtl w:val="0"/>
        </w:rPr>
        <w:t xml:space="preserve">Inconforme la parte solicitante con la falta de respuestas del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interpuso recursos de revisión a través del SAIMEX en fecha </w:t>
      </w:r>
      <w:r w:rsidDel="00000000" w:rsidR="00000000" w:rsidRPr="00000000">
        <w:rPr>
          <w:rFonts w:ascii="Palatino Linotype" w:cs="Palatino Linotype" w:eastAsia="Palatino Linotype" w:hAnsi="Palatino Linotype"/>
          <w:b w:val="1"/>
          <w:sz w:val="22"/>
          <w:szCs w:val="22"/>
          <w:rtl w:val="0"/>
        </w:rPr>
        <w:t xml:space="preserve">ocho de mayo de dos mil veinticinco</w:t>
      </w:r>
      <w:r w:rsidDel="00000000" w:rsidR="00000000" w:rsidRPr="00000000">
        <w:rPr>
          <w:rFonts w:ascii="Palatino Linotype" w:cs="Palatino Linotype" w:eastAsia="Palatino Linotype" w:hAnsi="Palatino Linotype"/>
          <w:sz w:val="22"/>
          <w:szCs w:val="22"/>
          <w:rtl w:val="0"/>
        </w:rPr>
        <w:t xml:space="preserve">, expresando en ambos lo siguiente:</w:t>
      </w:r>
    </w:p>
    <w:p w:rsidR="00000000" w:rsidDel="00000000" w:rsidP="00000000" w:rsidRDefault="00000000" w:rsidRPr="00000000" w14:paraId="00000012">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927" w:right="616" w:hanging="36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Acto impugnado.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“AUSENCIA DE REPUESTA”</w:t>
      </w:r>
    </w:p>
    <w:p w:rsidR="00000000" w:rsidDel="00000000" w:rsidP="00000000" w:rsidRDefault="00000000" w:rsidRPr="00000000" w14:paraId="00000014">
      <w:pPr>
        <w:spacing w:line="360" w:lineRule="auto"/>
        <w:ind w:left="567" w:right="616"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15">
      <w:pPr>
        <w:spacing w:line="360" w:lineRule="auto"/>
        <w:ind w:left="567" w:right="616"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b) Motivos de inconformidad. </w:t>
      </w:r>
      <w:r w:rsidDel="00000000" w:rsidR="00000000" w:rsidRPr="00000000">
        <w:rPr>
          <w:rFonts w:ascii="Palatino Linotype" w:cs="Palatino Linotype" w:eastAsia="Palatino Linotype" w:hAnsi="Palatino Linotype"/>
          <w:i w:val="1"/>
          <w:sz w:val="22"/>
          <w:szCs w:val="22"/>
          <w:rtl w:val="0"/>
        </w:rPr>
        <w:t xml:space="preserve">“NO EXISTE RESPUESTA DENTRO DE LOS PLAZOS ESTABLECIDOS.”</w:t>
      </w:r>
      <w:r w:rsidDel="00000000" w:rsidR="00000000" w:rsidRPr="00000000">
        <w:rPr>
          <w:rtl w:val="0"/>
        </w:rPr>
      </w:r>
    </w:p>
    <w:p w:rsidR="00000000" w:rsidDel="00000000" w:rsidP="00000000" w:rsidRDefault="00000000" w:rsidRPr="00000000" w14:paraId="00000016">
      <w:pPr>
        <w:spacing w:line="360" w:lineRule="auto"/>
        <w:ind w:right="616"/>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7">
      <w:pPr>
        <w:tabs>
          <w:tab w:val="left" w:leader="none" w:pos="284"/>
        </w:tabs>
        <w:spacing w:line="360" w:lineRule="auto"/>
        <w:ind w:right="51"/>
        <w:jc w:val="both"/>
        <w:rPr>
          <w:rFonts w:ascii="Palatino Linotype" w:cs="Palatino Linotype" w:eastAsia="Palatino Linotype" w:hAnsi="Palatino Linotype"/>
          <w:sz w:val="22"/>
          <w:szCs w:val="22"/>
        </w:rPr>
      </w:pPr>
      <w:bookmarkStart w:colFirst="0" w:colLast="0" w:name="_heading=h.gueg70600u7v" w:id="2"/>
      <w:bookmarkEnd w:id="2"/>
      <w:r w:rsidDel="00000000" w:rsidR="00000000" w:rsidRPr="00000000">
        <w:rPr>
          <w:rFonts w:ascii="Palatino Linotype" w:cs="Palatino Linotype" w:eastAsia="Palatino Linotype" w:hAnsi="Palatino Linotype"/>
          <w:b w:val="1"/>
          <w:sz w:val="22"/>
          <w:szCs w:val="22"/>
          <w:rtl w:val="0"/>
        </w:rPr>
        <w:t xml:space="preserve">4. Turno.</w:t>
      </w:r>
      <w:r w:rsidDel="00000000" w:rsidR="00000000" w:rsidRPr="00000000">
        <w:rPr>
          <w:rFonts w:ascii="Palatino Linotype" w:cs="Palatino Linotype" w:eastAsia="Palatino Linotype" w:hAnsi="Palatino Linotype"/>
          <w:sz w:val="22"/>
          <w:szCs w:val="22"/>
          <w:rtl w:val="0"/>
        </w:rPr>
        <w:t xml:space="preserve"> De conformidad con el artículo 185 fracción I de la Ley de Transparencia y Acceso a la Información Pública del Estado de México y Municipios vigente, el Recurso de Revisión </w:t>
      </w:r>
      <w:r w:rsidDel="00000000" w:rsidR="00000000" w:rsidRPr="00000000">
        <w:rPr>
          <w:rFonts w:ascii="Palatino Linotype" w:cs="Palatino Linotype" w:eastAsia="Palatino Linotype" w:hAnsi="Palatino Linotype"/>
          <w:b w:val="1"/>
          <w:sz w:val="22"/>
          <w:szCs w:val="22"/>
          <w:rtl w:val="0"/>
        </w:rPr>
        <w:t xml:space="preserve">05219/INFOEM/IP/RR/2025 </w:t>
      </w:r>
      <w:r w:rsidDel="00000000" w:rsidR="00000000" w:rsidRPr="00000000">
        <w:rPr>
          <w:rFonts w:ascii="Palatino Linotype" w:cs="Palatino Linotype" w:eastAsia="Palatino Linotype" w:hAnsi="Palatino Linotype"/>
          <w:sz w:val="22"/>
          <w:szCs w:val="22"/>
          <w:rtl w:val="0"/>
        </w:rPr>
        <w:t xml:space="preserve">fue turnado a la Comisionada Guadalupe Ramírez Peña, el recurso de revisión </w:t>
      </w:r>
      <w:r w:rsidDel="00000000" w:rsidR="00000000" w:rsidRPr="00000000">
        <w:rPr>
          <w:rFonts w:ascii="Palatino Linotype" w:cs="Palatino Linotype" w:eastAsia="Palatino Linotype" w:hAnsi="Palatino Linotype"/>
          <w:b w:val="1"/>
          <w:sz w:val="22"/>
          <w:szCs w:val="22"/>
          <w:rtl w:val="0"/>
        </w:rPr>
        <w:t xml:space="preserve">05220/INFOEM/IP/RR/2025 </w:t>
      </w:r>
      <w:r w:rsidDel="00000000" w:rsidR="00000000" w:rsidRPr="00000000">
        <w:rPr>
          <w:rFonts w:ascii="Palatino Linotype" w:cs="Palatino Linotype" w:eastAsia="Palatino Linotype" w:hAnsi="Palatino Linotype"/>
          <w:sz w:val="22"/>
          <w:szCs w:val="22"/>
          <w:rtl w:val="0"/>
        </w:rPr>
        <w:t xml:space="preserve">fue turnado al Comisionado Presidente José Martínez Vilchis, a efecto de presentar al Pleno los proyectos de resolución correspondientes</w:t>
      </w:r>
    </w:p>
    <w:p w:rsidR="00000000" w:rsidDel="00000000" w:rsidP="00000000" w:rsidRDefault="00000000" w:rsidRPr="00000000" w14:paraId="0000001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9">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5. Admisión. </w:t>
      </w:r>
      <w:r w:rsidDel="00000000" w:rsidR="00000000" w:rsidRPr="00000000">
        <w:rPr>
          <w:rFonts w:ascii="Palatino Linotype" w:cs="Palatino Linotype" w:eastAsia="Palatino Linotype" w:hAnsi="Palatino Linotype"/>
          <w:sz w:val="22"/>
          <w:szCs w:val="22"/>
          <w:rtl w:val="0"/>
        </w:rPr>
        <w:t xml:space="preserve">En fechas </w:t>
      </w:r>
      <w:r w:rsidDel="00000000" w:rsidR="00000000" w:rsidRPr="00000000">
        <w:rPr>
          <w:rFonts w:ascii="Palatino Linotype" w:cs="Palatino Linotype" w:eastAsia="Palatino Linotype" w:hAnsi="Palatino Linotype"/>
          <w:b w:val="1"/>
          <w:sz w:val="22"/>
          <w:szCs w:val="22"/>
          <w:rtl w:val="0"/>
        </w:rPr>
        <w:t xml:space="preserve">nueve y trece de mayo de dos mil veinticinco</w:t>
      </w:r>
      <w:r w:rsidDel="00000000" w:rsidR="00000000" w:rsidRPr="00000000">
        <w:rPr>
          <w:rFonts w:ascii="Palatino Linotype" w:cs="Palatino Linotype" w:eastAsia="Palatino Linotype" w:hAnsi="Palatino Linotype"/>
          <w:sz w:val="22"/>
          <w:szCs w:val="22"/>
          <w:rtl w:val="0"/>
        </w:rPr>
        <w:t xml:space="preserve">, en términos de lo dispuesto en el artículo 185 fracciones I, II y IV de la Ley de Transparencia y Acceso a la Información Pública del Estado de México y Municipios, se admitió a trámite el recurso de revisión al rubro indicado.</w:t>
      </w:r>
    </w:p>
    <w:p w:rsidR="00000000" w:rsidDel="00000000" w:rsidP="00000000" w:rsidRDefault="00000000" w:rsidRPr="00000000" w14:paraId="0000001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6. Manifestaciones.</w:t>
      </w:r>
      <w:r w:rsidDel="00000000" w:rsidR="00000000" w:rsidRPr="00000000">
        <w:rPr>
          <w:rFonts w:ascii="Palatino Linotype" w:cs="Palatino Linotype" w:eastAsia="Palatino Linotype" w:hAnsi="Palatino Linotype"/>
          <w:sz w:val="22"/>
          <w:szCs w:val="22"/>
          <w:rtl w:val="0"/>
        </w:rPr>
        <w:t xml:space="preserve"> En fecha dieciocho de mayo de dos mil veinticinco la parte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rindió manifestaciones de la siguiente manera:</w:t>
      </w:r>
    </w:p>
    <w:p w:rsidR="00000000" w:rsidDel="00000000" w:rsidP="00000000" w:rsidRDefault="00000000" w:rsidRPr="00000000" w14:paraId="0000001C">
      <w:pPr>
        <w:spacing w:line="360" w:lineRule="auto"/>
        <w:jc w:val="both"/>
        <w:rPr>
          <w:rFonts w:ascii="Palatino Linotype" w:cs="Palatino Linotype" w:eastAsia="Palatino Linotype" w:hAnsi="Palatino Linotype"/>
          <w:b w:val="1"/>
          <w:sz w:val="22"/>
          <w:szCs w:val="22"/>
        </w:rPr>
      </w:pPr>
      <w:bookmarkStart w:colFirst="0" w:colLast="0" w:name="_heading=h.anotwjs2u5tv" w:id="3"/>
      <w:bookmarkEnd w:id="3"/>
      <w:r w:rsidDel="00000000" w:rsidR="00000000" w:rsidRPr="00000000">
        <w:rPr>
          <w:rFonts w:ascii="Palatino Linotype" w:cs="Palatino Linotype" w:eastAsia="Palatino Linotype" w:hAnsi="Palatino Linotype"/>
          <w:b w:val="1"/>
          <w:sz w:val="22"/>
          <w:szCs w:val="22"/>
          <w:rtl w:val="0"/>
        </w:rPr>
        <w:t xml:space="preserve">05219/INFOEM/IP/RR/2025</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nota_informativa.docx</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Documento en el que redacta las sanciones interpuestas por incumplir la Ley de Transparencia.</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acuse1.png:</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Imagen correspondiente al acuse de la solicitud.</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acuse3.png:</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Imagen correspondiente al acuse de la solicitud, correspondiente al recurso de revisión 05221/INFOEM/IP/RR/2025.</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nota_informativa.docx:</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Documento en el que redacta las sanciones interpuestas por incumplir la Ley de Transparencia.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05220/INFOEM/IP/RR/2025</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nota_informativa.docx: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Documento en el que redacta las sanciones interpuestas por incumplir la Ley de Transparencia.</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acuse2.png: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Imagen correspondiente al acuse de la solicitud.</w:t>
      </w:r>
    </w:p>
    <w:p w:rsidR="00000000" w:rsidDel="00000000" w:rsidP="00000000" w:rsidRDefault="00000000" w:rsidRPr="00000000" w14:paraId="0000002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6">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su parte,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fue omiso en rendir sus informes justificados en los medios de impugnación que nos ocupan.</w:t>
      </w:r>
    </w:p>
    <w:p w:rsidR="00000000" w:rsidDel="00000000" w:rsidP="00000000" w:rsidRDefault="00000000" w:rsidRPr="00000000" w14:paraId="0000002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8">
      <w:pPr>
        <w:spacing w:line="36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b w:val="1"/>
          <w:sz w:val="20"/>
          <w:szCs w:val="20"/>
          <w:rtl w:val="0"/>
        </w:rPr>
        <w:t xml:space="preserve">7</w:t>
      </w: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Fonts w:ascii="Palatino Linotype" w:cs="Palatino Linotype" w:eastAsia="Palatino Linotype" w:hAnsi="Palatino Linotype"/>
          <w:b w:val="1"/>
          <w:sz w:val="22"/>
          <w:szCs w:val="22"/>
          <w:rtl w:val="0"/>
        </w:rPr>
        <w:t xml:space="preserve">Acumulación. </w:t>
      </w:r>
      <w:r w:rsidDel="00000000" w:rsidR="00000000" w:rsidRPr="00000000">
        <w:rPr>
          <w:rFonts w:ascii="Palatino Linotype" w:cs="Palatino Linotype" w:eastAsia="Palatino Linotype" w:hAnsi="Palatino Linotype"/>
          <w:sz w:val="22"/>
          <w:szCs w:val="22"/>
          <w:rtl w:val="0"/>
        </w:rPr>
        <w:t xml:space="preserve">En la </w:t>
      </w:r>
      <w:r w:rsidDel="00000000" w:rsidR="00000000" w:rsidRPr="00000000">
        <w:rPr>
          <w:rFonts w:ascii="Palatino Linotype" w:cs="Palatino Linotype" w:eastAsia="Palatino Linotype" w:hAnsi="Palatino Linotype"/>
          <w:b w:val="1"/>
          <w:sz w:val="22"/>
          <w:szCs w:val="22"/>
          <w:rtl w:val="0"/>
        </w:rPr>
        <w:t xml:space="preserve">Décima Octava Sesión Ordinaria</w:t>
      </w:r>
      <w:r w:rsidDel="00000000" w:rsidR="00000000" w:rsidRPr="00000000">
        <w:rPr>
          <w:rFonts w:ascii="Palatino Linotype" w:cs="Palatino Linotype" w:eastAsia="Palatino Linotype" w:hAnsi="Palatino Linotype"/>
          <w:sz w:val="22"/>
          <w:szCs w:val="22"/>
          <w:rtl w:val="0"/>
        </w:rPr>
        <w:t xml:space="preserve"> celebrada el </w:t>
      </w:r>
      <w:r w:rsidDel="00000000" w:rsidR="00000000" w:rsidRPr="00000000">
        <w:rPr>
          <w:rFonts w:ascii="Palatino Linotype" w:cs="Palatino Linotype" w:eastAsia="Palatino Linotype" w:hAnsi="Palatino Linotype"/>
          <w:b w:val="1"/>
          <w:sz w:val="22"/>
          <w:szCs w:val="22"/>
          <w:rtl w:val="0"/>
        </w:rPr>
        <w:t xml:space="preserve">veintiuno de mayo de dos mil veinticinco</w:t>
      </w:r>
      <w:r w:rsidDel="00000000" w:rsidR="00000000" w:rsidRPr="00000000">
        <w:rPr>
          <w:rFonts w:ascii="Palatino Linotype" w:cs="Palatino Linotype" w:eastAsia="Palatino Linotype" w:hAnsi="Palatino Linotype"/>
          <w:sz w:val="22"/>
          <w:szCs w:val="22"/>
          <w:rtl w:val="0"/>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Del="00000000" w:rsidR="00000000" w:rsidRPr="00000000">
        <w:rPr>
          <w:rFonts w:ascii="Palatino Linotype" w:cs="Palatino Linotype" w:eastAsia="Palatino Linotype" w:hAnsi="Palatino Linotype"/>
          <w:b w:val="1"/>
          <w:sz w:val="22"/>
          <w:szCs w:val="22"/>
          <w:rtl w:val="0"/>
        </w:rPr>
        <w:t xml:space="preserve">Guadalupe Ramírez Peña</w:t>
      </w:r>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902" w:firstLine="0"/>
        <w:jc w:val="center"/>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Código de Procedimientos Administrativos del Estado de México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902"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18.-</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La autoridad administrativa o el Tribunal acordarán la acumulación de los expedientes del procedimiento y proceso administrativo que ante ellos se sigan, de oficio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o a petición de parte,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cuando las partes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o los actos administrativos sean iguales, se trate de actos conexos o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resulte conveniente el trámite unificado de los asuntos, para evitar la emisión de resoluciones contradictorias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La misma regla se aplicará, en lo conducente, para la separación de los expedientes.”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902"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Ley de Transparencia y Acceso a la Información Pública del Estado de México y Municipios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195.-</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En la tramitación del recurso de revisión se aplicará supletoriamente las disposiciones contenidas en el Código de Procedimientos Administrativos del Estado de México.”</w:t>
      </w:r>
    </w:p>
    <w:p w:rsidR="00000000" w:rsidDel="00000000" w:rsidP="00000000" w:rsidRDefault="00000000" w:rsidRPr="00000000" w14:paraId="0000002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0">
      <w:pPr>
        <w:widowControl w:val="0"/>
        <w:spacing w:line="360" w:lineRule="auto"/>
        <w:ind w:right="49"/>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3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8. Cierre de instrucción. </w:t>
      </w:r>
      <w:r w:rsidDel="00000000" w:rsidR="00000000" w:rsidRPr="00000000">
        <w:rPr>
          <w:rFonts w:ascii="Palatino Linotype" w:cs="Palatino Linotype" w:eastAsia="Palatino Linotype" w:hAnsi="Palatino Linotype"/>
          <w:sz w:val="22"/>
          <w:szCs w:val="22"/>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sz w:val="22"/>
          <w:szCs w:val="22"/>
          <w:rtl w:val="0"/>
        </w:rPr>
        <w:t xml:space="preserve">veintidós y veintiséis de mayo de dos mil veinticinco</w:t>
      </w:r>
      <w:r w:rsidDel="00000000" w:rsidR="00000000" w:rsidRPr="00000000">
        <w:rPr>
          <w:rFonts w:ascii="Palatino Linotype" w:cs="Palatino Linotype" w:eastAsia="Palatino Linotype" w:hAnsi="Palatino Linotype"/>
          <w:sz w:val="22"/>
          <w:szCs w:val="22"/>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3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3">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razón de que fueron debidamente sustanciados los expedientes electrónicos y no existe diligencia pendiente de desahogo, se emite la Resolución que conforme a Derecho proceda, de acuerdo con los siguientes: </w:t>
      </w:r>
    </w:p>
    <w:p w:rsidR="00000000" w:rsidDel="00000000" w:rsidP="00000000" w:rsidRDefault="00000000" w:rsidRPr="00000000" w14:paraId="0000003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5">
      <w:pPr>
        <w:widowControl w:val="0"/>
        <w:spacing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II. C O N S I D E R A N D O S</w:t>
      </w:r>
    </w:p>
    <w:p w:rsidR="00000000" w:rsidDel="00000000" w:rsidP="00000000" w:rsidRDefault="00000000" w:rsidRPr="00000000" w14:paraId="00000036">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Primero. Competencia. </w:t>
      </w:r>
      <w:r w:rsidDel="00000000" w:rsidR="00000000" w:rsidRPr="00000000">
        <w:rPr>
          <w:rFonts w:ascii="Palatino Linotype" w:cs="Palatino Linotype" w:eastAsia="Palatino Linotype" w:hAnsi="Palatino Linotype"/>
          <w:sz w:val="22"/>
          <w:szCs w:val="22"/>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3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9">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Segundo. Oportunidad y Procedibilidad del Recurso de Revisión. </w:t>
      </w:r>
      <w:r w:rsidDel="00000000" w:rsidR="00000000" w:rsidRPr="00000000">
        <w:rPr>
          <w:rFonts w:ascii="Palatino Linotype" w:cs="Palatino Linotype" w:eastAsia="Palatino Linotype" w:hAnsi="Palatino Linotype"/>
          <w:sz w:val="22"/>
          <w:szCs w:val="22"/>
          <w:rtl w:val="0"/>
        </w:rPr>
        <w:t xml:space="preserve">Por cuanto hace a la oportunidad de los recursos de revisión</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000000" w:rsidDel="00000000" w:rsidP="00000000" w:rsidRDefault="00000000" w:rsidRPr="00000000" w14:paraId="0000003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Derivado de lo anterior, se constituye la figura jurídica de la </w:t>
      </w:r>
      <w:r w:rsidDel="00000000" w:rsidR="00000000" w:rsidRPr="00000000">
        <w:rPr>
          <w:rFonts w:ascii="Palatino Linotype" w:cs="Palatino Linotype" w:eastAsia="Palatino Linotype" w:hAnsi="Palatino Linotype"/>
          <w:b w:val="1"/>
          <w:sz w:val="22"/>
          <w:szCs w:val="22"/>
          <w:rtl w:val="0"/>
        </w:rPr>
        <w:t xml:space="preserve">NEGATIVA FICTA</w:t>
      </w:r>
      <w:r w:rsidDel="00000000" w:rsidR="00000000" w:rsidRPr="00000000">
        <w:rPr>
          <w:rFonts w:ascii="Palatino Linotype" w:cs="Palatino Linotype" w:eastAsia="Palatino Linotype" w:hAnsi="Palatino Linotype"/>
          <w:sz w:val="22"/>
          <w:szCs w:val="22"/>
          <w:rtl w:val="0"/>
        </w:rPr>
        <w:t xml:space="preserve">, cuya esencia consiste en atribuir un efecto negativo al silencio de la autoridad administrativa frente a las instancias y solicitudes que hagan los particulares.</w:t>
      </w:r>
    </w:p>
    <w:p w:rsidR="00000000" w:rsidDel="00000000" w:rsidP="00000000" w:rsidRDefault="00000000" w:rsidRPr="00000000" w14:paraId="0000003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tal manera, en los presentes recursos de revisión se actualizó la negativa ficta por parte del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al no haber respondido a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000000" w:rsidDel="00000000" w:rsidP="00000000" w:rsidRDefault="00000000" w:rsidRPr="00000000" w14:paraId="0000003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F">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 a ello se le suma lo previsto en el párrafo segundo del artículo 178, párrafo segundo de la Ley de Transparencia y Acceso a la Información Pública vigente en la entidad.</w:t>
      </w:r>
    </w:p>
    <w:p w:rsidR="00000000" w:rsidDel="00000000" w:rsidP="00000000" w:rsidRDefault="00000000" w:rsidRPr="00000000" w14:paraId="0000004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000000" w:rsidDel="00000000" w:rsidP="00000000" w:rsidRDefault="00000000" w:rsidRPr="00000000" w14:paraId="00000042">
      <w:pPr>
        <w:spacing w:line="360" w:lineRule="auto"/>
        <w:jc w:val="both"/>
        <w:rPr>
          <w:i w:val="1"/>
          <w:sz w:val="22"/>
          <w:szCs w:val="22"/>
        </w:rPr>
      </w:pPr>
      <w:r w:rsidDel="00000000" w:rsidR="00000000" w:rsidRPr="00000000">
        <w:rPr>
          <w:rtl w:val="0"/>
        </w:rPr>
      </w:r>
    </w:p>
    <w:p w:rsidR="00000000" w:rsidDel="00000000" w:rsidP="00000000" w:rsidRDefault="00000000" w:rsidRPr="00000000" w14:paraId="00000043">
      <w:pPr>
        <w:ind w:left="567" w:right="616"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sz w:val="22"/>
          <w:szCs w:val="22"/>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Del="00000000" w:rsidR="00000000" w:rsidRPr="00000000">
        <w:rPr>
          <w:rtl w:val="0"/>
        </w:rPr>
      </w:r>
    </w:p>
    <w:p w:rsidR="00000000" w:rsidDel="00000000" w:rsidP="00000000" w:rsidRDefault="00000000" w:rsidRPr="00000000" w14:paraId="00000044">
      <w:pPr>
        <w:spacing w:line="360" w:lineRule="auto"/>
        <w:ind w:left="567"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right="-147"/>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Del="00000000" w:rsidR="00000000" w:rsidRPr="00000000">
        <w:rPr>
          <w:rFonts w:ascii="Palatino Linotype" w:cs="Palatino Linotype" w:eastAsia="Palatino Linotype" w:hAnsi="Palatino Linotype"/>
          <w:b w:val="1"/>
          <w:sz w:val="22"/>
          <w:szCs w:val="22"/>
          <w:rtl w:val="0"/>
        </w:rPr>
        <w:t xml:space="preserve">EL</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SAIMEX</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right="-147"/>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Ahora bien, resulta procedente la interposición de los recursos de revisión, según lo aducido por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términos del artículo 179, fracción VII del ordenamiento legal de la materia, que a la letra dice:</w:t>
      </w:r>
    </w:p>
    <w:p w:rsidR="00000000" w:rsidDel="00000000" w:rsidP="00000000" w:rsidRDefault="00000000" w:rsidRPr="00000000" w14:paraId="0000004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9">
      <w:pPr>
        <w:ind w:left="567" w:right="616"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 </w:t>
      </w:r>
      <w:r w:rsidDel="00000000" w:rsidR="00000000" w:rsidRPr="00000000">
        <w:rPr>
          <w:rFonts w:ascii="Palatino Linotype" w:cs="Palatino Linotype" w:eastAsia="Palatino Linotype" w:hAnsi="Palatino Linotype"/>
          <w:sz w:val="22"/>
          <w:szCs w:val="22"/>
          <w:rtl w:val="0"/>
        </w:rPr>
        <w:t xml:space="preserve"> </w:t>
      </w:r>
    </w:p>
    <w:p w:rsidR="00000000" w:rsidDel="00000000" w:rsidP="00000000" w:rsidRDefault="00000000" w:rsidRPr="00000000" w14:paraId="0000004A">
      <w:pPr>
        <w:ind w:left="567" w:right="616"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4B">
      <w:pPr>
        <w:numPr>
          <w:ilvl w:val="0"/>
          <w:numId w:val="7"/>
        </w:numPr>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falta de respuesta a una solicitud de acceso a la información</w:t>
      </w:r>
    </w:p>
    <w:p w:rsidR="00000000" w:rsidDel="00000000" w:rsidP="00000000" w:rsidRDefault="00000000" w:rsidRPr="00000000" w14:paraId="0000004C">
      <w:pPr>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D">
      <w:pPr>
        <w:spacing w:line="360" w:lineRule="auto"/>
        <w:ind w:right="1041"/>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E">
      <w:pPr>
        <w:tabs>
          <w:tab w:val="left" w:leader="none" w:pos="8647"/>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Tercero. Materia de la revisión. </w:t>
      </w:r>
      <w:r w:rsidDel="00000000" w:rsidR="00000000" w:rsidRPr="00000000">
        <w:rPr>
          <w:rFonts w:ascii="Palatino Linotype" w:cs="Palatino Linotype" w:eastAsia="Palatino Linotype" w:hAnsi="Palatino Linotype"/>
          <w:sz w:val="22"/>
          <w:szCs w:val="22"/>
          <w:rtl w:val="0"/>
        </w:rPr>
        <w:t xml:space="preserve">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 </w:t>
      </w:r>
    </w:p>
    <w:p w:rsidR="00000000" w:rsidDel="00000000" w:rsidP="00000000" w:rsidRDefault="00000000" w:rsidRPr="00000000" w14:paraId="0000004F">
      <w:pPr>
        <w:tabs>
          <w:tab w:val="left" w:leader="none" w:pos="8647"/>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0">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Cuarto. Estudio del asunto. </w:t>
      </w:r>
      <w:r w:rsidDel="00000000" w:rsidR="00000000" w:rsidRPr="00000000">
        <w:rPr>
          <w:rFonts w:ascii="Palatino Linotype" w:cs="Palatino Linotype" w:eastAsia="Palatino Linotype" w:hAnsi="Palatino Linotype"/>
          <w:sz w:val="22"/>
          <w:szCs w:val="22"/>
          <w:rtl w:val="0"/>
        </w:rPr>
        <w:t xml:space="preserve">Una vez determinada la vía sobre la que versará el presente recurso, y previa revisión del expediente del recurso de revisión materia de la presente resolución, se advierte que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no dio respuesta a la solicitud de información planteada por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lo que se traduce como la configuración de la </w:t>
      </w:r>
      <w:r w:rsidDel="00000000" w:rsidR="00000000" w:rsidRPr="00000000">
        <w:rPr>
          <w:rFonts w:ascii="Palatino Linotype" w:cs="Palatino Linotype" w:eastAsia="Palatino Linotype" w:hAnsi="Palatino Linotype"/>
          <w:b w:val="1"/>
          <w:sz w:val="22"/>
          <w:szCs w:val="22"/>
          <w:rtl w:val="0"/>
        </w:rPr>
        <w:t xml:space="preserve">negativa ficta</w:t>
      </w:r>
      <w:r w:rsidDel="00000000" w:rsidR="00000000" w:rsidRPr="00000000">
        <w:rPr>
          <w:rFonts w:ascii="Palatino Linotype" w:cs="Palatino Linotype" w:eastAsia="Palatino Linotype" w:hAnsi="Palatino Linotype"/>
          <w:sz w:val="22"/>
          <w:szCs w:val="22"/>
          <w:rtl w:val="0"/>
        </w:rPr>
        <w:t xml:space="preserve">, situación que demuestra la existencia del acto impugnado y procedencia del motivo de inconformidad, que en términos generales consistente en que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no emitió respuesta a la solicitud de información, dentro del plazo legal previsto para ello.</w:t>
      </w:r>
    </w:p>
    <w:p w:rsidR="00000000" w:rsidDel="00000000" w:rsidP="00000000" w:rsidRDefault="00000000" w:rsidRPr="00000000" w14:paraId="0000005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2">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Previo a exponer los argumentos que justifiquen la afirmación que antecede, es necesario precisar que, del análisis realizado a las solicitudes formuladas por la parte Recurrente, se advierte que requirió al Sujeto Obligado le proporcionara, información consistente en lo siguiente:</w:t>
      </w:r>
    </w:p>
    <w:p w:rsidR="00000000" w:rsidDel="00000000" w:rsidP="00000000" w:rsidRDefault="00000000" w:rsidRPr="00000000" w14:paraId="0000005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4">
      <w:pPr>
        <w:spacing w:line="276" w:lineRule="auto"/>
        <w:ind w:lef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00114/TEPOTZOT/IP/2025</w:t>
      </w:r>
      <w:r w:rsidDel="00000000" w:rsidR="00000000" w:rsidRPr="00000000">
        <w:rPr>
          <w:rFonts w:ascii="Palatino Linotype" w:cs="Palatino Linotype" w:eastAsia="Palatino Linotype" w:hAnsi="Palatino Linotype"/>
          <w:i w:val="1"/>
          <w:sz w:val="22"/>
          <w:szCs w:val="22"/>
          <w:rtl w:val="0"/>
        </w:rPr>
        <w:t xml:space="preserve">. Contratos celebrados con la empresa o razón social o persona física denominada XXXX XXXXXXXX XXXXXX XXXX XXXXXXXX durante el periodo 2010 – 2025</w:t>
      </w:r>
    </w:p>
    <w:p w:rsidR="00000000" w:rsidDel="00000000" w:rsidP="00000000" w:rsidRDefault="00000000" w:rsidRPr="00000000" w14:paraId="00000055">
      <w:pPr>
        <w:spacing w:line="276" w:lineRule="auto"/>
        <w:ind w:left="56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6">
      <w:pPr>
        <w:spacing w:line="276" w:lineRule="auto"/>
        <w:ind w:lef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00113/TEPOTZOT/IP/2025. </w:t>
      </w:r>
      <w:r w:rsidDel="00000000" w:rsidR="00000000" w:rsidRPr="00000000">
        <w:rPr>
          <w:rFonts w:ascii="Palatino Linotype" w:cs="Palatino Linotype" w:eastAsia="Palatino Linotype" w:hAnsi="Palatino Linotype"/>
          <w:i w:val="1"/>
          <w:sz w:val="22"/>
          <w:szCs w:val="22"/>
          <w:rtl w:val="0"/>
        </w:rPr>
        <w:t xml:space="preserve">Contratos celebrados con la empresa o razón social GRUPO ETYNIR S.A. DE C.V.  durante el periodo 2010 - 2025.</w:t>
      </w:r>
    </w:p>
    <w:p w:rsidR="00000000" w:rsidDel="00000000" w:rsidP="00000000" w:rsidRDefault="00000000" w:rsidRPr="00000000" w14:paraId="00000057">
      <w:pPr>
        <w:spacing w:line="276" w:lineRule="auto"/>
        <w:ind w:left="567"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Precisado lo anterior, se procede al análisis de los recursos de revisión,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00000" w:rsidDel="00000000" w:rsidP="00000000" w:rsidRDefault="00000000" w:rsidRPr="00000000" w14:paraId="0000005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A">
      <w:pPr>
        <w:tabs>
          <w:tab w:val="left" w:leader="none" w:pos="709"/>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00000" w:rsidDel="00000000" w:rsidP="00000000" w:rsidRDefault="00000000" w:rsidRPr="00000000" w14:paraId="0000005B">
      <w:pPr>
        <w:spacing w:line="276" w:lineRule="auto"/>
        <w:ind w:left="851" w:right="85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sz w:val="22"/>
          <w:szCs w:val="22"/>
          <w:rtl w:val="0"/>
        </w:rPr>
        <w:t xml:space="preserve">, así como de las garantías para su protección, cuyo ejercicio no podrá restringirse ni suspenderse, salvo en los casos y bajo las condiciones que esta Constitución establece.</w:t>
      </w:r>
      <w:r w:rsidDel="00000000" w:rsidR="00000000" w:rsidRPr="00000000">
        <w:rPr>
          <w:rtl w:val="0"/>
        </w:rPr>
      </w:r>
    </w:p>
    <w:p w:rsidR="00000000" w:rsidDel="00000000" w:rsidP="00000000" w:rsidRDefault="00000000" w:rsidRPr="00000000" w14:paraId="0000005C">
      <w:pPr>
        <w:spacing w:line="276" w:lineRule="auto"/>
        <w:ind w:left="851" w:right="85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Las normas relativas a los derechos humanos se interpretarán de conformidad con esta Constitución y con los tratados internacionales de la materia favoreciendo en todo tiempo a las personas la protección más amplia.</w:t>
      </w:r>
      <w:r w:rsidDel="00000000" w:rsidR="00000000" w:rsidRPr="00000000">
        <w:rPr>
          <w:rtl w:val="0"/>
        </w:rPr>
      </w:r>
    </w:p>
    <w:p w:rsidR="00000000" w:rsidDel="00000000" w:rsidP="00000000" w:rsidRDefault="00000000" w:rsidRPr="00000000" w14:paraId="0000005D">
      <w:pPr>
        <w:spacing w:line="276" w:lineRule="auto"/>
        <w:ind w:left="851" w:right="85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sz w:val="22"/>
          <w:szCs w:val="22"/>
          <w:rtl w:val="0"/>
        </w:rPr>
        <w:t xml:space="preserve"> En consecuencia, el Estado deberá prevenir, investigar, sancionar y reparar las violaciones a los derechos humanos, en los términos que establezca la ley</w:t>
      </w:r>
      <w:r w:rsidDel="00000000" w:rsidR="00000000" w:rsidRPr="00000000">
        <w:rPr>
          <w:rtl w:val="0"/>
        </w:rPr>
      </w:r>
    </w:p>
    <w:p w:rsidR="00000000" w:rsidDel="00000000" w:rsidP="00000000" w:rsidRDefault="00000000" w:rsidRPr="00000000" w14:paraId="0000005E">
      <w:pPr>
        <w:spacing w:line="276" w:lineRule="auto"/>
        <w:ind w:left="851" w:right="85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5F">
      <w:pPr>
        <w:spacing w:line="276" w:lineRule="auto"/>
        <w:ind w:left="851" w:right="90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6o.</w:t>
      </w:r>
      <w:r w:rsidDel="00000000" w:rsidR="00000000" w:rsidRPr="00000000">
        <w:rPr>
          <w:rtl w:val="0"/>
        </w:rPr>
      </w:r>
    </w:p>
    <w:p w:rsidR="00000000" w:rsidDel="00000000" w:rsidP="00000000" w:rsidRDefault="00000000" w:rsidRPr="00000000" w14:paraId="00000060">
      <w:pPr>
        <w:spacing w:line="276" w:lineRule="auto"/>
        <w:ind w:left="851" w:right="90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before="240"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 Para el ejercicio del derecho de acceso a la información, la Federación y </w:t>
      </w:r>
      <w:r w:rsidDel="00000000" w:rsidR="00000000" w:rsidRPr="00000000">
        <w:rPr>
          <w:rFonts w:ascii="Palatino Linotype" w:cs="Palatino Linotype" w:eastAsia="Palatino Linotype" w:hAnsi="Palatino Linotype"/>
          <w:b w:val="1"/>
          <w:i w:val="1"/>
          <w:sz w:val="22"/>
          <w:szCs w:val="22"/>
          <w:u w:val="single"/>
          <w:rtl w:val="0"/>
        </w:rPr>
        <w:t xml:space="preserve">las entidades federativas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en el ámbito de sus respectivas competencias, se regirán por los siguientes principios y bases: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before="240"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Toda la información en posesión de cualquier autoridad, entidad, órgano y organismo de los Poderes</w:t>
      </w:r>
      <w:r w:rsidDel="00000000" w:rsidR="00000000" w:rsidRPr="00000000">
        <w:rPr>
          <w:rFonts w:ascii="Palatino Linotype" w:cs="Palatino Linotype" w:eastAsia="Palatino Linotype" w:hAnsi="Palatino Linotype"/>
          <w:i w:val="1"/>
          <w:sz w:val="22"/>
          <w:szCs w:val="22"/>
          <w:rtl w:val="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Del="00000000" w:rsidR="00000000" w:rsidRPr="00000000">
        <w:rPr>
          <w:rFonts w:ascii="Palatino Linotype" w:cs="Palatino Linotype" w:eastAsia="Palatino Linotype" w:hAnsi="Palatino Linotype"/>
          <w:b w:val="1"/>
          <w:i w:val="1"/>
          <w:sz w:val="22"/>
          <w:szCs w:val="22"/>
          <w:rtl w:val="0"/>
        </w:rPr>
        <w:t xml:space="preserve">es pública y sólo podrá ser reservada temporalmente por razones de interés público y seguridad nacional,</w:t>
      </w:r>
      <w:r w:rsidDel="00000000" w:rsidR="00000000" w:rsidRPr="00000000">
        <w:rPr>
          <w:rFonts w:ascii="Palatino Linotype" w:cs="Palatino Linotype" w:eastAsia="Palatino Linotype" w:hAnsi="Palatino Linotype"/>
          <w:i w:val="1"/>
          <w:sz w:val="22"/>
          <w:szCs w:val="22"/>
          <w:rtl w:val="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40" w:before="240" w:lineRule="auto"/>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La información que se refiere a la vida privada y los datos personales será protegida en los términos y con las excepciones que fijen las leyes. Para tal efecto, los sujetos obligados contarán con las facultades suficientes para su atención.</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before="240"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b w:val="1"/>
          <w:i w:val="1"/>
          <w:sz w:val="22"/>
          <w:szCs w:val="22"/>
          <w:u w:val="single"/>
          <w:rtl w:val="0"/>
        </w:rPr>
        <w:t xml:space="preserve">Toda persona, sin necesidad de acreditar interés alguno o justificar su utilización, tendrá acceso gratuito a la información pública,</w:t>
      </w:r>
      <w:r w:rsidDel="00000000" w:rsidR="00000000" w:rsidRPr="00000000">
        <w:rPr>
          <w:rFonts w:ascii="Palatino Linotype" w:cs="Palatino Linotype" w:eastAsia="Palatino Linotype" w:hAnsi="Palatino Linotype"/>
          <w:i w:val="1"/>
          <w:sz w:val="22"/>
          <w:szCs w:val="22"/>
          <w:rtl w:val="0"/>
        </w:rPr>
        <w:t xml:space="preserve"> a sus datos personales o a la rectificación de éstos.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before="240" w:lineRule="auto"/>
        <w:ind w:left="851" w:right="851" w:firstLine="0"/>
        <w:jc w:val="both"/>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before="240"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Se establecerán mecanismos de acceso a la información pública y procedimientos de revisión expeditos que se sustanciarán ante las instancias competentes en los términos que fija esta Constitución y las leyes.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before="240" w:lineRule="auto"/>
        <w:ind w:left="851" w:right="851" w:firstLine="0"/>
        <w:jc w:val="both"/>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40" w:before="240" w:lineRule="auto"/>
        <w:ind w:left="851" w:right="851" w:firstLine="0"/>
        <w:jc w:val="both"/>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Las leyes determinarán la manera en que los sujetos obligados deberán hacer pública la información relativa a los recursos públicos que entreguen a personas físicas o morales.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40" w:before="240" w:lineRule="auto"/>
        <w:ind w:left="851" w:right="851" w:firstLine="0"/>
        <w:jc w:val="both"/>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inobservancia a las disposiciones en materia de acceso a la información pública será sancionada en los términos que dispongan las leyes. [...]”</w:t>
      </w:r>
      <w:r w:rsidDel="00000000" w:rsidR="00000000" w:rsidRPr="00000000">
        <w:rPr>
          <w:rtl w:val="0"/>
        </w:rPr>
      </w:r>
    </w:p>
    <w:p w:rsidR="00000000" w:rsidDel="00000000" w:rsidP="00000000" w:rsidRDefault="00000000" w:rsidRPr="00000000" w14:paraId="0000006A">
      <w:pPr>
        <w:tabs>
          <w:tab w:val="left" w:leader="none" w:pos="709"/>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00000" w:rsidDel="00000000" w:rsidP="00000000" w:rsidRDefault="00000000" w:rsidRPr="00000000" w14:paraId="0000006B">
      <w:pPr>
        <w:tabs>
          <w:tab w:val="left" w:leader="none" w:pos="709"/>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C">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orden de ideas, la Ley de Transparencia y Acceso a la Información Pública del Estado de México y Municipios, prevé en su artículo 23, lo siguiente:</w:t>
      </w:r>
    </w:p>
    <w:p w:rsidR="00000000" w:rsidDel="00000000" w:rsidP="00000000" w:rsidRDefault="00000000" w:rsidRPr="00000000" w14:paraId="0000006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E">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23. Son sujetos obligados a transparentar y permitir el acceso a su información y proteger los datos personales que obren en su poder</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F">
      <w:pPr>
        <w:tabs>
          <w:tab w:val="left" w:leader="none" w:pos="7655"/>
        </w:tabs>
        <w:spacing w:line="276" w:lineRule="auto"/>
        <w:ind w:left="567" w:right="616"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El Poder Ejecutivo del Estado de México, las dependencias, organismos auxiliares,</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órganos, entidades, fideicomisos y fondos públicos, así como la Procuraduría General de Justicia;</w:t>
      </w:r>
      <w:r w:rsidDel="00000000" w:rsidR="00000000" w:rsidRPr="00000000">
        <w:rPr>
          <w:rtl w:val="0"/>
        </w:rPr>
      </w:r>
    </w:p>
    <w:p w:rsidR="00000000" w:rsidDel="00000000" w:rsidP="00000000" w:rsidRDefault="00000000" w:rsidRPr="00000000" w14:paraId="00000070">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El Poder Legislativo del Estado, los organismos, órganos y entidades de la Legislatura y sus dependencias;</w:t>
      </w:r>
    </w:p>
    <w:p w:rsidR="00000000" w:rsidDel="00000000" w:rsidP="00000000" w:rsidRDefault="00000000" w:rsidRPr="00000000" w14:paraId="00000071">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El Poder Judicial, sus organismos, órganos y entidades, así como el Consejo de la Judicatura del Estado;</w:t>
      </w:r>
    </w:p>
    <w:p w:rsidR="00000000" w:rsidDel="00000000" w:rsidP="00000000" w:rsidRDefault="00000000" w:rsidRPr="00000000" w14:paraId="00000072">
      <w:pPr>
        <w:tabs>
          <w:tab w:val="left" w:leader="none" w:pos="7655"/>
        </w:tabs>
        <w:spacing w:line="276" w:lineRule="auto"/>
        <w:ind w:left="567" w:right="616"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Los ayuntamientos y las dependencias, organismos, órganos y entidades de la administración municipal;</w:t>
      </w:r>
    </w:p>
    <w:p w:rsidR="00000000" w:rsidDel="00000000" w:rsidP="00000000" w:rsidRDefault="00000000" w:rsidRPr="00000000" w14:paraId="00000073">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Los órganos autónomos;</w:t>
      </w:r>
    </w:p>
    <w:p w:rsidR="00000000" w:rsidDel="00000000" w:rsidP="00000000" w:rsidRDefault="00000000" w:rsidRPr="00000000" w14:paraId="00000074">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w:t>
      </w:r>
      <w:r w:rsidDel="00000000" w:rsidR="00000000" w:rsidRPr="00000000">
        <w:rPr>
          <w:rFonts w:ascii="Palatino Linotype" w:cs="Palatino Linotype" w:eastAsia="Palatino Linotype" w:hAnsi="Palatino Linotype"/>
          <w:i w:val="1"/>
          <w:sz w:val="22"/>
          <w:szCs w:val="22"/>
          <w:rtl w:val="0"/>
        </w:rPr>
        <w:t xml:space="preserve"> Los tribunales administrativos y autoridades jurisdiccionales en materia laboral;</w:t>
      </w:r>
    </w:p>
    <w:p w:rsidR="00000000" w:rsidDel="00000000" w:rsidP="00000000" w:rsidRDefault="00000000" w:rsidRPr="00000000" w14:paraId="00000075">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w:t>
      </w:r>
      <w:r w:rsidDel="00000000" w:rsidR="00000000" w:rsidRPr="00000000">
        <w:rPr>
          <w:rFonts w:ascii="Palatino Linotype" w:cs="Palatino Linotype" w:eastAsia="Palatino Linotype" w:hAnsi="Palatino Linotype"/>
          <w:i w:val="1"/>
          <w:sz w:val="22"/>
          <w:szCs w:val="22"/>
          <w:rtl w:val="0"/>
        </w:rPr>
        <w:t xml:space="preserve"> Los partidos políticos y agrupaciones políticas, en los términos de las disposiciones aplicables;</w:t>
      </w:r>
    </w:p>
    <w:p w:rsidR="00000000" w:rsidDel="00000000" w:rsidP="00000000" w:rsidRDefault="00000000" w:rsidRPr="00000000" w14:paraId="00000076">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w:t>
      </w:r>
      <w:r w:rsidDel="00000000" w:rsidR="00000000" w:rsidRPr="00000000">
        <w:rPr>
          <w:rFonts w:ascii="Palatino Linotype" w:cs="Palatino Linotype" w:eastAsia="Palatino Linotype" w:hAnsi="Palatino Linotype"/>
          <w:i w:val="1"/>
          <w:sz w:val="22"/>
          <w:szCs w:val="22"/>
          <w:rtl w:val="0"/>
        </w:rPr>
        <w:t xml:space="preserve"> Los fideicomisos y fondos públicos que cuenten con financiamiento público, parcial o total, o con participación de entidades de gobierno;</w:t>
      </w:r>
    </w:p>
    <w:p w:rsidR="00000000" w:rsidDel="00000000" w:rsidP="00000000" w:rsidRDefault="00000000" w:rsidRPr="00000000" w14:paraId="00000077">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w:t>
      </w:r>
      <w:r w:rsidDel="00000000" w:rsidR="00000000" w:rsidRPr="00000000">
        <w:rPr>
          <w:rFonts w:ascii="Palatino Linotype" w:cs="Palatino Linotype" w:eastAsia="Palatino Linotype" w:hAnsi="Palatino Linotype"/>
          <w:i w:val="1"/>
          <w:sz w:val="22"/>
          <w:szCs w:val="22"/>
          <w:rtl w:val="0"/>
        </w:rPr>
        <w:t xml:space="preserve"> Los sindicatos que reciban y/o ejerzan recursos públicos en el ámbito estatal y municipal;</w:t>
      </w:r>
    </w:p>
    <w:p w:rsidR="00000000" w:rsidDel="00000000" w:rsidP="00000000" w:rsidRDefault="00000000" w:rsidRPr="00000000" w14:paraId="00000078">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w:t>
      </w:r>
      <w:r w:rsidDel="00000000" w:rsidR="00000000" w:rsidRPr="00000000">
        <w:rPr>
          <w:rFonts w:ascii="Palatino Linotype" w:cs="Palatino Linotype" w:eastAsia="Palatino Linotype" w:hAnsi="Palatino Linotype"/>
          <w:i w:val="1"/>
          <w:sz w:val="22"/>
          <w:szCs w:val="22"/>
          <w:rtl w:val="0"/>
        </w:rPr>
        <w:t xml:space="preserve"> Cualquier persona física o jurídico colectiva que reciba y ejerza recursos públicos en el ámbito estatal o municipal; y</w:t>
      </w:r>
    </w:p>
    <w:p w:rsidR="00000000" w:rsidDel="00000000" w:rsidP="00000000" w:rsidRDefault="00000000" w:rsidRPr="00000000" w14:paraId="00000079">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w:t>
      </w:r>
      <w:r w:rsidDel="00000000" w:rsidR="00000000" w:rsidRPr="00000000">
        <w:rPr>
          <w:rFonts w:ascii="Palatino Linotype" w:cs="Palatino Linotype" w:eastAsia="Palatino Linotype" w:hAnsi="Palatino Linotype"/>
          <w:i w:val="1"/>
          <w:sz w:val="22"/>
          <w:szCs w:val="22"/>
          <w:rtl w:val="0"/>
        </w:rPr>
        <w:t xml:space="preserve"> Cualquier otra autoridad, entidad, órgano u organismo de los poderes estatal o municipal, que reciba recursos públicos.</w:t>
      </w:r>
    </w:p>
    <w:p w:rsidR="00000000" w:rsidDel="00000000" w:rsidP="00000000" w:rsidRDefault="00000000" w:rsidRPr="00000000" w14:paraId="0000007A">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00000" w:rsidDel="00000000" w:rsidP="00000000" w:rsidRDefault="00000000" w:rsidRPr="00000000" w14:paraId="0000007B">
      <w:pPr>
        <w:tabs>
          <w:tab w:val="left" w:leader="none" w:pos="7655"/>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Los servidores públicos deberán transparentar sus acciones, así como garantizar y respetar el derecho de acceso a la información pública</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00000" w:rsidDel="00000000" w:rsidP="00000000" w:rsidRDefault="00000000" w:rsidRPr="00000000" w14:paraId="0000007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F">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00000" w:rsidDel="00000000" w:rsidP="00000000" w:rsidRDefault="00000000" w:rsidRPr="00000000" w14:paraId="0000008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1">
      <w:pPr>
        <w:widowControl w:val="0"/>
        <w:tabs>
          <w:tab w:val="left" w:leader="none" w:pos="1276"/>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000000" w:rsidDel="00000000" w:rsidP="00000000" w:rsidRDefault="00000000" w:rsidRPr="00000000" w14:paraId="00000082">
      <w:pPr>
        <w:widowControl w:val="0"/>
        <w:tabs>
          <w:tab w:val="left" w:leader="none" w:pos="1276"/>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3">
      <w:pPr>
        <w:widowControl w:val="0"/>
        <w:tabs>
          <w:tab w:val="left" w:leader="none" w:pos="1276"/>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00000" w:rsidDel="00000000" w:rsidP="00000000" w:rsidRDefault="00000000" w:rsidRPr="00000000" w14:paraId="0000008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00000" w:rsidDel="00000000" w:rsidP="00000000" w:rsidRDefault="00000000" w:rsidRPr="00000000" w14:paraId="00000086">
      <w:pPr>
        <w:widowControl w:val="0"/>
        <w:tabs>
          <w:tab w:val="left" w:leader="none" w:pos="1276"/>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00000" w:rsidDel="00000000" w:rsidP="00000000" w:rsidRDefault="00000000" w:rsidRPr="00000000" w14:paraId="00000087">
      <w:pPr>
        <w:widowControl w:val="0"/>
        <w:tabs>
          <w:tab w:val="left" w:leader="none" w:pos="1276"/>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000000" w:rsidDel="00000000" w:rsidP="00000000" w:rsidRDefault="00000000" w:rsidRPr="00000000" w14:paraId="0000008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A">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Sirve de sustento a lo anterior, el precepto legal en cita:</w:t>
      </w:r>
    </w:p>
    <w:p w:rsidR="00000000" w:rsidDel="00000000" w:rsidP="00000000" w:rsidRDefault="00000000" w:rsidRPr="00000000" w14:paraId="0000008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C">
      <w:pPr>
        <w:spacing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 La Unidad de Transparencia deberá notificar la respuesta a la solicitud al interesado en el menor tiempo posible, que no podrá exceder de quince días hábiles</w:t>
      </w:r>
      <w:r w:rsidDel="00000000" w:rsidR="00000000" w:rsidRPr="00000000">
        <w:rPr>
          <w:rFonts w:ascii="Palatino Linotype" w:cs="Palatino Linotype" w:eastAsia="Palatino Linotype" w:hAnsi="Palatino Linotype"/>
          <w:i w:val="1"/>
          <w:sz w:val="22"/>
          <w:szCs w:val="22"/>
          <w:rtl w:val="0"/>
        </w:rPr>
        <w:t xml:space="preserve">, contados a partir del día siguiente a la presentación de aquélla. </w:t>
      </w:r>
    </w:p>
    <w:p w:rsidR="00000000" w:rsidDel="00000000" w:rsidP="00000000" w:rsidRDefault="00000000" w:rsidRPr="00000000" w14:paraId="0000008D">
      <w:pPr>
        <w:spacing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00000" w:rsidDel="00000000" w:rsidP="00000000" w:rsidRDefault="00000000" w:rsidRPr="00000000" w14:paraId="0000008E">
      <w:pPr>
        <w:spacing w:line="36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F">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mérito de lo expuesto, es claro que en este caso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incumplió la normativa en la materia, puesto que no dio trámite ni respuesta a la solicitud de acceso a la información, limitando el derecho de acceso a la información, accionado por la persona solicitante.</w:t>
      </w:r>
    </w:p>
    <w:p w:rsidR="00000000" w:rsidDel="00000000" w:rsidP="00000000" w:rsidRDefault="00000000" w:rsidRPr="00000000" w14:paraId="0000009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000000" w:rsidDel="00000000" w:rsidP="00000000" w:rsidRDefault="00000000" w:rsidRPr="00000000" w14:paraId="0000009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3">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Del="00000000" w:rsidR="00000000" w:rsidRPr="00000000">
        <w:rPr>
          <w:rFonts w:ascii="Palatino Linotype" w:cs="Palatino Linotype" w:eastAsia="Palatino Linotype" w:hAnsi="Palatino Linotype"/>
          <w:b w:val="1"/>
          <w:sz w:val="22"/>
          <w:szCs w:val="22"/>
          <w:rtl w:val="0"/>
        </w:rPr>
        <w:t xml:space="preserve">el Sujeto Obligado</w:t>
      </w:r>
      <w:r w:rsidDel="00000000" w:rsidR="00000000" w:rsidRPr="00000000">
        <w:rPr>
          <w:rFonts w:ascii="Palatino Linotype" w:cs="Palatino Linotype" w:eastAsia="Palatino Linotype" w:hAnsi="Palatino Linotype"/>
          <w:sz w:val="22"/>
          <w:szCs w:val="22"/>
          <w:rtl w:val="0"/>
        </w:rPr>
        <w:t xml:space="preserve">; por lo que, en caso de no atender de manera positiva, el requerimiento de información deberá manifestarse al respecto.</w:t>
      </w:r>
    </w:p>
    <w:p w:rsidR="00000000" w:rsidDel="00000000" w:rsidP="00000000" w:rsidRDefault="00000000" w:rsidRPr="00000000" w14:paraId="0000009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clasificación de la información.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00000" w:rsidDel="00000000" w:rsidP="00000000" w:rsidRDefault="00000000" w:rsidRPr="00000000" w14:paraId="00000098">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9">
      <w:pPr>
        <w:spacing w:line="276"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91. </w:t>
      </w:r>
      <w:r w:rsidDel="00000000" w:rsidR="00000000" w:rsidRPr="00000000">
        <w:rPr>
          <w:rFonts w:ascii="Palatino Linotype" w:cs="Palatino Linotype" w:eastAsia="Palatino Linotype" w:hAnsi="Palatino Linotype"/>
          <w:i w:val="1"/>
          <w:sz w:val="22"/>
          <w:szCs w:val="22"/>
          <w:rtl w:val="0"/>
        </w:rPr>
        <w:t xml:space="preserve">El acceso a la información pública será restringido excepcionalmente, cuando ésta sea clasificada como reservada o confidencial.”</w:t>
      </w:r>
    </w:p>
    <w:p w:rsidR="00000000" w:rsidDel="00000000" w:rsidP="00000000" w:rsidRDefault="00000000" w:rsidRPr="00000000" w14:paraId="0000009A">
      <w:pPr>
        <w:spacing w:line="360" w:lineRule="auto"/>
        <w:ind w:left="851" w:right="90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00000" w:rsidDel="00000000" w:rsidP="00000000" w:rsidRDefault="00000000" w:rsidRPr="00000000" w14:paraId="0000009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manera que, la Ley de Transparencia y Acceso a la Información Pública del Estado de México y Municipios, en sus artículos 140 y 143 prevé los siguientes supuestos para clasificar la información como reservada o confidencial:</w:t>
      </w:r>
    </w:p>
    <w:p w:rsidR="00000000" w:rsidDel="00000000" w:rsidP="00000000" w:rsidRDefault="00000000" w:rsidRPr="00000000" w14:paraId="0000009E">
      <w:pPr>
        <w:tabs>
          <w:tab w:val="left" w:leader="none" w:pos="567"/>
        </w:tabs>
        <w:spacing w:line="276" w:lineRule="auto"/>
        <w:ind w:left="567" w:right="616"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F">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140. </w:t>
      </w:r>
      <w:r w:rsidDel="00000000" w:rsidR="00000000" w:rsidRPr="00000000">
        <w:rPr>
          <w:rFonts w:ascii="Palatino Linotype" w:cs="Palatino Linotype" w:eastAsia="Palatino Linotype" w:hAnsi="Palatino Linotype"/>
          <w:i w:val="1"/>
          <w:sz w:val="22"/>
          <w:szCs w:val="22"/>
          <w:rtl w:val="0"/>
        </w:rPr>
        <w:t xml:space="preserve">El acceso a la información pública será restringido excepcionalmente, cuando por razones de interés público, ésta sea clasificada como reservada, conforme a los criterios siguientes:</w:t>
      </w:r>
    </w:p>
    <w:p w:rsidR="00000000" w:rsidDel="00000000" w:rsidP="00000000" w:rsidRDefault="00000000" w:rsidRPr="00000000" w14:paraId="000000A0">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i w:val="1"/>
          <w:sz w:val="22"/>
          <w:szCs w:val="22"/>
          <w:rtl w:val="0"/>
        </w:rPr>
        <w:t xml:space="preserve">Comprometa la seguridad pública y cuente con un propósito genuino y un efecto demostrable;</w:t>
      </w:r>
    </w:p>
    <w:p w:rsidR="00000000" w:rsidDel="00000000" w:rsidP="00000000" w:rsidRDefault="00000000" w:rsidRPr="00000000" w14:paraId="000000A1">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w:t>
      </w:r>
      <w:r w:rsidDel="00000000" w:rsidR="00000000" w:rsidRPr="00000000">
        <w:rPr>
          <w:rFonts w:ascii="Palatino Linotype" w:cs="Palatino Linotype" w:eastAsia="Palatino Linotype" w:hAnsi="Palatino Linotype"/>
          <w:i w:val="1"/>
          <w:sz w:val="22"/>
          <w:szCs w:val="22"/>
          <w:rtl w:val="0"/>
        </w:rPr>
        <w:t xml:space="preserve">Pueda menoscabar la conducción de las negociaciones y relaciones internacionales;</w:t>
      </w:r>
    </w:p>
    <w:p w:rsidR="00000000" w:rsidDel="00000000" w:rsidP="00000000" w:rsidRDefault="00000000" w:rsidRPr="00000000" w14:paraId="000000A2">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i w:val="1"/>
          <w:sz w:val="22"/>
          <w:szCs w:val="22"/>
          <w:rtl w:val="0"/>
        </w:rPr>
        <w:t xml:space="preserve">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00000" w:rsidDel="00000000" w:rsidP="00000000" w:rsidRDefault="00000000" w:rsidRPr="00000000" w14:paraId="000000A3">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 </w:t>
      </w:r>
      <w:r w:rsidDel="00000000" w:rsidR="00000000" w:rsidRPr="00000000">
        <w:rPr>
          <w:rFonts w:ascii="Palatino Linotype" w:cs="Palatino Linotype" w:eastAsia="Palatino Linotype" w:hAnsi="Palatino Linotype"/>
          <w:i w:val="1"/>
          <w:sz w:val="22"/>
          <w:szCs w:val="22"/>
          <w:rtl w:val="0"/>
        </w:rPr>
        <w:t xml:space="preserve">Ponga en riesgo la vida, la seguridad o la salud de una persona física;</w:t>
      </w:r>
    </w:p>
    <w:p w:rsidR="00000000" w:rsidDel="00000000" w:rsidP="00000000" w:rsidRDefault="00000000" w:rsidRPr="00000000" w14:paraId="000000A4">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Aquella cuya divulgación obstruya o pueda causar un serio perjuicio a:</w:t>
      </w:r>
    </w:p>
    <w:p w:rsidR="00000000" w:rsidDel="00000000" w:rsidP="00000000" w:rsidRDefault="00000000" w:rsidRPr="00000000" w14:paraId="000000A5">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 </w:t>
      </w:r>
      <w:r w:rsidDel="00000000" w:rsidR="00000000" w:rsidRPr="00000000">
        <w:rPr>
          <w:rFonts w:ascii="Palatino Linotype" w:cs="Palatino Linotype" w:eastAsia="Palatino Linotype" w:hAnsi="Palatino Linotype"/>
          <w:i w:val="1"/>
          <w:sz w:val="22"/>
          <w:szCs w:val="22"/>
          <w:rtl w:val="0"/>
        </w:rPr>
        <w:t xml:space="preserve">Las actividades de fiscalización, verificación, inspección, comprobación y auditoría sobre el cumplimiento de las Leyes; o </w:t>
      </w:r>
    </w:p>
    <w:p w:rsidR="00000000" w:rsidDel="00000000" w:rsidP="00000000" w:rsidRDefault="00000000" w:rsidRPr="00000000" w14:paraId="000000A6">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2. </w:t>
      </w:r>
      <w:r w:rsidDel="00000000" w:rsidR="00000000" w:rsidRPr="00000000">
        <w:rPr>
          <w:rFonts w:ascii="Palatino Linotype" w:cs="Palatino Linotype" w:eastAsia="Palatino Linotype" w:hAnsi="Palatino Linotype"/>
          <w:i w:val="1"/>
          <w:sz w:val="22"/>
          <w:szCs w:val="22"/>
          <w:rtl w:val="0"/>
        </w:rPr>
        <w:t xml:space="preserve">La recaudación de las contribuciones.</w:t>
      </w:r>
    </w:p>
    <w:p w:rsidR="00000000" w:rsidDel="00000000" w:rsidP="00000000" w:rsidRDefault="00000000" w:rsidRPr="00000000" w14:paraId="000000A7">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00000" w:rsidDel="00000000" w:rsidP="00000000" w:rsidRDefault="00000000" w:rsidRPr="00000000" w14:paraId="000000A8">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que contengan las opiniones, recomendaciones o puntos de vista que formen parte del proceso deliberativo de los servidores públicos, hasta en tanto sea adoptada la decisión definitiva, la cual deberá estar documentada;</w:t>
      </w:r>
    </w:p>
    <w:p w:rsidR="00000000" w:rsidDel="00000000" w:rsidP="00000000" w:rsidRDefault="00000000" w:rsidRPr="00000000" w14:paraId="000000A9">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w:t>
      </w:r>
      <w:r w:rsidDel="00000000" w:rsidR="00000000" w:rsidRPr="00000000">
        <w:rPr>
          <w:rFonts w:ascii="Palatino Linotype" w:cs="Palatino Linotype" w:eastAsia="Palatino Linotype" w:hAnsi="Palatino Linotype"/>
          <w:i w:val="1"/>
          <w:sz w:val="22"/>
          <w:szCs w:val="22"/>
          <w:rtl w:val="0"/>
        </w:rPr>
        <w:t xml:space="preserve">. Vulnere la conducción de los expedientes judiciales o de los procedimientos administrativos seguidos en forma de juicio, en tanto no hayan quedado firmes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AA">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IX. </w:t>
      </w:r>
      <w:r w:rsidDel="00000000" w:rsidR="00000000" w:rsidRPr="00000000">
        <w:rPr>
          <w:rFonts w:ascii="Palatino Linotype" w:cs="Palatino Linotype" w:eastAsia="Palatino Linotype" w:hAnsi="Palatino Linotype"/>
          <w:i w:val="1"/>
          <w:sz w:val="22"/>
          <w:szCs w:val="22"/>
          <w:rtl w:val="0"/>
        </w:rPr>
        <w:t xml:space="preserve">Se encuentre contenida dentro de las investigaciones de hechos que la Ley señale como delitos y se tramiten ante el Ministerio Público;</w:t>
      </w:r>
    </w:p>
    <w:p w:rsidR="00000000" w:rsidDel="00000000" w:rsidP="00000000" w:rsidRDefault="00000000" w:rsidRPr="00000000" w14:paraId="000000AB">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 </w:t>
      </w:r>
      <w:r w:rsidDel="00000000" w:rsidR="00000000" w:rsidRPr="00000000">
        <w:rPr>
          <w:rFonts w:ascii="Palatino Linotype" w:cs="Palatino Linotype" w:eastAsia="Palatino Linotype" w:hAnsi="Palatino Linotype"/>
          <w:i w:val="1"/>
          <w:sz w:val="22"/>
          <w:szCs w:val="22"/>
          <w:rtl w:val="0"/>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00000" w:rsidDel="00000000" w:rsidP="00000000" w:rsidRDefault="00000000" w:rsidRPr="00000000" w14:paraId="000000AC">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00000" w:rsidDel="00000000" w:rsidP="00000000" w:rsidRDefault="00000000" w:rsidRPr="00000000" w14:paraId="000000AD">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w:t>
      </w:r>
      <w:r w:rsidDel="00000000" w:rsidR="00000000" w:rsidRPr="00000000">
        <w:rPr>
          <w:rFonts w:ascii="Palatino Linotype" w:cs="Palatino Linotype" w:eastAsia="Palatino Linotype" w:hAnsi="Palatino Linotype"/>
          <w:i w:val="1"/>
          <w:sz w:val="22"/>
          <w:szCs w:val="22"/>
          <w:rtl w:val="0"/>
        </w:rPr>
        <w:t xml:space="preserve">Las que por disposición expresa de una ley tengan tal carácter, siempre que sean acordes con las bases, principios y disposiciones establecidos en esta Ley y no la contravengan; así como las previstas en tratados internacionales.</w:t>
      </w:r>
    </w:p>
    <w:p w:rsidR="00000000" w:rsidDel="00000000" w:rsidP="00000000" w:rsidRDefault="00000000" w:rsidRPr="00000000" w14:paraId="000000AE">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AF">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143. </w:t>
      </w:r>
      <w:r w:rsidDel="00000000" w:rsidR="00000000" w:rsidRPr="00000000">
        <w:rPr>
          <w:rFonts w:ascii="Palatino Linotype" w:cs="Palatino Linotype" w:eastAsia="Palatino Linotype" w:hAnsi="Palatino Linotype"/>
          <w:i w:val="1"/>
          <w:sz w:val="22"/>
          <w:szCs w:val="22"/>
          <w:rtl w:val="0"/>
        </w:rPr>
        <w:t xml:space="preserve">Para los efectos de esta Ley se considera información confidencial, la clasificada como tal, de manera permanente, por su naturaleza, cuando:</w:t>
      </w:r>
    </w:p>
    <w:p w:rsidR="00000000" w:rsidDel="00000000" w:rsidP="00000000" w:rsidRDefault="00000000" w:rsidRPr="00000000" w14:paraId="000000B0">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i w:val="1"/>
          <w:sz w:val="22"/>
          <w:szCs w:val="22"/>
          <w:rtl w:val="0"/>
        </w:rPr>
        <w:t xml:space="preserve">Se refiera a la información privada y los datos personales concernientes a una persona física o jurídico colectiva identificada o identificable;</w:t>
      </w:r>
    </w:p>
    <w:p w:rsidR="00000000" w:rsidDel="00000000" w:rsidP="00000000" w:rsidRDefault="00000000" w:rsidRPr="00000000" w14:paraId="000000B1">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 </w:t>
      </w:r>
      <w:r w:rsidDel="00000000" w:rsidR="00000000" w:rsidRPr="00000000">
        <w:rPr>
          <w:rFonts w:ascii="Palatino Linotype" w:cs="Palatino Linotype" w:eastAsia="Palatino Linotype" w:hAnsi="Palatino Linotype"/>
          <w:i w:val="1"/>
          <w:sz w:val="22"/>
          <w:szCs w:val="22"/>
          <w:rtl w:val="0"/>
        </w:rPr>
        <w:t xml:space="preserve">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0B2">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i w:val="1"/>
          <w:sz w:val="22"/>
          <w:szCs w:val="22"/>
          <w:rtl w:val="0"/>
        </w:rPr>
        <w:t xml:space="preserve">La que presenten los particulares a los sujetos obligados, de conformidad con lo dispuesto por las leyes o los tratados internacionales.</w:t>
      </w:r>
    </w:p>
    <w:p w:rsidR="00000000" w:rsidDel="00000000" w:rsidP="00000000" w:rsidRDefault="00000000" w:rsidRPr="00000000" w14:paraId="000000B3">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B4">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se considerará confidencial la información que se encuentre en los registros públicos o en fuentes de acceso público, ni tampoco la que sea considerada por la presente ley como información pública.”</w:t>
      </w:r>
    </w:p>
    <w:p w:rsidR="00000000" w:rsidDel="00000000" w:rsidP="00000000" w:rsidRDefault="00000000" w:rsidRPr="00000000" w14:paraId="000000B5">
      <w:pPr>
        <w:tabs>
          <w:tab w:val="left" w:leader="none" w:pos="567"/>
        </w:tabs>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6">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00000" w:rsidDel="00000000" w:rsidP="00000000" w:rsidRDefault="00000000" w:rsidRPr="00000000" w14:paraId="000000B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8">
      <w:pPr>
        <w:numPr>
          <w:ilvl w:val="0"/>
          <w:numId w:val="2"/>
        </w:numPr>
        <w:tabs>
          <w:tab w:val="left" w:leader="none" w:pos="851"/>
        </w:tabs>
        <w:spacing w:line="360" w:lineRule="auto"/>
        <w:ind w:left="56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Se reciba una solicitud de acceso a la información;</w:t>
      </w:r>
    </w:p>
    <w:p w:rsidR="00000000" w:rsidDel="00000000" w:rsidP="00000000" w:rsidRDefault="00000000" w:rsidRPr="00000000" w14:paraId="000000B9">
      <w:pPr>
        <w:numPr>
          <w:ilvl w:val="0"/>
          <w:numId w:val="2"/>
        </w:numPr>
        <w:tabs>
          <w:tab w:val="left" w:leader="none" w:pos="851"/>
        </w:tabs>
        <w:spacing w:line="360" w:lineRule="auto"/>
        <w:ind w:left="56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Se determine mediante resolución de autoridad competente; y/o</w:t>
      </w:r>
    </w:p>
    <w:p w:rsidR="00000000" w:rsidDel="00000000" w:rsidP="00000000" w:rsidRDefault="00000000" w:rsidRPr="00000000" w14:paraId="000000BA">
      <w:pPr>
        <w:numPr>
          <w:ilvl w:val="0"/>
          <w:numId w:val="2"/>
        </w:numPr>
        <w:tabs>
          <w:tab w:val="left" w:leader="none" w:pos="851"/>
        </w:tabs>
        <w:spacing w:line="360" w:lineRule="auto"/>
        <w:ind w:left="567"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Se generen versiones públicas para dar cumplimiento a las obligaciones de transparencia previstas en la Ley.</w:t>
      </w:r>
    </w:p>
    <w:p w:rsidR="00000000" w:rsidDel="00000000" w:rsidP="00000000" w:rsidRDefault="00000000" w:rsidRPr="00000000" w14:paraId="000000BB">
      <w:pPr>
        <w:tabs>
          <w:tab w:val="left" w:leader="none" w:pos="851"/>
        </w:tabs>
        <w:spacing w:line="360" w:lineRule="auto"/>
        <w:ind w:left="567"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C">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sentido, es de precisar que la clasificación de la información no se da por el simple mandato de la Ley, sino que es necesario que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Del="00000000" w:rsidR="00000000" w:rsidRPr="00000000">
        <w:rPr>
          <w:rFonts w:ascii="Palatino Linotype" w:cs="Palatino Linotype" w:eastAsia="Palatino Linotype" w:hAnsi="Palatino Linotype"/>
          <w:sz w:val="22"/>
          <w:szCs w:val="22"/>
          <w:vertAlign w:val="superscript"/>
        </w:rPr>
        <w:footnoteReference w:customMarkFollows="0" w:id="0"/>
      </w:r>
      <w:r w:rsidDel="00000000" w:rsidR="00000000" w:rsidRPr="00000000">
        <w:rPr>
          <w:rFonts w:ascii="Palatino Linotype" w:cs="Palatino Linotype" w:eastAsia="Palatino Linotype" w:hAnsi="Palatino Linotype"/>
          <w:sz w:val="22"/>
          <w:szCs w:val="22"/>
          <w:rtl w:val="0"/>
        </w:rPr>
        <w:t xml:space="preserve">, 53 fracción X</w:t>
      </w:r>
      <w:r w:rsidDel="00000000" w:rsidR="00000000" w:rsidRPr="00000000">
        <w:rPr>
          <w:rFonts w:ascii="Palatino Linotype" w:cs="Palatino Linotype" w:eastAsia="Palatino Linotype" w:hAnsi="Palatino Linotype"/>
          <w:sz w:val="22"/>
          <w:szCs w:val="22"/>
          <w:vertAlign w:val="superscript"/>
        </w:rPr>
        <w:footnoteReference w:customMarkFollows="0" w:id="1"/>
      </w:r>
      <w:r w:rsidDel="00000000" w:rsidR="00000000" w:rsidRPr="00000000">
        <w:rPr>
          <w:rFonts w:ascii="Palatino Linotype" w:cs="Palatino Linotype" w:eastAsia="Palatino Linotype" w:hAnsi="Palatino Linotype"/>
          <w:sz w:val="22"/>
          <w:szCs w:val="22"/>
          <w:rtl w:val="0"/>
        </w:rPr>
        <w:t xml:space="preserve">, y 49 fracciones II y VIII</w:t>
      </w:r>
      <w:r w:rsidDel="00000000" w:rsidR="00000000" w:rsidRPr="00000000">
        <w:rPr>
          <w:rFonts w:ascii="Palatino Linotype" w:cs="Palatino Linotype" w:eastAsia="Palatino Linotype" w:hAnsi="Palatino Linotype"/>
          <w:sz w:val="22"/>
          <w:szCs w:val="22"/>
          <w:vertAlign w:val="superscript"/>
        </w:rPr>
        <w:footnoteReference w:customMarkFollows="0" w:id="2"/>
      </w:r>
      <w:r w:rsidDel="00000000" w:rsidR="00000000" w:rsidRPr="00000000">
        <w:rPr>
          <w:rFonts w:ascii="Palatino Linotype" w:cs="Palatino Linotype" w:eastAsia="Palatino Linotype" w:hAnsi="Palatino Linotype"/>
          <w:sz w:val="22"/>
          <w:szCs w:val="22"/>
          <w:rtl w:val="0"/>
        </w:rPr>
        <w:t xml:space="preserve"> de la Ley de Transparencia y Acceso a la Información Pública del Estado de México y Municipios.</w:t>
      </w:r>
    </w:p>
    <w:p w:rsidR="00000000" w:rsidDel="00000000" w:rsidP="00000000" w:rsidRDefault="00000000" w:rsidRPr="00000000" w14:paraId="000000BD">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B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Bajo tales consideraciones, este Organismo Garante no omite señalar que, si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advierte que la información solicitada contiene </w:t>
      </w:r>
      <w:r w:rsidDel="00000000" w:rsidR="00000000" w:rsidRPr="00000000">
        <w:rPr>
          <w:rFonts w:ascii="Palatino Linotype" w:cs="Palatino Linotype" w:eastAsia="Palatino Linotype" w:hAnsi="Palatino Linotype"/>
          <w:b w:val="1"/>
          <w:sz w:val="22"/>
          <w:szCs w:val="22"/>
          <w:rtl w:val="0"/>
        </w:rPr>
        <w:t xml:space="preserve">datos personales</w:t>
      </w:r>
      <w:r w:rsidDel="00000000" w:rsidR="00000000" w:rsidRPr="00000000">
        <w:rPr>
          <w:rFonts w:ascii="Palatino Linotype" w:cs="Palatino Linotype" w:eastAsia="Palatino Linotype" w:hAnsi="Palatino Linotype"/>
          <w:sz w:val="22"/>
          <w:szCs w:val="22"/>
          <w:rtl w:val="0"/>
        </w:rPr>
        <w:t xml:space="preserve"> que sean susceptibles de ser </w:t>
      </w:r>
      <w:r w:rsidDel="00000000" w:rsidR="00000000" w:rsidRPr="00000000">
        <w:rPr>
          <w:rFonts w:ascii="Palatino Linotype" w:cs="Palatino Linotype" w:eastAsia="Palatino Linotype" w:hAnsi="Palatino Linotype"/>
          <w:b w:val="1"/>
          <w:sz w:val="22"/>
          <w:szCs w:val="22"/>
          <w:rtl w:val="0"/>
        </w:rPr>
        <w:t xml:space="preserve">clasificados como confidenciales, </w:t>
      </w:r>
      <w:r w:rsidDel="00000000" w:rsidR="00000000" w:rsidRPr="00000000">
        <w:rPr>
          <w:rFonts w:ascii="Palatino Linotype" w:cs="Palatino Linotype" w:eastAsia="Palatino Linotype" w:hAnsi="Palatino Linotype"/>
          <w:sz w:val="22"/>
          <w:szCs w:val="22"/>
          <w:rtl w:val="0"/>
        </w:rPr>
        <w:t xml:space="preserve">o, si por otro lado</w:t>
      </w:r>
      <w:r w:rsidDel="00000000" w:rsidR="00000000" w:rsidRPr="00000000">
        <w:rPr>
          <w:rFonts w:ascii="Palatino Linotype" w:cs="Palatino Linotype" w:eastAsia="Palatino Linotype" w:hAnsi="Palatino Linotype"/>
          <w:b w:val="1"/>
          <w:sz w:val="22"/>
          <w:szCs w:val="22"/>
          <w:rtl w:val="0"/>
        </w:rPr>
        <w:t xml:space="preserve">, por su propia y especial naturaleza,</w:t>
      </w:r>
      <w:r w:rsidDel="00000000" w:rsidR="00000000" w:rsidRPr="00000000">
        <w:rPr>
          <w:rFonts w:ascii="Palatino Linotype" w:cs="Palatino Linotype" w:eastAsia="Palatino Linotype" w:hAnsi="Palatino Linotype"/>
          <w:sz w:val="22"/>
          <w:szCs w:val="22"/>
          <w:rtl w:val="0"/>
        </w:rPr>
        <w:t xml:space="preserve"> encuadra en alguno de los </w:t>
      </w:r>
      <w:r w:rsidDel="00000000" w:rsidR="00000000" w:rsidRPr="00000000">
        <w:rPr>
          <w:rFonts w:ascii="Palatino Linotype" w:cs="Palatino Linotype" w:eastAsia="Palatino Linotype" w:hAnsi="Palatino Linotype"/>
          <w:b w:val="1"/>
          <w:sz w:val="22"/>
          <w:szCs w:val="22"/>
          <w:rtl w:val="0"/>
        </w:rPr>
        <w:t xml:space="preserve">supuestos de reserva o de confidencialidad en su totalidad</w:t>
      </w:r>
      <w:r w:rsidDel="00000000" w:rsidR="00000000" w:rsidRPr="00000000">
        <w:rPr>
          <w:rFonts w:ascii="Palatino Linotype" w:cs="Palatino Linotype" w:eastAsia="Palatino Linotype" w:hAnsi="Palatino Linotype"/>
          <w:sz w:val="22"/>
          <w:szCs w:val="22"/>
          <w:rtl w:val="0"/>
        </w:rPr>
        <w:t xml:space="preserve">, deberá emitir, un</w:t>
      </w:r>
      <w:r w:rsidDel="00000000" w:rsidR="00000000" w:rsidRPr="00000000">
        <w:rPr>
          <w:rFonts w:ascii="Palatino Linotype" w:cs="Palatino Linotype" w:eastAsia="Palatino Linotype" w:hAnsi="Palatino Linotype"/>
          <w:b w:val="1"/>
          <w:sz w:val="22"/>
          <w:szCs w:val="22"/>
          <w:rtl w:val="0"/>
        </w:rPr>
        <w:t xml:space="preserve"> Acuerdo de Clasificación </w:t>
      </w:r>
      <w:r w:rsidDel="00000000" w:rsidR="00000000" w:rsidRPr="00000000">
        <w:rPr>
          <w:rFonts w:ascii="Palatino Linotype" w:cs="Palatino Linotype" w:eastAsia="Palatino Linotype" w:hAnsi="Palatino Linotype"/>
          <w:sz w:val="22"/>
          <w:szCs w:val="22"/>
          <w:rtl w:val="0"/>
        </w:rPr>
        <w:t xml:space="preserve">debidamente fundado y motivado que</w:t>
      </w:r>
      <w:r w:rsidDel="00000000" w:rsidR="00000000" w:rsidRPr="00000000">
        <w:rPr>
          <w:rFonts w:ascii="Palatino Linotype" w:cs="Palatino Linotype" w:eastAsia="Palatino Linotype" w:hAnsi="Palatino Linotype"/>
          <w:b w:val="1"/>
          <w:sz w:val="22"/>
          <w:szCs w:val="22"/>
          <w:rtl w:val="0"/>
        </w:rPr>
        <w:t xml:space="preserve"> sustente la clasificación parcial, a través de la versión pública que emita,</w:t>
      </w:r>
      <w:r w:rsidDel="00000000" w:rsidR="00000000" w:rsidRPr="00000000">
        <w:rPr>
          <w:rFonts w:ascii="Palatino Linotype" w:cs="Palatino Linotype" w:eastAsia="Palatino Linotype" w:hAnsi="Palatino Linotype"/>
          <w:sz w:val="22"/>
          <w:szCs w:val="22"/>
          <w:rtl w:val="0"/>
        </w:rPr>
        <w:t xml:space="preserve"> o bien, la restricción total del derecho de acceso a la información.  </w:t>
      </w:r>
    </w:p>
    <w:p w:rsidR="00000000" w:rsidDel="00000000" w:rsidP="00000000" w:rsidRDefault="00000000" w:rsidRPr="00000000" w14:paraId="000000B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clasificación parcial de la información.</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360" w:lineRule="auto"/>
        <w:ind w:left="720"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2">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00000" w:rsidDel="00000000" w:rsidP="00000000" w:rsidRDefault="00000000" w:rsidRPr="00000000" w14:paraId="000000C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51"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clasificación de información como reservada.</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360" w:lineRule="auto"/>
        <w:ind w:left="720" w:right="51" w:firstLine="0"/>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C6">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cuanto hace a la reserva y ampliación del plazo de reserva de la información, para motivar la clasificación se deberán de señalar las razones, motivos o circunstancias especiales que llevaron al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00000" w:rsidDel="00000000" w:rsidP="00000000" w:rsidRDefault="00000000" w:rsidRPr="00000000" w14:paraId="000000C7">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000000" w:rsidDel="00000000" w:rsidP="00000000" w:rsidRDefault="00000000" w:rsidRPr="00000000" w14:paraId="000000C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A">
      <w:pPr>
        <w:numPr>
          <w:ilvl w:val="0"/>
          <w:numId w:val="1"/>
        </w:numPr>
        <w:tabs>
          <w:tab w:val="left" w:leader="none" w:pos="851"/>
        </w:tabs>
        <w:spacing w:line="360" w:lineRule="auto"/>
        <w:ind w:left="567" w:firstLine="1.000000000000014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divulgación de la información representa un </w:t>
      </w:r>
      <w:r w:rsidDel="00000000" w:rsidR="00000000" w:rsidRPr="00000000">
        <w:rPr>
          <w:rFonts w:ascii="Palatino Linotype" w:cs="Palatino Linotype" w:eastAsia="Palatino Linotype" w:hAnsi="Palatino Linotype"/>
          <w:b w:val="1"/>
          <w:sz w:val="22"/>
          <w:szCs w:val="22"/>
          <w:rtl w:val="0"/>
        </w:rPr>
        <w:t xml:space="preserve">riesgo real, demostrable e identificable del perjuicio significativo al interés público o a la seguridad pública</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CB">
      <w:pPr>
        <w:numPr>
          <w:ilvl w:val="0"/>
          <w:numId w:val="1"/>
        </w:numPr>
        <w:tabs>
          <w:tab w:val="left" w:leader="none" w:pos="851"/>
        </w:tabs>
        <w:spacing w:line="360" w:lineRule="auto"/>
        <w:ind w:left="567" w:firstLine="1.000000000000014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riesgo de perjuicio que supondría la divulgación supera el interés público general de que se difunda; y,</w:t>
      </w:r>
    </w:p>
    <w:p w:rsidR="00000000" w:rsidDel="00000000" w:rsidP="00000000" w:rsidRDefault="00000000" w:rsidRPr="00000000" w14:paraId="000000CC">
      <w:pPr>
        <w:numPr>
          <w:ilvl w:val="0"/>
          <w:numId w:val="1"/>
        </w:numPr>
        <w:tabs>
          <w:tab w:val="left" w:leader="none" w:pos="851"/>
        </w:tabs>
        <w:spacing w:line="360" w:lineRule="auto"/>
        <w:ind w:left="567" w:firstLine="1.000000000000014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limitación se adecua al principio de proporcionalidad y representa el medio menos restrictivo disponible para evitar el perjuicio. </w:t>
      </w:r>
    </w:p>
    <w:p w:rsidR="00000000" w:rsidDel="00000000" w:rsidP="00000000" w:rsidRDefault="00000000" w:rsidRPr="00000000" w14:paraId="000000CD">
      <w:pPr>
        <w:tabs>
          <w:tab w:val="left" w:leader="none" w:pos="851"/>
        </w:tabs>
        <w:spacing w:line="360" w:lineRule="auto"/>
        <w:ind w:left="568"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C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Siendo pertinente aclarar que, la información que se clasifica bajo la premisa de reservada, </w:t>
      </w:r>
      <w:r w:rsidDel="00000000" w:rsidR="00000000" w:rsidRPr="00000000">
        <w:rPr>
          <w:rFonts w:ascii="Palatino Linotype" w:cs="Palatino Linotype" w:eastAsia="Palatino Linotype" w:hAnsi="Palatino Linotype"/>
          <w:b w:val="1"/>
          <w:sz w:val="22"/>
          <w:szCs w:val="22"/>
          <w:rtl w:val="0"/>
        </w:rPr>
        <w:t xml:space="preserve">no pierde el carácter de pública</w:t>
      </w:r>
      <w:r w:rsidDel="00000000" w:rsidR="00000000" w:rsidRPr="00000000">
        <w:rPr>
          <w:rFonts w:ascii="Palatino Linotype" w:cs="Palatino Linotype" w:eastAsia="Palatino Linotype" w:hAnsi="Palatino Linotype"/>
          <w:sz w:val="22"/>
          <w:szCs w:val="22"/>
          <w:rtl w:val="0"/>
        </w:rPr>
        <w:t xml:space="preserve">, sino que </w:t>
      </w:r>
      <w:r w:rsidDel="00000000" w:rsidR="00000000" w:rsidRPr="00000000">
        <w:rPr>
          <w:rFonts w:ascii="Palatino Linotype" w:cs="Palatino Linotype" w:eastAsia="Palatino Linotype" w:hAnsi="Palatino Linotype"/>
          <w:b w:val="1"/>
          <w:sz w:val="22"/>
          <w:szCs w:val="22"/>
          <w:rtl w:val="0"/>
        </w:rPr>
        <w:t xml:space="preserve">se reserva temporalmente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del conocimiento público</w:t>
      </w:r>
      <w:r w:rsidDel="00000000" w:rsidR="00000000" w:rsidRPr="00000000">
        <w:rPr>
          <w:rFonts w:ascii="Palatino Linotype" w:cs="Palatino Linotype" w:eastAsia="Palatino Linotype" w:hAnsi="Palatino Linotype"/>
          <w:sz w:val="22"/>
          <w:szCs w:val="22"/>
          <w:rtl w:val="0"/>
        </w:rPr>
        <w:t xml:space="preserve">, es decir, que, </w:t>
      </w:r>
      <w:r w:rsidDel="00000000" w:rsidR="00000000" w:rsidRPr="00000000">
        <w:rPr>
          <w:rFonts w:ascii="Palatino Linotype" w:cs="Palatino Linotype" w:eastAsia="Palatino Linotype" w:hAnsi="Palatino Linotype"/>
          <w:b w:val="1"/>
          <w:sz w:val="22"/>
          <w:szCs w:val="22"/>
          <w:rtl w:val="0"/>
        </w:rPr>
        <w:t xml:space="preserve">por un tiempo determinado</w:t>
      </w:r>
      <w:r w:rsidDel="00000000" w:rsidR="00000000" w:rsidRPr="00000000">
        <w:rPr>
          <w:rFonts w:ascii="Palatino Linotype" w:cs="Palatino Linotype" w:eastAsia="Palatino Linotype" w:hAnsi="Palatino Linotype"/>
          <w:sz w:val="22"/>
          <w:szCs w:val="22"/>
          <w:rtl w:val="0"/>
        </w:rPr>
        <w:t xml:space="preserve">, se conservará y custodiará la información de manera especial, y una vez transcurrido el plazo de reserva, el documento podrá divulgarse.</w:t>
      </w:r>
    </w:p>
    <w:p w:rsidR="00000000" w:rsidDel="00000000" w:rsidP="00000000" w:rsidRDefault="00000000" w:rsidRPr="00000000" w14:paraId="000000C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D0">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00000" w:rsidDel="00000000" w:rsidP="00000000" w:rsidRDefault="00000000" w:rsidRPr="00000000" w14:paraId="000000D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72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clasificación de la información como totalmente confidencial.</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709"/>
        </w:tabs>
        <w:spacing w:line="360" w:lineRule="auto"/>
        <w:ind w:left="720" w:firstLine="0"/>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D4">
      <w:pPr>
        <w:tabs>
          <w:tab w:val="left" w:leader="none" w:pos="709"/>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000000" w:rsidDel="00000000" w:rsidP="00000000" w:rsidRDefault="00000000" w:rsidRPr="00000000" w14:paraId="000000D5">
      <w:pPr>
        <w:tabs>
          <w:tab w:val="left" w:leader="none" w:pos="709"/>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D6">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Del="00000000" w:rsidR="00000000" w:rsidRPr="00000000">
        <w:rPr>
          <w:rFonts w:ascii="Palatino Linotype" w:cs="Palatino Linotype" w:eastAsia="Palatino Linotype" w:hAnsi="Palatino Linotype"/>
          <w:sz w:val="22"/>
          <w:szCs w:val="22"/>
          <w:vertAlign w:val="superscript"/>
        </w:rPr>
        <w:footnoteReference w:customMarkFollows="0" w:id="3"/>
      </w:r>
      <w:r w:rsidDel="00000000" w:rsidR="00000000" w:rsidRPr="00000000">
        <w:rPr>
          <w:rFonts w:ascii="Palatino Linotype" w:cs="Palatino Linotype" w:eastAsia="Palatino Linotype" w:hAnsi="Palatino Linotype"/>
          <w:sz w:val="22"/>
          <w:szCs w:val="22"/>
          <w:rtl w:val="0"/>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00000" w:rsidDel="00000000" w:rsidP="00000000" w:rsidRDefault="00000000" w:rsidRPr="00000000" w14:paraId="000000D7">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51"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 la declaratoria de inexistencia de la información</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9">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DA">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otro lado, estima prudente señalar al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que, en caso de que la información solicitada, debiera obrar en sus archivos y no cuente con ella, deberá entregar el Acuerdo del Comité de Transparencia, en donde conste la declaratoria de inexistencia de la misma.</w:t>
      </w:r>
    </w:p>
    <w:p w:rsidR="00000000" w:rsidDel="00000000" w:rsidP="00000000" w:rsidRDefault="00000000" w:rsidRPr="00000000" w14:paraId="000000D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DC">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00000" w:rsidDel="00000000" w:rsidP="00000000" w:rsidRDefault="00000000" w:rsidRPr="00000000" w14:paraId="000000D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D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00000" w:rsidDel="00000000" w:rsidP="00000000" w:rsidRDefault="00000000" w:rsidRPr="00000000" w14:paraId="000000D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0">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Resulta aplicable el criterio de interpretación en el orden administrativo número 0008-19 emitido por Acuerdo del Pleno del Instituto de Transparencia y Acceso a la Información Pública del Estado de México y Municipios, que a la letra dice:</w:t>
      </w:r>
    </w:p>
    <w:p w:rsidR="00000000" w:rsidDel="00000000" w:rsidP="00000000" w:rsidRDefault="00000000" w:rsidRPr="00000000" w14:paraId="000000E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2">
      <w:pPr>
        <w:spacing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“INEXISTENCIA DE LA INFORMACIÓN. SUPUESTOS PARA EMITIR LA RESOLUCIÓN DE LA. </w:t>
      </w:r>
      <w:r w:rsidDel="00000000" w:rsidR="00000000" w:rsidRPr="00000000">
        <w:rPr>
          <w:rFonts w:ascii="Palatino Linotype" w:cs="Palatino Linotype" w:eastAsia="Palatino Linotype" w:hAnsi="Palatino Linotype"/>
          <w:i w:val="1"/>
          <w:sz w:val="22"/>
          <w:szCs w:val="22"/>
          <w:rtl w:val="0"/>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00000" w:rsidDel="00000000" w:rsidP="00000000" w:rsidRDefault="00000000" w:rsidRPr="00000000" w14:paraId="000000E3">
      <w:pPr>
        <w:spacing w:line="36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4">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mérito de todo lo expuesto, ante lo </w:t>
      </w:r>
      <w:r w:rsidDel="00000000" w:rsidR="00000000" w:rsidRPr="00000000">
        <w:rPr>
          <w:rFonts w:ascii="Palatino Linotype" w:cs="Palatino Linotype" w:eastAsia="Palatino Linotype" w:hAnsi="Palatino Linotype"/>
          <w:b w:val="1"/>
          <w:sz w:val="22"/>
          <w:szCs w:val="22"/>
          <w:rtl w:val="0"/>
        </w:rPr>
        <w:t xml:space="preserve">FUNDADO</w:t>
      </w:r>
      <w:r w:rsidDel="00000000" w:rsidR="00000000" w:rsidRPr="00000000">
        <w:rPr>
          <w:rFonts w:ascii="Palatino Linotype" w:cs="Palatino Linotype" w:eastAsia="Palatino Linotype" w:hAnsi="Palatino Linotype"/>
          <w:sz w:val="22"/>
          <w:szCs w:val="22"/>
          <w:rtl w:val="0"/>
        </w:rPr>
        <w:t xml:space="preserve"> de las razones o motivos de inconformidad hechos valer por la parte Recurrente, este Instituto estima que lo dable es </w:t>
      </w:r>
      <w:r w:rsidDel="00000000" w:rsidR="00000000" w:rsidRPr="00000000">
        <w:rPr>
          <w:rFonts w:ascii="Palatino Linotype" w:cs="Palatino Linotype" w:eastAsia="Palatino Linotype" w:hAnsi="Palatino Linotype"/>
          <w:b w:val="1"/>
          <w:sz w:val="22"/>
          <w:szCs w:val="22"/>
          <w:rtl w:val="0"/>
        </w:rPr>
        <w:t xml:space="preserve">ORDENAR</w:t>
      </w:r>
      <w:r w:rsidDel="00000000" w:rsidR="00000000" w:rsidRPr="00000000">
        <w:rPr>
          <w:rFonts w:ascii="Palatino Linotype" w:cs="Palatino Linotype" w:eastAsia="Palatino Linotype" w:hAnsi="Palatino Linotype"/>
          <w:sz w:val="22"/>
          <w:szCs w:val="22"/>
          <w:rtl w:val="0"/>
        </w:rPr>
        <w:t xml:space="preserve"> al Sujeto Obligado dé respuestas a las solicitudes de acceso a la información, atendiendo lo señalado en el presente Considerando.</w:t>
      </w:r>
    </w:p>
    <w:p w:rsidR="00000000" w:rsidDel="00000000" w:rsidP="00000000" w:rsidRDefault="00000000" w:rsidRPr="00000000" w14:paraId="000000E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6">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Finalmente, es de señalar que, como ya se mencionó el</w:t>
      </w:r>
      <w:r w:rsidDel="00000000" w:rsidR="00000000" w:rsidRPr="00000000">
        <w:rPr>
          <w:rFonts w:ascii="Palatino Linotype" w:cs="Palatino Linotype" w:eastAsia="Palatino Linotype" w:hAnsi="Palatino Linotype"/>
          <w:b w:val="1"/>
          <w:sz w:val="22"/>
          <w:szCs w:val="22"/>
          <w:rtl w:val="0"/>
        </w:rPr>
        <w:t xml:space="preserve"> Sujeto Obligado</w:t>
      </w:r>
      <w:r w:rsidDel="00000000" w:rsidR="00000000" w:rsidRPr="00000000">
        <w:rPr>
          <w:rFonts w:ascii="Palatino Linotype" w:cs="Palatino Linotype" w:eastAsia="Palatino Linotype" w:hAnsi="Palatino Linotype"/>
          <w:sz w:val="22"/>
          <w:szCs w:val="22"/>
          <w:rtl w:val="0"/>
        </w:rPr>
        <w:t xml:space="preserve">, omitió proporcionar respuestas a las solicitudes de acceso a la información pública, en el término contemplado en el ya citado artículo 163 de la Ley de la materia, razón por la que se ordena dar vista</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000000" w:rsidDel="00000000" w:rsidP="00000000" w:rsidRDefault="00000000" w:rsidRPr="00000000" w14:paraId="000000E7">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8">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360" w:lineRule="auto"/>
        <w:jc w:val="cente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III. R E S U E L V E</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360" w:lineRule="auto"/>
        <w:jc w:val="cente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EC">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Primero. </w:t>
      </w:r>
      <w:r w:rsidDel="00000000" w:rsidR="00000000" w:rsidRPr="00000000">
        <w:rPr>
          <w:rFonts w:ascii="Palatino Linotype" w:cs="Palatino Linotype" w:eastAsia="Palatino Linotype" w:hAnsi="Palatino Linotype"/>
          <w:sz w:val="22"/>
          <w:szCs w:val="22"/>
          <w:rtl w:val="0"/>
        </w:rPr>
        <w:t xml:space="preserve">Resultan </w:t>
      </w:r>
      <w:r w:rsidDel="00000000" w:rsidR="00000000" w:rsidRPr="00000000">
        <w:rPr>
          <w:rFonts w:ascii="Palatino Linotype" w:cs="Palatino Linotype" w:eastAsia="Palatino Linotype" w:hAnsi="Palatino Linotype"/>
          <w:b w:val="1"/>
          <w:sz w:val="22"/>
          <w:szCs w:val="22"/>
          <w:rtl w:val="0"/>
        </w:rPr>
        <w:t xml:space="preserve">FUNDADOS</w:t>
      </w:r>
      <w:r w:rsidDel="00000000" w:rsidR="00000000" w:rsidRPr="00000000">
        <w:rPr>
          <w:rFonts w:ascii="Palatino Linotype" w:cs="Palatino Linotype" w:eastAsia="Palatino Linotype" w:hAnsi="Palatino Linotype"/>
          <w:sz w:val="22"/>
          <w:szCs w:val="22"/>
          <w:rtl w:val="0"/>
        </w:rPr>
        <w:t xml:space="preserve"> los motivos de inconformidad de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términos del </w:t>
      </w:r>
      <w:r w:rsidDel="00000000" w:rsidR="00000000" w:rsidRPr="00000000">
        <w:rPr>
          <w:rFonts w:ascii="Palatino Linotype" w:cs="Palatino Linotype" w:eastAsia="Palatino Linotype" w:hAnsi="Palatino Linotype"/>
          <w:b w:val="1"/>
          <w:sz w:val="22"/>
          <w:szCs w:val="22"/>
          <w:rtl w:val="0"/>
        </w:rPr>
        <w:t xml:space="preserve">Considerando Cuarto</w:t>
      </w:r>
      <w:r w:rsidDel="00000000" w:rsidR="00000000" w:rsidRPr="00000000">
        <w:rPr>
          <w:rFonts w:ascii="Palatino Linotype" w:cs="Palatino Linotype" w:eastAsia="Palatino Linotype" w:hAnsi="Palatino Linotype"/>
          <w:sz w:val="22"/>
          <w:szCs w:val="22"/>
          <w:rtl w:val="0"/>
        </w:rPr>
        <w:t xml:space="preserve"> de la presente resolución.</w:t>
      </w:r>
    </w:p>
    <w:p w:rsidR="00000000" w:rsidDel="00000000" w:rsidP="00000000" w:rsidRDefault="00000000" w:rsidRPr="00000000" w14:paraId="000000ED">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E">
      <w:pPr>
        <w:spacing w:line="360" w:lineRule="auto"/>
        <w:jc w:val="both"/>
        <w:rPr>
          <w:rFonts w:ascii="Palatino Linotype" w:cs="Palatino Linotype" w:eastAsia="Palatino Linotype" w:hAnsi="Palatino Linotype"/>
          <w:sz w:val="22"/>
          <w:szCs w:val="22"/>
        </w:rPr>
      </w:pPr>
      <w:bookmarkStart w:colFirst="0" w:colLast="0" w:name="_heading=h.3dy6vkm" w:id="4"/>
      <w:bookmarkEnd w:id="4"/>
      <w:r w:rsidDel="00000000" w:rsidR="00000000" w:rsidRPr="00000000">
        <w:rPr>
          <w:rFonts w:ascii="Palatino Linotype" w:cs="Palatino Linotype" w:eastAsia="Palatino Linotype" w:hAnsi="Palatino Linotype"/>
          <w:b w:val="1"/>
          <w:sz w:val="22"/>
          <w:szCs w:val="22"/>
          <w:rtl w:val="0"/>
        </w:rPr>
        <w:t xml:space="preserve">Segundo.</w:t>
      </w:r>
      <w:r w:rsidDel="00000000" w:rsidR="00000000" w:rsidRPr="00000000">
        <w:rPr>
          <w:rFonts w:ascii="Palatino Linotype" w:cs="Palatino Linotype" w:eastAsia="Palatino Linotype" w:hAnsi="Palatino Linotype"/>
          <w:sz w:val="22"/>
          <w:szCs w:val="22"/>
          <w:rtl w:val="0"/>
        </w:rPr>
        <w:t xml:space="preserve"> Se</w:t>
      </w:r>
      <w:r w:rsidDel="00000000" w:rsidR="00000000" w:rsidRPr="00000000">
        <w:rPr>
          <w:rFonts w:ascii="Palatino Linotype" w:cs="Palatino Linotype" w:eastAsia="Palatino Linotype" w:hAnsi="Palatino Linotype"/>
          <w:b w:val="1"/>
          <w:sz w:val="22"/>
          <w:szCs w:val="22"/>
          <w:rtl w:val="0"/>
        </w:rPr>
        <w:t xml:space="preserve"> Ordena </w:t>
      </w:r>
      <w:r w:rsidDel="00000000" w:rsidR="00000000" w:rsidRPr="00000000">
        <w:rPr>
          <w:rFonts w:ascii="Palatino Linotype" w:cs="Palatino Linotype" w:eastAsia="Palatino Linotype" w:hAnsi="Palatino Linotype"/>
          <w:sz w:val="22"/>
          <w:szCs w:val="22"/>
          <w:rtl w:val="0"/>
        </w:rPr>
        <w:t xml:space="preserve">al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dé trámite, vía </w:t>
      </w:r>
      <w:r w:rsidDel="00000000" w:rsidR="00000000" w:rsidRPr="00000000">
        <w:rPr>
          <w:rFonts w:ascii="Palatino Linotype" w:cs="Palatino Linotype" w:eastAsia="Palatino Linotype" w:hAnsi="Palatino Linotype"/>
          <w:b w:val="1"/>
          <w:sz w:val="22"/>
          <w:szCs w:val="22"/>
          <w:rtl w:val="0"/>
        </w:rPr>
        <w:t xml:space="preserve">Sistema de Acceso a la Información Mexiquense </w:t>
      </w:r>
      <w:r w:rsidDel="00000000" w:rsidR="00000000" w:rsidRPr="00000000">
        <w:rPr>
          <w:rFonts w:ascii="Palatino Linotype" w:cs="Palatino Linotype" w:eastAsia="Palatino Linotype" w:hAnsi="Palatino Linotype"/>
          <w:sz w:val="22"/>
          <w:szCs w:val="22"/>
          <w:rtl w:val="0"/>
        </w:rPr>
        <w:t xml:space="preserve">a las solicitudes de acceso a la información pública </w:t>
      </w:r>
      <w:r w:rsidDel="00000000" w:rsidR="00000000" w:rsidRPr="00000000">
        <w:rPr>
          <w:rFonts w:ascii="Palatino Linotype" w:cs="Palatino Linotype" w:eastAsia="Palatino Linotype" w:hAnsi="Palatino Linotype"/>
          <w:b w:val="1"/>
          <w:sz w:val="22"/>
          <w:szCs w:val="22"/>
          <w:rtl w:val="0"/>
        </w:rPr>
        <w:t xml:space="preserve">00114/TEPOTZOT/IP/2025 y 00113/TEPOTZOT/IP/2025 </w:t>
      </w:r>
      <w:r w:rsidDel="00000000" w:rsidR="00000000" w:rsidRPr="00000000">
        <w:rPr>
          <w:rFonts w:ascii="Palatino Linotype" w:cs="Palatino Linotype" w:eastAsia="Palatino Linotype" w:hAnsi="Palatino Linotype"/>
          <w:sz w:val="22"/>
          <w:szCs w:val="22"/>
          <w:rtl w:val="0"/>
        </w:rPr>
        <w:t xml:space="preserve">que dieron origen a los recursos de revisión </w:t>
      </w:r>
      <w:r w:rsidDel="00000000" w:rsidR="00000000" w:rsidRPr="00000000">
        <w:rPr>
          <w:rFonts w:ascii="Palatino Linotype" w:cs="Palatino Linotype" w:eastAsia="Palatino Linotype" w:hAnsi="Palatino Linotype"/>
          <w:b w:val="1"/>
          <w:sz w:val="22"/>
          <w:szCs w:val="22"/>
          <w:rtl w:val="0"/>
        </w:rPr>
        <w:t xml:space="preserve">05219/INFOEM/IP/RR/2025 y 05220/INFOEM/IP/RR/2025, respectivamente, </w:t>
      </w:r>
      <w:r w:rsidDel="00000000" w:rsidR="00000000" w:rsidRPr="00000000">
        <w:rPr>
          <w:rFonts w:ascii="Palatino Linotype" w:cs="Palatino Linotype" w:eastAsia="Palatino Linotype" w:hAnsi="Palatino Linotype"/>
          <w:sz w:val="22"/>
          <w:szCs w:val="22"/>
          <w:rtl w:val="0"/>
        </w:rPr>
        <w:t xml:space="preserve">en términos del </w:t>
      </w:r>
      <w:r w:rsidDel="00000000" w:rsidR="00000000" w:rsidRPr="00000000">
        <w:rPr>
          <w:rFonts w:ascii="Palatino Linotype" w:cs="Palatino Linotype" w:eastAsia="Palatino Linotype" w:hAnsi="Palatino Linotype"/>
          <w:b w:val="1"/>
          <w:sz w:val="22"/>
          <w:szCs w:val="22"/>
          <w:rtl w:val="0"/>
        </w:rPr>
        <w:t xml:space="preserve">Considerando Cuarto</w:t>
      </w:r>
      <w:r w:rsidDel="00000000" w:rsidR="00000000" w:rsidRPr="00000000">
        <w:rPr>
          <w:rFonts w:ascii="Palatino Linotype" w:cs="Palatino Linotype" w:eastAsia="Palatino Linotype" w:hAnsi="Palatino Linotype"/>
          <w:sz w:val="22"/>
          <w:szCs w:val="22"/>
          <w:rtl w:val="0"/>
        </w:rPr>
        <w:t xml:space="preserve"> de esta resolución y emita respuesta, debiendo observar las excepciones contenidas en la Ley de Transparencia y Acceso a la Información Pública del Estado de México y Municipios.</w:t>
      </w:r>
    </w:p>
    <w:p w:rsidR="00000000" w:rsidDel="00000000" w:rsidP="00000000" w:rsidRDefault="00000000" w:rsidRPr="00000000" w14:paraId="000000E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F0">
      <w:pPr>
        <w:spacing w:line="360" w:lineRule="auto"/>
        <w:ind w:right="49"/>
        <w:jc w:val="both"/>
        <w:rPr>
          <w:rFonts w:ascii="Palatino Linotype" w:cs="Palatino Linotype" w:eastAsia="Palatino Linotype" w:hAnsi="Palatino Linotype"/>
          <w:sz w:val="22"/>
          <w:szCs w:val="22"/>
        </w:rPr>
      </w:pPr>
      <w:bookmarkStart w:colFirst="0" w:colLast="0" w:name="_heading=h.3znysh7" w:id="5"/>
      <w:bookmarkEnd w:id="5"/>
      <w:r w:rsidDel="00000000" w:rsidR="00000000" w:rsidRPr="00000000">
        <w:rPr>
          <w:rFonts w:ascii="Palatino Linotype" w:cs="Palatino Linotype" w:eastAsia="Palatino Linotype" w:hAnsi="Palatino Linotype"/>
          <w:b w:val="1"/>
          <w:sz w:val="22"/>
          <w:szCs w:val="22"/>
          <w:rtl w:val="0"/>
        </w:rPr>
        <w:t xml:space="preserve">Tercero.</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sz w:val="22"/>
          <w:szCs w:val="22"/>
          <w:rtl w:val="0"/>
        </w:rPr>
        <w:t xml:space="preserve">Notifíquese vía Sistema de Acceso a la Información Mexiquense </w:t>
      </w:r>
      <w:r w:rsidDel="00000000" w:rsidR="00000000" w:rsidRPr="00000000">
        <w:rPr>
          <w:rFonts w:ascii="Palatino Linotype" w:cs="Palatino Linotype" w:eastAsia="Palatino Linotype" w:hAnsi="Palatino Linotype"/>
          <w:sz w:val="22"/>
          <w:szCs w:val="22"/>
          <w:rtl w:val="0"/>
        </w:rPr>
        <w:t xml:space="preserve">la presente resolución al T</w:t>
      </w:r>
      <w:r w:rsidDel="00000000" w:rsidR="00000000" w:rsidRPr="00000000">
        <w:rPr>
          <w:rFonts w:ascii="Palatino Linotype" w:cs="Palatino Linotype" w:eastAsia="Palatino Linotype" w:hAnsi="Palatino Linotype"/>
          <w:b w:val="1"/>
          <w:sz w:val="22"/>
          <w:szCs w:val="22"/>
          <w:rtl w:val="0"/>
        </w:rPr>
        <w:t xml:space="preserve">itular de la Unidad de Transparencia </w:t>
      </w:r>
      <w:r w:rsidDel="00000000" w:rsidR="00000000" w:rsidRPr="00000000">
        <w:rPr>
          <w:rFonts w:ascii="Palatino Linotype" w:cs="Palatino Linotype" w:eastAsia="Palatino Linotype" w:hAnsi="Palatino Linotype"/>
          <w:sz w:val="22"/>
          <w:szCs w:val="22"/>
          <w:rtl w:val="0"/>
        </w:rPr>
        <w:t xml:space="preserve">del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00000" w:rsidDel="00000000" w:rsidP="00000000" w:rsidRDefault="00000000" w:rsidRPr="00000000" w14:paraId="000000F1">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F2">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Cuarto. Notifíquese</w:t>
      </w:r>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vía </w:t>
      </w:r>
      <w:r w:rsidDel="00000000" w:rsidR="00000000" w:rsidRPr="00000000">
        <w:rPr>
          <w:rFonts w:ascii="Palatino Linotype" w:cs="Palatino Linotype" w:eastAsia="Palatino Linotype" w:hAnsi="Palatino Linotype"/>
          <w:b w:val="1"/>
          <w:sz w:val="22"/>
          <w:szCs w:val="22"/>
          <w:rtl w:val="0"/>
        </w:rPr>
        <w:t xml:space="preserve">Sistema de Acceso a la Información Mexiquense</w:t>
      </w:r>
      <w:r w:rsidDel="00000000" w:rsidR="00000000" w:rsidRPr="00000000">
        <w:rPr>
          <w:rFonts w:ascii="Palatino Linotype" w:cs="Palatino Linotype" w:eastAsia="Palatino Linotype" w:hAnsi="Palatino Linotype"/>
          <w:sz w:val="22"/>
          <w:szCs w:val="22"/>
          <w:rtl w:val="0"/>
        </w:rPr>
        <w:t xml:space="preserve">, a la parte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0F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F4">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Quinto. Notifíquese </w:t>
      </w:r>
      <w:r w:rsidDel="00000000" w:rsidR="00000000" w:rsidRPr="00000000">
        <w:rPr>
          <w:rFonts w:ascii="Palatino Linotype" w:cs="Palatino Linotype" w:eastAsia="Palatino Linotype" w:hAnsi="Palatino Linotype"/>
          <w:sz w:val="22"/>
          <w:szCs w:val="22"/>
          <w:rtl w:val="0"/>
        </w:rPr>
        <w:t xml:space="preserve">a la parte </w:t>
      </w:r>
      <w:r w:rsidDel="00000000" w:rsidR="00000000" w:rsidRPr="00000000">
        <w:rPr>
          <w:rFonts w:ascii="Palatino Linotype" w:cs="Palatino Linotype" w:eastAsia="Palatino Linotype" w:hAnsi="Palatino Linotype"/>
          <w:b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que la respuesta que dé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000000" w:rsidDel="00000000" w:rsidP="00000000" w:rsidRDefault="00000000" w:rsidRPr="00000000" w14:paraId="000000F5">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F6">
      <w:pPr>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Sexto. Gírese </w:t>
      </w:r>
      <w:r w:rsidDel="00000000" w:rsidR="00000000" w:rsidRPr="00000000">
        <w:rPr>
          <w:rFonts w:ascii="Palatino Linotype" w:cs="Palatino Linotype" w:eastAsia="Palatino Linotype" w:hAnsi="Palatino Linotype"/>
          <w:sz w:val="22"/>
          <w:szCs w:val="22"/>
          <w:rtl w:val="0"/>
        </w:rPr>
        <w:t xml:space="preserve">oficio a la </w:t>
      </w:r>
      <w:r w:rsidDel="00000000" w:rsidR="00000000" w:rsidRPr="00000000">
        <w:rPr>
          <w:rFonts w:ascii="Palatino Linotype" w:cs="Palatino Linotype" w:eastAsia="Palatino Linotype" w:hAnsi="Palatino Linotype"/>
          <w:b w:val="1"/>
          <w:sz w:val="22"/>
          <w:szCs w:val="22"/>
          <w:rtl w:val="0"/>
        </w:rPr>
        <w:t xml:space="preserve">Secretaría Técnica del Pleno</w:t>
      </w:r>
      <w:r w:rsidDel="00000000" w:rsidR="00000000" w:rsidRPr="00000000">
        <w:rPr>
          <w:rFonts w:ascii="Palatino Linotype" w:cs="Palatino Linotype" w:eastAsia="Palatino Linotype" w:hAnsi="Palatino Linotype"/>
          <w:sz w:val="22"/>
          <w:szCs w:val="22"/>
          <w:rtl w:val="0"/>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de la presente resolución.</w:t>
      </w:r>
      <w:r w:rsidDel="00000000" w:rsidR="00000000" w:rsidRPr="00000000">
        <w:rPr>
          <w:rFonts w:ascii="Palatino Linotype" w:cs="Palatino Linotype" w:eastAsia="Palatino Linotype" w:hAnsi="Palatino Linotype"/>
          <w:b w:val="1"/>
          <w:sz w:val="22"/>
          <w:szCs w:val="22"/>
          <w:rtl w:val="0"/>
        </w:rPr>
        <w:t xml:space="preserve"> </w:t>
      </w:r>
    </w:p>
    <w:p w:rsidR="00000000" w:rsidDel="00000000" w:rsidP="00000000" w:rsidRDefault="00000000" w:rsidRPr="00000000" w14:paraId="000000F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F8">
      <w:pPr>
        <w:spacing w:line="360" w:lineRule="auto"/>
        <w:ind w:right="49"/>
        <w:jc w:val="both"/>
        <w:rPr>
          <w:rFonts w:ascii="Palatino Linotype" w:cs="Palatino Linotype" w:eastAsia="Palatino Linotype" w:hAnsi="Palatino Linotype"/>
          <w:sz w:val="22"/>
          <w:szCs w:val="22"/>
        </w:rPr>
        <w:sectPr>
          <w:headerReference r:id="rId8" w:type="default"/>
          <w:headerReference r:id="rId9" w:type="first"/>
          <w:footerReference r:id="rId10" w:type="default"/>
          <w:footerReference r:id="rId11" w:type="first"/>
          <w:pgSz w:h="15840" w:w="12240" w:orient="portrait"/>
          <w:pgMar w:bottom="1701" w:top="1985" w:left="1701" w:right="1701" w:header="709" w:footer="709"/>
          <w:pgNumType w:start="1"/>
          <w:titlePg w:val="1"/>
        </w:sectPr>
      </w:pPr>
      <w:bookmarkStart w:colFirst="0" w:colLast="0" w:name="_heading=h.1fob9te" w:id="6"/>
      <w:bookmarkEnd w:id="6"/>
      <w:r w:rsidDel="00000000" w:rsidR="00000000" w:rsidRPr="00000000">
        <w:rPr>
          <w:rFonts w:ascii="Palatino Linotype" w:cs="Palatino Linotype" w:eastAsia="Palatino Linotype" w:hAnsi="Palatino Linotype"/>
          <w:sz w:val="22"/>
          <w:szCs w:val="22"/>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DE MAYO DE DOS MIL VEINTICINCO, ANTE EL SECRETARIO TÉCNICO DEL PLENO ALEXIS TAPIA RAMÍREZ.</w:t>
      </w:r>
    </w:p>
    <w:p w:rsidR="00000000" w:rsidDel="00000000" w:rsidP="00000000" w:rsidRDefault="00000000" w:rsidRPr="00000000" w14:paraId="000000F9">
      <w:pPr>
        <w:rPr>
          <w:sz w:val="22"/>
          <w:szCs w:val="22"/>
        </w:rPr>
      </w:pPr>
      <w:r w:rsidDel="00000000" w:rsidR="00000000" w:rsidRPr="00000000">
        <w:rPr>
          <w:rtl w:val="0"/>
        </w:rPr>
      </w:r>
    </w:p>
    <w:sectPr>
      <w:headerReference r:id="rId12" w:type="first"/>
      <w:type w:val="nextPage"/>
      <w:pgSz w:h="15840" w:w="12240" w:orient="portrait"/>
      <w:pgMar w:bottom="1701" w:top="1985" w:left="1701" w:right="170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252"/>
        <w:tab w:val="right" w:leader="none"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252"/>
        <w:tab w:val="right" w:leader="none"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59. Los servidores públicos habilitados tendrán las funciones siguientes:</w:t>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V. Integrar y presentar al responsable de la Unidad de Transparencia la propuesta de clasificación de información, la cual tendrá los fundamentos y argumentos en que se basa dicha propuesta;</w:t>
      </w:r>
    </w:p>
  </w:footnote>
  <w:footnote w:id="1">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53. Las Unidades de Transparencia tendrán las siguientes funciones:</w:t>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X. Presentar ante el Comité, el proyecto de clasificación de información;</w:t>
      </w:r>
    </w:p>
  </w:footnote>
  <w:footnote w:id="2">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Artículo 49. Los Comités de Transparencia tendrán las siguientes atribuciones:</w:t>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II. Confirmar, modificar o revocar las determinaciones que en materia de ampliación del plazo de respuesta, clasificación de la información y declaración de inexistencia o de incompetencia realicen los titulares de las áreas de los sujetos obligados;</w:t>
      </w:r>
    </w:p>
    <w:p w:rsidR="00000000" w:rsidDel="00000000" w:rsidP="00000000" w:rsidRDefault="00000000" w:rsidRPr="00000000" w14:paraId="00000100">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VIII. Aprobar, modificar o revocar la clasificación de la información;</w:t>
      </w:r>
    </w:p>
  </w:footnote>
  <w:footnote w:id="3">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1"/>
      <w:tblW w:w="5528.0" w:type="dxa"/>
      <w:jc w:val="left"/>
      <w:tblInd w:w="3261.0" w:type="dxa"/>
      <w:tblLayout w:type="fixed"/>
      <w:tblLook w:val="0400"/>
    </w:tblPr>
    <w:tblGrid>
      <w:gridCol w:w="2552"/>
      <w:gridCol w:w="2976"/>
      <w:tblGridChange w:id="0">
        <w:tblGrid>
          <w:gridCol w:w="2552"/>
          <w:gridCol w:w="2976"/>
        </w:tblGrid>
      </w:tblGridChange>
    </w:tblGrid>
    <w:tr>
      <w:trPr>
        <w:cantSplit w:val="0"/>
        <w:tblHeader w:val="0"/>
      </w:trPr>
      <w:tc>
        <w:tcPr>
          <w:vAlign w:val="center"/>
        </w:tcPr>
        <w:p w:rsidR="00000000" w:rsidDel="00000000" w:rsidP="00000000" w:rsidRDefault="00000000" w:rsidRPr="00000000" w14:paraId="00000103">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104">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05219/INFOEM/IP/RR/2025 y acumulado</w:t>
          </w:r>
        </w:p>
      </w:tc>
    </w:tr>
    <w:tr>
      <w:trPr>
        <w:cantSplit w:val="0"/>
        <w:trHeight w:val="228" w:hRule="atLeast"/>
        <w:tblHeader w:val="0"/>
      </w:trPr>
      <w:tc>
        <w:tcPr>
          <w:shd w:fill="auto" w:val="clear"/>
          <w:vAlign w:val="center"/>
        </w:tcPr>
        <w:p w:rsidR="00000000" w:rsidDel="00000000" w:rsidP="00000000" w:rsidRDefault="00000000" w:rsidRPr="00000000" w14:paraId="00000105">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p w:rsidR="00000000" w:rsidDel="00000000" w:rsidP="00000000" w:rsidRDefault="00000000" w:rsidRPr="00000000" w14:paraId="00000106">
          <w:pPr>
            <w:rPr>
              <w:rFonts w:ascii="Palatino Linotype" w:cs="Palatino Linotype" w:eastAsia="Palatino Linotype" w:hAnsi="Palatino Linotype"/>
              <w:b w:val="1"/>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107">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Tepotzotlán</w:t>
          </w:r>
        </w:p>
      </w:tc>
    </w:tr>
    <w:tr>
      <w:trPr>
        <w:cantSplit w:val="0"/>
        <w:tblHeader w:val="0"/>
      </w:trPr>
      <w:tc>
        <w:tcPr>
          <w:vAlign w:val="center"/>
        </w:tcPr>
        <w:p w:rsidR="00000000" w:rsidDel="00000000" w:rsidP="00000000" w:rsidRDefault="00000000" w:rsidRPr="00000000" w14:paraId="00000108">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Comisionada ponente:</w:t>
          </w:r>
        </w:p>
      </w:tc>
      <w:tc>
        <w:tcPr>
          <w:vAlign w:val="center"/>
        </w:tcPr>
        <w:p w:rsidR="00000000" w:rsidDel="00000000" w:rsidP="00000000" w:rsidRDefault="00000000" w:rsidRPr="00000000" w14:paraId="00000109">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Calibri" w:cs="Calibri" w:eastAsia="Calibri" w:hAnsi="Calibri"/>
        <w:color w:val="000000"/>
      </w:rPr>
    </w:pPr>
    <w:r w:rsidDel="00000000" w:rsidR="00000000" w:rsidRPr="00000000">
      <w:rPr>
        <w:rFonts w:ascii="Calibri" w:cs="Calibri" w:eastAsia="Calibri" w:hAnsi="Calibri"/>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-689274</wp:posOffset>
          </wp:positionH>
          <wp:positionV relativeFrom="paragraph">
            <wp:posOffset>-1171012</wp:posOffset>
          </wp:positionV>
          <wp:extent cx="7635875" cy="9943465"/>
          <wp:effectExtent b="0" l="0" r="0" t="0"/>
          <wp:wrapNone/>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875" cy="994346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252"/>
        <w:tab w:val="right" w:leader="none" w:pos="8504"/>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-675561</wp:posOffset>
          </wp:positionH>
          <wp:positionV relativeFrom="paragraph">
            <wp:posOffset>-341825</wp:posOffset>
          </wp:positionV>
          <wp:extent cx="7635875" cy="9943465"/>
          <wp:effectExtent b="0" l="0" r="0" t="0"/>
          <wp:wrapNone/>
          <wp:docPr id="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875" cy="9943465"/>
                  </a:xfrm>
                  <a:prstGeom prst="rect"/>
                  <a:ln/>
                </pic:spPr>
              </pic:pic>
            </a:graphicData>
          </a:graphic>
        </wp:anchor>
      </w:drawing>
    </w:r>
  </w:p>
  <w:tbl>
    <w:tblPr>
      <w:tblStyle w:val="Table2"/>
      <w:tblW w:w="6238.0" w:type="dxa"/>
      <w:jc w:val="left"/>
      <w:tblInd w:w="3119.0" w:type="dxa"/>
      <w:tblLayout w:type="fixed"/>
      <w:tblLook w:val="0400"/>
    </w:tblPr>
    <w:tblGrid>
      <w:gridCol w:w="2551"/>
      <w:gridCol w:w="3687"/>
      <w:tblGridChange w:id="0">
        <w:tblGrid>
          <w:gridCol w:w="2551"/>
          <w:gridCol w:w="3687"/>
        </w:tblGrid>
      </w:tblGridChange>
    </w:tblGrid>
    <w:tr>
      <w:trPr>
        <w:cantSplit w:val="0"/>
        <w:tblHeader w:val="0"/>
      </w:trPr>
      <w:tc>
        <w:tcPr>
          <w:vAlign w:val="center"/>
        </w:tcPr>
        <w:p w:rsidR="00000000" w:rsidDel="00000000" w:rsidP="00000000" w:rsidRDefault="00000000" w:rsidRPr="00000000" w14:paraId="0000010C">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p w:rsidR="00000000" w:rsidDel="00000000" w:rsidP="00000000" w:rsidRDefault="00000000" w:rsidRPr="00000000" w14:paraId="0000010D">
          <w:pPr>
            <w:rPr>
              <w:rFonts w:ascii="Palatino Linotype" w:cs="Palatino Linotype" w:eastAsia="Palatino Linotype" w:hAnsi="Palatino Linotype"/>
              <w:b w:val="1"/>
              <w:sz w:val="21"/>
              <w:szCs w:val="21"/>
            </w:rPr>
          </w:pPr>
          <w:r w:rsidDel="00000000" w:rsidR="00000000" w:rsidRPr="00000000">
            <w:rPr>
              <w:rtl w:val="0"/>
            </w:rPr>
          </w:r>
        </w:p>
      </w:tc>
      <w:tc>
        <w:tcPr>
          <w:vAlign w:val="center"/>
        </w:tcPr>
        <w:p w:rsidR="00000000" w:rsidDel="00000000" w:rsidP="00000000" w:rsidRDefault="00000000" w:rsidRPr="00000000" w14:paraId="0000010E">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05219/INFOEM/IP/RR/2025 y acumulado</w:t>
          </w:r>
        </w:p>
      </w:tc>
    </w:tr>
    <w:tr>
      <w:trPr>
        <w:cantSplit w:val="0"/>
        <w:tblHeader w:val="0"/>
      </w:trPr>
      <w:tc>
        <w:tcPr>
          <w:vAlign w:val="center"/>
        </w:tcPr>
        <w:p w:rsidR="00000000" w:rsidDel="00000000" w:rsidP="00000000" w:rsidRDefault="00000000" w:rsidRPr="00000000" w14:paraId="0000010F">
          <w:pPr>
            <w:ind w:left="35" w:hanging="35"/>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Recurrente:</w:t>
          </w:r>
        </w:p>
      </w:tc>
      <w:tc>
        <w:tcPr>
          <w:vAlign w:val="center"/>
        </w:tcPr>
        <w:p w:rsidR="00000000" w:rsidDel="00000000" w:rsidP="00000000" w:rsidRDefault="00000000" w:rsidRPr="00000000" w14:paraId="00000110">
          <w:pPr>
            <w:ind w:right="452"/>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XXXXX XXXXXXX XXXXXXXX XXXXXX </w:t>
          </w:r>
        </w:p>
      </w:tc>
    </w:tr>
    <w:tr>
      <w:trPr>
        <w:cantSplit w:val="0"/>
        <w:trHeight w:val="228" w:hRule="atLeast"/>
        <w:tblHeader w:val="0"/>
      </w:trPr>
      <w:tc>
        <w:tcPr>
          <w:vAlign w:val="center"/>
        </w:tcPr>
        <w:p w:rsidR="00000000" w:rsidDel="00000000" w:rsidP="00000000" w:rsidRDefault="00000000" w:rsidRPr="00000000" w14:paraId="00000111">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p w:rsidR="00000000" w:rsidDel="00000000" w:rsidP="00000000" w:rsidRDefault="00000000" w:rsidRPr="00000000" w14:paraId="00000112">
          <w:pPr>
            <w:rPr>
              <w:rFonts w:ascii="Palatino Linotype" w:cs="Palatino Linotype" w:eastAsia="Palatino Linotype" w:hAnsi="Palatino Linotype"/>
              <w:b w:val="1"/>
              <w:sz w:val="21"/>
              <w:szCs w:val="21"/>
            </w:rPr>
          </w:pPr>
          <w:r w:rsidDel="00000000" w:rsidR="00000000" w:rsidRPr="00000000">
            <w:rPr>
              <w:rtl w:val="0"/>
            </w:rPr>
          </w:r>
        </w:p>
      </w:tc>
      <w:tc>
        <w:tcPr>
          <w:vAlign w:val="center"/>
        </w:tcPr>
        <w:p w:rsidR="00000000" w:rsidDel="00000000" w:rsidP="00000000" w:rsidRDefault="00000000" w:rsidRPr="00000000" w14:paraId="00000113">
          <w:pPr>
            <w:ind w:right="452"/>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Tepotzotlán</w:t>
          </w:r>
        </w:p>
      </w:tc>
    </w:tr>
    <w:tr>
      <w:trPr>
        <w:cantSplit w:val="0"/>
        <w:tblHeader w:val="0"/>
      </w:trPr>
      <w:tc>
        <w:tcPr>
          <w:vAlign w:val="center"/>
        </w:tcPr>
        <w:p w:rsidR="00000000" w:rsidDel="00000000" w:rsidP="00000000" w:rsidRDefault="00000000" w:rsidRPr="00000000" w14:paraId="00000114">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Comisionada ponente:</w:t>
          </w:r>
        </w:p>
      </w:tc>
      <w:tc>
        <w:tcPr>
          <w:vAlign w:val="center"/>
        </w:tcPr>
        <w:p w:rsidR="00000000" w:rsidDel="00000000" w:rsidP="00000000" w:rsidRDefault="00000000" w:rsidRPr="00000000" w14:paraId="00000115">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bl>
    <w:tblPr>
      <w:tblStyle w:val="Table3"/>
      <w:tblW w:w="5528.0" w:type="dxa"/>
      <w:jc w:val="left"/>
      <w:tblInd w:w="3261.0" w:type="dxa"/>
      <w:tblLayout w:type="fixed"/>
      <w:tblLook w:val="0400"/>
    </w:tblPr>
    <w:tblGrid>
      <w:gridCol w:w="2552"/>
      <w:gridCol w:w="2976"/>
      <w:tblGridChange w:id="0">
        <w:tblGrid>
          <w:gridCol w:w="2552"/>
          <w:gridCol w:w="2976"/>
        </w:tblGrid>
      </w:tblGridChange>
    </w:tblGrid>
    <w:tr>
      <w:trPr>
        <w:cantSplit w:val="0"/>
        <w:tblHeader w:val="0"/>
      </w:trPr>
      <w:tc>
        <w:tcPr>
          <w:vAlign w:val="center"/>
        </w:tcPr>
        <w:p w:rsidR="00000000" w:rsidDel="00000000" w:rsidP="00000000" w:rsidRDefault="00000000" w:rsidRPr="00000000" w14:paraId="00000118">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Recurso de Revisión:</w:t>
          </w:r>
        </w:p>
      </w:tc>
      <w:tc>
        <w:tcPr>
          <w:vAlign w:val="center"/>
        </w:tcPr>
        <w:p w:rsidR="00000000" w:rsidDel="00000000" w:rsidP="00000000" w:rsidRDefault="00000000" w:rsidRPr="00000000" w14:paraId="00000119">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05219/INFOEM/IP/RR/2025 y acumulados </w:t>
          </w:r>
        </w:p>
      </w:tc>
    </w:tr>
    <w:tr>
      <w:trPr>
        <w:cantSplit w:val="0"/>
        <w:trHeight w:val="228" w:hRule="atLeast"/>
        <w:tblHeader w:val="0"/>
      </w:trPr>
      <w:tc>
        <w:tcPr>
          <w:shd w:fill="auto" w:val="clear"/>
          <w:vAlign w:val="center"/>
        </w:tcPr>
        <w:p w:rsidR="00000000" w:rsidDel="00000000" w:rsidP="00000000" w:rsidRDefault="00000000" w:rsidRPr="00000000" w14:paraId="0000011A">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Sujeto obligado:</w:t>
          </w:r>
        </w:p>
        <w:p w:rsidR="00000000" w:rsidDel="00000000" w:rsidP="00000000" w:rsidRDefault="00000000" w:rsidRPr="00000000" w14:paraId="0000011B">
          <w:pPr>
            <w:rPr>
              <w:rFonts w:ascii="Palatino Linotype" w:cs="Palatino Linotype" w:eastAsia="Palatino Linotype" w:hAnsi="Palatino Linotype"/>
              <w:b w:val="1"/>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11C">
          <w:pPr>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Ayuntamiento de Rayón</w:t>
          </w:r>
        </w:p>
      </w:tc>
    </w:tr>
    <w:tr>
      <w:trPr>
        <w:cantSplit w:val="0"/>
        <w:tblHeader w:val="0"/>
      </w:trPr>
      <w:tc>
        <w:tcPr>
          <w:vAlign w:val="center"/>
        </w:tcPr>
        <w:p w:rsidR="00000000" w:rsidDel="00000000" w:rsidP="00000000" w:rsidRDefault="00000000" w:rsidRPr="00000000" w14:paraId="0000011D">
          <w:pPr>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Comisionada ponente:</w:t>
          </w:r>
        </w:p>
      </w:tc>
      <w:tc>
        <w:tcPr>
          <w:vAlign w:val="center"/>
        </w:tcPr>
        <w:p w:rsidR="00000000" w:rsidDel="00000000" w:rsidP="00000000" w:rsidRDefault="00000000" w:rsidRPr="00000000" w14:paraId="0000011E">
          <w:pPr>
            <w:ind w:right="-533"/>
            <w:jc w:val="both"/>
            <w:rPr>
              <w:rFonts w:ascii="Palatino Linotype" w:cs="Palatino Linotype" w:eastAsia="Palatino Linotype" w:hAnsi="Palatino Linotype"/>
              <w:b w:val="1"/>
              <w:sz w:val="21"/>
              <w:szCs w:val="21"/>
            </w:rPr>
          </w:pPr>
          <w:r w:rsidDel="00000000" w:rsidR="00000000" w:rsidRPr="00000000">
            <w:rPr>
              <w:rFonts w:ascii="Palatino Linotype" w:cs="Palatino Linotype" w:eastAsia="Palatino Linotype" w:hAnsi="Palatino Linotype"/>
              <w:b w:val="1"/>
              <w:sz w:val="21"/>
              <w:szCs w:val="21"/>
              <w:rtl w:val="0"/>
            </w:rPr>
            <w:t xml:space="preserve">Guadalupe Ramírez Peña.</w:t>
          </w:r>
        </w:p>
      </w:tc>
    </w:tr>
  </w:tbl>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252"/>
        <w:tab w:val="right" w:leader="none" w:pos="8504"/>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-1062354</wp:posOffset>
          </wp:positionV>
          <wp:extent cx="7635875" cy="9943465"/>
          <wp:effectExtent b="0" l="0" r="0" t="0"/>
          <wp:wrapNone/>
          <wp:docPr id="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875" cy="9943465"/>
                  </a:xfrm>
                  <a:prstGeom prst="rect"/>
                  <a:ln/>
                </pic:spPr>
              </pic:pic>
            </a:graphicData>
          </a:graphic>
        </wp:anchor>
      </w:drawing>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927" w:hanging="360"/>
      </w:pPr>
      <w:rPr>
        <w:b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7"/>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225E3"/>
    <w:rPr>
      <w:lang w:eastAsia="es-ES"/>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91A48"/>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591A48"/>
    <w:rPr>
      <w:rFonts w:eastAsiaTheme="minorEastAsia"/>
      <w:sz w:val="24"/>
      <w:szCs w:val="24"/>
      <w:lang w:eastAsia="es-ES" w:val="es-ES_tradnl"/>
    </w:rPr>
  </w:style>
  <w:style w:type="paragraph" w:styleId="Piedepgina">
    <w:name w:val="footer"/>
    <w:basedOn w:val="Normal"/>
    <w:link w:val="PiedepginaCar"/>
    <w:uiPriority w:val="99"/>
    <w:unhideWhenUsed w:val="1"/>
    <w:rsid w:val="00591A48"/>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591A48"/>
    <w:rPr>
      <w:rFonts w:eastAsiaTheme="minorEastAsia"/>
      <w:sz w:val="24"/>
      <w:szCs w:val="24"/>
      <w:lang w:eastAsia="es-ES" w:val="es-ES_tradnl"/>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591A48"/>
    <w:rPr>
      <w:rFonts w:ascii="Times New Roman" w:cs="Times New Roman" w:eastAsia="Times New Roman" w:hAnsi="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591A48"/>
    <w:pPr>
      <w:ind w:left="708"/>
    </w:pPr>
    <w:rPr>
      <w:sz w:val="22"/>
      <w:szCs w:val="22"/>
      <w:lang w:eastAsia="en-US" w:val="es-MX"/>
    </w:rPr>
  </w:style>
  <w:style w:type="table" w:styleId="Tablaconcuadrcula">
    <w:name w:val="Table Grid"/>
    <w:basedOn w:val="Tablanormal"/>
    <w:uiPriority w:val="59"/>
    <w:rsid w:val="00591A48"/>
    <w:rPr>
      <w:rFonts w:eastAsiaTheme="minorEastAsia"/>
      <w:lang w:eastAsia="es-ES"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Fuentedeprrafopredeter"/>
    <w:rsid w:val="00591A48"/>
  </w:style>
  <w:style w:type="character" w:styleId="apple-converted-space" w:customStyle="1">
    <w:name w:val="apple-converted-space"/>
    <w:basedOn w:val="Fuentedeprrafopredeter"/>
    <w:rsid w:val="00591A48"/>
  </w:style>
  <w:style w:type="character" w:styleId="Hipervnculo">
    <w:name w:val="Hyperlink"/>
    <w:basedOn w:val="Fuentedeprrafopredeter"/>
    <w:uiPriority w:val="99"/>
    <w:unhideWhenUsed w:val="1"/>
    <w:rsid w:val="00591A48"/>
    <w:rPr>
      <w:color w:val="0000ff"/>
      <w:u w:val="single"/>
    </w:rPr>
  </w:style>
  <w:style w:type="paragraph" w:styleId="NormalWeb">
    <w:name w:val="Normal (Web)"/>
    <w:basedOn w:val="Normal"/>
    <w:uiPriority w:val="99"/>
    <w:unhideWhenUsed w:val="1"/>
    <w:rsid w:val="00591A48"/>
    <w:pPr>
      <w:spacing w:after="100" w:afterAutospacing="1" w:before="100" w:beforeAutospacing="1"/>
    </w:pPr>
    <w:rPr>
      <w:lang w:eastAsia="es-MX"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val="1"/>
    <w:qFormat w:val="1"/>
    <w:rsid w:val="00591A48"/>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val="1"/>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val="1"/>
    <w:qFormat w:val="1"/>
    <w:rsid w:val="00591A48"/>
    <w:rPr>
      <w:vertAlign w:val="superscript"/>
    </w:rPr>
  </w:style>
  <w:style w:type="character" w:styleId="Refdecomentario">
    <w:name w:val="annotation reference"/>
    <w:basedOn w:val="Fuentedeprrafopredeter"/>
    <w:uiPriority w:val="99"/>
    <w:semiHidden w:val="1"/>
    <w:unhideWhenUsed w:val="1"/>
    <w:rsid w:val="00D33422"/>
    <w:rPr>
      <w:sz w:val="16"/>
      <w:szCs w:val="16"/>
    </w:rPr>
  </w:style>
  <w:style w:type="paragraph" w:styleId="Textocomentario">
    <w:name w:val="annotation text"/>
    <w:basedOn w:val="Normal"/>
    <w:link w:val="TextocomentarioCar"/>
    <w:uiPriority w:val="99"/>
    <w:semiHidden w:val="1"/>
    <w:unhideWhenUsed w:val="1"/>
    <w:rsid w:val="00D33422"/>
    <w:rPr>
      <w:sz w:val="20"/>
      <w:szCs w:val="20"/>
    </w:rPr>
  </w:style>
  <w:style w:type="character" w:styleId="TextocomentarioCar" w:customStyle="1">
    <w:name w:val="Texto comentario Car"/>
    <w:basedOn w:val="Fuentedeprrafopredeter"/>
    <w:link w:val="Textocomentario"/>
    <w:uiPriority w:val="99"/>
    <w:semiHidden w:val="1"/>
    <w:rsid w:val="00D33422"/>
    <w:rPr>
      <w:rFonts w:ascii="Times New Roman" w:cs="Times New Roman" w:eastAsia="Times New Roman" w:hAnsi="Times New Roman"/>
      <w:sz w:val="20"/>
      <w:szCs w:val="20"/>
      <w:lang w:eastAsia="es-ES" w:val="es-ES"/>
    </w:rPr>
  </w:style>
  <w:style w:type="paragraph" w:styleId="Asuntodelcomentario">
    <w:name w:val="annotation subject"/>
    <w:basedOn w:val="Textocomentario"/>
    <w:next w:val="Textocomentario"/>
    <w:link w:val="AsuntodelcomentarioCar"/>
    <w:uiPriority w:val="99"/>
    <w:semiHidden w:val="1"/>
    <w:unhideWhenUsed w:val="1"/>
    <w:rsid w:val="00D33422"/>
    <w:rPr>
      <w:b w:val="1"/>
      <w:bCs w:val="1"/>
    </w:rPr>
  </w:style>
  <w:style w:type="character" w:styleId="AsuntodelcomentarioCar" w:customStyle="1">
    <w:name w:val="Asunto del comentario Car"/>
    <w:basedOn w:val="TextocomentarioCar"/>
    <w:link w:val="Asuntodelcomentario"/>
    <w:uiPriority w:val="99"/>
    <w:semiHidden w:val="1"/>
    <w:rsid w:val="00D33422"/>
    <w:rPr>
      <w:rFonts w:ascii="Times New Roman" w:cs="Times New Roman" w:eastAsia="Times New Roman" w:hAnsi="Times New Roman"/>
      <w:b w:val="1"/>
      <w:bCs w:val="1"/>
      <w:sz w:val="20"/>
      <w:szCs w:val="20"/>
      <w:lang w:eastAsia="es-ES" w:val="es-ES"/>
    </w:rPr>
  </w:style>
  <w:style w:type="paragraph" w:styleId="Textodeglobo">
    <w:name w:val="Balloon Text"/>
    <w:basedOn w:val="Normal"/>
    <w:link w:val="TextodegloboCar"/>
    <w:uiPriority w:val="99"/>
    <w:semiHidden w:val="1"/>
    <w:unhideWhenUsed w:val="1"/>
    <w:rsid w:val="00D33422"/>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33422"/>
    <w:rPr>
      <w:rFonts w:ascii="Segoe UI" w:cs="Segoe UI" w:eastAsia="Times New Roman" w:hAnsi="Segoe UI"/>
      <w:sz w:val="18"/>
      <w:szCs w:val="18"/>
      <w:lang w:eastAsia="es-ES" w:val="es-ES"/>
    </w:rPr>
  </w:style>
  <w:style w:type="paragraph" w:styleId="paragraph" w:customStyle="1">
    <w:name w:val="paragraph"/>
    <w:basedOn w:val="Normal"/>
    <w:rsid w:val="00225930"/>
    <w:pPr>
      <w:spacing w:after="100" w:afterAutospacing="1" w:before="100" w:beforeAutospacing="1"/>
    </w:pPr>
    <w:rPr>
      <w:lang w:eastAsia="es-MX" w:val="es-MX"/>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left w:w="115.0" w:type="dxa"/>
        <w:right w:w="115.0" w:type="dxa"/>
      </w:tblCellMar>
    </w:tblPr>
  </w:style>
  <w:style w:type="paragraph" w:styleId="Textoindependiente">
    <w:name w:val="Body Text"/>
    <w:basedOn w:val="Normal"/>
    <w:link w:val="TextoindependienteCar"/>
    <w:uiPriority w:val="99"/>
    <w:unhideWhenUsed w:val="1"/>
    <w:rsid w:val="00AA0915"/>
    <w:pPr>
      <w:spacing w:after="120"/>
    </w:pPr>
    <w:rPr>
      <w:lang w:eastAsia="es-MX"/>
    </w:rPr>
  </w:style>
  <w:style w:type="character" w:styleId="TextoindependienteCar" w:customStyle="1">
    <w:name w:val="Texto independiente Car"/>
    <w:basedOn w:val="Fuentedeprrafopredeter"/>
    <w:link w:val="Textoindependiente"/>
    <w:uiPriority w:val="99"/>
    <w:rsid w:val="00AA0915"/>
  </w:style>
  <w:style w:type="table" w:styleId="a3" w:customStyle="1">
    <w:basedOn w:val="TableNormal0"/>
    <w:tblPr>
      <w:tblStyleRowBandSize w:val="1"/>
      <w:tblStyleColBandSize w:val="1"/>
      <w:tblCellMar>
        <w:left w:w="115.0" w:type="dxa"/>
        <w:right w:w="115.0" w:type="dxa"/>
      </w:tblCellMar>
    </w:tblPr>
  </w:style>
  <w:style w:type="table" w:styleId="a4" w:customStyle="1">
    <w:basedOn w:val="TableNormal0"/>
    <w:tblPr>
      <w:tblStyleRowBandSize w:val="1"/>
      <w:tblStyleColBandSize w:val="1"/>
      <w:tblCellMar>
        <w:left w:w="115.0" w:type="dxa"/>
        <w:right w:w="115.0" w:type="dxa"/>
      </w:tblCellMar>
    </w:tblPr>
  </w:style>
  <w:style w:type="table" w:styleId="a5" w:customStyle="1">
    <w:basedOn w:val="TableNormal0"/>
    <w:tblPr>
      <w:tblStyleRowBandSize w:val="1"/>
      <w:tblStyleColBandSize w:val="1"/>
      <w:tblCellMar>
        <w:left w:w="115.0" w:type="dxa"/>
        <w:right w:w="115.0" w:type="dxa"/>
      </w:tblCellMar>
    </w:tblPr>
  </w:style>
  <w:style w:type="paragraph" w:styleId="Sinespaciado">
    <w:name w:val="No Spacing"/>
    <w:aliases w:val="Francesa,INAI"/>
    <w:link w:val="SinespaciadoCar"/>
    <w:uiPriority w:val="1"/>
    <w:qFormat w:val="1"/>
    <w:rsid w:val="0085765F"/>
    <w:rPr>
      <w:lang w:eastAsia="es-ES" w:val="es-MX"/>
    </w:rPr>
  </w:style>
  <w:style w:type="character" w:styleId="SinespaciadoCar" w:customStyle="1">
    <w:name w:val="Sin espaciado Car"/>
    <w:aliases w:val="Francesa Car,INAI Car"/>
    <w:link w:val="Sinespaciado"/>
    <w:uiPriority w:val="1"/>
    <w:locked w:val="1"/>
    <w:rsid w:val="0085765F"/>
    <w:rPr>
      <w:lang w:eastAsia="es-E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header" Target="header3.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SWOuMH0u3uLW1qbJ9hu7GK13tw==">CgMxLjAyCGguZ2pkZ3hzMg5oLmRwN2J5aXE5dnk4djIOaC5ndWVnNzA2MDB1N3YyDmguYW5vdHdqczJ1NXR2MgloLjNkeTZ2a20yCWguM3pueXNoNzIJaC4xZm9iOXRlOAByITFRZDJSWVlaTW8yM0NnVkxsZmpNMXVfME5XSzZhdmVObQ==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2025-06-11T20:01:00Z</dcterms:created>
  <dc:creator>Usuario de Windows</dc:creator>
</cp:coreProperties>
</file>