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FE640" w14:textId="77777777" w:rsidR="005A75CA" w:rsidRPr="00141B2C" w:rsidRDefault="00E96B90">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141B2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nueve de julio de dos mil veinticinco. </w:t>
      </w:r>
    </w:p>
    <w:p w14:paraId="30E0E444" w14:textId="66C02EA1" w:rsidR="005A75CA" w:rsidRPr="00141B2C" w:rsidRDefault="00E96B90">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141B2C">
        <w:rPr>
          <w:rFonts w:ascii="Palatino Linotype" w:eastAsia="Palatino Linotype" w:hAnsi="Palatino Linotype" w:cs="Palatino Linotype"/>
          <w:b/>
        </w:rPr>
        <w:t>VISTO</w:t>
      </w:r>
      <w:r w:rsidRPr="00141B2C">
        <w:rPr>
          <w:rFonts w:ascii="Palatino Linotype" w:eastAsia="Palatino Linotype" w:hAnsi="Palatino Linotype" w:cs="Palatino Linotype"/>
        </w:rPr>
        <w:t xml:space="preserve"> el expediente formado con motivo del recurso de revisión </w:t>
      </w:r>
      <w:r w:rsidRPr="00141B2C">
        <w:rPr>
          <w:rFonts w:ascii="Palatino Linotype" w:eastAsia="Palatino Linotype" w:hAnsi="Palatino Linotype" w:cs="Palatino Linotype"/>
          <w:b/>
        </w:rPr>
        <w:t>04094/INFOEM/IP/RR/2025</w:t>
      </w:r>
      <w:r w:rsidRPr="00141B2C">
        <w:rPr>
          <w:rFonts w:ascii="Palatino Linotype" w:eastAsia="Palatino Linotype" w:hAnsi="Palatino Linotype" w:cs="Palatino Linotype"/>
        </w:rPr>
        <w:t>, interpuesto por</w:t>
      </w:r>
      <w:r w:rsidRPr="00141B2C">
        <w:rPr>
          <w:rFonts w:ascii="Palatino Linotype" w:eastAsia="Palatino Linotype" w:hAnsi="Palatino Linotype" w:cs="Palatino Linotype"/>
          <w:b/>
        </w:rPr>
        <w:t xml:space="preserve"> </w:t>
      </w:r>
      <w:r w:rsidR="00D5249E" w:rsidRPr="00D5249E">
        <w:rPr>
          <w:rFonts w:ascii="Palatino Linotype" w:eastAsia="Palatino Linotype" w:hAnsi="Palatino Linotype" w:cs="Palatino Linotype"/>
          <w:b/>
        </w:rPr>
        <w:t>XXXXXXX XXXXXX XXXXX</w:t>
      </w:r>
      <w:r w:rsidRPr="00141B2C">
        <w:rPr>
          <w:rFonts w:ascii="Palatino Linotype" w:eastAsia="Palatino Linotype" w:hAnsi="Palatino Linotype" w:cs="Palatino Linotype"/>
          <w:b/>
        </w:rPr>
        <w:t>,</w:t>
      </w:r>
      <w:r w:rsidRPr="00141B2C">
        <w:rPr>
          <w:rFonts w:ascii="Palatino Linotype" w:eastAsia="Palatino Linotype" w:hAnsi="Palatino Linotype" w:cs="Palatino Linotype"/>
        </w:rPr>
        <w:t xml:space="preserve"> en lo sucesivo</w:t>
      </w:r>
      <w:r w:rsidRPr="00141B2C">
        <w:rPr>
          <w:rFonts w:ascii="Palatino Linotype" w:eastAsia="Palatino Linotype" w:hAnsi="Palatino Linotype" w:cs="Palatino Linotype"/>
          <w:b/>
        </w:rPr>
        <w:t xml:space="preserve"> </w:t>
      </w:r>
      <w:r w:rsidRPr="00141B2C">
        <w:rPr>
          <w:rFonts w:ascii="Palatino Linotype" w:eastAsia="Palatino Linotype" w:hAnsi="Palatino Linotype" w:cs="Palatino Linotype"/>
        </w:rPr>
        <w:t xml:space="preserve">la parte </w:t>
      </w:r>
      <w:r w:rsidRPr="00141B2C">
        <w:rPr>
          <w:rFonts w:ascii="Palatino Linotype" w:eastAsia="Palatino Linotype" w:hAnsi="Palatino Linotype" w:cs="Palatino Linotype"/>
          <w:b/>
        </w:rPr>
        <w:t>Recurrente,</w:t>
      </w:r>
      <w:r w:rsidRPr="00141B2C">
        <w:rPr>
          <w:rFonts w:ascii="Palatino Linotype" w:eastAsia="Palatino Linotype" w:hAnsi="Palatino Linotype" w:cs="Palatino Linotype"/>
        </w:rPr>
        <w:t xml:space="preserve"> en contra de la falta de respuesta a la solicitud de información con número de folio</w:t>
      </w:r>
      <w:r w:rsidRPr="00141B2C">
        <w:rPr>
          <w:rFonts w:ascii="Palatino Linotype" w:eastAsia="Palatino Linotype" w:hAnsi="Palatino Linotype" w:cs="Palatino Linotype"/>
          <w:b/>
        </w:rPr>
        <w:t xml:space="preserve"> 00063/TULTEPEC/IP/2025, </w:t>
      </w:r>
      <w:r w:rsidRPr="00141B2C">
        <w:rPr>
          <w:rFonts w:ascii="Palatino Linotype" w:eastAsia="Palatino Linotype" w:hAnsi="Palatino Linotype" w:cs="Palatino Linotype"/>
        </w:rPr>
        <w:t xml:space="preserve">por parte del </w:t>
      </w:r>
      <w:r w:rsidRPr="00141B2C">
        <w:rPr>
          <w:rFonts w:ascii="Palatino Linotype" w:eastAsia="Palatino Linotype" w:hAnsi="Palatino Linotype" w:cs="Palatino Linotype"/>
          <w:b/>
        </w:rPr>
        <w:t xml:space="preserve">Ayuntamiento de Tultepec, </w:t>
      </w:r>
      <w:r w:rsidRPr="00141B2C">
        <w:rPr>
          <w:rFonts w:ascii="Palatino Linotype" w:eastAsia="Palatino Linotype" w:hAnsi="Palatino Linotype" w:cs="Palatino Linotype"/>
        </w:rPr>
        <w:t xml:space="preserve">en lo sucesivo el </w:t>
      </w:r>
      <w:r w:rsidRPr="00141B2C">
        <w:rPr>
          <w:rFonts w:ascii="Palatino Linotype" w:eastAsia="Palatino Linotype" w:hAnsi="Palatino Linotype" w:cs="Palatino Linotype"/>
          <w:b/>
        </w:rPr>
        <w:t xml:space="preserve">Sujeto Obligado, </w:t>
      </w:r>
      <w:r w:rsidRPr="00141B2C">
        <w:rPr>
          <w:rFonts w:ascii="Palatino Linotype" w:eastAsia="Palatino Linotype" w:hAnsi="Palatino Linotype" w:cs="Palatino Linotype"/>
        </w:rPr>
        <w:t xml:space="preserve">se procede a dictar la presente resolución con base en los siguientes: </w:t>
      </w:r>
    </w:p>
    <w:p w14:paraId="3EA1D554" w14:textId="77777777" w:rsidR="005A75CA" w:rsidRPr="00141B2C" w:rsidRDefault="00E96B90">
      <w:pPr>
        <w:spacing w:before="240" w:after="240" w:line="360" w:lineRule="auto"/>
        <w:jc w:val="center"/>
        <w:rPr>
          <w:rFonts w:ascii="Palatino Linotype" w:eastAsia="Palatino Linotype" w:hAnsi="Palatino Linotype" w:cs="Palatino Linotype"/>
          <w:b/>
        </w:rPr>
      </w:pPr>
      <w:r w:rsidRPr="00141B2C">
        <w:rPr>
          <w:rFonts w:ascii="Palatino Linotype" w:eastAsia="Palatino Linotype" w:hAnsi="Palatino Linotype" w:cs="Palatino Linotype"/>
          <w:b/>
        </w:rPr>
        <w:t>I. A N T E C E D E N T E S</w:t>
      </w:r>
    </w:p>
    <w:p w14:paraId="6181BC13" w14:textId="77777777" w:rsidR="005A75CA" w:rsidRPr="00141B2C" w:rsidRDefault="00E96B90">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141B2C">
        <w:rPr>
          <w:rFonts w:ascii="Palatino Linotype" w:eastAsia="Palatino Linotype" w:hAnsi="Palatino Linotype" w:cs="Palatino Linotype"/>
          <w:b/>
        </w:rPr>
        <w:t>1. Solicitud de acceso a la información.</w:t>
      </w:r>
      <w:r w:rsidRPr="00141B2C">
        <w:rPr>
          <w:rFonts w:ascii="Palatino Linotype" w:eastAsia="Palatino Linotype" w:hAnsi="Palatino Linotype" w:cs="Palatino Linotype"/>
        </w:rPr>
        <w:t xml:space="preserve"> El </w:t>
      </w:r>
      <w:r w:rsidRPr="00141B2C">
        <w:rPr>
          <w:rFonts w:ascii="Palatino Linotype" w:eastAsia="Palatino Linotype" w:hAnsi="Palatino Linotype" w:cs="Palatino Linotype"/>
          <w:b/>
        </w:rPr>
        <w:t>trece de marzo de dos mil veinticinco,</w:t>
      </w:r>
      <w:r w:rsidRPr="00141B2C">
        <w:rPr>
          <w:rFonts w:ascii="Palatino Linotype" w:eastAsia="Palatino Linotype" w:hAnsi="Palatino Linotype" w:cs="Palatino Linotype"/>
        </w:rPr>
        <w:t xml:space="preserve"> la parte </w:t>
      </w:r>
      <w:r w:rsidRPr="00141B2C">
        <w:rPr>
          <w:rFonts w:ascii="Palatino Linotype" w:eastAsia="Palatino Linotype" w:hAnsi="Palatino Linotype" w:cs="Palatino Linotype"/>
          <w:b/>
        </w:rPr>
        <w:t xml:space="preserve">Recurrente </w:t>
      </w:r>
      <w:r w:rsidRPr="00141B2C">
        <w:rPr>
          <w:rFonts w:ascii="Palatino Linotype" w:eastAsia="Palatino Linotype" w:hAnsi="Palatino Linotype" w:cs="Palatino Linotype"/>
        </w:rPr>
        <w:t xml:space="preserve">presentó la solicitud de acceso a la información pública ante 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a través del Sistema de Acceso a la Información Mexiquense, en lo subsecuente el </w:t>
      </w:r>
      <w:r w:rsidRPr="00141B2C">
        <w:rPr>
          <w:rFonts w:ascii="Palatino Linotype" w:eastAsia="Palatino Linotype" w:hAnsi="Palatino Linotype" w:cs="Palatino Linotype"/>
          <w:b/>
        </w:rPr>
        <w:t>SAIMEX,</w:t>
      </w:r>
      <w:r w:rsidRPr="00141B2C">
        <w:rPr>
          <w:rFonts w:ascii="Palatino Linotype" w:eastAsia="Palatino Linotype" w:hAnsi="Palatino Linotype" w:cs="Palatino Linotype"/>
        </w:rPr>
        <w:t xml:space="preserve"> mediante la cual requirió lo siguiente:</w:t>
      </w:r>
    </w:p>
    <w:p w14:paraId="49190675" w14:textId="77777777" w:rsidR="005A75CA" w:rsidRPr="00141B2C" w:rsidRDefault="00E96B90">
      <w:pPr>
        <w:spacing w:before="120" w:after="120"/>
        <w:ind w:left="851" w:right="902"/>
        <w:jc w:val="both"/>
        <w:rPr>
          <w:rFonts w:ascii="Palatino Linotype" w:eastAsia="Palatino Linotype" w:hAnsi="Palatino Linotype" w:cs="Palatino Linotype"/>
          <w:b/>
          <w:i/>
          <w:sz w:val="22"/>
          <w:szCs w:val="22"/>
        </w:rPr>
      </w:pPr>
      <w:r w:rsidRPr="00141B2C">
        <w:rPr>
          <w:rFonts w:ascii="Palatino Linotype" w:eastAsia="Palatino Linotype" w:hAnsi="Palatino Linotype" w:cs="Palatino Linotype"/>
          <w:i/>
          <w:sz w:val="22"/>
          <w:szCs w:val="22"/>
        </w:rPr>
        <w:t xml:space="preserve"> “SOLICITO TODAS LAS LIECENCIAS DE USO DE SUELO, QUE HAN SIDO EXPEDIDAS POR LA DIRECCION DE DESARROLLO URBANO, ECOLOGIA Y FOMENTO AGROPECUARIO, DEL 1 DE ENERO DEL 2025HASTA LA FECHA DE INGRESO DE LA PRESENTE SOLICITUD, RESPETUOSAMENTE SOLICITO LA REFERIDA INFORMACION POR ESTE MEDIO EN VERSION PUBLICA</w:t>
      </w:r>
      <w:r w:rsidRPr="00141B2C">
        <w:rPr>
          <w:rFonts w:ascii="Palatino Linotype" w:eastAsia="Palatino Linotype" w:hAnsi="Palatino Linotype" w:cs="Palatino Linotype"/>
          <w:b/>
          <w:i/>
          <w:sz w:val="22"/>
          <w:szCs w:val="22"/>
        </w:rPr>
        <w:t>”</w:t>
      </w:r>
      <w:r w:rsidRPr="00141B2C">
        <w:rPr>
          <w:rFonts w:ascii="Palatino Linotype" w:eastAsia="Palatino Linotype" w:hAnsi="Palatino Linotype" w:cs="Palatino Linotype"/>
          <w:i/>
          <w:sz w:val="22"/>
          <w:szCs w:val="22"/>
        </w:rPr>
        <w:t xml:space="preserve"> (sic) </w:t>
      </w:r>
    </w:p>
    <w:p w14:paraId="6019A360" w14:textId="77777777" w:rsidR="005A75CA" w:rsidRPr="00141B2C" w:rsidRDefault="00E96B90">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141B2C">
        <w:rPr>
          <w:rFonts w:ascii="Palatino Linotype" w:eastAsia="Palatino Linotype" w:hAnsi="Palatino Linotype" w:cs="Palatino Linotype"/>
          <w:b/>
        </w:rPr>
        <w:t>Modalidad de Entrega:</w:t>
      </w:r>
      <w:r w:rsidRPr="00141B2C">
        <w:rPr>
          <w:rFonts w:ascii="Palatino Linotype" w:eastAsia="Palatino Linotype" w:hAnsi="Palatino Linotype" w:cs="Palatino Linotype"/>
        </w:rPr>
        <w:t xml:space="preserve"> a través del</w:t>
      </w:r>
      <w:r w:rsidRPr="00141B2C">
        <w:rPr>
          <w:rFonts w:ascii="Palatino Linotype" w:eastAsia="Palatino Linotype" w:hAnsi="Palatino Linotype" w:cs="Palatino Linotype"/>
          <w:b/>
        </w:rPr>
        <w:t xml:space="preserve"> SAIMEX.</w:t>
      </w:r>
    </w:p>
    <w:p w14:paraId="529D70CA" w14:textId="77777777" w:rsidR="005A75CA" w:rsidRPr="00141B2C" w:rsidRDefault="00E96B90">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b/>
        </w:rPr>
      </w:pPr>
      <w:r w:rsidRPr="00141B2C">
        <w:rPr>
          <w:rFonts w:ascii="Palatino Linotype" w:eastAsia="Palatino Linotype" w:hAnsi="Palatino Linotype" w:cs="Palatino Linotype"/>
          <w:b/>
        </w:rPr>
        <w:lastRenderedPageBreak/>
        <w:t xml:space="preserve">2. Respuesta. </w:t>
      </w:r>
      <w:r w:rsidRPr="00141B2C">
        <w:rPr>
          <w:rFonts w:ascii="Palatino Linotype" w:eastAsia="Palatino Linotype" w:hAnsi="Palatino Linotype" w:cs="Palatino Linotype"/>
        </w:rPr>
        <w:t xml:space="preserve">De las constancias que obran en SAIMEX, se observa que 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no emitió respuesta a la solicitud de información formulada por la persona solicitante.</w:t>
      </w:r>
    </w:p>
    <w:p w14:paraId="7CFCEA31" w14:textId="77777777" w:rsidR="005A75CA" w:rsidRPr="00141B2C" w:rsidRDefault="00E96B90">
      <w:pPr>
        <w:spacing w:before="240" w:after="240" w:line="360" w:lineRule="auto"/>
        <w:ind w:right="49"/>
        <w:jc w:val="both"/>
        <w:rPr>
          <w:rFonts w:ascii="Palatino Linotype" w:eastAsia="Palatino Linotype" w:hAnsi="Palatino Linotype" w:cs="Palatino Linotype"/>
        </w:rPr>
      </w:pPr>
      <w:r w:rsidRPr="00141B2C">
        <w:rPr>
          <w:rFonts w:ascii="Palatino Linotype" w:eastAsia="Palatino Linotype" w:hAnsi="Palatino Linotype" w:cs="Palatino Linotype"/>
          <w:b/>
        </w:rPr>
        <w:t xml:space="preserve">3. Interposición del recurso de revisión. </w:t>
      </w:r>
      <w:r w:rsidRPr="00141B2C">
        <w:rPr>
          <w:rFonts w:ascii="Palatino Linotype" w:eastAsia="Palatino Linotype" w:hAnsi="Palatino Linotype" w:cs="Palatino Linotype"/>
        </w:rPr>
        <w:t xml:space="preserve">Inconforme con los términos de la respuesta emitida por parte del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el </w:t>
      </w:r>
      <w:r w:rsidRPr="00141B2C">
        <w:rPr>
          <w:rFonts w:ascii="Palatino Linotype" w:eastAsia="Palatino Linotype" w:hAnsi="Palatino Linotype" w:cs="Palatino Linotype"/>
          <w:b/>
        </w:rPr>
        <w:t>siete de abril de dos mil veinticinco,</w:t>
      </w:r>
      <w:r w:rsidRPr="00141B2C">
        <w:rPr>
          <w:rFonts w:ascii="Palatino Linotype" w:eastAsia="Palatino Linotype" w:hAnsi="Palatino Linotype" w:cs="Palatino Linotype"/>
        </w:rPr>
        <w:t xml:space="preserve"> la parte </w:t>
      </w:r>
      <w:r w:rsidRPr="00141B2C">
        <w:rPr>
          <w:rFonts w:ascii="Palatino Linotype" w:eastAsia="Palatino Linotype" w:hAnsi="Palatino Linotype" w:cs="Palatino Linotype"/>
          <w:b/>
        </w:rPr>
        <w:t>Recurrente</w:t>
      </w:r>
      <w:r w:rsidRPr="00141B2C">
        <w:rPr>
          <w:rFonts w:ascii="Palatino Linotype" w:eastAsia="Palatino Linotype" w:hAnsi="Palatino Linotype" w:cs="Palatino Linotype"/>
        </w:rPr>
        <w:t xml:space="preserve"> interpuso el recurso de revisión a través de </w:t>
      </w:r>
      <w:r w:rsidRPr="00141B2C">
        <w:rPr>
          <w:rFonts w:ascii="Palatino Linotype" w:eastAsia="Palatino Linotype" w:hAnsi="Palatino Linotype" w:cs="Palatino Linotype"/>
          <w:b/>
        </w:rPr>
        <w:t xml:space="preserve">SAIMEX, </w:t>
      </w:r>
      <w:r w:rsidRPr="00141B2C">
        <w:rPr>
          <w:rFonts w:ascii="Palatino Linotype" w:eastAsia="Palatino Linotype" w:hAnsi="Palatino Linotype" w:cs="Palatino Linotype"/>
        </w:rPr>
        <w:t>en donde se manifestó de la siguiente manera:</w:t>
      </w:r>
    </w:p>
    <w:p w14:paraId="0DB160D3" w14:textId="77777777" w:rsidR="005A75CA" w:rsidRPr="00141B2C" w:rsidRDefault="00E96B90">
      <w:pPr>
        <w:spacing w:before="240" w:after="240" w:line="360" w:lineRule="auto"/>
        <w:ind w:right="49"/>
        <w:jc w:val="both"/>
        <w:rPr>
          <w:rFonts w:ascii="Palatino Linotype" w:eastAsia="Palatino Linotype" w:hAnsi="Palatino Linotype" w:cs="Palatino Linotype"/>
          <w:b/>
        </w:rPr>
      </w:pPr>
      <w:r w:rsidRPr="00141B2C">
        <w:rPr>
          <w:rFonts w:ascii="Palatino Linotype" w:eastAsia="Palatino Linotype" w:hAnsi="Palatino Linotype" w:cs="Palatino Linotype"/>
          <w:b/>
        </w:rPr>
        <w:t xml:space="preserve">Acto impugnado: </w:t>
      </w:r>
    </w:p>
    <w:p w14:paraId="68DC3E6A" w14:textId="77777777" w:rsidR="005A75CA" w:rsidRPr="00141B2C" w:rsidRDefault="00E96B90">
      <w:pPr>
        <w:tabs>
          <w:tab w:val="left" w:pos="2745"/>
        </w:tabs>
        <w:spacing w:before="240" w:after="240"/>
        <w:ind w:left="851" w:right="90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“1.- El acto impugnado es la negativa por parte del sujeto obligado, ya que no contesto a la petición de información solicitada 2.- Derivado de lo anterior solicito se le de vista al órgano del control interno del Ayuntamiento de Tultepec para que conforme a Derecho proceda a realizar la investigación correspondiente y sancione al sujeto obligado y/o sujetos obligados responsables de proporcionar la información solicitada 3.- Solicito se le de vista al INFOEM para que determine las medidas de apremio al sujeto y/o sujetos obligados responsables de proporcionar la información solicitada 4.- Solicito se le de vista a la Secretaría de la Contraloría del Gobierno del Estado de México para que sancione al sujeto obligado y/o sujetos obligados responsables de proporcionar la información solicitada” (sic)</w:t>
      </w:r>
    </w:p>
    <w:p w14:paraId="64535873" w14:textId="77777777" w:rsidR="005A75CA" w:rsidRPr="00141B2C" w:rsidRDefault="00E96B90">
      <w:pPr>
        <w:spacing w:line="360" w:lineRule="auto"/>
        <w:jc w:val="both"/>
        <w:rPr>
          <w:rFonts w:ascii="Palatino Linotype" w:eastAsia="Palatino Linotype" w:hAnsi="Palatino Linotype" w:cs="Palatino Linotype"/>
        </w:rPr>
      </w:pPr>
      <w:bookmarkStart w:id="4" w:name="_heading=h.30j0zll" w:colFirst="0" w:colLast="0"/>
      <w:bookmarkEnd w:id="4"/>
      <w:r w:rsidRPr="00141B2C">
        <w:rPr>
          <w:rFonts w:ascii="Palatino Linotype" w:eastAsia="Palatino Linotype" w:hAnsi="Palatino Linotype" w:cs="Palatino Linotype"/>
          <w:b/>
        </w:rPr>
        <w:t>Y, Razones o motivos de inconformidad</w:t>
      </w:r>
      <w:r w:rsidRPr="00141B2C">
        <w:rPr>
          <w:rFonts w:ascii="Palatino Linotype" w:eastAsia="Palatino Linotype" w:hAnsi="Palatino Linotype" w:cs="Palatino Linotype"/>
        </w:rPr>
        <w:t>:</w:t>
      </w:r>
    </w:p>
    <w:p w14:paraId="6C751BDA" w14:textId="77777777" w:rsidR="005A75CA" w:rsidRPr="00141B2C" w:rsidRDefault="00E96B90">
      <w:pPr>
        <w:tabs>
          <w:tab w:val="left" w:pos="2745"/>
        </w:tabs>
        <w:spacing w:before="240" w:after="240"/>
        <w:ind w:left="851" w:right="90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“La irresponsabilidad y mala fe del sujeto y/o sujetos obligados, al negarse a proporcionar la información solicitada como lo marca la ley” (sic)</w:t>
      </w:r>
    </w:p>
    <w:p w14:paraId="63BA5F7F" w14:textId="77777777" w:rsidR="005A75CA" w:rsidRPr="00141B2C" w:rsidRDefault="00E96B90">
      <w:pPr>
        <w:spacing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b/>
        </w:rPr>
        <w:t xml:space="preserve">4. Turno. </w:t>
      </w:r>
      <w:r w:rsidRPr="00141B2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141B2C">
        <w:rPr>
          <w:rFonts w:ascii="Palatino Linotype" w:eastAsia="Palatino Linotype" w:hAnsi="Palatino Linotype" w:cs="Palatino Linotype"/>
        </w:rPr>
        <w:lastRenderedPageBreak/>
        <w:t xml:space="preserve">del Estado de México y Municipios, a la Comisionada </w:t>
      </w:r>
      <w:r w:rsidRPr="00141B2C">
        <w:rPr>
          <w:rFonts w:ascii="Palatino Linotype" w:eastAsia="Palatino Linotype" w:hAnsi="Palatino Linotype" w:cs="Palatino Linotype"/>
          <w:b/>
        </w:rPr>
        <w:t xml:space="preserve">Guadalupe Ramírez Peña, </w:t>
      </w:r>
      <w:r w:rsidRPr="00141B2C">
        <w:rPr>
          <w:rFonts w:ascii="Palatino Linotype" w:eastAsia="Palatino Linotype" w:hAnsi="Palatino Linotype" w:cs="Palatino Linotype"/>
        </w:rPr>
        <w:t xml:space="preserve">a efecto de que analizara sobre su admisión o su </w:t>
      </w:r>
      <w:proofErr w:type="spellStart"/>
      <w:r w:rsidRPr="00141B2C">
        <w:rPr>
          <w:rFonts w:ascii="Palatino Linotype" w:eastAsia="Palatino Linotype" w:hAnsi="Palatino Linotype" w:cs="Palatino Linotype"/>
        </w:rPr>
        <w:t>desechamiento</w:t>
      </w:r>
      <w:proofErr w:type="spellEnd"/>
      <w:r w:rsidRPr="00141B2C">
        <w:rPr>
          <w:rFonts w:ascii="Palatino Linotype" w:eastAsia="Palatino Linotype" w:hAnsi="Palatino Linotype" w:cs="Palatino Linotype"/>
        </w:rPr>
        <w:t>.</w:t>
      </w:r>
    </w:p>
    <w:p w14:paraId="7FEE7B27" w14:textId="77777777" w:rsidR="005A75CA" w:rsidRPr="00141B2C" w:rsidRDefault="00E96B90">
      <w:pPr>
        <w:spacing w:before="240" w:after="240" w:line="360" w:lineRule="auto"/>
        <w:jc w:val="both"/>
        <w:rPr>
          <w:rFonts w:ascii="Palatino Linotype" w:eastAsia="Palatino Linotype" w:hAnsi="Palatino Linotype" w:cs="Palatino Linotype"/>
          <w:b/>
        </w:rPr>
      </w:pPr>
      <w:r w:rsidRPr="00141B2C">
        <w:rPr>
          <w:rFonts w:ascii="Palatino Linotype" w:eastAsia="Palatino Linotype" w:hAnsi="Palatino Linotype" w:cs="Palatino Linotype"/>
          <w:b/>
        </w:rPr>
        <w:t>5. Admisión del Recurso de revisión.</w:t>
      </w:r>
      <w:r w:rsidRPr="00141B2C">
        <w:rPr>
          <w:rFonts w:ascii="Palatino Linotype" w:eastAsia="Palatino Linotype" w:hAnsi="Palatino Linotype" w:cs="Palatino Linotype"/>
        </w:rPr>
        <w:t xml:space="preserve"> El</w:t>
      </w:r>
      <w:r w:rsidRPr="00141B2C">
        <w:rPr>
          <w:rFonts w:ascii="Palatino Linotype" w:eastAsia="Palatino Linotype" w:hAnsi="Palatino Linotype" w:cs="Palatino Linotype"/>
          <w:b/>
        </w:rPr>
        <w:t xml:space="preserve"> diez de abril de dos mil veinticinco, </w:t>
      </w:r>
      <w:r w:rsidRPr="00141B2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41B2C">
        <w:rPr>
          <w:rFonts w:ascii="Palatino Linotype" w:eastAsia="Palatino Linotype" w:hAnsi="Palatino Linotype" w:cs="Palatino Linotype"/>
          <w:b/>
        </w:rPr>
        <w:t xml:space="preserve">Sujeto Obligado </w:t>
      </w:r>
      <w:r w:rsidRPr="00141B2C">
        <w:rPr>
          <w:rFonts w:ascii="Palatino Linotype" w:eastAsia="Palatino Linotype" w:hAnsi="Palatino Linotype" w:cs="Palatino Linotype"/>
        </w:rPr>
        <w:t>presentara su informe justificado.</w:t>
      </w:r>
    </w:p>
    <w:p w14:paraId="7AF77635" w14:textId="77777777" w:rsidR="005A75CA" w:rsidRPr="00141B2C" w:rsidRDefault="00E96B90">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141B2C">
        <w:rPr>
          <w:rFonts w:ascii="Palatino Linotype" w:eastAsia="Palatino Linotype" w:hAnsi="Palatino Linotype" w:cs="Palatino Linotype"/>
          <w:b/>
        </w:rPr>
        <w:t>6. Manifestaciones</w:t>
      </w:r>
      <w:r w:rsidRPr="00141B2C">
        <w:rPr>
          <w:rFonts w:ascii="Palatino Linotype" w:eastAsia="Palatino Linotype" w:hAnsi="Palatino Linotype" w:cs="Palatino Linotype"/>
        </w:rPr>
        <w:t xml:space="preserve">. El </w:t>
      </w:r>
      <w:r w:rsidRPr="00141B2C">
        <w:rPr>
          <w:rFonts w:ascii="Palatino Linotype" w:eastAsia="Palatino Linotype" w:hAnsi="Palatino Linotype" w:cs="Palatino Linotype"/>
          <w:b/>
        </w:rPr>
        <w:t xml:space="preserve">doce de abril de dos mil veinticinco, </w:t>
      </w:r>
      <w:r w:rsidRPr="00141B2C">
        <w:rPr>
          <w:rFonts w:ascii="Palatino Linotype" w:eastAsia="Palatino Linotype" w:hAnsi="Palatino Linotype" w:cs="Palatino Linotype"/>
        </w:rPr>
        <w:t xml:space="preserve">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remitió, a través del SAIMEX, una carpeta comprimida que contiene lo siguiente:</w:t>
      </w:r>
    </w:p>
    <w:p w14:paraId="027ED6F4" w14:textId="77777777" w:rsidR="005A75CA" w:rsidRPr="00141B2C" w:rsidRDefault="00E96B90">
      <w:pPr>
        <w:spacing w:before="240" w:after="240" w:line="360" w:lineRule="auto"/>
        <w:ind w:left="142"/>
        <w:jc w:val="both"/>
        <w:rPr>
          <w:rFonts w:ascii="Palatino Linotype" w:eastAsia="Palatino Linotype" w:hAnsi="Palatino Linotype" w:cs="Palatino Linotype"/>
        </w:rPr>
      </w:pPr>
      <w:r w:rsidRPr="00141B2C">
        <w:rPr>
          <w:rFonts w:ascii="Palatino Linotype" w:eastAsia="Palatino Linotype" w:hAnsi="Palatino Linotype" w:cs="Palatino Linotype"/>
        </w:rPr>
        <w:t>- Oficio número DDUEFA/DEP/087/2025, del treinta y uno de marzo de dos mil veinticinco, mediante el cual la Directora de Desarrollo Urbano, Ecología y Fomento Agropecuario, en atención a las solicitudes  con el número de folio 00055/TULTEPEC/IP/2025, 00056/TULTЕРEC/IР/2025, 00057/TULTEPEC/IP/2025, 00058/TULTEPEC/IP/2025, 00059/TULTEPEC/IP/2025, 00060/TULTЕРEC/IP/2025, 00061/TULTEPEC/IP/2025, 00062/TULTEPEC/IP/2025, 00063/TULTEPEC/IP/2025, 00064/TULTЕРЕС/ІР/2025, refiere hacer entrega de las Licencias de Construcción, Regularización de Obra, Constancias de Terminación de Obra, Cedulas Informativas de Zonificación, Licencias de Uso de Suelo, Autorización de Cambio de Uso de Suelo, que han sido aprobadas y expedidas por la dependencia a su cargo, del día dos de enero hasta la fecha de la presentación de las solicitudes.</w:t>
      </w:r>
    </w:p>
    <w:p w14:paraId="57090051" w14:textId="77777777" w:rsidR="005A75CA" w:rsidRPr="00141B2C" w:rsidRDefault="00E96B90">
      <w:pPr>
        <w:spacing w:before="240" w:after="240" w:line="360" w:lineRule="auto"/>
        <w:ind w:left="142"/>
        <w:jc w:val="both"/>
        <w:rPr>
          <w:rFonts w:ascii="Palatino Linotype" w:eastAsia="Palatino Linotype" w:hAnsi="Palatino Linotype" w:cs="Palatino Linotype"/>
        </w:rPr>
      </w:pPr>
      <w:r w:rsidRPr="00141B2C">
        <w:rPr>
          <w:rFonts w:ascii="Palatino Linotype" w:eastAsia="Palatino Linotype" w:hAnsi="Palatino Linotype" w:cs="Palatino Linotype"/>
        </w:rPr>
        <w:t>- 2 Autorizaciones de Cambio de Uso de Suelo (duplicadas), testadas.</w:t>
      </w:r>
    </w:p>
    <w:p w14:paraId="0F5E0DAE" w14:textId="77777777" w:rsidR="005A75CA" w:rsidRPr="00141B2C" w:rsidRDefault="00E96B90">
      <w:pPr>
        <w:spacing w:before="240" w:after="240" w:line="360" w:lineRule="auto"/>
        <w:ind w:left="142"/>
        <w:jc w:val="both"/>
        <w:rPr>
          <w:rFonts w:ascii="Palatino Linotype" w:eastAsia="Palatino Linotype" w:hAnsi="Palatino Linotype" w:cs="Palatino Linotype"/>
        </w:rPr>
      </w:pPr>
      <w:r w:rsidRPr="00141B2C">
        <w:rPr>
          <w:rFonts w:ascii="Palatino Linotype" w:eastAsia="Palatino Linotype" w:hAnsi="Palatino Linotype" w:cs="Palatino Linotype"/>
        </w:rPr>
        <w:lastRenderedPageBreak/>
        <w:t>- 9 Prorrogas de Licencia de Construcción, testadas.</w:t>
      </w:r>
    </w:p>
    <w:p w14:paraId="263F860F" w14:textId="77777777" w:rsidR="005A75CA" w:rsidRPr="00141B2C" w:rsidRDefault="00E96B90">
      <w:pPr>
        <w:spacing w:before="240" w:after="240" w:line="360" w:lineRule="auto"/>
        <w:ind w:left="142"/>
        <w:jc w:val="both"/>
        <w:rPr>
          <w:rFonts w:ascii="Palatino Linotype" w:eastAsia="Palatino Linotype" w:hAnsi="Palatino Linotype" w:cs="Palatino Linotype"/>
        </w:rPr>
      </w:pPr>
      <w:r w:rsidRPr="00141B2C">
        <w:rPr>
          <w:rFonts w:ascii="Palatino Linotype" w:eastAsia="Palatino Linotype" w:hAnsi="Palatino Linotype" w:cs="Palatino Linotype"/>
        </w:rPr>
        <w:t>- 108 Cédulas Informativas de Zonificación, testadas.</w:t>
      </w:r>
    </w:p>
    <w:p w14:paraId="6E06A99D" w14:textId="77777777" w:rsidR="005A75CA" w:rsidRPr="00141B2C" w:rsidRDefault="00E96B90">
      <w:pPr>
        <w:spacing w:before="240" w:after="240" w:line="360" w:lineRule="auto"/>
        <w:ind w:left="142"/>
        <w:jc w:val="both"/>
        <w:rPr>
          <w:rFonts w:ascii="Palatino Linotype" w:eastAsia="Palatino Linotype" w:hAnsi="Palatino Linotype" w:cs="Palatino Linotype"/>
        </w:rPr>
      </w:pPr>
      <w:r w:rsidRPr="00141B2C">
        <w:rPr>
          <w:rFonts w:ascii="Palatino Linotype" w:eastAsia="Palatino Linotype" w:hAnsi="Palatino Linotype" w:cs="Palatino Linotype"/>
        </w:rPr>
        <w:t>- 84 Licencias de Construcción, testadas.</w:t>
      </w:r>
    </w:p>
    <w:p w14:paraId="10A5E6C5" w14:textId="77777777" w:rsidR="005A75CA" w:rsidRPr="00141B2C" w:rsidRDefault="00E96B90">
      <w:pPr>
        <w:spacing w:before="240" w:after="240" w:line="360" w:lineRule="auto"/>
        <w:ind w:left="142"/>
        <w:jc w:val="both"/>
        <w:rPr>
          <w:rFonts w:ascii="Palatino Linotype" w:eastAsia="Palatino Linotype" w:hAnsi="Palatino Linotype" w:cs="Palatino Linotype"/>
        </w:rPr>
      </w:pPr>
      <w:r w:rsidRPr="00141B2C">
        <w:rPr>
          <w:rFonts w:ascii="Palatino Linotype" w:eastAsia="Palatino Linotype" w:hAnsi="Palatino Linotype" w:cs="Palatino Linotype"/>
        </w:rPr>
        <w:t>- 21 Licencias de Uso de Suelo, testadas.</w:t>
      </w:r>
    </w:p>
    <w:p w14:paraId="4792DB6C" w14:textId="77777777" w:rsidR="005A75CA" w:rsidRPr="00141B2C" w:rsidRDefault="00E96B90">
      <w:pPr>
        <w:spacing w:before="240" w:after="240" w:line="360" w:lineRule="auto"/>
        <w:ind w:left="142"/>
        <w:jc w:val="both"/>
        <w:rPr>
          <w:rFonts w:ascii="Palatino Linotype" w:eastAsia="Palatino Linotype" w:hAnsi="Palatino Linotype" w:cs="Palatino Linotype"/>
        </w:rPr>
      </w:pPr>
      <w:r w:rsidRPr="00141B2C">
        <w:rPr>
          <w:rFonts w:ascii="Palatino Linotype" w:eastAsia="Palatino Linotype" w:hAnsi="Palatino Linotype" w:cs="Palatino Linotype"/>
        </w:rPr>
        <w:t>- 20 Constancias de Terminación de Obra, testadas.</w:t>
      </w:r>
    </w:p>
    <w:p w14:paraId="67F89F7D"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Sin embargo, dicha información no se hizo del conocimiento de la parte </w:t>
      </w:r>
      <w:r w:rsidRPr="00141B2C">
        <w:rPr>
          <w:rFonts w:ascii="Palatino Linotype" w:eastAsia="Palatino Linotype" w:hAnsi="Palatino Linotype" w:cs="Palatino Linotype"/>
          <w:b/>
        </w:rPr>
        <w:t xml:space="preserve">Recurrente, </w:t>
      </w:r>
      <w:r w:rsidRPr="00141B2C">
        <w:rPr>
          <w:rFonts w:ascii="Palatino Linotype" w:eastAsia="Palatino Linotype" w:hAnsi="Palatino Linotype" w:cs="Palatino Linotype"/>
        </w:rPr>
        <w:t>toda vez que del análisis de la información se advirtió que se dejaron datos susceptibles de ser clasificados como confidenciales, de manera enunciativa, más no limitativa, la clave catastral de un inmueble particular, en la Licencia de Uso de Suelo con número de expediente LUS/004/2025, además de haberse hecho entrega de información que no forma parte de la materia de la solicitud 00063/TULTEPEC/IP/2025.</w:t>
      </w:r>
    </w:p>
    <w:p w14:paraId="480B75C5"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El </w:t>
      </w:r>
      <w:r w:rsidRPr="00141B2C">
        <w:rPr>
          <w:rFonts w:ascii="Palatino Linotype" w:eastAsia="Palatino Linotype" w:hAnsi="Palatino Linotype" w:cs="Palatino Linotype"/>
          <w:b/>
        </w:rPr>
        <w:t xml:space="preserve">catorce de abril de dos mil veinticinco, </w:t>
      </w:r>
      <w:r w:rsidRPr="00141B2C">
        <w:rPr>
          <w:rFonts w:ascii="Palatino Linotype" w:eastAsia="Palatino Linotype" w:hAnsi="Palatino Linotype" w:cs="Palatino Linotype"/>
        </w:rPr>
        <w:t xml:space="preserve">la parte </w:t>
      </w:r>
      <w:r w:rsidRPr="00141B2C">
        <w:rPr>
          <w:rFonts w:ascii="Palatino Linotype" w:eastAsia="Palatino Linotype" w:hAnsi="Palatino Linotype" w:cs="Palatino Linotype"/>
          <w:b/>
        </w:rPr>
        <w:t xml:space="preserve">Recurrente </w:t>
      </w:r>
      <w:r w:rsidRPr="00141B2C">
        <w:rPr>
          <w:rFonts w:ascii="Palatino Linotype" w:eastAsia="Palatino Linotype" w:hAnsi="Palatino Linotype" w:cs="Palatino Linotype"/>
        </w:rPr>
        <w:t>presentó mediante escrito libre sus alegatos en los siguientes términos:</w:t>
      </w:r>
    </w:p>
    <w:p w14:paraId="7AB1EDF7"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w:t>
      </w:r>
    </w:p>
    <w:p w14:paraId="1703100C"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Por medio de la presente, me permito presentar los alegatos correspondientes al recurso de revisión interpuesto ante la plataforma SAIMEX, en relación con la falta de respuesta por parte del sujeto obligado a mi solicitud de información.</w:t>
      </w:r>
    </w:p>
    <w:p w14:paraId="6B8B64D0"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HECHOS:</w:t>
      </w:r>
    </w:p>
    <w:p w14:paraId="5DA77234"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El 13 de marzo de 2025, presenté una solicitud de información en la plataforma SAIMEX, registrada bajo el folio 00064/TULTEPEC/IP/2025, requiriendo lo siguiente:</w:t>
      </w:r>
    </w:p>
    <w:p w14:paraId="7BD50B6E"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 xml:space="preserve">"Solicito todas las licencias de uso de suelo que han sido  expedidas por la Dirección de Desarrollo Urbano, Ecología y Fomento Agropecuario, del 1 de </w:t>
      </w:r>
      <w:r w:rsidRPr="00141B2C">
        <w:rPr>
          <w:rFonts w:ascii="Palatino Linotype" w:eastAsia="Palatino Linotype" w:hAnsi="Palatino Linotype" w:cs="Palatino Linotype"/>
          <w:i/>
          <w:sz w:val="22"/>
          <w:szCs w:val="22"/>
        </w:rPr>
        <w:lastRenderedPageBreak/>
        <w:t>enero de 2025 hasta la fecha de ingreso de la presente solicitud. Respetuosamente, solicito la referida información por este medio en versión pública."</w:t>
      </w:r>
    </w:p>
    <w:p w14:paraId="3724734C" w14:textId="77777777" w:rsidR="005A75CA" w:rsidRPr="00141B2C" w:rsidRDefault="00E96B9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Sin embargo, el sujeto obligado no emitió respuesta alguna dentro del plazo establecido, vulnerando con ello mi derecho de acceso a la información.</w:t>
      </w:r>
    </w:p>
    <w:p w14:paraId="0C67F9AA" w14:textId="77777777" w:rsidR="005A75CA" w:rsidRPr="00141B2C" w:rsidRDefault="00E96B9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ARGUMENTOS:</w:t>
      </w:r>
    </w:p>
    <w:p w14:paraId="0BE19413" w14:textId="77777777" w:rsidR="005A75CA" w:rsidRPr="00141B2C" w:rsidRDefault="00E96B9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La falta de respuesta por parte del sujeto obligado constituye una omisión que contraviene los principios de transparencia y acceso a la información pública. De acuerdo con la normativa vigente en el Estado de México, el Instituto de Transparencia, Acceso a la Información Pública y Protección de Datos Personales (INFOEM) supervisa el cumplimiento de estas obligaciones.</w:t>
      </w:r>
    </w:p>
    <w:p w14:paraId="67FA61E9" w14:textId="77777777" w:rsidR="005A75CA" w:rsidRPr="00141B2C" w:rsidRDefault="00E96B9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Cuando un sujeto obligado incumple con su deber de respuesta, puede ser objeto de diversas medidas correctivas, entre ellas:</w:t>
      </w:r>
    </w:p>
    <w:p w14:paraId="0B8B0CA7" w14:textId="77777777" w:rsidR="005A75CA" w:rsidRPr="00141B2C" w:rsidRDefault="00E96B90">
      <w:pPr>
        <w:numPr>
          <w:ilvl w:val="0"/>
          <w:numId w:val="2"/>
        </w:numPr>
        <w:pBdr>
          <w:top w:val="nil"/>
          <w:left w:val="nil"/>
          <w:bottom w:val="nil"/>
          <w:right w:val="nil"/>
          <w:between w:val="nil"/>
        </w:pBdr>
        <w:spacing w:before="120" w:after="120"/>
        <w:ind w:left="1134" w:right="902" w:firstLine="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Requerimiento de respuesta:</w:t>
      </w:r>
      <w:r w:rsidRPr="00141B2C">
        <w:rPr>
          <w:rFonts w:ascii="Palatino Linotype" w:eastAsia="Palatino Linotype" w:hAnsi="Palatino Linotype" w:cs="Palatino Linotype"/>
          <w:i/>
          <w:sz w:val="22"/>
          <w:szCs w:val="22"/>
        </w:rPr>
        <w:t xml:space="preserve"> Se ordena al sujeto obligado proporcionar la información solicitada.</w:t>
      </w:r>
    </w:p>
    <w:p w14:paraId="70711072" w14:textId="77777777" w:rsidR="005A75CA" w:rsidRPr="00141B2C" w:rsidRDefault="00E96B90">
      <w:pPr>
        <w:numPr>
          <w:ilvl w:val="0"/>
          <w:numId w:val="2"/>
        </w:numPr>
        <w:pBdr>
          <w:top w:val="nil"/>
          <w:left w:val="nil"/>
          <w:bottom w:val="nil"/>
          <w:right w:val="nil"/>
          <w:between w:val="nil"/>
        </w:pBdr>
        <w:spacing w:before="120" w:after="120"/>
        <w:ind w:left="1134" w:right="902" w:firstLine="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Multas económicas:</w:t>
      </w:r>
      <w:r w:rsidRPr="00141B2C">
        <w:rPr>
          <w:rFonts w:ascii="Palatino Linotype" w:eastAsia="Palatino Linotype" w:hAnsi="Palatino Linotype" w:cs="Palatino Linotype"/>
          <w:i/>
          <w:sz w:val="22"/>
          <w:szCs w:val="22"/>
        </w:rPr>
        <w:t xml:space="preserve"> En caso de incumplimiento reiterado, pueden imponerse sanciones monetarias.</w:t>
      </w:r>
    </w:p>
    <w:p w14:paraId="3C90E4F1" w14:textId="77777777" w:rsidR="005A75CA" w:rsidRPr="00141B2C" w:rsidRDefault="00E96B90">
      <w:pPr>
        <w:numPr>
          <w:ilvl w:val="0"/>
          <w:numId w:val="2"/>
        </w:numPr>
        <w:pBdr>
          <w:top w:val="nil"/>
          <w:left w:val="nil"/>
          <w:bottom w:val="nil"/>
          <w:right w:val="nil"/>
          <w:between w:val="nil"/>
        </w:pBdr>
        <w:spacing w:before="120" w:after="120"/>
        <w:ind w:left="1134" w:right="902" w:firstLine="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Medidas correctivas:</w:t>
      </w:r>
      <w:r w:rsidRPr="00141B2C">
        <w:rPr>
          <w:rFonts w:ascii="Palatino Linotype" w:eastAsia="Palatino Linotype" w:hAnsi="Palatino Linotype" w:cs="Palatino Linotype"/>
          <w:i/>
          <w:sz w:val="22"/>
          <w:szCs w:val="22"/>
        </w:rPr>
        <w:t xml:space="preserve"> Se implementan acciones para mejorar el cumplimiento de la normativa de transparencia.</w:t>
      </w:r>
    </w:p>
    <w:p w14:paraId="1DABD163" w14:textId="77777777" w:rsidR="005A75CA" w:rsidRPr="00141B2C" w:rsidRDefault="00E96B90">
      <w:pPr>
        <w:numPr>
          <w:ilvl w:val="0"/>
          <w:numId w:val="2"/>
        </w:numPr>
        <w:pBdr>
          <w:top w:val="nil"/>
          <w:left w:val="nil"/>
          <w:bottom w:val="nil"/>
          <w:right w:val="nil"/>
          <w:between w:val="nil"/>
        </w:pBdr>
        <w:spacing w:before="120" w:after="120"/>
        <w:ind w:left="1134" w:right="902" w:firstLine="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Responsabilidad administrativa:</w:t>
      </w:r>
      <w:r w:rsidRPr="00141B2C">
        <w:rPr>
          <w:rFonts w:ascii="Palatino Linotype" w:eastAsia="Palatino Linotype" w:hAnsi="Palatino Linotype" w:cs="Palatino Linotype"/>
          <w:i/>
          <w:sz w:val="22"/>
          <w:szCs w:val="22"/>
        </w:rPr>
        <w:t xml:space="preserve"> En casos graves, los funcionarios responsables pueden enfrentar procedimientos administrativos.</w:t>
      </w:r>
    </w:p>
    <w:p w14:paraId="638C82A7" w14:textId="77777777" w:rsidR="005A75CA" w:rsidRPr="00141B2C" w:rsidRDefault="00E96B90">
      <w:pPr>
        <w:numPr>
          <w:ilvl w:val="0"/>
          <w:numId w:val="2"/>
        </w:numPr>
        <w:pBdr>
          <w:top w:val="nil"/>
          <w:left w:val="nil"/>
          <w:bottom w:val="nil"/>
          <w:right w:val="nil"/>
          <w:between w:val="nil"/>
        </w:pBdr>
        <w:spacing w:before="120" w:after="120"/>
        <w:ind w:left="1134" w:right="902" w:firstLine="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Derecho de acceso a la información pública:</w:t>
      </w:r>
    </w:p>
    <w:p w14:paraId="207D29A5" w14:textId="77777777" w:rsidR="005A75CA" w:rsidRPr="00141B2C" w:rsidRDefault="00E96B90">
      <w:pPr>
        <w:numPr>
          <w:ilvl w:val="1"/>
          <w:numId w:val="2"/>
        </w:numPr>
        <w:pBdr>
          <w:top w:val="nil"/>
          <w:left w:val="nil"/>
          <w:bottom w:val="nil"/>
          <w:right w:val="nil"/>
          <w:between w:val="nil"/>
        </w:pBdr>
        <w:spacing w:before="120" w:after="120"/>
        <w:ind w:left="1276" w:right="902" w:firstLine="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El artículo 6 de la Constitución Política de los Estados Unidos Mexicanos establece que toda persona tiene derecho al acceso a la información pública.</w:t>
      </w:r>
    </w:p>
    <w:p w14:paraId="7CB364C5" w14:textId="77777777" w:rsidR="005A75CA" w:rsidRPr="00141B2C" w:rsidRDefault="00E96B90">
      <w:pPr>
        <w:numPr>
          <w:ilvl w:val="1"/>
          <w:numId w:val="2"/>
        </w:numPr>
        <w:pBdr>
          <w:top w:val="nil"/>
          <w:left w:val="nil"/>
          <w:bottom w:val="nil"/>
          <w:right w:val="nil"/>
          <w:between w:val="nil"/>
        </w:pBdr>
        <w:spacing w:before="120" w:after="120"/>
        <w:ind w:left="1276" w:right="902" w:firstLine="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La Ley de Transparencia y Acceso a la Información Pública del Estado de México y Municipios garantiza este derecho y obliga a los sujetos obligados a responder en tiempo y forma a las solicitudes de información.</w:t>
      </w:r>
    </w:p>
    <w:p w14:paraId="092DE4DD" w14:textId="77777777" w:rsidR="005A75CA" w:rsidRPr="00141B2C" w:rsidRDefault="00E96B9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Por lo anteriormente expuesto, solicito que:</w:t>
      </w:r>
    </w:p>
    <w:p w14:paraId="40B1992C" w14:textId="77777777" w:rsidR="005A75CA" w:rsidRPr="00141B2C" w:rsidRDefault="00E96B90">
      <w:pPr>
        <w:numPr>
          <w:ilvl w:val="0"/>
          <w:numId w:val="3"/>
        </w:numPr>
        <w:pBdr>
          <w:top w:val="nil"/>
          <w:left w:val="nil"/>
          <w:bottom w:val="nil"/>
          <w:right w:val="nil"/>
          <w:between w:val="nil"/>
        </w:pBdr>
        <w:spacing w:before="120" w:after="120"/>
        <w:ind w:left="1134" w:right="902" w:firstLine="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Se reconsideren los argumentos presentados y se proporcione la información requerida conforme a la legislación aplicable.</w:t>
      </w:r>
    </w:p>
    <w:p w14:paraId="784E113C" w14:textId="77777777" w:rsidR="005A75CA" w:rsidRPr="00141B2C" w:rsidRDefault="00E96B90">
      <w:pPr>
        <w:numPr>
          <w:ilvl w:val="0"/>
          <w:numId w:val="3"/>
        </w:numPr>
        <w:pBdr>
          <w:top w:val="nil"/>
          <w:left w:val="nil"/>
          <w:bottom w:val="nil"/>
          <w:right w:val="nil"/>
          <w:between w:val="nil"/>
        </w:pBdr>
        <w:spacing w:before="120" w:after="120"/>
        <w:ind w:left="1134" w:right="902" w:firstLine="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Se dé vista al órgano de control interno del Ayuntamiento de Tultepec.</w:t>
      </w:r>
    </w:p>
    <w:p w14:paraId="65F82C59" w14:textId="77777777" w:rsidR="005A75CA" w:rsidRPr="00141B2C" w:rsidRDefault="00E96B90">
      <w:pPr>
        <w:numPr>
          <w:ilvl w:val="0"/>
          <w:numId w:val="3"/>
        </w:numPr>
        <w:pBdr>
          <w:top w:val="nil"/>
          <w:left w:val="nil"/>
          <w:bottom w:val="nil"/>
          <w:right w:val="nil"/>
          <w:between w:val="nil"/>
        </w:pBdr>
        <w:spacing w:before="120" w:after="120"/>
        <w:ind w:left="1134" w:right="902" w:firstLine="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Se dé vista a la Secretaría de la Contraloría del Estado de México.</w:t>
      </w:r>
    </w:p>
    <w:p w14:paraId="7CCA2E6A" w14:textId="77777777" w:rsidR="005A75CA" w:rsidRPr="00141B2C" w:rsidRDefault="00E96B90">
      <w:pPr>
        <w:numPr>
          <w:ilvl w:val="0"/>
          <w:numId w:val="3"/>
        </w:numPr>
        <w:pBdr>
          <w:top w:val="nil"/>
          <w:left w:val="nil"/>
          <w:bottom w:val="nil"/>
          <w:right w:val="nil"/>
          <w:between w:val="nil"/>
        </w:pBdr>
        <w:spacing w:before="120" w:after="120"/>
        <w:ind w:left="1134" w:right="902" w:firstLine="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lastRenderedPageBreak/>
        <w:t>Se notifique al Instituto de Transparencia, Acceso a la Información Pública y Protección de Datos Personales del Estado de México y Municipios (INFOEM) la negativa por parte del sujeto obligado, para que sea sancionado.</w:t>
      </w:r>
    </w:p>
    <w:p w14:paraId="7363A1C6" w14:textId="77777777" w:rsidR="005A75CA" w:rsidRPr="00141B2C" w:rsidRDefault="00E96B90">
      <w:pPr>
        <w:tabs>
          <w:tab w:val="left" w:pos="1276"/>
        </w:tabs>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 (sic)</w:t>
      </w:r>
    </w:p>
    <w:p w14:paraId="50422024"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b/>
        </w:rPr>
        <w:t xml:space="preserve">7. Cierre de instrucción. </w:t>
      </w:r>
      <w:r w:rsidRPr="00141B2C">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141B2C">
        <w:rPr>
          <w:rFonts w:ascii="Palatino Linotype" w:eastAsia="Palatino Linotype" w:hAnsi="Palatino Linotype" w:cs="Palatino Linotype"/>
          <w:b/>
        </w:rPr>
        <w:t>veintisiete de junio de dos mil veinticinco</w:t>
      </w:r>
      <w:r w:rsidRPr="00141B2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3D7DE9F" w14:textId="77777777" w:rsidR="005A75CA" w:rsidRPr="00141B2C" w:rsidRDefault="00E96B90">
      <w:pPr>
        <w:spacing w:before="240" w:after="240" w:line="360" w:lineRule="auto"/>
        <w:jc w:val="both"/>
        <w:rPr>
          <w:rFonts w:ascii="Palatino Linotype" w:eastAsia="Palatino Linotype" w:hAnsi="Palatino Linotype" w:cs="Palatino Linotype"/>
          <w:b/>
        </w:rPr>
      </w:pPr>
      <w:r w:rsidRPr="00141B2C">
        <w:rPr>
          <w:rFonts w:ascii="Palatino Linotype" w:eastAsia="Palatino Linotype" w:hAnsi="Palatino Linotype" w:cs="Palatino Linotype"/>
          <w:b/>
        </w:rPr>
        <w:t>8</w:t>
      </w:r>
      <w:r w:rsidRPr="00141B2C">
        <w:rPr>
          <w:rFonts w:ascii="Palatino Linotype" w:eastAsia="Palatino Linotype" w:hAnsi="Palatino Linotype" w:cs="Palatino Linotype"/>
        </w:rPr>
        <w:t xml:space="preserve">. </w:t>
      </w:r>
      <w:r w:rsidRPr="00141B2C">
        <w:rPr>
          <w:rFonts w:ascii="Palatino Linotype" w:eastAsia="Palatino Linotype" w:hAnsi="Palatino Linotype" w:cs="Palatino Linotype"/>
          <w:b/>
        </w:rPr>
        <w:t>Ampliación del término para resolver</w:t>
      </w:r>
      <w:r w:rsidRPr="00141B2C">
        <w:rPr>
          <w:rFonts w:ascii="Palatino Linotype" w:eastAsia="Palatino Linotype" w:hAnsi="Palatino Linotype" w:cs="Palatino Linotype"/>
        </w:rPr>
        <w:t xml:space="preserve">. El </w:t>
      </w:r>
      <w:r w:rsidRPr="00141B2C">
        <w:rPr>
          <w:rFonts w:ascii="Palatino Linotype" w:eastAsia="Palatino Linotype" w:hAnsi="Palatino Linotype" w:cs="Palatino Linotype"/>
          <w:b/>
        </w:rPr>
        <w:t>veintisiete de junio de dos mil veinticinco</w:t>
      </w:r>
      <w:r w:rsidRPr="00141B2C">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5B842F8F"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9216AD2"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20BED62"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9E7C13"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10ADCF0" w14:textId="77777777" w:rsidR="005A75CA" w:rsidRPr="00141B2C" w:rsidRDefault="00E96B90">
      <w:pPr>
        <w:spacing w:before="240" w:after="240" w:line="360" w:lineRule="auto"/>
        <w:jc w:val="both"/>
        <w:rPr>
          <w:rFonts w:ascii="Palatino Linotype" w:eastAsia="Palatino Linotype" w:hAnsi="Palatino Linotype" w:cs="Palatino Linotype"/>
          <w:strike/>
        </w:rPr>
      </w:pPr>
      <w:r w:rsidRPr="00141B2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8CABCBB" w14:textId="77777777" w:rsidR="005A75CA" w:rsidRPr="00141B2C" w:rsidRDefault="00E96B9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4B707BC" w14:textId="77777777" w:rsidR="005A75CA" w:rsidRPr="00141B2C" w:rsidRDefault="00E96B9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141B2C">
        <w:rPr>
          <w:rFonts w:ascii="Palatino Linotype" w:eastAsia="Palatino Linotype" w:hAnsi="Palatino Linotype" w:cs="Palatino Linotype"/>
        </w:rPr>
        <w:t>Actividad Procesal del interesado. Acciones u omisiones del interesado.</w:t>
      </w:r>
    </w:p>
    <w:p w14:paraId="7CB07ACE" w14:textId="77777777" w:rsidR="005A75CA" w:rsidRPr="00141B2C" w:rsidRDefault="00E96B9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141B2C">
        <w:rPr>
          <w:rFonts w:ascii="Palatino Linotype" w:eastAsia="Palatino Linotype" w:hAnsi="Palatino Linotype" w:cs="Palatino Linotype"/>
        </w:rPr>
        <w:t>Conducta de la Autoridad: Las Acciones u omisiones realizadas en el procedimiento. Así como si la autoridad actuó con la debida diligencia.</w:t>
      </w:r>
    </w:p>
    <w:p w14:paraId="196423EE" w14:textId="77777777" w:rsidR="005A75CA" w:rsidRPr="00141B2C" w:rsidRDefault="00E96B90">
      <w:pPr>
        <w:tabs>
          <w:tab w:val="left" w:pos="567"/>
        </w:tabs>
        <w:spacing w:before="240" w:after="240" w:line="360" w:lineRule="auto"/>
        <w:ind w:left="284"/>
        <w:jc w:val="both"/>
        <w:rPr>
          <w:rFonts w:ascii="Palatino Linotype" w:eastAsia="Palatino Linotype" w:hAnsi="Palatino Linotype" w:cs="Palatino Linotype"/>
        </w:rPr>
      </w:pPr>
      <w:r w:rsidRPr="00141B2C">
        <w:rPr>
          <w:rFonts w:ascii="Palatino Linotype" w:eastAsia="Palatino Linotype" w:hAnsi="Palatino Linotype" w:cs="Palatino Linotype"/>
        </w:rPr>
        <w:t>d) La afectación generada en la situación jurídica de la persona involucrada en el proceso: Violación a sus derechos humanos.</w:t>
      </w:r>
    </w:p>
    <w:p w14:paraId="31C314F0"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141B2C">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24070CDD" w14:textId="77777777" w:rsidR="005A75CA" w:rsidRPr="00141B2C" w:rsidRDefault="00E96B90">
      <w:pPr>
        <w:spacing w:before="240" w:after="240" w:line="360" w:lineRule="auto"/>
        <w:jc w:val="both"/>
        <w:rPr>
          <w:rFonts w:ascii="Palatino Linotype" w:eastAsia="Palatino Linotype" w:hAnsi="Palatino Linotype" w:cs="Palatino Linotype"/>
          <w:b/>
        </w:rPr>
      </w:pPr>
      <w:r w:rsidRPr="00141B2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41B2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41B2C">
        <w:rPr>
          <w:rFonts w:ascii="Palatino Linotype" w:eastAsia="Palatino Linotype" w:hAnsi="Palatino Linotype" w:cs="Palatino Linotype"/>
        </w:rPr>
        <w:t>, visible en la Gaceta del Seminario Judicial de la Federación con el registro digital 205635.</w:t>
      </w:r>
    </w:p>
    <w:p w14:paraId="3D852D50"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928244A"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404F6A2" w14:textId="77777777" w:rsidR="005A75CA" w:rsidRPr="00141B2C" w:rsidRDefault="00E96B90">
      <w:pPr>
        <w:spacing w:before="120" w:after="120"/>
        <w:ind w:left="851" w:right="902"/>
        <w:jc w:val="both"/>
        <w:rPr>
          <w:rFonts w:ascii="Palatino Linotype" w:eastAsia="Palatino Linotype" w:hAnsi="Palatino Linotype" w:cs="Palatino Linotype"/>
          <w:sz w:val="22"/>
          <w:szCs w:val="22"/>
        </w:rPr>
      </w:pPr>
      <w:r w:rsidRPr="00141B2C">
        <w:rPr>
          <w:rFonts w:ascii="Palatino Linotype" w:eastAsia="Palatino Linotype" w:hAnsi="Palatino Linotype" w:cs="Palatino Linotype"/>
          <w:sz w:val="22"/>
          <w:szCs w:val="22"/>
        </w:rPr>
        <w:lastRenderedPageBreak/>
        <w:t xml:space="preserve"> </w:t>
      </w:r>
      <w:r w:rsidRPr="00141B2C">
        <w:rPr>
          <w:rFonts w:ascii="Palatino Linotype" w:eastAsia="Palatino Linotype" w:hAnsi="Palatino Linotype" w:cs="Palatino Linotype"/>
          <w:i/>
          <w:sz w:val="22"/>
          <w:szCs w:val="22"/>
        </w:rPr>
        <w:t>“</w:t>
      </w:r>
      <w:r w:rsidRPr="00141B2C">
        <w:rPr>
          <w:rFonts w:ascii="Palatino Linotype" w:eastAsia="Palatino Linotype" w:hAnsi="Palatino Linotype" w:cs="Palatino Linotype"/>
          <w:b/>
          <w:i/>
          <w:sz w:val="22"/>
          <w:szCs w:val="22"/>
        </w:rPr>
        <w:t>PLAZO RAZONABLE PARA RESOLVER. DIMENSIÓN Y EFECTOS DE ESTE CONCEPTO CUANDO SE ADUCE EXCESIVA CARGA DE TRABAJO</w:t>
      </w:r>
      <w:r w:rsidRPr="00141B2C">
        <w:rPr>
          <w:rFonts w:ascii="Palatino Linotype" w:eastAsia="Palatino Linotype" w:hAnsi="Palatino Linotype" w:cs="Palatino Linotype"/>
          <w:i/>
          <w:sz w:val="22"/>
          <w:szCs w:val="22"/>
        </w:rPr>
        <w:t>.”</w:t>
      </w:r>
      <w:r w:rsidRPr="00141B2C">
        <w:rPr>
          <w:rFonts w:ascii="Palatino Linotype" w:eastAsia="Palatino Linotype" w:hAnsi="Palatino Linotype" w:cs="Palatino Linotype"/>
          <w:sz w:val="22"/>
          <w:szCs w:val="22"/>
        </w:rPr>
        <w:t xml:space="preserve"> consultable en el Seminario Judicial de la Federación y su gaceta, con el registro digital 2002351.</w:t>
      </w:r>
    </w:p>
    <w:p w14:paraId="5D769731" w14:textId="77777777" w:rsidR="005A75CA" w:rsidRPr="00141B2C" w:rsidRDefault="00E96B90">
      <w:pPr>
        <w:spacing w:before="120" w:after="120"/>
        <w:ind w:left="851" w:right="902"/>
        <w:jc w:val="both"/>
        <w:rPr>
          <w:rFonts w:ascii="Palatino Linotype" w:eastAsia="Palatino Linotype" w:hAnsi="Palatino Linotype" w:cs="Palatino Linotype"/>
          <w:sz w:val="22"/>
          <w:szCs w:val="22"/>
        </w:rPr>
      </w:pPr>
      <w:r w:rsidRPr="00141B2C">
        <w:rPr>
          <w:rFonts w:ascii="Palatino Linotype" w:eastAsia="Palatino Linotype" w:hAnsi="Palatino Linotype" w:cs="Palatino Linotype"/>
          <w:i/>
          <w:sz w:val="22"/>
          <w:szCs w:val="22"/>
        </w:rPr>
        <w:t>“</w:t>
      </w:r>
      <w:r w:rsidRPr="00141B2C">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141B2C">
        <w:rPr>
          <w:rFonts w:ascii="Palatino Linotype" w:eastAsia="Palatino Linotype" w:hAnsi="Palatino Linotype" w:cs="Palatino Linotype"/>
          <w:i/>
          <w:sz w:val="22"/>
          <w:szCs w:val="22"/>
        </w:rPr>
        <w:t>.”</w:t>
      </w:r>
      <w:r w:rsidRPr="00141B2C">
        <w:rPr>
          <w:rFonts w:ascii="Palatino Linotype" w:eastAsia="Palatino Linotype" w:hAnsi="Palatino Linotype" w:cs="Palatino Linotype"/>
          <w:sz w:val="22"/>
          <w:szCs w:val="22"/>
        </w:rPr>
        <w:t>, visible en el Seminario Judicial de la Federación y su gaceta, con el registro digital 2002350.</w:t>
      </w:r>
    </w:p>
    <w:p w14:paraId="299313AF"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A66F519"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AD56F5D" w14:textId="77777777" w:rsidR="005A75CA" w:rsidRPr="00141B2C" w:rsidRDefault="00E96B90">
      <w:pPr>
        <w:widowControl w:val="0"/>
        <w:spacing w:before="240" w:after="240" w:line="360" w:lineRule="auto"/>
        <w:jc w:val="center"/>
        <w:rPr>
          <w:rFonts w:ascii="Palatino Linotype" w:eastAsia="Palatino Linotype" w:hAnsi="Palatino Linotype" w:cs="Palatino Linotype"/>
          <w:b/>
        </w:rPr>
      </w:pPr>
      <w:r w:rsidRPr="00141B2C">
        <w:rPr>
          <w:rFonts w:ascii="Palatino Linotype" w:eastAsia="Palatino Linotype" w:hAnsi="Palatino Linotype" w:cs="Palatino Linotype"/>
          <w:b/>
        </w:rPr>
        <w:t>II. C O N S I D E R A N D O S</w:t>
      </w:r>
    </w:p>
    <w:p w14:paraId="591E0DDD"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b/>
        </w:rPr>
        <w:t>Primero. Competencia.</w:t>
      </w:r>
      <w:r w:rsidRPr="00141B2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w:t>
      </w:r>
      <w:r w:rsidRPr="00141B2C">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7106B145" w14:textId="77777777" w:rsidR="005A75CA" w:rsidRPr="00141B2C" w:rsidRDefault="00E96B90">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141B2C">
        <w:rPr>
          <w:rFonts w:ascii="Palatino Linotype" w:eastAsia="Palatino Linotype" w:hAnsi="Palatino Linotype" w:cs="Palatino Linotype"/>
          <w:b/>
        </w:rPr>
        <w:t xml:space="preserve">Segundo. Oportunidad y Procedibilidad. </w:t>
      </w:r>
      <w:r w:rsidRPr="00141B2C">
        <w:rPr>
          <w:rFonts w:ascii="Palatino Linotype" w:eastAsia="Palatino Linotype" w:hAnsi="Palatino Linotype" w:cs="Palatino Linotype"/>
        </w:rPr>
        <w:t>Es de precisar que la</w:t>
      </w:r>
      <w:r w:rsidRPr="00141B2C">
        <w:rPr>
          <w:rFonts w:ascii="Palatino Linotype" w:eastAsia="Palatino Linotype" w:hAnsi="Palatino Linotype" w:cs="Palatino Linotype"/>
          <w:b/>
        </w:rPr>
        <w:t xml:space="preserve"> </w:t>
      </w:r>
      <w:r w:rsidRPr="00141B2C">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14:paraId="28CBAA0A" w14:textId="77777777" w:rsidR="005A75CA" w:rsidRPr="00141B2C" w:rsidRDefault="00E96B90">
      <w:pPr>
        <w:ind w:left="851" w:right="851"/>
        <w:jc w:val="both"/>
        <w:rPr>
          <w:rFonts w:ascii="Palatino Linotype" w:eastAsia="Palatino Linotype" w:hAnsi="Palatino Linotype" w:cs="Palatino Linotype"/>
          <w:i/>
        </w:rPr>
      </w:pPr>
      <w:r w:rsidRPr="00141B2C">
        <w:rPr>
          <w:rFonts w:ascii="Palatino Linotype" w:eastAsia="Palatino Linotype" w:hAnsi="Palatino Linotype" w:cs="Palatino Linotype"/>
          <w:i/>
          <w:sz w:val="22"/>
          <w:szCs w:val="22"/>
        </w:rPr>
        <w:t>“</w:t>
      </w:r>
      <w:r w:rsidRPr="00141B2C">
        <w:rPr>
          <w:rFonts w:ascii="Palatino Linotype" w:eastAsia="Palatino Linotype" w:hAnsi="Palatino Linotype" w:cs="Palatino Linotype"/>
          <w:b/>
          <w:i/>
          <w:sz w:val="22"/>
          <w:szCs w:val="22"/>
        </w:rPr>
        <w:t xml:space="preserve">Artículo 163. </w:t>
      </w:r>
      <w:r w:rsidRPr="00141B2C">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284712C8" w14:textId="77777777" w:rsidR="005A75CA" w:rsidRPr="00141B2C" w:rsidRDefault="00E96B90">
      <w:pPr>
        <w:ind w:left="851" w:right="851"/>
        <w:jc w:val="both"/>
        <w:rPr>
          <w:rFonts w:ascii="Palatino Linotype" w:eastAsia="Palatino Linotype" w:hAnsi="Palatino Linotype" w:cs="Palatino Linotype"/>
          <w:i/>
        </w:rPr>
      </w:pPr>
      <w:r w:rsidRPr="00141B2C">
        <w:rPr>
          <w:rFonts w:ascii="Palatino Linotype" w:eastAsia="Palatino Linotype" w:hAnsi="Palatino Linotype" w:cs="Palatino Linotype"/>
          <w:i/>
          <w:sz w:val="22"/>
          <w:szCs w:val="22"/>
        </w:rPr>
        <w:t>…</w:t>
      </w:r>
    </w:p>
    <w:p w14:paraId="49A851A1" w14:textId="77777777" w:rsidR="005A75CA" w:rsidRPr="00141B2C" w:rsidRDefault="00E96B90">
      <w:pPr>
        <w:ind w:left="851" w:right="851"/>
        <w:jc w:val="both"/>
        <w:rPr>
          <w:rFonts w:ascii="Palatino Linotype" w:eastAsia="Palatino Linotype" w:hAnsi="Palatino Linotype" w:cs="Palatino Linotype"/>
          <w:i/>
        </w:rPr>
      </w:pPr>
      <w:r w:rsidRPr="00141B2C">
        <w:rPr>
          <w:rFonts w:ascii="Palatino Linotype" w:eastAsia="Palatino Linotype" w:hAnsi="Palatino Linotype" w:cs="Palatino Linotype"/>
          <w:b/>
          <w:i/>
          <w:sz w:val="22"/>
          <w:szCs w:val="22"/>
        </w:rPr>
        <w:t>Artículo 166.</w:t>
      </w:r>
      <w:r w:rsidRPr="00141B2C">
        <w:rPr>
          <w:rFonts w:ascii="Palatino Linotype" w:eastAsia="Palatino Linotype" w:hAnsi="Palatino Linotype" w:cs="Palatino Linotype"/>
          <w:i/>
          <w:sz w:val="22"/>
          <w:szCs w:val="22"/>
        </w:rPr>
        <w:t xml:space="preserve"> […]</w:t>
      </w:r>
    </w:p>
    <w:p w14:paraId="5950788F" w14:textId="77777777" w:rsidR="005A75CA" w:rsidRPr="00141B2C" w:rsidRDefault="00E96B90">
      <w:pPr>
        <w:ind w:left="851" w:right="851"/>
        <w:jc w:val="both"/>
        <w:rPr>
          <w:rFonts w:ascii="Palatino Linotype" w:eastAsia="Palatino Linotype" w:hAnsi="Palatino Linotype" w:cs="Palatino Linotype"/>
          <w:i/>
        </w:rPr>
      </w:pPr>
      <w:r w:rsidRPr="00141B2C">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7F2DF570"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 la persona solicitante le asiste el derecho para presentar el recurso de revisión.</w:t>
      </w:r>
    </w:p>
    <w:p w14:paraId="212DD4AF"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7644EEF3" w14:textId="77777777" w:rsidR="005A75CA" w:rsidRPr="00141B2C" w:rsidRDefault="00E96B90">
      <w:pPr>
        <w:spacing w:before="240" w:after="240" w:line="360" w:lineRule="auto"/>
        <w:jc w:val="both"/>
        <w:rPr>
          <w:rFonts w:ascii="Palatino Linotype" w:eastAsia="Palatino Linotype" w:hAnsi="Palatino Linotype" w:cs="Palatino Linotype"/>
          <w:i/>
        </w:rPr>
      </w:pPr>
      <w:r w:rsidRPr="00141B2C">
        <w:rPr>
          <w:rFonts w:ascii="Palatino Linotype" w:eastAsia="Palatino Linotype" w:hAnsi="Palatino Linotype" w:cs="Palatino Linotype"/>
        </w:rPr>
        <w:lastRenderedPageBreak/>
        <w:t>Por su parte, el artículo 178 del citado ordenamiento, establece:</w:t>
      </w:r>
    </w:p>
    <w:p w14:paraId="4D8FD504" w14:textId="77777777" w:rsidR="005A75CA" w:rsidRPr="00141B2C" w:rsidRDefault="00E96B90">
      <w:pPr>
        <w:spacing w:before="120" w:after="120"/>
        <w:ind w:left="851" w:right="851"/>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w:t>
      </w:r>
      <w:r w:rsidRPr="00141B2C">
        <w:rPr>
          <w:rFonts w:ascii="Palatino Linotype" w:eastAsia="Palatino Linotype" w:hAnsi="Palatino Linotype" w:cs="Palatino Linotype"/>
          <w:b/>
          <w:i/>
          <w:sz w:val="22"/>
          <w:szCs w:val="22"/>
        </w:rPr>
        <w:t xml:space="preserve">Artículo 178. </w:t>
      </w:r>
      <w:r w:rsidRPr="00141B2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1EBD44B" w14:textId="77777777" w:rsidR="005A75CA" w:rsidRPr="00141B2C" w:rsidRDefault="00E96B90">
      <w:pPr>
        <w:spacing w:before="120" w:after="120"/>
        <w:ind w:left="851" w:right="851"/>
        <w:jc w:val="both"/>
        <w:rPr>
          <w:rFonts w:ascii="Palatino Linotype" w:eastAsia="Palatino Linotype" w:hAnsi="Palatino Linotype" w:cs="Palatino Linotype"/>
          <w:i/>
          <w:sz w:val="20"/>
          <w:szCs w:val="20"/>
        </w:rPr>
      </w:pPr>
      <w:r w:rsidRPr="00141B2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F3C12EA"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De lo anterior, se advierte que el recurso de revisión se ha de interponer dentro del plazo de quince días hábiles, a partir de la fecha en que el </w:t>
      </w:r>
      <w:r w:rsidRPr="00141B2C">
        <w:rPr>
          <w:rFonts w:ascii="Palatino Linotype" w:eastAsia="Palatino Linotype" w:hAnsi="Palatino Linotype" w:cs="Palatino Linotype"/>
          <w:b/>
        </w:rPr>
        <w:t xml:space="preserve">Sujeto Obligado </w:t>
      </w:r>
      <w:r w:rsidRPr="00141B2C">
        <w:rPr>
          <w:rFonts w:ascii="Palatino Linotype" w:eastAsia="Palatino Linotype" w:hAnsi="Palatino Linotype" w:cs="Palatino Linotype"/>
        </w:rPr>
        <w:t>da respuesta a la solicitud de información; sin embargo, tratándose de negativa ficta no existe resolución que se haga del conocimiento de la persona solicitante a partir de la cual pueda computarse dicho plazo, por lo que se concluye que la interposición del recurso de revisión puede ser en cualquier momento.</w:t>
      </w:r>
    </w:p>
    <w:p w14:paraId="6EAE9AC2"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La negativa ficta constituye una presunción legal, en el entendido de que donde no hubo respuesta por parte del </w:t>
      </w:r>
      <w:r w:rsidRPr="00141B2C">
        <w:rPr>
          <w:rFonts w:ascii="Palatino Linotype" w:eastAsia="Palatino Linotype" w:hAnsi="Palatino Linotype" w:cs="Palatino Linotype"/>
          <w:b/>
        </w:rPr>
        <w:t xml:space="preserve">Sujeto Obligado </w:t>
      </w:r>
      <w:r w:rsidRPr="00141B2C">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3B73F924"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w:t>
      </w:r>
      <w:r w:rsidRPr="00141B2C">
        <w:rPr>
          <w:rFonts w:ascii="Palatino Linotype" w:eastAsia="Palatino Linotype" w:hAnsi="Palatino Linotype" w:cs="Palatino Linotype"/>
        </w:rPr>
        <w:lastRenderedPageBreak/>
        <w:t xml:space="preserve">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141B2C">
        <w:rPr>
          <w:rFonts w:ascii="Palatino Linotype" w:eastAsia="Palatino Linotype" w:hAnsi="Palatino Linotype" w:cs="Palatino Linotype"/>
        </w:rPr>
        <w:t>desechamiento</w:t>
      </w:r>
      <w:proofErr w:type="spellEnd"/>
      <w:r w:rsidRPr="00141B2C">
        <w:rPr>
          <w:rFonts w:ascii="Palatino Linotype" w:eastAsia="Palatino Linotype" w:hAnsi="Palatino Linotype" w:cs="Palatino Linotype"/>
        </w:rPr>
        <w:t xml:space="preserve"> del mismo.</w:t>
      </w:r>
    </w:p>
    <w:p w14:paraId="6B29ACDF" w14:textId="77777777" w:rsidR="005A75CA" w:rsidRPr="00141B2C" w:rsidRDefault="00E96B90">
      <w:pPr>
        <w:spacing w:before="240" w:after="240" w:line="360" w:lineRule="auto"/>
        <w:jc w:val="both"/>
        <w:rPr>
          <w:rFonts w:ascii="Palatino Linotype" w:eastAsia="Palatino Linotype" w:hAnsi="Palatino Linotype" w:cs="Palatino Linotype"/>
          <w:i/>
        </w:rPr>
      </w:pPr>
      <w:r w:rsidRPr="00141B2C">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38D9DC33" w14:textId="77777777" w:rsidR="005A75CA" w:rsidRPr="00141B2C" w:rsidRDefault="00E96B90">
      <w:pPr>
        <w:ind w:left="851" w:right="851"/>
        <w:jc w:val="both"/>
        <w:rPr>
          <w:rFonts w:ascii="Palatino Linotype" w:eastAsia="Palatino Linotype" w:hAnsi="Palatino Linotype" w:cs="Palatino Linotype"/>
          <w:i/>
        </w:rPr>
      </w:pPr>
      <w:r w:rsidRPr="00141B2C">
        <w:rPr>
          <w:rFonts w:ascii="Palatino Linotype" w:eastAsia="Palatino Linotype" w:hAnsi="Palatino Linotype" w:cs="Palatino Linotype"/>
          <w:b/>
          <w:i/>
          <w:sz w:val="22"/>
          <w:szCs w:val="22"/>
        </w:rPr>
        <w:t>“CRITERIO 0001-15. NEGATIVA FICTA. PLAZO PARA INTERPONER EL RECURSO DE REVISIÓN TRATÁNDOSE DE</w:t>
      </w:r>
      <w:r w:rsidRPr="00141B2C">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w:t>
      </w:r>
      <w:r w:rsidRPr="00141B2C">
        <w:rPr>
          <w:rFonts w:ascii="Palatino Linotype" w:eastAsia="Palatino Linotype" w:hAnsi="Palatino Linotype" w:cs="Palatino Linotype"/>
          <w:i/>
          <w:sz w:val="22"/>
          <w:szCs w:val="22"/>
        </w:rPr>
        <w:lastRenderedPageBreak/>
        <w:t>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141B2C">
        <w:rPr>
          <w:rFonts w:ascii="Palatino Linotype" w:eastAsia="Palatino Linotype" w:hAnsi="Palatino Linotype" w:cs="Palatino Linotype"/>
          <w:i/>
        </w:rPr>
        <w:t xml:space="preserve"> </w:t>
      </w:r>
    </w:p>
    <w:p w14:paraId="18E16DAA" w14:textId="77777777" w:rsidR="005A75CA" w:rsidRPr="00141B2C" w:rsidRDefault="00E96B90">
      <w:pPr>
        <w:tabs>
          <w:tab w:val="left" w:pos="7938"/>
        </w:tabs>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B38E422"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14:paraId="7094A9DD" w14:textId="77777777" w:rsidR="005A75CA" w:rsidRPr="00141B2C" w:rsidRDefault="00E96B90">
      <w:pPr>
        <w:ind w:left="851" w:right="851"/>
        <w:jc w:val="both"/>
        <w:rPr>
          <w:rFonts w:ascii="Palatino Linotype" w:eastAsia="Palatino Linotype" w:hAnsi="Palatino Linotype" w:cs="Palatino Linotype"/>
          <w:i/>
        </w:rPr>
      </w:pPr>
      <w:r w:rsidRPr="00141B2C">
        <w:rPr>
          <w:rFonts w:ascii="Palatino Linotype" w:eastAsia="Palatino Linotype" w:hAnsi="Palatino Linotype" w:cs="Palatino Linotype"/>
          <w:i/>
          <w:sz w:val="22"/>
          <w:szCs w:val="22"/>
        </w:rPr>
        <w:t>“</w:t>
      </w:r>
      <w:r w:rsidRPr="00141B2C">
        <w:rPr>
          <w:rFonts w:ascii="Palatino Linotype" w:eastAsia="Palatino Linotype" w:hAnsi="Palatino Linotype" w:cs="Palatino Linotype"/>
          <w:b/>
          <w:i/>
          <w:sz w:val="22"/>
          <w:szCs w:val="22"/>
        </w:rPr>
        <w:t xml:space="preserve">Artículo 179. </w:t>
      </w:r>
      <w:r w:rsidRPr="00141B2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245885C" w14:textId="77777777" w:rsidR="005A75CA" w:rsidRPr="00141B2C" w:rsidRDefault="00E96B90">
      <w:pPr>
        <w:ind w:left="1134" w:right="851"/>
        <w:jc w:val="both"/>
        <w:rPr>
          <w:rFonts w:ascii="Palatino Linotype" w:eastAsia="Palatino Linotype" w:hAnsi="Palatino Linotype" w:cs="Palatino Linotype"/>
          <w:i/>
        </w:rPr>
      </w:pPr>
      <w:r w:rsidRPr="00141B2C">
        <w:rPr>
          <w:rFonts w:ascii="Palatino Linotype" w:eastAsia="Palatino Linotype" w:hAnsi="Palatino Linotype" w:cs="Palatino Linotype"/>
          <w:i/>
        </w:rPr>
        <w:t>…</w:t>
      </w:r>
    </w:p>
    <w:p w14:paraId="108CFBAE" w14:textId="77777777" w:rsidR="005A75CA" w:rsidRPr="00141B2C" w:rsidRDefault="00E96B90">
      <w:pPr>
        <w:ind w:left="1134" w:right="851"/>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 xml:space="preserve">VII. </w:t>
      </w:r>
      <w:r w:rsidRPr="00141B2C">
        <w:rPr>
          <w:rFonts w:ascii="Palatino Linotype" w:eastAsia="Palatino Linotype" w:hAnsi="Palatino Linotype" w:cs="Palatino Linotype"/>
          <w:i/>
          <w:sz w:val="22"/>
          <w:szCs w:val="22"/>
        </w:rPr>
        <w:t>La falta de respuesta a una solicitud de acceso a la información;”</w:t>
      </w:r>
    </w:p>
    <w:p w14:paraId="0B9FF5EA"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El precepto legal citado, establece como supuesto de procedencia del recurso de revisión, en aquellos casos en que la parte </w:t>
      </w:r>
      <w:r w:rsidRPr="00141B2C">
        <w:rPr>
          <w:rFonts w:ascii="Palatino Linotype" w:eastAsia="Palatino Linotype" w:hAnsi="Palatino Linotype" w:cs="Palatino Linotype"/>
          <w:b/>
        </w:rPr>
        <w:t xml:space="preserve">Recurrente </w:t>
      </w:r>
      <w:r w:rsidRPr="00141B2C">
        <w:rPr>
          <w:rFonts w:ascii="Palatino Linotype" w:eastAsia="Palatino Linotype" w:hAnsi="Palatino Linotype" w:cs="Palatino Linotype"/>
        </w:rPr>
        <w:t xml:space="preserve">estime negado el acceso a la información por la falta de respuesta por 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en este asunto se actualiza la hipótesis jurídica citada, en atención a que la parte </w:t>
      </w:r>
      <w:r w:rsidRPr="00141B2C">
        <w:rPr>
          <w:rFonts w:ascii="Palatino Linotype" w:eastAsia="Palatino Linotype" w:hAnsi="Palatino Linotype" w:cs="Palatino Linotype"/>
          <w:b/>
        </w:rPr>
        <w:t>Recurrente</w:t>
      </w:r>
      <w:r w:rsidRPr="00141B2C">
        <w:rPr>
          <w:rFonts w:ascii="Palatino Linotype" w:eastAsia="Palatino Linotype" w:hAnsi="Palatino Linotype" w:cs="Palatino Linotype"/>
        </w:rPr>
        <w:t xml:space="preserve"> combate falta de trámite por 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y expresa motivos de inconformidad en contra de dicha circunstancia.</w:t>
      </w:r>
    </w:p>
    <w:p w14:paraId="12A9D239" w14:textId="77777777" w:rsidR="005A75CA" w:rsidRPr="00141B2C" w:rsidRDefault="00E96B90">
      <w:pPr>
        <w:spacing w:before="240" w:after="240" w:line="360" w:lineRule="auto"/>
        <w:jc w:val="both"/>
        <w:rPr>
          <w:rFonts w:ascii="Palatino Linotype" w:eastAsia="Palatino Linotype" w:hAnsi="Palatino Linotype" w:cs="Palatino Linotype"/>
          <w:b/>
        </w:rPr>
      </w:pPr>
      <w:r w:rsidRPr="00141B2C">
        <w:rPr>
          <w:rFonts w:ascii="Palatino Linotype" w:eastAsia="Palatino Linotype" w:hAnsi="Palatino Linotype" w:cs="Palatino Linotype"/>
          <w:b/>
        </w:rPr>
        <w:lastRenderedPageBreak/>
        <w:t xml:space="preserve">Tercero. Materia de la revisión. </w:t>
      </w:r>
      <w:r w:rsidRPr="00141B2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141B2C">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141B2C">
        <w:rPr>
          <w:rFonts w:ascii="Palatino Linotype" w:eastAsia="Palatino Linotype" w:hAnsi="Palatino Linotype" w:cs="Palatino Linotype"/>
        </w:rPr>
        <w:t xml:space="preserve">de la parte </w:t>
      </w:r>
      <w:r w:rsidRPr="00141B2C">
        <w:rPr>
          <w:rFonts w:ascii="Palatino Linotype" w:eastAsia="Palatino Linotype" w:hAnsi="Palatino Linotype" w:cs="Palatino Linotype"/>
          <w:b/>
        </w:rPr>
        <w:t>Recurrente</w:t>
      </w:r>
      <w:r w:rsidRPr="00141B2C">
        <w:rPr>
          <w:rFonts w:ascii="Palatino Linotype" w:eastAsia="Palatino Linotype" w:hAnsi="Palatino Linotype" w:cs="Palatino Linotype"/>
        </w:rPr>
        <w:t>, o en su defecto, en caso de ser procedente, ordenar la entrega de información.</w:t>
      </w:r>
    </w:p>
    <w:p w14:paraId="17F2A1BC" w14:textId="77777777" w:rsidR="005A75CA" w:rsidRPr="00141B2C" w:rsidRDefault="00E96B90">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141B2C">
        <w:rPr>
          <w:rFonts w:ascii="Palatino Linotype" w:eastAsia="Palatino Linotype" w:hAnsi="Palatino Linotype" w:cs="Palatino Linotype"/>
          <w:b/>
        </w:rPr>
        <w:t xml:space="preserve">Cuarto. Estudio del asunto. </w:t>
      </w:r>
      <w:r w:rsidRPr="00141B2C">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23378A5"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w:t>
      </w:r>
      <w:r w:rsidRPr="00141B2C">
        <w:rPr>
          <w:rFonts w:ascii="Palatino Linotype" w:eastAsia="Palatino Linotype" w:hAnsi="Palatino Linotype" w:cs="Palatino Linotype"/>
          <w:b/>
          <w:i/>
          <w:sz w:val="22"/>
          <w:szCs w:val="22"/>
        </w:rPr>
        <w:t>Artículo 4</w:t>
      </w:r>
      <w:r w:rsidRPr="00141B2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BA8397F"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41B2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FB271AA"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141B2C">
        <w:rPr>
          <w:rFonts w:ascii="Palatino Linotype" w:eastAsia="Palatino Linotype" w:hAnsi="Palatino Linotype" w:cs="Palatino Linotype"/>
          <w:i/>
          <w:sz w:val="22"/>
          <w:szCs w:val="22"/>
        </w:rPr>
        <w:t>.”</w:t>
      </w:r>
    </w:p>
    <w:p w14:paraId="1BBF46E6"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40FAB9E"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“Artículo 12.-</w:t>
      </w:r>
      <w:r w:rsidRPr="00141B2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8377982"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41B2C">
        <w:rPr>
          <w:rFonts w:ascii="Palatino Linotype" w:eastAsia="Palatino Linotype" w:hAnsi="Palatino Linotype" w:cs="Palatino Linotype"/>
          <w:i/>
          <w:sz w:val="22"/>
          <w:szCs w:val="22"/>
        </w:rPr>
        <w:t xml:space="preserve">. </w:t>
      </w:r>
      <w:r w:rsidRPr="00141B2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33D310A" w14:textId="77777777" w:rsidR="005A75CA" w:rsidRPr="00141B2C" w:rsidRDefault="00E96B90">
      <w:pPr>
        <w:spacing w:before="240" w:after="240" w:line="360" w:lineRule="auto"/>
        <w:ind w:right="-93"/>
        <w:jc w:val="both"/>
        <w:rPr>
          <w:rFonts w:ascii="Palatino Linotype" w:eastAsia="Palatino Linotype" w:hAnsi="Palatino Linotype" w:cs="Palatino Linotype"/>
        </w:rPr>
      </w:pPr>
      <w:r w:rsidRPr="00141B2C">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D8F2B0B" w14:textId="77777777" w:rsidR="005A75CA" w:rsidRPr="00141B2C" w:rsidRDefault="00E96B90">
      <w:pPr>
        <w:spacing w:before="240" w:after="240" w:line="360" w:lineRule="auto"/>
        <w:jc w:val="both"/>
        <w:rPr>
          <w:rFonts w:ascii="Palatino Linotype" w:eastAsia="Palatino Linotype" w:hAnsi="Palatino Linotype" w:cs="Palatino Linotype"/>
          <w:b/>
        </w:rPr>
      </w:pPr>
      <w:r w:rsidRPr="00141B2C">
        <w:rPr>
          <w:rFonts w:ascii="Palatino Linotype" w:eastAsia="Palatino Linotype" w:hAnsi="Palatino Linotype" w:cs="Palatino Linotype"/>
        </w:rPr>
        <w:lastRenderedPageBreak/>
        <w:t>Sirve de apoyo a lo anterior, el criterio orientador con clave de control SO/003/2017, emitido por el entonces Instituto Nacional de Transparencia, Acceso a la Información y Protección de Datos Personales, que por rubro y texto, dispone lo siguiente:</w:t>
      </w:r>
      <w:r w:rsidRPr="00141B2C">
        <w:rPr>
          <w:rFonts w:ascii="Palatino Linotype" w:eastAsia="Palatino Linotype" w:hAnsi="Palatino Linotype" w:cs="Palatino Linotype"/>
          <w:b/>
        </w:rPr>
        <w:t xml:space="preserve"> </w:t>
      </w:r>
    </w:p>
    <w:p w14:paraId="187319BE"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 xml:space="preserve"> “</w:t>
      </w:r>
      <w:r w:rsidRPr="00141B2C">
        <w:rPr>
          <w:rFonts w:ascii="Palatino Linotype" w:eastAsia="Palatino Linotype" w:hAnsi="Palatino Linotype" w:cs="Palatino Linotype"/>
          <w:b/>
          <w:i/>
          <w:sz w:val="22"/>
          <w:szCs w:val="22"/>
        </w:rPr>
        <w:t>No existe obligación de elaborar documentos ad hoc para atender las solicitudes de acceso a la información.</w:t>
      </w:r>
      <w:r w:rsidRPr="00141B2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2AF5236" w14:textId="77777777" w:rsidR="005A75CA" w:rsidRPr="00141B2C" w:rsidRDefault="00E96B90">
      <w:pPr>
        <w:spacing w:before="120" w:after="12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AF1A054" w14:textId="77777777" w:rsidR="005A75CA" w:rsidRPr="00141B2C" w:rsidRDefault="00E96B90">
      <w:pPr>
        <w:spacing w:before="120" w:after="12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141B2C">
        <w:rPr>
          <w:rFonts w:ascii="Palatino Linotype" w:eastAsia="Palatino Linotype" w:hAnsi="Palatino Linotype" w:cs="Palatino Linotype"/>
        </w:rPr>
        <w:lastRenderedPageBreak/>
        <w:t xml:space="preserve">podrán estar en cualquier medio, sea escrito, impreso, sonoro, visual, electrónico, informático u holográfico de conformidad con el artículo 3, fracción XI de la Ley de la materia, el cual señala lo siguiente: </w:t>
      </w:r>
    </w:p>
    <w:p w14:paraId="52A0B7FE"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w:t>
      </w:r>
      <w:r w:rsidRPr="00141B2C">
        <w:rPr>
          <w:rFonts w:ascii="Palatino Linotype" w:eastAsia="Palatino Linotype" w:hAnsi="Palatino Linotype" w:cs="Palatino Linotype"/>
          <w:b/>
          <w:i/>
          <w:sz w:val="22"/>
          <w:szCs w:val="22"/>
        </w:rPr>
        <w:t xml:space="preserve">Artículo 3. </w:t>
      </w:r>
      <w:r w:rsidRPr="00141B2C">
        <w:rPr>
          <w:rFonts w:ascii="Palatino Linotype" w:eastAsia="Palatino Linotype" w:hAnsi="Palatino Linotype" w:cs="Palatino Linotype"/>
          <w:i/>
          <w:sz w:val="22"/>
          <w:szCs w:val="22"/>
        </w:rPr>
        <w:t>Para los efectos de la presente Ley se entenderá por:</w:t>
      </w:r>
    </w:p>
    <w:p w14:paraId="7ABF6050"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w:t>
      </w:r>
    </w:p>
    <w:p w14:paraId="1ADEE37D"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XI. Documento:</w:t>
      </w:r>
      <w:r w:rsidRPr="00141B2C">
        <w:rPr>
          <w:rFonts w:ascii="Palatino Linotype" w:eastAsia="Palatino Linotype" w:hAnsi="Palatino Linotype" w:cs="Palatino Linotype"/>
          <w:i/>
          <w:sz w:val="22"/>
          <w:szCs w:val="22"/>
        </w:rPr>
        <w:t xml:space="preserve"> Los expedientes, reportes, estudios, actas</w:t>
      </w:r>
      <w:r w:rsidRPr="00141B2C">
        <w:rPr>
          <w:rFonts w:ascii="Palatino Linotype" w:eastAsia="Palatino Linotype" w:hAnsi="Palatino Linotype" w:cs="Palatino Linotype"/>
          <w:b/>
          <w:i/>
          <w:sz w:val="22"/>
          <w:szCs w:val="22"/>
        </w:rPr>
        <w:t>,</w:t>
      </w:r>
      <w:r w:rsidRPr="00141B2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3C9E0CA"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2C18FEF"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sz w:val="22"/>
          <w:szCs w:val="22"/>
        </w:rPr>
        <w:t>“</w:t>
      </w:r>
      <w:r w:rsidRPr="00141B2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41B2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BB82B0"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29182FD"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35AF0DC"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14:paraId="02D716AC"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108D6395" w14:textId="77777777" w:rsidR="005A75CA" w:rsidRPr="00141B2C" w:rsidRDefault="00E96B90">
      <w:pPr>
        <w:spacing w:before="240" w:after="240" w:line="360" w:lineRule="auto"/>
        <w:ind w:right="51"/>
        <w:jc w:val="both"/>
        <w:rPr>
          <w:rFonts w:ascii="Palatino Linotype" w:eastAsia="Palatino Linotype" w:hAnsi="Palatino Linotype" w:cs="Palatino Linotype"/>
        </w:rPr>
      </w:pPr>
      <w:r w:rsidRPr="00141B2C">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B320D38"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A31EFC3" w14:textId="77777777" w:rsidR="005A75CA" w:rsidRPr="00141B2C" w:rsidRDefault="00E96B90">
      <w:pPr>
        <w:spacing w:before="280" w:after="28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lastRenderedPageBreak/>
        <w:t xml:space="preserve">Acotado lo anterior, del análisis de las constancias que integran el expediente se concluye que los motivos de inconformidad vertidos por la parte </w:t>
      </w:r>
      <w:r w:rsidRPr="00141B2C">
        <w:rPr>
          <w:rFonts w:ascii="Palatino Linotype" w:eastAsia="Palatino Linotype" w:hAnsi="Palatino Linotype" w:cs="Palatino Linotype"/>
          <w:b/>
        </w:rPr>
        <w:t>Recurrente</w:t>
      </w:r>
      <w:r w:rsidRPr="00141B2C">
        <w:rPr>
          <w:rFonts w:ascii="Palatino Linotype" w:eastAsia="Palatino Linotype" w:hAnsi="Palatino Linotype" w:cs="Palatino Linotype"/>
        </w:rPr>
        <w:t xml:space="preserve"> resultan fundados, en virtud 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omitió dar contestación a la solicitud de información, mediante la cual se requirió la siguiente información:</w:t>
      </w:r>
    </w:p>
    <w:p w14:paraId="18C8048D" w14:textId="77777777" w:rsidR="005A75CA" w:rsidRPr="00141B2C" w:rsidRDefault="00E96B90">
      <w:pPr>
        <w:spacing w:before="240" w:after="240" w:line="360" w:lineRule="auto"/>
        <w:ind w:left="284" w:right="51"/>
        <w:jc w:val="both"/>
        <w:rPr>
          <w:rFonts w:ascii="Palatino Linotype" w:eastAsia="Palatino Linotype" w:hAnsi="Palatino Linotype" w:cs="Palatino Linotype"/>
          <w:b/>
        </w:rPr>
      </w:pPr>
      <w:r w:rsidRPr="00141B2C">
        <w:rPr>
          <w:rFonts w:ascii="Palatino Linotype" w:eastAsia="Palatino Linotype" w:hAnsi="Palatino Linotype" w:cs="Palatino Linotype"/>
        </w:rPr>
        <w:t>1. Todas las licencias de uso de suelo expedidas por la Dirección de Desarrollo Urbano, Ecología y Fomento Agropecuario, del uno de enero al trece de marzo de dos mil veinticinco</w:t>
      </w:r>
      <w:r w:rsidRPr="00141B2C">
        <w:rPr>
          <w:rFonts w:ascii="Palatino Linotype" w:eastAsia="Palatino Linotype" w:hAnsi="Palatino Linotype" w:cs="Palatino Linotype"/>
          <w:b/>
        </w:rPr>
        <w:t>.</w:t>
      </w:r>
    </w:p>
    <w:p w14:paraId="4C63609A" w14:textId="77777777" w:rsidR="005A75CA" w:rsidRPr="00141B2C" w:rsidRDefault="00E96B90">
      <w:pPr>
        <w:spacing w:before="280" w:after="28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Situación que motivó la interposición del recurso de revisión que nos ocupa, donde la persona solicitante alegó medularmente la negativa de la información.</w:t>
      </w:r>
    </w:p>
    <w:p w14:paraId="1B7DC372"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Asimismo, requirió se diera vista al Órgano Interno de Control del Sujeto Obligado, la Secretaria de la Contraloría y la imposición de medidas de apremio o sanciones por parte de este Instituto al </w:t>
      </w:r>
      <w:r w:rsidRPr="00141B2C">
        <w:rPr>
          <w:rFonts w:ascii="Palatino Linotype" w:eastAsia="Palatino Linotype" w:hAnsi="Palatino Linotype" w:cs="Palatino Linotype"/>
          <w:b/>
        </w:rPr>
        <w:t xml:space="preserve">Sujeto Obligado, </w:t>
      </w:r>
      <w:r w:rsidRPr="00141B2C">
        <w:rPr>
          <w:rFonts w:ascii="Palatino Linotype" w:eastAsia="Palatino Linotype" w:hAnsi="Palatino Linotype" w:cs="Palatino Linotype"/>
        </w:rPr>
        <w:t>sin embargo,</w:t>
      </w:r>
      <w:r w:rsidRPr="00141B2C">
        <w:rPr>
          <w:rFonts w:ascii="Palatino Linotype" w:eastAsia="Palatino Linotype" w:hAnsi="Palatino Linotype" w:cs="Palatino Linotype"/>
          <w:b/>
        </w:rPr>
        <w:t xml:space="preserve"> </w:t>
      </w:r>
      <w:r w:rsidRPr="00141B2C">
        <w:rPr>
          <w:rFonts w:ascii="Palatino Linotype" w:eastAsia="Palatino Linotype" w:hAnsi="Palatino Linotype" w:cs="Palatino Linotype"/>
        </w:rPr>
        <w:t xml:space="preserve">es de señalar el recurso de revisión no es el medio para sancionar, por lo que se sugiere a la parte </w:t>
      </w:r>
      <w:r w:rsidRPr="00141B2C">
        <w:rPr>
          <w:rFonts w:ascii="Palatino Linotype" w:eastAsia="Palatino Linotype" w:hAnsi="Palatino Linotype" w:cs="Palatino Linotype"/>
          <w:b/>
        </w:rPr>
        <w:t>Recurrente</w:t>
      </w:r>
      <w:r w:rsidRPr="00141B2C">
        <w:rPr>
          <w:rFonts w:ascii="Palatino Linotype" w:eastAsia="Palatino Linotype" w:hAnsi="Palatino Linotype" w:cs="Palatino Linotype"/>
        </w:rPr>
        <w:t xml:space="preserve"> interponer su queja o denuncia ante la autoridad competente.</w:t>
      </w:r>
    </w:p>
    <w:p w14:paraId="42BFBB8A" w14:textId="77777777" w:rsidR="005A75CA" w:rsidRPr="00141B2C" w:rsidRDefault="00E96B90">
      <w:pPr>
        <w:spacing w:before="240" w:after="240" w:line="360" w:lineRule="auto"/>
        <w:ind w:right="51"/>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Ahora bien, con la finalidad de subsanar la omisión en que incurriera, en la etapa de manifestaciones, por conducto de la Directora de Desarrollo Urbano, Ecología y Fomento Agropecuario el </w:t>
      </w:r>
      <w:r w:rsidRPr="00141B2C">
        <w:rPr>
          <w:rFonts w:ascii="Palatino Linotype" w:eastAsia="Palatino Linotype" w:hAnsi="Palatino Linotype" w:cs="Palatino Linotype"/>
          <w:b/>
        </w:rPr>
        <w:t xml:space="preserve">Sujeto Obligado </w:t>
      </w:r>
      <w:r w:rsidRPr="00141B2C">
        <w:rPr>
          <w:rFonts w:ascii="Palatino Linotype" w:eastAsia="Palatino Linotype" w:hAnsi="Palatino Linotype" w:cs="Palatino Linotype"/>
        </w:rPr>
        <w:t xml:space="preserve">hizo entrega de 21 Licencias de Uso de Suelo testadas, no obstante, como se mencionó en los antecedentes de la presente resolución, dicha información no pudo hacerse de conocimiento de la parte </w:t>
      </w:r>
      <w:r w:rsidRPr="00141B2C">
        <w:rPr>
          <w:rFonts w:ascii="Palatino Linotype" w:eastAsia="Palatino Linotype" w:hAnsi="Palatino Linotype" w:cs="Palatino Linotype"/>
          <w:b/>
        </w:rPr>
        <w:t xml:space="preserve">Recurrente, </w:t>
      </w:r>
      <w:r w:rsidRPr="00141B2C">
        <w:rPr>
          <w:rFonts w:ascii="Palatino Linotype" w:eastAsia="Palatino Linotype" w:hAnsi="Palatino Linotype" w:cs="Palatino Linotype"/>
        </w:rPr>
        <w:t xml:space="preserve">al haberse dejado datos personales visibles, como lo es la clave catastral de un inmueble particular, además de haberse enviado la información por medio de una carpeta comprimida que contiene diversos tipos de Licencias, </w:t>
      </w:r>
      <w:r w:rsidRPr="00141B2C">
        <w:rPr>
          <w:rFonts w:ascii="Palatino Linotype" w:eastAsia="Palatino Linotype" w:hAnsi="Palatino Linotype" w:cs="Palatino Linotype"/>
        </w:rPr>
        <w:lastRenderedPageBreak/>
        <w:t>Autorizaciones y Constancias que no son materia de la solicitud que dio origen al recurso de revisión que se resuelve.</w:t>
      </w:r>
    </w:p>
    <w:p w14:paraId="508A6FC7"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Mientras que la parte </w:t>
      </w:r>
      <w:r w:rsidRPr="00141B2C">
        <w:rPr>
          <w:rFonts w:ascii="Palatino Linotype" w:eastAsia="Palatino Linotype" w:hAnsi="Palatino Linotype" w:cs="Palatino Linotype"/>
          <w:b/>
        </w:rPr>
        <w:t xml:space="preserve">Recurrente, </w:t>
      </w:r>
      <w:r w:rsidRPr="00141B2C">
        <w:rPr>
          <w:rFonts w:ascii="Palatino Linotype" w:eastAsia="Palatino Linotype" w:hAnsi="Palatino Linotype" w:cs="Palatino Linotype"/>
        </w:rPr>
        <w:t>presentó sus manifestaciones medularmente en los mismos términos expuestos en su recurso de revisión.</w:t>
      </w:r>
    </w:p>
    <w:p w14:paraId="69EF0C8B" w14:textId="77777777" w:rsidR="005A75CA" w:rsidRPr="00141B2C" w:rsidRDefault="00E96B90">
      <w:pPr>
        <w:spacing w:before="240" w:after="240" w:line="360" w:lineRule="auto"/>
        <w:ind w:right="49"/>
        <w:jc w:val="both"/>
        <w:rPr>
          <w:rFonts w:ascii="Palatino Linotype" w:eastAsia="Palatino Linotype" w:hAnsi="Palatino Linotype" w:cs="Palatino Linotype"/>
        </w:rPr>
      </w:pPr>
      <w:r w:rsidRPr="00141B2C">
        <w:rPr>
          <w:rFonts w:ascii="Palatino Linotype" w:eastAsia="Palatino Linotype" w:hAnsi="Palatino Linotype" w:cs="Palatino Linotype"/>
        </w:rPr>
        <w:t>Una vez establecidas las posturas de las partes,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12C115E1"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14710300" w14:textId="77777777" w:rsidR="005A75CA" w:rsidRPr="00141B2C" w:rsidRDefault="00E96B90">
      <w:pPr>
        <w:spacing w:before="240" w:after="240" w:line="360" w:lineRule="auto"/>
        <w:ind w:right="51"/>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w:t>
      </w:r>
      <w:r w:rsidRPr="00141B2C">
        <w:rPr>
          <w:rFonts w:ascii="Palatino Linotype" w:eastAsia="Palatino Linotype" w:hAnsi="Palatino Linotype" w:cs="Palatino Linotype"/>
        </w:rPr>
        <w:lastRenderedPageBreak/>
        <w:t>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4E8CDB8F"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0CCFDE82" w14:textId="441D34E3"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Al respecto, es de suma importancia mencionar que, derivado del análisis de las constancias que obran en el expediente electrónico en el que se actúa, se advirtió que la Unidad de Transparencia, turnó la solicitud de información a la Dirección de Desarrollo Urbano, Ecología y Fomento Agropecuario, al ser la dependencia responsable de autorizar, controlar y vigilar la utilización del suelo, y de </w:t>
      </w:r>
      <w:r w:rsidR="00A011FF" w:rsidRPr="00141B2C">
        <w:rPr>
          <w:rFonts w:ascii="Palatino Linotype" w:eastAsia="Palatino Linotype" w:hAnsi="Palatino Linotype" w:cs="Palatino Linotype"/>
        </w:rPr>
        <w:t>o</w:t>
      </w:r>
      <w:r w:rsidRPr="00141B2C">
        <w:rPr>
          <w:rFonts w:ascii="Palatino Linotype" w:eastAsia="Palatino Linotype" w:hAnsi="Palatino Linotype" w:cs="Palatino Linotype"/>
        </w:rPr>
        <w:t>torgar licencias de uso de suelo, de conformidad con el artículo 31, fracciones VII y VIII del Reglamento Orgánico de la Administración Pública Municipal de Tultepec.</w:t>
      </w:r>
    </w:p>
    <w:p w14:paraId="1D97E7BD" w14:textId="77777777" w:rsidR="005A75CA" w:rsidRPr="00141B2C" w:rsidRDefault="00E96B90">
      <w:pPr>
        <w:widowControl w:val="0"/>
        <w:spacing w:before="240" w:after="240" w:line="360" w:lineRule="auto"/>
        <w:ind w:right="49"/>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En este sentido se colige que la Dirección de Desarrollo Urbano, Ecología y Fomento </w:t>
      </w:r>
      <w:r w:rsidRPr="00141B2C">
        <w:rPr>
          <w:rFonts w:ascii="Palatino Linotype" w:eastAsia="Palatino Linotype" w:hAnsi="Palatino Linotype" w:cs="Palatino Linotype"/>
        </w:rPr>
        <w:lastRenderedPageBreak/>
        <w:t xml:space="preserve">Agropecuario cuenta con atribuciones para conocer de la información solicitada por la parte </w:t>
      </w:r>
      <w:r w:rsidRPr="00141B2C">
        <w:rPr>
          <w:rFonts w:ascii="Palatino Linotype" w:eastAsia="Palatino Linotype" w:hAnsi="Palatino Linotype" w:cs="Palatino Linotype"/>
          <w:b/>
        </w:rPr>
        <w:t>Recurrente</w:t>
      </w:r>
      <w:r w:rsidRPr="00141B2C">
        <w:rPr>
          <w:rFonts w:ascii="Palatino Linotype" w:eastAsia="Palatino Linotype" w:hAnsi="Palatino Linotype" w:cs="Palatino Linotype"/>
        </w:rPr>
        <w:t>, por lo tanto, la Unidad de Transparencia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67A1EE36" w14:textId="77777777" w:rsidR="005A75CA" w:rsidRPr="00141B2C" w:rsidRDefault="00E96B90">
      <w:pPr>
        <w:widowControl w:val="0"/>
        <w:spacing w:before="240" w:after="240" w:line="360" w:lineRule="auto"/>
        <w:ind w:right="49"/>
        <w:jc w:val="both"/>
        <w:rPr>
          <w:rFonts w:ascii="Palatino Linotype" w:eastAsia="Palatino Linotype" w:hAnsi="Palatino Linotype" w:cs="Palatino Linotype"/>
        </w:rPr>
      </w:pPr>
      <w:r w:rsidRPr="00141B2C">
        <w:rPr>
          <w:rFonts w:ascii="Palatino Linotype" w:eastAsia="Palatino Linotype" w:hAnsi="Palatino Linotype" w:cs="Palatino Linotype"/>
        </w:rPr>
        <w:t>Por lo que se refiere a la materia de la solicitud, es oportuno recordar que la persona servidora pública de la Dirección de Desarrollo Urbano, Ecología y Fomento Agropecuario remitió en la etapa de manifestaciones 21 Licencias de Uso de Suelo, información que si bien se traduce en lo solicitado, no pudo hacerse de conocimiento de la persona solicitante por haberse dejado dados personales susceptibles de ser clasificados como confidenciales, además de haberse entregado junto con diversas Licencias, Autorizaciones y Constancias que no fueron requeridas en el presente asunto.</w:t>
      </w:r>
    </w:p>
    <w:p w14:paraId="4A3C826E" w14:textId="77777777" w:rsidR="005A75CA" w:rsidRPr="00141B2C" w:rsidRDefault="00E96B90">
      <w:pPr>
        <w:widowControl w:val="0"/>
        <w:spacing w:before="240" w:after="240" w:line="360" w:lineRule="auto"/>
        <w:ind w:right="49"/>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Aunado a lo anterior, debe decirse que del análisis efectuado por éste Organismo Garante en la información proporcionada, se advirtió que de acuerdo con el número de folio de los documentos entregados, el </w:t>
      </w:r>
      <w:r w:rsidRPr="00141B2C">
        <w:rPr>
          <w:rFonts w:ascii="Palatino Linotype" w:eastAsia="Palatino Linotype" w:hAnsi="Palatino Linotype" w:cs="Palatino Linotype"/>
          <w:b/>
        </w:rPr>
        <w:t xml:space="preserve">Sujeto Obligado </w:t>
      </w:r>
      <w:r w:rsidRPr="00141B2C">
        <w:rPr>
          <w:rFonts w:ascii="Palatino Linotype" w:eastAsia="Palatino Linotype" w:hAnsi="Palatino Linotype" w:cs="Palatino Linotype"/>
        </w:rPr>
        <w:t>emitió por lo menos 32 de las Licencias de Uso de Suelo en el periodo solicitado, como se demuestra a continuación:</w:t>
      </w:r>
    </w:p>
    <w:p w14:paraId="0E64969F" w14:textId="77777777" w:rsidR="005A75CA" w:rsidRPr="00141B2C" w:rsidRDefault="00E96B90">
      <w:pPr>
        <w:widowControl w:val="0"/>
        <w:spacing w:before="240" w:after="240" w:line="360" w:lineRule="auto"/>
        <w:ind w:right="49"/>
        <w:jc w:val="both"/>
        <w:rPr>
          <w:rFonts w:ascii="Palatino Linotype" w:eastAsia="Palatino Linotype" w:hAnsi="Palatino Linotype" w:cs="Palatino Linotype"/>
        </w:rPr>
      </w:pPr>
      <w:r w:rsidRPr="00141B2C">
        <w:rPr>
          <w:rFonts w:ascii="Palatino Linotype" w:eastAsia="Palatino Linotype" w:hAnsi="Palatino Linotype" w:cs="Palatino Linotype"/>
          <w:noProof/>
        </w:rPr>
        <w:lastRenderedPageBreak/>
        <w:drawing>
          <wp:inline distT="0" distB="0" distL="0" distR="0" wp14:anchorId="64E696DD" wp14:editId="7D368628">
            <wp:extent cx="5612130" cy="2453005"/>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2130" cy="2453005"/>
                    </a:xfrm>
                    <a:prstGeom prst="rect">
                      <a:avLst/>
                    </a:prstGeom>
                    <a:ln/>
                  </pic:spPr>
                </pic:pic>
              </a:graphicData>
            </a:graphic>
          </wp:inline>
        </w:drawing>
      </w:r>
    </w:p>
    <w:p w14:paraId="43F31160" w14:textId="77777777" w:rsidR="005A75CA" w:rsidRPr="00141B2C" w:rsidRDefault="00E96B90">
      <w:pPr>
        <w:widowControl w:val="0"/>
        <w:spacing w:before="240" w:after="240" w:line="360" w:lineRule="auto"/>
        <w:ind w:right="49"/>
        <w:jc w:val="both"/>
        <w:rPr>
          <w:rFonts w:ascii="Palatino Linotype" w:eastAsia="Palatino Linotype" w:hAnsi="Palatino Linotype" w:cs="Palatino Linotype"/>
        </w:rPr>
      </w:pPr>
      <w:r w:rsidRPr="00141B2C">
        <w:rPr>
          <w:rFonts w:ascii="Palatino Linotype" w:eastAsia="Palatino Linotype" w:hAnsi="Palatino Linotype" w:cs="Palatino Linotype"/>
          <w:noProof/>
        </w:rPr>
        <w:drawing>
          <wp:inline distT="0" distB="0" distL="0" distR="0" wp14:anchorId="2FC59F9F" wp14:editId="4B89709A">
            <wp:extent cx="5612130" cy="2099310"/>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2099310"/>
                    </a:xfrm>
                    <a:prstGeom prst="rect">
                      <a:avLst/>
                    </a:prstGeom>
                    <a:ln/>
                  </pic:spPr>
                </pic:pic>
              </a:graphicData>
            </a:graphic>
          </wp:inline>
        </w:drawing>
      </w:r>
    </w:p>
    <w:p w14:paraId="5EEE71E1" w14:textId="77777777" w:rsidR="005A75CA" w:rsidRPr="00141B2C" w:rsidRDefault="00E96B90">
      <w:pPr>
        <w:widowControl w:val="0"/>
        <w:spacing w:before="240" w:after="240" w:line="360" w:lineRule="auto"/>
        <w:ind w:right="49"/>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No obstante, el </w:t>
      </w:r>
      <w:r w:rsidRPr="00141B2C">
        <w:rPr>
          <w:rFonts w:ascii="Palatino Linotype" w:eastAsia="Palatino Linotype" w:hAnsi="Palatino Linotype" w:cs="Palatino Linotype"/>
          <w:b/>
        </w:rPr>
        <w:t xml:space="preserve">Sujeto Obligado </w:t>
      </w:r>
      <w:r w:rsidRPr="00141B2C">
        <w:rPr>
          <w:rFonts w:ascii="Palatino Linotype" w:eastAsia="Palatino Linotype" w:hAnsi="Palatino Linotype" w:cs="Palatino Linotype"/>
        </w:rPr>
        <w:t>hizo entrega de 21 Licencias como ya ha sido mencionado, sin que se hubiera pronunciado respecto de las Licencias faltantes, esto es, sin que hubiera señalado si los documentos con los números de folio faltantes se expidieron efectivamente, se cancelaron, u otra razón que justificara la omisión en su entrega.</w:t>
      </w:r>
    </w:p>
    <w:p w14:paraId="7C93B50D" w14:textId="77777777" w:rsidR="005A75CA" w:rsidRPr="00141B2C" w:rsidRDefault="00E96B90">
      <w:pPr>
        <w:widowControl w:val="0"/>
        <w:spacing w:before="240" w:after="240" w:line="360" w:lineRule="auto"/>
        <w:ind w:right="49"/>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En este orden de ideas, es claro que el Derecho de acceso de la persona solicitante no puede tenerse por satisfecho, y para tal efecto, se estima necesario que el </w:t>
      </w:r>
      <w:r w:rsidRPr="00141B2C">
        <w:rPr>
          <w:rFonts w:ascii="Palatino Linotype" w:eastAsia="Palatino Linotype" w:hAnsi="Palatino Linotype" w:cs="Palatino Linotype"/>
          <w:b/>
        </w:rPr>
        <w:t xml:space="preserve">Sujeto Obligado, </w:t>
      </w:r>
      <w:r w:rsidRPr="00141B2C">
        <w:rPr>
          <w:rFonts w:ascii="Palatino Linotype" w:eastAsia="Palatino Linotype" w:hAnsi="Palatino Linotype" w:cs="Palatino Linotype"/>
        </w:rPr>
        <w:t xml:space="preserve">previa búsqueda exhaustiva y razonable haga entrega de las Licencias </w:t>
      </w:r>
      <w:r w:rsidRPr="00141B2C">
        <w:rPr>
          <w:rFonts w:ascii="Palatino Linotype" w:eastAsia="Palatino Linotype" w:hAnsi="Palatino Linotype" w:cs="Palatino Linotype"/>
        </w:rPr>
        <w:lastRenderedPageBreak/>
        <w:t>de Uso de Suelo emitidas del uno de enero al trece de marzo de dos mil veinticinco, en versión pública de conformidad con el considerando siguiente.</w:t>
      </w:r>
    </w:p>
    <w:p w14:paraId="4995BEA4" w14:textId="77777777" w:rsidR="005A75CA" w:rsidRPr="00141B2C" w:rsidRDefault="00E96B90">
      <w:pPr>
        <w:widowControl w:val="0"/>
        <w:spacing w:before="240" w:after="240" w:line="360" w:lineRule="auto"/>
        <w:ind w:right="49"/>
        <w:jc w:val="both"/>
        <w:rPr>
          <w:rFonts w:ascii="Palatino Linotype" w:eastAsia="Palatino Linotype" w:hAnsi="Palatino Linotype" w:cs="Palatino Linotype"/>
        </w:rPr>
      </w:pPr>
      <w:r w:rsidRPr="00141B2C">
        <w:rPr>
          <w:rFonts w:ascii="Palatino Linotype" w:eastAsia="Palatino Linotype" w:hAnsi="Palatino Linotype" w:cs="Palatino Linotype"/>
        </w:rPr>
        <w:t>Asimismo, no obsta mencionar que de conformidad con el artículo 137 del Reglamento del Libro Quinto del Código Administrativo del Estado de México, las Licencias de Uso de Suelo deben contener la siguiente información:</w:t>
      </w:r>
    </w:p>
    <w:p w14:paraId="10BF6A6E" w14:textId="77777777" w:rsidR="005A75CA" w:rsidRPr="00141B2C" w:rsidRDefault="00E96B90">
      <w:pPr>
        <w:ind w:left="851"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rPr>
        <w:t>“</w:t>
      </w:r>
      <w:r w:rsidRPr="00141B2C">
        <w:rPr>
          <w:rFonts w:ascii="Palatino Linotype" w:eastAsia="Palatino Linotype" w:hAnsi="Palatino Linotype" w:cs="Palatino Linotype"/>
          <w:b/>
          <w:i/>
          <w:sz w:val="22"/>
          <w:szCs w:val="22"/>
        </w:rPr>
        <w:t>Artículo 137</w:t>
      </w:r>
      <w:r w:rsidRPr="00141B2C">
        <w:rPr>
          <w:rFonts w:ascii="Palatino Linotype" w:eastAsia="Palatino Linotype" w:hAnsi="Palatino Linotype" w:cs="Palatino Linotype"/>
          <w:i/>
          <w:sz w:val="22"/>
          <w:szCs w:val="22"/>
        </w:rPr>
        <w:t>. La licencia de uso del suelo deberá contener, cuando menos, lo siguiente:</w:t>
      </w:r>
    </w:p>
    <w:p w14:paraId="1A62B111"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w:t>
      </w:r>
      <w:r w:rsidRPr="00141B2C">
        <w:rPr>
          <w:rFonts w:ascii="Palatino Linotype" w:eastAsia="Palatino Linotype" w:hAnsi="Palatino Linotype" w:cs="Palatino Linotype"/>
          <w:i/>
          <w:sz w:val="22"/>
          <w:szCs w:val="22"/>
        </w:rPr>
        <w:t>. Número de la licencia;</w:t>
      </w:r>
    </w:p>
    <w:p w14:paraId="572F8801" w14:textId="77777777" w:rsidR="005A75CA" w:rsidRPr="00141B2C" w:rsidRDefault="00E96B90">
      <w:pPr>
        <w:ind w:left="1134" w:right="899"/>
        <w:jc w:val="both"/>
        <w:rPr>
          <w:rFonts w:ascii="Palatino Linotype" w:eastAsia="Palatino Linotype" w:hAnsi="Palatino Linotype" w:cs="Palatino Linotype"/>
          <w:b/>
          <w:i/>
          <w:sz w:val="22"/>
          <w:szCs w:val="22"/>
        </w:rPr>
      </w:pPr>
      <w:r w:rsidRPr="00141B2C">
        <w:rPr>
          <w:rFonts w:ascii="Palatino Linotype" w:eastAsia="Palatino Linotype" w:hAnsi="Palatino Linotype" w:cs="Palatino Linotype"/>
          <w:b/>
          <w:i/>
          <w:sz w:val="22"/>
          <w:szCs w:val="22"/>
        </w:rPr>
        <w:t xml:space="preserve">II. </w:t>
      </w:r>
      <w:r w:rsidRPr="00141B2C">
        <w:rPr>
          <w:rFonts w:ascii="Palatino Linotype" w:eastAsia="Palatino Linotype" w:hAnsi="Palatino Linotype" w:cs="Palatino Linotype"/>
          <w:i/>
          <w:sz w:val="22"/>
          <w:szCs w:val="22"/>
        </w:rPr>
        <w:t>Ubicación del predio o inmueble y en su caso, clave catastral</w:t>
      </w:r>
      <w:r w:rsidRPr="00141B2C">
        <w:rPr>
          <w:rFonts w:ascii="Palatino Linotype" w:eastAsia="Palatino Linotype" w:hAnsi="Palatino Linotype" w:cs="Palatino Linotype"/>
          <w:b/>
          <w:i/>
          <w:sz w:val="22"/>
          <w:szCs w:val="22"/>
        </w:rPr>
        <w:t>;</w:t>
      </w:r>
    </w:p>
    <w:p w14:paraId="55817C5B"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III.</w:t>
      </w:r>
      <w:r w:rsidRPr="00141B2C">
        <w:rPr>
          <w:rFonts w:ascii="Palatino Linotype" w:eastAsia="Palatino Linotype" w:hAnsi="Palatino Linotype" w:cs="Palatino Linotype"/>
          <w:i/>
          <w:sz w:val="22"/>
          <w:szCs w:val="22"/>
        </w:rPr>
        <w:t xml:space="preserve"> Nombre y domicilio del solicitante;</w:t>
      </w:r>
    </w:p>
    <w:p w14:paraId="638CA1C6"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IV</w:t>
      </w:r>
      <w:r w:rsidRPr="00141B2C">
        <w:rPr>
          <w:rFonts w:ascii="Palatino Linotype" w:eastAsia="Palatino Linotype" w:hAnsi="Palatino Linotype" w:cs="Palatino Linotype"/>
          <w:i/>
          <w:sz w:val="22"/>
          <w:szCs w:val="22"/>
        </w:rPr>
        <w:t>. Uso o usos del suelo que se autorizan;</w:t>
      </w:r>
    </w:p>
    <w:p w14:paraId="2527064B"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V</w:t>
      </w:r>
      <w:r w:rsidRPr="00141B2C">
        <w:rPr>
          <w:rFonts w:ascii="Palatino Linotype" w:eastAsia="Palatino Linotype" w:hAnsi="Palatino Linotype" w:cs="Palatino Linotype"/>
          <w:i/>
          <w:sz w:val="22"/>
          <w:szCs w:val="22"/>
        </w:rPr>
        <w:t>. Densidad de vivienda, en su caso;</w:t>
      </w:r>
    </w:p>
    <w:p w14:paraId="65292B28"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VI</w:t>
      </w:r>
      <w:r w:rsidRPr="00141B2C">
        <w:rPr>
          <w:rFonts w:ascii="Palatino Linotype" w:eastAsia="Palatino Linotype" w:hAnsi="Palatino Linotype" w:cs="Palatino Linotype"/>
          <w:i/>
          <w:sz w:val="22"/>
          <w:szCs w:val="22"/>
        </w:rPr>
        <w:t>. Coeficiente de ocupación del suelo y coeficiente de utilización del suelo;</w:t>
      </w:r>
    </w:p>
    <w:p w14:paraId="77699B68"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VII</w:t>
      </w:r>
      <w:r w:rsidRPr="00141B2C">
        <w:rPr>
          <w:rFonts w:ascii="Palatino Linotype" w:eastAsia="Palatino Linotype" w:hAnsi="Palatino Linotype" w:cs="Palatino Linotype"/>
          <w:i/>
          <w:sz w:val="22"/>
          <w:szCs w:val="22"/>
        </w:rPr>
        <w:t>. Altura máxima de edificación;</w:t>
      </w:r>
    </w:p>
    <w:p w14:paraId="297BEAFB"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VIII</w:t>
      </w:r>
      <w:r w:rsidRPr="00141B2C">
        <w:rPr>
          <w:rFonts w:ascii="Palatino Linotype" w:eastAsia="Palatino Linotype" w:hAnsi="Palatino Linotype" w:cs="Palatino Linotype"/>
          <w:i/>
          <w:sz w:val="22"/>
          <w:szCs w:val="22"/>
        </w:rPr>
        <w:t>. Número obligatorio de cajones de estacionamiento;</w:t>
      </w:r>
    </w:p>
    <w:p w14:paraId="11F25EF3"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IX</w:t>
      </w:r>
      <w:r w:rsidRPr="00141B2C">
        <w:rPr>
          <w:rFonts w:ascii="Palatino Linotype" w:eastAsia="Palatino Linotype" w:hAnsi="Palatino Linotype" w:cs="Palatino Linotype"/>
          <w:i/>
          <w:sz w:val="22"/>
          <w:szCs w:val="22"/>
        </w:rPr>
        <w:t>. Alineamiento y número oficial;</w:t>
      </w:r>
    </w:p>
    <w:p w14:paraId="1A3159DC"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X</w:t>
      </w:r>
      <w:r w:rsidRPr="00141B2C">
        <w:rPr>
          <w:rFonts w:ascii="Palatino Linotype" w:eastAsia="Palatino Linotype" w:hAnsi="Palatino Linotype" w:cs="Palatino Linotype"/>
          <w:i/>
          <w:sz w:val="22"/>
          <w:szCs w:val="22"/>
        </w:rPr>
        <w:t>. La normatividad, y obligaciones que deriven del Dictamen Único y las Evaluaciones Técnicas de Factibilidad, en su caso;</w:t>
      </w:r>
    </w:p>
    <w:p w14:paraId="72510EA2"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XI</w:t>
      </w:r>
      <w:r w:rsidRPr="00141B2C">
        <w:rPr>
          <w:rFonts w:ascii="Palatino Linotype" w:eastAsia="Palatino Linotype" w:hAnsi="Palatino Linotype" w:cs="Palatino Linotype"/>
          <w:i/>
          <w:sz w:val="22"/>
          <w:szCs w:val="22"/>
        </w:rPr>
        <w:t>. Restricciones federales, estatales y municipales;</w:t>
      </w:r>
    </w:p>
    <w:p w14:paraId="2AAB4228"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XII</w:t>
      </w:r>
      <w:r w:rsidRPr="00141B2C">
        <w:rPr>
          <w:rFonts w:ascii="Palatino Linotype" w:eastAsia="Palatino Linotype" w:hAnsi="Palatino Linotype" w:cs="Palatino Linotype"/>
          <w:i/>
          <w:sz w:val="22"/>
          <w:szCs w:val="22"/>
        </w:rPr>
        <w:t>. La normatividad y obligaciones que deriven de los dictámenes en materia de conservación del patrimonio histórico, artístico y cultural, en su caso;</w:t>
      </w:r>
    </w:p>
    <w:p w14:paraId="0715C231"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XIII.</w:t>
      </w:r>
      <w:r w:rsidRPr="00141B2C">
        <w:rPr>
          <w:rFonts w:ascii="Palatino Linotype" w:eastAsia="Palatino Linotype" w:hAnsi="Palatino Linotype" w:cs="Palatino Linotype"/>
          <w:i/>
          <w:sz w:val="22"/>
          <w:szCs w:val="22"/>
        </w:rPr>
        <w:t xml:space="preserve"> Vigencia de la licencia;</w:t>
      </w:r>
    </w:p>
    <w:p w14:paraId="68C7741E"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XIV</w:t>
      </w:r>
      <w:r w:rsidRPr="00141B2C">
        <w:rPr>
          <w:rFonts w:ascii="Palatino Linotype" w:eastAsia="Palatino Linotype" w:hAnsi="Palatino Linotype" w:cs="Palatino Linotype"/>
          <w:i/>
          <w:sz w:val="22"/>
          <w:szCs w:val="22"/>
        </w:rPr>
        <w:t>. Lugar y fecha en que se expide, y</w:t>
      </w:r>
    </w:p>
    <w:p w14:paraId="46BE8415" w14:textId="77777777" w:rsidR="005A75CA" w:rsidRPr="00141B2C" w:rsidRDefault="00E96B90">
      <w:pPr>
        <w:ind w:left="1134"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XV.</w:t>
      </w:r>
      <w:r w:rsidRPr="00141B2C">
        <w:rPr>
          <w:rFonts w:ascii="Palatino Linotype" w:eastAsia="Palatino Linotype" w:hAnsi="Palatino Linotype" w:cs="Palatino Linotype"/>
          <w:i/>
          <w:sz w:val="22"/>
          <w:szCs w:val="22"/>
        </w:rPr>
        <w:t xml:space="preserve"> Nombre, cargo y firma de quien la autoriza.</w:t>
      </w:r>
    </w:p>
    <w:p w14:paraId="15DDE3A9" w14:textId="77777777" w:rsidR="005A75CA" w:rsidRPr="00141B2C" w:rsidRDefault="00E96B90">
      <w:pPr>
        <w:ind w:left="851" w:right="899"/>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 xml:space="preserve">Cuando el interesado únicamente solicite alineamiento y número oficial, la licencia de uso de suelo solo contendrá los datos a que refieren las fracciones I, II, III y XI de este artículo.” </w:t>
      </w:r>
    </w:p>
    <w:p w14:paraId="7C738F8D"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Dichos documentos revisten el carácter de público a la luz del artículo 94, fracción I, inciso f, de la </w:t>
      </w:r>
      <w:r w:rsidRPr="00141B2C">
        <w:t>Ley de Transparencia y Acceso a la Información Pública del Estado de México y Municipios, que dispone lo siguiente:</w:t>
      </w:r>
    </w:p>
    <w:p w14:paraId="78570729"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“Artículo 94</w:t>
      </w:r>
      <w:r w:rsidRPr="00141B2C">
        <w:rPr>
          <w:rFonts w:ascii="Palatino Linotype" w:eastAsia="Palatino Linotype" w:hAnsi="Palatino Linotype" w:cs="Palatino Linotype"/>
          <w:i/>
          <w:sz w:val="22"/>
          <w:szCs w:val="22"/>
        </w:rPr>
        <w:t xml:space="preserve">. Además de las obligaciones de transparencia común a que se refiere el Capítulo II de este Título, los sujetos obligados del Poder Ejecutivo Local y </w:t>
      </w:r>
      <w:r w:rsidRPr="00141B2C">
        <w:rPr>
          <w:rFonts w:ascii="Palatino Linotype" w:eastAsia="Palatino Linotype" w:hAnsi="Palatino Linotype" w:cs="Palatino Linotype"/>
          <w:i/>
          <w:sz w:val="22"/>
          <w:szCs w:val="22"/>
        </w:rPr>
        <w:lastRenderedPageBreak/>
        <w:t xml:space="preserve">municipales, deberán poner a disposición del público y actualizar la siguiente información: </w:t>
      </w:r>
    </w:p>
    <w:p w14:paraId="3DBAA24F"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w:t>
      </w:r>
      <w:r w:rsidRPr="00141B2C">
        <w:rPr>
          <w:rFonts w:ascii="Palatino Linotype" w:eastAsia="Palatino Linotype" w:hAnsi="Palatino Linotype" w:cs="Palatino Linotype"/>
          <w:i/>
          <w:sz w:val="22"/>
          <w:szCs w:val="22"/>
        </w:rPr>
        <w:t xml:space="preserve"> En el caso del Poder Ejecutivo y los Municipios, en el ámbito de su competencia:</w:t>
      </w:r>
    </w:p>
    <w:p w14:paraId="3BF198A0"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w:t>
      </w:r>
    </w:p>
    <w:p w14:paraId="3E79097E"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f)</w:t>
      </w:r>
      <w:r w:rsidRPr="00141B2C">
        <w:rPr>
          <w:rFonts w:ascii="Palatino Linotype" w:eastAsia="Palatino Linotype" w:hAnsi="Palatino Linotype" w:cs="Palatino Linotype"/>
          <w:i/>
          <w:sz w:val="22"/>
          <w:szCs w:val="22"/>
        </w:rPr>
        <w:t xml:space="preserve"> La información detallada que contengan los planes de desarrollo urbano, ordenamiento territorial y ecológico, los tipos y usos de suelo, </w:t>
      </w:r>
      <w:r w:rsidRPr="00141B2C">
        <w:rPr>
          <w:rFonts w:ascii="Palatino Linotype" w:eastAsia="Palatino Linotype" w:hAnsi="Palatino Linotype" w:cs="Palatino Linotype"/>
          <w:b/>
          <w:i/>
          <w:sz w:val="22"/>
          <w:szCs w:val="22"/>
        </w:rPr>
        <w:t>licencias de uso</w:t>
      </w:r>
      <w:r w:rsidRPr="00141B2C">
        <w:rPr>
          <w:rFonts w:ascii="Palatino Linotype" w:eastAsia="Palatino Linotype" w:hAnsi="Palatino Linotype" w:cs="Palatino Linotype"/>
          <w:i/>
          <w:sz w:val="22"/>
          <w:szCs w:val="22"/>
        </w:rPr>
        <w:t xml:space="preserve"> y construcción otorgadas por los gobiernos municipales;”</w:t>
      </w:r>
    </w:p>
    <w:p w14:paraId="446DF8AC" w14:textId="5B6099DC"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Como se desprende del precepto en cita, los municipios cuentan con la obligación de poner a disposición del público en sus portales de internet, entre otra información la relativa a las licencias de uso de suelo, para lo cual deben observar las disposiciones contenidas en los Lineamientos Técnicos Generales para la Publicación, Homologación y Estandarización de la Información de las Obligaciones establecidas en el Título Quinto y en la Fracción IV del artículo 31 de la</w:t>
      </w:r>
      <w:r w:rsidR="00A011FF" w:rsidRPr="00141B2C">
        <w:rPr>
          <w:rFonts w:ascii="Palatino Linotype" w:eastAsia="Palatino Linotype" w:hAnsi="Palatino Linotype" w:cs="Palatino Linotype"/>
        </w:rPr>
        <w:t xml:space="preserve"> entonces </w:t>
      </w:r>
      <w:r w:rsidRPr="00141B2C">
        <w:rPr>
          <w:rFonts w:ascii="Palatino Linotype" w:eastAsia="Palatino Linotype" w:hAnsi="Palatino Linotype" w:cs="Palatino Linotype"/>
        </w:rPr>
        <w:t xml:space="preserve"> Ley General de Transparencia y Acceso a la Información Pública, que deben difundir los Sujetos Obligados en los Portales de Internet y en la Plataforma Nacional de Transparencia, vigentes a la fecha de presentación de la solicitud, a saber:</w:t>
      </w:r>
    </w:p>
    <w:p w14:paraId="49E9A66A" w14:textId="77777777" w:rsidR="005A75CA" w:rsidRPr="00141B2C" w:rsidRDefault="00E96B90">
      <w:pPr>
        <w:spacing w:before="120" w:after="120"/>
        <w:ind w:left="851" w:right="90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w:t>
      </w:r>
    </w:p>
    <w:p w14:paraId="23A218BC" w14:textId="77777777" w:rsidR="005A75CA" w:rsidRPr="00141B2C" w:rsidRDefault="00E96B90">
      <w:pPr>
        <w:spacing w:before="120" w:after="120"/>
        <w:ind w:left="851" w:right="90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 xml:space="preserve">Los Programas Nacionales, Regionales, Estatales y Municipales de desarrollo urbano y de vivienda, ordenamiento territorial y ecológico son instrumentos públicos que buscan ordenar y desarrollar el territorio mexicano. </w:t>
      </w:r>
    </w:p>
    <w:p w14:paraId="1C9BB12D" w14:textId="77777777" w:rsidR="005A75CA" w:rsidRPr="00141B2C" w:rsidRDefault="00E96B90">
      <w:pPr>
        <w:spacing w:before="120" w:after="120"/>
        <w:ind w:left="851" w:right="90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 xml:space="preserve">La publicación de toda la información relacionada con la planeación, coordinación, administración y ejecución de los proyectos y programas de desarrollo territorial en general, es de vital importancia para todas las personas que pueden ser beneficiadas y/o afectadas, directa o indirectamente a través de estas políticas públicas. El publicar esta información constituye aspectos sumamente importantes en la vida local y nacional en tanto que se dan cambios generados en el contexto territorial sin que la ciudadanía reconozca los planes urbanos, de ordenamiento territorial y las licencias de uso de suelo respectivas. </w:t>
      </w:r>
    </w:p>
    <w:p w14:paraId="1BE8CCC3" w14:textId="77777777" w:rsidR="005A75CA" w:rsidRPr="00141B2C" w:rsidRDefault="00E96B90">
      <w:pPr>
        <w:spacing w:before="120" w:after="120"/>
        <w:ind w:left="851" w:right="90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lastRenderedPageBreak/>
        <w:t xml:space="preserve">La información que se requiere en este inciso se divide para su publicación en dos apartados: el primero, destinado a los planes y programas emitidos por los Poderes Ejecutivos, sea federal, estatal o municipal; el segundo es el correspondiente a las licencias de uso de suelo y construcción, apelando a la competencia exclusiva del Municipio, derivado del artículo 115 Constitucional, así como a la Ley General de Asentamientos Humanos, Ordenamiento Territorial y Desarrollo Urbano, artículo 11, fracción 11; en el que señala a los municipios como los responsables de “Expedir las autorizaciones, licencias o permisos de las diversas acciones urbanísticas, con estricto apego a las normas jurídicas locales, planes o programas de Desarrollo Urbano y sus correspondientes Reservas, Usos del Suelo y Destinos de áreas y predios;” Es importante señalar que con el objetivo de ofrecer a las personas información oportuna y verificable, así como facilitar el acceso a la misma, sobre todo cuando se trata de sujetos obligados específicos y únicos quienes la generan y la difunden, todos los sujetos obligados que integran el Poder Ejecutivo: dependencias, órganos administrativos desconcentrados, entidades, organismos descentralizados, fideicomisos, empresas productivas del estado, subsidiarias, filiales y empresas de participación estatal que conforman la Administración Pública Federal, Estatal y Municipal, según corresponda y en términos de la correspondiente ley orgánica de la administración pública y demás normatividad aplicable, deberán incluir un mensaje aclaratorio e informativo como el siguiente: </w:t>
      </w:r>
    </w:p>
    <w:p w14:paraId="4D041E45" w14:textId="77777777" w:rsidR="005A75CA" w:rsidRPr="00141B2C" w:rsidRDefault="00E96B90">
      <w:pPr>
        <w:spacing w:before="120" w:after="120"/>
        <w:ind w:left="851" w:right="900"/>
        <w:jc w:val="center"/>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noProof/>
          <w:sz w:val="22"/>
          <w:szCs w:val="22"/>
        </w:rPr>
        <w:drawing>
          <wp:inline distT="0" distB="0" distL="0" distR="0" wp14:anchorId="72B1959D" wp14:editId="21C5A7CA">
            <wp:extent cx="3600000" cy="316981"/>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600000" cy="316981"/>
                    </a:xfrm>
                    <a:prstGeom prst="rect">
                      <a:avLst/>
                    </a:prstGeom>
                    <a:ln/>
                  </pic:spPr>
                </pic:pic>
              </a:graphicData>
            </a:graphic>
          </wp:inline>
        </w:drawing>
      </w:r>
    </w:p>
    <w:p w14:paraId="320A1735" w14:textId="77777777" w:rsidR="005A75CA" w:rsidRPr="00141B2C" w:rsidRDefault="00E96B90">
      <w:pPr>
        <w:spacing w:before="120" w:after="120"/>
        <w:ind w:left="851" w:right="90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Asimismo, agregará un hipervínculo al portal de transparencia del sujeto obligado que hayan referido.”</w:t>
      </w:r>
    </w:p>
    <w:p w14:paraId="48291370"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Respecto a las Licencias de Uso de Suelo, se deben observar los siguientes criterios de contenido y adjetivos de formato: </w:t>
      </w:r>
    </w:p>
    <w:p w14:paraId="6ADB7897" w14:textId="77777777" w:rsidR="005A75CA" w:rsidRPr="00141B2C" w:rsidRDefault="00E96B90">
      <w:pPr>
        <w:spacing w:before="240" w:after="240" w:line="360" w:lineRule="auto"/>
        <w:jc w:val="center"/>
        <w:rPr>
          <w:rFonts w:ascii="Palatino Linotype" w:eastAsia="Palatino Linotype" w:hAnsi="Palatino Linotype" w:cs="Palatino Linotype"/>
        </w:rPr>
      </w:pPr>
      <w:r w:rsidRPr="00141B2C">
        <w:rPr>
          <w:rFonts w:ascii="Palatino Linotype" w:eastAsia="Palatino Linotype" w:hAnsi="Palatino Linotype" w:cs="Palatino Linotype"/>
          <w:noProof/>
        </w:rPr>
        <w:drawing>
          <wp:inline distT="0" distB="0" distL="0" distR="0" wp14:anchorId="36C2BEAF" wp14:editId="681A124B">
            <wp:extent cx="4680000" cy="915034"/>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b="60958"/>
                    <a:stretch>
                      <a:fillRect/>
                    </a:stretch>
                  </pic:blipFill>
                  <pic:spPr>
                    <a:xfrm>
                      <a:off x="0" y="0"/>
                      <a:ext cx="4680000" cy="915034"/>
                    </a:xfrm>
                    <a:prstGeom prst="rect">
                      <a:avLst/>
                    </a:prstGeom>
                    <a:ln/>
                  </pic:spPr>
                </pic:pic>
              </a:graphicData>
            </a:graphic>
          </wp:inline>
        </w:drawing>
      </w:r>
    </w:p>
    <w:p w14:paraId="00AE2EF2" w14:textId="77777777" w:rsidR="005A75CA" w:rsidRPr="00141B2C" w:rsidRDefault="00E96B90">
      <w:pPr>
        <w:spacing w:before="240" w:after="240" w:line="360" w:lineRule="auto"/>
        <w:jc w:val="center"/>
        <w:rPr>
          <w:rFonts w:ascii="Palatino Linotype" w:eastAsia="Palatino Linotype" w:hAnsi="Palatino Linotype" w:cs="Palatino Linotype"/>
        </w:rPr>
      </w:pPr>
      <w:r w:rsidRPr="00141B2C">
        <w:rPr>
          <w:rFonts w:ascii="Palatino Linotype" w:eastAsia="Palatino Linotype" w:hAnsi="Palatino Linotype" w:cs="Palatino Linotype"/>
          <w:noProof/>
        </w:rPr>
        <w:lastRenderedPageBreak/>
        <w:drawing>
          <wp:inline distT="0" distB="0" distL="0" distR="0" wp14:anchorId="4B3CB577" wp14:editId="730A777C">
            <wp:extent cx="4680000" cy="1405366"/>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40608" b="-571"/>
                    <a:stretch>
                      <a:fillRect/>
                    </a:stretch>
                  </pic:blipFill>
                  <pic:spPr>
                    <a:xfrm>
                      <a:off x="0" y="0"/>
                      <a:ext cx="4680000" cy="1405366"/>
                    </a:xfrm>
                    <a:prstGeom prst="rect">
                      <a:avLst/>
                    </a:prstGeom>
                    <a:ln/>
                  </pic:spPr>
                </pic:pic>
              </a:graphicData>
            </a:graphic>
          </wp:inline>
        </w:drawing>
      </w:r>
      <w:r w:rsidRPr="00141B2C">
        <w:rPr>
          <w:rFonts w:ascii="Palatino Linotype" w:eastAsia="Palatino Linotype" w:hAnsi="Palatino Linotype" w:cs="Palatino Linotype"/>
          <w:noProof/>
        </w:rPr>
        <w:drawing>
          <wp:inline distT="0" distB="0" distL="0" distR="0" wp14:anchorId="7396C768" wp14:editId="7A6CC841">
            <wp:extent cx="4680000" cy="308187"/>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680000" cy="308187"/>
                    </a:xfrm>
                    <a:prstGeom prst="rect">
                      <a:avLst/>
                    </a:prstGeom>
                    <a:ln/>
                  </pic:spPr>
                </pic:pic>
              </a:graphicData>
            </a:graphic>
          </wp:inline>
        </w:drawing>
      </w:r>
    </w:p>
    <w:p w14:paraId="354BB795"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noProof/>
        </w:rPr>
        <w:drawing>
          <wp:inline distT="0" distB="0" distL="0" distR="0" wp14:anchorId="3A4B5FF9" wp14:editId="78AD9EC2">
            <wp:extent cx="5612130" cy="2070456"/>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b="69263"/>
                    <a:stretch>
                      <a:fillRect/>
                    </a:stretch>
                  </pic:blipFill>
                  <pic:spPr>
                    <a:xfrm>
                      <a:off x="0" y="0"/>
                      <a:ext cx="5612130" cy="2070456"/>
                    </a:xfrm>
                    <a:prstGeom prst="rect">
                      <a:avLst/>
                    </a:prstGeom>
                    <a:ln/>
                  </pic:spPr>
                </pic:pic>
              </a:graphicData>
            </a:graphic>
          </wp:inline>
        </w:drawing>
      </w:r>
      <w:r w:rsidRPr="00141B2C">
        <w:rPr>
          <w:rFonts w:ascii="Palatino Linotype" w:eastAsia="Palatino Linotype" w:hAnsi="Palatino Linotype" w:cs="Palatino Linotype"/>
        </w:rPr>
        <w:t xml:space="preserve"> </w:t>
      </w:r>
      <w:r w:rsidRPr="00141B2C">
        <w:rPr>
          <w:rFonts w:ascii="Palatino Linotype" w:eastAsia="Palatino Linotype" w:hAnsi="Palatino Linotype" w:cs="Palatino Linotype"/>
          <w:noProof/>
        </w:rPr>
        <w:drawing>
          <wp:inline distT="0" distB="0" distL="0" distR="0" wp14:anchorId="37B0675F" wp14:editId="057A7AC3">
            <wp:extent cx="5612130" cy="1424983"/>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78846"/>
                    <a:stretch>
                      <a:fillRect/>
                    </a:stretch>
                  </pic:blipFill>
                  <pic:spPr>
                    <a:xfrm>
                      <a:off x="0" y="0"/>
                      <a:ext cx="5612130" cy="1424983"/>
                    </a:xfrm>
                    <a:prstGeom prst="rect">
                      <a:avLst/>
                    </a:prstGeom>
                    <a:ln/>
                  </pic:spPr>
                </pic:pic>
              </a:graphicData>
            </a:graphic>
          </wp:inline>
        </w:drawing>
      </w:r>
    </w:p>
    <w:p w14:paraId="34CE956A"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Como puede advertirse, entre la información que el </w:t>
      </w:r>
      <w:r w:rsidRPr="00141B2C">
        <w:rPr>
          <w:rFonts w:ascii="Palatino Linotype" w:eastAsia="Palatino Linotype" w:hAnsi="Palatino Linotype" w:cs="Palatino Linotype"/>
          <w:b/>
        </w:rPr>
        <w:t xml:space="preserve">Sujeto Obligado </w:t>
      </w:r>
      <w:r w:rsidRPr="00141B2C">
        <w:rPr>
          <w:rFonts w:ascii="Palatino Linotype" w:eastAsia="Palatino Linotype" w:hAnsi="Palatino Linotype" w:cs="Palatino Linotype"/>
        </w:rPr>
        <w:t xml:space="preserve">debe transparentar derivado de la emisión de Licencias de Uso de Suelo  se encuentra la concerniente al objeto de la licencia, el nombre o  denominación de la persona física o moral que solicita la licencia, el domicilio de donde se solicita la licencia de uso de suelo (tipo de vialidad [catálogo], nombre de vialidad [calle], número exterior, </w:t>
      </w:r>
      <w:r w:rsidRPr="00141B2C">
        <w:rPr>
          <w:rFonts w:ascii="Palatino Linotype" w:eastAsia="Palatino Linotype" w:hAnsi="Palatino Linotype" w:cs="Palatino Linotype"/>
        </w:rPr>
        <w:lastRenderedPageBreak/>
        <w:t xml:space="preserve">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el periodo de la vigencia, la fecha de inicio y termino de la licencia, así como la referencia a los bienes, servicios y/o recursos públicos que aprovechara el titular de la licencia, o bien, señalarse que no hay aprovechamiento de bien alguno. </w:t>
      </w:r>
    </w:p>
    <w:p w14:paraId="7446D105" w14:textId="77777777" w:rsidR="005A75CA" w:rsidRPr="00141B2C" w:rsidRDefault="00E96B90">
      <w:pPr>
        <w:pBdr>
          <w:top w:val="nil"/>
          <w:left w:val="nil"/>
          <w:bottom w:val="nil"/>
          <w:right w:val="nil"/>
          <w:between w:val="nil"/>
        </w:pBdr>
        <w:spacing w:line="360" w:lineRule="auto"/>
        <w:ind w:right="-93"/>
        <w:jc w:val="both"/>
      </w:pPr>
      <w:r w:rsidRPr="00141B2C">
        <w:rPr>
          <w:rFonts w:ascii="Palatino Linotype" w:eastAsia="Palatino Linotype" w:hAnsi="Palatino Linotype" w:cs="Palatino Linotype"/>
        </w:rPr>
        <w:t xml:space="preserve">Sin embargo, respecto al nombre de la persona titular de la licencia, ha sido criterio sostenido por el Pleno de este Instituto que </w:t>
      </w:r>
      <w:r w:rsidRPr="00141B2C">
        <w:rPr>
          <w:rFonts w:ascii="Palatino Linotype" w:eastAsia="Palatino Linotype" w:hAnsi="Palatino Linotype" w:cs="Palatino Linotype"/>
          <w:b/>
        </w:rPr>
        <w:t>se trata de un dato personal susceptible de clasificar como confidencial,</w:t>
      </w:r>
      <w:r w:rsidRPr="00141B2C">
        <w:rPr>
          <w:rFonts w:ascii="Palatino Linotype" w:eastAsia="Palatino Linotype" w:hAnsi="Palatino Linotype" w:cs="Palatino Linotype"/>
        </w:rPr>
        <w:t xml:space="preserve"> cuando la licencia de que se trate </w:t>
      </w:r>
      <w:r w:rsidRPr="00141B2C">
        <w:rPr>
          <w:rFonts w:ascii="Palatino Linotype" w:eastAsia="Palatino Linotype" w:hAnsi="Palatino Linotype" w:cs="Palatino Linotype"/>
          <w:b/>
          <w:u w:val="single"/>
        </w:rPr>
        <w:t>no involucre el aprovechamiento de bienes, servicios y/o recursos públicos,</w:t>
      </w:r>
      <w:r w:rsidRPr="00141B2C">
        <w:rPr>
          <w:rFonts w:ascii="Palatino Linotype" w:eastAsia="Palatino Linotype" w:hAnsi="Palatino Linotype" w:cs="Palatino Linotype"/>
        </w:rPr>
        <w:t xml:space="preserve"> pues se considera que lo dispuesto en los Lineamientos Técnicos Generales debe ser interpretado de manera armónica y sistemática, en el entendido de que la intromisión a los datos personales de particulares únicamente se verá justificada cuando involucre el aprovechamiento de bienes, servicios o recursos públicos; en caso contrario constituye un dato personal susceptible de ser protegido.</w:t>
      </w:r>
    </w:p>
    <w:p w14:paraId="5BCD9647"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Lo anterior se sustenta con el Criterio Relevante 01/18  emitido por el Pleno de este Instituto, que lleva por rubro y texto lo siguiente:</w:t>
      </w:r>
    </w:p>
    <w:p w14:paraId="790B01C6"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w:t>
      </w:r>
      <w:r w:rsidRPr="00141B2C">
        <w:rPr>
          <w:rFonts w:ascii="Palatino Linotype" w:eastAsia="Palatino Linotype" w:hAnsi="Palatino Linotype" w:cs="Palatino Linotype"/>
          <w:b/>
          <w:i/>
          <w:sz w:val="22"/>
          <w:szCs w:val="22"/>
        </w:rPr>
        <w:t>Nombre del titular de una licencia que no involucre el aprovechamiento de bienes, servicios y/o recursos públicos, constituye un dato personal susceptible de clasificar como confidencial</w:t>
      </w:r>
      <w:r w:rsidRPr="00141B2C">
        <w:rPr>
          <w:rFonts w:ascii="Palatino Linotype" w:eastAsia="Palatino Linotype" w:hAnsi="Palatino Linotype" w:cs="Palatino Linotype"/>
          <w:i/>
          <w:sz w:val="22"/>
          <w:szCs w:val="22"/>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w:t>
      </w:r>
      <w:r w:rsidRPr="00141B2C">
        <w:rPr>
          <w:rFonts w:ascii="Palatino Linotype" w:eastAsia="Palatino Linotype" w:hAnsi="Palatino Linotype" w:cs="Palatino Linotype"/>
          <w:i/>
          <w:sz w:val="22"/>
          <w:szCs w:val="22"/>
        </w:rPr>
        <w:lastRenderedPageBreak/>
        <w:t xml:space="preserve">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 </w:t>
      </w:r>
    </w:p>
    <w:p w14:paraId="364FFCEB" w14:textId="77777777" w:rsidR="005A75CA" w:rsidRPr="00141B2C" w:rsidRDefault="00E96B90">
      <w:pPr>
        <w:pBdr>
          <w:top w:val="nil"/>
          <w:left w:val="nil"/>
          <w:bottom w:val="nil"/>
          <w:right w:val="nil"/>
          <w:between w:val="nil"/>
        </w:pBdr>
        <w:spacing w:before="240" w:after="240" w:line="360" w:lineRule="auto"/>
        <w:jc w:val="both"/>
      </w:pPr>
      <w:r w:rsidRPr="00141B2C">
        <w:rPr>
          <w:rFonts w:ascii="Palatino Linotype" w:eastAsia="Palatino Linotype" w:hAnsi="Palatino Linotype" w:cs="Palatino Linotype"/>
        </w:rPr>
        <w:t>En tal supuesto, se deberá clasificar como información confidencial el nombre de las personas físicas titulares de las Licencias de Uso de Suelo que se entreguen para dar cumplimiento a la presente resolución, siempre y cuando no involucren el aprovechamiento de bienes, servicios y/o recursos públicos, por actualizarse lo previsto en el artículo 143, fracción I de la Ley de Transparencia y Acceso a la Información Pública del Estado de México y Municipios.</w:t>
      </w:r>
    </w:p>
    <w:p w14:paraId="35A6A41B" w14:textId="77777777" w:rsidR="005A75CA" w:rsidRPr="00141B2C" w:rsidRDefault="00E96B90">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Asimismo, se deberá tener en cuenta que para estas documentales en particular, la </w:t>
      </w:r>
      <w:r w:rsidRPr="00141B2C">
        <w:rPr>
          <w:rFonts w:ascii="Palatino Linotype" w:eastAsia="Palatino Linotype" w:hAnsi="Palatino Linotype" w:cs="Palatino Linotype"/>
          <w:b/>
        </w:rPr>
        <w:t>clave catastral</w:t>
      </w:r>
      <w:r w:rsidRPr="00141B2C">
        <w:rPr>
          <w:rFonts w:ascii="Palatino Linotype" w:eastAsia="Palatino Linotype" w:hAnsi="Palatino Linotype" w:cs="Palatino Linotype"/>
        </w:rPr>
        <w:t xml:space="preserve"> reviste el carácter de confidencial respecto de aquellos inmuebles de dominio privado, en razón de que la clave catastral remite a información que contiene datos personales, por lo que no puede otorgarse a terceros, dada la confidencialidad que distingue a sus elementos. En ese sentido, sobre la clave </w:t>
      </w:r>
      <w:r w:rsidRPr="00141B2C">
        <w:rPr>
          <w:rFonts w:ascii="Palatino Linotype" w:eastAsia="Palatino Linotype" w:hAnsi="Palatino Linotype" w:cs="Palatino Linotype"/>
        </w:rPr>
        <w:lastRenderedPageBreak/>
        <w:t>catastral debe decirse que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54F26664" w14:textId="77777777" w:rsidR="005A75CA" w:rsidRPr="00141B2C" w:rsidRDefault="00E96B90">
      <w:pPr>
        <w:pBdr>
          <w:top w:val="nil"/>
          <w:left w:val="nil"/>
          <w:bottom w:val="nil"/>
          <w:right w:val="nil"/>
          <w:between w:val="nil"/>
        </w:pBdr>
        <w:spacing w:before="240" w:after="240" w:line="360" w:lineRule="auto"/>
        <w:jc w:val="both"/>
      </w:pPr>
      <w:r w:rsidRPr="00141B2C">
        <w:rPr>
          <w:rFonts w:ascii="Palatino Linotype" w:eastAsia="Palatino Linotype" w:hAnsi="Palatino Linotype" w:cs="Palatino Linotype"/>
        </w:rPr>
        <w:t>Además, el “Diccionario de Datos catastrales Escala 1:1000” del Instituto Nacional de Estadística y Geografía (INEGI), contempla en su Glosario la definición de la Clave Catastral, la cual, apunta lo siguiente:</w:t>
      </w:r>
    </w:p>
    <w:p w14:paraId="724EE836" w14:textId="77777777" w:rsidR="005A75CA" w:rsidRPr="00141B2C" w:rsidRDefault="00E96B90">
      <w:pPr>
        <w:pBdr>
          <w:top w:val="nil"/>
          <w:left w:val="nil"/>
          <w:bottom w:val="nil"/>
          <w:right w:val="nil"/>
          <w:between w:val="nil"/>
        </w:pBdr>
        <w:spacing w:before="120" w:after="120"/>
        <w:ind w:left="851" w:right="851"/>
        <w:jc w:val="both"/>
      </w:pPr>
      <w:r w:rsidRPr="00141B2C">
        <w:rPr>
          <w:rFonts w:ascii="Palatino Linotype" w:eastAsia="Palatino Linotype" w:hAnsi="Palatino Linotype" w:cs="Palatino Linotype"/>
          <w:i/>
          <w:sz w:val="22"/>
          <w:szCs w:val="22"/>
        </w:rPr>
        <w:t>“</w:t>
      </w:r>
      <w:r w:rsidRPr="00141B2C">
        <w:rPr>
          <w:rFonts w:ascii="Palatino Linotype" w:eastAsia="Palatino Linotype" w:hAnsi="Palatino Linotype" w:cs="Palatino Linotype"/>
          <w:b/>
          <w:i/>
          <w:sz w:val="22"/>
          <w:szCs w:val="22"/>
        </w:rPr>
        <w:t>Clave Catastral</w:t>
      </w:r>
      <w:r w:rsidRPr="00141B2C">
        <w:rPr>
          <w:rFonts w:ascii="Palatino Linotype" w:eastAsia="Palatino Linotype" w:hAnsi="Palatino Linotype" w:cs="Palatino Linotype"/>
          <w:i/>
          <w:sz w:val="22"/>
          <w:szCs w:val="22"/>
        </w:rPr>
        <w:t>: El código que identifica al predio de forma única para su localización geográfica, mismo que es asignado a cada uno de ellos en el momento de su inscripción en el padrón catastral por las Unidades del Estado con atribuciones catastrales.”</w:t>
      </w:r>
    </w:p>
    <w:p w14:paraId="582F504F" w14:textId="77777777" w:rsidR="005A75CA" w:rsidRPr="00141B2C" w:rsidRDefault="00E96B90">
      <w:pPr>
        <w:pBdr>
          <w:top w:val="nil"/>
          <w:left w:val="nil"/>
          <w:bottom w:val="nil"/>
          <w:right w:val="nil"/>
          <w:between w:val="nil"/>
        </w:pBdr>
        <w:spacing w:before="240" w:after="240" w:line="360" w:lineRule="auto"/>
        <w:jc w:val="both"/>
      </w:pPr>
      <w:r w:rsidRPr="00141B2C">
        <w:rPr>
          <w:rFonts w:ascii="Palatino Linotype" w:eastAsia="Palatino Linotype" w:hAnsi="Palatino Linotype" w:cs="Palatino Linotype"/>
        </w:rPr>
        <w:t>Del concepto antepuesto,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reitera que no es procedente la entrega de dicho dato, al actualizar lo previsto en el artículo 143, fracción I de la Ley de Transparencia y Acceso a la Información Pública del Estado de México y Municipios.</w:t>
      </w:r>
    </w:p>
    <w:p w14:paraId="2A28C7BC"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lastRenderedPageBreak/>
        <w:t>En mérito de todo lo expuesto, ante lo fundado de las razones o motivos de inconformidad hechos valer por la parte</w:t>
      </w:r>
      <w:r w:rsidRPr="00141B2C">
        <w:rPr>
          <w:rFonts w:ascii="Palatino Linotype" w:eastAsia="Palatino Linotype" w:hAnsi="Palatino Linotype" w:cs="Palatino Linotype"/>
          <w:b/>
        </w:rPr>
        <w:t xml:space="preserve"> Recurrente, </w:t>
      </w:r>
      <w:r w:rsidRPr="00141B2C">
        <w:rPr>
          <w:rFonts w:ascii="Palatino Linotype" w:eastAsia="Palatino Linotype" w:hAnsi="Palatino Linotype" w:cs="Palatino Linotype"/>
        </w:rPr>
        <w:t xml:space="preserve">este Instituto estima que lo dable es </w:t>
      </w:r>
      <w:r w:rsidRPr="00141B2C">
        <w:rPr>
          <w:rFonts w:ascii="Palatino Linotype" w:eastAsia="Palatino Linotype" w:hAnsi="Palatino Linotype" w:cs="Palatino Linotype"/>
          <w:i/>
        </w:rPr>
        <w:t>Ordenar</w:t>
      </w:r>
      <w:r w:rsidRPr="00141B2C">
        <w:rPr>
          <w:rFonts w:ascii="Palatino Linotype" w:eastAsia="Palatino Linotype" w:hAnsi="Palatino Linotype" w:cs="Palatino Linotype"/>
        </w:rPr>
        <w:t xml:space="preserve"> al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atienda la solicitud de acceso a la información en los términos ya precisados.</w:t>
      </w:r>
    </w:p>
    <w:p w14:paraId="79833363"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Finalmente, toda  vez que el presente recurso derivó de la omisión por parte del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en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w:t>
      </w:r>
      <w:r w:rsidRPr="00141B2C">
        <w:rPr>
          <w:rFonts w:ascii="Palatino Linotype" w:eastAsia="Palatino Linotype" w:hAnsi="Palatino Linotype" w:cs="Palatino Linotype"/>
          <w:b/>
        </w:rPr>
        <w:t>Secretaría Técnica del Pleno</w:t>
      </w:r>
      <w:r w:rsidRPr="00141B2C">
        <w:rPr>
          <w:rFonts w:ascii="Palatino Linotype" w:eastAsia="Palatino Linotype" w:hAnsi="Palatino Linotype" w:cs="Palatino Linotype"/>
        </w:rPr>
        <w:t xml:space="preserve">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 </w:t>
      </w:r>
    </w:p>
    <w:p w14:paraId="395750BB"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b/>
        </w:rPr>
        <w:t>Quinto. Versión Pública.</w:t>
      </w:r>
      <w:r w:rsidRPr="00141B2C">
        <w:rPr>
          <w:rFonts w:ascii="Palatino Linotype" w:eastAsia="Palatino Linotype" w:hAnsi="Palatino Linotype" w:cs="Palatino Linotype"/>
          <w:sz w:val="28"/>
          <w:szCs w:val="28"/>
        </w:rPr>
        <w:t xml:space="preserve"> </w:t>
      </w:r>
      <w:r w:rsidRPr="00141B2C">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141B2C">
        <w:rPr>
          <w:rFonts w:ascii="Palatino Linotype" w:eastAsia="Palatino Linotype" w:hAnsi="Palatino Linotype" w:cs="Palatino Linotype"/>
          <w:b/>
        </w:rPr>
        <w:t>Recurrente</w:t>
      </w:r>
      <w:r w:rsidRPr="00141B2C">
        <w:rPr>
          <w:rFonts w:ascii="Palatino Linotype" w:eastAsia="Palatino Linotype" w:hAnsi="Palatino Linotype" w:cs="Palatino Linotype"/>
        </w:rPr>
        <w:t xml:space="preserve"> sin menoscabo al derecho a la protección de los datos personales de terceros.</w:t>
      </w:r>
    </w:p>
    <w:p w14:paraId="65C0E1D5"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Para efectos de la elaboración de la versión pública se deberá observar lo dispuesto por los artículos 3 fracciones IX, XX, XXI y XLV, 91, 132, 137 y 143, fracción I de la </w:t>
      </w:r>
      <w:r w:rsidRPr="00141B2C">
        <w:rPr>
          <w:rFonts w:ascii="Palatino Linotype" w:eastAsia="Palatino Linotype" w:hAnsi="Palatino Linotype" w:cs="Palatino Linotype"/>
        </w:rPr>
        <w:lastRenderedPageBreak/>
        <w:t>Ley de Transparencia y Acceso a la Información Pública del Estado de México y Municipios, que establecen:</w:t>
      </w:r>
    </w:p>
    <w:p w14:paraId="33A4A8A8"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w:t>
      </w:r>
      <w:r w:rsidRPr="00141B2C">
        <w:rPr>
          <w:rFonts w:ascii="Palatino Linotype" w:eastAsia="Palatino Linotype" w:hAnsi="Palatino Linotype" w:cs="Palatino Linotype"/>
          <w:b/>
          <w:i/>
          <w:sz w:val="22"/>
          <w:szCs w:val="22"/>
        </w:rPr>
        <w:t>Artículo 3</w:t>
      </w:r>
      <w:r w:rsidRPr="00141B2C">
        <w:rPr>
          <w:rFonts w:ascii="Palatino Linotype" w:eastAsia="Palatino Linotype" w:hAnsi="Palatino Linotype" w:cs="Palatino Linotype"/>
          <w:i/>
          <w:sz w:val="22"/>
          <w:szCs w:val="22"/>
        </w:rPr>
        <w:t>. Para los efectos de la presente Ley se entenderá por:</w:t>
      </w:r>
    </w:p>
    <w:p w14:paraId="4EE70DAC"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w:t>
      </w:r>
    </w:p>
    <w:p w14:paraId="110454C2"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IX. Datos personales</w:t>
      </w:r>
      <w:r w:rsidRPr="00141B2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E343EB6"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XX. Información clasificada</w:t>
      </w:r>
      <w:r w:rsidRPr="00141B2C">
        <w:rPr>
          <w:rFonts w:ascii="Palatino Linotype" w:eastAsia="Palatino Linotype" w:hAnsi="Palatino Linotype" w:cs="Palatino Linotype"/>
          <w:i/>
          <w:sz w:val="22"/>
          <w:szCs w:val="22"/>
        </w:rPr>
        <w:t>: Aquella considerada por la presente Ley como reservada o confidencial;</w:t>
      </w:r>
    </w:p>
    <w:p w14:paraId="6556BAB6"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 xml:space="preserve">XXI. Información confidencial: </w:t>
      </w:r>
      <w:r w:rsidRPr="00141B2C">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B45B5DA"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XLV. Versión pública:</w:t>
      </w:r>
      <w:r w:rsidRPr="00141B2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C5E4EF3"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w:t>
      </w:r>
    </w:p>
    <w:p w14:paraId="5907A98D"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Artículo 91.</w:t>
      </w:r>
      <w:r w:rsidRPr="00141B2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60067EF"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Artículo 132.</w:t>
      </w:r>
      <w:r w:rsidRPr="00141B2C">
        <w:rPr>
          <w:rFonts w:ascii="Palatino Linotype" w:eastAsia="Palatino Linotype" w:hAnsi="Palatino Linotype" w:cs="Palatino Linotype"/>
          <w:i/>
          <w:sz w:val="22"/>
          <w:szCs w:val="22"/>
        </w:rPr>
        <w:t xml:space="preserve"> La clasificación de la información se llevará a cabo en el momento en que:</w:t>
      </w:r>
    </w:p>
    <w:p w14:paraId="289FE9E8"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w:t>
      </w:r>
      <w:r w:rsidRPr="00141B2C">
        <w:rPr>
          <w:rFonts w:ascii="Palatino Linotype" w:eastAsia="Palatino Linotype" w:hAnsi="Palatino Linotype" w:cs="Palatino Linotype"/>
          <w:i/>
          <w:sz w:val="22"/>
          <w:szCs w:val="22"/>
        </w:rPr>
        <w:t>. Se reciba una solicitud de acceso a la información;</w:t>
      </w:r>
    </w:p>
    <w:p w14:paraId="19DD37F5"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II.</w:t>
      </w:r>
      <w:r w:rsidRPr="00141B2C">
        <w:rPr>
          <w:rFonts w:ascii="Palatino Linotype" w:eastAsia="Palatino Linotype" w:hAnsi="Palatino Linotype" w:cs="Palatino Linotype"/>
          <w:i/>
          <w:sz w:val="22"/>
          <w:szCs w:val="22"/>
        </w:rPr>
        <w:t xml:space="preserve"> Se determine mediante resolución de autoridad competente; o</w:t>
      </w:r>
    </w:p>
    <w:p w14:paraId="56B88134"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III.</w:t>
      </w:r>
      <w:r w:rsidRPr="00141B2C">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F418180"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w:t>
      </w:r>
    </w:p>
    <w:p w14:paraId="0F1214FF"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Artículo 137.</w:t>
      </w:r>
      <w:r w:rsidRPr="00141B2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3BC3A1A" w14:textId="77777777" w:rsidR="005A75CA" w:rsidRPr="00141B2C" w:rsidRDefault="00E96B90">
      <w:pPr>
        <w:spacing w:before="120" w:after="120"/>
        <w:ind w:left="851" w:right="902"/>
        <w:jc w:val="both"/>
        <w:rPr>
          <w:rFonts w:ascii="Palatino Linotype" w:eastAsia="Palatino Linotype" w:hAnsi="Palatino Linotype" w:cs="Palatino Linotype"/>
          <w:b/>
          <w:i/>
          <w:sz w:val="22"/>
          <w:szCs w:val="22"/>
        </w:rPr>
      </w:pPr>
      <w:r w:rsidRPr="00141B2C">
        <w:rPr>
          <w:rFonts w:ascii="Palatino Linotype" w:eastAsia="Palatino Linotype" w:hAnsi="Palatino Linotype" w:cs="Palatino Linotype"/>
          <w:b/>
          <w:i/>
          <w:sz w:val="22"/>
          <w:szCs w:val="22"/>
        </w:rPr>
        <w:t>…</w:t>
      </w:r>
    </w:p>
    <w:p w14:paraId="270DCB84"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lastRenderedPageBreak/>
        <w:t>Artículo 143</w:t>
      </w:r>
      <w:r w:rsidRPr="00141B2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7455926"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w:t>
      </w:r>
      <w:r w:rsidRPr="00141B2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A79EA9D"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22A3A6A" w14:textId="77777777" w:rsidR="005A75CA" w:rsidRPr="00141B2C" w:rsidRDefault="00E96B90">
      <w:pPr>
        <w:spacing w:before="240" w:after="240" w:line="360" w:lineRule="auto"/>
        <w:ind w:right="50"/>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90FC2E2"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lastRenderedPageBreak/>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CB431CB" w14:textId="77777777" w:rsidR="005A75CA" w:rsidRPr="00141B2C" w:rsidRDefault="00E96B9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141B2C">
        <w:rPr>
          <w:rFonts w:ascii="Palatino Linotype" w:eastAsia="Palatino Linotype" w:hAnsi="Palatino Linotype" w:cs="Palatino Linotype"/>
        </w:rPr>
        <w:t xml:space="preserve">Respecto a las formalidades que deberá llevar el acuerdo de clasificación que deberá emitir 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vigentes a la fecha de la solicitud, señalan lo siguiente:</w:t>
      </w:r>
    </w:p>
    <w:p w14:paraId="17E6FC7C"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 xml:space="preserve"> “Quincuagésimo. </w:t>
      </w:r>
      <w:r w:rsidRPr="00141B2C">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370DC51" w14:textId="77777777" w:rsidR="005A75CA" w:rsidRPr="00141B2C" w:rsidRDefault="00E96B9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 xml:space="preserve">Quincuagésimo primero. </w:t>
      </w:r>
      <w:r w:rsidRPr="00141B2C">
        <w:rPr>
          <w:rFonts w:ascii="Palatino Linotype" w:eastAsia="Palatino Linotype" w:hAnsi="Palatino Linotype" w:cs="Palatino Linotype"/>
          <w:i/>
          <w:sz w:val="22"/>
          <w:szCs w:val="22"/>
        </w:rPr>
        <w:t xml:space="preserve">Toda acta del Comité de Transparencia deberá contener: </w:t>
      </w:r>
    </w:p>
    <w:p w14:paraId="6BC0DCE6" w14:textId="77777777" w:rsidR="005A75CA" w:rsidRPr="00141B2C" w:rsidRDefault="00E96B9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w:t>
      </w:r>
      <w:r w:rsidRPr="00141B2C">
        <w:rPr>
          <w:rFonts w:ascii="Palatino Linotype" w:eastAsia="Palatino Linotype" w:hAnsi="Palatino Linotype" w:cs="Palatino Linotype"/>
          <w:i/>
          <w:sz w:val="22"/>
          <w:szCs w:val="22"/>
        </w:rPr>
        <w:t xml:space="preserve"> El número de sesión y fecha; </w:t>
      </w:r>
    </w:p>
    <w:p w14:paraId="60E75CB6" w14:textId="77777777" w:rsidR="005A75CA" w:rsidRPr="00141B2C" w:rsidRDefault="00E96B9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II</w:t>
      </w:r>
      <w:r w:rsidRPr="00141B2C">
        <w:rPr>
          <w:rFonts w:ascii="Palatino Linotype" w:eastAsia="Palatino Linotype" w:hAnsi="Palatino Linotype" w:cs="Palatino Linotype"/>
          <w:i/>
          <w:sz w:val="22"/>
          <w:szCs w:val="22"/>
        </w:rPr>
        <w:t xml:space="preserve">. El nombre del área que solicitó la clasificación de información; </w:t>
      </w:r>
    </w:p>
    <w:p w14:paraId="26DCA762" w14:textId="77777777" w:rsidR="005A75CA" w:rsidRPr="00141B2C" w:rsidRDefault="00E96B9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III</w:t>
      </w:r>
      <w:r w:rsidRPr="00141B2C">
        <w:rPr>
          <w:rFonts w:ascii="Palatino Linotype" w:eastAsia="Palatino Linotype" w:hAnsi="Palatino Linotype" w:cs="Palatino Linotype"/>
          <w:i/>
          <w:sz w:val="22"/>
          <w:szCs w:val="22"/>
        </w:rPr>
        <w:t xml:space="preserve">. La fundamentación legal y motivación correspondiente; </w:t>
      </w:r>
    </w:p>
    <w:p w14:paraId="7A0E1857" w14:textId="77777777" w:rsidR="005A75CA" w:rsidRPr="00141B2C" w:rsidRDefault="00E96B9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IV</w:t>
      </w:r>
      <w:r w:rsidRPr="00141B2C">
        <w:rPr>
          <w:rFonts w:ascii="Palatino Linotype" w:eastAsia="Palatino Linotype" w:hAnsi="Palatino Linotype" w:cs="Palatino Linotype"/>
          <w:i/>
          <w:sz w:val="22"/>
          <w:szCs w:val="22"/>
        </w:rPr>
        <w:t xml:space="preserve">. La resolución o resoluciones aprobadas; y </w:t>
      </w:r>
    </w:p>
    <w:p w14:paraId="09C8B539" w14:textId="77777777" w:rsidR="005A75CA" w:rsidRPr="00141B2C" w:rsidRDefault="00E96B9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lastRenderedPageBreak/>
        <w:t>V</w:t>
      </w:r>
      <w:r w:rsidRPr="00141B2C">
        <w:rPr>
          <w:rFonts w:ascii="Palatino Linotype" w:eastAsia="Palatino Linotype" w:hAnsi="Palatino Linotype" w:cs="Palatino Linotype"/>
          <w:i/>
          <w:sz w:val="22"/>
          <w:szCs w:val="22"/>
        </w:rPr>
        <w:t xml:space="preserve">. La rúbrica o firma digital de cada integrante del Comité de Transparencia. </w:t>
      </w:r>
    </w:p>
    <w:p w14:paraId="73DD09AB" w14:textId="77777777" w:rsidR="005A75CA" w:rsidRPr="00141B2C" w:rsidRDefault="00E96B9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1C8EDA5" w14:textId="77777777" w:rsidR="005A75CA" w:rsidRPr="00141B2C" w:rsidRDefault="00E96B9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w:t>
      </w:r>
      <w:r w:rsidRPr="00141B2C">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451849F" w14:textId="77777777" w:rsidR="005A75CA" w:rsidRPr="00141B2C" w:rsidRDefault="00E96B90">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141B2C">
        <w:rPr>
          <w:rFonts w:ascii="Palatino Linotype" w:eastAsia="Palatino Linotype" w:hAnsi="Palatino Linotype" w:cs="Palatino Linotype"/>
          <w:b/>
          <w:i/>
          <w:sz w:val="22"/>
          <w:szCs w:val="22"/>
        </w:rPr>
        <w:t>II</w:t>
      </w:r>
      <w:r w:rsidRPr="00141B2C">
        <w:rPr>
          <w:rFonts w:ascii="Palatino Linotype" w:eastAsia="Palatino Linotype" w:hAnsi="Palatino Linotype" w:cs="Palatino Linotype"/>
          <w:i/>
          <w:sz w:val="22"/>
          <w:szCs w:val="22"/>
        </w:rPr>
        <w:t>. Descripción de las partes o secciones reservadas, en caso de clasificación parcial</w:t>
      </w:r>
      <w:r w:rsidRPr="00141B2C">
        <w:rPr>
          <w:rFonts w:ascii="Palatino Linotype" w:eastAsia="Palatino Linotype" w:hAnsi="Palatino Linotype" w:cs="Palatino Linotype"/>
          <w:b/>
          <w:i/>
          <w:sz w:val="22"/>
          <w:szCs w:val="22"/>
        </w:rPr>
        <w:t xml:space="preserve">; </w:t>
      </w:r>
    </w:p>
    <w:p w14:paraId="16598BA7" w14:textId="77777777" w:rsidR="005A75CA" w:rsidRPr="00141B2C" w:rsidRDefault="00E96B9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III.</w:t>
      </w:r>
      <w:r w:rsidRPr="00141B2C">
        <w:rPr>
          <w:rFonts w:ascii="Palatino Linotype" w:eastAsia="Palatino Linotype" w:hAnsi="Palatino Linotype" w:cs="Palatino Linotype"/>
          <w:i/>
          <w:sz w:val="22"/>
          <w:szCs w:val="22"/>
        </w:rPr>
        <w:t xml:space="preserve"> El periodo por el que mantendrá su clasificación y fecha de expiración; y </w:t>
      </w:r>
    </w:p>
    <w:p w14:paraId="044F3F84" w14:textId="77777777" w:rsidR="005A75CA" w:rsidRPr="00141B2C" w:rsidRDefault="00E96B9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IV.</w:t>
      </w:r>
      <w:r w:rsidRPr="00141B2C">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F44671E" w14:textId="77777777" w:rsidR="005A75CA" w:rsidRPr="00141B2C" w:rsidRDefault="00E96B9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E34E4A2" w14:textId="77777777" w:rsidR="005A75CA" w:rsidRPr="00141B2C" w:rsidRDefault="00E96B9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E33E2B5" w14:textId="77777777" w:rsidR="005A75CA" w:rsidRPr="00141B2C" w:rsidRDefault="00E96B90">
      <w:pPr>
        <w:spacing w:before="120" w:after="120"/>
        <w:ind w:left="851" w:right="90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Quincuagésimo segundo</w:t>
      </w:r>
      <w:r w:rsidRPr="00141B2C">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78D1B02" w14:textId="77777777" w:rsidR="005A75CA" w:rsidRPr="00141B2C" w:rsidRDefault="00E96B90">
      <w:pPr>
        <w:spacing w:before="120" w:after="120"/>
        <w:ind w:left="851" w:right="90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 xml:space="preserve">En el caso </w:t>
      </w:r>
      <w:proofErr w:type="spellStart"/>
      <w:r w:rsidRPr="00141B2C">
        <w:rPr>
          <w:rFonts w:ascii="Palatino Linotype" w:eastAsia="Palatino Linotype" w:hAnsi="Palatino Linotype" w:cs="Palatino Linotype"/>
          <w:i/>
          <w:sz w:val="22"/>
          <w:szCs w:val="22"/>
        </w:rPr>
        <w:t>especifico</w:t>
      </w:r>
      <w:proofErr w:type="spellEnd"/>
      <w:r w:rsidRPr="00141B2C">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2B521317" w14:textId="77777777" w:rsidR="005A75CA" w:rsidRPr="00141B2C" w:rsidRDefault="00E96B90">
      <w:pPr>
        <w:spacing w:before="120" w:after="120"/>
        <w:ind w:left="1134" w:right="90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w:t>
      </w:r>
      <w:r w:rsidRPr="00141B2C">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6B31A66" w14:textId="77777777" w:rsidR="005A75CA" w:rsidRPr="00141B2C" w:rsidRDefault="00E96B90">
      <w:pPr>
        <w:spacing w:before="120" w:after="120"/>
        <w:ind w:left="1134" w:right="90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II.</w:t>
      </w:r>
      <w:r w:rsidRPr="00141B2C">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200861A5" w14:textId="77777777" w:rsidR="005A75CA" w:rsidRPr="00141B2C" w:rsidRDefault="00E96B90">
      <w:pPr>
        <w:spacing w:before="120" w:after="120"/>
        <w:ind w:left="1134" w:right="90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III.</w:t>
      </w:r>
      <w:r w:rsidRPr="00141B2C">
        <w:rPr>
          <w:rFonts w:ascii="Palatino Linotype" w:eastAsia="Palatino Linotype" w:hAnsi="Palatino Linotype" w:cs="Palatino Linotype"/>
          <w:i/>
          <w:sz w:val="22"/>
          <w:szCs w:val="22"/>
        </w:rPr>
        <w:t xml:space="preserve"> Señalar las personas o instancias autorizadas a acceder a la información clasificada.</w:t>
      </w:r>
    </w:p>
    <w:p w14:paraId="7C96BF52" w14:textId="77777777" w:rsidR="005A75CA" w:rsidRPr="00141B2C" w:rsidRDefault="00E96B90">
      <w:pPr>
        <w:spacing w:before="120" w:after="120"/>
        <w:ind w:left="851" w:right="900"/>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E369876"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lastRenderedPageBreak/>
        <w:t>Asimismo, deberá observar los Lineamientos Quincuagésimo cuarto, Quincuagésimo quinto, Quincuagésimo sexto, Quincuagésimo séptimo y Quincuagésimo octavo, establecen lo siguiente:</w:t>
      </w:r>
    </w:p>
    <w:p w14:paraId="4F83C174" w14:textId="77777777" w:rsidR="005A75CA" w:rsidRPr="00141B2C" w:rsidRDefault="00E96B90">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141B2C">
        <w:rPr>
          <w:rFonts w:ascii="Palatino Linotype" w:eastAsia="Palatino Linotype" w:hAnsi="Palatino Linotype" w:cs="Palatino Linotype"/>
          <w:i/>
          <w:sz w:val="22"/>
          <w:szCs w:val="22"/>
        </w:rPr>
        <w:t>“</w:t>
      </w:r>
      <w:r w:rsidRPr="00141B2C">
        <w:rPr>
          <w:rFonts w:ascii="Palatino Linotype" w:eastAsia="Palatino Linotype" w:hAnsi="Palatino Linotype" w:cs="Palatino Linotype"/>
          <w:b/>
          <w:i/>
          <w:sz w:val="22"/>
          <w:szCs w:val="22"/>
        </w:rPr>
        <w:t xml:space="preserve">Quincuagésimo cuarto. </w:t>
      </w:r>
      <w:r w:rsidRPr="00141B2C">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141B2C">
        <w:rPr>
          <w:rFonts w:ascii="Palatino Linotype" w:eastAsia="Palatino Linotype" w:hAnsi="Palatino Linotype" w:cs="Palatino Linotype"/>
          <w:b/>
          <w:i/>
          <w:sz w:val="22"/>
          <w:szCs w:val="22"/>
        </w:rPr>
        <w:t xml:space="preserve"> </w:t>
      </w:r>
    </w:p>
    <w:p w14:paraId="0CA17023"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 xml:space="preserve">Quincuagésimo quinto. </w:t>
      </w:r>
      <w:r w:rsidRPr="00141B2C">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141B2C">
        <w:rPr>
          <w:rFonts w:ascii="Palatino Linotype" w:eastAsia="Palatino Linotype" w:hAnsi="Palatino Linotype" w:cs="Palatino Linotype"/>
          <w:i/>
          <w:sz w:val="22"/>
          <w:szCs w:val="22"/>
        </w:rPr>
        <w:t>testado</w:t>
      </w:r>
      <w:proofErr w:type="spellEnd"/>
      <w:r w:rsidRPr="00141B2C">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8579EE5" w14:textId="77777777" w:rsidR="005A75CA" w:rsidRPr="00141B2C" w:rsidRDefault="00E96B90">
      <w:pPr>
        <w:spacing w:before="120" w:after="120"/>
        <w:ind w:left="851" w:right="902"/>
        <w:jc w:val="both"/>
        <w:rPr>
          <w:rFonts w:ascii="Palatino Linotype" w:eastAsia="Palatino Linotype" w:hAnsi="Palatino Linotype" w:cs="Palatino Linotype"/>
          <w:b/>
          <w:i/>
          <w:sz w:val="22"/>
          <w:szCs w:val="22"/>
        </w:rPr>
      </w:pPr>
      <w:r w:rsidRPr="00141B2C">
        <w:rPr>
          <w:rFonts w:ascii="Palatino Linotype" w:eastAsia="Palatino Linotype" w:hAnsi="Palatino Linotype" w:cs="Palatino Linotype"/>
          <w:b/>
          <w:i/>
          <w:sz w:val="22"/>
          <w:szCs w:val="22"/>
        </w:rPr>
        <w:t>...</w:t>
      </w:r>
    </w:p>
    <w:p w14:paraId="4477892A"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Quincuagésimo séptimo</w:t>
      </w:r>
      <w:r w:rsidRPr="00141B2C">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8D5DF28"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w:t>
      </w:r>
      <w:r w:rsidRPr="00141B2C">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FDEE5A2"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II.</w:t>
      </w:r>
      <w:r w:rsidRPr="00141B2C">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51C6B78" w14:textId="77777777" w:rsidR="005A75CA" w:rsidRPr="00141B2C" w:rsidRDefault="00E96B90">
      <w:pPr>
        <w:spacing w:before="120" w:after="120"/>
        <w:ind w:left="1134"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III</w:t>
      </w:r>
      <w:r w:rsidRPr="00141B2C">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E53988F"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810881A" w14:textId="77777777" w:rsidR="005A75CA" w:rsidRPr="00141B2C" w:rsidRDefault="00E96B90">
      <w:pPr>
        <w:spacing w:before="120" w:after="120"/>
        <w:ind w:left="851" w:right="902"/>
        <w:jc w:val="both"/>
        <w:rPr>
          <w:rFonts w:ascii="Palatino Linotype" w:eastAsia="Palatino Linotype" w:hAnsi="Palatino Linotype" w:cs="Palatino Linotype"/>
          <w:i/>
          <w:sz w:val="22"/>
          <w:szCs w:val="22"/>
        </w:rPr>
      </w:pPr>
      <w:r w:rsidRPr="00141B2C">
        <w:rPr>
          <w:rFonts w:ascii="Palatino Linotype" w:eastAsia="Palatino Linotype" w:hAnsi="Palatino Linotype" w:cs="Palatino Linotype"/>
          <w:b/>
          <w:i/>
          <w:sz w:val="22"/>
          <w:szCs w:val="22"/>
        </w:rPr>
        <w:t>Quincuagésimo octavo</w:t>
      </w:r>
      <w:r w:rsidRPr="00141B2C">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D424BB3"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rPr>
        <w:lastRenderedPageBreak/>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635EEE69" w14:textId="77777777" w:rsidR="005A75CA" w:rsidRPr="00141B2C" w:rsidRDefault="00E96B9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41B2C">
        <w:rPr>
          <w:rFonts w:ascii="Palatino Linotype" w:eastAsia="Palatino Linotype" w:hAnsi="Palatino Linotype" w:cs="Palatino Linotype"/>
          <w:b/>
        </w:rPr>
        <w:t>III. R E S U E L V E</w:t>
      </w:r>
    </w:p>
    <w:p w14:paraId="4BED30EC" w14:textId="77777777" w:rsidR="005A75CA" w:rsidRPr="00141B2C" w:rsidRDefault="00E96B90">
      <w:pPr>
        <w:spacing w:before="240" w:after="240" w:line="360" w:lineRule="auto"/>
        <w:ind w:right="49"/>
        <w:jc w:val="both"/>
        <w:rPr>
          <w:rFonts w:ascii="Palatino Linotype" w:eastAsia="Palatino Linotype" w:hAnsi="Palatino Linotype" w:cs="Palatino Linotype"/>
        </w:rPr>
      </w:pPr>
      <w:bookmarkStart w:id="8" w:name="_heading=h.1t3h5sf" w:colFirst="0" w:colLast="0"/>
      <w:bookmarkEnd w:id="8"/>
      <w:r w:rsidRPr="00141B2C">
        <w:rPr>
          <w:rFonts w:ascii="Palatino Linotype" w:eastAsia="Palatino Linotype" w:hAnsi="Palatino Linotype" w:cs="Palatino Linotype"/>
          <w:b/>
        </w:rPr>
        <w:t xml:space="preserve">Primero. </w:t>
      </w:r>
      <w:r w:rsidRPr="00141B2C">
        <w:rPr>
          <w:rFonts w:ascii="Palatino Linotype" w:eastAsia="Palatino Linotype" w:hAnsi="Palatino Linotype" w:cs="Palatino Linotype"/>
        </w:rPr>
        <w:t xml:space="preserve">Resultan </w:t>
      </w:r>
      <w:r w:rsidRPr="00141B2C">
        <w:rPr>
          <w:rFonts w:ascii="Palatino Linotype" w:eastAsia="Palatino Linotype" w:hAnsi="Palatino Linotype" w:cs="Palatino Linotype"/>
          <w:b/>
        </w:rPr>
        <w:t>fundados</w:t>
      </w:r>
      <w:r w:rsidRPr="00141B2C">
        <w:rPr>
          <w:rFonts w:ascii="Palatino Linotype" w:eastAsia="Palatino Linotype" w:hAnsi="Palatino Linotype" w:cs="Palatino Linotype"/>
        </w:rPr>
        <w:t xml:space="preserve"> los motivos de inconformidad de la parte </w:t>
      </w:r>
      <w:r w:rsidRPr="00141B2C">
        <w:rPr>
          <w:rFonts w:ascii="Palatino Linotype" w:eastAsia="Palatino Linotype" w:hAnsi="Palatino Linotype" w:cs="Palatino Linotype"/>
          <w:b/>
        </w:rPr>
        <w:t>Recurrente</w:t>
      </w:r>
      <w:r w:rsidRPr="00141B2C">
        <w:rPr>
          <w:rFonts w:ascii="Palatino Linotype" w:eastAsia="Palatino Linotype" w:hAnsi="Palatino Linotype" w:cs="Palatino Linotype"/>
        </w:rPr>
        <w:t xml:space="preserve">, en términos del Considerando </w:t>
      </w:r>
      <w:r w:rsidRPr="00141B2C">
        <w:rPr>
          <w:rFonts w:ascii="Palatino Linotype" w:eastAsia="Palatino Linotype" w:hAnsi="Palatino Linotype" w:cs="Palatino Linotype"/>
          <w:b/>
        </w:rPr>
        <w:t>Cuarto</w:t>
      </w:r>
      <w:r w:rsidRPr="00141B2C">
        <w:rPr>
          <w:rFonts w:ascii="Palatino Linotype" w:eastAsia="Palatino Linotype" w:hAnsi="Palatino Linotype" w:cs="Palatino Linotype"/>
        </w:rPr>
        <w:t xml:space="preserve"> de la presente resolución.</w:t>
      </w:r>
    </w:p>
    <w:p w14:paraId="657AB476"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b/>
        </w:rPr>
        <w:t xml:space="preserve">Segundo. </w:t>
      </w:r>
      <w:r w:rsidRPr="00141B2C">
        <w:rPr>
          <w:rFonts w:ascii="Palatino Linotype" w:eastAsia="Palatino Linotype" w:hAnsi="Palatino Linotype" w:cs="Palatino Linotype"/>
        </w:rPr>
        <w:t>Se</w:t>
      </w:r>
      <w:r w:rsidRPr="00141B2C">
        <w:rPr>
          <w:rFonts w:ascii="Palatino Linotype" w:eastAsia="Palatino Linotype" w:hAnsi="Palatino Linotype" w:cs="Palatino Linotype"/>
          <w:b/>
        </w:rPr>
        <w:t xml:space="preserve"> Ordena </w:t>
      </w:r>
      <w:r w:rsidRPr="00141B2C">
        <w:rPr>
          <w:rFonts w:ascii="Palatino Linotype" w:eastAsia="Palatino Linotype" w:hAnsi="Palatino Linotype" w:cs="Palatino Linotype"/>
        </w:rPr>
        <w:t xml:space="preserve">al </w:t>
      </w:r>
      <w:r w:rsidRPr="00141B2C">
        <w:rPr>
          <w:rFonts w:ascii="Palatino Linotype" w:eastAsia="Palatino Linotype" w:hAnsi="Palatino Linotype" w:cs="Palatino Linotype"/>
          <w:b/>
        </w:rPr>
        <w:t xml:space="preserve">Sujeto Obligado </w:t>
      </w:r>
      <w:r w:rsidRPr="00141B2C">
        <w:rPr>
          <w:rFonts w:ascii="Palatino Linotype" w:eastAsia="Palatino Linotype" w:hAnsi="Palatino Linotype" w:cs="Palatino Linotype"/>
        </w:rPr>
        <w:t xml:space="preserve">dé trámite a la solicitud de acceso a la información pública </w:t>
      </w:r>
      <w:r w:rsidRPr="00141B2C">
        <w:rPr>
          <w:rFonts w:ascii="Palatino Linotype" w:eastAsia="Palatino Linotype" w:hAnsi="Palatino Linotype" w:cs="Palatino Linotype"/>
          <w:b/>
        </w:rPr>
        <w:t xml:space="preserve">00063/TULTEPEC/IP/2025, </w:t>
      </w:r>
      <w:r w:rsidRPr="00141B2C">
        <w:rPr>
          <w:rFonts w:ascii="Palatino Linotype" w:eastAsia="Palatino Linotype" w:hAnsi="Palatino Linotype" w:cs="Palatino Linotype"/>
        </w:rPr>
        <w:t xml:space="preserve">que dio origen al recurso de revisión </w:t>
      </w:r>
      <w:r w:rsidRPr="00141B2C">
        <w:rPr>
          <w:rFonts w:ascii="Palatino Linotype" w:eastAsia="Palatino Linotype" w:hAnsi="Palatino Linotype" w:cs="Palatino Linotype"/>
          <w:b/>
        </w:rPr>
        <w:t>04094/INFOEM/IP/RR/2025</w:t>
      </w:r>
      <w:r w:rsidRPr="00141B2C">
        <w:rPr>
          <w:rFonts w:ascii="Palatino Linotype" w:eastAsia="Palatino Linotype" w:hAnsi="Palatino Linotype" w:cs="Palatino Linotype"/>
        </w:rPr>
        <w:t>,</w:t>
      </w:r>
      <w:r w:rsidRPr="00141B2C">
        <w:rPr>
          <w:rFonts w:ascii="Palatino Linotype" w:eastAsia="Palatino Linotype" w:hAnsi="Palatino Linotype" w:cs="Palatino Linotype"/>
          <w:b/>
        </w:rPr>
        <w:t xml:space="preserve"> </w:t>
      </w:r>
      <w:r w:rsidRPr="00141B2C">
        <w:rPr>
          <w:rFonts w:ascii="Palatino Linotype" w:eastAsia="Palatino Linotype" w:hAnsi="Palatino Linotype" w:cs="Palatino Linotype"/>
        </w:rPr>
        <w:t>y</w:t>
      </w:r>
      <w:r w:rsidRPr="00141B2C">
        <w:rPr>
          <w:rFonts w:ascii="Palatino Linotype" w:eastAsia="Palatino Linotype" w:hAnsi="Palatino Linotype" w:cs="Palatino Linotype"/>
          <w:b/>
        </w:rPr>
        <w:t xml:space="preserve"> </w:t>
      </w:r>
      <w:r w:rsidRPr="00141B2C">
        <w:rPr>
          <w:rFonts w:ascii="Palatino Linotype" w:eastAsia="Palatino Linotype" w:hAnsi="Palatino Linotype" w:cs="Palatino Linotype"/>
        </w:rPr>
        <w:t>en términos de los Considerandos</w:t>
      </w:r>
      <w:r w:rsidRPr="00141B2C">
        <w:rPr>
          <w:rFonts w:ascii="Palatino Linotype" w:eastAsia="Palatino Linotype" w:hAnsi="Palatino Linotype" w:cs="Palatino Linotype"/>
          <w:b/>
        </w:rPr>
        <w:t xml:space="preserve"> Cuarto </w:t>
      </w:r>
      <w:r w:rsidRPr="00141B2C">
        <w:rPr>
          <w:rFonts w:ascii="Palatino Linotype" w:eastAsia="Palatino Linotype" w:hAnsi="Palatino Linotype" w:cs="Palatino Linotype"/>
        </w:rPr>
        <w:t xml:space="preserve">y </w:t>
      </w:r>
      <w:r w:rsidRPr="00141B2C">
        <w:rPr>
          <w:rFonts w:ascii="Palatino Linotype" w:eastAsia="Palatino Linotype" w:hAnsi="Palatino Linotype" w:cs="Palatino Linotype"/>
          <w:b/>
        </w:rPr>
        <w:t>Quinto</w:t>
      </w:r>
      <w:r w:rsidRPr="00141B2C">
        <w:rPr>
          <w:rFonts w:ascii="Palatino Linotype" w:eastAsia="Palatino Linotype" w:hAnsi="Palatino Linotype" w:cs="Palatino Linotype"/>
        </w:rPr>
        <w:t xml:space="preserve"> de esta resolución, haga entrega, vía </w:t>
      </w:r>
      <w:r w:rsidRPr="00141B2C">
        <w:rPr>
          <w:rFonts w:ascii="Palatino Linotype" w:eastAsia="Palatino Linotype" w:hAnsi="Palatino Linotype" w:cs="Palatino Linotype"/>
          <w:b/>
        </w:rPr>
        <w:t>SAIMEX</w:t>
      </w:r>
      <w:r w:rsidRPr="00141B2C">
        <w:rPr>
          <w:rFonts w:ascii="Palatino Linotype" w:eastAsia="Palatino Linotype" w:hAnsi="Palatino Linotype" w:cs="Palatino Linotype"/>
        </w:rPr>
        <w:t>, previa búsqueda exhaustiva y razonable, de ser procedente en versión pública, de lo siguiente:</w:t>
      </w:r>
    </w:p>
    <w:p w14:paraId="2F69EDD5" w14:textId="77777777" w:rsidR="005A75CA" w:rsidRPr="00141B2C" w:rsidRDefault="00E96B90">
      <w:pPr>
        <w:numPr>
          <w:ilvl w:val="0"/>
          <w:numId w:val="4"/>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141B2C">
        <w:rPr>
          <w:rFonts w:ascii="Palatino Linotype" w:eastAsia="Palatino Linotype" w:hAnsi="Palatino Linotype" w:cs="Palatino Linotype"/>
        </w:rPr>
        <w:t>Licencias de Uso de Suelo expedidas del uno de enero al trece de marzo de dos mil veinticinco.</w:t>
      </w:r>
    </w:p>
    <w:p w14:paraId="0DD5CB7D" w14:textId="23FB6D82" w:rsidR="005A75CA" w:rsidRPr="00141B2C" w:rsidRDefault="00E96B90">
      <w:pPr>
        <w:spacing w:before="120" w:after="120"/>
        <w:ind w:left="284"/>
        <w:jc w:val="both"/>
        <w:rPr>
          <w:rFonts w:ascii="Palatino Linotype" w:eastAsia="Palatino Linotype" w:hAnsi="Palatino Linotype" w:cs="Palatino Linotype"/>
          <w:i/>
          <w:sz w:val="20"/>
          <w:szCs w:val="20"/>
        </w:rPr>
      </w:pPr>
      <w:r w:rsidRPr="00141B2C">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141B2C">
        <w:rPr>
          <w:rFonts w:ascii="Palatino Linotype" w:eastAsia="Palatino Linotype" w:hAnsi="Palatino Linotype" w:cs="Palatino Linotype"/>
          <w:b/>
          <w:i/>
          <w:sz w:val="20"/>
          <w:szCs w:val="20"/>
        </w:rPr>
        <w:t>Recurrente</w:t>
      </w:r>
      <w:r w:rsidRPr="00141B2C">
        <w:rPr>
          <w:rFonts w:ascii="Palatino Linotype" w:eastAsia="Palatino Linotype" w:hAnsi="Palatino Linotype" w:cs="Palatino Linotype"/>
          <w:i/>
          <w:sz w:val="20"/>
          <w:szCs w:val="20"/>
        </w:rPr>
        <w:t>.</w:t>
      </w:r>
    </w:p>
    <w:p w14:paraId="5DEC3C58" w14:textId="77777777" w:rsidR="005A75CA" w:rsidRPr="00141B2C" w:rsidRDefault="00E96B90">
      <w:pPr>
        <w:spacing w:before="240" w:after="240" w:line="360" w:lineRule="auto"/>
        <w:jc w:val="both"/>
        <w:rPr>
          <w:rFonts w:ascii="Palatino Linotype" w:eastAsia="Palatino Linotype" w:hAnsi="Palatino Linotype" w:cs="Palatino Linotype"/>
        </w:rPr>
      </w:pPr>
      <w:bookmarkStart w:id="9" w:name="_heading=h.hnzxsch5gysz" w:colFirst="0" w:colLast="0"/>
      <w:bookmarkEnd w:id="9"/>
      <w:r w:rsidRPr="00141B2C">
        <w:rPr>
          <w:rFonts w:ascii="Palatino Linotype" w:eastAsia="Palatino Linotype" w:hAnsi="Palatino Linotype" w:cs="Palatino Linotype"/>
          <w:b/>
        </w:rPr>
        <w:t xml:space="preserve">Tercero. Notifíquese, </w:t>
      </w:r>
      <w:r w:rsidRPr="00141B2C">
        <w:rPr>
          <w:rFonts w:ascii="Palatino Linotype" w:eastAsia="Palatino Linotype" w:hAnsi="Palatino Linotype" w:cs="Palatino Linotype"/>
        </w:rPr>
        <w:t xml:space="preserve">vía </w:t>
      </w:r>
      <w:r w:rsidRPr="00141B2C">
        <w:rPr>
          <w:rFonts w:ascii="Palatino Linotype" w:eastAsia="Palatino Linotype" w:hAnsi="Palatino Linotype" w:cs="Palatino Linotype"/>
          <w:b/>
        </w:rPr>
        <w:t>SAIMEX</w:t>
      </w:r>
      <w:r w:rsidRPr="00141B2C">
        <w:rPr>
          <w:rFonts w:ascii="Palatino Linotype" w:eastAsia="Palatino Linotype" w:hAnsi="Palatino Linotype" w:cs="Palatino Linotype"/>
        </w:rPr>
        <w:t xml:space="preserve">, al Titular de la Unidad de Transparencia del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w:t>
      </w:r>
      <w:r w:rsidRPr="00141B2C">
        <w:rPr>
          <w:rFonts w:ascii="Palatino Linotype" w:eastAsia="Palatino Linotype" w:hAnsi="Palatino Linotype" w:cs="Palatino Linotype"/>
        </w:rPr>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AD3F62D" w14:textId="77777777" w:rsidR="005A75CA" w:rsidRPr="00141B2C" w:rsidRDefault="00E96B90">
      <w:pPr>
        <w:spacing w:before="240" w:after="240" w:line="360" w:lineRule="auto"/>
        <w:jc w:val="both"/>
        <w:rPr>
          <w:rFonts w:ascii="Palatino Linotype" w:eastAsia="Palatino Linotype" w:hAnsi="Palatino Linotype" w:cs="Palatino Linotype"/>
        </w:rPr>
      </w:pPr>
      <w:bookmarkStart w:id="10" w:name="_heading=h.ot3qq6vxa08f" w:colFirst="0" w:colLast="0"/>
      <w:bookmarkEnd w:id="10"/>
      <w:r w:rsidRPr="00141B2C">
        <w:rPr>
          <w:rFonts w:ascii="Palatino Linotype" w:eastAsia="Palatino Linotype" w:hAnsi="Palatino Linotype" w:cs="Palatino Linotype"/>
          <w:b/>
        </w:rPr>
        <w:t xml:space="preserve">Cuarto.  Notifíquese, </w:t>
      </w:r>
      <w:r w:rsidRPr="00141B2C">
        <w:rPr>
          <w:rFonts w:ascii="Palatino Linotype" w:eastAsia="Palatino Linotype" w:hAnsi="Palatino Linotype" w:cs="Palatino Linotype"/>
        </w:rPr>
        <w:t xml:space="preserve">vía </w:t>
      </w:r>
      <w:r w:rsidRPr="00141B2C">
        <w:rPr>
          <w:rFonts w:ascii="Palatino Linotype" w:eastAsia="Palatino Linotype" w:hAnsi="Palatino Linotype" w:cs="Palatino Linotype"/>
          <w:b/>
        </w:rPr>
        <w:t>SAIMEX</w:t>
      </w:r>
      <w:r w:rsidRPr="00141B2C">
        <w:rPr>
          <w:rFonts w:ascii="Palatino Linotype" w:eastAsia="Palatino Linotype" w:hAnsi="Palatino Linotype" w:cs="Palatino Linotype"/>
        </w:rPr>
        <w:t xml:space="preserve"> a la parte </w:t>
      </w:r>
      <w:r w:rsidRPr="00141B2C">
        <w:rPr>
          <w:rFonts w:ascii="Palatino Linotype" w:eastAsia="Palatino Linotype" w:hAnsi="Palatino Linotype" w:cs="Palatino Linotype"/>
          <w:b/>
        </w:rPr>
        <w:t>Recurrente</w:t>
      </w:r>
      <w:r w:rsidRPr="00141B2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40980001" w14:textId="77777777" w:rsidR="005A75CA" w:rsidRPr="00141B2C" w:rsidRDefault="00E96B90">
      <w:pPr>
        <w:spacing w:before="240" w:after="240" w:line="360" w:lineRule="auto"/>
        <w:jc w:val="both"/>
        <w:rPr>
          <w:rFonts w:ascii="Palatino Linotype" w:eastAsia="Palatino Linotype" w:hAnsi="Palatino Linotype" w:cs="Palatino Linotype"/>
        </w:rPr>
      </w:pPr>
      <w:r w:rsidRPr="00141B2C">
        <w:rPr>
          <w:rFonts w:ascii="Palatino Linotype" w:eastAsia="Palatino Linotype" w:hAnsi="Palatino Linotype" w:cs="Palatino Linotype"/>
          <w:b/>
        </w:rPr>
        <w:t xml:space="preserve">Quinto. Hágase, </w:t>
      </w:r>
      <w:r w:rsidRPr="00141B2C">
        <w:rPr>
          <w:rFonts w:ascii="Palatino Linotype" w:eastAsia="Palatino Linotype" w:hAnsi="Palatino Linotype" w:cs="Palatino Linotype"/>
        </w:rPr>
        <w:t xml:space="preserve">de conocimiento de la parte </w:t>
      </w:r>
      <w:r w:rsidRPr="00141B2C">
        <w:rPr>
          <w:rFonts w:ascii="Palatino Linotype" w:eastAsia="Palatino Linotype" w:hAnsi="Palatino Linotype" w:cs="Palatino Linotype"/>
          <w:b/>
        </w:rPr>
        <w:t xml:space="preserve">Recurrente, </w:t>
      </w:r>
      <w:r w:rsidRPr="00141B2C">
        <w:rPr>
          <w:rFonts w:ascii="Palatino Linotype" w:eastAsia="Palatino Linotype" w:hAnsi="Palatino Linotype" w:cs="Palatino Linotype"/>
        </w:rPr>
        <w:t xml:space="preserve">que la respuesta que dé el </w:t>
      </w:r>
      <w:r w:rsidRPr="00141B2C">
        <w:rPr>
          <w:rFonts w:ascii="Palatino Linotype" w:eastAsia="Palatino Linotype" w:hAnsi="Palatino Linotype" w:cs="Palatino Linotype"/>
          <w:b/>
        </w:rPr>
        <w:t>Sujeto Obligado</w:t>
      </w:r>
      <w:r w:rsidRPr="00141B2C">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2244F02B" w14:textId="49D8A049" w:rsidR="005A75CA" w:rsidRPr="00141B2C" w:rsidRDefault="00E96B90">
      <w:pPr>
        <w:spacing w:before="240" w:after="240" w:line="360" w:lineRule="auto"/>
        <w:jc w:val="both"/>
        <w:rPr>
          <w:rFonts w:ascii="Palatino Linotype" w:eastAsia="Palatino Linotype" w:hAnsi="Palatino Linotype" w:cs="Palatino Linotype"/>
          <w:b/>
        </w:rPr>
      </w:pPr>
      <w:r w:rsidRPr="00141B2C">
        <w:rPr>
          <w:rFonts w:ascii="Palatino Linotype" w:eastAsia="Palatino Linotype" w:hAnsi="Palatino Linotype" w:cs="Palatino Linotype"/>
          <w:b/>
        </w:rPr>
        <w:t>Sexto. Gírese,</w:t>
      </w:r>
      <w:r w:rsidRPr="00141B2C">
        <w:rPr>
          <w:rFonts w:ascii="Palatino Linotype" w:eastAsia="Palatino Linotype" w:hAnsi="Palatino Linotype" w:cs="Palatino Linotype"/>
        </w:rPr>
        <w:t xml:space="preserve"> vista a la </w:t>
      </w:r>
      <w:r w:rsidRPr="00141B2C">
        <w:rPr>
          <w:rFonts w:ascii="Palatino Linotype" w:eastAsia="Palatino Linotype" w:hAnsi="Palatino Linotype" w:cs="Palatino Linotype"/>
          <w:b/>
        </w:rPr>
        <w:t>Secretaría Técnica del Pleno de este Instituto</w:t>
      </w:r>
      <w:r w:rsidRPr="00141B2C">
        <w:rPr>
          <w:rFonts w:ascii="Palatino Linotype" w:eastAsia="Palatino Linotype" w:hAnsi="Palatino Linotype" w:cs="Palatino Linotype"/>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141B2C">
        <w:rPr>
          <w:rFonts w:ascii="Palatino Linotype" w:eastAsia="Palatino Linotype" w:hAnsi="Palatino Linotype" w:cs="Palatino Linotype"/>
          <w:b/>
        </w:rPr>
        <w:t xml:space="preserve"> Cuarto </w:t>
      </w:r>
      <w:r w:rsidRPr="00141B2C">
        <w:rPr>
          <w:rFonts w:ascii="Palatino Linotype" w:eastAsia="Palatino Linotype" w:hAnsi="Palatino Linotype" w:cs="Palatino Linotype"/>
        </w:rPr>
        <w:t>de la presente resolución.</w:t>
      </w:r>
      <w:r w:rsidRPr="00141B2C">
        <w:rPr>
          <w:rFonts w:ascii="Palatino Linotype" w:eastAsia="Palatino Linotype" w:hAnsi="Palatino Linotype" w:cs="Palatino Linotype"/>
          <w:b/>
        </w:rPr>
        <w:t xml:space="preserve"> </w:t>
      </w:r>
    </w:p>
    <w:p w14:paraId="1689F454" w14:textId="77777777" w:rsidR="0034658E" w:rsidRPr="00141B2C" w:rsidRDefault="0034658E">
      <w:pPr>
        <w:spacing w:before="240" w:after="240" w:line="360" w:lineRule="auto"/>
        <w:jc w:val="both"/>
        <w:rPr>
          <w:rFonts w:ascii="Palatino Linotype" w:eastAsia="Palatino Linotype" w:hAnsi="Palatino Linotype" w:cs="Palatino Linotype"/>
          <w:b/>
        </w:rPr>
      </w:pPr>
    </w:p>
    <w:p w14:paraId="49BE783D" w14:textId="50DEC8C6" w:rsidR="005A75CA" w:rsidRPr="00586734" w:rsidRDefault="00E96B90">
      <w:pPr>
        <w:tabs>
          <w:tab w:val="left" w:pos="8647"/>
        </w:tabs>
        <w:spacing w:before="240" w:after="240" w:line="360" w:lineRule="auto"/>
        <w:ind w:right="51"/>
        <w:jc w:val="both"/>
        <w:rPr>
          <w:rFonts w:ascii="Palatino Linotype" w:eastAsia="Palatino Linotype" w:hAnsi="Palatino Linotype" w:cs="Palatino Linotype"/>
        </w:rPr>
      </w:pPr>
      <w:bookmarkStart w:id="11" w:name="_heading=h.lnxbz9" w:colFirst="0" w:colLast="0"/>
      <w:bookmarkEnd w:id="11"/>
      <w:r w:rsidRPr="00141B2C">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755F9" w:rsidRPr="00141B2C">
        <w:rPr>
          <w:rFonts w:ascii="Palatino Linotype" w:eastAsia="Palatino Linotype" w:hAnsi="Palatino Linotype" w:cs="Palatino Linotype"/>
        </w:rPr>
        <w:t xml:space="preserve"> (AUSENCIA JUSTIFICADA)</w:t>
      </w:r>
      <w:r w:rsidRPr="00141B2C">
        <w:rPr>
          <w:rFonts w:ascii="Palatino Linotype" w:eastAsia="Palatino Linotype" w:hAnsi="Palatino Linotype" w:cs="Palatino Linotype"/>
        </w:rPr>
        <w:t>, SHARON CRISTINA MORALES MARTÍNEZ, LUIS GUSTAVO PARRA NORIEGA</w:t>
      </w:r>
      <w:r w:rsidR="004755F9" w:rsidRPr="00141B2C">
        <w:rPr>
          <w:rFonts w:ascii="Palatino Linotype" w:eastAsia="Palatino Linotype" w:hAnsi="Palatino Linotype" w:cs="Palatino Linotype"/>
        </w:rPr>
        <w:t>, EMITIENDO VOTO PARTICULAR</w:t>
      </w:r>
      <w:r w:rsidRPr="00141B2C">
        <w:rPr>
          <w:rFonts w:ascii="Palatino Linotype" w:eastAsia="Palatino Linotype" w:hAnsi="Palatino Linotype" w:cs="Palatino Linotype"/>
        </w:rPr>
        <w:t>, Y GUADALUPE RAMÍREZ PEÑA, EN LA VIGÉSIMA QUINTA SESIÓN ORDINARIA CELEBRADA EL NUEVE DE JULIO DE DOS MIL VEINTICINCO, ANTE EL SECRETARIO TÉCNICO DEL PLENO ALEXIS TAPIA RAMÍREZ.</w:t>
      </w:r>
    </w:p>
    <w:p w14:paraId="2B17951A" w14:textId="77777777" w:rsidR="005A75CA" w:rsidRPr="00586734" w:rsidRDefault="005A75CA">
      <w:pPr>
        <w:spacing w:line="360" w:lineRule="auto"/>
        <w:jc w:val="both"/>
        <w:rPr>
          <w:rFonts w:ascii="Palatino Linotype" w:eastAsia="Palatino Linotype" w:hAnsi="Palatino Linotype" w:cs="Palatino Linotype"/>
        </w:rPr>
      </w:pPr>
    </w:p>
    <w:p w14:paraId="42BFD139" w14:textId="77777777" w:rsidR="005A75CA" w:rsidRPr="00586734" w:rsidRDefault="005A75CA">
      <w:pPr>
        <w:spacing w:line="360" w:lineRule="auto"/>
        <w:jc w:val="center"/>
        <w:rPr>
          <w:rFonts w:ascii="Palatino Linotype" w:eastAsia="Palatino Linotype" w:hAnsi="Palatino Linotype" w:cs="Palatino Linotype"/>
        </w:rPr>
      </w:pPr>
    </w:p>
    <w:p w14:paraId="53CA5C2F" w14:textId="77777777" w:rsidR="005A75CA" w:rsidRPr="00586734" w:rsidRDefault="005A75CA">
      <w:pPr>
        <w:spacing w:line="360" w:lineRule="auto"/>
        <w:jc w:val="both"/>
        <w:rPr>
          <w:rFonts w:ascii="Palatino Linotype" w:eastAsia="Palatino Linotype" w:hAnsi="Palatino Linotype" w:cs="Palatino Linotype"/>
        </w:rPr>
      </w:pPr>
    </w:p>
    <w:p w14:paraId="153F672B" w14:textId="77777777" w:rsidR="005A75CA" w:rsidRPr="00586734" w:rsidRDefault="005A75CA">
      <w:pPr>
        <w:spacing w:line="360" w:lineRule="auto"/>
        <w:jc w:val="both"/>
        <w:rPr>
          <w:rFonts w:ascii="Palatino Linotype" w:eastAsia="Palatino Linotype" w:hAnsi="Palatino Linotype" w:cs="Palatino Linotype"/>
        </w:rPr>
      </w:pPr>
    </w:p>
    <w:p w14:paraId="3C65AC45" w14:textId="77777777" w:rsidR="005A75CA" w:rsidRPr="00586734" w:rsidRDefault="005A75CA">
      <w:pPr>
        <w:spacing w:line="360" w:lineRule="auto"/>
        <w:jc w:val="both"/>
        <w:rPr>
          <w:rFonts w:ascii="Palatino Linotype" w:eastAsia="Palatino Linotype" w:hAnsi="Palatino Linotype" w:cs="Palatino Linotype"/>
        </w:rPr>
      </w:pPr>
    </w:p>
    <w:p w14:paraId="238EB021" w14:textId="77777777" w:rsidR="005A75CA" w:rsidRPr="00586734" w:rsidRDefault="005A75CA">
      <w:pPr>
        <w:spacing w:line="360" w:lineRule="auto"/>
        <w:jc w:val="both"/>
        <w:rPr>
          <w:rFonts w:ascii="Palatino Linotype" w:eastAsia="Palatino Linotype" w:hAnsi="Palatino Linotype" w:cs="Palatino Linotype"/>
        </w:rPr>
      </w:pPr>
    </w:p>
    <w:p w14:paraId="3407AC65" w14:textId="77777777" w:rsidR="005A75CA" w:rsidRPr="00586734" w:rsidRDefault="005A75CA">
      <w:pPr>
        <w:spacing w:line="360" w:lineRule="auto"/>
        <w:jc w:val="both"/>
        <w:rPr>
          <w:rFonts w:ascii="Palatino Linotype" w:eastAsia="Palatino Linotype" w:hAnsi="Palatino Linotype" w:cs="Palatino Linotype"/>
        </w:rPr>
      </w:pPr>
    </w:p>
    <w:p w14:paraId="256D6055" w14:textId="77777777" w:rsidR="005A75CA" w:rsidRPr="00586734" w:rsidRDefault="005A75CA">
      <w:pPr>
        <w:spacing w:line="360" w:lineRule="auto"/>
        <w:jc w:val="both"/>
        <w:rPr>
          <w:rFonts w:ascii="Palatino Linotype" w:eastAsia="Palatino Linotype" w:hAnsi="Palatino Linotype" w:cs="Palatino Linotype"/>
        </w:rPr>
      </w:pPr>
    </w:p>
    <w:p w14:paraId="701554D9" w14:textId="77777777" w:rsidR="005A75CA" w:rsidRPr="00586734" w:rsidRDefault="005A75CA">
      <w:pPr>
        <w:spacing w:line="360" w:lineRule="auto"/>
        <w:jc w:val="both"/>
        <w:rPr>
          <w:rFonts w:ascii="Palatino Linotype" w:eastAsia="Palatino Linotype" w:hAnsi="Palatino Linotype" w:cs="Palatino Linotype"/>
        </w:rPr>
      </w:pPr>
    </w:p>
    <w:p w14:paraId="7D64FCF8" w14:textId="77777777" w:rsidR="005A75CA" w:rsidRPr="00586734" w:rsidRDefault="005A75CA">
      <w:pPr>
        <w:spacing w:line="360" w:lineRule="auto"/>
        <w:jc w:val="both"/>
        <w:rPr>
          <w:rFonts w:ascii="Palatino Linotype" w:eastAsia="Palatino Linotype" w:hAnsi="Palatino Linotype" w:cs="Palatino Linotype"/>
        </w:rPr>
      </w:pPr>
    </w:p>
    <w:p w14:paraId="2649A4EA" w14:textId="77777777" w:rsidR="005A75CA" w:rsidRPr="00586734" w:rsidRDefault="005A75CA">
      <w:pPr>
        <w:spacing w:line="360" w:lineRule="auto"/>
        <w:jc w:val="both"/>
        <w:rPr>
          <w:rFonts w:ascii="Palatino Linotype" w:eastAsia="Palatino Linotype" w:hAnsi="Palatino Linotype" w:cs="Palatino Linotype"/>
        </w:rPr>
      </w:pPr>
    </w:p>
    <w:p w14:paraId="7248715B" w14:textId="77777777" w:rsidR="005A75CA" w:rsidRPr="00586734" w:rsidRDefault="005A75CA">
      <w:pPr>
        <w:spacing w:line="360" w:lineRule="auto"/>
        <w:jc w:val="both"/>
        <w:rPr>
          <w:rFonts w:ascii="Palatino Linotype" w:eastAsia="Palatino Linotype" w:hAnsi="Palatino Linotype" w:cs="Palatino Linotype"/>
        </w:rPr>
      </w:pPr>
    </w:p>
    <w:p w14:paraId="1CDC395F" w14:textId="77777777" w:rsidR="00033F56" w:rsidRPr="00586734" w:rsidRDefault="00033F56">
      <w:pPr>
        <w:spacing w:line="360" w:lineRule="auto"/>
        <w:jc w:val="both"/>
        <w:rPr>
          <w:rFonts w:ascii="Palatino Linotype" w:eastAsia="Palatino Linotype" w:hAnsi="Palatino Linotype" w:cs="Palatino Linotype"/>
        </w:rPr>
      </w:pPr>
    </w:p>
    <w:p w14:paraId="4791ACC8" w14:textId="77777777" w:rsidR="00033F56" w:rsidRPr="00586734" w:rsidRDefault="00033F56">
      <w:pPr>
        <w:spacing w:line="360" w:lineRule="auto"/>
        <w:jc w:val="both"/>
        <w:rPr>
          <w:rFonts w:ascii="Palatino Linotype" w:eastAsia="Palatino Linotype" w:hAnsi="Palatino Linotype" w:cs="Palatino Linotype"/>
        </w:rPr>
      </w:pPr>
    </w:p>
    <w:p w14:paraId="3A9E4222" w14:textId="77777777" w:rsidR="00033F56" w:rsidRPr="00586734" w:rsidRDefault="00033F56">
      <w:pPr>
        <w:spacing w:line="360" w:lineRule="auto"/>
        <w:jc w:val="both"/>
        <w:rPr>
          <w:rFonts w:ascii="Palatino Linotype" w:eastAsia="Palatino Linotype" w:hAnsi="Palatino Linotype" w:cs="Palatino Linotype"/>
        </w:rPr>
      </w:pPr>
    </w:p>
    <w:p w14:paraId="645BE525" w14:textId="77777777" w:rsidR="00033F56" w:rsidRPr="00586734" w:rsidRDefault="00033F56">
      <w:pPr>
        <w:spacing w:line="360" w:lineRule="auto"/>
        <w:jc w:val="both"/>
        <w:rPr>
          <w:rFonts w:ascii="Palatino Linotype" w:eastAsia="Palatino Linotype" w:hAnsi="Palatino Linotype" w:cs="Palatino Linotype"/>
        </w:rPr>
      </w:pPr>
    </w:p>
    <w:p w14:paraId="3472B1A1" w14:textId="77777777" w:rsidR="00033F56" w:rsidRPr="00586734" w:rsidRDefault="00033F56">
      <w:pPr>
        <w:spacing w:line="360" w:lineRule="auto"/>
        <w:jc w:val="both"/>
        <w:rPr>
          <w:rFonts w:ascii="Palatino Linotype" w:eastAsia="Palatino Linotype" w:hAnsi="Palatino Linotype" w:cs="Palatino Linotype"/>
        </w:rPr>
      </w:pPr>
    </w:p>
    <w:p w14:paraId="2F154AA0" w14:textId="77777777" w:rsidR="00033F56" w:rsidRPr="00586734" w:rsidRDefault="00033F56">
      <w:pPr>
        <w:spacing w:line="360" w:lineRule="auto"/>
        <w:jc w:val="both"/>
        <w:rPr>
          <w:rFonts w:ascii="Palatino Linotype" w:eastAsia="Palatino Linotype" w:hAnsi="Palatino Linotype" w:cs="Palatino Linotype"/>
        </w:rPr>
      </w:pPr>
    </w:p>
    <w:p w14:paraId="5EDCAD7F" w14:textId="77777777" w:rsidR="00033F56" w:rsidRPr="00586734" w:rsidRDefault="00033F56">
      <w:pPr>
        <w:spacing w:line="360" w:lineRule="auto"/>
        <w:jc w:val="both"/>
        <w:rPr>
          <w:rFonts w:ascii="Palatino Linotype" w:eastAsia="Palatino Linotype" w:hAnsi="Palatino Linotype" w:cs="Palatino Linotype"/>
        </w:rPr>
      </w:pPr>
    </w:p>
    <w:p w14:paraId="52F8C504" w14:textId="77777777" w:rsidR="00033F56" w:rsidRPr="00586734" w:rsidRDefault="00033F56">
      <w:pPr>
        <w:spacing w:line="360" w:lineRule="auto"/>
        <w:jc w:val="both"/>
        <w:rPr>
          <w:rFonts w:ascii="Palatino Linotype" w:eastAsia="Palatino Linotype" w:hAnsi="Palatino Linotype" w:cs="Palatino Linotype"/>
        </w:rPr>
      </w:pPr>
    </w:p>
    <w:p w14:paraId="2CAB092A" w14:textId="77777777" w:rsidR="00033F56" w:rsidRPr="00586734" w:rsidRDefault="00033F56">
      <w:pPr>
        <w:spacing w:line="360" w:lineRule="auto"/>
        <w:jc w:val="both"/>
        <w:rPr>
          <w:rFonts w:ascii="Palatino Linotype" w:eastAsia="Palatino Linotype" w:hAnsi="Palatino Linotype" w:cs="Palatino Linotype"/>
        </w:rPr>
      </w:pPr>
    </w:p>
    <w:p w14:paraId="6031B3C8" w14:textId="77777777" w:rsidR="005A75CA" w:rsidRPr="00586734" w:rsidRDefault="005A75CA">
      <w:pPr>
        <w:spacing w:line="360" w:lineRule="auto"/>
        <w:jc w:val="both"/>
        <w:rPr>
          <w:rFonts w:ascii="Palatino Linotype" w:eastAsia="Palatino Linotype" w:hAnsi="Palatino Linotype" w:cs="Palatino Linotype"/>
        </w:rPr>
      </w:pPr>
    </w:p>
    <w:p w14:paraId="6DCAE615" w14:textId="77777777" w:rsidR="005A75CA" w:rsidRPr="00586734" w:rsidRDefault="005A75CA">
      <w:pPr>
        <w:spacing w:line="360" w:lineRule="auto"/>
        <w:jc w:val="both"/>
        <w:rPr>
          <w:rFonts w:ascii="Palatino Linotype" w:eastAsia="Palatino Linotype" w:hAnsi="Palatino Linotype" w:cs="Palatino Linotype"/>
        </w:rPr>
      </w:pPr>
    </w:p>
    <w:p w14:paraId="1BE99916" w14:textId="77777777" w:rsidR="005A75CA" w:rsidRPr="00586734" w:rsidRDefault="005A75CA">
      <w:pPr>
        <w:spacing w:line="360" w:lineRule="auto"/>
        <w:jc w:val="both"/>
        <w:rPr>
          <w:rFonts w:ascii="Palatino Linotype" w:eastAsia="Palatino Linotype" w:hAnsi="Palatino Linotype" w:cs="Palatino Linotype"/>
        </w:rPr>
      </w:pPr>
    </w:p>
    <w:p w14:paraId="6BA2925E" w14:textId="77777777" w:rsidR="005A75CA" w:rsidRPr="00586734" w:rsidRDefault="005A75CA">
      <w:pPr>
        <w:spacing w:line="360" w:lineRule="auto"/>
        <w:jc w:val="both"/>
        <w:rPr>
          <w:rFonts w:ascii="Palatino Linotype" w:eastAsia="Palatino Linotype" w:hAnsi="Palatino Linotype" w:cs="Palatino Linotype"/>
        </w:rPr>
      </w:pPr>
    </w:p>
    <w:p w14:paraId="17C11245" w14:textId="3D7A6E0A" w:rsidR="005A75CA" w:rsidRPr="00586734" w:rsidRDefault="005A75CA">
      <w:pPr>
        <w:spacing w:line="360" w:lineRule="auto"/>
        <w:jc w:val="both"/>
        <w:rPr>
          <w:rFonts w:ascii="Palatino Linotype" w:eastAsia="Palatino Linotype" w:hAnsi="Palatino Linotype" w:cs="Palatino Linotype"/>
        </w:rPr>
      </w:pPr>
    </w:p>
    <w:sectPr w:rsidR="005A75CA" w:rsidRPr="00586734">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D7635" w14:textId="77777777" w:rsidR="00A63587" w:rsidRDefault="00A63587">
      <w:r>
        <w:separator/>
      </w:r>
    </w:p>
  </w:endnote>
  <w:endnote w:type="continuationSeparator" w:id="0">
    <w:p w14:paraId="0B07E3F9" w14:textId="77777777" w:rsidR="00A63587" w:rsidRDefault="00A63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2F03" w14:textId="77777777" w:rsidR="005A75CA" w:rsidRDefault="00E96B9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41B2C">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41B2C">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0C3274EA" w14:textId="77777777" w:rsidR="005A75CA" w:rsidRDefault="005A75C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83AB2" w14:textId="77777777" w:rsidR="005A75CA" w:rsidRDefault="00E96B9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41B2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41B2C">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75507642" w14:textId="77777777" w:rsidR="005A75CA" w:rsidRDefault="005A75C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92802" w14:textId="77777777" w:rsidR="00A63587" w:rsidRDefault="00A63587">
      <w:r>
        <w:separator/>
      </w:r>
    </w:p>
  </w:footnote>
  <w:footnote w:type="continuationSeparator" w:id="0">
    <w:p w14:paraId="3A85E7B5" w14:textId="77777777" w:rsidR="00A63587" w:rsidRDefault="00A635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A3C9" w14:textId="77777777" w:rsidR="005A75CA" w:rsidRDefault="00E96B90">
    <w:pPr>
      <w:rPr>
        <w:rFonts w:ascii="Cambria" w:eastAsia="Cambria" w:hAnsi="Cambria" w:cs="Cambria"/>
        <w:color w:val="000000"/>
      </w:rPr>
    </w:pPr>
    <w:r>
      <w:rPr>
        <w:noProof/>
      </w:rPr>
      <w:drawing>
        <wp:anchor distT="0" distB="0" distL="0" distR="0" simplePos="0" relativeHeight="251658240" behindDoc="1" locked="0" layoutInCell="1" hidden="0" allowOverlap="1" wp14:anchorId="72FFB153" wp14:editId="5642A946">
          <wp:simplePos x="0" y="0"/>
          <wp:positionH relativeFrom="column">
            <wp:posOffset>-1080091</wp:posOffset>
          </wp:positionH>
          <wp:positionV relativeFrom="paragraph">
            <wp:posOffset>-488262</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a"/>
      <w:tblW w:w="5953" w:type="dxa"/>
      <w:tblInd w:w="3261" w:type="dxa"/>
      <w:tblLayout w:type="fixed"/>
      <w:tblLook w:val="0400" w:firstRow="0" w:lastRow="0" w:firstColumn="0" w:lastColumn="0" w:noHBand="0" w:noVBand="1"/>
    </w:tblPr>
    <w:tblGrid>
      <w:gridCol w:w="2489"/>
      <w:gridCol w:w="3464"/>
    </w:tblGrid>
    <w:tr w:rsidR="005A75CA" w14:paraId="7D7A7303" w14:textId="77777777">
      <w:tc>
        <w:tcPr>
          <w:tcW w:w="2489" w:type="dxa"/>
          <w:shd w:val="clear" w:color="auto" w:fill="auto"/>
        </w:tcPr>
        <w:p w14:paraId="0E742E37" w14:textId="77777777" w:rsidR="005A75CA" w:rsidRDefault="00E96B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A1D9F71" w14:textId="77777777" w:rsidR="005A75CA" w:rsidRDefault="00E96B9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04094/INFOEM/IP/RR/2025</w:t>
          </w:r>
        </w:p>
      </w:tc>
    </w:tr>
    <w:tr w:rsidR="005A75CA" w14:paraId="3CD5D37A" w14:textId="77777777">
      <w:trPr>
        <w:trHeight w:val="228"/>
      </w:trPr>
      <w:tc>
        <w:tcPr>
          <w:tcW w:w="2489" w:type="dxa"/>
          <w:shd w:val="clear" w:color="auto" w:fill="auto"/>
          <w:vAlign w:val="center"/>
        </w:tcPr>
        <w:p w14:paraId="5D9B266F" w14:textId="77777777" w:rsidR="005A75CA" w:rsidRDefault="00E96B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41E6357" w14:textId="77777777" w:rsidR="005A75CA" w:rsidRDefault="00E96B9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Tultepec</w:t>
          </w:r>
        </w:p>
      </w:tc>
    </w:tr>
    <w:tr w:rsidR="005A75CA" w14:paraId="4A406CF8" w14:textId="77777777">
      <w:tc>
        <w:tcPr>
          <w:tcW w:w="2489" w:type="dxa"/>
          <w:shd w:val="clear" w:color="auto" w:fill="auto"/>
          <w:vAlign w:val="center"/>
        </w:tcPr>
        <w:p w14:paraId="721EC51C" w14:textId="77777777" w:rsidR="005A75CA" w:rsidRDefault="00E96B9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17CC28D" w14:textId="77777777" w:rsidR="005A75CA" w:rsidRDefault="00E96B9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4A14674" w14:textId="77777777" w:rsidR="005A75CA" w:rsidRDefault="00E96B9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45FF" w14:textId="77777777" w:rsidR="005A75CA" w:rsidRDefault="00E96B9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664C077" wp14:editId="72386D7E">
          <wp:simplePos x="0" y="0"/>
          <wp:positionH relativeFrom="column">
            <wp:posOffset>-1080134</wp:posOffset>
          </wp:positionH>
          <wp:positionV relativeFrom="paragraph">
            <wp:posOffset>-369892</wp:posOffset>
          </wp:positionV>
          <wp:extent cx="7809865" cy="10165715"/>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5953" w:type="dxa"/>
      <w:tblInd w:w="3261" w:type="dxa"/>
      <w:tblLayout w:type="fixed"/>
      <w:tblLook w:val="0400" w:firstRow="0" w:lastRow="0" w:firstColumn="0" w:lastColumn="0" w:noHBand="0" w:noVBand="1"/>
    </w:tblPr>
    <w:tblGrid>
      <w:gridCol w:w="2489"/>
      <w:gridCol w:w="3464"/>
    </w:tblGrid>
    <w:tr w:rsidR="005A75CA" w14:paraId="7EB27161" w14:textId="77777777">
      <w:tc>
        <w:tcPr>
          <w:tcW w:w="2489" w:type="dxa"/>
          <w:shd w:val="clear" w:color="auto" w:fill="auto"/>
        </w:tcPr>
        <w:p w14:paraId="31032DEA" w14:textId="77777777" w:rsidR="005A75CA" w:rsidRDefault="00E96B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2054199" w14:textId="77777777" w:rsidR="005A75CA" w:rsidRDefault="00E96B9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04094/INFOEM/IP/RR/2025</w:t>
          </w:r>
        </w:p>
      </w:tc>
    </w:tr>
    <w:tr w:rsidR="005A75CA" w14:paraId="3DB6A4A9" w14:textId="77777777">
      <w:tc>
        <w:tcPr>
          <w:tcW w:w="2489" w:type="dxa"/>
          <w:shd w:val="clear" w:color="auto" w:fill="auto"/>
        </w:tcPr>
        <w:p w14:paraId="1EB49E89" w14:textId="77777777" w:rsidR="005A75CA" w:rsidRDefault="00E96B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1232B0D5" w14:textId="202B04D3" w:rsidR="005A75CA" w:rsidRDefault="00D5249E">
          <w:pPr>
            <w:ind w:right="175"/>
            <w:jc w:val="both"/>
            <w:rPr>
              <w:rFonts w:ascii="Palatino Linotype" w:eastAsia="Palatino Linotype" w:hAnsi="Palatino Linotype" w:cs="Palatino Linotype"/>
              <w:b/>
              <w:sz w:val="22"/>
              <w:szCs w:val="22"/>
              <w:highlight w:val="yellow"/>
            </w:rPr>
          </w:pPr>
          <w:bookmarkStart w:id="12" w:name="_Hlk205455397"/>
          <w:r>
            <w:rPr>
              <w:rFonts w:ascii="Palatino Linotype" w:eastAsia="Palatino Linotype" w:hAnsi="Palatino Linotype" w:cs="Palatino Linotype"/>
              <w:b/>
              <w:sz w:val="22"/>
              <w:szCs w:val="22"/>
            </w:rPr>
            <w:t xml:space="preserve">XXXXXXX XXXXXX XXXXX </w:t>
          </w:r>
          <w:bookmarkEnd w:id="12"/>
        </w:p>
      </w:tc>
    </w:tr>
    <w:tr w:rsidR="005A75CA" w14:paraId="6C9948E1" w14:textId="77777777">
      <w:trPr>
        <w:trHeight w:val="228"/>
      </w:trPr>
      <w:tc>
        <w:tcPr>
          <w:tcW w:w="2489" w:type="dxa"/>
          <w:shd w:val="clear" w:color="auto" w:fill="auto"/>
          <w:vAlign w:val="center"/>
        </w:tcPr>
        <w:p w14:paraId="22D7B399" w14:textId="77777777" w:rsidR="005A75CA" w:rsidRDefault="00E96B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811C401" w14:textId="77777777" w:rsidR="005A75CA" w:rsidRDefault="00E96B9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Tultepec</w:t>
          </w:r>
        </w:p>
      </w:tc>
    </w:tr>
    <w:tr w:rsidR="005A75CA" w14:paraId="2B1C1852" w14:textId="77777777">
      <w:tc>
        <w:tcPr>
          <w:tcW w:w="2489" w:type="dxa"/>
          <w:shd w:val="clear" w:color="auto" w:fill="auto"/>
          <w:vAlign w:val="center"/>
        </w:tcPr>
        <w:p w14:paraId="4F8DDCDE" w14:textId="77777777" w:rsidR="005A75CA" w:rsidRDefault="00E96B9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05F17AE" w14:textId="77777777" w:rsidR="005A75CA" w:rsidRDefault="00E96B9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DDDEC6" w14:textId="77777777" w:rsidR="005A75CA" w:rsidRDefault="005A75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F6193"/>
    <w:multiLevelType w:val="multilevel"/>
    <w:tmpl w:val="42AADD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AD561E3"/>
    <w:multiLevelType w:val="multilevel"/>
    <w:tmpl w:val="0F1047C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325938D9"/>
    <w:multiLevelType w:val="multilevel"/>
    <w:tmpl w:val="4E10266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0912925"/>
    <w:multiLevelType w:val="multilevel"/>
    <w:tmpl w:val="6EAE7F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5CA"/>
    <w:rsid w:val="00033F56"/>
    <w:rsid w:val="000C5247"/>
    <w:rsid w:val="000F4C63"/>
    <w:rsid w:val="00141B2C"/>
    <w:rsid w:val="0034658E"/>
    <w:rsid w:val="00471DA1"/>
    <w:rsid w:val="004755F9"/>
    <w:rsid w:val="00586734"/>
    <w:rsid w:val="005A75CA"/>
    <w:rsid w:val="00A011FF"/>
    <w:rsid w:val="00A63587"/>
    <w:rsid w:val="00D5249E"/>
    <w:rsid w:val="00E96B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B5C60"/>
  <w15:docId w15:val="{1A4982B5-CB8A-451E-A332-C2694A25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Qr8oyXmASkkdxUHD/BHbVPS6g==">CgMxLjAyCWguM3JkY3JqbjIOaC5kYWozajJ4bzZxNjYyCGguZ2pkZ3hzMgloLjNkeTZ2a20yCWguMzBqMHpsbDIJaC4yczhleW8xMgloLjN6bnlzaDcyCWguMmV0OTJwMDIJaC4xdDNoNXNmMg5oLmhuenhzY2g1Z3lzejIOaC5vdDNxcTZ2eGEwOGYyCGgubG54Yno5OAByITEycGNwNjJrZDZCbW00M09JLWdXbTBFLTItNFhnWVJKag==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10337</Words>
  <Characters>56854</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2025-07-11T18:30:00Z</cp:lastPrinted>
  <dcterms:created xsi:type="dcterms:W3CDTF">2025-08-07T16:38:00Z</dcterms:created>
  <dcterms:modified xsi:type="dcterms:W3CDTF">2025-08-07T16:38:00Z</dcterms:modified>
</cp:coreProperties>
</file>