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B6765" w14:textId="77777777" w:rsidR="008E0985" w:rsidRPr="0090602E" w:rsidRDefault="00120AA0">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Start w:id="1" w:name="_GoBack"/>
      <w:bookmarkEnd w:id="0"/>
      <w:bookmarkEnd w:id="1"/>
      <w:r w:rsidRPr="0090602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90602E">
        <w:rPr>
          <w:rFonts w:ascii="Palatino Linotype" w:eastAsia="Palatino Linotype" w:hAnsi="Palatino Linotype" w:cs="Palatino Linotype"/>
          <w:b/>
          <w:bCs/>
          <w:sz w:val="22"/>
          <w:szCs w:val="22"/>
        </w:rPr>
        <w:t>a diez de diciembre de dos mil veinticinco</w:t>
      </w:r>
      <w:r w:rsidRPr="0090602E">
        <w:rPr>
          <w:rFonts w:ascii="Palatino Linotype" w:eastAsia="Palatino Linotype" w:hAnsi="Palatino Linotype" w:cs="Palatino Linotype"/>
          <w:sz w:val="22"/>
          <w:szCs w:val="22"/>
        </w:rPr>
        <w:t xml:space="preserve">. </w:t>
      </w:r>
    </w:p>
    <w:p w14:paraId="00CA716D" w14:textId="77777777" w:rsidR="008E0985" w:rsidRPr="0090602E" w:rsidRDefault="00120AA0">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90602E">
        <w:rPr>
          <w:rFonts w:ascii="Palatino Linotype" w:eastAsia="Palatino Linotype" w:hAnsi="Palatino Linotype" w:cs="Palatino Linotype"/>
          <w:b/>
          <w:bCs/>
          <w:sz w:val="22"/>
          <w:szCs w:val="22"/>
        </w:rPr>
        <w:t>Visto</w:t>
      </w:r>
      <w:r w:rsidRPr="0090602E">
        <w:rPr>
          <w:rFonts w:ascii="Palatino Linotype" w:eastAsia="Palatino Linotype" w:hAnsi="Palatino Linotype" w:cs="Palatino Linotype"/>
          <w:sz w:val="22"/>
          <w:szCs w:val="22"/>
        </w:rPr>
        <w:t xml:space="preserve"> el expediente formado con motivo del recurso de revisión </w:t>
      </w:r>
      <w:r w:rsidRPr="0090602E">
        <w:rPr>
          <w:rFonts w:ascii="Palatino Linotype" w:eastAsia="Palatino Linotype" w:hAnsi="Palatino Linotype" w:cs="Palatino Linotype"/>
          <w:b/>
          <w:bCs/>
          <w:sz w:val="22"/>
          <w:szCs w:val="22"/>
        </w:rPr>
        <w:t>06734/INFOEM/IP/RR/2025</w:t>
      </w:r>
      <w:r w:rsidRPr="0090602E">
        <w:rPr>
          <w:rFonts w:ascii="Palatino Linotype" w:eastAsia="Palatino Linotype" w:hAnsi="Palatino Linotype" w:cs="Palatino Linotype"/>
          <w:sz w:val="22"/>
          <w:szCs w:val="22"/>
        </w:rPr>
        <w:t>, interpuesto por</w:t>
      </w:r>
      <w:r w:rsidRPr="0090602E">
        <w:t xml:space="preserve"> </w:t>
      </w:r>
      <w:r w:rsidRPr="0090602E">
        <w:rPr>
          <w:rFonts w:ascii="Palatino Linotype" w:eastAsia="Palatino Linotype" w:hAnsi="Palatino Linotype" w:cs="Palatino Linotype"/>
          <w:b/>
          <w:bCs/>
          <w:sz w:val="22"/>
          <w:szCs w:val="22"/>
        </w:rPr>
        <w:t>una persona usuaria del Sistema de Acceso a la Información Mexiquense que no proporcionó nombre,</w:t>
      </w:r>
      <w:r w:rsidRPr="0090602E">
        <w:rPr>
          <w:rFonts w:ascii="Palatino Linotype" w:eastAsia="Palatino Linotype" w:hAnsi="Palatino Linotype" w:cs="Palatino Linotype"/>
          <w:sz w:val="22"/>
          <w:szCs w:val="22"/>
        </w:rPr>
        <w:t xml:space="preserve"> en lo sucesivo</w:t>
      </w:r>
      <w:r w:rsidRPr="0090602E">
        <w:rPr>
          <w:rFonts w:ascii="Palatino Linotype" w:eastAsia="Palatino Linotype" w:hAnsi="Palatino Linotype" w:cs="Palatino Linotype"/>
          <w:b/>
          <w:bCs/>
          <w:sz w:val="22"/>
          <w:szCs w:val="22"/>
        </w:rPr>
        <w:t xml:space="preserve"> la parte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Recurrente,</w:t>
      </w:r>
      <w:r w:rsidRPr="0090602E">
        <w:rPr>
          <w:rFonts w:ascii="Palatino Linotype" w:eastAsia="Palatino Linotype" w:hAnsi="Palatino Linotype" w:cs="Palatino Linotype"/>
          <w:sz w:val="22"/>
          <w:szCs w:val="22"/>
        </w:rPr>
        <w:t xml:space="preserve"> en contra de la respuesta a su solicitud por parte de la</w:t>
      </w:r>
      <w:r w:rsidRPr="0090602E">
        <w:rPr>
          <w:rFonts w:ascii="Verdana" w:eastAsia="Verdana" w:hAnsi="Verdana" w:cs="Verdana"/>
          <w:b/>
          <w:bCs/>
          <w:sz w:val="14"/>
          <w:szCs w:val="14"/>
        </w:rPr>
        <w:t xml:space="preserve"> </w:t>
      </w:r>
      <w:r w:rsidRPr="0090602E">
        <w:rPr>
          <w:rFonts w:ascii="Palatino Linotype" w:eastAsia="Palatino Linotype" w:hAnsi="Palatino Linotype" w:cs="Palatino Linotype"/>
          <w:b/>
          <w:bCs/>
          <w:sz w:val="22"/>
          <w:szCs w:val="22"/>
        </w:rPr>
        <w:t xml:space="preserve">Ayuntamiento de Toluca, </w:t>
      </w:r>
      <w:r w:rsidRPr="0090602E">
        <w:rPr>
          <w:rFonts w:ascii="Palatino Linotype" w:eastAsia="Palatino Linotype" w:hAnsi="Palatino Linotype" w:cs="Palatino Linotype"/>
          <w:sz w:val="22"/>
          <w:szCs w:val="22"/>
        </w:rPr>
        <w:t xml:space="preserve">en lo sucesivo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 xml:space="preserve">se procede a dictar la presente resolución con base en los siguientes: </w:t>
      </w:r>
    </w:p>
    <w:p w14:paraId="716E0D14" w14:textId="77777777" w:rsidR="008E0985" w:rsidRPr="0090602E" w:rsidRDefault="00120AA0">
      <w:pPr>
        <w:spacing w:before="240" w:after="240" w:line="360" w:lineRule="auto"/>
        <w:jc w:val="center"/>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I. A N T E C E D E N T E S</w:t>
      </w:r>
    </w:p>
    <w:p w14:paraId="25F8B819" w14:textId="77777777" w:rsidR="008E0985" w:rsidRPr="0090602E" w:rsidRDefault="00120AA0">
      <w:pPr>
        <w:spacing w:before="240" w:after="240"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1. Solicitud de acceso a la información.</w:t>
      </w:r>
      <w:r w:rsidRPr="0090602E">
        <w:rPr>
          <w:rFonts w:ascii="Palatino Linotype" w:eastAsia="Palatino Linotype" w:hAnsi="Palatino Linotype" w:cs="Palatino Linotype"/>
          <w:sz w:val="22"/>
          <w:szCs w:val="22"/>
        </w:rPr>
        <w:t xml:space="preserve"> El </w:t>
      </w:r>
      <w:r w:rsidRPr="0090602E">
        <w:rPr>
          <w:rFonts w:ascii="Palatino Linotype" w:eastAsia="Palatino Linotype" w:hAnsi="Palatino Linotype" w:cs="Palatino Linotype"/>
          <w:b/>
          <w:bCs/>
          <w:sz w:val="22"/>
          <w:szCs w:val="22"/>
        </w:rPr>
        <w:t>veinticuatro de abril de dos mil veinticinco,</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la parte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 xml:space="preserve">Recurrente </w:t>
      </w:r>
      <w:r w:rsidRPr="0090602E">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la solicitud de acceso a la información pública a la que se le asignó el número</w:t>
      </w:r>
      <w:r w:rsidRPr="0090602E">
        <w:t xml:space="preserve"> </w:t>
      </w:r>
      <w:r w:rsidRPr="0090602E">
        <w:rPr>
          <w:rFonts w:ascii="Palatino Linotype" w:eastAsia="Palatino Linotype" w:hAnsi="Palatino Linotype" w:cs="Palatino Linotype"/>
          <w:b/>
          <w:bCs/>
          <w:sz w:val="22"/>
          <w:szCs w:val="22"/>
        </w:rPr>
        <w:t>02476/TOLUCA/IP/2025;</w:t>
      </w:r>
      <w:r w:rsidRPr="0090602E">
        <w:rPr>
          <w:rFonts w:ascii="Palatino Linotype" w:eastAsia="Palatino Linotype" w:hAnsi="Palatino Linotype" w:cs="Palatino Linotype"/>
          <w:sz w:val="22"/>
          <w:szCs w:val="22"/>
        </w:rPr>
        <w:t xml:space="preserve"> mediante la cual requirió la información siguiente: </w:t>
      </w:r>
    </w:p>
    <w:p w14:paraId="51BB5173" w14:textId="77777777" w:rsidR="008E0985" w:rsidRPr="0090602E" w:rsidRDefault="00120AA0">
      <w:pPr>
        <w:spacing w:before="240" w:after="240"/>
        <w:ind w:left="567" w:right="474"/>
        <w:jc w:val="both"/>
        <w:rPr>
          <w:rFonts w:ascii="Palatino Linotype" w:eastAsia="Palatino Linotype" w:hAnsi="Palatino Linotype" w:cs="Palatino Linotype"/>
          <w:i/>
          <w:iCs/>
          <w:sz w:val="22"/>
          <w:szCs w:val="22"/>
        </w:rPr>
      </w:pPr>
      <w:bookmarkStart w:id="3" w:name="_heading=h.gjdgxs" w:colFirst="0" w:colLast="0"/>
      <w:bookmarkEnd w:id="3"/>
      <w:r w:rsidRPr="0090602E">
        <w:rPr>
          <w:rFonts w:ascii="Palatino Linotype" w:eastAsia="Palatino Linotype" w:hAnsi="Palatino Linotype" w:cs="Palatino Linotype"/>
          <w:i/>
          <w:iCs/>
          <w:sz w:val="22"/>
          <w:szCs w:val="22"/>
        </w:rPr>
        <w:t xml:space="preserve">“De conformidad con el artículo 11 de la Ley de Transparencia y una vez que los medios de comunicación hemos comprobado que la Unidad de Transparencia de la administración 2025-2027 está incumpliendo con la ley y violenta los derechos humanos de los ciudadanos, se solicita el pronunciamiento por escrito del presidente municipal y su cabildo su i sabe lo que prevalece en la unidad de transparencia con la violación por lo siguiente y se solicitan los acuse de las solicitudes de transparencia en las que el sujeto obligado solicito prórroga, el acta de sesión de la prórroga, cuando fue autorizada, los oficios donde los servidores públicos solicitan la prórroga, el acuse de notificación de la prórroga en el sistema del 1 de enero de 2025 al 23 de abril de 2025 ya que con esto vamos a demostrar en los medios de comunicación las violaciones y abusos de la unidad de transparencia que se toma atribuciones que no son de competencia.” (Sic) </w:t>
      </w:r>
    </w:p>
    <w:p w14:paraId="1A3095BA" w14:textId="77777777" w:rsidR="008E0985" w:rsidRPr="0090602E" w:rsidRDefault="00120AA0">
      <w:pPr>
        <w:spacing w:before="240" w:after="240"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lastRenderedPageBreak/>
        <w:t>Modalidad de Entrega:</w:t>
      </w:r>
      <w:r w:rsidRPr="0090602E">
        <w:rPr>
          <w:rFonts w:ascii="Palatino Linotype" w:eastAsia="Palatino Linotype" w:hAnsi="Palatino Linotype" w:cs="Palatino Linotype"/>
          <w:sz w:val="22"/>
          <w:szCs w:val="22"/>
        </w:rPr>
        <w:t xml:space="preserve"> a través del Sistema de Acceso a la Información Mexiquense (SAIMEX).</w:t>
      </w:r>
    </w:p>
    <w:p w14:paraId="54ECB817" w14:textId="77777777" w:rsidR="008E0985" w:rsidRPr="0090602E" w:rsidRDefault="00120AA0">
      <w:pPr>
        <w:spacing w:line="360" w:lineRule="auto"/>
        <w:jc w:val="both"/>
        <w:rPr>
          <w:rFonts w:ascii="Palatino Linotype" w:eastAsia="Palatino Linotype" w:hAnsi="Palatino Linotype" w:cs="Palatino Linotype"/>
          <w:b/>
          <w:bCs/>
          <w:sz w:val="22"/>
          <w:szCs w:val="22"/>
        </w:rPr>
      </w:pPr>
      <w:bookmarkStart w:id="4" w:name="_heading=h.3dy6vkm" w:colFirst="0" w:colLast="0"/>
      <w:bookmarkEnd w:id="4"/>
      <w:r w:rsidRPr="0090602E">
        <w:rPr>
          <w:rFonts w:ascii="Palatino Linotype" w:eastAsia="Palatino Linotype" w:hAnsi="Palatino Linotype" w:cs="Palatino Linotype"/>
          <w:b/>
          <w:bCs/>
          <w:sz w:val="22"/>
          <w:szCs w:val="22"/>
        </w:rPr>
        <w:t>2.</w:t>
      </w:r>
      <w:r w:rsidRPr="0090602E">
        <w:t xml:space="preserve"> </w:t>
      </w:r>
      <w:r w:rsidRPr="0090602E">
        <w:rPr>
          <w:rFonts w:ascii="Palatino Linotype" w:eastAsia="Palatino Linotype" w:hAnsi="Palatino Linotype" w:cs="Palatino Linotype"/>
          <w:b/>
          <w:bCs/>
          <w:sz w:val="22"/>
          <w:szCs w:val="22"/>
        </w:rPr>
        <w:t xml:space="preserve">Respuesta. </w:t>
      </w:r>
      <w:r w:rsidRPr="0090602E">
        <w:rPr>
          <w:rFonts w:ascii="Palatino Linotype" w:eastAsia="Palatino Linotype" w:hAnsi="Palatino Linotype" w:cs="Palatino Linotype"/>
          <w:sz w:val="22"/>
          <w:szCs w:val="22"/>
        </w:rPr>
        <w:t xml:space="preserve">El </w:t>
      </w:r>
      <w:r w:rsidRPr="0090602E">
        <w:rPr>
          <w:rFonts w:ascii="Palatino Linotype" w:eastAsia="Palatino Linotype" w:hAnsi="Palatino Linotype" w:cs="Palatino Linotype"/>
          <w:b/>
          <w:bCs/>
          <w:sz w:val="22"/>
          <w:szCs w:val="22"/>
        </w:rPr>
        <w:t>diecinueve de mayo de dos mil veinticinco</w:t>
      </w:r>
      <w:r w:rsidRPr="0090602E">
        <w:rPr>
          <w:rFonts w:ascii="Palatino Linotype" w:eastAsia="Palatino Linotype" w:hAnsi="Palatino Linotype" w:cs="Palatino Linotype"/>
          <w:sz w:val="22"/>
          <w:szCs w:val="22"/>
        </w:rPr>
        <w:t xml:space="preserv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185F3B0D" w14:textId="77777777" w:rsidR="008E0985" w:rsidRPr="0090602E" w:rsidRDefault="00120AA0">
      <w:pPr>
        <w:spacing w:before="240" w:after="240"/>
        <w:ind w:left="567" w:right="902"/>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“En atención a la solicitud con folio 02476/TOLUCA/IP/2025, me permito adjuntar al presente la respuesta correspondiente. Sin más por el momento, reciba un saludo.” (Sic)</w:t>
      </w:r>
    </w:p>
    <w:p w14:paraId="18691C65"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Adjunto a la respuesta,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hizo entrega de la siguiente información:</w:t>
      </w:r>
    </w:p>
    <w:p w14:paraId="13730AC9" w14:textId="77777777" w:rsidR="008E0985" w:rsidRPr="0090602E" w:rsidRDefault="00120AA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Oficio del 19 de mayo de 2025, a través del cual el Titular de la Unidad de Transparencia indicó que derivado de una búsqueda exhaustiva y razonable remite lo solicitado en </w:t>
      </w:r>
      <w:proofErr w:type="spellStart"/>
      <w:r w:rsidRPr="0090602E">
        <w:rPr>
          <w:rFonts w:ascii="Palatino Linotype" w:eastAsia="Palatino Linotype" w:hAnsi="Palatino Linotype" w:cs="Palatino Linotype"/>
          <w:sz w:val="22"/>
          <w:szCs w:val="22"/>
        </w:rPr>
        <w:t>pdf</w:t>
      </w:r>
      <w:proofErr w:type="spellEnd"/>
      <w:r w:rsidRPr="0090602E">
        <w:rPr>
          <w:rFonts w:ascii="Palatino Linotype" w:eastAsia="Palatino Linotype" w:hAnsi="Palatino Linotype" w:cs="Palatino Linotype"/>
          <w:sz w:val="22"/>
          <w:szCs w:val="22"/>
        </w:rPr>
        <w:t>; haciendo la precisión que la plataforma del SAIMEX no maneja sistema de acuses, por lo que no es posible entregar acuses de recibido.</w:t>
      </w:r>
    </w:p>
    <w:p w14:paraId="3F718E6C"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02719111" w14:textId="77777777" w:rsidR="008E0985" w:rsidRPr="0090602E" w:rsidRDefault="00120AA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Archivo en formato </w:t>
      </w:r>
      <w:proofErr w:type="spellStart"/>
      <w:r w:rsidRPr="0090602E">
        <w:rPr>
          <w:rFonts w:ascii="Palatino Linotype" w:eastAsia="Palatino Linotype" w:hAnsi="Palatino Linotype" w:cs="Palatino Linotype"/>
          <w:sz w:val="22"/>
          <w:szCs w:val="22"/>
        </w:rPr>
        <w:t>zip</w:t>
      </w:r>
      <w:proofErr w:type="spellEnd"/>
      <w:r w:rsidRPr="0090602E">
        <w:rPr>
          <w:rFonts w:ascii="Palatino Linotype" w:eastAsia="Palatino Linotype" w:hAnsi="Palatino Linotype" w:cs="Palatino Linotype"/>
          <w:sz w:val="22"/>
          <w:szCs w:val="22"/>
        </w:rPr>
        <w:t xml:space="preserve"> que contiene nueve documentos en </w:t>
      </w:r>
      <w:proofErr w:type="spellStart"/>
      <w:r w:rsidRPr="0090602E">
        <w:rPr>
          <w:rFonts w:ascii="Palatino Linotype" w:eastAsia="Palatino Linotype" w:hAnsi="Palatino Linotype" w:cs="Palatino Linotype"/>
          <w:sz w:val="22"/>
          <w:szCs w:val="22"/>
        </w:rPr>
        <w:t>pdf</w:t>
      </w:r>
      <w:proofErr w:type="spellEnd"/>
      <w:r w:rsidRPr="0090602E">
        <w:rPr>
          <w:rFonts w:ascii="Palatino Linotype" w:eastAsia="Palatino Linotype" w:hAnsi="Palatino Linotype" w:cs="Palatino Linotype"/>
          <w:sz w:val="22"/>
          <w:szCs w:val="22"/>
        </w:rPr>
        <w:t>, con la siguiente información:</w:t>
      </w:r>
    </w:p>
    <w:p w14:paraId="59D6E5C2" w14:textId="77777777" w:rsidR="008E0985" w:rsidRPr="0090602E" w:rsidRDefault="008E0985">
      <w:pPr>
        <w:pBdr>
          <w:top w:val="nil"/>
          <w:left w:val="nil"/>
          <w:bottom w:val="nil"/>
          <w:right w:val="nil"/>
          <w:between w:val="nil"/>
        </w:pBdr>
        <w:ind w:left="720"/>
        <w:rPr>
          <w:rFonts w:ascii="Palatino Linotype" w:eastAsia="Palatino Linotype" w:hAnsi="Palatino Linotype" w:cs="Palatino Linotype"/>
          <w:sz w:val="22"/>
          <w:szCs w:val="22"/>
        </w:rPr>
      </w:pPr>
    </w:p>
    <w:p w14:paraId="2439203E"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-Primer documento:</w:t>
      </w:r>
      <w:r w:rsidRPr="0090602E">
        <w:rPr>
          <w:rFonts w:ascii="Palatino Linotype" w:eastAsia="Palatino Linotype" w:hAnsi="Palatino Linotype" w:cs="Palatino Linotype"/>
          <w:sz w:val="22"/>
          <w:szCs w:val="22"/>
        </w:rPr>
        <w:t xml:space="preserve"> Contiene 23 oficios de fechas 27, 28 y 29 de enero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3E96B00F"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35ECF881"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-Segundo documento:</w:t>
      </w:r>
      <w:r w:rsidRPr="0090602E">
        <w:rPr>
          <w:rFonts w:ascii="Palatino Linotype" w:eastAsia="Palatino Linotype" w:hAnsi="Palatino Linotype" w:cs="Palatino Linotype"/>
          <w:sz w:val="22"/>
          <w:szCs w:val="22"/>
        </w:rPr>
        <w:t xml:space="preserve"> Contiene 20 oficios de fechas 09, 15, 16, 17, 20, 21, 22, 23, 24 de enero de 2025, a través de los cuales diversos servidores públicos habilitados de distintas áreas del Ayuntamiento de Toluca, solicitaron al Titular de la Unidad de </w:t>
      </w:r>
      <w:r w:rsidRPr="0090602E">
        <w:rPr>
          <w:rFonts w:ascii="Palatino Linotype" w:eastAsia="Palatino Linotype" w:hAnsi="Palatino Linotype" w:cs="Palatino Linotype"/>
          <w:sz w:val="22"/>
          <w:szCs w:val="22"/>
        </w:rPr>
        <w:lastRenderedPageBreak/>
        <w:t xml:space="preserve">Transparencia ampliación -prorroga- para dar atención a solicitudes de acceso a la información pública. </w:t>
      </w:r>
    </w:p>
    <w:p w14:paraId="5F064A86"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0F65D278"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-Tercer documento:</w:t>
      </w:r>
      <w:r w:rsidRPr="0090602E">
        <w:rPr>
          <w:rFonts w:ascii="Palatino Linotype" w:eastAsia="Palatino Linotype" w:hAnsi="Palatino Linotype" w:cs="Palatino Linotype"/>
          <w:sz w:val="22"/>
          <w:szCs w:val="22"/>
        </w:rPr>
        <w:t xml:space="preserve"> Contiene 19 oficios de fechas 6 y 7 de febrero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50480CA0"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77193774"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-Cuarto documento:</w:t>
      </w:r>
      <w:r w:rsidRPr="0090602E">
        <w:rPr>
          <w:rFonts w:ascii="Palatino Linotype" w:eastAsia="Palatino Linotype" w:hAnsi="Palatino Linotype" w:cs="Palatino Linotype"/>
          <w:sz w:val="22"/>
          <w:szCs w:val="22"/>
        </w:rPr>
        <w:t xml:space="preserve"> Contiene 21 oficios de fechas 24, 29, 30, 31 de enero, 4, 5, 6 de febrero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1D715B79"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20CEEE07"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-Quinto documento:</w:t>
      </w:r>
      <w:r w:rsidRPr="0090602E">
        <w:rPr>
          <w:rFonts w:ascii="Palatino Linotype" w:eastAsia="Palatino Linotype" w:hAnsi="Palatino Linotype" w:cs="Palatino Linotype"/>
          <w:sz w:val="22"/>
          <w:szCs w:val="22"/>
        </w:rPr>
        <w:t xml:space="preserve"> Contiene 18 oficios de fechas 12, 13, 14, 17, 20, 25 de febrero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3D8E3771"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b/>
          <w:bCs/>
          <w:sz w:val="22"/>
          <w:szCs w:val="22"/>
        </w:rPr>
      </w:pPr>
    </w:p>
    <w:p w14:paraId="13F1CD09"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-Sexto documento:</w:t>
      </w:r>
      <w:r w:rsidRPr="0090602E">
        <w:rPr>
          <w:rFonts w:ascii="Palatino Linotype" w:eastAsia="Palatino Linotype" w:hAnsi="Palatino Linotype" w:cs="Palatino Linotype"/>
          <w:sz w:val="22"/>
          <w:szCs w:val="22"/>
        </w:rPr>
        <w:t xml:space="preserve"> Contiene 24 oficios de fechas 18, 20, 21, 24, 25 de marzo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3E5383B9"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24F1258D"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-Séptimo documento:</w:t>
      </w:r>
      <w:r w:rsidRPr="0090602E">
        <w:rPr>
          <w:rFonts w:ascii="Palatino Linotype" w:eastAsia="Palatino Linotype" w:hAnsi="Palatino Linotype" w:cs="Palatino Linotype"/>
          <w:sz w:val="22"/>
          <w:szCs w:val="22"/>
        </w:rPr>
        <w:t xml:space="preserve"> Contiene 25 oficios de fechas 6, 7, 10, 11, 12 de marzo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523A67CA"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25AC9ADC"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-Octavo documento:</w:t>
      </w:r>
      <w:r w:rsidRPr="0090602E">
        <w:rPr>
          <w:rFonts w:ascii="Palatino Linotype" w:eastAsia="Palatino Linotype" w:hAnsi="Palatino Linotype" w:cs="Palatino Linotype"/>
          <w:sz w:val="22"/>
          <w:szCs w:val="22"/>
        </w:rPr>
        <w:t xml:space="preserve"> Contiene 21 oficios de fechas 27, 28 de febrero, 4, 5, 6 de marzo, y 4 de abril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69BDA1AB"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2AEFFC5B" w14:textId="77777777" w:rsidR="008E0985" w:rsidRPr="0090602E" w:rsidRDefault="00120AA0">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-Noveno documento:</w:t>
      </w:r>
      <w:r w:rsidRPr="0090602E">
        <w:rPr>
          <w:rFonts w:ascii="Palatino Linotype" w:eastAsia="Palatino Linotype" w:hAnsi="Palatino Linotype" w:cs="Palatino Linotype"/>
          <w:sz w:val="22"/>
          <w:szCs w:val="22"/>
        </w:rPr>
        <w:t xml:space="preserve"> Contiene 25 oficios de fechas 26, 28, 31, de marzo, 1, 2 y 3 de abril de 2025, a través de los cuales diversos servidores públicos habilitados de distintas áreas del Ayuntamiento de Toluca, solicitaron al Titular de la Unidad de Transparencia ampliación -prorroga- para dar atención a solicitudes de acceso a la información pública. </w:t>
      </w:r>
    </w:p>
    <w:p w14:paraId="53B103BA" w14:textId="77777777" w:rsidR="008E0985" w:rsidRPr="0090602E" w:rsidRDefault="008E0985">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8E8DA26"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 xml:space="preserve">3. Interposición del recurso de revisión. </w:t>
      </w:r>
      <w:r w:rsidRPr="0090602E">
        <w:rPr>
          <w:rFonts w:ascii="Palatino Linotype" w:eastAsia="Palatino Linotype" w:hAnsi="Palatino Linotype" w:cs="Palatino Linotype"/>
          <w:sz w:val="22"/>
          <w:szCs w:val="22"/>
        </w:rPr>
        <w:t xml:space="preserve">Inconforme con los términos de la respuesta emitida por parte del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el</w:t>
      </w:r>
      <w:r w:rsidRPr="0090602E">
        <w:rPr>
          <w:rFonts w:ascii="Palatino Linotype" w:eastAsia="Palatino Linotype" w:hAnsi="Palatino Linotype" w:cs="Palatino Linotype"/>
          <w:b/>
          <w:bCs/>
          <w:sz w:val="22"/>
          <w:szCs w:val="22"/>
        </w:rPr>
        <w:t xml:space="preserve"> nueve de junio de dos mil veinticinco,</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la parte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Recurrente</w:t>
      </w:r>
      <w:r w:rsidRPr="0090602E">
        <w:rPr>
          <w:rFonts w:ascii="Palatino Linotype" w:eastAsia="Palatino Linotype" w:hAnsi="Palatino Linotype" w:cs="Palatino Linotype"/>
          <w:sz w:val="22"/>
          <w:szCs w:val="22"/>
        </w:rPr>
        <w:t xml:space="preserve"> interpuso el recurso de revisión a través de </w:t>
      </w:r>
      <w:r w:rsidRPr="0090602E">
        <w:rPr>
          <w:rFonts w:ascii="Palatino Linotype" w:eastAsia="Palatino Linotype" w:hAnsi="Palatino Linotype" w:cs="Palatino Linotype"/>
          <w:b/>
          <w:bCs/>
          <w:sz w:val="22"/>
          <w:szCs w:val="22"/>
        </w:rPr>
        <w:t xml:space="preserve">SAIMEX; </w:t>
      </w:r>
      <w:r w:rsidRPr="0090602E">
        <w:rPr>
          <w:rFonts w:ascii="Palatino Linotype" w:eastAsia="Palatino Linotype" w:hAnsi="Palatino Linotype" w:cs="Palatino Linotype"/>
          <w:sz w:val="22"/>
          <w:szCs w:val="22"/>
        </w:rPr>
        <w:t>en donde se manifestó de la siguiente manera:</w:t>
      </w:r>
    </w:p>
    <w:p w14:paraId="2805CD01" w14:textId="77777777" w:rsidR="008E0985" w:rsidRPr="0090602E" w:rsidRDefault="00120AA0">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 xml:space="preserve">a) Acto impugnado: </w:t>
      </w:r>
      <w:r w:rsidRPr="0090602E">
        <w:rPr>
          <w:rFonts w:ascii="Palatino Linotype" w:eastAsia="Palatino Linotype" w:hAnsi="Palatino Linotype" w:cs="Palatino Linotype"/>
          <w:i/>
          <w:iCs/>
          <w:sz w:val="22"/>
          <w:szCs w:val="22"/>
        </w:rPr>
        <w:t>“Como siempre la unidad de opacidad a no disque de transparencia oculta la información no turna la solicitud a todas las áreas y no entrega lo solicitado” (Sic)</w:t>
      </w:r>
    </w:p>
    <w:p w14:paraId="01967A1B" w14:textId="77777777" w:rsidR="008E0985" w:rsidRPr="0090602E" w:rsidRDefault="00120AA0">
      <w:pPr>
        <w:spacing w:line="276" w:lineRule="auto"/>
        <w:ind w:left="567" w:right="900"/>
        <w:jc w:val="both"/>
        <w:rPr>
          <w:rFonts w:ascii="Palatino Linotype" w:eastAsia="Palatino Linotype" w:hAnsi="Palatino Linotype" w:cs="Palatino Linotype"/>
          <w:i/>
          <w:iCs/>
          <w:sz w:val="22"/>
          <w:szCs w:val="22"/>
        </w:rPr>
      </w:pPr>
      <w:bookmarkStart w:id="5" w:name="_heading=h.30j0zll" w:colFirst="0" w:colLast="0"/>
      <w:bookmarkEnd w:id="5"/>
      <w:r w:rsidRPr="0090602E">
        <w:rPr>
          <w:rFonts w:ascii="Palatino Linotype" w:eastAsia="Palatino Linotype" w:hAnsi="Palatino Linotype" w:cs="Palatino Linotype"/>
          <w:b/>
          <w:bCs/>
          <w:sz w:val="22"/>
          <w:szCs w:val="22"/>
        </w:rPr>
        <w:t>b) Razones o motivos de inconformidad</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i/>
          <w:iCs/>
          <w:sz w:val="22"/>
          <w:szCs w:val="22"/>
        </w:rPr>
        <w:t>“Señores de cabildo presidente garanticen el derecho de acceso a la información y entreguen lo solicitado” (Sic)</w:t>
      </w:r>
    </w:p>
    <w:p w14:paraId="04D71004" w14:textId="77777777" w:rsidR="008E0985" w:rsidRPr="0090602E" w:rsidRDefault="008E0985">
      <w:pPr>
        <w:spacing w:line="276" w:lineRule="auto"/>
        <w:ind w:left="567" w:right="900"/>
        <w:jc w:val="both"/>
        <w:rPr>
          <w:rFonts w:ascii="Palatino Linotype" w:eastAsia="Palatino Linotype" w:hAnsi="Palatino Linotype" w:cs="Palatino Linotype"/>
          <w:i/>
          <w:iCs/>
          <w:sz w:val="22"/>
          <w:szCs w:val="22"/>
        </w:rPr>
      </w:pPr>
    </w:p>
    <w:p w14:paraId="498E1164" w14:textId="77777777" w:rsidR="008E0985" w:rsidRPr="0090602E" w:rsidRDefault="008E0985">
      <w:pPr>
        <w:spacing w:line="276" w:lineRule="auto"/>
        <w:ind w:left="567" w:right="900"/>
        <w:jc w:val="both"/>
        <w:rPr>
          <w:rFonts w:ascii="Palatino Linotype" w:eastAsia="Palatino Linotype" w:hAnsi="Palatino Linotype" w:cs="Palatino Linotype"/>
          <w:i/>
          <w:iCs/>
          <w:sz w:val="22"/>
          <w:szCs w:val="22"/>
        </w:rPr>
      </w:pPr>
    </w:p>
    <w:p w14:paraId="6A3E078B" w14:textId="77777777" w:rsidR="008E0985" w:rsidRPr="0090602E" w:rsidRDefault="00120AA0">
      <w:pPr>
        <w:spacing w:line="360" w:lineRule="auto"/>
        <w:ind w:right="51"/>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 xml:space="preserve">5. Turno. </w:t>
      </w:r>
      <w:r w:rsidRPr="0090602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0602E">
        <w:rPr>
          <w:rFonts w:ascii="Palatino Linotype" w:eastAsia="Palatino Linotype" w:hAnsi="Palatino Linotype" w:cs="Palatino Linotype"/>
          <w:b/>
          <w:bCs/>
          <w:sz w:val="22"/>
          <w:szCs w:val="22"/>
        </w:rPr>
        <w:t xml:space="preserve">Guadalupe Ramírez Peña, </w:t>
      </w:r>
      <w:r w:rsidRPr="0090602E">
        <w:rPr>
          <w:rFonts w:ascii="Palatino Linotype" w:eastAsia="Palatino Linotype" w:hAnsi="Palatino Linotype" w:cs="Palatino Linotype"/>
          <w:sz w:val="22"/>
          <w:szCs w:val="22"/>
        </w:rPr>
        <w:t xml:space="preserve">a efecto de que analizara sobre su admisión o su </w:t>
      </w:r>
      <w:proofErr w:type="spellStart"/>
      <w:r w:rsidRPr="0090602E">
        <w:rPr>
          <w:rFonts w:ascii="Palatino Linotype" w:eastAsia="Palatino Linotype" w:hAnsi="Palatino Linotype" w:cs="Palatino Linotype"/>
          <w:sz w:val="22"/>
          <w:szCs w:val="22"/>
        </w:rPr>
        <w:t>desechamiento</w:t>
      </w:r>
      <w:proofErr w:type="spellEnd"/>
      <w:r w:rsidRPr="0090602E">
        <w:rPr>
          <w:rFonts w:ascii="Palatino Linotype" w:eastAsia="Palatino Linotype" w:hAnsi="Palatino Linotype" w:cs="Palatino Linotype"/>
          <w:sz w:val="22"/>
          <w:szCs w:val="22"/>
        </w:rPr>
        <w:t>.</w:t>
      </w:r>
    </w:p>
    <w:p w14:paraId="68B454C2" w14:textId="77777777" w:rsidR="008E0985" w:rsidRPr="0090602E" w:rsidRDefault="008E0985">
      <w:pPr>
        <w:spacing w:line="360" w:lineRule="auto"/>
        <w:ind w:right="51"/>
        <w:jc w:val="both"/>
        <w:rPr>
          <w:rFonts w:ascii="Palatino Linotype" w:eastAsia="Palatino Linotype" w:hAnsi="Palatino Linotype" w:cs="Palatino Linotype"/>
          <w:sz w:val="22"/>
          <w:szCs w:val="22"/>
        </w:rPr>
      </w:pPr>
    </w:p>
    <w:p w14:paraId="69247A94"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6. Admisión del Recurso de revisión.</w:t>
      </w:r>
      <w:r w:rsidRPr="0090602E">
        <w:rPr>
          <w:rFonts w:ascii="Palatino Linotype" w:eastAsia="Palatino Linotype" w:hAnsi="Palatino Linotype" w:cs="Palatino Linotype"/>
          <w:sz w:val="22"/>
          <w:szCs w:val="22"/>
        </w:rPr>
        <w:t xml:space="preserve"> El </w:t>
      </w:r>
      <w:r w:rsidRPr="0090602E">
        <w:rPr>
          <w:rFonts w:ascii="Palatino Linotype" w:eastAsia="Palatino Linotype" w:hAnsi="Palatino Linotype" w:cs="Palatino Linotype"/>
          <w:b/>
          <w:bCs/>
          <w:sz w:val="22"/>
          <w:szCs w:val="22"/>
        </w:rPr>
        <w:t xml:space="preserve">doce de junio de dos mil veinticinco, </w:t>
      </w:r>
      <w:r w:rsidRPr="0090602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presentara su informe justificado.</w:t>
      </w:r>
    </w:p>
    <w:p w14:paraId="377F7361"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F7A347E" w14:textId="77777777" w:rsidR="008E0985" w:rsidRPr="0090602E" w:rsidRDefault="00120A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90602E">
        <w:rPr>
          <w:rFonts w:ascii="Palatino Linotype" w:eastAsia="Palatino Linotype" w:hAnsi="Palatino Linotype" w:cs="Palatino Linotype"/>
          <w:b/>
          <w:bCs/>
          <w:sz w:val="22"/>
          <w:szCs w:val="22"/>
        </w:rPr>
        <w:t>7. Manifestaciones</w:t>
      </w:r>
      <w:r w:rsidRPr="0090602E">
        <w:rPr>
          <w:rFonts w:ascii="Palatino Linotype" w:eastAsia="Palatino Linotype" w:hAnsi="Palatino Linotype" w:cs="Palatino Linotype"/>
          <w:sz w:val="22"/>
          <w:szCs w:val="22"/>
        </w:rPr>
        <w:t xml:space="preserve">. De las constancias que integran el expediente en que se actúa se advierte que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 xml:space="preserve">rindió su informe justificado el </w:t>
      </w:r>
      <w:r w:rsidRPr="0090602E">
        <w:rPr>
          <w:rFonts w:ascii="Palatino Linotype" w:eastAsia="Palatino Linotype" w:hAnsi="Palatino Linotype" w:cs="Palatino Linotype"/>
          <w:b/>
          <w:bCs/>
          <w:sz w:val="22"/>
          <w:szCs w:val="22"/>
        </w:rPr>
        <w:t xml:space="preserve">veintitrés de junio de dos mil veinticinco, </w:t>
      </w:r>
      <w:r w:rsidRPr="0090602E">
        <w:rPr>
          <w:rFonts w:ascii="Palatino Linotype" w:eastAsia="Palatino Linotype" w:hAnsi="Palatino Linotype" w:cs="Palatino Linotype"/>
          <w:sz w:val="22"/>
          <w:szCs w:val="22"/>
        </w:rPr>
        <w:t>a través del archivo electrónico denominado “</w:t>
      </w:r>
      <w:r w:rsidRPr="0090602E">
        <w:rPr>
          <w:rFonts w:ascii="Palatino Linotype" w:eastAsia="Palatino Linotype" w:hAnsi="Palatino Linotype" w:cs="Palatino Linotype"/>
          <w:b/>
          <w:bCs/>
          <w:i/>
          <w:iCs/>
          <w:sz w:val="22"/>
          <w:szCs w:val="22"/>
        </w:rPr>
        <w:t>Ratificación 06734.pdf</w:t>
      </w:r>
      <w:r w:rsidRPr="0090602E">
        <w:rPr>
          <w:rFonts w:ascii="Palatino Linotype" w:eastAsia="Palatino Linotype" w:hAnsi="Palatino Linotype" w:cs="Palatino Linotype"/>
          <w:sz w:val="22"/>
          <w:szCs w:val="22"/>
        </w:rPr>
        <w:t>” mediante el cual se ratificó la respuesta inicial.</w:t>
      </w:r>
    </w:p>
    <w:p w14:paraId="7E3CA0F5" w14:textId="77777777" w:rsidR="008E0985" w:rsidRPr="0090602E" w:rsidRDefault="008E098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6F7D960" w14:textId="77777777" w:rsidR="008E0985" w:rsidRPr="0090602E" w:rsidRDefault="00120A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Documento el anterior, que fue puesto a la vista de la </w:t>
      </w:r>
      <w:r w:rsidRPr="0090602E">
        <w:rPr>
          <w:rFonts w:ascii="Palatino Linotype" w:eastAsia="Palatino Linotype" w:hAnsi="Palatino Linotype" w:cs="Palatino Linotype"/>
          <w:b/>
          <w:bCs/>
          <w:sz w:val="22"/>
          <w:szCs w:val="22"/>
        </w:rPr>
        <w:t>parte Recurrente</w:t>
      </w:r>
      <w:r w:rsidRPr="0090602E">
        <w:rPr>
          <w:rFonts w:ascii="Palatino Linotype" w:eastAsia="Palatino Linotype" w:hAnsi="Palatino Linotype" w:cs="Palatino Linotype"/>
          <w:sz w:val="22"/>
          <w:szCs w:val="22"/>
        </w:rPr>
        <w:t>, a fin de que hiciera valer sus manifestaciones o rindiera alegatos que conforme a derecho resultaran procedentes; no obstante, fue omisa en ejercer dicha prerrogativa.</w:t>
      </w:r>
    </w:p>
    <w:p w14:paraId="1D5B3A2E" w14:textId="77777777" w:rsidR="008E0985" w:rsidRPr="0090602E" w:rsidRDefault="008E098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4FD3A564" w14:textId="77777777" w:rsidR="008E0985" w:rsidRPr="0090602E" w:rsidRDefault="00120AA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8. Ampliación del término para resolver</w:t>
      </w:r>
      <w:r w:rsidRPr="0090602E">
        <w:rPr>
          <w:rFonts w:ascii="Palatino Linotype" w:eastAsia="Palatino Linotype" w:hAnsi="Palatino Linotype" w:cs="Palatino Linotype"/>
          <w:sz w:val="22"/>
          <w:szCs w:val="22"/>
        </w:rPr>
        <w:t xml:space="preserve">. Mediante acuerdo </w:t>
      </w:r>
      <w:r w:rsidRPr="0090602E">
        <w:rPr>
          <w:rFonts w:ascii="Palatino Linotype" w:eastAsia="Palatino Linotype" w:hAnsi="Palatino Linotype" w:cs="Palatino Linotype"/>
          <w:b/>
          <w:bCs/>
          <w:sz w:val="22"/>
          <w:szCs w:val="22"/>
        </w:rPr>
        <w:t>tres de diciembre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de dos mil veinticinco</w:t>
      </w:r>
      <w:r w:rsidRPr="0090602E">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57CCD64" w14:textId="77777777" w:rsidR="008E0985" w:rsidRPr="0090602E" w:rsidRDefault="008E098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FE02390"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4C1018F"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B65B845"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ello, es menester precisar </w:t>
      </w:r>
      <w:proofErr w:type="gramStart"/>
      <w:r w:rsidRPr="0090602E">
        <w:rPr>
          <w:rFonts w:ascii="Palatino Linotype" w:eastAsia="Palatino Linotype" w:hAnsi="Palatino Linotype" w:cs="Palatino Linotype"/>
          <w:sz w:val="22"/>
          <w:szCs w:val="22"/>
        </w:rPr>
        <w:t>que</w:t>
      </w:r>
      <w:proofErr w:type="gramEnd"/>
      <w:r w:rsidRPr="0090602E">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85B0980"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7887CEB"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2D224F"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089E97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CF7AD6"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3A84B71"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A6316E0" w14:textId="77777777" w:rsidR="008E0985" w:rsidRPr="0090602E" w:rsidRDefault="008E0985">
      <w:pPr>
        <w:spacing w:line="360" w:lineRule="auto"/>
        <w:jc w:val="both"/>
        <w:rPr>
          <w:rFonts w:ascii="Palatino Linotype" w:eastAsia="Palatino Linotype" w:hAnsi="Palatino Linotype" w:cs="Palatino Linotype"/>
          <w:strike/>
          <w:sz w:val="22"/>
          <w:szCs w:val="22"/>
        </w:rPr>
      </w:pPr>
    </w:p>
    <w:p w14:paraId="56716DA2" w14:textId="77777777" w:rsidR="008E0985" w:rsidRPr="0090602E" w:rsidRDefault="00120AA0">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Complejidad del Asunto:</w:t>
      </w:r>
      <w:r w:rsidRPr="0090602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5887CD05" w14:textId="77777777" w:rsidR="008E0985" w:rsidRPr="0090602E" w:rsidRDefault="00120AA0">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Actividad Procesal del interesado</w:t>
      </w:r>
      <w:r w:rsidRPr="0090602E">
        <w:rPr>
          <w:rFonts w:ascii="Palatino Linotype" w:eastAsia="Palatino Linotype" w:hAnsi="Palatino Linotype" w:cs="Palatino Linotype"/>
          <w:sz w:val="22"/>
          <w:szCs w:val="22"/>
        </w:rPr>
        <w:t>. Acciones u omisiones del interesado.</w:t>
      </w:r>
    </w:p>
    <w:p w14:paraId="6CD12B9B" w14:textId="77777777" w:rsidR="008E0985" w:rsidRPr="0090602E" w:rsidRDefault="00120AA0">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Conducta de la Autoridad:</w:t>
      </w:r>
      <w:r w:rsidRPr="0090602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F82BDA4" w14:textId="77777777" w:rsidR="008E0985" w:rsidRPr="0090602E" w:rsidRDefault="00120AA0">
      <w:pPr>
        <w:numPr>
          <w:ilvl w:val="0"/>
          <w:numId w:val="4"/>
        </w:numPr>
        <w:tabs>
          <w:tab w:val="left" w:pos="993"/>
        </w:tabs>
        <w:spacing w:line="360" w:lineRule="auto"/>
        <w:ind w:left="567" w:right="900" w:firstLine="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La afectación generada en la situación jurídica de la persona involucrada en el proceso:</w:t>
      </w:r>
      <w:r w:rsidRPr="0090602E">
        <w:rPr>
          <w:rFonts w:ascii="Palatino Linotype" w:eastAsia="Palatino Linotype" w:hAnsi="Palatino Linotype" w:cs="Palatino Linotype"/>
          <w:sz w:val="22"/>
          <w:szCs w:val="22"/>
        </w:rPr>
        <w:t xml:space="preserve"> Violación a sus derechos humanos.</w:t>
      </w:r>
    </w:p>
    <w:p w14:paraId="45B1F872" w14:textId="77777777" w:rsidR="008E0985" w:rsidRPr="0090602E" w:rsidRDefault="008E0985">
      <w:pPr>
        <w:tabs>
          <w:tab w:val="left" w:pos="993"/>
        </w:tabs>
        <w:spacing w:line="360" w:lineRule="auto"/>
        <w:ind w:left="567" w:right="900"/>
        <w:jc w:val="both"/>
        <w:rPr>
          <w:rFonts w:ascii="Palatino Linotype" w:eastAsia="Palatino Linotype" w:hAnsi="Palatino Linotype" w:cs="Palatino Linotype"/>
          <w:sz w:val="22"/>
          <w:szCs w:val="22"/>
        </w:rPr>
      </w:pPr>
    </w:p>
    <w:p w14:paraId="57950C46"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04B1A0"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B1EF296"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90602E">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90602E">
        <w:rPr>
          <w:rFonts w:ascii="Palatino Linotype" w:eastAsia="Palatino Linotype" w:hAnsi="Palatino Linotype" w:cs="Palatino Linotype"/>
          <w:sz w:val="22"/>
          <w:szCs w:val="22"/>
        </w:rPr>
        <w:t>, visible en la Gaceta del Seminario Judicial de la Federación con el registro digital 205635.</w:t>
      </w:r>
    </w:p>
    <w:p w14:paraId="5D4D2574" w14:textId="77777777" w:rsidR="008E0985" w:rsidRPr="0090602E" w:rsidRDefault="008E0985">
      <w:pPr>
        <w:spacing w:line="360" w:lineRule="auto"/>
        <w:jc w:val="both"/>
        <w:rPr>
          <w:rFonts w:ascii="Palatino Linotype" w:eastAsia="Palatino Linotype" w:hAnsi="Palatino Linotype" w:cs="Palatino Linotype"/>
          <w:b/>
          <w:bCs/>
          <w:sz w:val="22"/>
          <w:szCs w:val="22"/>
        </w:rPr>
      </w:pPr>
    </w:p>
    <w:p w14:paraId="73A2BF7C"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98EAE9"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678D805"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503F67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412BAA5" w14:textId="77777777" w:rsidR="008E0985" w:rsidRPr="0090602E" w:rsidRDefault="00120AA0">
      <w:pPr>
        <w:spacing w:line="360" w:lineRule="auto"/>
        <w:ind w:left="851" w:right="90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8F4B79" w14:textId="77777777" w:rsidR="008E0985" w:rsidRPr="0090602E" w:rsidRDefault="00120AA0">
      <w:pPr>
        <w:spacing w:line="360" w:lineRule="auto"/>
        <w:ind w:left="851" w:right="90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90602E">
        <w:rPr>
          <w:rFonts w:ascii="Palatino Linotype" w:eastAsia="Palatino Linotype" w:hAnsi="Palatino Linotype" w:cs="Palatino Linotype"/>
          <w:sz w:val="22"/>
          <w:szCs w:val="22"/>
        </w:rPr>
        <w:t>, visible en el Seminario Judicial de la Federación y su gaceta, con el registro digital 2002350.</w:t>
      </w:r>
    </w:p>
    <w:p w14:paraId="4D4F1A6D" w14:textId="77777777" w:rsidR="008E0985" w:rsidRPr="0090602E" w:rsidRDefault="008E0985">
      <w:pPr>
        <w:spacing w:line="360" w:lineRule="auto"/>
        <w:ind w:left="851" w:right="900"/>
        <w:jc w:val="both"/>
        <w:rPr>
          <w:rFonts w:ascii="Palatino Linotype" w:eastAsia="Palatino Linotype" w:hAnsi="Palatino Linotype" w:cs="Palatino Linotype"/>
          <w:sz w:val="22"/>
          <w:szCs w:val="22"/>
        </w:rPr>
      </w:pPr>
    </w:p>
    <w:p w14:paraId="6EB5ADA6" w14:textId="77777777" w:rsidR="008E0985" w:rsidRPr="0090602E" w:rsidRDefault="00120AA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w:t>
      </w:r>
      <w:proofErr w:type="gramStart"/>
      <w:r w:rsidRPr="0090602E">
        <w:rPr>
          <w:rFonts w:ascii="Palatino Linotype" w:eastAsia="Palatino Linotype" w:hAnsi="Palatino Linotype" w:cs="Palatino Linotype"/>
          <w:sz w:val="22"/>
          <w:szCs w:val="22"/>
        </w:rPr>
        <w:t>de  carácter</w:t>
      </w:r>
      <w:proofErr w:type="gramEnd"/>
      <w:r w:rsidRPr="0090602E">
        <w:rPr>
          <w:rFonts w:ascii="Palatino Linotype" w:eastAsia="Palatino Linotype" w:hAnsi="Palatino Linotype" w:cs="Palatino Linotype"/>
          <w:sz w:val="22"/>
          <w:szCs w:val="22"/>
        </w:rPr>
        <w:t xml:space="preserve"> excepcional.</w:t>
      </w:r>
    </w:p>
    <w:p w14:paraId="4AD3A247" w14:textId="77777777" w:rsidR="008E0985" w:rsidRPr="0090602E" w:rsidRDefault="008E098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34056A11" w14:textId="20CDD84F" w:rsidR="008E0985" w:rsidRPr="0090602E" w:rsidRDefault="00120AA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 xml:space="preserve">9. Cierre de instrucción. </w:t>
      </w:r>
      <w:r w:rsidRPr="0090602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BD445A" w:rsidRPr="0090602E">
        <w:rPr>
          <w:rFonts w:ascii="Palatino Linotype" w:eastAsia="Palatino Linotype" w:hAnsi="Palatino Linotype" w:cs="Palatino Linotype"/>
          <w:b/>
          <w:bCs/>
          <w:sz w:val="22"/>
          <w:szCs w:val="22"/>
        </w:rPr>
        <w:t>diez</w:t>
      </w:r>
      <w:r w:rsidRPr="0090602E">
        <w:rPr>
          <w:rFonts w:ascii="Palatino Linotype" w:eastAsia="Palatino Linotype" w:hAnsi="Palatino Linotype" w:cs="Palatino Linotype"/>
          <w:b/>
          <w:bCs/>
          <w:sz w:val="22"/>
          <w:szCs w:val="22"/>
        </w:rPr>
        <w:t xml:space="preserve"> de diciembre de dos mil veinticinco,</w:t>
      </w:r>
      <w:r w:rsidRPr="0090602E">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4EC2D3B5" w14:textId="77777777" w:rsidR="008E0985" w:rsidRPr="0090602E" w:rsidRDefault="008E098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2340B62D" w14:textId="77777777" w:rsidR="008E0985" w:rsidRPr="0090602E" w:rsidRDefault="00120AA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49993A6" w14:textId="77777777" w:rsidR="008E0985" w:rsidRPr="0090602E" w:rsidRDefault="00120AA0">
      <w:pPr>
        <w:widowControl w:val="0"/>
        <w:spacing w:before="240" w:after="240" w:line="360" w:lineRule="auto"/>
        <w:jc w:val="center"/>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II. C O N S I D E R A N D O S</w:t>
      </w:r>
    </w:p>
    <w:p w14:paraId="12C1FCBB"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Primero. Competencia.</w:t>
      </w:r>
      <w:r w:rsidRPr="0090602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70958F7"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CA6DD0F" w14:textId="77777777" w:rsidR="008E0985" w:rsidRPr="0090602E" w:rsidRDefault="00120AA0">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90602E">
        <w:rPr>
          <w:rFonts w:ascii="Palatino Linotype" w:eastAsia="Palatino Linotype" w:hAnsi="Palatino Linotype" w:cs="Palatino Linotype"/>
          <w:b/>
          <w:bCs/>
          <w:sz w:val="22"/>
          <w:szCs w:val="22"/>
        </w:rPr>
        <w:t xml:space="preserve">Segundo. Oportunidad y </w:t>
      </w:r>
      <w:proofErr w:type="spellStart"/>
      <w:r w:rsidRPr="0090602E">
        <w:rPr>
          <w:rFonts w:ascii="Palatino Linotype" w:eastAsia="Palatino Linotype" w:hAnsi="Palatino Linotype" w:cs="Palatino Linotype"/>
          <w:b/>
          <w:bCs/>
          <w:sz w:val="22"/>
          <w:szCs w:val="22"/>
        </w:rPr>
        <w:t>Procedibilidad</w:t>
      </w:r>
      <w:proofErr w:type="spellEnd"/>
      <w:r w:rsidRPr="0090602E">
        <w:rPr>
          <w:rFonts w:ascii="Palatino Linotype" w:eastAsia="Palatino Linotype" w:hAnsi="Palatino Linotype" w:cs="Palatino Linotype"/>
          <w:b/>
          <w:bCs/>
          <w:sz w:val="22"/>
          <w:szCs w:val="22"/>
        </w:rPr>
        <w:t xml:space="preserve"> del Recurso de Revisión</w:t>
      </w:r>
      <w:r w:rsidRPr="0090602E">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90602E">
        <w:rPr>
          <w:rFonts w:ascii="Palatino Linotype" w:eastAsia="Palatino Linotype" w:hAnsi="Palatino Linotype" w:cs="Palatino Linotype"/>
          <w:sz w:val="22"/>
          <w:szCs w:val="22"/>
        </w:rPr>
        <w:t>procedibilidad</w:t>
      </w:r>
      <w:proofErr w:type="spellEnd"/>
      <w:r w:rsidRPr="0090602E">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87B86C8"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5EE63B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remitió la respuesta a la solicitud de información el</w:t>
      </w:r>
      <w:r w:rsidRPr="0090602E">
        <w:t xml:space="preserve"> </w:t>
      </w:r>
      <w:r w:rsidRPr="0090602E">
        <w:rPr>
          <w:rFonts w:ascii="Palatino Linotype" w:eastAsia="Palatino Linotype" w:hAnsi="Palatino Linotype" w:cs="Palatino Linotype"/>
          <w:b/>
          <w:bCs/>
          <w:sz w:val="22"/>
          <w:szCs w:val="22"/>
        </w:rPr>
        <w:t xml:space="preserve">diecinueve de mayo de dos mil veinticinco, </w:t>
      </w:r>
      <w:r w:rsidRPr="0090602E">
        <w:rPr>
          <w:rFonts w:ascii="Palatino Linotype" w:eastAsia="Palatino Linotype" w:hAnsi="Palatino Linotype" w:cs="Palatino Linotype"/>
          <w:sz w:val="22"/>
          <w:szCs w:val="22"/>
        </w:rPr>
        <w:t xml:space="preserve">mientras que el recurso de revisión interpuesto por </w:t>
      </w:r>
      <w:r w:rsidRPr="0090602E">
        <w:rPr>
          <w:rFonts w:ascii="Palatino Linotype" w:eastAsia="Palatino Linotype" w:hAnsi="Palatino Linotype" w:cs="Palatino Linotype"/>
          <w:b/>
          <w:bCs/>
          <w:sz w:val="22"/>
          <w:szCs w:val="22"/>
        </w:rPr>
        <w:t>la parte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Recurrente</w:t>
      </w:r>
      <w:r w:rsidRPr="0090602E">
        <w:rPr>
          <w:rFonts w:ascii="Palatino Linotype" w:eastAsia="Palatino Linotype" w:hAnsi="Palatino Linotype" w:cs="Palatino Linotype"/>
          <w:sz w:val="22"/>
          <w:szCs w:val="22"/>
        </w:rPr>
        <w:t xml:space="preserve">, se tuvo por presentado el </w:t>
      </w:r>
      <w:r w:rsidRPr="0090602E">
        <w:rPr>
          <w:rFonts w:ascii="Palatino Linotype" w:eastAsia="Palatino Linotype" w:hAnsi="Palatino Linotype" w:cs="Palatino Linotype"/>
          <w:b/>
          <w:bCs/>
          <w:sz w:val="22"/>
          <w:szCs w:val="22"/>
        </w:rPr>
        <w:t>nueve de junio de dos mil veinticinco</w:t>
      </w:r>
      <w:r w:rsidRPr="0090602E">
        <w:rPr>
          <w:rFonts w:ascii="Palatino Linotype" w:eastAsia="Palatino Linotype" w:hAnsi="Palatino Linotype" w:cs="Palatino Linotype"/>
          <w:sz w:val="22"/>
          <w:szCs w:val="22"/>
        </w:rPr>
        <w:t xml:space="preserve"> esto es, al </w:t>
      </w:r>
      <w:r w:rsidRPr="0090602E">
        <w:rPr>
          <w:rFonts w:ascii="Palatino Linotype" w:eastAsia="Palatino Linotype" w:hAnsi="Palatino Linotype" w:cs="Palatino Linotype"/>
          <w:b/>
          <w:bCs/>
          <w:sz w:val="22"/>
          <w:szCs w:val="22"/>
        </w:rPr>
        <w:t>décimo quinto</w:t>
      </w:r>
      <w:r w:rsidRPr="0090602E">
        <w:rPr>
          <w:rFonts w:ascii="Palatino Linotype" w:eastAsia="Palatino Linotype" w:hAnsi="Palatino Linotype" w:cs="Palatino Linotype"/>
          <w:sz w:val="22"/>
          <w:szCs w:val="22"/>
        </w:rPr>
        <w:t xml:space="preserve"> día hábil siguiente a aquel en que </w:t>
      </w:r>
      <w:r w:rsidRPr="0090602E">
        <w:rPr>
          <w:rFonts w:ascii="Palatino Linotype" w:eastAsia="Palatino Linotype" w:hAnsi="Palatino Linotype" w:cs="Palatino Linotype"/>
          <w:b/>
          <w:bCs/>
          <w:sz w:val="22"/>
          <w:szCs w:val="22"/>
        </w:rPr>
        <w:t>se tuvo conocimiento de la respuesta impugnada</w:t>
      </w:r>
      <w:r w:rsidRPr="0090602E">
        <w:rPr>
          <w:rFonts w:ascii="Palatino Linotype" w:eastAsia="Palatino Linotype" w:hAnsi="Palatino Linotype" w:cs="Palatino Linotype"/>
          <w:sz w:val="22"/>
          <w:szCs w:val="22"/>
        </w:rPr>
        <w:t xml:space="preserve">. </w:t>
      </w:r>
    </w:p>
    <w:p w14:paraId="45748B78"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3175D93"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526DA838"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3DB41B0" w14:textId="77777777" w:rsidR="008E0985" w:rsidRPr="0090602E" w:rsidRDefault="00120AA0">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90602E">
        <w:rPr>
          <w:rFonts w:ascii="Palatino Linotype" w:eastAsia="Palatino Linotype" w:hAnsi="Palatino Linotype" w:cs="Palatino Linotype"/>
          <w:sz w:val="22"/>
          <w:szCs w:val="22"/>
        </w:rPr>
        <w:t>Por otro lado, es de suma importancia mencionar que, si bien la parte</w:t>
      </w:r>
      <w:r w:rsidRPr="0090602E">
        <w:rPr>
          <w:rFonts w:ascii="Palatino Linotype" w:eastAsia="Palatino Linotype" w:hAnsi="Palatino Linotype" w:cs="Palatino Linotype"/>
          <w:b/>
          <w:bCs/>
          <w:sz w:val="22"/>
          <w:szCs w:val="22"/>
        </w:rPr>
        <w:t xml:space="preserve"> Recurrente</w:t>
      </w:r>
      <w:r w:rsidRPr="0090602E">
        <w:rPr>
          <w:rFonts w:ascii="Palatino Linotype" w:eastAsia="Palatino Linotype" w:hAnsi="Palatino Linotype" w:cs="Palatino Linotype"/>
          <w:sz w:val="22"/>
          <w:szCs w:val="22"/>
        </w:rPr>
        <w:t xml:space="preserve"> no </w:t>
      </w:r>
      <w:r w:rsidRPr="0090602E">
        <w:rPr>
          <w:rFonts w:ascii="Palatino Linotype" w:eastAsia="Palatino Linotype" w:hAnsi="Palatino Linotype" w:cs="Palatino Linotype"/>
          <w:b/>
          <w:bCs/>
          <w:sz w:val="22"/>
          <w:szCs w:val="22"/>
        </w:rPr>
        <w:t>proporcionó nombre,</w:t>
      </w:r>
      <w:r w:rsidRPr="0090602E">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D73D282"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F5F8955" w14:textId="77777777" w:rsidR="008E0985" w:rsidRPr="0090602E" w:rsidRDefault="00120AA0">
      <w:pPr>
        <w:spacing w:line="276" w:lineRule="auto"/>
        <w:ind w:left="851" w:right="90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Las solicitudes anónimas</w:t>
      </w:r>
      <w:r w:rsidRPr="0090602E">
        <w:rPr>
          <w:rFonts w:ascii="Palatino Linotype" w:eastAsia="Palatino Linotype" w:hAnsi="Palatino Linotype" w:cs="Palatino Linotype"/>
          <w:i/>
          <w:iCs/>
          <w:sz w:val="22"/>
          <w:szCs w:val="22"/>
        </w:rPr>
        <w:t>, con nombre incompleto o seudónimo</w:t>
      </w:r>
      <w:r w:rsidRPr="0090602E">
        <w:rPr>
          <w:rFonts w:ascii="Palatino Linotype" w:eastAsia="Palatino Linotype" w:hAnsi="Palatino Linotype" w:cs="Palatino Linotype"/>
          <w:b/>
          <w:bCs/>
          <w:i/>
          <w:iCs/>
          <w:sz w:val="22"/>
          <w:szCs w:val="22"/>
        </w:rPr>
        <w:t> serán procedentes para su trámite por parte del sujeto obligado ante quien se presente</w:t>
      </w:r>
      <w:r w:rsidRPr="0090602E">
        <w:rPr>
          <w:rFonts w:ascii="Palatino Linotype" w:eastAsia="Palatino Linotype" w:hAnsi="Palatino Linotype" w:cs="Palatino Linotype"/>
          <w:i/>
          <w:iCs/>
          <w:sz w:val="22"/>
          <w:szCs w:val="22"/>
        </w:rPr>
        <w:t>. No podrá requerirse información adicional con motivo del nombre proporcionado por el solicitante."</w:t>
      </w:r>
    </w:p>
    <w:p w14:paraId="0F24865B" w14:textId="77777777" w:rsidR="008E0985" w:rsidRPr="0090602E" w:rsidRDefault="008E0985">
      <w:pPr>
        <w:tabs>
          <w:tab w:val="left" w:pos="7938"/>
        </w:tabs>
        <w:spacing w:line="360" w:lineRule="auto"/>
        <w:jc w:val="both"/>
        <w:rPr>
          <w:rFonts w:ascii="Palatino Linotype" w:eastAsia="Palatino Linotype" w:hAnsi="Palatino Linotype" w:cs="Palatino Linotype"/>
          <w:sz w:val="22"/>
          <w:szCs w:val="22"/>
        </w:rPr>
      </w:pPr>
    </w:p>
    <w:p w14:paraId="074309EF" w14:textId="77777777" w:rsidR="008E0985" w:rsidRPr="0090602E" w:rsidRDefault="00120AA0">
      <w:pPr>
        <w:tabs>
          <w:tab w:val="left" w:pos="7938"/>
        </w:tabs>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Al mismo tiempo, por cuanto hace a la </w:t>
      </w:r>
      <w:proofErr w:type="spellStart"/>
      <w:r w:rsidRPr="0090602E">
        <w:rPr>
          <w:rFonts w:ascii="Palatino Linotype" w:eastAsia="Palatino Linotype" w:hAnsi="Palatino Linotype" w:cs="Palatino Linotype"/>
          <w:sz w:val="22"/>
          <w:szCs w:val="22"/>
        </w:rPr>
        <w:t>procedibilidad</w:t>
      </w:r>
      <w:proofErr w:type="spellEnd"/>
      <w:r w:rsidRPr="0090602E">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1E0C422" w14:textId="77777777" w:rsidR="008E0985" w:rsidRPr="0090602E" w:rsidRDefault="008E0985">
      <w:pPr>
        <w:tabs>
          <w:tab w:val="left" w:pos="7938"/>
        </w:tabs>
        <w:spacing w:line="360" w:lineRule="auto"/>
        <w:jc w:val="both"/>
        <w:rPr>
          <w:rFonts w:ascii="Palatino Linotype" w:eastAsia="Palatino Linotype" w:hAnsi="Palatino Linotype" w:cs="Palatino Linotype"/>
          <w:sz w:val="22"/>
          <w:szCs w:val="22"/>
        </w:rPr>
      </w:pPr>
    </w:p>
    <w:p w14:paraId="16D10992"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0602E">
        <w:rPr>
          <w:rFonts w:ascii="Palatino Linotype" w:eastAsia="Palatino Linotype" w:hAnsi="Palatino Linotype" w:cs="Palatino Linotype"/>
          <w:b/>
          <w:bCs/>
          <w:sz w:val="22"/>
          <w:szCs w:val="22"/>
        </w:rPr>
        <w:t>la parte</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Recurrente</w:t>
      </w:r>
      <w:r w:rsidRPr="0090602E">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6C68E8DF"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0FBAB41E" w14:textId="77777777" w:rsidR="008E0985" w:rsidRPr="0090602E" w:rsidRDefault="00120AA0">
      <w:pPr>
        <w:ind w:left="567" w:right="902"/>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Artículo 179.</w:t>
      </w:r>
      <w:r w:rsidRPr="0090602E">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089C952E" w14:textId="77777777" w:rsidR="008E0985" w:rsidRPr="0090602E" w:rsidRDefault="00120AA0">
      <w:pPr>
        <w:ind w:left="567" w:right="902"/>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i/>
          <w:iCs/>
          <w:sz w:val="22"/>
          <w:szCs w:val="22"/>
        </w:rPr>
        <w:t xml:space="preserve">I. La negativa a la información solicitada; </w:t>
      </w:r>
    </w:p>
    <w:p w14:paraId="7A13B49D" w14:textId="77777777" w:rsidR="008E0985" w:rsidRPr="0090602E" w:rsidRDefault="00120AA0">
      <w:pPr>
        <w:ind w:left="567" w:right="902"/>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6104DFFF" w14:textId="77777777" w:rsidR="008E0985" w:rsidRPr="0090602E" w:rsidRDefault="008E0985">
      <w:pPr>
        <w:ind w:left="567"/>
        <w:rPr>
          <w:rFonts w:ascii="Palatino Linotype" w:eastAsia="Palatino Linotype" w:hAnsi="Palatino Linotype" w:cs="Palatino Linotype"/>
          <w:b/>
          <w:bCs/>
          <w:i/>
          <w:iCs/>
          <w:sz w:val="22"/>
          <w:szCs w:val="22"/>
        </w:rPr>
      </w:pPr>
    </w:p>
    <w:p w14:paraId="1312284F" w14:textId="77777777" w:rsidR="008E0985" w:rsidRPr="0090602E" w:rsidRDefault="00120AA0">
      <w:pPr>
        <w:ind w:left="567" w:right="900"/>
        <w:jc w:val="right"/>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 xml:space="preserve"> </w:t>
      </w:r>
      <w:r w:rsidRPr="0090602E">
        <w:rPr>
          <w:rFonts w:ascii="Palatino Linotype" w:eastAsia="Palatino Linotype" w:hAnsi="Palatino Linotype" w:cs="Palatino Linotype"/>
          <w:i/>
          <w:iCs/>
          <w:sz w:val="22"/>
          <w:szCs w:val="22"/>
        </w:rPr>
        <w:t>(Énfasis añadido)</w:t>
      </w:r>
    </w:p>
    <w:p w14:paraId="3AA11D0A" w14:textId="77777777" w:rsidR="008E0985" w:rsidRPr="0090602E" w:rsidRDefault="008E0985">
      <w:pPr>
        <w:ind w:left="567" w:right="900"/>
        <w:jc w:val="right"/>
        <w:rPr>
          <w:rFonts w:ascii="Palatino Linotype" w:eastAsia="Palatino Linotype" w:hAnsi="Palatino Linotype" w:cs="Palatino Linotype"/>
          <w:b/>
          <w:bCs/>
          <w:i/>
          <w:iCs/>
          <w:sz w:val="22"/>
          <w:szCs w:val="22"/>
        </w:rPr>
      </w:pPr>
    </w:p>
    <w:p w14:paraId="51E3E744" w14:textId="77777777" w:rsidR="008E0985" w:rsidRPr="0090602E" w:rsidRDefault="00120AA0">
      <w:pPr>
        <w:spacing w:line="360" w:lineRule="auto"/>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 xml:space="preserve">Tercero. Materia de la revisión. </w:t>
      </w:r>
      <w:r w:rsidRPr="0090602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0602E">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90602E">
        <w:rPr>
          <w:rFonts w:ascii="Palatino Linotype" w:eastAsia="Palatino Linotype" w:hAnsi="Palatino Linotype" w:cs="Palatino Linotype"/>
          <w:sz w:val="22"/>
          <w:szCs w:val="22"/>
        </w:rPr>
        <w:t xml:space="preserve"> o en su defecto, en caso de ser procedente, ordenar la entrega de la información oportuna.</w:t>
      </w:r>
    </w:p>
    <w:p w14:paraId="2F2C055A"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46D62BE1"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 xml:space="preserve">Cuarto. Estudio del asunto. </w:t>
      </w:r>
      <w:r w:rsidRPr="0090602E">
        <w:rPr>
          <w:rFonts w:ascii="Palatino Linotype" w:eastAsia="Palatino Linotype" w:hAnsi="Palatino Linotype" w:cs="Palatino Linotype"/>
          <w:sz w:val="22"/>
          <w:szCs w:val="22"/>
        </w:rPr>
        <w:t xml:space="preserve">Antes de entrar al análisis de los pronunciamientos del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15E3CF1"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754BA19" w14:textId="77777777" w:rsidR="008E0985" w:rsidRPr="0090602E" w:rsidRDefault="00120AA0">
      <w:pPr>
        <w:spacing w:line="276" w:lineRule="auto"/>
        <w:ind w:left="851" w:right="85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90602E">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48743509" w14:textId="77777777" w:rsidR="008E0985" w:rsidRPr="0090602E" w:rsidRDefault="00120AA0">
      <w:pPr>
        <w:spacing w:line="276" w:lineRule="auto"/>
        <w:ind w:left="851" w:right="85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D237FF3" w14:textId="77777777" w:rsidR="008E0985" w:rsidRPr="0090602E" w:rsidRDefault="00120AA0">
      <w:pPr>
        <w:spacing w:line="276" w:lineRule="auto"/>
        <w:ind w:left="851" w:right="85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0602E">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45F05369" w14:textId="77777777" w:rsidR="008E0985" w:rsidRPr="0090602E" w:rsidRDefault="00120AA0">
      <w:pPr>
        <w:spacing w:line="276" w:lineRule="auto"/>
        <w:ind w:left="851" w:right="85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i/>
          <w:iCs/>
          <w:sz w:val="22"/>
          <w:szCs w:val="22"/>
        </w:rPr>
        <w:t>[…]</w:t>
      </w:r>
    </w:p>
    <w:p w14:paraId="2FBCBD96" w14:textId="77777777" w:rsidR="008E0985" w:rsidRPr="0090602E" w:rsidRDefault="00120AA0">
      <w:pPr>
        <w:spacing w:line="276" w:lineRule="auto"/>
        <w:ind w:left="851" w:right="901"/>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i/>
          <w:iCs/>
          <w:sz w:val="22"/>
          <w:szCs w:val="22"/>
        </w:rPr>
        <w:t>“Artículo 6o.</w:t>
      </w:r>
    </w:p>
    <w:p w14:paraId="76C1E02E" w14:textId="77777777" w:rsidR="008E0985" w:rsidRPr="0090602E" w:rsidRDefault="00120AA0">
      <w:pPr>
        <w:spacing w:line="276" w:lineRule="auto"/>
        <w:ind w:left="851" w:right="901"/>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i/>
          <w:iCs/>
          <w:sz w:val="22"/>
          <w:szCs w:val="22"/>
        </w:rPr>
        <w:t>[...]</w:t>
      </w:r>
    </w:p>
    <w:p w14:paraId="06C249DD" w14:textId="77777777" w:rsidR="008E0985" w:rsidRPr="0090602E" w:rsidRDefault="00120AA0">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 xml:space="preserve">A. Para el ejercicio del derecho de acceso a la información, la Federación y </w:t>
      </w:r>
      <w:r w:rsidRPr="0090602E">
        <w:rPr>
          <w:rFonts w:ascii="Palatino Linotype" w:eastAsia="Palatino Linotype" w:hAnsi="Palatino Linotype" w:cs="Palatino Linotype"/>
          <w:b/>
          <w:bCs/>
          <w:i/>
          <w:iCs/>
          <w:sz w:val="22"/>
          <w:szCs w:val="22"/>
          <w:u w:val="single"/>
        </w:rPr>
        <w:t>las entidades federativas</w:t>
      </w:r>
      <w:r w:rsidRPr="0090602E">
        <w:rPr>
          <w:rFonts w:ascii="Palatino Linotype" w:eastAsia="Palatino Linotype" w:hAnsi="Palatino Linotype" w:cs="Palatino Linotype"/>
          <w:b/>
          <w:bCs/>
          <w:i/>
          <w:iCs/>
          <w:sz w:val="22"/>
          <w:szCs w:val="22"/>
        </w:rPr>
        <w:t>,</w:t>
      </w:r>
      <w:r w:rsidRPr="0090602E">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6984E38" w14:textId="77777777" w:rsidR="008E0985" w:rsidRPr="0090602E" w:rsidRDefault="00120AA0">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w:t>
      </w:r>
      <w:r w:rsidRPr="0090602E">
        <w:rPr>
          <w:rFonts w:ascii="Palatino Linotype" w:eastAsia="Palatino Linotype" w:hAnsi="Palatino Linotype" w:cs="Palatino Linotype"/>
          <w:b/>
          <w:bCs/>
          <w:i/>
          <w:iCs/>
          <w:sz w:val="22"/>
          <w:szCs w:val="22"/>
        </w:rPr>
        <w:t xml:space="preserve">I. </w:t>
      </w:r>
      <w:r w:rsidRPr="0090602E">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90602E">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90602E">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90602E">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FD9740" w14:textId="77777777" w:rsidR="008E0985" w:rsidRPr="0090602E" w:rsidRDefault="00120AA0">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AA07B72" w14:textId="77777777" w:rsidR="008E0985" w:rsidRPr="0090602E" w:rsidRDefault="00120AA0">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w:t>
      </w:r>
      <w:r w:rsidRPr="0090602E">
        <w:rPr>
          <w:rFonts w:ascii="Palatino Linotype" w:eastAsia="Palatino Linotype" w:hAnsi="Palatino Linotype" w:cs="Palatino Linotype"/>
          <w:b/>
          <w:bCs/>
          <w:i/>
          <w:iCs/>
          <w:sz w:val="22"/>
          <w:szCs w:val="22"/>
        </w:rPr>
        <w:t xml:space="preserve">III. </w:t>
      </w:r>
      <w:r w:rsidRPr="0090602E">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90602E">
        <w:rPr>
          <w:rFonts w:ascii="Palatino Linotype" w:eastAsia="Palatino Linotype" w:hAnsi="Palatino Linotype" w:cs="Palatino Linotype"/>
          <w:i/>
          <w:iCs/>
          <w:sz w:val="22"/>
          <w:szCs w:val="22"/>
        </w:rPr>
        <w:t xml:space="preserve"> a sus datos personales o a la rectificación de éstos.</w:t>
      </w:r>
    </w:p>
    <w:p w14:paraId="09AC8E5F" w14:textId="77777777" w:rsidR="008E0985" w:rsidRPr="0090602E" w:rsidRDefault="00120AA0">
      <w:pPr>
        <w:pBdr>
          <w:top w:val="nil"/>
          <w:left w:val="nil"/>
          <w:bottom w:val="nil"/>
          <w:right w:val="nil"/>
          <w:between w:val="nil"/>
        </w:pBdr>
        <w:spacing w:before="240" w:after="240"/>
        <w:ind w:left="851" w:right="851"/>
        <w:jc w:val="both"/>
      </w:pPr>
      <w:r w:rsidRPr="0090602E">
        <w:rPr>
          <w:rFonts w:ascii="Palatino Linotype" w:eastAsia="Palatino Linotype" w:hAnsi="Palatino Linotype" w:cs="Palatino Linotype"/>
          <w:b/>
          <w:bCs/>
          <w:i/>
          <w:iCs/>
          <w:sz w:val="22"/>
          <w:szCs w:val="22"/>
        </w:rPr>
        <w:t>…</w:t>
      </w:r>
    </w:p>
    <w:p w14:paraId="3BDE90B4" w14:textId="77777777" w:rsidR="008E0985" w:rsidRPr="0090602E" w:rsidRDefault="00120AA0">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IV.</w:t>
      </w:r>
      <w:r w:rsidRPr="0090602E">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4621A16" w14:textId="77777777" w:rsidR="008E0985" w:rsidRPr="0090602E" w:rsidRDefault="00120AA0">
      <w:pPr>
        <w:pBdr>
          <w:top w:val="nil"/>
          <w:left w:val="nil"/>
          <w:bottom w:val="nil"/>
          <w:right w:val="nil"/>
          <w:between w:val="nil"/>
        </w:pBdr>
        <w:spacing w:before="240" w:after="240"/>
        <w:ind w:left="851" w:right="851"/>
        <w:jc w:val="both"/>
      </w:pPr>
      <w:r w:rsidRPr="0090602E">
        <w:rPr>
          <w:rFonts w:ascii="Palatino Linotype" w:eastAsia="Palatino Linotype" w:hAnsi="Palatino Linotype" w:cs="Palatino Linotype"/>
          <w:b/>
          <w:bCs/>
          <w:i/>
          <w:iCs/>
          <w:sz w:val="22"/>
          <w:szCs w:val="22"/>
        </w:rPr>
        <w:t xml:space="preserve">V. </w:t>
      </w:r>
      <w:r w:rsidRPr="0090602E">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8FAFE3" w14:textId="77777777" w:rsidR="008E0985" w:rsidRPr="0090602E" w:rsidRDefault="00120AA0">
      <w:pPr>
        <w:pBdr>
          <w:top w:val="nil"/>
          <w:left w:val="nil"/>
          <w:bottom w:val="nil"/>
          <w:right w:val="nil"/>
          <w:between w:val="nil"/>
        </w:pBdr>
        <w:spacing w:before="240" w:after="240"/>
        <w:ind w:left="851" w:right="851"/>
        <w:jc w:val="both"/>
      </w:pPr>
      <w:r w:rsidRPr="0090602E">
        <w:rPr>
          <w:rFonts w:ascii="Palatino Linotype" w:eastAsia="Palatino Linotype" w:hAnsi="Palatino Linotype" w:cs="Palatino Linotype"/>
          <w:i/>
          <w:iCs/>
          <w:sz w:val="22"/>
          <w:szCs w:val="22"/>
        </w:rPr>
        <w:t> </w:t>
      </w:r>
      <w:r w:rsidRPr="0090602E">
        <w:rPr>
          <w:rFonts w:ascii="Palatino Linotype" w:eastAsia="Palatino Linotype" w:hAnsi="Palatino Linotype" w:cs="Palatino Linotype"/>
          <w:b/>
          <w:bCs/>
          <w:i/>
          <w:iCs/>
          <w:sz w:val="22"/>
          <w:szCs w:val="22"/>
        </w:rPr>
        <w:t xml:space="preserve">VI. </w:t>
      </w:r>
      <w:r w:rsidRPr="0090602E">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7D5B4E89" w14:textId="77777777" w:rsidR="008E0985" w:rsidRPr="0090602E" w:rsidRDefault="00120AA0">
      <w:pPr>
        <w:pBdr>
          <w:top w:val="nil"/>
          <w:left w:val="nil"/>
          <w:bottom w:val="nil"/>
          <w:right w:val="nil"/>
          <w:between w:val="nil"/>
        </w:pBdr>
        <w:spacing w:before="240" w:after="240"/>
        <w:ind w:left="851" w:right="851"/>
        <w:jc w:val="both"/>
      </w:pPr>
      <w:r w:rsidRPr="0090602E">
        <w:rPr>
          <w:rFonts w:ascii="Palatino Linotype" w:eastAsia="Palatino Linotype" w:hAnsi="Palatino Linotype" w:cs="Palatino Linotype"/>
          <w:i/>
          <w:iCs/>
          <w:sz w:val="22"/>
          <w:szCs w:val="22"/>
        </w:rPr>
        <w:t> </w:t>
      </w:r>
      <w:r w:rsidRPr="0090602E">
        <w:rPr>
          <w:rFonts w:ascii="Palatino Linotype" w:eastAsia="Palatino Linotype" w:hAnsi="Palatino Linotype" w:cs="Palatino Linotype"/>
          <w:b/>
          <w:bCs/>
          <w:i/>
          <w:iCs/>
          <w:sz w:val="22"/>
          <w:szCs w:val="22"/>
        </w:rPr>
        <w:t xml:space="preserve">VII. </w:t>
      </w:r>
      <w:r w:rsidRPr="0090602E">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32E0CB04" w14:textId="77777777" w:rsidR="008E0985" w:rsidRPr="0090602E" w:rsidRDefault="008E0985">
      <w:pPr>
        <w:spacing w:line="276" w:lineRule="auto"/>
        <w:ind w:left="851" w:right="851"/>
        <w:jc w:val="both"/>
        <w:rPr>
          <w:rFonts w:ascii="Palatino Linotype" w:eastAsia="Palatino Linotype" w:hAnsi="Palatino Linotype" w:cs="Palatino Linotype"/>
          <w:sz w:val="22"/>
          <w:szCs w:val="22"/>
        </w:rPr>
      </w:pPr>
    </w:p>
    <w:p w14:paraId="74D92BF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A79C3C8"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C58AA18"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Artículo 4</w:t>
      </w:r>
      <w:r w:rsidRPr="0090602E">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823DC6" w14:textId="77777777" w:rsidR="008E0985" w:rsidRPr="0090602E" w:rsidRDefault="008E0985">
      <w:pPr>
        <w:spacing w:line="276" w:lineRule="auto"/>
        <w:ind w:left="567" w:right="616"/>
        <w:jc w:val="both"/>
        <w:rPr>
          <w:rFonts w:ascii="Palatino Linotype" w:eastAsia="Palatino Linotype" w:hAnsi="Palatino Linotype" w:cs="Palatino Linotype"/>
          <w:i/>
          <w:iCs/>
          <w:sz w:val="22"/>
          <w:szCs w:val="22"/>
        </w:rPr>
      </w:pPr>
    </w:p>
    <w:p w14:paraId="0F88B3B8"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90602E">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6344B5" w14:textId="77777777" w:rsidR="008E0985" w:rsidRPr="0090602E" w:rsidRDefault="008E0985">
      <w:pPr>
        <w:spacing w:line="276" w:lineRule="auto"/>
        <w:ind w:left="567" w:right="616"/>
        <w:jc w:val="both"/>
        <w:rPr>
          <w:rFonts w:ascii="Palatino Linotype" w:eastAsia="Palatino Linotype" w:hAnsi="Palatino Linotype" w:cs="Palatino Linotype"/>
          <w:i/>
          <w:iCs/>
          <w:sz w:val="22"/>
          <w:szCs w:val="22"/>
        </w:rPr>
      </w:pPr>
    </w:p>
    <w:p w14:paraId="1D4F8356"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90602E">
        <w:rPr>
          <w:rFonts w:ascii="Palatino Linotype" w:eastAsia="Palatino Linotype" w:hAnsi="Palatino Linotype" w:cs="Palatino Linotype"/>
          <w:i/>
          <w:iCs/>
          <w:sz w:val="22"/>
          <w:szCs w:val="22"/>
        </w:rPr>
        <w:t>.”</w:t>
      </w:r>
    </w:p>
    <w:p w14:paraId="0E6E3AD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5D3C6E2"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881AD36"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41DEB3AE"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“Artículo 12.-</w:t>
      </w:r>
      <w:r w:rsidRPr="0090602E">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79FE37E" w14:textId="77777777" w:rsidR="008E0985" w:rsidRPr="0090602E" w:rsidRDefault="008E0985">
      <w:pPr>
        <w:spacing w:line="276" w:lineRule="auto"/>
        <w:ind w:left="567" w:right="616"/>
        <w:jc w:val="both"/>
        <w:rPr>
          <w:rFonts w:ascii="Palatino Linotype" w:eastAsia="Palatino Linotype" w:hAnsi="Palatino Linotype" w:cs="Palatino Linotype"/>
          <w:i/>
          <w:iCs/>
          <w:sz w:val="22"/>
          <w:szCs w:val="22"/>
        </w:rPr>
      </w:pPr>
    </w:p>
    <w:p w14:paraId="6BE724F9" w14:textId="77777777" w:rsidR="008E0985" w:rsidRPr="0090602E" w:rsidRDefault="00120AA0">
      <w:pPr>
        <w:spacing w:line="276" w:lineRule="auto"/>
        <w:ind w:left="567" w:right="616"/>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90602E">
        <w:rPr>
          <w:rFonts w:ascii="Palatino Linotype" w:eastAsia="Palatino Linotype" w:hAnsi="Palatino Linotype" w:cs="Palatino Linotype"/>
          <w:i/>
          <w:iCs/>
          <w:sz w:val="22"/>
          <w:szCs w:val="22"/>
        </w:rPr>
        <w:t xml:space="preserve">. </w:t>
      </w:r>
      <w:r w:rsidRPr="0090602E">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D825A3F" w14:textId="77777777" w:rsidR="008E0985" w:rsidRPr="0090602E" w:rsidRDefault="008E0985">
      <w:pPr>
        <w:spacing w:line="360" w:lineRule="auto"/>
        <w:ind w:left="567" w:right="616"/>
        <w:jc w:val="both"/>
        <w:rPr>
          <w:rFonts w:ascii="Palatino Linotype" w:eastAsia="Palatino Linotype" w:hAnsi="Palatino Linotype" w:cs="Palatino Linotype"/>
          <w:i/>
          <w:iCs/>
          <w:sz w:val="22"/>
          <w:szCs w:val="22"/>
        </w:rPr>
      </w:pPr>
    </w:p>
    <w:p w14:paraId="2CCCEB0B" w14:textId="77777777" w:rsidR="008E0985" w:rsidRPr="0090602E" w:rsidRDefault="00120AA0">
      <w:pPr>
        <w:spacing w:line="360" w:lineRule="auto"/>
        <w:ind w:right="-93"/>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C61DBC3" w14:textId="77777777" w:rsidR="008E0985" w:rsidRPr="0090602E" w:rsidRDefault="008E0985">
      <w:pPr>
        <w:spacing w:line="360" w:lineRule="auto"/>
        <w:ind w:right="-93"/>
        <w:jc w:val="both"/>
        <w:rPr>
          <w:rFonts w:ascii="Palatino Linotype" w:eastAsia="Palatino Linotype" w:hAnsi="Palatino Linotype" w:cs="Palatino Linotype"/>
          <w:sz w:val="22"/>
          <w:szCs w:val="22"/>
        </w:rPr>
      </w:pPr>
    </w:p>
    <w:p w14:paraId="6138AEB7" w14:textId="77777777" w:rsidR="008E0985" w:rsidRPr="0090602E" w:rsidRDefault="00120AA0">
      <w:pPr>
        <w:spacing w:line="360" w:lineRule="auto"/>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0602E">
        <w:rPr>
          <w:rFonts w:ascii="Palatino Linotype" w:eastAsia="Palatino Linotype" w:hAnsi="Palatino Linotype" w:cs="Palatino Linotype"/>
          <w:b/>
          <w:bCs/>
          <w:sz w:val="22"/>
          <w:szCs w:val="22"/>
        </w:rPr>
        <w:t xml:space="preserve"> </w:t>
      </w:r>
    </w:p>
    <w:p w14:paraId="56938B61"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90602E">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556ED77" w14:textId="77777777" w:rsidR="008E0985" w:rsidRPr="0090602E" w:rsidRDefault="008E0985">
      <w:pPr>
        <w:spacing w:line="360" w:lineRule="auto"/>
        <w:ind w:right="-93"/>
        <w:jc w:val="both"/>
        <w:rPr>
          <w:rFonts w:ascii="Palatino Linotype" w:eastAsia="Palatino Linotype" w:hAnsi="Palatino Linotype" w:cs="Palatino Linotype"/>
          <w:sz w:val="22"/>
          <w:szCs w:val="22"/>
        </w:rPr>
      </w:pPr>
    </w:p>
    <w:p w14:paraId="22E0D748"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6AFB21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D50A48E" w14:textId="77777777" w:rsidR="008E0985" w:rsidRPr="0090602E" w:rsidRDefault="00120AA0">
      <w:pP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9C5A0E5" w14:textId="77777777" w:rsidR="008E0985" w:rsidRPr="0090602E" w:rsidRDefault="008E0985">
      <w:pPr>
        <w:spacing w:line="360" w:lineRule="auto"/>
        <w:ind w:right="49"/>
        <w:jc w:val="both"/>
        <w:rPr>
          <w:rFonts w:ascii="Palatino Linotype" w:eastAsia="Palatino Linotype" w:hAnsi="Palatino Linotype" w:cs="Palatino Linotype"/>
          <w:sz w:val="22"/>
          <w:szCs w:val="22"/>
        </w:rPr>
      </w:pPr>
    </w:p>
    <w:p w14:paraId="0DBA4BB5"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EF7226A" w14:textId="77777777" w:rsidR="008E0985" w:rsidRPr="0090602E" w:rsidRDefault="008E0985">
      <w:pPr>
        <w:spacing w:line="360" w:lineRule="auto"/>
        <w:ind w:left="851" w:right="899"/>
        <w:jc w:val="both"/>
        <w:rPr>
          <w:rFonts w:ascii="Palatino Linotype" w:eastAsia="Palatino Linotype" w:hAnsi="Palatino Linotype" w:cs="Palatino Linotype"/>
          <w:i/>
          <w:iCs/>
          <w:sz w:val="22"/>
          <w:szCs w:val="22"/>
        </w:rPr>
      </w:pPr>
    </w:p>
    <w:p w14:paraId="29F0172C"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 xml:space="preserve">Artículo 3. </w:t>
      </w:r>
      <w:r w:rsidRPr="0090602E">
        <w:rPr>
          <w:rFonts w:ascii="Palatino Linotype" w:eastAsia="Palatino Linotype" w:hAnsi="Palatino Linotype" w:cs="Palatino Linotype"/>
          <w:i/>
          <w:iCs/>
          <w:sz w:val="22"/>
          <w:szCs w:val="22"/>
        </w:rPr>
        <w:t>Para los efectos de la presente Ley se entenderá por:</w:t>
      </w:r>
    </w:p>
    <w:p w14:paraId="7AB5C494"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2A435A8D"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XI. Documento:</w:t>
      </w:r>
      <w:r w:rsidRPr="0090602E">
        <w:rPr>
          <w:rFonts w:ascii="Palatino Linotype" w:eastAsia="Palatino Linotype" w:hAnsi="Palatino Linotype" w:cs="Palatino Linotype"/>
          <w:i/>
          <w:iCs/>
          <w:sz w:val="22"/>
          <w:szCs w:val="22"/>
        </w:rPr>
        <w:t xml:space="preserve"> Los expedientes, reportes, estudios, actas</w:t>
      </w:r>
      <w:r w:rsidRPr="0090602E">
        <w:rPr>
          <w:rFonts w:ascii="Palatino Linotype" w:eastAsia="Palatino Linotype" w:hAnsi="Palatino Linotype" w:cs="Palatino Linotype"/>
          <w:b/>
          <w:bCs/>
          <w:i/>
          <w:iCs/>
          <w:sz w:val="22"/>
          <w:szCs w:val="22"/>
        </w:rPr>
        <w:t>,</w:t>
      </w:r>
      <w:r w:rsidRPr="0090602E">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4F5A591" w14:textId="77777777" w:rsidR="008E0985" w:rsidRPr="0090602E" w:rsidRDefault="008E0985">
      <w:pPr>
        <w:spacing w:line="360" w:lineRule="auto"/>
        <w:ind w:left="851" w:right="899"/>
        <w:jc w:val="both"/>
        <w:rPr>
          <w:rFonts w:ascii="Palatino Linotype" w:eastAsia="Palatino Linotype" w:hAnsi="Palatino Linotype" w:cs="Palatino Linotype"/>
          <w:sz w:val="22"/>
          <w:szCs w:val="22"/>
        </w:rPr>
      </w:pPr>
    </w:p>
    <w:p w14:paraId="0EDD9D6C"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6ECE18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8948861" w14:textId="77777777" w:rsidR="008E0985" w:rsidRPr="0090602E" w:rsidRDefault="00120AA0">
      <w:pPr>
        <w:spacing w:line="276" w:lineRule="auto"/>
        <w:ind w:left="567" w:right="616"/>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sz w:val="22"/>
          <w:szCs w:val="22"/>
        </w:rPr>
        <w:t>“</w:t>
      </w:r>
      <w:r w:rsidRPr="0090602E">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90602E">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40BBA4"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En </w:t>
      </w:r>
      <w:proofErr w:type="gramStart"/>
      <w:r w:rsidRPr="0090602E">
        <w:rPr>
          <w:rFonts w:ascii="Palatino Linotype" w:eastAsia="Palatino Linotype" w:hAnsi="Palatino Linotype" w:cs="Palatino Linotype"/>
          <w:i/>
          <w:iCs/>
          <w:sz w:val="22"/>
          <w:szCs w:val="22"/>
        </w:rPr>
        <w:t>consecuencia</w:t>
      </w:r>
      <w:proofErr w:type="gramEnd"/>
      <w:r w:rsidRPr="0090602E">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7F6B6A93" w14:textId="77777777" w:rsidR="008E0985" w:rsidRPr="0090602E" w:rsidRDefault="00120AA0">
      <w:pPr>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90602E">
        <w:rPr>
          <w:rFonts w:ascii="Palatino Linotype" w:eastAsia="Palatino Linotype" w:hAnsi="Palatino Linotype" w:cs="Palatino Linotype"/>
          <w:i/>
          <w:iCs/>
          <w:sz w:val="22"/>
          <w:szCs w:val="22"/>
        </w:rPr>
        <w:t>que</w:t>
      </w:r>
      <w:proofErr w:type="gramEnd"/>
      <w:r w:rsidRPr="0090602E">
        <w:rPr>
          <w:rFonts w:ascii="Palatino Linotype" w:eastAsia="Palatino Linotype" w:hAnsi="Palatino Linotype" w:cs="Palatino Linotype"/>
          <w:i/>
          <w:iCs/>
          <w:sz w:val="22"/>
          <w:szCs w:val="22"/>
        </w:rPr>
        <w:t xml:space="preserve"> en ejercicio de las atribuciones conferidas, sea generada por los Sujetos Obligados;</w:t>
      </w:r>
    </w:p>
    <w:p w14:paraId="56E48E19" w14:textId="77777777" w:rsidR="008E0985" w:rsidRPr="0090602E" w:rsidRDefault="00120AA0">
      <w:pPr>
        <w:spacing w:line="276" w:lineRule="auto"/>
        <w:ind w:left="567" w:right="616"/>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90602E">
        <w:rPr>
          <w:rFonts w:ascii="Palatino Linotype" w:eastAsia="Palatino Linotype" w:hAnsi="Palatino Linotype" w:cs="Palatino Linotype"/>
          <w:b/>
          <w:bCs/>
          <w:i/>
          <w:iCs/>
          <w:sz w:val="22"/>
          <w:szCs w:val="22"/>
        </w:rPr>
        <w:t>que</w:t>
      </w:r>
      <w:proofErr w:type="gramEnd"/>
      <w:r w:rsidRPr="0090602E">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192C494C" w14:textId="77777777" w:rsidR="008E0985" w:rsidRPr="0090602E" w:rsidRDefault="00120AA0">
      <w:pPr>
        <w:spacing w:line="276" w:lineRule="auto"/>
        <w:ind w:left="567" w:right="616"/>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90602E">
        <w:rPr>
          <w:rFonts w:ascii="Palatino Linotype" w:eastAsia="Palatino Linotype" w:hAnsi="Palatino Linotype" w:cs="Palatino Linotype"/>
          <w:b/>
          <w:bCs/>
          <w:i/>
          <w:iCs/>
          <w:sz w:val="22"/>
          <w:szCs w:val="22"/>
        </w:rPr>
        <w:t>que</w:t>
      </w:r>
      <w:proofErr w:type="gramEnd"/>
      <w:r w:rsidRPr="0090602E">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5304B7E2" w14:textId="77777777" w:rsidR="008E0985" w:rsidRPr="0090602E" w:rsidRDefault="008E0985">
      <w:pPr>
        <w:spacing w:line="276" w:lineRule="auto"/>
        <w:ind w:left="567" w:right="616"/>
        <w:jc w:val="both"/>
        <w:rPr>
          <w:rFonts w:ascii="Palatino Linotype" w:eastAsia="Palatino Linotype" w:hAnsi="Palatino Linotype" w:cs="Palatino Linotype"/>
          <w:b/>
          <w:bCs/>
          <w:i/>
          <w:iCs/>
          <w:sz w:val="22"/>
          <w:szCs w:val="22"/>
        </w:rPr>
      </w:pPr>
    </w:p>
    <w:p w14:paraId="770F39AE"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De ahí que 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0602E">
        <w:rPr>
          <w:rFonts w:ascii="Palatino Linotype" w:eastAsia="Palatino Linotype" w:hAnsi="Palatino Linotype" w:cs="Palatino Linotype"/>
          <w:sz w:val="22"/>
          <w:szCs w:val="22"/>
          <w:vertAlign w:val="superscript"/>
        </w:rPr>
        <w:footnoteReference w:id="1"/>
      </w:r>
      <w:r w:rsidRPr="0090602E">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0602E">
        <w:rPr>
          <w:rFonts w:ascii="Palatino Linotype" w:eastAsia="Palatino Linotype" w:hAnsi="Palatino Linotype" w:cs="Palatino Linotype"/>
          <w:sz w:val="22"/>
          <w:szCs w:val="22"/>
          <w:vertAlign w:val="superscript"/>
        </w:rPr>
        <w:footnoteReference w:id="2"/>
      </w:r>
      <w:r w:rsidRPr="0090602E">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1E24CD96" w14:textId="77777777" w:rsidR="008E0985" w:rsidRPr="0090602E" w:rsidRDefault="008E098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4EFB343"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90602E">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medularmente, lo siguiente:</w:t>
      </w:r>
    </w:p>
    <w:p w14:paraId="7ABCB48E"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46793A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Del periodo comprendido del 01 de enero al 23 de abril de 2025, lo siguiente:</w:t>
      </w:r>
    </w:p>
    <w:p w14:paraId="04989FC7"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E363F8D" w14:textId="77777777" w:rsidR="008E0985" w:rsidRPr="0090602E" w:rsidRDefault="00120AA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Pronunciamiento por escrito del Presidente Municipal y su cabildo, con relación a si tiene conocimiento de que en la unidad de transparencia se violentan derechos humanos.</w:t>
      </w:r>
    </w:p>
    <w:p w14:paraId="3230EF26" w14:textId="77777777" w:rsidR="008E0985" w:rsidRPr="0090602E" w:rsidRDefault="00120AA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Los acuses de las solicitudes acceso a la información pública ingresadas en dicho periodo en las que se solicitó prórroga;</w:t>
      </w:r>
    </w:p>
    <w:p w14:paraId="1A534013" w14:textId="77777777" w:rsidR="008E0985" w:rsidRPr="0090602E" w:rsidRDefault="00120AA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Oficios donde los servidores públicos habilitados solicitaron prórroga para dar atención a las solicitudes de acceso a la información indicadas en el punto anterior. </w:t>
      </w:r>
    </w:p>
    <w:p w14:paraId="06CDE662" w14:textId="77777777" w:rsidR="008E0985" w:rsidRPr="0090602E" w:rsidRDefault="00120AA0">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Las Actas de Sesión del Comité de Transparencia donde se aprobaron prórrogas para dar atención a las solicitudes de acceso a la información pública indicadas en el punto dos; y</w:t>
      </w:r>
    </w:p>
    <w:p w14:paraId="240BEA09" w14:textId="77777777" w:rsidR="008E0985" w:rsidRPr="0090602E" w:rsidRDefault="00120AA0">
      <w:pPr>
        <w:numPr>
          <w:ilvl w:val="0"/>
          <w:numId w:val="1"/>
        </w:num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Los acuses de notificación en el SAIMEX de las prórrogas a las solicitudes de acceso a la información pública indicadas.</w:t>
      </w:r>
    </w:p>
    <w:p w14:paraId="781E2A17" w14:textId="77777777" w:rsidR="008E0985" w:rsidRPr="0090602E" w:rsidRDefault="008E098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3841B7DB"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En respuesta, 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por conducto del Titular de la Unidad de Transparencia indicó que derivado de una búsqueda exhaustiva y razonable remite lo solicitado en </w:t>
      </w:r>
      <w:proofErr w:type="spellStart"/>
      <w:r w:rsidRPr="0090602E">
        <w:rPr>
          <w:rFonts w:ascii="Palatino Linotype" w:eastAsia="Palatino Linotype" w:hAnsi="Palatino Linotype" w:cs="Palatino Linotype"/>
          <w:sz w:val="22"/>
          <w:szCs w:val="22"/>
        </w:rPr>
        <w:t>pdf</w:t>
      </w:r>
      <w:proofErr w:type="spellEnd"/>
      <w:r w:rsidRPr="0090602E">
        <w:rPr>
          <w:rFonts w:ascii="Palatino Linotype" w:eastAsia="Palatino Linotype" w:hAnsi="Palatino Linotype" w:cs="Palatino Linotype"/>
          <w:sz w:val="22"/>
          <w:szCs w:val="22"/>
        </w:rPr>
        <w:t>; haciendo la precisión que la plataforma del SAIMEX no maneja sistema de acuses, por lo que no es posible entregar acuses de recibido.</w:t>
      </w:r>
    </w:p>
    <w:p w14:paraId="4C371E01"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86F735"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Adjunto a la respuesta, se hizo entrega de oficios de los meses de enero a abril de 2025,</w:t>
      </w:r>
      <w:r w:rsidRPr="0090602E">
        <w:t xml:space="preserve"> </w:t>
      </w:r>
      <w:r w:rsidRPr="0090602E">
        <w:rPr>
          <w:rFonts w:ascii="Palatino Linotype" w:eastAsia="Palatino Linotype" w:hAnsi="Palatino Linotype" w:cs="Palatino Linotype"/>
          <w:sz w:val="22"/>
          <w:szCs w:val="22"/>
        </w:rPr>
        <w:t>a través de los cuales diversos servidores públicos habilitados de distintas áreas del Ayuntamiento de Toluca, solicitaron al Titular de la Unidad de Transparencia ampliación -prorroga- para dar atención a solicitudes de acceso a la información pública.</w:t>
      </w:r>
    </w:p>
    <w:p w14:paraId="49C6AD35"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EF94F5" w14:textId="77777777" w:rsidR="008E0985" w:rsidRPr="0090602E" w:rsidRDefault="00120AA0">
      <w:pPr>
        <w:spacing w:line="360" w:lineRule="auto"/>
        <w:ind w:right="49"/>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sz w:val="22"/>
          <w:szCs w:val="22"/>
        </w:rPr>
        <w:t xml:space="preserve">Inconforme con la respuesta, la parte </w:t>
      </w:r>
      <w:r w:rsidRPr="0090602E">
        <w:rPr>
          <w:rFonts w:ascii="Palatino Linotype" w:eastAsia="Palatino Linotype" w:hAnsi="Palatino Linotype" w:cs="Palatino Linotype"/>
          <w:b/>
          <w:bCs/>
          <w:sz w:val="22"/>
          <w:szCs w:val="22"/>
        </w:rPr>
        <w:t xml:space="preserve">Recurrente </w:t>
      </w:r>
      <w:r w:rsidRPr="0090602E">
        <w:rPr>
          <w:rFonts w:ascii="Palatino Linotype" w:eastAsia="Palatino Linotype" w:hAnsi="Palatino Linotype" w:cs="Palatino Linotype"/>
          <w:sz w:val="22"/>
          <w:szCs w:val="22"/>
        </w:rPr>
        <w:t xml:space="preserve">promovió el presente recurso de revisión en el que a manera de motivos de inconformidad </w:t>
      </w:r>
      <w:r w:rsidRPr="0090602E">
        <w:rPr>
          <w:rFonts w:ascii="Palatino Linotype" w:eastAsia="Palatino Linotype" w:hAnsi="Palatino Linotype" w:cs="Palatino Linotype"/>
          <w:b/>
          <w:bCs/>
          <w:sz w:val="22"/>
          <w:szCs w:val="22"/>
        </w:rPr>
        <w:t>se adolece medularmente de la negativa a la entrega de la información tal cual fue solicitada.</w:t>
      </w:r>
    </w:p>
    <w:p w14:paraId="33325884" w14:textId="77777777" w:rsidR="008E0985" w:rsidRPr="0090602E" w:rsidRDefault="008E0985">
      <w:pPr>
        <w:spacing w:line="360" w:lineRule="auto"/>
        <w:ind w:right="49"/>
        <w:jc w:val="both"/>
        <w:rPr>
          <w:rFonts w:ascii="Palatino Linotype" w:eastAsia="Palatino Linotype" w:hAnsi="Palatino Linotype" w:cs="Palatino Linotype"/>
          <w:b/>
          <w:bCs/>
          <w:sz w:val="22"/>
          <w:szCs w:val="22"/>
        </w:rPr>
      </w:pPr>
    </w:p>
    <w:p w14:paraId="2D7A8DCE"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Admitido el presente recurso de revisión, en términos del artículo 185 fracción II</w:t>
      </w:r>
      <w:r w:rsidRPr="0090602E">
        <w:rPr>
          <w:rFonts w:ascii="Palatino Linotype" w:eastAsia="Palatino Linotype" w:hAnsi="Palatino Linotype" w:cs="Palatino Linotype"/>
          <w:sz w:val="22"/>
          <w:szCs w:val="22"/>
          <w:vertAlign w:val="superscript"/>
        </w:rPr>
        <w:footnoteReference w:id="3"/>
      </w:r>
      <w:r w:rsidRPr="0090602E">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19EE71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814FDC1"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rindió informe justificado, en el que medularmente ratificó la respuesta inicial.</w:t>
      </w:r>
    </w:p>
    <w:p w14:paraId="3857B420"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7A5EF64"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su lado, la parte </w:t>
      </w:r>
      <w:r w:rsidRPr="0090602E">
        <w:rPr>
          <w:rFonts w:ascii="Palatino Linotype" w:eastAsia="Palatino Linotype" w:hAnsi="Palatino Linotype" w:cs="Palatino Linotype"/>
          <w:b/>
          <w:bCs/>
          <w:sz w:val="22"/>
          <w:szCs w:val="22"/>
        </w:rPr>
        <w:t xml:space="preserve">Recurrente </w:t>
      </w:r>
      <w:r w:rsidRPr="0090602E">
        <w:rPr>
          <w:rFonts w:ascii="Palatino Linotype" w:eastAsia="Palatino Linotype" w:hAnsi="Palatino Linotype" w:cs="Palatino Linotype"/>
          <w:sz w:val="22"/>
          <w:szCs w:val="22"/>
        </w:rPr>
        <w:t>no realizó manifestaciones ni rindió alegatos que conforme a derecho resultaran procedentes.</w:t>
      </w:r>
    </w:p>
    <w:p w14:paraId="53DD98E8"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73FE45B"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Previo al análisis de fondo, no pasa por desapercibido que el requerimiento señalado en el numeral 1, relativo a “</w:t>
      </w:r>
      <w:r w:rsidRPr="0090602E">
        <w:rPr>
          <w:rFonts w:ascii="Palatino Linotype" w:eastAsia="Palatino Linotype" w:hAnsi="Palatino Linotype" w:cs="Palatino Linotype"/>
          <w:i/>
          <w:iCs/>
          <w:sz w:val="22"/>
          <w:szCs w:val="22"/>
        </w:rPr>
        <w:t>Pronunciamiento por escrito del Presidente Municipal y su cabildo, con relación a si tiene conocimiento de que en la unidad de transparencia se violentan derechos humanos</w:t>
      </w:r>
      <w:r w:rsidRPr="0090602E">
        <w:rPr>
          <w:rFonts w:ascii="Palatino Linotype" w:eastAsia="Palatino Linotype" w:hAnsi="Palatino Linotype" w:cs="Palatino Linotype"/>
          <w:sz w:val="22"/>
          <w:szCs w:val="22"/>
        </w:rPr>
        <w:t xml:space="preserve">”, se considera que atendiendo los términos en que se formuló el requerimiento, se desprende que la pretensión de la persona solicitante es obtener un pronunciamiento del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en el sentido de que responda una situación en particular.</w:t>
      </w:r>
    </w:p>
    <w:p w14:paraId="69285C5C"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b/>
          <w:bCs/>
          <w:i/>
          <w:iCs/>
          <w:sz w:val="22"/>
          <w:szCs w:val="22"/>
        </w:rPr>
      </w:pPr>
      <w:r w:rsidRPr="0090602E">
        <w:rPr>
          <w:rFonts w:ascii="Palatino Linotype" w:eastAsia="Palatino Linotype" w:hAnsi="Palatino Linotype" w:cs="Palatino Linotype"/>
          <w:i/>
          <w:iCs/>
          <w:sz w:val="22"/>
          <w:szCs w:val="22"/>
        </w:rPr>
        <w:t xml:space="preserve"> </w:t>
      </w:r>
    </w:p>
    <w:p w14:paraId="4C6C2570"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Situación la anterior que conlleva a precisar que con tales planteamientos no se pretendió ejercer el derecho de acceso a la información pública; sino que por este medio se presentaron interrogantes cuya finalidad consiste en obligar a la autoridad a que actúe en el sentido de contestar lo solicitado, que no es factible atenderse vía acceso a la información pública, toda vez, que la atención a dicho cuestionamiento no se pueden colmar con documentos que obren en los archivos del Sujeto Obligado.</w:t>
      </w:r>
    </w:p>
    <w:p w14:paraId="6BE528BB"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1586F1D"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Por tanto, dicho requerimiento NO constituye un derecho de acceso a la información y por lo tanto no es atendible mediante una solicitud de acceso a la información pública, porque se trata de planteamientos subjetivos, interrogantes o declaraciones vertidos por la persona solicitante, situación que conlleva a afirmar que se está en presencia del ejercicio del derecho a la libre expresión y en todo caso a un derecho de petición.</w:t>
      </w:r>
    </w:p>
    <w:p w14:paraId="48AB9C01" w14:textId="77777777" w:rsidR="008E0985" w:rsidRPr="0090602E" w:rsidRDefault="008E098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A8C9E7D"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 ahí que, el requerimiento en cuestión no será objeto de análisis al no corresponder al ejercicio de derecho de acceso a la información.</w:t>
      </w:r>
    </w:p>
    <w:p w14:paraId="7FA9103A"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3E073C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Precisado lo anterior, en el caso es de recordar que, quien se pronunció fue el Titular de la Unidad de Transparencia del Sujeto Obligado; área que conforme el artículo 114, fracción II, del Bando Municipal de Toluca, dos mil veinticinco, en relación con el artículo 5.41 fracción I, del Código Reglamentario Municipal, se encuentra bajo la estructura orgánica del Ayuntamiento de Toluca y es la encargada de conocer todo lo relacionado a garantizar el derecho de acceso a la información, y la protección de datos personales de la Administración Municipal.</w:t>
      </w:r>
    </w:p>
    <w:p w14:paraId="24C6C37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8452662" w14:textId="77777777" w:rsidR="008E0985" w:rsidRPr="0090602E" w:rsidRDefault="00120AA0">
      <w:pPr>
        <w:spacing w:line="360" w:lineRule="auto"/>
        <w:ind w:right="-28"/>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Así, se advierte que fue la propia Unidad de Transparencia en su calidad de Servidor Público Habilitado quien atendió la solicitud, que ve las cuestiones relacionadas con el derecho de acceso a la información y la protección de datos personales del Ayuntamiento de Toluca. </w:t>
      </w:r>
    </w:p>
    <w:p w14:paraId="0FDE775D"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495E4B4" w14:textId="77777777" w:rsidR="008E0985" w:rsidRPr="0090602E" w:rsidRDefault="00120AA0">
      <w:pP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6573B6E3" w14:textId="77777777" w:rsidR="008E0985" w:rsidRPr="0090602E" w:rsidRDefault="008E0985">
      <w:pPr>
        <w:rPr>
          <w:sz w:val="22"/>
          <w:szCs w:val="22"/>
        </w:rPr>
      </w:pPr>
    </w:p>
    <w:p w14:paraId="233C1914" w14:textId="77777777" w:rsidR="008E0985" w:rsidRPr="0090602E" w:rsidRDefault="00120AA0">
      <w:pPr>
        <w:pBdr>
          <w:top w:val="nil"/>
          <w:left w:val="nil"/>
          <w:bottom w:val="nil"/>
          <w:right w:val="nil"/>
          <w:between w:val="nil"/>
        </w:pBdr>
        <w:ind w:left="864" w:right="864"/>
        <w:jc w:val="both"/>
        <w:rPr>
          <w:sz w:val="22"/>
          <w:szCs w:val="22"/>
        </w:rPr>
      </w:pPr>
      <w:r w:rsidRPr="0090602E">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39ADC59" w14:textId="77777777" w:rsidR="008E0985" w:rsidRPr="0090602E" w:rsidRDefault="008E0985">
      <w:pPr>
        <w:rPr>
          <w:sz w:val="22"/>
          <w:szCs w:val="22"/>
        </w:rPr>
      </w:pPr>
    </w:p>
    <w:p w14:paraId="77041221" w14:textId="77777777" w:rsidR="008E0985" w:rsidRPr="0090602E" w:rsidRDefault="00120AA0">
      <w:pPr>
        <w:pBdr>
          <w:top w:val="nil"/>
          <w:left w:val="nil"/>
          <w:bottom w:val="nil"/>
          <w:right w:val="nil"/>
          <w:between w:val="nil"/>
        </w:pBdr>
        <w:shd w:val="clear" w:color="auto" w:fill="FFFFFF"/>
        <w:spacing w:line="360" w:lineRule="auto"/>
        <w:jc w:val="both"/>
        <w:rPr>
          <w:sz w:val="22"/>
          <w:szCs w:val="22"/>
        </w:rPr>
      </w:pPr>
      <w:r w:rsidRPr="0090602E">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723866FC" w14:textId="77777777" w:rsidR="008E0985" w:rsidRPr="0090602E" w:rsidRDefault="008E0985">
      <w:pPr>
        <w:rPr>
          <w:sz w:val="22"/>
          <w:szCs w:val="22"/>
        </w:rPr>
      </w:pPr>
    </w:p>
    <w:p w14:paraId="78D3BA12" w14:textId="77777777" w:rsidR="008E0985" w:rsidRPr="0090602E" w:rsidRDefault="00120AA0">
      <w:pPr>
        <w:pBdr>
          <w:top w:val="nil"/>
          <w:left w:val="nil"/>
          <w:bottom w:val="nil"/>
          <w:right w:val="nil"/>
          <w:between w:val="nil"/>
        </w:pBdr>
        <w:ind w:left="864" w:right="864"/>
        <w:jc w:val="both"/>
        <w:rPr>
          <w:sz w:val="22"/>
          <w:szCs w:val="22"/>
        </w:rPr>
      </w:pPr>
      <w:r w:rsidRPr="0090602E">
        <w:rPr>
          <w:rFonts w:ascii="Palatino Linotype" w:eastAsia="Palatino Linotype" w:hAnsi="Palatino Linotype" w:cs="Palatino Linotype"/>
          <w:i/>
          <w:iCs/>
          <w:sz w:val="22"/>
          <w:szCs w:val="22"/>
        </w:rPr>
        <w:t xml:space="preserve">“Artículo 162. Las unidades de transparencia deberán garantizar que las solicitudes </w:t>
      </w:r>
      <w:r w:rsidRPr="0090602E">
        <w:rPr>
          <w:rFonts w:ascii="Palatino Linotype" w:eastAsia="Palatino Linotype" w:hAnsi="Palatino Linotype" w:cs="Palatino Linotype"/>
          <w:b/>
          <w:bCs/>
          <w:i/>
          <w:iCs/>
          <w:sz w:val="22"/>
          <w:szCs w:val="22"/>
        </w:rPr>
        <w:t xml:space="preserve">se turnen a todas las Áreas competentes </w:t>
      </w:r>
      <w:r w:rsidRPr="0090602E">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14:paraId="6D962D5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557271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No obstante, si bien en el caso se pronunció la unidad administrativa competente, en el caso no se colmó en su totalidad el derecho de acceso a la información pública del particular, por las consideraciones que más adelante.</w:t>
      </w:r>
    </w:p>
    <w:p w14:paraId="6B849E1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9B28DC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Ahora, con relación al requerimiento marcado en el </w:t>
      </w:r>
      <w:r w:rsidRPr="0090602E">
        <w:rPr>
          <w:rFonts w:ascii="Palatino Linotype" w:eastAsia="Palatino Linotype" w:hAnsi="Palatino Linotype" w:cs="Palatino Linotype"/>
          <w:b/>
          <w:bCs/>
          <w:sz w:val="22"/>
          <w:szCs w:val="22"/>
        </w:rPr>
        <w:t>numeral 2</w:t>
      </w:r>
      <w:r w:rsidRPr="0090602E">
        <w:rPr>
          <w:rFonts w:ascii="Palatino Linotype" w:eastAsia="Palatino Linotype" w:hAnsi="Palatino Linotype" w:cs="Palatino Linotype"/>
          <w:sz w:val="22"/>
          <w:szCs w:val="22"/>
        </w:rPr>
        <w:t xml:space="preserve"> relativo a </w:t>
      </w:r>
      <w:r w:rsidRPr="0090602E">
        <w:rPr>
          <w:rFonts w:ascii="Palatino Linotype" w:eastAsia="Palatino Linotype" w:hAnsi="Palatino Linotype" w:cs="Palatino Linotype"/>
          <w:b/>
          <w:bCs/>
          <w:sz w:val="22"/>
          <w:szCs w:val="22"/>
        </w:rPr>
        <w:t>los acuses de las solicitudes acceso a la información pública ingresadas en el periodo solicitado, en las que se solicitó prórroga</w:t>
      </w:r>
      <w:r w:rsidRPr="0090602E">
        <w:rPr>
          <w:rFonts w:ascii="Palatino Linotype" w:eastAsia="Palatino Linotype" w:hAnsi="Palatino Linotype" w:cs="Palatino Linotype"/>
          <w:sz w:val="22"/>
          <w:szCs w:val="22"/>
        </w:rPr>
        <w:t>, se considera que la información es susceptible de obrar en los archivos del ente obligado, en razón de que se relaciona con una obligación de las Unidades de Transparencia de los Sujetos Obligados, la de llevar un registro de las solicitudes de acceso a la información, como lo dispone el artículo 53 fracción IX de la Ley de Transparencia y Acceso a la Información Pública del Estado de México y Municipios, que dispone lo siguiente:</w:t>
      </w:r>
    </w:p>
    <w:p w14:paraId="31F71EEF"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06A7D67" w14:textId="77777777" w:rsidR="008E0985" w:rsidRPr="0090602E" w:rsidRDefault="00120AA0">
      <w:pPr>
        <w:spacing w:line="276" w:lineRule="auto"/>
        <w:ind w:left="567" w:right="560"/>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“Artículo 53. </w:t>
      </w:r>
      <w:r w:rsidRPr="0090602E">
        <w:rPr>
          <w:rFonts w:ascii="Palatino Linotype" w:eastAsia="Palatino Linotype" w:hAnsi="Palatino Linotype" w:cs="Palatino Linotype"/>
          <w:b/>
          <w:bCs/>
          <w:i/>
          <w:iCs/>
          <w:sz w:val="22"/>
          <w:szCs w:val="22"/>
        </w:rPr>
        <w:t>Las Unidades de Transparencia tendrán las siguientes funciones:</w:t>
      </w:r>
    </w:p>
    <w:p w14:paraId="4059DCAB" w14:textId="77777777" w:rsidR="008E0985" w:rsidRPr="0090602E" w:rsidRDefault="00120AA0">
      <w:pPr>
        <w:spacing w:line="276" w:lineRule="auto"/>
        <w:ind w:left="567" w:right="560"/>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52735686" w14:textId="77777777" w:rsidR="008E0985" w:rsidRPr="0090602E" w:rsidRDefault="00120AA0">
      <w:pPr>
        <w:spacing w:line="276" w:lineRule="auto"/>
        <w:ind w:left="567" w:right="560"/>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IX. Llevar un registro</w:t>
      </w:r>
      <w:r w:rsidRPr="0090602E">
        <w:rPr>
          <w:rFonts w:ascii="Palatino Linotype" w:eastAsia="Palatino Linotype" w:hAnsi="Palatino Linotype" w:cs="Palatino Linotype"/>
          <w:i/>
          <w:iCs/>
          <w:sz w:val="22"/>
          <w:szCs w:val="22"/>
        </w:rPr>
        <w:t xml:space="preserve"> </w:t>
      </w:r>
      <w:r w:rsidRPr="0090602E">
        <w:rPr>
          <w:rFonts w:ascii="Palatino Linotype" w:eastAsia="Palatino Linotype" w:hAnsi="Palatino Linotype" w:cs="Palatino Linotype"/>
          <w:b/>
          <w:bCs/>
          <w:i/>
          <w:iCs/>
          <w:sz w:val="22"/>
          <w:szCs w:val="22"/>
        </w:rPr>
        <w:t xml:space="preserve">de las solicitudes de acceso a la información, </w:t>
      </w:r>
      <w:r w:rsidRPr="0090602E">
        <w:rPr>
          <w:rFonts w:ascii="Palatino Linotype" w:eastAsia="Palatino Linotype" w:hAnsi="Palatino Linotype" w:cs="Palatino Linotype"/>
          <w:i/>
          <w:iCs/>
          <w:sz w:val="22"/>
          <w:szCs w:val="22"/>
        </w:rPr>
        <w:t>sus respuestas, resultados, costos de reproducción y envío</w:t>
      </w:r>
      <w:r w:rsidRPr="0090602E">
        <w:rPr>
          <w:rFonts w:ascii="Palatino Linotype" w:eastAsia="Palatino Linotype" w:hAnsi="Palatino Linotype" w:cs="Palatino Linotype"/>
          <w:b/>
          <w:bCs/>
          <w:i/>
          <w:iCs/>
          <w:sz w:val="22"/>
          <w:szCs w:val="22"/>
        </w:rPr>
        <w:t xml:space="preserve">, </w:t>
      </w:r>
      <w:r w:rsidRPr="0090602E">
        <w:rPr>
          <w:rFonts w:ascii="Palatino Linotype" w:eastAsia="Palatino Linotype" w:hAnsi="Palatino Linotype" w:cs="Palatino Linotype"/>
          <w:i/>
          <w:iCs/>
          <w:sz w:val="22"/>
          <w:szCs w:val="22"/>
        </w:rPr>
        <w:t xml:space="preserve">resolución a los recursos de revisión que se hayan emitido en contra de sus respuestas y del cumplimiento de las </w:t>
      </w:r>
      <w:proofErr w:type="gramStart"/>
      <w:r w:rsidRPr="0090602E">
        <w:rPr>
          <w:rFonts w:ascii="Palatino Linotype" w:eastAsia="Palatino Linotype" w:hAnsi="Palatino Linotype" w:cs="Palatino Linotype"/>
          <w:i/>
          <w:iCs/>
          <w:sz w:val="22"/>
          <w:szCs w:val="22"/>
        </w:rPr>
        <w:t>mismas;[</w:t>
      </w:r>
      <w:proofErr w:type="gramEnd"/>
      <w:r w:rsidRPr="0090602E">
        <w:rPr>
          <w:rFonts w:ascii="Palatino Linotype" w:eastAsia="Palatino Linotype" w:hAnsi="Palatino Linotype" w:cs="Palatino Linotype"/>
          <w:i/>
          <w:iCs/>
          <w:sz w:val="22"/>
          <w:szCs w:val="22"/>
        </w:rPr>
        <w:t>…]”</w:t>
      </w:r>
    </w:p>
    <w:p w14:paraId="2DCB3AAE" w14:textId="77777777" w:rsidR="008E0985" w:rsidRPr="0090602E" w:rsidRDefault="008E0985">
      <w:pPr>
        <w:spacing w:line="276" w:lineRule="auto"/>
        <w:ind w:left="567" w:right="560"/>
        <w:jc w:val="both"/>
        <w:rPr>
          <w:rFonts w:ascii="Palatino Linotype" w:eastAsia="Palatino Linotype" w:hAnsi="Palatino Linotype" w:cs="Palatino Linotype"/>
          <w:i/>
          <w:iCs/>
          <w:sz w:val="22"/>
          <w:szCs w:val="22"/>
        </w:rPr>
      </w:pPr>
    </w:p>
    <w:p w14:paraId="6897038B" w14:textId="77777777" w:rsidR="008E0985" w:rsidRPr="0090602E" w:rsidRDefault="00120AA0">
      <w:pPr>
        <w:spacing w:line="276" w:lineRule="auto"/>
        <w:ind w:left="567" w:right="560"/>
        <w:jc w:val="right"/>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(Énfasis añadido)</w:t>
      </w:r>
    </w:p>
    <w:p w14:paraId="046FDFA4"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2E33885" w14:textId="77777777" w:rsidR="008E0985" w:rsidRPr="0090602E" w:rsidRDefault="00120AA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tanto, resultar claro que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tiene competencia para conocer de los acuses de las solicitudes de acceso a la información ingresadas en las que se solicitó por parte del servidor público habilitado competente ampliación del plazo -prorroga- para dar atención a las mismas, en términos del artículo 163 de la Ley de Transparencia Local.</w:t>
      </w:r>
    </w:p>
    <w:p w14:paraId="71FC2B04"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20B3D73"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No obstante, del análisis a la respuesta se advierte que el servidor público habilitado competente fue omiso en remitir los acuses de las solicitudes de acceso a la información ingresadas en el periodo requerido en las que se solicitó por parte del servidor público habilitado competente ampliación del plazo -prorroga- para dar atención a las mismas; información que se presume debe obrar en los archivos del ente obligado, ya que en respuesta se hizo entrega de oficios en la que servidores públicos habilitados competentes de diversas áreas solicitaron prórroga para dar atención a solicitudes de acceso a la información.</w:t>
      </w:r>
    </w:p>
    <w:p w14:paraId="34414E81"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486D69B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Aunado que el pronunciamiento del servidor público habilitado competente en el sentido de que la plataforma del SAIMEX no maneja sistema de acuses, y que por ello no es posible entregar acuses de recibido, resulta improcedente, toda vez que dicho sistema genera acuses de solicitudes de acceso a la información como el acuse de la solicitud de información que nos ocupa, a saber:</w:t>
      </w:r>
    </w:p>
    <w:p w14:paraId="287DED9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noProof/>
        </w:rPr>
        <mc:AlternateContent>
          <mc:Choice Requires="wpg">
            <w:drawing>
              <wp:anchor distT="0" distB="0" distL="114300" distR="114300" simplePos="0" relativeHeight="251658240" behindDoc="0" locked="0" layoutInCell="1" hidden="0" allowOverlap="1" wp14:anchorId="78C18B35" wp14:editId="3406581B">
                <wp:simplePos x="0" y="0"/>
                <wp:positionH relativeFrom="column">
                  <wp:posOffset>10479</wp:posOffset>
                </wp:positionH>
                <wp:positionV relativeFrom="paragraph">
                  <wp:posOffset>228283</wp:posOffset>
                </wp:positionV>
                <wp:extent cx="5591175" cy="1114425"/>
                <wp:effectExtent l="0" t="0" r="0" b="0"/>
                <wp:wrapNone/>
                <wp:docPr id="40" name="Rectángulo 40"/>
                <wp:cNvGraphicFramePr/>
                <a:graphic xmlns:a="http://schemas.openxmlformats.org/drawingml/2006/main">
                  <a:graphicData uri="http://schemas.microsoft.com/office/word/2010/wordprocessingShape">
                    <wps:wsp>
                      <wps:cNvSpPr/>
                      <wps:spPr>
                        <a:xfrm>
                          <a:off x="2555175" y="3227550"/>
                          <a:ext cx="5581650" cy="1104900"/>
                        </a:xfrm>
                        <a:prstGeom prst="rect">
                          <a:avLst/>
                        </a:prstGeom>
                        <a:solidFill>
                          <a:schemeClr val="lt1"/>
                        </a:solidFill>
                        <a:ln w="9525" cap="flat" cmpd="sng">
                          <a:solidFill>
                            <a:schemeClr val="dk1"/>
                          </a:solidFill>
                          <a:prstDash val="solid"/>
                          <a:round/>
                          <a:headEnd type="none" w="sm" len="sm"/>
                          <a:tailEnd type="none" w="sm" len="sm"/>
                        </a:ln>
                      </wps:spPr>
                      <wps:txbx>
                        <w:txbxContent>
                          <w:p w14:paraId="40CFEACE" w14:textId="77777777" w:rsidR="008E0985" w:rsidRDefault="00120AA0">
                            <w:pPr>
                              <w:jc w:val="center"/>
                              <w:textDirection w:val="btLr"/>
                            </w:pPr>
                            <w:r>
                              <w:rPr>
                                <w:color w:val="000000"/>
                                <w:sz w:val="36"/>
                              </w:rPr>
                              <w:t>SIN TEXTO</w:t>
                            </w:r>
                          </w:p>
                        </w:txbxContent>
                      </wps:txbx>
                      <wps:bodyPr spcFirstLastPara="1" wrap="square" lIns="91425" tIns="45700" rIns="91425" bIns="45700"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10479</wp:posOffset>
                </wp:positionH>
                <wp:positionV relativeFrom="paragraph">
                  <wp:posOffset>228283</wp:posOffset>
                </wp:positionV>
                <wp:extent cx="5591175" cy="1114425"/>
                <wp:effectExtent b="0" l="0" r="0" t="0"/>
                <wp:wrapNone/>
                <wp:docPr id="4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591175" cy="1114425"/>
                        </a:xfrm>
                        <a:prstGeom prst="rect"/>
                        <a:ln/>
                      </pic:spPr>
                    </pic:pic>
                  </a:graphicData>
                </a:graphic>
              </wp:anchor>
            </w:drawing>
          </mc:Fallback>
        </mc:AlternateContent>
      </w:r>
    </w:p>
    <w:p w14:paraId="0211B991"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 </w:t>
      </w:r>
    </w:p>
    <w:p w14:paraId="7D08AA1E"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507334D0"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EBE0054"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0A1F7E8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5456C49"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noProof/>
          <w:sz w:val="22"/>
          <w:szCs w:val="22"/>
        </w:rPr>
        <w:drawing>
          <wp:inline distT="0" distB="0" distL="0" distR="0" wp14:anchorId="726ED45B" wp14:editId="20D58B04">
            <wp:extent cx="5612130" cy="6617335"/>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6617335"/>
                    </a:xfrm>
                    <a:prstGeom prst="rect">
                      <a:avLst/>
                    </a:prstGeom>
                    <a:ln/>
                  </pic:spPr>
                </pic:pic>
              </a:graphicData>
            </a:graphic>
          </wp:inline>
        </w:drawing>
      </w:r>
    </w:p>
    <w:p w14:paraId="035820AA"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6E9BBD9"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2FD86679"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De ahí que, ante la falta de entrega de la información antes indicada y toda vez que la misma debe obrar en los archivos del ente obligado, resulta procedente ordenar que en cumplimiento a la presente resolución, se haga entrega, previa búsqueda exhaustiva y razonable, de ser procedente en versión pública, </w:t>
      </w:r>
      <w:r w:rsidRPr="0090602E">
        <w:rPr>
          <w:rFonts w:ascii="Palatino Linotype" w:eastAsia="Palatino Linotype" w:hAnsi="Palatino Linotype" w:cs="Palatino Linotype"/>
          <w:b/>
          <w:bCs/>
          <w:sz w:val="22"/>
          <w:szCs w:val="22"/>
        </w:rPr>
        <w:t>los acuses de las solicitudes de acceso a la información ingresadas vía SAIMEX en el periodo comprendido del 01 de enero al 23 de abril de 2025, en las que se solicitó por parte del servidor público habilitado competente ampliación del plazo -prorroga- para dar atención a las mismas.</w:t>
      </w:r>
    </w:p>
    <w:p w14:paraId="1BE0065A"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C606EB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Ahora, por cuanto hace al requerimiento relativo a los “</w:t>
      </w:r>
      <w:r w:rsidRPr="0090602E">
        <w:rPr>
          <w:rFonts w:ascii="Palatino Linotype" w:eastAsia="Palatino Linotype" w:hAnsi="Palatino Linotype" w:cs="Palatino Linotype"/>
          <w:b/>
          <w:bCs/>
          <w:i/>
          <w:iCs/>
          <w:sz w:val="22"/>
          <w:szCs w:val="22"/>
        </w:rPr>
        <w:t>oficios donde los servidores públicos habilitados solicitaron prórroga para dar atención a las solicitudes de acceso a la información indicadas en el punto anterior</w:t>
      </w:r>
      <w:r w:rsidRPr="0090602E">
        <w:rPr>
          <w:rFonts w:ascii="Palatino Linotype" w:eastAsia="Palatino Linotype" w:hAnsi="Palatino Linotype" w:cs="Palatino Linotype"/>
          <w:sz w:val="22"/>
          <w:szCs w:val="22"/>
        </w:rPr>
        <w:t>.”, primero conviene señalar atendiendo la naturaleza de la información, que los oficios no tienen una definición exacta por la legislación archivística, para lo cual, debemos entonces identificarlo como documentos utilizados para la interoperabilidad de la gestión documental de los Sujetos Obligados, que se generan a partir del ejercicio de funciones y del trabajo coordinado de las instituciones públicas, ya sea al interior o al exterior.</w:t>
      </w:r>
    </w:p>
    <w:p w14:paraId="1A84D314"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74A26354"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sz w:val="22"/>
          <w:szCs w:val="22"/>
        </w:rPr>
        <w:t xml:space="preserve">Si bien la legislación no los define en concreto, podemos definirlo gramaticalmente a través de lo que señala la Real Academia de la Lengua Española, en su sexta acepción, que define al oficio como </w:t>
      </w:r>
      <w:r w:rsidRPr="0090602E">
        <w:rPr>
          <w:rFonts w:ascii="Palatino Linotype" w:eastAsia="Palatino Linotype" w:hAnsi="Palatino Linotype" w:cs="Palatino Linotype"/>
          <w:i/>
          <w:iCs/>
          <w:sz w:val="22"/>
          <w:szCs w:val="22"/>
        </w:rPr>
        <w:t>“m. Comunicación escrita, referente a los asuntos de las Administraciones públicas.”.</w:t>
      </w:r>
    </w:p>
    <w:p w14:paraId="14C98F25"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i/>
          <w:iCs/>
          <w:sz w:val="22"/>
          <w:szCs w:val="22"/>
        </w:rPr>
      </w:pPr>
    </w:p>
    <w:p w14:paraId="13853B36"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En este contexto entonces, podemos afirmar que el oficio es un documento administrativo de carácter formal, que sirve como medio de comunicación en el ámbito público para tratar asuntos oficiales. Es una herramienta esencial en la gestión pública y su validez radica en su naturaleza formal y en el hecho de ser emitido por la autoridad competente dentro de una institución, siguiendo conductos regulares y jerárquicos.</w:t>
      </w:r>
    </w:p>
    <w:p w14:paraId="793D4601"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3EB387D4"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Con independencia del nombre interno que reciba, esto es, oficio, memorándum, tarjeta informativa, etc., por oficio, se refiere a los medios de comunicación interna o externa, que sirven como memoria documental del ejercicio de las comunicaciones internas a interinstitucionales para el ejercicio de las atribuciones y/o funciones de los Sujetos Obligados. </w:t>
      </w:r>
    </w:p>
    <w:p w14:paraId="086EA669"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17F2CE2F"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sz w:val="22"/>
          <w:szCs w:val="22"/>
        </w:rPr>
        <w:t xml:space="preserve">Además, debemos señalar que estos documentos, además llevan para su identificación metadatos para la identificación de unicidad de los documentos, con la finalidad de otorgar un orden al Sistema de Archivos y Gestión Documental que llevan al interior los Sujetos Obligados, pues debemos señalar que cada uno de estos documentos, es un acto administrativo que causa efectos de derecho. Es así, </w:t>
      </w:r>
      <w:proofErr w:type="gramStart"/>
      <w:r w:rsidRPr="0090602E">
        <w:rPr>
          <w:rFonts w:ascii="Palatino Linotype" w:eastAsia="Palatino Linotype" w:hAnsi="Palatino Linotype" w:cs="Palatino Linotype"/>
          <w:sz w:val="22"/>
          <w:szCs w:val="22"/>
        </w:rPr>
        <w:t>que</w:t>
      </w:r>
      <w:proofErr w:type="gramEnd"/>
      <w:r w:rsidRPr="0090602E">
        <w:rPr>
          <w:rFonts w:ascii="Palatino Linotype" w:eastAsia="Palatino Linotype" w:hAnsi="Palatino Linotype" w:cs="Palatino Linotype"/>
          <w:sz w:val="22"/>
          <w:szCs w:val="22"/>
        </w:rPr>
        <w:t xml:space="preserve"> a través de estos metadatos, los Sujetos Obligados, pueden conocer información como de manera enunciativa puede ser la fecha, el área emisora, el año de generación y el número consecutivo de oficio. Esto implica que si bien, no hay una normatividad que constriña a los Sujetos Obligados a llevar un orden homologado a nivel municipal, estatal ni federal, dichos documentos, al tener el carácter de documentos públicos y formar parte de un Sistema Institucional de Archivos, deben estar </w:t>
      </w:r>
      <w:r w:rsidRPr="0090602E">
        <w:rPr>
          <w:rFonts w:ascii="Palatino Linotype" w:eastAsia="Palatino Linotype" w:hAnsi="Palatino Linotype" w:cs="Palatino Linotype"/>
          <w:i/>
          <w:iCs/>
          <w:sz w:val="22"/>
          <w:szCs w:val="22"/>
        </w:rPr>
        <w:t>sistematizados.</w:t>
      </w:r>
    </w:p>
    <w:p w14:paraId="58DC91DA"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i/>
          <w:iCs/>
          <w:sz w:val="22"/>
          <w:szCs w:val="22"/>
        </w:rPr>
      </w:pPr>
    </w:p>
    <w:p w14:paraId="20D43B8D"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 esta manera, se colige que los sujetos obligados con la finalidad de dar cumplimiento pueden emitir oficios, como oficios donde los servidores públicos habilitados competentes solicitaron a la Unidad de Transparencia prórroga para dar atención a solicitudes de acceso a la información.</w:t>
      </w:r>
    </w:p>
    <w:p w14:paraId="08FD6485"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7C06030D"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 lo anterior, debe agregarse que respecto a la fuente obligacional para que el ente obligado genere, posea o administre “</w:t>
      </w:r>
      <w:r w:rsidRPr="0090602E">
        <w:rPr>
          <w:rFonts w:ascii="Palatino Linotype" w:eastAsia="Palatino Linotype" w:hAnsi="Palatino Linotype" w:cs="Palatino Linotype"/>
          <w:i/>
          <w:iCs/>
          <w:sz w:val="22"/>
          <w:szCs w:val="22"/>
        </w:rPr>
        <w:t>oficios donde los servidores públicos habilitados competentes solicitaron a la Unidad de Transparencia prórroga para dar atención a solicitudes de acceso a la información</w:t>
      </w:r>
      <w:r w:rsidRPr="0090602E">
        <w:rPr>
          <w:rFonts w:ascii="Palatino Linotype" w:eastAsia="Palatino Linotype" w:hAnsi="Palatino Linotype" w:cs="Palatino Linotype"/>
          <w:sz w:val="22"/>
          <w:szCs w:val="22"/>
        </w:rPr>
        <w:t xml:space="preserve">”; del análisis realizado a la respuesta entregada por el servidor público habilitado competente, se desprende que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conoce y cuenta con el tipo de información que es requerida, esto es, los oficios peticionados, al advertirse que hace entrega de ellos.</w:t>
      </w:r>
    </w:p>
    <w:p w14:paraId="0DB00788"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351D9EFC"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Precisado lo anterior, es de señalar que, en respuesta, el Titular de la Unidad de Transparencia para atender el requerimiento de información que nos ocupa hizo entrega de oficios de los meses de enero a abril de 2025,</w:t>
      </w:r>
      <w:r w:rsidRPr="0090602E">
        <w:t xml:space="preserve"> </w:t>
      </w:r>
      <w:r w:rsidRPr="0090602E">
        <w:rPr>
          <w:rFonts w:ascii="Palatino Linotype" w:eastAsia="Palatino Linotype" w:hAnsi="Palatino Linotype" w:cs="Palatino Linotype"/>
          <w:sz w:val="22"/>
          <w:szCs w:val="22"/>
        </w:rPr>
        <w:t>a través de los cuales diversos servidores públicos habilitados de distintas áreas del Ayuntamiento de Toluca, solicitaron ampliación del plazo -prórroga- para atender solicitudes de acceso a la información pública ingresadas en el periodo requerido.</w:t>
      </w:r>
    </w:p>
    <w:p w14:paraId="4C68F453"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7171F8A1"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Sin embargo, dicha información resulta insuficiente para tener por colmado el derecho de acceso a la información pública del particular, pues de la consulta realizada al Sistema de Acceso a la Información Mexiquense (SAIMEX), se advierte que hay más solicitudes de acceso a la información en las que se aprobaron prórrogas o ampliaciones del plazo para dar respuesta, distintas a las que en respuesta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 xml:space="preserve">hizo entrega de los oficios donde los servidores públicos habilitados competentes requirieron la aprobación de prórroga. </w:t>
      </w:r>
    </w:p>
    <w:p w14:paraId="3C5C2895"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368DABC7"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Tal es el caso, de manera enunciativa más no limitativa la solicitud 00863/TOLUCA/IP/2025, en la que se aprecia se aprobó una prórroga para dar atención a la misma, como se muestra de la siguiente digitalización:</w:t>
      </w:r>
    </w:p>
    <w:p w14:paraId="7403CE5A"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51104376"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77F8EDF1"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noProof/>
          <w:sz w:val="22"/>
          <w:szCs w:val="22"/>
        </w:rPr>
        <w:drawing>
          <wp:inline distT="0" distB="0" distL="0" distR="0" wp14:anchorId="3B42D7EB" wp14:editId="0E622672">
            <wp:extent cx="5610225" cy="153352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0225" cy="1533525"/>
                    </a:xfrm>
                    <a:prstGeom prst="rect">
                      <a:avLst/>
                    </a:prstGeom>
                    <a:ln/>
                  </pic:spPr>
                </pic:pic>
              </a:graphicData>
            </a:graphic>
          </wp:inline>
        </w:drawing>
      </w:r>
    </w:p>
    <w:p w14:paraId="23CD1BDB"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0EB26A37"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De ahí, atendiendo que el </w:t>
      </w:r>
      <w:r w:rsidRPr="0090602E">
        <w:rPr>
          <w:rFonts w:ascii="Palatino Linotype" w:eastAsia="Palatino Linotype" w:hAnsi="Palatino Linotype" w:cs="Palatino Linotype"/>
          <w:b/>
          <w:bCs/>
          <w:sz w:val="22"/>
          <w:szCs w:val="22"/>
        </w:rPr>
        <w:t xml:space="preserve">Sujeto Obligado </w:t>
      </w:r>
      <w:r w:rsidRPr="0090602E">
        <w:rPr>
          <w:rFonts w:ascii="Palatino Linotype" w:eastAsia="Palatino Linotype" w:hAnsi="Palatino Linotype" w:cs="Palatino Linotype"/>
          <w:sz w:val="22"/>
          <w:szCs w:val="22"/>
        </w:rPr>
        <w:t xml:space="preserve">genera, posee y administra oficios como a los que se pretende acceder, y se acredita que hubo más solicitudes donde se autorizaron prórrogas para dar atención a las mismas, diversas a las que en respuesta se pronunció el ente obligado, es que resulta viable ordenar, previa búsqueda exhaustiva y razonable, de ser procedente en versión pública: </w:t>
      </w:r>
      <w:r w:rsidRPr="0090602E">
        <w:rPr>
          <w:rFonts w:ascii="Palatino Linotype" w:eastAsia="Palatino Linotype" w:hAnsi="Palatino Linotype" w:cs="Palatino Linotype"/>
          <w:b/>
          <w:bCs/>
          <w:sz w:val="22"/>
          <w:szCs w:val="22"/>
        </w:rPr>
        <w:t>Los oficios faltantes donde los servidores públicos habilitados competentes solicitaron a la Unidad de Transparencia prórroga para dar atención a solicitudes de acceso a la información.</w:t>
      </w:r>
    </w:p>
    <w:p w14:paraId="6DA188A9"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69049C93" w14:textId="77777777" w:rsidR="008E0985" w:rsidRPr="0090602E" w:rsidRDefault="00120AA0">
      <w:pPr>
        <w:tabs>
          <w:tab w:val="left" w:pos="4962"/>
        </w:tabs>
        <w:spacing w:line="360" w:lineRule="auto"/>
        <w:ind w:right="142"/>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otro lado, con relación al requerimiento </w:t>
      </w:r>
      <w:r w:rsidRPr="0090602E">
        <w:rPr>
          <w:rFonts w:ascii="Palatino Linotype" w:eastAsia="Palatino Linotype" w:hAnsi="Palatino Linotype" w:cs="Palatino Linotype"/>
          <w:b/>
          <w:bCs/>
          <w:sz w:val="22"/>
          <w:szCs w:val="22"/>
        </w:rPr>
        <w:t>número 3</w:t>
      </w:r>
      <w:r w:rsidRPr="0090602E">
        <w:rPr>
          <w:rFonts w:ascii="Palatino Linotype" w:eastAsia="Palatino Linotype" w:hAnsi="Palatino Linotype" w:cs="Palatino Linotype"/>
          <w:sz w:val="22"/>
          <w:szCs w:val="22"/>
        </w:rPr>
        <w:t xml:space="preserve"> relativo a “</w:t>
      </w:r>
      <w:r w:rsidRPr="0090602E">
        <w:rPr>
          <w:rFonts w:ascii="Palatino Linotype" w:eastAsia="Palatino Linotype" w:hAnsi="Palatino Linotype" w:cs="Palatino Linotype"/>
          <w:b/>
          <w:bCs/>
          <w:i/>
          <w:iCs/>
          <w:sz w:val="22"/>
          <w:szCs w:val="22"/>
        </w:rPr>
        <w:t>Actas de Sesión del Comité de Transparencia donde se aprobaron prórrogas para dar atención a las solicitudes de acceso a la información pública</w:t>
      </w:r>
      <w:r w:rsidRPr="0090602E">
        <w:rPr>
          <w:rFonts w:ascii="Palatino Linotype" w:eastAsia="Palatino Linotype" w:hAnsi="Palatino Linotype" w:cs="Palatino Linotype"/>
          <w:sz w:val="22"/>
          <w:szCs w:val="22"/>
        </w:rPr>
        <w:t>”, es de indicar que el artículo 163 de la Ley de Transparencia Local dispone lo siguiente:</w:t>
      </w:r>
    </w:p>
    <w:p w14:paraId="70F7A3DE" w14:textId="77777777" w:rsidR="008E0985" w:rsidRPr="0090602E" w:rsidRDefault="008E0985">
      <w:pPr>
        <w:tabs>
          <w:tab w:val="left" w:pos="4962"/>
        </w:tabs>
        <w:spacing w:line="360" w:lineRule="auto"/>
        <w:ind w:right="142"/>
        <w:jc w:val="both"/>
        <w:rPr>
          <w:rFonts w:ascii="Palatino Linotype" w:eastAsia="Palatino Linotype" w:hAnsi="Palatino Linotype" w:cs="Palatino Linotype"/>
          <w:sz w:val="22"/>
          <w:szCs w:val="22"/>
        </w:rPr>
      </w:pPr>
    </w:p>
    <w:p w14:paraId="67566E23" w14:textId="77777777" w:rsidR="008E0985" w:rsidRPr="0090602E" w:rsidRDefault="00120AA0">
      <w:pPr>
        <w:tabs>
          <w:tab w:val="left" w:pos="4962"/>
        </w:tabs>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“Artículo 163. La Unidad de Transparencia deberá notificar la respuesta a la solicitud al interesado en el menor tiempo posible, que no podrá exceder de quince días hábiles, contados a partir del día siguiente a la presentación de aquélla.</w:t>
      </w:r>
    </w:p>
    <w:p w14:paraId="79CC2388" w14:textId="77777777" w:rsidR="008E0985" w:rsidRPr="0090602E" w:rsidRDefault="008E0985">
      <w:pPr>
        <w:tabs>
          <w:tab w:val="left" w:pos="4962"/>
        </w:tabs>
        <w:spacing w:line="276" w:lineRule="auto"/>
        <w:ind w:left="567" w:right="616"/>
        <w:jc w:val="both"/>
        <w:rPr>
          <w:rFonts w:ascii="Palatino Linotype" w:eastAsia="Palatino Linotype" w:hAnsi="Palatino Linotype" w:cs="Palatino Linotype"/>
          <w:i/>
          <w:iCs/>
          <w:sz w:val="22"/>
          <w:szCs w:val="22"/>
        </w:rPr>
      </w:pPr>
    </w:p>
    <w:p w14:paraId="277C0B0C" w14:textId="77777777" w:rsidR="008E0985" w:rsidRPr="0090602E" w:rsidRDefault="00120AA0">
      <w:pPr>
        <w:tabs>
          <w:tab w:val="left" w:pos="4962"/>
        </w:tabs>
        <w:spacing w:line="276" w:lineRule="auto"/>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90602E">
        <w:rPr>
          <w:rFonts w:ascii="Palatino Linotype" w:eastAsia="Palatino Linotype" w:hAnsi="Palatino Linotype" w:cs="Palatino Linotype"/>
          <w:i/>
          <w:iCs/>
          <w:sz w:val="22"/>
          <w:szCs w:val="22"/>
        </w:rPr>
        <w:t>. No podrán invocarse como causales de ampliación del plazo motivos que supongan negligencia o descuido del sujeto obligado en el desahogo de la solicitud.”</w:t>
      </w:r>
    </w:p>
    <w:p w14:paraId="5CC0A1E6" w14:textId="77777777" w:rsidR="008E0985" w:rsidRPr="0090602E" w:rsidRDefault="008E0985">
      <w:pPr>
        <w:tabs>
          <w:tab w:val="left" w:pos="4962"/>
        </w:tabs>
        <w:spacing w:line="276" w:lineRule="auto"/>
        <w:ind w:left="567" w:right="616"/>
        <w:jc w:val="both"/>
        <w:rPr>
          <w:rFonts w:ascii="Palatino Linotype" w:eastAsia="Palatino Linotype" w:hAnsi="Palatino Linotype" w:cs="Palatino Linotype"/>
          <w:i/>
          <w:iCs/>
          <w:sz w:val="22"/>
          <w:szCs w:val="22"/>
        </w:rPr>
      </w:pPr>
    </w:p>
    <w:p w14:paraId="650FECE3" w14:textId="77777777" w:rsidR="008E0985" w:rsidRPr="0090602E" w:rsidRDefault="00120AA0">
      <w:pPr>
        <w:tabs>
          <w:tab w:val="left" w:pos="4962"/>
        </w:tabs>
        <w:spacing w:line="276" w:lineRule="auto"/>
        <w:ind w:left="567" w:right="616"/>
        <w:jc w:val="right"/>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(Énfasis añadido)</w:t>
      </w:r>
    </w:p>
    <w:p w14:paraId="2EFFB5BB"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Del numeral transcrito se desprende que la respuesta a las solicitudes de acceso a la información pública se deben notificar en el plazo que no exceda de 15 días hábiles contados a partir de la fecha de su recepción; y que, excepcionalmente dicho plazo se podrá ampliar hasta por siete días hábiles más, siempre y cuando existan razones fundadas y motivadas, y que para ello el Comité de Transparencia será quien apruebe la ampliación del plazo para dar respuesta, mediante la emisión de una resolución que deberá hacerse del conocimiento del solicitante.</w:t>
      </w:r>
    </w:p>
    <w:p w14:paraId="22EB84AD"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404DAE19"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Por tanto, se advierte fuente obligacional para que el ente obligado cuente con Actas de Sesión del Comité de Transparencia donde se aprobaron prórrogas para dar atención a las solicitudes de acceso a la información pública ingresadas en el periodo </w:t>
      </w:r>
      <w:proofErr w:type="gramStart"/>
      <w:r w:rsidRPr="0090602E">
        <w:rPr>
          <w:rFonts w:ascii="Palatino Linotype" w:eastAsia="Palatino Linotype" w:hAnsi="Palatino Linotype" w:cs="Palatino Linotype"/>
          <w:sz w:val="22"/>
          <w:szCs w:val="22"/>
        </w:rPr>
        <w:t>solicitado,  notificadas</w:t>
      </w:r>
      <w:proofErr w:type="gramEnd"/>
      <w:r w:rsidRPr="0090602E">
        <w:rPr>
          <w:rFonts w:ascii="Palatino Linotype" w:eastAsia="Palatino Linotype" w:hAnsi="Palatino Linotype" w:cs="Palatino Linotype"/>
          <w:sz w:val="22"/>
          <w:szCs w:val="22"/>
        </w:rPr>
        <w:t xml:space="preserve"> a los solicitantes al 24 de abril de 2025.</w:t>
      </w:r>
    </w:p>
    <w:p w14:paraId="7F1CD955"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0CA936F"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No obstante, del análisis a la respuesta se advierte que el servidor público habilitado competente sobre este punto de la solicitud, también fue omiso en remitir Actas de Sesión del Comité de Transparencia donde se aprobaron prórrogas para dar atención a las solicitudes de acceso a la información pública ingresadas en el periodo solicitado,  notificadas a los solicitantes al 24 de abril de 2025; información que se presume debe obrar en los archivos del ente obligado, ya que en respuesta se hizo entrega de oficios en la que servidores públicos habilitados competentes de diversas áreas solicitaron prórroga para dar atención a solicitudes de acceso a la información, respecto de las cuales se debió sesionar para que el Comité de Transparencia procediera a su aprobación.</w:t>
      </w:r>
    </w:p>
    <w:p w14:paraId="4686BF0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A5C1244"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De ahí que, ante la falta de entrega de la información antes indicada, resulta procedente ordenar </w:t>
      </w:r>
      <w:proofErr w:type="gramStart"/>
      <w:r w:rsidRPr="0090602E">
        <w:rPr>
          <w:rFonts w:ascii="Palatino Linotype" w:eastAsia="Palatino Linotype" w:hAnsi="Palatino Linotype" w:cs="Palatino Linotype"/>
          <w:sz w:val="22"/>
          <w:szCs w:val="22"/>
        </w:rPr>
        <w:t>que</w:t>
      </w:r>
      <w:proofErr w:type="gramEnd"/>
      <w:r w:rsidRPr="0090602E">
        <w:rPr>
          <w:rFonts w:ascii="Palatino Linotype" w:eastAsia="Palatino Linotype" w:hAnsi="Palatino Linotype" w:cs="Palatino Linotype"/>
          <w:sz w:val="22"/>
          <w:szCs w:val="22"/>
        </w:rPr>
        <w:t xml:space="preserve"> en cumplimiento a la presente resolución, se haga entrega, previa búsqueda exhaustiva y razonable, de ser procedente en versión pública, </w:t>
      </w:r>
      <w:r w:rsidRPr="0090602E">
        <w:rPr>
          <w:rFonts w:ascii="Palatino Linotype" w:eastAsia="Palatino Linotype" w:hAnsi="Palatino Linotype" w:cs="Palatino Linotype"/>
          <w:b/>
          <w:bCs/>
          <w:sz w:val="22"/>
          <w:szCs w:val="22"/>
        </w:rPr>
        <w:t>las Actas de Sesión del Comité de Transparencia donde se aprobaron prórrogas para dar atención a las solicitudes de acceso a la información pública ingresadas en el periodo solicitado.</w:t>
      </w:r>
    </w:p>
    <w:p w14:paraId="79358B8C"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63779B1"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Finalmente, con relación al requerimiento indicado en el </w:t>
      </w:r>
      <w:r w:rsidRPr="0090602E">
        <w:rPr>
          <w:rFonts w:ascii="Palatino Linotype" w:eastAsia="Palatino Linotype" w:hAnsi="Palatino Linotype" w:cs="Palatino Linotype"/>
          <w:b/>
          <w:bCs/>
          <w:sz w:val="22"/>
          <w:szCs w:val="22"/>
        </w:rPr>
        <w:t>numeral 5</w:t>
      </w:r>
      <w:r w:rsidRPr="0090602E">
        <w:rPr>
          <w:rFonts w:ascii="Palatino Linotype" w:eastAsia="Palatino Linotype" w:hAnsi="Palatino Linotype" w:cs="Palatino Linotype"/>
          <w:sz w:val="22"/>
          <w:szCs w:val="22"/>
        </w:rPr>
        <w:t xml:space="preserve"> relativo a </w:t>
      </w:r>
      <w:r w:rsidRPr="0090602E">
        <w:rPr>
          <w:rFonts w:ascii="Palatino Linotype" w:eastAsia="Palatino Linotype" w:hAnsi="Palatino Linotype" w:cs="Palatino Linotype"/>
          <w:b/>
          <w:bCs/>
          <w:i/>
          <w:iCs/>
          <w:sz w:val="22"/>
          <w:szCs w:val="22"/>
        </w:rPr>
        <w:t>“acuses de notificación en el SAIMEX de las prórrogas a las solicitudes de acceso a la información pública indicadas</w:t>
      </w:r>
      <w:r w:rsidRPr="0090602E">
        <w:rPr>
          <w:rFonts w:ascii="Palatino Linotype" w:eastAsia="Palatino Linotype" w:hAnsi="Palatino Linotype" w:cs="Palatino Linotype"/>
          <w:sz w:val="22"/>
          <w:szCs w:val="22"/>
        </w:rPr>
        <w:t>”, del análisis al sistema SAIMEX, se advierte que en el apartado donde se notifican las prórrogas para dar atención a las solicitudes de acceso a la información, este genera un acuse de solicitud de prórroga, el cual incluso se puede imprimir, como se muestra del siguiente ejemplo:</w:t>
      </w:r>
    </w:p>
    <w:p w14:paraId="69442A47"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716E1B9"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noProof/>
          <w:sz w:val="22"/>
          <w:szCs w:val="22"/>
        </w:rPr>
        <w:drawing>
          <wp:inline distT="0" distB="0" distL="0" distR="0" wp14:anchorId="66698F3F" wp14:editId="7AA947B0">
            <wp:extent cx="5610225" cy="16002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0225" cy="1600200"/>
                    </a:xfrm>
                    <a:prstGeom prst="rect">
                      <a:avLst/>
                    </a:prstGeom>
                    <a:ln/>
                  </pic:spPr>
                </pic:pic>
              </a:graphicData>
            </a:graphic>
          </wp:inline>
        </w:drawing>
      </w:r>
    </w:p>
    <w:p w14:paraId="43DE60AE"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452FD165"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 xml:space="preserve">No obstante, del análisis a la respuesta se advierte que el servidor público habilitado competente sobre este punto de la solicitud, también fue omiso en remitir lo requerido, por lo que atendiendo que es información que genera y administra, resulta procedente ordenar, previa búsqueda exhaustiva y razonable, </w:t>
      </w:r>
      <w:r w:rsidRPr="0090602E">
        <w:rPr>
          <w:rFonts w:ascii="Palatino Linotype" w:eastAsia="Palatino Linotype" w:hAnsi="Palatino Linotype" w:cs="Palatino Linotype"/>
          <w:b/>
          <w:bCs/>
          <w:sz w:val="22"/>
          <w:szCs w:val="22"/>
        </w:rPr>
        <w:t>los acuses en el SAIMEX de las ampliaciones de plazo –prórrogas- para dar atención a las solicitudes de acceso a la información pública que ingresaron en el periodo indicado.</w:t>
      </w:r>
      <w:r w:rsidRPr="0090602E">
        <w:rPr>
          <w:rFonts w:ascii="Palatino Linotype" w:eastAsia="Palatino Linotype" w:hAnsi="Palatino Linotype" w:cs="Palatino Linotype"/>
          <w:sz w:val="22"/>
          <w:szCs w:val="22"/>
        </w:rPr>
        <w:t xml:space="preserve"> </w:t>
      </w:r>
    </w:p>
    <w:p w14:paraId="5680F5E4" w14:textId="77777777" w:rsidR="008E0985" w:rsidRPr="0090602E" w:rsidRDefault="008E09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6622BE"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Quinto. Versión Pública</w:t>
      </w:r>
      <w:r w:rsidRPr="0090602E">
        <w:rPr>
          <w:rFonts w:ascii="Palatino Linotype" w:eastAsia="Palatino Linotype" w:hAnsi="Palatino Linotype" w:cs="Palatino Linotype"/>
          <w:sz w:val="22"/>
          <w:szCs w:val="22"/>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654F909D"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86BBCB7" w14:textId="77777777" w:rsidR="008E0985" w:rsidRPr="0090602E" w:rsidRDefault="00120AA0">
      <w:pPr>
        <w:spacing w:line="360" w:lineRule="auto"/>
        <w:ind w:right="50"/>
        <w:jc w:val="both"/>
        <w:rPr>
          <w:rFonts w:ascii="Palatino Linotype" w:eastAsia="Palatino Linotype" w:hAnsi="Palatino Linotype" w:cs="Palatino Linotype"/>
          <w:sz w:val="22"/>
          <w:szCs w:val="22"/>
        </w:rPr>
      </w:pPr>
      <w:bookmarkStart w:id="10" w:name="_heading=h.k0ps6viq26df" w:colFirst="0" w:colLast="0"/>
      <w:bookmarkEnd w:id="10"/>
      <w:r w:rsidRPr="0090602E">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18337E9E" w14:textId="77777777" w:rsidR="008E0985" w:rsidRPr="0090602E" w:rsidRDefault="008E0985">
      <w:pPr>
        <w:spacing w:line="360" w:lineRule="auto"/>
        <w:ind w:right="50"/>
        <w:jc w:val="both"/>
        <w:rPr>
          <w:rFonts w:ascii="Palatino Linotype" w:eastAsia="Palatino Linotype" w:hAnsi="Palatino Linotype" w:cs="Palatino Linotype"/>
          <w:sz w:val="22"/>
          <w:szCs w:val="22"/>
        </w:rPr>
      </w:pPr>
    </w:p>
    <w:p w14:paraId="0A8D277A"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Artículo 3.</w:t>
      </w:r>
      <w:r w:rsidRPr="0090602E">
        <w:rPr>
          <w:rFonts w:ascii="Palatino Linotype" w:eastAsia="Palatino Linotype" w:hAnsi="Palatino Linotype" w:cs="Palatino Linotype"/>
          <w:i/>
          <w:iCs/>
          <w:sz w:val="22"/>
          <w:szCs w:val="22"/>
        </w:rPr>
        <w:t xml:space="preserve"> Para los efectos de la presente Ley se entenderá por:</w:t>
      </w:r>
    </w:p>
    <w:p w14:paraId="64303003"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27AEC1E0"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76507F98"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XX. Información clasificada: Aquella considerada por la presente Ley como reservada o confidencial;</w:t>
      </w:r>
    </w:p>
    <w:p w14:paraId="093BE687"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A0789B4"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6E3AB539"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5D474F0E"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Artículo 91.</w:t>
      </w:r>
      <w:r w:rsidRPr="0090602E">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13B0B5F6"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Artículo 132.</w:t>
      </w:r>
      <w:r w:rsidRPr="0090602E">
        <w:rPr>
          <w:rFonts w:ascii="Palatino Linotype" w:eastAsia="Palatino Linotype" w:hAnsi="Palatino Linotype" w:cs="Palatino Linotype"/>
          <w:i/>
          <w:iCs/>
          <w:sz w:val="22"/>
          <w:szCs w:val="22"/>
        </w:rPr>
        <w:t xml:space="preserve"> La clasificación de la información se llevará a cabo en el momento en que:</w:t>
      </w:r>
    </w:p>
    <w:p w14:paraId="7D416B17" w14:textId="77777777" w:rsidR="008E0985" w:rsidRPr="0090602E" w:rsidRDefault="00120AA0">
      <w:pPr>
        <w:tabs>
          <w:tab w:val="left" w:pos="1134"/>
        </w:tabs>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 Se reciba una solicitud de acceso a la información;</w:t>
      </w:r>
    </w:p>
    <w:p w14:paraId="51B6518F" w14:textId="77777777" w:rsidR="008E0985" w:rsidRPr="0090602E" w:rsidRDefault="00120AA0">
      <w:pPr>
        <w:tabs>
          <w:tab w:val="left" w:pos="1134"/>
        </w:tabs>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 Se determine mediante resolución de autoridad competente; o</w:t>
      </w:r>
    </w:p>
    <w:p w14:paraId="5A63ACB2" w14:textId="77777777" w:rsidR="008E0985" w:rsidRPr="0090602E" w:rsidRDefault="00120AA0">
      <w:pPr>
        <w:tabs>
          <w:tab w:val="left" w:pos="1134"/>
        </w:tabs>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3CE50906"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3997F549"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Artículo 143</w:t>
      </w:r>
      <w:r w:rsidRPr="0090602E">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15A9BDA6"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2BDD51C3"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496721D"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7AA4BF4A"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D4B6449"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052F54C" w14:textId="77777777" w:rsidR="008E0985" w:rsidRPr="0090602E" w:rsidRDefault="008E0985">
      <w:pPr>
        <w:ind w:left="567" w:right="616"/>
        <w:jc w:val="both"/>
        <w:rPr>
          <w:rFonts w:ascii="Palatino Linotype" w:eastAsia="Palatino Linotype" w:hAnsi="Palatino Linotype" w:cs="Palatino Linotype"/>
          <w:i/>
          <w:iCs/>
          <w:sz w:val="22"/>
          <w:szCs w:val="22"/>
        </w:rPr>
      </w:pPr>
    </w:p>
    <w:p w14:paraId="399947F7"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86AA32D"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3E02C406"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0B26E962"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6ED407DA"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 “</w:t>
      </w:r>
      <w:r w:rsidRPr="0090602E">
        <w:rPr>
          <w:rFonts w:ascii="Palatino Linotype" w:eastAsia="Palatino Linotype" w:hAnsi="Palatino Linotype" w:cs="Palatino Linotype"/>
          <w:b/>
          <w:bCs/>
          <w:i/>
          <w:iCs/>
          <w:sz w:val="22"/>
          <w:szCs w:val="22"/>
        </w:rPr>
        <w:t>Quincuagésimo</w:t>
      </w:r>
      <w:r w:rsidRPr="0090602E">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73E1953"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Quincuagésimo primero.</w:t>
      </w:r>
      <w:r w:rsidRPr="0090602E">
        <w:rPr>
          <w:rFonts w:ascii="Palatino Linotype" w:eastAsia="Palatino Linotype" w:hAnsi="Palatino Linotype" w:cs="Palatino Linotype"/>
          <w:i/>
          <w:iCs/>
          <w:sz w:val="22"/>
          <w:szCs w:val="22"/>
        </w:rPr>
        <w:t xml:space="preserve"> Toda acta del Comité de Transparencia deberá contener: </w:t>
      </w:r>
    </w:p>
    <w:p w14:paraId="045E6AFC"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 El número de sesión y fecha; </w:t>
      </w:r>
    </w:p>
    <w:p w14:paraId="353AF341"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II. El nombre del área que solicitó la clasificación de información; </w:t>
      </w:r>
    </w:p>
    <w:p w14:paraId="3192D6D0"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III. La fundamentación legal y motivación correspondiente; </w:t>
      </w:r>
    </w:p>
    <w:p w14:paraId="6947A700"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IV. La resolución o resoluciones aprobadas; y </w:t>
      </w:r>
    </w:p>
    <w:p w14:paraId="7CDEA91A"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V. La rúbrica o firma digital de cada integrante del Comité de Transparencia. </w:t>
      </w:r>
    </w:p>
    <w:p w14:paraId="050A3F30"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7526C7E9"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 Los motivos y razonamientos que sustenten la confirmación o modificación de la prueba de daño;</w:t>
      </w:r>
    </w:p>
    <w:p w14:paraId="6BD02DAD"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II. Descripción de las partes o secciones reservadas, en caso de clasificación parcial; </w:t>
      </w:r>
    </w:p>
    <w:p w14:paraId="2C7545C0"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III. El periodo por el que mantendrá su clasificación y fecha de expiración; y </w:t>
      </w:r>
    </w:p>
    <w:p w14:paraId="2A01B2FD"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1E3C5E64"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CFDEAF0"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42AAD0B"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Quincuagésimo segundo.</w:t>
      </w:r>
      <w:r w:rsidRPr="0090602E">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90602E">
        <w:rPr>
          <w:rFonts w:ascii="Palatino Linotype" w:eastAsia="Palatino Linotype" w:hAnsi="Palatino Linotype" w:cs="Palatino Linotype"/>
          <w:i/>
          <w:iCs/>
          <w:sz w:val="22"/>
          <w:szCs w:val="22"/>
        </w:rPr>
        <w:t>sobreposición</w:t>
      </w:r>
      <w:proofErr w:type="spellEnd"/>
      <w:r w:rsidRPr="0090602E">
        <w:rPr>
          <w:rFonts w:ascii="Palatino Linotype" w:eastAsia="Palatino Linotype" w:hAnsi="Palatino Linotype" w:cs="Palatino Linotype"/>
          <w:i/>
          <w:iCs/>
          <w:sz w:val="22"/>
          <w:szCs w:val="22"/>
        </w:rPr>
        <w:t xml:space="preserve"> de contenido distinto al autorizado por el Comité.</w:t>
      </w:r>
    </w:p>
    <w:p w14:paraId="743D26C8"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6905B1CD"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1A82FC16"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2E0DA013"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III. Señalar las personas o instancias autorizadas a acceder a la información clasificada.</w:t>
      </w:r>
    </w:p>
    <w:p w14:paraId="5BC2C8B3"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5A9A6606" w14:textId="77777777" w:rsidR="008E0985" w:rsidRPr="0090602E" w:rsidRDefault="008E0985">
      <w:pPr>
        <w:ind w:left="567" w:right="616"/>
        <w:jc w:val="both"/>
        <w:rPr>
          <w:rFonts w:ascii="Palatino Linotype" w:eastAsia="Palatino Linotype" w:hAnsi="Palatino Linotype" w:cs="Palatino Linotype"/>
          <w:i/>
          <w:iCs/>
          <w:sz w:val="22"/>
          <w:szCs w:val="22"/>
        </w:rPr>
      </w:pPr>
    </w:p>
    <w:p w14:paraId="7048DCB4"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3647CE24"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7BBC1284" w14:textId="77777777" w:rsidR="008E0985" w:rsidRPr="0090602E" w:rsidRDefault="00120AA0">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r w:rsidRPr="0090602E">
        <w:rPr>
          <w:rFonts w:ascii="Palatino Linotype" w:eastAsia="Palatino Linotype" w:hAnsi="Palatino Linotype" w:cs="Palatino Linotype"/>
          <w:b/>
          <w:bCs/>
          <w:i/>
          <w:iCs/>
          <w:sz w:val="22"/>
          <w:szCs w:val="22"/>
        </w:rPr>
        <w:t>Quincuagésimo cuarto.</w:t>
      </w:r>
      <w:r w:rsidRPr="0090602E">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91F512E"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Quincuagésimo quinto.</w:t>
      </w:r>
      <w:r w:rsidRPr="0090602E">
        <w:rPr>
          <w:rFonts w:ascii="Palatino Linotype" w:eastAsia="Palatino Linotype" w:hAnsi="Palatino Linotype" w:cs="Palatino Linotype"/>
          <w:i/>
          <w:iCs/>
          <w:sz w:val="22"/>
          <w:szCs w:val="22"/>
        </w:rPr>
        <w:t xml:space="preserve"> Cada área del sujeto obligado podrá designar formalmente a una o más personas como responsables del </w:t>
      </w:r>
      <w:proofErr w:type="spellStart"/>
      <w:r w:rsidRPr="0090602E">
        <w:rPr>
          <w:rFonts w:ascii="Palatino Linotype" w:eastAsia="Palatino Linotype" w:hAnsi="Palatino Linotype" w:cs="Palatino Linotype"/>
          <w:i/>
          <w:iCs/>
          <w:sz w:val="22"/>
          <w:szCs w:val="22"/>
        </w:rPr>
        <w:t>testado</w:t>
      </w:r>
      <w:proofErr w:type="spellEnd"/>
      <w:r w:rsidRPr="0090602E">
        <w:rPr>
          <w:rFonts w:ascii="Palatino Linotype" w:eastAsia="Palatino Linotype" w:hAnsi="Palatino Linotype" w:cs="Palatino Linotype"/>
          <w:i/>
          <w:iCs/>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17A3C09"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w:t>
      </w:r>
    </w:p>
    <w:p w14:paraId="095DF585"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b/>
          <w:bCs/>
          <w:i/>
          <w:iCs/>
          <w:sz w:val="22"/>
          <w:szCs w:val="22"/>
        </w:rPr>
        <w:t>Quincuagésimo séptimo.</w:t>
      </w:r>
      <w:r w:rsidRPr="0090602E">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74A0B765"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54A893DA"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623CFD44"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8CD0932"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CE6A7CB" w14:textId="77777777" w:rsidR="008E0985" w:rsidRPr="0090602E" w:rsidRDefault="00120AA0">
      <w:pPr>
        <w:ind w:left="567" w:right="616"/>
        <w:jc w:val="both"/>
        <w:rPr>
          <w:rFonts w:ascii="Palatino Linotype" w:eastAsia="Palatino Linotype" w:hAnsi="Palatino Linotype" w:cs="Palatino Linotype"/>
          <w:i/>
          <w:iCs/>
          <w:sz w:val="22"/>
          <w:szCs w:val="22"/>
        </w:rPr>
      </w:pPr>
      <w:r w:rsidRPr="0090602E">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7BFEE69" w14:textId="77777777" w:rsidR="008E0985" w:rsidRPr="0090602E" w:rsidRDefault="008E0985">
      <w:pPr>
        <w:ind w:left="567" w:right="616"/>
        <w:jc w:val="both"/>
        <w:rPr>
          <w:rFonts w:ascii="Palatino Linotype" w:eastAsia="Palatino Linotype" w:hAnsi="Palatino Linotype" w:cs="Palatino Linotype"/>
          <w:i/>
          <w:iCs/>
          <w:sz w:val="22"/>
          <w:szCs w:val="22"/>
        </w:rPr>
      </w:pPr>
    </w:p>
    <w:p w14:paraId="292A1FEB"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01731D1" w14:textId="77777777" w:rsidR="008E0985" w:rsidRPr="0090602E" w:rsidRDefault="008E098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4DF08A7" w14:textId="77777777" w:rsidR="008E0985" w:rsidRPr="0090602E" w:rsidRDefault="00120AA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1B5BAD76" w14:textId="77777777" w:rsidR="008E0985" w:rsidRPr="0090602E" w:rsidRDefault="008E0985">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1A4396" w14:textId="77777777" w:rsidR="008E0985" w:rsidRPr="0090602E" w:rsidRDefault="00120AA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1" w:name="_heading=h.ijv98pntcd5s" w:colFirst="0" w:colLast="0"/>
      <w:bookmarkEnd w:id="11"/>
      <w:r w:rsidRPr="0090602E">
        <w:rPr>
          <w:rFonts w:ascii="Palatino Linotype" w:eastAsia="Palatino Linotype" w:hAnsi="Palatino Linotype" w:cs="Palatino Linotype"/>
          <w:b/>
          <w:bCs/>
          <w:sz w:val="22"/>
          <w:szCs w:val="22"/>
        </w:rPr>
        <w:t>III. R E S U E L V E</w:t>
      </w:r>
    </w:p>
    <w:p w14:paraId="359FA26A" w14:textId="77777777" w:rsidR="008E0985" w:rsidRPr="0090602E" w:rsidRDefault="008E0985">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14:paraId="48269CF1" w14:textId="77777777" w:rsidR="008E0985" w:rsidRPr="0090602E" w:rsidRDefault="00120AA0">
      <w:pPr>
        <w:spacing w:line="360" w:lineRule="auto"/>
        <w:jc w:val="both"/>
        <w:rPr>
          <w:rFonts w:ascii="Palatino Linotype" w:eastAsia="Palatino Linotype" w:hAnsi="Palatino Linotype" w:cs="Palatino Linotype"/>
          <w:b/>
          <w:bCs/>
          <w:sz w:val="22"/>
          <w:szCs w:val="22"/>
        </w:rPr>
      </w:pPr>
      <w:bookmarkStart w:id="13" w:name="_heading=h.h7nzb79wlra" w:colFirst="0" w:colLast="0"/>
      <w:bookmarkEnd w:id="13"/>
      <w:r w:rsidRPr="0090602E">
        <w:rPr>
          <w:rFonts w:ascii="Palatino Linotype" w:eastAsia="Palatino Linotype" w:hAnsi="Palatino Linotype" w:cs="Palatino Linotype"/>
          <w:b/>
          <w:bCs/>
          <w:sz w:val="22"/>
          <w:szCs w:val="22"/>
        </w:rPr>
        <w:t xml:space="preserve">Primero. </w:t>
      </w:r>
      <w:r w:rsidRPr="0090602E">
        <w:rPr>
          <w:rFonts w:ascii="Palatino Linotype" w:eastAsia="Palatino Linotype" w:hAnsi="Palatino Linotype" w:cs="Palatino Linotype"/>
          <w:sz w:val="22"/>
          <w:szCs w:val="22"/>
        </w:rPr>
        <w:t xml:space="preserve">Resultan </w:t>
      </w:r>
      <w:r w:rsidRPr="0090602E">
        <w:rPr>
          <w:rFonts w:ascii="Palatino Linotype" w:eastAsia="Palatino Linotype" w:hAnsi="Palatino Linotype" w:cs="Palatino Linotype"/>
          <w:b/>
          <w:bCs/>
          <w:sz w:val="22"/>
          <w:szCs w:val="22"/>
        </w:rPr>
        <w:t>parcialmente fundadas</w:t>
      </w:r>
      <w:r w:rsidRPr="0090602E">
        <w:rPr>
          <w:rFonts w:ascii="Palatino Linotype" w:eastAsia="Palatino Linotype" w:hAnsi="Palatino Linotype" w:cs="Palatino Linotype"/>
          <w:sz w:val="22"/>
          <w:szCs w:val="22"/>
        </w:rPr>
        <w:t xml:space="preserve"> las razones o motivos de inconformidad hechos valer por la parte</w:t>
      </w:r>
      <w:r w:rsidRPr="0090602E">
        <w:rPr>
          <w:rFonts w:ascii="Palatino Linotype" w:eastAsia="Palatino Linotype" w:hAnsi="Palatino Linotype" w:cs="Palatino Linotype"/>
          <w:b/>
          <w:bCs/>
          <w:sz w:val="22"/>
          <w:szCs w:val="22"/>
        </w:rPr>
        <w:t xml:space="preserve"> Recurrente</w:t>
      </w:r>
      <w:r w:rsidRPr="0090602E">
        <w:rPr>
          <w:rFonts w:ascii="Palatino Linotype" w:eastAsia="Palatino Linotype" w:hAnsi="Palatino Linotype" w:cs="Palatino Linotype"/>
          <w:sz w:val="22"/>
          <w:szCs w:val="22"/>
        </w:rPr>
        <w:t xml:space="preserve"> en el recurso de revisión </w:t>
      </w:r>
      <w:r w:rsidRPr="0090602E">
        <w:rPr>
          <w:rFonts w:ascii="Palatino Linotype" w:eastAsia="Palatino Linotype" w:hAnsi="Palatino Linotype" w:cs="Palatino Linotype"/>
          <w:b/>
          <w:bCs/>
          <w:sz w:val="22"/>
          <w:szCs w:val="22"/>
        </w:rPr>
        <w:t>06734/INFOEM/IP/RR/2025</w:t>
      </w:r>
      <w:r w:rsidRPr="0090602E">
        <w:rPr>
          <w:rFonts w:ascii="Palatino Linotype" w:eastAsia="Palatino Linotype" w:hAnsi="Palatino Linotype" w:cs="Palatino Linotype"/>
          <w:sz w:val="22"/>
          <w:szCs w:val="22"/>
        </w:rPr>
        <w:t xml:space="preserve">; por lo que, en términos del </w:t>
      </w:r>
      <w:r w:rsidRPr="0090602E">
        <w:rPr>
          <w:rFonts w:ascii="Palatino Linotype" w:eastAsia="Palatino Linotype" w:hAnsi="Palatino Linotype" w:cs="Palatino Linotype"/>
          <w:b/>
          <w:bCs/>
          <w:sz w:val="22"/>
          <w:szCs w:val="22"/>
        </w:rPr>
        <w:t>Considerando</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 xml:space="preserve">Cuarto </w:t>
      </w:r>
      <w:r w:rsidRPr="0090602E">
        <w:rPr>
          <w:rFonts w:ascii="Palatino Linotype" w:eastAsia="Palatino Linotype" w:hAnsi="Palatino Linotype" w:cs="Palatino Linotype"/>
          <w:sz w:val="22"/>
          <w:szCs w:val="22"/>
        </w:rPr>
        <w:t xml:space="preserve">de esta resolución, se </w:t>
      </w:r>
      <w:r w:rsidRPr="0090602E">
        <w:rPr>
          <w:rFonts w:ascii="Palatino Linotype" w:eastAsia="Palatino Linotype" w:hAnsi="Palatino Linotype" w:cs="Palatino Linotype"/>
          <w:b/>
          <w:bCs/>
          <w:sz w:val="22"/>
          <w:szCs w:val="22"/>
        </w:rPr>
        <w:t xml:space="preserve">Modifica </w:t>
      </w:r>
      <w:r w:rsidRPr="0090602E">
        <w:rPr>
          <w:rFonts w:ascii="Palatino Linotype" w:eastAsia="Palatino Linotype" w:hAnsi="Palatino Linotype" w:cs="Palatino Linotype"/>
          <w:sz w:val="22"/>
          <w:szCs w:val="22"/>
        </w:rPr>
        <w:t xml:space="preserve">la respuesta emitida por el </w:t>
      </w:r>
      <w:r w:rsidRPr="0090602E">
        <w:rPr>
          <w:rFonts w:ascii="Palatino Linotype" w:eastAsia="Palatino Linotype" w:hAnsi="Palatino Linotype" w:cs="Palatino Linotype"/>
          <w:b/>
          <w:bCs/>
          <w:sz w:val="22"/>
          <w:szCs w:val="22"/>
        </w:rPr>
        <w:t>Sujeto Obligado.</w:t>
      </w:r>
    </w:p>
    <w:p w14:paraId="0C5F9AA0" w14:textId="77777777" w:rsidR="008E0985" w:rsidRPr="0090602E" w:rsidRDefault="008E0985">
      <w:pPr>
        <w:spacing w:line="360" w:lineRule="auto"/>
        <w:jc w:val="both"/>
        <w:rPr>
          <w:rFonts w:ascii="Palatino Linotype" w:eastAsia="Palatino Linotype" w:hAnsi="Palatino Linotype" w:cs="Palatino Linotype"/>
          <w:b/>
          <w:bCs/>
          <w:sz w:val="22"/>
          <w:szCs w:val="22"/>
        </w:rPr>
      </w:pPr>
    </w:p>
    <w:p w14:paraId="4ABBB421" w14:textId="77777777" w:rsidR="008E0985" w:rsidRPr="0090602E" w:rsidRDefault="00120AA0">
      <w:pPr>
        <w:spacing w:line="360" w:lineRule="auto"/>
        <w:jc w:val="both"/>
        <w:rPr>
          <w:rFonts w:ascii="Palatino Linotype" w:eastAsia="Palatino Linotype" w:hAnsi="Palatino Linotype" w:cs="Palatino Linotype"/>
          <w:sz w:val="22"/>
          <w:szCs w:val="22"/>
        </w:rPr>
      </w:pPr>
      <w:bookmarkStart w:id="14" w:name="_heading=h.2et92p0" w:colFirst="0" w:colLast="0"/>
      <w:bookmarkEnd w:id="14"/>
      <w:r w:rsidRPr="0090602E">
        <w:rPr>
          <w:rFonts w:ascii="Palatino Linotype" w:eastAsia="Palatino Linotype" w:hAnsi="Palatino Linotype" w:cs="Palatino Linotype"/>
          <w:b/>
          <w:bCs/>
          <w:sz w:val="22"/>
          <w:szCs w:val="22"/>
        </w:rPr>
        <w:t xml:space="preserve">Segundo. </w:t>
      </w:r>
      <w:r w:rsidRPr="0090602E">
        <w:rPr>
          <w:rFonts w:ascii="Palatino Linotype" w:eastAsia="Palatino Linotype" w:hAnsi="Palatino Linotype" w:cs="Palatino Linotype"/>
          <w:sz w:val="22"/>
          <w:szCs w:val="22"/>
        </w:rPr>
        <w:t xml:space="preserve">Se </w:t>
      </w:r>
      <w:r w:rsidRPr="0090602E">
        <w:rPr>
          <w:rFonts w:ascii="Palatino Linotype" w:eastAsia="Palatino Linotype" w:hAnsi="Palatino Linotype" w:cs="Palatino Linotype"/>
          <w:b/>
          <w:bCs/>
          <w:sz w:val="22"/>
          <w:szCs w:val="22"/>
        </w:rPr>
        <w:t>Ordena</w:t>
      </w:r>
      <w:r w:rsidRPr="0090602E">
        <w:rPr>
          <w:rFonts w:ascii="Palatino Linotype" w:eastAsia="Palatino Linotype" w:hAnsi="Palatino Linotype" w:cs="Palatino Linotype"/>
          <w:sz w:val="22"/>
          <w:szCs w:val="22"/>
        </w:rPr>
        <w:t xml:space="preserve"> al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en términos de los considerandos </w:t>
      </w:r>
      <w:r w:rsidRPr="0090602E">
        <w:rPr>
          <w:rFonts w:ascii="Palatino Linotype" w:eastAsia="Palatino Linotype" w:hAnsi="Palatino Linotype" w:cs="Palatino Linotype"/>
          <w:b/>
          <w:bCs/>
          <w:sz w:val="22"/>
          <w:szCs w:val="22"/>
        </w:rPr>
        <w:t xml:space="preserve">Cuarto y Quinto </w:t>
      </w:r>
      <w:r w:rsidRPr="0090602E">
        <w:rPr>
          <w:rFonts w:ascii="Palatino Linotype" w:eastAsia="Palatino Linotype" w:hAnsi="Palatino Linotype" w:cs="Palatino Linotype"/>
          <w:sz w:val="22"/>
          <w:szCs w:val="22"/>
        </w:rPr>
        <w:t xml:space="preserve">de esta resolución, </w:t>
      </w:r>
      <w:r w:rsidRPr="0090602E">
        <w:rPr>
          <w:rFonts w:ascii="Palatino Linotype" w:eastAsia="Palatino Linotype" w:hAnsi="Palatino Linotype" w:cs="Palatino Linotype"/>
          <w:b/>
          <w:bCs/>
          <w:sz w:val="22"/>
          <w:szCs w:val="22"/>
        </w:rPr>
        <w:t>haga entrega vía Sistema de Acceso a la Información Mexiquense (SAIMEX)</w:t>
      </w:r>
      <w:r w:rsidRPr="0090602E">
        <w:rPr>
          <w:rFonts w:ascii="Palatino Linotype" w:eastAsia="Palatino Linotype" w:hAnsi="Palatino Linotype" w:cs="Palatino Linotype"/>
          <w:b/>
          <w:bCs/>
          <w:sz w:val="22"/>
          <w:szCs w:val="22"/>
          <w:u w:val="single"/>
        </w:rPr>
        <w:t>, previa búsqueda exhaustiva y razonable, de ser procedente en versión pública, el documento donde conste o se advierta, respecto del periodo comprendido del 01 de enero al 23 de abril de 2025, lo siguiente</w:t>
      </w:r>
      <w:r w:rsidRPr="0090602E">
        <w:rPr>
          <w:rFonts w:ascii="Palatino Linotype" w:eastAsia="Palatino Linotype" w:hAnsi="Palatino Linotype" w:cs="Palatino Linotype"/>
          <w:sz w:val="22"/>
          <w:szCs w:val="22"/>
        </w:rPr>
        <w:t>:</w:t>
      </w:r>
    </w:p>
    <w:p w14:paraId="1DFA452F" w14:textId="77777777" w:rsidR="008E0985" w:rsidRPr="0090602E" w:rsidRDefault="00120AA0">
      <w:pPr>
        <w:numPr>
          <w:ilvl w:val="0"/>
          <w:numId w:val="2"/>
        </w:numPr>
        <w:pBdr>
          <w:top w:val="nil"/>
          <w:left w:val="nil"/>
          <w:bottom w:val="nil"/>
          <w:right w:val="nil"/>
          <w:between w:val="nil"/>
        </w:pBdr>
        <w:spacing w:before="240" w:line="360" w:lineRule="auto"/>
        <w:ind w:right="49"/>
        <w:jc w:val="both"/>
        <w:rPr>
          <w:rFonts w:ascii="Palatino Linotype" w:eastAsia="Palatino Linotype" w:hAnsi="Palatino Linotype" w:cs="Palatino Linotype"/>
          <w:b/>
          <w:bCs/>
          <w:strike/>
          <w:sz w:val="22"/>
          <w:szCs w:val="22"/>
        </w:rPr>
      </w:pPr>
      <w:bookmarkStart w:id="15" w:name="_heading=h.59npxyxpomjd" w:colFirst="0" w:colLast="0"/>
      <w:bookmarkEnd w:id="15"/>
      <w:r w:rsidRPr="0090602E">
        <w:rPr>
          <w:rFonts w:ascii="Palatino Linotype" w:eastAsia="Palatino Linotype" w:hAnsi="Palatino Linotype" w:cs="Palatino Linotype"/>
          <w:b/>
          <w:bCs/>
          <w:sz w:val="22"/>
          <w:szCs w:val="22"/>
        </w:rPr>
        <w:t>Los acuses de las solicitudes de acceso a la información ingresadas vía SAIMEX en el periodo indicado, en las que se solicitó por parte del servidor público habilitado competente ampliación del plazo -prorroga- para dar atención a las mismas.</w:t>
      </w:r>
    </w:p>
    <w:p w14:paraId="253CE4D5"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b/>
          <w:bCs/>
          <w:strike/>
          <w:sz w:val="22"/>
          <w:szCs w:val="22"/>
        </w:rPr>
      </w:pPr>
    </w:p>
    <w:p w14:paraId="2C23812B" w14:textId="77777777" w:rsidR="008E0985" w:rsidRPr="0090602E" w:rsidRDefault="00120AA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Los oficios faltantes donde servidores públicos habilitados competentes solicitaron a la Unidad de Transparencia prórroga para dar atención a solicitudes de acceso a la información ingresadas en el periodo requerido.</w:t>
      </w:r>
    </w:p>
    <w:p w14:paraId="691F1487" w14:textId="77777777" w:rsidR="008E0985" w:rsidRPr="0090602E" w:rsidRDefault="008E0985">
      <w:pPr>
        <w:pBdr>
          <w:top w:val="nil"/>
          <w:left w:val="nil"/>
          <w:bottom w:val="nil"/>
          <w:right w:val="nil"/>
          <w:between w:val="nil"/>
        </w:pBdr>
        <w:spacing w:line="360" w:lineRule="auto"/>
        <w:ind w:left="360" w:right="49"/>
        <w:jc w:val="both"/>
        <w:rPr>
          <w:rFonts w:ascii="Palatino Linotype" w:eastAsia="Palatino Linotype" w:hAnsi="Palatino Linotype" w:cs="Palatino Linotype"/>
          <w:b/>
          <w:bCs/>
          <w:sz w:val="22"/>
          <w:szCs w:val="22"/>
        </w:rPr>
      </w:pPr>
      <w:bookmarkStart w:id="16" w:name="_heading=h.bk4b7z9py3z1" w:colFirst="0" w:colLast="0"/>
      <w:bookmarkEnd w:id="16"/>
    </w:p>
    <w:p w14:paraId="68636AF0" w14:textId="77777777" w:rsidR="008E0985" w:rsidRPr="0090602E" w:rsidRDefault="00120AA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Las Actas de Sesión del Comité de Transparencia donde se aprobaron prórrogas para dar atención a las solicitudes de acceso a información pública ingresadas en el periodo solicitado.</w:t>
      </w:r>
    </w:p>
    <w:p w14:paraId="490A689B" w14:textId="77777777" w:rsidR="008E0985" w:rsidRPr="0090602E" w:rsidRDefault="008E0985">
      <w:pPr>
        <w:pBdr>
          <w:top w:val="nil"/>
          <w:left w:val="nil"/>
          <w:bottom w:val="nil"/>
          <w:right w:val="nil"/>
          <w:between w:val="nil"/>
        </w:pBdr>
        <w:ind w:left="720"/>
        <w:rPr>
          <w:rFonts w:ascii="Palatino Linotype" w:eastAsia="Palatino Linotype" w:hAnsi="Palatino Linotype" w:cs="Palatino Linotype"/>
          <w:b/>
          <w:bCs/>
          <w:sz w:val="22"/>
          <w:szCs w:val="22"/>
        </w:rPr>
      </w:pPr>
    </w:p>
    <w:p w14:paraId="2F5BDFF8" w14:textId="77777777" w:rsidR="008E0985" w:rsidRPr="0090602E" w:rsidRDefault="00120AA0">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90602E">
        <w:rPr>
          <w:rFonts w:ascii="Palatino Linotype" w:eastAsia="Palatino Linotype" w:hAnsi="Palatino Linotype" w:cs="Palatino Linotype"/>
          <w:b/>
          <w:bCs/>
          <w:sz w:val="22"/>
          <w:szCs w:val="22"/>
        </w:rPr>
        <w:t>Los acuses en el SAIMEX de las ampliaciones de plazo –prórrogas- para dar atención a las solicitudes de acceso a la información pública que ingresaron en el periodo indicado y notificadas en dicho sistema.</w:t>
      </w:r>
    </w:p>
    <w:p w14:paraId="72AC08E1" w14:textId="77777777" w:rsidR="008E0985" w:rsidRPr="0090602E" w:rsidRDefault="008E0985">
      <w:pPr>
        <w:pBdr>
          <w:top w:val="nil"/>
          <w:left w:val="nil"/>
          <w:bottom w:val="nil"/>
          <w:right w:val="nil"/>
          <w:between w:val="nil"/>
        </w:pBdr>
        <w:ind w:left="720"/>
        <w:rPr>
          <w:rFonts w:ascii="Palatino Linotype" w:eastAsia="Palatino Linotype" w:hAnsi="Palatino Linotype" w:cs="Palatino Linotype"/>
          <w:b/>
          <w:bCs/>
          <w:sz w:val="22"/>
          <w:szCs w:val="22"/>
        </w:rPr>
      </w:pPr>
    </w:p>
    <w:p w14:paraId="4CDD8D22" w14:textId="77777777" w:rsidR="008E0985" w:rsidRPr="0090602E" w:rsidRDefault="00120AA0">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90602E">
        <w:rPr>
          <w:rFonts w:ascii="Palatino Linotype" w:eastAsia="Palatino Linotype" w:hAnsi="Palatino Linotype" w:cs="Palatino Linotype"/>
          <w:b/>
          <w:bCs/>
          <w:i/>
          <w:iCs/>
          <w:sz w:val="22"/>
          <w:szCs w:val="22"/>
        </w:rPr>
        <w:t>Recurrente</w:t>
      </w:r>
      <w:r w:rsidRPr="0090602E">
        <w:rPr>
          <w:rFonts w:ascii="Palatino Linotype" w:eastAsia="Palatino Linotype" w:hAnsi="Palatino Linotype" w:cs="Palatino Linotype"/>
          <w:i/>
          <w:iCs/>
          <w:sz w:val="22"/>
          <w:szCs w:val="22"/>
        </w:rPr>
        <w:t>, mismo que igualmente hará de su conocimiento.</w:t>
      </w:r>
      <w:r w:rsidRPr="0090602E">
        <w:rPr>
          <w:rFonts w:ascii="Palatino Linotype" w:eastAsia="Palatino Linotype" w:hAnsi="Palatino Linotype" w:cs="Palatino Linotype"/>
          <w:sz w:val="22"/>
          <w:szCs w:val="22"/>
        </w:rPr>
        <w:t xml:space="preserve"> </w:t>
      </w:r>
    </w:p>
    <w:p w14:paraId="6A7C32AE" w14:textId="77777777" w:rsidR="008E0985" w:rsidRPr="0090602E" w:rsidRDefault="008E0985">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rPr>
      </w:pPr>
    </w:p>
    <w:p w14:paraId="39B13B8A" w14:textId="77777777" w:rsidR="008E0985" w:rsidRPr="0090602E"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 xml:space="preserve">Tercero. Notifíquese, </w:t>
      </w:r>
      <w:r w:rsidRPr="0090602E">
        <w:rPr>
          <w:rFonts w:ascii="Palatino Linotype" w:eastAsia="Palatino Linotype" w:hAnsi="Palatino Linotype" w:cs="Palatino Linotype"/>
          <w:sz w:val="22"/>
          <w:szCs w:val="22"/>
        </w:rPr>
        <w:t xml:space="preserve">vía </w:t>
      </w:r>
      <w:r w:rsidRPr="0090602E">
        <w:rPr>
          <w:rFonts w:ascii="Palatino Linotype" w:eastAsia="Palatino Linotype" w:hAnsi="Palatino Linotype" w:cs="Palatino Linotype"/>
          <w:b/>
          <w:bCs/>
          <w:sz w:val="22"/>
          <w:szCs w:val="22"/>
        </w:rPr>
        <w:t>SAIMEX</w:t>
      </w:r>
      <w:r w:rsidRPr="0090602E">
        <w:rPr>
          <w:rFonts w:ascii="Palatino Linotype" w:eastAsia="Palatino Linotype" w:hAnsi="Palatino Linotype" w:cs="Palatino Linotype"/>
          <w:sz w:val="22"/>
          <w:szCs w:val="22"/>
        </w:rPr>
        <w:t xml:space="preserve">, al Titular de la Unidad de Transparencia del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F460069" w14:textId="77777777" w:rsidR="008E0985" w:rsidRPr="0090602E" w:rsidRDefault="008E0985">
      <w:pPr>
        <w:spacing w:line="360" w:lineRule="auto"/>
        <w:jc w:val="both"/>
        <w:rPr>
          <w:rFonts w:ascii="Palatino Linotype" w:eastAsia="Palatino Linotype" w:hAnsi="Palatino Linotype" w:cs="Palatino Linotype"/>
          <w:sz w:val="22"/>
          <w:szCs w:val="22"/>
        </w:rPr>
      </w:pPr>
    </w:p>
    <w:p w14:paraId="1B8AAFD6" w14:textId="77777777" w:rsidR="008E0985" w:rsidRPr="0090602E" w:rsidRDefault="00120AA0">
      <w:pP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Cuarto.</w:t>
      </w:r>
      <w:r w:rsidRPr="0090602E">
        <w:rPr>
          <w:rFonts w:ascii="Palatino Linotype" w:eastAsia="Palatino Linotype" w:hAnsi="Palatino Linotype" w:cs="Palatino Linotype"/>
          <w:sz w:val="22"/>
          <w:szCs w:val="22"/>
        </w:rPr>
        <w:t xml:space="preserve"> </w:t>
      </w:r>
      <w:r w:rsidRPr="0090602E">
        <w:rPr>
          <w:rFonts w:ascii="Palatino Linotype" w:eastAsia="Palatino Linotype" w:hAnsi="Palatino Linotype" w:cs="Palatino Linotype"/>
          <w:b/>
          <w:bCs/>
          <w:sz w:val="22"/>
          <w:szCs w:val="22"/>
        </w:rPr>
        <w:t xml:space="preserve">Notifíquese, </w:t>
      </w:r>
      <w:r w:rsidRPr="0090602E">
        <w:rPr>
          <w:rFonts w:ascii="Palatino Linotype" w:eastAsia="Palatino Linotype" w:hAnsi="Palatino Linotype" w:cs="Palatino Linotype"/>
          <w:sz w:val="22"/>
          <w:szCs w:val="22"/>
        </w:rPr>
        <w:t xml:space="preserve">vía </w:t>
      </w:r>
      <w:r w:rsidRPr="0090602E">
        <w:rPr>
          <w:rFonts w:ascii="Palatino Linotype" w:eastAsia="Palatino Linotype" w:hAnsi="Palatino Linotype" w:cs="Palatino Linotype"/>
          <w:b/>
          <w:bCs/>
          <w:sz w:val="22"/>
          <w:szCs w:val="22"/>
        </w:rPr>
        <w:t>SAIMEX</w:t>
      </w:r>
      <w:r w:rsidRPr="0090602E">
        <w:rPr>
          <w:rFonts w:ascii="Palatino Linotype" w:eastAsia="Palatino Linotype" w:hAnsi="Palatino Linotype" w:cs="Palatino Linotype"/>
          <w:sz w:val="22"/>
          <w:szCs w:val="22"/>
        </w:rPr>
        <w:t xml:space="preserve">, al Titular de la Unidad de Transparencia del </w:t>
      </w:r>
      <w:r w:rsidRPr="0090602E">
        <w:rPr>
          <w:rFonts w:ascii="Palatino Linotype" w:eastAsia="Palatino Linotype" w:hAnsi="Palatino Linotype" w:cs="Palatino Linotype"/>
          <w:b/>
          <w:bCs/>
          <w:sz w:val="22"/>
          <w:szCs w:val="22"/>
        </w:rPr>
        <w:t>Sujeto Obligado,</w:t>
      </w:r>
      <w:r w:rsidRPr="0090602E">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3288699A" w14:textId="77777777" w:rsidR="008E0985" w:rsidRPr="0090602E" w:rsidRDefault="008E0985">
      <w:pPr>
        <w:spacing w:line="360" w:lineRule="auto"/>
        <w:ind w:right="49"/>
        <w:jc w:val="both"/>
        <w:rPr>
          <w:rFonts w:ascii="Palatino Linotype" w:eastAsia="Palatino Linotype" w:hAnsi="Palatino Linotype" w:cs="Palatino Linotype"/>
          <w:sz w:val="22"/>
          <w:szCs w:val="22"/>
        </w:rPr>
      </w:pPr>
    </w:p>
    <w:p w14:paraId="36481003" w14:textId="77777777" w:rsidR="008E0985" w:rsidRPr="0090602E" w:rsidRDefault="00120AA0">
      <w:pPr>
        <w:spacing w:line="360" w:lineRule="auto"/>
        <w:ind w:right="49"/>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b/>
          <w:bCs/>
          <w:sz w:val="22"/>
          <w:szCs w:val="22"/>
        </w:rPr>
        <w:t xml:space="preserve">Quinto. Notifíquese vía SAIMEX, </w:t>
      </w:r>
      <w:r w:rsidRPr="0090602E">
        <w:rPr>
          <w:rFonts w:ascii="Palatino Linotype" w:eastAsia="Palatino Linotype" w:hAnsi="Palatino Linotype" w:cs="Palatino Linotype"/>
          <w:sz w:val="22"/>
          <w:szCs w:val="22"/>
        </w:rPr>
        <w:t xml:space="preserve">la presente resolución a la parte </w:t>
      </w:r>
      <w:r w:rsidRPr="0090602E">
        <w:rPr>
          <w:rFonts w:ascii="Palatino Linotype" w:eastAsia="Palatino Linotype" w:hAnsi="Palatino Linotype" w:cs="Palatino Linotype"/>
          <w:b/>
          <w:bCs/>
          <w:sz w:val="22"/>
          <w:szCs w:val="22"/>
        </w:rPr>
        <w:t>Recurrente</w:t>
      </w:r>
      <w:r w:rsidRPr="0090602E">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59B1F7B" w14:textId="77777777" w:rsidR="008E0985" w:rsidRPr="0090602E" w:rsidRDefault="008E0985">
      <w:pPr>
        <w:spacing w:line="360" w:lineRule="auto"/>
        <w:ind w:right="49"/>
        <w:jc w:val="both"/>
        <w:rPr>
          <w:rFonts w:ascii="Palatino Linotype" w:eastAsia="Palatino Linotype" w:hAnsi="Palatino Linotype" w:cs="Palatino Linotype"/>
          <w:sz w:val="22"/>
          <w:szCs w:val="22"/>
        </w:rPr>
      </w:pPr>
    </w:p>
    <w:p w14:paraId="2B1363BD" w14:textId="77777777" w:rsidR="008E0985" w:rsidRPr="00BD445A" w:rsidRDefault="00120AA0">
      <w:pPr>
        <w:spacing w:line="360" w:lineRule="auto"/>
        <w:jc w:val="both"/>
        <w:rPr>
          <w:rFonts w:ascii="Palatino Linotype" w:eastAsia="Palatino Linotype" w:hAnsi="Palatino Linotype" w:cs="Palatino Linotype"/>
          <w:sz w:val="22"/>
          <w:szCs w:val="22"/>
        </w:rPr>
      </w:pPr>
      <w:r w:rsidRPr="0090602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r w:rsidRPr="00BD445A">
        <w:rPr>
          <w:rFonts w:ascii="Palatino Linotype" w:eastAsia="Palatino Linotype" w:hAnsi="Palatino Linotype" w:cs="Palatino Linotype"/>
          <w:sz w:val="22"/>
          <w:szCs w:val="22"/>
        </w:rPr>
        <w:t xml:space="preserve"> </w:t>
      </w:r>
    </w:p>
    <w:p w14:paraId="21E60A07"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111B6325" w14:textId="77777777" w:rsidR="008E0985" w:rsidRPr="00BD445A" w:rsidRDefault="008E0985">
      <w:pPr>
        <w:rPr>
          <w:rFonts w:ascii="Palatino Linotype" w:eastAsia="Palatino Linotype" w:hAnsi="Palatino Linotype" w:cs="Palatino Linotype"/>
          <w:sz w:val="22"/>
          <w:szCs w:val="22"/>
        </w:rPr>
      </w:pPr>
      <w:bookmarkStart w:id="17" w:name="_heading=h.17dp8vu" w:colFirst="0" w:colLast="0"/>
      <w:bookmarkEnd w:id="17"/>
    </w:p>
    <w:p w14:paraId="62B7498C" w14:textId="77777777" w:rsidR="008E0985" w:rsidRPr="00BD445A" w:rsidRDefault="008E0985">
      <w:pPr>
        <w:rPr>
          <w:rFonts w:ascii="Palatino Linotype" w:eastAsia="Palatino Linotype" w:hAnsi="Palatino Linotype" w:cs="Palatino Linotype"/>
          <w:sz w:val="22"/>
          <w:szCs w:val="22"/>
        </w:rPr>
      </w:pPr>
    </w:p>
    <w:p w14:paraId="2C8D6829" w14:textId="77777777" w:rsidR="008E0985" w:rsidRPr="00BD445A" w:rsidRDefault="008E0985">
      <w:pPr>
        <w:spacing w:line="360" w:lineRule="auto"/>
        <w:jc w:val="both"/>
        <w:rPr>
          <w:rFonts w:ascii="Palatino Linotype" w:eastAsia="Palatino Linotype" w:hAnsi="Palatino Linotype" w:cs="Palatino Linotype"/>
          <w:sz w:val="22"/>
          <w:szCs w:val="22"/>
        </w:rPr>
      </w:pPr>
      <w:bookmarkStart w:id="18" w:name="_heading=h.3rdcrjn" w:colFirst="0" w:colLast="0"/>
      <w:bookmarkEnd w:id="18"/>
    </w:p>
    <w:p w14:paraId="47E1C0BD"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3AABF651"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72154B3A" w14:textId="77777777" w:rsidR="008E0985" w:rsidRPr="00BD445A" w:rsidRDefault="008E0985">
      <w:pPr>
        <w:spacing w:line="360" w:lineRule="auto"/>
        <w:jc w:val="both"/>
        <w:rPr>
          <w:rFonts w:ascii="Palatino Linotype" w:eastAsia="Palatino Linotype" w:hAnsi="Palatino Linotype" w:cs="Palatino Linotype"/>
          <w:sz w:val="22"/>
          <w:szCs w:val="22"/>
        </w:rPr>
      </w:pPr>
      <w:bookmarkStart w:id="19" w:name="_heading=h.1t3h5sf" w:colFirst="0" w:colLast="0"/>
      <w:bookmarkEnd w:id="19"/>
    </w:p>
    <w:p w14:paraId="35F3ED0D"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69D9E4A9"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67261889"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3B882440"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70E374FA"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610B90D5"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13C01885"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4B795153"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0831C109"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77C72E9D"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2F542DA7"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4B6839CE"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787E8161"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28365582"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477B2C06"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5B54CD2D"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5F501FDF"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1FE396C4"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791B8E21" w14:textId="77777777" w:rsidR="008E0985" w:rsidRPr="00BD445A" w:rsidRDefault="008E0985">
      <w:pPr>
        <w:spacing w:line="360" w:lineRule="auto"/>
        <w:jc w:val="both"/>
        <w:rPr>
          <w:rFonts w:ascii="Palatino Linotype" w:eastAsia="Palatino Linotype" w:hAnsi="Palatino Linotype" w:cs="Palatino Linotype"/>
          <w:sz w:val="22"/>
          <w:szCs w:val="22"/>
        </w:rPr>
      </w:pPr>
    </w:p>
    <w:p w14:paraId="31287948" w14:textId="77777777" w:rsidR="008E0985" w:rsidRPr="00BD445A" w:rsidRDefault="008E0985">
      <w:pPr>
        <w:spacing w:line="360" w:lineRule="auto"/>
        <w:jc w:val="both"/>
        <w:rPr>
          <w:rFonts w:ascii="Palatino Linotype" w:eastAsia="Palatino Linotype" w:hAnsi="Palatino Linotype" w:cs="Palatino Linotype"/>
          <w:sz w:val="22"/>
          <w:szCs w:val="22"/>
        </w:rPr>
      </w:pPr>
    </w:p>
    <w:sectPr w:rsidR="008E0985" w:rsidRPr="00BD445A">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7A681" w14:textId="77777777" w:rsidR="00D81AB2" w:rsidRDefault="00D81AB2">
      <w:r>
        <w:separator/>
      </w:r>
    </w:p>
  </w:endnote>
  <w:endnote w:type="continuationSeparator" w:id="0">
    <w:p w14:paraId="6BAEDC71" w14:textId="77777777" w:rsidR="00D81AB2" w:rsidRDefault="00D8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2970D372-0A41-4B61-B015-DE83ED7CBAD6}"/>
  </w:font>
  <w:font w:name="Calibri">
    <w:panose1 w:val="020F0502020204030204"/>
    <w:charset w:val="00"/>
    <w:family w:val="swiss"/>
    <w:pitch w:val="variable"/>
    <w:sig w:usb0="E00002FF" w:usb1="4000ACFF" w:usb2="00000001" w:usb3="00000000" w:csb0="0000019F" w:csb1="00000000"/>
    <w:embedRegular r:id="rId2" w:fontKey="{6591C967-4F5C-4FEB-A1EE-081CD892BE76}"/>
    <w:embedBold r:id="rId3" w:fontKey="{0BE19BEE-3571-49D9-BFD9-906D2D01DD9D}"/>
  </w:font>
  <w:font w:name="Cambria">
    <w:panose1 w:val="02040503050406030204"/>
    <w:charset w:val="00"/>
    <w:family w:val="roman"/>
    <w:pitch w:val="variable"/>
    <w:sig w:usb0="E00006FF" w:usb1="420024FF" w:usb2="02000000" w:usb3="00000000" w:csb0="0000019F" w:csb1="00000000"/>
    <w:embedRegular r:id="rId4" w:fontKey="{001D08B0-0CB2-435C-B2B4-D7D46FE12562}"/>
    <w:embedBold r:id="rId5" w:fontKey="{A5EB54FB-F412-4A54-93C2-79AD1B249855}"/>
    <w:embedBoldItalic r:id="rId6" w:fontKey="{DBEADF14-63F1-46EE-B9CC-3032D5A6BD3E}"/>
  </w:font>
  <w:font w:name="Segoe UI">
    <w:panose1 w:val="020B0502040204020203"/>
    <w:charset w:val="00"/>
    <w:family w:val="swiss"/>
    <w:pitch w:val="variable"/>
    <w:sig w:usb0="E4002EFF" w:usb1="C000E47F" w:usb2="00000009" w:usb3="00000000" w:csb0="000001FF" w:csb1="00000000"/>
    <w:embedRegular r:id="rId7" w:fontKey="{F24EE352-480F-48A6-88CD-5E6C4982DBD6}"/>
  </w:font>
  <w:font w:name="Georgia">
    <w:panose1 w:val="02040502050405020303"/>
    <w:charset w:val="00"/>
    <w:family w:val="roman"/>
    <w:pitch w:val="variable"/>
    <w:sig w:usb0="00000287" w:usb1="00000000" w:usb2="00000000" w:usb3="00000000" w:csb0="0000009F" w:csb1="00000000"/>
    <w:embedItalic r:id="rId8" w:fontKey="{C2D856AC-2B83-4A90-A9BB-36E53C70B648}"/>
  </w:font>
  <w:font w:name="Palatino Linotype">
    <w:panose1 w:val="02040502050505030304"/>
    <w:charset w:val="00"/>
    <w:family w:val="roman"/>
    <w:pitch w:val="variable"/>
    <w:sig w:usb0="E0000287" w:usb1="40000013" w:usb2="00000000" w:usb3="00000000" w:csb0="0000019F" w:csb1="00000000"/>
    <w:embedRegular r:id="rId9" w:fontKey="{359B6F3D-8B11-4E91-B63C-A0DF14573BBF}"/>
    <w:embedBold r:id="rId10" w:fontKey="{014B02EB-8F71-47BF-8DEB-558C0F56C447}"/>
    <w:embedItalic r:id="rId11" w:fontKey="{B839199C-C745-44E0-AA2A-CD2F89ECC017}"/>
    <w:embedBoldItalic r:id="rId12" w:fontKey="{D28A99BB-0ECF-411E-BDDE-B318ABEED811}"/>
  </w:font>
  <w:font w:name="Verdana">
    <w:panose1 w:val="020B0604030504040204"/>
    <w:charset w:val="00"/>
    <w:family w:val="swiss"/>
    <w:pitch w:val="variable"/>
    <w:sig w:usb0="A00006FF" w:usb1="4000205B" w:usb2="00000010" w:usb3="00000000" w:csb0="0000019F" w:csb1="00000000"/>
    <w:embedBold r:id="rId13" w:fontKey="{08DB8220-9E8B-4A8D-8786-201675E0A78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CF6A" w14:textId="54E1A541" w:rsidR="008E0985" w:rsidRDefault="00120A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C1C20">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C1C20">
      <w:rPr>
        <w:rFonts w:ascii="Palatino Linotype" w:eastAsia="Palatino Linotype" w:hAnsi="Palatino Linotype" w:cs="Palatino Linotype"/>
        <w:b/>
        <w:bCs/>
        <w:noProof/>
        <w:color w:val="000000"/>
        <w:sz w:val="20"/>
        <w:szCs w:val="20"/>
      </w:rPr>
      <w:t>38</w:t>
    </w:r>
    <w:r>
      <w:rPr>
        <w:rFonts w:ascii="Palatino Linotype" w:eastAsia="Palatino Linotype" w:hAnsi="Palatino Linotype" w:cs="Palatino Linotype"/>
        <w:b/>
        <w:bCs/>
        <w:color w:val="000000"/>
        <w:sz w:val="20"/>
        <w:szCs w:val="20"/>
      </w:rPr>
      <w:fldChar w:fldCharType="end"/>
    </w:r>
  </w:p>
  <w:p w14:paraId="60EBD7AB" w14:textId="77777777" w:rsidR="008E0985" w:rsidRDefault="008E098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6E98" w14:textId="0BF82D16" w:rsidR="008E0985" w:rsidRDefault="00120AA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C1C20">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C1C20">
      <w:rPr>
        <w:rFonts w:ascii="Palatino Linotype" w:eastAsia="Palatino Linotype" w:hAnsi="Palatino Linotype" w:cs="Palatino Linotype"/>
        <w:b/>
        <w:bCs/>
        <w:noProof/>
        <w:color w:val="000000"/>
        <w:sz w:val="20"/>
        <w:szCs w:val="20"/>
      </w:rPr>
      <w:t>38</w:t>
    </w:r>
    <w:r>
      <w:rPr>
        <w:rFonts w:ascii="Palatino Linotype" w:eastAsia="Palatino Linotype" w:hAnsi="Palatino Linotype" w:cs="Palatino Linotype"/>
        <w:b/>
        <w:bCs/>
        <w:color w:val="000000"/>
        <w:sz w:val="20"/>
        <w:szCs w:val="20"/>
      </w:rPr>
      <w:fldChar w:fldCharType="end"/>
    </w:r>
  </w:p>
  <w:p w14:paraId="4F5FB63A" w14:textId="77777777" w:rsidR="008E0985" w:rsidRDefault="008E098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C8697" w14:textId="77777777" w:rsidR="00D81AB2" w:rsidRDefault="00D81AB2">
      <w:r>
        <w:separator/>
      </w:r>
    </w:p>
  </w:footnote>
  <w:footnote w:type="continuationSeparator" w:id="0">
    <w:p w14:paraId="6907924A" w14:textId="77777777" w:rsidR="00D81AB2" w:rsidRDefault="00D81AB2">
      <w:r>
        <w:continuationSeparator/>
      </w:r>
    </w:p>
  </w:footnote>
  <w:footnote w:id="1">
    <w:p w14:paraId="42BF4301" w14:textId="77777777" w:rsidR="008E0985" w:rsidRDefault="00120AA0">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E7A5D0C" w14:textId="77777777" w:rsidR="008E0985" w:rsidRDefault="00120AA0">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7506D79" w14:textId="77777777" w:rsidR="008E0985" w:rsidRDefault="00120AA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384AC2C" w14:textId="77777777" w:rsidR="008E0985" w:rsidRDefault="00120AA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D0A6" w14:textId="77777777" w:rsidR="008E0985" w:rsidRDefault="008E0985">
    <w:pPr>
      <w:rPr>
        <w:rFonts w:ascii="Cambria" w:eastAsia="Cambria" w:hAnsi="Cambria" w:cs="Cambria"/>
        <w:color w:val="000000"/>
      </w:rPr>
    </w:pPr>
  </w:p>
  <w:tbl>
    <w:tblPr>
      <w:tblStyle w:val="a"/>
      <w:tblW w:w="7087" w:type="dxa"/>
      <w:tblInd w:w="3261" w:type="dxa"/>
      <w:tblLayout w:type="fixed"/>
      <w:tblLook w:val="0400" w:firstRow="0" w:lastRow="0" w:firstColumn="0" w:lastColumn="0" w:noHBand="0" w:noVBand="1"/>
    </w:tblPr>
    <w:tblGrid>
      <w:gridCol w:w="2489"/>
      <w:gridCol w:w="4598"/>
    </w:tblGrid>
    <w:tr w:rsidR="008E0985" w14:paraId="43F1EFAD" w14:textId="77777777">
      <w:tc>
        <w:tcPr>
          <w:tcW w:w="2489" w:type="dxa"/>
          <w:shd w:val="clear" w:color="auto" w:fill="auto"/>
        </w:tcPr>
        <w:p w14:paraId="641F4DBD"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1FF638E8" w14:textId="77777777" w:rsidR="008E0985" w:rsidRDefault="00120AA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06734/INFOEM/IP/RR/2025</w:t>
          </w:r>
          <w:r>
            <w:rPr>
              <w:noProof/>
            </w:rPr>
            <w:drawing>
              <wp:anchor distT="0" distB="0" distL="0" distR="0" simplePos="0" relativeHeight="251658240" behindDoc="1" locked="0" layoutInCell="1" hidden="0" allowOverlap="1" wp14:anchorId="10B4A523" wp14:editId="7D2FF4B8">
                <wp:simplePos x="0" y="0"/>
                <wp:positionH relativeFrom="column">
                  <wp:posOffset>-4305298</wp:posOffset>
                </wp:positionH>
                <wp:positionV relativeFrom="paragraph">
                  <wp:posOffset>-666113</wp:posOffset>
                </wp:positionV>
                <wp:extent cx="7809865" cy="1016571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8E0985" w14:paraId="661950C4" w14:textId="77777777">
      <w:trPr>
        <w:trHeight w:val="228"/>
      </w:trPr>
      <w:tc>
        <w:tcPr>
          <w:tcW w:w="2489" w:type="dxa"/>
          <w:shd w:val="clear" w:color="auto" w:fill="auto"/>
          <w:vAlign w:val="center"/>
        </w:tcPr>
        <w:p w14:paraId="3384A00F"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01FD1B9F" w14:textId="77777777" w:rsidR="008E0985" w:rsidRDefault="00120AA0">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8E0985" w14:paraId="23022C5D" w14:textId="77777777">
      <w:tc>
        <w:tcPr>
          <w:tcW w:w="2489" w:type="dxa"/>
          <w:shd w:val="clear" w:color="auto" w:fill="auto"/>
          <w:vAlign w:val="center"/>
        </w:tcPr>
        <w:p w14:paraId="743C5D46" w14:textId="77777777" w:rsidR="008E0985" w:rsidRDefault="00120AA0">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4AD330C1" w14:textId="77777777" w:rsidR="008E0985" w:rsidRDefault="00120AA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56CB3DE" w14:textId="77777777" w:rsidR="008E0985" w:rsidRDefault="00120AA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484C4" w14:textId="77777777" w:rsidR="008E0985" w:rsidRDefault="00120AA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3CC4236" wp14:editId="3E14E5C3">
          <wp:simplePos x="0" y="0"/>
          <wp:positionH relativeFrom="column">
            <wp:posOffset>-1079483</wp:posOffset>
          </wp:positionH>
          <wp:positionV relativeFrom="paragraph">
            <wp:posOffset>-328910</wp:posOffset>
          </wp:positionV>
          <wp:extent cx="7809865" cy="1016571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551"/>
      <w:gridCol w:w="4394"/>
    </w:tblGrid>
    <w:tr w:rsidR="008E0985" w14:paraId="3D6D3EFD" w14:textId="77777777">
      <w:tc>
        <w:tcPr>
          <w:tcW w:w="2551" w:type="dxa"/>
          <w:shd w:val="clear" w:color="auto" w:fill="auto"/>
          <w:vAlign w:val="center"/>
        </w:tcPr>
        <w:p w14:paraId="6FA63C7A"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576AF607" w14:textId="77777777" w:rsidR="008E0985" w:rsidRDefault="00120AA0">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06734/INFOEM/IP/RR/2025</w:t>
          </w:r>
        </w:p>
      </w:tc>
    </w:tr>
    <w:tr w:rsidR="008E0985" w14:paraId="6E0B92EA" w14:textId="77777777">
      <w:trPr>
        <w:trHeight w:val="130"/>
      </w:trPr>
      <w:tc>
        <w:tcPr>
          <w:tcW w:w="2551" w:type="dxa"/>
          <w:shd w:val="clear" w:color="auto" w:fill="auto"/>
          <w:vAlign w:val="center"/>
        </w:tcPr>
        <w:p w14:paraId="23163E96"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276BCFB1" w14:textId="77777777" w:rsidR="008E0985" w:rsidRDefault="008E0985">
          <w:pPr>
            <w:ind w:left="-45" w:right="1444"/>
            <w:jc w:val="both"/>
            <w:rPr>
              <w:rFonts w:ascii="Palatino Linotype" w:eastAsia="Palatino Linotype" w:hAnsi="Palatino Linotype" w:cs="Palatino Linotype"/>
              <w:b/>
              <w:bCs/>
              <w:sz w:val="22"/>
              <w:szCs w:val="22"/>
            </w:rPr>
          </w:pPr>
        </w:p>
      </w:tc>
    </w:tr>
    <w:tr w:rsidR="008E0985" w14:paraId="74252A90" w14:textId="77777777">
      <w:trPr>
        <w:trHeight w:val="228"/>
      </w:trPr>
      <w:tc>
        <w:tcPr>
          <w:tcW w:w="2551" w:type="dxa"/>
          <w:shd w:val="clear" w:color="auto" w:fill="auto"/>
          <w:vAlign w:val="center"/>
        </w:tcPr>
        <w:p w14:paraId="4D0FFE23"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79956A8A" w14:textId="77777777" w:rsidR="008E0985" w:rsidRDefault="00120AA0">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8E0985" w14:paraId="6627F151" w14:textId="77777777">
      <w:tc>
        <w:tcPr>
          <w:tcW w:w="2551" w:type="dxa"/>
          <w:shd w:val="clear" w:color="auto" w:fill="auto"/>
          <w:vAlign w:val="center"/>
        </w:tcPr>
        <w:p w14:paraId="50DECF05" w14:textId="77777777" w:rsidR="008E0985" w:rsidRDefault="00120AA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0EB8E4A3" w14:textId="77777777" w:rsidR="008E0985" w:rsidRDefault="00120AA0">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561A1CB" w14:textId="77777777" w:rsidR="008E0985" w:rsidRDefault="008E0985">
    <w:pPr>
      <w:pBdr>
        <w:top w:val="nil"/>
        <w:left w:val="nil"/>
        <w:bottom w:val="nil"/>
        <w:right w:val="nil"/>
        <w:between w:val="nil"/>
      </w:pBdr>
      <w:tabs>
        <w:tab w:val="center" w:pos="4252"/>
        <w:tab w:val="right" w:pos="8504"/>
      </w:tabs>
      <w:rPr>
        <w:rFonts w:ascii="Cambria" w:eastAsia="Cambria" w:hAnsi="Cambria" w:cs="Cambria"/>
        <w:color w:val="000000"/>
      </w:rPr>
    </w:pPr>
  </w:p>
  <w:p w14:paraId="2D88BBC5" w14:textId="77777777" w:rsidR="008E0985" w:rsidRDefault="008E098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67EB"/>
    <w:multiLevelType w:val="multilevel"/>
    <w:tmpl w:val="F0F44554"/>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6410F12"/>
    <w:multiLevelType w:val="multilevel"/>
    <w:tmpl w:val="B846E440"/>
    <w:lvl w:ilvl="0">
      <w:start w:val="1"/>
      <w:numFmt w:val="decimal"/>
      <w:pStyle w:val="Listaconvietas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E05D6C"/>
    <w:multiLevelType w:val="multilevel"/>
    <w:tmpl w:val="95CC2E0C"/>
    <w:lvl w:ilvl="0">
      <w:start w:val="1"/>
      <w:numFmt w:val="decimal"/>
      <w:lvlText w:val="%1."/>
      <w:lvlJc w:val="left"/>
      <w:pPr>
        <w:ind w:left="360" w:hanging="360"/>
      </w:pPr>
      <w:rPr>
        <w:strike w:val="0"/>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307728F"/>
    <w:multiLevelType w:val="multilevel"/>
    <w:tmpl w:val="4FF4A8F4"/>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85"/>
    <w:rsid w:val="00120AA0"/>
    <w:rsid w:val="004C1C20"/>
    <w:rsid w:val="008E0985"/>
    <w:rsid w:val="0090602E"/>
    <w:rsid w:val="00BD445A"/>
    <w:rsid w:val="00D81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63BF"/>
  <w15:docId w15:val="{BADFD9E4-38D6-40ED-B88E-366E78C5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2"/>
    <w:tblPr>
      <w:tblStyleRowBandSize w:val="1"/>
      <w:tblStyleColBandSize w:val="1"/>
      <w:tblCellMar>
        <w:left w:w="115" w:type="dxa"/>
        <w:right w:w="115" w:type="dxa"/>
      </w:tblCellMar>
    </w:tblPr>
  </w:style>
  <w:style w:type="table" w:customStyle="1" w:styleId="13">
    <w:name w:val="13"/>
    <w:basedOn w:val="TableNormal12"/>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table" w:customStyle="1" w:styleId="17">
    <w:name w:val="1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LF73wKmhe9Xr4mYGKDTnPvss2Q==">CgMxLjAyCWguMWZvYjl0ZTIJaC40ZDM0b2c4MghoLmdqZGd4czIJaC4zZHk2dmttMgloLjMwajB6bGwyCWguMnM4ZXlvMTIIaC50eWpjd3QyCWguM3pueXNoNzIJaC4xeTgxMHR3Mg5oLmswcHM2dmlxMjZkZjIOaC5panY5OHBudGNkNXMyCWguMjZpbjFyZzINaC5oN256Yjc5d2xyYTIJaC4yZXQ5MnAwMg5oLjU5bnB4eXhwb21qZDIOaC5iazRiN3o5cHkzejEyCWguMTdkcDh2dTIJaC4zcmRjcmpuMgloLjF0M2g1c2Y4AHIhMUU5cWYtUDM2eFRXZjVkNVAxZ2ZQVnA2ekl2Szgzcnh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35BA1C-4F00-4157-87F7-80391480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10008</Words>
  <Characters>55050</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2025-12-12T16:27:00Z</cp:lastPrinted>
  <dcterms:created xsi:type="dcterms:W3CDTF">2026-01-20T16:45:00Z</dcterms:created>
  <dcterms:modified xsi:type="dcterms:W3CDTF">2026-01-20T16:45:00Z</dcterms:modified>
</cp:coreProperties>
</file>