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AD39F2" w:rsidRDefault="00AE3DA7" w:rsidP="00AD39F2">
          <w:pPr>
            <w:pStyle w:val="TtulodeTDC"/>
            <w:spacing w:before="0" w:line="240" w:lineRule="auto"/>
            <w:rPr>
              <w:rFonts w:ascii="Palatino Linotype" w:hAnsi="Palatino Linotype"/>
              <w:color w:val="auto"/>
              <w:sz w:val="24"/>
              <w:szCs w:val="24"/>
              <w:lang w:val="es-ES"/>
            </w:rPr>
          </w:pPr>
          <w:r w:rsidRPr="00AD39F2">
            <w:rPr>
              <w:rFonts w:ascii="Palatino Linotype" w:hAnsi="Palatino Linotype"/>
              <w:color w:val="auto"/>
              <w:sz w:val="24"/>
              <w:szCs w:val="24"/>
              <w:lang w:val="es-ES"/>
            </w:rPr>
            <w:t>Contenido</w:t>
          </w:r>
        </w:p>
        <w:p w14:paraId="3EB312A7" w14:textId="77777777" w:rsidR="00AA6EA9" w:rsidRPr="00AD39F2" w:rsidRDefault="00AA6EA9" w:rsidP="00AD39F2">
          <w:pPr>
            <w:spacing w:line="240" w:lineRule="auto"/>
            <w:rPr>
              <w:sz w:val="16"/>
              <w:szCs w:val="16"/>
              <w:lang w:val="es-ES" w:eastAsia="es-MX"/>
            </w:rPr>
          </w:pPr>
        </w:p>
        <w:p w14:paraId="18B03442" w14:textId="2EDF7F70" w:rsidR="00AD39F2" w:rsidRPr="00AD39F2" w:rsidRDefault="00AE3DA7" w:rsidP="00AD39F2">
          <w:pPr>
            <w:pStyle w:val="TDC1"/>
            <w:tabs>
              <w:tab w:val="right" w:leader="dot" w:pos="9034"/>
            </w:tabs>
            <w:rPr>
              <w:rFonts w:asciiTheme="minorHAnsi" w:eastAsiaTheme="minorEastAsia" w:hAnsiTheme="minorHAnsi" w:cstheme="minorBidi"/>
              <w:noProof/>
              <w:szCs w:val="22"/>
              <w:lang w:eastAsia="es-MX"/>
            </w:rPr>
          </w:pPr>
          <w:r w:rsidRPr="00AD39F2">
            <w:rPr>
              <w:sz w:val="16"/>
              <w:szCs w:val="16"/>
            </w:rPr>
            <w:fldChar w:fldCharType="begin"/>
          </w:r>
          <w:r w:rsidRPr="00AD39F2">
            <w:rPr>
              <w:sz w:val="16"/>
              <w:szCs w:val="16"/>
            </w:rPr>
            <w:instrText xml:space="preserve"> TOC \o "1-3" \h \z \u </w:instrText>
          </w:r>
          <w:r w:rsidRPr="00AD39F2">
            <w:rPr>
              <w:sz w:val="16"/>
              <w:szCs w:val="16"/>
            </w:rPr>
            <w:fldChar w:fldCharType="separate"/>
          </w:r>
          <w:hyperlink w:anchor="_Toc200539185" w:history="1">
            <w:r w:rsidR="00AD39F2" w:rsidRPr="00AD39F2">
              <w:rPr>
                <w:rStyle w:val="Hipervnculo"/>
                <w:noProof/>
                <w:color w:val="auto"/>
              </w:rPr>
              <w:t>ANTECEDENTES</w:t>
            </w:r>
            <w:r w:rsidR="00AD39F2" w:rsidRPr="00AD39F2">
              <w:rPr>
                <w:noProof/>
                <w:webHidden/>
              </w:rPr>
              <w:tab/>
            </w:r>
            <w:r w:rsidR="00AD39F2" w:rsidRPr="00AD39F2">
              <w:rPr>
                <w:noProof/>
                <w:webHidden/>
              </w:rPr>
              <w:fldChar w:fldCharType="begin"/>
            </w:r>
            <w:r w:rsidR="00AD39F2" w:rsidRPr="00AD39F2">
              <w:rPr>
                <w:noProof/>
                <w:webHidden/>
              </w:rPr>
              <w:instrText xml:space="preserve"> PAGEREF _Toc200539185 \h </w:instrText>
            </w:r>
            <w:r w:rsidR="00AD39F2" w:rsidRPr="00AD39F2">
              <w:rPr>
                <w:noProof/>
                <w:webHidden/>
              </w:rPr>
            </w:r>
            <w:r w:rsidR="00AD39F2" w:rsidRPr="00AD39F2">
              <w:rPr>
                <w:noProof/>
                <w:webHidden/>
              </w:rPr>
              <w:fldChar w:fldCharType="separate"/>
            </w:r>
            <w:r w:rsidR="00537AE4">
              <w:rPr>
                <w:noProof/>
                <w:webHidden/>
              </w:rPr>
              <w:t>1</w:t>
            </w:r>
            <w:r w:rsidR="00AD39F2" w:rsidRPr="00AD39F2">
              <w:rPr>
                <w:noProof/>
                <w:webHidden/>
              </w:rPr>
              <w:fldChar w:fldCharType="end"/>
            </w:r>
          </w:hyperlink>
        </w:p>
        <w:p w14:paraId="3AD1772F" w14:textId="5E8974FC" w:rsidR="00AD39F2" w:rsidRPr="00AD39F2" w:rsidRDefault="00537AE4" w:rsidP="00AD39F2">
          <w:pPr>
            <w:pStyle w:val="TDC2"/>
            <w:rPr>
              <w:rFonts w:asciiTheme="minorHAnsi" w:eastAsiaTheme="minorEastAsia" w:hAnsiTheme="minorHAnsi" w:cstheme="minorBidi"/>
              <w:noProof/>
              <w:szCs w:val="22"/>
              <w:lang w:eastAsia="es-MX"/>
            </w:rPr>
          </w:pPr>
          <w:hyperlink w:anchor="_Toc200539186" w:history="1">
            <w:r w:rsidR="00AD39F2" w:rsidRPr="00AD39F2">
              <w:rPr>
                <w:rStyle w:val="Hipervnculo"/>
                <w:noProof/>
                <w:color w:val="auto"/>
              </w:rPr>
              <w:t>DE LA SOLICITUD DE INFORMACIÓN</w:t>
            </w:r>
            <w:r w:rsidR="00AD39F2" w:rsidRPr="00AD39F2">
              <w:rPr>
                <w:noProof/>
                <w:webHidden/>
              </w:rPr>
              <w:tab/>
            </w:r>
            <w:r w:rsidR="00AD39F2" w:rsidRPr="00AD39F2">
              <w:rPr>
                <w:noProof/>
                <w:webHidden/>
              </w:rPr>
              <w:fldChar w:fldCharType="begin"/>
            </w:r>
            <w:r w:rsidR="00AD39F2" w:rsidRPr="00AD39F2">
              <w:rPr>
                <w:noProof/>
                <w:webHidden/>
              </w:rPr>
              <w:instrText xml:space="preserve"> PAGEREF _Toc200539186 \h </w:instrText>
            </w:r>
            <w:r w:rsidR="00AD39F2" w:rsidRPr="00AD39F2">
              <w:rPr>
                <w:noProof/>
                <w:webHidden/>
              </w:rPr>
            </w:r>
            <w:r w:rsidR="00AD39F2" w:rsidRPr="00AD39F2">
              <w:rPr>
                <w:noProof/>
                <w:webHidden/>
              </w:rPr>
              <w:fldChar w:fldCharType="separate"/>
            </w:r>
            <w:r>
              <w:rPr>
                <w:noProof/>
                <w:webHidden/>
              </w:rPr>
              <w:t>1</w:t>
            </w:r>
            <w:r w:rsidR="00AD39F2" w:rsidRPr="00AD39F2">
              <w:rPr>
                <w:noProof/>
                <w:webHidden/>
              </w:rPr>
              <w:fldChar w:fldCharType="end"/>
            </w:r>
          </w:hyperlink>
        </w:p>
        <w:p w14:paraId="10D60A30" w14:textId="2AFECE00" w:rsidR="00AD39F2" w:rsidRPr="00AD39F2" w:rsidRDefault="00537AE4" w:rsidP="00AD39F2">
          <w:pPr>
            <w:pStyle w:val="TDC3"/>
            <w:rPr>
              <w:rFonts w:asciiTheme="minorHAnsi" w:eastAsiaTheme="minorEastAsia" w:hAnsiTheme="minorHAnsi" w:cstheme="minorBidi"/>
              <w:noProof/>
              <w:szCs w:val="22"/>
              <w:lang w:eastAsia="es-MX"/>
            </w:rPr>
          </w:pPr>
          <w:hyperlink w:anchor="_Toc200539187" w:history="1">
            <w:r w:rsidR="00AD39F2" w:rsidRPr="00AD39F2">
              <w:rPr>
                <w:rStyle w:val="Hipervnculo"/>
                <w:noProof/>
                <w:color w:val="auto"/>
              </w:rPr>
              <w:t>a) Solicitud de información</w:t>
            </w:r>
            <w:r w:rsidR="00AD39F2" w:rsidRPr="00AD39F2">
              <w:rPr>
                <w:noProof/>
                <w:webHidden/>
              </w:rPr>
              <w:tab/>
            </w:r>
            <w:r w:rsidR="00AD39F2" w:rsidRPr="00AD39F2">
              <w:rPr>
                <w:noProof/>
                <w:webHidden/>
              </w:rPr>
              <w:fldChar w:fldCharType="begin"/>
            </w:r>
            <w:r w:rsidR="00AD39F2" w:rsidRPr="00AD39F2">
              <w:rPr>
                <w:noProof/>
                <w:webHidden/>
              </w:rPr>
              <w:instrText xml:space="preserve"> PAGEREF _Toc200539187 \h </w:instrText>
            </w:r>
            <w:r w:rsidR="00AD39F2" w:rsidRPr="00AD39F2">
              <w:rPr>
                <w:noProof/>
                <w:webHidden/>
              </w:rPr>
            </w:r>
            <w:r w:rsidR="00AD39F2" w:rsidRPr="00AD39F2">
              <w:rPr>
                <w:noProof/>
                <w:webHidden/>
              </w:rPr>
              <w:fldChar w:fldCharType="separate"/>
            </w:r>
            <w:r>
              <w:rPr>
                <w:noProof/>
                <w:webHidden/>
              </w:rPr>
              <w:t>1</w:t>
            </w:r>
            <w:r w:rsidR="00AD39F2" w:rsidRPr="00AD39F2">
              <w:rPr>
                <w:noProof/>
                <w:webHidden/>
              </w:rPr>
              <w:fldChar w:fldCharType="end"/>
            </w:r>
          </w:hyperlink>
        </w:p>
        <w:p w14:paraId="7E518B2E" w14:textId="5FC66CD9" w:rsidR="00AD39F2" w:rsidRPr="00AD39F2" w:rsidRDefault="00537AE4" w:rsidP="00AD39F2">
          <w:pPr>
            <w:pStyle w:val="TDC3"/>
            <w:rPr>
              <w:rFonts w:asciiTheme="minorHAnsi" w:eastAsiaTheme="minorEastAsia" w:hAnsiTheme="minorHAnsi" w:cstheme="minorBidi"/>
              <w:noProof/>
              <w:szCs w:val="22"/>
              <w:lang w:eastAsia="es-MX"/>
            </w:rPr>
          </w:pPr>
          <w:hyperlink w:anchor="_Toc200539188" w:history="1">
            <w:r w:rsidR="00AD39F2" w:rsidRPr="00AD39F2">
              <w:rPr>
                <w:rStyle w:val="Hipervnculo"/>
                <w:noProof/>
                <w:color w:val="auto"/>
              </w:rPr>
              <w:t>b) Turno de la solicitud de información</w:t>
            </w:r>
            <w:r w:rsidR="00AD39F2" w:rsidRPr="00AD39F2">
              <w:rPr>
                <w:noProof/>
                <w:webHidden/>
              </w:rPr>
              <w:tab/>
            </w:r>
            <w:r w:rsidR="00AD39F2" w:rsidRPr="00AD39F2">
              <w:rPr>
                <w:noProof/>
                <w:webHidden/>
              </w:rPr>
              <w:fldChar w:fldCharType="begin"/>
            </w:r>
            <w:r w:rsidR="00AD39F2" w:rsidRPr="00AD39F2">
              <w:rPr>
                <w:noProof/>
                <w:webHidden/>
              </w:rPr>
              <w:instrText xml:space="preserve"> PAGEREF _Toc200539188 \h </w:instrText>
            </w:r>
            <w:r w:rsidR="00AD39F2" w:rsidRPr="00AD39F2">
              <w:rPr>
                <w:noProof/>
                <w:webHidden/>
              </w:rPr>
            </w:r>
            <w:r w:rsidR="00AD39F2" w:rsidRPr="00AD39F2">
              <w:rPr>
                <w:noProof/>
                <w:webHidden/>
              </w:rPr>
              <w:fldChar w:fldCharType="separate"/>
            </w:r>
            <w:r>
              <w:rPr>
                <w:noProof/>
                <w:webHidden/>
              </w:rPr>
              <w:t>2</w:t>
            </w:r>
            <w:r w:rsidR="00AD39F2" w:rsidRPr="00AD39F2">
              <w:rPr>
                <w:noProof/>
                <w:webHidden/>
              </w:rPr>
              <w:fldChar w:fldCharType="end"/>
            </w:r>
          </w:hyperlink>
        </w:p>
        <w:p w14:paraId="19556950" w14:textId="6A45BEB5" w:rsidR="00AD39F2" w:rsidRPr="00AD39F2" w:rsidRDefault="00537AE4" w:rsidP="00AD39F2">
          <w:pPr>
            <w:pStyle w:val="TDC3"/>
            <w:rPr>
              <w:rFonts w:asciiTheme="minorHAnsi" w:eastAsiaTheme="minorEastAsia" w:hAnsiTheme="minorHAnsi" w:cstheme="minorBidi"/>
              <w:noProof/>
              <w:szCs w:val="22"/>
              <w:lang w:eastAsia="es-MX"/>
            </w:rPr>
          </w:pPr>
          <w:hyperlink w:anchor="_Toc200539189" w:history="1">
            <w:r w:rsidR="00AD39F2" w:rsidRPr="00AD39F2">
              <w:rPr>
                <w:rStyle w:val="Hipervnculo"/>
                <w:noProof/>
                <w:color w:val="auto"/>
                <w:lang w:val="es-ES"/>
              </w:rPr>
              <w:t xml:space="preserve">c) Respuesta </w:t>
            </w:r>
            <w:r w:rsidR="00AD39F2" w:rsidRPr="00AD39F2">
              <w:rPr>
                <w:rStyle w:val="Hipervnculo"/>
                <w:rFonts w:eastAsia="Calibri"/>
                <w:noProof/>
                <w:color w:val="auto"/>
                <w:lang w:eastAsia="en-US"/>
              </w:rPr>
              <w:t>del Sujeto Obligado</w:t>
            </w:r>
            <w:r w:rsidR="00AD39F2" w:rsidRPr="00AD39F2">
              <w:rPr>
                <w:noProof/>
                <w:webHidden/>
              </w:rPr>
              <w:tab/>
            </w:r>
            <w:r w:rsidR="00AD39F2" w:rsidRPr="00AD39F2">
              <w:rPr>
                <w:noProof/>
                <w:webHidden/>
              </w:rPr>
              <w:fldChar w:fldCharType="begin"/>
            </w:r>
            <w:r w:rsidR="00AD39F2" w:rsidRPr="00AD39F2">
              <w:rPr>
                <w:noProof/>
                <w:webHidden/>
              </w:rPr>
              <w:instrText xml:space="preserve"> PAGEREF _Toc200539189 \h </w:instrText>
            </w:r>
            <w:r w:rsidR="00AD39F2" w:rsidRPr="00AD39F2">
              <w:rPr>
                <w:noProof/>
                <w:webHidden/>
              </w:rPr>
            </w:r>
            <w:r w:rsidR="00AD39F2" w:rsidRPr="00AD39F2">
              <w:rPr>
                <w:noProof/>
                <w:webHidden/>
              </w:rPr>
              <w:fldChar w:fldCharType="separate"/>
            </w:r>
            <w:r>
              <w:rPr>
                <w:noProof/>
                <w:webHidden/>
              </w:rPr>
              <w:t>2</w:t>
            </w:r>
            <w:r w:rsidR="00AD39F2" w:rsidRPr="00AD39F2">
              <w:rPr>
                <w:noProof/>
                <w:webHidden/>
              </w:rPr>
              <w:fldChar w:fldCharType="end"/>
            </w:r>
          </w:hyperlink>
        </w:p>
        <w:p w14:paraId="7CB5D071" w14:textId="39A8B05F" w:rsidR="00AD39F2" w:rsidRPr="00AD39F2" w:rsidRDefault="00537AE4" w:rsidP="00AD39F2">
          <w:pPr>
            <w:pStyle w:val="TDC2"/>
            <w:rPr>
              <w:rFonts w:asciiTheme="minorHAnsi" w:eastAsiaTheme="minorEastAsia" w:hAnsiTheme="minorHAnsi" w:cstheme="minorBidi"/>
              <w:noProof/>
              <w:szCs w:val="22"/>
              <w:lang w:eastAsia="es-MX"/>
            </w:rPr>
          </w:pPr>
          <w:hyperlink w:anchor="_Toc200539190" w:history="1">
            <w:r w:rsidR="00AD39F2" w:rsidRPr="00AD39F2">
              <w:rPr>
                <w:rStyle w:val="Hipervnculo"/>
                <w:noProof/>
                <w:color w:val="auto"/>
              </w:rPr>
              <w:t>DEL RECURSO DE REVISIÓN</w:t>
            </w:r>
            <w:r w:rsidR="00AD39F2" w:rsidRPr="00AD39F2">
              <w:rPr>
                <w:noProof/>
                <w:webHidden/>
              </w:rPr>
              <w:tab/>
            </w:r>
            <w:r w:rsidR="00AD39F2" w:rsidRPr="00AD39F2">
              <w:rPr>
                <w:noProof/>
                <w:webHidden/>
              </w:rPr>
              <w:fldChar w:fldCharType="begin"/>
            </w:r>
            <w:r w:rsidR="00AD39F2" w:rsidRPr="00AD39F2">
              <w:rPr>
                <w:noProof/>
                <w:webHidden/>
              </w:rPr>
              <w:instrText xml:space="preserve"> PAGEREF _Toc200539190 \h </w:instrText>
            </w:r>
            <w:r w:rsidR="00AD39F2" w:rsidRPr="00AD39F2">
              <w:rPr>
                <w:noProof/>
                <w:webHidden/>
              </w:rPr>
            </w:r>
            <w:r w:rsidR="00AD39F2" w:rsidRPr="00AD39F2">
              <w:rPr>
                <w:noProof/>
                <w:webHidden/>
              </w:rPr>
              <w:fldChar w:fldCharType="separate"/>
            </w:r>
            <w:r>
              <w:rPr>
                <w:noProof/>
                <w:webHidden/>
              </w:rPr>
              <w:t>5</w:t>
            </w:r>
            <w:r w:rsidR="00AD39F2" w:rsidRPr="00AD39F2">
              <w:rPr>
                <w:noProof/>
                <w:webHidden/>
              </w:rPr>
              <w:fldChar w:fldCharType="end"/>
            </w:r>
          </w:hyperlink>
        </w:p>
        <w:p w14:paraId="660A6999" w14:textId="4974114E" w:rsidR="00AD39F2" w:rsidRPr="00AD39F2" w:rsidRDefault="00537AE4" w:rsidP="00AD39F2">
          <w:pPr>
            <w:pStyle w:val="TDC3"/>
            <w:rPr>
              <w:rFonts w:asciiTheme="minorHAnsi" w:eastAsiaTheme="minorEastAsia" w:hAnsiTheme="minorHAnsi" w:cstheme="minorBidi"/>
              <w:noProof/>
              <w:szCs w:val="22"/>
              <w:lang w:eastAsia="es-MX"/>
            </w:rPr>
          </w:pPr>
          <w:hyperlink w:anchor="_Toc200539191" w:history="1">
            <w:r w:rsidR="00AD39F2" w:rsidRPr="00AD39F2">
              <w:rPr>
                <w:rStyle w:val="Hipervnculo"/>
                <w:noProof/>
                <w:color w:val="auto"/>
              </w:rPr>
              <w:t>a) Interposición del Recurso de Revisión</w:t>
            </w:r>
            <w:r w:rsidR="00AD39F2" w:rsidRPr="00AD39F2">
              <w:rPr>
                <w:noProof/>
                <w:webHidden/>
              </w:rPr>
              <w:tab/>
            </w:r>
            <w:r w:rsidR="00AD39F2" w:rsidRPr="00AD39F2">
              <w:rPr>
                <w:noProof/>
                <w:webHidden/>
              </w:rPr>
              <w:fldChar w:fldCharType="begin"/>
            </w:r>
            <w:r w:rsidR="00AD39F2" w:rsidRPr="00AD39F2">
              <w:rPr>
                <w:noProof/>
                <w:webHidden/>
              </w:rPr>
              <w:instrText xml:space="preserve"> PAGEREF _Toc200539191 \h </w:instrText>
            </w:r>
            <w:r w:rsidR="00AD39F2" w:rsidRPr="00AD39F2">
              <w:rPr>
                <w:noProof/>
                <w:webHidden/>
              </w:rPr>
            </w:r>
            <w:r w:rsidR="00AD39F2" w:rsidRPr="00AD39F2">
              <w:rPr>
                <w:noProof/>
                <w:webHidden/>
              </w:rPr>
              <w:fldChar w:fldCharType="separate"/>
            </w:r>
            <w:r>
              <w:rPr>
                <w:noProof/>
                <w:webHidden/>
              </w:rPr>
              <w:t>5</w:t>
            </w:r>
            <w:r w:rsidR="00AD39F2" w:rsidRPr="00AD39F2">
              <w:rPr>
                <w:noProof/>
                <w:webHidden/>
              </w:rPr>
              <w:fldChar w:fldCharType="end"/>
            </w:r>
          </w:hyperlink>
        </w:p>
        <w:p w14:paraId="3881F7D0" w14:textId="0248F270" w:rsidR="00AD39F2" w:rsidRPr="00AD39F2" w:rsidRDefault="00537AE4" w:rsidP="00AD39F2">
          <w:pPr>
            <w:pStyle w:val="TDC3"/>
            <w:rPr>
              <w:rFonts w:asciiTheme="minorHAnsi" w:eastAsiaTheme="minorEastAsia" w:hAnsiTheme="minorHAnsi" w:cstheme="minorBidi"/>
              <w:noProof/>
              <w:szCs w:val="22"/>
              <w:lang w:eastAsia="es-MX"/>
            </w:rPr>
          </w:pPr>
          <w:hyperlink w:anchor="_Toc200539192" w:history="1">
            <w:r w:rsidR="00AD39F2" w:rsidRPr="00AD39F2">
              <w:rPr>
                <w:rStyle w:val="Hipervnculo"/>
                <w:noProof/>
                <w:color w:val="auto"/>
              </w:rPr>
              <w:t>b) Turno del Recurso de Revisión</w:t>
            </w:r>
            <w:r w:rsidR="00AD39F2" w:rsidRPr="00AD39F2">
              <w:rPr>
                <w:noProof/>
                <w:webHidden/>
              </w:rPr>
              <w:tab/>
            </w:r>
            <w:r w:rsidR="00AD39F2" w:rsidRPr="00AD39F2">
              <w:rPr>
                <w:noProof/>
                <w:webHidden/>
              </w:rPr>
              <w:fldChar w:fldCharType="begin"/>
            </w:r>
            <w:r w:rsidR="00AD39F2" w:rsidRPr="00AD39F2">
              <w:rPr>
                <w:noProof/>
                <w:webHidden/>
              </w:rPr>
              <w:instrText xml:space="preserve"> PAGEREF _Toc200539192 \h </w:instrText>
            </w:r>
            <w:r w:rsidR="00AD39F2" w:rsidRPr="00AD39F2">
              <w:rPr>
                <w:noProof/>
                <w:webHidden/>
              </w:rPr>
            </w:r>
            <w:r w:rsidR="00AD39F2" w:rsidRPr="00AD39F2">
              <w:rPr>
                <w:noProof/>
                <w:webHidden/>
              </w:rPr>
              <w:fldChar w:fldCharType="separate"/>
            </w:r>
            <w:r>
              <w:rPr>
                <w:noProof/>
                <w:webHidden/>
              </w:rPr>
              <w:t>5</w:t>
            </w:r>
            <w:r w:rsidR="00AD39F2" w:rsidRPr="00AD39F2">
              <w:rPr>
                <w:noProof/>
                <w:webHidden/>
              </w:rPr>
              <w:fldChar w:fldCharType="end"/>
            </w:r>
          </w:hyperlink>
        </w:p>
        <w:p w14:paraId="6D0CA93F" w14:textId="2AAFEEFF" w:rsidR="00AD39F2" w:rsidRPr="00AD39F2" w:rsidRDefault="00537AE4" w:rsidP="00AD39F2">
          <w:pPr>
            <w:pStyle w:val="TDC3"/>
            <w:rPr>
              <w:rFonts w:asciiTheme="minorHAnsi" w:eastAsiaTheme="minorEastAsia" w:hAnsiTheme="minorHAnsi" w:cstheme="minorBidi"/>
              <w:noProof/>
              <w:szCs w:val="22"/>
              <w:lang w:eastAsia="es-MX"/>
            </w:rPr>
          </w:pPr>
          <w:hyperlink w:anchor="_Toc200539193" w:history="1">
            <w:r w:rsidR="00AD39F2" w:rsidRPr="00AD39F2">
              <w:rPr>
                <w:rStyle w:val="Hipervnculo"/>
                <w:noProof/>
                <w:color w:val="auto"/>
              </w:rPr>
              <w:t>c) Admisión del Recurso de Revisión</w:t>
            </w:r>
            <w:r w:rsidR="00AD39F2" w:rsidRPr="00AD39F2">
              <w:rPr>
                <w:noProof/>
                <w:webHidden/>
              </w:rPr>
              <w:tab/>
            </w:r>
            <w:r w:rsidR="00AD39F2" w:rsidRPr="00AD39F2">
              <w:rPr>
                <w:noProof/>
                <w:webHidden/>
              </w:rPr>
              <w:fldChar w:fldCharType="begin"/>
            </w:r>
            <w:r w:rsidR="00AD39F2" w:rsidRPr="00AD39F2">
              <w:rPr>
                <w:noProof/>
                <w:webHidden/>
              </w:rPr>
              <w:instrText xml:space="preserve"> PAGEREF _Toc200539193 \h </w:instrText>
            </w:r>
            <w:r w:rsidR="00AD39F2" w:rsidRPr="00AD39F2">
              <w:rPr>
                <w:noProof/>
                <w:webHidden/>
              </w:rPr>
            </w:r>
            <w:r w:rsidR="00AD39F2" w:rsidRPr="00AD39F2">
              <w:rPr>
                <w:noProof/>
                <w:webHidden/>
              </w:rPr>
              <w:fldChar w:fldCharType="separate"/>
            </w:r>
            <w:r>
              <w:rPr>
                <w:noProof/>
                <w:webHidden/>
              </w:rPr>
              <w:t>6</w:t>
            </w:r>
            <w:r w:rsidR="00AD39F2" w:rsidRPr="00AD39F2">
              <w:rPr>
                <w:noProof/>
                <w:webHidden/>
              </w:rPr>
              <w:fldChar w:fldCharType="end"/>
            </w:r>
          </w:hyperlink>
        </w:p>
        <w:p w14:paraId="19C5C90E" w14:textId="486E5573" w:rsidR="00AD39F2" w:rsidRPr="00AD39F2" w:rsidRDefault="00537AE4" w:rsidP="00AD39F2">
          <w:pPr>
            <w:pStyle w:val="TDC3"/>
            <w:rPr>
              <w:rFonts w:asciiTheme="minorHAnsi" w:eastAsiaTheme="minorEastAsia" w:hAnsiTheme="minorHAnsi" w:cstheme="minorBidi"/>
              <w:noProof/>
              <w:szCs w:val="22"/>
              <w:lang w:eastAsia="es-MX"/>
            </w:rPr>
          </w:pPr>
          <w:hyperlink w:anchor="_Toc200539194" w:history="1">
            <w:r w:rsidR="00AD39F2" w:rsidRPr="00AD39F2">
              <w:rPr>
                <w:rStyle w:val="Hipervnculo"/>
                <w:noProof/>
                <w:color w:val="auto"/>
              </w:rPr>
              <w:t>d) Informe Justificado del Sujeto Obligado</w:t>
            </w:r>
            <w:r w:rsidR="00AD39F2" w:rsidRPr="00AD39F2">
              <w:rPr>
                <w:noProof/>
                <w:webHidden/>
              </w:rPr>
              <w:tab/>
            </w:r>
            <w:r w:rsidR="00AD39F2" w:rsidRPr="00AD39F2">
              <w:rPr>
                <w:noProof/>
                <w:webHidden/>
              </w:rPr>
              <w:fldChar w:fldCharType="begin"/>
            </w:r>
            <w:r w:rsidR="00AD39F2" w:rsidRPr="00AD39F2">
              <w:rPr>
                <w:noProof/>
                <w:webHidden/>
              </w:rPr>
              <w:instrText xml:space="preserve"> PAGEREF _Toc200539194 \h </w:instrText>
            </w:r>
            <w:r w:rsidR="00AD39F2" w:rsidRPr="00AD39F2">
              <w:rPr>
                <w:noProof/>
                <w:webHidden/>
              </w:rPr>
            </w:r>
            <w:r w:rsidR="00AD39F2" w:rsidRPr="00AD39F2">
              <w:rPr>
                <w:noProof/>
                <w:webHidden/>
              </w:rPr>
              <w:fldChar w:fldCharType="separate"/>
            </w:r>
            <w:r>
              <w:rPr>
                <w:noProof/>
                <w:webHidden/>
              </w:rPr>
              <w:t>6</w:t>
            </w:r>
            <w:r w:rsidR="00AD39F2" w:rsidRPr="00AD39F2">
              <w:rPr>
                <w:noProof/>
                <w:webHidden/>
              </w:rPr>
              <w:fldChar w:fldCharType="end"/>
            </w:r>
          </w:hyperlink>
        </w:p>
        <w:p w14:paraId="53BED89B" w14:textId="3D3EB611" w:rsidR="00AD39F2" w:rsidRPr="00AD39F2" w:rsidRDefault="00537AE4" w:rsidP="00AD39F2">
          <w:pPr>
            <w:pStyle w:val="TDC3"/>
            <w:rPr>
              <w:rFonts w:asciiTheme="minorHAnsi" w:eastAsiaTheme="minorEastAsia" w:hAnsiTheme="minorHAnsi" w:cstheme="minorBidi"/>
              <w:noProof/>
              <w:szCs w:val="22"/>
              <w:lang w:eastAsia="es-MX"/>
            </w:rPr>
          </w:pPr>
          <w:hyperlink w:anchor="_Toc200539195" w:history="1">
            <w:r w:rsidR="00AD39F2" w:rsidRPr="00AD39F2">
              <w:rPr>
                <w:rStyle w:val="Hipervnculo"/>
                <w:rFonts w:eastAsia="Calibri"/>
                <w:bCs/>
                <w:noProof/>
                <w:color w:val="auto"/>
                <w:lang w:eastAsia="en-US"/>
              </w:rPr>
              <w:t>e)</w:t>
            </w:r>
            <w:r w:rsidR="00AD39F2" w:rsidRPr="00AD39F2">
              <w:rPr>
                <w:rStyle w:val="Hipervnculo"/>
                <w:noProof/>
                <w:color w:val="auto"/>
              </w:rPr>
              <w:t xml:space="preserve"> </w:t>
            </w:r>
            <w:r w:rsidR="00AD39F2" w:rsidRPr="00AD39F2">
              <w:rPr>
                <w:rStyle w:val="Hipervnculo"/>
                <w:noProof/>
                <w:color w:val="auto"/>
                <w:lang w:val="es-ES"/>
              </w:rPr>
              <w:t>Manifestaciones de la Parte Recurrente</w:t>
            </w:r>
            <w:r w:rsidR="00AD39F2" w:rsidRPr="00AD39F2">
              <w:rPr>
                <w:noProof/>
                <w:webHidden/>
              </w:rPr>
              <w:tab/>
            </w:r>
            <w:r w:rsidR="00AD39F2" w:rsidRPr="00AD39F2">
              <w:rPr>
                <w:noProof/>
                <w:webHidden/>
              </w:rPr>
              <w:fldChar w:fldCharType="begin"/>
            </w:r>
            <w:r w:rsidR="00AD39F2" w:rsidRPr="00AD39F2">
              <w:rPr>
                <w:noProof/>
                <w:webHidden/>
              </w:rPr>
              <w:instrText xml:space="preserve"> PAGEREF _Toc200539195 \h </w:instrText>
            </w:r>
            <w:r w:rsidR="00AD39F2" w:rsidRPr="00AD39F2">
              <w:rPr>
                <w:noProof/>
                <w:webHidden/>
              </w:rPr>
            </w:r>
            <w:r w:rsidR="00AD39F2" w:rsidRPr="00AD39F2">
              <w:rPr>
                <w:noProof/>
                <w:webHidden/>
              </w:rPr>
              <w:fldChar w:fldCharType="separate"/>
            </w:r>
            <w:r>
              <w:rPr>
                <w:noProof/>
                <w:webHidden/>
              </w:rPr>
              <w:t>8</w:t>
            </w:r>
            <w:r w:rsidR="00AD39F2" w:rsidRPr="00AD39F2">
              <w:rPr>
                <w:noProof/>
                <w:webHidden/>
              </w:rPr>
              <w:fldChar w:fldCharType="end"/>
            </w:r>
          </w:hyperlink>
        </w:p>
        <w:p w14:paraId="5B8886D4" w14:textId="1429A145" w:rsidR="00AD39F2" w:rsidRPr="00AD39F2" w:rsidRDefault="00537AE4" w:rsidP="00AD39F2">
          <w:pPr>
            <w:pStyle w:val="TDC3"/>
            <w:rPr>
              <w:rFonts w:asciiTheme="minorHAnsi" w:eastAsiaTheme="minorEastAsia" w:hAnsiTheme="minorHAnsi" w:cstheme="minorBidi"/>
              <w:noProof/>
              <w:szCs w:val="22"/>
              <w:lang w:eastAsia="es-MX"/>
            </w:rPr>
          </w:pPr>
          <w:hyperlink w:anchor="_Toc200539196" w:history="1">
            <w:r w:rsidR="00AD39F2" w:rsidRPr="00AD39F2">
              <w:rPr>
                <w:rStyle w:val="Hipervnculo"/>
                <w:rFonts w:eastAsia="Calibri"/>
                <w:bCs/>
                <w:noProof/>
                <w:color w:val="auto"/>
                <w:lang w:eastAsia="en-US"/>
              </w:rPr>
              <w:t>f)</w:t>
            </w:r>
            <w:r w:rsidR="00AD39F2" w:rsidRPr="00AD39F2">
              <w:rPr>
                <w:rStyle w:val="Hipervnculo"/>
                <w:noProof/>
                <w:color w:val="auto"/>
              </w:rPr>
              <w:t xml:space="preserve"> </w:t>
            </w:r>
            <w:r w:rsidR="00AD39F2" w:rsidRPr="00AD39F2">
              <w:rPr>
                <w:rStyle w:val="Hipervnculo"/>
                <w:rFonts w:eastAsia="Calibri"/>
                <w:noProof/>
                <w:color w:val="auto"/>
              </w:rPr>
              <w:t>Ampliación de plazo para resolver el Recurso de Revisión</w:t>
            </w:r>
            <w:r w:rsidR="00AD39F2" w:rsidRPr="00AD39F2">
              <w:rPr>
                <w:noProof/>
                <w:webHidden/>
              </w:rPr>
              <w:tab/>
            </w:r>
            <w:r w:rsidR="00AD39F2" w:rsidRPr="00AD39F2">
              <w:rPr>
                <w:noProof/>
                <w:webHidden/>
              </w:rPr>
              <w:fldChar w:fldCharType="begin"/>
            </w:r>
            <w:r w:rsidR="00AD39F2" w:rsidRPr="00AD39F2">
              <w:rPr>
                <w:noProof/>
                <w:webHidden/>
              </w:rPr>
              <w:instrText xml:space="preserve"> PAGEREF _Toc200539196 \h </w:instrText>
            </w:r>
            <w:r w:rsidR="00AD39F2" w:rsidRPr="00AD39F2">
              <w:rPr>
                <w:noProof/>
                <w:webHidden/>
              </w:rPr>
            </w:r>
            <w:r w:rsidR="00AD39F2" w:rsidRPr="00AD39F2">
              <w:rPr>
                <w:noProof/>
                <w:webHidden/>
              </w:rPr>
              <w:fldChar w:fldCharType="separate"/>
            </w:r>
            <w:r>
              <w:rPr>
                <w:noProof/>
                <w:webHidden/>
              </w:rPr>
              <w:t>8</w:t>
            </w:r>
            <w:r w:rsidR="00AD39F2" w:rsidRPr="00AD39F2">
              <w:rPr>
                <w:noProof/>
                <w:webHidden/>
              </w:rPr>
              <w:fldChar w:fldCharType="end"/>
            </w:r>
          </w:hyperlink>
        </w:p>
        <w:p w14:paraId="1FA948A9" w14:textId="33D6E8E9" w:rsidR="00AD39F2" w:rsidRPr="00AD39F2" w:rsidRDefault="00537AE4" w:rsidP="00AD39F2">
          <w:pPr>
            <w:pStyle w:val="TDC3"/>
            <w:rPr>
              <w:rFonts w:asciiTheme="minorHAnsi" w:eastAsiaTheme="minorEastAsia" w:hAnsiTheme="minorHAnsi" w:cstheme="minorBidi"/>
              <w:noProof/>
              <w:szCs w:val="22"/>
              <w:lang w:eastAsia="es-MX"/>
            </w:rPr>
          </w:pPr>
          <w:hyperlink w:anchor="_Toc200539197" w:history="1">
            <w:r w:rsidR="00AD39F2" w:rsidRPr="00AD39F2">
              <w:rPr>
                <w:rStyle w:val="Hipervnculo"/>
                <w:noProof/>
                <w:color w:val="auto"/>
              </w:rPr>
              <w:t>g) Cierre de instrucción</w:t>
            </w:r>
            <w:r w:rsidR="00AD39F2" w:rsidRPr="00AD39F2">
              <w:rPr>
                <w:noProof/>
                <w:webHidden/>
              </w:rPr>
              <w:tab/>
            </w:r>
            <w:r w:rsidR="00AD39F2" w:rsidRPr="00AD39F2">
              <w:rPr>
                <w:noProof/>
                <w:webHidden/>
              </w:rPr>
              <w:fldChar w:fldCharType="begin"/>
            </w:r>
            <w:r w:rsidR="00AD39F2" w:rsidRPr="00AD39F2">
              <w:rPr>
                <w:noProof/>
                <w:webHidden/>
              </w:rPr>
              <w:instrText xml:space="preserve"> PAGEREF _Toc200539197 \h </w:instrText>
            </w:r>
            <w:r w:rsidR="00AD39F2" w:rsidRPr="00AD39F2">
              <w:rPr>
                <w:noProof/>
                <w:webHidden/>
              </w:rPr>
            </w:r>
            <w:r w:rsidR="00AD39F2" w:rsidRPr="00AD39F2">
              <w:rPr>
                <w:noProof/>
                <w:webHidden/>
              </w:rPr>
              <w:fldChar w:fldCharType="separate"/>
            </w:r>
            <w:r>
              <w:rPr>
                <w:noProof/>
                <w:webHidden/>
              </w:rPr>
              <w:t>11</w:t>
            </w:r>
            <w:r w:rsidR="00AD39F2" w:rsidRPr="00AD39F2">
              <w:rPr>
                <w:noProof/>
                <w:webHidden/>
              </w:rPr>
              <w:fldChar w:fldCharType="end"/>
            </w:r>
          </w:hyperlink>
        </w:p>
        <w:p w14:paraId="3C554679" w14:textId="16B5D45F" w:rsidR="00AD39F2" w:rsidRPr="00AD39F2" w:rsidRDefault="00537AE4" w:rsidP="00AD39F2">
          <w:pPr>
            <w:pStyle w:val="TDC1"/>
            <w:tabs>
              <w:tab w:val="right" w:leader="dot" w:pos="9034"/>
            </w:tabs>
            <w:rPr>
              <w:rFonts w:asciiTheme="minorHAnsi" w:eastAsiaTheme="minorEastAsia" w:hAnsiTheme="minorHAnsi" w:cstheme="minorBidi"/>
              <w:noProof/>
              <w:szCs w:val="22"/>
              <w:lang w:eastAsia="es-MX"/>
            </w:rPr>
          </w:pPr>
          <w:hyperlink w:anchor="_Toc200539198" w:history="1">
            <w:r w:rsidR="00AD39F2" w:rsidRPr="00AD39F2">
              <w:rPr>
                <w:rStyle w:val="Hipervnculo"/>
                <w:rFonts w:eastAsiaTheme="minorHAnsi"/>
                <w:noProof/>
                <w:color w:val="auto"/>
                <w:lang w:eastAsia="en-US"/>
              </w:rPr>
              <w:t>CONSIDERANDOS</w:t>
            </w:r>
            <w:r w:rsidR="00AD39F2" w:rsidRPr="00AD39F2">
              <w:rPr>
                <w:noProof/>
                <w:webHidden/>
              </w:rPr>
              <w:tab/>
            </w:r>
            <w:r w:rsidR="00AD39F2" w:rsidRPr="00AD39F2">
              <w:rPr>
                <w:noProof/>
                <w:webHidden/>
              </w:rPr>
              <w:fldChar w:fldCharType="begin"/>
            </w:r>
            <w:r w:rsidR="00AD39F2" w:rsidRPr="00AD39F2">
              <w:rPr>
                <w:noProof/>
                <w:webHidden/>
              </w:rPr>
              <w:instrText xml:space="preserve"> PAGEREF _Toc200539198 \h </w:instrText>
            </w:r>
            <w:r w:rsidR="00AD39F2" w:rsidRPr="00AD39F2">
              <w:rPr>
                <w:noProof/>
                <w:webHidden/>
              </w:rPr>
            </w:r>
            <w:r w:rsidR="00AD39F2" w:rsidRPr="00AD39F2">
              <w:rPr>
                <w:noProof/>
                <w:webHidden/>
              </w:rPr>
              <w:fldChar w:fldCharType="separate"/>
            </w:r>
            <w:r>
              <w:rPr>
                <w:noProof/>
                <w:webHidden/>
              </w:rPr>
              <w:t>11</w:t>
            </w:r>
            <w:r w:rsidR="00AD39F2" w:rsidRPr="00AD39F2">
              <w:rPr>
                <w:noProof/>
                <w:webHidden/>
              </w:rPr>
              <w:fldChar w:fldCharType="end"/>
            </w:r>
          </w:hyperlink>
        </w:p>
        <w:p w14:paraId="2E7D69F3" w14:textId="314D1628" w:rsidR="00AD39F2" w:rsidRPr="00AD39F2" w:rsidRDefault="00537AE4" w:rsidP="00AD39F2">
          <w:pPr>
            <w:pStyle w:val="TDC2"/>
            <w:rPr>
              <w:rFonts w:asciiTheme="minorHAnsi" w:eastAsiaTheme="minorEastAsia" w:hAnsiTheme="minorHAnsi" w:cstheme="minorBidi"/>
              <w:noProof/>
              <w:szCs w:val="22"/>
              <w:lang w:eastAsia="es-MX"/>
            </w:rPr>
          </w:pPr>
          <w:hyperlink w:anchor="_Toc200539199" w:history="1">
            <w:r w:rsidR="00AD39F2" w:rsidRPr="00AD39F2">
              <w:rPr>
                <w:rStyle w:val="Hipervnculo"/>
                <w:rFonts w:eastAsia="Batang"/>
                <w:noProof/>
                <w:color w:val="auto"/>
              </w:rPr>
              <w:t>PRIMERO. Procedibilidad</w:t>
            </w:r>
            <w:r w:rsidR="00AD39F2" w:rsidRPr="00AD39F2">
              <w:rPr>
                <w:noProof/>
                <w:webHidden/>
              </w:rPr>
              <w:tab/>
            </w:r>
            <w:r w:rsidR="00AD39F2" w:rsidRPr="00AD39F2">
              <w:rPr>
                <w:noProof/>
                <w:webHidden/>
              </w:rPr>
              <w:fldChar w:fldCharType="begin"/>
            </w:r>
            <w:r w:rsidR="00AD39F2" w:rsidRPr="00AD39F2">
              <w:rPr>
                <w:noProof/>
                <w:webHidden/>
              </w:rPr>
              <w:instrText xml:space="preserve"> PAGEREF _Toc200539199 \h </w:instrText>
            </w:r>
            <w:r w:rsidR="00AD39F2" w:rsidRPr="00AD39F2">
              <w:rPr>
                <w:noProof/>
                <w:webHidden/>
              </w:rPr>
            </w:r>
            <w:r w:rsidR="00AD39F2" w:rsidRPr="00AD39F2">
              <w:rPr>
                <w:noProof/>
                <w:webHidden/>
              </w:rPr>
              <w:fldChar w:fldCharType="separate"/>
            </w:r>
            <w:r>
              <w:rPr>
                <w:noProof/>
                <w:webHidden/>
              </w:rPr>
              <w:t>11</w:t>
            </w:r>
            <w:r w:rsidR="00AD39F2" w:rsidRPr="00AD39F2">
              <w:rPr>
                <w:noProof/>
                <w:webHidden/>
              </w:rPr>
              <w:fldChar w:fldCharType="end"/>
            </w:r>
          </w:hyperlink>
        </w:p>
        <w:p w14:paraId="1C564886" w14:textId="3C16C8C6" w:rsidR="00AD39F2" w:rsidRPr="00AD39F2" w:rsidRDefault="00537AE4" w:rsidP="00AD39F2">
          <w:pPr>
            <w:pStyle w:val="TDC3"/>
            <w:rPr>
              <w:rFonts w:asciiTheme="minorHAnsi" w:eastAsiaTheme="minorEastAsia" w:hAnsiTheme="minorHAnsi" w:cstheme="minorBidi"/>
              <w:noProof/>
              <w:szCs w:val="22"/>
              <w:lang w:eastAsia="es-MX"/>
            </w:rPr>
          </w:pPr>
          <w:hyperlink w:anchor="_Toc200539200" w:history="1">
            <w:r w:rsidR="00AD39F2" w:rsidRPr="00AD39F2">
              <w:rPr>
                <w:rStyle w:val="Hipervnculo"/>
                <w:noProof/>
                <w:color w:val="auto"/>
              </w:rPr>
              <w:t>a) Competencia del Instituto</w:t>
            </w:r>
            <w:r w:rsidR="00AD39F2" w:rsidRPr="00AD39F2">
              <w:rPr>
                <w:noProof/>
                <w:webHidden/>
              </w:rPr>
              <w:tab/>
            </w:r>
            <w:r w:rsidR="00AD39F2" w:rsidRPr="00AD39F2">
              <w:rPr>
                <w:noProof/>
                <w:webHidden/>
              </w:rPr>
              <w:fldChar w:fldCharType="begin"/>
            </w:r>
            <w:r w:rsidR="00AD39F2" w:rsidRPr="00AD39F2">
              <w:rPr>
                <w:noProof/>
                <w:webHidden/>
              </w:rPr>
              <w:instrText xml:space="preserve"> PAGEREF _Toc200539200 \h </w:instrText>
            </w:r>
            <w:r w:rsidR="00AD39F2" w:rsidRPr="00AD39F2">
              <w:rPr>
                <w:noProof/>
                <w:webHidden/>
              </w:rPr>
            </w:r>
            <w:r w:rsidR="00AD39F2" w:rsidRPr="00AD39F2">
              <w:rPr>
                <w:noProof/>
                <w:webHidden/>
              </w:rPr>
              <w:fldChar w:fldCharType="separate"/>
            </w:r>
            <w:r>
              <w:rPr>
                <w:noProof/>
                <w:webHidden/>
              </w:rPr>
              <w:t>11</w:t>
            </w:r>
            <w:r w:rsidR="00AD39F2" w:rsidRPr="00AD39F2">
              <w:rPr>
                <w:noProof/>
                <w:webHidden/>
              </w:rPr>
              <w:fldChar w:fldCharType="end"/>
            </w:r>
          </w:hyperlink>
        </w:p>
        <w:p w14:paraId="35290DD4" w14:textId="37934451" w:rsidR="00AD39F2" w:rsidRPr="00AD39F2" w:rsidRDefault="00537AE4" w:rsidP="00AD39F2">
          <w:pPr>
            <w:pStyle w:val="TDC3"/>
            <w:rPr>
              <w:rFonts w:asciiTheme="minorHAnsi" w:eastAsiaTheme="minorEastAsia" w:hAnsiTheme="minorHAnsi" w:cstheme="minorBidi"/>
              <w:noProof/>
              <w:szCs w:val="22"/>
              <w:lang w:eastAsia="es-MX"/>
            </w:rPr>
          </w:pPr>
          <w:hyperlink w:anchor="_Toc200539201" w:history="1">
            <w:r w:rsidR="00AD39F2" w:rsidRPr="00AD39F2">
              <w:rPr>
                <w:rStyle w:val="Hipervnculo"/>
                <w:noProof/>
                <w:color w:val="auto"/>
              </w:rPr>
              <w:t>b) Legitimidad de la parte recurrente</w:t>
            </w:r>
            <w:r w:rsidR="00AD39F2" w:rsidRPr="00AD39F2">
              <w:rPr>
                <w:noProof/>
                <w:webHidden/>
              </w:rPr>
              <w:tab/>
            </w:r>
            <w:r w:rsidR="00AD39F2" w:rsidRPr="00AD39F2">
              <w:rPr>
                <w:noProof/>
                <w:webHidden/>
              </w:rPr>
              <w:fldChar w:fldCharType="begin"/>
            </w:r>
            <w:r w:rsidR="00AD39F2" w:rsidRPr="00AD39F2">
              <w:rPr>
                <w:noProof/>
                <w:webHidden/>
              </w:rPr>
              <w:instrText xml:space="preserve"> PAGEREF _Toc200539201 \h </w:instrText>
            </w:r>
            <w:r w:rsidR="00AD39F2" w:rsidRPr="00AD39F2">
              <w:rPr>
                <w:noProof/>
                <w:webHidden/>
              </w:rPr>
            </w:r>
            <w:r w:rsidR="00AD39F2" w:rsidRPr="00AD39F2">
              <w:rPr>
                <w:noProof/>
                <w:webHidden/>
              </w:rPr>
              <w:fldChar w:fldCharType="separate"/>
            </w:r>
            <w:r>
              <w:rPr>
                <w:noProof/>
                <w:webHidden/>
              </w:rPr>
              <w:t>12</w:t>
            </w:r>
            <w:r w:rsidR="00AD39F2" w:rsidRPr="00AD39F2">
              <w:rPr>
                <w:noProof/>
                <w:webHidden/>
              </w:rPr>
              <w:fldChar w:fldCharType="end"/>
            </w:r>
          </w:hyperlink>
        </w:p>
        <w:p w14:paraId="03044CFE" w14:textId="1E3FF0CF" w:rsidR="00AD39F2" w:rsidRPr="00AD39F2" w:rsidRDefault="00537AE4" w:rsidP="00AD39F2">
          <w:pPr>
            <w:pStyle w:val="TDC3"/>
            <w:rPr>
              <w:rFonts w:asciiTheme="minorHAnsi" w:eastAsiaTheme="minorEastAsia" w:hAnsiTheme="minorHAnsi" w:cstheme="minorBidi"/>
              <w:noProof/>
              <w:szCs w:val="22"/>
              <w:lang w:eastAsia="es-MX"/>
            </w:rPr>
          </w:pPr>
          <w:hyperlink w:anchor="_Toc200539202" w:history="1">
            <w:r w:rsidR="00AD39F2" w:rsidRPr="00AD39F2">
              <w:rPr>
                <w:rStyle w:val="Hipervnculo"/>
                <w:rFonts w:eastAsia="Calibri"/>
                <w:noProof/>
                <w:color w:val="auto"/>
                <w:lang w:eastAsia="es-ES_tradnl"/>
              </w:rPr>
              <w:t>c) Plazo para interponer el recurso</w:t>
            </w:r>
            <w:r w:rsidR="00AD39F2" w:rsidRPr="00AD39F2">
              <w:rPr>
                <w:noProof/>
                <w:webHidden/>
              </w:rPr>
              <w:tab/>
            </w:r>
            <w:r w:rsidR="00AD39F2" w:rsidRPr="00AD39F2">
              <w:rPr>
                <w:noProof/>
                <w:webHidden/>
              </w:rPr>
              <w:fldChar w:fldCharType="begin"/>
            </w:r>
            <w:r w:rsidR="00AD39F2" w:rsidRPr="00AD39F2">
              <w:rPr>
                <w:noProof/>
                <w:webHidden/>
              </w:rPr>
              <w:instrText xml:space="preserve"> PAGEREF _Toc200539202 \h </w:instrText>
            </w:r>
            <w:r w:rsidR="00AD39F2" w:rsidRPr="00AD39F2">
              <w:rPr>
                <w:noProof/>
                <w:webHidden/>
              </w:rPr>
            </w:r>
            <w:r w:rsidR="00AD39F2" w:rsidRPr="00AD39F2">
              <w:rPr>
                <w:noProof/>
                <w:webHidden/>
              </w:rPr>
              <w:fldChar w:fldCharType="separate"/>
            </w:r>
            <w:r>
              <w:rPr>
                <w:noProof/>
                <w:webHidden/>
              </w:rPr>
              <w:t>12</w:t>
            </w:r>
            <w:r w:rsidR="00AD39F2" w:rsidRPr="00AD39F2">
              <w:rPr>
                <w:noProof/>
                <w:webHidden/>
              </w:rPr>
              <w:fldChar w:fldCharType="end"/>
            </w:r>
          </w:hyperlink>
        </w:p>
        <w:p w14:paraId="570A70FB" w14:textId="20588A49" w:rsidR="00AD39F2" w:rsidRPr="00AD39F2" w:rsidRDefault="00537AE4" w:rsidP="00AD39F2">
          <w:pPr>
            <w:pStyle w:val="TDC3"/>
            <w:rPr>
              <w:rFonts w:asciiTheme="minorHAnsi" w:eastAsiaTheme="minorEastAsia" w:hAnsiTheme="minorHAnsi" w:cstheme="minorBidi"/>
              <w:noProof/>
              <w:szCs w:val="22"/>
              <w:lang w:eastAsia="es-MX"/>
            </w:rPr>
          </w:pPr>
          <w:hyperlink w:anchor="_Toc200539203" w:history="1">
            <w:r w:rsidR="00AD39F2" w:rsidRPr="00AD39F2">
              <w:rPr>
                <w:rStyle w:val="Hipervnculo"/>
                <w:rFonts w:eastAsia="Calibri"/>
                <w:noProof/>
                <w:color w:val="auto"/>
                <w:lang w:eastAsia="es-ES_tradnl"/>
              </w:rPr>
              <w:t>d) Causal de procedencia</w:t>
            </w:r>
            <w:r w:rsidR="00AD39F2" w:rsidRPr="00AD39F2">
              <w:rPr>
                <w:noProof/>
                <w:webHidden/>
              </w:rPr>
              <w:tab/>
            </w:r>
            <w:r w:rsidR="00AD39F2" w:rsidRPr="00AD39F2">
              <w:rPr>
                <w:noProof/>
                <w:webHidden/>
              </w:rPr>
              <w:fldChar w:fldCharType="begin"/>
            </w:r>
            <w:r w:rsidR="00AD39F2" w:rsidRPr="00AD39F2">
              <w:rPr>
                <w:noProof/>
                <w:webHidden/>
              </w:rPr>
              <w:instrText xml:space="preserve"> PAGEREF _Toc200539203 \h </w:instrText>
            </w:r>
            <w:r w:rsidR="00AD39F2" w:rsidRPr="00AD39F2">
              <w:rPr>
                <w:noProof/>
                <w:webHidden/>
              </w:rPr>
            </w:r>
            <w:r w:rsidR="00AD39F2" w:rsidRPr="00AD39F2">
              <w:rPr>
                <w:noProof/>
                <w:webHidden/>
              </w:rPr>
              <w:fldChar w:fldCharType="separate"/>
            </w:r>
            <w:r>
              <w:rPr>
                <w:noProof/>
                <w:webHidden/>
              </w:rPr>
              <w:t>12</w:t>
            </w:r>
            <w:r w:rsidR="00AD39F2" w:rsidRPr="00AD39F2">
              <w:rPr>
                <w:noProof/>
                <w:webHidden/>
              </w:rPr>
              <w:fldChar w:fldCharType="end"/>
            </w:r>
          </w:hyperlink>
        </w:p>
        <w:p w14:paraId="469D3CAE" w14:textId="48E469AC" w:rsidR="00AD39F2" w:rsidRPr="00AD39F2" w:rsidRDefault="00537AE4" w:rsidP="00AD39F2">
          <w:pPr>
            <w:pStyle w:val="TDC3"/>
            <w:rPr>
              <w:rFonts w:asciiTheme="minorHAnsi" w:eastAsiaTheme="minorEastAsia" w:hAnsiTheme="minorHAnsi" w:cstheme="minorBidi"/>
              <w:noProof/>
              <w:szCs w:val="22"/>
              <w:lang w:eastAsia="es-MX"/>
            </w:rPr>
          </w:pPr>
          <w:hyperlink w:anchor="_Toc200539204" w:history="1">
            <w:r w:rsidR="00AD39F2" w:rsidRPr="00AD39F2">
              <w:rPr>
                <w:rStyle w:val="Hipervnculo"/>
                <w:noProof/>
                <w:color w:val="auto"/>
              </w:rPr>
              <w:t>e) Requisitos formales para la interposición del recurso</w:t>
            </w:r>
            <w:r w:rsidR="00AD39F2" w:rsidRPr="00AD39F2">
              <w:rPr>
                <w:noProof/>
                <w:webHidden/>
              </w:rPr>
              <w:tab/>
            </w:r>
            <w:r w:rsidR="00AD39F2" w:rsidRPr="00AD39F2">
              <w:rPr>
                <w:noProof/>
                <w:webHidden/>
              </w:rPr>
              <w:fldChar w:fldCharType="begin"/>
            </w:r>
            <w:r w:rsidR="00AD39F2" w:rsidRPr="00AD39F2">
              <w:rPr>
                <w:noProof/>
                <w:webHidden/>
              </w:rPr>
              <w:instrText xml:space="preserve"> PAGEREF _Toc200539204 \h </w:instrText>
            </w:r>
            <w:r w:rsidR="00AD39F2" w:rsidRPr="00AD39F2">
              <w:rPr>
                <w:noProof/>
                <w:webHidden/>
              </w:rPr>
            </w:r>
            <w:r w:rsidR="00AD39F2" w:rsidRPr="00AD39F2">
              <w:rPr>
                <w:noProof/>
                <w:webHidden/>
              </w:rPr>
              <w:fldChar w:fldCharType="separate"/>
            </w:r>
            <w:r>
              <w:rPr>
                <w:noProof/>
                <w:webHidden/>
              </w:rPr>
              <w:t>13</w:t>
            </w:r>
            <w:r w:rsidR="00AD39F2" w:rsidRPr="00AD39F2">
              <w:rPr>
                <w:noProof/>
                <w:webHidden/>
              </w:rPr>
              <w:fldChar w:fldCharType="end"/>
            </w:r>
          </w:hyperlink>
        </w:p>
        <w:p w14:paraId="192DB47B" w14:textId="6533FEB4" w:rsidR="00AD39F2" w:rsidRPr="00AD39F2" w:rsidRDefault="00537AE4" w:rsidP="00AD39F2">
          <w:pPr>
            <w:pStyle w:val="TDC2"/>
            <w:rPr>
              <w:rFonts w:asciiTheme="minorHAnsi" w:eastAsiaTheme="minorEastAsia" w:hAnsiTheme="minorHAnsi" w:cstheme="minorBidi"/>
              <w:noProof/>
              <w:szCs w:val="22"/>
              <w:lang w:eastAsia="es-MX"/>
            </w:rPr>
          </w:pPr>
          <w:hyperlink w:anchor="_Toc200539205" w:history="1">
            <w:r w:rsidR="00AD39F2" w:rsidRPr="00AD39F2">
              <w:rPr>
                <w:rStyle w:val="Hipervnculo"/>
                <w:noProof/>
                <w:color w:val="auto"/>
              </w:rPr>
              <w:t>SEGUNDO. Estudio de Fondo</w:t>
            </w:r>
            <w:r w:rsidR="00AD39F2" w:rsidRPr="00AD39F2">
              <w:rPr>
                <w:noProof/>
                <w:webHidden/>
              </w:rPr>
              <w:tab/>
            </w:r>
            <w:r w:rsidR="00AD39F2" w:rsidRPr="00AD39F2">
              <w:rPr>
                <w:noProof/>
                <w:webHidden/>
              </w:rPr>
              <w:fldChar w:fldCharType="begin"/>
            </w:r>
            <w:r w:rsidR="00AD39F2" w:rsidRPr="00AD39F2">
              <w:rPr>
                <w:noProof/>
                <w:webHidden/>
              </w:rPr>
              <w:instrText xml:space="preserve"> PAGEREF _Toc200539205 \h </w:instrText>
            </w:r>
            <w:r w:rsidR="00AD39F2" w:rsidRPr="00AD39F2">
              <w:rPr>
                <w:noProof/>
                <w:webHidden/>
              </w:rPr>
            </w:r>
            <w:r w:rsidR="00AD39F2" w:rsidRPr="00AD39F2">
              <w:rPr>
                <w:noProof/>
                <w:webHidden/>
              </w:rPr>
              <w:fldChar w:fldCharType="separate"/>
            </w:r>
            <w:r>
              <w:rPr>
                <w:noProof/>
                <w:webHidden/>
              </w:rPr>
              <w:t>14</w:t>
            </w:r>
            <w:r w:rsidR="00AD39F2" w:rsidRPr="00AD39F2">
              <w:rPr>
                <w:noProof/>
                <w:webHidden/>
              </w:rPr>
              <w:fldChar w:fldCharType="end"/>
            </w:r>
          </w:hyperlink>
        </w:p>
        <w:p w14:paraId="0971A149" w14:textId="7B42C9C0" w:rsidR="00AD39F2" w:rsidRPr="00AD39F2" w:rsidRDefault="00537AE4" w:rsidP="00AD39F2">
          <w:pPr>
            <w:pStyle w:val="TDC3"/>
            <w:rPr>
              <w:rFonts w:asciiTheme="minorHAnsi" w:eastAsiaTheme="minorEastAsia" w:hAnsiTheme="minorHAnsi" w:cstheme="minorBidi"/>
              <w:noProof/>
              <w:szCs w:val="22"/>
              <w:lang w:eastAsia="es-MX"/>
            </w:rPr>
          </w:pPr>
          <w:hyperlink w:anchor="_Toc200539206" w:history="1">
            <w:r w:rsidR="00AD39F2" w:rsidRPr="00AD39F2">
              <w:rPr>
                <w:rStyle w:val="Hipervnculo"/>
                <w:noProof/>
                <w:color w:val="auto"/>
              </w:rPr>
              <w:t>a) Mandato de transparencia y responsabilidad del Sujeto Obligado</w:t>
            </w:r>
            <w:r w:rsidR="00AD39F2" w:rsidRPr="00AD39F2">
              <w:rPr>
                <w:noProof/>
                <w:webHidden/>
              </w:rPr>
              <w:tab/>
            </w:r>
            <w:r w:rsidR="00AD39F2" w:rsidRPr="00AD39F2">
              <w:rPr>
                <w:noProof/>
                <w:webHidden/>
              </w:rPr>
              <w:fldChar w:fldCharType="begin"/>
            </w:r>
            <w:r w:rsidR="00AD39F2" w:rsidRPr="00AD39F2">
              <w:rPr>
                <w:noProof/>
                <w:webHidden/>
              </w:rPr>
              <w:instrText xml:space="preserve"> PAGEREF _Toc200539206 \h </w:instrText>
            </w:r>
            <w:r w:rsidR="00AD39F2" w:rsidRPr="00AD39F2">
              <w:rPr>
                <w:noProof/>
                <w:webHidden/>
              </w:rPr>
            </w:r>
            <w:r w:rsidR="00AD39F2" w:rsidRPr="00AD39F2">
              <w:rPr>
                <w:noProof/>
                <w:webHidden/>
              </w:rPr>
              <w:fldChar w:fldCharType="separate"/>
            </w:r>
            <w:r>
              <w:rPr>
                <w:noProof/>
                <w:webHidden/>
              </w:rPr>
              <w:t>14</w:t>
            </w:r>
            <w:r w:rsidR="00AD39F2" w:rsidRPr="00AD39F2">
              <w:rPr>
                <w:noProof/>
                <w:webHidden/>
              </w:rPr>
              <w:fldChar w:fldCharType="end"/>
            </w:r>
          </w:hyperlink>
        </w:p>
        <w:p w14:paraId="674535C0" w14:textId="4109B132" w:rsidR="00AD39F2" w:rsidRPr="00AD39F2" w:rsidRDefault="00537AE4" w:rsidP="00AD39F2">
          <w:pPr>
            <w:pStyle w:val="TDC3"/>
            <w:rPr>
              <w:rFonts w:asciiTheme="minorHAnsi" w:eastAsiaTheme="minorEastAsia" w:hAnsiTheme="minorHAnsi" w:cstheme="minorBidi"/>
              <w:noProof/>
              <w:szCs w:val="22"/>
              <w:lang w:eastAsia="es-MX"/>
            </w:rPr>
          </w:pPr>
          <w:hyperlink w:anchor="_Toc200539207" w:history="1">
            <w:r w:rsidR="00AD39F2" w:rsidRPr="00AD39F2">
              <w:rPr>
                <w:rStyle w:val="Hipervnculo"/>
                <w:rFonts w:eastAsia="Calibri"/>
                <w:noProof/>
                <w:color w:val="auto"/>
                <w:lang w:eastAsia="es-ES_tradnl"/>
              </w:rPr>
              <w:t>b) Controversia a resolver</w:t>
            </w:r>
            <w:r w:rsidR="00AD39F2" w:rsidRPr="00AD39F2">
              <w:rPr>
                <w:noProof/>
                <w:webHidden/>
              </w:rPr>
              <w:tab/>
            </w:r>
            <w:r w:rsidR="00AD39F2" w:rsidRPr="00AD39F2">
              <w:rPr>
                <w:noProof/>
                <w:webHidden/>
              </w:rPr>
              <w:fldChar w:fldCharType="begin"/>
            </w:r>
            <w:r w:rsidR="00AD39F2" w:rsidRPr="00AD39F2">
              <w:rPr>
                <w:noProof/>
                <w:webHidden/>
              </w:rPr>
              <w:instrText xml:space="preserve"> PAGEREF _Toc200539207 \h </w:instrText>
            </w:r>
            <w:r w:rsidR="00AD39F2" w:rsidRPr="00AD39F2">
              <w:rPr>
                <w:noProof/>
                <w:webHidden/>
              </w:rPr>
            </w:r>
            <w:r w:rsidR="00AD39F2" w:rsidRPr="00AD39F2">
              <w:rPr>
                <w:noProof/>
                <w:webHidden/>
              </w:rPr>
              <w:fldChar w:fldCharType="separate"/>
            </w:r>
            <w:r>
              <w:rPr>
                <w:noProof/>
                <w:webHidden/>
              </w:rPr>
              <w:t>16</w:t>
            </w:r>
            <w:r w:rsidR="00AD39F2" w:rsidRPr="00AD39F2">
              <w:rPr>
                <w:noProof/>
                <w:webHidden/>
              </w:rPr>
              <w:fldChar w:fldCharType="end"/>
            </w:r>
          </w:hyperlink>
        </w:p>
        <w:p w14:paraId="652BE47C" w14:textId="308ECF30" w:rsidR="00AD39F2" w:rsidRPr="00AD39F2" w:rsidRDefault="00537AE4" w:rsidP="00AD39F2">
          <w:pPr>
            <w:pStyle w:val="TDC3"/>
            <w:rPr>
              <w:rFonts w:asciiTheme="minorHAnsi" w:eastAsiaTheme="minorEastAsia" w:hAnsiTheme="minorHAnsi" w:cstheme="minorBidi"/>
              <w:noProof/>
              <w:szCs w:val="22"/>
              <w:lang w:eastAsia="es-MX"/>
            </w:rPr>
          </w:pPr>
          <w:hyperlink w:anchor="_Toc200539208" w:history="1">
            <w:r w:rsidR="00AD39F2" w:rsidRPr="00AD39F2">
              <w:rPr>
                <w:rStyle w:val="Hipervnculo"/>
                <w:noProof/>
                <w:color w:val="auto"/>
              </w:rPr>
              <w:t>c) Estudio de la controversia</w:t>
            </w:r>
            <w:r w:rsidR="00AD39F2" w:rsidRPr="00AD39F2">
              <w:rPr>
                <w:noProof/>
                <w:webHidden/>
              </w:rPr>
              <w:tab/>
            </w:r>
            <w:r w:rsidR="00AD39F2" w:rsidRPr="00AD39F2">
              <w:rPr>
                <w:noProof/>
                <w:webHidden/>
              </w:rPr>
              <w:fldChar w:fldCharType="begin"/>
            </w:r>
            <w:r w:rsidR="00AD39F2" w:rsidRPr="00AD39F2">
              <w:rPr>
                <w:noProof/>
                <w:webHidden/>
              </w:rPr>
              <w:instrText xml:space="preserve"> PAGEREF _Toc200539208 \h </w:instrText>
            </w:r>
            <w:r w:rsidR="00AD39F2" w:rsidRPr="00AD39F2">
              <w:rPr>
                <w:noProof/>
                <w:webHidden/>
              </w:rPr>
            </w:r>
            <w:r w:rsidR="00AD39F2" w:rsidRPr="00AD39F2">
              <w:rPr>
                <w:noProof/>
                <w:webHidden/>
              </w:rPr>
              <w:fldChar w:fldCharType="separate"/>
            </w:r>
            <w:r>
              <w:rPr>
                <w:noProof/>
                <w:webHidden/>
              </w:rPr>
              <w:t>17</w:t>
            </w:r>
            <w:r w:rsidR="00AD39F2" w:rsidRPr="00AD39F2">
              <w:rPr>
                <w:noProof/>
                <w:webHidden/>
              </w:rPr>
              <w:fldChar w:fldCharType="end"/>
            </w:r>
          </w:hyperlink>
        </w:p>
        <w:p w14:paraId="5FE94BCD" w14:textId="5E230BA2" w:rsidR="00AD39F2" w:rsidRPr="00AD39F2" w:rsidRDefault="00537AE4" w:rsidP="00AD39F2">
          <w:pPr>
            <w:pStyle w:val="TDC3"/>
            <w:rPr>
              <w:rFonts w:asciiTheme="minorHAnsi" w:eastAsiaTheme="minorEastAsia" w:hAnsiTheme="minorHAnsi" w:cstheme="minorBidi"/>
              <w:noProof/>
              <w:szCs w:val="22"/>
              <w:lang w:eastAsia="es-MX"/>
            </w:rPr>
          </w:pPr>
          <w:hyperlink w:anchor="_Toc200539209" w:history="1">
            <w:r w:rsidR="00AD39F2" w:rsidRPr="00AD39F2">
              <w:rPr>
                <w:rStyle w:val="Hipervnculo"/>
                <w:noProof/>
                <w:color w:val="auto"/>
              </w:rPr>
              <w:t>d) Conclusión</w:t>
            </w:r>
            <w:r w:rsidR="00AD39F2" w:rsidRPr="00AD39F2">
              <w:rPr>
                <w:noProof/>
                <w:webHidden/>
              </w:rPr>
              <w:tab/>
            </w:r>
            <w:r w:rsidR="00AD39F2" w:rsidRPr="00AD39F2">
              <w:rPr>
                <w:noProof/>
                <w:webHidden/>
              </w:rPr>
              <w:fldChar w:fldCharType="begin"/>
            </w:r>
            <w:r w:rsidR="00AD39F2" w:rsidRPr="00AD39F2">
              <w:rPr>
                <w:noProof/>
                <w:webHidden/>
              </w:rPr>
              <w:instrText xml:space="preserve"> PAGEREF _Toc200539209 \h </w:instrText>
            </w:r>
            <w:r w:rsidR="00AD39F2" w:rsidRPr="00AD39F2">
              <w:rPr>
                <w:noProof/>
                <w:webHidden/>
              </w:rPr>
            </w:r>
            <w:r w:rsidR="00AD39F2" w:rsidRPr="00AD39F2">
              <w:rPr>
                <w:noProof/>
                <w:webHidden/>
              </w:rPr>
              <w:fldChar w:fldCharType="separate"/>
            </w:r>
            <w:r>
              <w:rPr>
                <w:noProof/>
                <w:webHidden/>
              </w:rPr>
              <w:t>27</w:t>
            </w:r>
            <w:r w:rsidR="00AD39F2" w:rsidRPr="00AD39F2">
              <w:rPr>
                <w:noProof/>
                <w:webHidden/>
              </w:rPr>
              <w:fldChar w:fldCharType="end"/>
            </w:r>
          </w:hyperlink>
        </w:p>
        <w:p w14:paraId="0C82FD7A" w14:textId="2D6C2A27" w:rsidR="009B2945" w:rsidRPr="00AD39F2" w:rsidRDefault="00537AE4" w:rsidP="00AD39F2">
          <w:pPr>
            <w:pStyle w:val="TDC1"/>
            <w:tabs>
              <w:tab w:val="right" w:leader="dot" w:pos="9034"/>
            </w:tabs>
            <w:rPr>
              <w:b/>
              <w:bCs/>
              <w:lang w:val="es-ES"/>
            </w:rPr>
          </w:pPr>
          <w:hyperlink w:anchor="_Toc200539210" w:history="1">
            <w:r w:rsidR="00AD39F2" w:rsidRPr="00AD39F2">
              <w:rPr>
                <w:rStyle w:val="Hipervnculo"/>
                <w:noProof/>
                <w:color w:val="auto"/>
              </w:rPr>
              <w:t>RESUELVE</w:t>
            </w:r>
            <w:r w:rsidR="00AD39F2" w:rsidRPr="00AD39F2">
              <w:rPr>
                <w:noProof/>
                <w:webHidden/>
              </w:rPr>
              <w:tab/>
            </w:r>
            <w:r w:rsidR="00AD39F2" w:rsidRPr="00AD39F2">
              <w:rPr>
                <w:noProof/>
                <w:webHidden/>
              </w:rPr>
              <w:fldChar w:fldCharType="begin"/>
            </w:r>
            <w:r w:rsidR="00AD39F2" w:rsidRPr="00AD39F2">
              <w:rPr>
                <w:noProof/>
                <w:webHidden/>
              </w:rPr>
              <w:instrText xml:space="preserve"> PAGEREF _Toc200539210 \h </w:instrText>
            </w:r>
            <w:r w:rsidR="00AD39F2" w:rsidRPr="00AD39F2">
              <w:rPr>
                <w:noProof/>
                <w:webHidden/>
              </w:rPr>
            </w:r>
            <w:r w:rsidR="00AD39F2" w:rsidRPr="00AD39F2">
              <w:rPr>
                <w:noProof/>
                <w:webHidden/>
              </w:rPr>
              <w:fldChar w:fldCharType="separate"/>
            </w:r>
            <w:r>
              <w:rPr>
                <w:noProof/>
                <w:webHidden/>
              </w:rPr>
              <w:t>28</w:t>
            </w:r>
            <w:r w:rsidR="00AD39F2" w:rsidRPr="00AD39F2">
              <w:rPr>
                <w:noProof/>
                <w:webHidden/>
              </w:rPr>
              <w:fldChar w:fldCharType="end"/>
            </w:r>
          </w:hyperlink>
          <w:r w:rsidR="00AE3DA7" w:rsidRPr="00AD39F2">
            <w:rPr>
              <w:b/>
              <w:bCs/>
              <w:sz w:val="16"/>
              <w:szCs w:val="16"/>
              <w:lang w:val="es-ES"/>
            </w:rPr>
            <w:fldChar w:fldCharType="end"/>
          </w:r>
        </w:p>
      </w:sdtContent>
    </w:sdt>
    <w:p w14:paraId="603A07E2" w14:textId="77777777" w:rsidR="00646436" w:rsidRPr="00AD39F2" w:rsidRDefault="00646436" w:rsidP="00AD39F2">
      <w:pPr>
        <w:rPr>
          <w:rFonts w:cs="Tahoma"/>
          <w:szCs w:val="22"/>
        </w:rPr>
        <w:sectPr w:rsidR="00646436" w:rsidRPr="00AD39F2"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0AB39953" w:rsidR="00775BFC" w:rsidRPr="00AD39F2" w:rsidRDefault="00775BFC" w:rsidP="00AD39F2">
      <w:r w:rsidRPr="00AD39F2">
        <w:lastRenderedPageBreak/>
        <w:t>Resolución del Pleno del Instituto de Transparencia, Acceso a la Información Pública y Protección de Datos Personales del Estado de México y Municipios, con domicilio en Metepec, Estado de México, de</w:t>
      </w:r>
      <w:r w:rsidR="00AD39F2" w:rsidRPr="00AD39F2">
        <w:t>l</w:t>
      </w:r>
      <w:r w:rsidRPr="00AD39F2">
        <w:t xml:space="preserve"> </w:t>
      </w:r>
      <w:r w:rsidR="004B59D7" w:rsidRPr="00AD39F2">
        <w:rPr>
          <w:b/>
        </w:rPr>
        <w:t>once de junio</w:t>
      </w:r>
      <w:r w:rsidR="00533309" w:rsidRPr="00AD39F2">
        <w:rPr>
          <w:b/>
        </w:rPr>
        <w:t xml:space="preserve"> de dos mil veinticinco</w:t>
      </w:r>
      <w:r w:rsidR="00B52CF2" w:rsidRPr="00AD39F2">
        <w:t>.</w:t>
      </w:r>
    </w:p>
    <w:p w14:paraId="0AF3AAC4" w14:textId="77777777" w:rsidR="00775BFC" w:rsidRPr="00AD39F2" w:rsidRDefault="00775BFC" w:rsidP="00AD39F2"/>
    <w:p w14:paraId="40EAE038" w14:textId="0BE805E3" w:rsidR="00775BFC" w:rsidRPr="00AD39F2" w:rsidRDefault="00775BFC" w:rsidP="00AD39F2">
      <w:r w:rsidRPr="00AD39F2">
        <w:rPr>
          <w:b/>
        </w:rPr>
        <w:t xml:space="preserve">VISTO </w:t>
      </w:r>
      <w:r w:rsidRPr="00AD39F2">
        <w:t xml:space="preserve">el expediente formado con motivo del Recurso de Revisión </w:t>
      </w:r>
      <w:r w:rsidR="004B59D7" w:rsidRPr="00AD39F2">
        <w:rPr>
          <w:rFonts w:eastAsia="Calibri"/>
          <w:b/>
          <w:lang w:eastAsia="en-US"/>
        </w:rPr>
        <w:t>03132/INFOEM/IP/RR/2025</w:t>
      </w:r>
      <w:r w:rsidR="00B52CF2" w:rsidRPr="00AD39F2">
        <w:rPr>
          <w:rFonts w:eastAsia="Calibri"/>
          <w:b/>
          <w:lang w:eastAsia="en-US"/>
        </w:rPr>
        <w:t xml:space="preserve"> </w:t>
      </w:r>
      <w:r w:rsidRPr="00AD39F2">
        <w:t xml:space="preserve">interpuesto </w:t>
      </w:r>
      <w:r w:rsidR="004B59D7" w:rsidRPr="00AD39F2">
        <w:t xml:space="preserve">de </w:t>
      </w:r>
      <w:r w:rsidR="004B59D7" w:rsidRPr="00AD39F2">
        <w:rPr>
          <w:b/>
        </w:rPr>
        <w:t>manera anónima</w:t>
      </w:r>
      <w:r w:rsidR="00B52CF2" w:rsidRPr="00AD39F2">
        <w:t>,</w:t>
      </w:r>
      <w:r w:rsidRPr="00AD39F2">
        <w:t xml:space="preserve"> a quien en lo subsecuente se le denominará </w:t>
      </w:r>
      <w:r w:rsidRPr="00AD39F2">
        <w:rPr>
          <w:b/>
          <w:bCs/>
        </w:rPr>
        <w:t>LA PARTE RECURRENTE</w:t>
      </w:r>
      <w:r w:rsidRPr="00AD39F2">
        <w:t xml:space="preserve">, en contra de la respuesta emitida por </w:t>
      </w:r>
      <w:r w:rsidR="00533309" w:rsidRPr="00AD39F2">
        <w:t xml:space="preserve">el </w:t>
      </w:r>
      <w:r w:rsidR="004B59D7" w:rsidRPr="00AD39F2">
        <w:rPr>
          <w:b/>
          <w:bCs/>
        </w:rPr>
        <w:t>Instituto Electoral del Estado de México</w:t>
      </w:r>
      <w:r w:rsidRPr="00AD39F2">
        <w:t xml:space="preserve">, en adelante </w:t>
      </w:r>
      <w:r w:rsidRPr="00AD39F2">
        <w:rPr>
          <w:b/>
          <w:bCs/>
        </w:rPr>
        <w:t>EL SUJETO OBLIGADO</w:t>
      </w:r>
      <w:r w:rsidRPr="00AD39F2">
        <w:rPr>
          <w:rFonts w:eastAsia="Calibri"/>
          <w:lang w:eastAsia="en-US"/>
        </w:rPr>
        <w:t xml:space="preserve">, </w:t>
      </w:r>
      <w:r w:rsidRPr="00AD39F2">
        <w:t>se emite la presente Resolución con base en los Antecedentes y Considerandos que se exponen a continuación:</w:t>
      </w:r>
    </w:p>
    <w:p w14:paraId="2116968C" w14:textId="77777777" w:rsidR="00775BFC" w:rsidRPr="00AD39F2" w:rsidRDefault="00775BFC" w:rsidP="00AD39F2"/>
    <w:p w14:paraId="5A444FB6" w14:textId="639D3567" w:rsidR="00664420" w:rsidRPr="00AD39F2" w:rsidRDefault="00664420" w:rsidP="00AD39F2">
      <w:pPr>
        <w:pStyle w:val="Ttulo1"/>
      </w:pPr>
      <w:bookmarkStart w:id="2" w:name="_Toc200539185"/>
      <w:r w:rsidRPr="00AD39F2">
        <w:t>ANTECEDENTES</w:t>
      </w:r>
      <w:bookmarkEnd w:id="2"/>
    </w:p>
    <w:p w14:paraId="5CB5034E" w14:textId="77777777" w:rsidR="00AC2DB8" w:rsidRPr="00AD39F2" w:rsidRDefault="00AC2DB8" w:rsidP="00AD39F2"/>
    <w:p w14:paraId="09B2D38F" w14:textId="6E49D146" w:rsidR="00664420" w:rsidRPr="00AD39F2" w:rsidRDefault="00E37A3F" w:rsidP="00AD39F2">
      <w:pPr>
        <w:pStyle w:val="Ttulo2"/>
      </w:pPr>
      <w:bookmarkStart w:id="3" w:name="_Toc200539186"/>
      <w:r w:rsidRPr="00AD39F2">
        <w:t>DE LA SOLICITUD DE INFORMACIÓN</w:t>
      </w:r>
      <w:bookmarkEnd w:id="3"/>
    </w:p>
    <w:p w14:paraId="2C6AD1A5" w14:textId="0405B3CD" w:rsidR="00664420" w:rsidRPr="00AD39F2" w:rsidRDefault="00E37A3F" w:rsidP="00AD39F2">
      <w:pPr>
        <w:pStyle w:val="Ttulo3"/>
      </w:pPr>
      <w:bookmarkStart w:id="4" w:name="_Toc200539187"/>
      <w:r w:rsidRPr="00AD39F2">
        <w:t xml:space="preserve">a) </w:t>
      </w:r>
      <w:r w:rsidR="006B10B0" w:rsidRPr="00AD39F2">
        <w:t>S</w:t>
      </w:r>
      <w:r w:rsidR="00664420" w:rsidRPr="00AD39F2">
        <w:t xml:space="preserve">olicitud de </w:t>
      </w:r>
      <w:r w:rsidR="006B10B0" w:rsidRPr="00AD39F2">
        <w:t>i</w:t>
      </w:r>
      <w:r w:rsidR="00664420" w:rsidRPr="00AD39F2">
        <w:t>nformación</w:t>
      </w:r>
      <w:bookmarkEnd w:id="4"/>
    </w:p>
    <w:p w14:paraId="06DCD29D" w14:textId="65B6A0E2" w:rsidR="009A2D78" w:rsidRPr="00AD39F2" w:rsidRDefault="006B10B0" w:rsidP="00AD39F2">
      <w:pPr>
        <w:pStyle w:val="Prrafodelista"/>
        <w:tabs>
          <w:tab w:val="left" w:pos="0"/>
        </w:tabs>
        <w:ind w:left="0"/>
        <w:contextualSpacing w:val="0"/>
        <w:rPr>
          <w:rFonts w:cs="Tahoma"/>
        </w:rPr>
      </w:pPr>
      <w:r w:rsidRPr="00AD39F2">
        <w:rPr>
          <w:rFonts w:cs="Tahoma"/>
        </w:rPr>
        <w:t>El</w:t>
      </w:r>
      <w:r w:rsidR="00664420" w:rsidRPr="00AD39F2">
        <w:rPr>
          <w:rFonts w:cs="Tahoma"/>
        </w:rPr>
        <w:t xml:space="preserve"> </w:t>
      </w:r>
      <w:r w:rsidR="004B59D7" w:rsidRPr="00AD39F2">
        <w:rPr>
          <w:rFonts w:cs="Tahoma"/>
          <w:b/>
          <w:bCs/>
        </w:rPr>
        <w:t>dieciocho de febrero</w:t>
      </w:r>
      <w:r w:rsidR="00533309" w:rsidRPr="00AD39F2">
        <w:rPr>
          <w:rFonts w:cs="Tahoma"/>
          <w:b/>
          <w:bCs/>
        </w:rPr>
        <w:t xml:space="preserve"> de dos mil veinticinco</w:t>
      </w:r>
      <w:r w:rsidR="00664420" w:rsidRPr="00AD39F2">
        <w:rPr>
          <w:rFonts w:cs="Tahoma"/>
        </w:rPr>
        <w:t xml:space="preserve">, </w:t>
      </w:r>
      <w:r w:rsidRPr="00AD39F2">
        <w:rPr>
          <w:b/>
          <w:bCs/>
        </w:rPr>
        <w:t>LA PARTE RECURRENTE</w:t>
      </w:r>
      <w:r w:rsidR="00664420" w:rsidRPr="00AD39F2">
        <w:rPr>
          <w:rFonts w:cs="Tahoma"/>
        </w:rPr>
        <w:t xml:space="preserve"> presentó una solicitud de acceso a la información pública </w:t>
      </w:r>
      <w:r w:rsidR="001F3515" w:rsidRPr="00AD39F2">
        <w:rPr>
          <w:rFonts w:cs="Tahoma"/>
        </w:rPr>
        <w:t xml:space="preserve">ante el </w:t>
      </w:r>
      <w:r w:rsidR="001F3515" w:rsidRPr="00AD39F2">
        <w:rPr>
          <w:rFonts w:cs="Tahoma"/>
          <w:b/>
          <w:bCs/>
        </w:rPr>
        <w:t>SUJETO OBLIGADO</w:t>
      </w:r>
      <w:r w:rsidR="001F3515" w:rsidRPr="00AD39F2">
        <w:rPr>
          <w:rFonts w:cs="Tahoma"/>
        </w:rPr>
        <w:t xml:space="preserve">, </w:t>
      </w:r>
      <w:r w:rsidR="00B52CF2" w:rsidRPr="00AD39F2">
        <w:rPr>
          <w:rFonts w:cs="Tahoma"/>
        </w:rPr>
        <w:t xml:space="preserve">a través </w:t>
      </w:r>
      <w:r w:rsidR="00DB2351" w:rsidRPr="00AD39F2">
        <w:rPr>
          <w:rFonts w:cs="Tahoma"/>
        </w:rPr>
        <w:t>d</w:t>
      </w:r>
      <w:r w:rsidRPr="00AD39F2">
        <w:rPr>
          <w:rFonts w:cs="Tahoma"/>
        </w:rPr>
        <w:t>el Sistema de Acceso a la Información Mexiquense</w:t>
      </w:r>
      <w:r w:rsidR="009A2D78" w:rsidRPr="00AD39F2">
        <w:rPr>
          <w:rFonts w:cs="Tahoma"/>
        </w:rPr>
        <w:t xml:space="preserve"> (</w:t>
      </w:r>
      <w:r w:rsidRPr="00AD39F2">
        <w:rPr>
          <w:rFonts w:cs="Tahoma"/>
          <w:b/>
        </w:rPr>
        <w:t>SAIMEX</w:t>
      </w:r>
      <w:r w:rsidR="009A2D78" w:rsidRPr="00AD39F2">
        <w:rPr>
          <w:rFonts w:cs="Tahoma"/>
        </w:rPr>
        <w:t>). Dicha solicitud quedó</w:t>
      </w:r>
      <w:r w:rsidRPr="00AD39F2">
        <w:rPr>
          <w:rFonts w:cs="Tahoma"/>
        </w:rPr>
        <w:t xml:space="preserve"> registrada c</w:t>
      </w:r>
      <w:r w:rsidR="00664420" w:rsidRPr="00AD39F2">
        <w:rPr>
          <w:rFonts w:cs="Tahoma"/>
        </w:rPr>
        <w:t>on el número de folio</w:t>
      </w:r>
      <w:r w:rsidR="00664420" w:rsidRPr="00AD39F2">
        <w:rPr>
          <w:rFonts w:cs="Tahoma"/>
          <w:b/>
          <w:bCs/>
        </w:rPr>
        <w:t xml:space="preserve"> </w:t>
      </w:r>
      <w:r w:rsidR="004B59D7" w:rsidRPr="00AD39F2">
        <w:rPr>
          <w:rFonts w:cs="Tahoma"/>
          <w:b/>
          <w:bCs/>
        </w:rPr>
        <w:t>00122/IEEM/IP/2025</w:t>
      </w:r>
      <w:r w:rsidR="002A3601" w:rsidRPr="00AD39F2">
        <w:rPr>
          <w:rFonts w:cs="Tahoma"/>
        </w:rPr>
        <w:t xml:space="preserve"> y en ella </w:t>
      </w:r>
      <w:r w:rsidR="009A2D78" w:rsidRPr="00AD39F2">
        <w:rPr>
          <w:rFonts w:cs="Tahoma"/>
        </w:rPr>
        <w:t>se requirió la siguiente información:</w:t>
      </w:r>
    </w:p>
    <w:p w14:paraId="0459D6AC" w14:textId="77777777" w:rsidR="00664420" w:rsidRPr="00AD39F2" w:rsidRDefault="00664420" w:rsidP="00AD39F2">
      <w:pPr>
        <w:tabs>
          <w:tab w:val="left" w:pos="4667"/>
        </w:tabs>
        <w:ind w:left="567" w:right="567"/>
        <w:rPr>
          <w:rFonts w:cs="Tahoma"/>
          <w:b/>
          <w:bCs/>
        </w:rPr>
      </w:pPr>
    </w:p>
    <w:p w14:paraId="64B27DE3" w14:textId="2958E2A8" w:rsidR="00664420" w:rsidRPr="00AD39F2" w:rsidRDefault="00EE58D9" w:rsidP="00AD39F2">
      <w:pPr>
        <w:pStyle w:val="Puesto"/>
      </w:pPr>
      <w:r w:rsidRPr="00AD39F2">
        <w:t>“</w:t>
      </w:r>
      <w:r w:rsidR="004B59D7" w:rsidRPr="00AD39F2">
        <w:t>Saludos! Necesito saber el nombre de todas las personas que se han registrado por la candidatura de Tepotzotlan de todos los partidos desde el primer registro que tienen hasta el ultimo que acaba de pasar, tambien los integrantes de sus planillas</w:t>
      </w:r>
      <w:r w:rsidRPr="00AD39F2">
        <w:t>”</w:t>
      </w:r>
    </w:p>
    <w:p w14:paraId="627D2DD4" w14:textId="77777777" w:rsidR="00B52CF2" w:rsidRPr="00AD39F2" w:rsidRDefault="00B52CF2" w:rsidP="00AD39F2">
      <w:pPr>
        <w:tabs>
          <w:tab w:val="left" w:pos="4667"/>
        </w:tabs>
        <w:ind w:left="567" w:right="567"/>
        <w:rPr>
          <w:rFonts w:cs="Tahoma"/>
          <w:bCs/>
          <w:i/>
          <w:szCs w:val="22"/>
        </w:rPr>
      </w:pPr>
    </w:p>
    <w:p w14:paraId="0BD6321D" w14:textId="4E65BC8D" w:rsidR="00664420" w:rsidRPr="00AD39F2" w:rsidRDefault="009A2D78" w:rsidP="00AD39F2">
      <w:pPr>
        <w:tabs>
          <w:tab w:val="left" w:pos="4667"/>
        </w:tabs>
        <w:ind w:left="567" w:right="567"/>
        <w:rPr>
          <w:rFonts w:cs="Tahoma"/>
          <w:bCs/>
          <w:szCs w:val="22"/>
        </w:rPr>
      </w:pPr>
      <w:r w:rsidRPr="00AD39F2">
        <w:rPr>
          <w:rFonts w:cs="Tahoma"/>
          <w:b/>
          <w:bCs/>
          <w:szCs w:val="22"/>
        </w:rPr>
        <w:t>Modalidad de entrega</w:t>
      </w:r>
      <w:r w:rsidRPr="00AD39F2">
        <w:rPr>
          <w:rFonts w:cs="Tahoma"/>
          <w:bCs/>
          <w:szCs w:val="22"/>
        </w:rPr>
        <w:t xml:space="preserve">: </w:t>
      </w:r>
      <w:r w:rsidR="00EE58D9" w:rsidRPr="00AD39F2">
        <w:rPr>
          <w:rFonts w:cs="Tahoma"/>
          <w:bCs/>
          <w:szCs w:val="22"/>
        </w:rPr>
        <w:t xml:space="preserve">a través del </w:t>
      </w:r>
      <w:r w:rsidR="00D024E7" w:rsidRPr="00AD39F2">
        <w:rPr>
          <w:rFonts w:cs="Tahoma"/>
          <w:b/>
          <w:bCs/>
          <w:szCs w:val="22"/>
        </w:rPr>
        <w:t>SAIMEX</w:t>
      </w:r>
      <w:r w:rsidRPr="00AD39F2">
        <w:rPr>
          <w:rFonts w:cs="Tahoma"/>
          <w:bCs/>
          <w:i/>
          <w:szCs w:val="22"/>
        </w:rPr>
        <w:t>.</w:t>
      </w:r>
    </w:p>
    <w:p w14:paraId="334D2860" w14:textId="77777777" w:rsidR="00664420" w:rsidRPr="00AD39F2" w:rsidRDefault="00664420" w:rsidP="00AD39F2">
      <w:pPr>
        <w:autoSpaceDE w:val="0"/>
        <w:autoSpaceDN w:val="0"/>
        <w:adjustRightInd w:val="0"/>
        <w:ind w:right="-28"/>
        <w:rPr>
          <w:rFonts w:cs="Tahoma"/>
          <w:bCs/>
          <w:i/>
          <w:szCs w:val="22"/>
        </w:rPr>
      </w:pPr>
    </w:p>
    <w:p w14:paraId="413A7C2D" w14:textId="77777777" w:rsidR="00DB2351" w:rsidRPr="00AD39F2" w:rsidRDefault="00DB2351" w:rsidP="00AD39F2">
      <w:pPr>
        <w:pStyle w:val="Ttulo3"/>
      </w:pPr>
      <w:bookmarkStart w:id="5" w:name="_Toc165402840"/>
      <w:bookmarkStart w:id="6" w:name="_Toc200539188"/>
      <w:r w:rsidRPr="00AD39F2">
        <w:lastRenderedPageBreak/>
        <w:t>b) Turno de la solicitud de información</w:t>
      </w:r>
      <w:bookmarkEnd w:id="5"/>
      <w:bookmarkEnd w:id="6"/>
    </w:p>
    <w:p w14:paraId="429B52B6" w14:textId="2CFFDFC2" w:rsidR="00DB2351" w:rsidRPr="00AD39F2" w:rsidRDefault="00DB2351" w:rsidP="00AD39F2">
      <w:r w:rsidRPr="00AD39F2">
        <w:t xml:space="preserve">En cumplimiento al artículo 162 de la Ley de Transparencia y Acceso a la Información Pública del Estado de México y Municipios, el </w:t>
      </w:r>
      <w:r w:rsidR="004B59D7" w:rsidRPr="00AD39F2">
        <w:rPr>
          <w:rFonts w:eastAsia="Palatino Linotype" w:cs="Palatino Linotype"/>
          <w:b/>
        </w:rPr>
        <w:t>dieciocho de febrero</w:t>
      </w:r>
      <w:r w:rsidR="00533309" w:rsidRPr="00AD39F2">
        <w:rPr>
          <w:rFonts w:eastAsia="Palatino Linotype" w:cs="Palatino Linotype"/>
          <w:b/>
        </w:rPr>
        <w:t xml:space="preserve"> de dos mil veinticinco</w:t>
      </w:r>
      <w:r w:rsidR="00EE58D9" w:rsidRPr="00AD39F2">
        <w:t>, la</w:t>
      </w:r>
      <w:r w:rsidRPr="00AD39F2">
        <w:t xml:space="preserve"> Titular de la Unidad de Transparencia del </w:t>
      </w:r>
      <w:r w:rsidRPr="00AD39F2">
        <w:rPr>
          <w:b/>
        </w:rPr>
        <w:t>SUJETO OBLIGADO</w:t>
      </w:r>
      <w:r w:rsidRPr="00AD39F2">
        <w:t xml:space="preserve"> turnó la solicitud de información </w:t>
      </w:r>
      <w:r w:rsidR="00374582" w:rsidRPr="00AD39F2">
        <w:t>a los</w:t>
      </w:r>
      <w:r w:rsidR="00DB5C13" w:rsidRPr="00AD39F2">
        <w:t xml:space="preserve"> servidor</w:t>
      </w:r>
      <w:r w:rsidR="00374582" w:rsidRPr="00AD39F2">
        <w:t>es</w:t>
      </w:r>
      <w:r w:rsidR="00DB5C13" w:rsidRPr="00AD39F2">
        <w:t xml:space="preserve"> público</w:t>
      </w:r>
      <w:r w:rsidR="00374582" w:rsidRPr="00AD39F2">
        <w:t>s</w:t>
      </w:r>
      <w:r w:rsidR="00DB5C13" w:rsidRPr="00AD39F2">
        <w:t xml:space="preserve"> habilitado</w:t>
      </w:r>
      <w:r w:rsidR="00374582" w:rsidRPr="00AD39F2">
        <w:t>s</w:t>
      </w:r>
      <w:r w:rsidR="00DB5C13" w:rsidRPr="00AD39F2">
        <w:t xml:space="preserve"> </w:t>
      </w:r>
      <w:r w:rsidRPr="00AD39F2">
        <w:t>que estimó pertinente.</w:t>
      </w:r>
    </w:p>
    <w:p w14:paraId="6FB6F359" w14:textId="77777777" w:rsidR="00DB2351" w:rsidRPr="00AD39F2" w:rsidRDefault="00DB2351" w:rsidP="00AD39F2">
      <w:pPr>
        <w:autoSpaceDE w:val="0"/>
        <w:autoSpaceDN w:val="0"/>
        <w:adjustRightInd w:val="0"/>
        <w:ind w:right="-28"/>
        <w:rPr>
          <w:rFonts w:cs="Tahoma"/>
          <w:bCs/>
          <w:i/>
          <w:szCs w:val="22"/>
        </w:rPr>
      </w:pPr>
    </w:p>
    <w:p w14:paraId="3212BA4D" w14:textId="399FF71E" w:rsidR="00664420" w:rsidRPr="00AD39F2" w:rsidRDefault="009816D3" w:rsidP="00AD39F2">
      <w:pPr>
        <w:pStyle w:val="Ttulo3"/>
        <w:rPr>
          <w:rFonts w:eastAsia="Calibri"/>
          <w:lang w:eastAsia="en-US"/>
        </w:rPr>
      </w:pPr>
      <w:bookmarkStart w:id="7" w:name="_Toc200539189"/>
      <w:r w:rsidRPr="00AD39F2">
        <w:rPr>
          <w:lang w:val="es-ES"/>
        </w:rPr>
        <w:t>c</w:t>
      </w:r>
      <w:r w:rsidR="00E37A3F" w:rsidRPr="00AD39F2">
        <w:rPr>
          <w:lang w:val="es-ES"/>
        </w:rPr>
        <w:t xml:space="preserve">) </w:t>
      </w:r>
      <w:r w:rsidR="00664420" w:rsidRPr="00AD39F2">
        <w:rPr>
          <w:lang w:val="es-ES"/>
        </w:rPr>
        <w:t xml:space="preserve">Respuesta </w:t>
      </w:r>
      <w:r w:rsidR="00664420" w:rsidRPr="00AD39F2">
        <w:rPr>
          <w:rFonts w:eastAsia="Calibri"/>
          <w:lang w:eastAsia="en-US"/>
        </w:rPr>
        <w:t>del Sujeto Obligado</w:t>
      </w:r>
      <w:bookmarkEnd w:id="7"/>
    </w:p>
    <w:p w14:paraId="5FBB8FE6" w14:textId="31D70999" w:rsidR="00DB2351" w:rsidRPr="00AD39F2" w:rsidRDefault="00DB2351" w:rsidP="00AD39F2">
      <w:pPr>
        <w:pStyle w:val="Sinespaciado"/>
        <w:spacing w:line="360" w:lineRule="auto"/>
        <w:rPr>
          <w:lang w:val="es-ES"/>
        </w:rPr>
      </w:pPr>
      <w:r w:rsidRPr="00AD39F2">
        <w:rPr>
          <w:lang w:val="es-ES"/>
        </w:rPr>
        <w:t xml:space="preserve">El </w:t>
      </w:r>
      <w:r w:rsidR="004B59D7" w:rsidRPr="00AD39F2">
        <w:rPr>
          <w:b/>
          <w:bCs/>
          <w:lang w:val="es-ES"/>
        </w:rPr>
        <w:t>doce de marzo</w:t>
      </w:r>
      <w:r w:rsidR="00533309" w:rsidRPr="00AD39F2">
        <w:rPr>
          <w:b/>
          <w:bCs/>
          <w:lang w:val="es-ES"/>
        </w:rPr>
        <w:t xml:space="preserve"> de dos mil veinticinco</w:t>
      </w:r>
      <w:r w:rsidRPr="00AD39F2">
        <w:rPr>
          <w:lang w:val="es-ES"/>
        </w:rPr>
        <w:t xml:space="preserve">, el Titular de la Unidad de Transparencia del </w:t>
      </w:r>
      <w:r w:rsidRPr="00AD39F2">
        <w:rPr>
          <w:b/>
          <w:lang w:val="es-ES"/>
        </w:rPr>
        <w:t>SUJETO OBLIGADO</w:t>
      </w:r>
      <w:r w:rsidRPr="00AD39F2">
        <w:rPr>
          <w:lang w:val="es-ES"/>
        </w:rPr>
        <w:t xml:space="preserve"> notificó la siguiente respuesta a través del SAIMEX:</w:t>
      </w:r>
    </w:p>
    <w:p w14:paraId="398C5DF2" w14:textId="77777777" w:rsidR="00DB2351" w:rsidRPr="00AD39F2" w:rsidRDefault="00DB2351" w:rsidP="00AD39F2">
      <w:pPr>
        <w:tabs>
          <w:tab w:val="left" w:pos="4667"/>
        </w:tabs>
        <w:ind w:left="567" w:right="567"/>
        <w:rPr>
          <w:rFonts w:cs="Tahoma"/>
          <w:b/>
          <w:bCs/>
        </w:rPr>
      </w:pPr>
    </w:p>
    <w:p w14:paraId="54030FC1" w14:textId="77777777" w:rsidR="004B59D7" w:rsidRPr="00AD39F2" w:rsidRDefault="00DB2351" w:rsidP="00AD39F2">
      <w:pPr>
        <w:pStyle w:val="Puesto"/>
      </w:pPr>
      <w:r w:rsidRPr="00AD39F2">
        <w:t>“</w:t>
      </w:r>
      <w:r w:rsidR="004B59D7" w:rsidRPr="00AD39F2">
        <w:t>En respuesta a la solicitud recibida, nos permitimos hacer de su conocimiento que con fundamento en el artículo 53, Fracciones: II, V y VI de la Ley de Transparencia y Acceso a la Información Pública del Estado de México y Municipios, le contestamos que:</w:t>
      </w:r>
    </w:p>
    <w:p w14:paraId="3AD280F8" w14:textId="77777777" w:rsidR="00776D30" w:rsidRPr="00AD39F2" w:rsidRDefault="00776D30" w:rsidP="00AD39F2"/>
    <w:p w14:paraId="14804C2D" w14:textId="77777777" w:rsidR="004B59D7" w:rsidRPr="00AD39F2" w:rsidRDefault="004B59D7" w:rsidP="00AD39F2">
      <w:pPr>
        <w:pStyle w:val="Puesto"/>
      </w:pPr>
      <w:r w:rsidRPr="00AD39F2">
        <w:t>Se adjunta respuesta a su solicitud de información.</w:t>
      </w:r>
    </w:p>
    <w:p w14:paraId="38AA8296" w14:textId="77777777" w:rsidR="00776D30" w:rsidRPr="00AD39F2" w:rsidRDefault="00776D30" w:rsidP="00AD39F2"/>
    <w:p w14:paraId="18F7091B" w14:textId="77777777" w:rsidR="004B59D7" w:rsidRPr="00AD39F2" w:rsidRDefault="004B59D7" w:rsidP="00AD39F2">
      <w:pPr>
        <w:pStyle w:val="Puesto"/>
      </w:pPr>
      <w:r w:rsidRPr="00AD39F2">
        <w:t>ATENTAMENTE</w:t>
      </w:r>
    </w:p>
    <w:p w14:paraId="779ADDE3" w14:textId="58251178" w:rsidR="00DB2351" w:rsidRPr="00AD39F2" w:rsidRDefault="004B59D7" w:rsidP="00AD39F2">
      <w:pPr>
        <w:pStyle w:val="Puesto"/>
      </w:pPr>
      <w:r w:rsidRPr="00AD39F2">
        <w:t>MAESTRA LILIBETH ÁLVAREZ RODRÍGUEZ</w:t>
      </w:r>
      <w:r w:rsidR="00DB2351" w:rsidRPr="00AD39F2">
        <w:t>”</w:t>
      </w:r>
    </w:p>
    <w:p w14:paraId="285A982E" w14:textId="77777777" w:rsidR="00DB2351" w:rsidRPr="00AD39F2" w:rsidRDefault="00DB2351" w:rsidP="00AD39F2">
      <w:pPr>
        <w:autoSpaceDE w:val="0"/>
        <w:autoSpaceDN w:val="0"/>
        <w:adjustRightInd w:val="0"/>
        <w:ind w:right="-28"/>
        <w:rPr>
          <w:rFonts w:cs="Tahoma"/>
          <w:bCs/>
          <w:szCs w:val="22"/>
        </w:rPr>
      </w:pPr>
    </w:p>
    <w:p w14:paraId="0B3F4EB8" w14:textId="77777777" w:rsidR="00DB2351" w:rsidRPr="00AD39F2" w:rsidRDefault="00DB2351" w:rsidP="00AD39F2">
      <w:pPr>
        <w:autoSpaceDE w:val="0"/>
        <w:autoSpaceDN w:val="0"/>
        <w:adjustRightInd w:val="0"/>
        <w:ind w:right="-28"/>
        <w:rPr>
          <w:rFonts w:cs="Tahoma"/>
          <w:bCs/>
          <w:szCs w:val="22"/>
          <w:lang w:val="es-ES"/>
        </w:rPr>
      </w:pPr>
      <w:r w:rsidRPr="00AD39F2">
        <w:rPr>
          <w:rFonts w:cs="Tahoma"/>
          <w:bCs/>
          <w:szCs w:val="22"/>
          <w:lang w:val="es-ES"/>
        </w:rPr>
        <w:t xml:space="preserve">Asimismo, </w:t>
      </w:r>
      <w:r w:rsidRPr="00AD39F2">
        <w:rPr>
          <w:rFonts w:cs="Tahoma"/>
          <w:b/>
          <w:szCs w:val="22"/>
          <w:lang w:val="es-ES"/>
        </w:rPr>
        <w:t xml:space="preserve">EL SUJETO OBLIGADO </w:t>
      </w:r>
      <w:r w:rsidRPr="00AD39F2">
        <w:rPr>
          <w:rFonts w:cs="Tahoma"/>
          <w:bCs/>
          <w:szCs w:val="22"/>
          <w:lang w:val="es-ES"/>
        </w:rPr>
        <w:t>adjuntó a su respuesta los archivos electrónicos que se describen a continuación:</w:t>
      </w:r>
    </w:p>
    <w:p w14:paraId="16BBA90F" w14:textId="77777777" w:rsidR="00DB2351" w:rsidRPr="00AD39F2" w:rsidRDefault="00DB2351" w:rsidP="00AD39F2">
      <w:pPr>
        <w:autoSpaceDE w:val="0"/>
        <w:autoSpaceDN w:val="0"/>
        <w:adjustRightInd w:val="0"/>
        <w:ind w:right="-28"/>
        <w:rPr>
          <w:rFonts w:cs="Tahoma"/>
          <w:bCs/>
          <w:szCs w:val="22"/>
          <w:lang w:val="es-ES"/>
        </w:rPr>
      </w:pPr>
    </w:p>
    <w:p w14:paraId="24E93849" w14:textId="239DAC01" w:rsidR="00374582" w:rsidRPr="00AD39F2" w:rsidRDefault="004B59D7" w:rsidP="00AD39F2">
      <w:pPr>
        <w:pStyle w:val="Prrafodelista"/>
        <w:numPr>
          <w:ilvl w:val="0"/>
          <w:numId w:val="19"/>
        </w:numPr>
        <w:autoSpaceDE w:val="0"/>
        <w:autoSpaceDN w:val="0"/>
        <w:adjustRightInd w:val="0"/>
        <w:ind w:right="-28"/>
        <w:rPr>
          <w:rFonts w:cs="Tahoma"/>
          <w:bCs/>
          <w:szCs w:val="22"/>
          <w:lang w:val="es-ES"/>
        </w:rPr>
      </w:pPr>
      <w:r w:rsidRPr="00AD39F2">
        <w:rPr>
          <w:b/>
        </w:rPr>
        <w:t>OFICIO RESPUESTA 00122-2025 UT.pdf</w:t>
      </w:r>
      <w:r w:rsidR="00DB2351" w:rsidRPr="00AD39F2">
        <w:rPr>
          <w:rFonts w:cs="Tahoma"/>
          <w:bCs/>
          <w:szCs w:val="22"/>
          <w:lang w:val="es-ES"/>
        </w:rPr>
        <w:t xml:space="preserve">: </w:t>
      </w:r>
      <w:r w:rsidRPr="00AD39F2">
        <w:rPr>
          <w:rFonts w:cs="Tahoma"/>
          <w:bCs/>
          <w:szCs w:val="22"/>
          <w:lang w:val="es-ES"/>
        </w:rPr>
        <w:t xml:space="preserve">Oficio signado por la Jefa de la Unidad de Transparencia en donde refiere adjuntar el oficio emitido por la servidora pública habilitada de la Dirección de Partidos Políticos en el cual se detalla la información solicitada. </w:t>
      </w:r>
    </w:p>
    <w:p w14:paraId="7FAA8081" w14:textId="72C11729" w:rsidR="00596779" w:rsidRPr="00AD39F2" w:rsidRDefault="000554EC" w:rsidP="00AD39F2">
      <w:pPr>
        <w:pStyle w:val="Prrafodelista"/>
        <w:numPr>
          <w:ilvl w:val="0"/>
          <w:numId w:val="19"/>
        </w:numPr>
        <w:autoSpaceDE w:val="0"/>
        <w:autoSpaceDN w:val="0"/>
        <w:adjustRightInd w:val="0"/>
        <w:ind w:right="-28"/>
        <w:rPr>
          <w:rFonts w:cs="Tahoma"/>
          <w:bCs/>
          <w:szCs w:val="22"/>
          <w:lang w:val="es-ES"/>
        </w:rPr>
      </w:pPr>
      <w:r w:rsidRPr="00AD39F2">
        <w:rPr>
          <w:rFonts w:cs="Tahoma"/>
          <w:bCs/>
        </w:rPr>
        <w:lastRenderedPageBreak/>
        <w:t xml:space="preserve"> </w:t>
      </w:r>
      <w:r w:rsidR="004B59D7" w:rsidRPr="00AD39F2">
        <w:rPr>
          <w:rFonts w:cs="Tahoma"/>
          <w:b/>
          <w:bCs/>
        </w:rPr>
        <w:t>IEEM_DPP_0320_2025.pdf</w:t>
      </w:r>
      <w:r w:rsidR="00374582" w:rsidRPr="00AD39F2">
        <w:rPr>
          <w:rFonts w:cs="Tahoma"/>
          <w:bCs/>
        </w:rPr>
        <w:t xml:space="preserve">: Oficio </w:t>
      </w:r>
      <w:r w:rsidR="004B59D7" w:rsidRPr="00AD39F2">
        <w:rPr>
          <w:rFonts w:cs="Tahoma"/>
          <w:bCs/>
        </w:rPr>
        <w:t>signado por el Director de Partidos Políticos, en donde invoca distintos preceptos normativos de la Ley General de Transparencia, Ley Federal Transparencia  y la Ley de Transparencia Local apegados a la atención a</w:t>
      </w:r>
      <w:r w:rsidR="00B45840" w:rsidRPr="00AD39F2">
        <w:rPr>
          <w:rFonts w:cs="Tahoma"/>
          <w:bCs/>
        </w:rPr>
        <w:t xml:space="preserve"> las solicitudes de información, por lo que con base en dichos fundamentos manifiesta dar por atendida la solicitud de información formulada ante </w:t>
      </w:r>
      <w:r w:rsidR="00B45840" w:rsidRPr="00AD39F2">
        <w:rPr>
          <w:rFonts w:cs="Tahoma"/>
          <w:b/>
          <w:bCs/>
        </w:rPr>
        <w:t>EL SUJETO OBLIGADO</w:t>
      </w:r>
      <w:r w:rsidR="00B45840" w:rsidRPr="00AD39F2">
        <w:rPr>
          <w:rFonts w:cs="Tahoma"/>
          <w:bCs/>
        </w:rPr>
        <w:t>.</w:t>
      </w:r>
    </w:p>
    <w:p w14:paraId="74A27DC5" w14:textId="5B55F2E2" w:rsidR="00B45840" w:rsidRPr="00AD39F2" w:rsidRDefault="00B45840" w:rsidP="00AD39F2">
      <w:pPr>
        <w:pStyle w:val="Prrafodelista"/>
        <w:numPr>
          <w:ilvl w:val="0"/>
          <w:numId w:val="19"/>
        </w:numPr>
        <w:autoSpaceDE w:val="0"/>
        <w:autoSpaceDN w:val="0"/>
        <w:adjustRightInd w:val="0"/>
        <w:ind w:right="-28"/>
        <w:rPr>
          <w:rFonts w:cs="Tahoma"/>
          <w:b/>
          <w:bCs/>
          <w:szCs w:val="22"/>
          <w:lang w:val="es-ES"/>
        </w:rPr>
      </w:pPr>
      <w:r w:rsidRPr="00AD39F2">
        <w:rPr>
          <w:rFonts w:cs="Tahoma"/>
          <w:b/>
          <w:bCs/>
          <w:szCs w:val="22"/>
          <w:lang w:val="es-ES"/>
        </w:rPr>
        <w:t xml:space="preserve">ANEXO.zip: </w:t>
      </w:r>
      <w:r w:rsidRPr="00AD39F2">
        <w:rPr>
          <w:rFonts w:cs="Tahoma"/>
          <w:bCs/>
          <w:szCs w:val="22"/>
          <w:lang w:val="es-ES"/>
        </w:rPr>
        <w:t>Consiste en una carpeta comprimida que almacena 20 documentos digitales, dentro de los cuales se encuentra</w:t>
      </w:r>
      <w:r w:rsidR="00294FFD" w:rsidRPr="00AD39F2">
        <w:rPr>
          <w:rFonts w:cs="Tahoma"/>
          <w:bCs/>
          <w:szCs w:val="22"/>
          <w:lang w:val="es-ES"/>
        </w:rPr>
        <w:t>n los siguientes:</w:t>
      </w:r>
    </w:p>
    <w:p w14:paraId="0B53A59E" w14:textId="484A623B" w:rsidR="00294FFD" w:rsidRPr="00AD39F2" w:rsidRDefault="00294FFD" w:rsidP="00AD39F2">
      <w:pPr>
        <w:pStyle w:val="Prrafodelista"/>
        <w:numPr>
          <w:ilvl w:val="0"/>
          <w:numId w:val="28"/>
        </w:numPr>
        <w:autoSpaceDE w:val="0"/>
        <w:autoSpaceDN w:val="0"/>
        <w:adjustRightInd w:val="0"/>
        <w:ind w:right="-28"/>
        <w:rPr>
          <w:rFonts w:cs="Tahoma"/>
          <w:b/>
          <w:bCs/>
          <w:szCs w:val="22"/>
          <w:lang w:val="es-ES"/>
        </w:rPr>
      </w:pPr>
      <w:r w:rsidRPr="00AD39F2">
        <w:rPr>
          <w:rFonts w:cs="Tahoma"/>
          <w:b/>
          <w:bCs/>
          <w:szCs w:val="22"/>
          <w:lang w:val="es-ES"/>
        </w:rPr>
        <w:t>Acuerdo N° IEEM/CG/160/2012 Registro Supletorio de Planillas de Candidatos Miembros de los Ayuntamientos 2023-2025</w:t>
      </w:r>
    </w:p>
    <w:p w14:paraId="68A75B01" w14:textId="568B4439" w:rsidR="00294FFD" w:rsidRPr="00AD39F2" w:rsidRDefault="00294FFD" w:rsidP="00AD39F2">
      <w:pPr>
        <w:pStyle w:val="Prrafodelista"/>
        <w:numPr>
          <w:ilvl w:val="0"/>
          <w:numId w:val="28"/>
        </w:numPr>
        <w:autoSpaceDE w:val="0"/>
        <w:autoSpaceDN w:val="0"/>
        <w:adjustRightInd w:val="0"/>
        <w:ind w:right="-28"/>
        <w:rPr>
          <w:rFonts w:cs="Tahoma"/>
          <w:b/>
          <w:bCs/>
          <w:szCs w:val="22"/>
          <w:lang w:val="es-ES"/>
        </w:rPr>
      </w:pPr>
      <w:r w:rsidRPr="00AD39F2">
        <w:rPr>
          <w:rFonts w:cs="Tahoma"/>
          <w:b/>
          <w:bCs/>
          <w:szCs w:val="22"/>
          <w:lang w:val="es-ES"/>
        </w:rPr>
        <w:t>Acuerdo N° IEEM/CG/161/2012 Registro Supletorio de candidatos a diputados por el principio de mayoría relativa</w:t>
      </w:r>
    </w:p>
    <w:p w14:paraId="37C52D3A" w14:textId="3E92F615" w:rsidR="00294FFD" w:rsidRPr="00AD39F2" w:rsidRDefault="00294FFD" w:rsidP="00AD39F2">
      <w:pPr>
        <w:pStyle w:val="Prrafodelista"/>
        <w:numPr>
          <w:ilvl w:val="0"/>
          <w:numId w:val="28"/>
        </w:numPr>
        <w:autoSpaceDE w:val="0"/>
        <w:autoSpaceDN w:val="0"/>
        <w:adjustRightInd w:val="0"/>
        <w:ind w:right="-28"/>
        <w:rPr>
          <w:rFonts w:cs="Tahoma"/>
          <w:b/>
          <w:bCs/>
          <w:szCs w:val="22"/>
          <w:lang w:val="es-ES"/>
        </w:rPr>
      </w:pPr>
      <w:r w:rsidRPr="00AD39F2">
        <w:rPr>
          <w:rFonts w:cs="Tahoma"/>
          <w:b/>
          <w:bCs/>
          <w:szCs w:val="22"/>
          <w:lang w:val="es-ES"/>
        </w:rPr>
        <w:t>Acuerdo N° IEEM/CG/162/2012 Registro de las listas de candidatos a diputados por el principio de representación proporcional</w:t>
      </w:r>
    </w:p>
    <w:p w14:paraId="26F75E4B" w14:textId="6B996130" w:rsidR="00294FFD" w:rsidRPr="00AD39F2" w:rsidRDefault="00294FFD" w:rsidP="00AD39F2">
      <w:pPr>
        <w:pStyle w:val="Prrafodelista"/>
        <w:numPr>
          <w:ilvl w:val="0"/>
          <w:numId w:val="28"/>
        </w:numPr>
        <w:autoSpaceDE w:val="0"/>
        <w:autoSpaceDN w:val="0"/>
        <w:adjustRightInd w:val="0"/>
        <w:ind w:right="-28"/>
        <w:rPr>
          <w:rFonts w:cs="Tahoma"/>
          <w:b/>
          <w:bCs/>
          <w:szCs w:val="22"/>
          <w:lang w:val="es-ES"/>
        </w:rPr>
      </w:pPr>
      <w:r w:rsidRPr="00AD39F2">
        <w:rPr>
          <w:rFonts w:cs="Tahoma"/>
          <w:b/>
          <w:bCs/>
          <w:szCs w:val="22"/>
          <w:lang w:val="es-ES"/>
        </w:rPr>
        <w:t>Planilla de candidatos miembros de los Ayuntamientos 2015</w:t>
      </w:r>
    </w:p>
    <w:p w14:paraId="76325C0E" w14:textId="0C621089" w:rsidR="00294FFD" w:rsidRPr="00AD39F2" w:rsidRDefault="00294FFD" w:rsidP="00AD39F2">
      <w:pPr>
        <w:pStyle w:val="Prrafodelista"/>
        <w:numPr>
          <w:ilvl w:val="0"/>
          <w:numId w:val="28"/>
        </w:numPr>
        <w:autoSpaceDE w:val="0"/>
        <w:autoSpaceDN w:val="0"/>
        <w:adjustRightInd w:val="0"/>
        <w:ind w:right="-28"/>
        <w:rPr>
          <w:rFonts w:cs="Tahoma"/>
          <w:b/>
          <w:bCs/>
          <w:szCs w:val="22"/>
          <w:lang w:val="es-ES"/>
        </w:rPr>
      </w:pPr>
      <w:r w:rsidRPr="00AD39F2">
        <w:rPr>
          <w:rFonts w:cs="Tahoma"/>
          <w:b/>
          <w:bCs/>
          <w:szCs w:val="22"/>
          <w:lang w:val="es-ES"/>
        </w:rPr>
        <w:t>Fórmulas de candidatos de representación proporcional 2015</w:t>
      </w:r>
    </w:p>
    <w:p w14:paraId="7D230E67" w14:textId="178EDF28" w:rsidR="00294FFD" w:rsidRPr="00AD39F2" w:rsidRDefault="00294FFD" w:rsidP="00AD39F2">
      <w:pPr>
        <w:pStyle w:val="Prrafodelista"/>
        <w:numPr>
          <w:ilvl w:val="0"/>
          <w:numId w:val="28"/>
        </w:numPr>
        <w:autoSpaceDE w:val="0"/>
        <w:autoSpaceDN w:val="0"/>
        <w:adjustRightInd w:val="0"/>
        <w:ind w:right="-28"/>
        <w:rPr>
          <w:rFonts w:cs="Tahoma"/>
          <w:b/>
          <w:bCs/>
          <w:szCs w:val="22"/>
          <w:lang w:val="es-ES"/>
        </w:rPr>
      </w:pPr>
      <w:r w:rsidRPr="00AD39F2">
        <w:rPr>
          <w:rFonts w:cs="Tahoma"/>
          <w:b/>
          <w:bCs/>
          <w:szCs w:val="22"/>
          <w:lang w:val="es-ES"/>
        </w:rPr>
        <w:t>Fórmulas de candidatos a diputados a mayoría relativa 2015</w:t>
      </w:r>
    </w:p>
    <w:p w14:paraId="5C8D33B1" w14:textId="6D07A4DD" w:rsidR="00294FFD" w:rsidRPr="00AD39F2" w:rsidRDefault="00294FFD" w:rsidP="00AD39F2">
      <w:pPr>
        <w:pStyle w:val="Prrafodelista"/>
        <w:numPr>
          <w:ilvl w:val="0"/>
          <w:numId w:val="28"/>
        </w:numPr>
        <w:autoSpaceDE w:val="0"/>
        <w:autoSpaceDN w:val="0"/>
        <w:adjustRightInd w:val="0"/>
        <w:ind w:right="-28"/>
        <w:rPr>
          <w:rFonts w:cs="Tahoma"/>
          <w:b/>
          <w:bCs/>
          <w:szCs w:val="22"/>
          <w:lang w:val="es-ES"/>
        </w:rPr>
      </w:pPr>
      <w:r w:rsidRPr="00AD39F2">
        <w:rPr>
          <w:rFonts w:cs="Tahoma"/>
          <w:b/>
          <w:bCs/>
          <w:szCs w:val="22"/>
          <w:lang w:val="es-ES"/>
        </w:rPr>
        <w:t>Listado de candidatos a Ayuntamientos 2018</w:t>
      </w:r>
    </w:p>
    <w:p w14:paraId="594CB688" w14:textId="23189C37" w:rsidR="00294FFD" w:rsidRPr="00AD39F2" w:rsidRDefault="00294FFD" w:rsidP="00AD39F2">
      <w:pPr>
        <w:pStyle w:val="Prrafodelista"/>
        <w:numPr>
          <w:ilvl w:val="0"/>
          <w:numId w:val="28"/>
        </w:numPr>
        <w:autoSpaceDE w:val="0"/>
        <w:autoSpaceDN w:val="0"/>
        <w:adjustRightInd w:val="0"/>
        <w:ind w:right="-28"/>
        <w:rPr>
          <w:rFonts w:cs="Tahoma"/>
          <w:b/>
          <w:bCs/>
          <w:szCs w:val="22"/>
          <w:lang w:val="es-ES"/>
        </w:rPr>
      </w:pPr>
      <w:r w:rsidRPr="00AD39F2">
        <w:rPr>
          <w:rFonts w:cs="Tahoma"/>
          <w:b/>
          <w:bCs/>
          <w:szCs w:val="22"/>
          <w:lang w:val="es-ES"/>
        </w:rPr>
        <w:t>Listado de candidatos a diputados 2018</w:t>
      </w:r>
    </w:p>
    <w:p w14:paraId="022DADF2" w14:textId="6CB3DEB2" w:rsidR="00294FFD" w:rsidRPr="00AD39F2" w:rsidRDefault="00294FFD" w:rsidP="00AD39F2">
      <w:pPr>
        <w:pStyle w:val="Prrafodelista"/>
        <w:numPr>
          <w:ilvl w:val="0"/>
          <w:numId w:val="28"/>
        </w:numPr>
        <w:autoSpaceDE w:val="0"/>
        <w:autoSpaceDN w:val="0"/>
        <w:adjustRightInd w:val="0"/>
        <w:ind w:right="-28"/>
        <w:rPr>
          <w:rFonts w:cs="Tahoma"/>
          <w:b/>
          <w:bCs/>
          <w:szCs w:val="22"/>
          <w:lang w:val="es-ES"/>
        </w:rPr>
      </w:pPr>
      <w:r w:rsidRPr="00AD39F2">
        <w:rPr>
          <w:rFonts w:cs="Tahoma"/>
          <w:b/>
          <w:bCs/>
          <w:szCs w:val="22"/>
          <w:lang w:val="es-ES"/>
        </w:rPr>
        <w:t>Listado de candidatos a diputados Representación Proporcional 2018</w:t>
      </w:r>
    </w:p>
    <w:p w14:paraId="4B7351BE" w14:textId="674602E1" w:rsidR="00294FFD" w:rsidRPr="00AD39F2" w:rsidRDefault="00294FFD" w:rsidP="00AD39F2">
      <w:pPr>
        <w:pStyle w:val="Prrafodelista"/>
        <w:numPr>
          <w:ilvl w:val="0"/>
          <w:numId w:val="28"/>
        </w:numPr>
        <w:autoSpaceDE w:val="0"/>
        <w:autoSpaceDN w:val="0"/>
        <w:adjustRightInd w:val="0"/>
        <w:ind w:right="-28"/>
        <w:rPr>
          <w:rFonts w:cs="Tahoma"/>
          <w:b/>
          <w:bCs/>
          <w:szCs w:val="22"/>
          <w:lang w:val="es-ES"/>
        </w:rPr>
      </w:pPr>
      <w:r w:rsidRPr="00AD39F2">
        <w:rPr>
          <w:rFonts w:cs="Tahoma"/>
          <w:b/>
          <w:bCs/>
          <w:szCs w:val="22"/>
          <w:lang w:val="es-ES"/>
        </w:rPr>
        <w:t>Anexo del acuerdo IEEM/CG/120/2018 por el que se emite el listado de la sustitución de diversas candidaturas a integrantes de Ayuntamientos del Estado de México periodo electoral 2017-2018</w:t>
      </w:r>
    </w:p>
    <w:p w14:paraId="03E970AC" w14:textId="1DD50CC3" w:rsidR="00294FFD" w:rsidRPr="00AD39F2" w:rsidRDefault="00294FFD" w:rsidP="00AD39F2">
      <w:pPr>
        <w:pStyle w:val="Prrafodelista"/>
        <w:numPr>
          <w:ilvl w:val="0"/>
          <w:numId w:val="28"/>
        </w:numPr>
        <w:autoSpaceDE w:val="0"/>
        <w:autoSpaceDN w:val="0"/>
        <w:adjustRightInd w:val="0"/>
        <w:ind w:right="-28"/>
        <w:rPr>
          <w:rFonts w:cs="Tahoma"/>
          <w:b/>
          <w:bCs/>
          <w:szCs w:val="22"/>
          <w:lang w:val="es-ES"/>
        </w:rPr>
      </w:pPr>
      <w:r w:rsidRPr="00AD39F2">
        <w:rPr>
          <w:rFonts w:cs="Tahoma"/>
          <w:b/>
          <w:bCs/>
          <w:szCs w:val="22"/>
          <w:lang w:val="es-ES"/>
        </w:rPr>
        <w:t>Anexo del acuerdo IEEM/CG/118/2018 por el que se emite el listado de la sustitución de diversas candidaturas a</w:t>
      </w:r>
      <w:r w:rsidR="009C5443" w:rsidRPr="00AD39F2">
        <w:rPr>
          <w:rFonts w:cs="Tahoma"/>
          <w:b/>
          <w:bCs/>
          <w:szCs w:val="22"/>
          <w:lang w:val="es-ES"/>
        </w:rPr>
        <w:t xml:space="preserve"> Diputaciones por el Principio de </w:t>
      </w:r>
      <w:r w:rsidR="001279A1" w:rsidRPr="00AD39F2">
        <w:rPr>
          <w:rFonts w:cs="Tahoma"/>
          <w:b/>
          <w:bCs/>
          <w:szCs w:val="22"/>
          <w:lang w:val="es-ES"/>
        </w:rPr>
        <w:t>Mayoría</w:t>
      </w:r>
      <w:r w:rsidR="009C5443" w:rsidRPr="00AD39F2">
        <w:rPr>
          <w:rFonts w:cs="Tahoma"/>
          <w:b/>
          <w:bCs/>
          <w:szCs w:val="22"/>
          <w:lang w:val="es-ES"/>
        </w:rPr>
        <w:t xml:space="preserve"> Relativa, Proceso Electoral 2017-2018</w:t>
      </w:r>
    </w:p>
    <w:p w14:paraId="40143D0E" w14:textId="3E942914" w:rsidR="009C5443" w:rsidRPr="00AD39F2" w:rsidRDefault="001279A1" w:rsidP="00AD39F2">
      <w:pPr>
        <w:pStyle w:val="Prrafodelista"/>
        <w:numPr>
          <w:ilvl w:val="0"/>
          <w:numId w:val="28"/>
        </w:numPr>
        <w:autoSpaceDE w:val="0"/>
        <w:autoSpaceDN w:val="0"/>
        <w:adjustRightInd w:val="0"/>
        <w:ind w:right="-28"/>
        <w:rPr>
          <w:rFonts w:cs="Tahoma"/>
          <w:b/>
          <w:bCs/>
          <w:szCs w:val="22"/>
          <w:lang w:val="es-ES"/>
        </w:rPr>
      </w:pPr>
      <w:r w:rsidRPr="00AD39F2">
        <w:rPr>
          <w:rFonts w:cs="Tahoma"/>
          <w:b/>
          <w:bCs/>
          <w:szCs w:val="22"/>
          <w:lang w:val="es-ES"/>
        </w:rPr>
        <w:lastRenderedPageBreak/>
        <w:t>Anexo del acuerdo IEEM/CG/119/2018 por el que se emite el listado de la sustitución de diversas candidaturas a Diputaciones por el Principio de Representación Proporcional</w:t>
      </w:r>
    </w:p>
    <w:p w14:paraId="54F8CAEB" w14:textId="40E27852" w:rsidR="001279A1" w:rsidRPr="00AD39F2" w:rsidRDefault="001279A1" w:rsidP="00AD39F2">
      <w:pPr>
        <w:pStyle w:val="Prrafodelista"/>
        <w:numPr>
          <w:ilvl w:val="0"/>
          <w:numId w:val="28"/>
        </w:numPr>
        <w:autoSpaceDE w:val="0"/>
        <w:autoSpaceDN w:val="0"/>
        <w:adjustRightInd w:val="0"/>
        <w:ind w:right="-28"/>
        <w:rPr>
          <w:rFonts w:cs="Tahoma"/>
          <w:b/>
          <w:bCs/>
          <w:szCs w:val="22"/>
          <w:lang w:val="es-ES"/>
        </w:rPr>
      </w:pPr>
      <w:r w:rsidRPr="00AD39F2">
        <w:rPr>
          <w:rFonts w:cs="Tahoma"/>
          <w:b/>
          <w:bCs/>
          <w:szCs w:val="22"/>
          <w:lang w:val="es-ES"/>
        </w:rPr>
        <w:t>Planillas de candidaturas independientes a integrantes de Ayuntamientos en el Proceso electoral 2021</w:t>
      </w:r>
    </w:p>
    <w:p w14:paraId="4B2EAC9B" w14:textId="157B1ECF" w:rsidR="001279A1" w:rsidRPr="00AD39F2" w:rsidRDefault="00F44743" w:rsidP="00AD39F2">
      <w:pPr>
        <w:pStyle w:val="Prrafodelista"/>
        <w:numPr>
          <w:ilvl w:val="0"/>
          <w:numId w:val="28"/>
        </w:numPr>
        <w:autoSpaceDE w:val="0"/>
        <w:autoSpaceDN w:val="0"/>
        <w:adjustRightInd w:val="0"/>
        <w:ind w:right="-28"/>
        <w:rPr>
          <w:rFonts w:cs="Tahoma"/>
          <w:b/>
          <w:bCs/>
          <w:szCs w:val="22"/>
          <w:lang w:val="es-ES"/>
        </w:rPr>
      </w:pPr>
      <w:r w:rsidRPr="00AD39F2">
        <w:rPr>
          <w:rFonts w:cs="Tahoma"/>
          <w:b/>
          <w:bCs/>
          <w:szCs w:val="22"/>
          <w:lang w:val="es-ES"/>
        </w:rPr>
        <w:t>Fórmulas</w:t>
      </w:r>
      <w:r w:rsidR="001279A1" w:rsidRPr="00AD39F2">
        <w:rPr>
          <w:rFonts w:cs="Tahoma"/>
          <w:b/>
          <w:bCs/>
          <w:szCs w:val="22"/>
          <w:lang w:val="es-ES"/>
        </w:rPr>
        <w:t xml:space="preserve"> de candidaturas a diputaciones</w:t>
      </w:r>
      <w:r w:rsidRPr="00AD39F2">
        <w:rPr>
          <w:rFonts w:cs="Tahoma"/>
          <w:b/>
          <w:bCs/>
          <w:szCs w:val="22"/>
          <w:lang w:val="es-ES"/>
        </w:rPr>
        <w:t xml:space="preserve"> por el principio de mayoría relativa en el proceso electoral 2021</w:t>
      </w:r>
    </w:p>
    <w:p w14:paraId="2F59A7BE" w14:textId="1CEB80E5" w:rsidR="00F44743" w:rsidRPr="00AD39F2" w:rsidRDefault="00F44743" w:rsidP="00AD39F2">
      <w:pPr>
        <w:pStyle w:val="Prrafodelista"/>
        <w:numPr>
          <w:ilvl w:val="0"/>
          <w:numId w:val="28"/>
        </w:numPr>
        <w:autoSpaceDE w:val="0"/>
        <w:autoSpaceDN w:val="0"/>
        <w:adjustRightInd w:val="0"/>
        <w:ind w:right="-28"/>
        <w:rPr>
          <w:rFonts w:cs="Tahoma"/>
          <w:b/>
          <w:bCs/>
          <w:szCs w:val="22"/>
          <w:lang w:val="es-ES"/>
        </w:rPr>
      </w:pPr>
      <w:r w:rsidRPr="00AD39F2">
        <w:rPr>
          <w:rFonts w:cs="Tahoma"/>
          <w:b/>
          <w:bCs/>
          <w:szCs w:val="22"/>
          <w:lang w:val="es-ES"/>
        </w:rPr>
        <w:t>Listas a candidaturas a diputaciones por el principio de representación proporcional en el proceso electoral 2021</w:t>
      </w:r>
    </w:p>
    <w:p w14:paraId="11BC94A1" w14:textId="15F46D77" w:rsidR="00F44743" w:rsidRPr="00AD39F2" w:rsidRDefault="00F44743" w:rsidP="00AD39F2">
      <w:pPr>
        <w:pStyle w:val="Prrafodelista"/>
        <w:numPr>
          <w:ilvl w:val="0"/>
          <w:numId w:val="28"/>
        </w:numPr>
        <w:autoSpaceDE w:val="0"/>
        <w:autoSpaceDN w:val="0"/>
        <w:adjustRightInd w:val="0"/>
        <w:ind w:right="-28"/>
        <w:rPr>
          <w:rFonts w:cs="Tahoma"/>
          <w:b/>
          <w:bCs/>
          <w:szCs w:val="22"/>
          <w:lang w:val="es-ES"/>
        </w:rPr>
      </w:pPr>
      <w:r w:rsidRPr="00AD39F2">
        <w:rPr>
          <w:rFonts w:cs="Tahoma"/>
          <w:b/>
          <w:bCs/>
          <w:szCs w:val="22"/>
          <w:lang w:val="es-ES"/>
        </w:rPr>
        <w:t>Planilla de candidaturas a integrantes de los Ayuntamientos en el proceso electoral 2021</w:t>
      </w:r>
    </w:p>
    <w:p w14:paraId="5D182AEC" w14:textId="764AE797" w:rsidR="00F44743" w:rsidRPr="00AD39F2" w:rsidRDefault="00F44743" w:rsidP="00AD39F2">
      <w:pPr>
        <w:pStyle w:val="Prrafodelista"/>
        <w:numPr>
          <w:ilvl w:val="0"/>
          <w:numId w:val="28"/>
        </w:numPr>
        <w:autoSpaceDE w:val="0"/>
        <w:autoSpaceDN w:val="0"/>
        <w:adjustRightInd w:val="0"/>
        <w:ind w:right="-28"/>
        <w:rPr>
          <w:rFonts w:cs="Tahoma"/>
          <w:b/>
          <w:bCs/>
          <w:szCs w:val="22"/>
          <w:lang w:val="es-ES"/>
        </w:rPr>
      </w:pPr>
      <w:r w:rsidRPr="00AD39F2">
        <w:rPr>
          <w:rFonts w:cs="Tahoma"/>
          <w:b/>
          <w:bCs/>
          <w:szCs w:val="22"/>
          <w:lang w:val="es-ES"/>
        </w:rPr>
        <w:t>Planillas de candidaturas a integrantes de los Ayuntamientos en el proceso electoral 2021 (Sustituciones)</w:t>
      </w:r>
    </w:p>
    <w:p w14:paraId="391464EC" w14:textId="306EADC3" w:rsidR="00F44743" w:rsidRPr="00AD39F2" w:rsidRDefault="00F44743" w:rsidP="00AD39F2">
      <w:pPr>
        <w:pStyle w:val="Prrafodelista"/>
        <w:numPr>
          <w:ilvl w:val="0"/>
          <w:numId w:val="28"/>
        </w:numPr>
        <w:autoSpaceDE w:val="0"/>
        <w:autoSpaceDN w:val="0"/>
        <w:adjustRightInd w:val="0"/>
        <w:ind w:right="-28"/>
        <w:rPr>
          <w:rFonts w:cs="Tahoma"/>
          <w:b/>
          <w:bCs/>
          <w:szCs w:val="22"/>
          <w:lang w:val="es-ES"/>
        </w:rPr>
      </w:pPr>
      <w:r w:rsidRPr="00AD39F2">
        <w:rPr>
          <w:rFonts w:cs="Tahoma"/>
          <w:b/>
          <w:bCs/>
          <w:szCs w:val="22"/>
          <w:lang w:val="es-ES"/>
        </w:rPr>
        <w:t>Planillas de candidaturas a integrantes de los Ayuntamientos 2021 (Sustituciones acuerdo 117/21)</w:t>
      </w:r>
    </w:p>
    <w:p w14:paraId="210CD67A" w14:textId="6183229A" w:rsidR="00F44743" w:rsidRPr="00AD39F2" w:rsidRDefault="00F44743" w:rsidP="00AD39F2">
      <w:pPr>
        <w:pStyle w:val="Prrafodelista"/>
        <w:numPr>
          <w:ilvl w:val="0"/>
          <w:numId w:val="28"/>
        </w:numPr>
        <w:autoSpaceDE w:val="0"/>
        <w:autoSpaceDN w:val="0"/>
        <w:adjustRightInd w:val="0"/>
        <w:ind w:right="-28"/>
        <w:rPr>
          <w:rFonts w:cs="Tahoma"/>
          <w:b/>
          <w:bCs/>
          <w:szCs w:val="22"/>
          <w:lang w:val="es-ES"/>
        </w:rPr>
      </w:pPr>
      <w:r w:rsidRPr="00AD39F2">
        <w:rPr>
          <w:rFonts w:cs="Tahoma"/>
          <w:b/>
          <w:bCs/>
          <w:szCs w:val="22"/>
          <w:lang w:val="es-ES"/>
        </w:rPr>
        <w:t>Listado de candidaturas a diputaciones por el principio de mayoría relativa en el proceso electoral 2024</w:t>
      </w:r>
    </w:p>
    <w:p w14:paraId="7ED35950" w14:textId="7247B6C3" w:rsidR="00F44743" w:rsidRPr="00AD39F2" w:rsidRDefault="00F44743" w:rsidP="00AD39F2">
      <w:pPr>
        <w:pStyle w:val="Prrafodelista"/>
        <w:numPr>
          <w:ilvl w:val="0"/>
          <w:numId w:val="28"/>
        </w:numPr>
        <w:autoSpaceDE w:val="0"/>
        <w:autoSpaceDN w:val="0"/>
        <w:adjustRightInd w:val="0"/>
        <w:ind w:right="-28"/>
        <w:rPr>
          <w:rFonts w:cs="Tahoma"/>
          <w:b/>
          <w:bCs/>
          <w:szCs w:val="22"/>
          <w:lang w:val="es-ES"/>
        </w:rPr>
      </w:pPr>
      <w:r w:rsidRPr="00AD39F2">
        <w:rPr>
          <w:rFonts w:cs="Tahoma"/>
          <w:b/>
          <w:bCs/>
          <w:szCs w:val="22"/>
          <w:lang w:val="es-ES"/>
        </w:rPr>
        <w:t>Listado de candidaturas a diputaciones por el principio de representación proporcional 2024</w:t>
      </w:r>
    </w:p>
    <w:p w14:paraId="74B79ADB" w14:textId="77777777" w:rsidR="000F42BA" w:rsidRPr="00AD39F2" w:rsidRDefault="000F42BA" w:rsidP="00AD39F2">
      <w:pPr>
        <w:pStyle w:val="Prrafodelista"/>
        <w:autoSpaceDE w:val="0"/>
        <w:autoSpaceDN w:val="0"/>
        <w:adjustRightInd w:val="0"/>
        <w:ind w:right="-28"/>
        <w:rPr>
          <w:rFonts w:cs="Tahoma"/>
          <w:bCs/>
          <w:szCs w:val="22"/>
          <w:lang w:val="es-ES"/>
        </w:rPr>
      </w:pPr>
    </w:p>
    <w:p w14:paraId="5A5DAB9E" w14:textId="77777777" w:rsidR="00E37A3F" w:rsidRPr="00AD39F2" w:rsidRDefault="00E37A3F" w:rsidP="00AD39F2">
      <w:pPr>
        <w:pStyle w:val="Ttulo2"/>
        <w:jc w:val="left"/>
      </w:pPr>
      <w:bookmarkStart w:id="8" w:name="_Toc200539190"/>
      <w:r w:rsidRPr="00AD39F2">
        <w:lastRenderedPageBreak/>
        <w:t>DEL RECURSO DE REVISIÓN</w:t>
      </w:r>
      <w:bookmarkEnd w:id="8"/>
    </w:p>
    <w:p w14:paraId="2B216813" w14:textId="61ADBB2B" w:rsidR="00664420" w:rsidRPr="00AD39F2" w:rsidRDefault="006E25BC" w:rsidP="00AD39F2">
      <w:pPr>
        <w:pStyle w:val="Ttulo3"/>
      </w:pPr>
      <w:bookmarkStart w:id="9" w:name="_Toc200539191"/>
      <w:r w:rsidRPr="00AD39F2">
        <w:rPr>
          <w:szCs w:val="32"/>
        </w:rPr>
        <w:t>a)</w:t>
      </w:r>
      <w:r w:rsidRPr="00AD39F2">
        <w:t xml:space="preserve"> </w:t>
      </w:r>
      <w:r w:rsidR="00664420" w:rsidRPr="00AD39F2">
        <w:t>Interposición del Recurso de Revisión</w:t>
      </w:r>
      <w:bookmarkEnd w:id="9"/>
    </w:p>
    <w:p w14:paraId="6279C622" w14:textId="709C010D" w:rsidR="00664420" w:rsidRPr="00AD39F2" w:rsidRDefault="00664420" w:rsidP="00AD39F2">
      <w:pPr>
        <w:autoSpaceDE w:val="0"/>
        <w:autoSpaceDN w:val="0"/>
        <w:adjustRightInd w:val="0"/>
        <w:ind w:right="-28"/>
        <w:rPr>
          <w:rFonts w:cs="Tahoma"/>
          <w:szCs w:val="22"/>
        </w:rPr>
      </w:pPr>
      <w:r w:rsidRPr="00AD39F2">
        <w:rPr>
          <w:rFonts w:cs="Tahoma"/>
          <w:szCs w:val="22"/>
        </w:rPr>
        <w:t xml:space="preserve">El </w:t>
      </w:r>
      <w:r w:rsidR="00776D30" w:rsidRPr="00AD39F2">
        <w:rPr>
          <w:rFonts w:cs="Tahoma"/>
          <w:b/>
          <w:bCs/>
          <w:szCs w:val="22"/>
        </w:rPr>
        <w:t xml:space="preserve">dieciocho </w:t>
      </w:r>
      <w:r w:rsidR="00F44743" w:rsidRPr="00AD39F2">
        <w:rPr>
          <w:rFonts w:cs="Tahoma"/>
          <w:b/>
          <w:bCs/>
          <w:szCs w:val="22"/>
        </w:rPr>
        <w:t>de marzo</w:t>
      </w:r>
      <w:r w:rsidR="00052315" w:rsidRPr="00AD39F2">
        <w:rPr>
          <w:rFonts w:cs="Tahoma"/>
          <w:b/>
          <w:bCs/>
          <w:szCs w:val="22"/>
        </w:rPr>
        <w:t xml:space="preserve"> de dos mil veinticinco</w:t>
      </w:r>
      <w:r w:rsidR="001E62AE" w:rsidRPr="00AD39F2">
        <w:rPr>
          <w:rStyle w:val="Refdenotaalpie"/>
          <w:rFonts w:cs="Tahoma"/>
          <w:b/>
          <w:bCs/>
          <w:szCs w:val="22"/>
        </w:rPr>
        <w:footnoteReference w:id="1"/>
      </w:r>
      <w:r w:rsidR="00052315" w:rsidRPr="00AD39F2">
        <w:rPr>
          <w:rFonts w:cs="Tahoma"/>
          <w:b/>
          <w:bCs/>
          <w:szCs w:val="22"/>
        </w:rPr>
        <w:t>,</w:t>
      </w:r>
      <w:r w:rsidRPr="00AD39F2">
        <w:rPr>
          <w:rFonts w:cs="Tahoma"/>
          <w:szCs w:val="22"/>
        </w:rPr>
        <w:t xml:space="preserve"> </w:t>
      </w:r>
      <w:r w:rsidR="00F75D23" w:rsidRPr="00AD39F2">
        <w:rPr>
          <w:rFonts w:cs="Tahoma"/>
          <w:b/>
          <w:bCs/>
          <w:szCs w:val="22"/>
        </w:rPr>
        <w:t>LA PARTE RECURRENTE</w:t>
      </w:r>
      <w:r w:rsidR="00F75D23" w:rsidRPr="00AD39F2">
        <w:rPr>
          <w:rFonts w:cs="Tahoma"/>
          <w:szCs w:val="22"/>
        </w:rPr>
        <w:t xml:space="preserve"> interpuso el recurso de revisión en contra de </w:t>
      </w:r>
      <w:r w:rsidR="00D671EC" w:rsidRPr="00AD39F2">
        <w:rPr>
          <w:rFonts w:cs="Tahoma"/>
          <w:szCs w:val="22"/>
        </w:rPr>
        <w:t>la respuesta</w:t>
      </w:r>
      <w:r w:rsidR="00F75D23" w:rsidRPr="00AD39F2">
        <w:rPr>
          <w:rFonts w:cs="Tahoma"/>
          <w:szCs w:val="22"/>
        </w:rPr>
        <w:t xml:space="preserve"> </w:t>
      </w:r>
      <w:r w:rsidR="00D671EC" w:rsidRPr="00AD39F2">
        <w:rPr>
          <w:rFonts w:cs="Tahoma"/>
          <w:szCs w:val="22"/>
        </w:rPr>
        <w:t>d</w:t>
      </w:r>
      <w:r w:rsidR="00F75D23" w:rsidRPr="00AD39F2">
        <w:rPr>
          <w:rFonts w:cs="Tahoma"/>
          <w:szCs w:val="22"/>
        </w:rPr>
        <w:t xml:space="preserve">el </w:t>
      </w:r>
      <w:r w:rsidR="00F75D23" w:rsidRPr="00AD39F2">
        <w:rPr>
          <w:rFonts w:cs="Tahoma"/>
          <w:b/>
          <w:bCs/>
          <w:szCs w:val="22"/>
        </w:rPr>
        <w:t>SUJETO OBLIGADO</w:t>
      </w:r>
      <w:r w:rsidR="00953430" w:rsidRPr="00AD39F2">
        <w:rPr>
          <w:rFonts w:cs="Tahoma"/>
          <w:szCs w:val="22"/>
        </w:rPr>
        <w:t xml:space="preserve">, mismo que fue registrado en el SAIMEX con el número de expediente </w:t>
      </w:r>
      <w:r w:rsidR="001E62AE" w:rsidRPr="00AD39F2">
        <w:rPr>
          <w:rFonts w:cs="Tahoma"/>
          <w:b/>
          <w:bCs/>
          <w:szCs w:val="22"/>
        </w:rPr>
        <w:t>03132/INFOEM/IP/RR/2025</w:t>
      </w:r>
      <w:r w:rsidR="00953430" w:rsidRPr="00AD39F2">
        <w:rPr>
          <w:rFonts w:cs="Tahoma"/>
          <w:szCs w:val="22"/>
        </w:rPr>
        <w:t>, y en el cual manifiesta lo siguiente</w:t>
      </w:r>
      <w:r w:rsidRPr="00AD39F2">
        <w:rPr>
          <w:rFonts w:cs="Tahoma"/>
          <w:szCs w:val="22"/>
        </w:rPr>
        <w:t>:</w:t>
      </w:r>
    </w:p>
    <w:p w14:paraId="74B30008" w14:textId="77777777" w:rsidR="00664420" w:rsidRPr="00AD39F2" w:rsidRDefault="00664420" w:rsidP="00AD39F2">
      <w:pPr>
        <w:tabs>
          <w:tab w:val="left" w:pos="4667"/>
        </w:tabs>
        <w:ind w:right="539"/>
        <w:rPr>
          <w:rFonts w:cs="Tahoma"/>
          <w:szCs w:val="22"/>
        </w:rPr>
      </w:pPr>
    </w:p>
    <w:p w14:paraId="60F303C5" w14:textId="77777777" w:rsidR="00711EEE" w:rsidRPr="00AD39F2" w:rsidRDefault="00664420" w:rsidP="00AD39F2">
      <w:pPr>
        <w:tabs>
          <w:tab w:val="left" w:pos="4667"/>
        </w:tabs>
        <w:spacing w:line="240" w:lineRule="auto"/>
        <w:ind w:left="567" w:right="539"/>
        <w:rPr>
          <w:rFonts w:cs="Tahoma"/>
          <w:b/>
          <w:iCs/>
        </w:rPr>
      </w:pPr>
      <w:r w:rsidRPr="00AD39F2">
        <w:rPr>
          <w:rFonts w:cs="Tahoma"/>
          <w:b/>
          <w:iCs/>
        </w:rPr>
        <w:t>ACTO IMPUGNADO</w:t>
      </w:r>
    </w:p>
    <w:p w14:paraId="12153283" w14:textId="65E49653" w:rsidR="00664420" w:rsidRPr="00AD39F2" w:rsidRDefault="00664420" w:rsidP="00AD39F2">
      <w:pPr>
        <w:tabs>
          <w:tab w:val="left" w:pos="4667"/>
        </w:tabs>
        <w:spacing w:line="240" w:lineRule="auto"/>
        <w:ind w:left="567" w:right="539"/>
        <w:rPr>
          <w:rFonts w:cs="Tahoma"/>
          <w:b/>
          <w:iCs/>
        </w:rPr>
      </w:pPr>
      <w:r w:rsidRPr="00AD39F2">
        <w:rPr>
          <w:rFonts w:cs="Tahoma"/>
          <w:b/>
          <w:iCs/>
        </w:rPr>
        <w:tab/>
      </w:r>
    </w:p>
    <w:p w14:paraId="523F8BF4" w14:textId="4A5D8B4C" w:rsidR="00664420" w:rsidRPr="00AD39F2" w:rsidRDefault="000F42BA" w:rsidP="00AD39F2">
      <w:pPr>
        <w:pStyle w:val="Puesto"/>
      </w:pPr>
      <w:r w:rsidRPr="00AD39F2">
        <w:t>“</w:t>
      </w:r>
      <w:r w:rsidR="001E62AE" w:rsidRPr="00AD39F2">
        <w:t>Solicite el nombre de todos los candidatos que se postularon para la Presidencia Municipal de Tepotzotlan y solo me enviaron los del años 2024 y 2021</w:t>
      </w:r>
      <w:r w:rsidRPr="00AD39F2">
        <w:t>.”</w:t>
      </w:r>
    </w:p>
    <w:p w14:paraId="40B8D7A7" w14:textId="77777777" w:rsidR="004D1D36" w:rsidRPr="00AD39F2" w:rsidRDefault="004D1D36" w:rsidP="00AD39F2">
      <w:pPr>
        <w:tabs>
          <w:tab w:val="left" w:pos="4667"/>
        </w:tabs>
        <w:spacing w:line="240" w:lineRule="auto"/>
        <w:ind w:left="567" w:right="539"/>
        <w:rPr>
          <w:rFonts w:cs="Tahoma"/>
          <w:b/>
          <w:iCs/>
        </w:rPr>
      </w:pPr>
    </w:p>
    <w:p w14:paraId="5FFFE6A9" w14:textId="7740D455" w:rsidR="000F42BA" w:rsidRPr="00AD39F2" w:rsidRDefault="000F42BA" w:rsidP="00AD39F2">
      <w:pPr>
        <w:tabs>
          <w:tab w:val="left" w:pos="4667"/>
        </w:tabs>
        <w:spacing w:line="240" w:lineRule="auto"/>
        <w:ind w:left="567" w:right="539"/>
        <w:rPr>
          <w:rFonts w:cs="Tahoma"/>
          <w:b/>
          <w:iCs/>
        </w:rPr>
      </w:pPr>
      <w:r w:rsidRPr="00AD39F2">
        <w:rPr>
          <w:rFonts w:cs="Tahoma"/>
          <w:b/>
          <w:iCs/>
        </w:rPr>
        <w:t>RAZONES O MOTIVOS DE LA INCONFORMIDAD</w:t>
      </w:r>
    </w:p>
    <w:p w14:paraId="0D67CE5D" w14:textId="77777777" w:rsidR="00711EEE" w:rsidRPr="00AD39F2" w:rsidRDefault="00711EEE" w:rsidP="00AD39F2">
      <w:pPr>
        <w:tabs>
          <w:tab w:val="left" w:pos="4667"/>
        </w:tabs>
        <w:spacing w:line="240" w:lineRule="auto"/>
        <w:ind w:left="567" w:right="539"/>
        <w:rPr>
          <w:rFonts w:cs="Tahoma"/>
          <w:b/>
          <w:iCs/>
        </w:rPr>
      </w:pPr>
    </w:p>
    <w:p w14:paraId="0D1EB326" w14:textId="0065864E" w:rsidR="000F42BA" w:rsidRPr="00AD39F2" w:rsidRDefault="000F42BA" w:rsidP="00AD39F2">
      <w:pPr>
        <w:pStyle w:val="Puesto"/>
      </w:pPr>
      <w:r w:rsidRPr="00AD39F2">
        <w:t>“</w:t>
      </w:r>
      <w:r w:rsidR="001E62AE" w:rsidRPr="00AD39F2">
        <w:t>No existe obligación de elaborar documentos ad hoc para atender las solicitudes de acceso a la información</w:t>
      </w:r>
      <w:r w:rsidRPr="00AD39F2">
        <w:t>.”</w:t>
      </w:r>
    </w:p>
    <w:p w14:paraId="48FE75EA" w14:textId="77777777" w:rsidR="00664420" w:rsidRPr="00AD39F2" w:rsidRDefault="00664420" w:rsidP="00AD39F2">
      <w:pPr>
        <w:tabs>
          <w:tab w:val="left" w:pos="4667"/>
        </w:tabs>
        <w:ind w:right="567"/>
        <w:rPr>
          <w:rFonts w:cs="Tahoma"/>
          <w:b/>
          <w:bCs/>
        </w:rPr>
      </w:pPr>
    </w:p>
    <w:p w14:paraId="6804DEF1" w14:textId="3C4F6CB5" w:rsidR="00664420" w:rsidRPr="00AD39F2" w:rsidRDefault="006E25BC" w:rsidP="00AD39F2">
      <w:pPr>
        <w:pStyle w:val="Ttulo3"/>
      </w:pPr>
      <w:bookmarkStart w:id="10" w:name="_Toc200539192"/>
      <w:r w:rsidRPr="00AD39F2">
        <w:t>b</w:t>
      </w:r>
      <w:r w:rsidR="00664420" w:rsidRPr="00AD39F2">
        <w:t>) Turno del Recurso de Revisión</w:t>
      </w:r>
      <w:bookmarkEnd w:id="10"/>
    </w:p>
    <w:p w14:paraId="1173671B" w14:textId="7F40F843" w:rsidR="00C72DAA" w:rsidRPr="00AD39F2" w:rsidRDefault="00C72DAA" w:rsidP="00AD39F2">
      <w:r w:rsidRPr="00AD39F2">
        <w:t>Con fundamento en el artículo 185, fracción I de la Ley de Transparencia y Acceso a la Información Pública del Estado de México y Municipios, el</w:t>
      </w:r>
      <w:r w:rsidRPr="00AD39F2">
        <w:rPr>
          <w:b/>
          <w:bCs/>
        </w:rPr>
        <w:t xml:space="preserve"> </w:t>
      </w:r>
      <w:r w:rsidR="001E62AE" w:rsidRPr="00AD39F2">
        <w:rPr>
          <w:rFonts w:eastAsia="Palatino Linotype" w:cs="Palatino Linotype"/>
          <w:b/>
        </w:rPr>
        <w:t>diecisiete de marzo</w:t>
      </w:r>
      <w:r w:rsidR="00052315" w:rsidRPr="00AD39F2">
        <w:rPr>
          <w:rFonts w:eastAsia="Palatino Linotype" w:cs="Palatino Linotype"/>
          <w:b/>
        </w:rPr>
        <w:t xml:space="preserve"> de dos mil veinticinco</w:t>
      </w:r>
      <w:r w:rsidRPr="00AD39F2">
        <w:t xml:space="preserve"> se turnó el recurso de revisión a través del</w:t>
      </w:r>
      <w:r w:rsidRPr="00AD39F2">
        <w:rPr>
          <w:rFonts w:eastAsia="Arial Unicode MS"/>
        </w:rPr>
        <w:t xml:space="preserve"> </w:t>
      </w:r>
      <w:r w:rsidRPr="00AD39F2">
        <w:rPr>
          <w:rFonts w:eastAsia="Arial Unicode MS"/>
          <w:bCs/>
        </w:rPr>
        <w:t>SAIMEX</w:t>
      </w:r>
      <w:r w:rsidRPr="00AD39F2">
        <w:t xml:space="preserve"> a la </w:t>
      </w:r>
      <w:r w:rsidRPr="00AD39F2">
        <w:rPr>
          <w:b/>
        </w:rPr>
        <w:t>Comisionada Sharon Cristina Morales Martínez</w:t>
      </w:r>
      <w:r w:rsidRPr="00AD39F2">
        <w:rPr>
          <w:bCs/>
        </w:rPr>
        <w:t xml:space="preserve">, </w:t>
      </w:r>
      <w:r w:rsidRPr="00AD39F2">
        <w:t xml:space="preserve">a efecto de decretar su admisión o desechamiento. </w:t>
      </w:r>
    </w:p>
    <w:p w14:paraId="18F305CB" w14:textId="77777777" w:rsidR="00664420" w:rsidRPr="00AD39F2" w:rsidRDefault="00664420" w:rsidP="00AD39F2">
      <w:pPr>
        <w:rPr>
          <w:rFonts w:eastAsia="Batang" w:cs="Tahoma"/>
          <w:bCs/>
          <w:szCs w:val="22"/>
        </w:rPr>
      </w:pPr>
    </w:p>
    <w:p w14:paraId="3E31EC2D" w14:textId="295256A1" w:rsidR="00664420" w:rsidRPr="00AD39F2" w:rsidRDefault="006E25BC" w:rsidP="00AD39F2">
      <w:pPr>
        <w:pStyle w:val="Ttulo3"/>
      </w:pPr>
      <w:bookmarkStart w:id="11" w:name="_Toc200539193"/>
      <w:r w:rsidRPr="00AD39F2">
        <w:lastRenderedPageBreak/>
        <w:t>c</w:t>
      </w:r>
      <w:r w:rsidR="00664420" w:rsidRPr="00AD39F2">
        <w:t>) Admisión del Recurso de Revisión</w:t>
      </w:r>
      <w:bookmarkEnd w:id="11"/>
    </w:p>
    <w:p w14:paraId="240447D5" w14:textId="1A46146E" w:rsidR="000E09C4" w:rsidRPr="00AD39F2" w:rsidRDefault="000E09C4" w:rsidP="00AD39F2">
      <w:pPr>
        <w:rPr>
          <w:rFonts w:cs="Arial"/>
        </w:rPr>
      </w:pPr>
      <w:r w:rsidRPr="00AD39F2">
        <w:rPr>
          <w:rFonts w:cs="Arial"/>
        </w:rPr>
        <w:t xml:space="preserve">El </w:t>
      </w:r>
      <w:r w:rsidR="001E62AE" w:rsidRPr="00AD39F2">
        <w:rPr>
          <w:rFonts w:eastAsia="Palatino Linotype" w:cs="Palatino Linotype"/>
          <w:b/>
        </w:rPr>
        <w:t>veintiuno de marzo</w:t>
      </w:r>
      <w:r w:rsidR="00052315" w:rsidRPr="00AD39F2">
        <w:rPr>
          <w:rFonts w:eastAsia="Palatino Linotype" w:cs="Palatino Linotype"/>
          <w:b/>
        </w:rPr>
        <w:t xml:space="preserve"> de dos mil veinticinco</w:t>
      </w:r>
      <w:r w:rsidRPr="00AD39F2">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AD39F2">
        <w:rPr>
          <w:rFonts w:cs="Arial"/>
        </w:rPr>
        <w:t>, fracción II</w:t>
      </w:r>
      <w:r w:rsidRPr="00AD39F2">
        <w:rPr>
          <w:rFonts w:cs="Arial"/>
        </w:rPr>
        <w:t xml:space="preserve"> de la Ley de Transparencia y Acceso a la Información Pública del Estado de México y Municipios.</w:t>
      </w:r>
    </w:p>
    <w:p w14:paraId="09B589C5" w14:textId="77777777" w:rsidR="00664420" w:rsidRPr="00AD39F2" w:rsidRDefault="00664420" w:rsidP="00AD39F2">
      <w:pPr>
        <w:rPr>
          <w:rFonts w:cs="Tahoma"/>
          <w:b/>
          <w:szCs w:val="22"/>
        </w:rPr>
      </w:pPr>
    </w:p>
    <w:p w14:paraId="3B820F58" w14:textId="21ADD3FD" w:rsidR="00865CF4" w:rsidRPr="00AD39F2" w:rsidRDefault="00D671EC" w:rsidP="00AD39F2">
      <w:pPr>
        <w:pStyle w:val="Ttulo3"/>
      </w:pPr>
      <w:bookmarkStart w:id="12" w:name="_Toc200539194"/>
      <w:r w:rsidRPr="00AD39F2">
        <w:t>d</w:t>
      </w:r>
      <w:r w:rsidR="00664420" w:rsidRPr="00AD39F2">
        <w:t xml:space="preserve">) </w:t>
      </w:r>
      <w:r w:rsidR="00865CF4" w:rsidRPr="00AD39F2">
        <w:t>Informe Justificado del Sujeto Obligado</w:t>
      </w:r>
      <w:bookmarkEnd w:id="12"/>
    </w:p>
    <w:p w14:paraId="4F414D87" w14:textId="77777777" w:rsidR="001E62AE" w:rsidRPr="00AD39F2" w:rsidRDefault="00052315" w:rsidP="00AD39F2">
      <w:pPr>
        <w:rPr>
          <w:rFonts w:eastAsia="Calibri" w:cs="Tahoma"/>
          <w:szCs w:val="22"/>
          <w:lang w:eastAsia="en-US"/>
        </w:rPr>
      </w:pPr>
      <w:r w:rsidRPr="00AD39F2">
        <w:rPr>
          <w:rFonts w:cs="Tahoma"/>
          <w:bCs/>
          <w:szCs w:val="24"/>
        </w:rPr>
        <w:t xml:space="preserve">El </w:t>
      </w:r>
      <w:r w:rsidR="001E62AE" w:rsidRPr="00AD39F2">
        <w:rPr>
          <w:rFonts w:cs="Tahoma"/>
          <w:b/>
          <w:szCs w:val="24"/>
        </w:rPr>
        <w:t xml:space="preserve">treinta y uno </w:t>
      </w:r>
      <w:r w:rsidRPr="00AD39F2">
        <w:rPr>
          <w:rFonts w:cs="Tahoma"/>
          <w:b/>
          <w:szCs w:val="24"/>
        </w:rPr>
        <w:t>de marzo de dos mil veinticinco, EL SUJETO OBLIGADO</w:t>
      </w:r>
      <w:r w:rsidRPr="00AD39F2">
        <w:rPr>
          <w:rFonts w:cs="Tahoma"/>
          <w:bCs/>
          <w:szCs w:val="24"/>
        </w:rPr>
        <w:t xml:space="preserve"> rindió su informe justificado a través del </w:t>
      </w:r>
      <w:r w:rsidRPr="00AD39F2">
        <w:rPr>
          <w:rFonts w:cs="Tahoma"/>
          <w:b/>
          <w:bCs/>
          <w:szCs w:val="24"/>
        </w:rPr>
        <w:t>SAIMEX</w:t>
      </w:r>
      <w:r w:rsidRPr="00AD39F2">
        <w:rPr>
          <w:rFonts w:cs="Tahoma"/>
          <w:bCs/>
          <w:szCs w:val="24"/>
        </w:rPr>
        <w:t xml:space="preserve">, </w:t>
      </w:r>
      <w:r w:rsidRPr="00AD39F2">
        <w:rPr>
          <w:rFonts w:eastAsia="Calibri" w:cs="Tahoma"/>
          <w:szCs w:val="22"/>
          <w:lang w:eastAsia="en-US"/>
        </w:rPr>
        <w:t>en el cual</w:t>
      </w:r>
      <w:r w:rsidRPr="00AD39F2">
        <w:rPr>
          <w:rFonts w:cs="Tahoma"/>
          <w:bCs/>
          <w:szCs w:val="24"/>
        </w:rPr>
        <w:t xml:space="preserve"> </w:t>
      </w:r>
      <w:r w:rsidR="004F6F8E" w:rsidRPr="00AD39F2">
        <w:rPr>
          <w:rFonts w:eastAsia="Calibri" w:cs="Tahoma"/>
          <w:szCs w:val="22"/>
          <w:lang w:eastAsia="en-US"/>
        </w:rPr>
        <w:t xml:space="preserve">modificó su respuesta inicial, </w:t>
      </w:r>
      <w:r w:rsidR="001E62AE" w:rsidRPr="00AD39F2">
        <w:rPr>
          <w:rFonts w:eastAsia="Calibri" w:cs="Tahoma"/>
          <w:szCs w:val="22"/>
          <w:lang w:eastAsia="en-US"/>
        </w:rPr>
        <w:t>a través de los documentos digitales siguientes:</w:t>
      </w:r>
    </w:p>
    <w:p w14:paraId="6A89D282" w14:textId="44A22DBF" w:rsidR="00052315" w:rsidRPr="00AD39F2" w:rsidRDefault="00052315" w:rsidP="00AD39F2">
      <w:pPr>
        <w:rPr>
          <w:rFonts w:eastAsia="Calibri" w:cs="Tahoma"/>
          <w:szCs w:val="22"/>
          <w:lang w:eastAsia="en-US"/>
        </w:rPr>
      </w:pPr>
    </w:p>
    <w:p w14:paraId="2064DA12" w14:textId="64D17BA7" w:rsidR="001E62AE" w:rsidRPr="00AD39F2" w:rsidRDefault="001E62AE" w:rsidP="00AD39F2">
      <w:pPr>
        <w:pStyle w:val="Prrafodelista"/>
        <w:numPr>
          <w:ilvl w:val="0"/>
          <w:numId w:val="29"/>
        </w:numPr>
        <w:rPr>
          <w:rFonts w:eastAsia="Calibri" w:cs="Tahoma"/>
          <w:b/>
          <w:szCs w:val="22"/>
          <w:lang w:eastAsia="en-US"/>
        </w:rPr>
      </w:pPr>
      <w:r w:rsidRPr="00AD39F2">
        <w:rPr>
          <w:rFonts w:eastAsia="Calibri" w:cs="Tahoma"/>
          <w:b/>
          <w:szCs w:val="22"/>
          <w:lang w:eastAsia="en-US"/>
        </w:rPr>
        <w:t xml:space="preserve">INFORME JUSTIFICADO RR 3132-2025 UT.pdf / </w:t>
      </w:r>
      <w:r w:rsidRPr="00AD39F2">
        <w:rPr>
          <w:rFonts w:eastAsia="Calibri" w:cs="Tahoma"/>
          <w:b/>
          <w:szCs w:val="22"/>
          <w:lang w:eastAsia="en-US"/>
        </w:rPr>
        <w:tab/>
        <w:t xml:space="preserve">INFORME JUSTIFICADO RR 3132-2025 UT.docx: </w:t>
      </w:r>
      <w:r w:rsidRPr="00AD39F2">
        <w:rPr>
          <w:rFonts w:eastAsia="Calibri" w:cs="Tahoma"/>
          <w:szCs w:val="22"/>
          <w:lang w:eastAsia="en-US"/>
        </w:rPr>
        <w:t>Consiste en el informe justificado formulado por la Jefa de la Unidad de Transparencia, en donde hace del conocimiento que, por cuanto hace a las manifestaciones vertidas en el recursos de revisi</w:t>
      </w:r>
      <w:r w:rsidR="00816574" w:rsidRPr="00AD39F2">
        <w:rPr>
          <w:rFonts w:eastAsia="Calibri" w:cs="Tahoma"/>
          <w:szCs w:val="22"/>
          <w:lang w:eastAsia="en-US"/>
        </w:rPr>
        <w:t xml:space="preserve">ón, es importante resaltar contrario a lo que establece al particular en el acto impugnado, en respuesta se proporcionó la información referente a las planillas de las personas candidatas a miembros de los ayuntamientos, en donde es posible visualizar las candidaturas registradas y postuladas a la Presidencia Municipal del municipio de Tepotzotlán por partido político en los años </w:t>
      </w:r>
      <w:r w:rsidR="00816574" w:rsidRPr="00AD39F2">
        <w:rPr>
          <w:rFonts w:eastAsia="Calibri" w:cs="Tahoma"/>
          <w:b/>
          <w:szCs w:val="22"/>
          <w:lang w:eastAsia="en-US"/>
        </w:rPr>
        <w:t>2015, 2018, 2021 y 2024</w:t>
      </w:r>
      <w:r w:rsidR="00816574" w:rsidRPr="00AD39F2">
        <w:rPr>
          <w:rFonts w:eastAsia="Calibri" w:cs="Tahoma"/>
          <w:szCs w:val="22"/>
          <w:lang w:eastAsia="en-US"/>
        </w:rPr>
        <w:t xml:space="preserve">, información que se encuentra disponible en la carpeta comprimida “ANEXO.zip”. De igual forma a través del informe justificado la servidora pública inserta diversas capturas de pantalla señalando la información a la que pretende acceder el particular. </w:t>
      </w:r>
      <w:r w:rsidR="00022232" w:rsidRPr="00AD39F2">
        <w:rPr>
          <w:rFonts w:eastAsia="Calibri" w:cs="Tahoma"/>
          <w:szCs w:val="22"/>
          <w:lang w:eastAsia="en-US"/>
        </w:rPr>
        <w:t xml:space="preserve">Asimismo </w:t>
      </w:r>
      <w:r w:rsidR="00D11DB4" w:rsidRPr="00AD39F2">
        <w:rPr>
          <w:rFonts w:eastAsia="Calibri" w:cs="Tahoma"/>
          <w:szCs w:val="22"/>
          <w:lang w:eastAsia="en-US"/>
        </w:rPr>
        <w:t xml:space="preserve">a través del documento en referencia, se puntualiza que, de acuerdo al decreto No. 134 publicado en el </w:t>
      </w:r>
      <w:r w:rsidR="00D11DB4" w:rsidRPr="00AD39F2">
        <w:rPr>
          <w:rFonts w:eastAsia="Calibri" w:cs="Tahoma"/>
          <w:szCs w:val="22"/>
          <w:lang w:eastAsia="en-US"/>
        </w:rPr>
        <w:lastRenderedPageBreak/>
        <w:t xml:space="preserve">periódico oficial del Gobierno del Estado de México, </w:t>
      </w:r>
      <w:r w:rsidR="00D11DB4" w:rsidRPr="00AD39F2">
        <w:rPr>
          <w:rFonts w:eastAsia="Calibri" w:cs="Tahoma"/>
          <w:b/>
          <w:szCs w:val="22"/>
          <w:lang w:eastAsia="en-US"/>
        </w:rPr>
        <w:t>del 2 de marzo de 1996</w:t>
      </w:r>
      <w:r w:rsidR="00D11DB4" w:rsidRPr="00AD39F2">
        <w:rPr>
          <w:rFonts w:eastAsia="Calibri" w:cs="Tahoma"/>
          <w:szCs w:val="22"/>
          <w:lang w:eastAsia="en-US"/>
        </w:rPr>
        <w:t xml:space="preserve">, se creó el Organismo Público Electoral Local y a partir de ese año y los años posteriores </w:t>
      </w:r>
      <w:r w:rsidR="00D11DB4" w:rsidRPr="00AD39F2">
        <w:rPr>
          <w:rFonts w:eastAsia="Calibri" w:cs="Tahoma"/>
          <w:b/>
          <w:szCs w:val="22"/>
          <w:lang w:eastAsia="en-US"/>
        </w:rPr>
        <w:t>2000, 2003, 2006, 2009, 2012, 2015, 2018, 2021 y 2024</w:t>
      </w:r>
      <w:r w:rsidR="00D11DB4" w:rsidRPr="00AD39F2">
        <w:rPr>
          <w:rFonts w:eastAsia="Calibri" w:cs="Tahoma"/>
          <w:szCs w:val="22"/>
          <w:lang w:eastAsia="en-US"/>
        </w:rPr>
        <w:t xml:space="preserve"> se llevó a cabo la organización de las elecciones locales para elegir a los miembros de los ayuntamiento del Estado de México, sin embargo se señala que, después de dicha creación, no en todos los ejercicios fiscales se llevaron a cabo elecciones electorales para las Presidencias Municipales, sino únicamente en las indicadas con anterioridad; en ese mismo sentido la servidora pública señala que la Dirección de Partidos Políticos remitió el oficio IEEM/DPP/0397/2025 en donde se rinde el informe justificado y se precisa que se remiten los archivos correspondientes al registro de planillas de las personas candidatas </w:t>
      </w:r>
      <w:r w:rsidR="00CA580F" w:rsidRPr="00AD39F2">
        <w:rPr>
          <w:rFonts w:eastAsia="Calibri" w:cs="Tahoma"/>
          <w:szCs w:val="22"/>
          <w:lang w:eastAsia="en-US"/>
        </w:rPr>
        <w:t xml:space="preserve">a miembros de los ayuntamientos </w:t>
      </w:r>
      <w:r w:rsidR="00CA580F" w:rsidRPr="00AD39F2">
        <w:rPr>
          <w:rFonts w:eastAsia="Calibri" w:cs="Tahoma"/>
          <w:b/>
          <w:szCs w:val="22"/>
          <w:lang w:eastAsia="en-US"/>
        </w:rPr>
        <w:t>faltantes de los años 2000, 2003, 2006, 2009 y 2012 y por cuanto hace al año 1996</w:t>
      </w:r>
      <w:r w:rsidR="00CA580F" w:rsidRPr="00AD39F2">
        <w:rPr>
          <w:rFonts w:eastAsia="Calibri" w:cs="Tahoma"/>
          <w:szCs w:val="22"/>
          <w:lang w:eastAsia="en-US"/>
        </w:rPr>
        <w:t xml:space="preserve"> se remite documento consistente en 26 fijas, relativo a una memoria realizada por la Junta Municipal de Tepotzotlán con los acontecimientos más importantes y relevantes de la elección, misma que contiene el listado de planilla ganadora, indicando que ese documento es el único que se tiene respecto de la elección llevada a cabo en dicho año.</w:t>
      </w:r>
    </w:p>
    <w:p w14:paraId="1547518C" w14:textId="181EA559" w:rsidR="00830308" w:rsidRPr="00AD39F2" w:rsidRDefault="00830308" w:rsidP="00AD39F2">
      <w:pPr>
        <w:pStyle w:val="Prrafodelista"/>
        <w:numPr>
          <w:ilvl w:val="0"/>
          <w:numId w:val="29"/>
        </w:numPr>
        <w:rPr>
          <w:rFonts w:eastAsia="Calibri" w:cs="Tahoma"/>
          <w:b/>
          <w:szCs w:val="22"/>
          <w:lang w:eastAsia="en-US"/>
        </w:rPr>
      </w:pPr>
      <w:r w:rsidRPr="00AD39F2">
        <w:rPr>
          <w:rFonts w:eastAsia="Calibri" w:cs="Tahoma"/>
          <w:b/>
          <w:szCs w:val="22"/>
          <w:lang w:eastAsia="en-US"/>
        </w:rPr>
        <w:t xml:space="preserve">IEEM_DPP_0397_2025 INFORME JUSTIFICADO RR 3132-2025 DPP.pdf: </w:t>
      </w:r>
      <w:r w:rsidRPr="00AD39F2">
        <w:rPr>
          <w:rFonts w:eastAsia="Calibri" w:cs="Tahoma"/>
          <w:szCs w:val="22"/>
          <w:lang w:eastAsia="en-US"/>
        </w:rPr>
        <w:t>Contiene el informe justificado emitido por la Dirección de Partidos Políticos descrito con anterioridad.</w:t>
      </w:r>
    </w:p>
    <w:p w14:paraId="3CA4C4CC" w14:textId="1B413EE6" w:rsidR="00830308" w:rsidRPr="00AD39F2" w:rsidRDefault="00830308" w:rsidP="00AD39F2">
      <w:pPr>
        <w:pStyle w:val="Prrafodelista"/>
        <w:numPr>
          <w:ilvl w:val="0"/>
          <w:numId w:val="29"/>
        </w:numPr>
        <w:rPr>
          <w:rFonts w:eastAsia="Calibri" w:cs="Tahoma"/>
          <w:b/>
          <w:szCs w:val="22"/>
          <w:lang w:eastAsia="en-US"/>
        </w:rPr>
      </w:pPr>
      <w:r w:rsidRPr="00AD39F2">
        <w:rPr>
          <w:rFonts w:eastAsia="Calibri" w:cs="Tahoma"/>
          <w:b/>
          <w:szCs w:val="22"/>
          <w:lang w:eastAsia="en-US"/>
        </w:rPr>
        <w:t xml:space="preserve">ANEXOS DPP RR 3132-2025.rar: </w:t>
      </w:r>
      <w:r w:rsidRPr="00AD39F2">
        <w:rPr>
          <w:rFonts w:eastAsia="Calibri" w:cs="Tahoma"/>
          <w:szCs w:val="22"/>
          <w:lang w:eastAsia="en-US"/>
        </w:rPr>
        <w:t xml:space="preserve">Carpeta comprimida que contiene los documentos digitales referentes a las planillas de candidatos para miembros del municipio de Tepotzotlan por cuando hace a la Presidencia Municipal correspondientes a los años </w:t>
      </w:r>
      <w:r w:rsidRPr="00AD39F2">
        <w:rPr>
          <w:rFonts w:eastAsia="Calibri" w:cs="Tahoma"/>
          <w:b/>
          <w:szCs w:val="22"/>
          <w:lang w:eastAsia="en-US"/>
        </w:rPr>
        <w:t xml:space="preserve">2000, 2003, 2006, 2009 y 2012, </w:t>
      </w:r>
      <w:r w:rsidRPr="00AD39F2">
        <w:rPr>
          <w:rFonts w:eastAsia="Calibri" w:cs="Tahoma"/>
          <w:szCs w:val="22"/>
          <w:lang w:eastAsia="en-US"/>
        </w:rPr>
        <w:t xml:space="preserve">asimismo dicha carpeta contiene el documento digital referente a la Junta Municipal de Tepotzotlan consistente en la memoria de acontecimientos más relevantes </w:t>
      </w:r>
      <w:r w:rsidR="00A64196" w:rsidRPr="00AD39F2">
        <w:rPr>
          <w:rFonts w:eastAsia="Calibri" w:cs="Tahoma"/>
          <w:szCs w:val="22"/>
          <w:lang w:eastAsia="en-US"/>
        </w:rPr>
        <w:t>en donde se contempla un listado de la planilla ganadora para la Presidencia Municipal de dicho Ayuntamiento.</w:t>
      </w:r>
    </w:p>
    <w:p w14:paraId="445DBF5C" w14:textId="77777777" w:rsidR="00052315" w:rsidRPr="00AD39F2" w:rsidRDefault="00052315" w:rsidP="00AD39F2">
      <w:pPr>
        <w:rPr>
          <w:rFonts w:eastAsia="Calibri" w:cs="Tahoma"/>
          <w:szCs w:val="22"/>
          <w:lang w:eastAsia="en-US"/>
        </w:rPr>
      </w:pPr>
    </w:p>
    <w:p w14:paraId="5DF7BA43" w14:textId="191A48BB" w:rsidR="000F42BA" w:rsidRPr="00AD39F2" w:rsidRDefault="00052315" w:rsidP="00AD39F2">
      <w:pPr>
        <w:rPr>
          <w:rFonts w:eastAsia="Calibri" w:cs="Tahoma"/>
          <w:szCs w:val="22"/>
          <w:lang w:eastAsia="en-US"/>
        </w:rPr>
      </w:pPr>
      <w:r w:rsidRPr="00AD39F2">
        <w:rPr>
          <w:rFonts w:cs="Tahoma"/>
          <w:bCs/>
          <w:szCs w:val="24"/>
        </w:rPr>
        <w:t xml:space="preserve">Esta información fue puesta a la vista de </w:t>
      </w:r>
      <w:r w:rsidRPr="00AD39F2">
        <w:rPr>
          <w:rFonts w:cs="Tahoma"/>
          <w:b/>
          <w:szCs w:val="24"/>
        </w:rPr>
        <w:t xml:space="preserve">LA PARTE RECURRENTE </w:t>
      </w:r>
      <w:r w:rsidRPr="00AD39F2">
        <w:rPr>
          <w:rFonts w:cs="Tahoma"/>
          <w:bCs/>
          <w:szCs w:val="24"/>
        </w:rPr>
        <w:t xml:space="preserve">el </w:t>
      </w:r>
      <w:r w:rsidR="001E62AE" w:rsidRPr="00AD39F2">
        <w:rPr>
          <w:rFonts w:cs="Tahoma"/>
          <w:b/>
          <w:szCs w:val="24"/>
        </w:rPr>
        <w:t>primero de abril</w:t>
      </w:r>
      <w:r w:rsidRPr="00AD39F2">
        <w:rPr>
          <w:rFonts w:cs="Tahoma"/>
          <w:b/>
          <w:szCs w:val="24"/>
        </w:rPr>
        <w:t xml:space="preserve"> de dos mil veinticinco</w:t>
      </w:r>
      <w:r w:rsidRPr="00AD39F2">
        <w:rPr>
          <w:rFonts w:cs="Tahoma"/>
          <w:bCs/>
          <w:szCs w:val="24"/>
        </w:rPr>
        <w:t xml:space="preserve"> para que, en un plazo de tres días hábiles, manifestara lo que a su derecho conviniera, de conformidad con lo establecido en el </w:t>
      </w:r>
      <w:r w:rsidRPr="00AD39F2">
        <w:rPr>
          <w:rFonts w:cs="Arial"/>
        </w:rPr>
        <w:t>artículo 185, fracción III de la Ley de Transparencia y Acceso a la Información Pública del Estado de México y Municipios</w:t>
      </w:r>
      <w:r w:rsidRPr="00AD39F2">
        <w:rPr>
          <w:rFonts w:cs="Tahoma"/>
          <w:bCs/>
          <w:szCs w:val="24"/>
        </w:rPr>
        <w:t>.</w:t>
      </w:r>
    </w:p>
    <w:p w14:paraId="3B386B4C" w14:textId="77777777" w:rsidR="003A40C1" w:rsidRPr="00AD39F2" w:rsidRDefault="003A40C1" w:rsidP="00AD39F2">
      <w:pPr>
        <w:ind w:right="539"/>
        <w:rPr>
          <w:rFonts w:cs="Tahoma"/>
          <w:bCs/>
          <w:szCs w:val="24"/>
        </w:rPr>
      </w:pPr>
    </w:p>
    <w:p w14:paraId="755B7730" w14:textId="33869F30" w:rsidR="00664420" w:rsidRPr="00AD39F2" w:rsidRDefault="00CC265D" w:rsidP="00AD39F2">
      <w:pPr>
        <w:pStyle w:val="Ttulo3"/>
        <w:rPr>
          <w:lang w:val="es-ES"/>
        </w:rPr>
      </w:pPr>
      <w:bookmarkStart w:id="13" w:name="_Toc200539195"/>
      <w:r w:rsidRPr="00AD39F2">
        <w:rPr>
          <w:rFonts w:eastAsia="Calibri"/>
          <w:bCs/>
          <w:lang w:eastAsia="en-US"/>
        </w:rPr>
        <w:t>e</w:t>
      </w:r>
      <w:r w:rsidR="00664420" w:rsidRPr="00AD39F2">
        <w:rPr>
          <w:rFonts w:eastAsia="Calibri"/>
          <w:bCs/>
          <w:lang w:eastAsia="en-US"/>
        </w:rPr>
        <w:t>)</w:t>
      </w:r>
      <w:r w:rsidR="00664420" w:rsidRPr="00AD39F2">
        <w:t xml:space="preserve"> </w:t>
      </w:r>
      <w:r w:rsidR="00865CF4" w:rsidRPr="00AD39F2">
        <w:rPr>
          <w:lang w:val="es-ES"/>
        </w:rPr>
        <w:t>Manifestaciones de la Parte Recurrente</w:t>
      </w:r>
      <w:bookmarkEnd w:id="13"/>
    </w:p>
    <w:p w14:paraId="15FD4F6C" w14:textId="37450FB5" w:rsidR="0042630F" w:rsidRPr="00AD39F2" w:rsidRDefault="00CA580F" w:rsidP="00AD39F2">
      <w:pPr>
        <w:rPr>
          <w:rFonts w:eastAsia="Arial Unicode MS" w:cs="Arial"/>
          <w:b/>
        </w:rPr>
      </w:pPr>
      <w:r w:rsidRPr="00AD39F2">
        <w:rPr>
          <w:b/>
        </w:rPr>
        <w:t xml:space="preserve">LA PARTE RECURRENTE </w:t>
      </w:r>
      <w:r w:rsidRPr="00AD39F2">
        <w:t>no realizó manifestación alguna dentro del término legalmente concedido para tal efecto, ni presentó pruebas o alegatos.</w:t>
      </w:r>
    </w:p>
    <w:p w14:paraId="33F88C6A" w14:textId="77777777" w:rsidR="001C2FFF" w:rsidRPr="00AD39F2" w:rsidRDefault="001C2FFF" w:rsidP="00AD39F2">
      <w:pPr>
        <w:rPr>
          <w:rFonts w:eastAsia="Arial Unicode MS" w:cs="Arial"/>
        </w:rPr>
      </w:pPr>
    </w:p>
    <w:p w14:paraId="78CA579B" w14:textId="77777777" w:rsidR="001C2FFF" w:rsidRPr="00AD39F2" w:rsidRDefault="001C2FFF" w:rsidP="00AD39F2">
      <w:pPr>
        <w:pStyle w:val="Ttulo3"/>
        <w:rPr>
          <w:rFonts w:eastAsia="Calibri"/>
        </w:rPr>
      </w:pPr>
      <w:bookmarkStart w:id="14" w:name="_Toc200539196"/>
      <w:r w:rsidRPr="00AD39F2">
        <w:rPr>
          <w:rFonts w:eastAsia="Calibri"/>
          <w:bCs/>
          <w:lang w:eastAsia="en-US"/>
        </w:rPr>
        <w:t>f)</w:t>
      </w:r>
      <w:r w:rsidRPr="00AD39F2">
        <w:t xml:space="preserve"> </w:t>
      </w:r>
      <w:r w:rsidRPr="00AD39F2">
        <w:rPr>
          <w:rFonts w:eastAsia="Calibri"/>
        </w:rPr>
        <w:t>Ampliación de plazo para resolver el Recurso de Revisión</w:t>
      </w:r>
      <w:bookmarkEnd w:id="14"/>
    </w:p>
    <w:p w14:paraId="058FDCEF" w14:textId="14950F06" w:rsidR="001C2FFF" w:rsidRPr="00AD39F2" w:rsidRDefault="001C2FFF" w:rsidP="00AD39F2">
      <w:pPr>
        <w:tabs>
          <w:tab w:val="left" w:pos="3261"/>
        </w:tabs>
        <w:rPr>
          <w:rFonts w:eastAsia="Calibri" w:cs="Tahoma"/>
          <w:szCs w:val="22"/>
        </w:rPr>
      </w:pPr>
      <w:r w:rsidRPr="00AD39F2">
        <w:rPr>
          <w:rFonts w:eastAsia="Calibri" w:cs="Tahoma"/>
          <w:szCs w:val="22"/>
        </w:rPr>
        <w:t xml:space="preserve">Con fundamento en lo dispuesto en el artículo 181, párrafo tercero, de la Ley de Transparencia y Acceso a la Información Pública del Estado de México y Municipios, </w:t>
      </w:r>
      <w:r w:rsidRPr="00AD39F2">
        <w:rPr>
          <w:rFonts w:eastAsia="Calibri" w:cs="Tahoma"/>
          <w:b/>
          <w:bCs/>
          <w:szCs w:val="22"/>
        </w:rPr>
        <w:t xml:space="preserve">el </w:t>
      </w:r>
      <w:r w:rsidR="00CA580F" w:rsidRPr="00AD39F2">
        <w:rPr>
          <w:rFonts w:eastAsia="Calibri" w:cs="Tahoma"/>
          <w:b/>
          <w:bCs/>
          <w:szCs w:val="22"/>
        </w:rPr>
        <w:t xml:space="preserve">veintidós de mayo </w:t>
      </w:r>
      <w:r w:rsidRPr="00AD39F2">
        <w:rPr>
          <w:rFonts w:eastAsia="Calibri" w:cs="Tahoma"/>
          <w:b/>
          <w:bCs/>
          <w:szCs w:val="22"/>
        </w:rPr>
        <w:t>de dos mil veinticinco</w:t>
      </w:r>
      <w:r w:rsidRPr="00AD39F2">
        <w:rPr>
          <w:rFonts w:eastAsia="Calibri" w:cs="Tahoma"/>
          <w:szCs w:val="22"/>
        </w:rPr>
        <w:t xml:space="preserve"> se acordó ampliar por un periodo razonable el plazo para resolver el presente Recurso de Revisión; acuerdo que fue notificado a las partes a través del SAIMEX el </w:t>
      </w:r>
      <w:r w:rsidRPr="00AD39F2">
        <w:rPr>
          <w:rFonts w:eastAsia="Calibri" w:cs="Tahoma"/>
          <w:b/>
          <w:bCs/>
          <w:szCs w:val="22"/>
        </w:rPr>
        <w:t>en la misma fecha.</w:t>
      </w:r>
    </w:p>
    <w:p w14:paraId="7B1B679B" w14:textId="77777777" w:rsidR="001C2FFF" w:rsidRPr="00AD39F2" w:rsidRDefault="001C2FFF" w:rsidP="00AD39F2">
      <w:pPr>
        <w:tabs>
          <w:tab w:val="left" w:pos="3261"/>
        </w:tabs>
        <w:rPr>
          <w:rFonts w:eastAsia="Calibri" w:cs="Tahoma"/>
          <w:szCs w:val="22"/>
        </w:rPr>
      </w:pPr>
    </w:p>
    <w:p w14:paraId="382C67C4" w14:textId="77777777" w:rsidR="00776D30" w:rsidRPr="00AD39F2" w:rsidRDefault="00776D30" w:rsidP="00AD39F2">
      <w:pPr>
        <w:rPr>
          <w:rFonts w:cs="Arial"/>
          <w:lang w:eastAsia="es-MX"/>
        </w:rPr>
      </w:pPr>
      <w:r w:rsidRPr="00AD39F2">
        <w:rPr>
          <w:rFonts w:cs="Arial"/>
          <w:lang w:eastAsia="es-MX"/>
        </w:rPr>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1A959E93" w14:textId="77777777" w:rsidR="00776D30" w:rsidRPr="00AD39F2" w:rsidRDefault="00776D30" w:rsidP="00AD39F2">
      <w:pPr>
        <w:rPr>
          <w:rFonts w:cs="Arial"/>
          <w:lang w:eastAsia="es-MX"/>
        </w:rPr>
      </w:pPr>
    </w:p>
    <w:p w14:paraId="78F1351B" w14:textId="77777777" w:rsidR="00776D30" w:rsidRPr="00AD39F2" w:rsidRDefault="00776D30" w:rsidP="00AD39F2">
      <w:pPr>
        <w:rPr>
          <w:rFonts w:cs="Arial"/>
          <w:lang w:eastAsia="es-MX"/>
        </w:rPr>
      </w:pPr>
      <w:r w:rsidRPr="00AD39F2">
        <w:rPr>
          <w:rFonts w:cs="Arial"/>
          <w:lang w:eastAsia="es-MX"/>
        </w:rPr>
        <w:t xml:space="preserve">Es importante precisar que, si bien se ha excedido el plazo para resolver el presente medio de impugnación, el plazo para emitir resolución se encuentra justificado en parámetros </w:t>
      </w:r>
      <w:r w:rsidRPr="00AD39F2">
        <w:rPr>
          <w:rFonts w:cs="Arial"/>
          <w:lang w:eastAsia="es-MX"/>
        </w:rPr>
        <w:lastRenderedPageBreak/>
        <w:t>establecidos por diversos órganos jurisdiccionales federales, aplicables también en procedimientos análogos, como el que nos ocupa.</w:t>
      </w:r>
    </w:p>
    <w:p w14:paraId="588F467E" w14:textId="77777777" w:rsidR="00776D30" w:rsidRPr="00AD39F2" w:rsidRDefault="00776D30" w:rsidP="00AD39F2">
      <w:pPr>
        <w:rPr>
          <w:rFonts w:cs="Arial"/>
          <w:lang w:eastAsia="es-MX"/>
        </w:rPr>
      </w:pPr>
    </w:p>
    <w:p w14:paraId="0B902904" w14:textId="77777777" w:rsidR="00776D30" w:rsidRPr="00AD39F2" w:rsidRDefault="00776D30" w:rsidP="00AD39F2">
      <w:pPr>
        <w:rPr>
          <w:rFonts w:cs="Arial"/>
          <w:lang w:eastAsia="es-MX"/>
        </w:rPr>
      </w:pPr>
      <w:r w:rsidRPr="00AD39F2">
        <w:rPr>
          <w:rFonts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34823EBE" w14:textId="77777777" w:rsidR="00776D30" w:rsidRPr="00AD39F2" w:rsidRDefault="00776D30" w:rsidP="00AD39F2">
      <w:pPr>
        <w:rPr>
          <w:rFonts w:cs="Arial"/>
          <w:lang w:eastAsia="es-MX"/>
        </w:rPr>
      </w:pPr>
    </w:p>
    <w:p w14:paraId="03ADD306" w14:textId="77777777" w:rsidR="00776D30" w:rsidRPr="00AD39F2" w:rsidRDefault="00776D30" w:rsidP="00AD39F2">
      <w:pPr>
        <w:rPr>
          <w:rFonts w:cs="Arial"/>
          <w:lang w:eastAsia="es-MX"/>
        </w:rPr>
      </w:pPr>
      <w:r w:rsidRPr="00AD39F2">
        <w:rPr>
          <w:rFonts w:cs="Arial"/>
          <w:lang w:eastAsia="es-MX"/>
        </w:rPr>
        <w:t>Por ello, excepcionalmente, si un asunto es resuelto con posterioridad a los plazos señalados por la norma, debe analizarse la razonabilidad del tiempo necesario para su resolución, atentos a los siguientes criterios:</w:t>
      </w:r>
    </w:p>
    <w:p w14:paraId="3E85320B" w14:textId="77777777" w:rsidR="00776D30" w:rsidRPr="00AD39F2" w:rsidRDefault="00776D30" w:rsidP="00AD39F2">
      <w:pPr>
        <w:rPr>
          <w:rFonts w:cs="Arial"/>
          <w:lang w:eastAsia="es-MX"/>
        </w:rPr>
      </w:pPr>
    </w:p>
    <w:p w14:paraId="16DDB7ED" w14:textId="77777777" w:rsidR="00776D30" w:rsidRPr="00AD39F2" w:rsidRDefault="00776D30" w:rsidP="00AD39F2">
      <w:pPr>
        <w:numPr>
          <w:ilvl w:val="0"/>
          <w:numId w:val="31"/>
        </w:numPr>
        <w:spacing w:after="160" w:line="278" w:lineRule="auto"/>
        <w:jc w:val="left"/>
        <w:rPr>
          <w:rFonts w:cs="Arial"/>
          <w:lang w:eastAsia="es-MX"/>
        </w:rPr>
      </w:pPr>
      <w:r w:rsidRPr="00AD39F2">
        <w:rPr>
          <w:rFonts w:cs="Arial"/>
          <w:b/>
          <w:lang w:eastAsia="es-MX"/>
        </w:rPr>
        <w:t>Complejidad del asunto:</w:t>
      </w:r>
      <w:r w:rsidRPr="00AD39F2">
        <w:rPr>
          <w:rFonts w:cs="Arial"/>
          <w:lang w:eastAsia="es-MX"/>
        </w:rPr>
        <w:t xml:space="preserve"> La complejidad de la prueba, la pluralidad de sujetos procesales, el tiempo transcurrido, las características y contexto del recurso.</w:t>
      </w:r>
    </w:p>
    <w:p w14:paraId="52E5B01A" w14:textId="77777777" w:rsidR="00776D30" w:rsidRPr="00AD39F2" w:rsidRDefault="00776D30" w:rsidP="00AD39F2">
      <w:pPr>
        <w:numPr>
          <w:ilvl w:val="0"/>
          <w:numId w:val="31"/>
        </w:numPr>
        <w:spacing w:after="160" w:line="278" w:lineRule="auto"/>
        <w:jc w:val="left"/>
        <w:rPr>
          <w:rFonts w:cs="Arial"/>
          <w:lang w:eastAsia="es-MX"/>
        </w:rPr>
      </w:pPr>
      <w:r w:rsidRPr="00AD39F2">
        <w:rPr>
          <w:rFonts w:cs="Arial"/>
          <w:b/>
          <w:lang w:eastAsia="es-MX"/>
        </w:rPr>
        <w:t>Actividad Procesal del interesado:</w:t>
      </w:r>
      <w:r w:rsidRPr="00AD39F2">
        <w:rPr>
          <w:rFonts w:cs="Arial"/>
          <w:lang w:eastAsia="es-MX"/>
        </w:rPr>
        <w:t xml:space="preserve"> Acciones u omisiones del interesado.</w:t>
      </w:r>
    </w:p>
    <w:p w14:paraId="50A1A757" w14:textId="77777777" w:rsidR="00776D30" w:rsidRPr="00AD39F2" w:rsidRDefault="00776D30" w:rsidP="00AD39F2">
      <w:pPr>
        <w:numPr>
          <w:ilvl w:val="0"/>
          <w:numId w:val="31"/>
        </w:numPr>
        <w:spacing w:after="160" w:line="278" w:lineRule="auto"/>
        <w:jc w:val="left"/>
        <w:rPr>
          <w:rFonts w:cs="Arial"/>
          <w:lang w:eastAsia="es-MX"/>
        </w:rPr>
      </w:pPr>
      <w:r w:rsidRPr="00AD39F2">
        <w:rPr>
          <w:rFonts w:cs="Arial"/>
          <w:b/>
          <w:lang w:eastAsia="es-MX"/>
        </w:rPr>
        <w:t>Conducta de la Autoridad:</w:t>
      </w:r>
      <w:r w:rsidRPr="00AD39F2">
        <w:rPr>
          <w:rFonts w:cs="Arial"/>
          <w:lang w:eastAsia="es-MX"/>
        </w:rPr>
        <w:t xml:space="preserve"> Las Acciones u omisiones realizadas en el procedimiento. Así como si la autoridad actuó con la debida diligencia.</w:t>
      </w:r>
    </w:p>
    <w:p w14:paraId="649DA2E6" w14:textId="77777777" w:rsidR="00776D30" w:rsidRPr="00AD39F2" w:rsidRDefault="00776D30" w:rsidP="00AD39F2">
      <w:pPr>
        <w:numPr>
          <w:ilvl w:val="0"/>
          <w:numId w:val="31"/>
        </w:numPr>
        <w:spacing w:after="160" w:line="278" w:lineRule="auto"/>
        <w:jc w:val="left"/>
        <w:rPr>
          <w:rFonts w:cs="Arial"/>
          <w:lang w:eastAsia="es-MX"/>
        </w:rPr>
      </w:pPr>
      <w:r w:rsidRPr="00AD39F2">
        <w:rPr>
          <w:rFonts w:cs="Arial"/>
          <w:b/>
          <w:lang w:eastAsia="es-MX"/>
        </w:rPr>
        <w:t xml:space="preserve">La afectación generada en la situación jurídica de la persona involucrada en el proceso: </w:t>
      </w:r>
      <w:r w:rsidRPr="00AD39F2">
        <w:rPr>
          <w:rFonts w:cs="Arial"/>
          <w:lang w:eastAsia="es-MX"/>
        </w:rPr>
        <w:t>Violación a sus derechos humanos.</w:t>
      </w:r>
    </w:p>
    <w:p w14:paraId="0E7F39C9" w14:textId="77777777" w:rsidR="00776D30" w:rsidRPr="00AD39F2" w:rsidRDefault="00776D30" w:rsidP="00AD39F2">
      <w:pPr>
        <w:rPr>
          <w:rFonts w:cs="Arial"/>
          <w:lang w:eastAsia="es-MX"/>
        </w:rPr>
      </w:pPr>
    </w:p>
    <w:p w14:paraId="41D87A88" w14:textId="77777777" w:rsidR="00776D30" w:rsidRPr="00AD39F2" w:rsidRDefault="00776D30" w:rsidP="00AD39F2">
      <w:pPr>
        <w:rPr>
          <w:rFonts w:cs="Arial"/>
          <w:lang w:eastAsia="es-MX"/>
        </w:rPr>
      </w:pPr>
      <w:r w:rsidRPr="00AD39F2">
        <w:rPr>
          <w:rFonts w:cs="Arial"/>
          <w:lang w:eastAsia="es-MX"/>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w:t>
      </w:r>
      <w:r w:rsidRPr="00AD39F2">
        <w:rPr>
          <w:rFonts w:cs="Arial"/>
          <w:lang w:eastAsia="es-MX"/>
        </w:rPr>
        <w:lastRenderedPageBreak/>
        <w:t>concluirse que es una excluyente de responsabilidad en relación con la actuación del funcionario, como ha acontecido en el caso que nos ocupa.</w:t>
      </w:r>
    </w:p>
    <w:p w14:paraId="28E19B2F" w14:textId="77777777" w:rsidR="00776D30" w:rsidRPr="00AD39F2" w:rsidRDefault="00776D30" w:rsidP="00AD39F2">
      <w:pPr>
        <w:rPr>
          <w:rFonts w:cs="Arial"/>
          <w:lang w:eastAsia="es-MX"/>
        </w:rPr>
      </w:pPr>
    </w:p>
    <w:p w14:paraId="720B2380" w14:textId="77777777" w:rsidR="00776D30" w:rsidRPr="00AD39F2" w:rsidRDefault="00776D30" w:rsidP="00AD39F2">
      <w:pPr>
        <w:rPr>
          <w:rFonts w:cs="Arial"/>
          <w:lang w:eastAsia="es-MX"/>
        </w:rPr>
      </w:pPr>
      <w:r w:rsidRPr="00AD39F2">
        <w:rPr>
          <w:rFonts w:cs="Arial"/>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05DE601" w14:textId="77777777" w:rsidR="00776D30" w:rsidRPr="00AD39F2" w:rsidRDefault="00776D30" w:rsidP="00AD39F2">
      <w:pPr>
        <w:rPr>
          <w:rFonts w:cs="Arial"/>
          <w:lang w:eastAsia="es-MX"/>
        </w:rPr>
      </w:pPr>
    </w:p>
    <w:p w14:paraId="1D4D7B9F" w14:textId="77777777" w:rsidR="00776D30" w:rsidRPr="00AD39F2" w:rsidRDefault="00776D30" w:rsidP="00AD39F2">
      <w:pPr>
        <w:rPr>
          <w:rFonts w:cs="Arial"/>
          <w:lang w:eastAsia="es-MX"/>
        </w:rPr>
      </w:pPr>
      <w:r w:rsidRPr="00AD39F2">
        <w:rPr>
          <w:rFonts w:cs="Arial"/>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08C52A3" w14:textId="77777777" w:rsidR="00776D30" w:rsidRPr="00AD39F2" w:rsidRDefault="00776D30" w:rsidP="00AD39F2">
      <w:pPr>
        <w:rPr>
          <w:rFonts w:cs="Arial"/>
          <w:lang w:eastAsia="es-MX"/>
        </w:rPr>
      </w:pPr>
    </w:p>
    <w:p w14:paraId="624B02D1" w14:textId="77777777" w:rsidR="00776D30" w:rsidRPr="00AD39F2" w:rsidRDefault="00776D30" w:rsidP="00AD39F2">
      <w:pPr>
        <w:rPr>
          <w:rFonts w:cs="Arial"/>
          <w:lang w:eastAsia="es-MX"/>
        </w:rPr>
      </w:pPr>
      <w:r w:rsidRPr="00AD39F2">
        <w:rPr>
          <w:rFonts w:cs="Arial"/>
          <w:lang w:eastAsia="es-MX"/>
        </w:rPr>
        <w:t>Al respecto, también son de considerar los criterios sostenidos por el Cuarto Tribunal Colegiado en Materia Administrativa del Primer Circuito, cuyos rubros y datos de identificación son los siguientes:</w:t>
      </w:r>
    </w:p>
    <w:p w14:paraId="72B7F054" w14:textId="77777777" w:rsidR="00776D30" w:rsidRPr="00AD39F2" w:rsidRDefault="00776D30" w:rsidP="00AD39F2">
      <w:pPr>
        <w:rPr>
          <w:rFonts w:cs="Arial"/>
          <w:lang w:eastAsia="es-MX"/>
        </w:rPr>
      </w:pPr>
    </w:p>
    <w:p w14:paraId="158BAFA5" w14:textId="77777777" w:rsidR="00776D30" w:rsidRPr="00AD39F2" w:rsidRDefault="00776D30" w:rsidP="00AD39F2">
      <w:pPr>
        <w:spacing w:line="240" w:lineRule="auto"/>
        <w:ind w:left="567" w:right="567"/>
        <w:contextualSpacing/>
        <w:rPr>
          <w:i/>
          <w:kern w:val="28"/>
          <w:szCs w:val="56"/>
          <w:lang w:eastAsia="es-MX"/>
        </w:rPr>
      </w:pPr>
      <w:r w:rsidRPr="00AD39F2">
        <w:rPr>
          <w:i/>
          <w:kern w:val="28"/>
          <w:szCs w:val="56"/>
          <w:lang w:eastAsia="es-MX"/>
        </w:rPr>
        <w:t>“</w:t>
      </w:r>
      <w:r w:rsidRPr="00AD39F2">
        <w:rPr>
          <w:b/>
          <w:i/>
          <w:kern w:val="28"/>
          <w:szCs w:val="56"/>
          <w:lang w:eastAsia="es-MX"/>
        </w:rPr>
        <w:t>PLAZO RAZONABLE PARA RESOLVER. DIMENSIÓN Y EFECTOS DE ESTE CONCEPTO CUANDO SE ADUCE EXCESIVA CARGA DE TRABAJO</w:t>
      </w:r>
      <w:r w:rsidRPr="00AD39F2">
        <w:rPr>
          <w:i/>
          <w:kern w:val="28"/>
          <w:szCs w:val="56"/>
          <w:lang w:eastAsia="es-MX"/>
        </w:rPr>
        <w:t xml:space="preserve">.” </w:t>
      </w:r>
      <w:r w:rsidRPr="00AD39F2">
        <w:rPr>
          <w:i/>
          <w:kern w:val="28"/>
          <w:szCs w:val="56"/>
          <w:lang w:eastAsia="es-MX"/>
        </w:rPr>
        <w:lastRenderedPageBreak/>
        <w:t>consultable en el Seminario Judicial de la Federación y su gaceta, con el registro digital 2002351.</w:t>
      </w:r>
    </w:p>
    <w:p w14:paraId="2ADDFA6D" w14:textId="77777777" w:rsidR="00776D30" w:rsidRPr="00AD39F2" w:rsidRDefault="00776D30" w:rsidP="00AD39F2">
      <w:pPr>
        <w:ind w:left="851" w:right="616"/>
        <w:rPr>
          <w:rFonts w:cs="Arial"/>
          <w:i/>
          <w:lang w:eastAsia="es-MX"/>
        </w:rPr>
      </w:pPr>
    </w:p>
    <w:p w14:paraId="20DCE4E4" w14:textId="77777777" w:rsidR="00776D30" w:rsidRPr="00AD39F2" w:rsidRDefault="00776D30" w:rsidP="00AD39F2">
      <w:pPr>
        <w:spacing w:line="240" w:lineRule="auto"/>
        <w:ind w:left="567" w:right="567"/>
        <w:contextualSpacing/>
        <w:rPr>
          <w:rFonts w:cs="Arial"/>
          <w:kern w:val="28"/>
          <w:szCs w:val="56"/>
          <w:lang w:eastAsia="es-MX"/>
        </w:rPr>
      </w:pPr>
      <w:r w:rsidRPr="00AD39F2">
        <w:rPr>
          <w:rFonts w:cs="Arial"/>
          <w:i/>
          <w:kern w:val="28"/>
          <w:szCs w:val="56"/>
          <w:lang w:eastAsia="es-MX"/>
        </w:rPr>
        <w:t>“</w:t>
      </w:r>
      <w:r w:rsidRPr="00AD39F2">
        <w:rPr>
          <w:rFonts w:cs="Arial"/>
          <w:b/>
          <w:i/>
          <w:kern w:val="28"/>
          <w:szCs w:val="56"/>
          <w:lang w:eastAsia="es-MX"/>
        </w:rPr>
        <w:t xml:space="preserve">PLAZO RAZONABLE </w:t>
      </w:r>
      <w:r w:rsidRPr="00AD39F2">
        <w:rPr>
          <w:b/>
          <w:i/>
          <w:kern w:val="28"/>
          <w:szCs w:val="56"/>
          <w:lang w:eastAsia="es-MX"/>
        </w:rPr>
        <w:t>PARA</w:t>
      </w:r>
      <w:r w:rsidRPr="00AD39F2">
        <w:rPr>
          <w:rFonts w:cs="Arial"/>
          <w:b/>
          <w:i/>
          <w:kern w:val="28"/>
          <w:szCs w:val="56"/>
          <w:lang w:eastAsia="es-MX"/>
        </w:rPr>
        <w:t xml:space="preserve"> RESOLVER. CONCEPTO Y ELEMENTOS QUE LO INTEGRAN A LA LUZ DEL DERECHO INTERNACIONAL DE LOS DERECHOS HUMANOS</w:t>
      </w:r>
      <w:r w:rsidRPr="00AD39F2">
        <w:rPr>
          <w:rFonts w:cs="Arial"/>
          <w:i/>
          <w:kern w:val="28"/>
          <w:szCs w:val="56"/>
          <w:lang w:eastAsia="es-MX"/>
        </w:rPr>
        <w:t>.”, visible en el Seminario Judicial de la Federación y su gaceta, con el registro digital 2002350.</w:t>
      </w:r>
    </w:p>
    <w:p w14:paraId="5545C8A2" w14:textId="77777777" w:rsidR="00776D30" w:rsidRPr="00AD39F2" w:rsidRDefault="00776D30" w:rsidP="00AD39F2">
      <w:pPr>
        <w:rPr>
          <w:rFonts w:cs="Arial"/>
          <w:lang w:eastAsia="es-MX"/>
        </w:rPr>
      </w:pPr>
    </w:p>
    <w:p w14:paraId="712EC577" w14:textId="77777777" w:rsidR="00776D30" w:rsidRPr="00AD39F2" w:rsidRDefault="00776D30" w:rsidP="00AD39F2">
      <w:pPr>
        <w:rPr>
          <w:rFonts w:cs="Arial"/>
          <w:lang w:eastAsia="es-MX"/>
        </w:rPr>
      </w:pPr>
      <w:r w:rsidRPr="00AD39F2">
        <w:rPr>
          <w:rFonts w:cs="Arial"/>
          <w:lang w:eastAsia="es-MX"/>
        </w:rPr>
        <w:t xml:space="preserve">Por ello, este organismo garante </w:t>
      </w:r>
      <w:r w:rsidRPr="00AD39F2">
        <w:rPr>
          <w:rFonts w:cs="Tahoma"/>
          <w:szCs w:val="22"/>
        </w:rPr>
        <w:t>comprometido</w:t>
      </w:r>
      <w:r w:rsidRPr="00AD39F2">
        <w:rPr>
          <w:rFonts w:cs="Arial"/>
          <w:lang w:eastAsia="es-MX"/>
        </w:rPr>
        <w:t xml:space="preserve"> con la tutela de los derechos humanos confiados señala que este exceso del plazo legal para resolver el asunto resulta de carácter excepcional.</w:t>
      </w:r>
    </w:p>
    <w:p w14:paraId="2A98BED2" w14:textId="77777777" w:rsidR="0042630F" w:rsidRPr="00AD39F2" w:rsidRDefault="0042630F" w:rsidP="00AD39F2">
      <w:pPr>
        <w:rPr>
          <w:rFonts w:eastAsia="Arial Unicode MS" w:cs="Arial"/>
        </w:rPr>
      </w:pPr>
    </w:p>
    <w:p w14:paraId="0E651988" w14:textId="19324016" w:rsidR="00664420" w:rsidRPr="00AD39F2" w:rsidRDefault="001C2FFF" w:rsidP="00AD39F2">
      <w:pPr>
        <w:pStyle w:val="Ttulo3"/>
      </w:pPr>
      <w:bookmarkStart w:id="15" w:name="_Toc200539197"/>
      <w:r w:rsidRPr="00AD39F2">
        <w:t>g</w:t>
      </w:r>
      <w:r w:rsidR="00664420" w:rsidRPr="00AD39F2">
        <w:t>) Cierre de instrucción</w:t>
      </w:r>
      <w:bookmarkEnd w:id="15"/>
    </w:p>
    <w:p w14:paraId="79AF95DC" w14:textId="5A94D2F1" w:rsidR="00664420" w:rsidRPr="00AD39F2" w:rsidRDefault="00BF091A" w:rsidP="00AD39F2">
      <w:r w:rsidRPr="00AD39F2">
        <w:rPr>
          <w:rFonts w:cs="Tahoma"/>
          <w:szCs w:val="22"/>
        </w:rPr>
        <w:t>Al no existir diligencias pendientes por desahogar</w:t>
      </w:r>
      <w:r w:rsidRPr="00AD39F2">
        <w:rPr>
          <w:rFonts w:cs="Arial"/>
        </w:rPr>
        <w:t xml:space="preserve">, el </w:t>
      </w:r>
      <w:r w:rsidR="00CA580F" w:rsidRPr="00AD39F2">
        <w:rPr>
          <w:rFonts w:cs="Arial"/>
          <w:b/>
        </w:rPr>
        <w:t>diez de junio</w:t>
      </w:r>
      <w:r w:rsidR="001C2FFF" w:rsidRPr="00AD39F2">
        <w:rPr>
          <w:rFonts w:cs="Arial"/>
          <w:b/>
        </w:rPr>
        <w:t xml:space="preserve"> de dos mil veinticinco</w:t>
      </w:r>
      <w:r w:rsidRPr="00AD39F2">
        <w:rPr>
          <w:rFonts w:cs="Arial"/>
        </w:rPr>
        <w:t xml:space="preserve"> la </w:t>
      </w:r>
      <w:r w:rsidRPr="00AD39F2">
        <w:rPr>
          <w:rFonts w:cs="Arial"/>
          <w:b/>
          <w:bCs/>
        </w:rPr>
        <w:t xml:space="preserve">Comisionada </w:t>
      </w:r>
      <w:r w:rsidRPr="00AD39F2">
        <w:rPr>
          <w:b/>
        </w:rPr>
        <w:t xml:space="preserve">Sharon Cristina Morales Martínez </w:t>
      </w:r>
      <w:r w:rsidRPr="00AD39F2">
        <w:rPr>
          <w:rFonts w:cs="Arial"/>
        </w:rPr>
        <w:t>acordó el cierre de instrucción</w:t>
      </w:r>
      <w:r w:rsidR="0011350D" w:rsidRPr="00AD39F2">
        <w:rPr>
          <w:rFonts w:cs="Arial"/>
        </w:rPr>
        <w:t xml:space="preserve"> y</w:t>
      </w:r>
      <w:r w:rsidRPr="00AD39F2">
        <w:rPr>
          <w:rFonts w:cs="Arial"/>
        </w:rPr>
        <w:t xml:space="preserve"> </w:t>
      </w:r>
      <w:r w:rsidR="0011350D" w:rsidRPr="00AD39F2">
        <w:rPr>
          <w:rFonts w:cs="Arial"/>
        </w:rPr>
        <w:t xml:space="preserve">la </w:t>
      </w:r>
      <w:r w:rsidRPr="00AD39F2">
        <w:rPr>
          <w:rFonts w:cs="Arial"/>
        </w:rPr>
        <w:t>remisión del expediente a efecto de ser resuelto, de conformidad con lo establecido en el artículo 185 fracciones VI y VIII de la Ley de Transparencia y Acceso a la Información Pública del Estado de México y Municipios</w:t>
      </w:r>
      <w:r w:rsidRPr="00AD39F2">
        <w:t>.</w:t>
      </w:r>
      <w:r w:rsidR="0011350D" w:rsidRPr="00AD39F2">
        <w:t xml:space="preserve"> Dicho acuerdo </w:t>
      </w:r>
      <w:r w:rsidR="00664420" w:rsidRPr="00AD39F2">
        <w:rPr>
          <w:rFonts w:cs="Tahoma"/>
          <w:szCs w:val="22"/>
        </w:rPr>
        <w:t xml:space="preserve">fue notificado a las partes el mismo día a través del </w:t>
      </w:r>
      <w:r w:rsidR="00664420" w:rsidRPr="00AD39F2">
        <w:rPr>
          <w:rFonts w:cs="Tahoma"/>
          <w:szCs w:val="22"/>
          <w:lang w:val="es-ES"/>
        </w:rPr>
        <w:t>SAIMEX</w:t>
      </w:r>
      <w:r w:rsidR="00664420" w:rsidRPr="00AD39F2">
        <w:rPr>
          <w:rFonts w:cs="Tahoma"/>
          <w:szCs w:val="22"/>
        </w:rPr>
        <w:t>.</w:t>
      </w:r>
    </w:p>
    <w:p w14:paraId="741683E3" w14:textId="77777777" w:rsidR="0011350D" w:rsidRPr="00AD39F2" w:rsidRDefault="0011350D" w:rsidP="00AD39F2">
      <w:pPr>
        <w:rPr>
          <w:rFonts w:cs="Tahoma"/>
          <w:szCs w:val="22"/>
        </w:rPr>
      </w:pPr>
    </w:p>
    <w:p w14:paraId="6DD1243B" w14:textId="216E2540" w:rsidR="00664420" w:rsidRPr="00AD39F2" w:rsidRDefault="00664420" w:rsidP="00AD39F2">
      <w:pPr>
        <w:pStyle w:val="Ttulo1"/>
        <w:rPr>
          <w:rFonts w:eastAsiaTheme="minorHAnsi"/>
          <w:lang w:eastAsia="en-US"/>
        </w:rPr>
      </w:pPr>
      <w:bookmarkStart w:id="16" w:name="_Toc200539198"/>
      <w:r w:rsidRPr="00AD39F2">
        <w:rPr>
          <w:rFonts w:eastAsiaTheme="minorHAnsi"/>
          <w:lang w:eastAsia="en-US"/>
        </w:rPr>
        <w:t>CONSIDERANDOS</w:t>
      </w:r>
      <w:bookmarkEnd w:id="16"/>
    </w:p>
    <w:p w14:paraId="0B67CB92" w14:textId="2E307D3B" w:rsidR="00664420" w:rsidRPr="00AD39F2" w:rsidRDefault="00664420" w:rsidP="00AD39F2">
      <w:pPr>
        <w:pStyle w:val="Ttulo2"/>
        <w:rPr>
          <w:rFonts w:eastAsia="Batang"/>
        </w:rPr>
      </w:pPr>
      <w:bookmarkStart w:id="17" w:name="_Toc200539199"/>
      <w:r w:rsidRPr="00AD39F2">
        <w:rPr>
          <w:rFonts w:eastAsia="Batang"/>
        </w:rPr>
        <w:t xml:space="preserve">PRIMERO. </w:t>
      </w:r>
      <w:r w:rsidR="00BA55A8" w:rsidRPr="00AD39F2">
        <w:rPr>
          <w:rFonts w:eastAsia="Batang"/>
        </w:rPr>
        <w:t>Procedibilidad</w:t>
      </w:r>
      <w:bookmarkEnd w:id="17"/>
    </w:p>
    <w:p w14:paraId="39C52BC1" w14:textId="56FCC20D" w:rsidR="00BA55A8" w:rsidRPr="00AD39F2" w:rsidRDefault="00BA55A8" w:rsidP="00AD39F2">
      <w:pPr>
        <w:pStyle w:val="Ttulo3"/>
      </w:pPr>
      <w:bookmarkStart w:id="18" w:name="_Toc200539200"/>
      <w:r w:rsidRPr="00AD39F2">
        <w:t>a) Competencia</w:t>
      </w:r>
      <w:r w:rsidR="00150C49" w:rsidRPr="00AD39F2">
        <w:t xml:space="preserve"> del Instituto</w:t>
      </w:r>
      <w:bookmarkEnd w:id="18"/>
    </w:p>
    <w:p w14:paraId="56E64942" w14:textId="7C95551B" w:rsidR="0011350D" w:rsidRPr="00AD39F2" w:rsidRDefault="0011350D" w:rsidP="00AD39F2">
      <w:pPr>
        <w:rPr>
          <w:rFonts w:cs="Arial"/>
        </w:rPr>
      </w:pPr>
      <w:r w:rsidRPr="00AD39F2">
        <w:t xml:space="preserve">Este Instituto de Transparencia, Acceso a la Información Pública y Protección de Datos Personales del Estado de México y Municipios es competente para conocer y resolver </w:t>
      </w:r>
      <w:r w:rsidR="005F65B7" w:rsidRPr="00AD39F2">
        <w:t xml:space="preserve">el </w:t>
      </w:r>
      <w:r w:rsidRPr="00AD39F2">
        <w:t xml:space="preserve">presente Recurso de Revisión, conforme a lo dispuesto en los artículos 6, Apartado A de la Constitución Política de los Estados Unidos Mexicanos; 5, párrafos </w:t>
      </w:r>
      <w:r w:rsidR="001C2FFF" w:rsidRPr="00AD39F2">
        <w:t xml:space="preserve">trigésimo séptimo,  </w:t>
      </w:r>
      <w:r w:rsidR="001C2FFF" w:rsidRPr="00AD39F2">
        <w:lastRenderedPageBreak/>
        <w:t>trigésimo octavo y trigésimo noveno</w:t>
      </w:r>
      <w:r w:rsidRPr="00AD39F2">
        <w:t>,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AD39F2">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AD39F2" w:rsidRDefault="00DB1C09" w:rsidP="00AD39F2">
      <w:pPr>
        <w:rPr>
          <w:rFonts w:cs="Arial"/>
        </w:rPr>
      </w:pPr>
    </w:p>
    <w:p w14:paraId="517A2DD6" w14:textId="4169BE4D" w:rsidR="00664420" w:rsidRPr="00AD39F2" w:rsidRDefault="00BA55A8" w:rsidP="00AD39F2">
      <w:pPr>
        <w:pStyle w:val="Ttulo3"/>
      </w:pPr>
      <w:bookmarkStart w:id="19" w:name="_Toc200539201"/>
      <w:r w:rsidRPr="00AD39F2">
        <w:t>b)</w:t>
      </w:r>
      <w:r w:rsidR="00664420" w:rsidRPr="00AD39F2">
        <w:t xml:space="preserve"> </w:t>
      </w:r>
      <w:r w:rsidR="00D91CB4" w:rsidRPr="00AD39F2">
        <w:t>Legitimidad</w:t>
      </w:r>
      <w:r w:rsidRPr="00AD39F2">
        <w:t xml:space="preserve"> de la parte recurrente</w:t>
      </w:r>
      <w:bookmarkEnd w:id="19"/>
    </w:p>
    <w:p w14:paraId="26FEA382" w14:textId="0B06695C" w:rsidR="00D91CB4" w:rsidRPr="00AD39F2" w:rsidRDefault="00D91CB4" w:rsidP="00AD39F2">
      <w:pPr>
        <w:rPr>
          <w:rFonts w:cs="Arial"/>
          <w:bCs/>
        </w:rPr>
      </w:pPr>
      <w:r w:rsidRPr="00AD39F2">
        <w:rPr>
          <w:rFonts w:cs="Arial"/>
          <w:bCs/>
        </w:rPr>
        <w:t>El recurso de revisión fue interpuesto por parte legítima, ya que se presentó por la misma persona que formuló la solicitud de acceso a la Información Pública,</w:t>
      </w:r>
      <w:r w:rsidRPr="00AD39F2">
        <w:rPr>
          <w:rFonts w:cs="Arial"/>
          <w:b/>
          <w:bCs/>
        </w:rPr>
        <w:t xml:space="preserve"> </w:t>
      </w:r>
      <w:r w:rsidRPr="00AD39F2">
        <w:rPr>
          <w:rFonts w:cs="Arial"/>
        </w:rPr>
        <w:t>debido a que los datos de acceso</w:t>
      </w:r>
      <w:r w:rsidRPr="00AD39F2">
        <w:rPr>
          <w:rFonts w:cs="Arial"/>
          <w:b/>
          <w:bCs/>
        </w:rPr>
        <w:t xml:space="preserve"> </w:t>
      </w:r>
      <w:r w:rsidRPr="00AD39F2">
        <w:rPr>
          <w:rFonts w:cs="Arial"/>
        </w:rPr>
        <w:t>SAIMEX</w:t>
      </w:r>
      <w:r w:rsidRPr="00AD39F2">
        <w:rPr>
          <w:rFonts w:eastAsia="Calibri" w:cs="Arial"/>
          <w:lang w:eastAsia="en-US"/>
        </w:rPr>
        <w:t xml:space="preserve"> son personales e irrepetibles.</w:t>
      </w:r>
    </w:p>
    <w:p w14:paraId="2C367810" w14:textId="77777777" w:rsidR="00D91CB4" w:rsidRPr="00AD39F2" w:rsidRDefault="00D91CB4" w:rsidP="00AD39F2"/>
    <w:p w14:paraId="496490FC" w14:textId="1A5F3FDB" w:rsidR="00D91CB4" w:rsidRPr="00AD39F2" w:rsidRDefault="00BA55A8" w:rsidP="00AD39F2">
      <w:pPr>
        <w:pStyle w:val="Ttulo3"/>
        <w:rPr>
          <w:rFonts w:eastAsia="Calibri"/>
          <w:lang w:eastAsia="es-ES_tradnl"/>
        </w:rPr>
      </w:pPr>
      <w:bookmarkStart w:id="20" w:name="_Toc200539202"/>
      <w:r w:rsidRPr="00AD39F2">
        <w:rPr>
          <w:rFonts w:eastAsia="Calibri"/>
          <w:lang w:eastAsia="es-ES_tradnl"/>
        </w:rPr>
        <w:t>c)</w:t>
      </w:r>
      <w:r w:rsidR="00664420" w:rsidRPr="00AD39F2">
        <w:rPr>
          <w:rFonts w:eastAsia="Calibri"/>
          <w:lang w:eastAsia="es-ES_tradnl"/>
        </w:rPr>
        <w:t xml:space="preserve"> </w:t>
      </w:r>
      <w:r w:rsidR="00D91CB4" w:rsidRPr="00AD39F2">
        <w:rPr>
          <w:rFonts w:eastAsia="Calibri"/>
          <w:lang w:eastAsia="es-ES_tradnl"/>
        </w:rPr>
        <w:t>Plazo para interponer el recurso</w:t>
      </w:r>
      <w:bookmarkEnd w:id="20"/>
    </w:p>
    <w:p w14:paraId="4401C43D" w14:textId="1A02ADCB" w:rsidR="00B668F1" w:rsidRPr="00AD39F2" w:rsidRDefault="00B668F1" w:rsidP="00AD39F2">
      <w:pPr>
        <w:rPr>
          <w:rFonts w:eastAsia="Calibri"/>
          <w:lang w:eastAsia="es-ES_tradnl"/>
        </w:rPr>
      </w:pPr>
      <w:r w:rsidRPr="00AD39F2">
        <w:rPr>
          <w:rFonts w:cs="Arial"/>
          <w:b/>
        </w:rPr>
        <w:t>EL SUJETO OBLIGADO</w:t>
      </w:r>
      <w:r w:rsidRPr="00AD39F2">
        <w:rPr>
          <w:rFonts w:cs="Arial"/>
        </w:rPr>
        <w:t xml:space="preserve"> notificó la respuesta a la solicitud de acceso a la Información Pública el </w:t>
      </w:r>
      <w:r w:rsidR="00CA580F" w:rsidRPr="00AD39F2">
        <w:rPr>
          <w:rFonts w:eastAsia="Palatino Linotype" w:cs="Palatino Linotype"/>
          <w:b/>
        </w:rPr>
        <w:t>doce de marzo</w:t>
      </w:r>
      <w:r w:rsidR="001C2FFF" w:rsidRPr="00AD39F2">
        <w:rPr>
          <w:rFonts w:eastAsia="Palatino Linotype" w:cs="Palatino Linotype"/>
          <w:b/>
        </w:rPr>
        <w:t xml:space="preserve"> de dos mil veinticinco</w:t>
      </w:r>
      <w:r w:rsidRPr="00AD39F2">
        <w:rPr>
          <w:rFonts w:cs="Arial"/>
        </w:rPr>
        <w:t xml:space="preserve"> y el recurso </w:t>
      </w:r>
      <w:r w:rsidRPr="00AD39F2">
        <w:rPr>
          <w:rFonts w:eastAsia="Palatino Linotype" w:cs="Palatino Linotype"/>
        </w:rPr>
        <w:t xml:space="preserve">que nos ocupa se interpuso el </w:t>
      </w:r>
      <w:r w:rsidR="00CA580F" w:rsidRPr="00AD39F2">
        <w:rPr>
          <w:rFonts w:eastAsia="Palatino Linotype" w:cs="Palatino Linotype"/>
          <w:b/>
        </w:rPr>
        <w:t>diecisiete de marzo</w:t>
      </w:r>
      <w:r w:rsidR="001C2FFF" w:rsidRPr="00AD39F2">
        <w:rPr>
          <w:rFonts w:eastAsia="Palatino Linotype" w:cs="Palatino Linotype"/>
          <w:b/>
        </w:rPr>
        <w:t xml:space="preserve"> de dos mil veinticinco</w:t>
      </w:r>
      <w:r w:rsidRPr="00AD39F2">
        <w:rPr>
          <w:rFonts w:eastAsia="Palatino Linotype" w:cs="Palatino Linotype"/>
          <w:bCs/>
        </w:rPr>
        <w:t>;</w:t>
      </w:r>
      <w:r w:rsidRPr="00AD39F2">
        <w:rPr>
          <w:rFonts w:eastAsia="Palatino Linotype" w:cs="Palatino Linotype"/>
        </w:rPr>
        <w:t xml:space="preserve"> por lo tanto, éste se encuentra dentro del margen temporal previsto en el artículo 178 de la </w:t>
      </w:r>
      <w:r w:rsidRPr="00AD39F2">
        <w:rPr>
          <w:rFonts w:cs="Arial"/>
        </w:rPr>
        <w:t>Ley de Transparencia y Acceso a la Información Pública del Estado de México y Municipios</w:t>
      </w:r>
      <w:r w:rsidRPr="00AD39F2">
        <w:rPr>
          <w:rFonts w:eastAsiaTheme="minorEastAsia" w:cs="Arial"/>
          <w:lang w:val="es-ES_tradnl"/>
        </w:rPr>
        <w:t>.</w:t>
      </w:r>
    </w:p>
    <w:p w14:paraId="49076992" w14:textId="77777777" w:rsidR="00D91CB4" w:rsidRPr="00AD39F2" w:rsidRDefault="00D91CB4" w:rsidP="00AD39F2">
      <w:pPr>
        <w:rPr>
          <w:rFonts w:eastAsia="Palatino Linotype" w:cs="Palatino Linotype"/>
        </w:rPr>
      </w:pPr>
    </w:p>
    <w:p w14:paraId="46C0EB3A" w14:textId="09871D7B" w:rsidR="00A53315" w:rsidRPr="00AD39F2" w:rsidRDefault="00BA55A8" w:rsidP="00AD39F2">
      <w:pPr>
        <w:pStyle w:val="Ttulo3"/>
        <w:rPr>
          <w:rFonts w:eastAsia="Calibri"/>
          <w:lang w:eastAsia="es-ES_tradnl"/>
        </w:rPr>
      </w:pPr>
      <w:bookmarkStart w:id="21" w:name="_Toc200539203"/>
      <w:r w:rsidRPr="00AD39F2">
        <w:rPr>
          <w:rFonts w:eastAsia="Calibri"/>
          <w:lang w:eastAsia="es-ES_tradnl"/>
        </w:rPr>
        <w:t>d)</w:t>
      </w:r>
      <w:r w:rsidR="00D91CB4" w:rsidRPr="00AD39F2">
        <w:rPr>
          <w:rFonts w:eastAsia="Calibri"/>
          <w:lang w:eastAsia="es-ES_tradnl"/>
        </w:rPr>
        <w:t xml:space="preserve"> </w:t>
      </w:r>
      <w:r w:rsidR="0042630F" w:rsidRPr="00AD39F2">
        <w:rPr>
          <w:rFonts w:eastAsia="Calibri"/>
          <w:lang w:eastAsia="es-ES_tradnl"/>
        </w:rPr>
        <w:t>Causal de procedencia</w:t>
      </w:r>
      <w:bookmarkEnd w:id="21"/>
    </w:p>
    <w:p w14:paraId="190404A6" w14:textId="41CC09E2" w:rsidR="00BA55A8" w:rsidRPr="00AD39F2" w:rsidRDefault="00BA55A8" w:rsidP="00AD39F2">
      <w:r w:rsidRPr="00AD39F2">
        <w:rPr>
          <w:rFonts w:cs="Arial"/>
        </w:rPr>
        <w:t xml:space="preserve">Resulta procedente la interposición del recurso de revisión, ya que </w:t>
      </w:r>
      <w:r w:rsidRPr="00AD39F2">
        <w:rPr>
          <w:rFonts w:eastAsia="Calibri" w:cs="Tahoma"/>
          <w:szCs w:val="22"/>
          <w:lang w:eastAsia="es-MX"/>
        </w:rPr>
        <w:t xml:space="preserve">se actualiza la causal de procedencia señalada en el artículo 179, fracción </w:t>
      </w:r>
      <w:r w:rsidR="00092F34" w:rsidRPr="00AD39F2">
        <w:rPr>
          <w:rFonts w:eastAsia="Calibri" w:cs="Tahoma"/>
          <w:szCs w:val="22"/>
          <w:lang w:eastAsia="es-MX"/>
        </w:rPr>
        <w:t>V</w:t>
      </w:r>
      <w:r w:rsidR="0042630F" w:rsidRPr="00AD39F2">
        <w:rPr>
          <w:rFonts w:eastAsia="Calibri" w:cs="Tahoma"/>
          <w:szCs w:val="22"/>
          <w:lang w:eastAsia="es-MX"/>
        </w:rPr>
        <w:t xml:space="preserve"> </w:t>
      </w:r>
      <w:r w:rsidRPr="00AD39F2">
        <w:rPr>
          <w:rFonts w:cs="Arial"/>
        </w:rPr>
        <w:t xml:space="preserve">de la </w:t>
      </w:r>
      <w:r w:rsidRPr="00AD39F2">
        <w:t>Ley de Transparencia y Acceso a la Información Pública del Estado de México y Municipios.</w:t>
      </w:r>
    </w:p>
    <w:p w14:paraId="0EFF7141" w14:textId="77777777" w:rsidR="00362A11" w:rsidRPr="00AD39F2" w:rsidRDefault="00362A11" w:rsidP="00AD39F2"/>
    <w:p w14:paraId="2284D7EB" w14:textId="3EE1D036" w:rsidR="00BA55A8" w:rsidRPr="00AD39F2" w:rsidRDefault="00362A11" w:rsidP="00AD39F2">
      <w:pPr>
        <w:pStyle w:val="Ttulo3"/>
      </w:pPr>
      <w:bookmarkStart w:id="22" w:name="_Toc200539204"/>
      <w:r w:rsidRPr="00AD39F2">
        <w:lastRenderedPageBreak/>
        <w:t>e) Requisitos formales para la interposición del recurso</w:t>
      </w:r>
      <w:bookmarkEnd w:id="22"/>
    </w:p>
    <w:p w14:paraId="57BDB523" w14:textId="5D8B13F8" w:rsidR="00B668F1" w:rsidRPr="00AD39F2" w:rsidRDefault="00BA55A8" w:rsidP="00AD39F2">
      <w:pPr>
        <w:rPr>
          <w:rFonts w:cs="Arial"/>
        </w:rPr>
      </w:pPr>
      <w:r w:rsidRPr="00AD39F2">
        <w:rPr>
          <w:rFonts w:cs="Arial"/>
          <w:b/>
          <w:bCs/>
        </w:rPr>
        <w:t xml:space="preserve">LA PARTE RECURRENTE </w:t>
      </w:r>
      <w:r w:rsidRPr="00AD39F2">
        <w:rPr>
          <w:rFonts w:cs="Arial"/>
        </w:rPr>
        <w:t>acreditó todos y cada uno de los elementos formales exigidos por el artículo 180 de la misma normatividad.</w:t>
      </w:r>
    </w:p>
    <w:p w14:paraId="55925252" w14:textId="77777777" w:rsidR="0042630F" w:rsidRPr="00AD39F2" w:rsidRDefault="0042630F" w:rsidP="00AD39F2">
      <w:pPr>
        <w:rPr>
          <w:rFonts w:cs="Arial"/>
        </w:rPr>
      </w:pPr>
    </w:p>
    <w:p w14:paraId="7194B5A7" w14:textId="77777777" w:rsidR="00776D30" w:rsidRPr="00AD39F2" w:rsidRDefault="00776D30" w:rsidP="00AD39F2">
      <w:pPr>
        <w:rPr>
          <w:rFonts w:cs="Arial"/>
          <w:lang w:val="es-ES"/>
        </w:rPr>
      </w:pPr>
      <w:r w:rsidRPr="00AD39F2">
        <w:rPr>
          <w:lang w:val="es-ES"/>
        </w:rPr>
        <w:t xml:space="preserve">Sin embargo, es importante mencionar que, de la revisión de los expedientes electrónicos del </w:t>
      </w:r>
      <w:r w:rsidRPr="00AD39F2">
        <w:rPr>
          <w:b/>
          <w:bCs/>
          <w:lang w:val="es-ES"/>
        </w:rPr>
        <w:t>SAIMEX</w:t>
      </w:r>
      <w:r w:rsidRPr="00AD39F2">
        <w:rPr>
          <w:bCs/>
          <w:lang w:val="es-ES"/>
        </w:rPr>
        <w:t>,</w:t>
      </w:r>
      <w:r w:rsidRPr="00AD39F2">
        <w:rPr>
          <w:lang w:val="es-ES"/>
        </w:rPr>
        <w:t xml:space="preserve"> se observa que </w:t>
      </w:r>
      <w:r w:rsidRPr="00AD39F2">
        <w:rPr>
          <w:b/>
          <w:bCs/>
          <w:lang w:val="es-ES"/>
        </w:rPr>
        <w:t>LA PARTE RECURRENTE</w:t>
      </w:r>
      <w:r w:rsidRPr="00AD39F2">
        <w:rPr>
          <w:lang w:val="es-ES"/>
        </w:rPr>
        <w:t xml:space="preserve"> no proporcionó su nombre para ser identificado, lo que en estricto sentido provoca que </w:t>
      </w:r>
      <w:r w:rsidRPr="00AD39F2">
        <w:rPr>
          <w:rFonts w:cs="Arial"/>
          <w:lang w:val="es-ES"/>
        </w:rPr>
        <w:t>no</w:t>
      </w:r>
      <w:r w:rsidRPr="00AD39F2">
        <w:rPr>
          <w:lang w:val="es-ES"/>
        </w:rPr>
        <w:t xml:space="preserve"> se colmen los requisitos establecidos en el artículo 180 de la Ley de Transparencia; sin embargo, el artículo 15 de </w:t>
      </w:r>
      <w:r w:rsidRPr="00AD39F2">
        <w:rPr>
          <w:rFonts w:cs="Arial"/>
          <w:lang w:val="es-ES" w:eastAsia="es-MX"/>
        </w:rPr>
        <w:t xml:space="preserve">Ley de Transparencia y Acceso a la </w:t>
      </w:r>
      <w:r w:rsidRPr="00AD39F2">
        <w:rPr>
          <w:rFonts w:cs="Arial"/>
          <w:lang w:val="es-ES"/>
        </w:rPr>
        <w:t>Información</w:t>
      </w:r>
      <w:r w:rsidRPr="00AD39F2">
        <w:rPr>
          <w:rFonts w:cs="Arial"/>
          <w:lang w:val="es-ES" w:eastAsia="es-MX"/>
        </w:rPr>
        <w:t xml:space="preserve"> Pública del Estado de México y Municipios </w:t>
      </w:r>
      <w:r w:rsidRPr="00AD39F2">
        <w:rPr>
          <w:rFonts w:cs="Arial"/>
          <w:iCs/>
          <w:lang w:val="es-ES"/>
        </w:rPr>
        <w:t xml:space="preserve">prevé que </w:t>
      </w:r>
      <w:r w:rsidRPr="00AD39F2">
        <w:rPr>
          <w:lang w:val="es-ES"/>
        </w:rPr>
        <w:t xml:space="preserve">toda persona tendrá acceso a la información </w:t>
      </w:r>
      <w:r w:rsidRPr="00AD39F2">
        <w:rPr>
          <w:rFonts w:cs="Arial"/>
          <w:lang w:val="es-ES"/>
        </w:rPr>
        <w:t xml:space="preserve">sin necesidad de acreditar interés alguno o justificar su utilización, de lo que se infiere que </w:t>
      </w:r>
      <w:r w:rsidRPr="00AD39F2">
        <w:rPr>
          <w:rFonts w:cs="Arial"/>
          <w:b/>
          <w:u w:val="single"/>
          <w:lang w:val="es-ES"/>
        </w:rPr>
        <w:t xml:space="preserve">el nombre no es un requisito </w:t>
      </w:r>
      <w:r w:rsidRPr="00AD39F2">
        <w:rPr>
          <w:rFonts w:cs="Arial"/>
          <w:b/>
          <w:iCs/>
          <w:u w:val="single"/>
          <w:lang w:val="es-ES"/>
        </w:rPr>
        <w:t>indispensable</w:t>
      </w:r>
      <w:r w:rsidRPr="00AD39F2">
        <w:rPr>
          <w:rFonts w:cs="Arial"/>
          <w:lang w:val="es-ES"/>
        </w:rPr>
        <w:t xml:space="preserve"> para que las y los ciudadanos ejerzan el derecho de acceso a la información pública. </w:t>
      </w:r>
    </w:p>
    <w:p w14:paraId="7109C7CB" w14:textId="77777777" w:rsidR="00776D30" w:rsidRPr="00AD39F2" w:rsidRDefault="00776D30" w:rsidP="00AD39F2">
      <w:pPr>
        <w:rPr>
          <w:rFonts w:cs="Arial"/>
          <w:sz w:val="24"/>
          <w:szCs w:val="24"/>
          <w:lang w:val="es-ES"/>
        </w:rPr>
      </w:pPr>
    </w:p>
    <w:p w14:paraId="1F42A7F7" w14:textId="77777777" w:rsidR="00776D30" w:rsidRPr="00AD39F2" w:rsidRDefault="00776D30" w:rsidP="00AD39F2">
      <w:pPr>
        <w:rPr>
          <w:lang w:val="es-ES"/>
        </w:rPr>
      </w:pPr>
      <w:r w:rsidRPr="00AD39F2">
        <w:rPr>
          <w:lang w:val="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AD39F2">
        <w:rPr>
          <w:b/>
          <w:bCs/>
          <w:lang w:val="es-ES"/>
        </w:rPr>
        <w:t>LA PARTE RECURRENTE</w:t>
      </w:r>
      <w:r w:rsidRPr="00AD39F2">
        <w:rPr>
          <w:b/>
          <w:lang w:val="es-ES"/>
        </w:rPr>
        <w:t>;</w:t>
      </w:r>
      <w:r w:rsidRPr="00AD39F2">
        <w:rPr>
          <w:lang w:val="es-ES"/>
        </w:rPr>
        <w:t xml:space="preserve"> por lo que, en el presente caso, al haber sido presentado el recurso de revisión vía </w:t>
      </w:r>
      <w:r w:rsidRPr="00AD39F2">
        <w:rPr>
          <w:b/>
          <w:bCs/>
          <w:lang w:val="es-ES"/>
        </w:rPr>
        <w:t>SAIMEX</w:t>
      </w:r>
      <w:r w:rsidRPr="00AD39F2">
        <w:rPr>
          <w:lang w:val="es-ES"/>
        </w:rPr>
        <w:t>, dicho requisito resulta innecesario.</w:t>
      </w:r>
    </w:p>
    <w:p w14:paraId="642B70D6" w14:textId="77777777" w:rsidR="00776D30" w:rsidRPr="00AD39F2" w:rsidRDefault="00776D30" w:rsidP="00AD39F2">
      <w:pPr>
        <w:rPr>
          <w:rFonts w:cs="Arial"/>
        </w:rPr>
      </w:pPr>
    </w:p>
    <w:p w14:paraId="457548E9" w14:textId="3F7AF03B" w:rsidR="00C71CEF" w:rsidRPr="00AD39F2" w:rsidRDefault="00C71CEF" w:rsidP="00AD39F2">
      <w:pPr>
        <w:pStyle w:val="Ttulo2"/>
      </w:pPr>
      <w:bookmarkStart w:id="23" w:name="_Toc200539205"/>
      <w:r w:rsidRPr="00AD39F2">
        <w:lastRenderedPageBreak/>
        <w:t>SEGUNDO. Estudio de Fondo</w:t>
      </w:r>
      <w:bookmarkEnd w:id="23"/>
    </w:p>
    <w:p w14:paraId="2A308F59" w14:textId="0FF373F0" w:rsidR="00C049E2" w:rsidRPr="00AD39F2" w:rsidRDefault="00C71CEF" w:rsidP="00AD39F2">
      <w:pPr>
        <w:pStyle w:val="Ttulo3"/>
      </w:pPr>
      <w:bookmarkStart w:id="24" w:name="_Toc200539206"/>
      <w:r w:rsidRPr="00AD39F2">
        <w:t>a</w:t>
      </w:r>
      <w:r w:rsidR="00C049E2" w:rsidRPr="00AD39F2">
        <w:t>) Mandato de transparencia y responsabilidad del Sujeto Obligado</w:t>
      </w:r>
      <w:bookmarkEnd w:id="24"/>
    </w:p>
    <w:p w14:paraId="6901A889" w14:textId="59EEDAE1" w:rsidR="00C049E2" w:rsidRPr="00AD39F2" w:rsidRDefault="00C049E2" w:rsidP="00AD39F2">
      <w:pPr>
        <w:rPr>
          <w:rFonts w:eastAsia="Palatino Linotype"/>
        </w:rPr>
      </w:pPr>
      <w:r w:rsidRPr="00AD39F2">
        <w:rPr>
          <w:rFonts w:eastAsia="Palatino Linotype"/>
        </w:rPr>
        <w:t xml:space="preserve">El </w:t>
      </w:r>
      <w:r w:rsidR="00717E59" w:rsidRPr="00AD39F2">
        <w:rPr>
          <w:rFonts w:eastAsia="Palatino Linotype"/>
        </w:rPr>
        <w:t>d</w:t>
      </w:r>
      <w:r w:rsidRPr="00AD39F2">
        <w:rPr>
          <w:rFonts w:eastAsia="Palatino Linotype"/>
        </w:rPr>
        <w:t xml:space="preserve">erecho de </w:t>
      </w:r>
      <w:r w:rsidR="00717E59" w:rsidRPr="00AD39F2">
        <w:rPr>
          <w:rFonts w:eastAsia="Palatino Linotype"/>
        </w:rPr>
        <w:t>a</w:t>
      </w:r>
      <w:r w:rsidRPr="00AD39F2">
        <w:rPr>
          <w:rFonts w:eastAsia="Palatino Linotype"/>
        </w:rPr>
        <w:t xml:space="preserve">cceso a la </w:t>
      </w:r>
      <w:r w:rsidR="00717E59" w:rsidRPr="00AD39F2">
        <w:rPr>
          <w:rFonts w:eastAsia="Palatino Linotype"/>
        </w:rPr>
        <w:t>i</w:t>
      </w:r>
      <w:r w:rsidRPr="00AD39F2">
        <w:rPr>
          <w:rFonts w:eastAsia="Palatino Linotype"/>
        </w:rPr>
        <w:t xml:space="preserve">nformación </w:t>
      </w:r>
      <w:r w:rsidR="00717E59" w:rsidRPr="00AD39F2">
        <w:rPr>
          <w:rFonts w:eastAsia="Palatino Linotype"/>
        </w:rPr>
        <w:t>p</w:t>
      </w:r>
      <w:r w:rsidRPr="00AD39F2">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AD39F2">
        <w:rPr>
          <w:rFonts w:eastAsia="Palatino Linotype"/>
        </w:rPr>
        <w:t>:</w:t>
      </w:r>
    </w:p>
    <w:p w14:paraId="7FAB8D32" w14:textId="77777777" w:rsidR="00C049E2" w:rsidRPr="00AD39F2" w:rsidRDefault="00C049E2" w:rsidP="00AD39F2">
      <w:pPr>
        <w:rPr>
          <w:rFonts w:eastAsia="Palatino Linotype"/>
        </w:rPr>
      </w:pPr>
    </w:p>
    <w:p w14:paraId="05320813" w14:textId="77777777" w:rsidR="00C049E2" w:rsidRPr="00AD39F2" w:rsidRDefault="00C049E2" w:rsidP="00AD39F2">
      <w:pPr>
        <w:spacing w:line="240" w:lineRule="auto"/>
        <w:ind w:left="567" w:right="539"/>
        <w:rPr>
          <w:rFonts w:eastAsia="Palatino Linotype"/>
          <w:b/>
          <w:i/>
        </w:rPr>
      </w:pPr>
      <w:r w:rsidRPr="00AD39F2">
        <w:rPr>
          <w:rFonts w:eastAsia="Palatino Linotype"/>
          <w:b/>
          <w:i/>
        </w:rPr>
        <w:t>Constitución Política de los Estados Unidos Mexicanos</w:t>
      </w:r>
    </w:p>
    <w:p w14:paraId="6B6C67B6" w14:textId="77777777" w:rsidR="00C049E2" w:rsidRPr="00AD39F2" w:rsidRDefault="00C049E2" w:rsidP="00AD39F2">
      <w:pPr>
        <w:spacing w:line="240" w:lineRule="auto"/>
        <w:ind w:left="567" w:right="539"/>
        <w:rPr>
          <w:rFonts w:eastAsia="Palatino Linotype"/>
          <w:b/>
          <w:i/>
        </w:rPr>
      </w:pPr>
      <w:r w:rsidRPr="00AD39F2">
        <w:rPr>
          <w:rFonts w:eastAsia="Palatino Linotype"/>
          <w:b/>
          <w:i/>
        </w:rPr>
        <w:t>“Artículo 6.</w:t>
      </w:r>
    </w:p>
    <w:p w14:paraId="38D3B4C4" w14:textId="77777777" w:rsidR="00C049E2" w:rsidRPr="00AD39F2" w:rsidRDefault="00C049E2" w:rsidP="00AD39F2">
      <w:pPr>
        <w:spacing w:line="240" w:lineRule="auto"/>
        <w:ind w:left="567" w:right="539"/>
        <w:rPr>
          <w:rFonts w:eastAsia="Palatino Linotype"/>
          <w:i/>
        </w:rPr>
      </w:pPr>
      <w:r w:rsidRPr="00AD39F2">
        <w:rPr>
          <w:rFonts w:eastAsia="Palatino Linotype"/>
          <w:i/>
        </w:rPr>
        <w:t>(…)</w:t>
      </w:r>
    </w:p>
    <w:p w14:paraId="2CCAA297" w14:textId="6602827B" w:rsidR="00C049E2" w:rsidRPr="00AD39F2" w:rsidRDefault="00C049E2" w:rsidP="00AD39F2">
      <w:pPr>
        <w:spacing w:line="240" w:lineRule="auto"/>
        <w:ind w:left="567" w:right="539"/>
        <w:rPr>
          <w:rFonts w:eastAsia="Palatino Linotype"/>
          <w:i/>
        </w:rPr>
      </w:pPr>
      <w:r w:rsidRPr="00AD39F2">
        <w:rPr>
          <w:rFonts w:eastAsia="Palatino Linotype"/>
          <w:i/>
        </w:rPr>
        <w:t>Para efectos de lo dispuesto en el presente artículo se observará lo siguiente:</w:t>
      </w:r>
    </w:p>
    <w:p w14:paraId="74CC3718" w14:textId="77777777" w:rsidR="00C049E2" w:rsidRPr="00AD39F2" w:rsidRDefault="00C049E2" w:rsidP="00AD39F2">
      <w:pPr>
        <w:spacing w:line="240" w:lineRule="auto"/>
        <w:ind w:left="567" w:right="539"/>
        <w:rPr>
          <w:rFonts w:eastAsia="Palatino Linotype"/>
          <w:b/>
          <w:i/>
        </w:rPr>
      </w:pPr>
      <w:r w:rsidRPr="00AD39F2">
        <w:rPr>
          <w:rFonts w:eastAsia="Palatino Linotype"/>
          <w:b/>
          <w:i/>
        </w:rPr>
        <w:t>A</w:t>
      </w:r>
      <w:r w:rsidRPr="00AD39F2">
        <w:rPr>
          <w:rFonts w:eastAsia="Palatino Linotype"/>
          <w:i/>
        </w:rPr>
        <w:t xml:space="preserve">. </w:t>
      </w:r>
      <w:r w:rsidRPr="00AD39F2">
        <w:rPr>
          <w:rFonts w:eastAsia="Palatino Linotype"/>
          <w:b/>
          <w:i/>
        </w:rPr>
        <w:t>Para el ejercicio del derecho de acceso a la información</w:t>
      </w:r>
      <w:r w:rsidRPr="00AD39F2">
        <w:rPr>
          <w:rFonts w:eastAsia="Palatino Linotype"/>
          <w:i/>
        </w:rPr>
        <w:t xml:space="preserve">, la Federación y </w:t>
      </w:r>
      <w:r w:rsidRPr="00AD39F2">
        <w:rPr>
          <w:rFonts w:eastAsia="Palatino Linotype"/>
          <w:b/>
          <w:i/>
        </w:rPr>
        <w:t>las entidades federativas, en el ámbito de sus respectivas competencias, se regirán por los siguientes principios y bases:</w:t>
      </w:r>
    </w:p>
    <w:p w14:paraId="596A956B" w14:textId="77777777" w:rsidR="00C049E2" w:rsidRPr="00AD39F2" w:rsidRDefault="00C049E2" w:rsidP="00AD39F2">
      <w:pPr>
        <w:spacing w:line="240" w:lineRule="auto"/>
        <w:ind w:left="567" w:right="539"/>
        <w:rPr>
          <w:rFonts w:eastAsia="Palatino Linotype"/>
          <w:i/>
        </w:rPr>
      </w:pPr>
      <w:r w:rsidRPr="00AD39F2">
        <w:rPr>
          <w:rFonts w:eastAsia="Palatino Linotype"/>
          <w:b/>
          <w:i/>
        </w:rPr>
        <w:t xml:space="preserve">I. </w:t>
      </w:r>
      <w:r w:rsidRPr="00AD39F2">
        <w:rPr>
          <w:rFonts w:eastAsia="Palatino Linotype"/>
          <w:b/>
          <w:i/>
        </w:rPr>
        <w:tab/>
        <w:t>Toda la información en posesión de cualquier</w:t>
      </w:r>
      <w:r w:rsidRPr="00AD39F2">
        <w:rPr>
          <w:rFonts w:eastAsia="Palatino Linotype"/>
          <w:i/>
        </w:rPr>
        <w:t xml:space="preserve"> </w:t>
      </w:r>
      <w:r w:rsidRPr="00AD39F2">
        <w:rPr>
          <w:rFonts w:eastAsia="Palatino Linotype"/>
          <w:b/>
          <w:i/>
        </w:rPr>
        <w:t>autoridad</w:t>
      </w:r>
      <w:r w:rsidRPr="00AD39F2">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AD39F2">
        <w:rPr>
          <w:rFonts w:eastAsia="Palatino Linotype"/>
          <w:b/>
          <w:i/>
        </w:rPr>
        <w:t>municipal</w:t>
      </w:r>
      <w:r w:rsidRPr="00AD39F2">
        <w:rPr>
          <w:rFonts w:eastAsia="Palatino Linotype"/>
          <w:i/>
        </w:rPr>
        <w:t xml:space="preserve">, </w:t>
      </w:r>
      <w:r w:rsidRPr="00AD39F2">
        <w:rPr>
          <w:rFonts w:eastAsia="Palatino Linotype"/>
          <w:b/>
          <w:i/>
        </w:rPr>
        <w:t>es pública</w:t>
      </w:r>
      <w:r w:rsidRPr="00AD39F2">
        <w:rPr>
          <w:rFonts w:eastAsia="Palatino Linotype"/>
          <w:i/>
        </w:rPr>
        <w:t xml:space="preserve"> y sólo podrá ser reservada temporalmente por razones de interés público y seguridad nacional, en los términos que fijen las leyes. </w:t>
      </w:r>
      <w:r w:rsidRPr="00AD39F2">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AD39F2">
        <w:rPr>
          <w:rFonts w:eastAsia="Palatino Linotype"/>
          <w:i/>
        </w:rPr>
        <w:t>, la ley determinará los supuestos específicos bajo los cuales procederá la declaración de inexistencia de la información.”</w:t>
      </w:r>
    </w:p>
    <w:p w14:paraId="68F313E4" w14:textId="77777777" w:rsidR="00C049E2" w:rsidRPr="00AD39F2" w:rsidRDefault="00C049E2" w:rsidP="00AD39F2">
      <w:pPr>
        <w:spacing w:line="240" w:lineRule="auto"/>
        <w:ind w:left="567" w:right="539"/>
        <w:rPr>
          <w:rFonts w:eastAsia="Palatino Linotype"/>
          <w:b/>
          <w:i/>
        </w:rPr>
      </w:pPr>
    </w:p>
    <w:p w14:paraId="504F12DB" w14:textId="77777777" w:rsidR="00C049E2" w:rsidRPr="00AD39F2" w:rsidRDefault="00C049E2" w:rsidP="00AD39F2">
      <w:pPr>
        <w:spacing w:line="240" w:lineRule="auto"/>
        <w:ind w:left="567" w:right="539"/>
        <w:rPr>
          <w:rFonts w:eastAsia="Palatino Linotype"/>
          <w:b/>
          <w:i/>
        </w:rPr>
      </w:pPr>
      <w:r w:rsidRPr="00AD39F2">
        <w:rPr>
          <w:rFonts w:eastAsia="Palatino Linotype"/>
          <w:b/>
          <w:i/>
        </w:rPr>
        <w:t>Constitución Política del Estado Libre y Soberano de México</w:t>
      </w:r>
    </w:p>
    <w:p w14:paraId="04932D29" w14:textId="77777777" w:rsidR="00C049E2" w:rsidRPr="00AD39F2" w:rsidRDefault="00C049E2" w:rsidP="00AD39F2">
      <w:pPr>
        <w:spacing w:line="240" w:lineRule="auto"/>
        <w:ind w:left="567" w:right="539"/>
        <w:rPr>
          <w:rFonts w:eastAsia="Palatino Linotype"/>
          <w:i/>
        </w:rPr>
      </w:pPr>
      <w:r w:rsidRPr="00AD39F2">
        <w:rPr>
          <w:rFonts w:eastAsia="Palatino Linotype"/>
          <w:b/>
          <w:i/>
        </w:rPr>
        <w:t>“Artículo 5</w:t>
      </w:r>
      <w:r w:rsidRPr="00AD39F2">
        <w:rPr>
          <w:rFonts w:eastAsia="Palatino Linotype"/>
          <w:i/>
        </w:rPr>
        <w:t xml:space="preserve">.- </w:t>
      </w:r>
    </w:p>
    <w:p w14:paraId="1D3829F4" w14:textId="77777777" w:rsidR="00C049E2" w:rsidRPr="00AD39F2" w:rsidRDefault="00C049E2" w:rsidP="00AD39F2">
      <w:pPr>
        <w:spacing w:line="240" w:lineRule="auto"/>
        <w:ind w:left="567" w:right="539"/>
        <w:rPr>
          <w:rFonts w:eastAsia="Palatino Linotype"/>
          <w:i/>
        </w:rPr>
      </w:pPr>
      <w:r w:rsidRPr="00AD39F2">
        <w:rPr>
          <w:rFonts w:eastAsia="Palatino Linotype"/>
          <w:i/>
        </w:rPr>
        <w:t>(…)</w:t>
      </w:r>
    </w:p>
    <w:p w14:paraId="0EAE47FD" w14:textId="77777777" w:rsidR="00C049E2" w:rsidRPr="00AD39F2" w:rsidRDefault="00C049E2" w:rsidP="00AD39F2">
      <w:pPr>
        <w:spacing w:line="240" w:lineRule="auto"/>
        <w:ind w:left="567" w:right="539"/>
        <w:rPr>
          <w:rFonts w:eastAsia="Palatino Linotype"/>
          <w:i/>
        </w:rPr>
      </w:pPr>
      <w:r w:rsidRPr="00AD39F2">
        <w:rPr>
          <w:rFonts w:eastAsia="Palatino Linotype"/>
          <w:b/>
          <w:i/>
        </w:rPr>
        <w:t>El derecho a la información será garantizado por el Estado. La ley establecerá las previsiones que permitan asegurar la protección, el respeto y la difusión de este derecho</w:t>
      </w:r>
      <w:r w:rsidRPr="00AD39F2">
        <w:rPr>
          <w:rFonts w:eastAsia="Palatino Linotype"/>
          <w:i/>
        </w:rPr>
        <w:t>.</w:t>
      </w:r>
    </w:p>
    <w:p w14:paraId="4F0C804A" w14:textId="77777777" w:rsidR="00C049E2" w:rsidRPr="00AD39F2" w:rsidRDefault="00C049E2" w:rsidP="00AD39F2">
      <w:pPr>
        <w:spacing w:line="240" w:lineRule="auto"/>
        <w:ind w:left="567" w:right="539"/>
        <w:rPr>
          <w:rFonts w:eastAsia="Palatino Linotype"/>
          <w:i/>
        </w:rPr>
      </w:pPr>
      <w:r w:rsidRPr="00AD39F2">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AD39F2" w:rsidRDefault="00C049E2" w:rsidP="00AD39F2">
      <w:pPr>
        <w:spacing w:line="240" w:lineRule="auto"/>
        <w:ind w:left="567" w:right="539"/>
        <w:rPr>
          <w:rFonts w:eastAsia="Palatino Linotype"/>
          <w:i/>
        </w:rPr>
      </w:pPr>
      <w:r w:rsidRPr="00AD39F2">
        <w:rPr>
          <w:rFonts w:eastAsia="Palatino Linotype"/>
          <w:b/>
          <w:i/>
        </w:rPr>
        <w:t>Este derecho se regirá por los principios y bases siguientes</w:t>
      </w:r>
      <w:r w:rsidRPr="00AD39F2">
        <w:rPr>
          <w:rFonts w:eastAsia="Palatino Linotype"/>
          <w:i/>
        </w:rPr>
        <w:t>:</w:t>
      </w:r>
    </w:p>
    <w:p w14:paraId="4A3E8CBA" w14:textId="77777777" w:rsidR="00C049E2" w:rsidRPr="00AD39F2" w:rsidRDefault="00C049E2" w:rsidP="00AD39F2">
      <w:pPr>
        <w:spacing w:line="240" w:lineRule="auto"/>
        <w:ind w:left="567" w:right="539"/>
        <w:rPr>
          <w:rFonts w:eastAsia="Palatino Linotype"/>
          <w:i/>
        </w:rPr>
      </w:pPr>
      <w:r w:rsidRPr="00AD39F2">
        <w:rPr>
          <w:rFonts w:eastAsia="Palatino Linotype"/>
          <w:b/>
          <w:i/>
        </w:rPr>
        <w:lastRenderedPageBreak/>
        <w:t>I. Toda la información en posesión de cualquier autoridad, entidad, órgano y organismos de los</w:t>
      </w:r>
      <w:r w:rsidRPr="00AD39F2">
        <w:rPr>
          <w:rFonts w:eastAsia="Palatino Linotype"/>
          <w:i/>
        </w:rPr>
        <w:t xml:space="preserve"> Poderes Ejecutivo, Legislativo y Judicial, órganos autónomos, partidos políticos, fideicomisos y fondos públicos estatales y </w:t>
      </w:r>
      <w:r w:rsidRPr="00AD39F2">
        <w:rPr>
          <w:rFonts w:eastAsia="Palatino Linotype"/>
          <w:b/>
          <w:i/>
        </w:rPr>
        <w:t>municipales</w:t>
      </w:r>
      <w:r w:rsidRPr="00AD39F2">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AD39F2">
        <w:rPr>
          <w:rFonts w:eastAsia="Palatino Linotype"/>
          <w:b/>
          <w:i/>
        </w:rPr>
        <w:t>es pública</w:t>
      </w:r>
      <w:r w:rsidRPr="00AD39F2">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AD39F2">
        <w:rPr>
          <w:rFonts w:eastAsia="Palatino Linotype"/>
          <w:b/>
          <w:i/>
        </w:rPr>
        <w:t>En la interpretación de este derecho deberá prevalecer el principio de máxima publicidad</w:t>
      </w:r>
      <w:r w:rsidRPr="00AD39F2">
        <w:rPr>
          <w:rFonts w:eastAsia="Palatino Linotype"/>
          <w:i/>
        </w:rPr>
        <w:t xml:space="preserve">. </w:t>
      </w:r>
      <w:r w:rsidRPr="00AD39F2">
        <w:rPr>
          <w:rFonts w:eastAsia="Palatino Linotype"/>
          <w:b/>
          <w:i/>
        </w:rPr>
        <w:t>Los sujetos obligados deberán documentar todo acto que derive del ejercicio de sus facultades, competencias o funciones</w:t>
      </w:r>
      <w:r w:rsidRPr="00AD39F2">
        <w:rPr>
          <w:rFonts w:eastAsia="Palatino Linotype"/>
          <w:i/>
        </w:rPr>
        <w:t>, la ley determinará los supuestos específicos bajo los cuales procederá la declaración de inexistencia de la información.”</w:t>
      </w:r>
    </w:p>
    <w:p w14:paraId="5CA98E37" w14:textId="77777777" w:rsidR="00C049E2" w:rsidRPr="00AD39F2" w:rsidRDefault="00C049E2" w:rsidP="00AD39F2">
      <w:pPr>
        <w:rPr>
          <w:rFonts w:eastAsia="Palatino Linotype"/>
          <w:b/>
          <w:i/>
        </w:rPr>
      </w:pPr>
    </w:p>
    <w:p w14:paraId="6FC1BB3B" w14:textId="3BF4A33D" w:rsidR="00C049E2" w:rsidRPr="00AD39F2" w:rsidRDefault="00717E59" w:rsidP="00AD39F2">
      <w:pPr>
        <w:rPr>
          <w:rFonts w:eastAsia="Palatino Linotype"/>
          <w:i/>
        </w:rPr>
      </w:pPr>
      <w:r w:rsidRPr="00AD39F2">
        <w:rPr>
          <w:rFonts w:eastAsia="Palatino Linotype"/>
        </w:rPr>
        <w:t xml:space="preserve">Asimismo, </w:t>
      </w:r>
      <w:r w:rsidR="00C049E2" w:rsidRPr="00AD39F2">
        <w:rPr>
          <w:rFonts w:eastAsia="Palatino Linotype"/>
        </w:rPr>
        <w:t>el artículo 150 de la Ley de Transparencia y Acceso a la Información Pública del Estado de México y Municipios</w:t>
      </w:r>
      <w:r w:rsidR="00057B2D" w:rsidRPr="00AD39F2">
        <w:rPr>
          <w:rFonts w:eastAsia="Palatino Linotype"/>
        </w:rPr>
        <w:t xml:space="preserve"> </w:t>
      </w:r>
      <w:r w:rsidR="00E9335C" w:rsidRPr="00AD39F2">
        <w:rPr>
          <w:rFonts w:eastAsia="Palatino Linotype"/>
        </w:rPr>
        <w:t xml:space="preserve">indica </w:t>
      </w:r>
      <w:r w:rsidR="00057B2D" w:rsidRPr="00AD39F2">
        <w:rPr>
          <w:rFonts w:eastAsia="Palatino Linotype"/>
        </w:rPr>
        <w:t>que</w:t>
      </w:r>
      <w:r w:rsidR="00C049E2" w:rsidRPr="00AD39F2">
        <w:rPr>
          <w:rFonts w:eastAsia="Palatino Linotype"/>
        </w:rPr>
        <w:t xml:space="preserve"> la solicitud es la garantía primaria del Derecho de Acceso a la Información, además, establece que se regirá </w:t>
      </w:r>
      <w:r w:rsidR="00C049E2" w:rsidRPr="00AD39F2">
        <w:rPr>
          <w:rFonts w:eastAsia="Palatino Linotype"/>
          <w:i/>
        </w:rPr>
        <w:t>por los principios de simplicidad, rapidez</w:t>
      </w:r>
      <w:r w:rsidR="005F65B7" w:rsidRPr="00AD39F2">
        <w:rPr>
          <w:rFonts w:eastAsia="Palatino Linotype"/>
          <w:i/>
        </w:rPr>
        <w:t>,</w:t>
      </w:r>
      <w:r w:rsidR="00C049E2" w:rsidRPr="00AD39F2">
        <w:rPr>
          <w:rFonts w:eastAsia="Palatino Linotype"/>
          <w:i/>
        </w:rPr>
        <w:t xml:space="preserve"> gratuidad del procedimiento, auxilio y orientación a los particulare</w:t>
      </w:r>
      <w:r w:rsidR="001A58B3" w:rsidRPr="00AD39F2">
        <w:rPr>
          <w:rFonts w:eastAsia="Palatino Linotype"/>
          <w:i/>
        </w:rPr>
        <w:t>s.</w:t>
      </w:r>
    </w:p>
    <w:p w14:paraId="033466A6" w14:textId="77777777" w:rsidR="001A58B3" w:rsidRPr="00AD39F2" w:rsidRDefault="001A58B3" w:rsidP="00AD39F2">
      <w:pPr>
        <w:rPr>
          <w:rFonts w:eastAsia="Palatino Linotype"/>
          <w:i/>
        </w:rPr>
      </w:pPr>
    </w:p>
    <w:p w14:paraId="04ADA10B" w14:textId="574A944A" w:rsidR="001A58B3" w:rsidRPr="00AD39F2" w:rsidRDefault="00233F17" w:rsidP="00AD39F2">
      <w:pPr>
        <w:rPr>
          <w:rFonts w:eastAsia="Palatino Linotype" w:cs="Palatino Linotype"/>
          <w:i/>
          <w:szCs w:val="22"/>
        </w:rPr>
      </w:pPr>
      <w:r w:rsidRPr="00AD39F2">
        <w:rPr>
          <w:rFonts w:eastAsia="Palatino Linotype" w:cs="Palatino Linotype"/>
        </w:rPr>
        <w:t xml:space="preserve">Por su parte, el artículo 4 de </w:t>
      </w:r>
      <w:r w:rsidR="001A58B3" w:rsidRPr="00AD39F2">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AD39F2">
        <w:rPr>
          <w:rFonts w:eastAsia="Palatino Linotype" w:cs="Palatino Linotype"/>
        </w:rPr>
        <w:t>.</w:t>
      </w:r>
    </w:p>
    <w:p w14:paraId="1407DBB8" w14:textId="77777777" w:rsidR="001A58B3" w:rsidRPr="00AD39F2" w:rsidRDefault="001A58B3" w:rsidP="00AD39F2">
      <w:pPr>
        <w:rPr>
          <w:rFonts w:eastAsia="Palatino Linotype" w:cs="Palatino Linotype"/>
        </w:rPr>
      </w:pPr>
    </w:p>
    <w:p w14:paraId="7552AA79" w14:textId="5C52E4A4" w:rsidR="001A58B3" w:rsidRPr="00AD39F2" w:rsidRDefault="001A58B3" w:rsidP="00AD39F2">
      <w:pPr>
        <w:rPr>
          <w:rFonts w:eastAsia="Palatino Linotype" w:cs="Palatino Linotype"/>
        </w:rPr>
      </w:pPr>
      <w:r w:rsidRPr="00AD39F2">
        <w:rPr>
          <w:rFonts w:eastAsia="Palatino Linotype" w:cs="Palatino Linotype"/>
        </w:rPr>
        <w:t xml:space="preserve">Esto es, que los Sujetos Obligados </w:t>
      </w:r>
      <w:r w:rsidR="00FA5957" w:rsidRPr="00AD39F2">
        <w:rPr>
          <w:rFonts w:eastAsia="Palatino Linotype" w:cs="Palatino Linotype"/>
        </w:rPr>
        <w:t>deben</w:t>
      </w:r>
      <w:r w:rsidRPr="00AD39F2">
        <w:rPr>
          <w:rFonts w:eastAsia="Palatino Linotype" w:cs="Palatino Linotype"/>
        </w:rPr>
        <w:t xml:space="preserve"> atender las solicitudes de acceso a la información pública que se les </w:t>
      </w:r>
      <w:r w:rsidR="00FA5957" w:rsidRPr="00AD39F2">
        <w:rPr>
          <w:rFonts w:eastAsia="Palatino Linotype" w:cs="Palatino Linotype"/>
        </w:rPr>
        <w:t>sean realizadas,</w:t>
      </w:r>
      <w:r w:rsidRPr="00AD39F2">
        <w:rPr>
          <w:rFonts w:eastAsia="Palatino Linotype" w:cs="Palatino Linotype"/>
        </w:rPr>
        <w:t xml:space="preserve"> y proporcionar la información pública que obre en su poder</w:t>
      </w:r>
      <w:r w:rsidR="00FA5957" w:rsidRPr="00AD39F2">
        <w:rPr>
          <w:rFonts w:eastAsia="Palatino Linotype" w:cs="Palatino Linotype"/>
        </w:rPr>
        <w:t>,</w:t>
      </w:r>
      <w:r w:rsidRPr="00AD39F2">
        <w:rPr>
          <w:rFonts w:eastAsia="Palatino Linotype" w:cs="Palatino Linotype"/>
        </w:rPr>
        <w:t xml:space="preserve"> conforme </w:t>
      </w:r>
      <w:r w:rsidR="00FA5957" w:rsidRPr="00AD39F2">
        <w:rPr>
          <w:rFonts w:eastAsia="Palatino Linotype" w:cs="Palatino Linotype"/>
        </w:rPr>
        <w:t>a</w:t>
      </w:r>
      <w:r w:rsidRPr="00AD39F2">
        <w:rPr>
          <w:rFonts w:eastAsia="Palatino Linotype" w:cs="Palatino Linotype"/>
        </w:rPr>
        <w:t xml:space="preserve">l estado </w:t>
      </w:r>
      <w:r w:rsidR="00FA5957" w:rsidRPr="00AD39F2">
        <w:rPr>
          <w:rFonts w:eastAsia="Palatino Linotype" w:cs="Palatino Linotype"/>
        </w:rPr>
        <w:t xml:space="preserve">en </w:t>
      </w:r>
      <w:r w:rsidRPr="00AD39F2">
        <w:rPr>
          <w:rFonts w:eastAsia="Palatino Linotype" w:cs="Palatino Linotype"/>
        </w:rPr>
        <w:t>que se encuentr</w:t>
      </w:r>
      <w:r w:rsidR="00FA5957" w:rsidRPr="00AD39F2">
        <w:rPr>
          <w:rFonts w:eastAsia="Palatino Linotype" w:cs="Palatino Linotype"/>
        </w:rPr>
        <w:t>e, sin que sea necesario</w:t>
      </w:r>
      <w:r w:rsidRPr="00AD39F2">
        <w:rPr>
          <w:rFonts w:eastAsia="Palatino Linotype" w:cs="Palatino Linotype"/>
        </w:rPr>
        <w:t xml:space="preserve"> </w:t>
      </w:r>
      <w:r w:rsidR="00FA5957" w:rsidRPr="00AD39F2">
        <w:rPr>
          <w:rFonts w:eastAsia="Palatino Linotype" w:cs="Palatino Linotype"/>
        </w:rPr>
        <w:t>procesar</w:t>
      </w:r>
      <w:r w:rsidRPr="00AD39F2">
        <w:rPr>
          <w:rFonts w:eastAsia="Palatino Linotype" w:cs="Palatino Linotype"/>
        </w:rPr>
        <w:t xml:space="preserve"> la misma, ni presentarla conforme al interés del solicitante; </w:t>
      </w:r>
      <w:r w:rsidR="00FA5957" w:rsidRPr="00AD39F2">
        <w:rPr>
          <w:rFonts w:eastAsia="Palatino Linotype" w:cs="Palatino Linotype"/>
        </w:rPr>
        <w:t>tal y como</w:t>
      </w:r>
      <w:r w:rsidRPr="00AD39F2">
        <w:rPr>
          <w:rFonts w:eastAsia="Palatino Linotype" w:cs="Palatino Linotype"/>
        </w:rPr>
        <w:t xml:space="preserve"> lo establece el artículo 12 de la Ley de Transparencia y Acceso a la Información Pública del Estado de México y Municipios</w:t>
      </w:r>
      <w:r w:rsidR="00970EB3" w:rsidRPr="00AD39F2">
        <w:rPr>
          <w:rFonts w:eastAsia="Palatino Linotype" w:cs="Palatino Linotype"/>
        </w:rPr>
        <w:t>.</w:t>
      </w:r>
    </w:p>
    <w:p w14:paraId="73245195" w14:textId="77777777" w:rsidR="00970EB3" w:rsidRPr="00AD39F2" w:rsidRDefault="00970EB3" w:rsidP="00AD39F2">
      <w:pPr>
        <w:rPr>
          <w:rFonts w:eastAsia="Palatino Linotype" w:cs="Palatino Linotype"/>
        </w:rPr>
      </w:pPr>
    </w:p>
    <w:p w14:paraId="7F62D4DF" w14:textId="24239A8D" w:rsidR="001A58B3" w:rsidRPr="00AD39F2" w:rsidRDefault="001A58B3" w:rsidP="00AD39F2">
      <w:pPr>
        <w:rPr>
          <w:rFonts w:eastAsia="Palatino Linotype" w:cs="Palatino Linotype"/>
        </w:rPr>
      </w:pPr>
      <w:r w:rsidRPr="00AD39F2">
        <w:rPr>
          <w:rFonts w:eastAsia="Palatino Linotype" w:cs="Palatino Linotype"/>
        </w:rPr>
        <w:lastRenderedPageBreak/>
        <w:t xml:space="preserve">Es decir, que todo </w:t>
      </w:r>
      <w:r w:rsidR="003B5819" w:rsidRPr="00AD39F2">
        <w:rPr>
          <w:rFonts w:eastAsia="Palatino Linotype" w:cs="Palatino Linotype"/>
        </w:rPr>
        <w:t xml:space="preserve">Sujeto Obligado </w:t>
      </w:r>
      <w:r w:rsidRPr="00AD39F2">
        <w:rPr>
          <w:rFonts w:eastAsia="Palatino Linotype" w:cs="Palatino Linotype"/>
        </w:rPr>
        <w:t>que genere, recopile, administre, procese, archive, posea o conserven, son responsables de la misma</w:t>
      </w:r>
      <w:r w:rsidR="00970EB3" w:rsidRPr="00AD39F2">
        <w:rPr>
          <w:rFonts w:eastAsia="Palatino Linotype" w:cs="Palatino Linotype"/>
        </w:rPr>
        <w:t>,</w:t>
      </w:r>
      <w:r w:rsidRPr="00AD39F2">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AD39F2">
        <w:rPr>
          <w:rFonts w:eastAsia="Palatino Linotype" w:cs="Palatino Linotype"/>
        </w:rPr>
        <w:t>o</w:t>
      </w:r>
      <w:r w:rsidRPr="00AD39F2">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AD39F2" w:rsidRDefault="001A58B3" w:rsidP="00AD39F2">
      <w:pPr>
        <w:rPr>
          <w:rFonts w:eastAsia="Palatino Linotype" w:cs="Palatino Linotype"/>
        </w:rPr>
      </w:pPr>
    </w:p>
    <w:p w14:paraId="04E42DFE" w14:textId="573F1198" w:rsidR="001A58B3" w:rsidRPr="00AD39F2" w:rsidRDefault="001A58B3" w:rsidP="00AD39F2">
      <w:pPr>
        <w:rPr>
          <w:rFonts w:eastAsia="Palatino Linotype" w:cs="Palatino Linotype"/>
        </w:rPr>
      </w:pPr>
      <w:r w:rsidRPr="00AD39F2">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AD39F2">
        <w:rPr>
          <w:rFonts w:eastAsia="Palatino Linotype" w:cs="Palatino Linotype"/>
        </w:rPr>
        <w:t>, s</w:t>
      </w:r>
      <w:r w:rsidRPr="00AD39F2">
        <w:rPr>
          <w:rFonts w:eastAsia="Palatino Linotype" w:cs="Palatino Linotype"/>
        </w:rPr>
        <w:t xml:space="preserve">iempre y cuando no se trate de información reservada o </w:t>
      </w:r>
      <w:r w:rsidR="00331F35" w:rsidRPr="00AD39F2">
        <w:rPr>
          <w:rFonts w:eastAsia="Palatino Linotype" w:cs="Palatino Linotype"/>
        </w:rPr>
        <w:t>confidencial.</w:t>
      </w:r>
    </w:p>
    <w:p w14:paraId="40C5219F" w14:textId="77777777" w:rsidR="001A58B3" w:rsidRPr="00AD39F2" w:rsidRDefault="001A58B3" w:rsidP="00AD39F2">
      <w:pPr>
        <w:rPr>
          <w:rFonts w:eastAsia="Palatino Linotype" w:cs="Palatino Linotype"/>
        </w:rPr>
      </w:pPr>
    </w:p>
    <w:p w14:paraId="2E629608" w14:textId="01727E15" w:rsidR="00C049E2" w:rsidRPr="00AD39F2" w:rsidRDefault="006067C7" w:rsidP="00AD39F2">
      <w:pPr>
        <w:rPr>
          <w:rFonts w:eastAsia="Palatino Linotype"/>
        </w:rPr>
      </w:pPr>
      <w:bookmarkStart w:id="25" w:name="_heading=h.2s8eyo1" w:colFirst="0" w:colLast="0"/>
      <w:bookmarkEnd w:id="25"/>
      <w:r w:rsidRPr="00AD39F2">
        <w:rPr>
          <w:rFonts w:eastAsia="Palatino Linotype"/>
        </w:rPr>
        <w:t>Con base en lo anterior</w:t>
      </w:r>
      <w:r w:rsidR="00B22A80" w:rsidRPr="00AD39F2">
        <w:rPr>
          <w:rFonts w:eastAsia="Palatino Linotype"/>
        </w:rPr>
        <w:t>, se considera que</w:t>
      </w:r>
      <w:r w:rsidR="00C049E2" w:rsidRPr="00AD39F2">
        <w:rPr>
          <w:rFonts w:eastAsia="Palatino Linotype"/>
        </w:rPr>
        <w:t xml:space="preserve"> </w:t>
      </w:r>
      <w:r w:rsidR="00B22A80" w:rsidRPr="00AD39F2">
        <w:rPr>
          <w:rFonts w:eastAsia="Palatino Linotype"/>
          <w:b/>
          <w:bCs/>
        </w:rPr>
        <w:t>EL</w:t>
      </w:r>
      <w:r w:rsidR="00C049E2" w:rsidRPr="00AD39F2">
        <w:rPr>
          <w:rFonts w:eastAsia="Palatino Linotype"/>
        </w:rPr>
        <w:t xml:space="preserve"> </w:t>
      </w:r>
      <w:r w:rsidR="00C049E2" w:rsidRPr="00AD39F2">
        <w:rPr>
          <w:rFonts w:eastAsia="Palatino Linotype"/>
          <w:b/>
        </w:rPr>
        <w:t>SUJETO OBLIGADO</w:t>
      </w:r>
      <w:r w:rsidR="00C049E2" w:rsidRPr="00AD39F2">
        <w:rPr>
          <w:rFonts w:eastAsia="Palatino Linotype"/>
        </w:rPr>
        <w:t xml:space="preserve"> </w:t>
      </w:r>
      <w:r w:rsidR="00B22A80" w:rsidRPr="00AD39F2">
        <w:rPr>
          <w:rFonts w:eastAsia="Palatino Linotype"/>
        </w:rPr>
        <w:t xml:space="preserve">se </w:t>
      </w:r>
      <w:r w:rsidR="00717E59" w:rsidRPr="00AD39F2">
        <w:rPr>
          <w:rFonts w:eastAsia="Palatino Linotype"/>
        </w:rPr>
        <w:t>encontraba</w:t>
      </w:r>
      <w:r w:rsidR="00B22A80" w:rsidRPr="00AD39F2">
        <w:rPr>
          <w:rFonts w:eastAsia="Palatino Linotype"/>
        </w:rPr>
        <w:t xml:space="preserve"> compelido a</w:t>
      </w:r>
      <w:r w:rsidR="00C049E2" w:rsidRPr="00AD39F2">
        <w:rPr>
          <w:rFonts w:eastAsia="Palatino Linotype"/>
        </w:rPr>
        <w:t xml:space="preserve"> atender la solicitud de acceso a la información </w:t>
      </w:r>
      <w:r w:rsidR="00B22A80" w:rsidRPr="00AD39F2">
        <w:rPr>
          <w:rFonts w:eastAsia="Palatino Linotype"/>
        </w:rPr>
        <w:t xml:space="preserve">realizada por </w:t>
      </w:r>
      <w:r w:rsidR="00B22A80" w:rsidRPr="00AD39F2">
        <w:rPr>
          <w:rFonts w:eastAsia="Palatino Linotype"/>
          <w:b/>
          <w:bCs/>
        </w:rPr>
        <w:t>LA PARTE RECURRENTE</w:t>
      </w:r>
      <w:r w:rsidR="00331F35" w:rsidRPr="00AD39F2">
        <w:rPr>
          <w:rFonts w:eastAsia="Palatino Linotype"/>
        </w:rPr>
        <w:t>.</w:t>
      </w:r>
    </w:p>
    <w:p w14:paraId="1611F147" w14:textId="77777777" w:rsidR="00BD5A7C" w:rsidRPr="00AD39F2" w:rsidRDefault="00BD5A7C" w:rsidP="00AD39F2">
      <w:pPr>
        <w:rPr>
          <w:rFonts w:eastAsia="Palatino Linotype"/>
        </w:rPr>
      </w:pPr>
    </w:p>
    <w:p w14:paraId="51A0E8B4" w14:textId="676DCA47" w:rsidR="00664420" w:rsidRPr="00AD39F2" w:rsidRDefault="00C71CEF" w:rsidP="00AD39F2">
      <w:pPr>
        <w:pStyle w:val="Ttulo3"/>
        <w:rPr>
          <w:rFonts w:eastAsia="Calibri"/>
          <w:lang w:eastAsia="es-ES_tradnl"/>
        </w:rPr>
      </w:pPr>
      <w:bookmarkStart w:id="26" w:name="_Toc200539207"/>
      <w:r w:rsidRPr="00AD39F2">
        <w:rPr>
          <w:rFonts w:eastAsia="Calibri"/>
          <w:lang w:eastAsia="es-ES_tradnl"/>
        </w:rPr>
        <w:t>b)</w:t>
      </w:r>
      <w:r w:rsidR="00A53315" w:rsidRPr="00AD39F2">
        <w:rPr>
          <w:rFonts w:eastAsia="Calibri"/>
          <w:lang w:eastAsia="es-ES_tradnl"/>
        </w:rPr>
        <w:t xml:space="preserve"> </w:t>
      </w:r>
      <w:r w:rsidR="00A21A20" w:rsidRPr="00AD39F2">
        <w:rPr>
          <w:rFonts w:eastAsia="Calibri"/>
          <w:lang w:eastAsia="es-ES_tradnl"/>
        </w:rPr>
        <w:t>Controversia a resolver</w:t>
      </w:r>
      <w:bookmarkEnd w:id="26"/>
    </w:p>
    <w:p w14:paraId="046B66A2" w14:textId="1CB9011F" w:rsidR="00056184" w:rsidRPr="00AD39F2" w:rsidRDefault="00664420" w:rsidP="00AD39F2">
      <w:pPr>
        <w:rPr>
          <w:rFonts w:cs="Tahoma"/>
          <w:bCs/>
          <w:iCs/>
          <w:szCs w:val="22"/>
        </w:rPr>
      </w:pPr>
      <w:r w:rsidRPr="00AD39F2">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AD39F2">
        <w:rPr>
          <w:rFonts w:eastAsia="Calibri"/>
          <w:b/>
          <w:bCs/>
          <w:lang w:eastAsia="es-ES_tradnl"/>
        </w:rPr>
        <w:t>LA PARTE RECURRENTE</w:t>
      </w:r>
      <w:r w:rsidRPr="00AD39F2">
        <w:rPr>
          <w:rFonts w:eastAsia="Calibri"/>
          <w:lang w:eastAsia="es-ES_tradnl"/>
        </w:rPr>
        <w:t xml:space="preserve"> solicitó </w:t>
      </w:r>
      <w:r w:rsidR="00941A59" w:rsidRPr="00AD39F2">
        <w:rPr>
          <w:rFonts w:eastAsia="Calibri"/>
          <w:lang w:eastAsia="es-ES_tradnl"/>
        </w:rPr>
        <w:t xml:space="preserve">los </w:t>
      </w:r>
      <w:r w:rsidR="00BA50F8" w:rsidRPr="00AD39F2">
        <w:rPr>
          <w:rFonts w:cs="Tahoma"/>
          <w:bCs/>
          <w:iCs/>
          <w:szCs w:val="22"/>
        </w:rPr>
        <w:t xml:space="preserve">registros </w:t>
      </w:r>
      <w:r w:rsidR="00D75C4F" w:rsidRPr="00AD39F2">
        <w:rPr>
          <w:rFonts w:cs="Tahoma"/>
          <w:bCs/>
          <w:iCs/>
          <w:szCs w:val="22"/>
        </w:rPr>
        <w:t xml:space="preserve">para la candidatura del municipio Tepotzotlán desde el primero que se tenga, hasta el del ejercicio fiscal 2024, en donde se pueda apreciar los nombres de los candidatos, así como el partido político registrado.  </w:t>
      </w:r>
    </w:p>
    <w:p w14:paraId="3D0395D3" w14:textId="77777777" w:rsidR="003B5819" w:rsidRPr="00AD39F2" w:rsidRDefault="003B5819" w:rsidP="00AD39F2">
      <w:pPr>
        <w:pStyle w:val="Prrafodelista"/>
        <w:tabs>
          <w:tab w:val="left" w:pos="4962"/>
        </w:tabs>
        <w:rPr>
          <w:rFonts w:cs="Tahoma"/>
          <w:bCs/>
          <w:iCs/>
          <w:szCs w:val="22"/>
        </w:rPr>
      </w:pPr>
    </w:p>
    <w:p w14:paraId="1DC2C4CB" w14:textId="3B28DE10" w:rsidR="00EE08A3" w:rsidRPr="00AD39F2" w:rsidRDefault="00EE08A3" w:rsidP="00AD39F2">
      <w:pPr>
        <w:tabs>
          <w:tab w:val="left" w:pos="4962"/>
        </w:tabs>
        <w:contextualSpacing/>
        <w:rPr>
          <w:rFonts w:eastAsiaTheme="minorHAnsi" w:cs="Tahoma"/>
          <w:bCs/>
          <w:iCs/>
          <w:szCs w:val="22"/>
          <w:lang w:eastAsia="en-US"/>
        </w:rPr>
      </w:pPr>
      <w:r w:rsidRPr="00AD39F2">
        <w:rPr>
          <w:rFonts w:eastAsiaTheme="minorHAnsi" w:cs="Tahoma"/>
          <w:bCs/>
          <w:iCs/>
          <w:szCs w:val="22"/>
          <w:lang w:eastAsia="en-US"/>
        </w:rPr>
        <w:lastRenderedPageBreak/>
        <w:t xml:space="preserve">En respuesta, </w:t>
      </w:r>
      <w:r w:rsidRPr="00AD39F2">
        <w:rPr>
          <w:rFonts w:eastAsiaTheme="minorHAnsi" w:cs="Tahoma"/>
          <w:b/>
          <w:iCs/>
          <w:szCs w:val="22"/>
          <w:lang w:eastAsia="en-US"/>
        </w:rPr>
        <w:t>EL SUJETO OBLIGADO</w:t>
      </w:r>
      <w:r w:rsidR="008D415D" w:rsidRPr="00AD39F2">
        <w:rPr>
          <w:rFonts w:eastAsiaTheme="minorHAnsi" w:cs="Tahoma"/>
          <w:bCs/>
          <w:iCs/>
          <w:szCs w:val="22"/>
          <w:lang w:eastAsia="en-US"/>
        </w:rPr>
        <w:t xml:space="preserve"> se pronunció por conducto de</w:t>
      </w:r>
      <w:r w:rsidR="00D75C4F" w:rsidRPr="00AD39F2">
        <w:rPr>
          <w:rFonts w:eastAsiaTheme="minorHAnsi" w:cs="Tahoma"/>
          <w:bCs/>
          <w:iCs/>
          <w:szCs w:val="22"/>
          <w:lang w:eastAsia="en-US"/>
        </w:rPr>
        <w:t xml:space="preserve"> la</w:t>
      </w:r>
      <w:r w:rsidR="00F40D6B" w:rsidRPr="00AD39F2">
        <w:rPr>
          <w:rFonts w:eastAsiaTheme="minorHAnsi" w:cs="Tahoma"/>
          <w:bCs/>
          <w:iCs/>
          <w:szCs w:val="22"/>
          <w:lang w:eastAsia="en-US"/>
        </w:rPr>
        <w:t xml:space="preserve"> Titular de la Unidad de Transparencia</w:t>
      </w:r>
      <w:r w:rsidR="00F40D6B" w:rsidRPr="00AD39F2">
        <w:rPr>
          <w:rFonts w:eastAsiaTheme="minorHAnsi" w:cs="Tahoma"/>
          <w:b/>
          <w:bCs/>
          <w:iCs/>
          <w:szCs w:val="22"/>
          <w:lang w:eastAsia="en-US"/>
        </w:rPr>
        <w:t xml:space="preserve"> </w:t>
      </w:r>
      <w:r w:rsidR="00F40D6B" w:rsidRPr="00AD39F2">
        <w:rPr>
          <w:rFonts w:eastAsiaTheme="minorHAnsi" w:cs="Tahoma"/>
          <w:bCs/>
          <w:iCs/>
          <w:szCs w:val="22"/>
          <w:lang w:eastAsia="en-US"/>
        </w:rPr>
        <w:t xml:space="preserve">quien a su vez expresa que, </w:t>
      </w:r>
      <w:r w:rsidR="00D75C4F" w:rsidRPr="00AD39F2">
        <w:rPr>
          <w:rFonts w:eastAsiaTheme="minorHAnsi" w:cs="Tahoma"/>
          <w:bCs/>
          <w:iCs/>
          <w:szCs w:val="22"/>
          <w:lang w:eastAsia="en-US"/>
        </w:rPr>
        <w:t>la Dirección de Partidos Políticos remitió la información solicitada por cuanto hace a los registros para dichas candidaturas; asimismo se acompaña a la respuesta una carpeta comprimida la cual contiene los acuerdos y planillas para las candidaturas de los ejercicios fiscales 2015, 2018, 2021 y 2024</w:t>
      </w:r>
      <w:r w:rsidR="0021348B" w:rsidRPr="00AD39F2">
        <w:rPr>
          <w:rFonts w:eastAsiaTheme="minorHAnsi" w:cs="Tahoma"/>
          <w:bCs/>
          <w:iCs/>
          <w:szCs w:val="22"/>
          <w:lang w:eastAsia="en-US"/>
        </w:rPr>
        <w:t>.</w:t>
      </w:r>
    </w:p>
    <w:p w14:paraId="4BEBD880" w14:textId="77777777" w:rsidR="00664420" w:rsidRPr="00AD39F2" w:rsidRDefault="00664420" w:rsidP="00AD39F2">
      <w:pPr>
        <w:tabs>
          <w:tab w:val="left" w:pos="4962"/>
        </w:tabs>
        <w:contextualSpacing/>
        <w:rPr>
          <w:rFonts w:eastAsiaTheme="minorHAnsi" w:cs="Tahoma"/>
          <w:bCs/>
          <w:iCs/>
          <w:szCs w:val="22"/>
          <w:lang w:eastAsia="en-US"/>
        </w:rPr>
      </w:pPr>
    </w:p>
    <w:p w14:paraId="482B8FC9" w14:textId="29DBDF82" w:rsidR="00EE08A3" w:rsidRPr="00AD39F2" w:rsidRDefault="00EE08A3" w:rsidP="00AD39F2">
      <w:pPr>
        <w:tabs>
          <w:tab w:val="left" w:pos="4962"/>
        </w:tabs>
        <w:contextualSpacing/>
        <w:rPr>
          <w:rFonts w:eastAsiaTheme="minorHAnsi" w:cs="Tahoma"/>
          <w:bCs/>
          <w:iCs/>
          <w:szCs w:val="22"/>
          <w:lang w:eastAsia="en-US"/>
        </w:rPr>
      </w:pPr>
      <w:r w:rsidRPr="00AD39F2">
        <w:rPr>
          <w:rFonts w:eastAsiaTheme="minorHAnsi" w:cs="Tahoma"/>
          <w:bCs/>
          <w:iCs/>
          <w:szCs w:val="22"/>
          <w:lang w:eastAsia="en-US"/>
        </w:rPr>
        <w:t xml:space="preserve">Ahora bien, en la interposición del presente recurso </w:t>
      </w:r>
      <w:r w:rsidRPr="00AD39F2">
        <w:rPr>
          <w:rFonts w:eastAsiaTheme="minorHAnsi" w:cs="Tahoma"/>
          <w:b/>
          <w:iCs/>
          <w:szCs w:val="22"/>
          <w:lang w:eastAsia="en-US"/>
        </w:rPr>
        <w:t>LA PARTE RECURRENTE</w:t>
      </w:r>
      <w:r w:rsidRPr="00AD39F2">
        <w:rPr>
          <w:rFonts w:eastAsiaTheme="minorHAnsi" w:cs="Tahoma"/>
          <w:bCs/>
          <w:iCs/>
          <w:szCs w:val="22"/>
          <w:lang w:eastAsia="en-US"/>
        </w:rPr>
        <w:t xml:space="preserve"> se inconformó </w:t>
      </w:r>
      <w:r w:rsidR="008D415D" w:rsidRPr="00AD39F2">
        <w:rPr>
          <w:rFonts w:eastAsiaTheme="minorHAnsi" w:cs="Tahoma"/>
          <w:bCs/>
          <w:iCs/>
          <w:szCs w:val="22"/>
          <w:lang w:eastAsia="en-US"/>
        </w:rPr>
        <w:t xml:space="preserve">de la respuesta </w:t>
      </w:r>
      <w:r w:rsidR="00056184" w:rsidRPr="00AD39F2">
        <w:rPr>
          <w:rFonts w:eastAsiaTheme="minorHAnsi" w:cs="Tahoma"/>
          <w:bCs/>
          <w:iCs/>
          <w:szCs w:val="22"/>
          <w:lang w:eastAsia="en-US"/>
        </w:rPr>
        <w:t>incompleta.</w:t>
      </w:r>
    </w:p>
    <w:p w14:paraId="49AB68CA" w14:textId="77777777" w:rsidR="00056184" w:rsidRPr="00AD39F2" w:rsidRDefault="00056184" w:rsidP="00AD39F2">
      <w:pPr>
        <w:tabs>
          <w:tab w:val="left" w:pos="4962"/>
        </w:tabs>
        <w:contextualSpacing/>
        <w:rPr>
          <w:rFonts w:eastAsiaTheme="minorHAnsi" w:cs="Tahoma"/>
          <w:bCs/>
          <w:iCs/>
          <w:szCs w:val="22"/>
          <w:lang w:eastAsia="en-US"/>
        </w:rPr>
      </w:pPr>
    </w:p>
    <w:p w14:paraId="4FDFDF34" w14:textId="76945007" w:rsidR="00056184" w:rsidRPr="00AD39F2" w:rsidRDefault="00056184" w:rsidP="00AD39F2">
      <w:pPr>
        <w:tabs>
          <w:tab w:val="left" w:pos="4962"/>
        </w:tabs>
        <w:contextualSpacing/>
        <w:rPr>
          <w:rFonts w:eastAsiaTheme="minorHAnsi" w:cs="Tahoma"/>
          <w:bCs/>
          <w:iCs/>
          <w:szCs w:val="22"/>
          <w:lang w:eastAsia="en-US"/>
        </w:rPr>
      </w:pPr>
      <w:r w:rsidRPr="00AD39F2">
        <w:rPr>
          <w:rFonts w:eastAsiaTheme="minorHAnsi" w:cs="Tahoma"/>
          <w:bCs/>
          <w:iCs/>
          <w:szCs w:val="22"/>
          <w:lang w:eastAsia="en-US"/>
        </w:rPr>
        <w:t xml:space="preserve">En ese sentido, </w:t>
      </w:r>
      <w:r w:rsidRPr="00AD39F2">
        <w:rPr>
          <w:rFonts w:eastAsiaTheme="minorHAnsi" w:cs="Tahoma"/>
          <w:b/>
          <w:bCs/>
          <w:iCs/>
          <w:szCs w:val="22"/>
          <w:lang w:eastAsia="en-US"/>
        </w:rPr>
        <w:t xml:space="preserve">EL SUJETO OBLIGADO </w:t>
      </w:r>
      <w:r w:rsidRPr="00AD39F2">
        <w:rPr>
          <w:rFonts w:eastAsiaTheme="minorHAnsi" w:cs="Tahoma"/>
          <w:bCs/>
          <w:iCs/>
          <w:szCs w:val="22"/>
          <w:lang w:eastAsia="en-US"/>
        </w:rPr>
        <w:t xml:space="preserve">a través de la etapa de manifestaciones, rindió su informe justificado en donde modifica su respuesta inicial </w:t>
      </w:r>
      <w:r w:rsidR="00D75C4F" w:rsidRPr="00AD39F2">
        <w:rPr>
          <w:rFonts w:eastAsiaTheme="minorHAnsi" w:cs="Tahoma"/>
          <w:bCs/>
          <w:iCs/>
          <w:szCs w:val="22"/>
          <w:lang w:eastAsia="en-US"/>
        </w:rPr>
        <w:t xml:space="preserve">y hace entrega de los registros faltantes correspondientes a los años </w:t>
      </w:r>
      <w:r w:rsidR="00D75C4F" w:rsidRPr="00AD39F2">
        <w:rPr>
          <w:rFonts w:eastAsiaTheme="minorHAnsi" w:cs="Tahoma"/>
          <w:b/>
          <w:bCs/>
          <w:iCs/>
          <w:szCs w:val="22"/>
          <w:lang w:eastAsia="en-US"/>
        </w:rPr>
        <w:t xml:space="preserve">2000, </w:t>
      </w:r>
      <w:r w:rsidR="00D75C4F" w:rsidRPr="00AD39F2">
        <w:rPr>
          <w:rFonts w:eastAsia="Calibri" w:cs="Tahoma"/>
          <w:b/>
          <w:szCs w:val="22"/>
          <w:lang w:eastAsia="en-US"/>
        </w:rPr>
        <w:t>2003, 2006, 2009 y 2012</w:t>
      </w:r>
      <w:r w:rsidR="00D75C4F" w:rsidRPr="00AD39F2">
        <w:rPr>
          <w:rFonts w:eastAsia="Calibri" w:cs="Tahoma"/>
          <w:szCs w:val="22"/>
          <w:lang w:eastAsia="en-US"/>
        </w:rPr>
        <w:t xml:space="preserve"> y por cuanto hace al año </w:t>
      </w:r>
      <w:r w:rsidR="00D75C4F" w:rsidRPr="00AD39F2">
        <w:rPr>
          <w:rFonts w:eastAsia="Calibri" w:cs="Tahoma"/>
          <w:b/>
          <w:szCs w:val="22"/>
          <w:lang w:eastAsia="en-US"/>
        </w:rPr>
        <w:t>1996</w:t>
      </w:r>
      <w:r w:rsidR="00D75C4F" w:rsidRPr="00AD39F2">
        <w:rPr>
          <w:rFonts w:eastAsia="Calibri" w:cs="Tahoma"/>
          <w:szCs w:val="22"/>
          <w:lang w:eastAsia="en-US"/>
        </w:rPr>
        <w:t xml:space="preserve"> se remite documento consistente en 26 fijas, relativo a una memoria realizada por la Junta Municipal de Tepotzotlán con los acontecimientos más importantes y relevantes de la elección, misma que contiene el listado de planilla ganadora, indicando que ese documento es el único que se tiene respecto de la elección llevada a cabo en dicho año.</w:t>
      </w:r>
    </w:p>
    <w:p w14:paraId="6EF4B744" w14:textId="57C23417" w:rsidR="00056184" w:rsidRPr="00AD39F2" w:rsidRDefault="00056184" w:rsidP="00AD39F2">
      <w:pPr>
        <w:tabs>
          <w:tab w:val="left" w:pos="4962"/>
        </w:tabs>
        <w:contextualSpacing/>
        <w:rPr>
          <w:rFonts w:eastAsiaTheme="minorHAnsi" w:cs="Tahoma"/>
          <w:bCs/>
          <w:iCs/>
          <w:szCs w:val="22"/>
          <w:lang w:eastAsia="en-US"/>
        </w:rPr>
      </w:pPr>
    </w:p>
    <w:p w14:paraId="3AE282CB" w14:textId="1249D3F5" w:rsidR="00831F51" w:rsidRPr="00AD39F2" w:rsidRDefault="00A21A20" w:rsidP="00AD39F2">
      <w:pPr>
        <w:pStyle w:val="Ttulo3"/>
      </w:pPr>
      <w:bookmarkStart w:id="27" w:name="_Toc200539208"/>
      <w:r w:rsidRPr="00AD39F2">
        <w:t>c)</w:t>
      </w:r>
      <w:r w:rsidR="00664420" w:rsidRPr="00AD39F2">
        <w:t xml:space="preserve"> </w:t>
      </w:r>
      <w:r w:rsidRPr="00AD39F2">
        <w:t>Estudio de la controversia</w:t>
      </w:r>
      <w:bookmarkEnd w:id="27"/>
    </w:p>
    <w:p w14:paraId="35EA1DC7" w14:textId="66C47C41" w:rsidR="00E54070" w:rsidRPr="00AD39F2" w:rsidRDefault="00D75C4F" w:rsidP="00AD39F2">
      <w:r w:rsidRPr="00AD39F2">
        <w:t>Una vez descrito lo anterior, e</w:t>
      </w:r>
      <w:r w:rsidR="00E54070" w:rsidRPr="00AD39F2">
        <w:t xml:space="preserve">ste Órgano </w:t>
      </w:r>
      <w:r w:rsidR="00941A59" w:rsidRPr="00AD39F2">
        <w:t xml:space="preserve">Garante </w:t>
      </w:r>
      <w:r w:rsidR="00E54070" w:rsidRPr="00AD39F2">
        <w:t xml:space="preserve">considera que de la inconformidad presentada por </w:t>
      </w:r>
      <w:r w:rsidR="00E54070" w:rsidRPr="00AD39F2">
        <w:rPr>
          <w:b/>
        </w:rPr>
        <w:t>LA PARTE RECURRENTE</w:t>
      </w:r>
      <w:r w:rsidR="00E54070" w:rsidRPr="00AD39F2">
        <w:t xml:space="preserve">, </w:t>
      </w:r>
      <w:r w:rsidR="00AF5D6D" w:rsidRPr="00AD39F2">
        <w:t xml:space="preserve">únicamente </w:t>
      </w:r>
      <w:r w:rsidRPr="00AD39F2">
        <w:t>es posible dilucidar el agravio argüido por cuanto hace a la falta de entrega de los años restantes, consintiendo la información referente al ejercicio fiscal 2021 y 2024</w:t>
      </w:r>
      <w:r w:rsidR="00AF5D6D" w:rsidRPr="00AD39F2">
        <w:t>,</w:t>
      </w:r>
      <w:r w:rsidR="00E54070" w:rsidRPr="00AD39F2">
        <w:t xml:space="preserve"> por ello los rubros de la solicitud de información pública que fueron atendidas por </w:t>
      </w:r>
      <w:r w:rsidR="00E54070" w:rsidRPr="00AD39F2">
        <w:rPr>
          <w:b/>
        </w:rPr>
        <w:t xml:space="preserve">EL SUJETO OBLIGADO </w:t>
      </w:r>
      <w:r w:rsidR="00E54070" w:rsidRPr="00AD39F2">
        <w:t>y no combatidas por el particular deben declararse como consentidas; ello en razón de lo señalado con anterioridad.</w:t>
      </w:r>
    </w:p>
    <w:p w14:paraId="71852A0A" w14:textId="77777777" w:rsidR="00E54070" w:rsidRPr="00AD39F2" w:rsidRDefault="00E54070" w:rsidP="00AD39F2">
      <w:pPr>
        <w:widowControl w:val="0"/>
        <w:tabs>
          <w:tab w:val="left" w:pos="1276"/>
        </w:tabs>
      </w:pPr>
    </w:p>
    <w:p w14:paraId="1CAABE2B" w14:textId="77777777" w:rsidR="00E54070" w:rsidRPr="00AD39F2" w:rsidRDefault="00E54070" w:rsidP="00AD39F2">
      <w:pPr>
        <w:ind w:right="49"/>
      </w:pPr>
      <w:r w:rsidRPr="00AD39F2">
        <w:lastRenderedPageBreak/>
        <w:t>Sirve de sustento por analogía la tesis jurisprudencial número VI.3o.C. J/60, publicada en el Semanario Judicial de la Federación y su Gaceta bajo el número de registro electrónico 176608 que a la letra dice:</w:t>
      </w:r>
    </w:p>
    <w:p w14:paraId="5D4E26E6" w14:textId="77777777" w:rsidR="00E54070" w:rsidRPr="00AD39F2" w:rsidRDefault="00E54070" w:rsidP="00AD39F2">
      <w:pPr>
        <w:ind w:right="49"/>
      </w:pPr>
    </w:p>
    <w:p w14:paraId="1A373700" w14:textId="77777777" w:rsidR="00E54070" w:rsidRPr="00AD39F2" w:rsidRDefault="00E54070" w:rsidP="00AD39F2">
      <w:pPr>
        <w:spacing w:line="240" w:lineRule="auto"/>
        <w:ind w:left="851" w:right="902"/>
        <w:rPr>
          <w:i/>
        </w:rPr>
      </w:pPr>
      <w:r w:rsidRPr="00AD39F2">
        <w:rPr>
          <w:b/>
          <w:i/>
        </w:rPr>
        <w:t xml:space="preserve">“ACTOS CONSENTIDOS. SON LOS QUE NO SE IMPUGNAN MEDIANTE EL RECURSO IDÓNEO. </w:t>
      </w:r>
      <w:r w:rsidRPr="00AD39F2">
        <w:rPr>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345AEA0" w14:textId="77777777" w:rsidR="00E54070" w:rsidRPr="00AD39F2" w:rsidRDefault="00E54070" w:rsidP="00AD39F2">
      <w:pPr>
        <w:ind w:right="49"/>
      </w:pPr>
    </w:p>
    <w:p w14:paraId="33490FBC" w14:textId="77777777" w:rsidR="00E54070" w:rsidRPr="00AD39F2" w:rsidRDefault="00E54070" w:rsidP="00AD39F2">
      <w:pPr>
        <w:ind w:right="49"/>
      </w:pPr>
      <w:r w:rsidRPr="00AD39F2">
        <w:t>Consecuentemente, la parte de la respuesta que no fue impugnada debe declararse consentida por el ciudadano, toda vez que no realizó manifestaciones de inconformidad; por lo que, no pueden producirse efectos jurídicos tendentes a revocar, confirmar o modificar el acto reclamado, ya que se infiere su consentimiento ante la falta de impugnación eficaz.</w:t>
      </w:r>
    </w:p>
    <w:p w14:paraId="14ED7072" w14:textId="77777777" w:rsidR="00E54070" w:rsidRPr="00AD39F2" w:rsidRDefault="00E54070" w:rsidP="00AD39F2">
      <w:pPr>
        <w:ind w:right="49"/>
      </w:pPr>
    </w:p>
    <w:p w14:paraId="73FF9463" w14:textId="77777777" w:rsidR="00E54070" w:rsidRPr="00AD39F2" w:rsidRDefault="00E54070" w:rsidP="00AD39F2">
      <w:pPr>
        <w:ind w:right="49"/>
      </w:pPr>
      <w:r w:rsidRPr="00AD39F2">
        <w:t>Sirve como apoyo a lo anterior, por analogía, la Tesis Jurisprudencial Número 3ª./J.7/91, Publicada en el Semanario Judicial de la Federación y su Gaceta bajo el número de registro electrónico 174177, que establece lo siguiente:</w:t>
      </w:r>
    </w:p>
    <w:p w14:paraId="2EEC850A" w14:textId="77777777" w:rsidR="00E54070" w:rsidRPr="00AD39F2" w:rsidRDefault="00E54070" w:rsidP="00AD39F2">
      <w:pPr>
        <w:ind w:right="49"/>
      </w:pPr>
    </w:p>
    <w:p w14:paraId="42B899D7" w14:textId="77777777" w:rsidR="00E54070" w:rsidRPr="00AD39F2" w:rsidRDefault="00E54070" w:rsidP="00AD39F2">
      <w:pPr>
        <w:spacing w:line="240" w:lineRule="auto"/>
        <w:ind w:left="851" w:right="822"/>
        <w:rPr>
          <w:rFonts w:cs="Tahoma"/>
          <w:bCs/>
          <w:szCs w:val="22"/>
        </w:rPr>
      </w:pPr>
      <w:r w:rsidRPr="00AD39F2">
        <w:rPr>
          <w:b/>
          <w:i/>
        </w:rPr>
        <w:t xml:space="preserve">“REVISIÓN EN AMPARO. LOS RESOLUTIVOS NO COMBATIDOS DEBEN DECLARARSE FIRMES. </w:t>
      </w:r>
      <w:r w:rsidRPr="00AD39F2">
        <w:rPr>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64B35F0A" w14:textId="77777777" w:rsidR="00E54070" w:rsidRPr="00AD39F2" w:rsidRDefault="00E54070" w:rsidP="00AD39F2">
      <w:pPr>
        <w:widowControl w:val="0"/>
        <w:autoSpaceDE w:val="0"/>
        <w:autoSpaceDN w:val="0"/>
        <w:adjustRightInd w:val="0"/>
        <w:rPr>
          <w:rFonts w:eastAsia="Palatino Linotype" w:cs="Palatino Linotype"/>
        </w:rPr>
      </w:pPr>
    </w:p>
    <w:p w14:paraId="0F82DB79" w14:textId="2713AFB0" w:rsidR="00056184" w:rsidRPr="00AD39F2" w:rsidRDefault="00056184" w:rsidP="00AD39F2">
      <w:pPr>
        <w:widowControl w:val="0"/>
        <w:autoSpaceDE w:val="0"/>
        <w:autoSpaceDN w:val="0"/>
        <w:adjustRightInd w:val="0"/>
        <w:rPr>
          <w:rFonts w:eastAsia="Palatino Linotype" w:cs="Palatino Linotype"/>
        </w:rPr>
      </w:pPr>
      <w:r w:rsidRPr="00AD39F2">
        <w:rPr>
          <w:rFonts w:eastAsia="Palatino Linotype" w:cs="Palatino Linotype"/>
        </w:rPr>
        <w:lastRenderedPageBreak/>
        <w:t xml:space="preserve">Una vez sentado lo anterior, </w:t>
      </w:r>
      <w:r w:rsidR="00382272" w:rsidRPr="00AD39F2">
        <w:rPr>
          <w:rFonts w:eastAsia="Palatino Linotype" w:cs="Palatino Linotype"/>
        </w:rPr>
        <w:t xml:space="preserve">en aras de establecer la competencia de la dependencia que se ha pronunciado a través de la respuesta primigenia e informe justificado, es menester invocar lo que establece el Manual General de Organización del </w:t>
      </w:r>
      <w:r w:rsidR="00382272" w:rsidRPr="00AD39F2">
        <w:rPr>
          <w:rFonts w:eastAsia="Palatino Linotype" w:cs="Palatino Linotype"/>
          <w:b/>
        </w:rPr>
        <w:t xml:space="preserve">SUJETO OBLIGADO </w:t>
      </w:r>
      <w:r w:rsidR="00382272" w:rsidRPr="00AD39F2">
        <w:rPr>
          <w:rFonts w:eastAsia="Palatino Linotype" w:cs="Palatino Linotype"/>
        </w:rPr>
        <w:t xml:space="preserve">el cual indica las funciones y objetivo de la Dirección de Partidos Políticos, que de nuestro interés toman relevancia las siguientes: </w:t>
      </w:r>
    </w:p>
    <w:p w14:paraId="1E9A2593" w14:textId="77777777" w:rsidR="00056184" w:rsidRPr="00AD39F2" w:rsidRDefault="00056184" w:rsidP="00AD39F2">
      <w:pPr>
        <w:widowControl w:val="0"/>
        <w:autoSpaceDE w:val="0"/>
        <w:autoSpaceDN w:val="0"/>
        <w:adjustRightInd w:val="0"/>
      </w:pPr>
    </w:p>
    <w:p w14:paraId="2882CBEC" w14:textId="10424732" w:rsidR="00382272" w:rsidRPr="00AD39F2" w:rsidRDefault="00382272" w:rsidP="00AD39F2">
      <w:pPr>
        <w:widowControl w:val="0"/>
        <w:autoSpaceDE w:val="0"/>
        <w:autoSpaceDN w:val="0"/>
        <w:adjustRightInd w:val="0"/>
        <w:spacing w:line="240" w:lineRule="auto"/>
        <w:ind w:left="567" w:right="539"/>
        <w:rPr>
          <w:i/>
        </w:rPr>
      </w:pPr>
      <w:r w:rsidRPr="00AD39F2">
        <w:rPr>
          <w:i/>
        </w:rPr>
        <w:t>15.- Dirección de Partidos Políticos</w:t>
      </w:r>
    </w:p>
    <w:p w14:paraId="59B2160A" w14:textId="3C9C920F" w:rsidR="00382272" w:rsidRPr="00AD39F2" w:rsidRDefault="00382272" w:rsidP="00AD39F2">
      <w:pPr>
        <w:widowControl w:val="0"/>
        <w:autoSpaceDE w:val="0"/>
        <w:autoSpaceDN w:val="0"/>
        <w:adjustRightInd w:val="0"/>
        <w:spacing w:line="240" w:lineRule="auto"/>
        <w:ind w:left="567" w:right="539"/>
        <w:rPr>
          <w:i/>
        </w:rPr>
      </w:pPr>
      <w:r w:rsidRPr="00AD39F2">
        <w:rPr>
          <w:i/>
        </w:rPr>
        <w:t>Objetivo: Verificar y garantizar a los partidos políticos con acreditación o registro ante el IEEM y, en su caso, candidaturas independientes, el ejercicio de sus derechos, prerrogativas y el cumplimiento de sus obligaciones; lo relativo al acceso a la radio y televisión del IEEM; así como garantizar a las organizaciones ciudadanas su derecho de asociación política para constituirse como partido político local.</w:t>
      </w:r>
    </w:p>
    <w:p w14:paraId="6CBDEC87" w14:textId="77777777" w:rsidR="00382272" w:rsidRPr="00AD39F2" w:rsidRDefault="00382272" w:rsidP="00AD39F2">
      <w:pPr>
        <w:widowControl w:val="0"/>
        <w:autoSpaceDE w:val="0"/>
        <w:autoSpaceDN w:val="0"/>
        <w:adjustRightInd w:val="0"/>
        <w:spacing w:line="240" w:lineRule="auto"/>
        <w:ind w:left="567" w:right="539"/>
        <w:rPr>
          <w:i/>
        </w:rPr>
      </w:pPr>
    </w:p>
    <w:p w14:paraId="4D27D5AD" w14:textId="76C556E1" w:rsidR="00382272" w:rsidRPr="00AD39F2" w:rsidRDefault="00382272" w:rsidP="00AD39F2">
      <w:pPr>
        <w:widowControl w:val="0"/>
        <w:autoSpaceDE w:val="0"/>
        <w:autoSpaceDN w:val="0"/>
        <w:adjustRightInd w:val="0"/>
        <w:spacing w:line="240" w:lineRule="auto"/>
        <w:ind w:left="567" w:right="539"/>
        <w:rPr>
          <w:i/>
        </w:rPr>
      </w:pPr>
      <w:r w:rsidRPr="00AD39F2">
        <w:rPr>
          <w:i/>
        </w:rPr>
        <w:t>Funciones:</w:t>
      </w:r>
    </w:p>
    <w:p w14:paraId="0BA2ED07" w14:textId="031B8741" w:rsidR="00382272" w:rsidRPr="00AD39F2" w:rsidRDefault="00382272" w:rsidP="00AD39F2">
      <w:pPr>
        <w:widowControl w:val="0"/>
        <w:autoSpaceDE w:val="0"/>
        <w:autoSpaceDN w:val="0"/>
        <w:adjustRightInd w:val="0"/>
        <w:spacing w:line="240" w:lineRule="auto"/>
        <w:ind w:left="567" w:right="539"/>
        <w:rPr>
          <w:i/>
        </w:rPr>
      </w:pPr>
      <w:r w:rsidRPr="00AD39F2">
        <w:rPr>
          <w:i/>
        </w:rPr>
        <w:t>(…)</w:t>
      </w:r>
    </w:p>
    <w:p w14:paraId="52208A79" w14:textId="054E330D" w:rsidR="00382272" w:rsidRPr="00AD39F2" w:rsidRDefault="00382272" w:rsidP="00AD39F2">
      <w:pPr>
        <w:widowControl w:val="0"/>
        <w:autoSpaceDE w:val="0"/>
        <w:autoSpaceDN w:val="0"/>
        <w:adjustRightInd w:val="0"/>
        <w:spacing w:line="240" w:lineRule="auto"/>
        <w:ind w:left="567" w:right="539"/>
        <w:rPr>
          <w:i/>
        </w:rPr>
      </w:pPr>
      <w:r w:rsidRPr="00AD39F2">
        <w:rPr>
          <w:i/>
        </w:rPr>
        <w:t>Coordinar la actualización de la normatividad para el registro de representantes de partidos políticos y, en su caso, candidaturas independientes ante los órganos desconcentrados para el registro de candidaturas a puestos de elección popular.</w:t>
      </w:r>
    </w:p>
    <w:p w14:paraId="17F1D233" w14:textId="77777777" w:rsidR="00E54070" w:rsidRPr="00AD39F2" w:rsidRDefault="00E54070" w:rsidP="00AD39F2">
      <w:pPr>
        <w:contextualSpacing/>
        <w:rPr>
          <w:rFonts w:eastAsia="Calibri" w:cs="Tahoma"/>
          <w:b/>
          <w:bCs/>
          <w:szCs w:val="22"/>
        </w:rPr>
      </w:pPr>
    </w:p>
    <w:p w14:paraId="1E4993B3" w14:textId="77777777" w:rsidR="00830308" w:rsidRPr="00AD39F2" w:rsidRDefault="00830308" w:rsidP="00AD39F2">
      <w:pPr>
        <w:rPr>
          <w:lang w:val="es-ES"/>
        </w:rPr>
      </w:pPr>
      <w:r w:rsidRPr="00AD39F2">
        <w:t xml:space="preserve">Precisado lo anterior, resulta necesario hacer referencia al </w:t>
      </w:r>
      <w:r w:rsidRPr="00AD39F2">
        <w:rPr>
          <w:b/>
          <w:bCs/>
          <w:lang w:val="es-ES"/>
        </w:rPr>
        <w:t>procedimiento de búsqueda que deben de seguir los Sujetos Obligados para localizar la información que le sea solicitada mediante el derecho de acceso a la información pública</w:t>
      </w:r>
      <w:r w:rsidRPr="00AD39F2">
        <w:rPr>
          <w:lang w:val="es-ES"/>
        </w:rPr>
        <w:t>, el cual se encuentra previsto en los artículos 160 y 162 de la Ley de Transparencia y Acceso a la Información Pública del Estado de México y Municipios, mismo que es el siguiente:</w:t>
      </w:r>
    </w:p>
    <w:p w14:paraId="07B3FA05" w14:textId="77777777" w:rsidR="00830308" w:rsidRPr="00AD39F2" w:rsidRDefault="00830308" w:rsidP="00AD39F2">
      <w:pPr>
        <w:rPr>
          <w:lang w:val="es-ES"/>
        </w:rPr>
      </w:pPr>
    </w:p>
    <w:p w14:paraId="1E8B49F1" w14:textId="77777777" w:rsidR="00830308" w:rsidRPr="00AD39F2" w:rsidRDefault="00830308" w:rsidP="00AD39F2">
      <w:pPr>
        <w:numPr>
          <w:ilvl w:val="0"/>
          <w:numId w:val="30"/>
        </w:numPr>
        <w:rPr>
          <w:lang w:val="es-ES"/>
        </w:rPr>
      </w:pPr>
      <w:r w:rsidRPr="00AD39F2">
        <w:rPr>
          <w:lang w:val="es-ES"/>
        </w:rPr>
        <w:t xml:space="preserve">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 </w:t>
      </w:r>
    </w:p>
    <w:p w14:paraId="60A057E6" w14:textId="77777777" w:rsidR="00830308" w:rsidRPr="00AD39F2" w:rsidRDefault="00830308" w:rsidP="00AD39F2">
      <w:pPr>
        <w:rPr>
          <w:lang w:val="es-ES"/>
        </w:rPr>
      </w:pPr>
    </w:p>
    <w:p w14:paraId="0258F8FC" w14:textId="77777777" w:rsidR="00830308" w:rsidRPr="00AD39F2" w:rsidRDefault="00830308" w:rsidP="00AD39F2">
      <w:pPr>
        <w:numPr>
          <w:ilvl w:val="0"/>
          <w:numId w:val="30"/>
        </w:numPr>
        <w:rPr>
          <w:lang w:val="es-ES"/>
        </w:rPr>
      </w:pPr>
      <w:r w:rsidRPr="00AD39F2">
        <w:rPr>
          <w:lang w:val="es-ES"/>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2A549AA3" w14:textId="77777777" w:rsidR="00830308" w:rsidRPr="00AD39F2" w:rsidRDefault="00830308" w:rsidP="00AD39F2"/>
    <w:p w14:paraId="0ABD36D0" w14:textId="77777777" w:rsidR="00830308" w:rsidRPr="00AD39F2" w:rsidRDefault="00830308" w:rsidP="00AD39F2">
      <w:pPr>
        <w:rPr>
          <w:b/>
        </w:rPr>
      </w:pPr>
      <w:r w:rsidRPr="00AD39F2">
        <w:t>En ese tenor, si bien, la Titular de la Unidad de Transparencia es la encargada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tramitar ante las Áreas poseedoras de la información que se solicita, a efecto de entregarla al solicitante, de acuerdo a la forma en que la Unidad Administrativa correspondiente, la genere, recopile, administre, maneje, procese, archive o conserve, esto de conformidad con los artículos 51 y 53 fracción IV de la Ley en cita, que refieren:</w:t>
      </w:r>
      <w:r w:rsidRPr="00AD39F2">
        <w:rPr>
          <w:b/>
        </w:rPr>
        <w:t xml:space="preserve"> </w:t>
      </w:r>
    </w:p>
    <w:p w14:paraId="17EC7AA5" w14:textId="77777777" w:rsidR="00830308" w:rsidRPr="00AD39F2" w:rsidRDefault="00830308" w:rsidP="00AD39F2"/>
    <w:p w14:paraId="6629BE71" w14:textId="77777777" w:rsidR="00830308" w:rsidRPr="00AD39F2" w:rsidRDefault="00830308" w:rsidP="00AD39F2">
      <w:pPr>
        <w:pStyle w:val="Puesto"/>
        <w:jc w:val="center"/>
        <w:rPr>
          <w:b/>
        </w:rPr>
      </w:pPr>
      <w:r w:rsidRPr="00AD39F2">
        <w:rPr>
          <w:b/>
        </w:rPr>
        <w:t>“Ley de Transparencia y Acceso a la Información Pública del Estado de México y Municipios</w:t>
      </w:r>
    </w:p>
    <w:p w14:paraId="6A7BDF39" w14:textId="77777777" w:rsidR="00830308" w:rsidRPr="00AD39F2" w:rsidRDefault="00830308" w:rsidP="00AD39F2">
      <w:pPr>
        <w:pStyle w:val="Puesto"/>
      </w:pPr>
      <w:r w:rsidRPr="00AD39F2">
        <w:t xml:space="preserve">“Artículo 50. Los sujetos obligados contarán con un área responsable para la atención de las solicitudes de información, a la que se le denominará Unidad de Transparencia. </w:t>
      </w:r>
    </w:p>
    <w:p w14:paraId="2D2F764F" w14:textId="77777777" w:rsidR="00830308" w:rsidRPr="00AD39F2" w:rsidRDefault="00830308" w:rsidP="00AD39F2">
      <w:pPr>
        <w:pStyle w:val="Puesto"/>
      </w:pPr>
      <w:r w:rsidRPr="00AD39F2">
        <w:t xml:space="preserve">Artículo 51. Los sujetos obligados designaran a un responsable para atender la Unidad de Transparencia, quien fungirá como enlace entre éstos y los solicitantes. </w:t>
      </w:r>
      <w:r w:rsidRPr="00AD39F2">
        <w:rPr>
          <w:b/>
          <w:u w:val="single"/>
        </w:rPr>
        <w:t>Dicha Unidad será la encargada de tramitar internamente la solicitud de información</w:t>
      </w:r>
      <w:r w:rsidRPr="00AD39F2">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10DA7E0F" w14:textId="77777777" w:rsidR="00830308" w:rsidRPr="00AD39F2" w:rsidRDefault="00830308" w:rsidP="00AD39F2">
      <w:pPr>
        <w:pStyle w:val="Puesto"/>
      </w:pPr>
      <w:r w:rsidRPr="00AD39F2">
        <w:t>…</w:t>
      </w:r>
    </w:p>
    <w:p w14:paraId="2922B242" w14:textId="77777777" w:rsidR="00830308" w:rsidRPr="00AD39F2" w:rsidRDefault="00830308" w:rsidP="00AD39F2">
      <w:pPr>
        <w:pStyle w:val="Puesto"/>
      </w:pPr>
      <w:r w:rsidRPr="00AD39F2">
        <w:t>Artículo 53. Las Unidades de Transparencia tendrán las siguientes funciones:</w:t>
      </w:r>
    </w:p>
    <w:p w14:paraId="331D5948" w14:textId="77777777" w:rsidR="00830308" w:rsidRPr="00AD39F2" w:rsidRDefault="00830308" w:rsidP="00AD39F2">
      <w:pPr>
        <w:pStyle w:val="Puesto"/>
      </w:pPr>
      <w:r w:rsidRPr="00AD39F2">
        <w:t>…</w:t>
      </w:r>
    </w:p>
    <w:p w14:paraId="07F6E7B1" w14:textId="77777777" w:rsidR="00830308" w:rsidRPr="00AD39F2" w:rsidRDefault="00830308" w:rsidP="00AD39F2">
      <w:pPr>
        <w:pStyle w:val="Puesto"/>
      </w:pPr>
      <w:r w:rsidRPr="00AD39F2">
        <w:t xml:space="preserve">II. Recibir, tramitar y dar respuesta a las solicitudes de acceso a la información; </w:t>
      </w:r>
    </w:p>
    <w:p w14:paraId="26231E2F" w14:textId="77777777" w:rsidR="00830308" w:rsidRPr="00AD39F2" w:rsidRDefault="00830308" w:rsidP="00AD39F2">
      <w:pPr>
        <w:pStyle w:val="Puesto"/>
      </w:pPr>
      <w:r w:rsidRPr="00AD39F2">
        <w:t>…</w:t>
      </w:r>
    </w:p>
    <w:p w14:paraId="2C49C359" w14:textId="77777777" w:rsidR="00830308" w:rsidRPr="00AD39F2" w:rsidRDefault="00830308" w:rsidP="00AD39F2">
      <w:pPr>
        <w:pStyle w:val="Puesto"/>
        <w:rPr>
          <w:b/>
          <w:u w:val="single"/>
        </w:rPr>
      </w:pPr>
      <w:r w:rsidRPr="00AD39F2">
        <w:rPr>
          <w:b/>
          <w:u w:val="single"/>
        </w:rPr>
        <w:lastRenderedPageBreak/>
        <w:t xml:space="preserve">IV. Realizar, con efectividad, los trámites internos necesarios para la atención de las solicitudes de acceso a la información; </w:t>
      </w:r>
    </w:p>
    <w:p w14:paraId="24D7F1BE" w14:textId="77777777" w:rsidR="00830308" w:rsidRPr="00AD39F2" w:rsidRDefault="00830308" w:rsidP="00AD39F2">
      <w:pPr>
        <w:pStyle w:val="Puesto"/>
      </w:pPr>
      <w:r w:rsidRPr="00AD39F2">
        <w:t xml:space="preserve">V. Entregar, en su caso, a los particulares la información solicitada; </w:t>
      </w:r>
    </w:p>
    <w:p w14:paraId="0B61D9A6" w14:textId="77777777" w:rsidR="00830308" w:rsidRPr="00AD39F2" w:rsidRDefault="00830308" w:rsidP="00AD39F2">
      <w:pPr>
        <w:pStyle w:val="Puesto"/>
      </w:pPr>
      <w:r w:rsidRPr="00AD39F2">
        <w:t>VI. Efectuar las notificaciones a los solicitantes;” (Sic)</w:t>
      </w:r>
    </w:p>
    <w:p w14:paraId="43E75DB1" w14:textId="77777777" w:rsidR="00830308" w:rsidRPr="00AD39F2" w:rsidRDefault="00830308" w:rsidP="00AD39F2"/>
    <w:p w14:paraId="1E022579" w14:textId="77777777" w:rsidR="00830308" w:rsidRPr="00AD39F2" w:rsidRDefault="00830308" w:rsidP="00AD39F2">
      <w:r w:rsidRPr="00AD39F2">
        <w:t xml:space="preserve">Aunado a lo anterior, se debe señalar que aunque la solicitud de información y la respuesta estén dirigidas y atendidas por un </w:t>
      </w:r>
      <w:r w:rsidRPr="00AD39F2">
        <w:rPr>
          <w:b/>
        </w:rPr>
        <w:t>SUJETO OBLIGADO</w:t>
      </w:r>
      <w:r w:rsidRPr="00AD39F2">
        <w:t>, lo cierto es que también tienen diversas Unidades Administrativas y cada área cuenta con un Servidor Público Habilitado,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53644216" w14:textId="77777777" w:rsidR="00830308" w:rsidRPr="00AD39F2" w:rsidRDefault="00830308" w:rsidP="00AD39F2"/>
    <w:p w14:paraId="4848297F" w14:textId="77777777" w:rsidR="00830308" w:rsidRPr="00AD39F2" w:rsidRDefault="00830308" w:rsidP="00AD39F2">
      <w:pPr>
        <w:pStyle w:val="Puesto"/>
      </w:pPr>
      <w:r w:rsidRPr="00AD39F2">
        <w:rPr>
          <w:b/>
        </w:rPr>
        <w:t>“Artículo 3.</w:t>
      </w:r>
      <w:r w:rsidRPr="00AD39F2">
        <w:t xml:space="preserve"> Para los efectos de la presente Ley se entenderá por:</w:t>
      </w:r>
    </w:p>
    <w:p w14:paraId="136CCF5F" w14:textId="77777777" w:rsidR="00830308" w:rsidRPr="00AD39F2" w:rsidRDefault="00830308" w:rsidP="00AD39F2">
      <w:pPr>
        <w:pStyle w:val="Puesto"/>
      </w:pPr>
      <w:r w:rsidRPr="00AD39F2">
        <w:t>…</w:t>
      </w:r>
    </w:p>
    <w:p w14:paraId="505C2802" w14:textId="77777777" w:rsidR="00830308" w:rsidRPr="00AD39F2" w:rsidRDefault="00830308" w:rsidP="00AD39F2">
      <w:pPr>
        <w:pStyle w:val="Puesto"/>
      </w:pPr>
      <w:r w:rsidRPr="00AD39F2">
        <w:rPr>
          <w:b/>
        </w:rPr>
        <w:t xml:space="preserve">XXXIX. Servidor público habilitado: </w:t>
      </w:r>
      <w:r w:rsidRPr="00AD39F2">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7A77ACEA" w14:textId="77777777" w:rsidR="00830308" w:rsidRPr="00AD39F2" w:rsidRDefault="00830308" w:rsidP="00AD39F2">
      <w:pPr>
        <w:pStyle w:val="Puesto"/>
      </w:pPr>
      <w:r w:rsidRPr="00AD39F2">
        <w:t>…</w:t>
      </w:r>
    </w:p>
    <w:p w14:paraId="5C318531" w14:textId="77777777" w:rsidR="00830308" w:rsidRPr="00AD39F2" w:rsidRDefault="00830308" w:rsidP="00AD39F2">
      <w:pPr>
        <w:pStyle w:val="Puesto"/>
      </w:pPr>
      <w:r w:rsidRPr="00AD39F2">
        <w:rPr>
          <w:b/>
        </w:rPr>
        <w:t>Artículo 58.</w:t>
      </w:r>
      <w:r w:rsidRPr="00AD39F2">
        <w:t xml:space="preserve"> Los servidores públicos habilitados serán designados por el titular del sujeto obligado a propuesta del responsable de la Unidad de Transparencia.</w:t>
      </w:r>
    </w:p>
    <w:p w14:paraId="72CF9020" w14:textId="77777777" w:rsidR="00830308" w:rsidRPr="00AD39F2" w:rsidRDefault="00830308" w:rsidP="00AD39F2">
      <w:pPr>
        <w:pStyle w:val="Puesto"/>
      </w:pPr>
      <w:r w:rsidRPr="00AD39F2">
        <w:rPr>
          <w:b/>
        </w:rPr>
        <w:t>Artículo 59.</w:t>
      </w:r>
      <w:r w:rsidRPr="00AD39F2">
        <w:t xml:space="preserve"> </w:t>
      </w:r>
      <w:r w:rsidRPr="00AD39F2">
        <w:rPr>
          <w:b/>
        </w:rPr>
        <w:t>Los servidores públicos habilitados</w:t>
      </w:r>
      <w:r w:rsidRPr="00AD39F2">
        <w:t xml:space="preserve"> tendrán las funciones siguientes:</w:t>
      </w:r>
    </w:p>
    <w:p w14:paraId="1FD907F9" w14:textId="77777777" w:rsidR="00830308" w:rsidRPr="00AD39F2" w:rsidRDefault="00830308" w:rsidP="00AD39F2">
      <w:pPr>
        <w:pStyle w:val="Puesto"/>
        <w:rPr>
          <w:b/>
        </w:rPr>
      </w:pPr>
      <w:r w:rsidRPr="00AD39F2">
        <w:rPr>
          <w:b/>
        </w:rPr>
        <w:t>I. Localizar la información que le solicite la Unidad de Transparencia;</w:t>
      </w:r>
    </w:p>
    <w:p w14:paraId="6413A81B" w14:textId="77777777" w:rsidR="00830308" w:rsidRPr="00AD39F2" w:rsidRDefault="00830308" w:rsidP="00AD39F2">
      <w:pPr>
        <w:pStyle w:val="Puesto"/>
        <w:rPr>
          <w:b/>
        </w:rPr>
      </w:pPr>
      <w:r w:rsidRPr="00AD39F2">
        <w:rPr>
          <w:b/>
        </w:rPr>
        <w:t>II. Proporcionar la información que obre en los archivos y que le sea solicitada por la Unidad de Transparencia;</w:t>
      </w:r>
    </w:p>
    <w:p w14:paraId="61250D0A" w14:textId="77777777" w:rsidR="00830308" w:rsidRPr="00AD39F2" w:rsidRDefault="00830308" w:rsidP="00AD39F2">
      <w:pPr>
        <w:pStyle w:val="Puesto"/>
      </w:pPr>
      <w:r w:rsidRPr="00AD39F2">
        <w:t>III. Apoyar a la Unidad de Transparencia en lo que esta le solicite para el cumplimiento de sus funciones;</w:t>
      </w:r>
    </w:p>
    <w:p w14:paraId="657234C9" w14:textId="77777777" w:rsidR="00830308" w:rsidRPr="00AD39F2" w:rsidRDefault="00830308" w:rsidP="00AD39F2">
      <w:pPr>
        <w:pStyle w:val="Puesto"/>
      </w:pPr>
      <w:r w:rsidRPr="00AD39F2">
        <w:t>IV. Proporcionar a la Unidad de Transparencia, las modificaciones a la información pública de oficio que obre en su poder;</w:t>
      </w:r>
    </w:p>
    <w:p w14:paraId="69600265" w14:textId="77777777" w:rsidR="00830308" w:rsidRPr="00AD39F2" w:rsidRDefault="00830308" w:rsidP="00AD39F2">
      <w:pPr>
        <w:pStyle w:val="Puesto"/>
      </w:pPr>
      <w:r w:rsidRPr="00AD39F2">
        <w:lastRenderedPageBreak/>
        <w:t>V. Integrar y presentar al responsable de la Unidad de Transparencia la propuesta de clasificación de información, la cual tendrá los fundamentos y argumentos en que se basa dicha propuesta;</w:t>
      </w:r>
    </w:p>
    <w:p w14:paraId="2348D4CE" w14:textId="77777777" w:rsidR="00830308" w:rsidRPr="00AD39F2" w:rsidRDefault="00830308" w:rsidP="00AD39F2">
      <w:pPr>
        <w:pStyle w:val="Puesto"/>
      </w:pPr>
      <w:r w:rsidRPr="00AD39F2">
        <w:t>VI. Verificar, una vez analizado el contenido de la información, que no se encuentre en los supuestos de información clasificada; y</w:t>
      </w:r>
    </w:p>
    <w:p w14:paraId="3C189CD5" w14:textId="77777777" w:rsidR="00830308" w:rsidRPr="00AD39F2" w:rsidRDefault="00830308" w:rsidP="00AD39F2">
      <w:pPr>
        <w:pStyle w:val="Puesto"/>
      </w:pPr>
      <w:r w:rsidRPr="00AD39F2">
        <w:t>VII. Dar cuenta a la Unidad de Transparencia del vencimiento de los plazos de reserva.” (Sic)</w:t>
      </w:r>
    </w:p>
    <w:p w14:paraId="1745617C" w14:textId="77777777" w:rsidR="00830308" w:rsidRPr="00AD39F2" w:rsidRDefault="00830308" w:rsidP="00AD39F2">
      <w:pPr>
        <w:rPr>
          <w:i/>
        </w:rPr>
      </w:pPr>
    </w:p>
    <w:p w14:paraId="5BB99E2C" w14:textId="77777777" w:rsidR="00830308" w:rsidRPr="00AD39F2" w:rsidRDefault="00830308" w:rsidP="00AD39F2">
      <w:r w:rsidRPr="00AD39F2">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14:paraId="7AF5ECCD" w14:textId="77777777" w:rsidR="00830308" w:rsidRPr="00AD39F2" w:rsidRDefault="00830308" w:rsidP="00AD39F2"/>
    <w:p w14:paraId="478A671D" w14:textId="77777777" w:rsidR="00830308" w:rsidRPr="00AD39F2" w:rsidRDefault="00830308" w:rsidP="00AD39F2">
      <w:r w:rsidRPr="00AD39F2">
        <w:t>En ese sentido, podemos dilucidar que, se cumplió con lo dispuesto en el artículo 162 de la Ley de Transparencia y Acceso a la Información Pública del Estado de México y Municipios, que índica:</w:t>
      </w:r>
    </w:p>
    <w:p w14:paraId="23A29A14" w14:textId="77777777" w:rsidR="00830308" w:rsidRPr="00AD39F2" w:rsidRDefault="00830308" w:rsidP="00AD39F2"/>
    <w:p w14:paraId="3319BD6E" w14:textId="2FFDC33D" w:rsidR="00E54070" w:rsidRPr="00AD39F2" w:rsidRDefault="00830308" w:rsidP="00AD39F2">
      <w:pPr>
        <w:spacing w:line="240" w:lineRule="auto"/>
        <w:ind w:left="567" w:right="539"/>
        <w:contextualSpacing/>
        <w:rPr>
          <w:rFonts w:eastAsia="Calibri" w:cs="Tahoma"/>
          <w:bCs/>
          <w:szCs w:val="22"/>
        </w:rPr>
      </w:pPr>
      <w:r w:rsidRPr="00AD39F2">
        <w:rPr>
          <w:i/>
        </w:rPr>
        <w:t>“</w:t>
      </w:r>
      <w:r w:rsidRPr="00AD39F2">
        <w:rPr>
          <w:b/>
          <w:i/>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AD39F2">
        <w:rPr>
          <w:i/>
        </w:rPr>
        <w:t>.” (Sic)</w:t>
      </w:r>
    </w:p>
    <w:p w14:paraId="3FA01D35" w14:textId="54D01796" w:rsidR="00AF5D6D" w:rsidRPr="00AD39F2" w:rsidRDefault="00AF5D6D" w:rsidP="00AD39F2">
      <w:pPr>
        <w:contextualSpacing/>
        <w:rPr>
          <w:rFonts w:eastAsia="Calibri" w:cs="Tahoma"/>
          <w:b/>
          <w:bCs/>
          <w:szCs w:val="22"/>
        </w:rPr>
      </w:pPr>
    </w:p>
    <w:p w14:paraId="4E25C91B" w14:textId="1F5D1A68" w:rsidR="00830308" w:rsidRPr="00AD39F2" w:rsidRDefault="00830308" w:rsidP="00AD39F2">
      <w:pPr>
        <w:contextualSpacing/>
        <w:rPr>
          <w:rFonts w:eastAsia="Calibri" w:cs="Tahoma"/>
          <w:bCs/>
          <w:szCs w:val="22"/>
        </w:rPr>
      </w:pPr>
      <w:r w:rsidRPr="00AD39F2">
        <w:rPr>
          <w:rFonts w:eastAsia="Calibri" w:cs="Tahoma"/>
          <w:bCs/>
          <w:szCs w:val="22"/>
        </w:rPr>
        <w:t xml:space="preserve">Ahora bien, con la intensión de simplificar el estudio de la </w:t>
      </w:r>
      <w:r w:rsidRPr="00AD39F2">
        <w:rPr>
          <w:rFonts w:eastAsia="Calibri" w:cs="Tahoma"/>
          <w:bCs/>
          <w:i/>
          <w:szCs w:val="22"/>
        </w:rPr>
        <w:t>litis</w:t>
      </w:r>
      <w:r w:rsidRPr="00AD39F2">
        <w:rPr>
          <w:rFonts w:eastAsia="Calibri" w:cs="Tahoma"/>
          <w:b/>
          <w:bCs/>
          <w:i/>
          <w:szCs w:val="22"/>
        </w:rPr>
        <w:t xml:space="preserve"> </w:t>
      </w:r>
      <w:r w:rsidRPr="00AD39F2">
        <w:rPr>
          <w:rFonts w:eastAsia="Calibri" w:cs="Tahoma"/>
          <w:bCs/>
          <w:szCs w:val="22"/>
        </w:rPr>
        <w:t>en el presente fallo, es necesario realizar el análisis siguiente:</w:t>
      </w:r>
    </w:p>
    <w:p w14:paraId="51CAD136" w14:textId="77777777" w:rsidR="00830308" w:rsidRPr="00AD39F2" w:rsidRDefault="00830308" w:rsidP="00AD39F2">
      <w:pPr>
        <w:contextualSpacing/>
        <w:rPr>
          <w:rFonts w:eastAsia="Calibri" w:cs="Tahoma"/>
          <w:bCs/>
          <w:szCs w:val="22"/>
        </w:rPr>
      </w:pPr>
    </w:p>
    <w:tbl>
      <w:tblPr>
        <w:tblStyle w:val="Tablaconcuadrcula"/>
        <w:tblW w:w="9209" w:type="dxa"/>
        <w:tblLook w:val="04A0" w:firstRow="1" w:lastRow="0" w:firstColumn="1" w:lastColumn="0" w:noHBand="0" w:noVBand="1"/>
      </w:tblPr>
      <w:tblGrid>
        <w:gridCol w:w="2258"/>
        <w:gridCol w:w="3238"/>
        <w:gridCol w:w="3713"/>
      </w:tblGrid>
      <w:tr w:rsidR="00AD39F2" w:rsidRPr="00AD39F2" w14:paraId="096376E7" w14:textId="77777777" w:rsidTr="00A64196">
        <w:tc>
          <w:tcPr>
            <w:tcW w:w="2258" w:type="dxa"/>
            <w:shd w:val="clear" w:color="auto" w:fill="D1D1D1" w:themeFill="background2" w:themeFillShade="E6"/>
          </w:tcPr>
          <w:p w14:paraId="66C4A1D8" w14:textId="09EB718C" w:rsidR="00A64196" w:rsidRPr="00AD39F2" w:rsidRDefault="00A64196" w:rsidP="00AD39F2">
            <w:pPr>
              <w:contextualSpacing/>
              <w:jc w:val="center"/>
            </w:pPr>
            <w:r w:rsidRPr="00AD39F2">
              <w:t>Año de proceso electoral</w:t>
            </w:r>
          </w:p>
        </w:tc>
        <w:tc>
          <w:tcPr>
            <w:tcW w:w="3238" w:type="dxa"/>
            <w:shd w:val="clear" w:color="auto" w:fill="D1D1D1" w:themeFill="background2" w:themeFillShade="E6"/>
          </w:tcPr>
          <w:p w14:paraId="2081C45F" w14:textId="64B91374" w:rsidR="00A64196" w:rsidRPr="00AD39F2" w:rsidRDefault="00A64196" w:rsidP="00AD39F2">
            <w:pPr>
              <w:contextualSpacing/>
              <w:jc w:val="center"/>
            </w:pPr>
            <w:r w:rsidRPr="00AD39F2">
              <w:t>Información remitida</w:t>
            </w:r>
          </w:p>
        </w:tc>
        <w:tc>
          <w:tcPr>
            <w:tcW w:w="3713" w:type="dxa"/>
            <w:shd w:val="clear" w:color="auto" w:fill="D1D1D1" w:themeFill="background2" w:themeFillShade="E6"/>
          </w:tcPr>
          <w:p w14:paraId="2D572F61" w14:textId="175B6B4C" w:rsidR="00A64196" w:rsidRPr="00AD39F2" w:rsidRDefault="00A64196" w:rsidP="00AD39F2">
            <w:pPr>
              <w:contextualSpacing/>
              <w:jc w:val="center"/>
            </w:pPr>
            <w:r w:rsidRPr="00AD39F2">
              <w:t>Análisis</w:t>
            </w:r>
          </w:p>
        </w:tc>
      </w:tr>
      <w:tr w:rsidR="00AD39F2" w:rsidRPr="00AD39F2" w14:paraId="0AFFE07A" w14:textId="77777777" w:rsidTr="00A64196">
        <w:tc>
          <w:tcPr>
            <w:tcW w:w="2258" w:type="dxa"/>
            <w:shd w:val="clear" w:color="auto" w:fill="C1E4F5" w:themeFill="accent1" w:themeFillTint="33"/>
          </w:tcPr>
          <w:p w14:paraId="47D5365D" w14:textId="0013803C" w:rsidR="00A64196" w:rsidRPr="00AD39F2" w:rsidRDefault="00A64196" w:rsidP="00AD39F2">
            <w:pPr>
              <w:spacing w:line="240" w:lineRule="auto"/>
              <w:contextualSpacing/>
              <w:rPr>
                <w:sz w:val="20"/>
              </w:rPr>
            </w:pPr>
            <w:r w:rsidRPr="00AD39F2">
              <w:rPr>
                <w:sz w:val="20"/>
              </w:rPr>
              <w:t>1996</w:t>
            </w:r>
          </w:p>
        </w:tc>
        <w:tc>
          <w:tcPr>
            <w:tcW w:w="3238" w:type="dxa"/>
          </w:tcPr>
          <w:p w14:paraId="59935B56" w14:textId="7555770E" w:rsidR="00A64196" w:rsidRPr="00AD39F2" w:rsidRDefault="00A64196" w:rsidP="00AD39F2">
            <w:pPr>
              <w:spacing w:line="240" w:lineRule="auto"/>
              <w:contextualSpacing/>
              <w:rPr>
                <w:sz w:val="20"/>
              </w:rPr>
            </w:pPr>
            <w:r w:rsidRPr="00AD39F2">
              <w:rPr>
                <w:sz w:val="20"/>
              </w:rPr>
              <w:t>Se remite memoria de eventos más relevantes, que contempla la planilla ganadora para el proceso electoral. (Informe justificado)</w:t>
            </w:r>
          </w:p>
        </w:tc>
        <w:tc>
          <w:tcPr>
            <w:tcW w:w="3713" w:type="dxa"/>
          </w:tcPr>
          <w:p w14:paraId="0523CC03" w14:textId="33348026" w:rsidR="00A64196" w:rsidRPr="00AD39F2" w:rsidRDefault="00A64196" w:rsidP="00AD39F2">
            <w:pPr>
              <w:spacing w:line="240" w:lineRule="auto"/>
              <w:contextualSpacing/>
              <w:rPr>
                <w:sz w:val="20"/>
              </w:rPr>
            </w:pPr>
            <w:r w:rsidRPr="00AD39F2">
              <w:rPr>
                <w:sz w:val="20"/>
              </w:rPr>
              <w:t xml:space="preserve">Colma la pretensión de particular ya que aunado a que no se remitió la planilla de todos los postulados, el </w:t>
            </w:r>
            <w:r w:rsidRPr="00AD39F2">
              <w:rPr>
                <w:b/>
                <w:sz w:val="20"/>
              </w:rPr>
              <w:t xml:space="preserve">SUJETO OBLIGADO </w:t>
            </w:r>
            <w:r w:rsidRPr="00AD39F2">
              <w:rPr>
                <w:sz w:val="20"/>
              </w:rPr>
              <w:t xml:space="preserve">ha manifestado a </w:t>
            </w:r>
            <w:r w:rsidRPr="00AD39F2">
              <w:rPr>
                <w:sz w:val="20"/>
              </w:rPr>
              <w:lastRenderedPageBreak/>
              <w:t>través de autoridad competente que, es el único documento con el que se cuenta respecto de lo solicitado.</w:t>
            </w:r>
          </w:p>
        </w:tc>
      </w:tr>
      <w:tr w:rsidR="00AD39F2" w:rsidRPr="00AD39F2" w14:paraId="6E4AB934" w14:textId="77777777" w:rsidTr="00A64196">
        <w:tc>
          <w:tcPr>
            <w:tcW w:w="2258" w:type="dxa"/>
            <w:shd w:val="clear" w:color="auto" w:fill="C1E4F5" w:themeFill="accent1" w:themeFillTint="33"/>
          </w:tcPr>
          <w:p w14:paraId="15534FCF" w14:textId="2AF2E04C" w:rsidR="00A64196" w:rsidRPr="00AD39F2" w:rsidRDefault="00A64196" w:rsidP="00AD39F2">
            <w:pPr>
              <w:spacing w:line="240" w:lineRule="auto"/>
              <w:contextualSpacing/>
              <w:rPr>
                <w:sz w:val="20"/>
              </w:rPr>
            </w:pPr>
            <w:r w:rsidRPr="00AD39F2">
              <w:rPr>
                <w:sz w:val="20"/>
              </w:rPr>
              <w:lastRenderedPageBreak/>
              <w:t>2000</w:t>
            </w:r>
          </w:p>
        </w:tc>
        <w:tc>
          <w:tcPr>
            <w:tcW w:w="3238" w:type="dxa"/>
          </w:tcPr>
          <w:p w14:paraId="38298779" w14:textId="3DF6A632" w:rsidR="00A64196" w:rsidRPr="00AD39F2" w:rsidRDefault="00A64196" w:rsidP="00AD39F2">
            <w:pPr>
              <w:spacing w:line="240" w:lineRule="auto"/>
              <w:contextualSpacing/>
              <w:rPr>
                <w:sz w:val="20"/>
              </w:rPr>
            </w:pPr>
            <w:r w:rsidRPr="00AD39F2">
              <w:rPr>
                <w:sz w:val="20"/>
              </w:rPr>
              <w:t>Se remite la planilla para el proceso electoral del año correspondiente en informe justificado</w:t>
            </w:r>
          </w:p>
        </w:tc>
        <w:tc>
          <w:tcPr>
            <w:tcW w:w="3713" w:type="dxa"/>
            <w:vMerge w:val="restart"/>
          </w:tcPr>
          <w:p w14:paraId="5C5F92A3" w14:textId="77777777" w:rsidR="00A64196" w:rsidRPr="00AD39F2" w:rsidRDefault="00A64196" w:rsidP="00AD39F2">
            <w:pPr>
              <w:spacing w:line="240" w:lineRule="auto"/>
              <w:contextualSpacing/>
              <w:rPr>
                <w:sz w:val="20"/>
              </w:rPr>
            </w:pPr>
          </w:p>
          <w:p w14:paraId="59894D15" w14:textId="77777777" w:rsidR="00A64196" w:rsidRPr="00AD39F2" w:rsidRDefault="00A64196" w:rsidP="00AD39F2">
            <w:pPr>
              <w:spacing w:line="240" w:lineRule="auto"/>
              <w:contextualSpacing/>
              <w:rPr>
                <w:sz w:val="20"/>
              </w:rPr>
            </w:pPr>
          </w:p>
          <w:p w14:paraId="035EFE9E" w14:textId="77777777" w:rsidR="00A64196" w:rsidRPr="00AD39F2" w:rsidRDefault="00A64196" w:rsidP="00AD39F2">
            <w:pPr>
              <w:spacing w:line="240" w:lineRule="auto"/>
              <w:contextualSpacing/>
              <w:rPr>
                <w:sz w:val="20"/>
              </w:rPr>
            </w:pPr>
          </w:p>
          <w:p w14:paraId="6E5A9AA9" w14:textId="77777777" w:rsidR="00A64196" w:rsidRPr="00AD39F2" w:rsidRDefault="00A64196" w:rsidP="00AD39F2">
            <w:pPr>
              <w:spacing w:line="240" w:lineRule="auto"/>
              <w:contextualSpacing/>
              <w:rPr>
                <w:sz w:val="20"/>
              </w:rPr>
            </w:pPr>
          </w:p>
          <w:p w14:paraId="24EC2621" w14:textId="77777777" w:rsidR="00A64196" w:rsidRPr="00AD39F2" w:rsidRDefault="00A64196" w:rsidP="00AD39F2">
            <w:pPr>
              <w:spacing w:line="240" w:lineRule="auto"/>
              <w:contextualSpacing/>
              <w:rPr>
                <w:sz w:val="20"/>
              </w:rPr>
            </w:pPr>
          </w:p>
          <w:p w14:paraId="127F86A6" w14:textId="77777777" w:rsidR="00A64196" w:rsidRPr="00AD39F2" w:rsidRDefault="00A64196" w:rsidP="00AD39F2">
            <w:pPr>
              <w:spacing w:line="240" w:lineRule="auto"/>
              <w:contextualSpacing/>
              <w:rPr>
                <w:sz w:val="20"/>
              </w:rPr>
            </w:pPr>
          </w:p>
          <w:p w14:paraId="415D4CCC" w14:textId="77777777" w:rsidR="00A64196" w:rsidRPr="00AD39F2" w:rsidRDefault="00A64196" w:rsidP="00AD39F2">
            <w:pPr>
              <w:spacing w:line="240" w:lineRule="auto"/>
              <w:contextualSpacing/>
              <w:rPr>
                <w:sz w:val="20"/>
              </w:rPr>
            </w:pPr>
          </w:p>
          <w:p w14:paraId="3357F451" w14:textId="77777777" w:rsidR="00A64196" w:rsidRPr="00AD39F2" w:rsidRDefault="00A64196" w:rsidP="00AD39F2">
            <w:pPr>
              <w:spacing w:line="240" w:lineRule="auto"/>
              <w:contextualSpacing/>
              <w:rPr>
                <w:sz w:val="20"/>
              </w:rPr>
            </w:pPr>
          </w:p>
          <w:p w14:paraId="5044A8D5" w14:textId="77777777" w:rsidR="00A64196" w:rsidRPr="00AD39F2" w:rsidRDefault="00A64196" w:rsidP="00AD39F2">
            <w:pPr>
              <w:spacing w:line="240" w:lineRule="auto"/>
              <w:contextualSpacing/>
              <w:rPr>
                <w:sz w:val="20"/>
              </w:rPr>
            </w:pPr>
          </w:p>
          <w:p w14:paraId="750DD24F" w14:textId="77777777" w:rsidR="00A64196" w:rsidRPr="00AD39F2" w:rsidRDefault="00A64196" w:rsidP="00AD39F2">
            <w:pPr>
              <w:spacing w:line="240" w:lineRule="auto"/>
              <w:contextualSpacing/>
              <w:rPr>
                <w:sz w:val="20"/>
              </w:rPr>
            </w:pPr>
          </w:p>
          <w:p w14:paraId="2E4A2639" w14:textId="77777777" w:rsidR="00A64196" w:rsidRPr="00AD39F2" w:rsidRDefault="00A64196" w:rsidP="00AD39F2">
            <w:pPr>
              <w:spacing w:line="240" w:lineRule="auto"/>
              <w:contextualSpacing/>
              <w:rPr>
                <w:sz w:val="20"/>
              </w:rPr>
            </w:pPr>
          </w:p>
          <w:p w14:paraId="2C3F0D8B" w14:textId="7C081AA3" w:rsidR="00A64196" w:rsidRPr="00AD39F2" w:rsidRDefault="00A64196" w:rsidP="00AD39F2">
            <w:pPr>
              <w:spacing w:line="240" w:lineRule="auto"/>
              <w:contextualSpacing/>
              <w:rPr>
                <w:sz w:val="20"/>
              </w:rPr>
            </w:pPr>
            <w:r w:rsidRPr="00AD39F2">
              <w:rPr>
                <w:sz w:val="20"/>
              </w:rPr>
              <w:t>Si bien en respuesta no se remitió la información de dicho ejercicio fiscal, en informe justificado se proporcionó la información faltante</w:t>
            </w:r>
          </w:p>
        </w:tc>
      </w:tr>
      <w:tr w:rsidR="00AD39F2" w:rsidRPr="00AD39F2" w14:paraId="6A501BB3" w14:textId="77777777" w:rsidTr="00A64196">
        <w:trPr>
          <w:trHeight w:val="1085"/>
        </w:trPr>
        <w:tc>
          <w:tcPr>
            <w:tcW w:w="2258" w:type="dxa"/>
            <w:shd w:val="clear" w:color="auto" w:fill="C1E4F5" w:themeFill="accent1" w:themeFillTint="33"/>
          </w:tcPr>
          <w:p w14:paraId="43AFEFD5" w14:textId="1D47F08A" w:rsidR="00A64196" w:rsidRPr="00AD39F2" w:rsidRDefault="00A64196" w:rsidP="00AD39F2">
            <w:pPr>
              <w:spacing w:line="240" w:lineRule="auto"/>
              <w:contextualSpacing/>
              <w:rPr>
                <w:sz w:val="20"/>
              </w:rPr>
            </w:pPr>
            <w:r w:rsidRPr="00AD39F2">
              <w:rPr>
                <w:sz w:val="20"/>
              </w:rPr>
              <w:t>2003</w:t>
            </w:r>
          </w:p>
        </w:tc>
        <w:tc>
          <w:tcPr>
            <w:tcW w:w="3238" w:type="dxa"/>
          </w:tcPr>
          <w:p w14:paraId="4F90A69B" w14:textId="3095542D" w:rsidR="00A64196" w:rsidRPr="00AD39F2" w:rsidRDefault="00A64196" w:rsidP="00AD39F2">
            <w:pPr>
              <w:spacing w:line="240" w:lineRule="auto"/>
              <w:contextualSpacing/>
              <w:rPr>
                <w:sz w:val="20"/>
              </w:rPr>
            </w:pPr>
            <w:r w:rsidRPr="00AD39F2">
              <w:rPr>
                <w:sz w:val="20"/>
              </w:rPr>
              <w:t>Se remite la planilla para el proceso electoral del año correspondiente en informe justificado</w:t>
            </w:r>
          </w:p>
        </w:tc>
        <w:tc>
          <w:tcPr>
            <w:tcW w:w="3713" w:type="dxa"/>
            <w:vMerge/>
          </w:tcPr>
          <w:p w14:paraId="7B54552F" w14:textId="77777777" w:rsidR="00A64196" w:rsidRPr="00AD39F2" w:rsidRDefault="00A64196" w:rsidP="00AD39F2">
            <w:pPr>
              <w:spacing w:line="240" w:lineRule="auto"/>
              <w:contextualSpacing/>
              <w:rPr>
                <w:sz w:val="20"/>
              </w:rPr>
            </w:pPr>
          </w:p>
        </w:tc>
      </w:tr>
      <w:tr w:rsidR="00AD39F2" w:rsidRPr="00AD39F2" w14:paraId="4095331A" w14:textId="77777777" w:rsidTr="00A64196">
        <w:tc>
          <w:tcPr>
            <w:tcW w:w="2258" w:type="dxa"/>
            <w:shd w:val="clear" w:color="auto" w:fill="C1E4F5" w:themeFill="accent1" w:themeFillTint="33"/>
          </w:tcPr>
          <w:p w14:paraId="1E438336" w14:textId="6BE39DC3" w:rsidR="00A64196" w:rsidRPr="00AD39F2" w:rsidRDefault="00A64196" w:rsidP="00AD39F2">
            <w:pPr>
              <w:spacing w:line="240" w:lineRule="auto"/>
              <w:contextualSpacing/>
              <w:rPr>
                <w:sz w:val="20"/>
              </w:rPr>
            </w:pPr>
            <w:r w:rsidRPr="00AD39F2">
              <w:rPr>
                <w:sz w:val="20"/>
              </w:rPr>
              <w:t>2006</w:t>
            </w:r>
          </w:p>
        </w:tc>
        <w:tc>
          <w:tcPr>
            <w:tcW w:w="3238" w:type="dxa"/>
          </w:tcPr>
          <w:p w14:paraId="1F0D78A6" w14:textId="7C7437A7" w:rsidR="00A64196" w:rsidRPr="00AD39F2" w:rsidRDefault="00A64196" w:rsidP="00AD39F2">
            <w:pPr>
              <w:spacing w:line="240" w:lineRule="auto"/>
              <w:contextualSpacing/>
              <w:rPr>
                <w:sz w:val="20"/>
              </w:rPr>
            </w:pPr>
            <w:r w:rsidRPr="00AD39F2">
              <w:rPr>
                <w:sz w:val="20"/>
              </w:rPr>
              <w:t>Se remite la planilla para el proceso electoral del año correspondiente en informe justificado</w:t>
            </w:r>
          </w:p>
        </w:tc>
        <w:tc>
          <w:tcPr>
            <w:tcW w:w="3713" w:type="dxa"/>
            <w:vMerge/>
          </w:tcPr>
          <w:p w14:paraId="62DA3D76" w14:textId="77777777" w:rsidR="00A64196" w:rsidRPr="00AD39F2" w:rsidRDefault="00A64196" w:rsidP="00AD39F2">
            <w:pPr>
              <w:spacing w:line="240" w:lineRule="auto"/>
              <w:contextualSpacing/>
              <w:rPr>
                <w:sz w:val="20"/>
              </w:rPr>
            </w:pPr>
          </w:p>
        </w:tc>
      </w:tr>
      <w:tr w:rsidR="00AD39F2" w:rsidRPr="00AD39F2" w14:paraId="67CBE6AA" w14:textId="77777777" w:rsidTr="00A64196">
        <w:tc>
          <w:tcPr>
            <w:tcW w:w="2258" w:type="dxa"/>
            <w:shd w:val="clear" w:color="auto" w:fill="C1E4F5" w:themeFill="accent1" w:themeFillTint="33"/>
          </w:tcPr>
          <w:p w14:paraId="36D6465C" w14:textId="16284258" w:rsidR="00A64196" w:rsidRPr="00AD39F2" w:rsidRDefault="00A64196" w:rsidP="00AD39F2">
            <w:pPr>
              <w:spacing w:line="240" w:lineRule="auto"/>
              <w:contextualSpacing/>
              <w:rPr>
                <w:sz w:val="20"/>
              </w:rPr>
            </w:pPr>
            <w:r w:rsidRPr="00AD39F2">
              <w:rPr>
                <w:sz w:val="20"/>
              </w:rPr>
              <w:t>2009</w:t>
            </w:r>
          </w:p>
        </w:tc>
        <w:tc>
          <w:tcPr>
            <w:tcW w:w="3238" w:type="dxa"/>
          </w:tcPr>
          <w:p w14:paraId="55561010" w14:textId="1187FE34" w:rsidR="00A64196" w:rsidRPr="00AD39F2" w:rsidRDefault="00A64196" w:rsidP="00AD39F2">
            <w:pPr>
              <w:spacing w:line="240" w:lineRule="auto"/>
              <w:contextualSpacing/>
              <w:rPr>
                <w:sz w:val="20"/>
              </w:rPr>
            </w:pPr>
            <w:r w:rsidRPr="00AD39F2">
              <w:rPr>
                <w:sz w:val="20"/>
              </w:rPr>
              <w:t>Se remite la planilla para el proceso electoral del año correspondiente en informe justificado</w:t>
            </w:r>
          </w:p>
        </w:tc>
        <w:tc>
          <w:tcPr>
            <w:tcW w:w="3713" w:type="dxa"/>
            <w:vMerge/>
          </w:tcPr>
          <w:p w14:paraId="61B30B14" w14:textId="77777777" w:rsidR="00A64196" w:rsidRPr="00AD39F2" w:rsidRDefault="00A64196" w:rsidP="00AD39F2">
            <w:pPr>
              <w:spacing w:line="240" w:lineRule="auto"/>
              <w:contextualSpacing/>
              <w:rPr>
                <w:sz w:val="20"/>
              </w:rPr>
            </w:pPr>
          </w:p>
        </w:tc>
      </w:tr>
      <w:tr w:rsidR="00AD39F2" w:rsidRPr="00AD39F2" w14:paraId="4F38CACC" w14:textId="77777777" w:rsidTr="00A64196">
        <w:tc>
          <w:tcPr>
            <w:tcW w:w="2258" w:type="dxa"/>
            <w:shd w:val="clear" w:color="auto" w:fill="C1E4F5" w:themeFill="accent1" w:themeFillTint="33"/>
          </w:tcPr>
          <w:p w14:paraId="145CE57F" w14:textId="2185F13A" w:rsidR="00A64196" w:rsidRPr="00AD39F2" w:rsidRDefault="00A64196" w:rsidP="00AD39F2">
            <w:pPr>
              <w:spacing w:line="240" w:lineRule="auto"/>
              <w:contextualSpacing/>
              <w:rPr>
                <w:sz w:val="20"/>
              </w:rPr>
            </w:pPr>
            <w:r w:rsidRPr="00AD39F2">
              <w:rPr>
                <w:sz w:val="20"/>
              </w:rPr>
              <w:t>2012</w:t>
            </w:r>
          </w:p>
        </w:tc>
        <w:tc>
          <w:tcPr>
            <w:tcW w:w="3238" w:type="dxa"/>
          </w:tcPr>
          <w:p w14:paraId="4ADCF587" w14:textId="292FC02C" w:rsidR="00A64196" w:rsidRPr="00AD39F2" w:rsidRDefault="00A64196" w:rsidP="00AD39F2">
            <w:pPr>
              <w:spacing w:line="240" w:lineRule="auto"/>
              <w:contextualSpacing/>
              <w:rPr>
                <w:sz w:val="20"/>
              </w:rPr>
            </w:pPr>
            <w:r w:rsidRPr="00AD39F2">
              <w:rPr>
                <w:sz w:val="20"/>
              </w:rPr>
              <w:t>Se remite la planilla para el proceso electoral del año correspondiente en informe justificado</w:t>
            </w:r>
          </w:p>
        </w:tc>
        <w:tc>
          <w:tcPr>
            <w:tcW w:w="3713" w:type="dxa"/>
            <w:vMerge/>
          </w:tcPr>
          <w:p w14:paraId="19C42552" w14:textId="77777777" w:rsidR="00A64196" w:rsidRPr="00AD39F2" w:rsidRDefault="00A64196" w:rsidP="00AD39F2">
            <w:pPr>
              <w:spacing w:line="240" w:lineRule="auto"/>
              <w:contextualSpacing/>
              <w:rPr>
                <w:sz w:val="20"/>
              </w:rPr>
            </w:pPr>
          </w:p>
        </w:tc>
      </w:tr>
      <w:tr w:rsidR="00AD39F2" w:rsidRPr="00AD39F2" w14:paraId="0363DD1C" w14:textId="77777777" w:rsidTr="00A64196">
        <w:tc>
          <w:tcPr>
            <w:tcW w:w="2258" w:type="dxa"/>
            <w:shd w:val="clear" w:color="auto" w:fill="C1E4F5" w:themeFill="accent1" w:themeFillTint="33"/>
          </w:tcPr>
          <w:p w14:paraId="50C8C2C9" w14:textId="2A840DF2" w:rsidR="00A64196" w:rsidRPr="00AD39F2" w:rsidRDefault="00A64196" w:rsidP="00AD39F2">
            <w:pPr>
              <w:spacing w:line="240" w:lineRule="auto"/>
              <w:contextualSpacing/>
              <w:rPr>
                <w:sz w:val="20"/>
              </w:rPr>
            </w:pPr>
            <w:r w:rsidRPr="00AD39F2">
              <w:rPr>
                <w:sz w:val="20"/>
              </w:rPr>
              <w:t>2015</w:t>
            </w:r>
          </w:p>
        </w:tc>
        <w:tc>
          <w:tcPr>
            <w:tcW w:w="3238" w:type="dxa"/>
          </w:tcPr>
          <w:p w14:paraId="40E56838" w14:textId="2909F6CE" w:rsidR="00A64196" w:rsidRPr="00AD39F2" w:rsidRDefault="00A64196" w:rsidP="00AD39F2">
            <w:pPr>
              <w:spacing w:line="240" w:lineRule="auto"/>
              <w:contextualSpacing/>
              <w:rPr>
                <w:sz w:val="20"/>
              </w:rPr>
            </w:pPr>
            <w:r w:rsidRPr="00AD39F2">
              <w:rPr>
                <w:sz w:val="20"/>
              </w:rPr>
              <w:t xml:space="preserve">Se remite en respuesta las planillas para el proceso electoral del año fiscal referido </w:t>
            </w:r>
          </w:p>
        </w:tc>
        <w:tc>
          <w:tcPr>
            <w:tcW w:w="3713" w:type="dxa"/>
            <w:vMerge/>
          </w:tcPr>
          <w:p w14:paraId="3BDC05F5" w14:textId="77777777" w:rsidR="00A64196" w:rsidRPr="00AD39F2" w:rsidRDefault="00A64196" w:rsidP="00AD39F2">
            <w:pPr>
              <w:spacing w:line="240" w:lineRule="auto"/>
              <w:contextualSpacing/>
              <w:rPr>
                <w:sz w:val="20"/>
              </w:rPr>
            </w:pPr>
          </w:p>
        </w:tc>
      </w:tr>
      <w:tr w:rsidR="00AD39F2" w:rsidRPr="00AD39F2" w14:paraId="5A080B5B" w14:textId="77777777" w:rsidTr="00A64196">
        <w:tc>
          <w:tcPr>
            <w:tcW w:w="2258" w:type="dxa"/>
            <w:shd w:val="clear" w:color="auto" w:fill="C1E4F5" w:themeFill="accent1" w:themeFillTint="33"/>
          </w:tcPr>
          <w:p w14:paraId="0987EF34" w14:textId="01A892AE" w:rsidR="00A64196" w:rsidRPr="00AD39F2" w:rsidRDefault="00A64196" w:rsidP="00AD39F2">
            <w:pPr>
              <w:spacing w:line="240" w:lineRule="auto"/>
              <w:contextualSpacing/>
            </w:pPr>
            <w:r w:rsidRPr="00AD39F2">
              <w:t>2018</w:t>
            </w:r>
          </w:p>
        </w:tc>
        <w:tc>
          <w:tcPr>
            <w:tcW w:w="3238" w:type="dxa"/>
          </w:tcPr>
          <w:p w14:paraId="3EF054AA" w14:textId="124F2558" w:rsidR="00A64196" w:rsidRPr="00AD39F2" w:rsidRDefault="00A64196" w:rsidP="00AD39F2">
            <w:pPr>
              <w:spacing w:line="240" w:lineRule="auto"/>
              <w:contextualSpacing/>
            </w:pPr>
            <w:r w:rsidRPr="00AD39F2">
              <w:rPr>
                <w:sz w:val="20"/>
              </w:rPr>
              <w:t>Se remite en respuesta las planillas para el proceso electoral del año fiscal referido</w:t>
            </w:r>
          </w:p>
        </w:tc>
        <w:tc>
          <w:tcPr>
            <w:tcW w:w="3713" w:type="dxa"/>
            <w:vMerge/>
          </w:tcPr>
          <w:p w14:paraId="24ECCF22" w14:textId="77777777" w:rsidR="00A64196" w:rsidRPr="00AD39F2" w:rsidRDefault="00A64196" w:rsidP="00AD39F2">
            <w:pPr>
              <w:spacing w:line="240" w:lineRule="auto"/>
              <w:contextualSpacing/>
            </w:pPr>
          </w:p>
        </w:tc>
      </w:tr>
      <w:tr w:rsidR="00AD39F2" w:rsidRPr="00AD39F2" w14:paraId="32F481A4" w14:textId="77777777" w:rsidTr="00A64196">
        <w:tc>
          <w:tcPr>
            <w:tcW w:w="2258" w:type="dxa"/>
            <w:shd w:val="clear" w:color="auto" w:fill="C1E4F5" w:themeFill="accent1" w:themeFillTint="33"/>
          </w:tcPr>
          <w:p w14:paraId="2B634AB0" w14:textId="3B0FD0E9" w:rsidR="00A64196" w:rsidRPr="00AD39F2" w:rsidRDefault="00A64196" w:rsidP="00AD39F2">
            <w:pPr>
              <w:spacing w:line="240" w:lineRule="auto"/>
              <w:contextualSpacing/>
            </w:pPr>
            <w:r w:rsidRPr="00AD39F2">
              <w:t>2021</w:t>
            </w:r>
          </w:p>
        </w:tc>
        <w:tc>
          <w:tcPr>
            <w:tcW w:w="3238" w:type="dxa"/>
          </w:tcPr>
          <w:p w14:paraId="1B34FF62" w14:textId="01586CA7" w:rsidR="00A64196" w:rsidRPr="00AD39F2" w:rsidRDefault="00A64196" w:rsidP="00AD39F2">
            <w:pPr>
              <w:spacing w:line="240" w:lineRule="auto"/>
              <w:contextualSpacing/>
            </w:pPr>
            <w:r w:rsidRPr="00AD39F2">
              <w:rPr>
                <w:sz w:val="20"/>
              </w:rPr>
              <w:t>Se remite en respuesta las planillas para el proceso electoral del año fiscal referido</w:t>
            </w:r>
          </w:p>
        </w:tc>
        <w:tc>
          <w:tcPr>
            <w:tcW w:w="3713" w:type="dxa"/>
          </w:tcPr>
          <w:p w14:paraId="5B3603FA" w14:textId="53B037A2" w:rsidR="00A64196" w:rsidRPr="00AD39F2" w:rsidRDefault="00A64196" w:rsidP="00AD39F2">
            <w:pPr>
              <w:spacing w:line="240" w:lineRule="auto"/>
              <w:contextualSpacing/>
              <w:rPr>
                <w:b/>
                <w:sz w:val="20"/>
              </w:rPr>
            </w:pPr>
            <w:r w:rsidRPr="00AD39F2">
              <w:rPr>
                <w:sz w:val="20"/>
              </w:rPr>
              <w:t xml:space="preserve">Acto consentido por </w:t>
            </w:r>
            <w:r w:rsidRPr="00AD39F2">
              <w:rPr>
                <w:b/>
                <w:sz w:val="20"/>
              </w:rPr>
              <w:t>LA PARTE RECURRENTE</w:t>
            </w:r>
          </w:p>
        </w:tc>
      </w:tr>
      <w:tr w:rsidR="00AD39F2" w:rsidRPr="00AD39F2" w14:paraId="14621E38" w14:textId="77777777" w:rsidTr="00A64196">
        <w:tc>
          <w:tcPr>
            <w:tcW w:w="2258" w:type="dxa"/>
            <w:shd w:val="clear" w:color="auto" w:fill="C1E4F5" w:themeFill="accent1" w:themeFillTint="33"/>
          </w:tcPr>
          <w:p w14:paraId="07727129" w14:textId="68CE6138" w:rsidR="00A64196" w:rsidRPr="00AD39F2" w:rsidRDefault="00A64196" w:rsidP="00AD39F2">
            <w:pPr>
              <w:spacing w:line="240" w:lineRule="auto"/>
              <w:contextualSpacing/>
            </w:pPr>
            <w:r w:rsidRPr="00AD39F2">
              <w:t>2024</w:t>
            </w:r>
          </w:p>
        </w:tc>
        <w:tc>
          <w:tcPr>
            <w:tcW w:w="3238" w:type="dxa"/>
          </w:tcPr>
          <w:p w14:paraId="4C6BD975" w14:textId="384CE150" w:rsidR="00A64196" w:rsidRPr="00AD39F2" w:rsidRDefault="00A64196" w:rsidP="00AD39F2">
            <w:pPr>
              <w:spacing w:line="240" w:lineRule="auto"/>
              <w:contextualSpacing/>
            </w:pPr>
            <w:r w:rsidRPr="00AD39F2">
              <w:rPr>
                <w:sz w:val="20"/>
              </w:rPr>
              <w:t>Se remite en respuesta las planillas para el proceso electoral del año fiscal referido</w:t>
            </w:r>
          </w:p>
        </w:tc>
        <w:tc>
          <w:tcPr>
            <w:tcW w:w="3713" w:type="dxa"/>
          </w:tcPr>
          <w:p w14:paraId="608233BF" w14:textId="51F55FFD" w:rsidR="00A64196" w:rsidRPr="00AD39F2" w:rsidRDefault="00A64196" w:rsidP="00AD39F2">
            <w:pPr>
              <w:spacing w:line="240" w:lineRule="auto"/>
              <w:contextualSpacing/>
              <w:rPr>
                <w:b/>
                <w:sz w:val="20"/>
              </w:rPr>
            </w:pPr>
            <w:r w:rsidRPr="00AD39F2">
              <w:rPr>
                <w:sz w:val="20"/>
              </w:rPr>
              <w:t xml:space="preserve">Acto consentido por </w:t>
            </w:r>
            <w:r w:rsidRPr="00AD39F2">
              <w:rPr>
                <w:b/>
                <w:sz w:val="20"/>
              </w:rPr>
              <w:t>LA PARTE RECURRENTE</w:t>
            </w:r>
          </w:p>
        </w:tc>
      </w:tr>
    </w:tbl>
    <w:p w14:paraId="6CC8DEC1" w14:textId="77777777" w:rsidR="00830308" w:rsidRPr="00AD39F2" w:rsidRDefault="00830308" w:rsidP="00AD39F2">
      <w:pPr>
        <w:contextualSpacing/>
      </w:pPr>
    </w:p>
    <w:p w14:paraId="3858B2DD" w14:textId="7F1B8BC5" w:rsidR="00E54070" w:rsidRPr="00AD39F2" w:rsidRDefault="00E54070" w:rsidP="00AD39F2">
      <w:pPr>
        <w:contextualSpacing/>
        <w:rPr>
          <w:rFonts w:eastAsia="Calibri" w:cs="Tahoma"/>
          <w:bCs/>
          <w:szCs w:val="22"/>
        </w:rPr>
      </w:pPr>
    </w:p>
    <w:p w14:paraId="7822396A" w14:textId="4A7B66DC" w:rsidR="00AF5D6D" w:rsidRPr="00AD39F2" w:rsidRDefault="00A64196" w:rsidP="00AD39F2">
      <w:pPr>
        <w:contextualSpacing/>
        <w:rPr>
          <w:rFonts w:eastAsia="Calibri" w:cs="Tahoma"/>
          <w:b/>
          <w:bCs/>
          <w:szCs w:val="22"/>
        </w:rPr>
      </w:pPr>
      <w:r w:rsidRPr="00AD39F2">
        <w:rPr>
          <w:rFonts w:eastAsia="Calibri" w:cs="Tahoma"/>
          <w:bCs/>
          <w:szCs w:val="22"/>
        </w:rPr>
        <w:t>Así las cosas, de la tabla inserta con anterioridad</w:t>
      </w:r>
      <w:r w:rsidR="00AF5D6D" w:rsidRPr="00AD39F2">
        <w:rPr>
          <w:rFonts w:eastAsia="Calibri" w:cs="Tahoma"/>
          <w:bCs/>
          <w:szCs w:val="22"/>
        </w:rPr>
        <w:t xml:space="preserve">, podemos advertir que, la autoridad competente, remitió a través de la etapa de manifestaciones, la información complementaria </w:t>
      </w:r>
      <w:r w:rsidR="00AF5D6D" w:rsidRPr="00AD39F2">
        <w:rPr>
          <w:rFonts w:eastAsia="Calibri" w:cs="Tahoma"/>
          <w:bCs/>
          <w:szCs w:val="22"/>
        </w:rPr>
        <w:lastRenderedPageBreak/>
        <w:t xml:space="preserve">que da sustento a lo solicitado en primera instancia, siendo esta, por lo tanto se considera que </w:t>
      </w:r>
      <w:r w:rsidR="00AF5D6D" w:rsidRPr="00AD39F2">
        <w:rPr>
          <w:rFonts w:eastAsia="Calibri" w:cs="Tahoma"/>
          <w:b/>
          <w:bCs/>
          <w:szCs w:val="22"/>
        </w:rPr>
        <w:t xml:space="preserve">EL SUJETO OBLIGADO </w:t>
      </w:r>
      <w:r w:rsidR="00AF5D6D" w:rsidRPr="00AD39F2">
        <w:rPr>
          <w:rFonts w:eastAsia="Calibri" w:cs="Tahoma"/>
          <w:bCs/>
          <w:szCs w:val="22"/>
        </w:rPr>
        <w:t xml:space="preserve">satisfizo el derecho de acceso a la información de </w:t>
      </w:r>
      <w:r w:rsidR="00AF5D6D" w:rsidRPr="00AD39F2">
        <w:rPr>
          <w:rFonts w:eastAsia="Calibri" w:cs="Tahoma"/>
          <w:b/>
          <w:bCs/>
          <w:szCs w:val="22"/>
        </w:rPr>
        <w:t>LA PARTE RECURRENTE.</w:t>
      </w:r>
    </w:p>
    <w:p w14:paraId="07F0E725" w14:textId="77777777" w:rsidR="00941A59" w:rsidRPr="00AD39F2" w:rsidRDefault="00941A59" w:rsidP="00AD39F2">
      <w:pPr>
        <w:contextualSpacing/>
        <w:rPr>
          <w:rFonts w:eastAsia="Calibri" w:cs="Tahoma"/>
          <w:b/>
          <w:bCs/>
          <w:szCs w:val="22"/>
        </w:rPr>
      </w:pPr>
    </w:p>
    <w:p w14:paraId="5610F1D0" w14:textId="77777777" w:rsidR="00941A59" w:rsidRPr="00AD39F2" w:rsidRDefault="00941A59" w:rsidP="00AD39F2">
      <w:pPr>
        <w:rPr>
          <w:rFonts w:eastAsia="Palatino Linotype" w:cs="Palatino Linotype"/>
        </w:rPr>
      </w:pPr>
      <w:r w:rsidRPr="00AD39F2">
        <w:rPr>
          <w:rFonts w:eastAsia="Palatino Linotype" w:cs="Palatino Linotype"/>
        </w:rPr>
        <w:t xml:space="preserve">Por lo establecido en el inciso anterior, no se omite comentar que debido a que existió un pronunciamiento por parte del </w:t>
      </w:r>
      <w:r w:rsidRPr="00AD39F2">
        <w:rPr>
          <w:rFonts w:eastAsia="Palatino Linotype" w:cs="Palatino Linotype"/>
          <w:b/>
        </w:rPr>
        <w:t>SUJETO OBLIGADO</w:t>
      </w:r>
      <w:r w:rsidRPr="00AD39F2">
        <w:rPr>
          <w:rFonts w:eastAsia="Palatino Linotype" w:cs="Palatino Linotype"/>
        </w:rPr>
        <w:t>, a fin de dar respuesta a la solicitud planteada, este Instituto no está facultado para manifestarse sobre la veracidad de la información proporcionada, de conformidad con lo señalado en el artículo 36 de la Ley de Transparencia y Acceso a la Información Pública del Estado de México y Municipios, pues dicho precepto legal refiere las atribuciones con la que cuenta este Órgano Garante, sin advertirse la facultad para pronunciarse acerca de la veracidad de la información remitida por los Sujetos Obligados.</w:t>
      </w:r>
    </w:p>
    <w:p w14:paraId="63198F8D" w14:textId="77777777" w:rsidR="00941A59" w:rsidRPr="00AD39F2" w:rsidRDefault="00941A59" w:rsidP="00AD39F2">
      <w:pPr>
        <w:rPr>
          <w:rFonts w:eastAsia="Palatino Linotype" w:cs="Palatino Linotype"/>
        </w:rPr>
      </w:pPr>
    </w:p>
    <w:p w14:paraId="66A51001" w14:textId="77777777" w:rsidR="00941A59" w:rsidRPr="00AD39F2" w:rsidRDefault="00941A59" w:rsidP="00AD39F2">
      <w:pPr>
        <w:rPr>
          <w:rFonts w:eastAsia="Palatino Linotype" w:cs="Palatino Linotype"/>
        </w:rPr>
      </w:pPr>
      <w:r w:rsidRPr="00AD39F2">
        <w:rPr>
          <w:rFonts w:eastAsia="Palatino Linotype" w:cs="Palatino Linotype"/>
        </w:rPr>
        <w:t xml:space="preserve">Sirve de sustento a lo anterior, el criterio orientador 31/10 emitido por el entonces Instituto Nacional de Acceso a la Información y Protección de Datos,  el cual refiere: </w:t>
      </w:r>
    </w:p>
    <w:p w14:paraId="6563D2E6" w14:textId="77777777" w:rsidR="00941A59" w:rsidRPr="00AD39F2" w:rsidRDefault="00941A59" w:rsidP="00AD39F2">
      <w:pPr>
        <w:rPr>
          <w:rFonts w:eastAsia="Palatino Linotype" w:cs="Palatino Linotype"/>
        </w:rPr>
      </w:pPr>
    </w:p>
    <w:p w14:paraId="419EA7E8" w14:textId="77777777" w:rsidR="00941A59" w:rsidRPr="00AD39F2" w:rsidRDefault="00941A59" w:rsidP="00AD39F2">
      <w:pPr>
        <w:spacing w:line="240" w:lineRule="auto"/>
        <w:ind w:left="851" w:right="1041"/>
        <w:rPr>
          <w:rFonts w:eastAsia="Palatino Linotype" w:cs="Palatino Linotype"/>
          <w:i/>
          <w:szCs w:val="22"/>
        </w:rPr>
      </w:pPr>
      <w:r w:rsidRPr="00AD39F2">
        <w:rPr>
          <w:rFonts w:eastAsia="Palatino Linotype" w:cs="Palatino Linotype"/>
          <w:b/>
          <w:i/>
          <w:szCs w:val="22"/>
        </w:rPr>
        <w:t>“El Instituto Federal de Acceso a la Información y Protección de Datos no cuenta con facultades para pronunciarse respecto de la veracidad de los documentos proporcionados por los sujetos obligados</w:t>
      </w:r>
      <w:r w:rsidRPr="00AD39F2">
        <w:rPr>
          <w:rFonts w:eastAsia="Palatino Linotype" w:cs="Palatino Linotype"/>
          <w:i/>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w:t>
      </w:r>
      <w:r w:rsidRPr="00AD39F2">
        <w:rPr>
          <w:rFonts w:eastAsia="Palatino Linotype" w:cs="Palatino Linotype"/>
          <w:i/>
          <w:szCs w:val="22"/>
        </w:rPr>
        <w:lastRenderedPageBreak/>
        <w:t xml:space="preserve">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14:paraId="7E9C4DC3" w14:textId="77777777" w:rsidR="00941A59" w:rsidRPr="00AD39F2" w:rsidRDefault="00941A59" w:rsidP="00AD39F2">
      <w:pPr>
        <w:spacing w:line="240" w:lineRule="auto"/>
        <w:ind w:left="851" w:right="1041"/>
        <w:rPr>
          <w:rFonts w:eastAsia="Palatino Linotype" w:cs="Palatino Linotype"/>
          <w:b/>
          <w:i/>
          <w:szCs w:val="22"/>
        </w:rPr>
      </w:pPr>
      <w:r w:rsidRPr="00AD39F2">
        <w:rPr>
          <w:rFonts w:eastAsia="Palatino Linotype" w:cs="Palatino Linotype"/>
          <w:i/>
          <w:szCs w:val="22"/>
        </w:rPr>
        <w:t>Criterio 31/10</w:t>
      </w:r>
      <w:r w:rsidRPr="00AD39F2">
        <w:rPr>
          <w:rFonts w:eastAsia="Palatino Linotype" w:cs="Palatino Linotype"/>
          <w:b/>
          <w:i/>
          <w:szCs w:val="22"/>
        </w:rPr>
        <w:t>”</w:t>
      </w:r>
      <w:r w:rsidRPr="00AD39F2">
        <w:rPr>
          <w:rFonts w:eastAsia="Palatino Linotype" w:cs="Palatino Linotype"/>
          <w:i/>
          <w:szCs w:val="22"/>
        </w:rPr>
        <w:t xml:space="preserve"> (sic)</w:t>
      </w:r>
    </w:p>
    <w:p w14:paraId="4D6033EA" w14:textId="77777777" w:rsidR="00941A59" w:rsidRPr="00AD39F2" w:rsidRDefault="00941A59" w:rsidP="00AD39F2">
      <w:pPr>
        <w:contextualSpacing/>
        <w:rPr>
          <w:rFonts w:eastAsia="Calibri" w:cs="Tahoma"/>
          <w:b/>
          <w:bCs/>
          <w:szCs w:val="22"/>
        </w:rPr>
      </w:pPr>
    </w:p>
    <w:p w14:paraId="7EB47E6E" w14:textId="77777777" w:rsidR="00941A59" w:rsidRPr="00AD39F2" w:rsidRDefault="00941A59" w:rsidP="00AD39F2">
      <w:pPr>
        <w:ind w:right="49"/>
        <w:rPr>
          <w:rFonts w:eastAsia="Palatino Linotype" w:cs="Palatino Linotype"/>
        </w:rPr>
      </w:pPr>
      <w:r w:rsidRPr="00AD39F2">
        <w:rPr>
          <w:rFonts w:eastAsia="Palatino Linotype" w:cs="Palatino Linotype"/>
        </w:rPr>
        <w:t xml:space="preserve">De este modo, es importante hacer del conocimiento que cuando el </w:t>
      </w:r>
      <w:r w:rsidRPr="00AD39F2">
        <w:rPr>
          <w:rFonts w:eastAsia="Palatino Linotype" w:cs="Palatino Linotype"/>
          <w:b/>
        </w:rPr>
        <w:t xml:space="preserve">SUJETO OBLIGADO, </w:t>
      </w:r>
      <w:r w:rsidRPr="00AD39F2">
        <w:rPr>
          <w:rFonts w:eastAsia="Palatino Linotype" w:cs="Palatino Linotype"/>
        </w:rPr>
        <w:t xml:space="preserve">antes de que se dicte resolución definitiva, entregue la información solicitada o complemente la información que en un primer momento fue incompleta; el Recurso de Revisión que al efecto se haya interpuesto quedará sin materia, lo que imposibilita el estudio de fondo de la </w:t>
      </w:r>
      <w:r w:rsidRPr="00AD39F2">
        <w:rPr>
          <w:rFonts w:eastAsia="Palatino Linotype" w:cs="Palatino Linotype"/>
          <w:i/>
        </w:rPr>
        <w:t>litis</w:t>
      </w:r>
      <w:r w:rsidRPr="00AD39F2">
        <w:rPr>
          <w:rFonts w:eastAsia="Palatino Linotype" w:cs="Palatino Linotype"/>
        </w:rPr>
        <w:t xml:space="preserve"> planteada, debido a que la afectación en su esfera de derechos fue restituida por la propia autoridad que emitió el acto motivo de impugnación.</w:t>
      </w:r>
    </w:p>
    <w:p w14:paraId="6D634DC6" w14:textId="77777777" w:rsidR="00941A59" w:rsidRPr="00AD39F2" w:rsidRDefault="00941A59" w:rsidP="00AD39F2">
      <w:pPr>
        <w:ind w:right="49"/>
        <w:rPr>
          <w:rFonts w:eastAsia="Palatino Linotype" w:cs="Palatino Linotype"/>
          <w:b/>
          <w:sz w:val="12"/>
          <w:szCs w:val="12"/>
        </w:rPr>
      </w:pPr>
    </w:p>
    <w:p w14:paraId="15ABA309" w14:textId="77777777" w:rsidR="00941A59" w:rsidRPr="00AD39F2" w:rsidRDefault="00941A59" w:rsidP="00AD39F2">
      <w:pPr>
        <w:contextualSpacing/>
        <w:rPr>
          <w:rFonts w:eastAsia="Palatino Linotype" w:cs="Palatino Linotype"/>
        </w:rPr>
      </w:pPr>
      <w:r w:rsidRPr="00AD39F2">
        <w:rPr>
          <w:rFonts w:eastAsia="Palatino Linotype" w:cs="Palatino Linotype"/>
        </w:rPr>
        <w:t>Sirve de sustento a lo anterior la siguiente jurisprudencia por contradicción, cuyo rubro, texto y datos de identificación son los siguientes:</w:t>
      </w:r>
    </w:p>
    <w:p w14:paraId="749A5EB7" w14:textId="77777777" w:rsidR="00941A59" w:rsidRPr="00AD39F2" w:rsidRDefault="00941A59" w:rsidP="00AD39F2">
      <w:pPr>
        <w:contextualSpacing/>
        <w:rPr>
          <w:rFonts w:eastAsia="Palatino Linotype" w:cs="Palatino Linotype"/>
        </w:rPr>
      </w:pPr>
    </w:p>
    <w:p w14:paraId="61309980" w14:textId="77777777" w:rsidR="00941A59" w:rsidRPr="00AD39F2" w:rsidRDefault="00941A59" w:rsidP="00AD39F2">
      <w:pPr>
        <w:spacing w:line="240" w:lineRule="auto"/>
        <w:ind w:left="851" w:right="1041"/>
        <w:rPr>
          <w:rFonts w:eastAsia="Calibri" w:cs="Tahoma"/>
          <w:b/>
          <w:bCs/>
          <w:szCs w:val="22"/>
        </w:rPr>
      </w:pPr>
      <w:r w:rsidRPr="00AD39F2">
        <w:rPr>
          <w:rFonts w:eastAsia="Palatino Linotype" w:cs="Palatino Linotype"/>
          <w:b/>
          <w:i/>
          <w:szCs w:val="22"/>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AD39F2">
        <w:rPr>
          <w:rFonts w:eastAsia="Palatino Linotype" w:cs="Palatino Linotype"/>
          <w:i/>
          <w:szCs w:val="22"/>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w:t>
      </w:r>
      <w:r w:rsidRPr="00AD39F2">
        <w:rPr>
          <w:rFonts w:eastAsia="Palatino Linotype" w:cs="Palatino Linotype"/>
          <w:i/>
          <w:szCs w:val="22"/>
        </w:rPr>
        <w:lastRenderedPageBreak/>
        <w:t>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207DA9A1" w14:textId="77777777" w:rsidR="00941A59" w:rsidRPr="00AD39F2" w:rsidRDefault="00941A59" w:rsidP="00AD39F2">
      <w:pPr>
        <w:contextualSpacing/>
        <w:rPr>
          <w:rFonts w:eastAsia="Calibri" w:cs="Tahoma"/>
          <w:b/>
          <w:bCs/>
          <w:szCs w:val="22"/>
        </w:rPr>
      </w:pPr>
    </w:p>
    <w:p w14:paraId="0FE14F12" w14:textId="77777777" w:rsidR="00941A59" w:rsidRPr="00AD39F2" w:rsidRDefault="00941A59" w:rsidP="00AD39F2">
      <w:pPr>
        <w:ind w:left="142" w:right="49"/>
        <w:rPr>
          <w:rFonts w:eastAsia="Palatino Linotype" w:cs="Palatino Linotype"/>
        </w:rPr>
      </w:pPr>
      <w:r w:rsidRPr="00AD39F2">
        <w:rPr>
          <w:rFonts w:eastAsia="Palatino Linotype" w:cs="Palatino Linotype"/>
        </w:rPr>
        <w:t>La anterior jurisprudencia resulta aplicable al presente asunto, en dos aspectos:</w:t>
      </w:r>
    </w:p>
    <w:p w14:paraId="51A32740" w14:textId="77777777" w:rsidR="00941A59" w:rsidRPr="00AD39F2" w:rsidRDefault="00941A59" w:rsidP="00AD39F2">
      <w:pPr>
        <w:ind w:left="142" w:right="49"/>
        <w:rPr>
          <w:rFonts w:eastAsia="Palatino Linotype" w:cs="Palatino Linotype"/>
          <w:b/>
          <w:sz w:val="12"/>
          <w:szCs w:val="12"/>
        </w:rPr>
      </w:pPr>
    </w:p>
    <w:p w14:paraId="7B25A78D" w14:textId="77777777" w:rsidR="00941A59" w:rsidRPr="00AD39F2" w:rsidRDefault="00941A59" w:rsidP="00AD39F2">
      <w:pPr>
        <w:numPr>
          <w:ilvl w:val="0"/>
          <w:numId w:val="26"/>
        </w:numPr>
        <w:ind w:right="49"/>
        <w:rPr>
          <w:rFonts w:eastAsia="Palatino Linotype" w:cs="Palatino Linotype"/>
        </w:rPr>
      </w:pPr>
      <w:r w:rsidRPr="00AD39F2">
        <w:rPr>
          <w:rFonts w:eastAsia="Palatino Linotype" w:cs="Palatino Linotype"/>
          <w:b/>
        </w:rPr>
        <w:t>La cesación de los efectos perniciosos del acto de autoridad:</w:t>
      </w:r>
      <w:r w:rsidRPr="00AD39F2">
        <w:rPr>
          <w:rFonts w:eastAsia="Palatino Linotype" w:cs="Palatino Linotype"/>
        </w:rPr>
        <w:t xml:space="preserve"> Al respecto, la Ley de Transparencia contempla la figura jurídica del sobreseimiento cuando </w:t>
      </w:r>
      <w:r w:rsidRPr="00AD39F2">
        <w:rPr>
          <w:rFonts w:eastAsia="Palatino Linotype" w:cs="Palatino Linotype"/>
          <w:b/>
        </w:rPr>
        <w:t>EL</w:t>
      </w:r>
      <w:r w:rsidRPr="00AD39F2">
        <w:rPr>
          <w:rFonts w:eastAsia="Palatino Linotype" w:cs="Palatino Linotype"/>
        </w:rPr>
        <w:t xml:space="preserve"> </w:t>
      </w:r>
      <w:r w:rsidRPr="00AD39F2">
        <w:rPr>
          <w:rFonts w:eastAsia="Palatino Linotype" w:cs="Palatino Linotype"/>
          <w:b/>
        </w:rPr>
        <w:t>SUJETO OBLIGADO</w:t>
      </w:r>
      <w:r w:rsidRPr="00AD39F2">
        <w:rPr>
          <w:rFonts w:eastAsia="Palatino Linotype" w:cs="Palatino Linotype"/>
        </w:rPr>
        <w:t xml:space="preserve"> modifica o revoca su respuesta primigenia de tal manera que el acto, motivo de la impugnación lo deja sin materia; es decir, cesan los efectos de éste y el derecho de acceso a la información pública se encuentra satisfecho.</w:t>
      </w:r>
    </w:p>
    <w:p w14:paraId="6E99BC3D" w14:textId="77777777" w:rsidR="00941A59" w:rsidRPr="00AD39F2" w:rsidRDefault="00941A59" w:rsidP="00AD39F2">
      <w:pPr>
        <w:ind w:left="720" w:right="49"/>
        <w:rPr>
          <w:rFonts w:eastAsia="Palatino Linotype" w:cs="Palatino Linotype"/>
          <w:sz w:val="6"/>
          <w:szCs w:val="6"/>
        </w:rPr>
      </w:pPr>
    </w:p>
    <w:p w14:paraId="1AD75F48" w14:textId="77777777" w:rsidR="00941A59" w:rsidRPr="00AD39F2" w:rsidRDefault="00941A59" w:rsidP="00AD39F2">
      <w:pPr>
        <w:pStyle w:val="Prrafodelista"/>
        <w:numPr>
          <w:ilvl w:val="0"/>
          <w:numId w:val="27"/>
        </w:numPr>
        <w:rPr>
          <w:rFonts w:eastAsia="Calibri" w:cs="Tahoma"/>
          <w:b/>
          <w:bCs/>
          <w:szCs w:val="22"/>
        </w:rPr>
      </w:pPr>
      <w:r w:rsidRPr="00AD39F2">
        <w:rPr>
          <w:rFonts w:eastAsia="Palatino Linotype" w:cs="Palatino Linotype"/>
          <w:b/>
        </w:rPr>
        <w:t>El momento procesal para modificar el acto impugnado:</w:t>
      </w:r>
      <w:r w:rsidRPr="00AD39F2">
        <w:rPr>
          <w:rFonts w:eastAsia="Palatino Linotype" w:cs="Palatino Linotype"/>
        </w:rPr>
        <w:t xml:space="preserve"> Para que se actualice el sobreseimiento de un Recurso de Revisión, </w:t>
      </w:r>
      <w:r w:rsidRPr="00AD39F2">
        <w:rPr>
          <w:rFonts w:eastAsia="Palatino Linotype" w:cs="Palatino Linotype"/>
          <w:b/>
        </w:rPr>
        <w:t>EL</w:t>
      </w:r>
      <w:r w:rsidRPr="00AD39F2">
        <w:rPr>
          <w:rFonts w:eastAsia="Palatino Linotype" w:cs="Palatino Linotype"/>
        </w:rPr>
        <w:t xml:space="preserve"> </w:t>
      </w:r>
      <w:r w:rsidRPr="00AD39F2">
        <w:rPr>
          <w:rFonts w:eastAsia="Palatino Linotype" w:cs="Palatino Linotype"/>
          <w:b/>
        </w:rPr>
        <w:t>SUJETO OBLIGADO</w:t>
      </w:r>
      <w:r w:rsidRPr="00AD39F2">
        <w:rPr>
          <w:rFonts w:eastAsia="Palatino Linotype" w:cs="Palatino Linotype"/>
        </w:rPr>
        <w:t xml:space="preserve"> puede entregar o </w:t>
      </w:r>
      <w:r w:rsidRPr="00AD39F2">
        <w:rPr>
          <w:rFonts w:eastAsia="Palatino Linotype" w:cs="Palatino Linotype"/>
          <w:b/>
          <w:u w:val="single"/>
        </w:rPr>
        <w:t>completar</w:t>
      </w:r>
      <w:r w:rsidRPr="00AD39F2">
        <w:rPr>
          <w:rFonts w:eastAsia="Palatino Linotype" w:cs="Palatino Linotype"/>
        </w:rPr>
        <w:t xml:space="preserve"> la información al momento de rendir su Informe Justificado y/o </w:t>
      </w:r>
      <w:r w:rsidRPr="00AD39F2">
        <w:rPr>
          <w:rFonts w:eastAsia="Palatino Linotype" w:cs="Palatino Linotype"/>
          <w:b/>
          <w:u w:val="single"/>
        </w:rPr>
        <w:t>posteriormente</w:t>
      </w:r>
      <w:r w:rsidRPr="00AD39F2">
        <w:rPr>
          <w:rFonts w:eastAsia="Palatino Linotype" w:cs="Palatino Linotype"/>
        </w:rPr>
        <w:t xml:space="preserve"> a éste, siempre y cuando el Pleno del Instituto no haya dictado resolución definitiva.</w:t>
      </w:r>
    </w:p>
    <w:p w14:paraId="536F0F04" w14:textId="77777777" w:rsidR="00941A59" w:rsidRPr="00AD39F2" w:rsidRDefault="00941A59" w:rsidP="00AD39F2">
      <w:pPr>
        <w:contextualSpacing/>
        <w:rPr>
          <w:rFonts w:eastAsia="Calibri" w:cs="Tahoma"/>
          <w:b/>
          <w:bCs/>
          <w:szCs w:val="22"/>
        </w:rPr>
      </w:pPr>
    </w:p>
    <w:p w14:paraId="669FFFB1" w14:textId="77777777" w:rsidR="00941A59" w:rsidRPr="00AD39F2" w:rsidRDefault="00941A59" w:rsidP="00AD39F2">
      <w:pPr>
        <w:ind w:right="49"/>
        <w:rPr>
          <w:rFonts w:eastAsia="Palatino Linotype" w:cs="Palatino Linotype"/>
          <w:i/>
        </w:rPr>
      </w:pPr>
      <w:r w:rsidRPr="00AD39F2">
        <w:rPr>
          <w:rFonts w:eastAsia="Palatino Linotype" w:cs="Palatino Linotype"/>
        </w:rPr>
        <w:t xml:space="preserve">De conformidad con lo antes expuesto, conviene traer a contexto lo argumentado por Eduardo Pallares, en su artículo </w:t>
      </w:r>
      <w:r w:rsidRPr="00AD39F2">
        <w:rPr>
          <w:rFonts w:eastAsia="Palatino Linotype" w:cs="Palatino Linotype"/>
          <w:i/>
        </w:rPr>
        <w:t>“La caducidad y el sobreseimiento en el amparo”</w:t>
      </w:r>
      <w:r w:rsidRPr="00AD39F2">
        <w:rPr>
          <w:rFonts w:eastAsia="Palatino Linotype" w:cs="Palatino Linotype"/>
        </w:rPr>
        <w:t xml:space="preserve">, mismo que cita la definición de Aguilera Paz, aduciendo que se </w:t>
      </w:r>
      <w:r w:rsidRPr="00AD39F2">
        <w:rPr>
          <w:rFonts w:eastAsia="Palatino Linotype" w:cs="Palatino Linotype"/>
          <w:i/>
        </w:rPr>
        <w:t>“...entiende por sobreseimiento en el tecnicismo forense, el hecho de cesar en el procedimiento o curso de la causa, por no existir méritos bastantes para entrar en un juicio o para entablar la contienda judicial que debe ser objeto del mismo...”</w:t>
      </w:r>
      <w:r w:rsidRPr="00AD39F2">
        <w:rPr>
          <w:rFonts w:eastAsia="Palatino Linotype" w:cs="Palatino Linotype"/>
        </w:rPr>
        <w:t>. Asimismo señala que existe el sobreseimiento provisional y el definitivo</w:t>
      </w:r>
      <w:r w:rsidRPr="00AD39F2">
        <w:rPr>
          <w:rFonts w:eastAsia="Palatino Linotype" w:cs="Palatino Linotype"/>
          <w:i/>
        </w:rPr>
        <w:t>: “...el definitivo es una verdadera sentencia que pone fin al juicio, y que una vez dictada, produce cosa juzgada, mientras que el provisorio tiene por efectos suspender la prosecución de la causa...”</w:t>
      </w:r>
    </w:p>
    <w:p w14:paraId="23211114" w14:textId="77777777" w:rsidR="00941A59" w:rsidRPr="00AD39F2" w:rsidRDefault="00941A59" w:rsidP="00AD39F2">
      <w:pPr>
        <w:ind w:right="49"/>
        <w:rPr>
          <w:rFonts w:eastAsia="Palatino Linotype" w:cs="Palatino Linotype"/>
        </w:rPr>
      </w:pPr>
    </w:p>
    <w:p w14:paraId="4698F5B2" w14:textId="77777777" w:rsidR="00941A59" w:rsidRPr="00AD39F2" w:rsidRDefault="00941A59" w:rsidP="00AD39F2">
      <w:pPr>
        <w:spacing w:after="240"/>
        <w:contextualSpacing/>
        <w:rPr>
          <w:rFonts w:eastAsia="Palatino Linotype" w:cs="Palatino Linotype"/>
          <w:b/>
          <w:u w:val="single"/>
        </w:rPr>
      </w:pPr>
      <w:r w:rsidRPr="00AD39F2">
        <w:rPr>
          <w:rFonts w:eastAsia="Palatino Linotype" w:cs="Palatino Linotype"/>
        </w:rPr>
        <w:lastRenderedPageBreak/>
        <w:t xml:space="preserve">Así, para la doctrina, el sobreseimiento provoca que un procedimiento se suspenda o se resuelva en definitiva </w:t>
      </w:r>
      <w:r w:rsidRPr="00AD39F2">
        <w:rPr>
          <w:rFonts w:eastAsia="Palatino Linotype" w:cs="Palatino Linotype"/>
          <w:b/>
          <w:u w:val="single"/>
        </w:rPr>
        <w:t>sin que se entre al estudio de los agravios o motivos de inconformidad. </w:t>
      </w:r>
    </w:p>
    <w:p w14:paraId="751687CD" w14:textId="77777777" w:rsidR="00941A59" w:rsidRPr="00AD39F2" w:rsidRDefault="00941A59" w:rsidP="00AD39F2">
      <w:pPr>
        <w:contextualSpacing/>
        <w:rPr>
          <w:rFonts w:eastAsia="Palatino Linotype" w:cs="Palatino Linotype"/>
          <w:b/>
          <w:u w:val="single"/>
        </w:rPr>
      </w:pPr>
    </w:p>
    <w:p w14:paraId="7C64B104" w14:textId="77777777" w:rsidR="00941A59" w:rsidRPr="00AD39F2" w:rsidRDefault="00941A59" w:rsidP="00AD39F2">
      <w:pPr>
        <w:spacing w:after="240"/>
        <w:ind w:right="-93"/>
        <w:rPr>
          <w:rFonts w:eastAsia="Palatino Linotype" w:cs="Palatino Linotype"/>
        </w:rPr>
      </w:pPr>
      <w:r w:rsidRPr="00AD39F2">
        <w:rPr>
          <w:rFonts w:eastAsia="Palatino Linotype" w:cs="Palatino Linotype"/>
        </w:rPr>
        <w:t xml:space="preserve">Por lo que, para que se actualice el sobreseimiento de un Recurso de Revisión, </w:t>
      </w:r>
      <w:r w:rsidRPr="00AD39F2">
        <w:rPr>
          <w:rFonts w:eastAsia="Palatino Linotype" w:cs="Palatino Linotype"/>
          <w:b/>
        </w:rPr>
        <w:t>EL</w:t>
      </w:r>
      <w:r w:rsidRPr="00AD39F2">
        <w:rPr>
          <w:rFonts w:eastAsia="Palatino Linotype" w:cs="Palatino Linotype"/>
        </w:rPr>
        <w:t xml:space="preserve"> </w:t>
      </w:r>
      <w:r w:rsidRPr="00AD39F2">
        <w:rPr>
          <w:rFonts w:eastAsia="Palatino Linotype" w:cs="Palatino Linotype"/>
          <w:b/>
        </w:rPr>
        <w:t>SUJETO OBLIGADO</w:t>
      </w:r>
      <w:r w:rsidRPr="00AD39F2">
        <w:rPr>
          <w:rFonts w:eastAsia="Palatino Linotype" w:cs="Palatino Linotype"/>
        </w:rPr>
        <w:t xml:space="preserve"> puede entregar, completar o precisar la información al momento de rendir su Informe Justificado o dentro de los siete días previstos para manifestar lo que a su derecho convenga, lo anterior también puede ocurrir si entrega la información después de ese lapso </w:t>
      </w:r>
      <w:r w:rsidRPr="00AD39F2">
        <w:rPr>
          <w:rFonts w:eastAsia="Palatino Linotype" w:cs="Palatino Linotype"/>
          <w:b/>
          <w:u w:val="single"/>
        </w:rPr>
        <w:t>pero antes del cierre de instrucción</w:t>
      </w:r>
      <w:r w:rsidRPr="00AD39F2">
        <w:rPr>
          <w:rFonts w:eastAsia="Palatino Linotype" w:cs="Palatino Linotype"/>
        </w:rPr>
        <w:t>.</w:t>
      </w:r>
    </w:p>
    <w:p w14:paraId="7946F913" w14:textId="1E7AB82D" w:rsidR="0054273E" w:rsidRPr="00AD39F2" w:rsidRDefault="00AF5D6D" w:rsidP="00AD39F2">
      <w:pPr>
        <w:pStyle w:val="Ttulo3"/>
      </w:pPr>
      <w:bookmarkStart w:id="28" w:name="_Toc200539209"/>
      <w:r w:rsidRPr="00AD39F2">
        <w:t>d</w:t>
      </w:r>
      <w:r w:rsidR="00BD5A7C" w:rsidRPr="00AD39F2">
        <w:t>) Conclusión</w:t>
      </w:r>
      <w:bookmarkStart w:id="29" w:name="_Hlk165381027"/>
      <w:bookmarkEnd w:id="28"/>
    </w:p>
    <w:p w14:paraId="55E3DCF7" w14:textId="77777777" w:rsidR="00941A59" w:rsidRPr="00AD39F2" w:rsidRDefault="00941A59" w:rsidP="00AD39F2">
      <w:pPr>
        <w:spacing w:after="240"/>
        <w:rPr>
          <w:rFonts w:cs="Arial"/>
          <w:szCs w:val="28"/>
          <w:lang w:val="es-ES"/>
        </w:rPr>
      </w:pPr>
      <w:r w:rsidRPr="00AD39F2">
        <w:t xml:space="preserve">Derivado de lo anterior, este Órgano Garante determina que se actualiza la causal de sobreseimiento establecida en el artículo 192, fracción III de la Ley de Transparencia y Acceso a la Información Pública del Estado de México y Municipios; pues al modificar </w:t>
      </w:r>
      <w:r w:rsidRPr="00AD39F2">
        <w:rPr>
          <w:rFonts w:cs="Arial"/>
          <w:b/>
          <w:szCs w:val="28"/>
          <w:lang w:val="es-ES"/>
        </w:rPr>
        <w:t xml:space="preserve">EL SUJETO OBLIGADO </w:t>
      </w:r>
      <w:r w:rsidRPr="00AD39F2">
        <w:rPr>
          <w:rFonts w:cs="Arial"/>
          <w:szCs w:val="28"/>
          <w:lang w:val="es-ES"/>
        </w:rPr>
        <w:t xml:space="preserve">la respuesta mediante Informe Justificado, el Recurso de Revisión quedó sin materia. </w:t>
      </w:r>
    </w:p>
    <w:p w14:paraId="2FFD1C3D" w14:textId="77777777" w:rsidR="00941A59" w:rsidRPr="00AD39F2" w:rsidRDefault="00941A59" w:rsidP="00AD39F2">
      <w:pPr>
        <w:widowControl w:val="0"/>
        <w:autoSpaceDE w:val="0"/>
        <w:autoSpaceDN w:val="0"/>
        <w:adjustRightInd w:val="0"/>
        <w:rPr>
          <w:rFonts w:eastAsia="Calibri" w:cs="Arial"/>
        </w:rPr>
      </w:pPr>
      <w:r w:rsidRPr="00AD39F2">
        <w:t xml:space="preserve">En consecuencia, se </w:t>
      </w:r>
      <w:r w:rsidRPr="00AD39F2">
        <w:rPr>
          <w:rFonts w:cs="Arial"/>
          <w:lang w:val="es-ES_tradnl"/>
        </w:rPr>
        <w:t xml:space="preserve">determina </w:t>
      </w:r>
      <w:r w:rsidRPr="00AD39F2">
        <w:rPr>
          <w:rFonts w:cs="Arial"/>
          <w:b/>
          <w:lang w:val="es-ES_tradnl"/>
        </w:rPr>
        <w:t>SOBRESEER</w:t>
      </w:r>
      <w:r w:rsidRPr="00AD39F2">
        <w:rPr>
          <w:rFonts w:cs="Arial"/>
          <w:lang w:val="es-ES_tradnl"/>
        </w:rPr>
        <w:t xml:space="preserve"> el presente Recurso de Revisión, en </w:t>
      </w:r>
      <w:r w:rsidRPr="00AD39F2">
        <w:rPr>
          <w:bCs/>
        </w:rPr>
        <w:t>términos</w:t>
      </w:r>
      <w:r w:rsidRPr="00AD39F2">
        <w:rPr>
          <w:rFonts w:cs="Arial"/>
          <w:lang w:val="es-ES_tradnl"/>
        </w:rPr>
        <w:t xml:space="preserve"> del artículo 186, fracción I, de la </w:t>
      </w:r>
      <w:r w:rsidRPr="00AD39F2">
        <w:rPr>
          <w:rFonts w:eastAsia="Calibri" w:cs="Arial"/>
        </w:rPr>
        <w:t>Ley de Transparencia y Acceso a la Información Pública del Estado de México y Municipios:</w:t>
      </w:r>
    </w:p>
    <w:p w14:paraId="1C312056" w14:textId="77777777" w:rsidR="00941A59" w:rsidRPr="00AD39F2" w:rsidRDefault="00941A59" w:rsidP="00AD39F2">
      <w:pPr>
        <w:widowControl w:val="0"/>
        <w:autoSpaceDE w:val="0"/>
        <w:autoSpaceDN w:val="0"/>
        <w:adjustRightInd w:val="0"/>
        <w:rPr>
          <w:rFonts w:eastAsia="Calibri" w:cs="Arial"/>
        </w:rPr>
      </w:pPr>
    </w:p>
    <w:p w14:paraId="23B2445B" w14:textId="77777777" w:rsidR="00941A59" w:rsidRPr="00AD39F2" w:rsidRDefault="00941A59" w:rsidP="00AD39F2">
      <w:pPr>
        <w:pStyle w:val="Puesto"/>
        <w:rPr>
          <w:b/>
        </w:rPr>
      </w:pPr>
      <w:r w:rsidRPr="00AD39F2">
        <w:t>“</w:t>
      </w:r>
      <w:r w:rsidRPr="00AD39F2">
        <w:rPr>
          <w:b/>
        </w:rPr>
        <w:t xml:space="preserve">Artículo 186. Las resoluciones del Instituto podrán: </w:t>
      </w:r>
    </w:p>
    <w:p w14:paraId="08F52AFB" w14:textId="77777777" w:rsidR="00941A59" w:rsidRPr="00AD39F2" w:rsidRDefault="00941A59" w:rsidP="00AD39F2">
      <w:pPr>
        <w:pStyle w:val="Puesto"/>
      </w:pPr>
      <w:r w:rsidRPr="00AD39F2">
        <w:t xml:space="preserve">I. Desechar o </w:t>
      </w:r>
      <w:r w:rsidRPr="00AD39F2">
        <w:rPr>
          <w:b/>
        </w:rPr>
        <w:t>sobreseer el recurso;”</w:t>
      </w:r>
      <w:r w:rsidRPr="00AD39F2">
        <w:t xml:space="preserve"> </w:t>
      </w:r>
    </w:p>
    <w:p w14:paraId="407EA372" w14:textId="77777777" w:rsidR="00941A59" w:rsidRPr="00AD39F2" w:rsidRDefault="00941A59" w:rsidP="00AD39F2">
      <w:pPr>
        <w:pStyle w:val="Puesto"/>
      </w:pPr>
      <w:r w:rsidRPr="00AD39F2">
        <w:t>(Énfasis añadido)</w:t>
      </w:r>
    </w:p>
    <w:p w14:paraId="6375F585" w14:textId="77777777" w:rsidR="00D024E7" w:rsidRPr="00AD39F2" w:rsidRDefault="00D024E7" w:rsidP="00AD39F2">
      <w:pPr>
        <w:ind w:right="899"/>
        <w:rPr>
          <w:rFonts w:eastAsia="Palatino Linotype" w:cs="Palatino Linotype"/>
          <w:i/>
          <w:szCs w:val="22"/>
        </w:rPr>
      </w:pPr>
    </w:p>
    <w:p w14:paraId="6C4C444E" w14:textId="6B1188B3" w:rsidR="00BD5A7C" w:rsidRPr="00AD39F2" w:rsidRDefault="00BD5A7C" w:rsidP="00AD39F2">
      <w:pPr>
        <w:ind w:right="-93"/>
        <w:rPr>
          <w:rFonts w:cs="Tahoma"/>
          <w:bCs/>
          <w:szCs w:val="22"/>
        </w:rPr>
      </w:pPr>
      <w:r w:rsidRPr="00AD39F2">
        <w:rPr>
          <w:rFonts w:cs="Tahoma"/>
          <w:bCs/>
          <w:szCs w:val="22"/>
        </w:rPr>
        <w:t xml:space="preserve">Así, con fundamento en lo establecido en los artículos 5, párrafos </w:t>
      </w:r>
      <w:r w:rsidR="00D933FE" w:rsidRPr="00AD39F2">
        <w:t>trigésimo séptimo,  trigésimo octavo y trigésimo noveno</w:t>
      </w:r>
      <w:r w:rsidRPr="00AD39F2">
        <w:rPr>
          <w:rFonts w:cs="Tahoma"/>
          <w:bCs/>
          <w:szCs w:val="22"/>
        </w:rPr>
        <w:t xml:space="preserve">, fracciones IV y V, de la Constitución Política del Estado Libre y </w:t>
      </w:r>
      <w:r w:rsidRPr="00AD39F2">
        <w:rPr>
          <w:rFonts w:cs="Tahoma"/>
          <w:bCs/>
          <w:szCs w:val="22"/>
        </w:rPr>
        <w:lastRenderedPageBreak/>
        <w:t>Soberano de México; y en los artículos 2, fracción II, 9, 29, 36, fracciones I y II, 176, 178, 179, 186 y 188 de la Ley de Transparencia y Acceso a la Información Pública del Estado de México y Municipios, este Pleno:</w:t>
      </w:r>
    </w:p>
    <w:bookmarkEnd w:id="29"/>
    <w:p w14:paraId="7C13D1A0" w14:textId="3AEF2C7D" w:rsidR="00BD5A7C" w:rsidRDefault="00BD5A7C" w:rsidP="00AD39F2"/>
    <w:p w14:paraId="5C396097" w14:textId="684A0E4F" w:rsidR="00664420" w:rsidRPr="00AD39F2" w:rsidRDefault="00664420" w:rsidP="00AD39F2">
      <w:pPr>
        <w:pStyle w:val="Ttulo1"/>
      </w:pPr>
      <w:bookmarkStart w:id="30" w:name="_Toc200539210"/>
      <w:r w:rsidRPr="00AD39F2">
        <w:t>RESUELVE</w:t>
      </w:r>
      <w:bookmarkEnd w:id="30"/>
    </w:p>
    <w:p w14:paraId="203B7093" w14:textId="77777777" w:rsidR="00664420" w:rsidRPr="00AD39F2" w:rsidRDefault="00664420" w:rsidP="00AD39F2">
      <w:pPr>
        <w:ind w:right="113"/>
        <w:rPr>
          <w:rFonts w:cs="Arial"/>
          <w:b/>
          <w:szCs w:val="22"/>
        </w:rPr>
      </w:pPr>
    </w:p>
    <w:p w14:paraId="78D4A482" w14:textId="6B27025C" w:rsidR="00FC3CE0" w:rsidRPr="00AD39F2" w:rsidRDefault="00FC3CE0" w:rsidP="00AD39F2">
      <w:pPr>
        <w:widowControl w:val="0"/>
        <w:rPr>
          <w:rFonts w:eastAsia="Calibri" w:cs="Tahoma"/>
          <w:bCs/>
          <w:szCs w:val="22"/>
          <w:lang w:eastAsia="en-US"/>
        </w:rPr>
      </w:pPr>
      <w:r w:rsidRPr="00AD39F2">
        <w:rPr>
          <w:b/>
          <w:bCs/>
        </w:rPr>
        <w:t>PRIMERO.</w:t>
      </w:r>
      <w:r w:rsidRPr="00AD39F2">
        <w:t xml:space="preserve"> </w:t>
      </w:r>
      <w:r w:rsidR="00B004B0" w:rsidRPr="00AD39F2">
        <w:rPr>
          <w:rFonts w:cs="Arial"/>
          <w:b/>
          <w:szCs w:val="28"/>
        </w:rPr>
        <w:t>SOBRESEE</w:t>
      </w:r>
      <w:r w:rsidR="00B004B0" w:rsidRPr="00AD39F2">
        <w:rPr>
          <w:rFonts w:cs="Arial"/>
          <w:szCs w:val="28"/>
        </w:rPr>
        <w:t xml:space="preserve"> el Recurso de Revisión número </w:t>
      </w:r>
      <w:r w:rsidR="00CC2875" w:rsidRPr="00AD39F2">
        <w:rPr>
          <w:rFonts w:eastAsia="Palatino Linotype" w:cs="Palatino Linotype"/>
          <w:b/>
        </w:rPr>
        <w:t>03132/INFOEM/IP/RR/2025</w:t>
      </w:r>
      <w:r w:rsidR="00B004B0" w:rsidRPr="00AD39F2">
        <w:rPr>
          <w:rFonts w:eastAsia="Palatino Linotype" w:cs="Palatino Linotype"/>
          <w:b/>
        </w:rPr>
        <w:t xml:space="preserve"> </w:t>
      </w:r>
      <w:r w:rsidR="00B004B0" w:rsidRPr="00AD39F2">
        <w:rPr>
          <w:rFonts w:cs="Arial"/>
          <w:lang w:val="es-ES"/>
        </w:rPr>
        <w:t>por actualizarse la causal establecida en el artículo 192 fracción III de la</w:t>
      </w:r>
      <w:r w:rsidR="00B004B0" w:rsidRPr="00AD39F2">
        <w:rPr>
          <w:rFonts w:cs="Arial"/>
          <w:szCs w:val="28"/>
          <w:lang w:val="es-ES"/>
        </w:rPr>
        <w:t xml:space="preserve"> </w:t>
      </w:r>
      <w:r w:rsidR="00B004B0" w:rsidRPr="00AD39F2">
        <w:rPr>
          <w:lang w:eastAsia="es-ES_tradnl"/>
        </w:rPr>
        <w:t>Ley de Transparencia y Acceso a la Información Pública del Estado de México y Municipios</w:t>
      </w:r>
      <w:r w:rsidR="00B004B0" w:rsidRPr="00AD39F2">
        <w:rPr>
          <w:rFonts w:cs="Arial"/>
          <w:szCs w:val="28"/>
          <w:lang w:val="es-ES"/>
        </w:rPr>
        <w:t xml:space="preserve">, ya que al </w:t>
      </w:r>
      <w:r w:rsidR="00B004B0" w:rsidRPr="00AD39F2">
        <w:rPr>
          <w:rFonts w:cs="Arial"/>
          <w:b/>
          <w:szCs w:val="28"/>
          <w:lang w:val="es-ES"/>
        </w:rPr>
        <w:t>modificar el SUJETO OBLIGADO la respuesta, el Recurso de Revisión quedó sin materia</w:t>
      </w:r>
      <w:r w:rsidR="00B004B0" w:rsidRPr="00AD39F2">
        <w:rPr>
          <w:rFonts w:cs="Arial"/>
          <w:szCs w:val="28"/>
          <w:lang w:val="es-ES"/>
        </w:rPr>
        <w:t xml:space="preserve">, en términos del Considerando </w:t>
      </w:r>
      <w:r w:rsidR="00B004B0" w:rsidRPr="00AD39F2">
        <w:rPr>
          <w:rFonts w:cs="Arial"/>
          <w:b/>
          <w:szCs w:val="28"/>
          <w:lang w:val="es-ES"/>
        </w:rPr>
        <w:t>SEGUNDO</w:t>
      </w:r>
      <w:r w:rsidR="00B004B0" w:rsidRPr="00AD39F2">
        <w:rPr>
          <w:rFonts w:cs="Arial"/>
          <w:szCs w:val="28"/>
          <w:lang w:val="es-ES"/>
        </w:rPr>
        <w:t xml:space="preserve"> de la presente resolución</w:t>
      </w:r>
      <w:r w:rsidR="005D1542" w:rsidRPr="00AD39F2">
        <w:rPr>
          <w:rFonts w:eastAsia="Calibri" w:cs="Tahoma"/>
          <w:bCs/>
          <w:szCs w:val="22"/>
          <w:lang w:eastAsia="en-US"/>
        </w:rPr>
        <w:t>.</w:t>
      </w:r>
    </w:p>
    <w:p w14:paraId="292E57AE" w14:textId="77777777" w:rsidR="00EC03E6" w:rsidRPr="00AD39F2" w:rsidRDefault="00EC03E6" w:rsidP="00AD39F2">
      <w:pPr>
        <w:widowControl w:val="0"/>
        <w:rPr>
          <w:rFonts w:eastAsia="Calibri" w:cs="Tahoma"/>
          <w:bCs/>
          <w:szCs w:val="22"/>
          <w:lang w:eastAsia="en-US"/>
        </w:rPr>
      </w:pPr>
    </w:p>
    <w:p w14:paraId="16CF919C" w14:textId="11029D70" w:rsidR="00FC3CE0" w:rsidRPr="00AD39F2" w:rsidRDefault="00FC3CE0" w:rsidP="00AD39F2">
      <w:pPr>
        <w:ind w:right="-93"/>
        <w:rPr>
          <w:rFonts w:eastAsia="Calibri" w:cs="Tahoma"/>
          <w:bCs/>
          <w:szCs w:val="22"/>
          <w:lang w:eastAsia="en-US"/>
        </w:rPr>
      </w:pPr>
      <w:r w:rsidRPr="00AD39F2">
        <w:rPr>
          <w:rFonts w:eastAsia="Calibri" w:cs="Tahoma"/>
          <w:b/>
          <w:bCs/>
          <w:szCs w:val="22"/>
          <w:lang w:eastAsia="en-US"/>
        </w:rPr>
        <w:t>SEGUNDO.</w:t>
      </w:r>
      <w:r w:rsidRPr="00AD39F2">
        <w:rPr>
          <w:rFonts w:eastAsia="Calibri" w:cs="Tahoma"/>
          <w:szCs w:val="22"/>
          <w:lang w:eastAsia="es-MX"/>
        </w:rPr>
        <w:t xml:space="preserve"> </w:t>
      </w:r>
      <w:r w:rsidR="00B004B0" w:rsidRPr="00AD39F2">
        <w:rPr>
          <w:b/>
        </w:rPr>
        <w:t>Notifíquese</w:t>
      </w:r>
      <w:r w:rsidR="00B004B0" w:rsidRPr="00AD39F2">
        <w:t xml:space="preserve"> la presente resolución vía SAIMEX al Titular de la Unidad de Transparencia del </w:t>
      </w:r>
      <w:r w:rsidR="00B004B0" w:rsidRPr="00AD39F2">
        <w:rPr>
          <w:b/>
        </w:rPr>
        <w:t>SUJETO OBLIGADO</w:t>
      </w:r>
      <w:r w:rsidR="00B004B0" w:rsidRPr="00AD39F2">
        <w:t xml:space="preserve"> para su conocimiento.</w:t>
      </w:r>
    </w:p>
    <w:p w14:paraId="2CCD930B" w14:textId="77777777" w:rsidR="00D024E7" w:rsidRPr="00AD39F2" w:rsidRDefault="00D024E7" w:rsidP="00AD39F2">
      <w:pPr>
        <w:ind w:right="-93"/>
        <w:rPr>
          <w:rFonts w:eastAsia="Calibri" w:cs="Tahoma"/>
          <w:bCs/>
          <w:szCs w:val="22"/>
          <w:lang w:eastAsia="en-US"/>
        </w:rPr>
      </w:pPr>
    </w:p>
    <w:p w14:paraId="39A19772" w14:textId="35E253EC" w:rsidR="001009E8" w:rsidRPr="00AD39F2" w:rsidRDefault="00FC3CE0" w:rsidP="00AD39F2">
      <w:r w:rsidRPr="00AD39F2">
        <w:rPr>
          <w:b/>
          <w:bCs/>
        </w:rPr>
        <w:t>TERCERO.</w:t>
      </w:r>
      <w:r w:rsidRPr="00AD39F2">
        <w:t xml:space="preserve"> </w:t>
      </w:r>
      <w:r w:rsidR="00B004B0" w:rsidRPr="00AD39F2">
        <w:rPr>
          <w:b/>
          <w:szCs w:val="17"/>
          <w:lang w:eastAsia="es-ES_tradnl"/>
        </w:rPr>
        <w:t>Notifíquese</w:t>
      </w:r>
      <w:r w:rsidR="00B004B0" w:rsidRPr="00AD39F2">
        <w:rPr>
          <w:szCs w:val="17"/>
          <w:lang w:eastAsia="es-ES_tradnl"/>
        </w:rPr>
        <w:t xml:space="preserve"> al </w:t>
      </w:r>
      <w:r w:rsidR="00B004B0" w:rsidRPr="00AD39F2">
        <w:rPr>
          <w:b/>
          <w:szCs w:val="17"/>
          <w:lang w:eastAsia="es-ES_tradnl"/>
        </w:rPr>
        <w:t>RECURRENTE</w:t>
      </w:r>
      <w:r w:rsidR="00B004B0" w:rsidRPr="00AD39F2">
        <w:rPr>
          <w:szCs w:val="17"/>
          <w:lang w:eastAsia="es-ES_tradnl"/>
        </w:rPr>
        <w:t xml:space="preserve"> la presente resolución vía </w:t>
      </w:r>
      <w:r w:rsidR="00B004B0" w:rsidRPr="00AD39F2">
        <w:rPr>
          <w:rFonts w:cs="Arial"/>
        </w:rPr>
        <w:t xml:space="preserve">Sistema de Acceso a la Información Mexiquense </w:t>
      </w:r>
      <w:r w:rsidR="00B004B0" w:rsidRPr="00AD39F2">
        <w:rPr>
          <w:rFonts w:cs="Arial"/>
          <w:b/>
          <w:bCs/>
        </w:rPr>
        <w:t>SAIMEX</w:t>
      </w:r>
      <w:r w:rsidR="001009E8" w:rsidRPr="00AD39F2">
        <w:t>.</w:t>
      </w:r>
    </w:p>
    <w:p w14:paraId="0B820921" w14:textId="77777777" w:rsidR="00FC3CE0" w:rsidRPr="00AD39F2" w:rsidRDefault="00FC3CE0" w:rsidP="00AD39F2"/>
    <w:p w14:paraId="16A4F4E2" w14:textId="2E351D23" w:rsidR="00FC3CE0" w:rsidRDefault="00FC3CE0" w:rsidP="00AD39F2">
      <w:r w:rsidRPr="00AD39F2">
        <w:rPr>
          <w:b/>
          <w:bCs/>
        </w:rPr>
        <w:t>CUARTO.</w:t>
      </w:r>
      <w:r w:rsidRPr="00AD39F2">
        <w:t xml:space="preserve"> </w:t>
      </w:r>
      <w:r w:rsidR="00B004B0" w:rsidRPr="00AD39F2">
        <w:rPr>
          <w:b/>
          <w:lang w:eastAsia="es-ES_tradnl"/>
        </w:rPr>
        <w:t>Hágase</w:t>
      </w:r>
      <w:r w:rsidR="00B004B0" w:rsidRPr="00AD39F2">
        <w:rPr>
          <w:lang w:eastAsia="es-ES_tradnl"/>
        </w:rPr>
        <w:t xml:space="preserve"> </w:t>
      </w:r>
      <w:r w:rsidR="00B004B0" w:rsidRPr="00AD39F2">
        <w:rPr>
          <w:b/>
          <w:lang w:eastAsia="es-ES_tradnl"/>
        </w:rPr>
        <w:t xml:space="preserve">del </w:t>
      </w:r>
      <w:r w:rsidR="00B004B0" w:rsidRPr="00AD39F2">
        <w:rPr>
          <w:b/>
        </w:rPr>
        <w:t>conocimiento</w:t>
      </w:r>
      <w:r w:rsidR="00B004B0" w:rsidRPr="00AD39F2">
        <w:rPr>
          <w:b/>
          <w:lang w:eastAsia="es-ES_tradnl"/>
        </w:rPr>
        <w:t xml:space="preserve"> </w:t>
      </w:r>
      <w:r w:rsidR="00B004B0" w:rsidRPr="00AD39F2">
        <w:rPr>
          <w:lang w:eastAsia="es-ES_tradnl"/>
        </w:rPr>
        <w:t xml:space="preserve">del </w:t>
      </w:r>
      <w:r w:rsidR="00B004B0" w:rsidRPr="00AD39F2">
        <w:rPr>
          <w:b/>
          <w:lang w:eastAsia="es-ES_tradnl"/>
        </w:rPr>
        <w:t>RECURRENTE</w:t>
      </w:r>
      <w:r w:rsidR="00B004B0" w:rsidRPr="00AD39F2">
        <w:rPr>
          <w:lang w:eastAsia="es-ES_tradnl"/>
        </w:rPr>
        <w:t xml:space="preserve">, que de </w:t>
      </w:r>
      <w:r w:rsidR="00B004B0" w:rsidRPr="00AD39F2">
        <w:t>conformidad</w:t>
      </w:r>
      <w:r w:rsidR="00B004B0" w:rsidRPr="00AD39F2">
        <w:rPr>
          <w:lang w:eastAsia="es-ES_tradnl"/>
        </w:rPr>
        <w:t xml:space="preserve"> </w:t>
      </w:r>
      <w:r w:rsidR="00B004B0" w:rsidRPr="00AD39F2">
        <w:rPr>
          <w:rFonts w:cs="Arial"/>
        </w:rPr>
        <w:t>con</w:t>
      </w:r>
      <w:r w:rsidR="00B004B0" w:rsidRPr="00AD39F2">
        <w:rPr>
          <w:lang w:eastAsia="es-ES_tradnl"/>
        </w:rPr>
        <w:t xml:space="preserve"> lo </w:t>
      </w:r>
      <w:r w:rsidR="00B004B0" w:rsidRPr="00AD39F2">
        <w:rPr>
          <w:rFonts w:cs="Arial"/>
        </w:rPr>
        <w:t>establecido</w:t>
      </w:r>
      <w:r w:rsidR="00B004B0" w:rsidRPr="00AD39F2">
        <w:rPr>
          <w:lang w:eastAsia="es-ES_tradnl"/>
        </w:rPr>
        <w:t xml:space="preserve"> en el artículo 196 de la Ley de Transparencia y Acceso a la Información Pública del Estado de México y Municipios, podrá impugnarla vía Juicio de Amparo en los términos de las leyes aplicables</w:t>
      </w:r>
      <w:r w:rsidRPr="00AD39F2">
        <w:t>.</w:t>
      </w:r>
    </w:p>
    <w:p w14:paraId="1D249F6E" w14:textId="77777777" w:rsidR="00537AE4" w:rsidRDefault="00537AE4" w:rsidP="00AD39F2"/>
    <w:p w14:paraId="21050ADE" w14:textId="77777777" w:rsidR="00537AE4" w:rsidRPr="00AD39F2" w:rsidRDefault="00537AE4" w:rsidP="00AD39F2">
      <w:bookmarkStart w:id="31" w:name="_GoBack"/>
      <w:bookmarkEnd w:id="31"/>
    </w:p>
    <w:p w14:paraId="2BC8564F" w14:textId="77777777" w:rsidR="00FC3CE0" w:rsidRPr="00AD39F2" w:rsidRDefault="00FC3CE0" w:rsidP="00AD39F2">
      <w:pPr>
        <w:ind w:right="113"/>
        <w:rPr>
          <w:rFonts w:cs="Arial"/>
          <w:b/>
          <w:szCs w:val="22"/>
        </w:rPr>
      </w:pPr>
    </w:p>
    <w:p w14:paraId="573C44E7" w14:textId="41E9659A" w:rsidR="00C6114B" w:rsidRPr="00AD39F2" w:rsidRDefault="00664420" w:rsidP="00AD39F2">
      <w:pPr>
        <w:rPr>
          <w:rFonts w:eastAsia="Palatino Linotype" w:cs="Palatino Linotype"/>
          <w:szCs w:val="22"/>
        </w:rPr>
      </w:pPr>
      <w:r w:rsidRPr="00AD39F2">
        <w:rPr>
          <w:rFonts w:eastAsia="Palatino Linotype" w:cs="Palatino Linotype"/>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CC2875" w:rsidRPr="00AD39F2">
        <w:rPr>
          <w:rFonts w:eastAsia="Palatino Linotype" w:cs="Palatino Linotype"/>
          <w:szCs w:val="22"/>
        </w:rPr>
        <w:t>VIGÉSIMA PRIMERA</w:t>
      </w:r>
      <w:r w:rsidR="00D933FE" w:rsidRPr="00AD39F2">
        <w:rPr>
          <w:rFonts w:eastAsia="Palatino Linotype" w:cs="Palatino Linotype"/>
          <w:szCs w:val="22"/>
        </w:rPr>
        <w:t xml:space="preserve"> SESIÓN</w:t>
      </w:r>
      <w:r w:rsidRPr="00AD39F2">
        <w:rPr>
          <w:rFonts w:eastAsia="Palatino Linotype" w:cs="Palatino Linotype"/>
          <w:szCs w:val="22"/>
        </w:rPr>
        <w:t xml:space="preserve"> ORDINARIA, CELEBRADA EL </w:t>
      </w:r>
      <w:r w:rsidR="00CC2875" w:rsidRPr="00AD39F2">
        <w:rPr>
          <w:rFonts w:eastAsia="Palatino Linotype" w:cs="Palatino Linotype"/>
          <w:szCs w:val="22"/>
        </w:rPr>
        <w:t>ONCE DE JUNIO</w:t>
      </w:r>
      <w:r w:rsidR="00D933FE" w:rsidRPr="00AD39F2">
        <w:rPr>
          <w:rFonts w:eastAsia="Palatino Linotype" w:cs="Palatino Linotype"/>
          <w:szCs w:val="22"/>
        </w:rPr>
        <w:t xml:space="preserve"> DE DOS MIL VEINTICINCO</w:t>
      </w:r>
      <w:r w:rsidRPr="00AD39F2">
        <w:rPr>
          <w:rFonts w:eastAsia="Palatino Linotype" w:cs="Palatino Linotype"/>
          <w:szCs w:val="22"/>
        </w:rPr>
        <w:t>, ANTE EL SECRETARIO TÉCNICO DEL PLENO, ALEXIS TAPIA RAMÍREZ.</w:t>
      </w:r>
      <w:r w:rsidR="001E1393" w:rsidRPr="00AD39F2">
        <w:rPr>
          <w:rFonts w:eastAsia="Palatino Linotype" w:cs="Palatino Linotype"/>
          <w:szCs w:val="22"/>
        </w:rPr>
        <w:t xml:space="preserve"> </w:t>
      </w:r>
    </w:p>
    <w:p w14:paraId="1C23ADBD" w14:textId="3E2C3E44" w:rsidR="009E4232" w:rsidRPr="00AD39F2" w:rsidRDefault="009E4232" w:rsidP="00AD39F2">
      <w:pPr>
        <w:rPr>
          <w:rFonts w:eastAsia="Palatino Linotype" w:cs="Palatino Linotype"/>
          <w:szCs w:val="22"/>
        </w:rPr>
      </w:pPr>
      <w:r w:rsidRPr="00AD39F2">
        <w:rPr>
          <w:rFonts w:eastAsia="Palatino Linotype" w:cs="Palatino Linotype"/>
          <w:sz w:val="20"/>
        </w:rPr>
        <w:t>SCMM/AGZ/DEMF/CDFE</w:t>
      </w:r>
    </w:p>
    <w:p w14:paraId="49D72DA3" w14:textId="77777777" w:rsidR="00664420" w:rsidRPr="00AD39F2" w:rsidRDefault="00664420" w:rsidP="00AD39F2">
      <w:pPr>
        <w:ind w:right="-93"/>
        <w:rPr>
          <w:rFonts w:eastAsia="Calibri" w:cs="Tahoma"/>
          <w:bCs/>
          <w:szCs w:val="22"/>
          <w:lang w:eastAsia="en-US"/>
        </w:rPr>
      </w:pPr>
    </w:p>
    <w:p w14:paraId="5EFEA0CD" w14:textId="77777777" w:rsidR="00664420" w:rsidRPr="00AD39F2" w:rsidRDefault="00664420" w:rsidP="00AD39F2">
      <w:pPr>
        <w:ind w:right="-93"/>
        <w:rPr>
          <w:rFonts w:eastAsia="Calibri" w:cs="Tahoma"/>
          <w:szCs w:val="22"/>
          <w:lang w:val="es-ES"/>
        </w:rPr>
      </w:pPr>
    </w:p>
    <w:p w14:paraId="696BC976" w14:textId="77777777" w:rsidR="00664420" w:rsidRPr="00AD39F2" w:rsidRDefault="00664420" w:rsidP="00AD39F2">
      <w:pPr>
        <w:ind w:right="-93"/>
        <w:rPr>
          <w:rFonts w:eastAsia="Calibri" w:cs="Tahoma"/>
          <w:bCs/>
          <w:szCs w:val="22"/>
          <w:lang w:val="es-ES" w:eastAsia="en-US"/>
        </w:rPr>
      </w:pPr>
    </w:p>
    <w:p w14:paraId="671CB0C5" w14:textId="77777777" w:rsidR="00664420" w:rsidRPr="00AD39F2" w:rsidRDefault="00664420" w:rsidP="00AD39F2">
      <w:pPr>
        <w:ind w:right="-93"/>
        <w:rPr>
          <w:rFonts w:eastAsia="Calibri" w:cs="Tahoma"/>
          <w:bCs/>
          <w:szCs w:val="22"/>
          <w:lang w:val="es-ES_tradnl" w:eastAsia="en-US"/>
        </w:rPr>
      </w:pPr>
    </w:p>
    <w:p w14:paraId="52B66DE7" w14:textId="77777777" w:rsidR="00664420" w:rsidRPr="00AD39F2" w:rsidRDefault="00664420" w:rsidP="00AD39F2">
      <w:pPr>
        <w:ind w:right="-93"/>
        <w:rPr>
          <w:rFonts w:eastAsia="Calibri" w:cs="Tahoma"/>
          <w:bCs/>
          <w:szCs w:val="22"/>
          <w:lang w:val="es-ES_tradnl" w:eastAsia="en-US"/>
        </w:rPr>
      </w:pPr>
    </w:p>
    <w:p w14:paraId="3BA305D1" w14:textId="77777777" w:rsidR="00664420" w:rsidRPr="00AD39F2" w:rsidRDefault="00664420" w:rsidP="00AD39F2">
      <w:pPr>
        <w:ind w:right="-93"/>
        <w:rPr>
          <w:rFonts w:eastAsia="Calibri" w:cs="Tahoma"/>
          <w:bCs/>
          <w:szCs w:val="22"/>
          <w:lang w:val="es-ES_tradnl" w:eastAsia="en-US"/>
        </w:rPr>
      </w:pPr>
    </w:p>
    <w:p w14:paraId="78230707" w14:textId="77777777" w:rsidR="00664420" w:rsidRPr="00AD39F2" w:rsidRDefault="00664420" w:rsidP="00AD39F2">
      <w:pPr>
        <w:ind w:right="-93"/>
        <w:rPr>
          <w:rFonts w:eastAsia="Calibri" w:cs="Tahoma"/>
          <w:bCs/>
          <w:szCs w:val="22"/>
          <w:lang w:val="es-ES_tradnl" w:eastAsia="en-US"/>
        </w:rPr>
      </w:pPr>
    </w:p>
    <w:p w14:paraId="72D18B28" w14:textId="77777777" w:rsidR="00664420" w:rsidRPr="00AD39F2" w:rsidRDefault="00664420" w:rsidP="00AD39F2">
      <w:pPr>
        <w:ind w:right="-93"/>
        <w:rPr>
          <w:rFonts w:eastAsia="Calibri" w:cs="Tahoma"/>
          <w:bCs/>
          <w:szCs w:val="22"/>
          <w:lang w:val="es-ES_tradnl" w:eastAsia="en-US"/>
        </w:rPr>
      </w:pPr>
    </w:p>
    <w:p w14:paraId="6BD461DC" w14:textId="77777777" w:rsidR="00664420" w:rsidRPr="00AD39F2" w:rsidRDefault="00664420" w:rsidP="00AD39F2">
      <w:pPr>
        <w:tabs>
          <w:tab w:val="center" w:pos="4568"/>
        </w:tabs>
        <w:ind w:right="-93"/>
        <w:rPr>
          <w:rFonts w:eastAsia="Calibri" w:cs="Tahoma"/>
          <w:bCs/>
          <w:szCs w:val="22"/>
          <w:lang w:eastAsia="en-US"/>
        </w:rPr>
      </w:pPr>
    </w:p>
    <w:p w14:paraId="4DBB1727" w14:textId="77777777" w:rsidR="00664420" w:rsidRPr="00AD39F2" w:rsidRDefault="00664420" w:rsidP="00AD39F2">
      <w:pPr>
        <w:tabs>
          <w:tab w:val="center" w:pos="4568"/>
        </w:tabs>
        <w:ind w:right="-93"/>
        <w:rPr>
          <w:rFonts w:eastAsia="Calibri" w:cs="Tahoma"/>
          <w:bCs/>
          <w:szCs w:val="22"/>
          <w:lang w:eastAsia="en-US"/>
        </w:rPr>
      </w:pPr>
    </w:p>
    <w:p w14:paraId="1D74121B" w14:textId="77777777" w:rsidR="00664420" w:rsidRPr="00AD39F2" w:rsidRDefault="00664420" w:rsidP="00AD39F2">
      <w:pPr>
        <w:tabs>
          <w:tab w:val="center" w:pos="4568"/>
        </w:tabs>
        <w:ind w:right="-93"/>
        <w:rPr>
          <w:rFonts w:eastAsia="Calibri" w:cs="Tahoma"/>
          <w:bCs/>
          <w:szCs w:val="22"/>
          <w:lang w:eastAsia="en-US"/>
        </w:rPr>
      </w:pPr>
    </w:p>
    <w:p w14:paraId="08E74E9C" w14:textId="77777777" w:rsidR="00664420" w:rsidRPr="00AD39F2" w:rsidRDefault="00664420" w:rsidP="00AD39F2">
      <w:pPr>
        <w:tabs>
          <w:tab w:val="center" w:pos="4568"/>
        </w:tabs>
        <w:ind w:right="-93"/>
        <w:rPr>
          <w:rFonts w:eastAsia="Calibri" w:cs="Tahoma"/>
          <w:bCs/>
          <w:szCs w:val="22"/>
          <w:lang w:eastAsia="en-US"/>
        </w:rPr>
      </w:pPr>
    </w:p>
    <w:p w14:paraId="2CBF5E03" w14:textId="77777777" w:rsidR="00664420" w:rsidRPr="00AD39F2" w:rsidRDefault="00664420" w:rsidP="00AD39F2">
      <w:pPr>
        <w:tabs>
          <w:tab w:val="center" w:pos="4568"/>
        </w:tabs>
        <w:ind w:right="-93"/>
        <w:rPr>
          <w:rFonts w:eastAsia="Calibri" w:cs="Tahoma"/>
          <w:bCs/>
          <w:szCs w:val="22"/>
          <w:lang w:eastAsia="en-US"/>
        </w:rPr>
      </w:pPr>
    </w:p>
    <w:p w14:paraId="44865A6D" w14:textId="77777777" w:rsidR="00664420" w:rsidRPr="00AD39F2" w:rsidRDefault="00664420" w:rsidP="00AD39F2">
      <w:pPr>
        <w:tabs>
          <w:tab w:val="center" w:pos="4568"/>
        </w:tabs>
        <w:ind w:right="-93"/>
        <w:rPr>
          <w:rFonts w:eastAsia="Calibri" w:cs="Tahoma"/>
          <w:bCs/>
          <w:szCs w:val="22"/>
          <w:lang w:eastAsia="en-US"/>
        </w:rPr>
      </w:pPr>
    </w:p>
    <w:p w14:paraId="7147F06B" w14:textId="77777777" w:rsidR="00664420" w:rsidRPr="00AD39F2" w:rsidRDefault="00664420" w:rsidP="00AD39F2">
      <w:pPr>
        <w:tabs>
          <w:tab w:val="center" w:pos="4568"/>
        </w:tabs>
        <w:ind w:right="-93"/>
        <w:rPr>
          <w:rFonts w:eastAsia="Calibri" w:cs="Tahoma"/>
          <w:bCs/>
          <w:szCs w:val="22"/>
          <w:lang w:eastAsia="en-US"/>
        </w:rPr>
      </w:pPr>
    </w:p>
    <w:p w14:paraId="6FDF3D7E" w14:textId="77777777" w:rsidR="00664420" w:rsidRPr="00AD39F2" w:rsidRDefault="00664420" w:rsidP="00AD39F2">
      <w:pPr>
        <w:tabs>
          <w:tab w:val="center" w:pos="4568"/>
        </w:tabs>
        <w:ind w:right="-93"/>
        <w:rPr>
          <w:rFonts w:eastAsia="Calibri" w:cs="Tahoma"/>
          <w:bCs/>
          <w:szCs w:val="22"/>
          <w:lang w:eastAsia="en-US"/>
        </w:rPr>
      </w:pPr>
    </w:p>
    <w:p w14:paraId="6246F818" w14:textId="77777777" w:rsidR="00664420" w:rsidRPr="00AD39F2" w:rsidRDefault="00664420" w:rsidP="00AD39F2">
      <w:pPr>
        <w:tabs>
          <w:tab w:val="center" w:pos="4568"/>
        </w:tabs>
        <w:ind w:right="-93"/>
        <w:rPr>
          <w:rFonts w:eastAsia="Calibri" w:cs="Tahoma"/>
          <w:bCs/>
          <w:szCs w:val="22"/>
          <w:lang w:eastAsia="en-US"/>
        </w:rPr>
      </w:pPr>
    </w:p>
    <w:p w14:paraId="57A88B28" w14:textId="77777777" w:rsidR="00664420" w:rsidRPr="00AD39F2" w:rsidRDefault="00664420" w:rsidP="00AD39F2">
      <w:pPr>
        <w:tabs>
          <w:tab w:val="center" w:pos="4568"/>
        </w:tabs>
        <w:ind w:right="-93"/>
        <w:rPr>
          <w:rFonts w:eastAsia="Calibri" w:cs="Tahoma"/>
          <w:bCs/>
          <w:szCs w:val="22"/>
          <w:lang w:eastAsia="en-US"/>
        </w:rPr>
      </w:pPr>
    </w:p>
    <w:p w14:paraId="77EF6095" w14:textId="77777777" w:rsidR="00664420" w:rsidRPr="00AD39F2" w:rsidRDefault="00664420" w:rsidP="00AD39F2">
      <w:pPr>
        <w:tabs>
          <w:tab w:val="center" w:pos="4568"/>
        </w:tabs>
        <w:ind w:right="-93"/>
        <w:rPr>
          <w:rFonts w:eastAsia="Calibri" w:cs="Tahoma"/>
          <w:bCs/>
          <w:szCs w:val="22"/>
          <w:lang w:eastAsia="en-US"/>
        </w:rPr>
      </w:pPr>
    </w:p>
    <w:p w14:paraId="35593947" w14:textId="77777777" w:rsidR="00664420" w:rsidRPr="00AD39F2" w:rsidRDefault="00664420" w:rsidP="00AD39F2">
      <w:pPr>
        <w:tabs>
          <w:tab w:val="center" w:pos="4568"/>
        </w:tabs>
        <w:ind w:right="-93"/>
        <w:rPr>
          <w:rFonts w:eastAsia="Calibri" w:cs="Tahoma"/>
          <w:bCs/>
          <w:szCs w:val="22"/>
          <w:lang w:eastAsia="en-US"/>
        </w:rPr>
      </w:pPr>
    </w:p>
    <w:p w14:paraId="3AF72A17" w14:textId="77777777" w:rsidR="00664420" w:rsidRPr="00AD39F2" w:rsidRDefault="00664420" w:rsidP="00AD39F2">
      <w:pPr>
        <w:tabs>
          <w:tab w:val="center" w:pos="4568"/>
        </w:tabs>
        <w:ind w:right="-93"/>
        <w:rPr>
          <w:rFonts w:eastAsia="Calibri" w:cs="Tahoma"/>
          <w:bCs/>
          <w:szCs w:val="22"/>
          <w:lang w:eastAsia="en-US"/>
        </w:rPr>
      </w:pPr>
    </w:p>
    <w:p w14:paraId="37169144" w14:textId="77777777" w:rsidR="00664420" w:rsidRPr="00AD39F2" w:rsidRDefault="00664420" w:rsidP="00AD39F2">
      <w:pPr>
        <w:tabs>
          <w:tab w:val="center" w:pos="4568"/>
        </w:tabs>
        <w:ind w:right="-93"/>
        <w:rPr>
          <w:rFonts w:eastAsia="Calibri" w:cs="Tahoma"/>
          <w:bCs/>
          <w:szCs w:val="22"/>
          <w:lang w:eastAsia="en-US"/>
        </w:rPr>
      </w:pPr>
    </w:p>
    <w:p w14:paraId="77CFC088" w14:textId="77777777" w:rsidR="00664420" w:rsidRPr="00AD39F2" w:rsidRDefault="00664420" w:rsidP="00AD39F2">
      <w:pPr>
        <w:tabs>
          <w:tab w:val="center" w:pos="4568"/>
        </w:tabs>
        <w:ind w:right="-93"/>
        <w:rPr>
          <w:rFonts w:eastAsia="Calibri" w:cs="Tahoma"/>
          <w:bCs/>
          <w:szCs w:val="22"/>
          <w:lang w:eastAsia="en-US"/>
        </w:rPr>
      </w:pPr>
    </w:p>
    <w:p w14:paraId="781A11A5" w14:textId="77777777" w:rsidR="00664420" w:rsidRPr="00AD39F2" w:rsidRDefault="00664420" w:rsidP="00AD39F2">
      <w:pPr>
        <w:tabs>
          <w:tab w:val="center" w:pos="4568"/>
        </w:tabs>
        <w:ind w:right="-93"/>
        <w:rPr>
          <w:rFonts w:eastAsia="Calibri" w:cs="Tahoma"/>
          <w:bCs/>
          <w:szCs w:val="22"/>
          <w:lang w:eastAsia="en-US"/>
        </w:rPr>
      </w:pPr>
    </w:p>
    <w:p w14:paraId="5B4ADFF3" w14:textId="77777777" w:rsidR="00A131AC" w:rsidRPr="00AD39F2" w:rsidRDefault="00A131AC" w:rsidP="00AD39F2"/>
    <w:sectPr w:rsidR="00A131AC" w:rsidRPr="00AD39F2" w:rsidSect="00EE2AF2">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D17ACA" w14:textId="77777777" w:rsidR="00A47F6A" w:rsidRDefault="00A47F6A" w:rsidP="00664420">
      <w:pPr>
        <w:spacing w:line="240" w:lineRule="auto"/>
      </w:pPr>
      <w:r>
        <w:separator/>
      </w:r>
    </w:p>
  </w:endnote>
  <w:endnote w:type="continuationSeparator" w:id="0">
    <w:p w14:paraId="129CB820" w14:textId="77777777" w:rsidR="00A47F6A" w:rsidRDefault="00A47F6A"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776D30" w:rsidRDefault="00776D30">
    <w:pPr>
      <w:tabs>
        <w:tab w:val="center" w:pos="4550"/>
        <w:tab w:val="left" w:pos="5818"/>
      </w:tabs>
      <w:ind w:right="260"/>
      <w:jc w:val="right"/>
      <w:rPr>
        <w:color w:val="071320" w:themeColor="text2" w:themeShade="80"/>
        <w:sz w:val="24"/>
        <w:szCs w:val="24"/>
      </w:rPr>
    </w:pPr>
  </w:p>
  <w:p w14:paraId="1BCA7F23" w14:textId="77777777" w:rsidR="00776D30" w:rsidRDefault="00776D3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2589A372" w:rsidR="00776D30" w:rsidRDefault="00776D30">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537AE4" w:rsidRPr="00537AE4">
      <w:rPr>
        <w:noProof/>
        <w:color w:val="0A1D30" w:themeColor="text2" w:themeShade="BF"/>
        <w:sz w:val="24"/>
        <w:szCs w:val="24"/>
        <w:lang w:val="es-ES"/>
      </w:rPr>
      <w:t>30</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537AE4" w:rsidRPr="00537AE4">
      <w:rPr>
        <w:noProof/>
        <w:color w:val="0A1D30" w:themeColor="text2" w:themeShade="BF"/>
        <w:sz w:val="24"/>
        <w:szCs w:val="24"/>
        <w:lang w:val="es-ES"/>
      </w:rPr>
      <w:t>31</w:t>
    </w:r>
    <w:r>
      <w:rPr>
        <w:color w:val="0A1D30" w:themeColor="text2" w:themeShade="BF"/>
        <w:sz w:val="24"/>
        <w:szCs w:val="24"/>
      </w:rPr>
      <w:fldChar w:fldCharType="end"/>
    </w:r>
  </w:p>
  <w:p w14:paraId="310E15C0" w14:textId="77777777" w:rsidR="00776D30" w:rsidRDefault="00776D3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0A923D" w14:textId="77777777" w:rsidR="00A47F6A" w:rsidRDefault="00A47F6A" w:rsidP="00664420">
      <w:pPr>
        <w:spacing w:line="240" w:lineRule="auto"/>
      </w:pPr>
      <w:r>
        <w:separator/>
      </w:r>
    </w:p>
  </w:footnote>
  <w:footnote w:type="continuationSeparator" w:id="0">
    <w:p w14:paraId="3695D38A" w14:textId="77777777" w:rsidR="00A47F6A" w:rsidRDefault="00A47F6A" w:rsidP="00664420">
      <w:pPr>
        <w:spacing w:line="240" w:lineRule="auto"/>
      </w:pPr>
      <w:r>
        <w:continuationSeparator/>
      </w:r>
    </w:p>
  </w:footnote>
  <w:footnote w:id="1">
    <w:p w14:paraId="7FC13D0E" w14:textId="1A423CE9" w:rsidR="00776D30" w:rsidRPr="00776D30" w:rsidRDefault="00776D30">
      <w:pPr>
        <w:pStyle w:val="Textonotapie"/>
        <w:rPr>
          <w:rFonts w:eastAsia="Batang" w:cs="Tahoma"/>
          <w:i/>
          <w:sz w:val="16"/>
          <w:szCs w:val="22"/>
          <w:lang w:val="es-ES"/>
        </w:rPr>
      </w:pPr>
      <w:r>
        <w:rPr>
          <w:rStyle w:val="Refdenotaalpie"/>
        </w:rPr>
        <w:footnoteRef/>
      </w:r>
      <w:r>
        <w:t xml:space="preserve"> </w:t>
      </w:r>
      <w:r w:rsidRPr="002C158B">
        <w:rPr>
          <w:rFonts w:eastAsia="Batang" w:cs="Tahoma"/>
          <w:i/>
          <w:sz w:val="16"/>
          <w:szCs w:val="22"/>
          <w:lang w:val="es-ES"/>
        </w:rPr>
        <w:t xml:space="preserve">Si bien, se registró el </w:t>
      </w:r>
      <w:r>
        <w:rPr>
          <w:rFonts w:eastAsia="Batang" w:cs="Tahoma"/>
          <w:i/>
          <w:sz w:val="16"/>
          <w:szCs w:val="22"/>
          <w:lang w:val="es-ES"/>
        </w:rPr>
        <w:t xml:space="preserve">diecisiete </w:t>
      </w:r>
      <w:r w:rsidRPr="002C158B">
        <w:rPr>
          <w:rFonts w:eastAsia="Batang" w:cs="Tahoma"/>
          <w:i/>
          <w:sz w:val="16"/>
          <w:szCs w:val="22"/>
          <w:lang w:val="es-ES"/>
        </w:rPr>
        <w:t xml:space="preserve">del mismo mes y año, a través de dicho portal, también lo es, que fue inhábil, de conformidad con </w:t>
      </w:r>
      <w:r>
        <w:rPr>
          <w:rFonts w:eastAsia="Batang" w:cs="Tahoma"/>
          <w:i/>
          <w:sz w:val="16"/>
          <w:szCs w:val="22"/>
          <w:lang w:val="es-ES"/>
        </w:rPr>
        <w:t xml:space="preserve">el </w:t>
      </w:r>
      <w:r w:rsidRPr="00B65681">
        <w:rPr>
          <w:rFonts w:eastAsia="Batang" w:cs="Tahoma"/>
          <w:i/>
          <w:sz w:val="16"/>
          <w:szCs w:val="22"/>
          <w:lang w:val="es-ES"/>
        </w:rPr>
        <w:t>Calendario Oficial en Materia de Transparencia, Acceso a la Información Pública y Protección de Datos Personales del Estado de México y Municipios, as</w:t>
      </w:r>
      <w:r>
        <w:rPr>
          <w:rFonts w:eastAsia="Batang" w:cs="Tahoma"/>
          <w:i/>
          <w:sz w:val="16"/>
          <w:szCs w:val="22"/>
          <w:lang w:val="es-ES"/>
        </w:rPr>
        <w:t>í como de labores del Instituto</w:t>
      </w:r>
      <w:r w:rsidRPr="002C158B">
        <w:rPr>
          <w:rFonts w:eastAsia="Batang" w:cs="Tahoma"/>
          <w:i/>
          <w:sz w:val="16"/>
          <w:szCs w:val="22"/>
          <w:lang w:val="es-ES"/>
        </w:rPr>
        <w:t>, por lo que, se tu</w:t>
      </w:r>
      <w:r>
        <w:rPr>
          <w:rFonts w:eastAsia="Batang" w:cs="Tahoma"/>
          <w:i/>
          <w:sz w:val="16"/>
          <w:szCs w:val="22"/>
          <w:lang w:val="es-ES"/>
        </w:rPr>
        <w:t xml:space="preserve">vo </w:t>
      </w:r>
      <w:r w:rsidRPr="002C158B">
        <w:rPr>
          <w:rFonts w:eastAsia="Batang" w:cs="Tahoma"/>
          <w:i/>
          <w:sz w:val="16"/>
          <w:szCs w:val="22"/>
          <w:lang w:val="es-ES"/>
        </w:rPr>
        <w:t>por recibido, el día hábil subsecuente</w:t>
      </w:r>
      <w:r>
        <w:rPr>
          <w:rFonts w:eastAsia="Batang" w:cs="Tahoma"/>
          <w:i/>
          <w:sz w:val="16"/>
          <w:szCs w:val="22"/>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776D30" w:rsidRPr="00330DA7" w14:paraId="070A4B18" w14:textId="77777777" w:rsidTr="003F35FD">
      <w:trPr>
        <w:trHeight w:val="144"/>
        <w:jc w:val="right"/>
      </w:trPr>
      <w:tc>
        <w:tcPr>
          <w:tcW w:w="2727" w:type="dxa"/>
        </w:tcPr>
        <w:p w14:paraId="62B7493A" w14:textId="77777777" w:rsidR="00776D30" w:rsidRPr="00330DA7" w:rsidRDefault="00776D30" w:rsidP="00776D30">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576591D1" w:rsidR="00776D30" w:rsidRPr="00A90C72" w:rsidRDefault="00776D30" w:rsidP="00776D30">
          <w:pPr>
            <w:tabs>
              <w:tab w:val="right" w:pos="8838"/>
            </w:tabs>
            <w:spacing w:line="240" w:lineRule="auto"/>
            <w:ind w:left="-74" w:right="-105"/>
            <w:rPr>
              <w:rFonts w:eastAsia="Calibri" w:cs="Tahoma"/>
              <w:szCs w:val="22"/>
              <w:lang w:eastAsia="en-US"/>
            </w:rPr>
          </w:pPr>
          <w:r w:rsidRPr="004B59D7">
            <w:rPr>
              <w:rFonts w:eastAsia="Calibri" w:cs="Tahoma"/>
              <w:szCs w:val="22"/>
              <w:lang w:eastAsia="en-US"/>
            </w:rPr>
            <w:t>03132/INFOEM/IP/RR/2025</w:t>
          </w:r>
        </w:p>
      </w:tc>
    </w:tr>
    <w:tr w:rsidR="00776D30" w:rsidRPr="00330DA7" w14:paraId="4521E058" w14:textId="77777777" w:rsidTr="003F35FD">
      <w:trPr>
        <w:trHeight w:val="283"/>
        <w:jc w:val="right"/>
      </w:trPr>
      <w:tc>
        <w:tcPr>
          <w:tcW w:w="2727" w:type="dxa"/>
        </w:tcPr>
        <w:p w14:paraId="0B68C086" w14:textId="77777777" w:rsidR="00776D30" w:rsidRPr="00330DA7" w:rsidRDefault="00776D30" w:rsidP="00776D30">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1A22C665" w:rsidR="00776D30" w:rsidRPr="00952DD0" w:rsidRDefault="00776D30" w:rsidP="00776D30">
          <w:pPr>
            <w:tabs>
              <w:tab w:val="left" w:pos="2834"/>
              <w:tab w:val="right" w:pos="8838"/>
            </w:tabs>
            <w:spacing w:line="240" w:lineRule="auto"/>
            <w:ind w:left="-108" w:right="-105"/>
            <w:rPr>
              <w:rFonts w:eastAsia="Calibri" w:cs="Tahoma"/>
              <w:szCs w:val="22"/>
              <w:lang w:eastAsia="en-US"/>
            </w:rPr>
          </w:pPr>
          <w:r w:rsidRPr="004B59D7">
            <w:rPr>
              <w:rFonts w:eastAsia="Calibri" w:cs="Tahoma"/>
              <w:szCs w:val="22"/>
              <w:lang w:eastAsia="en-US"/>
            </w:rPr>
            <w:t>Instituto Electoral del Estado de México</w:t>
          </w:r>
        </w:p>
      </w:tc>
    </w:tr>
    <w:tr w:rsidR="00776D30" w:rsidRPr="00330DA7" w14:paraId="6331D9B6" w14:textId="77777777" w:rsidTr="003F35FD">
      <w:trPr>
        <w:trHeight w:val="283"/>
        <w:jc w:val="right"/>
      </w:trPr>
      <w:tc>
        <w:tcPr>
          <w:tcW w:w="2727" w:type="dxa"/>
        </w:tcPr>
        <w:p w14:paraId="3FA86BAE" w14:textId="0B6A8A73" w:rsidR="00776D30" w:rsidRPr="00330DA7" w:rsidRDefault="00776D30" w:rsidP="00776D30">
          <w:pPr>
            <w:tabs>
              <w:tab w:val="right" w:pos="8838"/>
            </w:tabs>
            <w:spacing w:line="240" w:lineRule="auto"/>
            <w:ind w:left="-74" w:right="-105"/>
            <w:rPr>
              <w:rFonts w:eastAsia="Calibri" w:cs="Tahoma"/>
              <w:b/>
              <w:szCs w:val="22"/>
              <w:lang w:eastAsia="en-US"/>
            </w:rPr>
          </w:pPr>
          <w:r>
            <w:rPr>
              <w:rFonts w:eastAsia="Calibri" w:cs="Tahoma"/>
              <w:b/>
              <w:szCs w:val="22"/>
              <w:lang w:eastAsia="en-US"/>
            </w:rPr>
            <w:t>Comisionada</w:t>
          </w:r>
          <w:r w:rsidRPr="00330DA7">
            <w:rPr>
              <w:rFonts w:eastAsia="Calibri" w:cs="Tahoma"/>
              <w:b/>
              <w:szCs w:val="22"/>
              <w:lang w:eastAsia="en-US"/>
            </w:rPr>
            <w:t xml:space="preserve"> Ponente:</w:t>
          </w:r>
        </w:p>
      </w:tc>
      <w:tc>
        <w:tcPr>
          <w:tcW w:w="3402" w:type="dxa"/>
        </w:tcPr>
        <w:p w14:paraId="3B37D8A3" w14:textId="77777777" w:rsidR="00776D30" w:rsidRPr="00EA66FC" w:rsidRDefault="00776D30" w:rsidP="00776D30">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776D30" w:rsidRPr="00443C6B" w:rsidRDefault="00776D30"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776D30" w:rsidRPr="00330DA7" w14:paraId="29CFF901" w14:textId="77777777" w:rsidTr="00B52CF2">
      <w:trPr>
        <w:trHeight w:val="1435"/>
      </w:trPr>
      <w:tc>
        <w:tcPr>
          <w:tcW w:w="283" w:type="dxa"/>
          <w:shd w:val="clear" w:color="auto" w:fill="auto"/>
        </w:tcPr>
        <w:p w14:paraId="046B9F8F" w14:textId="77777777" w:rsidR="00776D30" w:rsidRPr="00330DA7" w:rsidRDefault="00776D30" w:rsidP="00776D30">
          <w:pPr>
            <w:tabs>
              <w:tab w:val="right" w:pos="4273"/>
            </w:tabs>
            <w:spacing w:line="240"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776D30" w:rsidRPr="00330DA7" w14:paraId="04F272D2" w14:textId="77777777" w:rsidTr="00B52CF2">
            <w:trPr>
              <w:trHeight w:val="144"/>
            </w:trPr>
            <w:tc>
              <w:tcPr>
                <w:tcW w:w="2727" w:type="dxa"/>
              </w:tcPr>
              <w:p w14:paraId="2FD4DBF6" w14:textId="77777777" w:rsidR="00776D30" w:rsidRPr="00330DA7" w:rsidRDefault="00776D30" w:rsidP="00776D30">
                <w:pPr>
                  <w:tabs>
                    <w:tab w:val="right" w:pos="8838"/>
                  </w:tabs>
                  <w:spacing w:line="240" w:lineRule="auto"/>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24793DFA" w:rsidR="00776D30" w:rsidRPr="00A90C72" w:rsidRDefault="00776D30" w:rsidP="00776D30">
                <w:pPr>
                  <w:tabs>
                    <w:tab w:val="right" w:pos="8838"/>
                  </w:tabs>
                  <w:spacing w:line="240" w:lineRule="auto"/>
                  <w:ind w:left="-74" w:right="-105"/>
                  <w:rPr>
                    <w:rFonts w:eastAsia="Calibri" w:cs="Tahoma"/>
                    <w:szCs w:val="22"/>
                    <w:lang w:eastAsia="en-US"/>
                  </w:rPr>
                </w:pPr>
                <w:r w:rsidRPr="004B59D7">
                  <w:rPr>
                    <w:rFonts w:eastAsia="Calibri" w:cs="Tahoma"/>
                    <w:szCs w:val="22"/>
                    <w:lang w:eastAsia="en-US"/>
                  </w:rPr>
                  <w:t>03132/INFOEM/IP/RR/2025</w:t>
                </w:r>
              </w:p>
            </w:tc>
            <w:tc>
              <w:tcPr>
                <w:tcW w:w="3402" w:type="dxa"/>
              </w:tcPr>
              <w:p w14:paraId="71DEA1CF" w14:textId="5ECA0770" w:rsidR="00776D30" w:rsidRDefault="00776D30" w:rsidP="00776D30">
                <w:pPr>
                  <w:tabs>
                    <w:tab w:val="right" w:pos="8838"/>
                  </w:tabs>
                  <w:spacing w:line="240" w:lineRule="auto"/>
                  <w:ind w:left="-74" w:right="-105"/>
                  <w:rPr>
                    <w:rFonts w:eastAsia="Calibri" w:cs="Tahoma"/>
                    <w:szCs w:val="22"/>
                    <w:lang w:eastAsia="en-US"/>
                  </w:rPr>
                </w:pPr>
              </w:p>
            </w:tc>
          </w:tr>
          <w:tr w:rsidR="00776D30" w:rsidRPr="00330DA7" w14:paraId="05C58951" w14:textId="77777777" w:rsidTr="00B52CF2">
            <w:trPr>
              <w:trHeight w:val="144"/>
            </w:trPr>
            <w:tc>
              <w:tcPr>
                <w:tcW w:w="2727" w:type="dxa"/>
              </w:tcPr>
              <w:p w14:paraId="642B9610" w14:textId="77777777" w:rsidR="00776D30" w:rsidRPr="00330DA7" w:rsidRDefault="00776D30" w:rsidP="00776D30">
                <w:pPr>
                  <w:tabs>
                    <w:tab w:val="right" w:pos="8838"/>
                  </w:tabs>
                  <w:spacing w:line="240" w:lineRule="auto"/>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0C16BC08" w:rsidR="00776D30" w:rsidRPr="005F19B1" w:rsidRDefault="00776D30" w:rsidP="00776D30">
                <w:pPr>
                  <w:tabs>
                    <w:tab w:val="left" w:pos="3122"/>
                    <w:tab w:val="right" w:pos="8838"/>
                  </w:tabs>
                  <w:spacing w:line="240" w:lineRule="auto"/>
                  <w:ind w:left="-105" w:right="-105"/>
                  <w:rPr>
                    <w:rFonts w:eastAsia="Calibri" w:cs="Tahoma"/>
                    <w:szCs w:val="22"/>
                    <w:lang w:eastAsia="en-US"/>
                  </w:rPr>
                </w:pPr>
              </w:p>
            </w:tc>
            <w:tc>
              <w:tcPr>
                <w:tcW w:w="3402" w:type="dxa"/>
              </w:tcPr>
              <w:p w14:paraId="73F47F53" w14:textId="77777777" w:rsidR="00776D30" w:rsidRPr="005F19B1" w:rsidRDefault="00776D30" w:rsidP="00776D30">
                <w:pPr>
                  <w:tabs>
                    <w:tab w:val="left" w:pos="3122"/>
                    <w:tab w:val="right" w:pos="8838"/>
                  </w:tabs>
                  <w:spacing w:line="240" w:lineRule="auto"/>
                  <w:ind w:left="-105" w:right="-105"/>
                  <w:rPr>
                    <w:rFonts w:eastAsia="Calibri" w:cs="Tahoma"/>
                    <w:szCs w:val="22"/>
                    <w:lang w:eastAsia="en-US"/>
                  </w:rPr>
                </w:pPr>
              </w:p>
            </w:tc>
          </w:tr>
          <w:bookmarkEnd w:id="1"/>
          <w:tr w:rsidR="00776D30" w:rsidRPr="00330DA7" w14:paraId="00E6CDC1" w14:textId="77777777" w:rsidTr="00B52CF2">
            <w:trPr>
              <w:trHeight w:val="283"/>
            </w:trPr>
            <w:tc>
              <w:tcPr>
                <w:tcW w:w="2727" w:type="dxa"/>
              </w:tcPr>
              <w:p w14:paraId="0631AD24" w14:textId="77777777" w:rsidR="00776D30" w:rsidRPr="00330DA7" w:rsidRDefault="00776D30" w:rsidP="00776D30">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76595E36" w:rsidR="00776D30" w:rsidRPr="00952DD0" w:rsidRDefault="00776D30" w:rsidP="00776D30">
                <w:pPr>
                  <w:tabs>
                    <w:tab w:val="left" w:pos="2834"/>
                    <w:tab w:val="right" w:pos="8838"/>
                  </w:tabs>
                  <w:spacing w:line="240" w:lineRule="auto"/>
                  <w:ind w:left="-108" w:right="-105"/>
                  <w:rPr>
                    <w:rFonts w:eastAsia="Calibri" w:cs="Tahoma"/>
                    <w:szCs w:val="22"/>
                    <w:lang w:eastAsia="en-US"/>
                  </w:rPr>
                </w:pPr>
                <w:r w:rsidRPr="004B59D7">
                  <w:rPr>
                    <w:rFonts w:eastAsia="Calibri" w:cs="Tahoma"/>
                    <w:szCs w:val="22"/>
                    <w:lang w:eastAsia="en-US"/>
                  </w:rPr>
                  <w:t>Instituto Electoral del Estado de México</w:t>
                </w:r>
              </w:p>
            </w:tc>
            <w:tc>
              <w:tcPr>
                <w:tcW w:w="3402" w:type="dxa"/>
              </w:tcPr>
              <w:p w14:paraId="3A7DA319" w14:textId="77777777" w:rsidR="00776D30" w:rsidRPr="00A90C72" w:rsidRDefault="00776D30" w:rsidP="00776D30">
                <w:pPr>
                  <w:tabs>
                    <w:tab w:val="left" w:pos="2834"/>
                    <w:tab w:val="right" w:pos="8838"/>
                  </w:tabs>
                  <w:spacing w:line="240" w:lineRule="auto"/>
                  <w:ind w:left="-108" w:right="-105"/>
                  <w:rPr>
                    <w:rFonts w:eastAsia="Calibri" w:cs="Tahoma"/>
                    <w:szCs w:val="22"/>
                    <w:lang w:eastAsia="en-US"/>
                  </w:rPr>
                </w:pPr>
              </w:p>
            </w:tc>
          </w:tr>
          <w:tr w:rsidR="00776D30" w:rsidRPr="00330DA7" w14:paraId="0F6CD8D2" w14:textId="77777777" w:rsidTr="00B52CF2">
            <w:trPr>
              <w:trHeight w:val="283"/>
            </w:trPr>
            <w:tc>
              <w:tcPr>
                <w:tcW w:w="2727" w:type="dxa"/>
              </w:tcPr>
              <w:p w14:paraId="31700628" w14:textId="2AE24847" w:rsidR="00776D30" w:rsidRPr="00330DA7" w:rsidRDefault="00776D30" w:rsidP="00776D30">
                <w:pPr>
                  <w:tabs>
                    <w:tab w:val="right" w:pos="8838"/>
                  </w:tabs>
                  <w:spacing w:line="240" w:lineRule="auto"/>
                  <w:ind w:left="-74" w:right="-105"/>
                  <w:rPr>
                    <w:rFonts w:eastAsia="Calibri" w:cs="Tahoma"/>
                    <w:b/>
                    <w:szCs w:val="22"/>
                    <w:lang w:eastAsia="en-US"/>
                  </w:rPr>
                </w:pPr>
                <w:r>
                  <w:rPr>
                    <w:rFonts w:eastAsia="Calibri" w:cs="Tahoma"/>
                    <w:b/>
                    <w:szCs w:val="22"/>
                    <w:lang w:eastAsia="en-US"/>
                  </w:rPr>
                  <w:t>Comisionada</w:t>
                </w:r>
                <w:r w:rsidRPr="00330DA7">
                  <w:rPr>
                    <w:rFonts w:eastAsia="Calibri" w:cs="Tahoma"/>
                    <w:b/>
                    <w:szCs w:val="22"/>
                    <w:lang w:eastAsia="en-US"/>
                  </w:rPr>
                  <w:t xml:space="preserve"> Ponente:</w:t>
                </w:r>
              </w:p>
            </w:tc>
            <w:tc>
              <w:tcPr>
                <w:tcW w:w="3402" w:type="dxa"/>
              </w:tcPr>
              <w:p w14:paraId="31A90A58" w14:textId="75878977" w:rsidR="00776D30" w:rsidRPr="00EA66FC" w:rsidRDefault="00776D30" w:rsidP="00776D30">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776D30" w:rsidRPr="00330DA7" w:rsidRDefault="00776D30" w:rsidP="00776D30">
                <w:pPr>
                  <w:tabs>
                    <w:tab w:val="right" w:pos="8838"/>
                  </w:tabs>
                  <w:spacing w:line="240" w:lineRule="auto"/>
                  <w:ind w:left="-108" w:right="-105"/>
                  <w:rPr>
                    <w:rFonts w:eastAsia="Calibri" w:cs="Tahoma"/>
                    <w:szCs w:val="22"/>
                    <w:lang w:eastAsia="en-US"/>
                  </w:rPr>
                </w:pPr>
              </w:p>
            </w:tc>
          </w:tr>
        </w:tbl>
        <w:p w14:paraId="5DC6AC61" w14:textId="77777777" w:rsidR="00776D30" w:rsidRPr="00330DA7" w:rsidRDefault="00776D30" w:rsidP="00776D30">
          <w:pPr>
            <w:tabs>
              <w:tab w:val="right" w:pos="8838"/>
            </w:tabs>
            <w:spacing w:line="240" w:lineRule="auto"/>
            <w:ind w:left="-28"/>
            <w:rPr>
              <w:rFonts w:ascii="Arial" w:eastAsia="Calibri" w:hAnsi="Arial" w:cs="Arial"/>
              <w:b/>
              <w:szCs w:val="22"/>
              <w:lang w:eastAsia="en-US"/>
            </w:rPr>
          </w:pPr>
        </w:p>
      </w:tc>
    </w:tr>
  </w:tbl>
  <w:p w14:paraId="2A906731" w14:textId="77777777" w:rsidR="00776D30" w:rsidRPr="00765661" w:rsidRDefault="00537AE4" w:rsidP="00B52CF2">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alt="MARCA DE AGUA - HOJA RESOLUCIÓN" style="position:absolute;left:0;text-align:left;margin-left:-63.65pt;margin-top:-120.1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B6D68"/>
    <w:multiLevelType w:val="hybridMultilevel"/>
    <w:tmpl w:val="DD9C5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950458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D46370C"/>
    <w:multiLevelType w:val="hybridMultilevel"/>
    <w:tmpl w:val="F84E79E8"/>
    <w:lvl w:ilvl="0" w:tplc="080A0001">
      <w:start w:val="1"/>
      <w:numFmt w:val="bullet"/>
      <w:lvlText w:val=""/>
      <w:lvlJc w:val="left"/>
      <w:pPr>
        <w:ind w:left="1500" w:hanging="360"/>
      </w:pPr>
      <w:rPr>
        <w:rFonts w:ascii="Symbol" w:hAnsi="Symbo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6"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BA60E1"/>
    <w:multiLevelType w:val="hybridMultilevel"/>
    <w:tmpl w:val="E4E00840"/>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1" w15:restartNumberingAfterBreak="0">
    <w:nsid w:val="2EAA79BC"/>
    <w:multiLevelType w:val="hybridMultilevel"/>
    <w:tmpl w:val="811EF0D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2E77B73"/>
    <w:multiLevelType w:val="hybridMultilevel"/>
    <w:tmpl w:val="59903FD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A201EBF"/>
    <w:multiLevelType w:val="hybridMultilevel"/>
    <w:tmpl w:val="00A65794"/>
    <w:lvl w:ilvl="0" w:tplc="43A8D1E0">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44BA4A7B"/>
    <w:multiLevelType w:val="hybridMultilevel"/>
    <w:tmpl w:val="1D9EAE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53CA3039"/>
    <w:multiLevelType w:val="hybridMultilevel"/>
    <w:tmpl w:val="8D2C3C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7413230"/>
    <w:multiLevelType w:val="hybridMultilevel"/>
    <w:tmpl w:val="492A6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80D42D5"/>
    <w:multiLevelType w:val="hybridMultilevel"/>
    <w:tmpl w:val="D15440A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B436E8A"/>
    <w:multiLevelType w:val="hybridMultilevel"/>
    <w:tmpl w:val="F1BC7D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C0D1D37"/>
    <w:multiLevelType w:val="hybridMultilevel"/>
    <w:tmpl w:val="E7462F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22148CC"/>
    <w:multiLevelType w:val="multilevel"/>
    <w:tmpl w:val="F88A5D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75F6862"/>
    <w:multiLevelType w:val="multilevel"/>
    <w:tmpl w:val="AED842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20"/>
  </w:num>
  <w:num w:numId="3">
    <w:abstractNumId w:val="28"/>
  </w:num>
  <w:num w:numId="4">
    <w:abstractNumId w:val="8"/>
  </w:num>
  <w:num w:numId="5">
    <w:abstractNumId w:val="2"/>
  </w:num>
  <w:num w:numId="6">
    <w:abstractNumId w:val="29"/>
  </w:num>
  <w:num w:numId="7">
    <w:abstractNumId w:val="18"/>
  </w:num>
  <w:num w:numId="8">
    <w:abstractNumId w:val="4"/>
  </w:num>
  <w:num w:numId="9">
    <w:abstractNumId w:val="17"/>
  </w:num>
  <w:num w:numId="10">
    <w:abstractNumId w:val="10"/>
    <w:lvlOverride w:ilvl="0">
      <w:startOverride w:val="1"/>
    </w:lvlOverride>
    <w:lvlOverride w:ilvl="1"/>
    <w:lvlOverride w:ilvl="2"/>
    <w:lvlOverride w:ilvl="3"/>
    <w:lvlOverride w:ilvl="4"/>
    <w:lvlOverride w:ilvl="5"/>
    <w:lvlOverride w:ilvl="6"/>
    <w:lvlOverride w:ilvl="7"/>
    <w:lvlOverride w:ilvl="8"/>
  </w:num>
  <w:num w:numId="11">
    <w:abstractNumId w:val="10"/>
  </w:num>
  <w:num w:numId="12">
    <w:abstractNumId w:val="9"/>
  </w:num>
  <w:num w:numId="13">
    <w:abstractNumId w:val="1"/>
  </w:num>
  <w:num w:numId="14">
    <w:abstractNumId w:val="3"/>
  </w:num>
  <w:num w:numId="15">
    <w:abstractNumId w:val="19"/>
  </w:num>
  <w:num w:numId="16">
    <w:abstractNumId w:val="24"/>
  </w:num>
  <w:num w:numId="17">
    <w:abstractNumId w:val="16"/>
  </w:num>
  <w:num w:numId="18">
    <w:abstractNumId w:val="21"/>
  </w:num>
  <w:num w:numId="19">
    <w:abstractNumId w:val="11"/>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2"/>
  </w:num>
  <w:num w:numId="23">
    <w:abstractNumId w:val="7"/>
  </w:num>
  <w:num w:numId="24">
    <w:abstractNumId w:val="13"/>
  </w:num>
  <w:num w:numId="25">
    <w:abstractNumId w:val="25"/>
  </w:num>
  <w:num w:numId="26">
    <w:abstractNumId w:val="27"/>
  </w:num>
  <w:num w:numId="27">
    <w:abstractNumId w:val="22"/>
  </w:num>
  <w:num w:numId="28">
    <w:abstractNumId w:val="5"/>
  </w:num>
  <w:num w:numId="29">
    <w:abstractNumId w:val="23"/>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17786"/>
    <w:rsid w:val="00022232"/>
    <w:rsid w:val="000318BC"/>
    <w:rsid w:val="00047C01"/>
    <w:rsid w:val="00052315"/>
    <w:rsid w:val="000554EC"/>
    <w:rsid w:val="00056184"/>
    <w:rsid w:val="00057B2D"/>
    <w:rsid w:val="00061042"/>
    <w:rsid w:val="00080071"/>
    <w:rsid w:val="00092F34"/>
    <w:rsid w:val="000B05F6"/>
    <w:rsid w:val="000D0140"/>
    <w:rsid w:val="000D0D67"/>
    <w:rsid w:val="000E09C4"/>
    <w:rsid w:val="000E6F42"/>
    <w:rsid w:val="000F42BA"/>
    <w:rsid w:val="000F7A9C"/>
    <w:rsid w:val="001009E8"/>
    <w:rsid w:val="0011350D"/>
    <w:rsid w:val="001257F0"/>
    <w:rsid w:val="001279A1"/>
    <w:rsid w:val="00132798"/>
    <w:rsid w:val="00134B55"/>
    <w:rsid w:val="00141876"/>
    <w:rsid w:val="0014207B"/>
    <w:rsid w:val="00150C49"/>
    <w:rsid w:val="00155BA9"/>
    <w:rsid w:val="001639AC"/>
    <w:rsid w:val="00172959"/>
    <w:rsid w:val="00187F75"/>
    <w:rsid w:val="001974F2"/>
    <w:rsid w:val="001A58B3"/>
    <w:rsid w:val="001C2FFF"/>
    <w:rsid w:val="001C46A9"/>
    <w:rsid w:val="001C7688"/>
    <w:rsid w:val="001E1393"/>
    <w:rsid w:val="001E62AE"/>
    <w:rsid w:val="001F3515"/>
    <w:rsid w:val="001F64E8"/>
    <w:rsid w:val="001F7C39"/>
    <w:rsid w:val="0021348B"/>
    <w:rsid w:val="0021772F"/>
    <w:rsid w:val="0022586F"/>
    <w:rsid w:val="00233005"/>
    <w:rsid w:val="00233F17"/>
    <w:rsid w:val="00234E60"/>
    <w:rsid w:val="0028446D"/>
    <w:rsid w:val="00286A95"/>
    <w:rsid w:val="00290071"/>
    <w:rsid w:val="002921AB"/>
    <w:rsid w:val="00294FFD"/>
    <w:rsid w:val="002A3601"/>
    <w:rsid w:val="002A4D20"/>
    <w:rsid w:val="002B7C6F"/>
    <w:rsid w:val="002D111C"/>
    <w:rsid w:val="002E7EAB"/>
    <w:rsid w:val="002F6F0F"/>
    <w:rsid w:val="00302476"/>
    <w:rsid w:val="00304A12"/>
    <w:rsid w:val="00331F35"/>
    <w:rsid w:val="00335CDF"/>
    <w:rsid w:val="00350802"/>
    <w:rsid w:val="00351038"/>
    <w:rsid w:val="00362A11"/>
    <w:rsid w:val="00374582"/>
    <w:rsid w:val="00382272"/>
    <w:rsid w:val="003A40C1"/>
    <w:rsid w:val="003A42E6"/>
    <w:rsid w:val="003B120E"/>
    <w:rsid w:val="003B215F"/>
    <w:rsid w:val="003B5819"/>
    <w:rsid w:val="003B5D3E"/>
    <w:rsid w:val="003F35FD"/>
    <w:rsid w:val="003F744B"/>
    <w:rsid w:val="0041385B"/>
    <w:rsid w:val="0042630F"/>
    <w:rsid w:val="00441BFA"/>
    <w:rsid w:val="00454FBD"/>
    <w:rsid w:val="004A0111"/>
    <w:rsid w:val="004A0308"/>
    <w:rsid w:val="004A326F"/>
    <w:rsid w:val="004A4C16"/>
    <w:rsid w:val="004B4E42"/>
    <w:rsid w:val="004B59D7"/>
    <w:rsid w:val="004D1D36"/>
    <w:rsid w:val="004D7CD8"/>
    <w:rsid w:val="004E5068"/>
    <w:rsid w:val="004F6F8E"/>
    <w:rsid w:val="004F7A00"/>
    <w:rsid w:val="0050670E"/>
    <w:rsid w:val="005138D8"/>
    <w:rsid w:val="00523F48"/>
    <w:rsid w:val="00533309"/>
    <w:rsid w:val="005365FA"/>
    <w:rsid w:val="00537AE4"/>
    <w:rsid w:val="0054273E"/>
    <w:rsid w:val="0054527F"/>
    <w:rsid w:val="0054694C"/>
    <w:rsid w:val="0056320F"/>
    <w:rsid w:val="005723CB"/>
    <w:rsid w:val="00575400"/>
    <w:rsid w:val="00596779"/>
    <w:rsid w:val="005A2DA7"/>
    <w:rsid w:val="005B18AF"/>
    <w:rsid w:val="005D1542"/>
    <w:rsid w:val="005D5A50"/>
    <w:rsid w:val="005F5301"/>
    <w:rsid w:val="005F65B7"/>
    <w:rsid w:val="005F7923"/>
    <w:rsid w:val="00602E43"/>
    <w:rsid w:val="006067C7"/>
    <w:rsid w:val="006070F2"/>
    <w:rsid w:val="006159AD"/>
    <w:rsid w:val="00646436"/>
    <w:rsid w:val="00664420"/>
    <w:rsid w:val="00664930"/>
    <w:rsid w:val="00687341"/>
    <w:rsid w:val="00696F72"/>
    <w:rsid w:val="006A646A"/>
    <w:rsid w:val="006B10B0"/>
    <w:rsid w:val="006B2B40"/>
    <w:rsid w:val="006B7A06"/>
    <w:rsid w:val="006E25BC"/>
    <w:rsid w:val="006E6BBC"/>
    <w:rsid w:val="006F7768"/>
    <w:rsid w:val="00711EEE"/>
    <w:rsid w:val="00717E59"/>
    <w:rsid w:val="00725CE5"/>
    <w:rsid w:val="007408BA"/>
    <w:rsid w:val="00743545"/>
    <w:rsid w:val="0076246C"/>
    <w:rsid w:val="00775BFC"/>
    <w:rsid w:val="00776D30"/>
    <w:rsid w:val="00777C96"/>
    <w:rsid w:val="007A3459"/>
    <w:rsid w:val="007A50EA"/>
    <w:rsid w:val="007A6BC2"/>
    <w:rsid w:val="007B5FF3"/>
    <w:rsid w:val="007B6074"/>
    <w:rsid w:val="007D1C55"/>
    <w:rsid w:val="007D317F"/>
    <w:rsid w:val="007D4835"/>
    <w:rsid w:val="007E7168"/>
    <w:rsid w:val="007F5D06"/>
    <w:rsid w:val="00805A6E"/>
    <w:rsid w:val="008105AB"/>
    <w:rsid w:val="00816574"/>
    <w:rsid w:val="00830308"/>
    <w:rsid w:val="00831F51"/>
    <w:rsid w:val="00863F3C"/>
    <w:rsid w:val="00865CF4"/>
    <w:rsid w:val="00876DBC"/>
    <w:rsid w:val="008906AE"/>
    <w:rsid w:val="008A6003"/>
    <w:rsid w:val="008A6F88"/>
    <w:rsid w:val="008B1E16"/>
    <w:rsid w:val="008D415D"/>
    <w:rsid w:val="008E1316"/>
    <w:rsid w:val="008E4718"/>
    <w:rsid w:val="008F048E"/>
    <w:rsid w:val="008F725C"/>
    <w:rsid w:val="00910FD2"/>
    <w:rsid w:val="00916B48"/>
    <w:rsid w:val="00931437"/>
    <w:rsid w:val="00936E35"/>
    <w:rsid w:val="00941A59"/>
    <w:rsid w:val="00947268"/>
    <w:rsid w:val="00953430"/>
    <w:rsid w:val="00970EB3"/>
    <w:rsid w:val="00975EBA"/>
    <w:rsid w:val="009816D3"/>
    <w:rsid w:val="009A2D78"/>
    <w:rsid w:val="009A7C10"/>
    <w:rsid w:val="009B2945"/>
    <w:rsid w:val="009C5443"/>
    <w:rsid w:val="009D08E7"/>
    <w:rsid w:val="009E2DEE"/>
    <w:rsid w:val="009E377C"/>
    <w:rsid w:val="009E3A08"/>
    <w:rsid w:val="009E4232"/>
    <w:rsid w:val="009F797C"/>
    <w:rsid w:val="00A044E6"/>
    <w:rsid w:val="00A131AC"/>
    <w:rsid w:val="00A16D85"/>
    <w:rsid w:val="00A21A20"/>
    <w:rsid w:val="00A250F0"/>
    <w:rsid w:val="00A36A99"/>
    <w:rsid w:val="00A433A7"/>
    <w:rsid w:val="00A47F6A"/>
    <w:rsid w:val="00A53315"/>
    <w:rsid w:val="00A64196"/>
    <w:rsid w:val="00A70EF0"/>
    <w:rsid w:val="00A72431"/>
    <w:rsid w:val="00A90D2B"/>
    <w:rsid w:val="00A9208D"/>
    <w:rsid w:val="00AA6EA9"/>
    <w:rsid w:val="00AC2DB8"/>
    <w:rsid w:val="00AC3CA0"/>
    <w:rsid w:val="00AD39F2"/>
    <w:rsid w:val="00AE3DA7"/>
    <w:rsid w:val="00AF03C4"/>
    <w:rsid w:val="00AF17D9"/>
    <w:rsid w:val="00AF5CF2"/>
    <w:rsid w:val="00AF5D6D"/>
    <w:rsid w:val="00B004B0"/>
    <w:rsid w:val="00B07044"/>
    <w:rsid w:val="00B21700"/>
    <w:rsid w:val="00B22A80"/>
    <w:rsid w:val="00B362AD"/>
    <w:rsid w:val="00B45840"/>
    <w:rsid w:val="00B47761"/>
    <w:rsid w:val="00B52CF2"/>
    <w:rsid w:val="00B668F1"/>
    <w:rsid w:val="00BA50F8"/>
    <w:rsid w:val="00BA55A8"/>
    <w:rsid w:val="00BB2ABF"/>
    <w:rsid w:val="00BB64F4"/>
    <w:rsid w:val="00BC69C0"/>
    <w:rsid w:val="00BD3F4F"/>
    <w:rsid w:val="00BD5A7C"/>
    <w:rsid w:val="00BE7A1B"/>
    <w:rsid w:val="00BF0221"/>
    <w:rsid w:val="00BF091A"/>
    <w:rsid w:val="00BF4EAD"/>
    <w:rsid w:val="00BF7953"/>
    <w:rsid w:val="00C00302"/>
    <w:rsid w:val="00C049E2"/>
    <w:rsid w:val="00C238B6"/>
    <w:rsid w:val="00C258D1"/>
    <w:rsid w:val="00C322FE"/>
    <w:rsid w:val="00C36795"/>
    <w:rsid w:val="00C367BC"/>
    <w:rsid w:val="00C461EC"/>
    <w:rsid w:val="00C507D4"/>
    <w:rsid w:val="00C6114B"/>
    <w:rsid w:val="00C71CEF"/>
    <w:rsid w:val="00C72DAA"/>
    <w:rsid w:val="00C80B14"/>
    <w:rsid w:val="00C86243"/>
    <w:rsid w:val="00C96122"/>
    <w:rsid w:val="00CA580F"/>
    <w:rsid w:val="00CB6EF9"/>
    <w:rsid w:val="00CB7E9A"/>
    <w:rsid w:val="00CC265D"/>
    <w:rsid w:val="00CC2875"/>
    <w:rsid w:val="00CD0B92"/>
    <w:rsid w:val="00CE29D3"/>
    <w:rsid w:val="00CF2D8B"/>
    <w:rsid w:val="00CF7586"/>
    <w:rsid w:val="00D024E7"/>
    <w:rsid w:val="00D036D3"/>
    <w:rsid w:val="00D11DB4"/>
    <w:rsid w:val="00D2790D"/>
    <w:rsid w:val="00D51ECD"/>
    <w:rsid w:val="00D6170E"/>
    <w:rsid w:val="00D671EC"/>
    <w:rsid w:val="00D75C4F"/>
    <w:rsid w:val="00D91CB4"/>
    <w:rsid w:val="00D933FE"/>
    <w:rsid w:val="00D93B38"/>
    <w:rsid w:val="00D96755"/>
    <w:rsid w:val="00DB1C09"/>
    <w:rsid w:val="00DB2351"/>
    <w:rsid w:val="00DB5C13"/>
    <w:rsid w:val="00DC7C0E"/>
    <w:rsid w:val="00DE1133"/>
    <w:rsid w:val="00E16BF5"/>
    <w:rsid w:val="00E34DFA"/>
    <w:rsid w:val="00E37A3F"/>
    <w:rsid w:val="00E37D3C"/>
    <w:rsid w:val="00E47DD2"/>
    <w:rsid w:val="00E54070"/>
    <w:rsid w:val="00E60DB3"/>
    <w:rsid w:val="00E62E6A"/>
    <w:rsid w:val="00E64D28"/>
    <w:rsid w:val="00E70057"/>
    <w:rsid w:val="00E7081C"/>
    <w:rsid w:val="00E70DBA"/>
    <w:rsid w:val="00E83EF5"/>
    <w:rsid w:val="00E9335C"/>
    <w:rsid w:val="00EA4D22"/>
    <w:rsid w:val="00EC03E6"/>
    <w:rsid w:val="00EC246B"/>
    <w:rsid w:val="00ED1C1E"/>
    <w:rsid w:val="00EE08A3"/>
    <w:rsid w:val="00EE2AF2"/>
    <w:rsid w:val="00EE58D9"/>
    <w:rsid w:val="00F07EE6"/>
    <w:rsid w:val="00F13A31"/>
    <w:rsid w:val="00F21723"/>
    <w:rsid w:val="00F33CC8"/>
    <w:rsid w:val="00F40D6B"/>
    <w:rsid w:val="00F43249"/>
    <w:rsid w:val="00F44743"/>
    <w:rsid w:val="00F4481C"/>
    <w:rsid w:val="00F75D23"/>
    <w:rsid w:val="00F81BFE"/>
    <w:rsid w:val="00F874A9"/>
    <w:rsid w:val="00FA088B"/>
    <w:rsid w:val="00FA5957"/>
    <w:rsid w:val="00FC3CE0"/>
    <w:rsid w:val="00FD06A8"/>
    <w:rsid w:val="00FD5C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05F6"/>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B05F6"/>
    <w:rPr>
      <w:rFonts w:ascii="Palatino Linotype" w:eastAsia="Times New Roman" w:hAnsi="Palatino Linotype" w:cs="Times New Roman"/>
      <w:kern w:val="0"/>
      <w:sz w:val="20"/>
      <w:szCs w:val="20"/>
      <w:lang w:eastAsia="es-ES"/>
      <w14:ligatures w14:val="none"/>
    </w:rPr>
  </w:style>
  <w:style w:type="character" w:styleId="Refdenotaalpie">
    <w:name w:val="footnote reference"/>
    <w:basedOn w:val="Fuentedeprrafopredeter"/>
    <w:uiPriority w:val="99"/>
    <w:semiHidden/>
    <w:unhideWhenUsed/>
    <w:rsid w:val="000B05F6"/>
    <w:rPr>
      <w:vertAlign w:val="superscript"/>
    </w:rPr>
  </w:style>
  <w:style w:type="paragraph" w:customStyle="1" w:styleId="Texto">
    <w:name w:val="Texto"/>
    <w:basedOn w:val="Normal"/>
    <w:link w:val="TextoCar"/>
    <w:rsid w:val="00863F3C"/>
    <w:pPr>
      <w:spacing w:after="101" w:line="216" w:lineRule="exact"/>
      <w:ind w:firstLine="288"/>
    </w:pPr>
    <w:rPr>
      <w:rFonts w:ascii="Arial" w:hAnsi="Arial" w:cs="Arial"/>
      <w:sz w:val="18"/>
      <w:lang w:val="es-ES"/>
    </w:rPr>
  </w:style>
  <w:style w:type="character" w:customStyle="1" w:styleId="TextoCar">
    <w:name w:val="Texto Car"/>
    <w:link w:val="Texto"/>
    <w:locked/>
    <w:rsid w:val="00863F3C"/>
    <w:rPr>
      <w:rFonts w:ascii="Arial" w:eastAsia="Times New Roman" w:hAnsi="Arial" w:cs="Arial"/>
      <w:kern w:val="0"/>
      <w:sz w:val="18"/>
      <w:szCs w:val="20"/>
      <w:lang w:val="es-ES" w:eastAsia="es-ES"/>
      <w14:ligatures w14:val="none"/>
    </w:rPr>
  </w:style>
  <w:style w:type="paragraph" w:styleId="Textosinformato">
    <w:name w:val="Plain Text"/>
    <w:basedOn w:val="Normal"/>
    <w:link w:val="TextosinformatoCar"/>
    <w:rsid w:val="00863F3C"/>
    <w:pPr>
      <w:spacing w:line="240" w:lineRule="auto"/>
      <w:jc w:val="left"/>
    </w:pPr>
    <w:rPr>
      <w:rFonts w:ascii="Courier New" w:hAnsi="Courier New"/>
      <w:sz w:val="20"/>
      <w:lang w:val="es-ES"/>
    </w:rPr>
  </w:style>
  <w:style w:type="character" w:customStyle="1" w:styleId="TextosinformatoCar">
    <w:name w:val="Texto sin formato Car"/>
    <w:basedOn w:val="Fuentedeprrafopredeter"/>
    <w:link w:val="Textosinformato"/>
    <w:rsid w:val="00863F3C"/>
    <w:rPr>
      <w:rFonts w:ascii="Courier New" w:eastAsia="Times New Roman" w:hAnsi="Courier New" w:cs="Times New Roman"/>
      <w:kern w:val="0"/>
      <w:sz w:val="20"/>
      <w:szCs w:val="20"/>
      <w:lang w:val="es-ES" w:eastAsia="es-ES"/>
      <w14:ligatures w14:val="none"/>
    </w:rPr>
  </w:style>
  <w:style w:type="character" w:customStyle="1" w:styleId="SinespaciadoCar">
    <w:name w:val="Sin espaciado Car"/>
    <w:aliases w:val="Francesa Car,INAI Car"/>
    <w:link w:val="Sinespaciado"/>
    <w:uiPriority w:val="1"/>
    <w:locked/>
    <w:rsid w:val="004A4C16"/>
    <w:rPr>
      <w:rFonts w:ascii="Palatino Linotype" w:eastAsia="Times New Roman" w:hAnsi="Palatino Linotype" w:cs="Times New Roman"/>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619">
      <w:bodyDiv w:val="1"/>
      <w:marLeft w:val="0"/>
      <w:marRight w:val="0"/>
      <w:marTop w:val="0"/>
      <w:marBottom w:val="0"/>
      <w:divBdr>
        <w:top w:val="none" w:sz="0" w:space="0" w:color="auto"/>
        <w:left w:val="none" w:sz="0" w:space="0" w:color="auto"/>
        <w:bottom w:val="none" w:sz="0" w:space="0" w:color="auto"/>
        <w:right w:val="none" w:sz="0" w:space="0" w:color="auto"/>
      </w:divBdr>
    </w:div>
    <w:div w:id="6635098">
      <w:bodyDiv w:val="1"/>
      <w:marLeft w:val="0"/>
      <w:marRight w:val="0"/>
      <w:marTop w:val="0"/>
      <w:marBottom w:val="0"/>
      <w:divBdr>
        <w:top w:val="none" w:sz="0" w:space="0" w:color="auto"/>
        <w:left w:val="none" w:sz="0" w:space="0" w:color="auto"/>
        <w:bottom w:val="none" w:sz="0" w:space="0" w:color="auto"/>
        <w:right w:val="none" w:sz="0" w:space="0" w:color="auto"/>
      </w:divBdr>
    </w:div>
    <w:div w:id="43412406">
      <w:bodyDiv w:val="1"/>
      <w:marLeft w:val="0"/>
      <w:marRight w:val="0"/>
      <w:marTop w:val="0"/>
      <w:marBottom w:val="0"/>
      <w:divBdr>
        <w:top w:val="none" w:sz="0" w:space="0" w:color="auto"/>
        <w:left w:val="none" w:sz="0" w:space="0" w:color="auto"/>
        <w:bottom w:val="none" w:sz="0" w:space="0" w:color="auto"/>
        <w:right w:val="none" w:sz="0" w:space="0" w:color="auto"/>
      </w:divBdr>
    </w:div>
    <w:div w:id="80223427">
      <w:bodyDiv w:val="1"/>
      <w:marLeft w:val="0"/>
      <w:marRight w:val="0"/>
      <w:marTop w:val="0"/>
      <w:marBottom w:val="0"/>
      <w:divBdr>
        <w:top w:val="none" w:sz="0" w:space="0" w:color="auto"/>
        <w:left w:val="none" w:sz="0" w:space="0" w:color="auto"/>
        <w:bottom w:val="none" w:sz="0" w:space="0" w:color="auto"/>
        <w:right w:val="none" w:sz="0" w:space="0" w:color="auto"/>
      </w:divBdr>
    </w:div>
    <w:div w:id="88895171">
      <w:bodyDiv w:val="1"/>
      <w:marLeft w:val="0"/>
      <w:marRight w:val="0"/>
      <w:marTop w:val="0"/>
      <w:marBottom w:val="0"/>
      <w:divBdr>
        <w:top w:val="none" w:sz="0" w:space="0" w:color="auto"/>
        <w:left w:val="none" w:sz="0" w:space="0" w:color="auto"/>
        <w:bottom w:val="none" w:sz="0" w:space="0" w:color="auto"/>
        <w:right w:val="none" w:sz="0" w:space="0" w:color="auto"/>
      </w:divBdr>
    </w:div>
    <w:div w:id="359860607">
      <w:bodyDiv w:val="1"/>
      <w:marLeft w:val="0"/>
      <w:marRight w:val="0"/>
      <w:marTop w:val="0"/>
      <w:marBottom w:val="0"/>
      <w:divBdr>
        <w:top w:val="none" w:sz="0" w:space="0" w:color="auto"/>
        <w:left w:val="none" w:sz="0" w:space="0" w:color="auto"/>
        <w:bottom w:val="none" w:sz="0" w:space="0" w:color="auto"/>
        <w:right w:val="none" w:sz="0" w:space="0" w:color="auto"/>
      </w:divBdr>
    </w:div>
    <w:div w:id="493644267">
      <w:bodyDiv w:val="1"/>
      <w:marLeft w:val="0"/>
      <w:marRight w:val="0"/>
      <w:marTop w:val="0"/>
      <w:marBottom w:val="0"/>
      <w:divBdr>
        <w:top w:val="none" w:sz="0" w:space="0" w:color="auto"/>
        <w:left w:val="none" w:sz="0" w:space="0" w:color="auto"/>
        <w:bottom w:val="none" w:sz="0" w:space="0" w:color="auto"/>
        <w:right w:val="none" w:sz="0" w:space="0" w:color="auto"/>
      </w:divBdr>
    </w:div>
    <w:div w:id="495850566">
      <w:bodyDiv w:val="1"/>
      <w:marLeft w:val="0"/>
      <w:marRight w:val="0"/>
      <w:marTop w:val="0"/>
      <w:marBottom w:val="0"/>
      <w:divBdr>
        <w:top w:val="none" w:sz="0" w:space="0" w:color="auto"/>
        <w:left w:val="none" w:sz="0" w:space="0" w:color="auto"/>
        <w:bottom w:val="none" w:sz="0" w:space="0" w:color="auto"/>
        <w:right w:val="none" w:sz="0" w:space="0" w:color="auto"/>
      </w:divBdr>
    </w:div>
    <w:div w:id="564412991">
      <w:bodyDiv w:val="1"/>
      <w:marLeft w:val="0"/>
      <w:marRight w:val="0"/>
      <w:marTop w:val="0"/>
      <w:marBottom w:val="0"/>
      <w:divBdr>
        <w:top w:val="none" w:sz="0" w:space="0" w:color="auto"/>
        <w:left w:val="none" w:sz="0" w:space="0" w:color="auto"/>
        <w:bottom w:val="none" w:sz="0" w:space="0" w:color="auto"/>
        <w:right w:val="none" w:sz="0" w:space="0" w:color="auto"/>
      </w:divBdr>
    </w:div>
    <w:div w:id="639070839">
      <w:bodyDiv w:val="1"/>
      <w:marLeft w:val="0"/>
      <w:marRight w:val="0"/>
      <w:marTop w:val="0"/>
      <w:marBottom w:val="0"/>
      <w:divBdr>
        <w:top w:val="none" w:sz="0" w:space="0" w:color="auto"/>
        <w:left w:val="none" w:sz="0" w:space="0" w:color="auto"/>
        <w:bottom w:val="none" w:sz="0" w:space="0" w:color="auto"/>
        <w:right w:val="none" w:sz="0" w:space="0" w:color="auto"/>
      </w:divBdr>
    </w:div>
    <w:div w:id="663629330">
      <w:bodyDiv w:val="1"/>
      <w:marLeft w:val="0"/>
      <w:marRight w:val="0"/>
      <w:marTop w:val="0"/>
      <w:marBottom w:val="0"/>
      <w:divBdr>
        <w:top w:val="none" w:sz="0" w:space="0" w:color="auto"/>
        <w:left w:val="none" w:sz="0" w:space="0" w:color="auto"/>
        <w:bottom w:val="none" w:sz="0" w:space="0" w:color="auto"/>
        <w:right w:val="none" w:sz="0" w:space="0" w:color="auto"/>
      </w:divBdr>
    </w:div>
    <w:div w:id="664867016">
      <w:bodyDiv w:val="1"/>
      <w:marLeft w:val="0"/>
      <w:marRight w:val="0"/>
      <w:marTop w:val="0"/>
      <w:marBottom w:val="0"/>
      <w:divBdr>
        <w:top w:val="none" w:sz="0" w:space="0" w:color="auto"/>
        <w:left w:val="none" w:sz="0" w:space="0" w:color="auto"/>
        <w:bottom w:val="none" w:sz="0" w:space="0" w:color="auto"/>
        <w:right w:val="none" w:sz="0" w:space="0" w:color="auto"/>
      </w:divBdr>
    </w:div>
    <w:div w:id="901333103">
      <w:bodyDiv w:val="1"/>
      <w:marLeft w:val="0"/>
      <w:marRight w:val="0"/>
      <w:marTop w:val="0"/>
      <w:marBottom w:val="0"/>
      <w:divBdr>
        <w:top w:val="none" w:sz="0" w:space="0" w:color="auto"/>
        <w:left w:val="none" w:sz="0" w:space="0" w:color="auto"/>
        <w:bottom w:val="none" w:sz="0" w:space="0" w:color="auto"/>
        <w:right w:val="none" w:sz="0" w:space="0" w:color="auto"/>
      </w:divBdr>
    </w:div>
    <w:div w:id="907307403">
      <w:bodyDiv w:val="1"/>
      <w:marLeft w:val="0"/>
      <w:marRight w:val="0"/>
      <w:marTop w:val="0"/>
      <w:marBottom w:val="0"/>
      <w:divBdr>
        <w:top w:val="none" w:sz="0" w:space="0" w:color="auto"/>
        <w:left w:val="none" w:sz="0" w:space="0" w:color="auto"/>
        <w:bottom w:val="none" w:sz="0" w:space="0" w:color="auto"/>
        <w:right w:val="none" w:sz="0" w:space="0" w:color="auto"/>
      </w:divBdr>
    </w:div>
    <w:div w:id="937442263">
      <w:bodyDiv w:val="1"/>
      <w:marLeft w:val="0"/>
      <w:marRight w:val="0"/>
      <w:marTop w:val="0"/>
      <w:marBottom w:val="0"/>
      <w:divBdr>
        <w:top w:val="none" w:sz="0" w:space="0" w:color="auto"/>
        <w:left w:val="none" w:sz="0" w:space="0" w:color="auto"/>
        <w:bottom w:val="none" w:sz="0" w:space="0" w:color="auto"/>
        <w:right w:val="none" w:sz="0" w:space="0" w:color="auto"/>
      </w:divBdr>
    </w:div>
    <w:div w:id="1013458488">
      <w:bodyDiv w:val="1"/>
      <w:marLeft w:val="0"/>
      <w:marRight w:val="0"/>
      <w:marTop w:val="0"/>
      <w:marBottom w:val="0"/>
      <w:divBdr>
        <w:top w:val="none" w:sz="0" w:space="0" w:color="auto"/>
        <w:left w:val="none" w:sz="0" w:space="0" w:color="auto"/>
        <w:bottom w:val="none" w:sz="0" w:space="0" w:color="auto"/>
        <w:right w:val="none" w:sz="0" w:space="0" w:color="auto"/>
      </w:divBdr>
    </w:div>
    <w:div w:id="1049065858">
      <w:bodyDiv w:val="1"/>
      <w:marLeft w:val="0"/>
      <w:marRight w:val="0"/>
      <w:marTop w:val="0"/>
      <w:marBottom w:val="0"/>
      <w:divBdr>
        <w:top w:val="none" w:sz="0" w:space="0" w:color="auto"/>
        <w:left w:val="none" w:sz="0" w:space="0" w:color="auto"/>
        <w:bottom w:val="none" w:sz="0" w:space="0" w:color="auto"/>
        <w:right w:val="none" w:sz="0" w:space="0" w:color="auto"/>
      </w:divBdr>
    </w:div>
    <w:div w:id="1087075865">
      <w:bodyDiv w:val="1"/>
      <w:marLeft w:val="0"/>
      <w:marRight w:val="0"/>
      <w:marTop w:val="0"/>
      <w:marBottom w:val="0"/>
      <w:divBdr>
        <w:top w:val="none" w:sz="0" w:space="0" w:color="auto"/>
        <w:left w:val="none" w:sz="0" w:space="0" w:color="auto"/>
        <w:bottom w:val="none" w:sz="0" w:space="0" w:color="auto"/>
        <w:right w:val="none" w:sz="0" w:space="0" w:color="auto"/>
      </w:divBdr>
    </w:div>
    <w:div w:id="1116099120">
      <w:bodyDiv w:val="1"/>
      <w:marLeft w:val="0"/>
      <w:marRight w:val="0"/>
      <w:marTop w:val="0"/>
      <w:marBottom w:val="0"/>
      <w:divBdr>
        <w:top w:val="none" w:sz="0" w:space="0" w:color="auto"/>
        <w:left w:val="none" w:sz="0" w:space="0" w:color="auto"/>
        <w:bottom w:val="none" w:sz="0" w:space="0" w:color="auto"/>
        <w:right w:val="none" w:sz="0" w:space="0" w:color="auto"/>
      </w:divBdr>
    </w:div>
    <w:div w:id="1263611536">
      <w:bodyDiv w:val="1"/>
      <w:marLeft w:val="0"/>
      <w:marRight w:val="0"/>
      <w:marTop w:val="0"/>
      <w:marBottom w:val="0"/>
      <w:divBdr>
        <w:top w:val="none" w:sz="0" w:space="0" w:color="auto"/>
        <w:left w:val="none" w:sz="0" w:space="0" w:color="auto"/>
        <w:bottom w:val="none" w:sz="0" w:space="0" w:color="auto"/>
        <w:right w:val="none" w:sz="0" w:space="0" w:color="auto"/>
      </w:divBdr>
    </w:div>
    <w:div w:id="1327856390">
      <w:bodyDiv w:val="1"/>
      <w:marLeft w:val="0"/>
      <w:marRight w:val="0"/>
      <w:marTop w:val="0"/>
      <w:marBottom w:val="0"/>
      <w:divBdr>
        <w:top w:val="none" w:sz="0" w:space="0" w:color="auto"/>
        <w:left w:val="none" w:sz="0" w:space="0" w:color="auto"/>
        <w:bottom w:val="none" w:sz="0" w:space="0" w:color="auto"/>
        <w:right w:val="none" w:sz="0" w:space="0" w:color="auto"/>
      </w:divBdr>
    </w:div>
    <w:div w:id="1362777293">
      <w:bodyDiv w:val="1"/>
      <w:marLeft w:val="0"/>
      <w:marRight w:val="0"/>
      <w:marTop w:val="0"/>
      <w:marBottom w:val="0"/>
      <w:divBdr>
        <w:top w:val="none" w:sz="0" w:space="0" w:color="auto"/>
        <w:left w:val="none" w:sz="0" w:space="0" w:color="auto"/>
        <w:bottom w:val="none" w:sz="0" w:space="0" w:color="auto"/>
        <w:right w:val="none" w:sz="0" w:space="0" w:color="auto"/>
      </w:divBdr>
    </w:div>
    <w:div w:id="1391071013">
      <w:bodyDiv w:val="1"/>
      <w:marLeft w:val="0"/>
      <w:marRight w:val="0"/>
      <w:marTop w:val="0"/>
      <w:marBottom w:val="0"/>
      <w:divBdr>
        <w:top w:val="none" w:sz="0" w:space="0" w:color="auto"/>
        <w:left w:val="none" w:sz="0" w:space="0" w:color="auto"/>
        <w:bottom w:val="none" w:sz="0" w:space="0" w:color="auto"/>
        <w:right w:val="none" w:sz="0" w:space="0" w:color="auto"/>
      </w:divBdr>
    </w:div>
    <w:div w:id="1613590460">
      <w:bodyDiv w:val="1"/>
      <w:marLeft w:val="0"/>
      <w:marRight w:val="0"/>
      <w:marTop w:val="0"/>
      <w:marBottom w:val="0"/>
      <w:divBdr>
        <w:top w:val="none" w:sz="0" w:space="0" w:color="auto"/>
        <w:left w:val="none" w:sz="0" w:space="0" w:color="auto"/>
        <w:bottom w:val="none" w:sz="0" w:space="0" w:color="auto"/>
        <w:right w:val="none" w:sz="0" w:space="0" w:color="auto"/>
      </w:divBdr>
    </w:div>
    <w:div w:id="1664965492">
      <w:bodyDiv w:val="1"/>
      <w:marLeft w:val="0"/>
      <w:marRight w:val="0"/>
      <w:marTop w:val="0"/>
      <w:marBottom w:val="0"/>
      <w:divBdr>
        <w:top w:val="none" w:sz="0" w:space="0" w:color="auto"/>
        <w:left w:val="none" w:sz="0" w:space="0" w:color="auto"/>
        <w:bottom w:val="none" w:sz="0" w:space="0" w:color="auto"/>
        <w:right w:val="none" w:sz="0" w:space="0" w:color="auto"/>
      </w:divBdr>
    </w:div>
    <w:div w:id="1731268905">
      <w:bodyDiv w:val="1"/>
      <w:marLeft w:val="0"/>
      <w:marRight w:val="0"/>
      <w:marTop w:val="0"/>
      <w:marBottom w:val="0"/>
      <w:divBdr>
        <w:top w:val="none" w:sz="0" w:space="0" w:color="auto"/>
        <w:left w:val="none" w:sz="0" w:space="0" w:color="auto"/>
        <w:bottom w:val="none" w:sz="0" w:space="0" w:color="auto"/>
        <w:right w:val="none" w:sz="0" w:space="0" w:color="auto"/>
      </w:divBdr>
    </w:div>
    <w:div w:id="1762919275">
      <w:bodyDiv w:val="1"/>
      <w:marLeft w:val="0"/>
      <w:marRight w:val="0"/>
      <w:marTop w:val="0"/>
      <w:marBottom w:val="0"/>
      <w:divBdr>
        <w:top w:val="none" w:sz="0" w:space="0" w:color="auto"/>
        <w:left w:val="none" w:sz="0" w:space="0" w:color="auto"/>
        <w:bottom w:val="none" w:sz="0" w:space="0" w:color="auto"/>
        <w:right w:val="none" w:sz="0" w:space="0" w:color="auto"/>
      </w:divBdr>
    </w:div>
    <w:div w:id="1876235452">
      <w:bodyDiv w:val="1"/>
      <w:marLeft w:val="0"/>
      <w:marRight w:val="0"/>
      <w:marTop w:val="0"/>
      <w:marBottom w:val="0"/>
      <w:divBdr>
        <w:top w:val="none" w:sz="0" w:space="0" w:color="auto"/>
        <w:left w:val="none" w:sz="0" w:space="0" w:color="auto"/>
        <w:bottom w:val="none" w:sz="0" w:space="0" w:color="auto"/>
        <w:right w:val="none" w:sz="0" w:space="0" w:color="auto"/>
      </w:divBdr>
    </w:div>
    <w:div w:id="192472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schemas.microsoft.com/office/2006/metadata/properties"/>
    <ds:schemaRef ds:uri="http://purl.org/dc/dcmitype/"/>
    <ds:schemaRef ds:uri="http://schemas.microsoft.com/office/infopath/2007/PartnerControls"/>
    <ds:schemaRef ds:uri="http://purl.org/dc/terms/"/>
    <ds:schemaRef ds:uri="76b08bab-a17d-419c-8fa8-b7b9c3c33fde"/>
    <ds:schemaRef ds:uri="http://purl.org/dc/elements/1.1/"/>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91D28E8F-4272-42AB-B305-59DD9236E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7715</Words>
  <Characters>42435</Characters>
  <Application>Microsoft Office Word</Application>
  <DocSecurity>0</DocSecurity>
  <Lines>353</Lines>
  <Paragraphs>100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infoem607b</cp:lastModifiedBy>
  <cp:revision>8</cp:revision>
  <cp:lastPrinted>2025-06-12T18:03:00Z</cp:lastPrinted>
  <dcterms:created xsi:type="dcterms:W3CDTF">2025-06-05T18:05:00Z</dcterms:created>
  <dcterms:modified xsi:type="dcterms:W3CDTF">2025-06-12T18:04:00Z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