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42EDF" w14:textId="77777777" w:rsidR="005801F9" w:rsidRPr="001B0639" w:rsidRDefault="003D6A59">
      <w:pPr>
        <w:spacing w:before="240" w:after="240" w:line="360" w:lineRule="auto"/>
        <w:jc w:val="both"/>
        <w:rPr>
          <w:rFonts w:ascii="Palatino Linotype" w:eastAsia="Palatino Linotype" w:hAnsi="Palatino Linotype" w:cs="Palatino Linotype"/>
        </w:rPr>
      </w:pPr>
      <w:bookmarkStart w:id="0" w:name="_heading=h.3rdcrjn" w:colFirst="0" w:colLast="0"/>
      <w:bookmarkEnd w:id="0"/>
      <w:r w:rsidRPr="001B0639">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953E39" w:rsidRPr="001B0639">
        <w:rPr>
          <w:rFonts w:ascii="Palatino Linotype" w:eastAsia="Palatino Linotype" w:hAnsi="Palatino Linotype" w:cs="Palatino Linotype"/>
        </w:rPr>
        <w:t xml:space="preserve">doce de marzo </w:t>
      </w:r>
      <w:r w:rsidRPr="001B0639">
        <w:rPr>
          <w:rFonts w:ascii="Palatino Linotype" w:eastAsia="Palatino Linotype" w:hAnsi="Palatino Linotype" w:cs="Palatino Linotype"/>
        </w:rPr>
        <w:t xml:space="preserve">de dos mil veinticinco. </w:t>
      </w:r>
    </w:p>
    <w:p w14:paraId="5E670963" w14:textId="19D7BB8F" w:rsidR="005801F9" w:rsidRPr="001B0639" w:rsidRDefault="003D6A59">
      <w:pPr>
        <w:tabs>
          <w:tab w:val="left" w:pos="5812"/>
        </w:tabs>
        <w:spacing w:before="240" w:after="240" w:line="360" w:lineRule="auto"/>
        <w:jc w:val="both"/>
        <w:rPr>
          <w:rFonts w:ascii="Palatino Linotype" w:eastAsia="Palatino Linotype" w:hAnsi="Palatino Linotype" w:cs="Palatino Linotype"/>
        </w:rPr>
      </w:pPr>
      <w:r w:rsidRPr="001B0639">
        <w:rPr>
          <w:rFonts w:ascii="Palatino Linotype" w:eastAsia="Palatino Linotype" w:hAnsi="Palatino Linotype" w:cs="Palatino Linotype"/>
          <w:b/>
        </w:rPr>
        <w:t>VISTO</w:t>
      </w:r>
      <w:r w:rsidRPr="001B0639">
        <w:rPr>
          <w:rFonts w:ascii="Palatino Linotype" w:eastAsia="Palatino Linotype" w:hAnsi="Palatino Linotype" w:cs="Palatino Linotype"/>
        </w:rPr>
        <w:t xml:space="preserve"> el expediente formado con motivo del recurso de revisión </w:t>
      </w:r>
      <w:r w:rsidRPr="001B0639">
        <w:rPr>
          <w:rFonts w:ascii="Palatino Linotype" w:eastAsia="Palatino Linotype" w:hAnsi="Palatino Linotype" w:cs="Palatino Linotype"/>
          <w:b/>
        </w:rPr>
        <w:t>00</w:t>
      </w:r>
      <w:r w:rsidR="00953E39" w:rsidRPr="001B0639">
        <w:rPr>
          <w:rFonts w:ascii="Palatino Linotype" w:eastAsia="Palatino Linotype" w:hAnsi="Palatino Linotype" w:cs="Palatino Linotype"/>
          <w:b/>
        </w:rPr>
        <w:t>974</w:t>
      </w:r>
      <w:r w:rsidRPr="001B0639">
        <w:rPr>
          <w:rFonts w:ascii="Palatino Linotype" w:eastAsia="Palatino Linotype" w:hAnsi="Palatino Linotype" w:cs="Palatino Linotype"/>
          <w:b/>
        </w:rPr>
        <w:t>/INFOEM/IP/RR/2025</w:t>
      </w:r>
      <w:r w:rsidRPr="001B0639">
        <w:rPr>
          <w:rFonts w:ascii="Palatino Linotype" w:eastAsia="Palatino Linotype" w:hAnsi="Palatino Linotype" w:cs="Palatino Linotype"/>
        </w:rPr>
        <w:t xml:space="preserve">, interpuesto por </w:t>
      </w:r>
      <w:r w:rsidR="00EB35C4" w:rsidRPr="00EB35C4">
        <w:rPr>
          <w:rFonts w:ascii="Palatino Linotype" w:eastAsia="Palatino Linotype" w:hAnsi="Palatino Linotype" w:cs="Palatino Linotype"/>
          <w:b/>
        </w:rPr>
        <w:t>XXXXXXXXXXX XXXXXXXXX XXXXXX</w:t>
      </w:r>
      <w:r w:rsidRPr="001B0639">
        <w:rPr>
          <w:rFonts w:ascii="Palatino Linotype" w:eastAsia="Palatino Linotype" w:hAnsi="Palatino Linotype" w:cs="Palatino Linotype"/>
          <w:b/>
        </w:rPr>
        <w:t>,</w:t>
      </w:r>
      <w:r w:rsidRPr="001B0639">
        <w:rPr>
          <w:rFonts w:ascii="Palatino Linotype" w:eastAsia="Palatino Linotype" w:hAnsi="Palatino Linotype" w:cs="Palatino Linotype"/>
        </w:rPr>
        <w:t xml:space="preserve"> en lo sucesivo</w:t>
      </w:r>
      <w:r w:rsidRPr="001B0639">
        <w:rPr>
          <w:rFonts w:ascii="Palatino Linotype" w:eastAsia="Palatino Linotype" w:hAnsi="Palatino Linotype" w:cs="Palatino Linotype"/>
          <w:b/>
        </w:rPr>
        <w:t xml:space="preserve"> </w:t>
      </w:r>
      <w:r w:rsidRPr="001B0639">
        <w:rPr>
          <w:rFonts w:ascii="Palatino Linotype" w:eastAsia="Palatino Linotype" w:hAnsi="Palatino Linotype" w:cs="Palatino Linotype"/>
        </w:rPr>
        <w:t xml:space="preserve">la parte </w:t>
      </w:r>
      <w:r w:rsidRPr="001B0639">
        <w:rPr>
          <w:rFonts w:ascii="Palatino Linotype" w:eastAsia="Palatino Linotype" w:hAnsi="Palatino Linotype" w:cs="Palatino Linotype"/>
          <w:b/>
        </w:rPr>
        <w:t>Recurrente,</w:t>
      </w:r>
      <w:r w:rsidRPr="001B0639">
        <w:rPr>
          <w:rFonts w:ascii="Palatino Linotype" w:eastAsia="Palatino Linotype" w:hAnsi="Palatino Linotype" w:cs="Palatino Linotype"/>
        </w:rPr>
        <w:t xml:space="preserve"> en contra de la respuesta a la solicitud de información con número de folio</w:t>
      </w:r>
      <w:r w:rsidRPr="001B0639">
        <w:rPr>
          <w:rFonts w:ascii="Palatino Linotype" w:eastAsia="Palatino Linotype" w:hAnsi="Palatino Linotype" w:cs="Palatino Linotype"/>
          <w:b/>
        </w:rPr>
        <w:t xml:space="preserve"> </w:t>
      </w:r>
      <w:r w:rsidR="00953E39" w:rsidRPr="001B0639">
        <w:rPr>
          <w:rFonts w:ascii="Palatino Linotype" w:eastAsia="Palatino Linotype" w:hAnsi="Palatino Linotype" w:cs="Palatino Linotype"/>
          <w:b/>
        </w:rPr>
        <w:t>00021/MELOCAM/IP/2025</w:t>
      </w:r>
      <w:r w:rsidRPr="001B0639">
        <w:rPr>
          <w:rFonts w:ascii="Palatino Linotype" w:eastAsia="Palatino Linotype" w:hAnsi="Palatino Linotype" w:cs="Palatino Linotype"/>
          <w:b/>
        </w:rPr>
        <w:t xml:space="preserve">, </w:t>
      </w:r>
      <w:r w:rsidRPr="001B0639">
        <w:rPr>
          <w:rFonts w:ascii="Palatino Linotype" w:eastAsia="Palatino Linotype" w:hAnsi="Palatino Linotype" w:cs="Palatino Linotype"/>
        </w:rPr>
        <w:t xml:space="preserve">por parte del </w:t>
      </w:r>
      <w:r w:rsidR="00953E39" w:rsidRPr="001B0639">
        <w:rPr>
          <w:rFonts w:ascii="Palatino Linotype" w:eastAsia="Palatino Linotype" w:hAnsi="Palatino Linotype" w:cs="Palatino Linotype"/>
          <w:b/>
        </w:rPr>
        <w:t>Ayuntamiento de Melchor Ocampo</w:t>
      </w:r>
      <w:r w:rsidRPr="001B0639">
        <w:rPr>
          <w:rFonts w:ascii="Palatino Linotype" w:eastAsia="Palatino Linotype" w:hAnsi="Palatino Linotype" w:cs="Palatino Linotype"/>
          <w:b/>
        </w:rPr>
        <w:t xml:space="preserve">, </w:t>
      </w:r>
      <w:r w:rsidRPr="001B0639">
        <w:rPr>
          <w:rFonts w:ascii="Palatino Linotype" w:eastAsia="Palatino Linotype" w:hAnsi="Palatino Linotype" w:cs="Palatino Linotype"/>
        </w:rPr>
        <w:t xml:space="preserve">en lo sucesivo el </w:t>
      </w:r>
      <w:r w:rsidRPr="001B0639">
        <w:rPr>
          <w:rFonts w:ascii="Palatino Linotype" w:eastAsia="Palatino Linotype" w:hAnsi="Palatino Linotype" w:cs="Palatino Linotype"/>
          <w:b/>
        </w:rPr>
        <w:t xml:space="preserve">Sujeto Obligado, </w:t>
      </w:r>
      <w:r w:rsidRPr="001B0639">
        <w:rPr>
          <w:rFonts w:ascii="Palatino Linotype" w:eastAsia="Palatino Linotype" w:hAnsi="Palatino Linotype" w:cs="Palatino Linotype"/>
        </w:rPr>
        <w:t xml:space="preserve">se procede a dictar la presente resolución con base en los siguientes: </w:t>
      </w:r>
    </w:p>
    <w:p w14:paraId="31DFF5C7" w14:textId="77777777" w:rsidR="005801F9" w:rsidRPr="001B0639" w:rsidRDefault="003D6A59">
      <w:pPr>
        <w:spacing w:before="240" w:after="240" w:line="360" w:lineRule="auto"/>
        <w:jc w:val="center"/>
        <w:rPr>
          <w:rFonts w:ascii="Palatino Linotype" w:eastAsia="Palatino Linotype" w:hAnsi="Palatino Linotype" w:cs="Palatino Linotype"/>
          <w:b/>
        </w:rPr>
      </w:pPr>
      <w:r w:rsidRPr="001B0639">
        <w:rPr>
          <w:rFonts w:ascii="Palatino Linotype" w:eastAsia="Palatino Linotype" w:hAnsi="Palatino Linotype" w:cs="Palatino Linotype"/>
          <w:b/>
        </w:rPr>
        <w:t>I. A N T E C E D E N T E S</w:t>
      </w:r>
    </w:p>
    <w:p w14:paraId="77E4B2D3" w14:textId="77777777" w:rsidR="005801F9" w:rsidRPr="001B0639" w:rsidRDefault="003D6A59">
      <w:pPr>
        <w:spacing w:before="240" w:after="240" w:line="360" w:lineRule="auto"/>
        <w:jc w:val="both"/>
        <w:rPr>
          <w:rFonts w:ascii="Palatino Linotype" w:eastAsia="Palatino Linotype" w:hAnsi="Palatino Linotype" w:cs="Palatino Linotype"/>
        </w:rPr>
      </w:pPr>
      <w:bookmarkStart w:id="1" w:name="_heading=h.4d34og8" w:colFirst="0" w:colLast="0"/>
      <w:bookmarkEnd w:id="1"/>
      <w:r w:rsidRPr="001B0639">
        <w:rPr>
          <w:rFonts w:ascii="Palatino Linotype" w:eastAsia="Palatino Linotype" w:hAnsi="Palatino Linotype" w:cs="Palatino Linotype"/>
          <w:b/>
        </w:rPr>
        <w:t>1. Solicitud de acceso a la información.</w:t>
      </w:r>
      <w:r w:rsidRPr="001B0639">
        <w:rPr>
          <w:rFonts w:ascii="Palatino Linotype" w:eastAsia="Palatino Linotype" w:hAnsi="Palatino Linotype" w:cs="Palatino Linotype"/>
        </w:rPr>
        <w:t xml:space="preserve"> El </w:t>
      </w:r>
      <w:r w:rsidR="00953E39" w:rsidRPr="001B0639">
        <w:rPr>
          <w:rFonts w:ascii="Palatino Linotype" w:eastAsia="Palatino Linotype" w:hAnsi="Palatino Linotype" w:cs="Palatino Linotype"/>
          <w:b/>
        </w:rPr>
        <w:t xml:space="preserve">dieciséis de </w:t>
      </w:r>
      <w:r w:rsidRPr="001B0639">
        <w:rPr>
          <w:rFonts w:ascii="Palatino Linotype" w:eastAsia="Palatino Linotype" w:hAnsi="Palatino Linotype" w:cs="Palatino Linotype"/>
          <w:b/>
        </w:rPr>
        <w:t>enero de dos mil veinticinco,</w:t>
      </w:r>
      <w:r w:rsidRPr="001B0639">
        <w:rPr>
          <w:rFonts w:ascii="Palatino Linotype" w:eastAsia="Palatino Linotype" w:hAnsi="Palatino Linotype" w:cs="Palatino Linotype"/>
        </w:rPr>
        <w:t xml:space="preserve"> la parte </w:t>
      </w:r>
      <w:r w:rsidRPr="001B0639">
        <w:rPr>
          <w:rFonts w:ascii="Palatino Linotype" w:eastAsia="Palatino Linotype" w:hAnsi="Palatino Linotype" w:cs="Palatino Linotype"/>
          <w:b/>
        </w:rPr>
        <w:t xml:space="preserve">Recurrente </w:t>
      </w:r>
      <w:r w:rsidRPr="001B0639">
        <w:rPr>
          <w:rFonts w:ascii="Palatino Linotype" w:eastAsia="Palatino Linotype" w:hAnsi="Palatino Linotype" w:cs="Palatino Linotype"/>
        </w:rPr>
        <w:t xml:space="preserve">presentó, a través del Sistema de Acceso a la Información Mexiquense, en lo subsecuente el </w:t>
      </w:r>
      <w:r w:rsidRPr="001B0639">
        <w:rPr>
          <w:rFonts w:ascii="Palatino Linotype" w:eastAsia="Palatino Linotype" w:hAnsi="Palatino Linotype" w:cs="Palatino Linotype"/>
          <w:b/>
        </w:rPr>
        <w:t>SAIMEX,</w:t>
      </w:r>
      <w:r w:rsidRPr="001B0639">
        <w:rPr>
          <w:rFonts w:ascii="Palatino Linotype" w:eastAsia="Palatino Linotype" w:hAnsi="Palatino Linotype" w:cs="Palatino Linotype"/>
        </w:rPr>
        <w:t xml:space="preserve"> ante el </w:t>
      </w:r>
      <w:r w:rsidRPr="001B0639">
        <w:rPr>
          <w:rFonts w:ascii="Palatino Linotype" w:eastAsia="Palatino Linotype" w:hAnsi="Palatino Linotype" w:cs="Palatino Linotype"/>
          <w:b/>
        </w:rPr>
        <w:t>Sujeto Obligado</w:t>
      </w:r>
      <w:r w:rsidRPr="001B0639">
        <w:rPr>
          <w:rFonts w:ascii="Palatino Linotype" w:eastAsia="Palatino Linotype" w:hAnsi="Palatino Linotype" w:cs="Palatino Linotype"/>
        </w:rPr>
        <w:t xml:space="preserve">, la solicitud de acceso a la información pública, mediante la cual requirió la información siguiente: </w:t>
      </w:r>
    </w:p>
    <w:p w14:paraId="1BAD3932" w14:textId="77777777" w:rsidR="005801F9" w:rsidRPr="001B0639" w:rsidRDefault="00953E39">
      <w:pPr>
        <w:spacing w:before="120" w:after="120"/>
        <w:ind w:left="851" w:right="902"/>
        <w:jc w:val="both"/>
        <w:rPr>
          <w:rFonts w:ascii="Palatino Linotype" w:eastAsia="Palatino Linotype" w:hAnsi="Palatino Linotype" w:cs="Palatino Linotype"/>
          <w:b/>
          <w:i/>
          <w:sz w:val="22"/>
          <w:szCs w:val="22"/>
        </w:rPr>
      </w:pPr>
      <w:bookmarkStart w:id="2" w:name="_heading=h.gjdgxs" w:colFirst="0" w:colLast="0"/>
      <w:bookmarkEnd w:id="2"/>
      <w:r w:rsidRPr="001B0639">
        <w:rPr>
          <w:rFonts w:ascii="Palatino Linotype" w:eastAsia="Palatino Linotype" w:hAnsi="Palatino Linotype" w:cs="Palatino Linotype"/>
          <w:b/>
          <w:i/>
          <w:sz w:val="22"/>
          <w:szCs w:val="22"/>
        </w:rPr>
        <w:t>“</w:t>
      </w:r>
      <w:r w:rsidRPr="001B0639">
        <w:rPr>
          <w:rFonts w:ascii="Palatino Linotype" w:eastAsia="Palatino Linotype" w:hAnsi="Palatino Linotype" w:cs="Palatino Linotype"/>
          <w:i/>
          <w:sz w:val="22"/>
          <w:szCs w:val="22"/>
        </w:rPr>
        <w:t xml:space="preserve">Solicito </w:t>
      </w:r>
      <w:r w:rsidRPr="001B0639">
        <w:rPr>
          <w:rFonts w:ascii="Palatino Linotype" w:eastAsia="Palatino Linotype" w:hAnsi="Palatino Linotype" w:cs="Palatino Linotype"/>
          <w:b/>
          <w:i/>
          <w:sz w:val="22"/>
          <w:szCs w:val="22"/>
          <w:u w:val="single"/>
        </w:rPr>
        <w:t>los expedientes de las personas que participaron en la convocatoria para ser jueces cívicos</w:t>
      </w:r>
      <w:r w:rsidR="003D6A59" w:rsidRPr="001B0639">
        <w:rPr>
          <w:rFonts w:ascii="Palatino Linotype" w:eastAsia="Palatino Linotype" w:hAnsi="Palatino Linotype" w:cs="Palatino Linotype"/>
          <w:b/>
          <w:i/>
          <w:sz w:val="22"/>
          <w:szCs w:val="22"/>
        </w:rPr>
        <w:t>”</w:t>
      </w:r>
      <w:r w:rsidR="003D6A59" w:rsidRPr="001B0639">
        <w:rPr>
          <w:rFonts w:ascii="Palatino Linotype" w:eastAsia="Palatino Linotype" w:hAnsi="Palatino Linotype" w:cs="Palatino Linotype"/>
          <w:i/>
          <w:sz w:val="22"/>
          <w:szCs w:val="22"/>
        </w:rPr>
        <w:t xml:space="preserve"> (sic) </w:t>
      </w:r>
    </w:p>
    <w:p w14:paraId="5F780668" w14:textId="77777777" w:rsidR="005801F9" w:rsidRPr="001B0639" w:rsidRDefault="003D6A59">
      <w:pPr>
        <w:spacing w:before="240" w:after="240" w:line="360" w:lineRule="auto"/>
        <w:jc w:val="both"/>
        <w:rPr>
          <w:rFonts w:ascii="Palatino Linotype" w:eastAsia="Palatino Linotype" w:hAnsi="Palatino Linotype" w:cs="Palatino Linotype"/>
        </w:rPr>
      </w:pPr>
      <w:bookmarkStart w:id="3" w:name="_heading=h.3dy6vkm" w:colFirst="0" w:colLast="0"/>
      <w:bookmarkEnd w:id="3"/>
      <w:r w:rsidRPr="001B0639">
        <w:rPr>
          <w:rFonts w:ascii="Palatino Linotype" w:eastAsia="Palatino Linotype" w:hAnsi="Palatino Linotype" w:cs="Palatino Linotype"/>
          <w:b/>
        </w:rPr>
        <w:t>Modalidad de Entrega:</w:t>
      </w:r>
      <w:r w:rsidRPr="001B0639">
        <w:rPr>
          <w:rFonts w:ascii="Palatino Linotype" w:eastAsia="Palatino Linotype" w:hAnsi="Palatino Linotype" w:cs="Palatino Linotype"/>
        </w:rPr>
        <w:t xml:space="preserve"> a través del</w:t>
      </w:r>
      <w:r w:rsidRPr="001B0639">
        <w:rPr>
          <w:rFonts w:ascii="Palatino Linotype" w:eastAsia="Palatino Linotype" w:hAnsi="Palatino Linotype" w:cs="Palatino Linotype"/>
          <w:b/>
        </w:rPr>
        <w:t xml:space="preserve"> SAIMEX.</w:t>
      </w:r>
    </w:p>
    <w:p w14:paraId="1A9ABC6B" w14:textId="77777777" w:rsidR="005801F9" w:rsidRPr="001B0639" w:rsidRDefault="005801F9">
      <w:pPr>
        <w:spacing w:before="240" w:after="240" w:line="360" w:lineRule="auto"/>
        <w:jc w:val="both"/>
        <w:rPr>
          <w:rFonts w:ascii="Palatino Linotype" w:eastAsia="Palatino Linotype" w:hAnsi="Palatino Linotype" w:cs="Palatino Linotype"/>
        </w:rPr>
      </w:pPr>
    </w:p>
    <w:p w14:paraId="3D3B1948" w14:textId="77777777" w:rsidR="005801F9" w:rsidRPr="001B0639" w:rsidRDefault="003D6A59">
      <w:pPr>
        <w:spacing w:before="240" w:after="240" w:line="360" w:lineRule="auto"/>
        <w:jc w:val="both"/>
        <w:rPr>
          <w:rFonts w:ascii="Palatino Linotype" w:eastAsia="Palatino Linotype" w:hAnsi="Palatino Linotype" w:cs="Palatino Linotype"/>
        </w:rPr>
      </w:pPr>
      <w:r w:rsidRPr="001B0639">
        <w:rPr>
          <w:rFonts w:ascii="Palatino Linotype" w:eastAsia="Palatino Linotype" w:hAnsi="Palatino Linotype" w:cs="Palatino Linotype"/>
          <w:b/>
        </w:rPr>
        <w:lastRenderedPageBreak/>
        <w:t xml:space="preserve">2. Respuesta. </w:t>
      </w:r>
      <w:r w:rsidRPr="001B0639">
        <w:rPr>
          <w:rFonts w:ascii="Palatino Linotype" w:eastAsia="Palatino Linotype" w:hAnsi="Palatino Linotype" w:cs="Palatino Linotype"/>
        </w:rPr>
        <w:t xml:space="preserve">El </w:t>
      </w:r>
      <w:r w:rsidR="00953E39" w:rsidRPr="001B0639">
        <w:rPr>
          <w:rFonts w:ascii="Palatino Linotype" w:eastAsia="Palatino Linotype" w:hAnsi="Palatino Linotype" w:cs="Palatino Linotype"/>
          <w:b/>
        </w:rPr>
        <w:t xml:space="preserve">siete de </w:t>
      </w:r>
      <w:r w:rsidR="005144D0" w:rsidRPr="001B0639">
        <w:rPr>
          <w:rFonts w:ascii="Palatino Linotype" w:eastAsia="Palatino Linotype" w:hAnsi="Palatino Linotype" w:cs="Palatino Linotype"/>
          <w:b/>
        </w:rPr>
        <w:t>febrero</w:t>
      </w:r>
      <w:r w:rsidRPr="001B0639">
        <w:rPr>
          <w:rFonts w:ascii="Palatino Linotype" w:eastAsia="Palatino Linotype" w:hAnsi="Palatino Linotype" w:cs="Palatino Linotype"/>
          <w:b/>
        </w:rPr>
        <w:t xml:space="preserve"> de dos mil veinticinco,</w:t>
      </w:r>
      <w:r w:rsidRPr="001B0639">
        <w:rPr>
          <w:rFonts w:ascii="Palatino Linotype" w:eastAsia="Palatino Linotype" w:hAnsi="Palatino Linotype" w:cs="Palatino Linotype"/>
        </w:rPr>
        <w:t xml:space="preserve"> el </w:t>
      </w:r>
      <w:r w:rsidRPr="001B0639">
        <w:rPr>
          <w:rFonts w:ascii="Palatino Linotype" w:eastAsia="Palatino Linotype" w:hAnsi="Palatino Linotype" w:cs="Palatino Linotype"/>
          <w:b/>
        </w:rPr>
        <w:t xml:space="preserve">Sujeto Obligado </w:t>
      </w:r>
      <w:r w:rsidRPr="001B0639">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1F45B2C7" w14:textId="77777777" w:rsidR="005801F9" w:rsidRPr="001B0639" w:rsidRDefault="003D6A59">
      <w:pPr>
        <w:spacing w:before="240" w:after="240"/>
        <w:ind w:left="851" w:right="902"/>
        <w:jc w:val="both"/>
        <w:rPr>
          <w:rFonts w:ascii="Palatino Linotype" w:eastAsia="Palatino Linotype" w:hAnsi="Palatino Linotype" w:cs="Palatino Linotype"/>
          <w:i/>
          <w:sz w:val="22"/>
          <w:szCs w:val="22"/>
        </w:rPr>
      </w:pPr>
      <w:r w:rsidRPr="001B0639">
        <w:rPr>
          <w:rFonts w:ascii="Palatino Linotype" w:eastAsia="Palatino Linotype" w:hAnsi="Palatino Linotype" w:cs="Palatino Linotype"/>
          <w:i/>
          <w:sz w:val="22"/>
          <w:szCs w:val="22"/>
        </w:rPr>
        <w:t>“…</w:t>
      </w:r>
      <w:r w:rsidR="00953E39" w:rsidRPr="001B0639">
        <w:rPr>
          <w:rFonts w:ascii="Palatino Linotype" w:eastAsia="Palatino Linotype" w:hAnsi="Palatino Linotype" w:cs="Palatino Linotype"/>
          <w:i/>
          <w:sz w:val="22"/>
          <w:szCs w:val="22"/>
        </w:rPr>
        <w:t xml:space="preserve">En atención a la solicitud de información pública marcada con el número de folio 0021/MELOCAM/IP/2025 turnada a través del Sistema SAIMEX a esta Unidad Administrativa, en la cual se requiere lo siguiente: DESCRIPCIÓN DE LA INFORMACIÓN SOLICITADA: “Solicito los expedientes de las personas que participaron en la convocatoria para ser jueces cívicos” (Sic) Al respecto, le comento que de la revisión de la solicitud de información pública de mérito, se desprende el hecho de que SI FUE LOCALIZADA LA INFORMACION SOLICITADA, POR LO QUE EN ESTE ACTO SE ENVÍA UN COPIA DIGITAL DEL EXPEDIENTE SOLICITADO, SE ANEXA A ESTA RESPUESTA UNA COPIA DIGITAL EN VERSIÓN PÚBLICA, PARA SU CONSULTA... </w:t>
      </w:r>
      <w:r w:rsidRPr="001B0639">
        <w:rPr>
          <w:rFonts w:ascii="Palatino Linotype" w:eastAsia="Palatino Linotype" w:hAnsi="Palatino Linotype" w:cs="Palatino Linotype"/>
          <w:i/>
          <w:sz w:val="22"/>
          <w:szCs w:val="22"/>
        </w:rPr>
        <w:t>(sic)</w:t>
      </w:r>
    </w:p>
    <w:p w14:paraId="4FE84B0B" w14:textId="77777777" w:rsidR="005801F9" w:rsidRPr="001B0639" w:rsidRDefault="003D6A59">
      <w:pPr>
        <w:spacing w:before="240" w:after="240" w:line="360" w:lineRule="auto"/>
        <w:ind w:right="49"/>
        <w:jc w:val="both"/>
        <w:rPr>
          <w:rFonts w:ascii="Palatino Linotype" w:eastAsia="Palatino Linotype" w:hAnsi="Palatino Linotype" w:cs="Palatino Linotype"/>
        </w:rPr>
      </w:pPr>
      <w:r w:rsidRPr="001B0639">
        <w:rPr>
          <w:rFonts w:ascii="Palatino Linotype" w:eastAsia="Palatino Linotype" w:hAnsi="Palatino Linotype" w:cs="Palatino Linotype"/>
        </w:rPr>
        <w:t xml:space="preserve">El </w:t>
      </w:r>
      <w:r w:rsidRPr="001B0639">
        <w:rPr>
          <w:rFonts w:ascii="Palatino Linotype" w:eastAsia="Palatino Linotype" w:hAnsi="Palatino Linotype" w:cs="Palatino Linotype"/>
          <w:b/>
        </w:rPr>
        <w:t xml:space="preserve">Sujeto Obligado </w:t>
      </w:r>
      <w:r w:rsidRPr="001B0639">
        <w:rPr>
          <w:rFonts w:ascii="Palatino Linotype" w:eastAsia="Palatino Linotype" w:hAnsi="Palatino Linotype" w:cs="Palatino Linotype"/>
        </w:rPr>
        <w:t xml:space="preserve">adjuntó lo siguiente: </w:t>
      </w:r>
    </w:p>
    <w:p w14:paraId="1D93BB2B" w14:textId="77777777" w:rsidR="00953E39" w:rsidRPr="001B0639" w:rsidRDefault="003D6A59">
      <w:pPr>
        <w:spacing w:before="240" w:after="240" w:line="360" w:lineRule="auto"/>
        <w:ind w:right="49"/>
        <w:jc w:val="both"/>
        <w:rPr>
          <w:rFonts w:ascii="Palatino Linotype" w:eastAsia="Palatino Linotype" w:hAnsi="Palatino Linotype" w:cs="Palatino Linotype"/>
        </w:rPr>
      </w:pPr>
      <w:r w:rsidRPr="001B0639">
        <w:rPr>
          <w:rFonts w:ascii="Palatino Linotype" w:eastAsia="Palatino Linotype" w:hAnsi="Palatino Linotype" w:cs="Palatino Linotype"/>
        </w:rPr>
        <w:t xml:space="preserve">- Oficio número </w:t>
      </w:r>
      <w:r w:rsidR="00953E39" w:rsidRPr="001B0639">
        <w:rPr>
          <w:rFonts w:ascii="Palatino Linotype" w:eastAsia="Palatino Linotype" w:hAnsi="Palatino Linotype" w:cs="Palatino Linotype"/>
        </w:rPr>
        <w:t>MO/SAYU/1150/2025</w:t>
      </w:r>
      <w:r w:rsidRPr="001B0639">
        <w:rPr>
          <w:rFonts w:ascii="Palatino Linotype" w:eastAsia="Palatino Linotype" w:hAnsi="Palatino Linotype" w:cs="Palatino Linotype"/>
        </w:rPr>
        <w:t xml:space="preserve">, del </w:t>
      </w:r>
      <w:r w:rsidR="00953E39" w:rsidRPr="001B0639">
        <w:rPr>
          <w:rFonts w:ascii="Palatino Linotype" w:eastAsia="Palatino Linotype" w:hAnsi="Palatino Linotype" w:cs="Palatino Linotype"/>
        </w:rPr>
        <w:t>siete</w:t>
      </w:r>
      <w:r w:rsidRPr="001B0639">
        <w:rPr>
          <w:rFonts w:ascii="Palatino Linotype" w:eastAsia="Palatino Linotype" w:hAnsi="Palatino Linotype" w:cs="Palatino Linotype"/>
        </w:rPr>
        <w:t xml:space="preserve"> de </w:t>
      </w:r>
      <w:r w:rsidR="00953E39" w:rsidRPr="001B0639">
        <w:rPr>
          <w:rFonts w:ascii="Palatino Linotype" w:eastAsia="Palatino Linotype" w:hAnsi="Palatino Linotype" w:cs="Palatino Linotype"/>
        </w:rPr>
        <w:t xml:space="preserve">febrero </w:t>
      </w:r>
      <w:r w:rsidRPr="001B0639">
        <w:rPr>
          <w:rFonts w:ascii="Palatino Linotype" w:eastAsia="Palatino Linotype" w:hAnsi="Palatino Linotype" w:cs="Palatino Linotype"/>
        </w:rPr>
        <w:t xml:space="preserve">de dos mil veinticinco, mediante el cual la </w:t>
      </w:r>
      <w:r w:rsidR="00953E39" w:rsidRPr="001B0639">
        <w:rPr>
          <w:rFonts w:ascii="Palatino Linotype" w:eastAsia="Palatino Linotype" w:hAnsi="Palatino Linotype" w:cs="Palatino Linotype"/>
        </w:rPr>
        <w:t>Secretaria del Ayuntamiento</w:t>
      </w:r>
      <w:r w:rsidRPr="001B0639">
        <w:rPr>
          <w:rFonts w:ascii="Palatino Linotype" w:eastAsia="Palatino Linotype" w:hAnsi="Palatino Linotype" w:cs="Palatino Linotype"/>
        </w:rPr>
        <w:t xml:space="preserve">, </w:t>
      </w:r>
      <w:r w:rsidR="00953E39" w:rsidRPr="001B0639">
        <w:rPr>
          <w:rFonts w:ascii="Palatino Linotype" w:eastAsia="Palatino Linotype" w:hAnsi="Palatino Linotype" w:cs="Palatino Linotype"/>
        </w:rPr>
        <w:t>manifestó que se localizó la información solicitada, por lo cual remitía una copia digital del expediente solicitado en versión pública para su consulta.</w:t>
      </w:r>
    </w:p>
    <w:p w14:paraId="47800FC0" w14:textId="77777777" w:rsidR="00A83CFD" w:rsidRPr="001B0639" w:rsidRDefault="00236445">
      <w:pPr>
        <w:spacing w:before="240" w:after="240" w:line="360" w:lineRule="auto"/>
        <w:ind w:right="49"/>
        <w:jc w:val="both"/>
        <w:rPr>
          <w:rFonts w:ascii="Palatino Linotype" w:eastAsia="Palatino Linotype" w:hAnsi="Palatino Linotype" w:cs="Palatino Linotype"/>
        </w:rPr>
      </w:pPr>
      <w:r w:rsidRPr="001B0639">
        <w:rPr>
          <w:rFonts w:ascii="Palatino Linotype" w:eastAsia="Palatino Linotype" w:hAnsi="Palatino Linotype" w:cs="Palatino Linotype"/>
        </w:rPr>
        <w:t xml:space="preserve">- Expedientes de </w:t>
      </w:r>
      <w:r w:rsidR="005144D0" w:rsidRPr="001B0639">
        <w:rPr>
          <w:rFonts w:ascii="Palatino Linotype" w:eastAsia="Palatino Linotype" w:hAnsi="Palatino Linotype" w:cs="Palatino Linotype"/>
        </w:rPr>
        <w:t xml:space="preserve">3 </w:t>
      </w:r>
      <w:r w:rsidR="00AF2F72" w:rsidRPr="001B0639">
        <w:rPr>
          <w:rFonts w:ascii="Palatino Linotype" w:eastAsia="Palatino Linotype" w:hAnsi="Palatino Linotype" w:cs="Palatino Linotype"/>
        </w:rPr>
        <w:t>aspirantes</w:t>
      </w:r>
      <w:r w:rsidRPr="001B0639">
        <w:rPr>
          <w:rFonts w:ascii="Palatino Linotype" w:eastAsia="Palatino Linotype" w:hAnsi="Palatino Linotype" w:cs="Palatino Linotype"/>
        </w:rPr>
        <w:t xml:space="preserve"> a Jueces Cívicos, testados.</w:t>
      </w:r>
    </w:p>
    <w:p w14:paraId="16E91C42" w14:textId="77777777" w:rsidR="005801F9" w:rsidRPr="001B0639" w:rsidRDefault="003D6A59">
      <w:pPr>
        <w:spacing w:before="240" w:after="240" w:line="360" w:lineRule="auto"/>
        <w:ind w:right="49"/>
        <w:jc w:val="both"/>
        <w:rPr>
          <w:rFonts w:ascii="Palatino Linotype" w:eastAsia="Palatino Linotype" w:hAnsi="Palatino Linotype" w:cs="Palatino Linotype"/>
        </w:rPr>
      </w:pPr>
      <w:r w:rsidRPr="001B0639">
        <w:rPr>
          <w:rFonts w:ascii="Palatino Linotype" w:eastAsia="Palatino Linotype" w:hAnsi="Palatino Linotype" w:cs="Palatino Linotype"/>
          <w:b/>
        </w:rPr>
        <w:t xml:space="preserve">3. Interposición del recurso de revisión. </w:t>
      </w:r>
      <w:r w:rsidRPr="001B0639">
        <w:rPr>
          <w:rFonts w:ascii="Palatino Linotype" w:eastAsia="Palatino Linotype" w:hAnsi="Palatino Linotype" w:cs="Palatino Linotype"/>
        </w:rPr>
        <w:t xml:space="preserve">Inconforme con los términos de la respuesta emitida por parte del </w:t>
      </w:r>
      <w:r w:rsidRPr="001B0639">
        <w:rPr>
          <w:rFonts w:ascii="Palatino Linotype" w:eastAsia="Palatino Linotype" w:hAnsi="Palatino Linotype" w:cs="Palatino Linotype"/>
          <w:b/>
        </w:rPr>
        <w:t>Sujeto Obligado</w:t>
      </w:r>
      <w:r w:rsidRPr="001B0639">
        <w:rPr>
          <w:rFonts w:ascii="Palatino Linotype" w:eastAsia="Palatino Linotype" w:hAnsi="Palatino Linotype" w:cs="Palatino Linotype"/>
        </w:rPr>
        <w:t xml:space="preserve">, el </w:t>
      </w:r>
      <w:r w:rsidR="005144D0" w:rsidRPr="001B0639">
        <w:rPr>
          <w:rFonts w:ascii="Palatino Linotype" w:eastAsia="Palatino Linotype" w:hAnsi="Palatino Linotype" w:cs="Palatino Linotype"/>
          <w:b/>
        </w:rPr>
        <w:t xml:space="preserve">diez </w:t>
      </w:r>
      <w:r w:rsidRPr="001B0639">
        <w:rPr>
          <w:rFonts w:ascii="Palatino Linotype" w:eastAsia="Palatino Linotype" w:hAnsi="Palatino Linotype" w:cs="Palatino Linotype"/>
          <w:b/>
        </w:rPr>
        <w:t xml:space="preserve">de febrero de dos mil veinticinco, </w:t>
      </w:r>
      <w:r w:rsidRPr="001B0639">
        <w:rPr>
          <w:rFonts w:ascii="Palatino Linotype" w:eastAsia="Palatino Linotype" w:hAnsi="Palatino Linotype" w:cs="Palatino Linotype"/>
        </w:rPr>
        <w:t xml:space="preserve">la parte </w:t>
      </w:r>
      <w:r w:rsidRPr="001B0639">
        <w:rPr>
          <w:rFonts w:ascii="Palatino Linotype" w:eastAsia="Palatino Linotype" w:hAnsi="Palatino Linotype" w:cs="Palatino Linotype"/>
          <w:b/>
        </w:rPr>
        <w:t>Recurrente</w:t>
      </w:r>
      <w:r w:rsidRPr="001B0639">
        <w:rPr>
          <w:rFonts w:ascii="Palatino Linotype" w:eastAsia="Palatino Linotype" w:hAnsi="Palatino Linotype" w:cs="Palatino Linotype"/>
        </w:rPr>
        <w:t xml:space="preserve"> interpuso el recurso de revisión a través de </w:t>
      </w:r>
      <w:r w:rsidRPr="001B0639">
        <w:rPr>
          <w:rFonts w:ascii="Palatino Linotype" w:eastAsia="Palatino Linotype" w:hAnsi="Palatino Linotype" w:cs="Palatino Linotype"/>
          <w:b/>
        </w:rPr>
        <w:t xml:space="preserve">SAIMEX, </w:t>
      </w:r>
      <w:r w:rsidRPr="001B0639">
        <w:rPr>
          <w:rFonts w:ascii="Palatino Linotype" w:eastAsia="Palatino Linotype" w:hAnsi="Palatino Linotype" w:cs="Palatino Linotype"/>
        </w:rPr>
        <w:t>en donde se manifestó de la siguiente manera:</w:t>
      </w:r>
    </w:p>
    <w:p w14:paraId="07EDCBD9" w14:textId="77777777" w:rsidR="00AF2F72" w:rsidRPr="001B0639" w:rsidRDefault="00AF2F72">
      <w:pPr>
        <w:spacing w:before="240" w:after="240" w:line="360" w:lineRule="auto"/>
        <w:ind w:right="49"/>
        <w:jc w:val="both"/>
        <w:rPr>
          <w:rFonts w:ascii="Palatino Linotype" w:eastAsia="Palatino Linotype" w:hAnsi="Palatino Linotype" w:cs="Palatino Linotype"/>
        </w:rPr>
      </w:pPr>
    </w:p>
    <w:p w14:paraId="48B1FC54" w14:textId="77777777" w:rsidR="005801F9" w:rsidRPr="001B0639" w:rsidRDefault="003D6A59">
      <w:pPr>
        <w:tabs>
          <w:tab w:val="left" w:pos="2745"/>
        </w:tabs>
        <w:spacing w:before="240" w:after="240" w:line="360" w:lineRule="auto"/>
        <w:jc w:val="both"/>
        <w:rPr>
          <w:rFonts w:ascii="Palatino Linotype" w:eastAsia="Palatino Linotype" w:hAnsi="Palatino Linotype" w:cs="Palatino Linotype"/>
          <w:b/>
        </w:rPr>
      </w:pPr>
      <w:r w:rsidRPr="001B0639">
        <w:rPr>
          <w:rFonts w:ascii="Palatino Linotype" w:eastAsia="Palatino Linotype" w:hAnsi="Palatino Linotype" w:cs="Palatino Linotype"/>
          <w:b/>
        </w:rPr>
        <w:lastRenderedPageBreak/>
        <w:t xml:space="preserve">Acto impugnado: </w:t>
      </w:r>
    </w:p>
    <w:p w14:paraId="6F29FAB4" w14:textId="77777777" w:rsidR="005801F9" w:rsidRPr="001B0639" w:rsidRDefault="003D6A59">
      <w:pPr>
        <w:tabs>
          <w:tab w:val="left" w:pos="2745"/>
        </w:tabs>
        <w:spacing w:before="240" w:after="240"/>
        <w:ind w:left="851" w:right="900"/>
        <w:jc w:val="both"/>
        <w:rPr>
          <w:rFonts w:ascii="Palatino Linotype" w:eastAsia="Palatino Linotype" w:hAnsi="Palatino Linotype" w:cs="Palatino Linotype"/>
          <w:i/>
          <w:sz w:val="22"/>
          <w:szCs w:val="22"/>
        </w:rPr>
      </w:pPr>
      <w:r w:rsidRPr="001B0639">
        <w:rPr>
          <w:rFonts w:ascii="Palatino Linotype" w:eastAsia="Palatino Linotype" w:hAnsi="Palatino Linotype" w:cs="Palatino Linotype"/>
          <w:i/>
          <w:sz w:val="22"/>
          <w:szCs w:val="22"/>
        </w:rPr>
        <w:t>“</w:t>
      </w:r>
      <w:r w:rsidR="005144D0" w:rsidRPr="001B0639">
        <w:rPr>
          <w:rFonts w:ascii="Palatino Linotype" w:eastAsia="Palatino Linotype" w:hAnsi="Palatino Linotype" w:cs="Palatino Linotype"/>
          <w:i/>
          <w:sz w:val="22"/>
          <w:szCs w:val="22"/>
        </w:rPr>
        <w:t>Respuesta</w:t>
      </w:r>
      <w:r w:rsidRPr="001B0639">
        <w:rPr>
          <w:rFonts w:ascii="Palatino Linotype" w:eastAsia="Palatino Linotype" w:hAnsi="Palatino Linotype" w:cs="Palatino Linotype"/>
          <w:i/>
          <w:sz w:val="22"/>
          <w:szCs w:val="22"/>
        </w:rPr>
        <w:t>” (sic)</w:t>
      </w:r>
    </w:p>
    <w:p w14:paraId="3883C394" w14:textId="77777777" w:rsidR="005801F9" w:rsidRPr="001B0639" w:rsidRDefault="003D6A59">
      <w:pPr>
        <w:spacing w:line="360" w:lineRule="auto"/>
        <w:jc w:val="both"/>
        <w:rPr>
          <w:rFonts w:ascii="Palatino Linotype" w:eastAsia="Palatino Linotype" w:hAnsi="Palatino Linotype" w:cs="Palatino Linotype"/>
        </w:rPr>
      </w:pPr>
      <w:bookmarkStart w:id="4" w:name="_heading=h.30j0zll" w:colFirst="0" w:colLast="0"/>
      <w:bookmarkEnd w:id="4"/>
      <w:r w:rsidRPr="001B0639">
        <w:rPr>
          <w:rFonts w:ascii="Palatino Linotype" w:eastAsia="Palatino Linotype" w:hAnsi="Palatino Linotype" w:cs="Palatino Linotype"/>
          <w:b/>
        </w:rPr>
        <w:t>Y, Razones o motivos de inconformidad</w:t>
      </w:r>
      <w:r w:rsidRPr="001B0639">
        <w:rPr>
          <w:rFonts w:ascii="Palatino Linotype" w:eastAsia="Palatino Linotype" w:hAnsi="Palatino Linotype" w:cs="Palatino Linotype"/>
        </w:rPr>
        <w:t>:</w:t>
      </w:r>
    </w:p>
    <w:p w14:paraId="31F2C5BB" w14:textId="77777777" w:rsidR="005801F9" w:rsidRPr="001B0639" w:rsidRDefault="003D6A59">
      <w:pPr>
        <w:tabs>
          <w:tab w:val="left" w:pos="2745"/>
        </w:tabs>
        <w:spacing w:before="240" w:after="240"/>
        <w:ind w:left="851" w:right="900"/>
        <w:jc w:val="both"/>
        <w:rPr>
          <w:rFonts w:ascii="Palatino Linotype" w:eastAsia="Palatino Linotype" w:hAnsi="Palatino Linotype" w:cs="Palatino Linotype"/>
          <w:i/>
          <w:sz w:val="22"/>
          <w:szCs w:val="22"/>
        </w:rPr>
      </w:pPr>
      <w:r w:rsidRPr="001B0639">
        <w:rPr>
          <w:rFonts w:ascii="Palatino Linotype" w:eastAsia="Palatino Linotype" w:hAnsi="Palatino Linotype" w:cs="Palatino Linotype"/>
          <w:i/>
          <w:sz w:val="22"/>
          <w:szCs w:val="22"/>
        </w:rPr>
        <w:t>“</w:t>
      </w:r>
      <w:r w:rsidR="005144D0" w:rsidRPr="001B0639">
        <w:rPr>
          <w:rFonts w:ascii="Palatino Linotype" w:eastAsia="Palatino Linotype" w:hAnsi="Palatino Linotype" w:cs="Palatino Linotype"/>
          <w:b/>
          <w:i/>
          <w:sz w:val="22"/>
          <w:szCs w:val="22"/>
          <w:u w:val="single"/>
        </w:rPr>
        <w:t>Remiten información confidencial de personas que no ganaron en la convocatoria</w:t>
      </w:r>
      <w:r w:rsidR="005144D0" w:rsidRPr="001B0639">
        <w:rPr>
          <w:rFonts w:ascii="Palatino Linotype" w:eastAsia="Palatino Linotype" w:hAnsi="Palatino Linotype" w:cs="Palatino Linotype"/>
          <w:b/>
          <w:i/>
          <w:sz w:val="22"/>
          <w:szCs w:val="22"/>
        </w:rPr>
        <w:t xml:space="preserve">, </w:t>
      </w:r>
      <w:r w:rsidR="005144D0" w:rsidRPr="001B0639">
        <w:rPr>
          <w:rFonts w:ascii="Palatino Linotype" w:eastAsia="Palatino Linotype" w:hAnsi="Palatino Linotype" w:cs="Palatino Linotype"/>
          <w:i/>
          <w:sz w:val="22"/>
          <w:szCs w:val="22"/>
        </w:rPr>
        <w:t>solicito den vista a contraloría, protección de datos y que remitan bien la información</w:t>
      </w:r>
      <w:r w:rsidRPr="001B0639">
        <w:rPr>
          <w:rFonts w:ascii="Palatino Linotype" w:eastAsia="Palatino Linotype" w:hAnsi="Palatino Linotype" w:cs="Palatino Linotype"/>
          <w:i/>
          <w:sz w:val="22"/>
          <w:szCs w:val="22"/>
        </w:rPr>
        <w:t>” (sic)</w:t>
      </w:r>
    </w:p>
    <w:p w14:paraId="49985CEB" w14:textId="77777777" w:rsidR="005801F9" w:rsidRPr="001B0639" w:rsidRDefault="003D6A59">
      <w:pPr>
        <w:spacing w:line="360" w:lineRule="auto"/>
        <w:jc w:val="both"/>
        <w:rPr>
          <w:rFonts w:ascii="Palatino Linotype" w:eastAsia="Palatino Linotype" w:hAnsi="Palatino Linotype" w:cs="Palatino Linotype"/>
        </w:rPr>
      </w:pPr>
      <w:r w:rsidRPr="001B0639">
        <w:rPr>
          <w:rFonts w:ascii="Palatino Linotype" w:eastAsia="Palatino Linotype" w:hAnsi="Palatino Linotype" w:cs="Palatino Linotype"/>
          <w:b/>
        </w:rPr>
        <w:t xml:space="preserve">4. Turno. </w:t>
      </w:r>
      <w:r w:rsidRPr="001B0639">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1B0639">
        <w:rPr>
          <w:rFonts w:ascii="Palatino Linotype" w:eastAsia="Palatino Linotype" w:hAnsi="Palatino Linotype" w:cs="Palatino Linotype"/>
          <w:b/>
        </w:rPr>
        <w:t xml:space="preserve">Guadalupe Ramírez Peña, </w:t>
      </w:r>
      <w:r w:rsidRPr="001B0639">
        <w:rPr>
          <w:rFonts w:ascii="Palatino Linotype" w:eastAsia="Palatino Linotype" w:hAnsi="Palatino Linotype" w:cs="Palatino Linotype"/>
        </w:rPr>
        <w:t>a efecto de que analizara sobre su admisión o su desechamiento.</w:t>
      </w:r>
    </w:p>
    <w:p w14:paraId="75316FDF" w14:textId="77777777" w:rsidR="005801F9" w:rsidRPr="001B0639" w:rsidRDefault="003D6A59">
      <w:pPr>
        <w:spacing w:before="240" w:after="240" w:line="360" w:lineRule="auto"/>
        <w:jc w:val="both"/>
        <w:rPr>
          <w:rFonts w:ascii="Palatino Linotype" w:eastAsia="Palatino Linotype" w:hAnsi="Palatino Linotype" w:cs="Palatino Linotype"/>
        </w:rPr>
      </w:pPr>
      <w:r w:rsidRPr="001B0639">
        <w:rPr>
          <w:rFonts w:ascii="Palatino Linotype" w:eastAsia="Palatino Linotype" w:hAnsi="Palatino Linotype" w:cs="Palatino Linotype"/>
          <w:b/>
        </w:rPr>
        <w:t>5. Admisión del Recurso de revisión.</w:t>
      </w:r>
      <w:r w:rsidRPr="001B0639">
        <w:rPr>
          <w:rFonts w:ascii="Palatino Linotype" w:eastAsia="Palatino Linotype" w:hAnsi="Palatino Linotype" w:cs="Palatino Linotype"/>
        </w:rPr>
        <w:t xml:space="preserve"> El</w:t>
      </w:r>
      <w:r w:rsidRPr="001B0639">
        <w:rPr>
          <w:rFonts w:ascii="Palatino Linotype" w:eastAsia="Palatino Linotype" w:hAnsi="Palatino Linotype" w:cs="Palatino Linotype"/>
          <w:b/>
        </w:rPr>
        <w:t xml:space="preserve"> </w:t>
      </w:r>
      <w:r w:rsidR="008B6D60" w:rsidRPr="001B0639">
        <w:rPr>
          <w:rFonts w:ascii="Palatino Linotype" w:eastAsia="Palatino Linotype" w:hAnsi="Palatino Linotype" w:cs="Palatino Linotype"/>
          <w:b/>
        </w:rPr>
        <w:t>trece de febrero</w:t>
      </w:r>
      <w:r w:rsidRPr="001B0639">
        <w:rPr>
          <w:rFonts w:ascii="Palatino Linotype" w:eastAsia="Palatino Linotype" w:hAnsi="Palatino Linotype" w:cs="Palatino Linotype"/>
          <w:b/>
        </w:rPr>
        <w:t xml:space="preserve"> de dos mil veinticinco, </w:t>
      </w:r>
      <w:r w:rsidRPr="001B0639">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1B0639">
        <w:rPr>
          <w:rFonts w:ascii="Palatino Linotype" w:eastAsia="Palatino Linotype" w:hAnsi="Palatino Linotype" w:cs="Palatino Linotype"/>
          <w:b/>
        </w:rPr>
        <w:t xml:space="preserve">Sujeto Obligado </w:t>
      </w:r>
      <w:r w:rsidRPr="001B0639">
        <w:rPr>
          <w:rFonts w:ascii="Palatino Linotype" w:eastAsia="Palatino Linotype" w:hAnsi="Palatino Linotype" w:cs="Palatino Linotype"/>
        </w:rPr>
        <w:t>presentara su informe justificado.</w:t>
      </w:r>
    </w:p>
    <w:p w14:paraId="049DA950" w14:textId="77777777" w:rsidR="00F16421" w:rsidRPr="001B0639" w:rsidRDefault="003D6A59">
      <w:pPr>
        <w:spacing w:before="240" w:after="240" w:line="360" w:lineRule="auto"/>
        <w:jc w:val="both"/>
        <w:rPr>
          <w:rFonts w:ascii="Palatino Linotype" w:eastAsia="Palatino Linotype" w:hAnsi="Palatino Linotype" w:cs="Palatino Linotype"/>
          <w:noProof/>
        </w:rPr>
      </w:pPr>
      <w:bookmarkStart w:id="5" w:name="_heading=h.2s8eyo1" w:colFirst="0" w:colLast="0"/>
      <w:bookmarkEnd w:id="5"/>
      <w:r w:rsidRPr="001B0639">
        <w:rPr>
          <w:rFonts w:ascii="Palatino Linotype" w:eastAsia="Palatino Linotype" w:hAnsi="Palatino Linotype" w:cs="Palatino Linotype"/>
          <w:b/>
        </w:rPr>
        <w:t>6. Manifestaciones</w:t>
      </w:r>
      <w:r w:rsidRPr="001B0639">
        <w:rPr>
          <w:rFonts w:ascii="Palatino Linotype" w:eastAsia="Palatino Linotype" w:hAnsi="Palatino Linotype" w:cs="Palatino Linotype"/>
        </w:rPr>
        <w:t xml:space="preserve">. </w:t>
      </w:r>
      <w:r w:rsidR="008B6D60" w:rsidRPr="001B0639">
        <w:rPr>
          <w:rFonts w:ascii="Palatino Linotype" w:eastAsia="Palatino Linotype" w:hAnsi="Palatino Linotype" w:cs="Palatino Linotype"/>
          <w:noProof/>
        </w:rPr>
        <w:t xml:space="preserve">El </w:t>
      </w:r>
      <w:r w:rsidR="001011E8" w:rsidRPr="001B0639">
        <w:rPr>
          <w:rFonts w:ascii="Palatino Linotype" w:eastAsia="Palatino Linotype" w:hAnsi="Palatino Linotype" w:cs="Palatino Linotype"/>
          <w:b/>
          <w:noProof/>
        </w:rPr>
        <w:t>dieciocho y veintiuno de febrero de dos mil veointicinco</w:t>
      </w:r>
      <w:r w:rsidR="001011E8" w:rsidRPr="001B0639">
        <w:rPr>
          <w:rFonts w:ascii="Palatino Linotype" w:eastAsia="Palatino Linotype" w:hAnsi="Palatino Linotype" w:cs="Palatino Linotype"/>
          <w:noProof/>
        </w:rPr>
        <w:t>,  el S</w:t>
      </w:r>
      <w:r w:rsidR="001011E8" w:rsidRPr="001B0639">
        <w:rPr>
          <w:rFonts w:ascii="Palatino Linotype" w:eastAsia="Palatino Linotype" w:hAnsi="Palatino Linotype" w:cs="Palatino Linotype"/>
          <w:b/>
          <w:noProof/>
        </w:rPr>
        <w:t xml:space="preserve">ujeto Obligado </w:t>
      </w:r>
      <w:r w:rsidR="001011E8" w:rsidRPr="001B0639">
        <w:rPr>
          <w:rFonts w:ascii="Palatino Linotype" w:eastAsia="Palatino Linotype" w:hAnsi="Palatino Linotype" w:cs="Palatino Linotype"/>
          <w:noProof/>
        </w:rPr>
        <w:t xml:space="preserve">remitió, a través de </w:t>
      </w:r>
      <w:r w:rsidR="001011E8" w:rsidRPr="001B0639">
        <w:rPr>
          <w:rFonts w:ascii="Palatino Linotype" w:eastAsia="Palatino Linotype" w:hAnsi="Palatino Linotype" w:cs="Palatino Linotype"/>
          <w:b/>
          <w:noProof/>
        </w:rPr>
        <w:t xml:space="preserve">SAIMEX, </w:t>
      </w:r>
      <w:r w:rsidR="001011E8" w:rsidRPr="001B0639">
        <w:rPr>
          <w:rFonts w:ascii="Palatino Linotype" w:eastAsia="Palatino Linotype" w:hAnsi="Palatino Linotype" w:cs="Palatino Linotype"/>
          <w:noProof/>
        </w:rPr>
        <w:t xml:space="preserve">su informe justificado, medainte el cual, con relación a los motivos de inconformidad alegados por la parte </w:t>
      </w:r>
      <w:r w:rsidR="001011E8" w:rsidRPr="001B0639">
        <w:rPr>
          <w:rFonts w:ascii="Palatino Linotype" w:eastAsia="Palatino Linotype" w:hAnsi="Palatino Linotype" w:cs="Palatino Linotype"/>
          <w:b/>
          <w:noProof/>
        </w:rPr>
        <w:lastRenderedPageBreak/>
        <w:t>Recurrente,</w:t>
      </w:r>
      <w:r w:rsidR="001011E8" w:rsidRPr="001B0639">
        <w:rPr>
          <w:rFonts w:ascii="Palatino Linotype" w:eastAsia="Palatino Linotype" w:hAnsi="Palatino Linotype" w:cs="Palatino Linotype"/>
          <w:noProof/>
        </w:rPr>
        <w:t xml:space="preserve"> </w:t>
      </w:r>
      <w:r w:rsidR="00F16421" w:rsidRPr="001B0639">
        <w:rPr>
          <w:rFonts w:ascii="Palatino Linotype" w:eastAsia="Palatino Linotype" w:hAnsi="Palatino Linotype" w:cs="Palatino Linotype"/>
          <w:noProof/>
        </w:rPr>
        <w:t>el Titular de la Unidad de Transparencia remitió el pronunciameinto emitido por la Secretaria de Ayuntamiento, acompañado de la Convocatoria para el registro de Aspirantes a Jueza o Juez Cívico, y el extracto del Acta de Cabildo en el que se aprobó el nombramiento de los servidores públicos que ocuparían los cargos de “Mediadora-Conciliadora y Facilitadora Pública”, y “Jueces Cívicos”durante el periodo de la presente administración, asimismo, precisó que las personas nombradas fueron las únicas que se registraron como candidatas y candidatos, entendiendose que la información remitida atiende el requerimiento de información, finalmente, señaló que en su momento, el servidor público habilitado de la referida dependencia no proporcionó los elementos necesarios que permitieran atender las formalidades establecidas en la Ley de la materia para la puntual atención de las solicitudes de información, por lo que fue hasta el 20 de febebro de 2025 que el asunto fue puesto a consideración del Comité de Transparencia en la Quinta Sesión Ordinaria, desprendiéndose el Acuerdo número 004 /MELOCAM/CT/SA/2025, en el que se describe, de manera fundada y motivada, las razones por las cuales ciertos datos contenidos en la documental remitida en respuesta fueron clasificados como confidenciales y por tanto "testados", documento que se adjunta al presente, complementando así el informe de la Secretaria del Ayuntamiento.</w:t>
      </w:r>
    </w:p>
    <w:p w14:paraId="2F7519BC" w14:textId="77777777" w:rsidR="004E3554" w:rsidRPr="001B0639" w:rsidRDefault="004E3554">
      <w:pPr>
        <w:spacing w:before="240" w:after="240" w:line="360" w:lineRule="auto"/>
        <w:jc w:val="both"/>
        <w:rPr>
          <w:rFonts w:ascii="Palatino Linotype" w:hAnsi="Palatino Linotype"/>
        </w:rPr>
      </w:pPr>
      <w:r w:rsidRPr="001B0639">
        <w:rPr>
          <w:rFonts w:ascii="Palatino Linotype" w:hAnsi="Palatino Linotype"/>
        </w:rPr>
        <w:t>Anexos:</w:t>
      </w:r>
    </w:p>
    <w:p w14:paraId="3A691990" w14:textId="77777777" w:rsidR="00807A23" w:rsidRPr="001B0639" w:rsidRDefault="00807A23" w:rsidP="00807A23">
      <w:pPr>
        <w:spacing w:before="240" w:after="240" w:line="360" w:lineRule="auto"/>
        <w:jc w:val="both"/>
        <w:rPr>
          <w:rFonts w:ascii="Palatino Linotype" w:hAnsi="Palatino Linotype"/>
          <w:b/>
        </w:rPr>
      </w:pPr>
      <w:r w:rsidRPr="001B0639">
        <w:rPr>
          <w:rFonts w:ascii="Palatino Linotype" w:hAnsi="Palatino Linotype"/>
        </w:rPr>
        <w:t xml:space="preserve">- Oficio número MO/SAYU/171/2025, del 17 de febrero de 2025, mediante el cual la </w:t>
      </w:r>
      <w:r w:rsidRPr="001B0639">
        <w:rPr>
          <w:rFonts w:ascii="Palatino Linotype" w:eastAsia="Palatino Linotype" w:hAnsi="Palatino Linotype" w:cs="Palatino Linotype"/>
          <w:noProof/>
        </w:rPr>
        <w:t xml:space="preserve">Secretaria del Ayuntamiento manifestó que de acuerdo con la Convocatoria </w:t>
      </w:r>
      <w:r w:rsidRPr="001B0639">
        <w:rPr>
          <w:rFonts w:ascii="Palatino Linotype" w:hAnsi="Palatino Linotype"/>
        </w:rPr>
        <w:t xml:space="preserve">para la Selección de las y los Jueces Cívicos y de las y los Facilitadores del Municipio de </w:t>
      </w:r>
      <w:r w:rsidRPr="001B0639">
        <w:rPr>
          <w:rFonts w:ascii="Palatino Linotype" w:hAnsi="Palatino Linotype"/>
        </w:rPr>
        <w:lastRenderedPageBreak/>
        <w:t xml:space="preserve">Melchor Ocampo, Estado de México, aprobada el 16 de enero de 2025, el periodo de recepción de documentos para participar fue del 16 al 21 de enero de 2025, y los aspirantes inscritos fueron designados en Sesión de Cabildo el 22 de enero de 2025, en la cual se advierte que los únicos tres aspirantes que se inscribieron ante la Secretaría del Ayuntamiento fueron los tres Jueces Cívicos propuestos y designados por el Ayuntamiento, en tan contexto, </w:t>
      </w:r>
      <w:r w:rsidRPr="001B0639">
        <w:rPr>
          <w:rFonts w:ascii="Palatino Linotype" w:hAnsi="Palatino Linotype"/>
          <w:b/>
        </w:rPr>
        <w:t xml:space="preserve">difiere en que la información remitida corresponda a personas que no ganaron en la convocatoria para Jueces Cívicos. </w:t>
      </w:r>
    </w:p>
    <w:p w14:paraId="6D06821A" w14:textId="77777777" w:rsidR="004E3554" w:rsidRPr="001B0639" w:rsidRDefault="004E3554">
      <w:pPr>
        <w:spacing w:before="240" w:after="240" w:line="360" w:lineRule="auto"/>
        <w:jc w:val="both"/>
        <w:rPr>
          <w:rFonts w:ascii="Palatino Linotype" w:hAnsi="Palatino Linotype"/>
        </w:rPr>
      </w:pPr>
      <w:r w:rsidRPr="001B0639">
        <w:rPr>
          <w:rFonts w:ascii="Palatino Linotype" w:hAnsi="Palatino Linotype"/>
        </w:rPr>
        <w:t xml:space="preserve">- </w:t>
      </w:r>
      <w:r w:rsidRPr="001B0639">
        <w:rPr>
          <w:rFonts w:ascii="Palatino Linotype" w:eastAsia="Palatino Linotype" w:hAnsi="Palatino Linotype" w:cs="Palatino Linotype"/>
          <w:noProof/>
        </w:rPr>
        <w:t xml:space="preserve">Convocatoria </w:t>
      </w:r>
      <w:r w:rsidRPr="001B0639">
        <w:rPr>
          <w:rFonts w:ascii="Palatino Linotype" w:hAnsi="Palatino Linotype"/>
        </w:rPr>
        <w:t>para la Selección de las y los Jueces Cívicos y de las y los Facilitadores del Municipio de M</w:t>
      </w:r>
      <w:r w:rsidR="00893069" w:rsidRPr="001B0639">
        <w:rPr>
          <w:rFonts w:ascii="Palatino Linotype" w:hAnsi="Palatino Linotype"/>
        </w:rPr>
        <w:t>elchor Ocampo, Estado de México</w:t>
      </w:r>
      <w:r w:rsidR="00F95D67" w:rsidRPr="001B0639">
        <w:rPr>
          <w:rFonts w:ascii="Palatino Linotype" w:hAnsi="Palatino Linotype"/>
        </w:rPr>
        <w:t>, del 16 de enero de 2025.</w:t>
      </w:r>
    </w:p>
    <w:p w14:paraId="2DBA02A7" w14:textId="77777777" w:rsidR="00B84E28" w:rsidRPr="001B0639" w:rsidRDefault="004E3554">
      <w:pPr>
        <w:spacing w:before="240" w:after="240" w:line="360" w:lineRule="auto"/>
        <w:jc w:val="both"/>
        <w:rPr>
          <w:rFonts w:ascii="Palatino Linotype" w:hAnsi="Palatino Linotype"/>
        </w:rPr>
      </w:pPr>
      <w:r w:rsidRPr="001B0639">
        <w:rPr>
          <w:rFonts w:ascii="Palatino Linotype" w:hAnsi="Palatino Linotype"/>
        </w:rPr>
        <w:t>- Extracto de</w:t>
      </w:r>
      <w:r w:rsidR="00070288" w:rsidRPr="001B0639">
        <w:rPr>
          <w:rFonts w:ascii="Palatino Linotype" w:hAnsi="Palatino Linotype"/>
        </w:rPr>
        <w:t>l Acta de</w:t>
      </w:r>
      <w:r w:rsidRPr="001B0639">
        <w:rPr>
          <w:rFonts w:ascii="Palatino Linotype" w:hAnsi="Palatino Linotype"/>
        </w:rPr>
        <w:t xml:space="preserve"> la Tercera Sesión Ordinaria Pública de Cabildo Resolutiva celebrada el 22 de enero de 2025, en cuyo punto 6 del Orden del día, se presentaron los aspirantes para ocupar los cargos de las o los Jueces Cívicos, y la o el Mediador, Conciliador y Facilitador, y en su caso aprobación de su nombramiento y toma de protesta de ley</w:t>
      </w:r>
      <w:r w:rsidR="00F95D67" w:rsidRPr="001B0639">
        <w:rPr>
          <w:rFonts w:ascii="Palatino Linotype" w:hAnsi="Palatino Linotype"/>
        </w:rPr>
        <w:t>, de donde se desprende que hubo tres participantes que se inscribieron y entregaron documentación para Jueces Cívicos, mismos que fueron designados para ocupar el cargo por unanimidad de votos, como se advierte en el acuerdo Segundo de dicho punto</w:t>
      </w:r>
      <w:r w:rsidR="00B84E28" w:rsidRPr="001B0639">
        <w:rPr>
          <w:rFonts w:ascii="Palatino Linotype" w:hAnsi="Palatino Linotype"/>
        </w:rPr>
        <w:t>:</w:t>
      </w:r>
    </w:p>
    <w:p w14:paraId="54048706" w14:textId="77777777" w:rsidR="00B84E28" w:rsidRPr="001B0639" w:rsidRDefault="00B84E28">
      <w:pPr>
        <w:spacing w:before="240" w:after="240" w:line="360" w:lineRule="auto"/>
        <w:jc w:val="both"/>
        <w:rPr>
          <w:rFonts w:ascii="Palatino Linotype" w:hAnsi="Palatino Linotype"/>
        </w:rPr>
      </w:pPr>
      <w:r w:rsidRPr="001B0639">
        <w:rPr>
          <w:rFonts w:ascii="Palatino Linotype" w:hAnsi="Palatino Linotype"/>
          <w:noProof/>
        </w:rPr>
        <w:drawing>
          <wp:inline distT="0" distB="0" distL="0" distR="0" wp14:anchorId="4E32057E" wp14:editId="700993CE">
            <wp:extent cx="5612130" cy="122237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222375"/>
                    </a:xfrm>
                    <a:prstGeom prst="rect">
                      <a:avLst/>
                    </a:prstGeom>
                  </pic:spPr>
                </pic:pic>
              </a:graphicData>
            </a:graphic>
          </wp:inline>
        </w:drawing>
      </w:r>
    </w:p>
    <w:p w14:paraId="4CBCE086" w14:textId="77777777" w:rsidR="00F95D67" w:rsidRPr="001B0639" w:rsidRDefault="00F95D67">
      <w:pPr>
        <w:spacing w:before="240" w:after="240" w:line="360" w:lineRule="auto"/>
        <w:jc w:val="both"/>
        <w:rPr>
          <w:rFonts w:ascii="Palatino Linotype" w:hAnsi="Palatino Linotype"/>
        </w:rPr>
      </w:pPr>
      <w:r w:rsidRPr="001B0639">
        <w:rPr>
          <w:rFonts w:ascii="Palatino Linotype" w:hAnsi="Palatino Linotype"/>
        </w:rPr>
        <w:lastRenderedPageBreak/>
        <w:t xml:space="preserve"> - </w:t>
      </w:r>
      <w:r w:rsidR="00F16421" w:rsidRPr="001B0639">
        <w:rPr>
          <w:rFonts w:ascii="Palatino Linotype" w:hAnsi="Palatino Linotype"/>
        </w:rPr>
        <w:t xml:space="preserve">Acuerdo número 004/MELOCAM/CT/SA/2025, del Comité de Transparencia, </w:t>
      </w:r>
      <w:r w:rsidR="00F37F06" w:rsidRPr="001B0639">
        <w:rPr>
          <w:rFonts w:ascii="Palatino Linotype" w:hAnsi="Palatino Linotype"/>
        </w:rPr>
        <w:t>mediante el cual se aprobó la versión pública de la información requerida mediante la solicitud de información 00021/MELOCAM/IP/2025.</w:t>
      </w:r>
    </w:p>
    <w:p w14:paraId="04FE4B60" w14:textId="77777777" w:rsidR="00D35A52" w:rsidRPr="001B0639" w:rsidRDefault="00D35A52" w:rsidP="00D35A52">
      <w:pPr>
        <w:spacing w:before="240" w:after="240" w:line="360" w:lineRule="auto"/>
        <w:jc w:val="both"/>
        <w:rPr>
          <w:rFonts w:ascii="Palatino Linotype" w:eastAsia="Palatino Linotype" w:hAnsi="Palatino Linotype" w:cs="Palatino Linotype"/>
        </w:rPr>
      </w:pPr>
      <w:r w:rsidRPr="001B0639">
        <w:rPr>
          <w:rFonts w:ascii="Palatino Linotype" w:eastAsia="Palatino Linotype" w:hAnsi="Palatino Linotype" w:cs="Palatino Linotype"/>
        </w:rPr>
        <w:t xml:space="preserve">Una vez analizados los documentos referidos, se determinó hacerlos del conocimiento de la parte </w:t>
      </w:r>
      <w:r w:rsidRPr="001B0639">
        <w:rPr>
          <w:rFonts w:ascii="Palatino Linotype" w:eastAsia="Palatino Linotype" w:hAnsi="Palatino Linotype" w:cs="Palatino Linotype"/>
          <w:b/>
        </w:rPr>
        <w:t xml:space="preserve">Recurrente </w:t>
      </w:r>
      <w:r w:rsidRPr="001B0639">
        <w:rPr>
          <w:rFonts w:ascii="Palatino Linotype" w:eastAsia="Palatino Linotype" w:hAnsi="Palatino Linotype" w:cs="Palatino Linotype"/>
        </w:rPr>
        <w:t>con la finalidad de que manifestaran lo que a su derecho estimaran conveniente, siendo omisa en ejercer dicha prerrogativa.</w:t>
      </w:r>
    </w:p>
    <w:p w14:paraId="2A9E5B6C" w14:textId="77777777" w:rsidR="005801F9" w:rsidRPr="001B0639" w:rsidRDefault="003D6A59">
      <w:pPr>
        <w:spacing w:before="240" w:after="240" w:line="360" w:lineRule="auto"/>
        <w:jc w:val="both"/>
        <w:rPr>
          <w:rFonts w:ascii="Palatino Linotype" w:eastAsia="Palatino Linotype" w:hAnsi="Palatino Linotype" w:cs="Palatino Linotype"/>
        </w:rPr>
      </w:pPr>
      <w:r w:rsidRPr="001B0639">
        <w:rPr>
          <w:rFonts w:ascii="Palatino Linotype" w:eastAsia="Palatino Linotype" w:hAnsi="Palatino Linotype" w:cs="Palatino Linotype"/>
          <w:b/>
        </w:rPr>
        <w:t xml:space="preserve">7. Cierre de instrucción. </w:t>
      </w:r>
      <w:r w:rsidRPr="001B0639">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00AF2F72" w:rsidRPr="001B0639">
        <w:rPr>
          <w:rFonts w:ascii="Palatino Linotype" w:eastAsia="Palatino Linotype" w:hAnsi="Palatino Linotype" w:cs="Palatino Linotype"/>
          <w:b/>
        </w:rPr>
        <w:t>doce de marzo</w:t>
      </w:r>
      <w:r w:rsidRPr="001B0639">
        <w:rPr>
          <w:rFonts w:ascii="Palatino Linotype" w:eastAsia="Palatino Linotype" w:hAnsi="Palatino Linotype" w:cs="Palatino Linotype"/>
          <w:b/>
        </w:rPr>
        <w:t xml:space="preserve"> de dos mil veinticinco</w:t>
      </w:r>
      <w:r w:rsidRPr="001B0639">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182604E5" w14:textId="77777777" w:rsidR="005801F9" w:rsidRPr="001B0639" w:rsidRDefault="003D6A59">
      <w:pPr>
        <w:spacing w:before="240" w:after="240" w:line="360" w:lineRule="auto"/>
        <w:jc w:val="both"/>
        <w:rPr>
          <w:rFonts w:ascii="Palatino Linotype" w:eastAsia="Palatino Linotype" w:hAnsi="Palatino Linotype" w:cs="Palatino Linotype"/>
        </w:rPr>
      </w:pPr>
      <w:r w:rsidRPr="001B0639">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059683AF" w14:textId="77777777" w:rsidR="005801F9" w:rsidRPr="001B0639" w:rsidRDefault="003D6A59">
      <w:pPr>
        <w:widowControl w:val="0"/>
        <w:spacing w:before="240" w:after="240" w:line="360" w:lineRule="auto"/>
        <w:jc w:val="center"/>
        <w:rPr>
          <w:rFonts w:ascii="Palatino Linotype" w:eastAsia="Palatino Linotype" w:hAnsi="Palatino Linotype" w:cs="Palatino Linotype"/>
          <w:b/>
        </w:rPr>
      </w:pPr>
      <w:r w:rsidRPr="001B0639">
        <w:rPr>
          <w:rFonts w:ascii="Palatino Linotype" w:eastAsia="Palatino Linotype" w:hAnsi="Palatino Linotype" w:cs="Palatino Linotype"/>
          <w:b/>
        </w:rPr>
        <w:t>II. C O N S I D E R A N D O S</w:t>
      </w:r>
    </w:p>
    <w:p w14:paraId="7A4696C7" w14:textId="77777777" w:rsidR="005801F9" w:rsidRPr="001B0639" w:rsidRDefault="003D6A59">
      <w:pPr>
        <w:spacing w:before="240" w:after="240" w:line="360" w:lineRule="auto"/>
        <w:jc w:val="both"/>
        <w:rPr>
          <w:rFonts w:ascii="Palatino Linotype" w:eastAsia="Palatino Linotype" w:hAnsi="Palatino Linotype" w:cs="Palatino Linotype"/>
        </w:rPr>
      </w:pPr>
      <w:r w:rsidRPr="001B0639">
        <w:rPr>
          <w:rFonts w:ascii="Palatino Linotype" w:eastAsia="Palatino Linotype" w:hAnsi="Palatino Linotype" w:cs="Palatino Linotype"/>
          <w:b/>
        </w:rPr>
        <w:t>Primero. Competencia.</w:t>
      </w:r>
      <w:r w:rsidRPr="001B0639">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w:t>
      </w:r>
      <w:r w:rsidRPr="001B0639">
        <w:rPr>
          <w:rFonts w:ascii="Palatino Linotype" w:eastAsia="Palatino Linotype" w:hAnsi="Palatino Linotype" w:cs="Palatino Linotype"/>
        </w:rPr>
        <w:lastRenderedPageBreak/>
        <w:t>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1135811" w14:textId="77777777" w:rsidR="005801F9" w:rsidRPr="001B0639" w:rsidRDefault="003D6A59">
      <w:pPr>
        <w:spacing w:before="240" w:after="240" w:line="360" w:lineRule="auto"/>
        <w:jc w:val="both"/>
        <w:rPr>
          <w:rFonts w:ascii="Palatino Linotype" w:eastAsia="Palatino Linotype" w:hAnsi="Palatino Linotype" w:cs="Palatino Linotype"/>
        </w:rPr>
      </w:pPr>
      <w:bookmarkStart w:id="6" w:name="_heading=h.tyjcwt" w:colFirst="0" w:colLast="0"/>
      <w:bookmarkEnd w:id="6"/>
      <w:r w:rsidRPr="001B0639">
        <w:rPr>
          <w:rFonts w:ascii="Palatino Linotype" w:eastAsia="Palatino Linotype" w:hAnsi="Palatino Linotype" w:cs="Palatino Linotype"/>
          <w:b/>
        </w:rPr>
        <w:t>Segundo. Oportunidad y Procedibilidad del Recurso de Revisión</w:t>
      </w:r>
      <w:r w:rsidRPr="001B0639">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E263CBF" w14:textId="77777777" w:rsidR="005801F9" w:rsidRPr="001B0639" w:rsidRDefault="003D6A59">
      <w:pPr>
        <w:spacing w:before="240" w:after="240" w:line="360" w:lineRule="auto"/>
        <w:jc w:val="both"/>
        <w:rPr>
          <w:rFonts w:ascii="Palatino Linotype" w:eastAsia="Palatino Linotype" w:hAnsi="Palatino Linotype" w:cs="Palatino Linotype"/>
        </w:rPr>
      </w:pPr>
      <w:r w:rsidRPr="001B0639">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1B0639">
        <w:rPr>
          <w:rFonts w:ascii="Palatino Linotype" w:eastAsia="Palatino Linotype" w:hAnsi="Palatino Linotype" w:cs="Palatino Linotype"/>
          <w:b/>
        </w:rPr>
        <w:t xml:space="preserve">Sujeto Obligado </w:t>
      </w:r>
      <w:r w:rsidRPr="001B0639">
        <w:rPr>
          <w:rFonts w:ascii="Palatino Linotype" w:eastAsia="Palatino Linotype" w:hAnsi="Palatino Linotype" w:cs="Palatino Linotype"/>
        </w:rPr>
        <w:t xml:space="preserve">remitió la respuesta a la solicitud de información el día </w:t>
      </w:r>
      <w:r w:rsidR="00AF2F72" w:rsidRPr="001B0639">
        <w:rPr>
          <w:rFonts w:ascii="Palatino Linotype" w:eastAsia="Palatino Linotype" w:hAnsi="Palatino Linotype" w:cs="Palatino Linotype"/>
          <w:b/>
        </w:rPr>
        <w:t>siete de febrero de dos mil veinticinco</w:t>
      </w:r>
      <w:r w:rsidRPr="001B0639">
        <w:rPr>
          <w:rFonts w:ascii="Palatino Linotype" w:eastAsia="Palatino Linotype" w:hAnsi="Palatino Linotype" w:cs="Palatino Linotype"/>
          <w:b/>
        </w:rPr>
        <w:t xml:space="preserve">, </w:t>
      </w:r>
      <w:r w:rsidRPr="001B0639">
        <w:rPr>
          <w:rFonts w:ascii="Palatino Linotype" w:eastAsia="Palatino Linotype" w:hAnsi="Palatino Linotype" w:cs="Palatino Linotype"/>
        </w:rPr>
        <w:t xml:space="preserve">mientras que el recurso de revisión interpuesto por la parte </w:t>
      </w:r>
      <w:r w:rsidRPr="001B0639">
        <w:rPr>
          <w:rFonts w:ascii="Palatino Linotype" w:eastAsia="Palatino Linotype" w:hAnsi="Palatino Linotype" w:cs="Palatino Linotype"/>
          <w:b/>
        </w:rPr>
        <w:t xml:space="preserve">Recurrente, </w:t>
      </w:r>
      <w:r w:rsidRPr="001B0639">
        <w:rPr>
          <w:rFonts w:ascii="Palatino Linotype" w:eastAsia="Palatino Linotype" w:hAnsi="Palatino Linotype" w:cs="Palatino Linotype"/>
        </w:rPr>
        <w:t>se tuvo por presentado el día</w:t>
      </w:r>
      <w:r w:rsidRPr="001B0639">
        <w:rPr>
          <w:rFonts w:ascii="Palatino Linotype" w:eastAsia="Palatino Linotype" w:hAnsi="Palatino Linotype" w:cs="Palatino Linotype"/>
          <w:b/>
        </w:rPr>
        <w:t xml:space="preserve"> </w:t>
      </w:r>
      <w:r w:rsidR="00AF2F72" w:rsidRPr="001B0639">
        <w:rPr>
          <w:rFonts w:ascii="Palatino Linotype" w:eastAsia="Palatino Linotype" w:hAnsi="Palatino Linotype" w:cs="Palatino Linotype"/>
          <w:b/>
        </w:rPr>
        <w:t>diez</w:t>
      </w:r>
      <w:r w:rsidRPr="001B0639">
        <w:rPr>
          <w:rFonts w:ascii="Palatino Linotype" w:eastAsia="Palatino Linotype" w:hAnsi="Palatino Linotype" w:cs="Palatino Linotype"/>
          <w:b/>
        </w:rPr>
        <w:t xml:space="preserve"> de febrero de dos mil veinticinco, </w:t>
      </w:r>
      <w:r w:rsidRPr="001B0639">
        <w:rPr>
          <w:rFonts w:ascii="Palatino Linotype" w:eastAsia="Palatino Linotype" w:hAnsi="Palatino Linotype" w:cs="Palatino Linotype"/>
        </w:rPr>
        <w:t xml:space="preserve">esto es al </w:t>
      </w:r>
      <w:r w:rsidR="00AF2F72" w:rsidRPr="001B0639">
        <w:rPr>
          <w:rFonts w:ascii="Palatino Linotype" w:eastAsia="Palatino Linotype" w:hAnsi="Palatino Linotype" w:cs="Palatino Linotype"/>
        </w:rPr>
        <w:t>siguiente</w:t>
      </w:r>
      <w:r w:rsidRPr="001B0639">
        <w:rPr>
          <w:rFonts w:ascii="Palatino Linotype" w:eastAsia="Palatino Linotype" w:hAnsi="Palatino Linotype" w:cs="Palatino Linotype"/>
        </w:rPr>
        <w:t xml:space="preserve"> día hábil posterior a aquel en el que tuvo conocimiento de la respuesta impugnada. En este sentido, se concluye que el presente recurso de revisión se encuentra dentro de los márgenes temporales previstos en las disposiciones legales referidas.</w:t>
      </w:r>
    </w:p>
    <w:p w14:paraId="7BF54A8B" w14:textId="79E3C599" w:rsidR="00AF2F72" w:rsidRPr="001B0639" w:rsidRDefault="00AF2F72" w:rsidP="00AF2F72">
      <w:pPr>
        <w:spacing w:line="360" w:lineRule="auto"/>
        <w:jc w:val="both"/>
        <w:rPr>
          <w:rFonts w:ascii="Palatino Linotype" w:eastAsia="Palatino Linotype" w:hAnsi="Palatino Linotype" w:cs="Palatino Linotype"/>
        </w:rPr>
      </w:pPr>
      <w:bookmarkStart w:id="7" w:name="_heading=h.3znysh7" w:colFirst="0" w:colLast="0"/>
      <w:bookmarkEnd w:id="7"/>
      <w:r w:rsidRPr="001B0639">
        <w:rPr>
          <w:rFonts w:ascii="Palatino Linotype" w:eastAsia="Palatino Linotype" w:hAnsi="Palatino Linotype" w:cs="Palatino Linotype"/>
        </w:rPr>
        <w:t xml:space="preserve">Además, por cuanto hace a la procedibilidad del recurso de revisión, es de suma importancia señalar que </w:t>
      </w:r>
      <w:r w:rsidRPr="001B0639">
        <w:rPr>
          <w:rFonts w:ascii="Palatino Linotype" w:eastAsia="Palatino Linotype" w:hAnsi="Palatino Linotype" w:cs="Palatino Linotype"/>
          <w:bCs/>
        </w:rPr>
        <w:t>la parte</w:t>
      </w:r>
      <w:r w:rsidRPr="001B0639">
        <w:rPr>
          <w:rFonts w:ascii="Palatino Linotype" w:eastAsia="Palatino Linotype" w:hAnsi="Palatino Linotype" w:cs="Palatino Linotype"/>
          <w:b/>
        </w:rPr>
        <w:t xml:space="preserve"> Recurrente</w:t>
      </w:r>
      <w:r w:rsidR="00F35AD7" w:rsidRPr="001B0639">
        <w:rPr>
          <w:rFonts w:ascii="Palatino Linotype" w:eastAsia="Palatino Linotype" w:hAnsi="Palatino Linotype" w:cs="Palatino Linotype"/>
        </w:rPr>
        <w:t>,</w:t>
      </w:r>
      <w:r w:rsidRPr="001B0639">
        <w:rPr>
          <w:rFonts w:ascii="Palatino Linotype" w:eastAsia="Palatino Linotype" w:hAnsi="Palatino Linotype" w:cs="Palatino Linotype"/>
        </w:rPr>
        <w:t xml:space="preserve"> señaló un </w:t>
      </w:r>
      <w:r w:rsidR="00F35AD7" w:rsidRPr="001B0639">
        <w:rPr>
          <w:rFonts w:ascii="Palatino Linotype" w:eastAsia="Palatino Linotype" w:hAnsi="Palatino Linotype" w:cs="Palatino Linotype"/>
          <w:bCs/>
        </w:rPr>
        <w:t>seudónimo</w:t>
      </w:r>
      <w:r w:rsidR="00F35AD7" w:rsidRPr="001B0639">
        <w:rPr>
          <w:rFonts w:ascii="Palatino Linotype" w:eastAsia="Palatino Linotype" w:hAnsi="Palatino Linotype" w:cs="Palatino Linotype"/>
          <w:b/>
          <w:bCs/>
          <w:strike/>
        </w:rPr>
        <w:t xml:space="preserve"> </w:t>
      </w:r>
      <w:r w:rsidRPr="001B0639">
        <w:rPr>
          <w:rFonts w:ascii="Palatino Linotype" w:eastAsia="Palatino Linotype" w:hAnsi="Palatino Linotype" w:cs="Palatino Linotype"/>
        </w:rPr>
        <w:t xml:space="preserve">con el cual desea </w:t>
      </w:r>
      <w:r w:rsidRPr="001B0639">
        <w:rPr>
          <w:rFonts w:ascii="Palatino Linotype" w:eastAsia="Palatino Linotype" w:hAnsi="Palatino Linotype" w:cs="Palatino Linotype"/>
        </w:rPr>
        <w:lastRenderedPageBreak/>
        <w:t>ser identificado, como se advierte en el detalle de seguimiento del SAIMEX, no obstante</w:t>
      </w:r>
      <w:r w:rsidR="00F35AD7" w:rsidRPr="001B0639">
        <w:rPr>
          <w:rFonts w:ascii="Palatino Linotype" w:eastAsia="Palatino Linotype" w:hAnsi="Palatino Linotype" w:cs="Palatino Linotype"/>
        </w:rPr>
        <w:t xml:space="preserve">, el proporcionar un seudónimo </w:t>
      </w:r>
      <w:r w:rsidRPr="001B0639">
        <w:rPr>
          <w:rFonts w:ascii="Palatino Linotype" w:eastAsia="Palatino Linotype" w:hAnsi="Palatino Linotype" w:cs="Palatino Linotype"/>
        </w:rPr>
        <w:t>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C39B607" w14:textId="77777777" w:rsidR="00AF2F72" w:rsidRPr="001B0639" w:rsidRDefault="00AF2F72" w:rsidP="00AF2F72">
      <w:pPr>
        <w:spacing w:before="120" w:after="120"/>
        <w:ind w:left="851" w:right="902"/>
        <w:jc w:val="both"/>
        <w:rPr>
          <w:rFonts w:ascii="Palatino Linotype" w:eastAsia="Palatino Linotype" w:hAnsi="Palatino Linotype" w:cs="Palatino Linotype"/>
          <w:i/>
          <w:sz w:val="22"/>
          <w:szCs w:val="22"/>
        </w:rPr>
      </w:pPr>
      <w:r w:rsidRPr="001B0639">
        <w:rPr>
          <w:rFonts w:ascii="Palatino Linotype" w:eastAsia="Palatino Linotype" w:hAnsi="Palatino Linotype" w:cs="Palatino Linotype"/>
          <w:i/>
          <w:sz w:val="22"/>
          <w:szCs w:val="22"/>
        </w:rPr>
        <w:t>"</w:t>
      </w:r>
      <w:r w:rsidRPr="001B0639">
        <w:rPr>
          <w:rFonts w:ascii="Palatino Linotype" w:eastAsia="Palatino Linotype" w:hAnsi="Palatino Linotype" w:cs="Palatino Linotype"/>
          <w:b/>
          <w:i/>
          <w:sz w:val="22"/>
          <w:szCs w:val="22"/>
        </w:rPr>
        <w:t>Las solicitudes anónimas</w:t>
      </w:r>
      <w:r w:rsidRPr="001B0639">
        <w:rPr>
          <w:rFonts w:ascii="Palatino Linotype" w:eastAsia="Palatino Linotype" w:hAnsi="Palatino Linotype" w:cs="Palatino Linotype"/>
          <w:i/>
          <w:sz w:val="22"/>
          <w:szCs w:val="22"/>
        </w:rPr>
        <w:t xml:space="preserve">, con nombre incompleto o </w:t>
      </w:r>
      <w:r w:rsidRPr="001B0639">
        <w:rPr>
          <w:rFonts w:ascii="Palatino Linotype" w:eastAsia="Palatino Linotype" w:hAnsi="Palatino Linotype" w:cs="Palatino Linotype"/>
          <w:b/>
          <w:i/>
          <w:sz w:val="22"/>
          <w:szCs w:val="22"/>
        </w:rPr>
        <w:t>seudónimo</w:t>
      </w:r>
      <w:r w:rsidRPr="001B0639">
        <w:rPr>
          <w:rFonts w:ascii="Palatino Linotype" w:eastAsia="Palatino Linotype" w:hAnsi="Palatino Linotype" w:cs="Palatino Linotype"/>
          <w:i/>
          <w:sz w:val="22"/>
          <w:szCs w:val="22"/>
        </w:rPr>
        <w:t xml:space="preserve"> serán procedentes para su trámite por parte del sujeto obligado ante quien se presente. No podrá requerirse información adicional con motivo del nombre proporcionado por el solicitante."</w:t>
      </w:r>
    </w:p>
    <w:p w14:paraId="1D08E404" w14:textId="77777777" w:rsidR="00AF2F72" w:rsidRPr="001B0639" w:rsidRDefault="00AF2F72" w:rsidP="00AF2F72">
      <w:pPr>
        <w:spacing w:before="240" w:after="240" w:line="360" w:lineRule="auto"/>
        <w:jc w:val="both"/>
        <w:rPr>
          <w:rFonts w:ascii="Palatino Linotype" w:eastAsia="Palatino Linotype" w:hAnsi="Palatino Linotype" w:cs="Palatino Linotype"/>
          <w:b/>
        </w:rPr>
      </w:pPr>
      <w:r w:rsidRPr="001B0639">
        <w:rPr>
          <w:rFonts w:ascii="Palatino Linotype" w:eastAsia="Palatino Linotype" w:hAnsi="Palatino Linotype" w:cs="Palatino Linotype"/>
        </w:rPr>
        <w:t xml:space="preserve">De acuerdo al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1B0639">
        <w:rPr>
          <w:rFonts w:ascii="Palatino Linotype" w:eastAsia="Palatino Linotype" w:hAnsi="Palatino Linotype" w:cs="Palatino Linotype"/>
          <w:bCs/>
        </w:rPr>
        <w:t>el</w:t>
      </w:r>
      <w:r w:rsidRPr="001B0639">
        <w:rPr>
          <w:rFonts w:ascii="Palatino Linotype" w:eastAsia="Palatino Linotype" w:hAnsi="Palatino Linotype" w:cs="Palatino Linotype"/>
          <w:b/>
        </w:rPr>
        <w:t xml:space="preserve"> SAIMEX.</w:t>
      </w:r>
    </w:p>
    <w:p w14:paraId="79202D24" w14:textId="77777777" w:rsidR="00AF2F72" w:rsidRPr="001B0639" w:rsidRDefault="00AF2F72" w:rsidP="00AF2F72">
      <w:pPr>
        <w:spacing w:before="240" w:after="240" w:line="360" w:lineRule="auto"/>
        <w:jc w:val="both"/>
      </w:pPr>
      <w:r w:rsidRPr="001B0639">
        <w:rPr>
          <w:rFonts w:ascii="Palatino Linotype" w:eastAsia="Palatino Linotype" w:hAnsi="Palatino Linotype" w:cs="Palatino Linotype"/>
          <w:b/>
        </w:rPr>
        <w:t>Tercero. Análisis de las causales de improcedencia y sobreseimiento del Recurso de Revisión.</w:t>
      </w:r>
      <w:r w:rsidRPr="001B0639">
        <w:t xml:space="preserve"> </w:t>
      </w:r>
      <w:r w:rsidRPr="001B0639">
        <w:rPr>
          <w:rFonts w:ascii="Palatino Linotype" w:eastAsia="Palatino Linotype" w:hAnsi="Palatino Linotype" w:cs="Palatino Linotype"/>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270A70D" w14:textId="77777777" w:rsidR="00AF2F72" w:rsidRPr="001B0639" w:rsidRDefault="00AF2F72" w:rsidP="00AF2F72">
      <w:pPr>
        <w:spacing w:before="240" w:after="240" w:line="360" w:lineRule="auto"/>
        <w:jc w:val="both"/>
      </w:pPr>
      <w:r w:rsidRPr="001B0639">
        <w:rPr>
          <w:rFonts w:ascii="Palatino Linotype" w:eastAsia="Palatino Linotype" w:hAnsi="Palatino Linotype" w:cs="Palatino Linotype"/>
        </w:rPr>
        <w:t xml:space="preserve">Es una facultad legal entrar al estudio de las causas de improcedencia que hagan valer las partes o que se adviertan de oficio por este Instituto; presupuestos </w:t>
      </w:r>
      <w:r w:rsidRPr="001B0639">
        <w:rPr>
          <w:rFonts w:ascii="Palatino Linotype" w:eastAsia="Palatino Linotype" w:hAnsi="Palatino Linotype" w:cs="Palatino Linotype"/>
        </w:rPr>
        <w:lastRenderedPageBreak/>
        <w:t>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este no se coarta por regular causas de improcedencia y sobreseimiento con tales fines.</w:t>
      </w:r>
    </w:p>
    <w:p w14:paraId="16C589FF" w14:textId="77777777" w:rsidR="00AF2F72" w:rsidRPr="001B0639" w:rsidRDefault="00AF2F72" w:rsidP="00AF2F72">
      <w:pPr>
        <w:spacing w:before="240" w:after="240" w:line="360" w:lineRule="auto"/>
        <w:ind w:right="51"/>
        <w:jc w:val="both"/>
        <w:rPr>
          <w:rFonts w:ascii="Palatino Linotype" w:eastAsia="Palatino Linotype" w:hAnsi="Palatino Linotype" w:cs="Palatino Linotype"/>
        </w:rPr>
      </w:pPr>
      <w:r w:rsidRPr="001B0639">
        <w:rPr>
          <w:rFonts w:ascii="Palatino Linotype" w:eastAsia="Palatino Linotype" w:hAnsi="Palatino Linotype" w:cs="Palatino Linotype"/>
        </w:rPr>
        <w:t>De manera preliminar en el caso concreto conviene analizar si se actualiza alguna de las causales de sobreseimiento del recurso de revisión.</w:t>
      </w:r>
    </w:p>
    <w:p w14:paraId="334BC12C" w14:textId="77777777" w:rsidR="00AF2F72" w:rsidRPr="001B0639" w:rsidRDefault="00AF2F72" w:rsidP="00AF2F72">
      <w:pPr>
        <w:spacing w:before="240" w:after="240" w:line="360" w:lineRule="auto"/>
        <w:jc w:val="both"/>
        <w:rPr>
          <w:rFonts w:ascii="Palatino Linotype" w:eastAsia="Palatino Linotype" w:hAnsi="Palatino Linotype" w:cs="Palatino Linotype"/>
        </w:rPr>
      </w:pPr>
      <w:r w:rsidRPr="001B0639">
        <w:rPr>
          <w:rFonts w:ascii="Palatino Linotype" w:eastAsia="Palatino Linotype" w:hAnsi="Palatino Linotype" w:cs="Palatino Linotype"/>
        </w:rPr>
        <w:t xml:space="preserve">Así, del análisis de la solicitud de información motivo del recurso de revisión que ahora se resuelve, se advierte que la persona solicitante requirió al </w:t>
      </w:r>
      <w:r w:rsidRPr="001B0639">
        <w:rPr>
          <w:rFonts w:ascii="Palatino Linotype" w:eastAsia="Palatino Linotype" w:hAnsi="Palatino Linotype" w:cs="Palatino Linotype"/>
          <w:b/>
        </w:rPr>
        <w:t>Sujeto Obligado</w:t>
      </w:r>
      <w:r w:rsidRPr="001B0639">
        <w:rPr>
          <w:rFonts w:ascii="Palatino Linotype" w:eastAsia="Palatino Linotype" w:hAnsi="Palatino Linotype" w:cs="Palatino Linotype"/>
        </w:rPr>
        <w:t xml:space="preserve"> le proporcione información consistente en lo siguiente:</w:t>
      </w:r>
    </w:p>
    <w:p w14:paraId="7C3E7E09" w14:textId="77777777" w:rsidR="00AF2F72" w:rsidRPr="001B0639" w:rsidRDefault="00AF2F72" w:rsidP="00AF2F72">
      <w:pPr>
        <w:spacing w:before="240" w:after="240" w:line="276" w:lineRule="auto"/>
        <w:ind w:left="851" w:right="900"/>
        <w:jc w:val="both"/>
        <w:rPr>
          <w:rFonts w:ascii="Palatino Linotype" w:eastAsia="Palatino Linotype" w:hAnsi="Palatino Linotype" w:cs="Palatino Linotype"/>
          <w:b/>
          <w:i/>
          <w:sz w:val="22"/>
          <w:szCs w:val="22"/>
        </w:rPr>
      </w:pPr>
      <w:r w:rsidRPr="001B0639">
        <w:rPr>
          <w:rFonts w:ascii="Palatino Linotype" w:eastAsia="Palatino Linotype" w:hAnsi="Palatino Linotype" w:cs="Palatino Linotype"/>
          <w:i/>
          <w:sz w:val="22"/>
          <w:szCs w:val="22"/>
        </w:rPr>
        <w:t xml:space="preserve">“Solicito </w:t>
      </w:r>
      <w:r w:rsidRPr="001B0639">
        <w:rPr>
          <w:rFonts w:ascii="Palatino Linotype" w:eastAsia="Palatino Linotype" w:hAnsi="Palatino Linotype" w:cs="Palatino Linotype"/>
          <w:b/>
          <w:i/>
          <w:sz w:val="22"/>
          <w:szCs w:val="22"/>
          <w:u w:val="single"/>
        </w:rPr>
        <w:t>los expedientes de las personas que participaron en la convocatoria para ser jueces cívicos</w:t>
      </w:r>
      <w:r w:rsidRPr="001B0639">
        <w:rPr>
          <w:rFonts w:ascii="Palatino Linotype" w:eastAsia="Palatino Linotype" w:hAnsi="Palatino Linotype" w:cs="Palatino Linotype"/>
          <w:i/>
          <w:sz w:val="22"/>
          <w:szCs w:val="22"/>
        </w:rPr>
        <w:t xml:space="preserve">” (Sic) </w:t>
      </w:r>
    </w:p>
    <w:p w14:paraId="0476234C" w14:textId="77777777" w:rsidR="00AF2F72" w:rsidRPr="001B0639" w:rsidRDefault="00AF2F72" w:rsidP="00AF2F72">
      <w:pPr>
        <w:spacing w:before="240" w:after="240" w:line="360" w:lineRule="auto"/>
        <w:ind w:right="49"/>
        <w:jc w:val="both"/>
        <w:rPr>
          <w:rFonts w:ascii="Palatino Linotype" w:eastAsia="Palatino Linotype" w:hAnsi="Palatino Linotype" w:cs="Palatino Linotype"/>
        </w:rPr>
      </w:pPr>
      <w:r w:rsidRPr="001B0639">
        <w:rPr>
          <w:rFonts w:ascii="Palatino Linotype" w:eastAsia="Palatino Linotype" w:hAnsi="Palatino Linotype" w:cs="Palatino Linotype"/>
        </w:rPr>
        <w:t xml:space="preserve">En su respuesta, el </w:t>
      </w:r>
      <w:r w:rsidRPr="001B0639">
        <w:rPr>
          <w:rFonts w:ascii="Palatino Linotype" w:eastAsia="Palatino Linotype" w:hAnsi="Palatino Linotype" w:cs="Palatino Linotype"/>
          <w:b/>
        </w:rPr>
        <w:t xml:space="preserve">Sujeto Obligado </w:t>
      </w:r>
      <w:r w:rsidRPr="001B0639">
        <w:rPr>
          <w:rFonts w:ascii="Palatino Linotype" w:eastAsia="Palatino Linotype" w:hAnsi="Palatino Linotype" w:cs="Palatino Linotype"/>
        </w:rPr>
        <w:t>remitió los expedientes de 3 aspirantes a Jueces Cívicos, testados.</w:t>
      </w:r>
    </w:p>
    <w:p w14:paraId="4334D02F" w14:textId="77777777" w:rsidR="009559E5" w:rsidRPr="001B0639" w:rsidRDefault="00AF2F72" w:rsidP="009559E5">
      <w:pPr>
        <w:spacing w:before="240" w:after="240" w:line="360" w:lineRule="auto"/>
        <w:ind w:right="49"/>
        <w:jc w:val="both"/>
        <w:rPr>
          <w:rFonts w:ascii="Palatino Linotype" w:eastAsia="Palatino Linotype" w:hAnsi="Palatino Linotype" w:cs="Palatino Linotype"/>
          <w:i/>
          <w:szCs w:val="22"/>
        </w:rPr>
      </w:pPr>
      <w:r w:rsidRPr="001B0639">
        <w:rPr>
          <w:rFonts w:ascii="Palatino Linotype" w:eastAsia="Palatino Linotype" w:hAnsi="Palatino Linotype" w:cs="Palatino Linotype"/>
        </w:rPr>
        <w:t xml:space="preserve">Una vez conocida esta respuesta, la persona solicitante interpuso el medio de impugnación que nos ocupa, expresando dentro de sus razones o motivos de inconformidad, lo siguiente: </w:t>
      </w:r>
      <w:r w:rsidR="009559E5" w:rsidRPr="001B0639">
        <w:rPr>
          <w:rFonts w:ascii="Palatino Linotype" w:eastAsia="Palatino Linotype" w:hAnsi="Palatino Linotype" w:cs="Palatino Linotype"/>
          <w:i/>
          <w:szCs w:val="22"/>
        </w:rPr>
        <w:t>“</w:t>
      </w:r>
      <w:r w:rsidR="009559E5" w:rsidRPr="001B0639">
        <w:rPr>
          <w:rFonts w:ascii="Palatino Linotype" w:eastAsia="Palatino Linotype" w:hAnsi="Palatino Linotype" w:cs="Palatino Linotype"/>
          <w:b/>
          <w:i/>
          <w:szCs w:val="22"/>
          <w:u w:val="single"/>
        </w:rPr>
        <w:t>Remiten información confidencial de personas que no ganaron en la convocatoria</w:t>
      </w:r>
      <w:r w:rsidR="009559E5" w:rsidRPr="001B0639">
        <w:rPr>
          <w:rFonts w:ascii="Palatino Linotype" w:eastAsia="Palatino Linotype" w:hAnsi="Palatino Linotype" w:cs="Palatino Linotype"/>
          <w:b/>
          <w:i/>
          <w:szCs w:val="22"/>
        </w:rPr>
        <w:t xml:space="preserve">, </w:t>
      </w:r>
      <w:r w:rsidR="009559E5" w:rsidRPr="001B0639">
        <w:rPr>
          <w:rFonts w:ascii="Palatino Linotype" w:eastAsia="Palatino Linotype" w:hAnsi="Palatino Linotype" w:cs="Palatino Linotype"/>
          <w:i/>
          <w:szCs w:val="22"/>
        </w:rPr>
        <w:t xml:space="preserve">solicito den vista a contraloría, protección de datos y </w:t>
      </w:r>
      <w:r w:rsidR="009559E5" w:rsidRPr="001B0639">
        <w:rPr>
          <w:rFonts w:ascii="Palatino Linotype" w:eastAsia="Palatino Linotype" w:hAnsi="Palatino Linotype" w:cs="Palatino Linotype"/>
          <w:b/>
          <w:bCs/>
          <w:i/>
          <w:szCs w:val="22"/>
          <w:u w:val="single"/>
        </w:rPr>
        <w:t>que remitan bien la informació</w:t>
      </w:r>
      <w:r w:rsidR="009559E5" w:rsidRPr="001B0639">
        <w:rPr>
          <w:rFonts w:ascii="Palatino Linotype" w:eastAsia="Palatino Linotype" w:hAnsi="Palatino Linotype" w:cs="Palatino Linotype"/>
          <w:i/>
          <w:szCs w:val="22"/>
        </w:rPr>
        <w:t>n” (sic)</w:t>
      </w:r>
    </w:p>
    <w:p w14:paraId="5C23700B" w14:textId="77777777" w:rsidR="00AF2F72" w:rsidRPr="001B0639" w:rsidRDefault="00AF2F72" w:rsidP="00AF2F72">
      <w:pPr>
        <w:spacing w:before="240" w:after="240" w:line="360" w:lineRule="auto"/>
        <w:jc w:val="both"/>
        <w:rPr>
          <w:rFonts w:ascii="Palatino Linotype" w:eastAsia="Palatino Linotype" w:hAnsi="Palatino Linotype" w:cs="Palatino Linotype"/>
          <w:b/>
        </w:rPr>
      </w:pPr>
      <w:r w:rsidRPr="001B0639">
        <w:rPr>
          <w:rFonts w:ascii="Palatino Linotype" w:eastAsia="Palatino Linotype" w:hAnsi="Palatino Linotype" w:cs="Palatino Linotype"/>
        </w:rPr>
        <w:lastRenderedPageBreak/>
        <w:t xml:space="preserve">En atención a lo anterior, primeramente es necesario precisar que de la lectura a los motivos de inconformidad de la parte </w:t>
      </w:r>
      <w:r w:rsidRPr="001B0639">
        <w:rPr>
          <w:rFonts w:ascii="Palatino Linotype" w:eastAsia="Palatino Linotype" w:hAnsi="Palatino Linotype" w:cs="Palatino Linotype"/>
          <w:b/>
        </w:rPr>
        <w:t>Recurrente</w:t>
      </w:r>
      <w:r w:rsidRPr="001B0639">
        <w:rPr>
          <w:rFonts w:ascii="Palatino Linotype" w:eastAsia="Palatino Linotype" w:hAnsi="Palatino Linotype" w:cs="Palatino Linotype"/>
        </w:rPr>
        <w:t xml:space="preserve"> se tiene que no fue impugnada la respuesta del </w:t>
      </w:r>
      <w:r w:rsidRPr="001B0639">
        <w:rPr>
          <w:rFonts w:ascii="Palatino Linotype" w:eastAsia="Palatino Linotype" w:hAnsi="Palatino Linotype" w:cs="Palatino Linotype"/>
          <w:b/>
        </w:rPr>
        <w:t>Sujeto Obligado</w:t>
      </w:r>
      <w:r w:rsidRPr="001B0639">
        <w:rPr>
          <w:rFonts w:ascii="Palatino Linotype" w:eastAsia="Palatino Linotype" w:hAnsi="Palatino Linotype" w:cs="Palatino Linotype"/>
        </w:rPr>
        <w:t xml:space="preserve">, lo anterior en virtud de que </w:t>
      </w:r>
      <w:r w:rsidRPr="001B0639">
        <w:rPr>
          <w:rFonts w:ascii="Palatino Linotype" w:eastAsia="Palatino Linotype" w:hAnsi="Palatino Linotype" w:cs="Palatino Linotype"/>
          <w:b/>
        </w:rPr>
        <w:t>únicamente expresa que se</w:t>
      </w:r>
      <w:r w:rsidR="009559E5" w:rsidRPr="001B0639">
        <w:rPr>
          <w:rFonts w:ascii="Palatino Linotype" w:eastAsia="Palatino Linotype" w:hAnsi="Palatino Linotype" w:cs="Palatino Linotype"/>
          <w:b/>
        </w:rPr>
        <w:t xml:space="preserve"> hizo entrega de información confidencial de personas que no fueron electas, derivado de la </w:t>
      </w:r>
      <w:r w:rsidR="00412291" w:rsidRPr="001B0639">
        <w:rPr>
          <w:rFonts w:ascii="Palatino Linotype" w:eastAsia="Palatino Linotype" w:hAnsi="Palatino Linotype" w:cs="Palatino Linotype"/>
          <w:b/>
        </w:rPr>
        <w:t>Convocatoria para la Selección de las y los Jueces Cívicos</w:t>
      </w:r>
      <w:r w:rsidRPr="001B0639">
        <w:rPr>
          <w:rFonts w:ascii="Palatino Linotype" w:eastAsia="Palatino Linotype" w:hAnsi="Palatino Linotype" w:cs="Palatino Linotype"/>
          <w:b/>
        </w:rPr>
        <w:t xml:space="preserve">, </w:t>
      </w:r>
      <w:r w:rsidRPr="001B0639">
        <w:rPr>
          <w:rFonts w:ascii="Palatino Linotype" w:eastAsia="Palatino Linotype" w:hAnsi="Palatino Linotype" w:cs="Palatino Linotype"/>
        </w:rPr>
        <w:t xml:space="preserve">por lo que al no haber realizado manifestaciones de inconformidad sobre la respuesta vertida, </w:t>
      </w:r>
      <w:r w:rsidR="00412291" w:rsidRPr="001B0639">
        <w:rPr>
          <w:rFonts w:ascii="Palatino Linotype" w:eastAsia="Palatino Linotype" w:hAnsi="Palatino Linotype" w:cs="Palatino Linotype"/>
        </w:rPr>
        <w:t>es decir, sobre los documentos entregados mismos que integran los expedientes de los participantes en la Convocatoria para la selección de</w:t>
      </w:r>
      <w:r w:rsidR="00412291" w:rsidRPr="001B0639">
        <w:rPr>
          <w:rFonts w:ascii="Palatino Linotype" w:hAnsi="Palatino Linotype"/>
        </w:rPr>
        <w:t xml:space="preserve"> las y los Jueces Cívicos, </w:t>
      </w:r>
      <w:r w:rsidRPr="001B0639">
        <w:rPr>
          <w:rFonts w:ascii="Palatino Linotype" w:eastAsia="Palatino Linotype" w:hAnsi="Palatino Linotype" w:cs="Palatino Linotype"/>
        </w:rPr>
        <w:t xml:space="preserve">se infiere que la información proporcionada por el </w:t>
      </w:r>
      <w:r w:rsidRPr="001B0639">
        <w:rPr>
          <w:rFonts w:ascii="Palatino Linotype" w:eastAsia="Palatino Linotype" w:hAnsi="Palatino Linotype" w:cs="Palatino Linotype"/>
          <w:b/>
        </w:rPr>
        <w:t>Sujeto Obligado</w:t>
      </w:r>
      <w:r w:rsidRPr="001B0639">
        <w:rPr>
          <w:rFonts w:ascii="Palatino Linotype" w:eastAsia="Palatino Linotype" w:hAnsi="Palatino Linotype" w:cs="Palatino Linotype"/>
        </w:rPr>
        <w:t>, satisface los puntos de la solicitud presentada.</w:t>
      </w:r>
    </w:p>
    <w:p w14:paraId="6F94C921" w14:textId="78489E1A" w:rsidR="00412291" w:rsidRPr="001B0639" w:rsidRDefault="00AF2F72" w:rsidP="00AF2F72">
      <w:pPr>
        <w:tabs>
          <w:tab w:val="left" w:pos="1418"/>
        </w:tabs>
        <w:spacing w:before="240" w:after="240" w:line="360" w:lineRule="auto"/>
        <w:ind w:right="49"/>
        <w:jc w:val="both"/>
        <w:rPr>
          <w:rFonts w:ascii="Palatino Linotype" w:eastAsia="Palatino Linotype" w:hAnsi="Palatino Linotype" w:cs="Palatino Linotype"/>
        </w:rPr>
      </w:pPr>
      <w:r w:rsidRPr="001B0639">
        <w:rPr>
          <w:rFonts w:ascii="Palatino Linotype" w:eastAsia="Palatino Linotype" w:hAnsi="Palatino Linotype" w:cs="Palatino Linotype"/>
        </w:rPr>
        <w:t>Una vez admitido el recurso de revisión a trámite, debe mencionarse que</w:t>
      </w:r>
      <w:r w:rsidR="00412291" w:rsidRPr="001B0639">
        <w:rPr>
          <w:rFonts w:ascii="Palatino Linotype" w:eastAsia="Palatino Linotype" w:hAnsi="Palatino Linotype" w:cs="Palatino Linotype"/>
        </w:rPr>
        <w:t xml:space="preserve"> </w:t>
      </w:r>
      <w:r w:rsidR="00412291" w:rsidRPr="001B0639">
        <w:rPr>
          <w:rFonts w:ascii="Palatino Linotype" w:eastAsia="Palatino Linotype" w:hAnsi="Palatino Linotype" w:cs="Palatino Linotype"/>
          <w:b/>
        </w:rPr>
        <w:t xml:space="preserve">Sujeto Obligado, </w:t>
      </w:r>
      <w:r w:rsidR="00412291" w:rsidRPr="001B0639">
        <w:rPr>
          <w:rFonts w:ascii="Palatino Linotype" w:eastAsia="Palatino Linotype" w:hAnsi="Palatino Linotype" w:cs="Palatino Linotype"/>
        </w:rPr>
        <w:t xml:space="preserve">por medio de su informe justificado, ratificó en lo sustancial la respuesta emitida en primera instancia, asimismo, </w:t>
      </w:r>
      <w:r w:rsidR="00412291" w:rsidRPr="001B0639">
        <w:rPr>
          <w:rFonts w:ascii="Palatino Linotype" w:eastAsia="Palatino Linotype" w:hAnsi="Palatino Linotype" w:cs="Palatino Linotype"/>
          <w:b/>
          <w:u w:val="single"/>
        </w:rPr>
        <w:t xml:space="preserve">precisó que en la </w:t>
      </w:r>
      <w:r w:rsidR="00EE11CB" w:rsidRPr="001B0639">
        <w:rPr>
          <w:rFonts w:ascii="Palatino Linotype" w:eastAsia="Palatino Linotype" w:hAnsi="Palatino Linotype" w:cs="Palatino Linotype"/>
          <w:b/>
          <w:u w:val="single"/>
        </w:rPr>
        <w:t xml:space="preserve">Convocatoria </w:t>
      </w:r>
      <w:r w:rsidR="00412291" w:rsidRPr="001B0639">
        <w:rPr>
          <w:rFonts w:ascii="Palatino Linotype" w:hAnsi="Palatino Linotype"/>
          <w:b/>
          <w:u w:val="single"/>
        </w:rPr>
        <w:t>para la Selección de las y los Jueces Cívicos, participaron únicamente tres personas, mismas que fueron designadas por el Cabildo para ocupar los cargos de Jueces Cívicos,</w:t>
      </w:r>
      <w:r w:rsidR="00412291" w:rsidRPr="001B0639">
        <w:rPr>
          <w:rFonts w:ascii="Palatino Linotype" w:hAnsi="Palatino Linotype"/>
        </w:rPr>
        <w:t xml:space="preserve"> por lo que los expedientes entregados corresponden con las personas que participaron en la referida convocatoria, las cuales, al ser las únicas interesadas, fueron nombradas para ocupar los cargos de Juez o Jueza Cívica</w:t>
      </w:r>
      <w:r w:rsidR="00070288" w:rsidRPr="001B0639">
        <w:rPr>
          <w:rFonts w:ascii="Palatino Linotype" w:hAnsi="Palatino Linotype"/>
        </w:rPr>
        <w:t>, como se sustenta con el extracto del Acta de la Tercera Sesión Ordinaria Pública de Cabildo Resolutiva celebrada el 22 de enero de 2025, entregado como anexo.</w:t>
      </w:r>
      <w:r w:rsidR="00D35A52" w:rsidRPr="001B0639">
        <w:rPr>
          <w:rFonts w:ascii="Palatino Linotype" w:hAnsi="Palatino Linotype"/>
        </w:rPr>
        <w:t xml:space="preserve"> </w:t>
      </w:r>
      <w:r w:rsidR="00070288" w:rsidRPr="001B0639">
        <w:rPr>
          <w:rFonts w:ascii="Palatino Linotype" w:eastAsia="Palatino Linotype" w:hAnsi="Palatino Linotype" w:cs="Palatino Linotype"/>
        </w:rPr>
        <w:t>Asimismo, proporcion</w:t>
      </w:r>
      <w:r w:rsidR="003F6C75" w:rsidRPr="001B0639">
        <w:rPr>
          <w:rFonts w:ascii="Palatino Linotype" w:eastAsia="Palatino Linotype" w:hAnsi="Palatino Linotype" w:cs="Palatino Linotype"/>
        </w:rPr>
        <w:t>ó</w:t>
      </w:r>
      <w:r w:rsidR="00070288" w:rsidRPr="001B0639">
        <w:rPr>
          <w:rFonts w:ascii="Palatino Linotype" w:eastAsia="Palatino Linotype" w:hAnsi="Palatino Linotype" w:cs="Palatino Linotype"/>
        </w:rPr>
        <w:t xml:space="preserve"> el Acta mediante la cual el Comité de Transparencia aprobó la versión pública de los documentos que integran </w:t>
      </w:r>
      <w:r w:rsidR="00D35A52" w:rsidRPr="001B0639">
        <w:rPr>
          <w:rFonts w:ascii="Palatino Linotype" w:eastAsia="Palatino Linotype" w:hAnsi="Palatino Linotype" w:cs="Palatino Linotype"/>
        </w:rPr>
        <w:t>los</w:t>
      </w:r>
      <w:r w:rsidR="00070288" w:rsidRPr="001B0639">
        <w:rPr>
          <w:rFonts w:ascii="Palatino Linotype" w:eastAsia="Palatino Linotype" w:hAnsi="Palatino Linotype" w:cs="Palatino Linotype"/>
        </w:rPr>
        <w:t xml:space="preserve"> expediente</w:t>
      </w:r>
      <w:r w:rsidR="00D35A52" w:rsidRPr="001B0639">
        <w:rPr>
          <w:rFonts w:ascii="Palatino Linotype" w:eastAsia="Palatino Linotype" w:hAnsi="Palatino Linotype" w:cs="Palatino Linotype"/>
        </w:rPr>
        <w:t>s remitidos en respuesta.</w:t>
      </w:r>
    </w:p>
    <w:p w14:paraId="39F4F279" w14:textId="77777777" w:rsidR="00D35A52" w:rsidRPr="001B0639" w:rsidRDefault="00D35A52" w:rsidP="00D35A52">
      <w:pPr>
        <w:tabs>
          <w:tab w:val="left" w:pos="1418"/>
        </w:tabs>
        <w:spacing w:before="240" w:after="240" w:line="360" w:lineRule="auto"/>
        <w:ind w:right="49"/>
        <w:jc w:val="both"/>
        <w:rPr>
          <w:rFonts w:ascii="Palatino Linotype" w:eastAsia="Palatino Linotype" w:hAnsi="Palatino Linotype" w:cs="Palatino Linotype"/>
        </w:rPr>
      </w:pPr>
      <w:r w:rsidRPr="001B0639">
        <w:rPr>
          <w:rFonts w:ascii="Palatino Linotype" w:eastAsia="Palatino Linotype" w:hAnsi="Palatino Linotype" w:cs="Palatino Linotype"/>
        </w:rPr>
        <w:lastRenderedPageBreak/>
        <w:t xml:space="preserve">Como se mencionó en los antecedentes de la presente resolución, dicha información se hizo de conocimiento de la </w:t>
      </w:r>
      <w:r w:rsidR="00AF2F72" w:rsidRPr="001B0639">
        <w:rPr>
          <w:rFonts w:ascii="Palatino Linotype" w:eastAsia="Palatino Linotype" w:hAnsi="Palatino Linotype" w:cs="Palatino Linotype"/>
        </w:rPr>
        <w:t xml:space="preserve">parte </w:t>
      </w:r>
      <w:r w:rsidR="00AF2F72" w:rsidRPr="001B0639">
        <w:rPr>
          <w:rFonts w:ascii="Palatino Linotype" w:eastAsia="Palatino Linotype" w:hAnsi="Palatino Linotype" w:cs="Palatino Linotype"/>
          <w:b/>
        </w:rPr>
        <w:t>Recurrente</w:t>
      </w:r>
      <w:r w:rsidRPr="001B0639">
        <w:rPr>
          <w:rFonts w:ascii="Palatino Linotype" w:eastAsia="Palatino Linotype" w:hAnsi="Palatino Linotype" w:cs="Palatino Linotype"/>
          <w:b/>
        </w:rPr>
        <w:t xml:space="preserve">, </w:t>
      </w:r>
      <w:r w:rsidRPr="001B0639">
        <w:rPr>
          <w:rFonts w:ascii="Palatino Linotype" w:eastAsia="Palatino Linotype" w:hAnsi="Palatino Linotype" w:cs="Palatino Linotype"/>
        </w:rPr>
        <w:t xml:space="preserve">sin embargo, </w:t>
      </w:r>
      <w:r w:rsidR="00AF2F72" w:rsidRPr="001B0639">
        <w:rPr>
          <w:rFonts w:ascii="Palatino Linotype" w:eastAsia="Palatino Linotype" w:hAnsi="Palatino Linotype" w:cs="Palatino Linotype"/>
        </w:rPr>
        <w:t xml:space="preserve">fue omisa en </w:t>
      </w:r>
      <w:r w:rsidRPr="001B0639">
        <w:rPr>
          <w:rFonts w:ascii="Palatino Linotype" w:eastAsia="Palatino Linotype" w:hAnsi="Palatino Linotype" w:cs="Palatino Linotype"/>
        </w:rPr>
        <w:t>hacer valer manifestaciones o rendir alegatos que conforme a su derecho resultaran procedentes, por lo tanto se tiene por precluido su derecho.</w:t>
      </w:r>
    </w:p>
    <w:p w14:paraId="0506CCA0" w14:textId="77777777" w:rsidR="00AF2F72" w:rsidRPr="001B0639" w:rsidRDefault="00D35A52" w:rsidP="00AF2F72">
      <w:pPr>
        <w:spacing w:before="240" w:after="240" w:line="360" w:lineRule="auto"/>
        <w:ind w:right="49"/>
        <w:jc w:val="both"/>
        <w:rPr>
          <w:rFonts w:ascii="Palatino Linotype" w:eastAsia="Palatino Linotype" w:hAnsi="Palatino Linotype" w:cs="Palatino Linotype"/>
        </w:rPr>
      </w:pPr>
      <w:r w:rsidRPr="001B0639">
        <w:rPr>
          <w:rFonts w:ascii="Palatino Linotype" w:eastAsia="Palatino Linotype" w:hAnsi="Palatino Linotype" w:cs="Palatino Linotype"/>
        </w:rPr>
        <w:t xml:space="preserve">Una vez establecidas las posturas de las partes, </w:t>
      </w:r>
      <w:r w:rsidR="00AF2F72" w:rsidRPr="001B0639">
        <w:rPr>
          <w:rFonts w:ascii="Palatino Linotype" w:eastAsia="Palatino Linotype" w:hAnsi="Palatino Linotype" w:cs="Palatino Linotype"/>
        </w:rPr>
        <w:t xml:space="preserve">resulta pertinente señalar que del análisis a los motivos de inconformidad de la parte </w:t>
      </w:r>
      <w:r w:rsidR="00AF2F72" w:rsidRPr="001B0639">
        <w:rPr>
          <w:rFonts w:ascii="Palatino Linotype" w:eastAsia="Palatino Linotype" w:hAnsi="Palatino Linotype" w:cs="Palatino Linotype"/>
          <w:b/>
        </w:rPr>
        <w:t>Recurrente</w:t>
      </w:r>
      <w:r w:rsidR="00AF2F72" w:rsidRPr="001B0639">
        <w:rPr>
          <w:rFonts w:ascii="Palatino Linotype" w:eastAsia="Palatino Linotype" w:hAnsi="Palatino Linotype" w:cs="Palatino Linotype"/>
        </w:rPr>
        <w:t>, no se advierte que actualice una de las causales de procedencia del recurso de revisión, previstas en el artículo 179 de la Ley de Transparencia y Acceso a la Información Pública del Estado de México y Municipios, a saber:</w:t>
      </w:r>
    </w:p>
    <w:p w14:paraId="70E4C03B" w14:textId="77777777" w:rsidR="00AF2F72" w:rsidRPr="001B0639" w:rsidRDefault="00AF2F72" w:rsidP="00AF2F72">
      <w:pPr>
        <w:spacing w:before="120" w:after="120"/>
        <w:ind w:left="851" w:right="902"/>
        <w:jc w:val="both"/>
        <w:rPr>
          <w:rFonts w:ascii="Palatino Linotype" w:eastAsia="Palatino Linotype" w:hAnsi="Palatino Linotype" w:cs="Palatino Linotype"/>
          <w:i/>
          <w:sz w:val="22"/>
          <w:szCs w:val="22"/>
        </w:rPr>
      </w:pPr>
      <w:r w:rsidRPr="001B0639">
        <w:rPr>
          <w:rFonts w:ascii="Palatino Linotype" w:eastAsia="Palatino Linotype" w:hAnsi="Palatino Linotype" w:cs="Palatino Linotype"/>
          <w:b/>
          <w:i/>
          <w:sz w:val="22"/>
          <w:szCs w:val="22"/>
        </w:rPr>
        <w:t>“Artículo 179</w:t>
      </w:r>
      <w:r w:rsidRPr="001B0639">
        <w:rPr>
          <w:rFonts w:ascii="Palatino Linotype" w:eastAsia="Palatino Linotype" w:hAnsi="Palatino Linotype" w:cs="Palatino Linotype"/>
          <w:i/>
          <w:sz w:val="22"/>
          <w:szCs w:val="22"/>
        </w:rPr>
        <w:t>. El recurso de revisión es un medio de protección que la Ley otorga a los particulares, para hacer valer su derecho de acceso a la información pública, y procederá en contra de las siguientes causas:</w:t>
      </w:r>
    </w:p>
    <w:p w14:paraId="12AF9AC9" w14:textId="77777777" w:rsidR="00AF2F72" w:rsidRPr="001B0639" w:rsidRDefault="00AF2F72" w:rsidP="00AF2F72">
      <w:pPr>
        <w:spacing w:before="120" w:after="120"/>
        <w:ind w:left="1134" w:right="902"/>
        <w:jc w:val="both"/>
        <w:rPr>
          <w:rFonts w:ascii="Palatino Linotype" w:eastAsia="Palatino Linotype" w:hAnsi="Palatino Linotype" w:cs="Palatino Linotype"/>
          <w:i/>
          <w:sz w:val="22"/>
          <w:szCs w:val="22"/>
        </w:rPr>
      </w:pPr>
      <w:r w:rsidRPr="001B0639">
        <w:rPr>
          <w:rFonts w:ascii="Palatino Linotype" w:eastAsia="Palatino Linotype" w:hAnsi="Palatino Linotype" w:cs="Palatino Linotype"/>
          <w:b/>
          <w:i/>
          <w:sz w:val="22"/>
          <w:szCs w:val="22"/>
        </w:rPr>
        <w:t>I.</w:t>
      </w:r>
      <w:r w:rsidRPr="001B0639">
        <w:rPr>
          <w:rFonts w:ascii="Palatino Linotype" w:eastAsia="Palatino Linotype" w:hAnsi="Palatino Linotype" w:cs="Palatino Linotype"/>
          <w:i/>
          <w:sz w:val="22"/>
          <w:szCs w:val="22"/>
        </w:rPr>
        <w:t xml:space="preserve"> La negativa a la información solicitada;</w:t>
      </w:r>
    </w:p>
    <w:p w14:paraId="75D1D487" w14:textId="77777777" w:rsidR="00AF2F72" w:rsidRPr="001B0639" w:rsidRDefault="00AF2F72" w:rsidP="00AF2F72">
      <w:pPr>
        <w:spacing w:before="120" w:after="120"/>
        <w:ind w:left="1134" w:right="902"/>
        <w:jc w:val="both"/>
        <w:rPr>
          <w:rFonts w:ascii="Palatino Linotype" w:eastAsia="Palatino Linotype" w:hAnsi="Palatino Linotype" w:cs="Palatino Linotype"/>
          <w:i/>
          <w:sz w:val="22"/>
          <w:szCs w:val="22"/>
        </w:rPr>
      </w:pPr>
      <w:r w:rsidRPr="001B0639">
        <w:rPr>
          <w:rFonts w:ascii="Palatino Linotype" w:eastAsia="Palatino Linotype" w:hAnsi="Palatino Linotype" w:cs="Palatino Linotype"/>
          <w:b/>
          <w:i/>
          <w:sz w:val="22"/>
          <w:szCs w:val="22"/>
        </w:rPr>
        <w:t>II</w:t>
      </w:r>
      <w:r w:rsidRPr="001B0639">
        <w:rPr>
          <w:rFonts w:ascii="Palatino Linotype" w:eastAsia="Palatino Linotype" w:hAnsi="Palatino Linotype" w:cs="Palatino Linotype"/>
          <w:i/>
          <w:sz w:val="22"/>
          <w:szCs w:val="22"/>
        </w:rPr>
        <w:t>. La clasificación de la información;</w:t>
      </w:r>
    </w:p>
    <w:p w14:paraId="0DD33223" w14:textId="77777777" w:rsidR="00AF2F72" w:rsidRPr="001B0639" w:rsidRDefault="00AF2F72" w:rsidP="00AF2F72">
      <w:pPr>
        <w:spacing w:before="120" w:after="120"/>
        <w:ind w:left="1134" w:right="902"/>
        <w:jc w:val="both"/>
        <w:rPr>
          <w:rFonts w:ascii="Palatino Linotype" w:eastAsia="Palatino Linotype" w:hAnsi="Palatino Linotype" w:cs="Palatino Linotype"/>
          <w:i/>
          <w:sz w:val="22"/>
          <w:szCs w:val="22"/>
        </w:rPr>
      </w:pPr>
      <w:r w:rsidRPr="001B0639">
        <w:rPr>
          <w:rFonts w:ascii="Palatino Linotype" w:eastAsia="Palatino Linotype" w:hAnsi="Palatino Linotype" w:cs="Palatino Linotype"/>
          <w:b/>
          <w:i/>
          <w:sz w:val="22"/>
          <w:szCs w:val="22"/>
        </w:rPr>
        <w:t>III</w:t>
      </w:r>
      <w:r w:rsidRPr="001B0639">
        <w:rPr>
          <w:rFonts w:ascii="Palatino Linotype" w:eastAsia="Palatino Linotype" w:hAnsi="Palatino Linotype" w:cs="Palatino Linotype"/>
          <w:i/>
          <w:sz w:val="22"/>
          <w:szCs w:val="22"/>
        </w:rPr>
        <w:t>. La declaración de inexistencia de la información;</w:t>
      </w:r>
    </w:p>
    <w:p w14:paraId="7A371C30" w14:textId="77777777" w:rsidR="00AF2F72" w:rsidRPr="001B0639" w:rsidRDefault="00AF2F72" w:rsidP="00AF2F72">
      <w:pPr>
        <w:spacing w:before="120" w:after="120"/>
        <w:ind w:left="1134" w:right="902"/>
        <w:jc w:val="both"/>
        <w:rPr>
          <w:rFonts w:ascii="Palatino Linotype" w:eastAsia="Palatino Linotype" w:hAnsi="Palatino Linotype" w:cs="Palatino Linotype"/>
          <w:i/>
          <w:sz w:val="22"/>
          <w:szCs w:val="22"/>
        </w:rPr>
      </w:pPr>
      <w:r w:rsidRPr="001B0639">
        <w:rPr>
          <w:rFonts w:ascii="Palatino Linotype" w:eastAsia="Palatino Linotype" w:hAnsi="Palatino Linotype" w:cs="Palatino Linotype"/>
          <w:b/>
          <w:i/>
          <w:sz w:val="22"/>
          <w:szCs w:val="22"/>
        </w:rPr>
        <w:t>IV</w:t>
      </w:r>
      <w:r w:rsidRPr="001B0639">
        <w:rPr>
          <w:rFonts w:ascii="Palatino Linotype" w:eastAsia="Palatino Linotype" w:hAnsi="Palatino Linotype" w:cs="Palatino Linotype"/>
          <w:i/>
          <w:sz w:val="22"/>
          <w:szCs w:val="22"/>
        </w:rPr>
        <w:t>. La declaración de incompetencia por el sujeto obligado;</w:t>
      </w:r>
    </w:p>
    <w:p w14:paraId="2F415579" w14:textId="77777777" w:rsidR="00AF2F72" w:rsidRPr="001B0639" w:rsidRDefault="00AF2F72" w:rsidP="00AF2F72">
      <w:pPr>
        <w:spacing w:before="120" w:after="120"/>
        <w:ind w:left="1134" w:right="902"/>
        <w:jc w:val="both"/>
        <w:rPr>
          <w:rFonts w:ascii="Palatino Linotype" w:eastAsia="Palatino Linotype" w:hAnsi="Palatino Linotype" w:cs="Palatino Linotype"/>
          <w:i/>
          <w:sz w:val="22"/>
          <w:szCs w:val="22"/>
        </w:rPr>
      </w:pPr>
      <w:r w:rsidRPr="001B0639">
        <w:rPr>
          <w:rFonts w:ascii="Palatino Linotype" w:eastAsia="Palatino Linotype" w:hAnsi="Palatino Linotype" w:cs="Palatino Linotype"/>
          <w:b/>
          <w:i/>
          <w:sz w:val="22"/>
          <w:szCs w:val="22"/>
        </w:rPr>
        <w:t>V</w:t>
      </w:r>
      <w:r w:rsidRPr="001B0639">
        <w:rPr>
          <w:rFonts w:ascii="Palatino Linotype" w:eastAsia="Palatino Linotype" w:hAnsi="Palatino Linotype" w:cs="Palatino Linotype"/>
          <w:i/>
          <w:sz w:val="22"/>
          <w:szCs w:val="22"/>
        </w:rPr>
        <w:t>. La entrega de información incompleta;</w:t>
      </w:r>
    </w:p>
    <w:p w14:paraId="7878DC7E" w14:textId="77777777" w:rsidR="00AF2F72" w:rsidRPr="001B0639" w:rsidRDefault="00AF2F72" w:rsidP="00AF2F72">
      <w:pPr>
        <w:spacing w:before="120" w:after="120"/>
        <w:ind w:left="1134" w:right="902"/>
        <w:jc w:val="both"/>
        <w:rPr>
          <w:rFonts w:ascii="Palatino Linotype" w:eastAsia="Palatino Linotype" w:hAnsi="Palatino Linotype" w:cs="Palatino Linotype"/>
          <w:i/>
          <w:sz w:val="22"/>
          <w:szCs w:val="22"/>
        </w:rPr>
      </w:pPr>
      <w:r w:rsidRPr="001B0639">
        <w:rPr>
          <w:rFonts w:ascii="Palatino Linotype" w:eastAsia="Palatino Linotype" w:hAnsi="Palatino Linotype" w:cs="Palatino Linotype"/>
          <w:b/>
          <w:i/>
          <w:sz w:val="22"/>
          <w:szCs w:val="22"/>
        </w:rPr>
        <w:t>VI.</w:t>
      </w:r>
      <w:r w:rsidRPr="001B0639">
        <w:rPr>
          <w:rFonts w:ascii="Palatino Linotype" w:eastAsia="Palatino Linotype" w:hAnsi="Palatino Linotype" w:cs="Palatino Linotype"/>
          <w:i/>
          <w:sz w:val="22"/>
          <w:szCs w:val="22"/>
        </w:rPr>
        <w:t xml:space="preserve"> La entrega de información que no corresponda con lo solicitado;</w:t>
      </w:r>
    </w:p>
    <w:p w14:paraId="4FAFD04C" w14:textId="77777777" w:rsidR="00AF2F72" w:rsidRPr="001B0639" w:rsidRDefault="00AF2F72" w:rsidP="00AF2F72">
      <w:pPr>
        <w:spacing w:before="120" w:after="120"/>
        <w:ind w:left="1134" w:right="902"/>
        <w:jc w:val="both"/>
        <w:rPr>
          <w:rFonts w:ascii="Palatino Linotype" w:eastAsia="Palatino Linotype" w:hAnsi="Palatino Linotype" w:cs="Palatino Linotype"/>
          <w:i/>
          <w:sz w:val="22"/>
          <w:szCs w:val="22"/>
        </w:rPr>
      </w:pPr>
      <w:r w:rsidRPr="001B0639">
        <w:rPr>
          <w:rFonts w:ascii="Palatino Linotype" w:eastAsia="Palatino Linotype" w:hAnsi="Palatino Linotype" w:cs="Palatino Linotype"/>
          <w:b/>
          <w:i/>
          <w:sz w:val="22"/>
          <w:szCs w:val="22"/>
        </w:rPr>
        <w:t>VII</w:t>
      </w:r>
      <w:r w:rsidRPr="001B0639">
        <w:rPr>
          <w:rFonts w:ascii="Palatino Linotype" w:eastAsia="Palatino Linotype" w:hAnsi="Palatino Linotype" w:cs="Palatino Linotype"/>
          <w:i/>
          <w:sz w:val="22"/>
          <w:szCs w:val="22"/>
        </w:rPr>
        <w:t>. La falta de respuesta a una solicitud de acceso a la información;</w:t>
      </w:r>
    </w:p>
    <w:p w14:paraId="26D6DDA3" w14:textId="77777777" w:rsidR="00AF2F72" w:rsidRPr="001B0639" w:rsidRDefault="00AF2F72" w:rsidP="00AF2F72">
      <w:pPr>
        <w:spacing w:before="120" w:after="120"/>
        <w:ind w:left="1134" w:right="902"/>
        <w:jc w:val="both"/>
        <w:rPr>
          <w:rFonts w:ascii="Palatino Linotype" w:eastAsia="Palatino Linotype" w:hAnsi="Palatino Linotype" w:cs="Palatino Linotype"/>
          <w:i/>
          <w:sz w:val="22"/>
          <w:szCs w:val="22"/>
        </w:rPr>
      </w:pPr>
      <w:r w:rsidRPr="001B0639">
        <w:rPr>
          <w:rFonts w:ascii="Palatino Linotype" w:eastAsia="Palatino Linotype" w:hAnsi="Palatino Linotype" w:cs="Palatino Linotype"/>
          <w:b/>
          <w:i/>
          <w:sz w:val="22"/>
          <w:szCs w:val="22"/>
        </w:rPr>
        <w:t>VIII</w:t>
      </w:r>
      <w:r w:rsidRPr="001B0639">
        <w:rPr>
          <w:rFonts w:ascii="Palatino Linotype" w:eastAsia="Palatino Linotype" w:hAnsi="Palatino Linotype" w:cs="Palatino Linotype"/>
          <w:i/>
          <w:sz w:val="22"/>
          <w:szCs w:val="22"/>
        </w:rPr>
        <w:t>. La notificación, entrega o puesta a disposición de información en una modalidad o formato distinto al solicitado;</w:t>
      </w:r>
    </w:p>
    <w:p w14:paraId="1C016A84" w14:textId="77777777" w:rsidR="00AF2F72" w:rsidRPr="001B0639" w:rsidRDefault="00AF2F72" w:rsidP="00AF2F72">
      <w:pPr>
        <w:spacing w:before="120" w:after="120"/>
        <w:ind w:left="1134" w:right="902"/>
        <w:jc w:val="both"/>
        <w:rPr>
          <w:rFonts w:ascii="Palatino Linotype" w:eastAsia="Palatino Linotype" w:hAnsi="Palatino Linotype" w:cs="Palatino Linotype"/>
          <w:i/>
          <w:sz w:val="22"/>
          <w:szCs w:val="22"/>
        </w:rPr>
      </w:pPr>
      <w:r w:rsidRPr="001B0639">
        <w:rPr>
          <w:rFonts w:ascii="Palatino Linotype" w:eastAsia="Palatino Linotype" w:hAnsi="Palatino Linotype" w:cs="Palatino Linotype"/>
          <w:b/>
          <w:i/>
          <w:sz w:val="22"/>
          <w:szCs w:val="22"/>
        </w:rPr>
        <w:t>IX.</w:t>
      </w:r>
      <w:r w:rsidRPr="001B0639">
        <w:rPr>
          <w:rFonts w:ascii="Palatino Linotype" w:eastAsia="Palatino Linotype" w:hAnsi="Palatino Linotype" w:cs="Palatino Linotype"/>
          <w:i/>
          <w:sz w:val="22"/>
          <w:szCs w:val="22"/>
        </w:rPr>
        <w:t xml:space="preserve"> La entrega o puesta a disposición de información en un formato incomprensible y/o no accesible para el solicitante;</w:t>
      </w:r>
    </w:p>
    <w:p w14:paraId="7D601B8C" w14:textId="77777777" w:rsidR="00AF2F72" w:rsidRPr="001B0639" w:rsidRDefault="00AF2F72" w:rsidP="00AF2F72">
      <w:pPr>
        <w:spacing w:before="120" w:after="120"/>
        <w:ind w:left="1134" w:right="902"/>
        <w:jc w:val="both"/>
        <w:rPr>
          <w:rFonts w:ascii="Palatino Linotype" w:eastAsia="Palatino Linotype" w:hAnsi="Palatino Linotype" w:cs="Palatino Linotype"/>
          <w:i/>
          <w:sz w:val="22"/>
          <w:szCs w:val="22"/>
        </w:rPr>
      </w:pPr>
      <w:r w:rsidRPr="001B0639">
        <w:rPr>
          <w:rFonts w:ascii="Palatino Linotype" w:eastAsia="Palatino Linotype" w:hAnsi="Palatino Linotype" w:cs="Palatino Linotype"/>
          <w:b/>
          <w:i/>
          <w:sz w:val="22"/>
          <w:szCs w:val="22"/>
        </w:rPr>
        <w:t>X.</w:t>
      </w:r>
      <w:r w:rsidRPr="001B0639">
        <w:rPr>
          <w:rFonts w:ascii="Palatino Linotype" w:eastAsia="Palatino Linotype" w:hAnsi="Palatino Linotype" w:cs="Palatino Linotype"/>
          <w:i/>
          <w:sz w:val="22"/>
          <w:szCs w:val="22"/>
        </w:rPr>
        <w:t xml:space="preserve"> Los costos o tiempos de entrega de la información;</w:t>
      </w:r>
    </w:p>
    <w:p w14:paraId="6B0DC2A4" w14:textId="77777777" w:rsidR="00AF2F72" w:rsidRPr="001B0639" w:rsidRDefault="00AF2F72" w:rsidP="00AF2F72">
      <w:pPr>
        <w:spacing w:before="120" w:after="120"/>
        <w:ind w:left="1134" w:right="902"/>
        <w:jc w:val="both"/>
        <w:rPr>
          <w:rFonts w:ascii="Palatino Linotype" w:eastAsia="Palatino Linotype" w:hAnsi="Palatino Linotype" w:cs="Palatino Linotype"/>
          <w:i/>
          <w:sz w:val="22"/>
          <w:szCs w:val="22"/>
        </w:rPr>
      </w:pPr>
      <w:r w:rsidRPr="001B0639">
        <w:rPr>
          <w:rFonts w:ascii="Palatino Linotype" w:eastAsia="Palatino Linotype" w:hAnsi="Palatino Linotype" w:cs="Palatino Linotype"/>
          <w:b/>
          <w:i/>
          <w:sz w:val="22"/>
          <w:szCs w:val="22"/>
        </w:rPr>
        <w:t>XI.</w:t>
      </w:r>
      <w:r w:rsidRPr="001B0639">
        <w:rPr>
          <w:rFonts w:ascii="Palatino Linotype" w:eastAsia="Palatino Linotype" w:hAnsi="Palatino Linotype" w:cs="Palatino Linotype"/>
          <w:i/>
          <w:sz w:val="22"/>
          <w:szCs w:val="22"/>
        </w:rPr>
        <w:t xml:space="preserve"> La falta de trámite a una solicitud;</w:t>
      </w:r>
    </w:p>
    <w:p w14:paraId="09F1064B" w14:textId="77777777" w:rsidR="00AF2F72" w:rsidRPr="001B0639" w:rsidRDefault="00AF2F72" w:rsidP="00AF2F72">
      <w:pPr>
        <w:spacing w:before="120" w:after="120"/>
        <w:ind w:left="1134" w:right="902"/>
        <w:jc w:val="both"/>
        <w:rPr>
          <w:rFonts w:ascii="Palatino Linotype" w:eastAsia="Palatino Linotype" w:hAnsi="Palatino Linotype" w:cs="Palatino Linotype"/>
          <w:i/>
          <w:sz w:val="22"/>
          <w:szCs w:val="22"/>
        </w:rPr>
      </w:pPr>
      <w:r w:rsidRPr="001B0639">
        <w:rPr>
          <w:rFonts w:ascii="Palatino Linotype" w:eastAsia="Palatino Linotype" w:hAnsi="Palatino Linotype" w:cs="Palatino Linotype"/>
          <w:b/>
          <w:i/>
          <w:sz w:val="22"/>
          <w:szCs w:val="22"/>
        </w:rPr>
        <w:t>XII.</w:t>
      </w:r>
      <w:r w:rsidRPr="001B0639">
        <w:rPr>
          <w:rFonts w:ascii="Palatino Linotype" w:eastAsia="Palatino Linotype" w:hAnsi="Palatino Linotype" w:cs="Palatino Linotype"/>
          <w:i/>
          <w:sz w:val="22"/>
          <w:szCs w:val="22"/>
        </w:rPr>
        <w:t xml:space="preserve"> La negativa a permitir la consulta directa de la información;</w:t>
      </w:r>
    </w:p>
    <w:p w14:paraId="7E8B1055" w14:textId="77777777" w:rsidR="00AF2F72" w:rsidRPr="001B0639" w:rsidRDefault="00AF2F72" w:rsidP="00AF2F72">
      <w:pPr>
        <w:spacing w:before="120" w:after="120"/>
        <w:ind w:left="1134" w:right="902"/>
        <w:jc w:val="both"/>
        <w:rPr>
          <w:rFonts w:ascii="Palatino Linotype" w:eastAsia="Palatino Linotype" w:hAnsi="Palatino Linotype" w:cs="Palatino Linotype"/>
          <w:i/>
          <w:sz w:val="22"/>
          <w:szCs w:val="22"/>
        </w:rPr>
      </w:pPr>
      <w:r w:rsidRPr="001B0639">
        <w:rPr>
          <w:rFonts w:ascii="Palatino Linotype" w:eastAsia="Palatino Linotype" w:hAnsi="Palatino Linotype" w:cs="Palatino Linotype"/>
          <w:b/>
          <w:i/>
          <w:sz w:val="22"/>
          <w:szCs w:val="22"/>
        </w:rPr>
        <w:lastRenderedPageBreak/>
        <w:t>XIII.</w:t>
      </w:r>
      <w:r w:rsidRPr="001B0639">
        <w:rPr>
          <w:rFonts w:ascii="Palatino Linotype" w:eastAsia="Palatino Linotype" w:hAnsi="Palatino Linotype" w:cs="Palatino Linotype"/>
          <w:i/>
          <w:sz w:val="22"/>
          <w:szCs w:val="22"/>
        </w:rPr>
        <w:t xml:space="preserve"> La falta, deficiencia o insuficiencia de la fundamentación y/o motivación en la respuesta; y</w:t>
      </w:r>
    </w:p>
    <w:p w14:paraId="37FE89B6" w14:textId="77777777" w:rsidR="00AF2F72" w:rsidRPr="001B0639" w:rsidRDefault="00AF2F72" w:rsidP="00AF2F72">
      <w:pPr>
        <w:spacing w:before="120" w:after="120"/>
        <w:ind w:left="1134" w:right="902"/>
        <w:jc w:val="both"/>
        <w:rPr>
          <w:rFonts w:ascii="Palatino Linotype" w:eastAsia="Palatino Linotype" w:hAnsi="Palatino Linotype" w:cs="Palatino Linotype"/>
          <w:i/>
          <w:sz w:val="22"/>
          <w:szCs w:val="22"/>
        </w:rPr>
      </w:pPr>
      <w:r w:rsidRPr="001B0639">
        <w:rPr>
          <w:rFonts w:ascii="Palatino Linotype" w:eastAsia="Palatino Linotype" w:hAnsi="Palatino Linotype" w:cs="Palatino Linotype"/>
          <w:b/>
          <w:i/>
          <w:sz w:val="22"/>
          <w:szCs w:val="22"/>
        </w:rPr>
        <w:t>XIV</w:t>
      </w:r>
      <w:r w:rsidRPr="001B0639">
        <w:rPr>
          <w:rFonts w:ascii="Palatino Linotype" w:eastAsia="Palatino Linotype" w:hAnsi="Palatino Linotype" w:cs="Palatino Linotype"/>
          <w:i/>
          <w:sz w:val="22"/>
          <w:szCs w:val="22"/>
        </w:rPr>
        <w:t>. La orientación a un trámite específico.</w:t>
      </w:r>
    </w:p>
    <w:p w14:paraId="3AF5D645" w14:textId="77777777" w:rsidR="00AF2F72" w:rsidRPr="001B0639" w:rsidRDefault="00AF2F72" w:rsidP="00AF2F72">
      <w:pPr>
        <w:spacing w:before="120" w:after="120"/>
        <w:ind w:left="851" w:right="902"/>
        <w:jc w:val="both"/>
        <w:rPr>
          <w:rFonts w:ascii="Palatino Linotype" w:eastAsia="Palatino Linotype" w:hAnsi="Palatino Linotype" w:cs="Palatino Linotype"/>
          <w:i/>
          <w:sz w:val="22"/>
          <w:szCs w:val="22"/>
        </w:rPr>
      </w:pPr>
      <w:r w:rsidRPr="001B0639">
        <w:rPr>
          <w:rFonts w:ascii="Palatino Linotype" w:eastAsia="Palatino Linotype" w:hAnsi="Palatino Linotype" w:cs="Palatino Linotype"/>
          <w:i/>
          <w:sz w:val="22"/>
          <w:szCs w:val="22"/>
        </w:rPr>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14:paraId="0429F607" w14:textId="77777777" w:rsidR="0057219F" w:rsidRPr="001B0639" w:rsidRDefault="00AF2F72" w:rsidP="00AF2F72">
      <w:pPr>
        <w:spacing w:before="240" w:after="240" w:line="360" w:lineRule="auto"/>
        <w:ind w:right="49"/>
        <w:jc w:val="both"/>
        <w:rPr>
          <w:rFonts w:ascii="Palatino Linotype" w:eastAsia="Palatino Linotype" w:hAnsi="Palatino Linotype" w:cs="Palatino Linotype"/>
          <w:noProof/>
        </w:rPr>
      </w:pPr>
      <w:r w:rsidRPr="001B0639">
        <w:rPr>
          <w:rFonts w:ascii="Palatino Linotype" w:eastAsia="Palatino Linotype" w:hAnsi="Palatino Linotype" w:cs="Palatino Linotype"/>
        </w:rPr>
        <w:t xml:space="preserve">De tal suerte que como se puede vislumbrar, la expresión </w:t>
      </w:r>
      <w:r w:rsidRPr="001B0639">
        <w:rPr>
          <w:rFonts w:ascii="Palatino Linotype" w:eastAsia="Palatino Linotype" w:hAnsi="Palatino Linotype" w:cs="Palatino Linotype"/>
          <w:b/>
          <w:i/>
          <w:u w:val="single"/>
        </w:rPr>
        <w:t>“</w:t>
      </w:r>
      <w:r w:rsidR="00EE5E8E" w:rsidRPr="001B0639">
        <w:rPr>
          <w:rFonts w:ascii="Palatino Linotype" w:eastAsia="Palatino Linotype" w:hAnsi="Palatino Linotype" w:cs="Palatino Linotype"/>
          <w:b/>
          <w:i/>
          <w:u w:val="single"/>
        </w:rPr>
        <w:t>Remiten información confidencial de personas que no ganaron en la convocatoria</w:t>
      </w:r>
      <w:r w:rsidRPr="001B0639">
        <w:rPr>
          <w:rFonts w:ascii="Palatino Linotype" w:eastAsia="Palatino Linotype" w:hAnsi="Palatino Linotype" w:cs="Palatino Linotype"/>
          <w:b/>
          <w:i/>
          <w:u w:val="single"/>
        </w:rPr>
        <w:t>…”</w:t>
      </w:r>
      <w:r w:rsidRPr="001B0639">
        <w:rPr>
          <w:rFonts w:ascii="Palatino Linotype" w:eastAsia="Palatino Linotype" w:hAnsi="Palatino Linotype" w:cs="Palatino Linotype"/>
          <w:i/>
        </w:rPr>
        <w:t xml:space="preserve"> (Sic) </w:t>
      </w:r>
      <w:r w:rsidRPr="001B0639">
        <w:rPr>
          <w:rFonts w:ascii="Palatino Linotype" w:eastAsia="Palatino Linotype" w:hAnsi="Palatino Linotype" w:cs="Palatino Linotype"/>
        </w:rPr>
        <w:t>no actualiza alguno de los supuestos que la norma jurídica contempla para la procedencia del recurso de revisión, no obstante, si bien es cierto que ya se señaló que el medio de impugnación que nos ocupa no es procedente, no menos cierto es que en aras de tutelar el derecho a la protección de datos personales, este Organismo Garante procedió a la revisión de los documentos remitid</w:t>
      </w:r>
      <w:r w:rsidR="000601B8" w:rsidRPr="001B0639">
        <w:rPr>
          <w:rFonts w:ascii="Palatino Linotype" w:eastAsia="Palatino Linotype" w:hAnsi="Palatino Linotype" w:cs="Palatino Linotype"/>
        </w:rPr>
        <w:t xml:space="preserve">os en respuesta, advirtiendo, en primer lugar, que los expedientes entregados corresponden con los tres aspirantes a Jueces o Juezas Cívicas, que participaron en la </w:t>
      </w:r>
      <w:r w:rsidR="000601B8" w:rsidRPr="001B0639">
        <w:rPr>
          <w:rFonts w:ascii="Palatino Linotype" w:eastAsia="Palatino Linotype" w:hAnsi="Palatino Linotype" w:cs="Palatino Linotype"/>
          <w:noProof/>
        </w:rPr>
        <w:t xml:space="preserve">Convocatoria para el registro de Aspirantes a Jueza o Juez Cívico, </w:t>
      </w:r>
      <w:r w:rsidR="00B84E28" w:rsidRPr="001B0639">
        <w:rPr>
          <w:rFonts w:ascii="Palatino Linotype" w:eastAsia="Palatino Linotype" w:hAnsi="Palatino Linotype" w:cs="Palatino Linotype"/>
          <w:noProof/>
        </w:rPr>
        <w:t>mismos que fueron nombrados por el Cabildo para desempeñar dicho cargo,</w:t>
      </w:r>
      <w:r w:rsidR="001123BF" w:rsidRPr="001B0639">
        <w:rPr>
          <w:rFonts w:ascii="Palatino Linotype" w:eastAsia="Palatino Linotype" w:hAnsi="Palatino Linotype" w:cs="Palatino Linotype"/>
          <w:noProof/>
        </w:rPr>
        <w:t xml:space="preserve"> tomando como referencia el </w:t>
      </w:r>
      <w:r w:rsidR="001123BF" w:rsidRPr="001B0639">
        <w:rPr>
          <w:rFonts w:ascii="Palatino Linotype" w:hAnsi="Palatino Linotype"/>
        </w:rPr>
        <w:t xml:space="preserve">acuerdo Segundo del punto Seis del orden del día de la Tercera Sesión Ordinaria Pública de Cabildo Resolutiva celebrada el 22 de enero de 2025, </w:t>
      </w:r>
      <w:r w:rsidR="00B84E28" w:rsidRPr="001B0639">
        <w:rPr>
          <w:rFonts w:ascii="Palatino Linotype" w:eastAsia="Palatino Linotype" w:hAnsi="Palatino Linotype" w:cs="Palatino Linotype"/>
          <w:noProof/>
        </w:rPr>
        <w:t xml:space="preserve">como se ilustra a continuación para </w:t>
      </w:r>
      <w:r w:rsidR="001123BF" w:rsidRPr="001B0639">
        <w:rPr>
          <w:rFonts w:ascii="Palatino Linotype" w:eastAsia="Palatino Linotype" w:hAnsi="Palatino Linotype" w:cs="Palatino Linotype"/>
          <w:noProof/>
        </w:rPr>
        <w:t>un mejor entendimient</w:t>
      </w:r>
      <w:r w:rsidR="00BB3EFA" w:rsidRPr="001B0639">
        <w:rPr>
          <w:rFonts w:ascii="Palatino Linotype" w:eastAsia="Palatino Linotype" w:hAnsi="Palatino Linotype" w:cs="Palatino Linotype"/>
          <w:noProof/>
        </w:rPr>
        <w:t>o:</w:t>
      </w:r>
    </w:p>
    <w:tbl>
      <w:tblPr>
        <w:tblStyle w:val="Tablaconcuadrcula"/>
        <w:tblW w:w="0" w:type="auto"/>
        <w:tblLook w:val="04A0" w:firstRow="1" w:lastRow="0" w:firstColumn="1" w:lastColumn="0" w:noHBand="0" w:noVBand="1"/>
      </w:tblPr>
      <w:tblGrid>
        <w:gridCol w:w="4414"/>
        <w:gridCol w:w="4414"/>
      </w:tblGrid>
      <w:tr w:rsidR="001B0639" w:rsidRPr="001B0639" w14:paraId="302DE965" w14:textId="77777777" w:rsidTr="00BB3EFA">
        <w:tc>
          <w:tcPr>
            <w:tcW w:w="4414" w:type="dxa"/>
            <w:shd w:val="clear" w:color="auto" w:fill="D9D9D9" w:themeFill="background1" w:themeFillShade="D9"/>
          </w:tcPr>
          <w:p w14:paraId="58D01FAA" w14:textId="77777777" w:rsidR="0057219F" w:rsidRPr="001B0639" w:rsidRDefault="0057219F" w:rsidP="0057219F">
            <w:pPr>
              <w:spacing w:before="120" w:after="120"/>
              <w:ind w:right="51"/>
              <w:jc w:val="center"/>
              <w:rPr>
                <w:rFonts w:ascii="Palatino Linotype" w:eastAsia="Palatino Linotype" w:hAnsi="Palatino Linotype" w:cs="Palatino Linotype"/>
                <w:b/>
                <w:noProof/>
                <w:sz w:val="20"/>
                <w:szCs w:val="20"/>
              </w:rPr>
            </w:pPr>
            <w:r w:rsidRPr="001B0639">
              <w:rPr>
                <w:rFonts w:ascii="Palatino Linotype" w:eastAsia="Palatino Linotype" w:hAnsi="Palatino Linotype" w:cs="Palatino Linotype"/>
                <w:b/>
                <w:noProof/>
                <w:sz w:val="20"/>
                <w:szCs w:val="20"/>
              </w:rPr>
              <w:t>EXPEDIENTES</w:t>
            </w:r>
            <w:r w:rsidR="003308B5" w:rsidRPr="001B0639">
              <w:rPr>
                <w:rFonts w:ascii="Palatino Linotype" w:eastAsia="Palatino Linotype" w:hAnsi="Palatino Linotype" w:cs="Palatino Linotype"/>
                <w:b/>
                <w:noProof/>
                <w:sz w:val="20"/>
                <w:szCs w:val="20"/>
              </w:rPr>
              <w:t xml:space="preserve"> DE ASPIRANTES</w:t>
            </w:r>
            <w:r w:rsidRPr="001B0639">
              <w:rPr>
                <w:rFonts w:ascii="Palatino Linotype" w:eastAsia="Palatino Linotype" w:hAnsi="Palatino Linotype" w:cs="Palatino Linotype"/>
                <w:b/>
                <w:noProof/>
                <w:sz w:val="20"/>
                <w:szCs w:val="20"/>
              </w:rPr>
              <w:t xml:space="preserve"> ENTREGADOS</w:t>
            </w:r>
          </w:p>
        </w:tc>
        <w:tc>
          <w:tcPr>
            <w:tcW w:w="4414" w:type="dxa"/>
            <w:shd w:val="clear" w:color="auto" w:fill="D9D9D9" w:themeFill="background1" w:themeFillShade="D9"/>
          </w:tcPr>
          <w:p w14:paraId="435BB4A5" w14:textId="77777777" w:rsidR="0057219F" w:rsidRPr="001B0639" w:rsidRDefault="003308B5" w:rsidP="0057219F">
            <w:pPr>
              <w:spacing w:before="120" w:after="120"/>
              <w:ind w:right="51"/>
              <w:jc w:val="center"/>
              <w:rPr>
                <w:rFonts w:ascii="Palatino Linotype" w:eastAsia="Palatino Linotype" w:hAnsi="Palatino Linotype" w:cs="Palatino Linotype"/>
                <w:b/>
                <w:noProof/>
                <w:sz w:val="20"/>
                <w:szCs w:val="20"/>
              </w:rPr>
            </w:pPr>
            <w:r w:rsidRPr="001B0639">
              <w:rPr>
                <w:rFonts w:ascii="Palatino Linotype" w:eastAsia="Palatino Linotype" w:hAnsi="Palatino Linotype" w:cs="Palatino Linotype"/>
                <w:b/>
                <w:noProof/>
                <w:sz w:val="20"/>
                <w:szCs w:val="20"/>
              </w:rPr>
              <w:t>ASPIRANTES</w:t>
            </w:r>
            <w:r w:rsidR="0057219F" w:rsidRPr="001B0639">
              <w:rPr>
                <w:rFonts w:ascii="Palatino Linotype" w:eastAsia="Palatino Linotype" w:hAnsi="Palatino Linotype" w:cs="Palatino Linotype"/>
                <w:b/>
                <w:noProof/>
                <w:sz w:val="20"/>
                <w:szCs w:val="20"/>
              </w:rPr>
              <w:t xml:space="preserve"> NOMBRADOS</w:t>
            </w:r>
          </w:p>
        </w:tc>
      </w:tr>
      <w:tr w:rsidR="001B0639" w:rsidRPr="001B0639" w14:paraId="0846ED54" w14:textId="77777777" w:rsidTr="0057219F">
        <w:tc>
          <w:tcPr>
            <w:tcW w:w="4414" w:type="dxa"/>
          </w:tcPr>
          <w:p w14:paraId="6C5F9E28" w14:textId="77777777" w:rsidR="0057219F" w:rsidRPr="001B0639" w:rsidRDefault="00BB3EFA" w:rsidP="00AF2F72">
            <w:pPr>
              <w:spacing w:before="240" w:after="240" w:line="360" w:lineRule="auto"/>
              <w:ind w:right="49"/>
              <w:jc w:val="both"/>
              <w:rPr>
                <w:rFonts w:ascii="Palatino Linotype" w:eastAsia="Palatino Linotype" w:hAnsi="Palatino Linotype" w:cs="Palatino Linotype"/>
                <w:noProof/>
              </w:rPr>
            </w:pPr>
            <w:r w:rsidRPr="001B0639">
              <w:rPr>
                <w:rFonts w:ascii="Palatino Linotype" w:eastAsia="Palatino Linotype" w:hAnsi="Palatino Linotype" w:cs="Palatino Linotype"/>
                <w:noProof/>
              </w:rPr>
              <w:lastRenderedPageBreak/>
              <w:drawing>
                <wp:inline distT="0" distB="0" distL="0" distR="0" wp14:anchorId="3A78284B" wp14:editId="2EAE92CC">
                  <wp:extent cx="2520000" cy="450224"/>
                  <wp:effectExtent l="0" t="0" r="0"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20000" cy="450224"/>
                          </a:xfrm>
                          <a:prstGeom prst="rect">
                            <a:avLst/>
                          </a:prstGeom>
                        </pic:spPr>
                      </pic:pic>
                    </a:graphicData>
                  </a:graphic>
                </wp:inline>
              </w:drawing>
            </w:r>
          </w:p>
        </w:tc>
        <w:tc>
          <w:tcPr>
            <w:tcW w:w="4414" w:type="dxa"/>
            <w:vMerge w:val="restart"/>
          </w:tcPr>
          <w:p w14:paraId="2B4355E6" w14:textId="77777777" w:rsidR="0057219F" w:rsidRPr="001B0639" w:rsidRDefault="0057219F" w:rsidP="0057219F">
            <w:pPr>
              <w:spacing w:before="240" w:after="240" w:line="360" w:lineRule="auto"/>
              <w:ind w:right="49"/>
              <w:jc w:val="center"/>
              <w:rPr>
                <w:rFonts w:ascii="Palatino Linotype" w:eastAsia="Palatino Linotype" w:hAnsi="Palatino Linotype" w:cs="Palatino Linotype"/>
                <w:noProof/>
              </w:rPr>
            </w:pPr>
            <w:r w:rsidRPr="001B0639">
              <w:rPr>
                <w:rFonts w:ascii="Palatino Linotype" w:hAnsi="Palatino Linotype"/>
                <w:noProof/>
              </w:rPr>
              <w:drawing>
                <wp:inline distT="0" distB="0" distL="0" distR="0" wp14:anchorId="7A4275DF" wp14:editId="62B0DD14">
                  <wp:extent cx="2520000" cy="548879"/>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20000" cy="548879"/>
                          </a:xfrm>
                          <a:prstGeom prst="rect">
                            <a:avLst/>
                          </a:prstGeom>
                        </pic:spPr>
                      </pic:pic>
                    </a:graphicData>
                  </a:graphic>
                </wp:inline>
              </w:drawing>
            </w:r>
          </w:p>
          <w:p w14:paraId="51432BA6" w14:textId="77777777" w:rsidR="0057219F" w:rsidRPr="001B0639" w:rsidRDefault="0057219F" w:rsidP="0057219F">
            <w:pPr>
              <w:spacing w:before="240" w:after="240" w:line="360" w:lineRule="auto"/>
              <w:ind w:right="49"/>
              <w:jc w:val="center"/>
              <w:rPr>
                <w:rFonts w:ascii="Palatino Linotype" w:eastAsia="Palatino Linotype" w:hAnsi="Palatino Linotype" w:cs="Palatino Linotype"/>
                <w:noProof/>
              </w:rPr>
            </w:pPr>
            <w:r w:rsidRPr="001B0639">
              <w:rPr>
                <w:rFonts w:ascii="Palatino Linotype" w:eastAsia="Palatino Linotype" w:hAnsi="Palatino Linotype" w:cs="Palatino Linotype"/>
                <w:noProof/>
              </w:rPr>
              <w:t>Cruz Manuel Centeno Guzm</w:t>
            </w:r>
            <w:r w:rsidR="003308B5" w:rsidRPr="001B0639">
              <w:rPr>
                <w:rFonts w:ascii="Palatino Linotype" w:eastAsia="Palatino Linotype" w:hAnsi="Palatino Linotype" w:cs="Palatino Linotype"/>
                <w:noProof/>
              </w:rPr>
              <w:t>á</w:t>
            </w:r>
            <w:r w:rsidRPr="001B0639">
              <w:rPr>
                <w:rFonts w:ascii="Palatino Linotype" w:eastAsia="Palatino Linotype" w:hAnsi="Palatino Linotype" w:cs="Palatino Linotype"/>
                <w:noProof/>
              </w:rPr>
              <w:t>n</w:t>
            </w:r>
          </w:p>
          <w:p w14:paraId="18EE6A01" w14:textId="77777777" w:rsidR="0057219F" w:rsidRPr="001B0639" w:rsidRDefault="0057219F" w:rsidP="0057219F">
            <w:pPr>
              <w:spacing w:before="240" w:after="240" w:line="360" w:lineRule="auto"/>
              <w:ind w:right="49"/>
              <w:jc w:val="center"/>
              <w:rPr>
                <w:rFonts w:ascii="Palatino Linotype" w:eastAsia="Palatino Linotype" w:hAnsi="Palatino Linotype" w:cs="Palatino Linotype"/>
                <w:noProof/>
              </w:rPr>
            </w:pPr>
            <w:r w:rsidRPr="001B0639">
              <w:rPr>
                <w:rFonts w:ascii="Palatino Linotype" w:eastAsia="Palatino Linotype" w:hAnsi="Palatino Linotype" w:cs="Palatino Linotype"/>
                <w:noProof/>
              </w:rPr>
              <w:t>Juan Manuel Zuñiga Reyes</w:t>
            </w:r>
          </w:p>
          <w:p w14:paraId="0D657505" w14:textId="77777777" w:rsidR="0057219F" w:rsidRPr="001B0639" w:rsidRDefault="0057219F" w:rsidP="0057219F">
            <w:pPr>
              <w:spacing w:before="240" w:after="240" w:line="360" w:lineRule="auto"/>
              <w:ind w:right="49"/>
              <w:jc w:val="center"/>
              <w:rPr>
                <w:rFonts w:ascii="Palatino Linotype" w:eastAsia="Palatino Linotype" w:hAnsi="Palatino Linotype" w:cs="Palatino Linotype"/>
                <w:noProof/>
              </w:rPr>
            </w:pPr>
            <w:r w:rsidRPr="001B0639">
              <w:rPr>
                <w:rFonts w:ascii="Palatino Linotype" w:eastAsia="Palatino Linotype" w:hAnsi="Palatino Linotype" w:cs="Palatino Linotype"/>
                <w:noProof/>
              </w:rPr>
              <w:t>Ana Edith Malpica Sevilla</w:t>
            </w:r>
          </w:p>
        </w:tc>
      </w:tr>
      <w:tr w:rsidR="001B0639" w:rsidRPr="001B0639" w14:paraId="19827636" w14:textId="77777777" w:rsidTr="0057219F">
        <w:tc>
          <w:tcPr>
            <w:tcW w:w="4414" w:type="dxa"/>
          </w:tcPr>
          <w:p w14:paraId="240B5EF3" w14:textId="77777777" w:rsidR="0057219F" w:rsidRPr="001B0639" w:rsidRDefault="00BB3EFA" w:rsidP="00BB3EFA">
            <w:pPr>
              <w:spacing w:before="240" w:after="240" w:line="360" w:lineRule="auto"/>
              <w:ind w:right="49"/>
              <w:jc w:val="center"/>
              <w:rPr>
                <w:rFonts w:ascii="Palatino Linotype" w:eastAsia="Palatino Linotype" w:hAnsi="Palatino Linotype" w:cs="Palatino Linotype"/>
                <w:noProof/>
              </w:rPr>
            </w:pPr>
            <w:r w:rsidRPr="001B0639">
              <w:rPr>
                <w:rFonts w:ascii="Palatino Linotype" w:eastAsia="Palatino Linotype" w:hAnsi="Palatino Linotype" w:cs="Palatino Linotype"/>
                <w:noProof/>
              </w:rPr>
              <w:drawing>
                <wp:inline distT="0" distB="0" distL="0" distR="0" wp14:anchorId="361E25DA" wp14:editId="3D9EF104">
                  <wp:extent cx="2520000" cy="65404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20000" cy="654046"/>
                          </a:xfrm>
                          <a:prstGeom prst="rect">
                            <a:avLst/>
                          </a:prstGeom>
                        </pic:spPr>
                      </pic:pic>
                    </a:graphicData>
                  </a:graphic>
                </wp:inline>
              </w:drawing>
            </w:r>
          </w:p>
        </w:tc>
        <w:tc>
          <w:tcPr>
            <w:tcW w:w="4414" w:type="dxa"/>
            <w:vMerge/>
          </w:tcPr>
          <w:p w14:paraId="634642ED" w14:textId="77777777" w:rsidR="0057219F" w:rsidRPr="001B0639" w:rsidRDefault="0057219F" w:rsidP="00AF2F72">
            <w:pPr>
              <w:spacing w:before="240" w:after="240" w:line="360" w:lineRule="auto"/>
              <w:ind w:right="49"/>
              <w:jc w:val="both"/>
              <w:rPr>
                <w:rFonts w:ascii="Palatino Linotype" w:eastAsia="Palatino Linotype" w:hAnsi="Palatino Linotype" w:cs="Palatino Linotype"/>
                <w:noProof/>
              </w:rPr>
            </w:pPr>
          </w:p>
        </w:tc>
      </w:tr>
      <w:tr w:rsidR="001B0639" w:rsidRPr="001B0639" w14:paraId="19AB0535" w14:textId="77777777" w:rsidTr="0057219F">
        <w:tc>
          <w:tcPr>
            <w:tcW w:w="4414" w:type="dxa"/>
          </w:tcPr>
          <w:p w14:paraId="3CFDAF9D" w14:textId="77777777" w:rsidR="0057219F" w:rsidRPr="001B0639" w:rsidRDefault="00BB3EFA" w:rsidP="00BB3EFA">
            <w:pPr>
              <w:spacing w:before="240" w:after="240" w:line="360" w:lineRule="auto"/>
              <w:ind w:right="49"/>
              <w:jc w:val="center"/>
              <w:rPr>
                <w:rFonts w:ascii="Palatino Linotype" w:eastAsia="Palatino Linotype" w:hAnsi="Palatino Linotype" w:cs="Palatino Linotype"/>
                <w:noProof/>
              </w:rPr>
            </w:pPr>
            <w:r w:rsidRPr="001B0639">
              <w:rPr>
                <w:rFonts w:ascii="Palatino Linotype" w:eastAsia="Palatino Linotype" w:hAnsi="Palatino Linotype" w:cs="Palatino Linotype"/>
                <w:noProof/>
              </w:rPr>
              <w:drawing>
                <wp:inline distT="0" distB="0" distL="0" distR="0" wp14:anchorId="1590F19C" wp14:editId="7491A843">
                  <wp:extent cx="2520000" cy="963021"/>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20000" cy="963021"/>
                          </a:xfrm>
                          <a:prstGeom prst="rect">
                            <a:avLst/>
                          </a:prstGeom>
                        </pic:spPr>
                      </pic:pic>
                    </a:graphicData>
                  </a:graphic>
                </wp:inline>
              </w:drawing>
            </w:r>
          </w:p>
        </w:tc>
        <w:tc>
          <w:tcPr>
            <w:tcW w:w="4414" w:type="dxa"/>
            <w:vMerge/>
          </w:tcPr>
          <w:p w14:paraId="6B46E423" w14:textId="77777777" w:rsidR="0057219F" w:rsidRPr="001B0639" w:rsidRDefault="0057219F" w:rsidP="00AF2F72">
            <w:pPr>
              <w:spacing w:before="240" w:after="240" w:line="360" w:lineRule="auto"/>
              <w:ind w:right="49"/>
              <w:jc w:val="both"/>
              <w:rPr>
                <w:rFonts w:ascii="Palatino Linotype" w:eastAsia="Palatino Linotype" w:hAnsi="Palatino Linotype" w:cs="Palatino Linotype"/>
                <w:noProof/>
              </w:rPr>
            </w:pPr>
          </w:p>
        </w:tc>
      </w:tr>
    </w:tbl>
    <w:p w14:paraId="50F38AB5" w14:textId="77777777" w:rsidR="0057219F" w:rsidRPr="001B0639" w:rsidRDefault="003308B5" w:rsidP="00AF2F72">
      <w:pPr>
        <w:spacing w:before="240" w:after="240" w:line="360" w:lineRule="auto"/>
        <w:ind w:right="49"/>
        <w:jc w:val="both"/>
        <w:rPr>
          <w:rFonts w:ascii="Palatino Linotype" w:eastAsia="Palatino Linotype" w:hAnsi="Palatino Linotype" w:cs="Palatino Linotype"/>
          <w:szCs w:val="20"/>
        </w:rPr>
      </w:pPr>
      <w:r w:rsidRPr="001B0639">
        <w:rPr>
          <w:rFonts w:ascii="Palatino Linotype" w:eastAsia="Palatino Linotype" w:hAnsi="Palatino Linotype" w:cs="Palatino Linotype"/>
          <w:noProof/>
        </w:rPr>
        <w:t xml:space="preserve">En segundo lugar, si bien es cierto que se hizo entrega de documentos que por su naturaleza tienen el carácter de información confidencial, </w:t>
      </w:r>
      <w:r w:rsidR="00FA2A05" w:rsidRPr="001B0639">
        <w:rPr>
          <w:rFonts w:ascii="Palatino Linotype" w:eastAsia="Palatino Linotype" w:hAnsi="Palatino Linotype" w:cs="Palatino Linotype"/>
          <w:noProof/>
        </w:rPr>
        <w:t xml:space="preserve">al incidir en la esfera más initima de privacidad de sus titulares, </w:t>
      </w:r>
      <w:r w:rsidRPr="001B0639">
        <w:rPr>
          <w:rFonts w:ascii="Palatino Linotype" w:eastAsia="Palatino Linotype" w:hAnsi="Palatino Linotype" w:cs="Palatino Linotype"/>
          <w:noProof/>
        </w:rPr>
        <w:t>como lo es de manera enunciativa, el acta de nacimiento, el comprobante de domicilio</w:t>
      </w:r>
      <w:r w:rsidR="00FA2A05" w:rsidRPr="001B0639">
        <w:rPr>
          <w:rFonts w:ascii="Palatino Linotype" w:eastAsia="Palatino Linotype" w:hAnsi="Palatino Linotype" w:cs="Palatino Linotype"/>
          <w:noProof/>
        </w:rPr>
        <w:t xml:space="preserve"> o</w:t>
      </w:r>
      <w:r w:rsidRPr="001B0639">
        <w:rPr>
          <w:rFonts w:ascii="Palatino Linotype" w:eastAsia="Palatino Linotype" w:hAnsi="Palatino Linotype" w:cs="Palatino Linotype"/>
          <w:noProof/>
        </w:rPr>
        <w:t xml:space="preserve"> la Credencial para Votar expedida por el Instituto Nacional Electoral, </w:t>
      </w:r>
      <w:r w:rsidR="00FA2A05" w:rsidRPr="001B0639">
        <w:rPr>
          <w:rFonts w:ascii="Palatino Linotype" w:eastAsia="Palatino Linotype" w:hAnsi="Palatino Linotype" w:cs="Palatino Linotype"/>
          <w:noProof/>
        </w:rPr>
        <w:t xml:space="preserve">no debe perderse de vista que dicha información se proporcionó en versión pública, al haberse testado los datos personales contenidos en dichos documentos, como lo </w:t>
      </w:r>
      <w:r w:rsidR="00DA3A17" w:rsidRPr="001B0639">
        <w:rPr>
          <w:rFonts w:ascii="Palatino Linotype" w:eastAsia="Palatino Linotype" w:hAnsi="Palatino Linotype" w:cs="Palatino Linotype"/>
          <w:noProof/>
        </w:rPr>
        <w:t xml:space="preserve">son </w:t>
      </w:r>
      <w:r w:rsidR="00FA2A05" w:rsidRPr="001B0639">
        <w:rPr>
          <w:rFonts w:ascii="Palatino Linotype" w:eastAsia="Palatino Linotype" w:hAnsi="Palatino Linotype" w:cs="Palatino Linotype"/>
          <w:noProof/>
        </w:rPr>
        <w:t xml:space="preserve">la Clave Única de Registro de Población, CURP, el nombre de los padres, el Código QR, el domicilio, número de teléfono, </w:t>
      </w:r>
      <w:r w:rsidR="00DA3A17" w:rsidRPr="001B0639">
        <w:rPr>
          <w:rFonts w:ascii="Palatino Linotype" w:eastAsia="Palatino Linotype" w:hAnsi="Palatino Linotype" w:cs="Palatino Linotype"/>
          <w:noProof/>
        </w:rPr>
        <w:t xml:space="preserve">clave de elector, Número de Clave de Identificación de la Credencial (CIC), </w:t>
      </w:r>
      <w:r w:rsidR="00DA3A17" w:rsidRPr="001B0639">
        <w:rPr>
          <w:rFonts w:ascii="Palatino Linotype" w:hAnsi="Palatino Linotype"/>
        </w:rPr>
        <w:t>Número identificador (OCR), etcétera</w:t>
      </w:r>
      <w:r w:rsidR="005E63E4" w:rsidRPr="001B0639">
        <w:rPr>
          <w:rFonts w:ascii="Palatino Linotype" w:hAnsi="Palatino Linotype"/>
        </w:rPr>
        <w:t xml:space="preserve">; mismas que se sustentan con el Acuerdo número 004/MELOCAM/CT/SA/2025, mediante el cual el Comité de Transparencia expuso de manera fundada y motivada las razones por las cuales la información testada actualiza el supuesto previsto en el </w:t>
      </w:r>
      <w:r w:rsidR="005E63E4" w:rsidRPr="001B0639">
        <w:rPr>
          <w:rFonts w:ascii="Palatino Linotype" w:eastAsia="Palatino Linotype" w:hAnsi="Palatino Linotype" w:cs="Palatino Linotype"/>
          <w:szCs w:val="20"/>
        </w:rPr>
        <w:t xml:space="preserve">artículo 143, fracción I de la Ley de </w:t>
      </w:r>
      <w:r w:rsidR="005E63E4" w:rsidRPr="001B0639">
        <w:rPr>
          <w:rFonts w:ascii="Palatino Linotype" w:eastAsia="Palatino Linotype" w:hAnsi="Palatino Linotype" w:cs="Palatino Linotype"/>
          <w:szCs w:val="20"/>
        </w:rPr>
        <w:lastRenderedPageBreak/>
        <w:t>Transparencia y Acceso a la Información Pública del Estado de México y Municipios</w:t>
      </w:r>
      <w:r w:rsidR="008B2464" w:rsidRPr="001B0639">
        <w:rPr>
          <w:rFonts w:ascii="Palatino Linotype" w:eastAsia="Palatino Linotype" w:hAnsi="Palatino Linotype" w:cs="Palatino Linotype"/>
          <w:szCs w:val="20"/>
        </w:rPr>
        <w:t>.</w:t>
      </w:r>
    </w:p>
    <w:p w14:paraId="2A1D3465" w14:textId="77777777" w:rsidR="009D756E" w:rsidRPr="001B0639" w:rsidRDefault="008B2464" w:rsidP="00AF2F72">
      <w:pPr>
        <w:spacing w:before="240" w:after="240" w:line="360" w:lineRule="auto"/>
        <w:ind w:right="49"/>
        <w:jc w:val="both"/>
        <w:rPr>
          <w:rFonts w:ascii="Palatino Linotype" w:eastAsia="Palatino Linotype" w:hAnsi="Palatino Linotype" w:cs="Palatino Linotype"/>
          <w:szCs w:val="20"/>
        </w:rPr>
      </w:pPr>
      <w:r w:rsidRPr="001B0639">
        <w:rPr>
          <w:rFonts w:ascii="Palatino Linotype" w:eastAsia="Palatino Linotype" w:hAnsi="Palatino Linotype" w:cs="Palatino Linotype"/>
          <w:szCs w:val="20"/>
        </w:rPr>
        <w:t xml:space="preserve">No obstante de lo anterior, se debe reiterar que el motivo de inconformidad alegado por la parte </w:t>
      </w:r>
      <w:r w:rsidRPr="001B0639">
        <w:rPr>
          <w:rFonts w:ascii="Palatino Linotype" w:eastAsia="Palatino Linotype" w:hAnsi="Palatino Linotype" w:cs="Palatino Linotype"/>
          <w:b/>
          <w:szCs w:val="20"/>
        </w:rPr>
        <w:t xml:space="preserve">Recurrente </w:t>
      </w:r>
      <w:r w:rsidRPr="001B0639">
        <w:rPr>
          <w:rFonts w:ascii="Palatino Linotype" w:eastAsia="Palatino Linotype" w:hAnsi="Palatino Linotype" w:cs="Palatino Linotype"/>
          <w:szCs w:val="20"/>
        </w:rPr>
        <w:t>no se refiere a la versión pública de los documentos entregados, sino que a su parecer</w:t>
      </w:r>
      <w:r w:rsidR="009D756E" w:rsidRPr="001B0639">
        <w:rPr>
          <w:rFonts w:ascii="Palatino Linotype" w:eastAsia="Palatino Linotype" w:hAnsi="Palatino Linotype" w:cs="Palatino Linotype"/>
          <w:szCs w:val="20"/>
        </w:rPr>
        <w:t xml:space="preserve"> </w:t>
      </w:r>
      <w:r w:rsidR="009D756E" w:rsidRPr="001B0639">
        <w:rPr>
          <w:rFonts w:ascii="Palatino Linotype" w:eastAsia="Palatino Linotype" w:hAnsi="Palatino Linotype" w:cs="Palatino Linotype"/>
          <w:b/>
          <w:szCs w:val="20"/>
          <w:u w:val="single"/>
        </w:rPr>
        <w:t>el Sujeto Obligado</w:t>
      </w:r>
      <w:r w:rsidRPr="001B0639">
        <w:rPr>
          <w:rFonts w:ascii="Palatino Linotype" w:eastAsia="Palatino Linotype" w:hAnsi="Palatino Linotype" w:cs="Palatino Linotype"/>
          <w:b/>
          <w:szCs w:val="20"/>
          <w:u w:val="single"/>
        </w:rPr>
        <w:t xml:space="preserve"> hizo entrega de información de personas que no resultaron electas</w:t>
      </w:r>
      <w:r w:rsidR="009D756E" w:rsidRPr="001B0639">
        <w:rPr>
          <w:rFonts w:ascii="Palatino Linotype" w:eastAsia="Palatino Linotype" w:hAnsi="Palatino Linotype" w:cs="Palatino Linotype"/>
          <w:szCs w:val="20"/>
        </w:rPr>
        <w:t xml:space="preserve"> derivado de la </w:t>
      </w:r>
      <w:r w:rsidR="009D756E" w:rsidRPr="001B0639">
        <w:rPr>
          <w:rFonts w:ascii="Palatino Linotype" w:eastAsia="Palatino Linotype" w:hAnsi="Palatino Linotype" w:cs="Palatino Linotype"/>
          <w:noProof/>
        </w:rPr>
        <w:t>Convocatoria para el registro de Aspirantes a Jueza o Juez Cívico</w:t>
      </w:r>
      <w:r w:rsidRPr="001B0639">
        <w:rPr>
          <w:rFonts w:ascii="Palatino Linotype" w:eastAsia="Palatino Linotype" w:hAnsi="Palatino Linotype" w:cs="Palatino Linotype"/>
          <w:szCs w:val="20"/>
        </w:rPr>
        <w:t>, la cual, a su parecer, debió clasificarse como confidencial</w:t>
      </w:r>
      <w:r w:rsidR="009D756E" w:rsidRPr="001B0639">
        <w:rPr>
          <w:rFonts w:ascii="Palatino Linotype" w:eastAsia="Palatino Linotype" w:hAnsi="Palatino Linotype" w:cs="Palatino Linotype"/>
          <w:szCs w:val="20"/>
        </w:rPr>
        <w:t>, tan es así que requirió a este Organismo Garante se diera vista a la Contraloría, así como a la Dirección General de Protección de Datos Personales, sin embargo, como ya se demostró</w:t>
      </w:r>
      <w:r w:rsidR="009913F3" w:rsidRPr="001B0639">
        <w:rPr>
          <w:rFonts w:ascii="Palatino Linotype" w:eastAsia="Palatino Linotype" w:hAnsi="Palatino Linotype" w:cs="Palatino Linotype"/>
          <w:szCs w:val="20"/>
        </w:rPr>
        <w:t xml:space="preserve"> en el presente estudio</w:t>
      </w:r>
      <w:r w:rsidR="009D756E" w:rsidRPr="001B0639">
        <w:rPr>
          <w:rFonts w:ascii="Palatino Linotype" w:eastAsia="Palatino Linotype" w:hAnsi="Palatino Linotype" w:cs="Palatino Linotype"/>
          <w:szCs w:val="20"/>
        </w:rPr>
        <w:t>, la información proporcionada corresponde con las personas designadas por el Cabildo para ocupar los cargos de Jueces Cívicos.</w:t>
      </w:r>
    </w:p>
    <w:p w14:paraId="3D6FDD16" w14:textId="77777777" w:rsidR="00AF2F72" w:rsidRPr="001B0639" w:rsidRDefault="00AF2F72" w:rsidP="00AF2F72">
      <w:pPr>
        <w:spacing w:before="240" w:after="240" w:line="360" w:lineRule="auto"/>
        <w:ind w:right="49"/>
        <w:jc w:val="both"/>
        <w:rPr>
          <w:rFonts w:ascii="Palatino Linotype" w:eastAsia="Palatino Linotype" w:hAnsi="Palatino Linotype" w:cs="Palatino Linotype"/>
        </w:rPr>
      </w:pPr>
      <w:r w:rsidRPr="001B0639">
        <w:rPr>
          <w:rFonts w:ascii="Palatino Linotype" w:eastAsia="Palatino Linotype" w:hAnsi="Palatino Linotype" w:cs="Palatino Linotype"/>
        </w:rPr>
        <w:t>Es por lo anteriormente expuesto que se insiste que al no actualizar</w:t>
      </w:r>
      <w:r w:rsidR="009913F3" w:rsidRPr="001B0639">
        <w:rPr>
          <w:rFonts w:ascii="Palatino Linotype" w:eastAsia="Palatino Linotype" w:hAnsi="Palatino Linotype" w:cs="Palatino Linotype"/>
        </w:rPr>
        <w:t xml:space="preserve"> el asunto que se resuelve </w:t>
      </w:r>
      <w:r w:rsidRPr="001B0639">
        <w:rPr>
          <w:rFonts w:ascii="Palatino Linotype" w:eastAsia="Palatino Linotype" w:hAnsi="Palatino Linotype" w:cs="Palatino Linotype"/>
        </w:rPr>
        <w:t>alguna causal de procedencia, resulta aplicable al caso concreto el contenido de los artículos 186</w:t>
      </w:r>
      <w:r w:rsidR="009913F3" w:rsidRPr="001B0639">
        <w:rPr>
          <w:rFonts w:ascii="Palatino Linotype" w:eastAsia="Palatino Linotype" w:hAnsi="Palatino Linotype" w:cs="Palatino Linotype"/>
        </w:rPr>
        <w:t>, fracción I</w:t>
      </w:r>
      <w:r w:rsidRPr="001B0639">
        <w:rPr>
          <w:rFonts w:ascii="Palatino Linotype" w:eastAsia="Palatino Linotype" w:hAnsi="Palatino Linotype" w:cs="Palatino Linotype"/>
        </w:rPr>
        <w:t>, 191,</w:t>
      </w:r>
      <w:r w:rsidR="009913F3" w:rsidRPr="001B0639">
        <w:rPr>
          <w:rFonts w:ascii="Palatino Linotype" w:eastAsia="Palatino Linotype" w:hAnsi="Palatino Linotype" w:cs="Palatino Linotype"/>
        </w:rPr>
        <w:t xml:space="preserve"> fracción III</w:t>
      </w:r>
      <w:r w:rsidRPr="001B0639">
        <w:rPr>
          <w:rFonts w:ascii="Palatino Linotype" w:eastAsia="Palatino Linotype" w:hAnsi="Palatino Linotype" w:cs="Palatino Linotype"/>
        </w:rPr>
        <w:t xml:space="preserve"> y 192</w:t>
      </w:r>
      <w:r w:rsidR="009913F3" w:rsidRPr="001B0639">
        <w:rPr>
          <w:rFonts w:ascii="Palatino Linotype" w:eastAsia="Palatino Linotype" w:hAnsi="Palatino Linotype" w:cs="Palatino Linotype"/>
        </w:rPr>
        <w:t>, fracción IV</w:t>
      </w:r>
      <w:r w:rsidRPr="001B0639">
        <w:rPr>
          <w:rFonts w:ascii="Palatino Linotype" w:eastAsia="Palatino Linotype" w:hAnsi="Palatino Linotype" w:cs="Palatino Linotype"/>
        </w:rPr>
        <w:t>, de la de la Ley de Transparencia y Acceso a la Información Pública del Estado de México y Municipios, que disponen lo siguiente:</w:t>
      </w:r>
    </w:p>
    <w:p w14:paraId="07815908" w14:textId="77777777" w:rsidR="00AF2F72" w:rsidRPr="001B0639" w:rsidRDefault="00AF2F72" w:rsidP="00AF2F72">
      <w:pPr>
        <w:spacing w:before="120" w:after="120"/>
        <w:ind w:left="851" w:right="902"/>
        <w:jc w:val="both"/>
        <w:rPr>
          <w:rFonts w:ascii="Palatino Linotype" w:eastAsia="Palatino Linotype" w:hAnsi="Palatino Linotype" w:cs="Palatino Linotype"/>
          <w:i/>
          <w:sz w:val="22"/>
          <w:szCs w:val="22"/>
        </w:rPr>
      </w:pPr>
      <w:r w:rsidRPr="001B0639">
        <w:rPr>
          <w:rFonts w:ascii="Palatino Linotype" w:eastAsia="Palatino Linotype" w:hAnsi="Palatino Linotype" w:cs="Palatino Linotype"/>
          <w:b/>
          <w:i/>
          <w:sz w:val="22"/>
          <w:szCs w:val="22"/>
        </w:rPr>
        <w:t xml:space="preserve">“Artículo 186. </w:t>
      </w:r>
      <w:r w:rsidRPr="001B0639">
        <w:rPr>
          <w:rFonts w:ascii="Palatino Linotype" w:eastAsia="Palatino Linotype" w:hAnsi="Palatino Linotype" w:cs="Palatino Linotype"/>
          <w:i/>
          <w:sz w:val="22"/>
          <w:szCs w:val="22"/>
        </w:rPr>
        <w:t>Las resoluciones del Instituto podrán:</w:t>
      </w:r>
    </w:p>
    <w:p w14:paraId="084138B0" w14:textId="77777777" w:rsidR="00AF2F72" w:rsidRPr="001B0639" w:rsidRDefault="00AF2F72" w:rsidP="00AF2F72">
      <w:pPr>
        <w:spacing w:before="120" w:after="120"/>
        <w:ind w:left="1134" w:right="902"/>
        <w:jc w:val="both"/>
        <w:rPr>
          <w:rFonts w:ascii="Palatino Linotype" w:eastAsia="Palatino Linotype" w:hAnsi="Palatino Linotype" w:cs="Palatino Linotype"/>
          <w:b/>
          <w:i/>
          <w:sz w:val="22"/>
          <w:szCs w:val="22"/>
        </w:rPr>
      </w:pPr>
      <w:r w:rsidRPr="001B0639">
        <w:rPr>
          <w:rFonts w:ascii="Palatino Linotype" w:eastAsia="Palatino Linotype" w:hAnsi="Palatino Linotype" w:cs="Palatino Linotype"/>
          <w:b/>
          <w:i/>
          <w:sz w:val="22"/>
          <w:szCs w:val="22"/>
        </w:rPr>
        <w:t>I. Desechar o sobreseer el recurso;</w:t>
      </w:r>
    </w:p>
    <w:p w14:paraId="492874EE" w14:textId="77777777" w:rsidR="00AF2F72" w:rsidRPr="001B0639" w:rsidRDefault="00AF2F72" w:rsidP="00AF2F72">
      <w:pPr>
        <w:spacing w:before="120" w:after="120"/>
        <w:ind w:left="1134" w:right="902"/>
        <w:jc w:val="both"/>
        <w:rPr>
          <w:rFonts w:ascii="Palatino Linotype" w:eastAsia="Palatino Linotype" w:hAnsi="Palatino Linotype" w:cs="Palatino Linotype"/>
          <w:i/>
          <w:sz w:val="22"/>
          <w:szCs w:val="22"/>
        </w:rPr>
      </w:pPr>
      <w:r w:rsidRPr="001B0639">
        <w:rPr>
          <w:rFonts w:ascii="Palatino Linotype" w:eastAsia="Palatino Linotype" w:hAnsi="Palatino Linotype" w:cs="Palatino Linotype"/>
          <w:i/>
          <w:sz w:val="22"/>
          <w:szCs w:val="22"/>
        </w:rPr>
        <w:t>…”</w:t>
      </w:r>
    </w:p>
    <w:p w14:paraId="301AA2C2" w14:textId="77777777" w:rsidR="00AF2F72" w:rsidRPr="001B0639" w:rsidRDefault="00AF2F72" w:rsidP="00AF2F72">
      <w:pPr>
        <w:spacing w:before="120" w:after="120"/>
        <w:ind w:left="851" w:right="902"/>
        <w:jc w:val="both"/>
        <w:rPr>
          <w:rFonts w:ascii="Palatino Linotype" w:eastAsia="Palatino Linotype" w:hAnsi="Palatino Linotype" w:cs="Palatino Linotype"/>
          <w:b/>
          <w:i/>
          <w:sz w:val="22"/>
          <w:szCs w:val="22"/>
        </w:rPr>
      </w:pPr>
      <w:r w:rsidRPr="001B0639">
        <w:rPr>
          <w:rFonts w:ascii="Palatino Linotype" w:eastAsia="Palatino Linotype" w:hAnsi="Palatino Linotype" w:cs="Palatino Linotype"/>
          <w:b/>
          <w:i/>
          <w:sz w:val="22"/>
          <w:szCs w:val="22"/>
        </w:rPr>
        <w:t>...</w:t>
      </w:r>
    </w:p>
    <w:p w14:paraId="08E2AD38" w14:textId="77777777" w:rsidR="00AF2F72" w:rsidRPr="001B0639" w:rsidRDefault="00AF2F72" w:rsidP="00AF2F72">
      <w:pPr>
        <w:spacing w:before="120" w:after="120"/>
        <w:ind w:left="851" w:right="902"/>
        <w:jc w:val="both"/>
        <w:rPr>
          <w:rFonts w:ascii="Palatino Linotype" w:eastAsia="Palatino Linotype" w:hAnsi="Palatino Linotype" w:cs="Palatino Linotype"/>
          <w:i/>
          <w:sz w:val="22"/>
          <w:szCs w:val="22"/>
        </w:rPr>
      </w:pPr>
      <w:r w:rsidRPr="001B0639">
        <w:rPr>
          <w:rFonts w:ascii="Palatino Linotype" w:eastAsia="Palatino Linotype" w:hAnsi="Palatino Linotype" w:cs="Palatino Linotype"/>
          <w:b/>
          <w:i/>
          <w:sz w:val="22"/>
          <w:szCs w:val="22"/>
        </w:rPr>
        <w:t xml:space="preserve">Artículo 191. </w:t>
      </w:r>
      <w:r w:rsidRPr="001B0639">
        <w:rPr>
          <w:rFonts w:ascii="Palatino Linotype" w:eastAsia="Palatino Linotype" w:hAnsi="Palatino Linotype" w:cs="Palatino Linotype"/>
          <w:i/>
          <w:sz w:val="22"/>
          <w:szCs w:val="22"/>
        </w:rPr>
        <w:t>El recurso será desechado por improcedente cuando:</w:t>
      </w:r>
    </w:p>
    <w:p w14:paraId="7B1BEE6B" w14:textId="77777777" w:rsidR="009913F3" w:rsidRPr="001B0639" w:rsidRDefault="009913F3" w:rsidP="00AF2F72">
      <w:pPr>
        <w:tabs>
          <w:tab w:val="left" w:pos="1276"/>
        </w:tabs>
        <w:spacing w:before="120" w:after="120"/>
        <w:ind w:left="1134" w:right="902"/>
        <w:jc w:val="both"/>
        <w:rPr>
          <w:rFonts w:ascii="Palatino Linotype" w:eastAsia="Palatino Linotype" w:hAnsi="Palatino Linotype" w:cs="Palatino Linotype"/>
          <w:b/>
          <w:i/>
          <w:sz w:val="22"/>
          <w:szCs w:val="22"/>
        </w:rPr>
      </w:pPr>
      <w:r w:rsidRPr="001B0639">
        <w:rPr>
          <w:rFonts w:ascii="Palatino Linotype" w:eastAsia="Palatino Linotype" w:hAnsi="Palatino Linotype" w:cs="Palatino Linotype"/>
          <w:b/>
          <w:i/>
          <w:sz w:val="22"/>
          <w:szCs w:val="22"/>
        </w:rPr>
        <w:t>...</w:t>
      </w:r>
    </w:p>
    <w:p w14:paraId="79967E19" w14:textId="77777777" w:rsidR="00AF2F72" w:rsidRPr="001B0639" w:rsidRDefault="00AF2F72" w:rsidP="00AF2F72">
      <w:pPr>
        <w:tabs>
          <w:tab w:val="left" w:pos="1276"/>
        </w:tabs>
        <w:spacing w:before="120" w:after="120"/>
        <w:ind w:left="1134" w:right="902"/>
        <w:jc w:val="both"/>
        <w:rPr>
          <w:rFonts w:ascii="Palatino Linotype" w:eastAsia="Palatino Linotype" w:hAnsi="Palatino Linotype" w:cs="Palatino Linotype"/>
          <w:b/>
          <w:i/>
          <w:sz w:val="22"/>
          <w:szCs w:val="22"/>
        </w:rPr>
      </w:pPr>
      <w:r w:rsidRPr="001B0639">
        <w:rPr>
          <w:rFonts w:ascii="Palatino Linotype" w:eastAsia="Palatino Linotype" w:hAnsi="Palatino Linotype" w:cs="Palatino Linotype"/>
          <w:b/>
          <w:i/>
          <w:sz w:val="22"/>
          <w:szCs w:val="22"/>
        </w:rPr>
        <w:lastRenderedPageBreak/>
        <w:t>III. No actualice alguno de los supuestos previstos en la presente Ley;</w:t>
      </w:r>
    </w:p>
    <w:p w14:paraId="1D706F68" w14:textId="77777777" w:rsidR="009913F3" w:rsidRPr="001B0639" w:rsidRDefault="009913F3" w:rsidP="00AF2F72">
      <w:pPr>
        <w:spacing w:before="120" w:after="120"/>
        <w:ind w:left="851" w:right="902"/>
        <w:jc w:val="both"/>
        <w:rPr>
          <w:rFonts w:ascii="Palatino Linotype" w:eastAsia="Palatino Linotype" w:hAnsi="Palatino Linotype" w:cs="Palatino Linotype"/>
          <w:b/>
          <w:i/>
          <w:sz w:val="22"/>
          <w:szCs w:val="22"/>
        </w:rPr>
      </w:pPr>
      <w:r w:rsidRPr="001B0639">
        <w:rPr>
          <w:rFonts w:ascii="Palatino Linotype" w:eastAsia="Palatino Linotype" w:hAnsi="Palatino Linotype" w:cs="Palatino Linotype"/>
          <w:b/>
          <w:i/>
          <w:sz w:val="22"/>
          <w:szCs w:val="22"/>
        </w:rPr>
        <w:t>...</w:t>
      </w:r>
    </w:p>
    <w:p w14:paraId="7D6EB907" w14:textId="77777777" w:rsidR="009913F3" w:rsidRPr="001B0639" w:rsidRDefault="00AF2F72" w:rsidP="009913F3">
      <w:pPr>
        <w:spacing w:before="120" w:after="120"/>
        <w:ind w:left="851" w:right="902"/>
        <w:jc w:val="both"/>
        <w:rPr>
          <w:rFonts w:ascii="Palatino Linotype" w:eastAsia="Palatino Linotype" w:hAnsi="Palatino Linotype" w:cs="Palatino Linotype"/>
          <w:i/>
          <w:sz w:val="22"/>
          <w:szCs w:val="22"/>
        </w:rPr>
      </w:pPr>
      <w:r w:rsidRPr="001B0639">
        <w:rPr>
          <w:rFonts w:ascii="Palatino Linotype" w:eastAsia="Palatino Linotype" w:hAnsi="Palatino Linotype" w:cs="Palatino Linotype"/>
          <w:b/>
          <w:i/>
          <w:sz w:val="22"/>
          <w:szCs w:val="22"/>
        </w:rPr>
        <w:t xml:space="preserve">Artículo 192. </w:t>
      </w:r>
      <w:r w:rsidRPr="001B0639">
        <w:rPr>
          <w:rFonts w:ascii="Palatino Linotype" w:eastAsia="Palatino Linotype" w:hAnsi="Palatino Linotype" w:cs="Palatino Linotype"/>
          <w:i/>
          <w:sz w:val="22"/>
          <w:szCs w:val="22"/>
        </w:rPr>
        <w:t>El recurso será sobreseído, en todo o en parte, cuando una vez admitido, se actualicen alguno de los siguientes supuestos:</w:t>
      </w:r>
    </w:p>
    <w:p w14:paraId="1BBD2FFD" w14:textId="77777777" w:rsidR="00AF2F72" w:rsidRPr="001B0639" w:rsidRDefault="009913F3" w:rsidP="00AF2F72">
      <w:pPr>
        <w:spacing w:before="120" w:after="120"/>
        <w:ind w:left="1134" w:right="902"/>
        <w:jc w:val="both"/>
        <w:rPr>
          <w:rFonts w:ascii="Palatino Linotype" w:eastAsia="Palatino Linotype" w:hAnsi="Palatino Linotype" w:cs="Palatino Linotype"/>
          <w:i/>
          <w:sz w:val="22"/>
          <w:szCs w:val="22"/>
        </w:rPr>
      </w:pPr>
      <w:r w:rsidRPr="001B0639">
        <w:rPr>
          <w:rFonts w:ascii="Palatino Linotype" w:eastAsia="Palatino Linotype" w:hAnsi="Palatino Linotype" w:cs="Palatino Linotype"/>
          <w:i/>
          <w:sz w:val="22"/>
          <w:szCs w:val="22"/>
        </w:rPr>
        <w:t>...</w:t>
      </w:r>
    </w:p>
    <w:p w14:paraId="43E6CCDC" w14:textId="77777777" w:rsidR="00AF2F72" w:rsidRPr="001B0639" w:rsidRDefault="00AF2F72" w:rsidP="00AF2F72">
      <w:pPr>
        <w:spacing w:before="120" w:after="120"/>
        <w:ind w:left="1134" w:right="902"/>
        <w:jc w:val="both"/>
        <w:rPr>
          <w:rFonts w:ascii="Palatino Linotype" w:eastAsia="Palatino Linotype" w:hAnsi="Palatino Linotype" w:cs="Palatino Linotype"/>
          <w:b/>
          <w:i/>
          <w:sz w:val="22"/>
          <w:szCs w:val="22"/>
        </w:rPr>
      </w:pPr>
      <w:r w:rsidRPr="001B0639">
        <w:rPr>
          <w:rFonts w:ascii="Palatino Linotype" w:eastAsia="Palatino Linotype" w:hAnsi="Palatino Linotype" w:cs="Palatino Linotype"/>
          <w:b/>
          <w:i/>
          <w:sz w:val="22"/>
          <w:szCs w:val="22"/>
        </w:rPr>
        <w:t>IV. Admitido el recurso de revisión, aparezca alguna causal de improcedencia en los términos de la presente Ley; y</w:t>
      </w:r>
    </w:p>
    <w:p w14:paraId="084DE67F" w14:textId="77777777" w:rsidR="00AF2F72" w:rsidRPr="001B0639" w:rsidRDefault="009913F3" w:rsidP="00AF2F72">
      <w:pPr>
        <w:spacing w:before="120" w:after="120"/>
        <w:ind w:left="1134" w:right="902"/>
        <w:jc w:val="both"/>
        <w:rPr>
          <w:rFonts w:ascii="Palatino Linotype" w:eastAsia="Palatino Linotype" w:hAnsi="Palatino Linotype" w:cs="Palatino Linotype"/>
          <w:sz w:val="22"/>
          <w:szCs w:val="22"/>
        </w:rPr>
      </w:pPr>
      <w:r w:rsidRPr="001B0639">
        <w:rPr>
          <w:rFonts w:ascii="Palatino Linotype" w:eastAsia="Palatino Linotype" w:hAnsi="Palatino Linotype" w:cs="Palatino Linotype"/>
          <w:b/>
          <w:i/>
          <w:sz w:val="22"/>
          <w:szCs w:val="22"/>
        </w:rPr>
        <w:t>..</w:t>
      </w:r>
      <w:r w:rsidR="00AF2F72" w:rsidRPr="001B0639">
        <w:rPr>
          <w:rFonts w:ascii="Palatino Linotype" w:eastAsia="Palatino Linotype" w:hAnsi="Palatino Linotype" w:cs="Palatino Linotype"/>
          <w:sz w:val="22"/>
          <w:szCs w:val="22"/>
        </w:rPr>
        <w:t>.”</w:t>
      </w:r>
    </w:p>
    <w:p w14:paraId="2F90500F" w14:textId="77777777" w:rsidR="00AF2F72" w:rsidRPr="001B0639" w:rsidRDefault="00AF2F72" w:rsidP="00AF2F72">
      <w:pPr>
        <w:spacing w:before="240" w:after="240" w:line="360" w:lineRule="auto"/>
        <w:ind w:right="49"/>
        <w:jc w:val="both"/>
        <w:rPr>
          <w:rFonts w:ascii="Palatino Linotype" w:eastAsia="Palatino Linotype" w:hAnsi="Palatino Linotype" w:cs="Palatino Linotype"/>
        </w:rPr>
      </w:pPr>
      <w:r w:rsidRPr="001B0639">
        <w:rPr>
          <w:rFonts w:ascii="Palatino Linotype" w:eastAsia="Palatino Linotype" w:hAnsi="Palatino Linotype" w:cs="Palatino Linotype"/>
        </w:rPr>
        <w:t>Cabe destacar que, la Ley da la posibilidad de desechar el recurso de revisión en el momento procesal en que también se puede admitir, por alguna de las causales transcritas, artículo que tiene un momento de aplicabilidad previo a la admisión del recurso de revisión por no reunir los requisitos de procedibilidad previstos en el artículo 179 de la Ley en la Materia.</w:t>
      </w:r>
    </w:p>
    <w:p w14:paraId="4E5C1296" w14:textId="77777777" w:rsidR="00AF2F72" w:rsidRPr="001B0639" w:rsidRDefault="00AF2F72" w:rsidP="00AF2F72">
      <w:pPr>
        <w:spacing w:before="240" w:after="240" w:line="360" w:lineRule="auto"/>
        <w:ind w:right="49"/>
        <w:jc w:val="both"/>
        <w:rPr>
          <w:rFonts w:ascii="Palatino Linotype" w:eastAsia="Palatino Linotype" w:hAnsi="Palatino Linotype" w:cs="Palatino Linotype"/>
        </w:rPr>
      </w:pPr>
      <w:r w:rsidRPr="001B0639">
        <w:rPr>
          <w:rFonts w:ascii="Palatino Linotype" w:eastAsia="Palatino Linotype" w:hAnsi="Palatino Linotype" w:cs="Palatino Linotype"/>
        </w:rPr>
        <w:t>Dentro de este orden de ideas, es evidente que no se puede invocar el precepto legal 191 de la Ley en cita ulteriormente a que ha sido admitido, determinando la actualización de un desechamiento</w:t>
      </w:r>
      <w:r w:rsidRPr="001B0639">
        <w:rPr>
          <w:rFonts w:ascii="Palatino Linotype" w:eastAsia="Palatino Linotype" w:hAnsi="Palatino Linotype" w:cs="Palatino Linotype"/>
          <w:vertAlign w:val="superscript"/>
        </w:rPr>
        <w:footnoteReference w:id="1"/>
      </w:r>
      <w:r w:rsidRPr="001B0639">
        <w:rPr>
          <w:rFonts w:ascii="Palatino Linotype" w:eastAsia="Palatino Linotype" w:hAnsi="Palatino Linotype" w:cs="Palatino Linotype"/>
        </w:rPr>
        <w:t>, porque está ya sería posterior a la etapa procedimental en la que debió desecharse.</w:t>
      </w:r>
    </w:p>
    <w:p w14:paraId="3D41D4BE" w14:textId="77777777" w:rsidR="00AF2F72" w:rsidRPr="001B0639" w:rsidRDefault="009913F3" w:rsidP="00AF2F72">
      <w:pPr>
        <w:spacing w:before="240" w:after="240" w:line="360" w:lineRule="auto"/>
        <w:ind w:right="49"/>
        <w:jc w:val="both"/>
        <w:rPr>
          <w:rFonts w:ascii="Palatino Linotype" w:eastAsia="Palatino Linotype" w:hAnsi="Palatino Linotype" w:cs="Palatino Linotype"/>
        </w:rPr>
      </w:pPr>
      <w:r w:rsidRPr="001B0639">
        <w:rPr>
          <w:rFonts w:ascii="Palatino Linotype" w:eastAsia="Palatino Linotype" w:hAnsi="Palatino Linotype" w:cs="Palatino Linotype"/>
        </w:rPr>
        <w:lastRenderedPageBreak/>
        <w:t>Por tanto, c</w:t>
      </w:r>
      <w:r w:rsidR="00AF2F72" w:rsidRPr="001B0639">
        <w:rPr>
          <w:rFonts w:ascii="Palatino Linotype" w:eastAsia="Palatino Linotype" w:hAnsi="Palatino Linotype" w:cs="Palatino Linotype"/>
        </w:rPr>
        <w:t>obra</w:t>
      </w:r>
      <w:r w:rsidRPr="001B0639">
        <w:rPr>
          <w:rFonts w:ascii="Palatino Linotype" w:eastAsia="Palatino Linotype" w:hAnsi="Palatino Linotype" w:cs="Palatino Linotype"/>
        </w:rPr>
        <w:t xml:space="preserve"> </w:t>
      </w:r>
      <w:r w:rsidR="00AF2F72" w:rsidRPr="001B0639">
        <w:rPr>
          <w:rFonts w:ascii="Palatino Linotype" w:eastAsia="Palatino Linotype" w:hAnsi="Palatino Linotype" w:cs="Palatino Linotype"/>
        </w:rPr>
        <w:t>aplicación lo previsto en la fracción IV del artículo 192</w:t>
      </w:r>
      <w:r w:rsidRPr="001B0639">
        <w:rPr>
          <w:rFonts w:ascii="Palatino Linotype" w:eastAsia="Palatino Linotype" w:hAnsi="Palatino Linotype" w:cs="Palatino Linotype"/>
        </w:rPr>
        <w:t xml:space="preserve"> de la Ley en la Materia</w:t>
      </w:r>
      <w:r w:rsidR="00AF2F72" w:rsidRPr="001B0639">
        <w:rPr>
          <w:rFonts w:ascii="Palatino Linotype" w:eastAsia="Palatino Linotype" w:hAnsi="Palatino Linotype" w:cs="Palatino Linotype"/>
        </w:rPr>
        <w:t xml:space="preserve">, en razón a que al haber sido </w:t>
      </w:r>
      <w:r w:rsidRPr="001B0639">
        <w:rPr>
          <w:rFonts w:ascii="Palatino Linotype" w:eastAsia="Palatino Linotype" w:hAnsi="Palatino Linotype" w:cs="Palatino Linotype"/>
        </w:rPr>
        <w:t xml:space="preserve">admitido </w:t>
      </w:r>
      <w:r w:rsidR="00AF2F72" w:rsidRPr="001B0639">
        <w:rPr>
          <w:rFonts w:ascii="Palatino Linotype" w:eastAsia="Palatino Linotype" w:hAnsi="Palatino Linotype" w:cs="Palatino Linotype"/>
        </w:rPr>
        <w:t xml:space="preserve">el recurso y al actualizarse una causal de improcedencia, debe ser sobreseído. </w:t>
      </w:r>
    </w:p>
    <w:p w14:paraId="218B451B" w14:textId="77777777" w:rsidR="00AF2F72" w:rsidRPr="001B0639" w:rsidRDefault="00AF2F72" w:rsidP="00AF2F72">
      <w:pPr>
        <w:spacing w:before="240" w:after="240" w:line="360" w:lineRule="auto"/>
        <w:ind w:right="49"/>
        <w:jc w:val="both"/>
        <w:rPr>
          <w:rFonts w:ascii="Palatino Linotype" w:eastAsia="Palatino Linotype" w:hAnsi="Palatino Linotype" w:cs="Palatino Linotype"/>
        </w:rPr>
      </w:pPr>
      <w:r w:rsidRPr="001B0639">
        <w:rPr>
          <w:rFonts w:ascii="Palatino Linotype" w:eastAsia="Palatino Linotype" w:hAnsi="Palatino Linotype" w:cs="Palatino Linotype"/>
        </w:rPr>
        <w:t xml:space="preserve">Así, de las constancias que obran en el expediente de mérito, se advierte que se actualiza la causal de sobreseimiento enunciada en la fracción IV del artículo 192 de la </w:t>
      </w:r>
      <w:r w:rsidR="009913F3" w:rsidRPr="001B0639">
        <w:rPr>
          <w:rFonts w:ascii="Palatino Linotype" w:eastAsia="Palatino Linotype" w:hAnsi="Palatino Linotype" w:cs="Palatino Linotype"/>
        </w:rPr>
        <w:t>Ley de Transparencia y Acceso a la Información Pública del Estado de México y Municipios</w:t>
      </w:r>
      <w:r w:rsidRPr="001B0639">
        <w:rPr>
          <w:rFonts w:ascii="Palatino Linotype" w:eastAsia="Palatino Linotype" w:hAnsi="Palatino Linotype" w:cs="Palatino Linotype"/>
        </w:rPr>
        <w:t xml:space="preserve">, en relación directa con la fracción III del artículo 191 de la misma Ley, toda vez que se reitera, </w:t>
      </w:r>
      <w:r w:rsidR="009913F3" w:rsidRPr="001B0639">
        <w:rPr>
          <w:rFonts w:ascii="Palatino Linotype" w:eastAsia="Palatino Linotype" w:hAnsi="Palatino Linotype" w:cs="Palatino Linotype"/>
        </w:rPr>
        <w:t xml:space="preserve">en el recurso de revisión </w:t>
      </w:r>
      <w:r w:rsidRPr="001B0639">
        <w:rPr>
          <w:rFonts w:ascii="Palatino Linotype" w:eastAsia="Palatino Linotype" w:hAnsi="Palatino Linotype" w:cs="Palatino Linotype"/>
        </w:rPr>
        <w:t>no se actualiza alguna de las causales de procedencia previstas en el artículo 179</w:t>
      </w:r>
      <w:r w:rsidR="009913F3" w:rsidRPr="001B0639">
        <w:rPr>
          <w:rFonts w:ascii="Palatino Linotype" w:eastAsia="Palatino Linotype" w:hAnsi="Palatino Linotype" w:cs="Palatino Linotype"/>
        </w:rPr>
        <w:t xml:space="preserve"> del referido ordenamiento</w:t>
      </w:r>
      <w:r w:rsidRPr="001B0639">
        <w:rPr>
          <w:rFonts w:ascii="Palatino Linotype" w:eastAsia="Palatino Linotype" w:hAnsi="Palatino Linotype" w:cs="Palatino Linotype"/>
        </w:rPr>
        <w:t>.</w:t>
      </w:r>
    </w:p>
    <w:p w14:paraId="76E6EC9B" w14:textId="77777777" w:rsidR="00AF2F72" w:rsidRPr="001B0639" w:rsidRDefault="00AF2F72" w:rsidP="00AF2F72">
      <w:pPr>
        <w:spacing w:before="240" w:after="240" w:line="360" w:lineRule="auto"/>
        <w:jc w:val="both"/>
        <w:rPr>
          <w:rFonts w:ascii="Palatino Linotype" w:eastAsia="Palatino Linotype" w:hAnsi="Palatino Linotype" w:cs="Palatino Linotype"/>
        </w:rPr>
      </w:pPr>
      <w:r w:rsidRPr="001B0639">
        <w:rPr>
          <w:rFonts w:ascii="Palatino Linotype" w:eastAsia="Palatino Linotype" w:hAnsi="Palatino Linotype" w:cs="Palatino Linotype"/>
        </w:rPr>
        <w:t xml:space="preserve">En consecuencia, resulta procedente </w:t>
      </w:r>
      <w:r w:rsidRPr="001B0639">
        <w:rPr>
          <w:rFonts w:ascii="Palatino Linotype" w:eastAsia="Palatino Linotype" w:hAnsi="Palatino Linotype" w:cs="Palatino Linotype"/>
          <w:i/>
        </w:rPr>
        <w:t>sobreseer</w:t>
      </w:r>
      <w:r w:rsidRPr="001B0639">
        <w:rPr>
          <w:rFonts w:ascii="Palatino Linotype" w:eastAsia="Palatino Linotype" w:hAnsi="Palatino Linotype" w:cs="Palatino Linotype"/>
        </w:rPr>
        <w:t xml:space="preserve"> el recurso de revisión materia de la presente resolución en términos del artículo 186 fracción I de la de la Ley de Transparencia y Acceso a la Información Pública del Estado de México y Municipios en relación directa con los artículos 191, fracción III y 192, fracción IV de mismo ordenamiento legal.</w:t>
      </w:r>
    </w:p>
    <w:p w14:paraId="140FE14F" w14:textId="6DF8D14C" w:rsidR="00AF2F72" w:rsidRPr="001B0639" w:rsidRDefault="00AF2F72" w:rsidP="00AF2F72">
      <w:pPr>
        <w:spacing w:before="240" w:after="240" w:line="360" w:lineRule="auto"/>
        <w:jc w:val="both"/>
        <w:rPr>
          <w:rFonts w:ascii="Palatino Linotype" w:eastAsia="Palatino Linotype" w:hAnsi="Palatino Linotype" w:cs="Palatino Linotype"/>
          <w:b/>
        </w:rPr>
      </w:pPr>
      <w:r w:rsidRPr="001B0639">
        <w:rPr>
          <w:rFonts w:ascii="Palatino Linotype" w:eastAsia="Palatino Linotype" w:hAnsi="Palatino Linotype" w:cs="Palatino Linotype"/>
        </w:rPr>
        <w:t xml:space="preserve">Atento a los razonamientos lógico jurídicos que han quedado precisados y toda vez que el  </w:t>
      </w:r>
      <w:r w:rsidRPr="001B0639">
        <w:rPr>
          <w:rFonts w:ascii="Palatino Linotype" w:eastAsia="Palatino Linotype" w:hAnsi="Palatino Linotype" w:cs="Palatino Linotype"/>
          <w:i/>
        </w:rPr>
        <w:t xml:space="preserve">sobreseimiento </w:t>
      </w:r>
      <w:r w:rsidRPr="001B0639">
        <w:rPr>
          <w:rFonts w:ascii="Palatino Linotype" w:eastAsia="Palatino Linotype" w:hAnsi="Palatino Linotype" w:cs="Palatino Linotype"/>
        </w:rPr>
        <w:t xml:space="preserve">es un acto que da por terminado el procedimiento administrativo de impugnación por alguna causa que sobreviniente en el juicio de que se trate, que impide a la autoridad referirse a lo sustancial de lo planteado por el recurrente teniendo como consecuencia dar por concluido el medio de impugnación, este Instituto se encuentra imposibilitado para entrar al estudio de fondo del recurso de revisión, lo anterior con apoyo en el criterio del Poder Judicial </w:t>
      </w:r>
      <w:r w:rsidRPr="001B0639">
        <w:rPr>
          <w:rFonts w:ascii="Palatino Linotype" w:eastAsia="Palatino Linotype" w:hAnsi="Palatino Linotype" w:cs="Palatino Linotype"/>
        </w:rPr>
        <w:lastRenderedPageBreak/>
        <w:t xml:space="preserve">de la Federación con rubro: </w:t>
      </w:r>
      <w:r w:rsidRPr="001B0639">
        <w:rPr>
          <w:rFonts w:ascii="Palatino Linotype" w:eastAsia="Palatino Linotype" w:hAnsi="Palatino Linotype" w:cs="Palatino Linotype"/>
          <w:b/>
        </w:rPr>
        <w:t>SOBRESEIMIENTO, NO PERMITE ENTRAR AL ESTUDIO DE LAS CUESTIONES DE FONDO</w:t>
      </w:r>
      <w:r w:rsidRPr="001B0639">
        <w:rPr>
          <w:rFonts w:ascii="Palatino Linotype" w:eastAsia="Palatino Linotype" w:hAnsi="Palatino Linotype" w:cs="Palatino Linotype"/>
          <w:vertAlign w:val="superscript"/>
        </w:rPr>
        <w:footnoteReference w:id="2"/>
      </w:r>
      <w:r w:rsidRPr="001B0639">
        <w:rPr>
          <w:rFonts w:ascii="Palatino Linotype" w:eastAsia="Palatino Linotype" w:hAnsi="Palatino Linotype" w:cs="Palatino Linotype"/>
          <w:b/>
        </w:rPr>
        <w:t>.</w:t>
      </w:r>
    </w:p>
    <w:p w14:paraId="513F6EE5" w14:textId="3726DA75" w:rsidR="00F35AD7" w:rsidRPr="001B0639" w:rsidRDefault="00F35AD7" w:rsidP="00F35AD7">
      <w:pPr>
        <w:spacing w:line="360" w:lineRule="auto"/>
        <w:ind w:right="49"/>
        <w:jc w:val="both"/>
        <w:rPr>
          <w:rFonts w:ascii="Palatino Linotype" w:eastAsia="Palatino Linotype" w:hAnsi="Palatino Linotype" w:cs="Palatino Linotype"/>
          <w:sz w:val="22"/>
          <w:szCs w:val="22"/>
        </w:rPr>
      </w:pPr>
      <w:r w:rsidRPr="001B0639">
        <w:rPr>
          <w:rFonts w:ascii="Palatino Linotype" w:eastAsia="Palatino Linotype" w:hAnsi="Palatino Linotype" w:cs="Palatino Linotype"/>
          <w:sz w:val="22"/>
          <w:szCs w:val="22"/>
        </w:rPr>
        <w:t xml:space="preserve">Finalmente, respecto a lo manifestado por el particular en sus motivos de inconformidad consistentes en </w:t>
      </w:r>
      <w:r w:rsidRPr="001B0639">
        <w:rPr>
          <w:rFonts w:ascii="Palatino Linotype" w:eastAsia="Palatino Linotype" w:hAnsi="Palatino Linotype" w:cs="Palatino Linotype"/>
          <w:i/>
          <w:sz w:val="22"/>
          <w:szCs w:val="22"/>
        </w:rPr>
        <w:t>“…solicito den vista a contraloría, protección de datos…”</w:t>
      </w:r>
      <w:r w:rsidRPr="001B0639">
        <w:rPr>
          <w:rFonts w:ascii="Palatino Linotype" w:eastAsia="Palatino Linotype" w:hAnsi="Palatino Linotype" w:cs="Palatino Linotype"/>
          <w:sz w:val="22"/>
          <w:szCs w:val="22"/>
        </w:rPr>
        <w:t xml:space="preserve">, este Organismo Garante considera oportuno mencionar que, el Recurso de Revisión no es la vía para solicitar o imponer alguna sanción al </w:t>
      </w:r>
      <w:r w:rsidRPr="001B0639">
        <w:rPr>
          <w:rFonts w:ascii="Palatino Linotype" w:eastAsia="Palatino Linotype" w:hAnsi="Palatino Linotype" w:cs="Palatino Linotype"/>
          <w:b/>
          <w:sz w:val="22"/>
          <w:szCs w:val="22"/>
        </w:rPr>
        <w:t>Sujeto Obligado</w:t>
      </w:r>
      <w:r w:rsidRPr="001B0639">
        <w:rPr>
          <w:rFonts w:ascii="Palatino Linotype" w:eastAsia="Palatino Linotype" w:hAnsi="Palatino Linotype" w:cs="Palatino Linotype"/>
          <w:sz w:val="22"/>
          <w:szCs w:val="22"/>
        </w:rPr>
        <w:t xml:space="preserve">, de tal manera que, se dejan a salvo los derechos de la parte </w:t>
      </w:r>
      <w:r w:rsidRPr="001B0639">
        <w:rPr>
          <w:rFonts w:ascii="Palatino Linotype" w:eastAsia="Palatino Linotype" w:hAnsi="Palatino Linotype" w:cs="Palatino Linotype"/>
          <w:b/>
          <w:sz w:val="22"/>
          <w:szCs w:val="22"/>
        </w:rPr>
        <w:t>Recurrente</w:t>
      </w:r>
      <w:r w:rsidRPr="001B0639">
        <w:rPr>
          <w:rFonts w:ascii="Palatino Linotype" w:eastAsia="Palatino Linotype" w:hAnsi="Palatino Linotype" w:cs="Palatino Linotype"/>
          <w:sz w:val="22"/>
          <w:szCs w:val="22"/>
        </w:rPr>
        <w:t xml:space="preserve"> para que acuda a la instancia competente a ejercer lo que a derecho corresponda. </w:t>
      </w:r>
    </w:p>
    <w:p w14:paraId="404355DC" w14:textId="77777777" w:rsidR="005801F9" w:rsidRPr="001B0639" w:rsidRDefault="003D6A59">
      <w:pPr>
        <w:spacing w:before="240" w:after="240" w:line="360" w:lineRule="auto"/>
        <w:jc w:val="both"/>
        <w:rPr>
          <w:rFonts w:ascii="Palatino Linotype" w:eastAsia="Palatino Linotype" w:hAnsi="Palatino Linotype" w:cs="Palatino Linotype"/>
        </w:rPr>
      </w:pPr>
      <w:r w:rsidRPr="001B0639">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7241C1AB" w14:textId="77777777" w:rsidR="005801F9" w:rsidRPr="001B0639" w:rsidRDefault="003D6A59">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1B0639">
        <w:rPr>
          <w:rFonts w:ascii="Palatino Linotype" w:eastAsia="Palatino Linotype" w:hAnsi="Palatino Linotype" w:cs="Palatino Linotype"/>
          <w:b/>
        </w:rPr>
        <w:t>III. R E S U E L V E</w:t>
      </w:r>
    </w:p>
    <w:p w14:paraId="5FAFBAC6" w14:textId="77777777" w:rsidR="009913F3" w:rsidRPr="001B0639" w:rsidRDefault="009913F3" w:rsidP="009913F3">
      <w:pPr>
        <w:pBdr>
          <w:top w:val="nil"/>
          <w:left w:val="nil"/>
          <w:bottom w:val="nil"/>
          <w:right w:val="nil"/>
          <w:between w:val="nil"/>
        </w:pBdr>
        <w:tabs>
          <w:tab w:val="left" w:pos="7936"/>
        </w:tabs>
        <w:spacing w:before="240" w:after="240" w:line="360" w:lineRule="auto"/>
        <w:ind w:left="93"/>
        <w:jc w:val="both"/>
        <w:rPr>
          <w:rFonts w:ascii="Palatino Linotype" w:eastAsia="Palatino Linotype" w:hAnsi="Palatino Linotype" w:cs="Palatino Linotype"/>
        </w:rPr>
      </w:pPr>
      <w:bookmarkStart w:id="8" w:name="_heading=h.1t3h5sf" w:colFirst="0" w:colLast="0"/>
      <w:bookmarkEnd w:id="8"/>
      <w:r w:rsidRPr="001B0639">
        <w:rPr>
          <w:rFonts w:ascii="Palatino Linotype" w:eastAsia="Palatino Linotype" w:hAnsi="Palatino Linotype" w:cs="Palatino Linotype"/>
          <w:b/>
        </w:rPr>
        <w:t xml:space="preserve">Primero. </w:t>
      </w:r>
      <w:r w:rsidRPr="001B0639">
        <w:rPr>
          <w:rFonts w:ascii="Palatino Linotype" w:eastAsia="Palatino Linotype" w:hAnsi="Palatino Linotype" w:cs="Palatino Linotype"/>
        </w:rPr>
        <w:t>Se</w:t>
      </w:r>
      <w:r w:rsidRPr="001B0639">
        <w:rPr>
          <w:rFonts w:ascii="Palatino Linotype" w:eastAsia="Palatino Linotype" w:hAnsi="Palatino Linotype" w:cs="Palatino Linotype"/>
          <w:b/>
        </w:rPr>
        <w:t xml:space="preserve"> Sobresee </w:t>
      </w:r>
      <w:r w:rsidRPr="001B0639">
        <w:rPr>
          <w:rFonts w:ascii="Palatino Linotype" w:eastAsia="Palatino Linotype" w:hAnsi="Palatino Linotype" w:cs="Palatino Linotype"/>
        </w:rPr>
        <w:t xml:space="preserve">el recurso de revisión número </w:t>
      </w:r>
      <w:r w:rsidRPr="001B0639">
        <w:rPr>
          <w:rFonts w:ascii="Palatino Linotype" w:eastAsia="Palatino Linotype" w:hAnsi="Palatino Linotype" w:cs="Palatino Linotype"/>
          <w:b/>
        </w:rPr>
        <w:t xml:space="preserve">00974/INFOEM/IP/RR/2025, </w:t>
      </w:r>
      <w:r w:rsidRPr="001B0639">
        <w:rPr>
          <w:rFonts w:ascii="Palatino Linotype" w:eastAsia="Palatino Linotype" w:hAnsi="Palatino Linotype" w:cs="Palatino Linotype"/>
        </w:rPr>
        <w:t>en términos del Considerando</w:t>
      </w:r>
      <w:r w:rsidRPr="001B0639">
        <w:rPr>
          <w:rFonts w:ascii="Palatino Linotype" w:eastAsia="Palatino Linotype" w:hAnsi="Palatino Linotype" w:cs="Palatino Linotype"/>
          <w:b/>
        </w:rPr>
        <w:t xml:space="preserve"> Tercero </w:t>
      </w:r>
      <w:r w:rsidRPr="001B0639">
        <w:rPr>
          <w:rFonts w:ascii="Palatino Linotype" w:eastAsia="Palatino Linotype" w:hAnsi="Palatino Linotype" w:cs="Palatino Linotype"/>
        </w:rPr>
        <w:t xml:space="preserve">de la presente resolución, por improcedente, de conformidad con el artículo 192, fracción IV, en relación con la causal prevista en el artículo 191, fracción III, </w:t>
      </w:r>
      <w:r w:rsidR="00B772F9" w:rsidRPr="001B0639">
        <w:rPr>
          <w:rFonts w:ascii="Palatino Linotype" w:eastAsia="Palatino Linotype" w:hAnsi="Palatino Linotype" w:cs="Palatino Linotype"/>
        </w:rPr>
        <w:t xml:space="preserve">ambos </w:t>
      </w:r>
      <w:r w:rsidRPr="001B0639">
        <w:rPr>
          <w:rFonts w:ascii="Palatino Linotype" w:eastAsia="Palatino Linotype" w:hAnsi="Palatino Linotype" w:cs="Palatino Linotype"/>
        </w:rPr>
        <w:t xml:space="preserve">de la Ley de Transparencia Acceso a la </w:t>
      </w:r>
      <w:r w:rsidRPr="001B0639">
        <w:rPr>
          <w:rFonts w:ascii="Palatino Linotype" w:eastAsia="Palatino Linotype" w:hAnsi="Palatino Linotype" w:cs="Palatino Linotype"/>
        </w:rPr>
        <w:lastRenderedPageBreak/>
        <w:t xml:space="preserve">Información Pública y Protección de Datos Personales del Estado de México y Municipios. </w:t>
      </w:r>
    </w:p>
    <w:p w14:paraId="739D2F4B" w14:textId="22F63B3A" w:rsidR="009913F3" w:rsidRPr="001B0639" w:rsidRDefault="009913F3" w:rsidP="009913F3">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rPr>
      </w:pPr>
      <w:r w:rsidRPr="001B0639">
        <w:rPr>
          <w:rFonts w:ascii="Palatino Linotype" w:eastAsia="Palatino Linotype" w:hAnsi="Palatino Linotype" w:cs="Palatino Linotype"/>
          <w:b/>
        </w:rPr>
        <w:t>Segundo. Notifíquese</w:t>
      </w:r>
      <w:r w:rsidR="00C4757F" w:rsidRPr="001B0639">
        <w:rPr>
          <w:rFonts w:ascii="Palatino Linotype" w:eastAsia="Palatino Linotype" w:hAnsi="Palatino Linotype" w:cs="Palatino Linotype"/>
          <w:b/>
        </w:rPr>
        <w:t xml:space="preserve"> </w:t>
      </w:r>
      <w:r w:rsidR="00C4757F" w:rsidRPr="001B0639">
        <w:rPr>
          <w:rFonts w:ascii="Palatino Linotype" w:eastAsia="Palatino Linotype" w:hAnsi="Palatino Linotype" w:cs="Palatino Linotype"/>
        </w:rPr>
        <w:t>vía</w:t>
      </w:r>
      <w:r w:rsidR="00C4757F" w:rsidRPr="001B0639">
        <w:rPr>
          <w:rFonts w:ascii="Palatino Linotype" w:eastAsia="Palatino Linotype" w:hAnsi="Palatino Linotype" w:cs="Palatino Linotype"/>
          <w:b/>
        </w:rPr>
        <w:t xml:space="preserve"> SAIMEX,</w:t>
      </w:r>
      <w:r w:rsidRPr="001B0639">
        <w:rPr>
          <w:rFonts w:ascii="Palatino Linotype" w:eastAsia="Palatino Linotype" w:hAnsi="Palatino Linotype" w:cs="Palatino Linotype"/>
          <w:b/>
        </w:rPr>
        <w:t xml:space="preserve"> </w:t>
      </w:r>
      <w:r w:rsidRPr="001B0639">
        <w:rPr>
          <w:rFonts w:ascii="Palatino Linotype" w:eastAsia="Palatino Linotype" w:hAnsi="Palatino Linotype" w:cs="Palatino Linotype"/>
        </w:rPr>
        <w:t xml:space="preserve">al Titular de la Unidad de Transparencia del </w:t>
      </w:r>
      <w:r w:rsidRPr="001B0639">
        <w:rPr>
          <w:rFonts w:ascii="Palatino Linotype" w:eastAsia="Palatino Linotype" w:hAnsi="Palatino Linotype" w:cs="Palatino Linotype"/>
          <w:b/>
        </w:rPr>
        <w:t>Sujeto Obligado</w:t>
      </w:r>
      <w:r w:rsidRPr="001B0639">
        <w:rPr>
          <w:rFonts w:ascii="Palatino Linotype" w:eastAsia="Palatino Linotype" w:hAnsi="Palatino Linotype" w:cs="Palatino Linotype"/>
        </w:rPr>
        <w:t xml:space="preserve"> la presente resolución, para su conocimiento.</w:t>
      </w:r>
    </w:p>
    <w:p w14:paraId="702C49A1" w14:textId="77777777" w:rsidR="009913F3" w:rsidRPr="001B0639" w:rsidRDefault="009913F3" w:rsidP="009913F3">
      <w:pPr>
        <w:spacing w:before="240" w:after="240" w:line="360" w:lineRule="auto"/>
        <w:jc w:val="both"/>
        <w:rPr>
          <w:rFonts w:ascii="Palatino Linotype" w:eastAsia="Palatino Linotype" w:hAnsi="Palatino Linotype" w:cs="Palatino Linotype"/>
        </w:rPr>
      </w:pPr>
      <w:r w:rsidRPr="001B0639">
        <w:rPr>
          <w:rFonts w:ascii="Palatino Linotype" w:eastAsia="Palatino Linotype" w:hAnsi="Palatino Linotype" w:cs="Palatino Linotype"/>
          <w:b/>
        </w:rPr>
        <w:t xml:space="preserve">Tercero. Notifíquese, </w:t>
      </w:r>
      <w:r w:rsidRPr="001B0639">
        <w:rPr>
          <w:rFonts w:ascii="Palatino Linotype" w:eastAsia="Palatino Linotype" w:hAnsi="Palatino Linotype" w:cs="Palatino Linotype"/>
        </w:rPr>
        <w:t>vía</w:t>
      </w:r>
      <w:r w:rsidRPr="001B0639">
        <w:rPr>
          <w:rFonts w:ascii="Palatino Linotype" w:eastAsia="Palatino Linotype" w:hAnsi="Palatino Linotype" w:cs="Palatino Linotype"/>
          <w:b/>
        </w:rPr>
        <w:t xml:space="preserve"> SAIMEX</w:t>
      </w:r>
      <w:r w:rsidRPr="001B0639">
        <w:rPr>
          <w:rFonts w:ascii="Palatino Linotype" w:eastAsia="Palatino Linotype" w:hAnsi="Palatino Linotype" w:cs="Palatino Linotype"/>
        </w:rPr>
        <w:t>, a</w:t>
      </w:r>
      <w:r w:rsidRPr="001B0639">
        <w:rPr>
          <w:rFonts w:ascii="Palatino Linotype" w:eastAsia="Palatino Linotype" w:hAnsi="Palatino Linotype" w:cs="Palatino Linotype"/>
          <w:b/>
        </w:rPr>
        <w:t xml:space="preserve"> </w:t>
      </w:r>
      <w:r w:rsidRPr="001B0639">
        <w:rPr>
          <w:rFonts w:ascii="Palatino Linotype" w:eastAsia="Palatino Linotype" w:hAnsi="Palatino Linotype" w:cs="Palatino Linotype"/>
        </w:rPr>
        <w:t xml:space="preserve">la parte </w:t>
      </w:r>
      <w:r w:rsidRPr="001B0639">
        <w:rPr>
          <w:rFonts w:ascii="Palatino Linotype" w:eastAsia="Palatino Linotype" w:hAnsi="Palatino Linotype" w:cs="Palatino Linotype"/>
          <w:b/>
        </w:rPr>
        <w:t>Recurrente</w:t>
      </w:r>
      <w:r w:rsidRPr="001B0639">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vía el Juicio de Amparo en los términos de las leyes aplicables.</w:t>
      </w:r>
    </w:p>
    <w:p w14:paraId="6E118937" w14:textId="262A83D3" w:rsidR="005801F9" w:rsidRPr="001B0639" w:rsidRDefault="003D6A59">
      <w:pPr>
        <w:tabs>
          <w:tab w:val="left" w:pos="8647"/>
        </w:tabs>
        <w:spacing w:before="240" w:after="240" w:line="360" w:lineRule="auto"/>
        <w:ind w:right="51"/>
        <w:jc w:val="both"/>
        <w:rPr>
          <w:rFonts w:ascii="Palatino Linotype" w:eastAsia="Palatino Linotype" w:hAnsi="Palatino Linotype" w:cs="Palatino Linotype"/>
        </w:rPr>
      </w:pPr>
      <w:r w:rsidRPr="001B0639">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w:t>
      </w:r>
      <w:r w:rsidR="00953E39" w:rsidRPr="001B0639">
        <w:rPr>
          <w:rFonts w:ascii="Palatino Linotype" w:eastAsia="Palatino Linotype" w:hAnsi="Palatino Linotype" w:cs="Palatino Linotype"/>
        </w:rPr>
        <w:t>RIEGA, Y GUADALUPE RAMÍREZ PEÑA</w:t>
      </w:r>
      <w:r w:rsidR="00E43966" w:rsidRPr="001B0639">
        <w:rPr>
          <w:rFonts w:ascii="Palatino Linotype" w:eastAsia="Palatino Linotype" w:hAnsi="Palatino Linotype" w:cs="Palatino Linotype"/>
        </w:rPr>
        <w:t>;</w:t>
      </w:r>
      <w:r w:rsidR="00DE3909" w:rsidRPr="001B0639">
        <w:rPr>
          <w:rFonts w:ascii="Palatino Linotype" w:eastAsia="Palatino Linotype" w:hAnsi="Palatino Linotype" w:cs="Palatino Linotype"/>
        </w:rPr>
        <w:t xml:space="preserve"> EN LA NOVENA</w:t>
      </w:r>
      <w:r w:rsidRPr="001B0639">
        <w:rPr>
          <w:rFonts w:ascii="Palatino Linotype" w:eastAsia="Palatino Linotype" w:hAnsi="Palatino Linotype" w:cs="Palatino Linotype"/>
        </w:rPr>
        <w:t xml:space="preserve"> SESIÓN ORDINARIA CELEBRADA EL </w:t>
      </w:r>
      <w:r w:rsidR="00953E39" w:rsidRPr="001B0639">
        <w:rPr>
          <w:rFonts w:ascii="Palatino Linotype" w:eastAsia="Palatino Linotype" w:hAnsi="Palatino Linotype" w:cs="Palatino Linotype"/>
        </w:rPr>
        <w:t>DOCE DE MARZO</w:t>
      </w:r>
      <w:r w:rsidRPr="001B0639">
        <w:rPr>
          <w:rFonts w:ascii="Palatino Linotype" w:eastAsia="Palatino Linotype" w:hAnsi="Palatino Linotype" w:cs="Palatino Linotype"/>
        </w:rPr>
        <w:t xml:space="preserve"> DE DOS MIL VEINTICINCO, ANTE EL SECRETARIO TÉCNICO DEL PLENO ALEXIS TAPIA RAMÍREZ.</w:t>
      </w:r>
    </w:p>
    <w:p w14:paraId="31C9FA31" w14:textId="77777777" w:rsidR="005801F9" w:rsidRPr="001B0639" w:rsidRDefault="005801F9">
      <w:pPr>
        <w:spacing w:line="360" w:lineRule="auto"/>
        <w:jc w:val="both"/>
        <w:rPr>
          <w:rFonts w:ascii="Palatino Linotype" w:eastAsia="Palatino Linotype" w:hAnsi="Palatino Linotype" w:cs="Palatino Linotype"/>
        </w:rPr>
      </w:pPr>
    </w:p>
    <w:p w14:paraId="2C900357" w14:textId="77777777" w:rsidR="005801F9" w:rsidRPr="001B0639" w:rsidRDefault="005801F9">
      <w:pPr>
        <w:spacing w:line="360" w:lineRule="auto"/>
        <w:jc w:val="both"/>
        <w:rPr>
          <w:rFonts w:ascii="Palatino Linotype" w:eastAsia="Palatino Linotype" w:hAnsi="Palatino Linotype" w:cs="Palatino Linotype"/>
        </w:rPr>
      </w:pPr>
    </w:p>
    <w:p w14:paraId="2BDCFCC5" w14:textId="77777777" w:rsidR="005801F9" w:rsidRPr="001B0639" w:rsidRDefault="005801F9">
      <w:pPr>
        <w:spacing w:line="360" w:lineRule="auto"/>
        <w:jc w:val="both"/>
        <w:rPr>
          <w:rFonts w:ascii="Palatino Linotype" w:eastAsia="Palatino Linotype" w:hAnsi="Palatino Linotype" w:cs="Palatino Linotype"/>
        </w:rPr>
      </w:pPr>
    </w:p>
    <w:p w14:paraId="57D9D513" w14:textId="77777777" w:rsidR="005801F9" w:rsidRPr="001B0639" w:rsidRDefault="005801F9">
      <w:pPr>
        <w:spacing w:line="360" w:lineRule="auto"/>
        <w:jc w:val="both"/>
        <w:rPr>
          <w:rFonts w:ascii="Palatino Linotype" w:eastAsia="Palatino Linotype" w:hAnsi="Palatino Linotype" w:cs="Palatino Linotype"/>
        </w:rPr>
      </w:pPr>
    </w:p>
    <w:p w14:paraId="5AD02CFE" w14:textId="77777777" w:rsidR="005801F9" w:rsidRPr="001B0639" w:rsidRDefault="005801F9">
      <w:pPr>
        <w:spacing w:line="360" w:lineRule="auto"/>
        <w:jc w:val="both"/>
        <w:rPr>
          <w:rFonts w:ascii="Palatino Linotype" w:eastAsia="Palatino Linotype" w:hAnsi="Palatino Linotype" w:cs="Palatino Linotype"/>
        </w:rPr>
      </w:pPr>
    </w:p>
    <w:p w14:paraId="7F5AE61C" w14:textId="77777777" w:rsidR="005801F9" w:rsidRPr="001B0639" w:rsidRDefault="005801F9">
      <w:pPr>
        <w:spacing w:line="360" w:lineRule="auto"/>
        <w:jc w:val="both"/>
        <w:rPr>
          <w:rFonts w:ascii="Palatino Linotype" w:eastAsia="Palatino Linotype" w:hAnsi="Palatino Linotype" w:cs="Palatino Linotype"/>
        </w:rPr>
      </w:pPr>
    </w:p>
    <w:p w14:paraId="5D3AB835" w14:textId="77777777" w:rsidR="005801F9" w:rsidRPr="001B0639" w:rsidRDefault="005801F9">
      <w:pPr>
        <w:spacing w:line="360" w:lineRule="auto"/>
        <w:jc w:val="both"/>
        <w:rPr>
          <w:rFonts w:ascii="Palatino Linotype" w:eastAsia="Palatino Linotype" w:hAnsi="Palatino Linotype" w:cs="Palatino Linotype"/>
        </w:rPr>
      </w:pPr>
    </w:p>
    <w:p w14:paraId="30B9A2CB" w14:textId="77777777" w:rsidR="005801F9" w:rsidRPr="001B0639" w:rsidRDefault="005801F9">
      <w:pPr>
        <w:spacing w:line="360" w:lineRule="auto"/>
        <w:jc w:val="both"/>
        <w:rPr>
          <w:rFonts w:ascii="Palatino Linotype" w:eastAsia="Palatino Linotype" w:hAnsi="Palatino Linotype" w:cs="Palatino Linotype"/>
        </w:rPr>
      </w:pPr>
    </w:p>
    <w:p w14:paraId="5CA721E8" w14:textId="77777777" w:rsidR="005801F9" w:rsidRPr="001B0639" w:rsidRDefault="005801F9">
      <w:pPr>
        <w:spacing w:line="360" w:lineRule="auto"/>
        <w:jc w:val="both"/>
        <w:rPr>
          <w:rFonts w:ascii="Palatino Linotype" w:eastAsia="Palatino Linotype" w:hAnsi="Palatino Linotype" w:cs="Palatino Linotype"/>
        </w:rPr>
      </w:pPr>
    </w:p>
    <w:p w14:paraId="12CCAB28" w14:textId="77777777" w:rsidR="005801F9" w:rsidRPr="001B0639" w:rsidRDefault="005801F9">
      <w:pPr>
        <w:spacing w:line="360" w:lineRule="auto"/>
        <w:jc w:val="both"/>
        <w:rPr>
          <w:rFonts w:ascii="Palatino Linotype" w:eastAsia="Palatino Linotype" w:hAnsi="Palatino Linotype" w:cs="Palatino Linotype"/>
        </w:rPr>
      </w:pPr>
    </w:p>
    <w:p w14:paraId="50CEEA42" w14:textId="77777777" w:rsidR="005801F9" w:rsidRPr="001B0639" w:rsidRDefault="005801F9">
      <w:pPr>
        <w:spacing w:line="360" w:lineRule="auto"/>
        <w:jc w:val="both"/>
        <w:rPr>
          <w:rFonts w:ascii="Palatino Linotype" w:eastAsia="Palatino Linotype" w:hAnsi="Palatino Linotype" w:cs="Palatino Linotype"/>
        </w:rPr>
      </w:pPr>
    </w:p>
    <w:p w14:paraId="2CFDBFD1" w14:textId="77777777" w:rsidR="005801F9" w:rsidRPr="001B0639" w:rsidRDefault="005801F9">
      <w:pPr>
        <w:spacing w:line="360" w:lineRule="auto"/>
        <w:jc w:val="both"/>
        <w:rPr>
          <w:rFonts w:ascii="Palatino Linotype" w:eastAsia="Palatino Linotype" w:hAnsi="Palatino Linotype" w:cs="Palatino Linotype"/>
        </w:rPr>
      </w:pPr>
    </w:p>
    <w:p w14:paraId="1DB4869A" w14:textId="77777777" w:rsidR="005801F9" w:rsidRPr="001B0639" w:rsidRDefault="005801F9">
      <w:pPr>
        <w:spacing w:line="360" w:lineRule="auto"/>
        <w:jc w:val="both"/>
        <w:rPr>
          <w:rFonts w:ascii="Palatino Linotype" w:eastAsia="Palatino Linotype" w:hAnsi="Palatino Linotype" w:cs="Palatino Linotype"/>
        </w:rPr>
      </w:pPr>
    </w:p>
    <w:p w14:paraId="319C74F9" w14:textId="77777777" w:rsidR="005801F9" w:rsidRPr="001B0639" w:rsidRDefault="005801F9">
      <w:pPr>
        <w:spacing w:line="360" w:lineRule="auto"/>
        <w:jc w:val="both"/>
        <w:rPr>
          <w:rFonts w:ascii="Palatino Linotype" w:eastAsia="Palatino Linotype" w:hAnsi="Palatino Linotype" w:cs="Palatino Linotype"/>
        </w:rPr>
      </w:pPr>
    </w:p>
    <w:p w14:paraId="5A4042AE" w14:textId="77777777" w:rsidR="005801F9" w:rsidRPr="001B0639" w:rsidRDefault="005801F9">
      <w:pPr>
        <w:spacing w:line="360" w:lineRule="auto"/>
        <w:jc w:val="both"/>
        <w:rPr>
          <w:rFonts w:ascii="Palatino Linotype" w:eastAsia="Palatino Linotype" w:hAnsi="Palatino Linotype" w:cs="Palatino Linotype"/>
        </w:rPr>
      </w:pPr>
    </w:p>
    <w:p w14:paraId="6E4AFF53" w14:textId="77777777" w:rsidR="005801F9" w:rsidRPr="001B0639" w:rsidRDefault="005801F9">
      <w:pPr>
        <w:spacing w:line="360" w:lineRule="auto"/>
        <w:jc w:val="both"/>
        <w:rPr>
          <w:rFonts w:ascii="Palatino Linotype" w:eastAsia="Palatino Linotype" w:hAnsi="Palatino Linotype" w:cs="Palatino Linotype"/>
        </w:rPr>
      </w:pPr>
    </w:p>
    <w:sectPr w:rsidR="005801F9" w:rsidRPr="001B0639">
      <w:headerReference w:type="default" r:id="rId13"/>
      <w:footerReference w:type="default" r:id="rId14"/>
      <w:headerReference w:type="first" r:id="rId15"/>
      <w:footerReference w:type="first" r:id="rId16"/>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70BD5" w14:textId="77777777" w:rsidR="00E41AB3" w:rsidRDefault="00E41AB3">
      <w:r>
        <w:separator/>
      </w:r>
    </w:p>
  </w:endnote>
  <w:endnote w:type="continuationSeparator" w:id="0">
    <w:p w14:paraId="0BA40790" w14:textId="77777777" w:rsidR="00E41AB3" w:rsidRDefault="00E41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00E2" w14:textId="77777777" w:rsidR="009913F3" w:rsidRDefault="009913F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F4001">
      <w:rPr>
        <w:rFonts w:ascii="Palatino Linotype" w:eastAsia="Palatino Linotype" w:hAnsi="Palatino Linotype" w:cs="Palatino Linotype"/>
        <w:b/>
        <w:noProof/>
        <w:color w:val="000000"/>
        <w:sz w:val="20"/>
        <w:szCs w:val="20"/>
      </w:rPr>
      <w:t>18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F4001">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p>
  <w:p w14:paraId="7304C6EC" w14:textId="77777777" w:rsidR="009913F3" w:rsidRDefault="009913F3">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2A988" w14:textId="77777777" w:rsidR="009913F3" w:rsidRDefault="009913F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F4001">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F4001">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p>
  <w:p w14:paraId="52FEBD18" w14:textId="77777777" w:rsidR="009913F3" w:rsidRDefault="009913F3">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FCAAD" w14:textId="77777777" w:rsidR="00E41AB3" w:rsidRDefault="00E41AB3">
      <w:r>
        <w:separator/>
      </w:r>
    </w:p>
  </w:footnote>
  <w:footnote w:type="continuationSeparator" w:id="0">
    <w:p w14:paraId="02415F60" w14:textId="77777777" w:rsidR="00E41AB3" w:rsidRDefault="00E41AB3">
      <w:r>
        <w:continuationSeparator/>
      </w:r>
    </w:p>
  </w:footnote>
  <w:footnote w:id="1">
    <w:p w14:paraId="5559D31E" w14:textId="77777777" w:rsidR="009913F3" w:rsidRPr="00EE4D54" w:rsidRDefault="009913F3" w:rsidP="00AF2F72">
      <w:pPr>
        <w:pBdr>
          <w:top w:val="nil"/>
          <w:left w:val="nil"/>
          <w:bottom w:val="nil"/>
          <w:right w:val="nil"/>
          <w:between w:val="nil"/>
        </w:pBdr>
        <w:jc w:val="both"/>
        <w:rPr>
          <w:rFonts w:ascii="Palatino Linotype" w:eastAsia="Palatino Linotype" w:hAnsi="Palatino Linotype" w:cs="Palatino Linotype"/>
          <w:color w:val="000000"/>
          <w:sz w:val="16"/>
          <w:szCs w:val="16"/>
        </w:rPr>
      </w:pPr>
      <w:r w:rsidRPr="00EE4D54">
        <w:rPr>
          <w:rFonts w:ascii="Palatino Linotype" w:hAnsi="Palatino Linotype"/>
          <w:sz w:val="16"/>
          <w:szCs w:val="16"/>
          <w:vertAlign w:val="superscript"/>
        </w:rPr>
        <w:footnoteRef/>
      </w:r>
      <w:r w:rsidRPr="00EE4D54">
        <w:rPr>
          <w:rFonts w:ascii="Palatino Linotype" w:eastAsia="Palatino Linotype" w:hAnsi="Palatino Linotype" w:cs="Palatino Linotype"/>
          <w:color w:val="000000"/>
          <w:sz w:val="16"/>
          <w:szCs w:val="16"/>
        </w:rPr>
        <w:t xml:space="preserve"> “</w:t>
      </w:r>
      <w:r w:rsidRPr="00EE4D54">
        <w:rPr>
          <w:rFonts w:ascii="Palatino Linotype" w:eastAsia="Palatino Linotype" w:hAnsi="Palatino Linotype" w:cs="Palatino Linotype"/>
          <w:i/>
          <w:color w:val="000000"/>
          <w:sz w:val="16"/>
          <w:szCs w:val="16"/>
        </w:rPr>
        <w:t>DESISTIMIENTO DE LA DEMANDA DE AMPARO. CORRESPONDE PROVEER RESPECTO DE ÉL AL JUEZ DE DISTRITO CUANDO SE PLANTEA ESTANDO PENDIENTE LA RESOLUCIÓN DEL RECURSO DE REVISIÓN Y ÉSTE SE DESECHA. El desechamiento del recurso de revisión implica, por una parte, la inexistencia de la apertura de la segunda instancia, ya que, en todo caso, la sola interposición del citado medio de defensa sólo originó el trámite de un expediente y, por otra, que quede firme la sentencia recurrida, en términos del artículo 356, fracción II, del Código Federal de Procedimientos Civiles, de aplicación supletoria conforme al artículo 2o., de la Ley de Amparo. En consecuencia, cuando se presenta ante el Juez de primera instancia el desistimiento de la demanda de amparo durante el trámite del recurso de revisión, y éste sea desechado por la falta de legitimación de la parte que lo interpuso, corresponderá a ese juzgador, quien dictó la sentencia impugnada, conocer de dicha manifestación en el ámbito de su competencia, en virtud de que el tribunal revisor carecerá de jurisdicción sobre el asunto al no haberse colmado uno de los presupuestos procesales de dicho recurso.”</w:t>
      </w:r>
    </w:p>
    <w:p w14:paraId="72050BF3" w14:textId="77777777" w:rsidR="009913F3" w:rsidRPr="00EE4D54" w:rsidRDefault="009913F3" w:rsidP="00AF2F72">
      <w:pPr>
        <w:pBdr>
          <w:top w:val="nil"/>
          <w:left w:val="nil"/>
          <w:bottom w:val="nil"/>
          <w:right w:val="nil"/>
          <w:between w:val="nil"/>
        </w:pBdr>
        <w:rPr>
          <w:rFonts w:ascii="Palatino Linotype" w:eastAsia="Palatino Linotype" w:hAnsi="Palatino Linotype" w:cs="Palatino Linotype"/>
          <w:color w:val="000000"/>
          <w:sz w:val="16"/>
          <w:szCs w:val="16"/>
        </w:rPr>
      </w:pPr>
    </w:p>
  </w:footnote>
  <w:footnote w:id="2">
    <w:p w14:paraId="46A85240" w14:textId="77777777" w:rsidR="009913F3" w:rsidRPr="00EE4D54" w:rsidRDefault="009913F3" w:rsidP="00AF2F72">
      <w:pPr>
        <w:pBdr>
          <w:top w:val="nil"/>
          <w:left w:val="nil"/>
          <w:bottom w:val="nil"/>
          <w:right w:val="nil"/>
          <w:between w:val="nil"/>
        </w:pBdr>
        <w:jc w:val="both"/>
        <w:rPr>
          <w:rFonts w:ascii="Palatino Linotype" w:eastAsia="Palatino Linotype" w:hAnsi="Palatino Linotype" w:cs="Palatino Linotype"/>
          <w:color w:val="000000"/>
          <w:sz w:val="16"/>
          <w:szCs w:val="16"/>
        </w:rPr>
      </w:pPr>
      <w:r w:rsidRPr="00EE4D54">
        <w:rPr>
          <w:rFonts w:ascii="Palatino Linotype" w:hAnsi="Palatino Linotype"/>
          <w:sz w:val="16"/>
          <w:szCs w:val="16"/>
          <w:vertAlign w:val="superscript"/>
        </w:rPr>
        <w:footnoteRef/>
      </w:r>
      <w:r w:rsidRPr="00EE4D54">
        <w:rPr>
          <w:rFonts w:ascii="Palatino Linotype" w:eastAsia="Palatino Linotype" w:hAnsi="Palatino Linotype" w:cs="Palatino Linotype"/>
          <w:color w:val="000000"/>
          <w:sz w:val="16"/>
          <w:szCs w:val="16"/>
        </w:rPr>
        <w:t xml:space="preserve"> </w:t>
      </w:r>
      <w:r w:rsidRPr="00EE4D54">
        <w:rPr>
          <w:rFonts w:ascii="Palatino Linotype" w:eastAsia="Palatino Linotype" w:hAnsi="Palatino Linotype" w:cs="Palatino Linotype"/>
          <w:b/>
          <w:color w:val="000000"/>
          <w:sz w:val="16"/>
          <w:szCs w:val="16"/>
        </w:rPr>
        <w:t>Cuerpo de tesis:</w:t>
      </w:r>
      <w:r w:rsidRPr="00EE4D54">
        <w:rPr>
          <w:rFonts w:ascii="Palatino Linotype" w:eastAsia="Palatino Linotype" w:hAnsi="Palatino Linotype" w:cs="Palatino Linotype"/>
          <w:color w:val="000000"/>
          <w:sz w:val="16"/>
          <w:szCs w:val="16"/>
        </w:rPr>
        <w:t xml:space="preserve"> No causa agravio la sentencia que no se ocupa de los razonamientos tendientes a demostrar la inconstitucionalidad de los actos reclamados de las autoridades responsables, que constituyen el problema de fondo, si se decreta el sobreseimiento del juicio.</w:t>
      </w:r>
    </w:p>
    <w:p w14:paraId="42684D86" w14:textId="77777777" w:rsidR="009913F3" w:rsidRPr="00EE4D54" w:rsidRDefault="009913F3" w:rsidP="00AF2F72">
      <w:pPr>
        <w:pBdr>
          <w:top w:val="nil"/>
          <w:left w:val="nil"/>
          <w:bottom w:val="nil"/>
          <w:right w:val="nil"/>
          <w:between w:val="nil"/>
        </w:pBdr>
        <w:jc w:val="both"/>
        <w:rPr>
          <w:rFonts w:ascii="Palatino Linotype" w:eastAsia="Palatino Linotype" w:hAnsi="Palatino Linotype" w:cs="Palatino Linotype"/>
          <w:color w:val="000000"/>
          <w:sz w:val="16"/>
          <w:szCs w:val="16"/>
        </w:rPr>
      </w:pPr>
      <w:r w:rsidRPr="00EE4D54">
        <w:rPr>
          <w:rFonts w:ascii="Palatino Linotype" w:eastAsia="Palatino Linotype" w:hAnsi="Palatino Linotype" w:cs="Palatino Linotype"/>
          <w:b/>
          <w:color w:val="000000"/>
          <w:sz w:val="16"/>
          <w:szCs w:val="16"/>
        </w:rPr>
        <w:t>Localización</w:t>
      </w:r>
      <w:r w:rsidRPr="00EE4D54">
        <w:rPr>
          <w:rFonts w:ascii="Palatino Linotype" w:eastAsia="Palatino Linotype" w:hAnsi="Palatino Linotype" w:cs="Palatino Linotype"/>
          <w:color w:val="000000"/>
          <w:sz w:val="16"/>
          <w:szCs w:val="16"/>
        </w:rPr>
        <w:t>: 2</w:t>
      </w:r>
      <w:r w:rsidRPr="00EE4D54">
        <w:rPr>
          <w:rFonts w:ascii="Palatino Linotype" w:eastAsia="Palatino Linotype" w:hAnsi="Palatino Linotype" w:cs="Palatino Linotype"/>
          <w:color w:val="000000"/>
          <w:sz w:val="16"/>
          <w:szCs w:val="16"/>
          <w:highlight w:val="white"/>
        </w:rPr>
        <w:t>13609. II.2o.183 K. Tribunales Colegiados de Circuito. Octava Época. Semanario Judicial de la Federación. Tomo XIII, Febrero de 1994, Pág. 420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2251" w14:textId="77777777" w:rsidR="009913F3" w:rsidRDefault="009913F3">
    <w:pPr>
      <w:rPr>
        <w:rFonts w:ascii="Cambria" w:eastAsia="Cambria" w:hAnsi="Cambria" w:cs="Cambria"/>
        <w:color w:val="000000"/>
      </w:rPr>
    </w:pPr>
    <w:r>
      <w:rPr>
        <w:noProof/>
      </w:rPr>
      <w:drawing>
        <wp:anchor distT="0" distB="0" distL="0" distR="0" simplePos="0" relativeHeight="251658240" behindDoc="1" locked="0" layoutInCell="1" hidden="0" allowOverlap="1" wp14:anchorId="600932E5" wp14:editId="5BF26032">
          <wp:simplePos x="0" y="0"/>
          <wp:positionH relativeFrom="column">
            <wp:posOffset>-1080098</wp:posOffset>
          </wp:positionH>
          <wp:positionV relativeFrom="paragraph">
            <wp:posOffset>-488271</wp:posOffset>
          </wp:positionV>
          <wp:extent cx="7809865" cy="10165715"/>
          <wp:effectExtent l="0" t="0" r="0" b="0"/>
          <wp:wrapNone/>
          <wp:docPr id="20832964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e"/>
      <w:tblW w:w="5953" w:type="dxa"/>
      <w:tblInd w:w="3261" w:type="dxa"/>
      <w:tblLayout w:type="fixed"/>
      <w:tblLook w:val="0400" w:firstRow="0" w:lastRow="0" w:firstColumn="0" w:lastColumn="0" w:noHBand="0" w:noVBand="1"/>
    </w:tblPr>
    <w:tblGrid>
      <w:gridCol w:w="2489"/>
      <w:gridCol w:w="3464"/>
    </w:tblGrid>
    <w:tr w:rsidR="009913F3" w14:paraId="786DF86C" w14:textId="77777777">
      <w:tc>
        <w:tcPr>
          <w:tcW w:w="2489" w:type="dxa"/>
          <w:shd w:val="clear" w:color="auto" w:fill="auto"/>
        </w:tcPr>
        <w:p w14:paraId="655062CD" w14:textId="77777777" w:rsidR="009913F3" w:rsidRDefault="009913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57EB4975" w14:textId="77777777" w:rsidR="009913F3" w:rsidRDefault="009913F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00974/INFOEM/IP/RR/2025</w:t>
          </w:r>
        </w:p>
      </w:tc>
    </w:tr>
    <w:tr w:rsidR="009913F3" w14:paraId="4A94AE4A" w14:textId="77777777">
      <w:trPr>
        <w:trHeight w:val="228"/>
      </w:trPr>
      <w:tc>
        <w:tcPr>
          <w:tcW w:w="2489" w:type="dxa"/>
          <w:shd w:val="clear" w:color="auto" w:fill="auto"/>
          <w:vAlign w:val="center"/>
        </w:tcPr>
        <w:p w14:paraId="2DE04F28" w14:textId="77777777" w:rsidR="009913F3" w:rsidRDefault="009913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11497831" w14:textId="77777777" w:rsidR="009913F3" w:rsidRDefault="009913F3">
          <w:pPr>
            <w:ind w:left="-45" w:right="176"/>
            <w:jc w:val="both"/>
            <w:rPr>
              <w:rFonts w:ascii="Palatino Linotype" w:eastAsia="Palatino Linotype" w:hAnsi="Palatino Linotype" w:cs="Palatino Linotype"/>
              <w:b/>
              <w:sz w:val="22"/>
              <w:szCs w:val="22"/>
            </w:rPr>
          </w:pPr>
          <w:r w:rsidRPr="00953E39">
            <w:rPr>
              <w:rFonts w:ascii="Palatino Linotype" w:eastAsia="Palatino Linotype" w:hAnsi="Palatino Linotype" w:cs="Palatino Linotype"/>
              <w:b/>
              <w:sz w:val="22"/>
              <w:szCs w:val="22"/>
            </w:rPr>
            <w:t>Ayuntamiento de Melchor Ocampo</w:t>
          </w:r>
        </w:p>
      </w:tc>
    </w:tr>
    <w:tr w:rsidR="009913F3" w14:paraId="36FAF1CB" w14:textId="77777777">
      <w:tc>
        <w:tcPr>
          <w:tcW w:w="2489" w:type="dxa"/>
          <w:shd w:val="clear" w:color="auto" w:fill="auto"/>
          <w:vAlign w:val="center"/>
        </w:tcPr>
        <w:p w14:paraId="44EF3974" w14:textId="77777777" w:rsidR="009913F3" w:rsidRDefault="009913F3">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87BF88D" w14:textId="77777777" w:rsidR="009913F3" w:rsidRDefault="009913F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41AD7E7" w14:textId="77777777" w:rsidR="009913F3" w:rsidRDefault="009913F3">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7A061" w14:textId="77777777" w:rsidR="009913F3" w:rsidRDefault="009913F3">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7C61324E" wp14:editId="37D3D9DD">
          <wp:simplePos x="0" y="0"/>
          <wp:positionH relativeFrom="column">
            <wp:posOffset>-1080123</wp:posOffset>
          </wp:positionH>
          <wp:positionV relativeFrom="paragraph">
            <wp:posOffset>-369899</wp:posOffset>
          </wp:positionV>
          <wp:extent cx="7809865" cy="10165715"/>
          <wp:effectExtent l="0" t="0" r="0" b="0"/>
          <wp:wrapNone/>
          <wp:docPr id="20832964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
      <w:tblW w:w="5953" w:type="dxa"/>
      <w:tblInd w:w="3261" w:type="dxa"/>
      <w:tblLayout w:type="fixed"/>
      <w:tblLook w:val="0400" w:firstRow="0" w:lastRow="0" w:firstColumn="0" w:lastColumn="0" w:noHBand="0" w:noVBand="1"/>
    </w:tblPr>
    <w:tblGrid>
      <w:gridCol w:w="2489"/>
      <w:gridCol w:w="3464"/>
    </w:tblGrid>
    <w:tr w:rsidR="009913F3" w14:paraId="1D1A20D0" w14:textId="77777777">
      <w:tc>
        <w:tcPr>
          <w:tcW w:w="2489" w:type="dxa"/>
          <w:shd w:val="clear" w:color="auto" w:fill="auto"/>
        </w:tcPr>
        <w:p w14:paraId="4040839A" w14:textId="77777777" w:rsidR="009913F3" w:rsidRDefault="009913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06058709" w14:textId="77777777" w:rsidR="009913F3" w:rsidRDefault="009913F3" w:rsidP="00953E39">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00974/INFOEM/IP/RR/2025</w:t>
          </w:r>
        </w:p>
      </w:tc>
    </w:tr>
    <w:tr w:rsidR="009913F3" w14:paraId="5FBBD2DD" w14:textId="77777777">
      <w:tc>
        <w:tcPr>
          <w:tcW w:w="2489" w:type="dxa"/>
          <w:shd w:val="clear" w:color="auto" w:fill="auto"/>
        </w:tcPr>
        <w:p w14:paraId="0E699C6A" w14:textId="77777777" w:rsidR="009913F3" w:rsidRDefault="009913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04A2419D" w14:textId="5AEBD69E" w:rsidR="009913F3" w:rsidRDefault="00EB35C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XXXXXXXXXXX XXXXXXXXX XXXXXX</w:t>
          </w:r>
        </w:p>
      </w:tc>
    </w:tr>
    <w:tr w:rsidR="009913F3" w14:paraId="6DB45C96" w14:textId="77777777">
      <w:trPr>
        <w:trHeight w:val="228"/>
      </w:trPr>
      <w:tc>
        <w:tcPr>
          <w:tcW w:w="2489" w:type="dxa"/>
          <w:shd w:val="clear" w:color="auto" w:fill="auto"/>
          <w:vAlign w:val="center"/>
        </w:tcPr>
        <w:p w14:paraId="43955648" w14:textId="77777777" w:rsidR="009913F3" w:rsidRDefault="009913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531BD482" w14:textId="77777777" w:rsidR="009913F3" w:rsidRDefault="009913F3">
          <w:pPr>
            <w:ind w:left="-45" w:right="176"/>
            <w:jc w:val="both"/>
            <w:rPr>
              <w:rFonts w:ascii="Palatino Linotype" w:eastAsia="Palatino Linotype" w:hAnsi="Palatino Linotype" w:cs="Palatino Linotype"/>
              <w:b/>
              <w:sz w:val="22"/>
              <w:szCs w:val="22"/>
            </w:rPr>
          </w:pPr>
          <w:r w:rsidRPr="00953E39">
            <w:rPr>
              <w:rFonts w:ascii="Palatino Linotype" w:eastAsia="Palatino Linotype" w:hAnsi="Palatino Linotype" w:cs="Palatino Linotype"/>
              <w:b/>
              <w:sz w:val="22"/>
              <w:szCs w:val="22"/>
            </w:rPr>
            <w:t>Ayuntamiento de Melchor Ocampo</w:t>
          </w:r>
        </w:p>
      </w:tc>
    </w:tr>
    <w:tr w:rsidR="009913F3" w14:paraId="3050DA56" w14:textId="77777777">
      <w:tc>
        <w:tcPr>
          <w:tcW w:w="2489" w:type="dxa"/>
          <w:shd w:val="clear" w:color="auto" w:fill="auto"/>
          <w:vAlign w:val="center"/>
        </w:tcPr>
        <w:p w14:paraId="3B50CCC5" w14:textId="77777777" w:rsidR="009913F3" w:rsidRDefault="009913F3">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5CC7929" w14:textId="77777777" w:rsidR="009913F3" w:rsidRDefault="009913F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8D4D0D0" w14:textId="77777777" w:rsidR="009913F3" w:rsidRDefault="009913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FF0895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2A8E4123"/>
    <w:multiLevelType w:val="multilevel"/>
    <w:tmpl w:val="5C34BA94"/>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1F9"/>
    <w:rsid w:val="00051E16"/>
    <w:rsid w:val="000601B8"/>
    <w:rsid w:val="00070288"/>
    <w:rsid w:val="000E227F"/>
    <w:rsid w:val="001011E8"/>
    <w:rsid w:val="001123BF"/>
    <w:rsid w:val="001B0639"/>
    <w:rsid w:val="001C1EBD"/>
    <w:rsid w:val="001F5B87"/>
    <w:rsid w:val="00203664"/>
    <w:rsid w:val="0021193C"/>
    <w:rsid w:val="00236445"/>
    <w:rsid w:val="00295279"/>
    <w:rsid w:val="002E4148"/>
    <w:rsid w:val="002F651E"/>
    <w:rsid w:val="003308B5"/>
    <w:rsid w:val="00395EC4"/>
    <w:rsid w:val="003D6A59"/>
    <w:rsid w:val="003F6C75"/>
    <w:rsid w:val="00412291"/>
    <w:rsid w:val="004B340B"/>
    <w:rsid w:val="004E3554"/>
    <w:rsid w:val="005144D0"/>
    <w:rsid w:val="0057219F"/>
    <w:rsid w:val="005801F9"/>
    <w:rsid w:val="005D1D04"/>
    <w:rsid w:val="005E63E4"/>
    <w:rsid w:val="00607492"/>
    <w:rsid w:val="006B3AA7"/>
    <w:rsid w:val="006B50E9"/>
    <w:rsid w:val="0077680C"/>
    <w:rsid w:val="00807A23"/>
    <w:rsid w:val="00864D38"/>
    <w:rsid w:val="00877C54"/>
    <w:rsid w:val="00893069"/>
    <w:rsid w:val="008B2464"/>
    <w:rsid w:val="008B6D60"/>
    <w:rsid w:val="008F40FD"/>
    <w:rsid w:val="00910A9B"/>
    <w:rsid w:val="0092720E"/>
    <w:rsid w:val="00953E39"/>
    <w:rsid w:val="009559E5"/>
    <w:rsid w:val="00981391"/>
    <w:rsid w:val="009913F3"/>
    <w:rsid w:val="009D756E"/>
    <w:rsid w:val="00A83CFD"/>
    <w:rsid w:val="00AB1056"/>
    <w:rsid w:val="00AD15F5"/>
    <w:rsid w:val="00AD7AFF"/>
    <w:rsid w:val="00AF2F72"/>
    <w:rsid w:val="00B772F9"/>
    <w:rsid w:val="00B84E28"/>
    <w:rsid w:val="00BB3EFA"/>
    <w:rsid w:val="00BE0573"/>
    <w:rsid w:val="00C4757F"/>
    <w:rsid w:val="00D11B55"/>
    <w:rsid w:val="00D35A52"/>
    <w:rsid w:val="00DA3A17"/>
    <w:rsid w:val="00DE3909"/>
    <w:rsid w:val="00E41AB3"/>
    <w:rsid w:val="00E43966"/>
    <w:rsid w:val="00EB35C4"/>
    <w:rsid w:val="00EE11CB"/>
    <w:rsid w:val="00EE5E8E"/>
    <w:rsid w:val="00EF4001"/>
    <w:rsid w:val="00F16421"/>
    <w:rsid w:val="00F35AD7"/>
    <w:rsid w:val="00F37F06"/>
    <w:rsid w:val="00F64ED1"/>
    <w:rsid w:val="00F95D67"/>
    <w:rsid w:val="00FA2A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6CEF"/>
  <w15:docId w15:val="{5DB6EAA8-DD6C-4926-8409-0E239F1E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b"/>
    <w:tblPr>
      <w:tblStyleRowBandSize w:val="1"/>
      <w:tblStyleColBandSize w:val="1"/>
      <w:tblCellMar>
        <w:left w:w="115" w:type="dxa"/>
        <w:right w:w="115" w:type="dxa"/>
      </w:tblCellMar>
    </w:tblPr>
  </w:style>
  <w:style w:type="table" w:customStyle="1" w:styleId="a0">
    <w:basedOn w:val="TableNormalb"/>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NormalWeb">
    <w:name w:val="Normal (Web)"/>
    <w:basedOn w:val="Normal"/>
    <w:uiPriority w:val="99"/>
    <w:semiHidden/>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a1">
    <w:basedOn w:val="TableNormalb"/>
    <w:tblPr>
      <w:tblStyleRowBandSize w:val="1"/>
      <w:tblStyleColBandSize w:val="1"/>
      <w:tblCellMar>
        <w:left w:w="115" w:type="dxa"/>
        <w:right w:w="115" w:type="dxa"/>
      </w:tblCellMar>
    </w:tblPr>
  </w:style>
  <w:style w:type="table" w:customStyle="1" w:styleId="a2">
    <w:basedOn w:val="TableNormalb"/>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a"/>
    <w:tblPr>
      <w:tblStyleRowBandSize w:val="1"/>
      <w:tblStyleColBandSize w:val="1"/>
      <w:tblCellMar>
        <w:left w:w="115" w:type="dxa"/>
        <w:right w:w="115" w:type="dxa"/>
      </w:tblCellMar>
    </w:tblPr>
  </w:style>
  <w:style w:type="table" w:customStyle="1" w:styleId="a4">
    <w:basedOn w:val="TableNormala"/>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1"/>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INAI"/>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INAI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a5">
    <w:basedOn w:val="TableNormal9"/>
    <w:tblPr>
      <w:tblStyleRowBandSize w:val="1"/>
      <w:tblStyleColBandSize w:val="1"/>
      <w:tblCellMar>
        <w:left w:w="108" w:type="dxa"/>
        <w:right w:w="108" w:type="dxa"/>
      </w:tblCellMar>
    </w:tblPr>
  </w:style>
  <w:style w:type="table" w:customStyle="1" w:styleId="a6">
    <w:basedOn w:val="TableNormal9"/>
    <w:tblPr>
      <w:tblStyleRowBandSize w:val="1"/>
      <w:tblStyleColBandSize w:val="1"/>
      <w:tblCellMar>
        <w:left w:w="108" w:type="dxa"/>
        <w:right w:w="108" w:type="dxa"/>
      </w:tblCellMar>
    </w:tblPr>
  </w:style>
  <w:style w:type="table" w:customStyle="1" w:styleId="a7">
    <w:basedOn w:val="TableNormal9"/>
    <w:tblPr>
      <w:tblStyleRowBandSize w:val="1"/>
      <w:tblStyleColBandSize w:val="1"/>
      <w:tblCellMar>
        <w:left w:w="108" w:type="dxa"/>
        <w:right w:w="108" w:type="dxa"/>
      </w:tblCellMar>
    </w:tblPr>
  </w:style>
  <w:style w:type="table" w:customStyle="1" w:styleId="a8">
    <w:basedOn w:val="TableNormal9"/>
    <w:tblPr>
      <w:tblStyleRowBandSize w:val="1"/>
      <w:tblStyleColBandSize w:val="1"/>
      <w:tblCellMar>
        <w:left w:w="108" w:type="dxa"/>
        <w:right w:w="108" w:type="dxa"/>
      </w:tblCellMar>
    </w:tblPr>
  </w:style>
  <w:style w:type="table" w:customStyle="1" w:styleId="a9">
    <w:basedOn w:val="TableNormal9"/>
    <w:tblPr>
      <w:tblStyleRowBandSize w:val="1"/>
      <w:tblStyleColBandSize w:val="1"/>
      <w:tblCellMar>
        <w:left w:w="108" w:type="dxa"/>
        <w:right w:w="108" w:type="dxa"/>
      </w:tblCellMar>
    </w:tblPr>
  </w:style>
  <w:style w:type="table" w:customStyle="1" w:styleId="aa">
    <w:basedOn w:val="TableNormal9"/>
    <w:tblPr>
      <w:tblStyleRowBandSize w:val="1"/>
      <w:tblStyleColBandSize w:val="1"/>
      <w:tblCellMar>
        <w:left w:w="115" w:type="dxa"/>
        <w:right w:w="115" w:type="dxa"/>
      </w:tblCellMar>
    </w:tblPr>
  </w:style>
  <w:style w:type="table" w:customStyle="1" w:styleId="ab">
    <w:basedOn w:val="TableNormal9"/>
    <w:tblPr>
      <w:tblStyleRowBandSize w:val="1"/>
      <w:tblStyleColBandSize w:val="1"/>
      <w:tblCellMar>
        <w:left w:w="115" w:type="dxa"/>
        <w:right w:w="115" w:type="dxa"/>
      </w:tblCellMar>
    </w:tblPr>
  </w:style>
  <w:style w:type="table" w:customStyle="1" w:styleId="ac">
    <w:basedOn w:val="TableNormal8"/>
    <w:tblPr>
      <w:tblStyleRowBandSize w:val="1"/>
      <w:tblStyleColBandSize w:val="1"/>
      <w:tblCellMar>
        <w:left w:w="108" w:type="dxa"/>
        <w:right w:w="108" w:type="dxa"/>
      </w:tblCellMar>
    </w:tblPr>
  </w:style>
  <w:style w:type="table" w:customStyle="1" w:styleId="ad">
    <w:basedOn w:val="TableNormal8"/>
    <w:tblPr>
      <w:tblStyleRowBandSize w:val="1"/>
      <w:tblStyleColBandSize w:val="1"/>
      <w:tblCellMar>
        <w:left w:w="115" w:type="dxa"/>
        <w:right w:w="115" w:type="dxa"/>
      </w:tblCellMar>
    </w:tblPr>
  </w:style>
  <w:style w:type="table" w:customStyle="1" w:styleId="ae">
    <w:basedOn w:val="TableNormal8"/>
    <w:tblPr>
      <w:tblStyleRowBandSize w:val="1"/>
      <w:tblStyleColBandSize w:val="1"/>
      <w:tblCellMar>
        <w:left w:w="115" w:type="dxa"/>
        <w:right w:w="115" w:type="dxa"/>
      </w:tblCellMar>
    </w:tblPr>
  </w:style>
  <w:style w:type="table" w:customStyle="1" w:styleId="af">
    <w:basedOn w:val="TableNormal7"/>
    <w:tblPr>
      <w:tblStyleRowBandSize w:val="1"/>
      <w:tblStyleColBandSize w:val="1"/>
      <w:tblCellMar>
        <w:left w:w="115" w:type="dxa"/>
        <w:right w:w="115" w:type="dxa"/>
      </w:tblCellMar>
    </w:tblPr>
  </w:style>
  <w:style w:type="table" w:customStyle="1" w:styleId="af0">
    <w:basedOn w:val="TableNormal7"/>
    <w:tblPr>
      <w:tblStyleRowBandSize w:val="1"/>
      <w:tblStyleColBandSize w:val="1"/>
      <w:tblCellMar>
        <w:left w:w="115" w:type="dxa"/>
        <w:right w:w="115" w:type="dxa"/>
      </w:tblCellMar>
    </w:tblPr>
  </w:style>
  <w:style w:type="table" w:customStyle="1" w:styleId="af1">
    <w:basedOn w:val="TableNormal7"/>
    <w:tblPr>
      <w:tblStyleRowBandSize w:val="1"/>
      <w:tblStyleColBandSize w:val="1"/>
      <w:tblCellMar>
        <w:left w:w="115" w:type="dxa"/>
        <w:right w:w="115" w:type="dxa"/>
      </w:tblCellMar>
    </w:tblPr>
  </w:style>
  <w:style w:type="table" w:customStyle="1" w:styleId="af2">
    <w:basedOn w:val="TableNormal6"/>
    <w:tblPr>
      <w:tblStyleRowBandSize w:val="1"/>
      <w:tblStyleColBandSize w:val="1"/>
      <w:tblCellMar>
        <w:left w:w="115" w:type="dxa"/>
        <w:right w:w="115" w:type="dxa"/>
      </w:tblCellMar>
    </w:tblPr>
  </w:style>
  <w:style w:type="table" w:customStyle="1" w:styleId="af3">
    <w:basedOn w:val="TableNormal6"/>
    <w:tblPr>
      <w:tblStyleRowBandSize w:val="1"/>
      <w:tblStyleColBandSize w:val="1"/>
      <w:tblCellMar>
        <w:left w:w="115" w:type="dxa"/>
        <w:right w:w="115" w:type="dxa"/>
      </w:tblCellMar>
    </w:tblPr>
  </w:style>
  <w:style w:type="table" w:customStyle="1" w:styleId="af4">
    <w:basedOn w:val="TableNormal5"/>
    <w:tblPr>
      <w:tblStyleRowBandSize w:val="1"/>
      <w:tblStyleColBandSize w:val="1"/>
      <w:tblCellMar>
        <w:left w:w="115" w:type="dxa"/>
        <w:right w:w="115" w:type="dxa"/>
      </w:tblCellMar>
    </w:tblPr>
  </w:style>
  <w:style w:type="table" w:customStyle="1" w:styleId="af5">
    <w:basedOn w:val="TableNormal5"/>
    <w:tblPr>
      <w:tblStyleRowBandSize w:val="1"/>
      <w:tblStyleColBandSize w:val="1"/>
      <w:tblCellMar>
        <w:left w:w="115" w:type="dxa"/>
        <w:right w:w="115" w:type="dxa"/>
      </w:tblCellMar>
    </w:tblPr>
  </w:style>
  <w:style w:type="table" w:customStyle="1" w:styleId="af6">
    <w:basedOn w:val="TableNormal4"/>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2C02D7"/>
    <w:rPr>
      <w:b/>
      <w:bCs/>
    </w:rPr>
  </w:style>
  <w:style w:type="character" w:customStyle="1" w:styleId="object">
    <w:name w:val="object"/>
    <w:basedOn w:val="Fuentedeprrafopredeter"/>
    <w:rsid w:val="002C02D7"/>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paragraph" w:styleId="Lista">
    <w:name w:val="List"/>
    <w:basedOn w:val="Normal"/>
    <w:uiPriority w:val="99"/>
    <w:unhideWhenUsed/>
    <w:rsid w:val="008B2464"/>
    <w:pPr>
      <w:ind w:left="283" w:hanging="283"/>
      <w:contextualSpacing/>
    </w:pPr>
  </w:style>
  <w:style w:type="paragraph" w:styleId="Lista2">
    <w:name w:val="List 2"/>
    <w:basedOn w:val="Normal"/>
    <w:uiPriority w:val="99"/>
    <w:unhideWhenUsed/>
    <w:rsid w:val="008B2464"/>
    <w:pPr>
      <w:ind w:left="566" w:hanging="283"/>
      <w:contextualSpacing/>
    </w:pPr>
  </w:style>
  <w:style w:type="paragraph" w:styleId="Listaconvietas2">
    <w:name w:val="List Bullet 2"/>
    <w:basedOn w:val="Normal"/>
    <w:uiPriority w:val="99"/>
    <w:unhideWhenUsed/>
    <w:rsid w:val="008B2464"/>
    <w:pPr>
      <w:numPr>
        <w:numId w:val="2"/>
      </w:numPr>
      <w:contextualSpacing/>
    </w:pPr>
  </w:style>
  <w:style w:type="paragraph" w:styleId="Continuarlista">
    <w:name w:val="List Continue"/>
    <w:basedOn w:val="Normal"/>
    <w:uiPriority w:val="99"/>
    <w:unhideWhenUsed/>
    <w:rsid w:val="008B2464"/>
    <w:pPr>
      <w:spacing w:after="120"/>
      <w:ind w:left="283"/>
      <w:contextualSpacing/>
    </w:pPr>
  </w:style>
  <w:style w:type="paragraph" w:styleId="Textoindependiente">
    <w:name w:val="Body Text"/>
    <w:basedOn w:val="Normal"/>
    <w:link w:val="TextoindependienteCar"/>
    <w:uiPriority w:val="99"/>
    <w:unhideWhenUsed/>
    <w:rsid w:val="008B2464"/>
    <w:pPr>
      <w:spacing w:after="120"/>
    </w:pPr>
  </w:style>
  <w:style w:type="character" w:customStyle="1" w:styleId="TextoindependienteCar">
    <w:name w:val="Texto independiente Car"/>
    <w:basedOn w:val="Fuentedeprrafopredeter"/>
    <w:link w:val="Textoindependiente"/>
    <w:uiPriority w:val="99"/>
    <w:rsid w:val="008B2464"/>
  </w:style>
  <w:style w:type="paragraph" w:styleId="Sangradetextonormal">
    <w:name w:val="Body Text Indent"/>
    <w:basedOn w:val="Normal"/>
    <w:link w:val="SangradetextonormalCar"/>
    <w:uiPriority w:val="99"/>
    <w:unhideWhenUsed/>
    <w:rsid w:val="008B2464"/>
    <w:pPr>
      <w:spacing w:after="120"/>
      <w:ind w:left="283"/>
    </w:pPr>
  </w:style>
  <w:style w:type="character" w:customStyle="1" w:styleId="SangradetextonormalCar">
    <w:name w:val="Sangría de texto normal Car"/>
    <w:basedOn w:val="Fuentedeprrafopredeter"/>
    <w:link w:val="Sangradetextonormal"/>
    <w:uiPriority w:val="99"/>
    <w:rsid w:val="008B2464"/>
  </w:style>
  <w:style w:type="paragraph" w:styleId="Textoindependienteprimerasangra2">
    <w:name w:val="Body Text First Indent 2"/>
    <w:basedOn w:val="Sangradetextonormal"/>
    <w:link w:val="Textoindependienteprimerasangra2Car"/>
    <w:uiPriority w:val="99"/>
    <w:unhideWhenUsed/>
    <w:rsid w:val="008B246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2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l64rMqIfVd2viLygbINqjchk7w==">CgMxLjAyCWguM3JkY3JqbjIJaC40ZDM0b2c4MghoLmdqZGd4czIJaC4zZHk2dmttMgloLjMwajB6bGwyCWguMnM4ZXlvMTIIaC50eWpjd3QyCWguM3pueXNoNzIJaC4yZXQ5MnAwMgloLjF0M2g1c2YyDmgub3QzcXE2dnhhMDhmOAByITFyNWlzUGFCQjVGcEtFbDh4ZzRMYllrbGpmSTJibFVqUg==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03560B-EA0E-4085-A66F-5733907FE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4030</Words>
  <Characters>22166</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2025-03-14T16:55:00Z</cp:lastPrinted>
  <dcterms:created xsi:type="dcterms:W3CDTF">2025-04-01T19:53:00Z</dcterms:created>
  <dcterms:modified xsi:type="dcterms:W3CDTF">2025-04-01T19:53:00Z</dcterms:modified>
</cp:coreProperties>
</file>