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4943D175"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F51907">
        <w:rPr>
          <w:rFonts w:ascii="Palatino Linotype" w:eastAsia="Palatino Linotype" w:hAnsi="Palatino Linotype" w:cs="Palatino Linotype"/>
          <w:color w:val="000000"/>
        </w:rPr>
        <w:t xml:space="preserve">seis de marzo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11A4FE97"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CA47DE">
        <w:rPr>
          <w:rFonts w:ascii="Palatino Linotype" w:eastAsia="Palatino Linotype" w:hAnsi="Palatino Linotype" w:cs="Palatino Linotype"/>
          <w:b/>
          <w:sz w:val="23"/>
          <w:szCs w:val="23"/>
        </w:rPr>
        <w:t>07</w:t>
      </w:r>
      <w:r w:rsidR="001F570D">
        <w:rPr>
          <w:rFonts w:ascii="Palatino Linotype" w:eastAsia="Palatino Linotype" w:hAnsi="Palatino Linotype" w:cs="Palatino Linotype"/>
          <w:b/>
          <w:sz w:val="23"/>
          <w:szCs w:val="23"/>
        </w:rPr>
        <w:t>85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sidR="001F570D">
        <w:rPr>
          <w:rFonts w:ascii="Palatino Linotype" w:eastAsia="Palatino Linotype" w:hAnsi="Palatino Linotype" w:cs="Palatino Linotype"/>
        </w:rPr>
        <w:t>el</w:t>
      </w:r>
      <w:r>
        <w:rPr>
          <w:rFonts w:ascii="Palatino Linotype" w:eastAsia="Palatino Linotype" w:hAnsi="Palatino Linotype" w:cs="Palatino Linotype"/>
        </w:rPr>
        <w:t xml:space="preserve"> </w:t>
      </w:r>
      <w:r w:rsidRPr="00693587">
        <w:rPr>
          <w:rFonts w:ascii="Palatino Linotype" w:eastAsia="Palatino Linotype" w:hAnsi="Palatino Linotype" w:cs="Palatino Linotype"/>
          <w:b/>
        </w:rPr>
        <w:t xml:space="preserve">C. </w:t>
      </w:r>
      <w:r w:rsidR="00C73E62">
        <w:rPr>
          <w:rFonts w:ascii="Palatino Linotype" w:eastAsia="Palatino Linotype" w:hAnsi="Palatino Linotype" w:cs="Palatino Linotype"/>
          <w:b/>
        </w:rPr>
        <w:t>XXXXXXXXXXXXXXXXXXXXXX</w:t>
      </w:r>
      <w:bookmarkStart w:id="0" w:name="_GoBack"/>
      <w:bookmarkEnd w:id="0"/>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CA47DE" w:rsidRPr="00CA47DE">
        <w:rPr>
          <w:rFonts w:ascii="Palatino Linotype" w:eastAsia="Palatino Linotype" w:hAnsi="Palatino Linotype" w:cs="Palatino Linotype"/>
          <w:b/>
        </w:rPr>
        <w:t xml:space="preserve">Ayuntamiento de </w:t>
      </w:r>
      <w:r w:rsidR="001F570D">
        <w:rPr>
          <w:rFonts w:ascii="Palatino Linotype" w:eastAsia="Palatino Linotype" w:hAnsi="Palatino Linotype" w:cs="Palatino Linotype"/>
          <w:b/>
        </w:rPr>
        <w:t>Villa del Carbón</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799838CA" w14:textId="5B7AD1A2"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DF52F2">
        <w:rPr>
          <w:rFonts w:ascii="Palatino Linotype" w:eastAsia="Palatino Linotype" w:hAnsi="Palatino Linotype" w:cs="Palatino Linotype"/>
        </w:rPr>
        <w:t>quince de enero</w:t>
      </w:r>
      <w:r>
        <w:rPr>
          <w:rFonts w:ascii="Palatino Linotype" w:eastAsia="Palatino Linotype" w:hAnsi="Palatino Linotype" w:cs="Palatino Linotype"/>
        </w:rPr>
        <w:t xml:space="preserve"> de dos mil veintic</w:t>
      </w:r>
      <w:r w:rsidR="00DF52F2">
        <w:rPr>
          <w:rFonts w:ascii="Palatino Linotype" w:eastAsia="Palatino Linotype" w:hAnsi="Palatino Linotype" w:cs="Palatino Linotype"/>
        </w:rPr>
        <w:t>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DF52F2" w:rsidRPr="00DF52F2">
        <w:rPr>
          <w:rFonts w:ascii="Palatino Linotype" w:eastAsia="Palatino Linotype" w:hAnsi="Palatino Linotype" w:cs="Palatino Linotype"/>
          <w:b/>
        </w:rPr>
        <w:t>00012/VICARBO/IP/2025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02E8BA14" w14:textId="77777777" w:rsidR="00CA47DE" w:rsidRPr="00CA47DE" w:rsidRDefault="00CA47DE">
      <w:pPr>
        <w:spacing w:line="360" w:lineRule="auto"/>
        <w:jc w:val="both"/>
        <w:rPr>
          <w:rStyle w:val="Ttulodellibro"/>
          <w:rFonts w:eastAsia="Palatino Linotype"/>
          <w:sz w:val="20"/>
          <w:szCs w:val="20"/>
        </w:rPr>
      </w:pPr>
    </w:p>
    <w:p w14:paraId="06B64386" w14:textId="0EB7EF91" w:rsidR="00785E98" w:rsidRDefault="00693587" w:rsidP="00DF52F2">
      <w:pPr>
        <w:spacing w:line="276" w:lineRule="auto"/>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DF52F2" w:rsidRPr="00DF52F2">
        <w:rPr>
          <w:rFonts w:ascii="Palatino Linotype" w:eastAsia="Palatino Linotype" w:hAnsi="Palatino Linotype" w:cs="Palatino Linotype"/>
          <w:i/>
        </w:rPr>
        <w:t xml:space="preserve">solicito el nombre de la empresa y razón social con la cual se han realizado la sustitución de luminarias en el municipio durante el mes de enero, así como saber si la contratación de dicha empresa fue a través de licitación, adjudicación directa o </w:t>
      </w:r>
      <w:proofErr w:type="spellStart"/>
      <w:r w:rsidR="00DF52F2" w:rsidRPr="00DF52F2">
        <w:rPr>
          <w:rFonts w:ascii="Palatino Linotype" w:eastAsia="Palatino Linotype" w:hAnsi="Palatino Linotype" w:cs="Palatino Linotype"/>
          <w:i/>
        </w:rPr>
        <w:t>invitacion</w:t>
      </w:r>
      <w:proofErr w:type="spellEnd"/>
      <w:r w:rsidR="00DF52F2" w:rsidRPr="00DF52F2">
        <w:rPr>
          <w:rFonts w:ascii="Palatino Linotype" w:eastAsia="Palatino Linotype" w:hAnsi="Palatino Linotype" w:cs="Palatino Linotype"/>
          <w:i/>
        </w:rPr>
        <w:t xml:space="preserve"> restringida</w:t>
      </w:r>
      <w:r w:rsidRPr="00693587">
        <w:rPr>
          <w:rFonts w:ascii="Palatino Linotype" w:eastAsia="Palatino Linotype" w:hAnsi="Palatino Linotype" w:cs="Palatino Linotype"/>
          <w:i/>
        </w:rPr>
        <w:t xml:space="preserve">” (Sic). </w:t>
      </w:r>
    </w:p>
    <w:p w14:paraId="721F11B2" w14:textId="77777777" w:rsidR="00CA47DE" w:rsidRPr="00CA47DE" w:rsidRDefault="00CA47DE" w:rsidP="00693587">
      <w:pPr>
        <w:ind w:left="567" w:right="474"/>
        <w:jc w:val="both"/>
        <w:rPr>
          <w:rFonts w:ascii="Palatino Linotype" w:eastAsia="Palatino Linotype" w:hAnsi="Palatino Linotype" w:cs="Palatino Linotype"/>
          <w:i/>
          <w:sz w:val="18"/>
          <w:szCs w:val="18"/>
        </w:rPr>
      </w:pPr>
    </w:p>
    <w:p w14:paraId="19491BC9" w14:textId="77777777" w:rsidR="00693587" w:rsidRPr="00693587" w:rsidRDefault="00693587" w:rsidP="00693587">
      <w:pPr>
        <w:ind w:left="567" w:right="474"/>
        <w:jc w:val="both"/>
        <w:rPr>
          <w:rFonts w:ascii="Palatino Linotype" w:eastAsia="Palatino Linotype" w:hAnsi="Palatino Linotype" w:cs="Palatino Linotype"/>
          <w:i/>
        </w:rPr>
      </w:pPr>
    </w:p>
    <w:p w14:paraId="08EF778A" w14:textId="2CF6C50A" w:rsidR="00CA47DE"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04AC6473" w14:textId="77777777" w:rsidR="00CA47DE" w:rsidRDefault="00CA47DE">
      <w:pPr>
        <w:spacing w:line="360" w:lineRule="auto"/>
        <w:ind w:right="850"/>
        <w:jc w:val="both"/>
        <w:rPr>
          <w:rFonts w:ascii="Palatino Linotype" w:eastAsia="Palatino Linotype" w:hAnsi="Palatino Linotype" w:cs="Palatino Linotype"/>
        </w:rPr>
      </w:pP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375BFDCC"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DF52F2">
        <w:rPr>
          <w:rFonts w:ascii="Palatino Linotype" w:eastAsia="Palatino Linotype" w:hAnsi="Palatino Linotype" w:cs="Palatino Linotype"/>
        </w:rPr>
        <w:t>siete</w:t>
      </w:r>
      <w:r w:rsidR="00CA47DE">
        <w:rPr>
          <w:rFonts w:ascii="Palatino Linotype" w:eastAsia="Palatino Linotype" w:hAnsi="Palatino Linotype" w:cs="Palatino Linotype"/>
        </w:rPr>
        <w:t xml:space="preserve"> de febrero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CA47DE">
        <w:rPr>
          <w:rFonts w:ascii="Palatino Linotype" w:eastAsia="Palatino Linotype" w:hAnsi="Palatino Linotype" w:cs="Palatino Linotype"/>
          <w:b/>
          <w:sz w:val="23"/>
          <w:szCs w:val="23"/>
        </w:rPr>
        <w:t>07</w:t>
      </w:r>
      <w:r w:rsidR="00DF52F2">
        <w:rPr>
          <w:rFonts w:ascii="Palatino Linotype" w:eastAsia="Palatino Linotype" w:hAnsi="Palatino Linotype" w:cs="Palatino Linotype"/>
          <w:b/>
          <w:sz w:val="23"/>
          <w:szCs w:val="23"/>
        </w:rPr>
        <w:t>85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06733F6E" w:rsidR="00785E98" w:rsidRPr="00693587" w:rsidRDefault="00693587" w:rsidP="00DF52F2">
      <w:pPr>
        <w:pStyle w:val="Prrafodelista"/>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DF52F2" w:rsidRPr="00DF52F2">
        <w:rPr>
          <w:rFonts w:ascii="Palatino Linotype" w:eastAsia="Palatino Linotype" w:hAnsi="Palatino Linotype" w:cs="Palatino Linotype"/>
          <w:i/>
          <w:color w:val="000000"/>
        </w:rPr>
        <w:t>no se me entrego la información solicitada</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008CB5D3" w:rsidR="00693587" w:rsidRPr="00693587" w:rsidRDefault="00693587" w:rsidP="00DF52F2">
      <w:pPr>
        <w:pStyle w:val="Prrafodelista"/>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DF52F2" w:rsidRPr="00DF52F2">
        <w:rPr>
          <w:rFonts w:ascii="Palatino Linotype" w:eastAsia="Palatino Linotype" w:hAnsi="Palatino Linotype" w:cs="Palatino Linotype"/>
          <w:i/>
          <w:color w:val="000000"/>
        </w:rPr>
        <w:t xml:space="preserve">Mi solicitud de información no fue contestada como lo indica el </w:t>
      </w:r>
      <w:proofErr w:type="spellStart"/>
      <w:r w:rsidR="00DF52F2" w:rsidRPr="00DF52F2">
        <w:rPr>
          <w:rFonts w:ascii="Palatino Linotype" w:eastAsia="Palatino Linotype" w:hAnsi="Palatino Linotype" w:cs="Palatino Linotype"/>
          <w:i/>
          <w:color w:val="000000"/>
        </w:rPr>
        <w:t>articulo</w:t>
      </w:r>
      <w:proofErr w:type="spellEnd"/>
      <w:r w:rsidR="00DF52F2" w:rsidRPr="00DF52F2">
        <w:rPr>
          <w:rFonts w:ascii="Palatino Linotype" w:eastAsia="Palatino Linotype" w:hAnsi="Palatino Linotype" w:cs="Palatino Linotype"/>
          <w:i/>
          <w:color w:val="000000"/>
        </w:rPr>
        <w:t xml:space="preserve"> 163 de la Ley de Transparencia y Acceso a la Información Pública del Estado de México y Municipios</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2A28CC85" w14:textId="31280EB5"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E94B1F">
        <w:rPr>
          <w:rFonts w:ascii="Palatino Linotype" w:eastAsia="Palatino Linotype" w:hAnsi="Palatino Linotype" w:cs="Palatino Linotype"/>
        </w:rPr>
        <w:t>doce de febrero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087D424C"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E94B1F">
        <w:rPr>
          <w:rFonts w:ascii="Palatino Linotype" w:eastAsia="Palatino Linotype" w:hAnsi="Palatino Linotype" w:cs="Palatino Linotype"/>
        </w:rPr>
        <w:t>veinticuatro de febrero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36507CFF"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Pr>
          <w:rFonts w:ascii="Palatino Linotype" w:eastAsia="Palatino Linotype" w:hAnsi="Palatino Linotype" w:cs="Palatino Linotype"/>
          <w:color w:val="222222"/>
          <w:highlight w:val="white"/>
        </w:rPr>
        <w:lastRenderedPageBreak/>
        <w:t>Transparencia, Acceso a la Información Pública y Protección de Datos Personales del Estado de México y Municipios.</w:t>
      </w:r>
    </w:p>
    <w:p w14:paraId="48D819EE"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la interpretación al precepto legal inserto, se advierte que el plazo que les asiste a los Sujetos Obligados para notificar la respuesta a una solicitud de información pública, es de quince días hábiles posteriores a la presentación de ésta.</w:t>
      </w:r>
    </w:p>
    <w:p w14:paraId="338DEC58" w14:textId="77777777" w:rsidR="00785E98" w:rsidRDefault="00785E98">
      <w:pPr>
        <w:spacing w:line="360" w:lineRule="auto"/>
        <w:jc w:val="both"/>
        <w:rPr>
          <w:rFonts w:ascii="Palatino Linotype" w:eastAsia="Palatino Linotype" w:hAnsi="Palatino Linotype" w:cs="Palatino Linotype"/>
        </w:rPr>
      </w:pPr>
    </w:p>
    <w:p w14:paraId="25C9D193" w14:textId="68C9124A" w:rsidR="00785E98" w:rsidRDefault="005D216E" w:rsidP="00DF52F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A3D2365" w14:textId="77777777" w:rsidR="00DF52F2" w:rsidRPr="00DF52F2" w:rsidRDefault="00DF52F2" w:rsidP="00DF52F2">
      <w:pPr>
        <w:spacing w:line="360" w:lineRule="auto"/>
        <w:jc w:val="both"/>
        <w:rPr>
          <w:rFonts w:ascii="Palatino Linotype" w:eastAsia="Palatino Linotype" w:hAnsi="Palatino Linotype" w:cs="Palatino Linotype"/>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w:t>
      </w:r>
      <w:r>
        <w:rPr>
          <w:rFonts w:ascii="Palatino Linotype" w:eastAsia="Palatino Linotype" w:hAnsi="Palatino Linotype" w:cs="Palatino Linotype"/>
          <w:color w:val="000000"/>
        </w:rPr>
        <w:lastRenderedPageBreak/>
        <w:t xml:space="preserve">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BA994AD" w14:textId="77777777" w:rsidR="00785E98" w:rsidRDefault="00785E98">
      <w:pPr>
        <w:spacing w:line="360" w:lineRule="auto"/>
        <w:jc w:val="both"/>
        <w:rPr>
          <w:rFonts w:ascii="Palatino Linotype" w:eastAsia="Palatino Linotype" w:hAnsi="Palatino Linotype" w:cs="Palatino Linotype"/>
        </w:rPr>
      </w:pPr>
    </w:p>
    <w:p w14:paraId="119FBBE0" w14:textId="77777777" w:rsidR="00DF52F2" w:rsidRPr="00DF52F2" w:rsidRDefault="00DF52F2" w:rsidP="00DF52F2">
      <w:pPr>
        <w:autoSpaceDE w:val="0"/>
        <w:autoSpaceDN w:val="0"/>
        <w:adjustRightInd w:val="0"/>
        <w:spacing w:line="360" w:lineRule="auto"/>
        <w:jc w:val="both"/>
        <w:rPr>
          <w:rFonts w:ascii="Palatino Linotype" w:hAnsi="Palatino Linotype" w:cs="Arial"/>
          <w:b/>
          <w:lang w:eastAsia="es-ES"/>
        </w:rPr>
      </w:pPr>
      <w:r w:rsidRPr="00DF52F2">
        <w:rPr>
          <w:rFonts w:ascii="Palatino Linotype" w:hAnsi="Palatino Linotype" w:cs="Arial"/>
          <w:b/>
          <w:sz w:val="28"/>
          <w:lang w:eastAsia="es-ES"/>
        </w:rPr>
        <w:t>TERCERO. Cuestiones de previo y especial pronunciamiento</w:t>
      </w:r>
      <w:r w:rsidRPr="00DF52F2">
        <w:rPr>
          <w:rFonts w:ascii="Palatino Linotype" w:hAnsi="Palatino Linotype" w:cs="Arial"/>
          <w:b/>
          <w:lang w:eastAsia="es-ES"/>
        </w:rPr>
        <w:t>.</w:t>
      </w:r>
    </w:p>
    <w:p w14:paraId="37F747C8" w14:textId="77777777" w:rsidR="00DF52F2" w:rsidRPr="00DF52F2" w:rsidRDefault="00DF52F2" w:rsidP="00DF52F2">
      <w:pPr>
        <w:spacing w:line="360" w:lineRule="auto"/>
        <w:jc w:val="both"/>
        <w:rPr>
          <w:rFonts w:ascii="Palatino Linotype" w:hAnsi="Palatino Linotype" w:cs="Arial"/>
          <w:lang w:eastAsia="es-ES"/>
        </w:rPr>
      </w:pPr>
      <w:r w:rsidRPr="00DF52F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F52F2">
        <w:rPr>
          <w:rFonts w:ascii="Palatino Linotype" w:hAnsi="Palatino Linotype"/>
          <w:b/>
          <w:lang w:eastAsia="es-ES"/>
        </w:rPr>
        <w:t>Recurrente,</w:t>
      </w:r>
      <w:r w:rsidRPr="00DF52F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DF52F2">
        <w:rPr>
          <w:rFonts w:ascii="Palatino Linotype" w:hAnsi="Palatino Linotype" w:cs="Arial"/>
          <w:lang w:eastAsia="es-ES"/>
        </w:rPr>
        <w:t>, del cual no se colige que corresponda al nombre de una persona.</w:t>
      </w:r>
    </w:p>
    <w:p w14:paraId="2489A178" w14:textId="77777777" w:rsidR="00DF52F2" w:rsidRPr="00DF52F2" w:rsidRDefault="00DF52F2" w:rsidP="00DF52F2">
      <w:pPr>
        <w:spacing w:line="360" w:lineRule="auto"/>
        <w:jc w:val="both"/>
        <w:rPr>
          <w:rFonts w:ascii="Palatino Linotype" w:hAnsi="Palatino Linotype"/>
          <w:lang w:eastAsia="es-ES"/>
        </w:rPr>
      </w:pPr>
    </w:p>
    <w:p w14:paraId="4F043BF4" w14:textId="77777777" w:rsidR="00DF52F2" w:rsidRPr="00DF52F2" w:rsidRDefault="00DF52F2" w:rsidP="00DF52F2">
      <w:pPr>
        <w:widowControl w:val="0"/>
        <w:autoSpaceDE w:val="0"/>
        <w:autoSpaceDN w:val="0"/>
        <w:adjustRightInd w:val="0"/>
        <w:spacing w:line="360" w:lineRule="auto"/>
        <w:jc w:val="both"/>
        <w:rPr>
          <w:rFonts w:ascii="Palatino Linotype" w:hAnsi="Palatino Linotype" w:cs="Arial"/>
          <w:lang w:eastAsia="es-ES"/>
        </w:rPr>
      </w:pPr>
      <w:r w:rsidRPr="00DF52F2">
        <w:rPr>
          <w:rFonts w:ascii="Palatino Linotype" w:hAnsi="Palatino Linotype" w:cs="Arial"/>
          <w:lang w:eastAsia="es-ES"/>
        </w:rPr>
        <w:t xml:space="preserve">Esta Ponencia considera importante abordar el análisis de los requisitos de procedibilidad de los recursos de revisión, así el artículo 180 de la </w:t>
      </w:r>
      <w:r w:rsidRPr="00DF52F2">
        <w:rPr>
          <w:rFonts w:ascii="Palatino Linotype" w:hAnsi="Palatino Linotype" w:cs="Arial"/>
        </w:rPr>
        <w:t xml:space="preserve">Ley de Transparencia y Acceso a la Información Pública del Estado de México y Municipios, que </w:t>
      </w:r>
      <w:r w:rsidRPr="00DF52F2">
        <w:rPr>
          <w:rFonts w:ascii="Palatino Linotype" w:hAnsi="Palatino Linotype" w:cs="Arial"/>
          <w:lang w:eastAsia="es-ES"/>
        </w:rPr>
        <w:t>establece lo siguiente:</w:t>
      </w:r>
    </w:p>
    <w:p w14:paraId="707CE4CB" w14:textId="77777777" w:rsidR="00DF52F2" w:rsidRPr="00DF52F2" w:rsidRDefault="00DF52F2" w:rsidP="00DF52F2">
      <w:pPr>
        <w:rPr>
          <w:lang w:val="es-MX" w:eastAsia="es-ES"/>
        </w:rPr>
      </w:pPr>
    </w:p>
    <w:p w14:paraId="026221D5" w14:textId="77777777" w:rsidR="00DF52F2" w:rsidRPr="00DF52F2" w:rsidRDefault="00DF52F2" w:rsidP="00DF52F2">
      <w:pPr>
        <w:ind w:left="567" w:right="616"/>
        <w:jc w:val="both"/>
        <w:rPr>
          <w:rFonts w:ascii="Palatino Linotype" w:hAnsi="Palatino Linotype"/>
          <w:b/>
          <w:i/>
          <w:sz w:val="22"/>
          <w:lang w:eastAsia="es-ES"/>
        </w:rPr>
      </w:pPr>
      <w:r w:rsidRPr="00DF52F2">
        <w:rPr>
          <w:rFonts w:ascii="Palatino Linotype" w:hAnsi="Palatino Linotype"/>
          <w:i/>
          <w:sz w:val="22"/>
          <w:lang w:eastAsia="es-ES"/>
        </w:rPr>
        <w:t>“</w:t>
      </w:r>
      <w:r w:rsidRPr="00DF52F2">
        <w:rPr>
          <w:rFonts w:ascii="Palatino Linotype" w:hAnsi="Palatino Linotype"/>
          <w:b/>
          <w:i/>
          <w:sz w:val="22"/>
          <w:lang w:eastAsia="es-ES"/>
        </w:rPr>
        <w:t xml:space="preserve">Artículo 180. </w:t>
      </w:r>
      <w:r w:rsidRPr="00DF52F2">
        <w:rPr>
          <w:rFonts w:ascii="Palatino Linotype" w:hAnsi="Palatino Linotype"/>
          <w:i/>
          <w:sz w:val="22"/>
          <w:lang w:eastAsia="es-ES"/>
        </w:rPr>
        <w:t xml:space="preserve">El </w:t>
      </w:r>
      <w:r w:rsidRPr="00DF52F2">
        <w:rPr>
          <w:rFonts w:ascii="Palatino Linotype" w:hAnsi="Palatino Linotype" w:cs="Arial"/>
          <w:i/>
          <w:sz w:val="22"/>
          <w:lang w:eastAsia="es-ES"/>
        </w:rPr>
        <w:t>recurso</w:t>
      </w:r>
      <w:r w:rsidRPr="00DF52F2">
        <w:rPr>
          <w:rFonts w:ascii="Palatino Linotype" w:hAnsi="Palatino Linotype"/>
          <w:i/>
          <w:sz w:val="22"/>
          <w:lang w:eastAsia="es-ES"/>
        </w:rPr>
        <w:t xml:space="preserve"> </w:t>
      </w:r>
      <w:r w:rsidRPr="00DF52F2">
        <w:rPr>
          <w:rFonts w:ascii="Palatino Linotype" w:hAnsi="Palatino Linotype" w:cs="Arial"/>
          <w:i/>
          <w:sz w:val="22"/>
        </w:rPr>
        <w:t>de</w:t>
      </w:r>
      <w:r w:rsidRPr="00DF52F2">
        <w:rPr>
          <w:rFonts w:ascii="Palatino Linotype" w:hAnsi="Palatino Linotype"/>
          <w:i/>
          <w:sz w:val="22"/>
          <w:lang w:eastAsia="es-ES"/>
        </w:rPr>
        <w:t xml:space="preserve"> revisión contendrá:</w:t>
      </w:r>
      <w:r w:rsidRPr="00DF52F2">
        <w:rPr>
          <w:rFonts w:ascii="Palatino Linotype" w:hAnsi="Palatino Linotype"/>
          <w:b/>
          <w:i/>
          <w:sz w:val="22"/>
          <w:lang w:eastAsia="es-ES"/>
        </w:rPr>
        <w:t xml:space="preserve"> </w:t>
      </w:r>
    </w:p>
    <w:p w14:paraId="09B89304" w14:textId="77777777" w:rsidR="00DF52F2" w:rsidRPr="00DF52F2" w:rsidRDefault="00DF52F2" w:rsidP="00DF52F2">
      <w:pPr>
        <w:ind w:left="567" w:right="616"/>
        <w:jc w:val="both"/>
        <w:rPr>
          <w:rFonts w:ascii="Palatino Linotype" w:hAnsi="Palatino Linotype"/>
          <w:b/>
          <w:i/>
          <w:sz w:val="22"/>
          <w:lang w:eastAsia="es-ES"/>
        </w:rPr>
      </w:pPr>
      <w:r w:rsidRPr="00DF52F2">
        <w:rPr>
          <w:rFonts w:ascii="Palatino Linotype" w:hAnsi="Palatino Linotype"/>
          <w:b/>
          <w:i/>
          <w:sz w:val="22"/>
          <w:lang w:eastAsia="es-ES"/>
        </w:rPr>
        <w:lastRenderedPageBreak/>
        <w:t xml:space="preserve">I. </w:t>
      </w:r>
      <w:r w:rsidRPr="00DF52F2">
        <w:rPr>
          <w:rFonts w:ascii="Palatino Linotype" w:hAnsi="Palatino Linotype"/>
          <w:i/>
          <w:sz w:val="22"/>
          <w:lang w:eastAsia="es-ES"/>
        </w:rPr>
        <w:t xml:space="preserve">El sujeto obligado ante </w:t>
      </w:r>
      <w:r w:rsidRPr="00DF52F2">
        <w:rPr>
          <w:rFonts w:ascii="Palatino Linotype" w:hAnsi="Palatino Linotype" w:cs="Arial"/>
          <w:i/>
          <w:sz w:val="22"/>
          <w:lang w:eastAsia="es-ES"/>
        </w:rPr>
        <w:t>la</w:t>
      </w:r>
      <w:r w:rsidRPr="00DF52F2">
        <w:rPr>
          <w:rFonts w:ascii="Palatino Linotype" w:hAnsi="Palatino Linotype"/>
          <w:i/>
          <w:sz w:val="22"/>
          <w:lang w:eastAsia="es-ES"/>
        </w:rPr>
        <w:t xml:space="preserve"> cual </w:t>
      </w:r>
      <w:r w:rsidRPr="00DF52F2">
        <w:rPr>
          <w:rFonts w:ascii="Palatino Linotype" w:hAnsi="Palatino Linotype" w:cs="Arial"/>
          <w:i/>
          <w:sz w:val="22"/>
        </w:rPr>
        <w:t>se</w:t>
      </w:r>
      <w:r w:rsidRPr="00DF52F2">
        <w:rPr>
          <w:rFonts w:ascii="Palatino Linotype" w:hAnsi="Palatino Linotype"/>
          <w:i/>
          <w:sz w:val="22"/>
          <w:lang w:eastAsia="es-ES"/>
        </w:rPr>
        <w:t xml:space="preserve"> presentó la solicitud;</w:t>
      </w:r>
      <w:r w:rsidRPr="00DF52F2">
        <w:rPr>
          <w:rFonts w:ascii="Palatino Linotype" w:hAnsi="Palatino Linotype"/>
          <w:b/>
          <w:i/>
          <w:sz w:val="22"/>
          <w:lang w:eastAsia="es-ES"/>
        </w:rPr>
        <w:t xml:space="preserve"> </w:t>
      </w:r>
    </w:p>
    <w:p w14:paraId="08ECC17F" w14:textId="77777777" w:rsidR="00DF52F2" w:rsidRPr="00DF52F2" w:rsidRDefault="00DF52F2" w:rsidP="00DF52F2">
      <w:pPr>
        <w:ind w:left="567" w:right="616"/>
        <w:jc w:val="both"/>
        <w:rPr>
          <w:rFonts w:ascii="Palatino Linotype" w:hAnsi="Palatino Linotype"/>
          <w:b/>
          <w:i/>
          <w:sz w:val="22"/>
          <w:lang w:eastAsia="es-ES"/>
        </w:rPr>
      </w:pPr>
      <w:r w:rsidRPr="00DF52F2">
        <w:rPr>
          <w:rFonts w:ascii="Palatino Linotype" w:hAnsi="Palatino Linotype"/>
          <w:b/>
          <w:i/>
          <w:sz w:val="22"/>
          <w:lang w:eastAsia="es-ES"/>
        </w:rPr>
        <w:t xml:space="preserve">II. </w:t>
      </w:r>
      <w:r w:rsidRPr="00DF52F2">
        <w:rPr>
          <w:rFonts w:ascii="Palatino Linotype" w:hAnsi="Palatino Linotype"/>
          <w:b/>
          <w:i/>
          <w:sz w:val="22"/>
          <w:u w:val="single"/>
          <w:lang w:eastAsia="es-ES"/>
        </w:rPr>
        <w:t xml:space="preserve">El nombre del solicitante </w:t>
      </w:r>
      <w:r w:rsidRPr="00DF52F2">
        <w:rPr>
          <w:rFonts w:ascii="Palatino Linotype" w:hAnsi="Palatino Linotype" w:cs="Arial"/>
          <w:b/>
          <w:i/>
          <w:sz w:val="22"/>
          <w:u w:val="single"/>
        </w:rPr>
        <w:t>que</w:t>
      </w:r>
      <w:r w:rsidRPr="00DF52F2">
        <w:rPr>
          <w:rFonts w:ascii="Palatino Linotype" w:hAnsi="Palatino Linotype"/>
          <w:b/>
          <w:i/>
          <w:sz w:val="22"/>
          <w:u w:val="single"/>
          <w:lang w:eastAsia="es-ES"/>
        </w:rPr>
        <w:t xml:space="preserve"> recurre</w:t>
      </w:r>
      <w:r w:rsidRPr="00DF52F2">
        <w:rPr>
          <w:rFonts w:ascii="Palatino Linotype" w:hAnsi="Palatino Linotype"/>
          <w:b/>
          <w:i/>
          <w:sz w:val="22"/>
          <w:lang w:eastAsia="es-ES"/>
        </w:rPr>
        <w:t xml:space="preserve"> </w:t>
      </w:r>
      <w:r w:rsidRPr="00DF52F2">
        <w:rPr>
          <w:rFonts w:ascii="Palatino Linotype" w:hAnsi="Palatino Linotype"/>
          <w:i/>
          <w:sz w:val="22"/>
          <w:lang w:eastAsia="es-ES"/>
        </w:rPr>
        <w:t>o de su representante y, en su caso, del tercero interesado, así como la dirección o medio que señale para recibir notificaciones;</w:t>
      </w:r>
      <w:r w:rsidRPr="00DF52F2">
        <w:rPr>
          <w:rFonts w:ascii="Palatino Linotype" w:hAnsi="Palatino Linotype"/>
          <w:b/>
          <w:i/>
          <w:sz w:val="22"/>
          <w:lang w:eastAsia="es-ES"/>
        </w:rPr>
        <w:t xml:space="preserve"> </w:t>
      </w:r>
    </w:p>
    <w:p w14:paraId="7DC7E2B7" w14:textId="77777777" w:rsidR="00DF52F2" w:rsidRPr="00DF52F2" w:rsidRDefault="00DF52F2" w:rsidP="00DF52F2">
      <w:pPr>
        <w:widowControl w:val="0"/>
        <w:autoSpaceDE w:val="0"/>
        <w:autoSpaceDN w:val="0"/>
        <w:adjustRightInd w:val="0"/>
        <w:spacing w:line="360" w:lineRule="auto"/>
        <w:jc w:val="both"/>
        <w:rPr>
          <w:rFonts w:ascii="Palatino Linotype" w:hAnsi="Palatino Linotype"/>
          <w:lang w:eastAsia="es-ES"/>
        </w:rPr>
      </w:pPr>
    </w:p>
    <w:p w14:paraId="78518343" w14:textId="77777777" w:rsidR="00DF52F2" w:rsidRPr="00DF52F2" w:rsidRDefault="00DF52F2" w:rsidP="00DF52F2">
      <w:pPr>
        <w:widowControl w:val="0"/>
        <w:autoSpaceDE w:val="0"/>
        <w:autoSpaceDN w:val="0"/>
        <w:adjustRightInd w:val="0"/>
        <w:spacing w:line="360" w:lineRule="auto"/>
        <w:jc w:val="both"/>
        <w:rPr>
          <w:rFonts w:ascii="Palatino Linotype" w:hAnsi="Palatino Linotype"/>
          <w:lang w:eastAsia="es-ES"/>
        </w:rPr>
      </w:pPr>
      <w:r w:rsidRPr="00DF52F2">
        <w:rPr>
          <w:rFonts w:ascii="Palatino Linotype" w:hAnsi="Palatino Linotype"/>
          <w:lang w:eastAsia="es-ES"/>
        </w:rPr>
        <w:t xml:space="preserve">En principio, de una interpretación del artículo transcrito se observan los requisitos que </w:t>
      </w:r>
      <w:r w:rsidRPr="00DF52F2">
        <w:rPr>
          <w:rFonts w:ascii="Palatino Linotype" w:hAnsi="Palatino Linotype" w:cs="Arial"/>
          <w:lang w:eastAsia="es-ES"/>
        </w:rPr>
        <w:t>deberán</w:t>
      </w:r>
      <w:r w:rsidRPr="00DF52F2">
        <w:rPr>
          <w:rFonts w:ascii="Palatino Linotype" w:hAnsi="Palatino Linotype"/>
          <w:lang w:eastAsia="es-ES"/>
        </w:rPr>
        <w:t xml:space="preserve"> contener los recursos de revisión; sobre el particular, de la revisión del expediente electrónico del </w:t>
      </w:r>
      <w:r w:rsidRPr="00DF52F2">
        <w:rPr>
          <w:rFonts w:ascii="Palatino Linotype" w:hAnsi="Palatino Linotype"/>
          <w:b/>
          <w:lang w:eastAsia="es-ES"/>
        </w:rPr>
        <w:t>SAIMEX</w:t>
      </w:r>
      <w:r w:rsidRPr="00DF52F2">
        <w:rPr>
          <w:rFonts w:ascii="Palatino Linotype" w:hAnsi="Palatino Linotype"/>
          <w:lang w:eastAsia="es-ES"/>
        </w:rPr>
        <w:t xml:space="preserve"> se desprende que el solicitante y ahora </w:t>
      </w:r>
      <w:r w:rsidRPr="00DF52F2">
        <w:rPr>
          <w:rFonts w:ascii="Palatino Linotype" w:hAnsi="Palatino Linotype"/>
          <w:b/>
          <w:lang w:eastAsia="es-ES"/>
        </w:rPr>
        <w:t>Recurrente</w:t>
      </w:r>
      <w:r w:rsidRPr="00DF52F2">
        <w:rPr>
          <w:rFonts w:ascii="Palatino Linotype" w:hAnsi="Palatino Linotype"/>
          <w:lang w:eastAsia="es-ES"/>
        </w:rPr>
        <w:t xml:space="preserve">, en ejercicio de su derecho de acceso a la información pública, no proporcionó un nombre para que </w:t>
      </w:r>
      <w:r w:rsidRPr="00DF52F2">
        <w:rPr>
          <w:rFonts w:ascii="Palatino Linotype" w:hAnsi="Palatino Linotype" w:cs="Arial"/>
          <w:lang w:eastAsia="es-ES"/>
        </w:rPr>
        <w:t>sea</w:t>
      </w:r>
      <w:r w:rsidRPr="00DF52F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6A259327" w14:textId="77777777" w:rsidR="00DF52F2" w:rsidRPr="00DF52F2" w:rsidRDefault="00DF52F2" w:rsidP="00DF52F2">
      <w:pPr>
        <w:widowControl w:val="0"/>
        <w:autoSpaceDE w:val="0"/>
        <w:autoSpaceDN w:val="0"/>
        <w:adjustRightInd w:val="0"/>
        <w:spacing w:line="360" w:lineRule="auto"/>
        <w:jc w:val="both"/>
        <w:rPr>
          <w:rFonts w:ascii="Palatino Linotype" w:hAnsi="Palatino Linotype"/>
          <w:lang w:eastAsia="es-ES"/>
        </w:rPr>
      </w:pPr>
    </w:p>
    <w:p w14:paraId="3E8B3C13" w14:textId="77777777" w:rsidR="00DF52F2" w:rsidRPr="00DF52F2" w:rsidRDefault="00DF52F2" w:rsidP="00DF52F2">
      <w:pPr>
        <w:widowControl w:val="0"/>
        <w:autoSpaceDE w:val="0"/>
        <w:autoSpaceDN w:val="0"/>
        <w:adjustRightInd w:val="0"/>
        <w:spacing w:line="360" w:lineRule="auto"/>
        <w:jc w:val="both"/>
        <w:rPr>
          <w:rFonts w:ascii="Palatino Linotype" w:hAnsi="Palatino Linotype" w:cs="Arial"/>
          <w:lang w:eastAsia="es-ES"/>
        </w:rPr>
      </w:pPr>
      <w:r w:rsidRPr="00DF52F2">
        <w:rPr>
          <w:rFonts w:ascii="Palatino Linotype" w:hAnsi="Palatino Linotype"/>
          <w:lang w:eastAsia="es-ES"/>
        </w:rPr>
        <w:t xml:space="preserve">No obstante lo anterior, debe destacarse que el artículo 15, de </w:t>
      </w:r>
      <w:r w:rsidRPr="00DF52F2">
        <w:rPr>
          <w:rFonts w:ascii="Palatino Linotype" w:hAnsi="Palatino Linotype" w:cs="Arial"/>
        </w:rPr>
        <w:t xml:space="preserve">Ley de Transparencia y Acceso a la </w:t>
      </w:r>
      <w:r w:rsidRPr="00DF52F2">
        <w:rPr>
          <w:rFonts w:ascii="Palatino Linotype" w:hAnsi="Palatino Linotype" w:cs="Arial"/>
          <w:lang w:eastAsia="es-ES"/>
        </w:rPr>
        <w:t>Información</w:t>
      </w:r>
      <w:r w:rsidRPr="00DF52F2">
        <w:rPr>
          <w:rFonts w:ascii="Palatino Linotype" w:hAnsi="Palatino Linotype" w:cs="Arial"/>
        </w:rPr>
        <w:t xml:space="preserve"> Pública del Estado de México y Municipios </w:t>
      </w:r>
      <w:r w:rsidRPr="00DF52F2">
        <w:rPr>
          <w:rFonts w:ascii="Palatino Linotype" w:hAnsi="Palatino Linotype" w:cs="Arial"/>
          <w:iCs/>
          <w:lang w:eastAsia="es-ES"/>
        </w:rPr>
        <w:t xml:space="preserve">prevé que, </w:t>
      </w:r>
      <w:r w:rsidRPr="00DF52F2">
        <w:rPr>
          <w:rFonts w:ascii="Palatino Linotype" w:hAnsi="Palatino Linotype"/>
          <w:lang w:eastAsia="es-ES"/>
        </w:rPr>
        <w:t xml:space="preserve">toda persona tendrá acceso a la información </w:t>
      </w:r>
      <w:r w:rsidRPr="00DF52F2">
        <w:rPr>
          <w:rFonts w:ascii="Palatino Linotype" w:hAnsi="Palatino Linotype" w:cs="Arial"/>
          <w:lang w:eastAsia="es-ES"/>
        </w:rPr>
        <w:t xml:space="preserve">sin necesidad de acreditar interés alguno o justificar su utilización, de lo que se infiere que para el </w:t>
      </w:r>
      <w:r w:rsidRPr="00DF52F2">
        <w:rPr>
          <w:rFonts w:ascii="Palatino Linotype" w:hAnsi="Palatino Linotype"/>
          <w:lang w:eastAsia="es-ES"/>
        </w:rPr>
        <w:t>ejercicio</w:t>
      </w:r>
      <w:r w:rsidRPr="00DF52F2">
        <w:rPr>
          <w:rFonts w:ascii="Palatino Linotype" w:hAnsi="Palatino Linotype" w:cs="Arial"/>
          <w:lang w:eastAsia="es-ES"/>
        </w:rPr>
        <w:t xml:space="preserve"> del derecho de acceso a la información pública, el nombre no es un requisito </w:t>
      </w:r>
      <w:r w:rsidRPr="00DF52F2">
        <w:rPr>
          <w:rFonts w:ascii="Palatino Linotype" w:hAnsi="Palatino Linotype" w:cs="Arial"/>
          <w:i/>
          <w:lang w:eastAsia="es-ES"/>
        </w:rPr>
        <w:t>sine qua non</w:t>
      </w:r>
      <w:r w:rsidRPr="00DF52F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E8C76DF" w14:textId="77777777" w:rsidR="00DF52F2" w:rsidRPr="00DF52F2" w:rsidRDefault="00DF52F2" w:rsidP="00DF52F2">
      <w:pPr>
        <w:widowControl w:val="0"/>
        <w:autoSpaceDE w:val="0"/>
        <w:autoSpaceDN w:val="0"/>
        <w:adjustRightInd w:val="0"/>
        <w:spacing w:line="360" w:lineRule="auto"/>
        <w:jc w:val="both"/>
        <w:rPr>
          <w:rFonts w:ascii="Palatino Linotype" w:hAnsi="Palatino Linotype" w:cs="Arial"/>
          <w:lang w:eastAsia="es-ES"/>
        </w:rPr>
      </w:pPr>
    </w:p>
    <w:p w14:paraId="794F0208" w14:textId="7323C0DB" w:rsidR="00DF52F2" w:rsidRDefault="00DF52F2" w:rsidP="00DF52F2">
      <w:pPr>
        <w:widowControl w:val="0"/>
        <w:autoSpaceDE w:val="0"/>
        <w:autoSpaceDN w:val="0"/>
        <w:adjustRightInd w:val="0"/>
        <w:spacing w:line="360" w:lineRule="auto"/>
        <w:jc w:val="both"/>
        <w:rPr>
          <w:rFonts w:ascii="Palatino Linotype" w:hAnsi="Palatino Linotype"/>
          <w:lang w:eastAsia="es-ES"/>
        </w:rPr>
      </w:pPr>
      <w:r w:rsidRPr="00DF52F2">
        <w:rPr>
          <w:rFonts w:ascii="Palatino Linotype" w:hAnsi="Palatino Linotype"/>
          <w:lang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DF52F2">
        <w:rPr>
          <w:rFonts w:ascii="Palatino Linotype" w:hAnsi="Palatino Linotype" w:cs="Arial"/>
          <w:lang w:eastAsia="es-ES"/>
        </w:rPr>
        <w:t>derecho</w:t>
      </w:r>
      <w:r w:rsidRPr="00DF52F2">
        <w:rPr>
          <w:rFonts w:ascii="Palatino Linotype" w:hAnsi="Palatino Linotype"/>
          <w:lang w:eastAsia="es-ES"/>
        </w:rPr>
        <w:t xml:space="preserve"> fundamental exime a quien lo ejerce, de acreditar su legitimación en la causa o su interés en el asunto, lo que permite la posibilidad de que inclusive, la solicitud de acceso a la información pueda </w:t>
      </w:r>
      <w:r w:rsidRPr="00DF52F2">
        <w:rPr>
          <w:rFonts w:ascii="Palatino Linotype" w:hAnsi="Palatino Linotype"/>
          <w:lang w:eastAsia="es-ES"/>
        </w:rPr>
        <w:lastRenderedPageBreak/>
        <w:t>ser anónima o no contener un nombre que identifique al solicitante o que permita tener certeza sobre su identidad.</w:t>
      </w:r>
    </w:p>
    <w:p w14:paraId="513CB351" w14:textId="77777777" w:rsidR="00DF52F2" w:rsidRPr="00DF52F2" w:rsidRDefault="00DF52F2" w:rsidP="00DF52F2">
      <w:pPr>
        <w:widowControl w:val="0"/>
        <w:autoSpaceDE w:val="0"/>
        <w:autoSpaceDN w:val="0"/>
        <w:adjustRightInd w:val="0"/>
        <w:spacing w:line="360" w:lineRule="auto"/>
        <w:jc w:val="both"/>
        <w:rPr>
          <w:rFonts w:ascii="Palatino Linotype" w:hAnsi="Palatino Linotype"/>
          <w:lang w:eastAsia="es-ES"/>
        </w:rPr>
      </w:pPr>
    </w:p>
    <w:p w14:paraId="73B98FA1" w14:textId="686EAF7B" w:rsidR="00785E98" w:rsidRDefault="00DF52F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w:t>
      </w:r>
      <w:r>
        <w:rPr>
          <w:rFonts w:ascii="Palatino Linotype" w:eastAsia="Palatino Linotype" w:hAnsi="Palatino Linotype" w:cs="Palatino Linotype"/>
          <w:i/>
          <w:color w:val="000000"/>
          <w:sz w:val="22"/>
          <w:szCs w:val="22"/>
        </w:rPr>
        <w:lastRenderedPageBreak/>
        <w:t xml:space="preserve">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F0410D0" w14:textId="77777777" w:rsidR="00DF52F2" w:rsidRDefault="00DF52F2">
      <w:pPr>
        <w:spacing w:line="360" w:lineRule="auto"/>
        <w:jc w:val="both"/>
        <w:rPr>
          <w:rFonts w:ascii="Palatino Linotype" w:eastAsia="Palatino Linotype" w:hAnsi="Palatino Linotype" w:cs="Palatino Linotype"/>
        </w:rPr>
      </w:pP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al no existir causas de improcedencia invocadas por las partes ni advertidas de oficio por este Resolutor, se proceden al análisis del fondo de los asuntos en los siguientes términos.</w:t>
      </w:r>
    </w:p>
    <w:p w14:paraId="2242B7AC" w14:textId="3E6C4D42" w:rsidR="00785E98" w:rsidRDefault="00DF52F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0D35536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EF7E9A5" w14:textId="77777777" w:rsidR="00DF52F2" w:rsidRDefault="00DF52F2">
      <w:pPr>
        <w:spacing w:line="360" w:lineRule="auto"/>
        <w:jc w:val="both"/>
        <w:rPr>
          <w:rFonts w:ascii="Palatino Linotype" w:eastAsia="Palatino Linotype" w:hAnsi="Palatino Linotype" w:cs="Palatino Linotype"/>
        </w:rPr>
      </w:pPr>
    </w:p>
    <w:p w14:paraId="1E3F1516" w14:textId="77777777" w:rsidR="00DF52F2" w:rsidRDefault="00DF52F2">
      <w:pPr>
        <w:spacing w:line="360" w:lineRule="auto"/>
        <w:jc w:val="both"/>
        <w:rPr>
          <w:rFonts w:ascii="Palatino Linotype" w:eastAsia="Palatino Linotype" w:hAnsi="Palatino Linotype" w:cs="Palatino Linotype"/>
        </w:rPr>
      </w:pPr>
    </w:p>
    <w:p w14:paraId="50886275" w14:textId="77777777" w:rsidR="00DF52F2" w:rsidRDefault="00DF52F2">
      <w:pPr>
        <w:spacing w:line="360" w:lineRule="auto"/>
        <w:jc w:val="both"/>
        <w:rPr>
          <w:rFonts w:ascii="Palatino Linotype" w:eastAsia="Palatino Linotype" w:hAnsi="Palatino Linotype" w:cs="Palatino Linotype"/>
        </w:rPr>
      </w:pPr>
    </w:p>
    <w:p w14:paraId="4EFCC0CE" w14:textId="77777777" w:rsidR="00785E98" w:rsidRDefault="005D216E">
      <w:pPr>
        <w:numPr>
          <w:ilvl w:val="0"/>
          <w:numId w:val="1"/>
        </w:numPr>
        <w:pBdr>
          <w:top w:val="nil"/>
          <w:left w:val="nil"/>
          <w:bottom w:val="nil"/>
          <w:right w:val="nil"/>
          <w:between w:val="nil"/>
        </w:pBdr>
        <w:spacing w:after="160" w:line="360" w:lineRule="auto"/>
        <w:jc w:val="both"/>
        <w:rPr>
          <w:b/>
          <w:color w:val="000000"/>
          <w:sz w:val="28"/>
          <w:szCs w:val="28"/>
        </w:rPr>
      </w:pPr>
      <w:r>
        <w:rPr>
          <w:rFonts w:ascii="Palatino Linotype" w:eastAsia="Palatino Linotype" w:hAnsi="Palatino Linotype" w:cs="Palatino Linotype"/>
          <w:b/>
          <w:color w:val="000000"/>
          <w:sz w:val="28"/>
          <w:szCs w:val="28"/>
        </w:rPr>
        <w:lastRenderedPageBreak/>
        <w:t>De la clasificación de la información</w:t>
      </w:r>
    </w:p>
    <w:p w14:paraId="517D8DA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la clasificación de la información como reservada se deben establecer, de manera fundada y motivada, las hipótesis normativas aplicables al caso concreto y se analice </w:t>
      </w:r>
      <w:r>
        <w:rPr>
          <w:rFonts w:ascii="Palatino Linotype" w:eastAsia="Palatino Linotype" w:hAnsi="Palatino Linotype" w:cs="Palatino Linotype"/>
        </w:rPr>
        <w:lastRenderedPageBreak/>
        <w:t>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pPr>
        <w:numPr>
          <w:ilvl w:val="0"/>
          <w:numId w:val="1"/>
        </w:numPr>
        <w:pBdr>
          <w:top w:val="nil"/>
          <w:left w:val="nil"/>
          <w:bottom w:val="nil"/>
          <w:right w:val="nil"/>
          <w:between w:val="nil"/>
        </w:pBdr>
        <w:tabs>
          <w:tab w:val="left" w:pos="7938"/>
        </w:tabs>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no proporcionó respuesta a la solicitud de acceso a la información pública, en el término previsto en el artículo 163 de la Ley de </w:t>
      </w:r>
      <w:r>
        <w:rPr>
          <w:rFonts w:ascii="Palatino Linotype" w:eastAsia="Palatino Linotype" w:hAnsi="Palatino Linotype" w:cs="Palatino Linotype"/>
        </w:rPr>
        <w:lastRenderedPageBreak/>
        <w:t>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4FB21D2F"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DF52F2" w:rsidRPr="00DF52F2">
        <w:rPr>
          <w:rFonts w:ascii="Palatino Linotype" w:eastAsia="Palatino Linotype" w:hAnsi="Palatino Linotype" w:cs="Palatino Linotype"/>
          <w:b/>
        </w:rPr>
        <w:t>00012/VICARBO/IP/2025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78560DEE" w14:textId="77777777" w:rsidR="00E94B1F" w:rsidRPr="00CA19C9" w:rsidRDefault="00E94B1F"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33903E1F"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DF52F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2A0A44AC"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DF52F2" w:rsidRPr="00DF52F2">
        <w:rPr>
          <w:rFonts w:ascii="Palatino Linotype" w:eastAsia="Palatino Linotype" w:hAnsi="Palatino Linotype" w:cs="Palatino Linotype"/>
          <w:b/>
        </w:rPr>
        <w:t>00012/VICARBO/IP/2025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DF52F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65E61E40" w14:textId="72E9374A"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Pr>
          <w:rFonts w:ascii="Palatino Linotype" w:eastAsia="Palatino Linotype" w:hAnsi="Palatino Linotype" w:cs="Palatino Linotype"/>
          <w:b/>
        </w:rPr>
        <w:t>o</w:t>
      </w:r>
      <w:r>
        <w:rPr>
          <w:rFonts w:ascii="Palatino Linotype" w:eastAsia="Palatino Linotype" w:hAnsi="Palatino Linotype" w:cs="Palatino Linotype"/>
        </w:rPr>
        <w:t xml:space="preserve"> </w:t>
      </w:r>
      <w:r w:rsidR="00DF52F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74CC74ED"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A47DE">
        <w:rPr>
          <w:rFonts w:ascii="Palatino Linotype" w:eastAsia="Palatino Linotype" w:hAnsi="Palatino Linotype" w:cs="Palatino Linotype"/>
        </w:rPr>
        <w:t>OCTAV</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CA47DE" w:rsidRPr="00CA47DE">
        <w:rPr>
          <w:rFonts w:ascii="Palatino Linotype" w:eastAsia="Palatino Linotype" w:hAnsi="Palatino Linotype" w:cs="Palatino Linotype"/>
        </w:rPr>
        <w:t>SEIS DE MARZO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72C2A" w14:textId="77777777" w:rsidR="00AA026A" w:rsidRDefault="00AA026A">
      <w:r>
        <w:separator/>
      </w:r>
    </w:p>
  </w:endnote>
  <w:endnote w:type="continuationSeparator" w:id="0">
    <w:p w14:paraId="266933D1" w14:textId="77777777" w:rsidR="00AA026A" w:rsidRDefault="00AA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73E62">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73E62">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73E6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73E62">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8284C" w14:textId="77777777" w:rsidR="00AA026A" w:rsidRDefault="00AA026A">
      <w:r>
        <w:separator/>
      </w:r>
    </w:p>
  </w:footnote>
  <w:footnote w:type="continuationSeparator" w:id="0">
    <w:p w14:paraId="75D18C11" w14:textId="77777777" w:rsidR="00AA026A" w:rsidRDefault="00AA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C73E62">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C73E62">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30.6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68C4EB1C"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F51907">
            <w:rPr>
              <w:rFonts w:ascii="Palatino Linotype" w:eastAsia="Palatino Linotype" w:hAnsi="Palatino Linotype" w:cs="Palatino Linotype"/>
              <w:sz w:val="22"/>
              <w:szCs w:val="22"/>
            </w:rPr>
            <w:t>07</w:t>
          </w:r>
          <w:r w:rsidR="001F570D">
            <w:rPr>
              <w:rFonts w:ascii="Palatino Linotype" w:eastAsia="Palatino Linotype" w:hAnsi="Palatino Linotype" w:cs="Palatino Linotype"/>
              <w:sz w:val="22"/>
              <w:szCs w:val="22"/>
            </w:rPr>
            <w:t>85</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3479563D" w:rsidR="00785E98" w:rsidRDefault="00F51907">
          <w:pPr>
            <w:spacing w:line="276" w:lineRule="auto"/>
            <w:jc w:val="right"/>
            <w:rPr>
              <w:rFonts w:ascii="Palatino Linotype" w:eastAsia="Palatino Linotype" w:hAnsi="Palatino Linotype" w:cs="Palatino Linotype"/>
              <w:sz w:val="21"/>
              <w:szCs w:val="21"/>
            </w:rPr>
          </w:pPr>
          <w:r w:rsidRPr="00F51907">
            <w:rPr>
              <w:rFonts w:ascii="Palatino Linotype" w:eastAsia="Palatino Linotype" w:hAnsi="Palatino Linotype" w:cs="Palatino Linotype"/>
              <w:sz w:val="21"/>
              <w:szCs w:val="21"/>
            </w:rPr>
            <w:t xml:space="preserve">Ayuntamiento de </w:t>
          </w:r>
          <w:r w:rsidR="001F570D" w:rsidRPr="001F570D">
            <w:rPr>
              <w:rFonts w:ascii="Palatino Linotype" w:eastAsia="Palatino Linotype" w:hAnsi="Palatino Linotype" w:cs="Palatino Linotype"/>
              <w:sz w:val="21"/>
              <w:szCs w:val="21"/>
            </w:rPr>
            <w:t>Villa del Carbón</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C73E6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266FBAE1"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F51907">
            <w:rPr>
              <w:rFonts w:ascii="Palatino Linotype" w:eastAsia="Palatino Linotype" w:hAnsi="Palatino Linotype" w:cs="Palatino Linotype"/>
              <w:sz w:val="22"/>
              <w:szCs w:val="22"/>
            </w:rPr>
            <w:t>07</w:t>
          </w:r>
          <w:r w:rsidR="001F570D">
            <w:rPr>
              <w:rFonts w:ascii="Palatino Linotype" w:eastAsia="Palatino Linotype" w:hAnsi="Palatino Linotype" w:cs="Palatino Linotype"/>
              <w:sz w:val="22"/>
              <w:szCs w:val="22"/>
            </w:rPr>
            <w:t>85</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75C5AEEB" w:rsidR="00785E98" w:rsidRDefault="00C73E62">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XXXXXXXXXXXXXXXXXXXXX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55494903" w:rsidR="00785E98" w:rsidRDefault="00F51907">
          <w:pPr>
            <w:jc w:val="right"/>
            <w:rPr>
              <w:rFonts w:ascii="Palatino Linotype" w:eastAsia="Palatino Linotype" w:hAnsi="Palatino Linotype" w:cs="Palatino Linotype"/>
              <w:sz w:val="21"/>
              <w:szCs w:val="21"/>
            </w:rPr>
          </w:pPr>
          <w:r w:rsidRPr="00F51907">
            <w:rPr>
              <w:rFonts w:ascii="Palatino Linotype" w:eastAsia="Palatino Linotype" w:hAnsi="Palatino Linotype" w:cs="Palatino Linotype"/>
              <w:sz w:val="21"/>
              <w:szCs w:val="21"/>
            </w:rPr>
            <w:t xml:space="preserve">Ayuntamiento de </w:t>
          </w:r>
          <w:r w:rsidR="001F570D" w:rsidRPr="001F570D">
            <w:rPr>
              <w:rFonts w:ascii="Palatino Linotype" w:eastAsia="Palatino Linotype" w:hAnsi="Palatino Linotype" w:cs="Palatino Linotype"/>
              <w:sz w:val="21"/>
              <w:szCs w:val="21"/>
            </w:rPr>
            <w:t>Villa del Carbón</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1F570D"/>
    <w:rsid w:val="00235A10"/>
    <w:rsid w:val="00543AA4"/>
    <w:rsid w:val="005D216E"/>
    <w:rsid w:val="00603A5B"/>
    <w:rsid w:val="00645942"/>
    <w:rsid w:val="00693587"/>
    <w:rsid w:val="00784677"/>
    <w:rsid w:val="00785E98"/>
    <w:rsid w:val="009E14D9"/>
    <w:rsid w:val="00A15154"/>
    <w:rsid w:val="00AA026A"/>
    <w:rsid w:val="00B451BA"/>
    <w:rsid w:val="00BD537E"/>
    <w:rsid w:val="00BE036E"/>
    <w:rsid w:val="00C73E62"/>
    <w:rsid w:val="00CA19C9"/>
    <w:rsid w:val="00CA47DE"/>
    <w:rsid w:val="00DF52F2"/>
    <w:rsid w:val="00E94B1F"/>
    <w:rsid w:val="00EB1290"/>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4736</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5</cp:revision>
  <dcterms:created xsi:type="dcterms:W3CDTF">2025-02-24T17:59:00Z</dcterms:created>
  <dcterms:modified xsi:type="dcterms:W3CDTF">2025-03-26T20:05:00Z</dcterms:modified>
</cp:coreProperties>
</file>