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C2A3" w14:textId="77777777" w:rsidR="00E127E1" w:rsidRPr="00874D01" w:rsidRDefault="009F1F48">
      <w:pPr>
        <w:spacing w:before="240" w:after="240" w:line="360" w:lineRule="auto"/>
        <w:jc w:val="both"/>
        <w:rPr>
          <w:rFonts w:ascii="Palatino Linotype" w:eastAsia="Palatino Linotype" w:hAnsi="Palatino Linotype" w:cs="Palatino Linotype"/>
          <w:b/>
          <w:sz w:val="22"/>
          <w:szCs w:val="22"/>
        </w:rPr>
      </w:pPr>
      <w:bookmarkStart w:id="0" w:name="_heading=h.1fob9te" w:colFirst="0" w:colLast="0"/>
      <w:bookmarkEnd w:id="0"/>
      <w:r w:rsidRPr="00874D0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w:t>
      </w:r>
      <w:r w:rsidRPr="00874D01">
        <w:rPr>
          <w:rFonts w:ascii="Palatino Linotype" w:eastAsia="Palatino Linotype" w:hAnsi="Palatino Linotype" w:cs="Palatino Linotype"/>
          <w:b/>
          <w:sz w:val="22"/>
          <w:szCs w:val="22"/>
        </w:rPr>
        <w:t>a veintiséis de febrero de dos mil veinticinco</w:t>
      </w:r>
      <w:r w:rsidRPr="00874D01">
        <w:rPr>
          <w:rFonts w:ascii="Palatino Linotype" w:eastAsia="Palatino Linotype" w:hAnsi="Palatino Linotype" w:cs="Palatino Linotype"/>
          <w:sz w:val="22"/>
          <w:szCs w:val="22"/>
        </w:rPr>
        <w:t xml:space="preserve">. </w:t>
      </w:r>
    </w:p>
    <w:p w14:paraId="4841E65E" w14:textId="77777777" w:rsidR="00E127E1" w:rsidRPr="00874D01" w:rsidRDefault="009F1F48">
      <w:pPr>
        <w:spacing w:before="240" w:after="240" w:line="360" w:lineRule="auto"/>
        <w:jc w:val="both"/>
        <w:rPr>
          <w:rFonts w:ascii="Palatino Linotype" w:eastAsia="Palatino Linotype" w:hAnsi="Palatino Linotype" w:cs="Palatino Linotype"/>
          <w:sz w:val="22"/>
          <w:szCs w:val="22"/>
        </w:rPr>
      </w:pPr>
      <w:bookmarkStart w:id="1" w:name="_heading=h.4d34og8" w:colFirst="0" w:colLast="0"/>
      <w:bookmarkEnd w:id="1"/>
      <w:r w:rsidRPr="00874D01">
        <w:rPr>
          <w:rFonts w:ascii="Palatino Linotype" w:eastAsia="Palatino Linotype" w:hAnsi="Palatino Linotype" w:cs="Palatino Linotype"/>
          <w:b/>
          <w:sz w:val="22"/>
          <w:szCs w:val="22"/>
        </w:rPr>
        <w:t>Visto</w:t>
      </w:r>
      <w:r w:rsidRPr="00874D01">
        <w:rPr>
          <w:rFonts w:ascii="Palatino Linotype" w:eastAsia="Palatino Linotype" w:hAnsi="Palatino Linotype" w:cs="Palatino Linotype"/>
          <w:sz w:val="22"/>
          <w:szCs w:val="22"/>
        </w:rPr>
        <w:t xml:space="preserve"> el expediente formado con motivo del recurso de revisión </w:t>
      </w:r>
      <w:r w:rsidRPr="00874D01">
        <w:rPr>
          <w:rFonts w:ascii="Palatino Linotype" w:eastAsia="Palatino Linotype" w:hAnsi="Palatino Linotype" w:cs="Palatino Linotype"/>
          <w:b/>
          <w:sz w:val="22"/>
          <w:szCs w:val="22"/>
        </w:rPr>
        <w:t>00669/INFOEM/IP/RR/2025</w:t>
      </w:r>
      <w:r w:rsidRPr="00874D01">
        <w:rPr>
          <w:rFonts w:ascii="Palatino Linotype" w:eastAsia="Palatino Linotype" w:hAnsi="Palatino Linotype" w:cs="Palatino Linotype"/>
          <w:sz w:val="22"/>
          <w:szCs w:val="22"/>
        </w:rPr>
        <w:t>, interpuesto por</w:t>
      </w:r>
      <w:r w:rsidRPr="00874D01">
        <w:rPr>
          <w:rFonts w:ascii="Palatino Linotype" w:eastAsia="Palatino Linotype" w:hAnsi="Palatino Linotype" w:cs="Palatino Linotype"/>
          <w:b/>
          <w:sz w:val="22"/>
          <w:szCs w:val="22"/>
        </w:rPr>
        <w:t xml:space="preserve"> una persona usuaria del Sistema de Acceso a la Información Mexiquense que no proporcionó nombre,</w:t>
      </w:r>
      <w:r w:rsidRPr="00874D01">
        <w:rPr>
          <w:rFonts w:ascii="Palatino Linotype" w:eastAsia="Palatino Linotype" w:hAnsi="Palatino Linotype" w:cs="Palatino Linotype"/>
          <w:sz w:val="22"/>
          <w:szCs w:val="22"/>
        </w:rPr>
        <w:t xml:space="preserve"> en lo sucesivo</w:t>
      </w:r>
      <w:r w:rsidRPr="00874D01">
        <w:rPr>
          <w:rFonts w:ascii="Palatino Linotype" w:eastAsia="Palatino Linotype" w:hAnsi="Palatino Linotype" w:cs="Palatino Linotype"/>
          <w:b/>
          <w:sz w:val="22"/>
          <w:szCs w:val="22"/>
        </w:rPr>
        <w:t xml:space="preserve"> la parte</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xml:space="preserve"> en contra de la respuesta a su solicitud por parte del </w:t>
      </w:r>
      <w:r w:rsidRPr="00874D01">
        <w:rPr>
          <w:rFonts w:ascii="Palatino Linotype" w:eastAsia="Palatino Linotype" w:hAnsi="Palatino Linotype" w:cs="Palatino Linotype"/>
          <w:b/>
          <w:sz w:val="22"/>
          <w:szCs w:val="22"/>
        </w:rPr>
        <w:t>Ayuntamiento de Metepec</w:t>
      </w:r>
      <w:r w:rsidRPr="00874D01">
        <w:rPr>
          <w:rFonts w:ascii="Palatino Linotype" w:eastAsia="Palatino Linotype" w:hAnsi="Palatino Linotype" w:cs="Palatino Linotype"/>
          <w:sz w:val="22"/>
          <w:szCs w:val="22"/>
        </w:rPr>
        <w:t>,</w:t>
      </w:r>
      <w:r w:rsidRPr="00874D01">
        <w:rPr>
          <w:rFonts w:ascii="Palatino Linotype" w:eastAsia="Palatino Linotype" w:hAnsi="Palatino Linotype" w:cs="Palatino Linotype"/>
          <w:b/>
          <w:sz w:val="22"/>
          <w:szCs w:val="22"/>
        </w:rPr>
        <w:t xml:space="preserve"> </w:t>
      </w:r>
      <w:r w:rsidRPr="00874D01">
        <w:rPr>
          <w:rFonts w:ascii="Palatino Linotype" w:eastAsia="Palatino Linotype" w:hAnsi="Palatino Linotype" w:cs="Palatino Linotype"/>
          <w:sz w:val="22"/>
          <w:szCs w:val="22"/>
        </w:rPr>
        <w:t xml:space="preserve">en lo sucesivo 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 xml:space="preserve">se procede a dictar la presente resolución con base en los siguientes: </w:t>
      </w:r>
    </w:p>
    <w:p w14:paraId="232F876E" w14:textId="77777777" w:rsidR="00E127E1" w:rsidRPr="00874D01" w:rsidRDefault="009F1F48">
      <w:pPr>
        <w:spacing w:before="240" w:after="240" w:line="360" w:lineRule="auto"/>
        <w:jc w:val="center"/>
        <w:rPr>
          <w:rFonts w:ascii="Palatino Linotype" w:eastAsia="Palatino Linotype" w:hAnsi="Palatino Linotype" w:cs="Palatino Linotype"/>
          <w:b/>
          <w:sz w:val="22"/>
          <w:szCs w:val="22"/>
        </w:rPr>
      </w:pPr>
      <w:r w:rsidRPr="00874D01">
        <w:rPr>
          <w:rFonts w:ascii="Palatino Linotype" w:eastAsia="Palatino Linotype" w:hAnsi="Palatino Linotype" w:cs="Palatino Linotype"/>
          <w:b/>
          <w:sz w:val="22"/>
          <w:szCs w:val="22"/>
        </w:rPr>
        <w:t>I. A N T E C E D E N T E S</w:t>
      </w:r>
    </w:p>
    <w:p w14:paraId="716B5449" w14:textId="77777777" w:rsidR="00E127E1" w:rsidRPr="00874D01" w:rsidRDefault="009F1F48">
      <w:pPr>
        <w:spacing w:before="240" w:after="240"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1. Solicitud de acceso a la información.</w:t>
      </w:r>
      <w:r w:rsidRPr="00874D01">
        <w:rPr>
          <w:rFonts w:ascii="Palatino Linotype" w:eastAsia="Palatino Linotype" w:hAnsi="Palatino Linotype" w:cs="Palatino Linotype"/>
          <w:sz w:val="22"/>
          <w:szCs w:val="22"/>
        </w:rPr>
        <w:t xml:space="preserve"> El </w:t>
      </w:r>
      <w:r w:rsidRPr="00874D01">
        <w:rPr>
          <w:rFonts w:ascii="Palatino Linotype" w:eastAsia="Palatino Linotype" w:hAnsi="Palatino Linotype" w:cs="Palatino Linotype"/>
          <w:b/>
          <w:sz w:val="22"/>
          <w:szCs w:val="22"/>
        </w:rPr>
        <w:t>veintiocho de noviembre de dos mil veinticuatro,</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la parte</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 xml:space="preserve">Recurrente </w:t>
      </w:r>
      <w:r w:rsidRPr="00874D01">
        <w:rPr>
          <w:rFonts w:ascii="Palatino Linotype" w:eastAsia="Palatino Linotype" w:hAnsi="Palatino Linotype" w:cs="Palatino Linotype"/>
          <w:sz w:val="22"/>
          <w:szCs w:val="22"/>
        </w:rPr>
        <w:t xml:space="preserve">a través del Sistema de Acceso a la Información Mexiquense, en lo subsecuente el SAIMEX, formuló ante el </w:t>
      </w:r>
      <w:r w:rsidRPr="00874D01">
        <w:rPr>
          <w:rFonts w:ascii="Palatino Linotype" w:eastAsia="Palatino Linotype" w:hAnsi="Palatino Linotype" w:cs="Palatino Linotype"/>
          <w:b/>
          <w:sz w:val="22"/>
          <w:szCs w:val="22"/>
        </w:rPr>
        <w:t>Sujeto Obligado</w:t>
      </w:r>
      <w:r w:rsidRPr="00874D01">
        <w:rPr>
          <w:rFonts w:ascii="Palatino Linotype" w:eastAsia="Palatino Linotype" w:hAnsi="Palatino Linotype" w:cs="Palatino Linotype"/>
          <w:sz w:val="22"/>
          <w:szCs w:val="22"/>
        </w:rPr>
        <w:t>, la solicitud de acceso a la información pública a la que se le asignó el número</w:t>
      </w:r>
      <w:r w:rsidRPr="00874D01">
        <w:t xml:space="preserve"> </w:t>
      </w:r>
      <w:r w:rsidRPr="00874D01">
        <w:rPr>
          <w:rFonts w:ascii="Palatino Linotype" w:eastAsia="Palatino Linotype" w:hAnsi="Palatino Linotype" w:cs="Palatino Linotype"/>
          <w:b/>
          <w:sz w:val="22"/>
          <w:szCs w:val="22"/>
        </w:rPr>
        <w:t xml:space="preserve">00772/METEPEC/IP/2024, </w:t>
      </w:r>
      <w:r w:rsidRPr="00874D01">
        <w:rPr>
          <w:rFonts w:ascii="Palatino Linotype" w:eastAsia="Palatino Linotype" w:hAnsi="Palatino Linotype" w:cs="Palatino Linotype"/>
          <w:sz w:val="22"/>
          <w:szCs w:val="22"/>
        </w:rPr>
        <w:t xml:space="preserve">mediante la cual requirió la información siguiente: </w:t>
      </w:r>
    </w:p>
    <w:p w14:paraId="3D8D5FBE" w14:textId="77777777" w:rsidR="00E127E1" w:rsidRPr="00874D01" w:rsidRDefault="009F1F48">
      <w:pPr>
        <w:spacing w:before="240" w:after="240"/>
        <w:ind w:left="567" w:right="902"/>
        <w:jc w:val="both"/>
        <w:rPr>
          <w:rFonts w:ascii="Palatino Linotype" w:eastAsia="Palatino Linotype" w:hAnsi="Palatino Linotype" w:cs="Palatino Linotype"/>
          <w:i/>
          <w:sz w:val="22"/>
          <w:szCs w:val="22"/>
        </w:rPr>
      </w:pPr>
      <w:bookmarkStart w:id="2" w:name="_heading=h.gjdgxs" w:colFirst="0" w:colLast="0"/>
      <w:bookmarkEnd w:id="2"/>
      <w:r w:rsidRPr="00874D01">
        <w:rPr>
          <w:rFonts w:ascii="Palatino Linotype" w:eastAsia="Palatino Linotype" w:hAnsi="Palatino Linotype" w:cs="Palatino Linotype"/>
          <w:i/>
          <w:sz w:val="22"/>
          <w:szCs w:val="22"/>
        </w:rPr>
        <w:t xml:space="preserve">“EL PRESIDENTE MUNICIPAL PARA SU INFORME DE GOBIERNO ESTÁ PUBLICITANDO QUE EN METEPEC HUBO UNA INVERSIÓN HISTÓRICA DE 120 MILLONES DE DOLARES. SOLICITO DEN LOS DOCUMENTOS QUE DEN CUENTA DEL "LOGRO" PROMOCIONADO.” (Sic) </w:t>
      </w:r>
    </w:p>
    <w:p w14:paraId="739ED32A" w14:textId="77777777" w:rsidR="00E127E1" w:rsidRPr="00874D01" w:rsidRDefault="009F1F48">
      <w:pPr>
        <w:spacing w:before="240" w:after="240"/>
        <w:ind w:left="567" w:right="902"/>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Adjunto a la solicitud de información la parte </w:t>
      </w:r>
      <w:r w:rsidRPr="00874D01">
        <w:rPr>
          <w:rFonts w:ascii="Palatino Linotype" w:eastAsia="Palatino Linotype" w:hAnsi="Palatino Linotype" w:cs="Palatino Linotype"/>
          <w:b/>
          <w:sz w:val="22"/>
          <w:szCs w:val="22"/>
        </w:rPr>
        <w:t xml:space="preserve">solicitante </w:t>
      </w:r>
      <w:r w:rsidRPr="00874D01">
        <w:rPr>
          <w:rFonts w:ascii="Palatino Linotype" w:eastAsia="Palatino Linotype" w:hAnsi="Palatino Linotype" w:cs="Palatino Linotype"/>
          <w:sz w:val="22"/>
          <w:szCs w:val="22"/>
        </w:rPr>
        <w:t>hizo entrega del archivo electrónico denominado “</w:t>
      </w:r>
      <w:r w:rsidRPr="00874D01">
        <w:rPr>
          <w:rFonts w:ascii="Palatino Linotype" w:eastAsia="Palatino Linotype" w:hAnsi="Palatino Linotype" w:cs="Palatino Linotype"/>
          <w:b/>
          <w:i/>
          <w:sz w:val="22"/>
          <w:szCs w:val="22"/>
        </w:rPr>
        <w:t>ff_inv.jpg</w:t>
      </w:r>
      <w:r w:rsidRPr="00874D01">
        <w:rPr>
          <w:rFonts w:ascii="Palatino Linotype" w:eastAsia="Palatino Linotype" w:hAnsi="Palatino Linotype" w:cs="Palatino Linotype"/>
          <w:sz w:val="22"/>
          <w:szCs w:val="22"/>
        </w:rPr>
        <w:t>” que consiste en una fotografía de un anuncio publicitario del 3er Informe de Gobierno del Ayuntamiento de Metepec bajo la siguiente leyenda “Histórica Inversión de 120 millones de dólares”.</w:t>
      </w:r>
    </w:p>
    <w:p w14:paraId="2F17D59D" w14:textId="77777777" w:rsidR="00E127E1" w:rsidRPr="00874D01" w:rsidRDefault="009F1F48">
      <w:pPr>
        <w:spacing w:before="240" w:after="240" w:line="360"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lastRenderedPageBreak/>
        <w:t>Modalidad de Entrega:</w:t>
      </w:r>
      <w:r w:rsidRPr="00874D01">
        <w:rPr>
          <w:rFonts w:ascii="Palatino Linotype" w:eastAsia="Palatino Linotype" w:hAnsi="Palatino Linotype" w:cs="Palatino Linotype"/>
          <w:sz w:val="22"/>
          <w:szCs w:val="22"/>
        </w:rPr>
        <w:t xml:space="preserve"> a través del Sistema de Acceso a la Información Mexiquense (SAIMEX).</w:t>
      </w:r>
    </w:p>
    <w:p w14:paraId="406ABC7B" w14:textId="77777777" w:rsidR="00E127E1" w:rsidRPr="00874D01" w:rsidRDefault="009F1F48">
      <w:pPr>
        <w:numPr>
          <w:ilvl w:val="0"/>
          <w:numId w:val="2"/>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r w:rsidRPr="00874D01">
        <w:rPr>
          <w:rFonts w:ascii="Palatino Linotype" w:eastAsia="Palatino Linotype" w:hAnsi="Palatino Linotype" w:cs="Palatino Linotype"/>
          <w:b/>
          <w:sz w:val="22"/>
          <w:szCs w:val="22"/>
        </w:rPr>
        <w:t xml:space="preserve">Solicitud de aclaración: </w:t>
      </w:r>
      <w:r w:rsidRPr="00874D01">
        <w:rPr>
          <w:rFonts w:ascii="Palatino Linotype" w:eastAsia="Palatino Linotype" w:hAnsi="Palatino Linotype" w:cs="Palatino Linotype"/>
          <w:sz w:val="22"/>
          <w:szCs w:val="22"/>
        </w:rPr>
        <w:t xml:space="preserve">En fecha </w:t>
      </w:r>
      <w:r w:rsidRPr="00874D01">
        <w:rPr>
          <w:rFonts w:ascii="Palatino Linotype" w:eastAsia="Palatino Linotype" w:hAnsi="Palatino Linotype" w:cs="Palatino Linotype"/>
          <w:b/>
          <w:sz w:val="22"/>
          <w:szCs w:val="22"/>
        </w:rPr>
        <w:t>cinco de diciembre de dos mil veinticuatro</w:t>
      </w:r>
      <w:r w:rsidRPr="00874D01">
        <w:rPr>
          <w:rFonts w:ascii="Palatino Linotype" w:eastAsia="Palatino Linotype" w:hAnsi="Palatino Linotype" w:cs="Palatino Linotype"/>
          <w:sz w:val="22"/>
          <w:szCs w:val="22"/>
        </w:rPr>
        <w:t xml:space="preserve">, 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formuló solicitud de aclaración a la persona Solicitante, en los siguientes términos:</w:t>
      </w:r>
    </w:p>
    <w:p w14:paraId="59CD895B" w14:textId="77777777" w:rsidR="00E127E1" w:rsidRPr="00874D01" w:rsidRDefault="009F1F48">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 xml:space="preserve">“Con fundamento en el </w:t>
      </w:r>
      <w:proofErr w:type="spellStart"/>
      <w:r w:rsidRPr="00874D01">
        <w:rPr>
          <w:rFonts w:ascii="Palatino Linotype" w:eastAsia="Palatino Linotype" w:hAnsi="Palatino Linotype" w:cs="Palatino Linotype"/>
          <w:i/>
          <w:sz w:val="22"/>
          <w:szCs w:val="22"/>
        </w:rPr>
        <w:t>articulo</w:t>
      </w:r>
      <w:proofErr w:type="spellEnd"/>
      <w:r w:rsidRPr="00874D01">
        <w:rPr>
          <w:rFonts w:ascii="Palatino Linotype" w:eastAsia="Palatino Linotype" w:hAnsi="Palatino Linotype" w:cs="Palatino Linotype"/>
          <w:i/>
          <w:sz w:val="22"/>
          <w:szCs w:val="22"/>
        </w:rPr>
        <w:t xml:space="preserve"> 159 de la Ley de Transparencia y Acceso a la Información Pública del Estado de México y Municipios, se le requiere para que dentro del plazo de diez días hábiles realice lo siguiente:</w:t>
      </w:r>
    </w:p>
    <w:p w14:paraId="3D1B5D9F" w14:textId="77777777" w:rsidR="00E127E1" w:rsidRPr="00874D01" w:rsidRDefault="009F1F48">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b/>
          <w:i/>
          <w:sz w:val="22"/>
          <w:szCs w:val="22"/>
        </w:rPr>
      </w:pPr>
      <w:r w:rsidRPr="00874D01">
        <w:rPr>
          <w:rFonts w:ascii="Palatino Linotype" w:eastAsia="Palatino Linotype" w:hAnsi="Palatino Linotype" w:cs="Palatino Linotype"/>
          <w:b/>
          <w:i/>
          <w:sz w:val="22"/>
          <w:szCs w:val="22"/>
        </w:rPr>
        <w:t>A FIN DE DAR PUNTUAL ATENCIÓN A SU SOLICITUD, SE SOLICITA PRECISE SI REQUIERE COPIAS SIMPLES O CERTIFICADAS.</w:t>
      </w:r>
    </w:p>
    <w:p w14:paraId="5DE37660" w14:textId="77777777" w:rsidR="00E127E1" w:rsidRPr="00874D01" w:rsidRDefault="009F1F48">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 (Sic)</w:t>
      </w:r>
    </w:p>
    <w:p w14:paraId="7A412400" w14:textId="77777777" w:rsidR="00E127E1" w:rsidRPr="00874D01" w:rsidRDefault="009F1F48">
      <w:pPr>
        <w:numPr>
          <w:ilvl w:val="0"/>
          <w:numId w:val="2"/>
        </w:numPr>
        <w:pBdr>
          <w:top w:val="nil"/>
          <w:left w:val="nil"/>
          <w:bottom w:val="nil"/>
          <w:right w:val="nil"/>
          <w:between w:val="nil"/>
        </w:pBdr>
        <w:tabs>
          <w:tab w:val="left" w:pos="142"/>
          <w:tab w:val="left" w:pos="284"/>
        </w:tabs>
        <w:spacing w:before="240" w:after="240" w:line="360" w:lineRule="auto"/>
        <w:ind w:left="0" w:firstLine="0"/>
        <w:jc w:val="both"/>
        <w:rPr>
          <w:rFonts w:ascii="Palatino Linotype" w:eastAsia="Palatino Linotype" w:hAnsi="Palatino Linotype" w:cs="Palatino Linotype"/>
          <w:b/>
          <w:sz w:val="22"/>
          <w:szCs w:val="22"/>
        </w:rPr>
      </w:pPr>
      <w:r w:rsidRPr="00874D01">
        <w:rPr>
          <w:rFonts w:ascii="Palatino Linotype" w:eastAsia="Palatino Linotype" w:hAnsi="Palatino Linotype" w:cs="Palatino Linotype"/>
          <w:b/>
          <w:sz w:val="22"/>
          <w:szCs w:val="22"/>
        </w:rPr>
        <w:t xml:space="preserve">Aclaración: </w:t>
      </w:r>
      <w:r w:rsidRPr="00874D01">
        <w:rPr>
          <w:rFonts w:ascii="Palatino Linotype" w:eastAsia="Palatino Linotype" w:hAnsi="Palatino Linotype" w:cs="Palatino Linotype"/>
          <w:sz w:val="22"/>
          <w:szCs w:val="22"/>
        </w:rPr>
        <w:t xml:space="preserve">El </w:t>
      </w:r>
      <w:r w:rsidRPr="00874D01">
        <w:rPr>
          <w:rFonts w:ascii="Palatino Linotype" w:eastAsia="Palatino Linotype" w:hAnsi="Palatino Linotype" w:cs="Palatino Linotype"/>
          <w:b/>
          <w:sz w:val="22"/>
          <w:szCs w:val="22"/>
        </w:rPr>
        <w:t>cinco de diciembre de dos mil veinticuatro</w:t>
      </w:r>
      <w:r w:rsidRPr="00874D01">
        <w:rPr>
          <w:rFonts w:ascii="Palatino Linotype" w:eastAsia="Palatino Linotype" w:hAnsi="Palatino Linotype" w:cs="Palatino Linotype"/>
          <w:sz w:val="22"/>
          <w:szCs w:val="22"/>
        </w:rPr>
        <w:t xml:space="preserve">, la persona Solicitante desahogo la aclaración formulada por 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en los siguientes términos:</w:t>
      </w:r>
    </w:p>
    <w:p w14:paraId="300F201E" w14:textId="77777777" w:rsidR="00E127E1" w:rsidRPr="00874D01" w:rsidRDefault="009F1F48">
      <w:pPr>
        <w:pBdr>
          <w:top w:val="nil"/>
          <w:left w:val="nil"/>
          <w:bottom w:val="nil"/>
          <w:right w:val="nil"/>
          <w:between w:val="nil"/>
        </w:pBdr>
        <w:tabs>
          <w:tab w:val="left" w:pos="142"/>
          <w:tab w:val="left" w:pos="284"/>
        </w:tabs>
        <w:spacing w:before="240" w:after="240"/>
        <w:ind w:left="567" w:right="616"/>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“LA INFORMACIÓN FUE SOLICITADA VÍA SAIMEX. SALUDOS.” (Sic)</w:t>
      </w:r>
    </w:p>
    <w:p w14:paraId="4F4FEC26" w14:textId="77777777" w:rsidR="00E127E1" w:rsidRPr="00874D01" w:rsidRDefault="009F1F48">
      <w:pPr>
        <w:pBdr>
          <w:top w:val="nil"/>
          <w:left w:val="nil"/>
          <w:bottom w:val="nil"/>
          <w:right w:val="nil"/>
          <w:between w:val="nil"/>
        </w:pBdr>
        <w:tabs>
          <w:tab w:val="left" w:pos="142"/>
          <w:tab w:val="left" w:pos="284"/>
        </w:tabs>
        <w:spacing w:line="360"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 xml:space="preserve">4. Prórroga. </w:t>
      </w:r>
      <w:r w:rsidRPr="00874D01">
        <w:rPr>
          <w:rFonts w:ascii="Palatino Linotype" w:eastAsia="Palatino Linotype" w:hAnsi="Palatino Linotype" w:cs="Palatino Linotype"/>
          <w:sz w:val="22"/>
          <w:szCs w:val="22"/>
        </w:rPr>
        <w:t xml:space="preserve">El </w:t>
      </w:r>
      <w:r w:rsidRPr="00874D01">
        <w:rPr>
          <w:rFonts w:ascii="Palatino Linotype" w:eastAsia="Palatino Linotype" w:hAnsi="Palatino Linotype" w:cs="Palatino Linotype"/>
          <w:b/>
          <w:sz w:val="22"/>
          <w:szCs w:val="22"/>
        </w:rPr>
        <w:t xml:space="preserve">dieciséis de enero de dos mil veinticinco, </w:t>
      </w:r>
      <w:r w:rsidRPr="00874D01">
        <w:rPr>
          <w:rFonts w:ascii="Palatino Linotype" w:eastAsia="Palatino Linotype" w:hAnsi="Palatino Linotype" w:cs="Palatino Linotype"/>
          <w:sz w:val="22"/>
          <w:szCs w:val="22"/>
        </w:rPr>
        <w:t xml:space="preserve">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 xml:space="preserve">informó que el plazo de quince días hábiles para atender la solicitud de mérito fue prorrogado por siete días más en virtud de las siguientes razones: </w:t>
      </w:r>
    </w:p>
    <w:p w14:paraId="4823520F" w14:textId="77777777" w:rsidR="00E127E1" w:rsidRPr="00874D01" w:rsidRDefault="00E127E1">
      <w:pPr>
        <w:spacing w:line="360" w:lineRule="auto"/>
        <w:ind w:right="49"/>
        <w:jc w:val="both"/>
        <w:rPr>
          <w:rFonts w:ascii="Palatino Linotype" w:eastAsia="Palatino Linotype" w:hAnsi="Palatino Linotype" w:cs="Palatino Linotype"/>
          <w:sz w:val="22"/>
          <w:szCs w:val="22"/>
        </w:rPr>
      </w:pPr>
    </w:p>
    <w:p w14:paraId="0E0FE4A4" w14:textId="77777777" w:rsidR="00E127E1" w:rsidRPr="00874D01" w:rsidRDefault="009F1F48">
      <w:pPr>
        <w:spacing w:line="276" w:lineRule="auto"/>
        <w:ind w:left="567" w:right="560"/>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“Con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p w14:paraId="12C31D3B" w14:textId="77777777" w:rsidR="00E127E1" w:rsidRPr="00874D01" w:rsidRDefault="00E127E1">
      <w:pPr>
        <w:spacing w:line="276" w:lineRule="auto"/>
        <w:ind w:left="567" w:right="560"/>
        <w:jc w:val="both"/>
        <w:rPr>
          <w:rFonts w:ascii="Palatino Linotype" w:eastAsia="Palatino Linotype" w:hAnsi="Palatino Linotype" w:cs="Palatino Linotype"/>
          <w:i/>
          <w:sz w:val="22"/>
          <w:szCs w:val="22"/>
        </w:rPr>
      </w:pPr>
    </w:p>
    <w:p w14:paraId="62451601" w14:textId="77777777" w:rsidR="00E127E1" w:rsidRPr="00874D01" w:rsidRDefault="009F1F48">
      <w:pPr>
        <w:spacing w:line="276" w:lineRule="auto"/>
        <w:ind w:left="567" w:right="560"/>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 xml:space="preserve">METEPEC, ESTADO DE MÉXICO, ENERO DEL 2025 ASUNTO: EL QUE SE INDICA A QUIEN CORRESPONDA P R E S E N T E. Por este conducto y con </w:t>
      </w:r>
      <w:r w:rsidRPr="00874D01">
        <w:rPr>
          <w:rFonts w:ascii="Palatino Linotype" w:eastAsia="Palatino Linotype" w:hAnsi="Palatino Linotype" w:cs="Palatino Linotype"/>
          <w:i/>
          <w:sz w:val="22"/>
          <w:szCs w:val="22"/>
        </w:rPr>
        <w:lastRenderedPageBreak/>
        <w:t>fundamento en lo dispuesto por los artículos 53, fracción VI y 163 de la Ley de Transparencia y Acceso a la Información Pública del Estado de México y Municipios, me permito notificarle la ampliación del plazo por siete días hábiles, aprobado por el Comité de Transparencia del Ayuntamiento de Metepec, Estado de México, mediante la Centésima Cuadragésima Cuarta Sesión Extraordinaria. Sin más por el momento quedo a sus órdenes. ATENTAMENTE GERARDO ARTURO OZUNA MARTÍNEZ DIRECTOR DE TRANSPARENCIA Y GOBIERNO ABIERTO” (Sic)</w:t>
      </w:r>
    </w:p>
    <w:p w14:paraId="0F6A1FB3" w14:textId="77777777" w:rsidR="00E127E1" w:rsidRPr="00874D01" w:rsidRDefault="00E127E1">
      <w:pPr>
        <w:spacing w:line="276" w:lineRule="auto"/>
        <w:ind w:left="567" w:right="560"/>
        <w:jc w:val="both"/>
        <w:rPr>
          <w:rFonts w:ascii="Palatino Linotype" w:eastAsia="Palatino Linotype" w:hAnsi="Palatino Linotype" w:cs="Palatino Linotype"/>
          <w:i/>
          <w:sz w:val="22"/>
          <w:szCs w:val="22"/>
        </w:rPr>
      </w:pPr>
    </w:p>
    <w:p w14:paraId="754EC8C0" w14:textId="77777777" w:rsidR="00E127E1" w:rsidRPr="00874D01" w:rsidRDefault="009F1F48">
      <w:pPr>
        <w:spacing w:line="360"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De esta manera, como refiere el </w:t>
      </w:r>
      <w:r w:rsidRPr="00874D01">
        <w:rPr>
          <w:rFonts w:ascii="Palatino Linotype" w:eastAsia="Palatino Linotype" w:hAnsi="Palatino Linotype" w:cs="Palatino Linotype"/>
          <w:b/>
          <w:sz w:val="22"/>
          <w:szCs w:val="22"/>
        </w:rPr>
        <w:t>Sujeto Obligado</w:t>
      </w:r>
      <w:r w:rsidRPr="00874D01">
        <w:rPr>
          <w:rFonts w:ascii="Palatino Linotype" w:eastAsia="Palatino Linotype" w:hAnsi="Palatino Linotype" w:cs="Palatino Linotype"/>
          <w:sz w:val="22"/>
          <w:szCs w:val="22"/>
        </w:rPr>
        <w:t xml:space="preserve"> la Ley de Transparencia y Acceso a la Información Pública del Estado de México y Municipios, contempla la potestad de ampliar el plazo hasta por siete días, en términos del párrafo segundo del artículo 163 de la Ley de Transparencia y Acceso a la Información Pública del Estado de México y Municipios, siempre y cuando existan razones fundadas y motivadas para hacerlo, y que estas sean aprobadas por el Comité de Transparencia, mediante la emisión de una resolución; en el caso particular que nos ocupa y derivado de las constancias que obran en el expediente, se advierte que </w:t>
      </w:r>
      <w:r w:rsidRPr="00874D01">
        <w:rPr>
          <w:rFonts w:ascii="Palatino Linotype" w:eastAsia="Palatino Linotype" w:hAnsi="Palatino Linotype" w:cs="Palatino Linotype"/>
          <w:b/>
          <w:sz w:val="22"/>
          <w:szCs w:val="22"/>
        </w:rPr>
        <w:t>NO se observaron las formalidades que establece la Ley de la materia</w:t>
      </w:r>
      <w:r w:rsidRPr="00874D01">
        <w:rPr>
          <w:rFonts w:ascii="Palatino Linotype" w:eastAsia="Palatino Linotype" w:hAnsi="Palatino Linotype" w:cs="Palatino Linotype"/>
          <w:sz w:val="22"/>
          <w:szCs w:val="22"/>
        </w:rPr>
        <w:t>, pues el Sujeto Obligado fue omiso en adjuntar el Acuerdo del Comité de Transparencia mediante el cual se aprobara la ampliación del plazo para dar atención a la solicitud de información.</w:t>
      </w:r>
    </w:p>
    <w:p w14:paraId="6A786CD3" w14:textId="77777777" w:rsidR="00E127E1" w:rsidRPr="00874D01" w:rsidRDefault="00E127E1">
      <w:pPr>
        <w:spacing w:line="360" w:lineRule="auto"/>
        <w:ind w:right="49"/>
        <w:jc w:val="both"/>
        <w:rPr>
          <w:rFonts w:ascii="Palatino Linotype" w:eastAsia="Palatino Linotype" w:hAnsi="Palatino Linotype" w:cs="Palatino Linotype"/>
          <w:sz w:val="22"/>
          <w:szCs w:val="22"/>
        </w:rPr>
      </w:pPr>
    </w:p>
    <w:p w14:paraId="28F3DD41" w14:textId="77777777" w:rsidR="00E127E1" w:rsidRPr="00874D01" w:rsidRDefault="009F1F48">
      <w:pPr>
        <w:pBdr>
          <w:top w:val="nil"/>
          <w:left w:val="nil"/>
          <w:bottom w:val="nil"/>
          <w:right w:val="nil"/>
          <w:between w:val="nil"/>
        </w:pBdr>
        <w:tabs>
          <w:tab w:val="left" w:pos="142"/>
          <w:tab w:val="left" w:pos="284"/>
        </w:tabs>
        <w:spacing w:line="360" w:lineRule="auto"/>
        <w:jc w:val="both"/>
        <w:rPr>
          <w:rFonts w:ascii="Palatino Linotype" w:eastAsia="Palatino Linotype" w:hAnsi="Palatino Linotype" w:cs="Palatino Linotype"/>
          <w:b/>
          <w:sz w:val="22"/>
          <w:szCs w:val="22"/>
        </w:rPr>
      </w:pPr>
      <w:bookmarkStart w:id="3" w:name="_heading=h.3dy6vkm" w:colFirst="0" w:colLast="0"/>
      <w:bookmarkEnd w:id="3"/>
      <w:r w:rsidRPr="00874D01">
        <w:rPr>
          <w:rFonts w:ascii="Palatino Linotype" w:eastAsia="Palatino Linotype" w:hAnsi="Palatino Linotype" w:cs="Palatino Linotype"/>
          <w:b/>
          <w:sz w:val="22"/>
          <w:szCs w:val="22"/>
        </w:rPr>
        <w:t xml:space="preserve">2. Respuesta. </w:t>
      </w:r>
      <w:r w:rsidRPr="00874D01">
        <w:rPr>
          <w:rFonts w:ascii="Palatino Linotype" w:eastAsia="Palatino Linotype" w:hAnsi="Palatino Linotype" w:cs="Palatino Linotype"/>
          <w:sz w:val="22"/>
          <w:szCs w:val="22"/>
        </w:rPr>
        <w:t xml:space="preserve">El </w:t>
      </w:r>
      <w:r w:rsidRPr="00874D01">
        <w:rPr>
          <w:rFonts w:ascii="Palatino Linotype" w:eastAsia="Palatino Linotype" w:hAnsi="Palatino Linotype" w:cs="Palatino Linotype"/>
          <w:b/>
          <w:sz w:val="22"/>
          <w:szCs w:val="22"/>
        </w:rPr>
        <w:t>veintisiete de enero de dos mil veinticinco</w:t>
      </w:r>
      <w:r w:rsidRPr="00874D01">
        <w:rPr>
          <w:rFonts w:ascii="Palatino Linotype" w:eastAsia="Palatino Linotype" w:hAnsi="Palatino Linotype" w:cs="Palatino Linotype"/>
          <w:sz w:val="22"/>
          <w:szCs w:val="22"/>
        </w:rPr>
        <w:t xml:space="preserve">, 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envió su respuesta a la solicitud de acceso a la información a través de SAIMEX, sustancialmente en los términos siguientes:</w:t>
      </w:r>
    </w:p>
    <w:p w14:paraId="2E7BD118" w14:textId="77777777" w:rsidR="00E127E1" w:rsidRPr="00874D01" w:rsidRDefault="009F1F48">
      <w:pPr>
        <w:spacing w:before="240" w:after="240"/>
        <w:ind w:left="567"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 xml:space="preserve">“C. SOLICITANTE P R E S E N T E. En respuesta a la solicitud recibida por medio del Sistema de Acceso a la Información Mexiquense (SAIMEX). Al respecto, le informo que esta Dirección de Transparencia y Gobierno Abierto turnó la solicitud antes mencionada a los Servidores Públicos Habilitados que de conformidad con las funciones y atribuciones conferidas en términos de la Ley Orgánica Municipal del Estado de México y demás disposiciones legales aplicables les corresponde la generación, recopilación, administración, manejo, procesamiento, archivo y conservación de la información, </w:t>
      </w:r>
      <w:r w:rsidRPr="00874D01">
        <w:rPr>
          <w:rFonts w:ascii="Palatino Linotype" w:eastAsia="Palatino Linotype" w:hAnsi="Palatino Linotype" w:cs="Palatino Linotype"/>
          <w:b/>
          <w:i/>
          <w:sz w:val="22"/>
          <w:szCs w:val="22"/>
        </w:rPr>
        <w:t>y habiendo realizado una búsqueda exhaustiva, se anexa la respuesta del servidor público habilitado</w:t>
      </w:r>
      <w:r w:rsidRPr="00874D01">
        <w:rPr>
          <w:rFonts w:ascii="Palatino Linotype" w:eastAsia="Palatino Linotype" w:hAnsi="Palatino Linotype" w:cs="Palatino Linotype"/>
          <w:i/>
          <w:sz w:val="22"/>
          <w:szCs w:val="22"/>
        </w:rPr>
        <w:t xml:space="preserve">. Lo anterior con </w:t>
      </w:r>
      <w:r w:rsidRPr="00874D01">
        <w:rPr>
          <w:rFonts w:ascii="Palatino Linotype" w:eastAsia="Palatino Linotype" w:hAnsi="Palatino Linotype" w:cs="Palatino Linotype"/>
          <w:i/>
          <w:sz w:val="22"/>
          <w:szCs w:val="22"/>
        </w:rPr>
        <w:lastRenderedPageBreak/>
        <w:t>fundamento en lo establecido por los artículos 12, 18, 19, 53 fracción VI, 160 y 162 de la Ley de Transparencia y Acceso a la Información Pública del Estado de México. Asimismo, se hace de su conocimiento que cuenta con un plazo de 15 (quince) días hábiles a partir de la fecha de respuesta a su solicitud, para interponer el recurso de revisión conforme a los artículos 176, 177 y 178 de la Ley de Transparencia y Acceso a la Información Pública del Estado de México y Municipios. Sin más por el momento, me despido de usted, reiterando estar a sus órdenes. ATENTAMENTE LIC. GERARDO ARTURO OZUNA MARTINEZ DIRECTOR DE TRANSPARENCIA Y GOBIERNO ABIERTO” (Sic)</w:t>
      </w:r>
    </w:p>
    <w:p w14:paraId="5F114E53" w14:textId="77777777" w:rsidR="00E127E1" w:rsidRPr="00874D01" w:rsidRDefault="009F1F48">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Adjunto a la respuesta, 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hizo entrega del archivo electrónico denominado “</w:t>
      </w:r>
      <w:r w:rsidRPr="00874D01">
        <w:rPr>
          <w:rFonts w:ascii="Palatino Linotype" w:eastAsia="Palatino Linotype" w:hAnsi="Palatino Linotype" w:cs="Palatino Linotype"/>
          <w:b/>
          <w:i/>
          <w:sz w:val="22"/>
          <w:szCs w:val="22"/>
        </w:rPr>
        <w:t>sol 772 DDE.pdf</w:t>
      </w:r>
      <w:r w:rsidRPr="00874D01">
        <w:rPr>
          <w:rFonts w:ascii="Palatino Linotype" w:eastAsia="Palatino Linotype" w:hAnsi="Palatino Linotype" w:cs="Palatino Linotype"/>
          <w:sz w:val="22"/>
          <w:szCs w:val="22"/>
        </w:rPr>
        <w:t>” la siguiente información:</w:t>
      </w:r>
    </w:p>
    <w:p w14:paraId="35F6A05E" w14:textId="77777777" w:rsidR="00E127E1" w:rsidRPr="00874D01" w:rsidRDefault="00E127E1">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173044C" w14:textId="77777777" w:rsidR="00E127E1" w:rsidRPr="00874D01" w:rsidRDefault="009F1F48">
      <w:pPr>
        <w:numPr>
          <w:ilvl w:val="0"/>
          <w:numId w:val="3"/>
        </w:numPr>
        <w:pBdr>
          <w:top w:val="nil"/>
          <w:left w:val="nil"/>
          <w:bottom w:val="nil"/>
          <w:right w:val="nil"/>
          <w:between w:val="nil"/>
        </w:pBdr>
        <w:spacing w:line="276"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Oficio del 27 de enero de 2025, a través del cual la Directora de Desarrollo Económico, Turístico y Artesanal informó al Director de Transparencia y Gobierno Abierto que, respecto la solicitud, por tratarse de inversión privada la información se encuentra protegida por la Ley de Protección de Datos Personales en posesión de sujetos obligados del Estado de México, y por ello no se podía entregar.</w:t>
      </w:r>
    </w:p>
    <w:p w14:paraId="4478C2C2" w14:textId="77777777" w:rsidR="00E127E1" w:rsidRPr="00874D01" w:rsidRDefault="00E127E1">
      <w:pPr>
        <w:pBdr>
          <w:top w:val="nil"/>
          <w:left w:val="nil"/>
          <w:bottom w:val="nil"/>
          <w:right w:val="nil"/>
          <w:between w:val="nil"/>
        </w:pBdr>
        <w:spacing w:line="276" w:lineRule="auto"/>
        <w:ind w:right="49"/>
        <w:jc w:val="both"/>
        <w:rPr>
          <w:rFonts w:ascii="Palatino Linotype" w:eastAsia="Palatino Linotype" w:hAnsi="Palatino Linotype" w:cs="Palatino Linotype"/>
          <w:b/>
          <w:i/>
          <w:sz w:val="22"/>
          <w:szCs w:val="22"/>
        </w:rPr>
      </w:pPr>
    </w:p>
    <w:p w14:paraId="67D45C93" w14:textId="77777777" w:rsidR="00E127E1" w:rsidRPr="00874D01" w:rsidRDefault="009F1F48">
      <w:pPr>
        <w:pBdr>
          <w:top w:val="nil"/>
          <w:left w:val="nil"/>
          <w:bottom w:val="nil"/>
          <w:right w:val="nil"/>
          <w:between w:val="nil"/>
        </w:pBdr>
        <w:spacing w:line="360" w:lineRule="auto"/>
        <w:ind w:right="49"/>
        <w:jc w:val="both"/>
        <w:rPr>
          <w:rFonts w:ascii="Palatino Linotype" w:eastAsia="Palatino Linotype" w:hAnsi="Palatino Linotype" w:cs="Palatino Linotype"/>
          <w:b/>
          <w:sz w:val="22"/>
          <w:szCs w:val="22"/>
        </w:rPr>
      </w:pPr>
      <w:r w:rsidRPr="00874D01">
        <w:rPr>
          <w:rFonts w:ascii="Palatino Linotype" w:eastAsia="Palatino Linotype" w:hAnsi="Palatino Linotype" w:cs="Palatino Linotype"/>
          <w:b/>
          <w:sz w:val="22"/>
          <w:szCs w:val="22"/>
        </w:rPr>
        <w:t xml:space="preserve">3. Interposición del recurso de revisión. </w:t>
      </w:r>
      <w:r w:rsidRPr="00874D01">
        <w:rPr>
          <w:rFonts w:ascii="Palatino Linotype" w:eastAsia="Palatino Linotype" w:hAnsi="Palatino Linotype" w:cs="Palatino Linotype"/>
          <w:sz w:val="22"/>
          <w:szCs w:val="22"/>
        </w:rPr>
        <w:t xml:space="preserve">Inconforme con los términos de la respuesta emitida por parte del </w:t>
      </w:r>
      <w:r w:rsidRPr="00874D01">
        <w:rPr>
          <w:rFonts w:ascii="Palatino Linotype" w:eastAsia="Palatino Linotype" w:hAnsi="Palatino Linotype" w:cs="Palatino Linotype"/>
          <w:b/>
          <w:sz w:val="22"/>
          <w:szCs w:val="22"/>
        </w:rPr>
        <w:t>Sujeto Obligado</w:t>
      </w:r>
      <w:r w:rsidRPr="00874D01">
        <w:rPr>
          <w:rFonts w:ascii="Palatino Linotype" w:eastAsia="Palatino Linotype" w:hAnsi="Palatino Linotype" w:cs="Palatino Linotype"/>
          <w:sz w:val="22"/>
          <w:szCs w:val="22"/>
        </w:rPr>
        <w:t>, el</w:t>
      </w:r>
      <w:r w:rsidRPr="00874D01">
        <w:rPr>
          <w:rFonts w:ascii="Palatino Linotype" w:eastAsia="Palatino Linotype" w:hAnsi="Palatino Linotype" w:cs="Palatino Linotype"/>
          <w:b/>
          <w:sz w:val="22"/>
          <w:szCs w:val="22"/>
        </w:rPr>
        <w:t xml:space="preserve"> cinco de febrero de dos mil veinticinco,</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la parte</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xml:space="preserve"> interpuso el recurso de revisión a través de </w:t>
      </w:r>
      <w:r w:rsidRPr="00874D01">
        <w:rPr>
          <w:rFonts w:ascii="Palatino Linotype" w:eastAsia="Palatino Linotype" w:hAnsi="Palatino Linotype" w:cs="Palatino Linotype"/>
          <w:b/>
          <w:sz w:val="22"/>
          <w:szCs w:val="22"/>
        </w:rPr>
        <w:t xml:space="preserve">SAIMEX, </w:t>
      </w:r>
      <w:r w:rsidRPr="00874D01">
        <w:rPr>
          <w:rFonts w:ascii="Palatino Linotype" w:eastAsia="Palatino Linotype" w:hAnsi="Palatino Linotype" w:cs="Palatino Linotype"/>
          <w:sz w:val="22"/>
          <w:szCs w:val="22"/>
        </w:rPr>
        <w:t>en donde se manifestó de la siguiente manera:</w:t>
      </w:r>
    </w:p>
    <w:p w14:paraId="58F053E9" w14:textId="77777777" w:rsidR="00E127E1" w:rsidRPr="00874D01" w:rsidRDefault="009F1F48">
      <w:pPr>
        <w:tabs>
          <w:tab w:val="left" w:pos="2745"/>
        </w:tabs>
        <w:spacing w:before="240" w:after="240" w:line="276" w:lineRule="auto"/>
        <w:ind w:left="567" w:right="900"/>
        <w:jc w:val="both"/>
        <w:rPr>
          <w:rFonts w:ascii="Palatino Linotype" w:eastAsia="Palatino Linotype" w:hAnsi="Palatino Linotype" w:cs="Palatino Linotype"/>
          <w:b/>
          <w:sz w:val="22"/>
          <w:szCs w:val="22"/>
        </w:rPr>
      </w:pPr>
      <w:r w:rsidRPr="00874D01">
        <w:rPr>
          <w:rFonts w:ascii="Palatino Linotype" w:eastAsia="Palatino Linotype" w:hAnsi="Palatino Linotype" w:cs="Palatino Linotype"/>
          <w:b/>
          <w:sz w:val="22"/>
          <w:szCs w:val="22"/>
        </w:rPr>
        <w:t xml:space="preserve">a) Acto impugnado: </w:t>
      </w:r>
      <w:r w:rsidRPr="00874D01">
        <w:rPr>
          <w:rFonts w:ascii="Palatino Linotype" w:eastAsia="Palatino Linotype" w:hAnsi="Palatino Linotype" w:cs="Palatino Linotype"/>
          <w:i/>
          <w:sz w:val="22"/>
          <w:szCs w:val="22"/>
        </w:rPr>
        <w:t>“LA RESPUESTA BRINDADA POR EL MUNICIPIO” (Sic)</w:t>
      </w:r>
    </w:p>
    <w:p w14:paraId="16CFE9B0" w14:textId="77777777" w:rsidR="00E127E1" w:rsidRPr="00874D01" w:rsidRDefault="009F1F48">
      <w:pPr>
        <w:spacing w:line="276" w:lineRule="auto"/>
        <w:ind w:left="567" w:right="900"/>
        <w:jc w:val="both"/>
        <w:rPr>
          <w:rFonts w:ascii="Palatino Linotype" w:eastAsia="Palatino Linotype" w:hAnsi="Palatino Linotype" w:cs="Palatino Linotype"/>
          <w:i/>
          <w:sz w:val="22"/>
          <w:szCs w:val="22"/>
        </w:rPr>
      </w:pPr>
      <w:bookmarkStart w:id="4" w:name="_heading=h.30j0zll" w:colFirst="0" w:colLast="0"/>
      <w:bookmarkEnd w:id="4"/>
      <w:r w:rsidRPr="00874D01">
        <w:rPr>
          <w:rFonts w:ascii="Palatino Linotype" w:eastAsia="Palatino Linotype" w:hAnsi="Palatino Linotype" w:cs="Palatino Linotype"/>
          <w:b/>
          <w:sz w:val="22"/>
          <w:szCs w:val="22"/>
        </w:rPr>
        <w:t>b) Razones o motivos de inconformidad</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i/>
          <w:sz w:val="22"/>
          <w:szCs w:val="22"/>
        </w:rPr>
        <w:t>“LOS SUJETOS OBLIGADOS ESTÁN OBLIGADOS A DOCUMENTAR SUS FUNCIONES. SEÑALAN EN EL INFORME DE GOBIERNO QUE HUBO UNA INVERSIÓN HISTÓRICA, SEÑALANDO MONTOS Y NO PUEDEN BRINDAR EL SOPORTE DOCUMENTAL QUE DE CUENTA DE LO ANUNCIADO EN UN ACTO FORMAL, QUE ES EL INFORME DE GOBIERNO.” (Sic)</w:t>
      </w:r>
    </w:p>
    <w:p w14:paraId="4144C8D3" w14:textId="77777777" w:rsidR="00E127E1" w:rsidRPr="00874D01" w:rsidRDefault="00E127E1">
      <w:pPr>
        <w:spacing w:line="276" w:lineRule="auto"/>
        <w:ind w:left="567" w:right="900"/>
        <w:jc w:val="both"/>
        <w:rPr>
          <w:rFonts w:ascii="Palatino Linotype" w:eastAsia="Palatino Linotype" w:hAnsi="Palatino Linotype" w:cs="Palatino Linotype"/>
          <w:i/>
          <w:sz w:val="22"/>
          <w:szCs w:val="22"/>
        </w:rPr>
      </w:pPr>
    </w:p>
    <w:p w14:paraId="06D90FDC" w14:textId="77777777" w:rsidR="00E127E1" w:rsidRPr="00874D01" w:rsidRDefault="009F1F48">
      <w:pPr>
        <w:spacing w:line="360" w:lineRule="auto"/>
        <w:ind w:right="51"/>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lastRenderedPageBreak/>
        <w:t xml:space="preserve">4. Turno. </w:t>
      </w:r>
      <w:r w:rsidRPr="00874D0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874D01">
        <w:rPr>
          <w:rFonts w:ascii="Palatino Linotype" w:eastAsia="Palatino Linotype" w:hAnsi="Palatino Linotype" w:cs="Palatino Linotype"/>
          <w:b/>
          <w:sz w:val="22"/>
          <w:szCs w:val="22"/>
        </w:rPr>
        <w:t xml:space="preserve">Guadalupe Ramírez Peña, </w:t>
      </w:r>
      <w:r w:rsidRPr="00874D01">
        <w:rPr>
          <w:rFonts w:ascii="Palatino Linotype" w:eastAsia="Palatino Linotype" w:hAnsi="Palatino Linotype" w:cs="Palatino Linotype"/>
          <w:sz w:val="22"/>
          <w:szCs w:val="22"/>
        </w:rPr>
        <w:t xml:space="preserve">a efecto de que analizara sobre su admisión o su </w:t>
      </w:r>
      <w:proofErr w:type="spellStart"/>
      <w:r w:rsidRPr="00874D01">
        <w:rPr>
          <w:rFonts w:ascii="Palatino Linotype" w:eastAsia="Palatino Linotype" w:hAnsi="Palatino Linotype" w:cs="Palatino Linotype"/>
          <w:sz w:val="22"/>
          <w:szCs w:val="22"/>
        </w:rPr>
        <w:t>desechamiento</w:t>
      </w:r>
      <w:proofErr w:type="spellEnd"/>
      <w:r w:rsidRPr="00874D01">
        <w:rPr>
          <w:rFonts w:ascii="Palatino Linotype" w:eastAsia="Palatino Linotype" w:hAnsi="Palatino Linotype" w:cs="Palatino Linotype"/>
          <w:sz w:val="22"/>
          <w:szCs w:val="22"/>
        </w:rPr>
        <w:t>.</w:t>
      </w:r>
    </w:p>
    <w:p w14:paraId="50423028" w14:textId="77777777" w:rsidR="00E127E1" w:rsidRPr="00874D01" w:rsidRDefault="00E127E1">
      <w:pPr>
        <w:spacing w:line="360" w:lineRule="auto"/>
        <w:ind w:right="51"/>
        <w:jc w:val="both"/>
        <w:rPr>
          <w:rFonts w:ascii="Palatino Linotype" w:eastAsia="Palatino Linotype" w:hAnsi="Palatino Linotype" w:cs="Palatino Linotype"/>
          <w:sz w:val="22"/>
          <w:szCs w:val="22"/>
        </w:rPr>
      </w:pPr>
    </w:p>
    <w:p w14:paraId="163E4214"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 xml:space="preserve">5. Desistimiento del Recurso de Revisión. </w:t>
      </w:r>
      <w:r w:rsidRPr="00874D01">
        <w:rPr>
          <w:rFonts w:ascii="Palatino Linotype" w:eastAsia="Palatino Linotype" w:hAnsi="Palatino Linotype" w:cs="Palatino Linotype"/>
          <w:sz w:val="22"/>
          <w:szCs w:val="22"/>
        </w:rPr>
        <w:t xml:space="preserve">En fecha </w:t>
      </w:r>
      <w:r w:rsidRPr="00874D01">
        <w:rPr>
          <w:rFonts w:ascii="Palatino Linotype" w:eastAsia="Palatino Linotype" w:hAnsi="Palatino Linotype" w:cs="Palatino Linotype"/>
          <w:b/>
          <w:sz w:val="22"/>
          <w:szCs w:val="22"/>
        </w:rPr>
        <w:t>siete de febrero de dos mil veinticinco</w:t>
      </w:r>
      <w:r w:rsidRPr="00874D01">
        <w:rPr>
          <w:rFonts w:ascii="Palatino Linotype" w:eastAsia="Palatino Linotype" w:hAnsi="Palatino Linotype" w:cs="Palatino Linotype"/>
          <w:sz w:val="22"/>
          <w:szCs w:val="22"/>
        </w:rPr>
        <w:t>, la parte</w:t>
      </w:r>
      <w:r w:rsidRPr="00874D01">
        <w:rPr>
          <w:rFonts w:ascii="Palatino Linotype" w:eastAsia="Palatino Linotype" w:hAnsi="Palatino Linotype" w:cs="Palatino Linotype"/>
          <w:b/>
          <w:sz w:val="22"/>
          <w:szCs w:val="22"/>
        </w:rPr>
        <w:t xml:space="preserve"> Recurrente</w:t>
      </w:r>
      <w:r w:rsidRPr="00874D01">
        <w:rPr>
          <w:rFonts w:ascii="Palatino Linotype" w:eastAsia="Palatino Linotype" w:hAnsi="Palatino Linotype" w:cs="Palatino Linotype"/>
          <w:sz w:val="22"/>
          <w:szCs w:val="22"/>
        </w:rPr>
        <w:t xml:space="preserve"> se desistió vía </w:t>
      </w:r>
      <w:r w:rsidRPr="00874D01">
        <w:rPr>
          <w:rFonts w:ascii="Palatino Linotype" w:eastAsia="Palatino Linotype" w:hAnsi="Palatino Linotype" w:cs="Palatino Linotype"/>
          <w:b/>
          <w:sz w:val="22"/>
          <w:szCs w:val="22"/>
        </w:rPr>
        <w:t>SAIMEX,</w:t>
      </w:r>
      <w:r w:rsidRPr="00874D01">
        <w:rPr>
          <w:rFonts w:ascii="Palatino Linotype" w:eastAsia="Palatino Linotype" w:hAnsi="Palatino Linotype" w:cs="Palatino Linotype"/>
          <w:sz w:val="22"/>
          <w:szCs w:val="22"/>
        </w:rPr>
        <w:t xml:space="preserve"> del recurso de revisión </w:t>
      </w:r>
      <w:r w:rsidRPr="00874D01">
        <w:rPr>
          <w:rFonts w:ascii="Palatino Linotype" w:eastAsia="Palatino Linotype" w:hAnsi="Palatino Linotype" w:cs="Palatino Linotype"/>
          <w:b/>
          <w:sz w:val="22"/>
          <w:szCs w:val="22"/>
        </w:rPr>
        <w:t xml:space="preserve">00669/INFOEM/IP/RR/2025 </w:t>
      </w:r>
      <w:r w:rsidRPr="00874D01">
        <w:rPr>
          <w:rFonts w:ascii="Palatino Linotype" w:eastAsia="Palatino Linotype" w:hAnsi="Palatino Linotype" w:cs="Palatino Linotype"/>
          <w:sz w:val="22"/>
          <w:szCs w:val="22"/>
        </w:rPr>
        <w:t xml:space="preserve">manifestando lo siguiente: </w:t>
      </w:r>
    </w:p>
    <w:p w14:paraId="6D79C10B"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72EFC3A5" w14:textId="77777777" w:rsidR="00E127E1" w:rsidRPr="00874D01" w:rsidRDefault="009F1F48">
      <w:pPr>
        <w:spacing w:line="360" w:lineRule="auto"/>
        <w:ind w:left="567" w:right="758"/>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w:t>
      </w:r>
    </w:p>
    <w:p w14:paraId="73318C7F" w14:textId="77777777" w:rsidR="00E127E1" w:rsidRPr="00874D01" w:rsidRDefault="009F1F48">
      <w:pPr>
        <w:spacing w:line="360" w:lineRule="auto"/>
        <w:ind w:left="567" w:right="758"/>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ATENTAMENTE” (Sic)</w:t>
      </w:r>
    </w:p>
    <w:p w14:paraId="4EE7D235" w14:textId="77777777" w:rsidR="00E127E1" w:rsidRPr="00874D01" w:rsidRDefault="00E127E1">
      <w:pPr>
        <w:spacing w:line="360" w:lineRule="auto"/>
        <w:ind w:left="567" w:right="758"/>
        <w:jc w:val="both"/>
        <w:rPr>
          <w:rFonts w:ascii="Palatino Linotype" w:eastAsia="Palatino Linotype" w:hAnsi="Palatino Linotype" w:cs="Palatino Linotype"/>
          <w:i/>
          <w:sz w:val="22"/>
          <w:szCs w:val="22"/>
        </w:rPr>
      </w:pPr>
    </w:p>
    <w:p w14:paraId="2E780EA7"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6. Admisión del Recurso de revisión.</w:t>
      </w:r>
      <w:r w:rsidRPr="00874D01">
        <w:rPr>
          <w:rFonts w:ascii="Palatino Linotype" w:eastAsia="Palatino Linotype" w:hAnsi="Palatino Linotype" w:cs="Palatino Linotype"/>
          <w:sz w:val="22"/>
          <w:szCs w:val="22"/>
        </w:rPr>
        <w:t xml:space="preserve"> El </w:t>
      </w:r>
      <w:r w:rsidRPr="00874D01">
        <w:rPr>
          <w:rFonts w:ascii="Palatino Linotype" w:eastAsia="Palatino Linotype" w:hAnsi="Palatino Linotype" w:cs="Palatino Linotype"/>
          <w:b/>
          <w:sz w:val="22"/>
          <w:szCs w:val="22"/>
        </w:rPr>
        <w:t xml:space="preserve">diez de febrero de dos mil veinticinco, </w:t>
      </w:r>
      <w:r w:rsidRPr="00874D01">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presentara su informe justificado.</w:t>
      </w:r>
    </w:p>
    <w:p w14:paraId="4ED6D683"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22F0421F" w14:textId="77777777" w:rsidR="00E127E1" w:rsidRPr="00874D01" w:rsidRDefault="009F1F4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5" w:name="_heading=h.2s8eyo1" w:colFirst="0" w:colLast="0"/>
      <w:bookmarkEnd w:id="5"/>
      <w:r w:rsidRPr="00874D01">
        <w:rPr>
          <w:rFonts w:ascii="Palatino Linotype" w:eastAsia="Palatino Linotype" w:hAnsi="Palatino Linotype" w:cs="Palatino Linotype"/>
          <w:b/>
          <w:sz w:val="22"/>
          <w:szCs w:val="22"/>
        </w:rPr>
        <w:t>6. Manifestaciones</w:t>
      </w:r>
      <w:r w:rsidRPr="00874D01">
        <w:rPr>
          <w:rFonts w:ascii="Palatino Linotype" w:eastAsia="Palatino Linotype" w:hAnsi="Palatino Linotype" w:cs="Palatino Linotype"/>
          <w:sz w:val="22"/>
          <w:szCs w:val="22"/>
        </w:rPr>
        <w:t xml:space="preserve">. De las constancias que integran el expediente en que se actúa se advierte que durante el periodo de manifestaciones, 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 xml:space="preserve">fue omiso en rendir su informe justificado y la parte </w:t>
      </w:r>
      <w:r w:rsidRPr="00874D01">
        <w:rPr>
          <w:rFonts w:ascii="Palatino Linotype" w:eastAsia="Palatino Linotype" w:hAnsi="Palatino Linotype" w:cs="Palatino Linotype"/>
          <w:b/>
          <w:sz w:val="22"/>
          <w:szCs w:val="22"/>
        </w:rPr>
        <w:t xml:space="preserve">Recurrente </w:t>
      </w:r>
      <w:r w:rsidRPr="00874D01">
        <w:rPr>
          <w:rFonts w:ascii="Palatino Linotype" w:eastAsia="Palatino Linotype" w:hAnsi="Palatino Linotype" w:cs="Palatino Linotype"/>
          <w:sz w:val="22"/>
          <w:szCs w:val="22"/>
        </w:rPr>
        <w:t>fue omisa en hacer valer manifestaciones o rendir alegatos que conforme a derecho resultaran procedentes, como se muestra:</w:t>
      </w:r>
    </w:p>
    <w:p w14:paraId="762573A1" w14:textId="77777777" w:rsidR="00E127E1" w:rsidRPr="00874D01" w:rsidRDefault="009F1F4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noProof/>
          <w:sz w:val="22"/>
          <w:szCs w:val="22"/>
        </w:rPr>
        <w:lastRenderedPageBreak/>
        <w:drawing>
          <wp:inline distT="0" distB="0" distL="0" distR="0" wp14:anchorId="706C1790" wp14:editId="7DD0D2BD">
            <wp:extent cx="5612130" cy="1390650"/>
            <wp:effectExtent l="0" t="0" r="0" b="0"/>
            <wp:docPr id="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1390650"/>
                    </a:xfrm>
                    <a:prstGeom prst="rect">
                      <a:avLst/>
                    </a:prstGeom>
                    <a:ln/>
                  </pic:spPr>
                </pic:pic>
              </a:graphicData>
            </a:graphic>
          </wp:inline>
        </w:drawing>
      </w:r>
    </w:p>
    <w:p w14:paraId="15D1D590" w14:textId="77777777" w:rsidR="00E127E1" w:rsidRPr="00874D01" w:rsidRDefault="00E127E1">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DFAA259" w14:textId="77777777" w:rsidR="00E127E1" w:rsidRPr="00874D01" w:rsidRDefault="009F1F48">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 xml:space="preserve">7. Cierre de instrucción. </w:t>
      </w:r>
      <w:r w:rsidRPr="00874D0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Pr="00874D01">
        <w:rPr>
          <w:rFonts w:ascii="Palatino Linotype" w:eastAsia="Palatino Linotype" w:hAnsi="Palatino Linotype" w:cs="Palatino Linotype"/>
          <w:b/>
          <w:sz w:val="22"/>
          <w:szCs w:val="22"/>
        </w:rPr>
        <w:t>veinte de febrero de dos mil veinticinco,</w:t>
      </w:r>
      <w:r w:rsidRPr="00874D01">
        <w:rPr>
          <w:rFonts w:ascii="Palatino Linotype" w:eastAsia="Palatino Linotype" w:hAnsi="Palatino Linotype" w:cs="Palatino Linotype"/>
          <w:sz w:val="22"/>
          <w:szCs w:val="22"/>
        </w:rPr>
        <w:t xml:space="preserve"> la Comisionada Ponente determinó el cierre de instrucción en términos de la fracción VI del artículo 185 de la Ley de Transparencia y Acceso a la Información Pública del Estado de México y Municipios.</w:t>
      </w:r>
    </w:p>
    <w:p w14:paraId="0332EA2E" w14:textId="77777777" w:rsidR="00E127E1" w:rsidRPr="00874D01" w:rsidRDefault="00E127E1">
      <w:pPr>
        <w:pBdr>
          <w:top w:val="nil"/>
          <w:left w:val="nil"/>
          <w:bottom w:val="nil"/>
          <w:right w:val="nil"/>
          <w:between w:val="nil"/>
        </w:pBdr>
        <w:tabs>
          <w:tab w:val="left" w:pos="360"/>
        </w:tabs>
        <w:spacing w:line="360" w:lineRule="auto"/>
        <w:ind w:right="49"/>
        <w:jc w:val="both"/>
        <w:rPr>
          <w:rFonts w:ascii="Palatino Linotype" w:eastAsia="Palatino Linotype" w:hAnsi="Palatino Linotype" w:cs="Palatino Linotype"/>
          <w:sz w:val="22"/>
          <w:szCs w:val="22"/>
        </w:rPr>
      </w:pPr>
    </w:p>
    <w:p w14:paraId="534EA2E1" w14:textId="77777777" w:rsidR="00E127E1" w:rsidRPr="00874D01" w:rsidRDefault="009F1F48">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ACB661D" w14:textId="77777777" w:rsidR="00E127E1" w:rsidRPr="00874D01" w:rsidRDefault="009F1F48">
      <w:pPr>
        <w:widowControl w:val="0"/>
        <w:spacing w:before="240" w:after="240" w:line="360" w:lineRule="auto"/>
        <w:jc w:val="center"/>
        <w:rPr>
          <w:rFonts w:ascii="Palatino Linotype" w:eastAsia="Palatino Linotype" w:hAnsi="Palatino Linotype" w:cs="Palatino Linotype"/>
          <w:b/>
          <w:sz w:val="22"/>
          <w:szCs w:val="22"/>
        </w:rPr>
      </w:pPr>
      <w:r w:rsidRPr="00874D01">
        <w:rPr>
          <w:rFonts w:ascii="Palatino Linotype" w:eastAsia="Palatino Linotype" w:hAnsi="Palatino Linotype" w:cs="Palatino Linotype"/>
          <w:b/>
          <w:sz w:val="22"/>
          <w:szCs w:val="22"/>
        </w:rPr>
        <w:t>II. C O N S I D E R A N D O S</w:t>
      </w:r>
    </w:p>
    <w:p w14:paraId="38191EE2"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Primero. Competencia.</w:t>
      </w:r>
      <w:r w:rsidRPr="00874D01">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874D01">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36C28E5B"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60DC131F" w14:textId="77777777" w:rsidR="00E127E1" w:rsidRPr="00874D01" w:rsidRDefault="009F1F48">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874D01">
        <w:rPr>
          <w:rFonts w:ascii="Palatino Linotype" w:eastAsia="Palatino Linotype" w:hAnsi="Palatino Linotype" w:cs="Palatino Linotype"/>
          <w:b/>
          <w:sz w:val="22"/>
          <w:szCs w:val="22"/>
        </w:rPr>
        <w:t>Segundo. Oportunidad y Procedibilidad del Recurso de Revisión</w:t>
      </w:r>
      <w:r w:rsidRPr="00874D0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75D672D6"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3F006F22"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El recurso de revisión fue interpuesto dentro del plazo de quince días hábiles, previsto en el artículo 178 de la Ley de Transparencia y Acceso a la Información Pública del Estado de México y Municipios, toda vez que el </w:t>
      </w:r>
      <w:r w:rsidRPr="00874D01">
        <w:rPr>
          <w:rFonts w:ascii="Palatino Linotype" w:eastAsia="Palatino Linotype" w:hAnsi="Palatino Linotype" w:cs="Palatino Linotype"/>
          <w:b/>
          <w:sz w:val="22"/>
          <w:szCs w:val="22"/>
        </w:rPr>
        <w:t xml:space="preserve">Sujeto Obligado </w:t>
      </w:r>
      <w:r w:rsidRPr="00874D01">
        <w:rPr>
          <w:rFonts w:ascii="Palatino Linotype" w:eastAsia="Palatino Linotype" w:hAnsi="Palatino Linotype" w:cs="Palatino Linotype"/>
          <w:sz w:val="22"/>
          <w:szCs w:val="22"/>
        </w:rPr>
        <w:t xml:space="preserve">remitió la respuesta a la solicitud de información el </w:t>
      </w:r>
      <w:r w:rsidRPr="00874D01">
        <w:rPr>
          <w:rFonts w:ascii="Palatino Linotype" w:eastAsia="Palatino Linotype" w:hAnsi="Palatino Linotype" w:cs="Palatino Linotype"/>
          <w:b/>
          <w:sz w:val="22"/>
          <w:szCs w:val="22"/>
        </w:rPr>
        <w:t xml:space="preserve">veintisiete de enero de dos mil veinticinco, </w:t>
      </w:r>
      <w:r w:rsidRPr="00874D01">
        <w:rPr>
          <w:rFonts w:ascii="Palatino Linotype" w:eastAsia="Palatino Linotype" w:hAnsi="Palatino Linotype" w:cs="Palatino Linotype"/>
          <w:sz w:val="22"/>
          <w:szCs w:val="22"/>
        </w:rPr>
        <w:t xml:space="preserve">mientras que el recurso de revisión interpuesto por </w:t>
      </w:r>
      <w:r w:rsidRPr="00874D01">
        <w:rPr>
          <w:rFonts w:ascii="Palatino Linotype" w:eastAsia="Palatino Linotype" w:hAnsi="Palatino Linotype" w:cs="Palatino Linotype"/>
          <w:b/>
          <w:sz w:val="22"/>
          <w:szCs w:val="22"/>
        </w:rPr>
        <w:t>la parte</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xml:space="preserve">, se tuvo por presentado el </w:t>
      </w:r>
      <w:r w:rsidRPr="00874D01">
        <w:rPr>
          <w:rFonts w:ascii="Palatino Linotype" w:eastAsia="Palatino Linotype" w:hAnsi="Palatino Linotype" w:cs="Palatino Linotype"/>
          <w:b/>
          <w:sz w:val="22"/>
          <w:szCs w:val="22"/>
        </w:rPr>
        <w:t>cinco de febrero de dos mil veinticinco</w:t>
      </w:r>
      <w:r w:rsidRPr="00874D01">
        <w:rPr>
          <w:rFonts w:ascii="Palatino Linotype" w:eastAsia="Palatino Linotype" w:hAnsi="Palatino Linotype" w:cs="Palatino Linotype"/>
          <w:sz w:val="22"/>
          <w:szCs w:val="22"/>
        </w:rPr>
        <w:t xml:space="preserve"> esto es, al </w:t>
      </w:r>
      <w:r w:rsidRPr="00874D01">
        <w:rPr>
          <w:rFonts w:ascii="Palatino Linotype" w:eastAsia="Palatino Linotype" w:hAnsi="Palatino Linotype" w:cs="Palatino Linotype"/>
          <w:b/>
          <w:sz w:val="22"/>
          <w:szCs w:val="22"/>
          <w:u w:val="single"/>
        </w:rPr>
        <w:t>sexto</w:t>
      </w:r>
      <w:r w:rsidRPr="00874D01">
        <w:rPr>
          <w:rFonts w:ascii="Palatino Linotype" w:eastAsia="Palatino Linotype" w:hAnsi="Palatino Linotype" w:cs="Palatino Linotype"/>
          <w:sz w:val="22"/>
          <w:szCs w:val="22"/>
        </w:rPr>
        <w:t xml:space="preserve"> día hábil siguiente a aquel </w:t>
      </w:r>
      <w:r w:rsidRPr="00874D01">
        <w:rPr>
          <w:rFonts w:ascii="Palatino Linotype" w:eastAsia="Palatino Linotype" w:hAnsi="Palatino Linotype" w:cs="Palatino Linotype"/>
          <w:b/>
          <w:sz w:val="22"/>
          <w:szCs w:val="22"/>
        </w:rPr>
        <w:t>en que se tuvo conocimiento de la respuesta impugnada</w:t>
      </w:r>
      <w:r w:rsidRPr="00874D01">
        <w:rPr>
          <w:rFonts w:ascii="Palatino Linotype" w:eastAsia="Palatino Linotype" w:hAnsi="Palatino Linotype" w:cs="Palatino Linotype"/>
          <w:sz w:val="22"/>
          <w:szCs w:val="22"/>
        </w:rPr>
        <w:t xml:space="preserve">. </w:t>
      </w:r>
    </w:p>
    <w:p w14:paraId="0EB43AB4"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333CCC94"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En este sentido, se concluye que el presente recurso de revisión se encuentra dentro de los márgenes temporales previstos en las disposiciones legales referidas.</w:t>
      </w:r>
    </w:p>
    <w:p w14:paraId="3E8124A7"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7B68012B" w14:textId="77777777" w:rsidR="00E127E1" w:rsidRPr="00874D01" w:rsidRDefault="009F1F48">
      <w:pPr>
        <w:tabs>
          <w:tab w:val="left" w:pos="7938"/>
        </w:tabs>
        <w:spacing w:line="360" w:lineRule="auto"/>
        <w:jc w:val="both"/>
        <w:rPr>
          <w:rFonts w:ascii="Palatino Linotype" w:eastAsia="Palatino Linotype" w:hAnsi="Palatino Linotype" w:cs="Palatino Linotype"/>
          <w:sz w:val="22"/>
          <w:szCs w:val="22"/>
        </w:rPr>
      </w:pPr>
      <w:bookmarkStart w:id="7" w:name="_heading=h.3znysh7" w:colFirst="0" w:colLast="0"/>
      <w:bookmarkEnd w:id="7"/>
      <w:r w:rsidRPr="00874D01">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6001BB0A" w14:textId="77777777" w:rsidR="00E127E1" w:rsidRPr="00874D01" w:rsidRDefault="00E127E1">
      <w:pPr>
        <w:tabs>
          <w:tab w:val="left" w:pos="7938"/>
        </w:tabs>
        <w:spacing w:line="360" w:lineRule="auto"/>
        <w:jc w:val="both"/>
        <w:rPr>
          <w:rFonts w:ascii="Palatino Linotype" w:eastAsia="Palatino Linotype" w:hAnsi="Palatino Linotype" w:cs="Palatino Linotype"/>
          <w:sz w:val="22"/>
          <w:szCs w:val="22"/>
        </w:rPr>
      </w:pPr>
    </w:p>
    <w:p w14:paraId="3D71688B"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Por otro lado, es de suma importancia mencionar que, si bien la parte</w:t>
      </w:r>
      <w:r w:rsidRPr="00874D01">
        <w:rPr>
          <w:rFonts w:ascii="Palatino Linotype" w:eastAsia="Palatino Linotype" w:hAnsi="Palatino Linotype" w:cs="Palatino Linotype"/>
          <w:b/>
          <w:sz w:val="22"/>
          <w:szCs w:val="22"/>
        </w:rPr>
        <w:t xml:space="preserve"> Recurrente</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no</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proporcionó nombre,</w:t>
      </w:r>
      <w:r w:rsidRPr="00874D01">
        <w:rPr>
          <w:rFonts w:ascii="Palatino Linotype" w:eastAsia="Palatino Linotype" w:hAnsi="Palatino Linotype" w:cs="Palatino Linotype"/>
          <w:sz w:val="22"/>
          <w:szCs w:val="22"/>
        </w:rPr>
        <w:t xml:space="preserve"> como se advierte en el detalle de seguimiento del SAIMEX; sin </w:t>
      </w:r>
      <w:r w:rsidRPr="00874D01">
        <w:rPr>
          <w:rFonts w:ascii="Palatino Linotype" w:eastAsia="Palatino Linotype" w:hAnsi="Palatino Linotype" w:cs="Palatino Linotype"/>
          <w:sz w:val="22"/>
          <w:szCs w:val="22"/>
        </w:rPr>
        <w:lastRenderedPageBreak/>
        <w:t>embargo, el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42C46447"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0347D216" w14:textId="77777777" w:rsidR="00E127E1" w:rsidRPr="00874D01" w:rsidRDefault="009F1F48">
      <w:pPr>
        <w:spacing w:line="276" w:lineRule="auto"/>
        <w:ind w:left="851" w:right="902"/>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i/>
          <w:sz w:val="22"/>
          <w:szCs w:val="22"/>
        </w:rPr>
        <w:t>"</w:t>
      </w:r>
      <w:r w:rsidRPr="00874D01">
        <w:rPr>
          <w:rFonts w:ascii="Palatino Linotype" w:eastAsia="Palatino Linotype" w:hAnsi="Palatino Linotype" w:cs="Palatino Linotype"/>
          <w:b/>
          <w:i/>
          <w:sz w:val="22"/>
          <w:szCs w:val="22"/>
        </w:rPr>
        <w:t>Las solicitudes anónimas,</w:t>
      </w:r>
      <w:r w:rsidRPr="00874D01">
        <w:rPr>
          <w:rFonts w:ascii="Palatino Linotype" w:eastAsia="Palatino Linotype" w:hAnsi="Palatino Linotype" w:cs="Palatino Linotype"/>
          <w:i/>
          <w:sz w:val="22"/>
          <w:szCs w:val="22"/>
        </w:rPr>
        <w:t xml:space="preserve"> con nombre incompleto o seudónimo </w:t>
      </w:r>
      <w:r w:rsidRPr="00874D01">
        <w:rPr>
          <w:rFonts w:ascii="Palatino Linotype" w:eastAsia="Palatino Linotype" w:hAnsi="Palatino Linotype" w:cs="Palatino Linotype"/>
          <w:b/>
          <w:i/>
          <w:sz w:val="22"/>
          <w:szCs w:val="22"/>
        </w:rPr>
        <w:t>serán procedentes para su trámite por parte del sujeto obligado ante quien se presente</w:t>
      </w:r>
      <w:r w:rsidRPr="00874D01">
        <w:rPr>
          <w:rFonts w:ascii="Palatino Linotype" w:eastAsia="Palatino Linotype" w:hAnsi="Palatino Linotype" w:cs="Palatino Linotype"/>
          <w:i/>
          <w:sz w:val="22"/>
          <w:szCs w:val="22"/>
        </w:rPr>
        <w:t>. No podrá requerirse información adicional con motivo del nombre proporcionado por el solicitante."</w:t>
      </w:r>
    </w:p>
    <w:p w14:paraId="755344BF" w14:textId="77777777" w:rsidR="00E127E1" w:rsidRPr="00874D01" w:rsidRDefault="00E127E1">
      <w:pPr>
        <w:tabs>
          <w:tab w:val="left" w:pos="7938"/>
        </w:tabs>
        <w:spacing w:line="360" w:lineRule="auto"/>
        <w:jc w:val="both"/>
        <w:rPr>
          <w:rFonts w:ascii="Palatino Linotype" w:eastAsia="Palatino Linotype" w:hAnsi="Palatino Linotype" w:cs="Palatino Linotype"/>
          <w:sz w:val="22"/>
          <w:szCs w:val="22"/>
        </w:rPr>
      </w:pPr>
    </w:p>
    <w:p w14:paraId="16813A6B"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Finalmente, se advierte que resulta procedente la interposición del recurso, según lo manifestado por </w:t>
      </w:r>
      <w:r w:rsidRPr="00874D01">
        <w:rPr>
          <w:rFonts w:ascii="Palatino Linotype" w:eastAsia="Palatino Linotype" w:hAnsi="Palatino Linotype" w:cs="Palatino Linotype"/>
          <w:b/>
          <w:sz w:val="22"/>
          <w:szCs w:val="22"/>
        </w:rPr>
        <w:t>la parte</w:t>
      </w:r>
      <w:r w:rsidRPr="00874D01">
        <w:rPr>
          <w:rFonts w:ascii="Palatino Linotype" w:eastAsia="Palatino Linotype" w:hAnsi="Palatino Linotype" w:cs="Palatino Linotype"/>
          <w:sz w:val="22"/>
          <w:szCs w:val="22"/>
        </w:rPr>
        <w:t xml:space="preserv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xml:space="preserve"> en sus motivos de inconformidad, de acuerdo al artículo 179, fracción I del ordenamiento legal citado, que a la letra dice: </w:t>
      </w:r>
    </w:p>
    <w:p w14:paraId="76AADBFB"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13C62678" w14:textId="77777777" w:rsidR="00E127E1" w:rsidRPr="00874D01" w:rsidRDefault="009F1F48">
      <w:pPr>
        <w:ind w:left="567"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w:t>
      </w:r>
      <w:r w:rsidRPr="00874D01">
        <w:rPr>
          <w:rFonts w:ascii="Palatino Linotype" w:eastAsia="Palatino Linotype" w:hAnsi="Palatino Linotype" w:cs="Palatino Linotype"/>
          <w:b/>
          <w:i/>
          <w:sz w:val="22"/>
          <w:szCs w:val="22"/>
        </w:rPr>
        <w:t>Artículo 179.</w:t>
      </w:r>
      <w:r w:rsidRPr="00874D0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33BE8DDB" w14:textId="77777777" w:rsidR="00E127E1" w:rsidRPr="00874D01" w:rsidRDefault="009F1F48">
      <w:pPr>
        <w:ind w:left="567" w:right="902"/>
        <w:jc w:val="both"/>
        <w:rPr>
          <w:rFonts w:ascii="Palatino Linotype" w:eastAsia="Palatino Linotype" w:hAnsi="Palatino Linotype" w:cs="Palatino Linotype"/>
          <w:b/>
          <w:i/>
          <w:sz w:val="22"/>
          <w:szCs w:val="22"/>
        </w:rPr>
      </w:pPr>
      <w:r w:rsidRPr="00874D01">
        <w:rPr>
          <w:rFonts w:ascii="Palatino Linotype" w:eastAsia="Palatino Linotype" w:hAnsi="Palatino Linotype" w:cs="Palatino Linotype"/>
          <w:b/>
          <w:i/>
          <w:sz w:val="22"/>
          <w:szCs w:val="22"/>
        </w:rPr>
        <w:t>I. La negativa a la información solicitada;</w:t>
      </w:r>
    </w:p>
    <w:p w14:paraId="3054D03E" w14:textId="77777777" w:rsidR="00E127E1" w:rsidRPr="00874D01" w:rsidRDefault="009F1F48">
      <w:pPr>
        <w:ind w:left="567"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 xml:space="preserve"> […]”</w:t>
      </w:r>
    </w:p>
    <w:p w14:paraId="40C5B184" w14:textId="77777777" w:rsidR="00E127E1" w:rsidRPr="00874D01" w:rsidRDefault="00E127E1">
      <w:pPr>
        <w:ind w:left="567"/>
        <w:rPr>
          <w:rFonts w:ascii="Palatino Linotype" w:eastAsia="Palatino Linotype" w:hAnsi="Palatino Linotype" w:cs="Palatino Linotype"/>
          <w:b/>
          <w:i/>
          <w:sz w:val="22"/>
          <w:szCs w:val="22"/>
        </w:rPr>
      </w:pPr>
    </w:p>
    <w:p w14:paraId="7B37EA5E" w14:textId="77777777" w:rsidR="00E127E1" w:rsidRPr="00874D01" w:rsidRDefault="009F1F48">
      <w:pPr>
        <w:ind w:left="567" w:right="900"/>
        <w:jc w:val="right"/>
        <w:rPr>
          <w:rFonts w:ascii="Palatino Linotype" w:eastAsia="Palatino Linotype" w:hAnsi="Palatino Linotype" w:cs="Palatino Linotype"/>
          <w:b/>
          <w:i/>
          <w:sz w:val="22"/>
          <w:szCs w:val="22"/>
        </w:rPr>
      </w:pPr>
      <w:r w:rsidRPr="00874D01">
        <w:rPr>
          <w:rFonts w:ascii="Palatino Linotype" w:eastAsia="Palatino Linotype" w:hAnsi="Palatino Linotype" w:cs="Palatino Linotype"/>
          <w:b/>
          <w:i/>
          <w:sz w:val="22"/>
          <w:szCs w:val="22"/>
        </w:rPr>
        <w:t xml:space="preserve"> </w:t>
      </w:r>
      <w:r w:rsidRPr="00874D01">
        <w:rPr>
          <w:rFonts w:ascii="Palatino Linotype" w:eastAsia="Palatino Linotype" w:hAnsi="Palatino Linotype" w:cs="Palatino Linotype"/>
          <w:i/>
          <w:sz w:val="22"/>
          <w:szCs w:val="22"/>
        </w:rPr>
        <w:t>(Énfasis añadido)</w:t>
      </w:r>
    </w:p>
    <w:p w14:paraId="2B271B0D" w14:textId="77777777" w:rsidR="00E127E1" w:rsidRPr="00874D01" w:rsidRDefault="00E127E1">
      <w:pPr>
        <w:spacing w:line="360" w:lineRule="auto"/>
        <w:jc w:val="both"/>
        <w:rPr>
          <w:rFonts w:ascii="Palatino Linotype" w:eastAsia="Palatino Linotype" w:hAnsi="Palatino Linotype" w:cs="Palatino Linotype"/>
          <w:b/>
          <w:sz w:val="22"/>
          <w:szCs w:val="22"/>
        </w:rPr>
      </w:pPr>
    </w:p>
    <w:p w14:paraId="164581CA" w14:textId="77777777" w:rsidR="00E127E1" w:rsidRPr="00874D01" w:rsidRDefault="009F1F48">
      <w:pPr>
        <w:spacing w:before="240" w:after="240"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Tercero. Análisis de las causales de sobreseimiento del recurso de revisión.</w:t>
      </w:r>
      <w:r w:rsidRPr="00874D01">
        <w:rPr>
          <w:sz w:val="22"/>
          <w:szCs w:val="22"/>
        </w:rPr>
        <w:t xml:space="preserve"> </w:t>
      </w:r>
      <w:r w:rsidRPr="00874D01">
        <w:rPr>
          <w:rFonts w:ascii="Palatino Linotype" w:eastAsia="Palatino Linotype" w:hAnsi="Palatino Linotype" w:cs="Palatino Linotype"/>
          <w:sz w:val="22"/>
          <w:szCs w:val="22"/>
        </w:rPr>
        <w:t>El artículo 192 de la Ley de Transparencia y Acceso a la Información Pública del Estado de México y Municipios, señala que el Recurso de Revisión será sobreseído en todo o en parte, cuando, una vez admitido, se actualice alguno de los siguientes supuestos:</w:t>
      </w:r>
    </w:p>
    <w:p w14:paraId="0390E17A" w14:textId="77777777" w:rsidR="00E127E1" w:rsidRPr="00874D01" w:rsidRDefault="009F1F48">
      <w:pPr>
        <w:spacing w:after="120"/>
        <w:ind w:left="851"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b/>
          <w:i/>
          <w:sz w:val="22"/>
          <w:szCs w:val="22"/>
        </w:rPr>
        <w:t>Artículo 192.</w:t>
      </w:r>
      <w:r w:rsidRPr="00874D01">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  </w:t>
      </w:r>
    </w:p>
    <w:p w14:paraId="6826B68C" w14:textId="77777777" w:rsidR="00E127E1" w:rsidRPr="00874D01" w:rsidRDefault="009F1F48">
      <w:pPr>
        <w:ind w:left="1134" w:right="902"/>
        <w:jc w:val="both"/>
        <w:rPr>
          <w:rFonts w:ascii="Palatino Linotype" w:eastAsia="Palatino Linotype" w:hAnsi="Palatino Linotype" w:cs="Palatino Linotype"/>
          <w:b/>
          <w:i/>
          <w:sz w:val="22"/>
          <w:szCs w:val="22"/>
        </w:rPr>
      </w:pPr>
      <w:r w:rsidRPr="00874D01">
        <w:rPr>
          <w:rFonts w:ascii="Palatino Linotype" w:eastAsia="Palatino Linotype" w:hAnsi="Palatino Linotype" w:cs="Palatino Linotype"/>
          <w:b/>
          <w:i/>
          <w:sz w:val="22"/>
          <w:szCs w:val="22"/>
        </w:rPr>
        <w:t xml:space="preserve">I. El recurrente se desista expresamente del recurso; </w:t>
      </w:r>
    </w:p>
    <w:p w14:paraId="3035FFAA" w14:textId="77777777" w:rsidR="00E127E1" w:rsidRPr="00874D01" w:rsidRDefault="009F1F48">
      <w:pPr>
        <w:ind w:left="1134"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b/>
          <w:i/>
          <w:sz w:val="22"/>
          <w:szCs w:val="22"/>
        </w:rPr>
        <w:lastRenderedPageBreak/>
        <w:t>II.</w:t>
      </w:r>
      <w:r w:rsidRPr="00874D01">
        <w:rPr>
          <w:rFonts w:ascii="Palatino Linotype" w:eastAsia="Palatino Linotype" w:hAnsi="Palatino Linotype" w:cs="Palatino Linotype"/>
          <w:i/>
          <w:sz w:val="22"/>
          <w:szCs w:val="22"/>
        </w:rPr>
        <w:t xml:space="preserve"> El recurrente fallezca o, tratándose de personas jurídicas colectivas, se disuelva; </w:t>
      </w:r>
    </w:p>
    <w:p w14:paraId="229DD854" w14:textId="77777777" w:rsidR="00E127E1" w:rsidRPr="00874D01" w:rsidRDefault="009F1F48">
      <w:pPr>
        <w:ind w:left="1134"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b/>
          <w:i/>
          <w:sz w:val="22"/>
          <w:szCs w:val="22"/>
        </w:rPr>
        <w:t>III.</w:t>
      </w:r>
      <w:r w:rsidRPr="00874D01">
        <w:rPr>
          <w:rFonts w:ascii="Palatino Linotype" w:eastAsia="Palatino Linotype" w:hAnsi="Palatino Linotype" w:cs="Palatino Linotype"/>
          <w:i/>
          <w:sz w:val="22"/>
          <w:szCs w:val="22"/>
        </w:rPr>
        <w:t xml:space="preserve"> El sujeto obligado responsable del acto lo modifique o revoque de tal manera que el recurso de revisión quede sin materia; </w:t>
      </w:r>
    </w:p>
    <w:p w14:paraId="1C80D181" w14:textId="77777777" w:rsidR="00E127E1" w:rsidRPr="00874D01" w:rsidRDefault="009F1F48">
      <w:pPr>
        <w:ind w:left="1134"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b/>
          <w:i/>
          <w:sz w:val="22"/>
          <w:szCs w:val="22"/>
        </w:rPr>
        <w:t>IV</w:t>
      </w:r>
      <w:r w:rsidRPr="00874D01">
        <w:rPr>
          <w:rFonts w:ascii="Palatino Linotype" w:eastAsia="Palatino Linotype" w:hAnsi="Palatino Linotype" w:cs="Palatino Linotype"/>
          <w:i/>
          <w:sz w:val="22"/>
          <w:szCs w:val="22"/>
        </w:rPr>
        <w:t xml:space="preserve">. Admitido el recurso de revisión, aparezca alguna causal de improcedencia en los términos de la presente Ley; y </w:t>
      </w:r>
    </w:p>
    <w:p w14:paraId="14F2042E" w14:textId="77777777" w:rsidR="00E127E1" w:rsidRPr="00874D01" w:rsidRDefault="009F1F48">
      <w:pPr>
        <w:ind w:left="1134"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b/>
          <w:i/>
          <w:sz w:val="22"/>
          <w:szCs w:val="22"/>
        </w:rPr>
        <w:t>V.</w:t>
      </w:r>
      <w:r w:rsidRPr="00874D01">
        <w:rPr>
          <w:rFonts w:ascii="Palatino Linotype" w:eastAsia="Palatino Linotype" w:hAnsi="Palatino Linotype" w:cs="Palatino Linotype"/>
          <w:i/>
          <w:sz w:val="22"/>
          <w:szCs w:val="22"/>
        </w:rPr>
        <w:t xml:space="preserve"> Cuando por cualquier motivo quede sin materia el recurso</w:t>
      </w:r>
      <w:r w:rsidRPr="00874D01">
        <w:rPr>
          <w:rFonts w:ascii="Palatino Linotype" w:eastAsia="Palatino Linotype" w:hAnsi="Palatino Linotype" w:cs="Palatino Linotype"/>
          <w:sz w:val="22"/>
          <w:szCs w:val="22"/>
        </w:rPr>
        <w:t>.</w:t>
      </w:r>
      <w:r w:rsidRPr="00874D01">
        <w:rPr>
          <w:rFonts w:ascii="Palatino Linotype" w:eastAsia="Palatino Linotype" w:hAnsi="Palatino Linotype" w:cs="Palatino Linotype"/>
          <w:i/>
          <w:sz w:val="22"/>
          <w:szCs w:val="22"/>
        </w:rPr>
        <w:t>”</w:t>
      </w:r>
    </w:p>
    <w:p w14:paraId="239702AC"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734E4F88"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En ese sentido, es susceptible de análisis la actualización del supuesto jurídico previsto en la fracción I, del artículo 192, de la Ley en cita, mismo que dispone que el Recurso de Revisión será sobreseído cuando la parte</w:t>
      </w:r>
      <w:r w:rsidRPr="00874D01">
        <w:rPr>
          <w:rFonts w:ascii="Palatino Linotype" w:eastAsia="Palatino Linotype" w:hAnsi="Palatino Linotype" w:cs="Palatino Linotype"/>
          <w:b/>
          <w:sz w:val="22"/>
          <w:szCs w:val="22"/>
        </w:rPr>
        <w:t xml:space="preserve"> Recurrente se desista expresamente</w:t>
      </w:r>
      <w:r w:rsidRPr="00874D01">
        <w:rPr>
          <w:rFonts w:ascii="Palatino Linotype" w:eastAsia="Palatino Linotype" w:hAnsi="Palatino Linotype" w:cs="Palatino Linotype"/>
          <w:sz w:val="22"/>
          <w:szCs w:val="22"/>
        </w:rPr>
        <w:t xml:space="preserve">. </w:t>
      </w:r>
    </w:p>
    <w:p w14:paraId="1E4E0673" w14:textId="77777777" w:rsidR="00E127E1" w:rsidRPr="00874D01" w:rsidRDefault="00E127E1">
      <w:pPr>
        <w:spacing w:line="360" w:lineRule="auto"/>
        <w:ind w:right="49"/>
        <w:jc w:val="both"/>
        <w:rPr>
          <w:rFonts w:ascii="Palatino Linotype" w:eastAsia="Palatino Linotype" w:hAnsi="Palatino Linotype" w:cs="Palatino Linotype"/>
          <w:sz w:val="22"/>
          <w:szCs w:val="22"/>
        </w:rPr>
      </w:pPr>
    </w:p>
    <w:p w14:paraId="325A2EF0"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Ello, toda vez que la parte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xml:space="preserve"> en fecha </w:t>
      </w:r>
      <w:r w:rsidRPr="00874D01">
        <w:rPr>
          <w:rFonts w:ascii="Palatino Linotype" w:eastAsia="Palatino Linotype" w:hAnsi="Palatino Linotype" w:cs="Palatino Linotype"/>
          <w:b/>
          <w:sz w:val="22"/>
          <w:szCs w:val="22"/>
        </w:rPr>
        <w:t>siete de febrero de dos mil veinticinco</w:t>
      </w:r>
      <w:r w:rsidRPr="00874D01">
        <w:rPr>
          <w:rFonts w:ascii="Palatino Linotype" w:eastAsia="Palatino Linotype" w:hAnsi="Palatino Linotype" w:cs="Palatino Linotype"/>
          <w:sz w:val="22"/>
          <w:szCs w:val="22"/>
        </w:rPr>
        <w:t>, a través del Sistema de Acceso a la Información Mexiquense (SAIMEX), se desistió expresamente del presente Recurso de Revisión, en consecuencia, se estima que se actualiza el supuesto previsto en el artículo 192, fracción I, de la Ley de Transparencia y Acceso a la Información Pública del Estado de México y Municipios.</w:t>
      </w:r>
    </w:p>
    <w:p w14:paraId="48C779C4"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2797201B" w14:textId="77777777" w:rsidR="00E127E1" w:rsidRPr="00874D01" w:rsidRDefault="009F1F48">
      <w:pPr>
        <w:spacing w:line="360" w:lineRule="auto"/>
        <w:ind w:right="49"/>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Aunado a lo anterior, no está por demás referir que anteriormente, en la sustanciación del recurso 01099/INFOEM/IP/RR/2023, se solicitó a la Dirección General de Informática informará el procedimiento que se debe realizar para llevar a cabo un desistimiento a un recurso de revisión, dentro del Sistema de Acceso a la Información Mexiquense, en atención a ello, dicha unidad administrativa remitió lo siguiente: </w:t>
      </w:r>
    </w:p>
    <w:p w14:paraId="6BB785B8" w14:textId="77777777" w:rsidR="00E127E1" w:rsidRPr="00874D01" w:rsidRDefault="00E127E1">
      <w:pPr>
        <w:spacing w:line="360" w:lineRule="auto"/>
        <w:ind w:right="49"/>
        <w:jc w:val="both"/>
        <w:rPr>
          <w:rFonts w:ascii="Palatino Linotype" w:eastAsia="Palatino Linotype" w:hAnsi="Palatino Linotype" w:cs="Palatino Linotype"/>
          <w:sz w:val="22"/>
          <w:szCs w:val="22"/>
        </w:rPr>
      </w:pPr>
    </w:p>
    <w:p w14:paraId="7A91E2D8" w14:textId="77777777" w:rsidR="00E127E1" w:rsidRPr="00874D01" w:rsidRDefault="009F1F48">
      <w:pPr>
        <w:spacing w:line="360" w:lineRule="auto"/>
        <w:ind w:left="284" w:right="49"/>
        <w:jc w:val="center"/>
        <w:rPr>
          <w:rFonts w:ascii="Palatino Linotype" w:eastAsia="Palatino Linotype" w:hAnsi="Palatino Linotype" w:cs="Palatino Linotype"/>
          <w:sz w:val="22"/>
          <w:szCs w:val="22"/>
        </w:rPr>
      </w:pPr>
      <w:r w:rsidRPr="00874D01">
        <w:rPr>
          <w:rFonts w:ascii="Palatino Linotype" w:eastAsia="Palatino Linotype" w:hAnsi="Palatino Linotype" w:cs="Palatino Linotype"/>
          <w:noProof/>
          <w:sz w:val="22"/>
          <w:szCs w:val="22"/>
        </w:rPr>
        <w:drawing>
          <wp:inline distT="0" distB="0" distL="0" distR="0" wp14:anchorId="4F319E5C" wp14:editId="3D951972">
            <wp:extent cx="4560552" cy="1211107"/>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560552" cy="1211107"/>
                    </a:xfrm>
                    <a:prstGeom prst="rect">
                      <a:avLst/>
                    </a:prstGeom>
                    <a:ln/>
                  </pic:spPr>
                </pic:pic>
              </a:graphicData>
            </a:graphic>
          </wp:inline>
        </w:drawing>
      </w:r>
    </w:p>
    <w:p w14:paraId="49B8742D" w14:textId="77777777" w:rsidR="00E127E1" w:rsidRPr="00874D01" w:rsidRDefault="009F1F48">
      <w:pPr>
        <w:spacing w:line="360" w:lineRule="auto"/>
        <w:ind w:left="284" w:right="49"/>
        <w:jc w:val="center"/>
        <w:rPr>
          <w:rFonts w:ascii="Palatino Linotype" w:eastAsia="Palatino Linotype" w:hAnsi="Palatino Linotype" w:cs="Palatino Linotype"/>
          <w:sz w:val="22"/>
          <w:szCs w:val="22"/>
        </w:rPr>
      </w:pPr>
      <w:r w:rsidRPr="00874D01">
        <w:rPr>
          <w:rFonts w:ascii="Palatino Linotype" w:eastAsia="Palatino Linotype" w:hAnsi="Palatino Linotype" w:cs="Palatino Linotype"/>
          <w:noProof/>
          <w:sz w:val="22"/>
          <w:szCs w:val="22"/>
        </w:rPr>
        <w:lastRenderedPageBreak/>
        <w:drawing>
          <wp:inline distT="0" distB="0" distL="0" distR="0" wp14:anchorId="1BFE0514" wp14:editId="7B15A1DC">
            <wp:extent cx="3846545" cy="1896293"/>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846545" cy="1896293"/>
                    </a:xfrm>
                    <a:prstGeom prst="rect">
                      <a:avLst/>
                    </a:prstGeom>
                    <a:ln/>
                  </pic:spPr>
                </pic:pic>
              </a:graphicData>
            </a:graphic>
          </wp:inline>
        </w:drawing>
      </w:r>
    </w:p>
    <w:p w14:paraId="444DB7FE" w14:textId="77777777" w:rsidR="00E127E1" w:rsidRPr="00874D01" w:rsidRDefault="009F1F48">
      <w:pPr>
        <w:spacing w:line="360" w:lineRule="auto"/>
        <w:ind w:left="284" w:right="49"/>
        <w:jc w:val="center"/>
        <w:rPr>
          <w:rFonts w:ascii="Palatino Linotype" w:eastAsia="Palatino Linotype" w:hAnsi="Palatino Linotype" w:cs="Palatino Linotype"/>
          <w:sz w:val="22"/>
          <w:szCs w:val="22"/>
        </w:rPr>
      </w:pPr>
      <w:r w:rsidRPr="00874D01">
        <w:rPr>
          <w:rFonts w:ascii="Palatino Linotype" w:eastAsia="Palatino Linotype" w:hAnsi="Palatino Linotype" w:cs="Palatino Linotype"/>
          <w:noProof/>
          <w:sz w:val="22"/>
          <w:szCs w:val="22"/>
        </w:rPr>
        <w:drawing>
          <wp:inline distT="0" distB="0" distL="0" distR="0" wp14:anchorId="07EF6DB6" wp14:editId="07508B1B">
            <wp:extent cx="5612130" cy="1821815"/>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12130" cy="1821815"/>
                    </a:xfrm>
                    <a:prstGeom prst="rect">
                      <a:avLst/>
                    </a:prstGeom>
                    <a:ln/>
                  </pic:spPr>
                </pic:pic>
              </a:graphicData>
            </a:graphic>
          </wp:inline>
        </w:drawing>
      </w:r>
    </w:p>
    <w:p w14:paraId="74985659" w14:textId="77777777" w:rsidR="00E127E1" w:rsidRPr="00874D01" w:rsidRDefault="009F1F48">
      <w:pPr>
        <w:spacing w:line="360" w:lineRule="auto"/>
        <w:ind w:left="284" w:right="49"/>
        <w:jc w:val="center"/>
        <w:rPr>
          <w:rFonts w:ascii="Palatino Linotype" w:eastAsia="Palatino Linotype" w:hAnsi="Palatino Linotype" w:cs="Palatino Linotype"/>
          <w:sz w:val="22"/>
          <w:szCs w:val="22"/>
        </w:rPr>
      </w:pPr>
      <w:r w:rsidRPr="00874D01">
        <w:rPr>
          <w:rFonts w:ascii="Palatino Linotype" w:eastAsia="Palatino Linotype" w:hAnsi="Palatino Linotype" w:cs="Palatino Linotype"/>
          <w:noProof/>
          <w:sz w:val="22"/>
          <w:szCs w:val="22"/>
        </w:rPr>
        <w:drawing>
          <wp:inline distT="0" distB="0" distL="0" distR="0" wp14:anchorId="37F52FD3" wp14:editId="54388126">
            <wp:extent cx="5612130" cy="1705610"/>
            <wp:effectExtent l="0" t="0" r="0" b="0"/>
            <wp:docPr id="3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612130" cy="1705610"/>
                    </a:xfrm>
                    <a:prstGeom prst="rect">
                      <a:avLst/>
                    </a:prstGeom>
                    <a:ln/>
                  </pic:spPr>
                </pic:pic>
              </a:graphicData>
            </a:graphic>
          </wp:inline>
        </w:drawing>
      </w:r>
    </w:p>
    <w:p w14:paraId="133594B0" w14:textId="77777777" w:rsidR="00E127E1" w:rsidRPr="00874D01" w:rsidRDefault="009F1F48">
      <w:pPr>
        <w:spacing w:line="360" w:lineRule="auto"/>
        <w:ind w:left="284" w:right="49"/>
        <w:jc w:val="center"/>
        <w:rPr>
          <w:rFonts w:ascii="Palatino Linotype" w:eastAsia="Palatino Linotype" w:hAnsi="Palatino Linotype" w:cs="Palatino Linotype"/>
          <w:sz w:val="22"/>
          <w:szCs w:val="22"/>
        </w:rPr>
      </w:pPr>
      <w:r w:rsidRPr="00874D01">
        <w:rPr>
          <w:rFonts w:ascii="Palatino Linotype" w:eastAsia="Palatino Linotype" w:hAnsi="Palatino Linotype" w:cs="Palatino Linotype"/>
          <w:noProof/>
          <w:sz w:val="22"/>
          <w:szCs w:val="22"/>
        </w:rPr>
        <w:drawing>
          <wp:inline distT="0" distB="0" distL="0" distR="0" wp14:anchorId="16BF844C" wp14:editId="4C4303E4">
            <wp:extent cx="5612130" cy="1485900"/>
            <wp:effectExtent l="0" t="0" r="0" b="0"/>
            <wp:docPr id="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612130" cy="1485900"/>
                    </a:xfrm>
                    <a:prstGeom prst="rect">
                      <a:avLst/>
                    </a:prstGeom>
                    <a:ln/>
                  </pic:spPr>
                </pic:pic>
              </a:graphicData>
            </a:graphic>
          </wp:inline>
        </w:drawing>
      </w:r>
    </w:p>
    <w:p w14:paraId="0995DD43" w14:textId="77777777" w:rsidR="00E127E1" w:rsidRPr="00874D01" w:rsidRDefault="00E127E1">
      <w:pPr>
        <w:tabs>
          <w:tab w:val="left" w:pos="426"/>
          <w:tab w:val="left" w:pos="567"/>
        </w:tabs>
        <w:spacing w:line="360" w:lineRule="auto"/>
        <w:jc w:val="both"/>
        <w:rPr>
          <w:rFonts w:ascii="Palatino Linotype" w:eastAsia="Palatino Linotype" w:hAnsi="Palatino Linotype" w:cs="Palatino Linotype"/>
          <w:sz w:val="22"/>
          <w:szCs w:val="22"/>
        </w:rPr>
      </w:pPr>
    </w:p>
    <w:p w14:paraId="55560517" w14:textId="77777777" w:rsidR="00E127E1" w:rsidRPr="00874D01" w:rsidRDefault="009F1F48">
      <w:pPr>
        <w:tabs>
          <w:tab w:val="left" w:pos="426"/>
          <w:tab w:val="left" w:pos="567"/>
        </w:tabs>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lastRenderedPageBreak/>
        <w:t xml:space="preserve">De las imágenes insertas, se advierte que efectivamente la parte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xml:space="preserve"> hizo uso de la opción desistir al recurso de revisión en el propio sistema, opción que únicamente puede hacer uso el usuario dueño de la cuenta previo ingreso de nombre de usuario y contraseña; asimismo, se advierte que confirmada la acción del desistimiento, existe un apartado en el que se registran las razones del desistimiento, apartado del que hizo uso la persona solicitante y por último, aceptó la actualización del estado; es así, que se colige que el hecho que ahora se analiza, </w:t>
      </w:r>
      <w:r w:rsidRPr="00874D01">
        <w:rPr>
          <w:rFonts w:ascii="Palatino Linotype" w:eastAsia="Palatino Linotype" w:hAnsi="Palatino Linotype" w:cs="Palatino Linotype"/>
          <w:b/>
          <w:sz w:val="22"/>
          <w:szCs w:val="22"/>
          <w:u w:val="single"/>
        </w:rPr>
        <w:t>constituye un desistimiento expreso.</w:t>
      </w:r>
    </w:p>
    <w:p w14:paraId="600E3492" w14:textId="77777777" w:rsidR="00E127E1" w:rsidRPr="00874D01" w:rsidRDefault="009F1F48">
      <w:pPr>
        <w:spacing w:before="240" w:after="240"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En este sentido, resulta aplicable la Jurisprudencia número 1a./J. 65/2005, Semanario Judicial de la Federación y su Gaceta, Novena Época, Tomo XXII, julio de dos mil cinco, página ciento sesenta y uno, que establece lo siguiente:</w:t>
      </w:r>
    </w:p>
    <w:p w14:paraId="1C03B07D" w14:textId="77777777" w:rsidR="00E127E1" w:rsidRPr="00874D01" w:rsidRDefault="009F1F48">
      <w:pPr>
        <w:spacing w:before="120" w:after="120"/>
        <w:ind w:left="851"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i/>
          <w:sz w:val="22"/>
          <w:szCs w:val="22"/>
        </w:rPr>
        <w:t>“</w:t>
      </w:r>
      <w:r w:rsidRPr="00874D01">
        <w:rPr>
          <w:rFonts w:ascii="Palatino Linotype" w:eastAsia="Palatino Linotype" w:hAnsi="Palatino Linotype" w:cs="Palatino Linotype"/>
          <w:b/>
          <w:i/>
          <w:sz w:val="22"/>
          <w:szCs w:val="22"/>
        </w:rPr>
        <w:t xml:space="preserve">DESISTIMIENTO DE LA INSTANCIA. SURTE EFECTOS DESDE EL MOMENTO EN QUE SE PRESENTA EL ESCRITO CORRESPONDIENTE. </w:t>
      </w:r>
      <w:r w:rsidRPr="00874D01">
        <w:rPr>
          <w:rFonts w:ascii="Palatino Linotype" w:eastAsia="Palatino Linotype" w:hAnsi="Palatino Linotype" w:cs="Palatino Linotype"/>
          <w:i/>
          <w:sz w:val="22"/>
          <w:szCs w:val="22"/>
        </w:rPr>
        <w:t>Los órganos jurisdiccionales tienen conocimiento de las pretensiones de las partes sólo a partir de que la promoción respectiva es presentada y, en tal virtud, en ese momento surge la obligación de atender la petición correspondiente.  Por ello, puede considerarse que las promociones de las partes surten efecto desde el momento en que se presentan y no hasta que son acordadas por el tribunal o hasta que se notifique a la contraparte el acuerdo respectivo.  De esta manera, cuando se presenta el escrito de desistimiento de la instancia, se hace saber al juzgador la intención del actor de destruir los efectos jurídicos generados con la demanda, y como el efecto que produce el desistimiento es que las cosas vuelvan al estado que tenían antes de su presentación, desde ese momento desaparece cualquier efecto jurídico que pudiera haberse generado con la demanda, esto es, todos los derechos y las obligaciones derivados de la manifestación de la voluntad de demandar se destruyen, como si nunca se hubiera presentado la demanda ni hubiera existido el juicio;  ello con independencia de que exija la ratificación de la mencionada promoción y ésta se haga con posterioridad, ya que en estos casos, por igualdad de razón, los efectos del desistimiento se retrotraen a la fecha de presentación del escrito ante la autoridad jurisdiccional.”</w:t>
      </w:r>
    </w:p>
    <w:p w14:paraId="54967105" w14:textId="77777777" w:rsidR="00E127E1" w:rsidRPr="00874D01" w:rsidRDefault="009F1F48">
      <w:pPr>
        <w:spacing w:before="240" w:after="240"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Conforme a lo citado se pude colegir que cuando la parte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xml:space="preserve"> presente un escrito de desistimiento, le hace saber a este Instituto la intención de cesar los efectos jurídicos </w:t>
      </w:r>
      <w:r w:rsidRPr="00874D01">
        <w:rPr>
          <w:rFonts w:ascii="Palatino Linotype" w:eastAsia="Palatino Linotype" w:hAnsi="Palatino Linotype" w:cs="Palatino Linotype"/>
          <w:sz w:val="22"/>
          <w:szCs w:val="22"/>
        </w:rPr>
        <w:lastRenderedPageBreak/>
        <w:t>generados con el Recurso de Revisión, situación que genera el efecto de que las cosas vuelvan al estado que tenía la solicitud de información antes de la presentación del medio de impugnación y por lo cual, desaparece cualquier efecto jurídico que pudiera haberse generado con el Medio de Impugnación, esto es, todos los derechos y obligaciones de las partes.</w:t>
      </w:r>
    </w:p>
    <w:p w14:paraId="2A7A9CD7" w14:textId="77777777" w:rsidR="00E127E1" w:rsidRPr="00874D01" w:rsidRDefault="009F1F48">
      <w:pPr>
        <w:spacing w:before="240" w:after="240"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 xml:space="preserve">En ese sentido, toda vez que este Instituto constató que la parte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xml:space="preserve"> se desistió por la vía idónea para realizar dicha acción, a saber, por el Sistema de Acceso a la Información Mexiquense, SAIMEX, resulta procedente </w:t>
      </w:r>
      <w:r w:rsidRPr="00874D01">
        <w:rPr>
          <w:rFonts w:ascii="Palatino Linotype" w:eastAsia="Palatino Linotype" w:hAnsi="Palatino Linotype" w:cs="Palatino Linotype"/>
          <w:i/>
          <w:sz w:val="22"/>
          <w:szCs w:val="22"/>
        </w:rPr>
        <w:t>Sobreseer</w:t>
      </w:r>
      <w:r w:rsidRPr="00874D01">
        <w:rPr>
          <w:rFonts w:ascii="Palatino Linotype" w:eastAsia="Palatino Linotype" w:hAnsi="Palatino Linotype" w:cs="Palatino Linotype"/>
          <w:b/>
          <w:sz w:val="22"/>
          <w:szCs w:val="22"/>
        </w:rPr>
        <w:t xml:space="preserve"> </w:t>
      </w:r>
      <w:r w:rsidRPr="00874D01">
        <w:rPr>
          <w:rFonts w:ascii="Palatino Linotype" w:eastAsia="Palatino Linotype" w:hAnsi="Palatino Linotype" w:cs="Palatino Linotype"/>
          <w:sz w:val="22"/>
          <w:szCs w:val="22"/>
        </w:rPr>
        <w:t xml:space="preserve">el Recurso de Revisión número </w:t>
      </w:r>
      <w:r w:rsidRPr="00874D01">
        <w:rPr>
          <w:rFonts w:ascii="Palatino Linotype" w:eastAsia="Palatino Linotype" w:hAnsi="Palatino Linotype" w:cs="Palatino Linotype"/>
          <w:b/>
          <w:sz w:val="22"/>
          <w:szCs w:val="22"/>
        </w:rPr>
        <w:t xml:space="preserve">00669/INFOEM/IP/RR/2025 </w:t>
      </w:r>
      <w:r w:rsidRPr="00874D01">
        <w:rPr>
          <w:rFonts w:ascii="Palatino Linotype" w:eastAsia="Palatino Linotype" w:hAnsi="Palatino Linotype" w:cs="Palatino Linotype"/>
          <w:sz w:val="22"/>
          <w:szCs w:val="22"/>
        </w:rPr>
        <w:t>al actualizarse el supuesto previsto en el artículo 192, fracción I, de la Ley de Transparencia y Acceso a la Información Pública del Estado de México y Municipios, en relación con el 186, fracción I de ese ordenamiento legal, que se inserta para mayor referencia:</w:t>
      </w:r>
    </w:p>
    <w:p w14:paraId="3CDFBDA5" w14:textId="77777777" w:rsidR="00E127E1" w:rsidRPr="00874D01" w:rsidRDefault="009F1F48">
      <w:pPr>
        <w:spacing w:after="120"/>
        <w:ind w:left="851"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b/>
          <w:i/>
          <w:sz w:val="22"/>
          <w:szCs w:val="22"/>
        </w:rPr>
        <w:t>“Artículo 186.</w:t>
      </w:r>
      <w:r w:rsidRPr="00874D01">
        <w:rPr>
          <w:rFonts w:ascii="Palatino Linotype" w:eastAsia="Palatino Linotype" w:hAnsi="Palatino Linotype" w:cs="Palatino Linotype"/>
          <w:i/>
          <w:sz w:val="22"/>
          <w:szCs w:val="22"/>
        </w:rPr>
        <w:t xml:space="preserve"> Las resoluciones del Instituto podrán: </w:t>
      </w:r>
    </w:p>
    <w:p w14:paraId="6E7B3F1A" w14:textId="77777777" w:rsidR="00E127E1" w:rsidRPr="00874D01" w:rsidRDefault="009F1F48">
      <w:pPr>
        <w:spacing w:after="120"/>
        <w:ind w:left="1134" w:right="902"/>
        <w:jc w:val="both"/>
        <w:rPr>
          <w:rFonts w:ascii="Palatino Linotype" w:eastAsia="Palatino Linotype" w:hAnsi="Palatino Linotype" w:cs="Palatino Linotype"/>
          <w:i/>
          <w:sz w:val="22"/>
          <w:szCs w:val="22"/>
        </w:rPr>
      </w:pPr>
      <w:r w:rsidRPr="00874D01">
        <w:rPr>
          <w:rFonts w:ascii="Palatino Linotype" w:eastAsia="Palatino Linotype" w:hAnsi="Palatino Linotype" w:cs="Palatino Linotype"/>
          <w:b/>
          <w:i/>
          <w:sz w:val="22"/>
          <w:szCs w:val="22"/>
        </w:rPr>
        <w:t>I.</w:t>
      </w:r>
      <w:r w:rsidRPr="00874D01">
        <w:rPr>
          <w:rFonts w:ascii="Palatino Linotype" w:eastAsia="Palatino Linotype" w:hAnsi="Palatino Linotype" w:cs="Palatino Linotype"/>
          <w:i/>
          <w:sz w:val="22"/>
          <w:szCs w:val="22"/>
        </w:rPr>
        <w:t xml:space="preserve"> Desechar o sobreseer el recurso; </w:t>
      </w:r>
    </w:p>
    <w:p w14:paraId="0930B253" w14:textId="77777777" w:rsidR="00E127E1" w:rsidRPr="00874D01" w:rsidRDefault="00E127E1">
      <w:pPr>
        <w:spacing w:line="360" w:lineRule="auto"/>
        <w:ind w:right="49"/>
        <w:jc w:val="both"/>
        <w:rPr>
          <w:rFonts w:ascii="Palatino Linotype" w:eastAsia="Palatino Linotype" w:hAnsi="Palatino Linotype" w:cs="Palatino Linotype"/>
          <w:sz w:val="22"/>
          <w:szCs w:val="22"/>
        </w:rPr>
      </w:pPr>
    </w:p>
    <w:p w14:paraId="2C35C098" w14:textId="77777777" w:rsidR="00E127E1" w:rsidRPr="00874D01" w:rsidRDefault="009F1F48">
      <w:pPr>
        <w:spacing w:line="360" w:lineRule="auto"/>
        <w:jc w:val="both"/>
        <w:rPr>
          <w:rFonts w:ascii="Palatino Linotype" w:eastAsia="Palatino Linotype" w:hAnsi="Palatino Linotype" w:cs="Palatino Linotype"/>
          <w:sz w:val="22"/>
          <w:szCs w:val="22"/>
        </w:rPr>
      </w:pPr>
      <w:bookmarkStart w:id="8" w:name="_heading=h.2et92p0" w:colFirst="0" w:colLast="0"/>
      <w:bookmarkEnd w:id="8"/>
      <w:r w:rsidRPr="00874D01">
        <w:rPr>
          <w:rFonts w:ascii="Palatino Linotype" w:eastAsia="Palatino Linotype" w:hAnsi="Palatino Linotype" w:cs="Palatino Linotype"/>
          <w:sz w:val="22"/>
          <w:szCs w:val="22"/>
        </w:rPr>
        <w:t>Así, con fundamento en lo prescrito en los artículos 5 párrafos trigésimo tercero, trigésimo cuarto, trigésimo quinto fracciones IV y V de la Constitución Política del Estado Libre y Soberano de México; 2, fracción II; 29, 36 fracciones I y II; 176, 178, 181, 185, fracción I, 186, fracción I, así como 188 de la Ley de Transparencia y Acceso a la Información Pública del Estado de México y Municipios, este Pleno:</w:t>
      </w:r>
    </w:p>
    <w:p w14:paraId="252A41AA"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6125E44F" w14:textId="77777777" w:rsidR="00E127E1" w:rsidRPr="00874D01" w:rsidRDefault="009F1F48">
      <w:pPr>
        <w:numPr>
          <w:ilvl w:val="0"/>
          <w:numId w:val="1"/>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874D01">
        <w:rPr>
          <w:rFonts w:ascii="Palatino Linotype" w:eastAsia="Palatino Linotype" w:hAnsi="Palatino Linotype" w:cs="Palatino Linotype"/>
          <w:b/>
          <w:sz w:val="22"/>
          <w:szCs w:val="22"/>
        </w:rPr>
        <w:t>R E S U E L V E:</w:t>
      </w:r>
    </w:p>
    <w:p w14:paraId="05B48478" w14:textId="77777777" w:rsidR="00E127E1" w:rsidRPr="00874D01" w:rsidRDefault="009F1F48">
      <w:pPr>
        <w:spacing w:before="280" w:after="280"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 xml:space="preserve">Primero. </w:t>
      </w:r>
      <w:r w:rsidRPr="00874D01">
        <w:rPr>
          <w:rFonts w:ascii="Palatino Linotype" w:eastAsia="Palatino Linotype" w:hAnsi="Palatino Linotype" w:cs="Palatino Linotype"/>
          <w:sz w:val="22"/>
          <w:szCs w:val="22"/>
        </w:rPr>
        <w:t xml:space="preserve">Se </w:t>
      </w:r>
      <w:r w:rsidRPr="00874D01">
        <w:rPr>
          <w:rFonts w:ascii="Palatino Linotype" w:eastAsia="Palatino Linotype" w:hAnsi="Palatino Linotype" w:cs="Palatino Linotype"/>
          <w:b/>
          <w:sz w:val="22"/>
          <w:szCs w:val="22"/>
        </w:rPr>
        <w:t xml:space="preserve">Sobresee </w:t>
      </w:r>
      <w:r w:rsidRPr="00874D01">
        <w:rPr>
          <w:rFonts w:ascii="Palatino Linotype" w:eastAsia="Palatino Linotype" w:hAnsi="Palatino Linotype" w:cs="Palatino Linotype"/>
          <w:sz w:val="22"/>
          <w:szCs w:val="22"/>
        </w:rPr>
        <w:t>el recurso de revisión número</w:t>
      </w:r>
      <w:r w:rsidRPr="00874D01">
        <w:rPr>
          <w:rFonts w:ascii="Palatino Linotype" w:eastAsia="Palatino Linotype" w:hAnsi="Palatino Linotype" w:cs="Palatino Linotype"/>
          <w:b/>
          <w:sz w:val="22"/>
          <w:szCs w:val="22"/>
        </w:rPr>
        <w:t xml:space="preserve"> 00669/INFOEM/IP/RR/2025,</w:t>
      </w:r>
      <w:r w:rsidRPr="00874D01">
        <w:rPr>
          <w:rFonts w:ascii="Palatino Linotype" w:eastAsia="Palatino Linotype" w:hAnsi="Palatino Linotype" w:cs="Palatino Linotype"/>
          <w:sz w:val="22"/>
          <w:szCs w:val="22"/>
        </w:rPr>
        <w:t xml:space="preserve"> en términos del </w:t>
      </w:r>
      <w:r w:rsidRPr="00874D01">
        <w:rPr>
          <w:rFonts w:ascii="Palatino Linotype" w:eastAsia="Palatino Linotype" w:hAnsi="Palatino Linotype" w:cs="Palatino Linotype"/>
          <w:b/>
          <w:sz w:val="22"/>
          <w:szCs w:val="22"/>
        </w:rPr>
        <w:t>Considerando Tercero</w:t>
      </w:r>
      <w:r w:rsidRPr="00874D01">
        <w:rPr>
          <w:rFonts w:ascii="Palatino Linotype" w:eastAsia="Palatino Linotype" w:hAnsi="Palatino Linotype" w:cs="Palatino Linotype"/>
          <w:sz w:val="22"/>
          <w:szCs w:val="22"/>
        </w:rPr>
        <w:t xml:space="preserve"> de la presente Resolución, al actualizarse la fracción I </w:t>
      </w:r>
      <w:r w:rsidRPr="00874D01">
        <w:rPr>
          <w:rFonts w:ascii="Palatino Linotype" w:eastAsia="Palatino Linotype" w:hAnsi="Palatino Linotype" w:cs="Palatino Linotype"/>
          <w:sz w:val="22"/>
          <w:szCs w:val="22"/>
        </w:rPr>
        <w:lastRenderedPageBreak/>
        <w:t xml:space="preserve">del artículo 192 de la Ley de Transparencia y Acceso a la Información Pública del Estado de México y Municipios por haberse desistido expresamente la parte </w:t>
      </w:r>
      <w:r w:rsidRPr="00874D01">
        <w:rPr>
          <w:rFonts w:ascii="Palatino Linotype" w:eastAsia="Palatino Linotype" w:hAnsi="Palatino Linotype" w:cs="Palatino Linotype"/>
          <w:b/>
          <w:sz w:val="22"/>
          <w:szCs w:val="22"/>
        </w:rPr>
        <w:t>Recurrente.</w:t>
      </w:r>
    </w:p>
    <w:p w14:paraId="794A93EE" w14:textId="77777777" w:rsidR="00E127E1" w:rsidRPr="00874D01" w:rsidRDefault="009F1F48">
      <w:pPr>
        <w:spacing w:line="360" w:lineRule="auto"/>
        <w:jc w:val="both"/>
        <w:rPr>
          <w:rFonts w:ascii="Palatino Linotype" w:eastAsia="Palatino Linotype" w:hAnsi="Palatino Linotype" w:cs="Palatino Linotype"/>
          <w:b/>
          <w:sz w:val="22"/>
          <w:szCs w:val="22"/>
        </w:rPr>
      </w:pPr>
      <w:r w:rsidRPr="00874D01">
        <w:rPr>
          <w:rFonts w:ascii="Palatino Linotype" w:eastAsia="Palatino Linotype" w:hAnsi="Palatino Linotype" w:cs="Palatino Linotype"/>
          <w:b/>
          <w:sz w:val="22"/>
          <w:szCs w:val="22"/>
        </w:rPr>
        <w:t>Segundo. Notifíquese vía SAIMEX</w:t>
      </w:r>
      <w:r w:rsidRPr="00874D01">
        <w:rPr>
          <w:rFonts w:ascii="Palatino Linotype" w:eastAsia="Palatino Linotype" w:hAnsi="Palatino Linotype" w:cs="Palatino Linotype"/>
          <w:sz w:val="22"/>
          <w:szCs w:val="22"/>
        </w:rPr>
        <w:t>,</w:t>
      </w:r>
      <w:r w:rsidRPr="00874D01">
        <w:rPr>
          <w:rFonts w:ascii="Palatino Linotype" w:eastAsia="Palatino Linotype" w:hAnsi="Palatino Linotype" w:cs="Palatino Linotype"/>
          <w:b/>
          <w:sz w:val="22"/>
          <w:szCs w:val="22"/>
        </w:rPr>
        <w:t xml:space="preserve"> </w:t>
      </w:r>
      <w:r w:rsidRPr="00874D01">
        <w:rPr>
          <w:rFonts w:ascii="Palatino Linotype" w:eastAsia="Palatino Linotype" w:hAnsi="Palatino Linotype" w:cs="Palatino Linotype"/>
          <w:sz w:val="22"/>
          <w:szCs w:val="22"/>
        </w:rPr>
        <w:t>al Responsable de la Unidad de Transparencia del</w:t>
      </w:r>
      <w:r w:rsidRPr="00874D01">
        <w:rPr>
          <w:rFonts w:ascii="Palatino Linotype" w:eastAsia="Palatino Linotype" w:hAnsi="Palatino Linotype" w:cs="Palatino Linotype"/>
          <w:b/>
          <w:sz w:val="22"/>
          <w:szCs w:val="22"/>
        </w:rPr>
        <w:t xml:space="preserve"> Sujeto Obligado </w:t>
      </w:r>
      <w:r w:rsidRPr="00874D01">
        <w:rPr>
          <w:rFonts w:ascii="Palatino Linotype" w:eastAsia="Palatino Linotype" w:hAnsi="Palatino Linotype" w:cs="Palatino Linotype"/>
          <w:sz w:val="22"/>
          <w:szCs w:val="22"/>
        </w:rPr>
        <w:t>la presente resolución, para su conocimiento, lo anterior en términos del artículo 189 de la Ley de Transparencia y Acceso a la Información Pública del Estado de México y Municipios.</w:t>
      </w:r>
    </w:p>
    <w:p w14:paraId="3D1A1556"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2CB15218" w14:textId="77777777" w:rsidR="00E127E1" w:rsidRPr="00874D01"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b/>
          <w:sz w:val="22"/>
          <w:szCs w:val="22"/>
        </w:rPr>
        <w:t>Tercero.  Notifíquese vía SAIMEX</w:t>
      </w:r>
      <w:r w:rsidRPr="00874D01">
        <w:rPr>
          <w:rFonts w:ascii="Palatino Linotype" w:eastAsia="Palatino Linotype" w:hAnsi="Palatino Linotype" w:cs="Palatino Linotype"/>
          <w:sz w:val="22"/>
          <w:szCs w:val="22"/>
        </w:rPr>
        <w:t xml:space="preserve">, la presente resolución a la parte </w:t>
      </w:r>
      <w:r w:rsidRPr="00874D01">
        <w:rPr>
          <w:rFonts w:ascii="Palatino Linotype" w:eastAsia="Palatino Linotype" w:hAnsi="Palatino Linotype" w:cs="Palatino Linotype"/>
          <w:b/>
          <w:sz w:val="22"/>
          <w:szCs w:val="22"/>
        </w:rPr>
        <w:t>Recurrente</w:t>
      </w:r>
      <w:r w:rsidRPr="00874D01">
        <w:rPr>
          <w:rFonts w:ascii="Palatino Linotype" w:eastAsia="Palatino Linotype" w:hAnsi="Palatino Linotype" w:cs="Palatino Linotype"/>
          <w:sz w:val="22"/>
          <w:szCs w:val="22"/>
        </w:rPr>
        <w:t>, y hágase el conocimiento que en caso de que considere que la presente resolución le causa algún perjuicio, podrá promover el Juicio de Amparo en los términos de las leyes aplicables, de acuerdo a lo estipulado por el artículo 196 de la Ley de Transparencia y Acceso a la Información Pública del Estado de México y Municipios.</w:t>
      </w:r>
    </w:p>
    <w:p w14:paraId="29A731FF" w14:textId="77777777" w:rsidR="00E127E1" w:rsidRPr="00874D01" w:rsidRDefault="00E127E1">
      <w:pPr>
        <w:spacing w:line="360" w:lineRule="auto"/>
        <w:jc w:val="both"/>
        <w:rPr>
          <w:rFonts w:ascii="Palatino Linotype" w:eastAsia="Palatino Linotype" w:hAnsi="Palatino Linotype" w:cs="Palatino Linotype"/>
          <w:sz w:val="22"/>
          <w:szCs w:val="22"/>
        </w:rPr>
      </w:pPr>
    </w:p>
    <w:p w14:paraId="0E35BDDC" w14:textId="77777777" w:rsidR="00E127E1" w:rsidRPr="00990134" w:rsidRDefault="009F1F48">
      <w:pPr>
        <w:spacing w:line="360" w:lineRule="auto"/>
        <w:jc w:val="both"/>
        <w:rPr>
          <w:rFonts w:ascii="Palatino Linotype" w:eastAsia="Palatino Linotype" w:hAnsi="Palatino Linotype" w:cs="Palatino Linotype"/>
          <w:sz w:val="22"/>
          <w:szCs w:val="22"/>
        </w:rPr>
      </w:pPr>
      <w:r w:rsidRPr="00874D01">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SÉPTIMA SESIÓN ORDINARIA, CELEBRADA EL VEINTISÉIS DE FEBRERO DE DOS MIL VEINTICINCO, ANTE EL SECRETARIO TÉCNICO DEL PLENO ALEXIS TAPIA RAMÍREZ.</w:t>
      </w:r>
      <w:r w:rsidRPr="00990134">
        <w:rPr>
          <w:rFonts w:ascii="Palatino Linotype" w:eastAsia="Palatino Linotype" w:hAnsi="Palatino Linotype" w:cs="Palatino Linotype"/>
          <w:sz w:val="22"/>
          <w:szCs w:val="22"/>
        </w:rPr>
        <w:t xml:space="preserve"> </w:t>
      </w:r>
    </w:p>
    <w:p w14:paraId="3EC15991" w14:textId="77777777" w:rsidR="00E127E1" w:rsidRPr="00990134" w:rsidRDefault="00E127E1">
      <w:pPr>
        <w:rPr>
          <w:rFonts w:ascii="Palatino Linotype" w:eastAsia="Palatino Linotype" w:hAnsi="Palatino Linotype" w:cs="Palatino Linotype"/>
          <w:sz w:val="22"/>
          <w:szCs w:val="22"/>
        </w:rPr>
      </w:pPr>
      <w:bookmarkStart w:id="9" w:name="_heading=h.17dp8vu" w:colFirst="0" w:colLast="0"/>
      <w:bookmarkEnd w:id="9"/>
    </w:p>
    <w:p w14:paraId="1A95F5CE" w14:textId="77777777" w:rsidR="00E127E1" w:rsidRPr="00990134" w:rsidRDefault="00E127E1">
      <w:pPr>
        <w:rPr>
          <w:rFonts w:ascii="Palatino Linotype" w:eastAsia="Palatino Linotype" w:hAnsi="Palatino Linotype" w:cs="Palatino Linotype"/>
          <w:sz w:val="22"/>
          <w:szCs w:val="22"/>
        </w:rPr>
      </w:pPr>
    </w:p>
    <w:p w14:paraId="0603A96B" w14:textId="77777777" w:rsidR="00E127E1" w:rsidRPr="00990134" w:rsidRDefault="00E127E1">
      <w:pPr>
        <w:spacing w:line="360" w:lineRule="auto"/>
        <w:jc w:val="both"/>
        <w:rPr>
          <w:rFonts w:ascii="Palatino Linotype" w:eastAsia="Palatino Linotype" w:hAnsi="Palatino Linotype" w:cs="Palatino Linotype"/>
          <w:sz w:val="22"/>
          <w:szCs w:val="22"/>
        </w:rPr>
      </w:pPr>
      <w:bookmarkStart w:id="10" w:name="_heading=h.3rdcrjn" w:colFirst="0" w:colLast="0"/>
      <w:bookmarkEnd w:id="10"/>
    </w:p>
    <w:p w14:paraId="55872F95"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3E394C6F"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373607FB" w14:textId="77777777" w:rsidR="00E127E1" w:rsidRPr="00990134" w:rsidRDefault="00E127E1">
      <w:pPr>
        <w:spacing w:line="360" w:lineRule="auto"/>
        <w:jc w:val="both"/>
        <w:rPr>
          <w:rFonts w:ascii="Palatino Linotype" w:eastAsia="Palatino Linotype" w:hAnsi="Palatino Linotype" w:cs="Palatino Linotype"/>
          <w:sz w:val="22"/>
          <w:szCs w:val="22"/>
        </w:rPr>
      </w:pPr>
      <w:bookmarkStart w:id="11" w:name="_heading=h.1t3h5sf" w:colFirst="0" w:colLast="0"/>
      <w:bookmarkEnd w:id="11"/>
    </w:p>
    <w:p w14:paraId="2EDCF0DE"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6D112F77"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4756D89F"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69C13748"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3472B819"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300D62FC"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0C9B3777"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39AB8282"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03BA8A80"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265FF8BD"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4AD632E4"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166B3291"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297FA112"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2052F274"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292C077C"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1927F47E"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2CDB5473"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75438EF9"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3BD0E66F"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58251374"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21682EE5" w14:textId="77777777" w:rsidR="00E127E1" w:rsidRPr="00990134" w:rsidRDefault="00E127E1">
      <w:pPr>
        <w:spacing w:line="360" w:lineRule="auto"/>
        <w:jc w:val="both"/>
        <w:rPr>
          <w:rFonts w:ascii="Palatino Linotype" w:eastAsia="Palatino Linotype" w:hAnsi="Palatino Linotype" w:cs="Palatino Linotype"/>
          <w:sz w:val="22"/>
          <w:szCs w:val="22"/>
        </w:rPr>
      </w:pPr>
    </w:p>
    <w:p w14:paraId="34DBD44B" w14:textId="77777777" w:rsidR="00E127E1" w:rsidRPr="00990134" w:rsidRDefault="00E127E1">
      <w:pPr>
        <w:spacing w:line="360" w:lineRule="auto"/>
        <w:jc w:val="both"/>
        <w:rPr>
          <w:rFonts w:ascii="Palatino Linotype" w:eastAsia="Palatino Linotype" w:hAnsi="Palatino Linotype" w:cs="Palatino Linotype"/>
          <w:sz w:val="22"/>
          <w:szCs w:val="22"/>
        </w:rPr>
      </w:pPr>
      <w:bookmarkStart w:id="12" w:name="_heading=h.26in1rg" w:colFirst="0" w:colLast="0"/>
      <w:bookmarkEnd w:id="12"/>
    </w:p>
    <w:sectPr w:rsidR="00E127E1" w:rsidRPr="00990134">
      <w:headerReference w:type="default" r:id="rId14"/>
      <w:footerReference w:type="default" r:id="rId15"/>
      <w:headerReference w:type="first" r:id="rId16"/>
      <w:footerReference w:type="first" r:id="rId17"/>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5660" w14:textId="77777777" w:rsidR="00F265DA" w:rsidRDefault="00F265DA">
      <w:r>
        <w:separator/>
      </w:r>
    </w:p>
  </w:endnote>
  <w:endnote w:type="continuationSeparator" w:id="0">
    <w:p w14:paraId="27D0EA99" w14:textId="77777777" w:rsidR="00F265DA" w:rsidRDefault="00F26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688A" w14:textId="77777777" w:rsidR="00E127E1" w:rsidRDefault="009F1F4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74D01">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74D01">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13904FAD" w14:textId="77777777" w:rsidR="00E127E1" w:rsidRDefault="00E127E1">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E40D" w14:textId="77777777" w:rsidR="00E127E1" w:rsidRDefault="009F1F48">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874D0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874D01">
      <w:rPr>
        <w:rFonts w:ascii="Palatino Linotype" w:eastAsia="Palatino Linotype" w:hAnsi="Palatino Linotype" w:cs="Palatino Linotype"/>
        <w:b/>
        <w:noProof/>
        <w:color w:val="000000"/>
        <w:sz w:val="20"/>
        <w:szCs w:val="20"/>
      </w:rPr>
      <w:t>14</w:t>
    </w:r>
    <w:r>
      <w:rPr>
        <w:rFonts w:ascii="Palatino Linotype" w:eastAsia="Palatino Linotype" w:hAnsi="Palatino Linotype" w:cs="Palatino Linotype"/>
        <w:b/>
        <w:color w:val="000000"/>
        <w:sz w:val="20"/>
        <w:szCs w:val="20"/>
      </w:rPr>
      <w:fldChar w:fldCharType="end"/>
    </w:r>
  </w:p>
  <w:p w14:paraId="6D44B0E5" w14:textId="77777777" w:rsidR="00E127E1" w:rsidRDefault="00E127E1">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E5ED" w14:textId="77777777" w:rsidR="00F265DA" w:rsidRDefault="00F265DA">
      <w:r>
        <w:separator/>
      </w:r>
    </w:p>
  </w:footnote>
  <w:footnote w:type="continuationSeparator" w:id="0">
    <w:p w14:paraId="69D2BC07" w14:textId="77777777" w:rsidR="00F265DA" w:rsidRDefault="00F26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20C7" w14:textId="77777777" w:rsidR="00E127E1" w:rsidRDefault="009F1F48">
    <w:pPr>
      <w:rPr>
        <w:rFonts w:ascii="Cambria" w:eastAsia="Cambria" w:hAnsi="Cambria" w:cs="Cambria"/>
        <w:color w:val="000000"/>
      </w:rPr>
    </w:pPr>
    <w:r>
      <w:rPr>
        <w:noProof/>
      </w:rPr>
      <w:drawing>
        <wp:anchor distT="0" distB="0" distL="0" distR="0" simplePos="0" relativeHeight="251658240" behindDoc="1" locked="0" layoutInCell="1" hidden="0" allowOverlap="1" wp14:anchorId="69EA7473" wp14:editId="628254AA">
          <wp:simplePos x="0" y="0"/>
          <wp:positionH relativeFrom="column">
            <wp:posOffset>-1080108</wp:posOffset>
          </wp:positionH>
          <wp:positionV relativeFrom="paragraph">
            <wp:posOffset>-488282</wp:posOffset>
          </wp:positionV>
          <wp:extent cx="7809865" cy="10165715"/>
          <wp:effectExtent l="0" t="0" r="0" b="0"/>
          <wp:wrapNone/>
          <wp:docPr id="3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7087" w:type="dxa"/>
      <w:tblInd w:w="3261" w:type="dxa"/>
      <w:tblLayout w:type="fixed"/>
      <w:tblLook w:val="0400" w:firstRow="0" w:lastRow="0" w:firstColumn="0" w:lastColumn="0" w:noHBand="0" w:noVBand="1"/>
    </w:tblPr>
    <w:tblGrid>
      <w:gridCol w:w="2489"/>
      <w:gridCol w:w="4598"/>
    </w:tblGrid>
    <w:tr w:rsidR="00E127E1" w14:paraId="41A44FBA" w14:textId="77777777">
      <w:tc>
        <w:tcPr>
          <w:tcW w:w="2489" w:type="dxa"/>
          <w:shd w:val="clear" w:color="auto" w:fill="auto"/>
        </w:tcPr>
        <w:p w14:paraId="63775845" w14:textId="77777777" w:rsidR="00E127E1" w:rsidRDefault="009F1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98" w:type="dxa"/>
          <w:shd w:val="clear" w:color="auto" w:fill="auto"/>
          <w:vAlign w:val="center"/>
        </w:tcPr>
        <w:p w14:paraId="74823125" w14:textId="77777777" w:rsidR="00E127E1" w:rsidRDefault="009F1F4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00669/INFOEM/IP/RR/2025</w:t>
          </w:r>
        </w:p>
      </w:tc>
    </w:tr>
    <w:tr w:rsidR="00E127E1" w14:paraId="472996B2" w14:textId="77777777">
      <w:trPr>
        <w:trHeight w:val="228"/>
      </w:trPr>
      <w:tc>
        <w:tcPr>
          <w:tcW w:w="2489" w:type="dxa"/>
          <w:shd w:val="clear" w:color="auto" w:fill="auto"/>
          <w:vAlign w:val="center"/>
        </w:tcPr>
        <w:p w14:paraId="57937300" w14:textId="77777777" w:rsidR="00E127E1" w:rsidRDefault="009F1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98" w:type="dxa"/>
          <w:shd w:val="clear" w:color="auto" w:fill="auto"/>
          <w:vAlign w:val="center"/>
        </w:tcPr>
        <w:p w14:paraId="4EAFBE6F" w14:textId="77777777" w:rsidR="00E127E1" w:rsidRDefault="009F1F48">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Metepec</w:t>
          </w:r>
        </w:p>
      </w:tc>
    </w:tr>
    <w:tr w:rsidR="00E127E1" w14:paraId="6FF96DFA" w14:textId="77777777">
      <w:tc>
        <w:tcPr>
          <w:tcW w:w="2489" w:type="dxa"/>
          <w:shd w:val="clear" w:color="auto" w:fill="auto"/>
          <w:vAlign w:val="center"/>
        </w:tcPr>
        <w:p w14:paraId="2186F37F" w14:textId="77777777" w:rsidR="00E127E1" w:rsidRDefault="009F1F48">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98" w:type="dxa"/>
          <w:shd w:val="clear" w:color="auto" w:fill="auto"/>
          <w:vAlign w:val="center"/>
        </w:tcPr>
        <w:p w14:paraId="513817E4" w14:textId="77777777" w:rsidR="00E127E1" w:rsidRDefault="009F1F48">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EFCFC17" w14:textId="77777777" w:rsidR="00E127E1" w:rsidRDefault="009F1F48">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84D2" w14:textId="77777777" w:rsidR="00E127E1" w:rsidRDefault="009F1F4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CF6E562" wp14:editId="66CAC275">
          <wp:simplePos x="0" y="0"/>
          <wp:positionH relativeFrom="column">
            <wp:posOffset>-1079486</wp:posOffset>
          </wp:positionH>
          <wp:positionV relativeFrom="paragraph">
            <wp:posOffset>-328914</wp:posOffset>
          </wp:positionV>
          <wp:extent cx="7809865" cy="10165715"/>
          <wp:effectExtent l="0" t="0" r="0" b="0"/>
          <wp:wrapNone/>
          <wp:docPr id="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4"/>
      <w:tblW w:w="6945" w:type="dxa"/>
      <w:tblInd w:w="3261" w:type="dxa"/>
      <w:tblLayout w:type="fixed"/>
      <w:tblLook w:val="0400" w:firstRow="0" w:lastRow="0" w:firstColumn="0" w:lastColumn="0" w:noHBand="0" w:noVBand="1"/>
    </w:tblPr>
    <w:tblGrid>
      <w:gridCol w:w="2551"/>
      <w:gridCol w:w="4394"/>
    </w:tblGrid>
    <w:tr w:rsidR="00E127E1" w14:paraId="6755CEF9" w14:textId="77777777">
      <w:tc>
        <w:tcPr>
          <w:tcW w:w="2551" w:type="dxa"/>
          <w:shd w:val="clear" w:color="auto" w:fill="auto"/>
          <w:vAlign w:val="center"/>
        </w:tcPr>
        <w:p w14:paraId="7F8312A6" w14:textId="77777777" w:rsidR="00E127E1" w:rsidRDefault="009F1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394" w:type="dxa"/>
          <w:shd w:val="clear" w:color="auto" w:fill="auto"/>
          <w:vAlign w:val="center"/>
        </w:tcPr>
        <w:p w14:paraId="626F6A81" w14:textId="77777777" w:rsidR="00E127E1" w:rsidRDefault="009F1F48">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00669/INFOEM/IP/RR/2025</w:t>
          </w:r>
        </w:p>
      </w:tc>
    </w:tr>
    <w:tr w:rsidR="00E127E1" w14:paraId="15B0E109" w14:textId="77777777">
      <w:trPr>
        <w:trHeight w:val="130"/>
      </w:trPr>
      <w:tc>
        <w:tcPr>
          <w:tcW w:w="2551" w:type="dxa"/>
          <w:shd w:val="clear" w:color="auto" w:fill="auto"/>
          <w:vAlign w:val="center"/>
        </w:tcPr>
        <w:p w14:paraId="61F206D0" w14:textId="77777777" w:rsidR="00E127E1" w:rsidRDefault="009F1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394" w:type="dxa"/>
          <w:shd w:val="clear" w:color="auto" w:fill="auto"/>
          <w:vAlign w:val="center"/>
        </w:tcPr>
        <w:p w14:paraId="1CFC4A08" w14:textId="77777777" w:rsidR="00E127E1" w:rsidRDefault="00E127E1">
          <w:pPr>
            <w:ind w:left="-45" w:right="1444"/>
            <w:jc w:val="both"/>
            <w:rPr>
              <w:rFonts w:ascii="Palatino Linotype" w:eastAsia="Palatino Linotype" w:hAnsi="Palatino Linotype" w:cs="Palatino Linotype"/>
              <w:b/>
              <w:sz w:val="22"/>
              <w:szCs w:val="22"/>
            </w:rPr>
          </w:pPr>
        </w:p>
      </w:tc>
    </w:tr>
    <w:tr w:rsidR="00E127E1" w14:paraId="5D06C839" w14:textId="77777777">
      <w:trPr>
        <w:trHeight w:val="228"/>
      </w:trPr>
      <w:tc>
        <w:tcPr>
          <w:tcW w:w="2551" w:type="dxa"/>
          <w:shd w:val="clear" w:color="auto" w:fill="auto"/>
          <w:vAlign w:val="center"/>
        </w:tcPr>
        <w:p w14:paraId="3DB5DEBA" w14:textId="77777777" w:rsidR="00E127E1" w:rsidRDefault="009F1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94" w:type="dxa"/>
          <w:shd w:val="clear" w:color="auto" w:fill="auto"/>
          <w:vAlign w:val="center"/>
        </w:tcPr>
        <w:p w14:paraId="052E51DA" w14:textId="77777777" w:rsidR="00E127E1" w:rsidRDefault="009F1F48">
          <w:pPr>
            <w:ind w:left="-45" w:right="158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Metepec</w:t>
          </w:r>
        </w:p>
      </w:tc>
    </w:tr>
    <w:tr w:rsidR="00E127E1" w14:paraId="4D7B2CA2" w14:textId="77777777">
      <w:tc>
        <w:tcPr>
          <w:tcW w:w="2551" w:type="dxa"/>
          <w:shd w:val="clear" w:color="auto" w:fill="auto"/>
          <w:vAlign w:val="center"/>
        </w:tcPr>
        <w:p w14:paraId="683C1D1A" w14:textId="77777777" w:rsidR="00E127E1" w:rsidRDefault="009F1F48">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94" w:type="dxa"/>
          <w:shd w:val="clear" w:color="auto" w:fill="auto"/>
          <w:vAlign w:val="center"/>
        </w:tcPr>
        <w:p w14:paraId="65356BF3" w14:textId="77777777" w:rsidR="00E127E1" w:rsidRDefault="009F1F48">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096C1726" w14:textId="77777777" w:rsidR="00E127E1" w:rsidRDefault="00E127E1">
    <w:pPr>
      <w:pBdr>
        <w:top w:val="nil"/>
        <w:left w:val="nil"/>
        <w:bottom w:val="nil"/>
        <w:right w:val="nil"/>
        <w:between w:val="nil"/>
      </w:pBdr>
      <w:tabs>
        <w:tab w:val="center" w:pos="4252"/>
        <w:tab w:val="right" w:pos="8504"/>
      </w:tabs>
      <w:rPr>
        <w:rFonts w:ascii="Cambria" w:eastAsia="Cambria" w:hAnsi="Cambria" w:cs="Cambria"/>
        <w:color w:val="000000"/>
      </w:rPr>
    </w:pPr>
  </w:p>
  <w:p w14:paraId="12C0CD8C" w14:textId="77777777" w:rsidR="00E127E1" w:rsidRDefault="00E127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F1B5E"/>
    <w:multiLevelType w:val="multilevel"/>
    <w:tmpl w:val="51081804"/>
    <w:lvl w:ilvl="0">
      <w:start w:val="2"/>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A7651FD"/>
    <w:multiLevelType w:val="multilevel"/>
    <w:tmpl w:val="5F1C14CC"/>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72866B2"/>
    <w:multiLevelType w:val="multilevel"/>
    <w:tmpl w:val="EA5C805A"/>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666C57"/>
    <w:multiLevelType w:val="multilevel"/>
    <w:tmpl w:val="47CA989E"/>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E1"/>
    <w:rsid w:val="003B5418"/>
    <w:rsid w:val="00874D01"/>
    <w:rsid w:val="00912738"/>
    <w:rsid w:val="00990134"/>
    <w:rsid w:val="009F1F48"/>
    <w:rsid w:val="00E127E1"/>
    <w:rsid w:val="00E20512"/>
    <w:rsid w:val="00F265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39EE6"/>
  <w15:docId w15:val="{331E6D66-D0EF-482E-8F39-AFED2AB3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936"/>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lang w:val="es-ES"/>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lang w:val="es-ES"/>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lang w:val="es-ES"/>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lang w:val="es-ES"/>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lang w:val="es-ES"/>
    </w:rPr>
  </w:style>
  <w:style w:type="paragraph" w:styleId="Ttulo6">
    <w:name w:val="heading 6"/>
    <w:basedOn w:val="Normal"/>
    <w:next w:val="Normal"/>
    <w:uiPriority w:val="9"/>
    <w:semiHidden/>
    <w:unhideWhenUsed/>
    <w:qFormat/>
    <w:pPr>
      <w:spacing w:before="240" w:after="60"/>
      <w:ind w:left="4320" w:hanging="720"/>
      <w:outlineLvl w:val="5"/>
    </w:pPr>
    <w:rPr>
      <w:b/>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lang w:val="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6">
    <w:name w:val="16"/>
    <w:basedOn w:val="TableNormal10"/>
    <w:tblPr>
      <w:tblStyleRowBandSize w:val="1"/>
      <w:tblStyleColBandSize w:val="1"/>
      <w:tblCellMar>
        <w:left w:w="115" w:type="dxa"/>
        <w:right w:w="115" w:type="dxa"/>
      </w:tblCellMar>
    </w:tblPr>
  </w:style>
  <w:style w:type="table" w:customStyle="1" w:styleId="15">
    <w:name w:val="15"/>
    <w:basedOn w:val="TableNormal1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FE2A5A"/>
    <w:pPr>
      <w:tabs>
        <w:tab w:val="center" w:pos="4419"/>
        <w:tab w:val="right" w:pos="8838"/>
      </w:tabs>
    </w:pPr>
    <w:rPr>
      <w:lang w:val="es-ES"/>
    </w:rPr>
  </w:style>
  <w:style w:type="character" w:customStyle="1" w:styleId="EncabezadoCar">
    <w:name w:val="Encabezado Car"/>
    <w:basedOn w:val="Fuentedeprrafopredeter"/>
    <w:link w:val="Encabezado"/>
    <w:uiPriority w:val="99"/>
    <w:rsid w:val="00FE2A5A"/>
  </w:style>
  <w:style w:type="paragraph" w:styleId="Piedepgina">
    <w:name w:val="footer"/>
    <w:basedOn w:val="Normal"/>
    <w:link w:val="PiedepginaCar"/>
    <w:uiPriority w:val="99"/>
    <w:unhideWhenUsed/>
    <w:rsid w:val="00FE2A5A"/>
    <w:pPr>
      <w:tabs>
        <w:tab w:val="center" w:pos="4419"/>
        <w:tab w:val="right" w:pos="8838"/>
      </w:tabs>
    </w:pPr>
    <w:rPr>
      <w:lang w:val="es-ES"/>
    </w:rPr>
  </w:style>
  <w:style w:type="character" w:customStyle="1" w:styleId="PiedepginaCar">
    <w:name w:val="Pie de página Car"/>
    <w:basedOn w:val="Fuentedeprrafopredeter"/>
    <w:link w:val="Piedepgina"/>
    <w:uiPriority w:val="99"/>
    <w:rsid w:val="00FE2A5A"/>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FE2A5A"/>
    <w:pPr>
      <w:ind w:left="720"/>
      <w:contextualSpacing/>
    </w:pPr>
    <w:rPr>
      <w:lang w:val="es-ES"/>
    </w:rPr>
  </w:style>
  <w:style w:type="table" w:styleId="Tablaconcuadrcula">
    <w:name w:val="Table Grid"/>
    <w:basedOn w:val="Tablanormal"/>
    <w:uiPriority w:val="39"/>
    <w:rsid w:val="0051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12F5"/>
    <w:pPr>
      <w:spacing w:before="100" w:beforeAutospacing="1" w:after="100" w:afterAutospacing="1"/>
    </w:pPr>
    <w:rPr>
      <w:lang w:val="es-ES"/>
    </w:rPr>
  </w:style>
  <w:style w:type="table" w:customStyle="1" w:styleId="14">
    <w:name w:val="14"/>
    <w:basedOn w:val="TableNormal10"/>
    <w:tblPr>
      <w:tblStyleRowBandSize w:val="1"/>
      <w:tblStyleColBandSize w:val="1"/>
      <w:tblCellMar>
        <w:left w:w="115" w:type="dxa"/>
        <w:right w:w="115" w:type="dxa"/>
      </w:tblCellMar>
    </w:tblPr>
  </w:style>
  <w:style w:type="table" w:customStyle="1" w:styleId="13">
    <w:name w:val="13"/>
    <w:basedOn w:val="TableNormal10"/>
    <w:tblPr>
      <w:tblStyleRowBandSize w:val="1"/>
      <w:tblStyleColBandSize w:val="1"/>
      <w:tblCellMar>
        <w:left w:w="115" w:type="dxa"/>
        <w:right w:w="115" w:type="dxa"/>
      </w:tblCellMar>
    </w:tblPr>
  </w:style>
  <w:style w:type="character" w:customStyle="1" w:styleId="apple-tab-span">
    <w:name w:val="apple-tab-span"/>
    <w:basedOn w:val="Fuentedeprrafopredeter"/>
    <w:rsid w:val="00355FC9"/>
  </w:style>
  <w:style w:type="table" w:customStyle="1" w:styleId="12">
    <w:name w:val="12"/>
    <w:basedOn w:val="TableNormal20"/>
    <w:tblPr>
      <w:tblStyleRowBandSize w:val="1"/>
      <w:tblStyleColBandSize w:val="1"/>
      <w:tblCellMar>
        <w:left w:w="115" w:type="dxa"/>
        <w:right w:w="115" w:type="dxa"/>
      </w:tblCellMar>
    </w:tblPr>
  </w:style>
  <w:style w:type="table" w:customStyle="1" w:styleId="11">
    <w:name w:val="11"/>
    <w:basedOn w:val="TableNormal2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043B73"/>
    <w:rPr>
      <w:color w:val="0000FF"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F759C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759CF"/>
    <w:rPr>
      <w:sz w:val="20"/>
      <w:szCs w:val="20"/>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f"/>
    <w:basedOn w:val="Fuentedeprrafopredeter"/>
    <w:uiPriority w:val="99"/>
    <w:unhideWhenUsed/>
    <w:qFormat/>
    <w:rsid w:val="00F759CF"/>
    <w:rPr>
      <w:vertAlign w:val="superscript"/>
    </w:rPr>
  </w:style>
  <w:style w:type="table" w:customStyle="1" w:styleId="1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283BF5"/>
    <w:rPr>
      <w:lang w:val="es-ES"/>
    </w:rPr>
  </w:style>
  <w:style w:type="table" w:customStyle="1" w:styleId="8">
    <w:name w:val="8"/>
    <w:basedOn w:val="TableNormal4"/>
    <w:tblPr>
      <w:tblStyleRowBandSize w:val="1"/>
      <w:tblStyleColBandSize w:val="1"/>
      <w:tblCellMar>
        <w:left w:w="115" w:type="dxa"/>
        <w:right w:w="115" w:type="dxa"/>
      </w:tblCellMar>
    </w:tblPr>
  </w:style>
  <w:style w:type="table" w:customStyle="1" w:styleId="7">
    <w:name w:val="7"/>
    <w:basedOn w:val="TableNormal4"/>
    <w:tblPr>
      <w:tblStyleRowBandSize w:val="1"/>
      <w:tblStyleColBandSize w:val="1"/>
      <w:tblCellMar>
        <w:left w:w="115" w:type="dxa"/>
        <w:right w:w="115" w:type="dxa"/>
      </w:tblCellMar>
    </w:tblPr>
  </w:style>
  <w:style w:type="table" w:customStyle="1" w:styleId="6">
    <w:name w:val="6"/>
    <w:basedOn w:val="TableNormal5"/>
    <w:tblPr>
      <w:tblStyleRowBandSize w:val="1"/>
      <w:tblStyleColBandSize w:val="1"/>
      <w:tblCellMar>
        <w:left w:w="115" w:type="dxa"/>
        <w:right w:w="115" w:type="dxa"/>
      </w:tblCellMar>
    </w:tblPr>
  </w:style>
  <w:style w:type="table" w:customStyle="1" w:styleId="5">
    <w:name w:val="5"/>
    <w:basedOn w:val="TableNormal5"/>
    <w:tblPr>
      <w:tblStyleRowBandSize w:val="1"/>
      <w:tblStyleColBandSize w:val="1"/>
      <w:tblCellMar>
        <w:left w:w="115" w:type="dxa"/>
        <w:right w:w="115" w:type="dxa"/>
      </w:tblCellMar>
    </w:tblPr>
  </w:style>
  <w:style w:type="paragraph" w:styleId="Listaconvietas3">
    <w:name w:val="List Bullet 3"/>
    <w:basedOn w:val="Normal"/>
    <w:uiPriority w:val="99"/>
    <w:unhideWhenUsed/>
    <w:rsid w:val="0077142E"/>
    <w:pPr>
      <w:numPr>
        <w:numId w:val="4"/>
      </w:numPr>
      <w:contextualSpacing/>
    </w:pPr>
  </w:style>
  <w:style w:type="table" w:customStyle="1" w:styleId="4">
    <w:name w:val="4"/>
    <w:basedOn w:val="TableNormal6"/>
    <w:tblPr>
      <w:tblStyleRowBandSize w:val="1"/>
      <w:tblStyleColBandSize w:val="1"/>
      <w:tblCellMar>
        <w:left w:w="115" w:type="dxa"/>
        <w:right w:w="115" w:type="dxa"/>
      </w:tblCellMar>
    </w:tblPr>
  </w:style>
  <w:style w:type="table" w:customStyle="1" w:styleId="3">
    <w:name w:val="3"/>
    <w:basedOn w:val="TableNormal6"/>
    <w:tblPr>
      <w:tblStyleRowBandSize w:val="1"/>
      <w:tblStyleColBandSize w:val="1"/>
      <w:tblCellMar>
        <w:left w:w="115" w:type="dxa"/>
        <w:right w:w="115" w:type="dxa"/>
      </w:tblCellMar>
    </w:tblPr>
  </w:style>
  <w:style w:type="table" w:customStyle="1" w:styleId="2">
    <w:name w:val="2"/>
    <w:basedOn w:val="TableNormal7"/>
    <w:tblPr>
      <w:tblStyleRowBandSize w:val="1"/>
      <w:tblStyleColBandSize w:val="1"/>
      <w:tblCellMar>
        <w:left w:w="115" w:type="dxa"/>
        <w:right w:w="115" w:type="dxa"/>
      </w:tblCellMar>
    </w:tblPr>
  </w:style>
  <w:style w:type="table" w:customStyle="1" w:styleId="1">
    <w:name w:val="1"/>
    <w:basedOn w:val="TableNormal7"/>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B910CA"/>
    <w:pPr>
      <w:tabs>
        <w:tab w:val="num" w:pos="720"/>
      </w:tabs>
      <w:ind w:left="720" w:hanging="720"/>
      <w:contextualSpacing/>
    </w:pPr>
  </w:style>
  <w:style w:type="paragraph" w:styleId="Textodeglobo">
    <w:name w:val="Balloon Text"/>
    <w:basedOn w:val="Normal"/>
    <w:link w:val="TextodegloboCar"/>
    <w:uiPriority w:val="99"/>
    <w:semiHidden/>
    <w:unhideWhenUsed/>
    <w:rsid w:val="003B3B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B2A"/>
    <w:rPr>
      <w:rFonts w:ascii="Segoe UI" w:hAnsi="Segoe UI" w:cs="Segoe UI"/>
      <w:sz w:val="18"/>
      <w:szCs w:val="18"/>
    </w:rPr>
  </w:style>
  <w:style w:type="character" w:styleId="Hipervnculovisitado">
    <w:name w:val="FollowedHyperlink"/>
    <w:basedOn w:val="Fuentedeprrafopredeter"/>
    <w:uiPriority w:val="99"/>
    <w:semiHidden/>
    <w:unhideWhenUsed/>
    <w:rsid w:val="00E9311B"/>
    <w:rPr>
      <w:color w:val="800080" w:themeColor="followedHyperlink"/>
      <w:u w:val="single"/>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6L6eoakHRUBjrNX2YCb/Tl6nhw==">CgMxLjAyCWguMWZvYjl0ZTIJaC40ZDM0b2c4MghoLmdqZGd4czIJaC4zZHk2dmttMgloLjMwajB6bGwyCWguMnM4ZXlvMTIIaC50eWpjd3QyCWguM3pueXNoNzIJaC4yZXQ5MnAwMgloLjE3ZHA4dnUyCWguM3JkY3JqbjIJaC4xdDNoNXNmMgloLjI2aW4xcmc4AHIhMTlQa0FhT2s4ZTNIcXFiLWFLQXU0eUUyU3cxTzdyWEZT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3218</Words>
  <Characters>17700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Maricela Villagómez Martínez</cp:lastModifiedBy>
  <cp:revision>2</cp:revision>
  <cp:lastPrinted>2025-02-28T18:14:00Z</cp:lastPrinted>
  <dcterms:created xsi:type="dcterms:W3CDTF">2025-03-10T19:28:00Z</dcterms:created>
  <dcterms:modified xsi:type="dcterms:W3CDTF">2025-03-10T19:28:00Z</dcterms:modified>
</cp:coreProperties>
</file>