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18CD05" w14:textId="77777777" w:rsidR="00201D6C" w:rsidRPr="00485F10" w:rsidRDefault="00201D6C" w:rsidP="00201D6C">
      <w:pPr>
        <w:pBdr>
          <w:top w:val="nil"/>
          <w:left w:val="nil"/>
          <w:bottom w:val="nil"/>
          <w:right w:val="nil"/>
          <w:between w:val="nil"/>
        </w:pBdr>
        <w:contextualSpacing/>
        <w:rPr>
          <w:rFonts w:eastAsia="Palatino Linotype" w:cs="Palatino Linotype"/>
          <w:color w:val="000000"/>
          <w:szCs w:val="24"/>
        </w:rPr>
      </w:pPr>
      <w:r w:rsidRPr="00485F10">
        <w:rPr>
          <w:rFonts w:eastAsia="Palatino Linotype" w:cs="Palatino Linotype"/>
          <w:color w:val="000000"/>
          <w:szCs w:val="24"/>
        </w:rPr>
        <w:t xml:space="preserve">Resolución del Pleno del Instituto de Transparencia, Acceso a la Información Pública y Protección de Datos Personales del Estado de México y Municipios, con domicilio en Metepec, Estado de México, a </w:t>
      </w:r>
      <w:r w:rsidRPr="00485F10">
        <w:rPr>
          <w:rFonts w:eastAsia="Palatino Linotype" w:cs="Palatino Linotype"/>
          <w:b/>
          <w:bCs/>
          <w:color w:val="000000"/>
          <w:szCs w:val="24"/>
        </w:rPr>
        <w:t>primero de octubre de dos mil veinticinco</w:t>
      </w:r>
      <w:r w:rsidRPr="00485F10">
        <w:rPr>
          <w:rFonts w:eastAsia="Palatino Linotype" w:cs="Palatino Linotype"/>
          <w:color w:val="000000"/>
          <w:szCs w:val="24"/>
        </w:rPr>
        <w:t>.</w:t>
      </w:r>
    </w:p>
    <w:p w14:paraId="747DE7F2" w14:textId="77777777" w:rsidR="00201D6C" w:rsidRPr="00485F10" w:rsidRDefault="00201D6C" w:rsidP="00201D6C">
      <w:pPr>
        <w:pBdr>
          <w:top w:val="nil"/>
          <w:left w:val="nil"/>
          <w:bottom w:val="nil"/>
          <w:right w:val="nil"/>
          <w:between w:val="nil"/>
        </w:pBdr>
        <w:contextualSpacing/>
        <w:rPr>
          <w:rFonts w:eastAsia="Palatino Linotype" w:cs="Palatino Linotype"/>
          <w:color w:val="000000"/>
          <w:szCs w:val="24"/>
        </w:rPr>
      </w:pPr>
    </w:p>
    <w:p w14:paraId="1D38126C" w14:textId="4E781BA7" w:rsidR="00201D6C" w:rsidRPr="00485F10" w:rsidRDefault="00201D6C" w:rsidP="00201D6C">
      <w:pPr>
        <w:pBdr>
          <w:top w:val="nil"/>
          <w:left w:val="nil"/>
          <w:bottom w:val="nil"/>
          <w:right w:val="nil"/>
          <w:between w:val="nil"/>
        </w:pBdr>
        <w:contextualSpacing/>
        <w:rPr>
          <w:rFonts w:eastAsia="Palatino Linotype" w:cs="Palatino Linotype"/>
          <w:color w:val="000000"/>
          <w:szCs w:val="24"/>
        </w:rPr>
      </w:pPr>
      <w:r w:rsidRPr="00485F10">
        <w:rPr>
          <w:rFonts w:eastAsia="Palatino Linotype" w:cs="Palatino Linotype"/>
          <w:b/>
          <w:color w:val="000000"/>
          <w:szCs w:val="24"/>
        </w:rPr>
        <w:t>VISTO</w:t>
      </w:r>
      <w:r w:rsidRPr="00485F10">
        <w:rPr>
          <w:rFonts w:eastAsia="Palatino Linotype" w:cs="Palatino Linotype"/>
          <w:color w:val="000000"/>
          <w:szCs w:val="24"/>
        </w:rPr>
        <w:t xml:space="preserve"> el expediente electrónico formado con </w:t>
      </w:r>
      <w:bookmarkStart w:id="0" w:name="_GoBack"/>
      <w:bookmarkEnd w:id="0"/>
      <w:r w:rsidRPr="00485F10">
        <w:rPr>
          <w:rFonts w:eastAsia="Palatino Linotype" w:cs="Palatino Linotype"/>
          <w:color w:val="000000"/>
          <w:szCs w:val="24"/>
        </w:rPr>
        <w:t xml:space="preserve">motivo del recurso de revisión número </w:t>
      </w:r>
      <w:r w:rsidRPr="00485F10">
        <w:rPr>
          <w:rFonts w:eastAsia="Palatino Linotype" w:cs="Palatino Linotype"/>
          <w:b/>
          <w:color w:val="000000"/>
          <w:szCs w:val="24"/>
        </w:rPr>
        <w:t>08260/INFOEM/IP/RR/2025</w:t>
      </w:r>
      <w:r w:rsidRPr="00485F10">
        <w:rPr>
          <w:rFonts w:eastAsia="Palatino Linotype" w:cs="Palatino Linotype"/>
          <w:color w:val="000000"/>
          <w:szCs w:val="24"/>
        </w:rPr>
        <w:t>, interpuesto por</w:t>
      </w:r>
      <w:r w:rsidRPr="00485F10">
        <w:rPr>
          <w:rFonts w:cs="Arial"/>
          <w:b/>
          <w:szCs w:val="24"/>
        </w:rPr>
        <w:t xml:space="preserve"> “</w:t>
      </w:r>
      <w:r w:rsidR="00AA16D6">
        <w:rPr>
          <w:rFonts w:cs="Arial"/>
          <w:b/>
          <w:szCs w:val="24"/>
        </w:rPr>
        <w:t>XXXXXXXXXXX</w:t>
      </w:r>
      <w:r w:rsidR="00F942BD" w:rsidRPr="00485F10">
        <w:rPr>
          <w:rFonts w:cs="Arial"/>
          <w:b/>
          <w:szCs w:val="24"/>
        </w:rPr>
        <w:t>”</w:t>
      </w:r>
      <w:r w:rsidRPr="00485F10">
        <w:rPr>
          <w:rFonts w:cs="Arial"/>
          <w:szCs w:val="24"/>
        </w:rPr>
        <w:t xml:space="preserve"> </w:t>
      </w:r>
      <w:r w:rsidRPr="00485F10">
        <w:rPr>
          <w:rFonts w:eastAsia="Palatino Linotype" w:cs="Palatino Linotype"/>
          <w:color w:val="000000"/>
          <w:szCs w:val="24"/>
        </w:rPr>
        <w:t xml:space="preserve">en lo sucesivo el </w:t>
      </w:r>
      <w:r w:rsidRPr="00485F10">
        <w:rPr>
          <w:rFonts w:eastAsia="Palatino Linotype" w:cs="Palatino Linotype"/>
          <w:b/>
          <w:color w:val="000000"/>
          <w:szCs w:val="24"/>
        </w:rPr>
        <w:t>Recurrente</w:t>
      </w:r>
      <w:r w:rsidRPr="00485F10">
        <w:rPr>
          <w:rFonts w:eastAsia="Palatino Linotype" w:cs="Palatino Linotype"/>
          <w:color w:val="000000"/>
          <w:szCs w:val="24"/>
        </w:rPr>
        <w:t>, en contra de la respuesta del</w:t>
      </w:r>
      <w:r w:rsidRPr="00485F10">
        <w:rPr>
          <w:rFonts w:eastAsia="Palatino Linotype" w:cs="Palatino Linotype"/>
          <w:b/>
          <w:color w:val="000000"/>
          <w:szCs w:val="24"/>
        </w:rPr>
        <w:t xml:space="preserve"> </w:t>
      </w:r>
      <w:r w:rsidRPr="00485F10">
        <w:rPr>
          <w:b/>
          <w:bCs/>
          <w:color w:val="000000"/>
          <w:szCs w:val="24"/>
        </w:rPr>
        <w:t>Ayuntamiento de Atizapán de Zaragoza</w:t>
      </w:r>
      <w:r w:rsidRPr="00485F10">
        <w:rPr>
          <w:rFonts w:eastAsia="Palatino Linotype" w:cs="Palatino Linotype"/>
          <w:color w:val="000000"/>
          <w:szCs w:val="24"/>
        </w:rPr>
        <w:t>, en lo subsecuente</w:t>
      </w:r>
      <w:r w:rsidRPr="00485F10">
        <w:rPr>
          <w:rFonts w:eastAsia="Palatino Linotype" w:cs="Palatino Linotype"/>
          <w:b/>
          <w:color w:val="000000"/>
          <w:szCs w:val="24"/>
        </w:rPr>
        <w:t xml:space="preserve"> </w:t>
      </w:r>
      <w:r w:rsidRPr="00485F10">
        <w:rPr>
          <w:rFonts w:eastAsia="Palatino Linotype" w:cs="Palatino Linotype"/>
          <w:color w:val="000000"/>
          <w:szCs w:val="24"/>
        </w:rPr>
        <w:t>el</w:t>
      </w:r>
      <w:r w:rsidRPr="00485F10">
        <w:rPr>
          <w:rFonts w:eastAsia="Palatino Linotype" w:cs="Palatino Linotype"/>
          <w:b/>
          <w:color w:val="000000"/>
          <w:szCs w:val="24"/>
        </w:rPr>
        <w:t xml:space="preserve"> Sujeto Obligado, </w:t>
      </w:r>
      <w:r w:rsidRPr="00485F10">
        <w:rPr>
          <w:rFonts w:eastAsia="Palatino Linotype" w:cs="Palatino Linotype"/>
          <w:color w:val="000000"/>
          <w:szCs w:val="24"/>
        </w:rPr>
        <w:t>se procede a dictar la presente resolución.</w:t>
      </w:r>
    </w:p>
    <w:p w14:paraId="3EF1C6ED" w14:textId="77777777" w:rsidR="00201D6C" w:rsidRPr="00485F10" w:rsidRDefault="00201D6C" w:rsidP="00201D6C">
      <w:pPr>
        <w:pBdr>
          <w:top w:val="nil"/>
          <w:left w:val="nil"/>
          <w:bottom w:val="nil"/>
          <w:right w:val="nil"/>
          <w:between w:val="nil"/>
        </w:pBdr>
        <w:contextualSpacing/>
        <w:rPr>
          <w:rFonts w:eastAsia="Palatino Linotype" w:cs="Palatino Linotype"/>
          <w:color w:val="000000"/>
          <w:szCs w:val="24"/>
        </w:rPr>
      </w:pPr>
    </w:p>
    <w:p w14:paraId="0B27751B" w14:textId="77777777" w:rsidR="00201D6C" w:rsidRPr="00485F10" w:rsidRDefault="00201D6C" w:rsidP="00201D6C">
      <w:pPr>
        <w:pStyle w:val="Ttulo1"/>
        <w:jc w:val="center"/>
        <w:rPr>
          <w:rFonts w:ascii="Palatino Linotype" w:eastAsia="Palatino Linotype" w:hAnsi="Palatino Linotype"/>
          <w:b/>
          <w:bCs/>
          <w:color w:val="auto"/>
          <w:sz w:val="28"/>
          <w:szCs w:val="28"/>
        </w:rPr>
      </w:pPr>
      <w:r w:rsidRPr="00485F10">
        <w:rPr>
          <w:rFonts w:ascii="Palatino Linotype" w:eastAsia="Palatino Linotype" w:hAnsi="Palatino Linotype"/>
          <w:b/>
          <w:bCs/>
          <w:color w:val="auto"/>
          <w:sz w:val="28"/>
          <w:szCs w:val="28"/>
        </w:rPr>
        <w:t>A N T E C E D E N T E S</w:t>
      </w:r>
    </w:p>
    <w:p w14:paraId="03C4454F" w14:textId="77777777" w:rsidR="00201D6C" w:rsidRPr="00485F10" w:rsidRDefault="00201D6C" w:rsidP="00201D6C">
      <w:pPr>
        <w:pBdr>
          <w:top w:val="nil"/>
          <w:left w:val="nil"/>
          <w:bottom w:val="nil"/>
          <w:right w:val="nil"/>
          <w:between w:val="nil"/>
        </w:pBdr>
        <w:contextualSpacing/>
        <w:rPr>
          <w:rFonts w:eastAsia="Palatino Linotype" w:cs="Palatino Linotype"/>
          <w:b/>
          <w:bCs/>
          <w:szCs w:val="24"/>
        </w:rPr>
      </w:pPr>
    </w:p>
    <w:p w14:paraId="1BA39987" w14:textId="77777777" w:rsidR="00201D6C" w:rsidRPr="00485F10" w:rsidRDefault="00201D6C" w:rsidP="00201D6C">
      <w:pPr>
        <w:pStyle w:val="Ttulo2"/>
        <w:rPr>
          <w:rFonts w:eastAsia="Palatino Linotype"/>
          <w:b/>
          <w:bCs/>
        </w:rPr>
      </w:pPr>
      <w:r w:rsidRPr="00485F10">
        <w:rPr>
          <w:rFonts w:ascii="Palatino Linotype" w:eastAsia="Palatino Linotype" w:hAnsi="Palatino Linotype"/>
          <w:b/>
          <w:bCs/>
          <w:color w:val="auto"/>
          <w:sz w:val="24"/>
          <w:szCs w:val="24"/>
        </w:rPr>
        <w:t>PRIMERO. De la Solicitud de Información</w:t>
      </w:r>
      <w:r w:rsidRPr="00485F10">
        <w:rPr>
          <w:rFonts w:eastAsia="Palatino Linotype"/>
          <w:b/>
          <w:bCs/>
        </w:rPr>
        <w:t>.</w:t>
      </w:r>
    </w:p>
    <w:p w14:paraId="4BA312DC" w14:textId="18D4AC62" w:rsidR="00E50CCF" w:rsidRPr="00485F10" w:rsidRDefault="00201D6C" w:rsidP="00201D6C">
      <w:pPr>
        <w:pBdr>
          <w:top w:val="nil"/>
          <w:left w:val="nil"/>
          <w:bottom w:val="nil"/>
          <w:right w:val="nil"/>
          <w:between w:val="nil"/>
        </w:pBdr>
        <w:contextualSpacing/>
        <w:rPr>
          <w:rFonts w:eastAsia="Palatino Linotype" w:cs="Palatino Linotype"/>
          <w:color w:val="000000"/>
          <w:szCs w:val="24"/>
        </w:rPr>
      </w:pPr>
      <w:r w:rsidRPr="00485F10">
        <w:rPr>
          <w:rFonts w:eastAsia="Palatino Linotype" w:cs="Palatino Linotype"/>
          <w:color w:val="000000"/>
          <w:szCs w:val="24"/>
        </w:rPr>
        <w:t xml:space="preserve">Con fecha veintiocho de mayo de dos mil veinticinco, el Recurrente presentó mediante el Sistema de Acceso a la Información Mexiquense (SAIMEX), solicitud de información </w:t>
      </w:r>
      <w:proofErr w:type="gramStart"/>
      <w:r w:rsidRPr="00485F10">
        <w:rPr>
          <w:rFonts w:eastAsia="Palatino Linotype" w:cs="Palatino Linotype"/>
          <w:color w:val="000000"/>
          <w:szCs w:val="24"/>
        </w:rPr>
        <w:t>registrada</w:t>
      </w:r>
      <w:proofErr w:type="gramEnd"/>
      <w:r w:rsidRPr="00485F10">
        <w:rPr>
          <w:rFonts w:eastAsia="Palatino Linotype" w:cs="Palatino Linotype"/>
          <w:color w:val="000000"/>
          <w:szCs w:val="24"/>
        </w:rPr>
        <w:t xml:space="preserve"> con el número de </w:t>
      </w:r>
      <w:r w:rsidRPr="00485F10">
        <w:rPr>
          <w:rFonts w:eastAsia="Palatino Linotype" w:cs="Palatino Linotype"/>
          <w:szCs w:val="24"/>
        </w:rPr>
        <w:t>expediente</w:t>
      </w:r>
      <w:r w:rsidRPr="00485F10">
        <w:rPr>
          <w:b/>
          <w:bCs/>
        </w:rPr>
        <w:t> 00343/ATIZARA/IP/2025</w:t>
      </w:r>
      <w:r w:rsidRPr="00485F10">
        <w:rPr>
          <w:rFonts w:eastAsia="Palatino Linotype" w:cs="Palatino Linotype"/>
          <w:szCs w:val="24"/>
        </w:rPr>
        <w:t>,</w:t>
      </w:r>
      <w:r w:rsidRPr="00485F10">
        <w:rPr>
          <w:rFonts w:eastAsia="Palatino Linotype" w:cs="Palatino Linotype"/>
          <w:b/>
          <w:szCs w:val="24"/>
        </w:rPr>
        <w:t xml:space="preserve"> </w:t>
      </w:r>
      <w:r w:rsidRPr="00485F10">
        <w:rPr>
          <w:rFonts w:eastAsia="Palatino Linotype" w:cs="Palatino Linotype"/>
          <w:color w:val="000000"/>
          <w:szCs w:val="24"/>
        </w:rPr>
        <w:t>mediante la cual solicitó información en el tenor siguiente:</w:t>
      </w:r>
    </w:p>
    <w:p w14:paraId="6B228717" w14:textId="6BE3A14A" w:rsidR="00201D6C" w:rsidRPr="00485F10" w:rsidRDefault="00201D6C" w:rsidP="00201D6C">
      <w:pPr>
        <w:pStyle w:val="Fundamentos"/>
        <w:spacing w:line="360" w:lineRule="auto"/>
        <w:rPr>
          <w:sz w:val="24"/>
        </w:rPr>
      </w:pPr>
      <w:r w:rsidRPr="00485F10">
        <w:rPr>
          <w:sz w:val="24"/>
        </w:rPr>
        <w:t xml:space="preserve">“DE </w:t>
      </w:r>
      <w:proofErr w:type="spellStart"/>
      <w:r w:rsidRPr="00485F10">
        <w:rPr>
          <w:sz w:val="24"/>
        </w:rPr>
        <w:t>administracion</w:t>
      </w:r>
      <w:proofErr w:type="spellEnd"/>
      <w:r w:rsidRPr="00485F10">
        <w:rPr>
          <w:sz w:val="24"/>
        </w:rPr>
        <w:t xml:space="preserve">, la conciliación de la </w:t>
      </w:r>
      <w:proofErr w:type="spellStart"/>
      <w:r w:rsidRPr="00485F10">
        <w:rPr>
          <w:sz w:val="24"/>
        </w:rPr>
        <w:t>nomina</w:t>
      </w:r>
      <w:proofErr w:type="spellEnd"/>
      <w:r w:rsidRPr="00485F10">
        <w:rPr>
          <w:sz w:val="24"/>
        </w:rPr>
        <w:t xml:space="preserve"> y la </w:t>
      </w:r>
      <w:proofErr w:type="spellStart"/>
      <w:r w:rsidRPr="00485F10">
        <w:rPr>
          <w:sz w:val="24"/>
        </w:rPr>
        <w:t>dispersion</w:t>
      </w:r>
      <w:proofErr w:type="spellEnd"/>
      <w:r w:rsidRPr="00485F10">
        <w:rPr>
          <w:sz w:val="24"/>
        </w:rPr>
        <w:t xml:space="preserve"> de la </w:t>
      </w:r>
      <w:proofErr w:type="spellStart"/>
      <w:r w:rsidRPr="00485F10">
        <w:rPr>
          <w:sz w:val="24"/>
        </w:rPr>
        <w:t>nomina</w:t>
      </w:r>
      <w:proofErr w:type="spellEnd"/>
      <w:r w:rsidRPr="00485F10">
        <w:rPr>
          <w:sz w:val="24"/>
        </w:rPr>
        <w:t xml:space="preserve"> de las quincenas de abril de 202</w:t>
      </w:r>
      <w:r w:rsidR="00C6093E" w:rsidRPr="00485F10">
        <w:rPr>
          <w:sz w:val="24"/>
        </w:rPr>
        <w:t>5</w:t>
      </w:r>
      <w:r w:rsidRPr="00485F10">
        <w:rPr>
          <w:sz w:val="24"/>
        </w:rPr>
        <w:t>”  (Sic)</w:t>
      </w:r>
    </w:p>
    <w:p w14:paraId="26A57731" w14:textId="77777777" w:rsidR="00201D6C" w:rsidRPr="00485F10" w:rsidRDefault="00201D6C" w:rsidP="00201D6C">
      <w:pPr>
        <w:pBdr>
          <w:top w:val="nil"/>
          <w:left w:val="nil"/>
          <w:bottom w:val="nil"/>
          <w:right w:val="nil"/>
          <w:between w:val="nil"/>
        </w:pBdr>
        <w:contextualSpacing/>
        <w:rPr>
          <w:rFonts w:eastAsia="Palatino Linotype" w:cs="Palatino Linotype"/>
          <w:color w:val="000000"/>
          <w:szCs w:val="24"/>
        </w:rPr>
      </w:pPr>
    </w:p>
    <w:p w14:paraId="34DA6200" w14:textId="77777777" w:rsidR="00201D6C" w:rsidRPr="00485F10" w:rsidRDefault="00201D6C" w:rsidP="00201D6C">
      <w:pPr>
        <w:pBdr>
          <w:top w:val="nil"/>
          <w:left w:val="nil"/>
          <w:bottom w:val="nil"/>
          <w:right w:val="nil"/>
          <w:between w:val="nil"/>
        </w:pBdr>
        <w:contextualSpacing/>
        <w:rPr>
          <w:rFonts w:eastAsia="Palatino Linotype" w:cs="Palatino Linotype"/>
          <w:b/>
          <w:color w:val="000000"/>
          <w:szCs w:val="24"/>
        </w:rPr>
      </w:pPr>
      <w:r w:rsidRPr="00485F10">
        <w:rPr>
          <w:rFonts w:eastAsia="Palatino Linotype" w:cs="Palatino Linotype"/>
          <w:color w:val="000000"/>
          <w:szCs w:val="24"/>
        </w:rPr>
        <w:t xml:space="preserve">Modalidad de entrega: </w:t>
      </w:r>
      <w:r w:rsidRPr="00485F10">
        <w:rPr>
          <w:rFonts w:eastAsia="Palatino Linotype" w:cs="Palatino Linotype"/>
          <w:b/>
          <w:color w:val="000000"/>
          <w:szCs w:val="24"/>
        </w:rPr>
        <w:t>A través del SAIMEX</w:t>
      </w:r>
      <w:r w:rsidRPr="00485F10">
        <w:rPr>
          <w:rFonts w:eastAsia="Palatino Linotype" w:cs="Palatino Linotype"/>
          <w:color w:val="000000"/>
          <w:szCs w:val="24"/>
        </w:rPr>
        <w:t>.</w:t>
      </w:r>
    </w:p>
    <w:p w14:paraId="38EE739D" w14:textId="77777777" w:rsidR="00201D6C" w:rsidRPr="00485F10" w:rsidRDefault="00201D6C" w:rsidP="00201D6C">
      <w:pPr>
        <w:pBdr>
          <w:top w:val="nil"/>
          <w:left w:val="nil"/>
          <w:bottom w:val="nil"/>
          <w:right w:val="nil"/>
          <w:between w:val="nil"/>
        </w:pBdr>
        <w:contextualSpacing/>
        <w:rPr>
          <w:rFonts w:eastAsia="Palatino Linotype" w:cs="Palatino Linotype"/>
          <w:color w:val="000000"/>
          <w:szCs w:val="24"/>
        </w:rPr>
      </w:pPr>
    </w:p>
    <w:p w14:paraId="2ED6312B" w14:textId="4E18B55C" w:rsidR="00201D6C" w:rsidRPr="00485F10" w:rsidRDefault="00201D6C" w:rsidP="00201D6C">
      <w:pPr>
        <w:pStyle w:val="Ttulo2"/>
        <w:rPr>
          <w:rFonts w:ascii="Palatino Linotype" w:eastAsia="Palatino Linotype" w:hAnsi="Palatino Linotype"/>
          <w:b/>
          <w:bCs/>
          <w:color w:val="auto"/>
          <w:sz w:val="28"/>
          <w:szCs w:val="28"/>
        </w:rPr>
      </w:pPr>
      <w:r w:rsidRPr="00485F10">
        <w:rPr>
          <w:rFonts w:ascii="Palatino Linotype" w:eastAsia="Palatino Linotype" w:hAnsi="Palatino Linotype"/>
          <w:b/>
          <w:bCs/>
          <w:color w:val="auto"/>
          <w:sz w:val="28"/>
          <w:szCs w:val="28"/>
        </w:rPr>
        <w:lastRenderedPageBreak/>
        <w:t>SEGUNDO. De la Prórroga y Respuesta del Sujeto Obligado.</w:t>
      </w:r>
    </w:p>
    <w:p w14:paraId="398BA2C3" w14:textId="55BC1C06" w:rsidR="00201D6C" w:rsidRPr="00485F10" w:rsidRDefault="00201D6C" w:rsidP="00E50CCF">
      <w:pPr>
        <w:pBdr>
          <w:top w:val="nil"/>
          <w:left w:val="nil"/>
          <w:bottom w:val="nil"/>
          <w:right w:val="nil"/>
          <w:between w:val="nil"/>
        </w:pBdr>
        <w:contextualSpacing/>
        <w:rPr>
          <w:rFonts w:cs="Arial"/>
          <w:szCs w:val="24"/>
        </w:rPr>
      </w:pPr>
      <w:r w:rsidRPr="00485F10">
        <w:rPr>
          <w:rFonts w:eastAsia="Palatino Linotype" w:cs="Palatino Linotype"/>
          <w:color w:val="000000"/>
          <w:szCs w:val="24"/>
        </w:rPr>
        <w:t xml:space="preserve">De las constancias que obran en el expediente electrónico, se observa que el día </w:t>
      </w:r>
      <w:r w:rsidR="00E50CCF" w:rsidRPr="00485F10">
        <w:rPr>
          <w:rFonts w:cs="Arial"/>
          <w:szCs w:val="24"/>
        </w:rPr>
        <w:t xml:space="preserve">dieciocho de junio de dos mil veinticinco el Sujeto Obligado solicito una prórroga a efecto de dar respuesta a la solicitud de información planteada por el Recurrente sin embargo se advierte que </w:t>
      </w:r>
      <w:r w:rsidR="00E50CCF" w:rsidRPr="00485F10">
        <w:rPr>
          <w:rFonts w:cs="Arial"/>
          <w:b/>
          <w:szCs w:val="24"/>
        </w:rPr>
        <w:t>no</w:t>
      </w:r>
      <w:r w:rsidR="00E50CCF" w:rsidRPr="00485F10">
        <w:rPr>
          <w:rFonts w:cs="Arial"/>
          <w:szCs w:val="24"/>
        </w:rPr>
        <w:t xml:space="preserve"> cumple con los requisitos legales establecidos por el artículo 163 de la Ley de Transparencia Local.</w:t>
      </w:r>
    </w:p>
    <w:p w14:paraId="5A7D2AB6" w14:textId="77777777" w:rsidR="00201D6C" w:rsidRPr="00485F10" w:rsidRDefault="00201D6C" w:rsidP="00E50CCF">
      <w:pPr>
        <w:pBdr>
          <w:top w:val="nil"/>
          <w:left w:val="nil"/>
          <w:bottom w:val="nil"/>
          <w:right w:val="nil"/>
          <w:between w:val="nil"/>
        </w:pBdr>
        <w:contextualSpacing/>
        <w:rPr>
          <w:rFonts w:eastAsia="Palatino Linotype" w:cs="Palatino Linotype"/>
          <w:color w:val="000000"/>
          <w:szCs w:val="24"/>
        </w:rPr>
      </w:pPr>
    </w:p>
    <w:p w14:paraId="6A28FE02" w14:textId="1D9AF7C3" w:rsidR="00201D6C" w:rsidRPr="00485F10" w:rsidRDefault="00201D6C" w:rsidP="00E50CCF">
      <w:pPr>
        <w:pBdr>
          <w:top w:val="nil"/>
          <w:left w:val="nil"/>
          <w:bottom w:val="nil"/>
          <w:right w:val="nil"/>
          <w:between w:val="nil"/>
        </w:pBdr>
        <w:contextualSpacing/>
        <w:rPr>
          <w:rFonts w:cs="Arial"/>
          <w:b/>
          <w:bCs/>
          <w:szCs w:val="24"/>
        </w:rPr>
      </w:pPr>
      <w:r w:rsidRPr="00485F10">
        <w:rPr>
          <w:rFonts w:eastAsia="Palatino Linotype" w:cs="Palatino Linotype"/>
          <w:color w:val="000000"/>
          <w:szCs w:val="24"/>
        </w:rPr>
        <w:t xml:space="preserve">De las constancias que obran en el expediente electrónico, se observa que el día </w:t>
      </w:r>
      <w:r w:rsidR="00E50CCF" w:rsidRPr="00485F10">
        <w:rPr>
          <w:rFonts w:eastAsia="Palatino Linotype" w:cs="Palatino Linotype"/>
          <w:color w:val="000000"/>
          <w:szCs w:val="24"/>
        </w:rPr>
        <w:t xml:space="preserve">veintisiete de junio </w:t>
      </w:r>
      <w:r w:rsidRPr="00485F10">
        <w:rPr>
          <w:rFonts w:eastAsia="Palatino Linotype" w:cs="Palatino Linotype"/>
          <w:color w:val="000000"/>
          <w:szCs w:val="24"/>
        </w:rPr>
        <w:t>de dos mil veinticinco, el Sujeto Obligado dio respuesta a la solicitud de información anexando el documento electrónico denominado “</w:t>
      </w:r>
      <w:r w:rsidR="00E50CCF" w:rsidRPr="00485F10">
        <w:rPr>
          <w:rFonts w:cs="Arial"/>
          <w:b/>
          <w:bCs/>
          <w:i/>
          <w:szCs w:val="24"/>
        </w:rPr>
        <w:t>00343-2045-2025.pdf</w:t>
      </w:r>
      <w:r w:rsidR="00E50CCF" w:rsidRPr="00485F10">
        <w:rPr>
          <w:rFonts w:cs="Arial"/>
          <w:b/>
          <w:bCs/>
          <w:i/>
          <w:color w:val="333333"/>
          <w:szCs w:val="24"/>
        </w:rPr>
        <w:t>”, “</w:t>
      </w:r>
      <w:r w:rsidR="00E50CCF" w:rsidRPr="00485F10">
        <w:rPr>
          <w:rFonts w:cs="Arial"/>
          <w:b/>
          <w:bCs/>
          <w:i/>
          <w:szCs w:val="24"/>
        </w:rPr>
        <w:t xml:space="preserve">1era y 2da </w:t>
      </w:r>
      <w:proofErr w:type="spellStart"/>
      <w:r w:rsidR="00E50CCF" w:rsidRPr="00485F10">
        <w:rPr>
          <w:rFonts w:cs="Arial"/>
          <w:b/>
          <w:bCs/>
          <w:i/>
          <w:szCs w:val="24"/>
        </w:rPr>
        <w:t>qna</w:t>
      </w:r>
      <w:proofErr w:type="spellEnd"/>
      <w:r w:rsidR="00E50CCF" w:rsidRPr="00485F10">
        <w:rPr>
          <w:rFonts w:cs="Arial"/>
          <w:b/>
          <w:bCs/>
          <w:i/>
          <w:szCs w:val="24"/>
        </w:rPr>
        <w:t xml:space="preserve"> Abril 2025.pdf</w:t>
      </w:r>
      <w:r w:rsidR="00E50CCF" w:rsidRPr="00485F10">
        <w:rPr>
          <w:rFonts w:cs="Arial"/>
          <w:b/>
          <w:bCs/>
          <w:szCs w:val="24"/>
        </w:rPr>
        <w:t xml:space="preserve">”  y “ </w:t>
      </w:r>
      <w:r w:rsidR="00E50CCF" w:rsidRPr="00485F10">
        <w:rPr>
          <w:rFonts w:cs="Arial"/>
          <w:b/>
          <w:bCs/>
          <w:i/>
          <w:szCs w:val="24"/>
        </w:rPr>
        <w:t>343 b.pdf</w:t>
      </w:r>
      <w:r w:rsidRPr="00485F10">
        <w:rPr>
          <w:rFonts w:cs="Arial"/>
          <w:b/>
          <w:bCs/>
          <w:szCs w:val="24"/>
        </w:rPr>
        <w:t xml:space="preserve">” </w:t>
      </w:r>
      <w:r w:rsidRPr="00485F10">
        <w:rPr>
          <w:rFonts w:cs="Arial"/>
          <w:szCs w:val="24"/>
        </w:rPr>
        <w:t xml:space="preserve">el cual será analizado en el considerando respectivo. </w:t>
      </w:r>
    </w:p>
    <w:p w14:paraId="41A58631" w14:textId="77777777" w:rsidR="00201D6C" w:rsidRPr="00485F10" w:rsidRDefault="00201D6C" w:rsidP="00E50CCF">
      <w:pPr>
        <w:pBdr>
          <w:top w:val="nil"/>
          <w:left w:val="nil"/>
          <w:bottom w:val="nil"/>
          <w:right w:val="nil"/>
          <w:between w:val="nil"/>
        </w:pBdr>
        <w:contextualSpacing/>
        <w:rPr>
          <w:rFonts w:eastAsia="Palatino Linotype" w:cs="Palatino Linotype"/>
          <w:color w:val="000000"/>
          <w:szCs w:val="24"/>
        </w:rPr>
      </w:pPr>
    </w:p>
    <w:p w14:paraId="0619DC1F" w14:textId="77777777" w:rsidR="00201D6C" w:rsidRPr="00485F10" w:rsidRDefault="00201D6C" w:rsidP="00201D6C">
      <w:pPr>
        <w:pStyle w:val="Ttulo2"/>
        <w:rPr>
          <w:rFonts w:ascii="Palatino Linotype" w:eastAsia="Palatino Linotype" w:hAnsi="Palatino Linotype"/>
          <w:color w:val="auto"/>
          <w:sz w:val="28"/>
          <w:szCs w:val="28"/>
        </w:rPr>
      </w:pPr>
      <w:r w:rsidRPr="00485F10">
        <w:rPr>
          <w:rFonts w:ascii="Palatino Linotype" w:eastAsia="Palatino Linotype" w:hAnsi="Palatino Linotype"/>
          <w:b/>
          <w:bCs/>
          <w:color w:val="auto"/>
          <w:sz w:val="28"/>
          <w:szCs w:val="28"/>
        </w:rPr>
        <w:t>TERCERO. Del recurso de revisión</w:t>
      </w:r>
      <w:r w:rsidRPr="00485F10">
        <w:rPr>
          <w:rFonts w:ascii="Palatino Linotype" w:eastAsia="Palatino Linotype" w:hAnsi="Palatino Linotype"/>
          <w:color w:val="auto"/>
          <w:sz w:val="28"/>
          <w:szCs w:val="28"/>
        </w:rPr>
        <w:t>.</w:t>
      </w:r>
    </w:p>
    <w:p w14:paraId="291E4E54" w14:textId="2E41A34C" w:rsidR="00201D6C" w:rsidRPr="00485F10" w:rsidRDefault="00201D6C" w:rsidP="00201D6C">
      <w:pPr>
        <w:pBdr>
          <w:top w:val="nil"/>
          <w:left w:val="nil"/>
          <w:bottom w:val="nil"/>
          <w:right w:val="nil"/>
          <w:between w:val="nil"/>
        </w:pBdr>
        <w:contextualSpacing/>
        <w:rPr>
          <w:rFonts w:eastAsia="Palatino Linotype" w:cs="Palatino Linotype"/>
          <w:color w:val="000000"/>
          <w:szCs w:val="24"/>
        </w:rPr>
      </w:pPr>
      <w:r w:rsidRPr="00485F10">
        <w:rPr>
          <w:rFonts w:eastAsia="Palatino Linotype" w:cs="Palatino Linotype"/>
          <w:color w:val="000000"/>
          <w:szCs w:val="24"/>
        </w:rPr>
        <w:t xml:space="preserve">Inconforme con la respuesta emitida por el Sujeto Obligado, el Recurrente interpuso el presente recurso de revisión el día </w:t>
      </w:r>
      <w:r w:rsidR="00E50CCF" w:rsidRPr="00485F10">
        <w:rPr>
          <w:rFonts w:eastAsia="Palatino Linotype" w:cs="Palatino Linotype"/>
          <w:b/>
          <w:color w:val="000000"/>
          <w:szCs w:val="24"/>
        </w:rPr>
        <w:t>ocho de julio</w:t>
      </w:r>
      <w:r w:rsidRPr="00485F10">
        <w:rPr>
          <w:rFonts w:eastAsia="Palatino Linotype" w:cs="Palatino Linotype"/>
          <w:b/>
          <w:color w:val="000000"/>
          <w:szCs w:val="24"/>
        </w:rPr>
        <w:t xml:space="preserve"> de dos mil veinticinco</w:t>
      </w:r>
      <w:r w:rsidRPr="00485F10">
        <w:rPr>
          <w:rFonts w:eastAsia="Palatino Linotype" w:cs="Palatino Linotype"/>
          <w:color w:val="000000"/>
          <w:szCs w:val="24"/>
        </w:rPr>
        <w:t xml:space="preserve">, el cual se registró con el expediente número </w:t>
      </w:r>
      <w:r w:rsidRPr="00485F10">
        <w:rPr>
          <w:rFonts w:eastAsia="Palatino Linotype" w:cs="Palatino Linotype"/>
          <w:b/>
          <w:color w:val="000000"/>
          <w:szCs w:val="24"/>
        </w:rPr>
        <w:t>0</w:t>
      </w:r>
      <w:r w:rsidR="00E50CCF" w:rsidRPr="00485F10">
        <w:rPr>
          <w:rFonts w:eastAsia="Palatino Linotype" w:cs="Palatino Linotype"/>
          <w:b/>
          <w:color w:val="000000"/>
          <w:szCs w:val="24"/>
        </w:rPr>
        <w:t>8260</w:t>
      </w:r>
      <w:r w:rsidRPr="00485F10">
        <w:rPr>
          <w:rFonts w:eastAsia="Palatino Linotype" w:cs="Palatino Linotype"/>
          <w:b/>
          <w:color w:val="000000"/>
          <w:szCs w:val="24"/>
        </w:rPr>
        <w:t>/INFOEM/IP/RR/2025</w:t>
      </w:r>
      <w:r w:rsidRPr="00485F10">
        <w:rPr>
          <w:rFonts w:eastAsia="Palatino Linotype" w:cs="Palatino Linotype"/>
          <w:color w:val="000000"/>
          <w:szCs w:val="24"/>
        </w:rPr>
        <w:t>, manifestando lo siguiente:</w:t>
      </w:r>
    </w:p>
    <w:p w14:paraId="0AAFC7C8" w14:textId="77777777" w:rsidR="00201D6C" w:rsidRPr="00485F10" w:rsidRDefault="00201D6C" w:rsidP="00201D6C">
      <w:pPr>
        <w:contextualSpacing/>
        <w:rPr>
          <w:rFonts w:eastAsia="Palatino Linotype" w:cs="Palatino Linotype"/>
          <w:b/>
        </w:rPr>
      </w:pPr>
      <w:r w:rsidRPr="00485F10">
        <w:rPr>
          <w:rFonts w:eastAsia="Palatino Linotype" w:cs="Palatino Linotype"/>
          <w:b/>
        </w:rPr>
        <w:t xml:space="preserve">Acto Impugnado </w:t>
      </w:r>
    </w:p>
    <w:p w14:paraId="14900047" w14:textId="30265380" w:rsidR="00201D6C" w:rsidRPr="00485F10" w:rsidRDefault="00201D6C" w:rsidP="00201D6C">
      <w:pPr>
        <w:pStyle w:val="Fundamentos"/>
        <w:rPr>
          <w:b/>
          <w:szCs w:val="22"/>
        </w:rPr>
      </w:pPr>
      <w:r w:rsidRPr="00485F10">
        <w:rPr>
          <w:color w:val="auto"/>
          <w:sz w:val="24"/>
        </w:rPr>
        <w:t>“</w:t>
      </w:r>
      <w:r w:rsidR="00E50CCF" w:rsidRPr="00485F10">
        <w:rPr>
          <w:sz w:val="24"/>
        </w:rPr>
        <w:t>La negativa a la entrega de la información requerida</w:t>
      </w:r>
      <w:r w:rsidRPr="00485F10">
        <w:rPr>
          <w:sz w:val="24"/>
        </w:rPr>
        <w:t>”</w:t>
      </w:r>
      <w:r w:rsidRPr="00485F10">
        <w:rPr>
          <w:szCs w:val="22"/>
        </w:rPr>
        <w:t xml:space="preserve"> (Sic)</w:t>
      </w:r>
    </w:p>
    <w:p w14:paraId="7367553E" w14:textId="77777777" w:rsidR="00201D6C" w:rsidRPr="00485F10" w:rsidRDefault="00201D6C" w:rsidP="00201D6C">
      <w:pPr>
        <w:contextualSpacing/>
        <w:rPr>
          <w:rFonts w:eastAsia="Palatino Linotype" w:cs="Palatino Linotype"/>
          <w:b/>
        </w:rPr>
      </w:pPr>
    </w:p>
    <w:p w14:paraId="5E3E273B" w14:textId="77777777" w:rsidR="00201D6C" w:rsidRPr="00485F10" w:rsidRDefault="00201D6C" w:rsidP="00201D6C">
      <w:pPr>
        <w:contextualSpacing/>
        <w:rPr>
          <w:rFonts w:eastAsia="Palatino Linotype" w:cs="Palatino Linotype"/>
        </w:rPr>
      </w:pPr>
      <w:r w:rsidRPr="00485F10">
        <w:rPr>
          <w:rFonts w:eastAsia="Palatino Linotype" w:cs="Palatino Linotype"/>
          <w:b/>
        </w:rPr>
        <w:t xml:space="preserve"> Razones o Motivos de Inconformidad</w:t>
      </w:r>
      <w:r w:rsidRPr="00485F10">
        <w:rPr>
          <w:rFonts w:eastAsia="Palatino Linotype" w:cs="Palatino Linotype"/>
        </w:rPr>
        <w:t>:</w:t>
      </w:r>
    </w:p>
    <w:p w14:paraId="1173D814" w14:textId="20D4FE13" w:rsidR="00201D6C" w:rsidRPr="00485F10" w:rsidRDefault="00201D6C" w:rsidP="00201D6C">
      <w:pPr>
        <w:pStyle w:val="Fundamentos"/>
        <w:rPr>
          <w:b/>
          <w:szCs w:val="22"/>
        </w:rPr>
      </w:pPr>
      <w:r w:rsidRPr="00485F10">
        <w:rPr>
          <w:color w:val="auto"/>
          <w:sz w:val="24"/>
        </w:rPr>
        <w:t>“</w:t>
      </w:r>
      <w:r w:rsidR="00E50CCF" w:rsidRPr="00485F10">
        <w:rPr>
          <w:sz w:val="24"/>
        </w:rPr>
        <w:t xml:space="preserve">En cuanto a la Dirección de Administración, presenta un análisis jurídico manifiestamente erróneo, incongruente y risible al argumentar </w:t>
      </w:r>
      <w:r w:rsidR="00E50CCF" w:rsidRPr="00485F10">
        <w:rPr>
          <w:sz w:val="24"/>
          <w:u w:val="single"/>
        </w:rPr>
        <w:t>que la conciliación de nómina es un "documento financiero" fuera de su atribución</w:t>
      </w:r>
      <w:r w:rsidR="00E50CCF" w:rsidRPr="00485F10">
        <w:rPr>
          <w:sz w:val="24"/>
        </w:rPr>
        <w:t xml:space="preserve">. Este argumento es falaz </w:t>
      </w:r>
      <w:r w:rsidR="00E50CCF" w:rsidRPr="00485F10">
        <w:rPr>
          <w:sz w:val="24"/>
        </w:rPr>
        <w:lastRenderedPageBreak/>
        <w:t xml:space="preserve">y se contradice flagrantemente con el reconocimiento explícito de la propia Dirección de que "colabora" en su elaboración. Conforme a los principios de la Ley de Transparencia, toda entidad pública que genere, posea o administre información está obligada a entregarla. Al admitir su participación, la Dirección confirma que es poseedora de la información y, por tanto, tiene la competencia y la obligación ineludible de transparentarla. Su negativa, basada en pretextos ilógicos, no solo evidencia un profundo desconocimiento del marco normativo que la rige, sino que pone en tela de juicio su capacidad para gestionar con rigor las responsabilidades que le son conferidas. La posesión de un documento público genera la obligación ineludible de garantizar el acceso al mismo. Por lo que hace a la Tesorería Municipal, se limita a remitir comprobantes de transferencia globales, </w:t>
      </w:r>
      <w:r w:rsidR="00E50CCF" w:rsidRPr="00485F10">
        <w:rPr>
          <w:sz w:val="24"/>
          <w:u w:val="single"/>
        </w:rPr>
        <w:t>omitiendo la entrega de los archivos de dispersión de nómina, que son el núcleo de la información solicitada</w:t>
      </w:r>
      <w:r w:rsidR="00E50CCF" w:rsidRPr="00485F10">
        <w:rPr>
          <w:sz w:val="24"/>
        </w:rPr>
        <w:t>. Si bien estos archivos contienen datos personales, la obligación de la autoridad no es negar la información, sino elaborar una versión pública en la que se testen debidamente dichos datos, protegiendo la información confidencial sin impedir el acceso a la información pública. En resumen, la respuesta es evasiva, incompleta y obstruye deliberadamente el derecho ciudadano a la rendición de cuentas. Se exige un cumplimiento íntegro e inmediato de la solicitud.</w:t>
      </w:r>
      <w:r w:rsidRPr="00485F10">
        <w:rPr>
          <w:sz w:val="24"/>
        </w:rPr>
        <w:t>”</w:t>
      </w:r>
      <w:r w:rsidRPr="00485F10">
        <w:rPr>
          <w:szCs w:val="22"/>
        </w:rPr>
        <w:t xml:space="preserve"> Sic)</w:t>
      </w:r>
    </w:p>
    <w:p w14:paraId="24354259" w14:textId="77777777" w:rsidR="00201D6C" w:rsidRPr="00485F10" w:rsidRDefault="00201D6C" w:rsidP="00201D6C">
      <w:pPr>
        <w:pBdr>
          <w:top w:val="nil"/>
          <w:left w:val="nil"/>
          <w:bottom w:val="nil"/>
          <w:right w:val="nil"/>
          <w:between w:val="nil"/>
        </w:pBdr>
        <w:contextualSpacing/>
        <w:rPr>
          <w:rFonts w:eastAsia="Palatino Linotype" w:cs="Palatino Linotype"/>
          <w:color w:val="000000"/>
          <w:szCs w:val="24"/>
        </w:rPr>
      </w:pPr>
    </w:p>
    <w:p w14:paraId="2A3F03F6" w14:textId="77777777" w:rsidR="00201D6C" w:rsidRPr="00485F10" w:rsidRDefault="00201D6C" w:rsidP="00201D6C">
      <w:pPr>
        <w:pStyle w:val="Ttulo2"/>
        <w:rPr>
          <w:rFonts w:ascii="Palatino Linotype" w:eastAsia="Palatino Linotype" w:hAnsi="Palatino Linotype"/>
          <w:b/>
          <w:bCs/>
          <w:color w:val="auto"/>
          <w:sz w:val="28"/>
          <w:szCs w:val="28"/>
        </w:rPr>
      </w:pPr>
      <w:r w:rsidRPr="00485F10">
        <w:rPr>
          <w:rFonts w:ascii="Palatino Linotype" w:eastAsia="Palatino Linotype" w:hAnsi="Palatino Linotype"/>
          <w:b/>
          <w:bCs/>
          <w:color w:val="auto"/>
          <w:sz w:val="28"/>
          <w:szCs w:val="28"/>
        </w:rPr>
        <w:t>CUARTO. Del turno y admisión del recurso de revisión.</w:t>
      </w:r>
    </w:p>
    <w:p w14:paraId="4E87AD9D" w14:textId="7A9C9273" w:rsidR="00201D6C" w:rsidRPr="00485F10" w:rsidRDefault="00201D6C" w:rsidP="00201D6C">
      <w:pPr>
        <w:pBdr>
          <w:top w:val="nil"/>
          <w:left w:val="nil"/>
          <w:bottom w:val="nil"/>
          <w:right w:val="nil"/>
          <w:between w:val="nil"/>
        </w:pBdr>
        <w:contextualSpacing/>
        <w:rPr>
          <w:rFonts w:eastAsia="Palatino Linotype" w:cs="Palatino Linotype"/>
          <w:color w:val="000000"/>
          <w:szCs w:val="24"/>
        </w:rPr>
      </w:pPr>
      <w:r w:rsidRPr="00485F10">
        <w:rPr>
          <w:rFonts w:eastAsia="Palatino Linotype" w:cs="Palatino Linotype"/>
          <w:color w:val="000000"/>
          <w:szCs w:val="24"/>
        </w:rPr>
        <w:t xml:space="preserve">Medio de impugnación que le fue turnado al </w:t>
      </w:r>
      <w:r w:rsidRPr="00485F10">
        <w:rPr>
          <w:rFonts w:eastAsia="Palatino Linotype" w:cs="Palatino Linotype"/>
          <w:b/>
          <w:color w:val="000000"/>
          <w:szCs w:val="24"/>
        </w:rPr>
        <w:t>Comisionado Presidente José Martínez Vilchis</w:t>
      </w:r>
      <w:r w:rsidRPr="00485F10">
        <w:rPr>
          <w:rFonts w:eastAsia="Palatino Linotype" w:cs="Palatino Linotype"/>
          <w:color w:val="000000"/>
          <w:szCs w:val="24"/>
        </w:rPr>
        <w:t>, por medio del sistema electrónico en términos del numeral 185 fracción I de la Ley de Transparencia y Acceso a la información Pública del Estado de México y Municipios, al cual recayó acuerdo de admisión de fecha</w:t>
      </w:r>
      <w:r w:rsidRPr="00485F10">
        <w:rPr>
          <w:rFonts w:eastAsia="Palatino Linotype" w:cs="Palatino Linotype"/>
          <w:b/>
          <w:bCs/>
          <w:color w:val="000000"/>
          <w:szCs w:val="24"/>
        </w:rPr>
        <w:t xml:space="preserve"> </w:t>
      </w:r>
      <w:r w:rsidR="00E50CCF" w:rsidRPr="00485F10">
        <w:rPr>
          <w:rFonts w:eastAsia="Palatino Linotype" w:cs="Palatino Linotype"/>
          <w:b/>
          <w:bCs/>
          <w:color w:val="000000"/>
          <w:szCs w:val="24"/>
        </w:rPr>
        <w:t>diez de julio</w:t>
      </w:r>
      <w:r w:rsidRPr="00485F10">
        <w:rPr>
          <w:rFonts w:eastAsia="Palatino Linotype" w:cs="Palatino Linotype"/>
          <w:b/>
          <w:bCs/>
          <w:color w:val="000000"/>
          <w:szCs w:val="24"/>
        </w:rPr>
        <w:t xml:space="preserve"> de dos mil veinticinco</w:t>
      </w:r>
      <w:r w:rsidRPr="00485F10">
        <w:rPr>
          <w:rFonts w:eastAsia="Palatino Linotype" w:cs="Palatino Linotype"/>
          <w:color w:val="000000"/>
          <w:szCs w:val="24"/>
        </w:rPr>
        <w:t xml:space="preserve">, </w:t>
      </w:r>
      <w:r w:rsidRPr="00485F10">
        <w:rPr>
          <w:rFonts w:eastAsia="Palatino Linotype" w:cs="Palatino Linotype"/>
          <w:szCs w:val="24"/>
        </w:rPr>
        <w:t>otorgándose</w:t>
      </w:r>
      <w:r w:rsidRPr="00485F10">
        <w:rPr>
          <w:rFonts w:eastAsia="Palatino Linotype" w:cs="Palatino Linotype"/>
          <w:color w:val="000000"/>
          <w:szCs w:val="24"/>
        </w:rPr>
        <w:t xml:space="preserve"> en él un plazo de siete días para que las partes manifestaran lo que a su derecho corresponda en términos del numeral ya citado.</w:t>
      </w:r>
    </w:p>
    <w:p w14:paraId="461C312F" w14:textId="77777777" w:rsidR="00201D6C" w:rsidRPr="00485F10" w:rsidRDefault="00201D6C" w:rsidP="00201D6C">
      <w:pPr>
        <w:pBdr>
          <w:top w:val="nil"/>
          <w:left w:val="nil"/>
          <w:bottom w:val="nil"/>
          <w:right w:val="nil"/>
          <w:between w:val="nil"/>
        </w:pBdr>
        <w:contextualSpacing/>
        <w:rPr>
          <w:rFonts w:eastAsia="Palatino Linotype" w:cs="Palatino Linotype"/>
          <w:color w:val="000000"/>
          <w:szCs w:val="24"/>
        </w:rPr>
      </w:pPr>
    </w:p>
    <w:p w14:paraId="4297A70C" w14:textId="77777777" w:rsidR="00201D6C" w:rsidRPr="00485F10" w:rsidRDefault="00201D6C" w:rsidP="00201D6C">
      <w:pPr>
        <w:pStyle w:val="Ttulo2"/>
        <w:rPr>
          <w:rFonts w:ascii="Palatino Linotype" w:eastAsia="Palatino Linotype" w:hAnsi="Palatino Linotype"/>
          <w:b/>
          <w:bCs/>
          <w:color w:val="auto"/>
          <w:sz w:val="28"/>
          <w:szCs w:val="28"/>
        </w:rPr>
      </w:pPr>
      <w:r w:rsidRPr="00485F10">
        <w:rPr>
          <w:rFonts w:ascii="Palatino Linotype" w:eastAsia="Palatino Linotype" w:hAnsi="Palatino Linotype"/>
          <w:b/>
          <w:bCs/>
          <w:color w:val="auto"/>
          <w:sz w:val="28"/>
          <w:szCs w:val="28"/>
        </w:rPr>
        <w:lastRenderedPageBreak/>
        <w:t>QUINTO. De la etapa de instrucción.</w:t>
      </w:r>
    </w:p>
    <w:p w14:paraId="4EF0626E" w14:textId="151C3754" w:rsidR="00201D6C" w:rsidRPr="00485F10" w:rsidRDefault="00201D6C" w:rsidP="00201D6C">
      <w:pPr>
        <w:pBdr>
          <w:top w:val="nil"/>
          <w:left w:val="nil"/>
          <w:bottom w:val="nil"/>
          <w:right w:val="nil"/>
          <w:between w:val="nil"/>
        </w:pBdr>
        <w:contextualSpacing/>
        <w:rPr>
          <w:rFonts w:eastAsia="Palatino Linotype" w:cs="Palatino Linotype"/>
          <w:color w:val="000000"/>
          <w:szCs w:val="24"/>
        </w:rPr>
      </w:pPr>
      <w:r w:rsidRPr="00485F10">
        <w:rPr>
          <w:rFonts w:eastAsia="Palatino Linotype" w:cs="Palatino Linotype"/>
          <w:color w:val="000000"/>
          <w:szCs w:val="24"/>
        </w:rPr>
        <w:t xml:space="preserve">Una vez abierta la etapa de instrucción, el Sujeto Obligado rindió su informe justificado en fecha </w:t>
      </w:r>
      <w:r w:rsidR="00E50CCF" w:rsidRPr="00485F10">
        <w:rPr>
          <w:rFonts w:eastAsia="Palatino Linotype" w:cs="Palatino Linotype"/>
          <w:color w:val="000000"/>
          <w:szCs w:val="24"/>
        </w:rPr>
        <w:t>dieciséis de julio</w:t>
      </w:r>
      <w:r w:rsidRPr="00485F10">
        <w:rPr>
          <w:rFonts w:eastAsia="Palatino Linotype" w:cs="Palatino Linotype"/>
          <w:color w:val="000000"/>
          <w:szCs w:val="24"/>
        </w:rPr>
        <w:t xml:space="preserve"> de dos mil veinticinco el cual fue puesto a la vista del Recurrente en fecha </w:t>
      </w:r>
      <w:r w:rsidR="00E50CCF" w:rsidRPr="00485F10">
        <w:rPr>
          <w:rFonts w:eastAsia="Palatino Linotype" w:cs="Palatino Linotype"/>
          <w:color w:val="000000"/>
          <w:szCs w:val="24"/>
        </w:rPr>
        <w:t>ocho de agosto</w:t>
      </w:r>
      <w:r w:rsidRPr="00485F10">
        <w:rPr>
          <w:rFonts w:eastAsia="Palatino Linotype" w:cs="Palatino Linotype"/>
          <w:color w:val="000000"/>
          <w:szCs w:val="24"/>
        </w:rPr>
        <w:t xml:space="preserve"> dos mil veinticinco. Por su parte, el Recurrente no realizó manifestaciones, vertió alegatos ni presentó pruebas que a su derecho convinieran. </w:t>
      </w:r>
    </w:p>
    <w:p w14:paraId="76FD0574" w14:textId="77777777" w:rsidR="00201D6C" w:rsidRPr="00485F10" w:rsidRDefault="00201D6C" w:rsidP="00201D6C">
      <w:pPr>
        <w:pBdr>
          <w:top w:val="nil"/>
          <w:left w:val="nil"/>
          <w:bottom w:val="nil"/>
          <w:right w:val="nil"/>
          <w:between w:val="nil"/>
        </w:pBdr>
        <w:contextualSpacing/>
        <w:rPr>
          <w:rFonts w:eastAsia="Palatino Linotype" w:cs="Palatino Linotype"/>
          <w:color w:val="000000"/>
          <w:szCs w:val="24"/>
        </w:rPr>
      </w:pPr>
    </w:p>
    <w:p w14:paraId="63C717C4" w14:textId="77777777" w:rsidR="00201D6C" w:rsidRPr="00485F10" w:rsidRDefault="00201D6C" w:rsidP="00201D6C">
      <w:pPr>
        <w:pStyle w:val="Ttulo2"/>
        <w:rPr>
          <w:rFonts w:ascii="Palatino Linotype" w:eastAsia="Palatino Linotype" w:hAnsi="Palatino Linotype"/>
          <w:b/>
          <w:bCs/>
          <w:color w:val="auto"/>
          <w:sz w:val="28"/>
          <w:szCs w:val="28"/>
        </w:rPr>
      </w:pPr>
      <w:r w:rsidRPr="00485F10">
        <w:rPr>
          <w:rFonts w:ascii="Palatino Linotype" w:eastAsia="Palatino Linotype" w:hAnsi="Palatino Linotype"/>
          <w:b/>
          <w:bCs/>
          <w:color w:val="auto"/>
          <w:sz w:val="28"/>
          <w:szCs w:val="28"/>
        </w:rPr>
        <w:t>SEXTO. Del cierre de instrucción.</w:t>
      </w:r>
    </w:p>
    <w:p w14:paraId="67E7B84E" w14:textId="423A9408" w:rsidR="00201D6C" w:rsidRPr="00485F10" w:rsidRDefault="00201D6C" w:rsidP="00201D6C">
      <w:pPr>
        <w:pBdr>
          <w:top w:val="nil"/>
          <w:left w:val="nil"/>
          <w:bottom w:val="nil"/>
          <w:right w:val="nil"/>
          <w:between w:val="nil"/>
        </w:pBdr>
        <w:contextualSpacing/>
        <w:rPr>
          <w:rFonts w:eastAsia="Palatino Linotype" w:cs="Palatino Linotype"/>
          <w:color w:val="000000"/>
          <w:szCs w:val="24"/>
        </w:rPr>
      </w:pPr>
      <w:r w:rsidRPr="00485F10">
        <w:rPr>
          <w:rFonts w:eastAsia="Palatino Linotype" w:cs="Palatino Linotype"/>
          <w:color w:val="000000"/>
          <w:szCs w:val="24"/>
        </w:rPr>
        <w:t>Así, una vez transcurrido el término legal, se decretó el cierre de instrucción en fecha</w:t>
      </w:r>
      <w:r w:rsidRPr="00485F10">
        <w:rPr>
          <w:rFonts w:eastAsia="Palatino Linotype" w:cs="Palatino Linotype"/>
          <w:b/>
          <w:color w:val="000000"/>
          <w:szCs w:val="24"/>
        </w:rPr>
        <w:t xml:space="preserve"> </w:t>
      </w:r>
      <w:r w:rsidR="00E50CCF" w:rsidRPr="00485F10">
        <w:rPr>
          <w:rFonts w:eastAsia="Palatino Linotype" w:cs="Palatino Linotype"/>
          <w:b/>
          <w:color w:val="000000"/>
          <w:szCs w:val="24"/>
        </w:rPr>
        <w:t>quince de agosto</w:t>
      </w:r>
      <w:r w:rsidRPr="00485F10">
        <w:rPr>
          <w:rFonts w:eastAsia="Palatino Linotype" w:cs="Palatino Linotype"/>
          <w:b/>
          <w:color w:val="000000"/>
          <w:szCs w:val="24"/>
        </w:rPr>
        <w:t xml:space="preserve"> de dos mil veinticuatro</w:t>
      </w:r>
      <w:r w:rsidRPr="00485F10">
        <w:rPr>
          <w:rFonts w:eastAsia="Palatino Linotype" w:cs="Palatino Linotype"/>
          <w:color w:val="000000"/>
          <w:szCs w:val="24"/>
        </w:rPr>
        <w:t>, en términos del artículo 185 fracción VI de la Ley de Transparencia y Acceso a la Información Pública del Estado de México y Municipios, iniciando el término legal para dictar resolución definitiva del asunto.</w:t>
      </w:r>
    </w:p>
    <w:p w14:paraId="3F967D13" w14:textId="77777777" w:rsidR="00201D6C" w:rsidRPr="00485F10" w:rsidRDefault="00201D6C" w:rsidP="00201D6C">
      <w:pPr>
        <w:pBdr>
          <w:top w:val="nil"/>
          <w:left w:val="nil"/>
          <w:bottom w:val="nil"/>
          <w:right w:val="nil"/>
          <w:between w:val="nil"/>
        </w:pBdr>
        <w:contextualSpacing/>
        <w:rPr>
          <w:rFonts w:eastAsiaTheme="minorHAnsi" w:cstheme="minorBidi"/>
          <w:szCs w:val="24"/>
          <w:lang w:eastAsia="en-US"/>
        </w:rPr>
      </w:pPr>
    </w:p>
    <w:p w14:paraId="0B491B98" w14:textId="77777777" w:rsidR="00201D6C" w:rsidRPr="00485F10" w:rsidRDefault="00201D6C" w:rsidP="00201D6C">
      <w:pPr>
        <w:keepNext/>
        <w:keepLines/>
        <w:outlineLvl w:val="1"/>
        <w:rPr>
          <w:rFonts w:cs="Palatino Linotype"/>
          <w:color w:val="000000"/>
        </w:rPr>
      </w:pPr>
      <w:r w:rsidRPr="00485F10">
        <w:rPr>
          <w:b/>
          <w:color w:val="000000" w:themeColor="text1"/>
          <w:sz w:val="28"/>
          <w:szCs w:val="28"/>
        </w:rPr>
        <w:t xml:space="preserve">SÉPTIMO. </w:t>
      </w:r>
      <w:r w:rsidRPr="00485F10">
        <w:rPr>
          <w:rFonts w:cs="Arial"/>
          <w:b/>
          <w:sz w:val="28"/>
        </w:rPr>
        <w:t>De la ampliación del término para resolver.</w:t>
      </w:r>
    </w:p>
    <w:p w14:paraId="0EB459F5" w14:textId="5802D74C" w:rsidR="00201D6C" w:rsidRPr="00485F10" w:rsidRDefault="00201D6C" w:rsidP="00201D6C">
      <w:pPr>
        <w:contextualSpacing/>
      </w:pPr>
      <w:r w:rsidRPr="00485F10">
        <w:t>De las constancias que integran el expediente electrónico, se advierte que han transcurrido los términos de Ley, para la emisión de la resolución en el presente recurso de revisión, por lo que en fecha</w:t>
      </w:r>
      <w:r w:rsidRPr="00485F10">
        <w:rPr>
          <w:b/>
        </w:rPr>
        <w:t xml:space="preserve"> </w:t>
      </w:r>
      <w:r w:rsidR="00E50CCF" w:rsidRPr="00485F10">
        <w:rPr>
          <w:b/>
        </w:rPr>
        <w:t>veintitrés</w:t>
      </w:r>
      <w:r w:rsidRPr="00485F10">
        <w:rPr>
          <w:b/>
        </w:rPr>
        <w:t xml:space="preserve"> de septiembre de dos mil veinticinco</w:t>
      </w:r>
      <w:r w:rsidRPr="00485F10">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37EBC746" w14:textId="77777777" w:rsidR="00201D6C" w:rsidRPr="00485F10" w:rsidRDefault="00201D6C" w:rsidP="00201D6C">
      <w:pPr>
        <w:contextualSpacing/>
      </w:pPr>
    </w:p>
    <w:p w14:paraId="14D2AC55" w14:textId="77777777" w:rsidR="00201D6C" w:rsidRPr="00485F10" w:rsidRDefault="00201D6C" w:rsidP="00201D6C">
      <w:pPr>
        <w:pStyle w:val="Ttulo1"/>
        <w:jc w:val="center"/>
        <w:rPr>
          <w:rFonts w:ascii="Palatino Linotype" w:eastAsia="Palatino Linotype" w:hAnsi="Palatino Linotype"/>
          <w:b/>
          <w:bCs/>
          <w:color w:val="auto"/>
          <w:sz w:val="28"/>
          <w:szCs w:val="28"/>
        </w:rPr>
      </w:pPr>
      <w:r w:rsidRPr="00485F10">
        <w:rPr>
          <w:rFonts w:ascii="Palatino Linotype" w:eastAsia="Palatino Linotype" w:hAnsi="Palatino Linotype"/>
          <w:b/>
          <w:bCs/>
          <w:color w:val="auto"/>
          <w:sz w:val="28"/>
          <w:szCs w:val="28"/>
        </w:rPr>
        <w:lastRenderedPageBreak/>
        <w:t>C O N S I D E R A N D O</w:t>
      </w:r>
    </w:p>
    <w:p w14:paraId="712A05AD" w14:textId="77777777" w:rsidR="00201D6C" w:rsidRPr="00485F10" w:rsidRDefault="00201D6C" w:rsidP="00201D6C"/>
    <w:p w14:paraId="5C9F31F4" w14:textId="4BC2D63C" w:rsidR="00776F86" w:rsidRPr="00485F10" w:rsidRDefault="00201D6C" w:rsidP="00776F86">
      <w:pPr>
        <w:pStyle w:val="Ttulo2"/>
        <w:rPr>
          <w:rFonts w:ascii="Palatino Linotype" w:eastAsia="Palatino Linotype" w:hAnsi="Palatino Linotype"/>
          <w:b/>
          <w:bCs/>
          <w:color w:val="auto"/>
          <w:sz w:val="28"/>
          <w:szCs w:val="28"/>
        </w:rPr>
      </w:pPr>
      <w:r w:rsidRPr="00485F10">
        <w:rPr>
          <w:rFonts w:ascii="Palatino Linotype" w:eastAsia="Palatino Linotype" w:hAnsi="Palatino Linotype"/>
          <w:b/>
          <w:bCs/>
          <w:color w:val="auto"/>
          <w:sz w:val="28"/>
          <w:szCs w:val="28"/>
        </w:rPr>
        <w:t>PRIMERO. De la competencia.</w:t>
      </w:r>
    </w:p>
    <w:p w14:paraId="3A68D5FD" w14:textId="624C421E" w:rsidR="00201D6C" w:rsidRPr="00485F10" w:rsidRDefault="00776F86" w:rsidP="00776F86">
      <w:pPr>
        <w:pBdr>
          <w:top w:val="nil"/>
          <w:left w:val="nil"/>
          <w:bottom w:val="nil"/>
          <w:right w:val="nil"/>
          <w:between w:val="nil"/>
        </w:pBdr>
        <w:contextualSpacing/>
        <w:rPr>
          <w:rFonts w:eastAsia="Palatino Linotype" w:cs="Palatino Linotype"/>
          <w:color w:val="000000"/>
          <w:szCs w:val="24"/>
        </w:rPr>
      </w:pPr>
      <w:r w:rsidRPr="00485F10">
        <w:rPr>
          <w:rFonts w:eastAsia="Palatino Linotype" w:cs="Palatino Linotype"/>
          <w:color w:val="000000"/>
          <w:szCs w:val="24"/>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3015A772" w14:textId="77777777" w:rsidR="00776F86" w:rsidRPr="00485F10" w:rsidRDefault="00776F86" w:rsidP="00776F86">
      <w:pPr>
        <w:pBdr>
          <w:top w:val="nil"/>
          <w:left w:val="nil"/>
          <w:bottom w:val="nil"/>
          <w:right w:val="nil"/>
          <w:between w:val="nil"/>
        </w:pBdr>
        <w:contextualSpacing/>
        <w:rPr>
          <w:rFonts w:eastAsia="Palatino Linotype" w:cs="Palatino Linotype"/>
          <w:color w:val="000000"/>
          <w:szCs w:val="24"/>
        </w:rPr>
      </w:pPr>
    </w:p>
    <w:p w14:paraId="62E61C95" w14:textId="77777777" w:rsidR="00201D6C" w:rsidRPr="00485F10" w:rsidRDefault="00201D6C" w:rsidP="00201D6C">
      <w:pPr>
        <w:pStyle w:val="Ttulo2"/>
        <w:rPr>
          <w:rFonts w:ascii="Palatino Linotype" w:eastAsia="Palatino Linotype" w:hAnsi="Palatino Linotype"/>
          <w:b/>
          <w:bCs/>
          <w:color w:val="auto"/>
          <w:sz w:val="28"/>
          <w:szCs w:val="28"/>
        </w:rPr>
      </w:pPr>
      <w:r w:rsidRPr="00485F10">
        <w:rPr>
          <w:rFonts w:ascii="Palatino Linotype" w:eastAsia="Palatino Linotype" w:hAnsi="Palatino Linotype"/>
          <w:b/>
          <w:bCs/>
          <w:color w:val="auto"/>
          <w:sz w:val="28"/>
          <w:szCs w:val="28"/>
        </w:rPr>
        <w:t xml:space="preserve">SEGUNDO. Sobre los alcances del recurso de revisión. </w:t>
      </w:r>
    </w:p>
    <w:p w14:paraId="30E35985" w14:textId="77777777" w:rsidR="00201D6C" w:rsidRPr="00485F10" w:rsidRDefault="00201D6C" w:rsidP="00201D6C">
      <w:r w:rsidRPr="00485F10">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CEE118B" w14:textId="77777777" w:rsidR="00201D6C" w:rsidRPr="00485F10" w:rsidRDefault="00201D6C" w:rsidP="00201D6C"/>
    <w:p w14:paraId="7423CD3F" w14:textId="77777777" w:rsidR="00201D6C" w:rsidRPr="00485F10" w:rsidRDefault="00201D6C" w:rsidP="00201D6C">
      <w:pPr>
        <w:autoSpaceDE w:val="0"/>
        <w:autoSpaceDN w:val="0"/>
        <w:adjustRightInd w:val="0"/>
        <w:spacing w:before="240" w:line="240" w:lineRule="auto"/>
        <w:rPr>
          <w:rFonts w:eastAsia="Times New Roman" w:cs="Arial"/>
          <w:b/>
          <w:szCs w:val="24"/>
          <w:lang w:val="es-ES" w:eastAsia="es-ES"/>
        </w:rPr>
      </w:pPr>
      <w:r w:rsidRPr="00485F10">
        <w:rPr>
          <w:rFonts w:cs="Arial"/>
          <w:b/>
          <w:sz w:val="28"/>
        </w:rPr>
        <w:t xml:space="preserve">TERCERO. </w:t>
      </w:r>
      <w:r w:rsidRPr="00485F10">
        <w:rPr>
          <w:rFonts w:eastAsia="Times New Roman" w:cs="Arial"/>
          <w:b/>
          <w:sz w:val="28"/>
          <w:szCs w:val="28"/>
          <w:lang w:val="es-ES" w:eastAsia="es-ES"/>
        </w:rPr>
        <w:t>Cuestiones de previo y especial pronunciamiento</w:t>
      </w:r>
    </w:p>
    <w:p w14:paraId="1C85DC3B" w14:textId="77777777" w:rsidR="00201D6C" w:rsidRPr="00485F10" w:rsidRDefault="00201D6C" w:rsidP="00201D6C">
      <w:pPr>
        <w:autoSpaceDE w:val="0"/>
        <w:autoSpaceDN w:val="0"/>
        <w:adjustRightInd w:val="0"/>
        <w:spacing w:before="240"/>
        <w:rPr>
          <w:rFonts w:eastAsia="Times New Roman" w:cs="Times New Roman"/>
          <w:szCs w:val="24"/>
        </w:rPr>
      </w:pPr>
      <w:r w:rsidRPr="00485F10">
        <w:rPr>
          <w:rFonts w:eastAsia="Times New Roman" w:cs="Times New Roman"/>
          <w:szCs w:val="24"/>
        </w:rPr>
        <w:t>El Recurso de Revisión en estudio contiene los elementos normativos de validez exigidos en la Ley de Transparencia y Acceso a la Información Pública del Estado de México y Municipios, establecidos en el artículo 180 que enuncia:</w:t>
      </w:r>
    </w:p>
    <w:p w14:paraId="565E7E1A" w14:textId="77777777" w:rsidR="00201D6C" w:rsidRPr="00485F10" w:rsidRDefault="00201D6C" w:rsidP="00201D6C">
      <w:pPr>
        <w:autoSpaceDE w:val="0"/>
        <w:autoSpaceDN w:val="0"/>
        <w:adjustRightInd w:val="0"/>
        <w:spacing w:before="240"/>
        <w:ind w:left="360" w:firstLine="348"/>
        <w:rPr>
          <w:rFonts w:eastAsia="Times New Roman" w:cs="Times New Roman"/>
          <w:i/>
          <w:sz w:val="22"/>
        </w:rPr>
      </w:pPr>
      <w:r w:rsidRPr="00485F10">
        <w:rPr>
          <w:rFonts w:eastAsia="Times New Roman" w:cs="Times New Roman"/>
          <w:i/>
          <w:sz w:val="22"/>
        </w:rPr>
        <w:t>“Artículo 180. El recurso de revisión contendrá:</w:t>
      </w:r>
    </w:p>
    <w:p w14:paraId="02188DE8" w14:textId="77777777" w:rsidR="00201D6C" w:rsidRPr="00485F10" w:rsidRDefault="00201D6C" w:rsidP="00201D6C">
      <w:pPr>
        <w:numPr>
          <w:ilvl w:val="0"/>
          <w:numId w:val="1"/>
        </w:numPr>
        <w:autoSpaceDE w:val="0"/>
        <w:autoSpaceDN w:val="0"/>
        <w:adjustRightInd w:val="0"/>
        <w:spacing w:before="240"/>
        <w:rPr>
          <w:rFonts w:eastAsia="Times New Roman" w:cs="Times New Roman"/>
          <w:i/>
          <w:sz w:val="22"/>
          <w:lang w:val="es-ES" w:eastAsia="es-ES"/>
        </w:rPr>
      </w:pPr>
      <w:r w:rsidRPr="00485F10">
        <w:rPr>
          <w:rFonts w:eastAsia="Times New Roman" w:cs="Times New Roman"/>
          <w:i/>
          <w:sz w:val="22"/>
          <w:lang w:val="es-ES" w:eastAsia="es-ES"/>
        </w:rPr>
        <w:t>EL sujeto obligado ante la cual se presentó la solicitud;</w:t>
      </w:r>
    </w:p>
    <w:p w14:paraId="0308A453" w14:textId="77777777" w:rsidR="00201D6C" w:rsidRPr="00485F10" w:rsidRDefault="00201D6C" w:rsidP="00201D6C">
      <w:pPr>
        <w:numPr>
          <w:ilvl w:val="0"/>
          <w:numId w:val="1"/>
        </w:numPr>
        <w:autoSpaceDE w:val="0"/>
        <w:autoSpaceDN w:val="0"/>
        <w:adjustRightInd w:val="0"/>
        <w:spacing w:before="240"/>
        <w:rPr>
          <w:rFonts w:eastAsia="Times New Roman" w:cs="Times New Roman"/>
          <w:i/>
          <w:sz w:val="22"/>
          <w:lang w:val="es-ES" w:eastAsia="es-ES"/>
        </w:rPr>
      </w:pPr>
      <w:r w:rsidRPr="00485F10">
        <w:rPr>
          <w:rFonts w:eastAsia="Times New Roman" w:cs="Times New Roman"/>
          <w:i/>
          <w:sz w:val="22"/>
          <w:lang w:val="es-ES" w:eastAsia="es-ES"/>
        </w:rPr>
        <w:t>El nombre del solicitante que recurre o de su representante y, en su caso, del tercero interesado, así como la dirección o medio que señale para recibir notificaciones;</w:t>
      </w:r>
    </w:p>
    <w:p w14:paraId="7D94A99E" w14:textId="77777777" w:rsidR="00201D6C" w:rsidRPr="00485F10" w:rsidRDefault="00201D6C" w:rsidP="00201D6C">
      <w:pPr>
        <w:numPr>
          <w:ilvl w:val="0"/>
          <w:numId w:val="1"/>
        </w:numPr>
        <w:autoSpaceDE w:val="0"/>
        <w:autoSpaceDN w:val="0"/>
        <w:adjustRightInd w:val="0"/>
        <w:spacing w:before="240"/>
        <w:rPr>
          <w:rFonts w:eastAsia="Times New Roman" w:cs="Times New Roman"/>
          <w:i/>
          <w:sz w:val="22"/>
          <w:lang w:val="es-ES" w:eastAsia="es-ES"/>
        </w:rPr>
      </w:pPr>
      <w:r w:rsidRPr="00485F10">
        <w:rPr>
          <w:rFonts w:eastAsia="Times New Roman" w:cs="Times New Roman"/>
          <w:i/>
          <w:sz w:val="22"/>
          <w:lang w:val="es-ES" w:eastAsia="es-ES"/>
        </w:rPr>
        <w:t>El número de folio de respuesta de la solicitud de acceso;</w:t>
      </w:r>
    </w:p>
    <w:p w14:paraId="4B3BFC58" w14:textId="77777777" w:rsidR="00201D6C" w:rsidRPr="00485F10" w:rsidRDefault="00201D6C" w:rsidP="00201D6C">
      <w:pPr>
        <w:autoSpaceDE w:val="0"/>
        <w:autoSpaceDN w:val="0"/>
        <w:adjustRightInd w:val="0"/>
        <w:spacing w:before="240"/>
        <w:ind w:left="1080"/>
        <w:rPr>
          <w:rFonts w:eastAsia="Times New Roman" w:cs="Times New Roman"/>
          <w:i/>
          <w:sz w:val="22"/>
        </w:rPr>
      </w:pPr>
      <w:r w:rsidRPr="00485F10">
        <w:rPr>
          <w:rFonts w:eastAsia="Times New Roman" w:cs="Times New Roman"/>
          <w:i/>
          <w:sz w:val="22"/>
        </w:rPr>
        <w:t>IV. La fecha en que fue notificada la respuesta al solicitante o tuvo conocimiento del acto reclamado, o de presentación de la solicitud, en caso de falta de respuesta;</w:t>
      </w:r>
    </w:p>
    <w:p w14:paraId="574C882B" w14:textId="77777777" w:rsidR="00201D6C" w:rsidRPr="00485F10" w:rsidRDefault="00201D6C" w:rsidP="00201D6C">
      <w:pPr>
        <w:autoSpaceDE w:val="0"/>
        <w:autoSpaceDN w:val="0"/>
        <w:adjustRightInd w:val="0"/>
        <w:spacing w:before="240"/>
        <w:ind w:left="732" w:firstLine="348"/>
        <w:rPr>
          <w:rFonts w:eastAsia="Times New Roman" w:cs="Times New Roman"/>
          <w:i/>
          <w:sz w:val="22"/>
        </w:rPr>
      </w:pPr>
      <w:r w:rsidRPr="00485F10">
        <w:rPr>
          <w:rFonts w:eastAsia="Times New Roman" w:cs="Times New Roman"/>
          <w:i/>
          <w:sz w:val="22"/>
        </w:rPr>
        <w:t>V. El acto que se recurre;</w:t>
      </w:r>
    </w:p>
    <w:p w14:paraId="2E10CF69" w14:textId="77777777" w:rsidR="00201D6C" w:rsidRPr="00485F10" w:rsidRDefault="00201D6C" w:rsidP="00201D6C">
      <w:pPr>
        <w:autoSpaceDE w:val="0"/>
        <w:autoSpaceDN w:val="0"/>
        <w:adjustRightInd w:val="0"/>
        <w:spacing w:before="240"/>
        <w:ind w:left="732" w:firstLine="348"/>
        <w:rPr>
          <w:rFonts w:eastAsia="Times New Roman" w:cs="Times New Roman"/>
          <w:i/>
          <w:sz w:val="22"/>
        </w:rPr>
      </w:pPr>
      <w:r w:rsidRPr="00485F10">
        <w:rPr>
          <w:rFonts w:eastAsia="Times New Roman" w:cs="Times New Roman"/>
          <w:i/>
          <w:sz w:val="22"/>
        </w:rPr>
        <w:t>VI. Las razones o motivos de inconformidad;</w:t>
      </w:r>
    </w:p>
    <w:p w14:paraId="55F1B74D" w14:textId="77777777" w:rsidR="00201D6C" w:rsidRPr="00485F10" w:rsidRDefault="00201D6C" w:rsidP="00201D6C">
      <w:pPr>
        <w:autoSpaceDE w:val="0"/>
        <w:autoSpaceDN w:val="0"/>
        <w:adjustRightInd w:val="0"/>
        <w:spacing w:before="240"/>
        <w:ind w:left="1080"/>
        <w:rPr>
          <w:rFonts w:eastAsia="Times New Roman" w:cs="Times New Roman"/>
          <w:i/>
          <w:sz w:val="22"/>
        </w:rPr>
      </w:pPr>
      <w:r w:rsidRPr="00485F10">
        <w:rPr>
          <w:rFonts w:eastAsia="Times New Roman" w:cs="Times New Roman"/>
          <w:i/>
          <w:sz w:val="22"/>
        </w:rPr>
        <w:t>VII. La copia de la respuesta que se impugna y, en su caso, de la notificación correspondiente, en el caso de respuesta de la solicitud; y</w:t>
      </w:r>
    </w:p>
    <w:p w14:paraId="3511DBBE" w14:textId="77777777" w:rsidR="00201D6C" w:rsidRPr="00485F10" w:rsidRDefault="00201D6C" w:rsidP="00201D6C">
      <w:pPr>
        <w:autoSpaceDE w:val="0"/>
        <w:autoSpaceDN w:val="0"/>
        <w:adjustRightInd w:val="0"/>
        <w:spacing w:before="240"/>
        <w:ind w:left="732" w:firstLine="348"/>
        <w:rPr>
          <w:rFonts w:eastAsia="Times New Roman" w:cs="Times New Roman"/>
          <w:i/>
          <w:sz w:val="22"/>
        </w:rPr>
      </w:pPr>
      <w:r w:rsidRPr="00485F10">
        <w:rPr>
          <w:rFonts w:eastAsia="Times New Roman" w:cs="Times New Roman"/>
          <w:i/>
          <w:sz w:val="22"/>
        </w:rPr>
        <w:t>VIII. Firma del recurrente, en su caso, cuando se presente por escrito, requisito sin el cual se dará trámite al recurso.</w:t>
      </w:r>
    </w:p>
    <w:p w14:paraId="0927C88A" w14:textId="77777777" w:rsidR="00201D6C" w:rsidRPr="00485F10" w:rsidRDefault="00201D6C" w:rsidP="00201D6C">
      <w:pPr>
        <w:autoSpaceDE w:val="0"/>
        <w:autoSpaceDN w:val="0"/>
        <w:adjustRightInd w:val="0"/>
        <w:spacing w:before="240"/>
        <w:ind w:left="1080"/>
        <w:rPr>
          <w:rFonts w:eastAsia="Times New Roman" w:cs="Times New Roman"/>
          <w:i/>
          <w:sz w:val="22"/>
        </w:rPr>
      </w:pPr>
      <w:r w:rsidRPr="00485F10">
        <w:rPr>
          <w:rFonts w:eastAsia="Times New Roman" w:cs="Times New Roman"/>
          <w:i/>
          <w:sz w:val="22"/>
        </w:rPr>
        <w:lastRenderedPageBreak/>
        <w:t>Adicionalmente, se podrán anexar las pruebas y demás elementos que considere procedentes someter a juicio del Instituto.</w:t>
      </w:r>
    </w:p>
    <w:p w14:paraId="564518AB" w14:textId="77777777" w:rsidR="00201D6C" w:rsidRPr="00485F10" w:rsidRDefault="00201D6C" w:rsidP="00201D6C">
      <w:pPr>
        <w:autoSpaceDE w:val="0"/>
        <w:autoSpaceDN w:val="0"/>
        <w:adjustRightInd w:val="0"/>
        <w:spacing w:before="240"/>
        <w:ind w:left="732" w:firstLine="348"/>
        <w:rPr>
          <w:rFonts w:eastAsia="Times New Roman" w:cs="Times New Roman"/>
          <w:i/>
          <w:sz w:val="22"/>
        </w:rPr>
      </w:pPr>
      <w:r w:rsidRPr="00485F10">
        <w:rPr>
          <w:rFonts w:eastAsia="Times New Roman" w:cs="Times New Roman"/>
          <w:i/>
          <w:sz w:val="22"/>
        </w:rPr>
        <w:t>En ningún caso será necesario que el particular ratifique el recurso de revisión interpuesto.</w:t>
      </w:r>
    </w:p>
    <w:p w14:paraId="33D03D5A" w14:textId="77777777" w:rsidR="00201D6C" w:rsidRPr="00485F10" w:rsidRDefault="00201D6C" w:rsidP="00201D6C">
      <w:pPr>
        <w:autoSpaceDE w:val="0"/>
        <w:autoSpaceDN w:val="0"/>
        <w:adjustRightInd w:val="0"/>
        <w:spacing w:before="240"/>
        <w:ind w:left="1080"/>
        <w:rPr>
          <w:rFonts w:eastAsia="Times New Roman" w:cs="Times New Roman"/>
          <w:b/>
          <w:i/>
          <w:sz w:val="22"/>
          <w:u w:val="single"/>
        </w:rPr>
      </w:pPr>
      <w:r w:rsidRPr="00485F10">
        <w:rPr>
          <w:rFonts w:eastAsia="Times New Roman" w:cs="Times New Roman"/>
          <w:b/>
          <w:i/>
          <w:sz w:val="22"/>
          <w:u w:val="single"/>
        </w:rPr>
        <w:t>En caso de que el recurso se interponga de manera electrónica no será indispensable que contengan los requisitos establecidos en las fracciones II, IV, VII y VIII.” [Sic]</w:t>
      </w:r>
    </w:p>
    <w:p w14:paraId="56CE6861" w14:textId="77777777" w:rsidR="00201D6C" w:rsidRPr="00485F10" w:rsidRDefault="00201D6C" w:rsidP="00201D6C">
      <w:pPr>
        <w:autoSpaceDE w:val="0"/>
        <w:autoSpaceDN w:val="0"/>
        <w:adjustRightInd w:val="0"/>
        <w:spacing w:before="240"/>
        <w:ind w:left="1080"/>
        <w:rPr>
          <w:rFonts w:eastAsia="Times New Roman" w:cs="Times New Roman"/>
          <w:b/>
          <w:i/>
          <w:sz w:val="22"/>
          <w:u w:val="single"/>
        </w:rPr>
      </w:pPr>
    </w:p>
    <w:p w14:paraId="47874467" w14:textId="4E33B934" w:rsidR="00201D6C" w:rsidRPr="00485F10" w:rsidRDefault="00201D6C" w:rsidP="00201D6C">
      <w:pPr>
        <w:rPr>
          <w:rFonts w:eastAsia="Times New Roman" w:cs="Arial"/>
          <w:szCs w:val="24"/>
          <w:lang w:val="es-ES" w:eastAsia="es-ES"/>
        </w:rPr>
      </w:pPr>
      <w:r w:rsidRPr="00485F10">
        <w:rPr>
          <w:rFonts w:eastAsia="Times New Roman" w:cs="Segoe UI"/>
          <w:szCs w:val="24"/>
          <w:lang w:val="es-ES" w:eastAsia="es-ES"/>
        </w:rPr>
        <w:t xml:space="preserve">Cabe señalar que </w:t>
      </w:r>
      <w:r w:rsidRPr="00485F10">
        <w:rPr>
          <w:rFonts w:eastAsia="Times New Roman" w:cs="Segoe UI"/>
          <w:b/>
          <w:szCs w:val="24"/>
          <w:lang w:val="es-ES" w:eastAsia="es-ES"/>
        </w:rPr>
        <w:t>El Recurrente</w:t>
      </w:r>
      <w:r w:rsidR="00730EB4" w:rsidRPr="00485F10">
        <w:rPr>
          <w:rFonts w:eastAsia="Times New Roman" w:cs="Segoe UI"/>
          <w:szCs w:val="24"/>
          <w:lang w:val="es-ES" w:eastAsia="es-ES"/>
        </w:rPr>
        <w:t xml:space="preserve"> ejerció de mediante su nombre su derecho al acceso a la información</w:t>
      </w:r>
      <w:r w:rsidRPr="00485F10">
        <w:rPr>
          <w:rFonts w:eastAsia="Times New Roman" w:cs="Times New Roman"/>
          <w:szCs w:val="24"/>
          <w:lang w:val="es-ES" w:eastAsia="es-ES"/>
        </w:rPr>
        <w:t xml:space="preserve">, sin embargo, </w:t>
      </w:r>
      <w:r w:rsidR="00730EB4" w:rsidRPr="00485F10">
        <w:rPr>
          <w:rFonts w:eastAsia="Times New Roman" w:cs="Times New Roman"/>
          <w:szCs w:val="24"/>
          <w:lang w:val="es-ES" w:eastAsia="es-ES"/>
        </w:rPr>
        <w:t xml:space="preserve">de haberlo realizado de manera anónima no </w:t>
      </w:r>
      <w:proofErr w:type="spellStart"/>
      <w:r w:rsidR="00730EB4" w:rsidRPr="00485F10">
        <w:rPr>
          <w:rFonts w:eastAsia="Times New Roman" w:cs="Times New Roman"/>
          <w:szCs w:val="24"/>
          <w:lang w:val="es-ES" w:eastAsia="es-ES"/>
        </w:rPr>
        <w:t>seia</w:t>
      </w:r>
      <w:proofErr w:type="spellEnd"/>
      <w:r w:rsidRPr="00485F10">
        <w:rPr>
          <w:rFonts w:eastAsia="Times New Roman" w:cs="Times New Roman"/>
          <w:szCs w:val="24"/>
          <w:lang w:val="es-ES" w:eastAsia="es-ES"/>
        </w:rPr>
        <w:t xml:space="preserve"> motivo para desechar las </w:t>
      </w:r>
      <w:r w:rsidRPr="00485F10">
        <w:rPr>
          <w:rFonts w:eastAsia="Times New Roman" w:cs="Arial"/>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2B58043A" w14:textId="77777777" w:rsidR="00201D6C" w:rsidRPr="00485F10" w:rsidRDefault="00201D6C" w:rsidP="00201D6C">
      <w:pPr>
        <w:spacing w:before="240"/>
        <w:ind w:left="851" w:right="851"/>
        <w:rPr>
          <w:rFonts w:eastAsia="Times New Roman" w:cs="Arial"/>
          <w:b/>
          <w:i/>
          <w:sz w:val="22"/>
          <w:lang w:val="es-ES" w:eastAsia="es-ES"/>
        </w:rPr>
      </w:pPr>
      <w:r w:rsidRPr="00485F10">
        <w:rPr>
          <w:rFonts w:eastAsia="Times New Roman" w:cs="Arial"/>
          <w:i/>
          <w:sz w:val="22"/>
          <w:lang w:val="es-ES" w:eastAsia="es-ES"/>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485F10">
        <w:rPr>
          <w:rFonts w:eastAsia="Times New Roman" w:cs="Arial"/>
          <w:b/>
          <w:i/>
          <w:sz w:val="22"/>
          <w:lang w:val="es-ES" w:eastAsia="es-ES"/>
        </w:rPr>
        <w:t>[Sic]</w:t>
      </w:r>
    </w:p>
    <w:p w14:paraId="6AA6F29E" w14:textId="77777777" w:rsidR="00201D6C" w:rsidRPr="00485F10" w:rsidRDefault="00201D6C" w:rsidP="00201D6C">
      <w:pPr>
        <w:spacing w:before="240"/>
        <w:ind w:left="851" w:right="851"/>
        <w:rPr>
          <w:rFonts w:eastAsia="Times New Roman" w:cs="Arial"/>
          <w:b/>
          <w:i/>
          <w:sz w:val="22"/>
          <w:lang w:val="es-ES" w:eastAsia="es-ES"/>
        </w:rPr>
      </w:pPr>
    </w:p>
    <w:p w14:paraId="21B69787" w14:textId="77777777" w:rsidR="00201D6C" w:rsidRPr="00485F10" w:rsidRDefault="00201D6C" w:rsidP="00201D6C">
      <w:pPr>
        <w:rPr>
          <w:rFonts w:eastAsia="Times New Roman" w:cs="Times New Roman"/>
          <w:szCs w:val="24"/>
          <w:lang w:val="es-ES" w:eastAsia="es-ES"/>
        </w:rPr>
      </w:pPr>
      <w:r w:rsidRPr="00485F10">
        <w:rPr>
          <w:rFonts w:eastAsia="Times New Roman" w:cs="Times New Roman"/>
          <w:szCs w:val="24"/>
          <w:lang w:val="es-ES" w:eastAsia="es-ES"/>
        </w:rPr>
        <w:t xml:space="preserve">Robusteciendo lo anterior se encuentra lo dispuesto en el artículo 5 párrafos </w:t>
      </w:r>
      <w:r w:rsidRPr="00485F10">
        <w:rPr>
          <w:rFonts w:eastAsia="Times New Roman" w:cs="Arial"/>
          <w:szCs w:val="24"/>
          <w:lang w:val="es-ES" w:eastAsia="es-ES"/>
        </w:rPr>
        <w:t>vigésimo, vigésimo primero</w:t>
      </w:r>
      <w:r w:rsidRPr="00485F10">
        <w:rPr>
          <w:rFonts w:eastAsia="Times New Roman" w:cs="Arial"/>
          <w:szCs w:val="24"/>
          <w:lang w:eastAsia="es-ES"/>
        </w:rPr>
        <w:t xml:space="preserve"> y vigésimo segundo</w:t>
      </w:r>
      <w:r w:rsidRPr="00485F10">
        <w:rPr>
          <w:rFonts w:eastAsia="Times New Roman" w:cs="Times New Roman"/>
          <w:szCs w:val="24"/>
          <w:lang w:val="es-ES" w:eastAsia="es-ES"/>
        </w:rPr>
        <w:t>, de la Constitución Política del Estado Libre y Soberano de México, se establece lo siguiente:</w:t>
      </w:r>
    </w:p>
    <w:p w14:paraId="74DFE0BE" w14:textId="77777777" w:rsidR="00201D6C" w:rsidRPr="00485F10" w:rsidRDefault="00201D6C" w:rsidP="00201D6C">
      <w:pPr>
        <w:spacing w:before="240"/>
        <w:ind w:left="851" w:right="851"/>
        <w:rPr>
          <w:rFonts w:eastAsia="Times New Roman" w:cs="Times New Roman"/>
          <w:b/>
          <w:i/>
          <w:sz w:val="22"/>
          <w:u w:val="single"/>
          <w:lang w:val="es-ES" w:eastAsia="es-ES"/>
        </w:rPr>
      </w:pPr>
      <w:r w:rsidRPr="00485F10">
        <w:rPr>
          <w:rFonts w:eastAsia="Times New Roman" w:cs="Times New Roman"/>
          <w:b/>
          <w:i/>
          <w:sz w:val="22"/>
          <w:u w:val="single"/>
          <w:lang w:val="es-ES" w:eastAsia="es-ES"/>
        </w:rPr>
        <w:t>Constitución Política del Estado Libre y Soberano de México</w:t>
      </w:r>
    </w:p>
    <w:p w14:paraId="4BBDDCE6" w14:textId="77777777" w:rsidR="00201D6C" w:rsidRPr="00485F10" w:rsidRDefault="00201D6C" w:rsidP="00201D6C">
      <w:pPr>
        <w:spacing w:before="240"/>
        <w:ind w:left="851" w:right="851"/>
        <w:rPr>
          <w:rFonts w:eastAsia="Times New Roman" w:cs="Times New Roman"/>
          <w:i/>
          <w:sz w:val="22"/>
          <w:lang w:val="es-ES" w:eastAsia="es-ES"/>
        </w:rPr>
      </w:pPr>
      <w:r w:rsidRPr="00485F10">
        <w:rPr>
          <w:rFonts w:eastAsia="Times New Roman" w:cs="Times New Roman"/>
          <w:i/>
          <w:sz w:val="22"/>
          <w:lang w:val="es-ES" w:eastAsia="es-ES"/>
        </w:rPr>
        <w:t>“</w:t>
      </w:r>
      <w:r w:rsidRPr="00485F10">
        <w:rPr>
          <w:rFonts w:eastAsia="Times New Roman" w:cs="Times New Roman"/>
          <w:b/>
          <w:i/>
          <w:sz w:val="22"/>
          <w:lang w:val="es-ES" w:eastAsia="es-ES"/>
        </w:rPr>
        <w:t>Artículo 5</w:t>
      </w:r>
      <w:r w:rsidRPr="00485F10">
        <w:rPr>
          <w:rFonts w:eastAsia="Times New Roman" w:cs="Times New Roman"/>
          <w:i/>
          <w:sz w:val="22"/>
          <w:lang w:val="es-ES" w:eastAsia="es-ES"/>
        </w:rPr>
        <w:t xml:space="preserve">.- En el Estado de México todas las personas gozarán de los derechos humanos reconocidos en la Constitución Política de los Estados Unidos Mexicanos, en los tratados internacionales en los que el Estado mexicano sea parte, en esta </w:t>
      </w:r>
      <w:r w:rsidRPr="00485F10">
        <w:rPr>
          <w:rFonts w:eastAsia="Times New Roman" w:cs="Times New Roman"/>
          <w:i/>
          <w:sz w:val="22"/>
          <w:lang w:val="es-ES" w:eastAsia="es-ES"/>
        </w:rPr>
        <w:lastRenderedPageBreak/>
        <w:t>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4DD03168" w14:textId="77777777" w:rsidR="00201D6C" w:rsidRPr="00485F10" w:rsidRDefault="00201D6C" w:rsidP="00201D6C">
      <w:pPr>
        <w:spacing w:before="240"/>
        <w:ind w:left="851" w:right="851"/>
        <w:rPr>
          <w:rFonts w:eastAsia="Times New Roman" w:cs="Times New Roman"/>
          <w:i/>
          <w:sz w:val="22"/>
          <w:lang w:val="es-ES" w:eastAsia="es-ES"/>
        </w:rPr>
      </w:pPr>
      <w:r w:rsidRPr="00485F10">
        <w:rPr>
          <w:rFonts w:eastAsia="Times New Roman" w:cs="Times New Roman"/>
          <w:i/>
          <w:sz w:val="22"/>
          <w:lang w:val="es-ES" w:eastAsia="es-ES"/>
        </w:rPr>
        <w:t>(…)</w:t>
      </w:r>
    </w:p>
    <w:p w14:paraId="4704320E" w14:textId="77777777" w:rsidR="00201D6C" w:rsidRPr="00485F10" w:rsidRDefault="00201D6C" w:rsidP="00201D6C">
      <w:pPr>
        <w:spacing w:before="240"/>
        <w:ind w:left="851" w:right="851"/>
        <w:rPr>
          <w:rFonts w:eastAsia="Times New Roman" w:cs="Times New Roman"/>
          <w:b/>
          <w:i/>
          <w:sz w:val="22"/>
          <w:lang w:val="es-ES" w:eastAsia="es-ES"/>
        </w:rPr>
      </w:pPr>
      <w:proofErr w:type="gramStart"/>
      <w:r w:rsidRPr="00485F10">
        <w:rPr>
          <w:rFonts w:eastAsia="Times New Roman" w:cs="Times New Roman"/>
          <w:i/>
          <w:sz w:val="22"/>
          <w:lang w:val="es-ES" w:eastAsia="es-ES"/>
        </w:rPr>
        <w:t>transparencia</w:t>
      </w:r>
      <w:proofErr w:type="gramEnd"/>
      <w:r w:rsidRPr="00485F10">
        <w:rPr>
          <w:rFonts w:eastAsia="Times New Roman" w:cs="Times New Roman"/>
          <w:i/>
          <w:sz w:val="22"/>
          <w:lang w:val="es-ES" w:eastAsia="es-ES"/>
        </w:rPr>
        <w:t xml:space="preserve">, acceso a la información pública y a la protección de datos personales en posesión de los sujetos obligados en los términos que establezca la ley. (…)” </w:t>
      </w:r>
      <w:r w:rsidRPr="00485F10">
        <w:rPr>
          <w:rFonts w:eastAsia="Times New Roman" w:cs="Times New Roman"/>
          <w:b/>
          <w:i/>
          <w:sz w:val="22"/>
          <w:lang w:val="es-ES" w:eastAsia="es-ES"/>
        </w:rPr>
        <w:t>[Sic]</w:t>
      </w:r>
    </w:p>
    <w:p w14:paraId="070123AC" w14:textId="77777777" w:rsidR="00201D6C" w:rsidRPr="00485F10" w:rsidRDefault="00201D6C" w:rsidP="00201D6C">
      <w:pPr>
        <w:autoSpaceDE w:val="0"/>
        <w:autoSpaceDN w:val="0"/>
        <w:adjustRightInd w:val="0"/>
        <w:spacing w:before="240"/>
        <w:rPr>
          <w:rFonts w:eastAsia="Times New Roman" w:cs="Arial"/>
          <w:szCs w:val="24"/>
          <w:lang w:val="es-ES"/>
        </w:rPr>
      </w:pPr>
      <w:r w:rsidRPr="00485F10">
        <w:rPr>
          <w:rFonts w:eastAsia="Times New Roman" w:cs="Times New Roman"/>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485F10">
        <w:rPr>
          <w:rFonts w:eastAsia="Times New Roman" w:cs="Times New Roman"/>
          <w:b/>
          <w:szCs w:val="24"/>
          <w:u w:val="single"/>
          <w:lang w:val="es-ES" w:eastAsia="es-ES"/>
        </w:rPr>
        <w:t>incluso, la solicitud de acceso a la información pueda ser anónima</w:t>
      </w:r>
      <w:r w:rsidRPr="00485F10">
        <w:rPr>
          <w:rFonts w:eastAsia="Times New Roman" w:cs="Times New Roman"/>
          <w:szCs w:val="24"/>
          <w:lang w:val="es-ES" w:eastAsia="es-ES"/>
        </w:rPr>
        <w:t xml:space="preserve"> o no contener un nombre que identifique al solicitante o que permita tener certeza sobre su identidad. </w:t>
      </w:r>
      <w:r w:rsidRPr="00485F10">
        <w:rPr>
          <w:rFonts w:eastAsia="Times New Roman" w:cs="Arial"/>
          <w:szCs w:val="24"/>
          <w:lang w:val="es-ES"/>
        </w:rPr>
        <w:t xml:space="preserve">En conclusión, se cubrieron los requisitos de procedencia y </w:t>
      </w:r>
      <w:proofErr w:type="spellStart"/>
      <w:r w:rsidRPr="00485F10">
        <w:rPr>
          <w:rFonts w:eastAsia="Times New Roman" w:cs="Arial"/>
          <w:szCs w:val="24"/>
          <w:lang w:val="es-ES"/>
        </w:rPr>
        <w:t>procedibilidad</w:t>
      </w:r>
      <w:proofErr w:type="spellEnd"/>
      <w:r w:rsidRPr="00485F10">
        <w:rPr>
          <w:rFonts w:eastAsia="Times New Roman" w:cs="Arial"/>
          <w:szCs w:val="24"/>
          <w:lang w:val="es-ES"/>
        </w:rPr>
        <w:t xml:space="preserve"> y conforme a las constancias que obran en el expediente.</w:t>
      </w:r>
    </w:p>
    <w:p w14:paraId="4495F672" w14:textId="77777777" w:rsidR="00F40E43" w:rsidRPr="00485F10" w:rsidRDefault="00F40E43" w:rsidP="00201D6C">
      <w:pPr>
        <w:autoSpaceDE w:val="0"/>
        <w:autoSpaceDN w:val="0"/>
        <w:adjustRightInd w:val="0"/>
        <w:spacing w:before="240"/>
        <w:rPr>
          <w:rFonts w:ascii="Times New Roman" w:eastAsia="Times New Roman" w:hAnsi="Times New Roman" w:cs="Arial"/>
          <w:b/>
          <w:sz w:val="28"/>
          <w:szCs w:val="24"/>
          <w:lang w:val="es-ES" w:eastAsia="es-ES"/>
        </w:rPr>
      </w:pPr>
    </w:p>
    <w:p w14:paraId="51C23621" w14:textId="77777777" w:rsidR="00201D6C" w:rsidRPr="00485F10" w:rsidRDefault="00201D6C" w:rsidP="00201D6C">
      <w:pPr>
        <w:pStyle w:val="Prrafodelista"/>
        <w:autoSpaceDE w:val="0"/>
        <w:autoSpaceDN w:val="0"/>
        <w:adjustRightInd w:val="0"/>
        <w:spacing w:before="240" w:after="160"/>
        <w:ind w:left="0"/>
        <w:rPr>
          <w:rFonts w:cs="Arial"/>
          <w:b/>
          <w:sz w:val="28"/>
        </w:rPr>
      </w:pPr>
      <w:r w:rsidRPr="00485F10">
        <w:rPr>
          <w:rFonts w:cs="Arial"/>
          <w:b/>
          <w:sz w:val="28"/>
        </w:rPr>
        <w:t>CUARTO. De las causas de improcedencia.</w:t>
      </w:r>
    </w:p>
    <w:p w14:paraId="22A3761E" w14:textId="77777777" w:rsidR="00201D6C" w:rsidRPr="00485F10" w:rsidRDefault="00201D6C" w:rsidP="00201D6C">
      <w:pPr>
        <w:pStyle w:val="Prrafodelista"/>
        <w:autoSpaceDE w:val="0"/>
        <w:autoSpaceDN w:val="0"/>
        <w:adjustRightInd w:val="0"/>
        <w:ind w:left="0"/>
        <w:rPr>
          <w:rFonts w:cs="Arial"/>
        </w:rPr>
      </w:pPr>
      <w:r w:rsidRPr="00485F10">
        <w:rPr>
          <w:rFonts w:cs="Arial"/>
        </w:rPr>
        <w:t xml:space="preserve">En el procedimiento de acceso a la información y de los medios de impugnación de la materia, se advierten diversos supuestos de </w:t>
      </w:r>
      <w:proofErr w:type="spellStart"/>
      <w:r w:rsidRPr="00485F10">
        <w:rPr>
          <w:rFonts w:cs="Arial"/>
        </w:rPr>
        <w:t>procedibilidad</w:t>
      </w:r>
      <w:proofErr w:type="spellEnd"/>
      <w:r w:rsidRPr="00485F10">
        <w:rPr>
          <w:rFonts w:cs="Arial"/>
        </w:rPr>
        <w:t xml:space="preserve">, los cuales deben estudiarse con la finalidad de dar cumplimiento a los principios de legalidad y objetividad inmersos en el artículo 9, de Ley de Transparencia y Acceso a la Información Pública del Estado de </w:t>
      </w:r>
      <w:r w:rsidRPr="00485F10">
        <w:rPr>
          <w:rFonts w:cs="Arial"/>
        </w:rPr>
        <w:lastRenderedPageBreak/>
        <w:t>México y Municipios, en correlación con la seguridad jurídica que debe generar lo actuado ante este Organismo garante.</w:t>
      </w:r>
    </w:p>
    <w:p w14:paraId="481C4F33" w14:textId="77777777" w:rsidR="00F40E43" w:rsidRPr="00485F10" w:rsidRDefault="00F40E43" w:rsidP="00201D6C">
      <w:pPr>
        <w:pStyle w:val="Prrafodelista"/>
        <w:autoSpaceDE w:val="0"/>
        <w:autoSpaceDN w:val="0"/>
        <w:adjustRightInd w:val="0"/>
        <w:ind w:left="0"/>
        <w:rPr>
          <w:rFonts w:cs="Arial"/>
        </w:rPr>
      </w:pPr>
    </w:p>
    <w:p w14:paraId="6B8BFE65" w14:textId="011744ED" w:rsidR="00201D6C" w:rsidRPr="00485F10" w:rsidRDefault="00201D6C" w:rsidP="00201D6C">
      <w:pPr>
        <w:pStyle w:val="Prrafodelista"/>
        <w:autoSpaceDE w:val="0"/>
        <w:autoSpaceDN w:val="0"/>
        <w:adjustRightInd w:val="0"/>
        <w:ind w:left="0"/>
        <w:rPr>
          <w:rFonts w:cs="Arial"/>
        </w:rPr>
      </w:pPr>
      <w:r w:rsidRPr="00485F10">
        <w:rPr>
          <w:rFonts w:cs="Arial"/>
        </w:rPr>
        <w:t xml:space="preserve">De lo anterior, el estudio de las causas de improcedencia que se hagan valer por las partes o que se advierta de oficio por este </w:t>
      </w:r>
      <w:proofErr w:type="spellStart"/>
      <w:r w:rsidRPr="00485F10">
        <w:rPr>
          <w:rFonts w:cs="Arial"/>
        </w:rPr>
        <w:t>Resolutor</w:t>
      </w:r>
      <w:proofErr w:type="spellEnd"/>
      <w:r w:rsidRPr="00485F10">
        <w:rPr>
          <w:rFonts w:cs="Arial"/>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485F10">
        <w:rPr>
          <w:rStyle w:val="Refdenotaalpie"/>
          <w:rFonts w:cs="Arial"/>
        </w:rPr>
        <w:footnoteReference w:id="1"/>
      </w:r>
      <w:r w:rsidRPr="00485F10">
        <w:rPr>
          <w:rFonts w:cs="Arial"/>
        </w:rPr>
        <w:t>.</w:t>
      </w:r>
    </w:p>
    <w:p w14:paraId="74AB4E11" w14:textId="77777777" w:rsidR="00201D6C" w:rsidRPr="00485F10" w:rsidRDefault="00201D6C" w:rsidP="00201D6C">
      <w:pPr>
        <w:pStyle w:val="Prrafodelista"/>
        <w:autoSpaceDE w:val="0"/>
        <w:autoSpaceDN w:val="0"/>
        <w:adjustRightInd w:val="0"/>
        <w:ind w:left="0"/>
        <w:rPr>
          <w:rFonts w:cs="Arial"/>
        </w:rPr>
      </w:pPr>
      <w:r w:rsidRPr="00485F10">
        <w:rPr>
          <w:rFonts w:cs="Arial"/>
        </w:rPr>
        <w:lastRenderedPageBreak/>
        <w:t xml:space="preserve">Así las cosas, en la especie, no se actualiza ninguna causa de improcedencia de las referidas en el artículo 191 de la Ley de Transparencia y Acceso a la Información Pública del Estado de México y Municipios, encontrándose actualizados todos los supuestos procesales para atender el fondo del asunto, en los términos del considerando posterior. </w:t>
      </w:r>
    </w:p>
    <w:p w14:paraId="6ADED93C" w14:textId="77777777" w:rsidR="00201D6C" w:rsidRPr="00485F10" w:rsidRDefault="00201D6C" w:rsidP="00201D6C">
      <w:pPr>
        <w:pStyle w:val="Prrafodelista"/>
        <w:autoSpaceDE w:val="0"/>
        <w:autoSpaceDN w:val="0"/>
        <w:adjustRightInd w:val="0"/>
        <w:ind w:left="0"/>
        <w:rPr>
          <w:rFonts w:cs="Arial"/>
        </w:rPr>
      </w:pPr>
    </w:p>
    <w:p w14:paraId="0240C4C4" w14:textId="4383ED62" w:rsidR="00201D6C" w:rsidRPr="00485F10" w:rsidRDefault="00201D6C" w:rsidP="00201D6C">
      <w:pPr>
        <w:pStyle w:val="Ttulo2"/>
        <w:rPr>
          <w:rFonts w:ascii="Palatino Linotype" w:eastAsia="Palatino Linotype" w:hAnsi="Palatino Linotype"/>
          <w:b/>
          <w:bCs/>
          <w:color w:val="auto"/>
          <w:sz w:val="28"/>
          <w:szCs w:val="28"/>
        </w:rPr>
      </w:pPr>
      <w:r w:rsidRPr="00485F10">
        <w:rPr>
          <w:rFonts w:ascii="Palatino Linotype" w:eastAsia="Palatino Linotype" w:hAnsi="Palatino Linotype"/>
          <w:b/>
          <w:bCs/>
          <w:color w:val="auto"/>
          <w:sz w:val="28"/>
          <w:szCs w:val="28"/>
        </w:rPr>
        <w:t xml:space="preserve">QUINTO. </w:t>
      </w:r>
      <w:r w:rsidR="00A77450" w:rsidRPr="00485F10">
        <w:rPr>
          <w:rFonts w:ascii="Palatino Linotype" w:eastAsia="Palatino Linotype" w:hAnsi="Palatino Linotype"/>
          <w:b/>
          <w:bCs/>
          <w:color w:val="auto"/>
          <w:sz w:val="28"/>
          <w:szCs w:val="28"/>
        </w:rPr>
        <w:t>Estudio y resolución del asunto.</w:t>
      </w:r>
    </w:p>
    <w:p w14:paraId="09C95153" w14:textId="77777777" w:rsidR="00201D6C" w:rsidRPr="00485F10" w:rsidRDefault="00201D6C" w:rsidP="00201D6C">
      <w:pPr>
        <w:pBdr>
          <w:top w:val="nil"/>
          <w:left w:val="nil"/>
          <w:bottom w:val="nil"/>
          <w:right w:val="nil"/>
          <w:between w:val="nil"/>
        </w:pBdr>
        <w:contextualSpacing/>
        <w:rPr>
          <w:rFonts w:eastAsia="Palatino Linotype" w:cs="Palatino Linotype"/>
          <w:color w:val="000000"/>
          <w:szCs w:val="24"/>
        </w:rPr>
      </w:pPr>
      <w:r w:rsidRPr="00485F10">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0B418086" w14:textId="77777777" w:rsidR="00201D6C" w:rsidRPr="00485F10" w:rsidRDefault="00201D6C" w:rsidP="00201D6C">
      <w:pPr>
        <w:pBdr>
          <w:top w:val="nil"/>
          <w:left w:val="nil"/>
          <w:bottom w:val="nil"/>
          <w:right w:val="nil"/>
          <w:between w:val="nil"/>
        </w:pBdr>
        <w:contextualSpacing/>
        <w:rPr>
          <w:rFonts w:eastAsia="Palatino Linotype" w:cs="Palatino Linotype"/>
          <w:color w:val="000000"/>
          <w:szCs w:val="24"/>
        </w:rPr>
      </w:pPr>
    </w:p>
    <w:p w14:paraId="6AEC54F5" w14:textId="77777777" w:rsidR="00201D6C" w:rsidRPr="00485F10" w:rsidRDefault="00201D6C" w:rsidP="00201D6C">
      <w:pPr>
        <w:pBdr>
          <w:top w:val="nil"/>
          <w:left w:val="nil"/>
          <w:bottom w:val="nil"/>
          <w:right w:val="nil"/>
          <w:between w:val="nil"/>
        </w:pBdr>
        <w:contextualSpacing/>
        <w:rPr>
          <w:rFonts w:eastAsia="Palatino Linotype" w:cs="Palatino Linotype"/>
          <w:color w:val="000000"/>
          <w:szCs w:val="24"/>
        </w:rPr>
      </w:pPr>
      <w:r w:rsidRPr="00485F10">
        <w:rPr>
          <w:rFonts w:eastAsia="Palatino Linotype" w:cs="Palatino Linotype"/>
          <w:color w:val="000000"/>
          <w:szCs w:val="24"/>
        </w:rPr>
        <w:t>Por tanto, es conveniente recordar que el hoy Recurrente requirió del Sujeto Obligado, de la actual administración, lo siguiente:</w:t>
      </w:r>
    </w:p>
    <w:p w14:paraId="19294566" w14:textId="0FF54E7D" w:rsidR="00201D6C" w:rsidRPr="00485F10" w:rsidRDefault="00F40E43" w:rsidP="00F40E43">
      <w:pPr>
        <w:pStyle w:val="Prrafodelista"/>
        <w:numPr>
          <w:ilvl w:val="0"/>
          <w:numId w:val="11"/>
        </w:numPr>
        <w:pBdr>
          <w:top w:val="nil"/>
          <w:left w:val="nil"/>
          <w:bottom w:val="nil"/>
          <w:right w:val="nil"/>
          <w:between w:val="nil"/>
        </w:pBdr>
        <w:rPr>
          <w:rFonts w:eastAsia="Palatino Linotype" w:cs="Palatino Linotype"/>
          <w:color w:val="000000"/>
          <w:szCs w:val="24"/>
        </w:rPr>
      </w:pPr>
      <w:r w:rsidRPr="00485F10">
        <w:rPr>
          <w:rFonts w:eastAsia="Palatino Linotype" w:cs="Palatino Linotype"/>
          <w:color w:val="000000"/>
          <w:szCs w:val="24"/>
        </w:rPr>
        <w:t xml:space="preserve">De los servidores públicos adscritos al Sujeto Obligado de la primera y segunda quincena de abril del dos mil veinticinco; </w:t>
      </w:r>
    </w:p>
    <w:p w14:paraId="4042B821" w14:textId="0704AE06" w:rsidR="00F40E43" w:rsidRPr="00485F10" w:rsidRDefault="00F40E43" w:rsidP="00F40E43">
      <w:pPr>
        <w:pStyle w:val="Prrafodelista"/>
        <w:numPr>
          <w:ilvl w:val="0"/>
          <w:numId w:val="12"/>
        </w:numPr>
        <w:pBdr>
          <w:top w:val="nil"/>
          <w:left w:val="nil"/>
          <w:bottom w:val="nil"/>
          <w:right w:val="nil"/>
          <w:between w:val="nil"/>
        </w:pBdr>
        <w:rPr>
          <w:rFonts w:eastAsia="Palatino Linotype" w:cs="Palatino Linotype"/>
          <w:color w:val="000000"/>
          <w:szCs w:val="24"/>
        </w:rPr>
      </w:pPr>
      <w:r w:rsidRPr="00485F10">
        <w:rPr>
          <w:rFonts w:eastAsia="Palatino Linotype" w:cs="Palatino Linotype"/>
          <w:color w:val="000000"/>
          <w:szCs w:val="24"/>
        </w:rPr>
        <w:t>Conciliación de nómina</w:t>
      </w:r>
    </w:p>
    <w:p w14:paraId="5994D726" w14:textId="633F15AD" w:rsidR="00F40E43" w:rsidRPr="00485F10" w:rsidRDefault="00F40E43" w:rsidP="00F40E43">
      <w:pPr>
        <w:pStyle w:val="Prrafodelista"/>
        <w:numPr>
          <w:ilvl w:val="0"/>
          <w:numId w:val="12"/>
        </w:numPr>
        <w:pBdr>
          <w:top w:val="nil"/>
          <w:left w:val="nil"/>
          <w:bottom w:val="nil"/>
          <w:right w:val="nil"/>
          <w:between w:val="nil"/>
        </w:pBdr>
        <w:rPr>
          <w:rFonts w:eastAsia="Palatino Linotype" w:cs="Palatino Linotype"/>
          <w:color w:val="000000"/>
          <w:szCs w:val="24"/>
        </w:rPr>
      </w:pPr>
      <w:r w:rsidRPr="00485F10">
        <w:rPr>
          <w:rFonts w:eastAsia="Palatino Linotype" w:cs="Palatino Linotype"/>
          <w:color w:val="000000"/>
          <w:szCs w:val="24"/>
        </w:rPr>
        <w:t>Dispersión de nómina.</w:t>
      </w:r>
    </w:p>
    <w:p w14:paraId="74BBF310" w14:textId="77777777" w:rsidR="00F40E43" w:rsidRPr="00485F10" w:rsidRDefault="00F40E43" w:rsidP="00201D6C">
      <w:pPr>
        <w:pBdr>
          <w:top w:val="nil"/>
          <w:left w:val="nil"/>
          <w:bottom w:val="nil"/>
          <w:right w:val="nil"/>
          <w:between w:val="nil"/>
        </w:pBdr>
        <w:rPr>
          <w:rFonts w:eastAsia="Palatino Linotype" w:cs="Palatino Linotype"/>
          <w:color w:val="000000"/>
          <w:szCs w:val="24"/>
        </w:rPr>
      </w:pPr>
    </w:p>
    <w:p w14:paraId="6968AB24" w14:textId="77777777" w:rsidR="00F40E43" w:rsidRPr="00485F10" w:rsidRDefault="00F40E43" w:rsidP="00201D6C">
      <w:pPr>
        <w:pBdr>
          <w:top w:val="nil"/>
          <w:left w:val="nil"/>
          <w:bottom w:val="nil"/>
          <w:right w:val="nil"/>
          <w:between w:val="nil"/>
        </w:pBdr>
        <w:rPr>
          <w:rFonts w:eastAsia="Palatino Linotype" w:cs="Palatino Linotype"/>
          <w:color w:val="000000"/>
          <w:szCs w:val="24"/>
        </w:rPr>
      </w:pPr>
    </w:p>
    <w:p w14:paraId="5F58256E" w14:textId="77777777" w:rsidR="00201D6C" w:rsidRPr="00485F10" w:rsidRDefault="00201D6C" w:rsidP="00201D6C">
      <w:pPr>
        <w:pBdr>
          <w:top w:val="nil"/>
          <w:left w:val="nil"/>
          <w:bottom w:val="nil"/>
          <w:right w:val="nil"/>
          <w:between w:val="nil"/>
        </w:pBdr>
        <w:contextualSpacing/>
      </w:pPr>
      <w:r w:rsidRPr="00485F10">
        <w:rPr>
          <w:rFonts w:eastAsia="Palatino Linotype" w:cs="Palatino Linotype"/>
          <w:color w:val="000000"/>
          <w:szCs w:val="24"/>
        </w:rPr>
        <w:lastRenderedPageBreak/>
        <w:t>Por lo que atento a la solicitud de información el Sujeto Obligado</w:t>
      </w:r>
      <w:r w:rsidRPr="00485F10">
        <w:t xml:space="preserve"> emitió su respuesta por medio de los archivos electrónicos denominados; </w:t>
      </w:r>
    </w:p>
    <w:p w14:paraId="31C8D9D2" w14:textId="32B77A84" w:rsidR="00F40E43" w:rsidRPr="00485F10" w:rsidRDefault="00F40E43" w:rsidP="00F40E43">
      <w:pPr>
        <w:pStyle w:val="Prrafodelista"/>
        <w:numPr>
          <w:ilvl w:val="0"/>
          <w:numId w:val="13"/>
        </w:numPr>
        <w:rPr>
          <w:b/>
          <w:szCs w:val="24"/>
        </w:rPr>
      </w:pPr>
      <w:r w:rsidRPr="00485F10">
        <w:rPr>
          <w:rFonts w:cs="Arial"/>
          <w:b/>
          <w:bCs/>
          <w:szCs w:val="24"/>
        </w:rPr>
        <w:t xml:space="preserve">00343-2045-2025.pdf: </w:t>
      </w:r>
      <w:r w:rsidRPr="00485F10">
        <w:rPr>
          <w:rFonts w:cs="Arial"/>
          <w:bCs/>
          <w:szCs w:val="24"/>
        </w:rPr>
        <w:t xml:space="preserve">Soporte documental que consta de dos fojas en formato PDF  de fecha veinticinco de junio de dos mil veinticinco por medio del cual el Tesorero Municipal manifiesta que hace entrega de la dispersión de nómina que obra en sus archivos manifestando además que respecto la conciliación de nómina en términos del Reglamento Orgánico de la Administración le corresponde a la Dirección de Administración la información. </w:t>
      </w:r>
    </w:p>
    <w:p w14:paraId="55191C5D" w14:textId="77777777" w:rsidR="00F40E43" w:rsidRPr="00485F10" w:rsidRDefault="00F40E43" w:rsidP="00F40E43">
      <w:pPr>
        <w:pStyle w:val="Prrafodelista"/>
        <w:rPr>
          <w:b/>
          <w:szCs w:val="24"/>
        </w:rPr>
      </w:pPr>
    </w:p>
    <w:p w14:paraId="224390A9" w14:textId="4911DD77" w:rsidR="00F40E43" w:rsidRPr="00485F10" w:rsidRDefault="00F40E43" w:rsidP="00201D6C">
      <w:pPr>
        <w:pStyle w:val="Prrafodelista"/>
        <w:numPr>
          <w:ilvl w:val="0"/>
          <w:numId w:val="13"/>
        </w:numPr>
        <w:rPr>
          <w:b/>
          <w:szCs w:val="24"/>
        </w:rPr>
      </w:pPr>
      <w:r w:rsidRPr="00485F10">
        <w:rPr>
          <w:rFonts w:cs="Arial"/>
          <w:b/>
          <w:bCs/>
          <w:szCs w:val="24"/>
        </w:rPr>
        <w:t xml:space="preserve">1era y 2da </w:t>
      </w:r>
      <w:proofErr w:type="spellStart"/>
      <w:r w:rsidRPr="00485F10">
        <w:rPr>
          <w:rFonts w:cs="Arial"/>
          <w:b/>
          <w:bCs/>
          <w:szCs w:val="24"/>
        </w:rPr>
        <w:t>qna</w:t>
      </w:r>
      <w:proofErr w:type="spellEnd"/>
      <w:r w:rsidRPr="00485F10">
        <w:rPr>
          <w:rFonts w:cs="Arial"/>
          <w:b/>
          <w:bCs/>
          <w:szCs w:val="24"/>
        </w:rPr>
        <w:t xml:space="preserve"> Abril 2025.pdf:</w:t>
      </w:r>
      <w:r w:rsidRPr="00485F10">
        <w:rPr>
          <w:rFonts w:cs="Arial"/>
          <w:bCs/>
          <w:szCs w:val="24"/>
        </w:rPr>
        <w:t xml:space="preserve"> Soporte documental que consta de veinte fojas en formato PDF que da cuenta de transacciones bancarias a diversos servidores públicos durante la primera y segunda quincena de abril de dos mil veinticinco. </w:t>
      </w:r>
    </w:p>
    <w:p w14:paraId="3F620463" w14:textId="77777777" w:rsidR="00F40E43" w:rsidRPr="00485F10" w:rsidRDefault="00F40E43" w:rsidP="00F40E43">
      <w:pPr>
        <w:rPr>
          <w:b/>
          <w:szCs w:val="24"/>
        </w:rPr>
      </w:pPr>
    </w:p>
    <w:p w14:paraId="36BA86CC" w14:textId="5BF1839B" w:rsidR="00E15ACA" w:rsidRPr="00485F10" w:rsidRDefault="00F40E43" w:rsidP="00201D6C">
      <w:pPr>
        <w:pStyle w:val="Prrafodelista"/>
        <w:numPr>
          <w:ilvl w:val="0"/>
          <w:numId w:val="13"/>
        </w:numPr>
        <w:rPr>
          <w:b/>
          <w:szCs w:val="24"/>
        </w:rPr>
      </w:pPr>
      <w:r w:rsidRPr="00485F10">
        <w:rPr>
          <w:rFonts w:cs="Arial"/>
          <w:b/>
          <w:bCs/>
          <w:szCs w:val="24"/>
        </w:rPr>
        <w:t xml:space="preserve">343 b.pdf: </w:t>
      </w:r>
      <w:r w:rsidRPr="00485F10">
        <w:rPr>
          <w:rFonts w:cs="Arial"/>
          <w:bCs/>
          <w:szCs w:val="24"/>
        </w:rPr>
        <w:t>Soporte documental que consta de dos fojas en fo</w:t>
      </w:r>
      <w:r w:rsidR="00E15ACA" w:rsidRPr="00485F10">
        <w:rPr>
          <w:rFonts w:cs="Arial"/>
          <w:bCs/>
          <w:szCs w:val="24"/>
        </w:rPr>
        <w:t xml:space="preserve">rmato PDF de fecha veinticuatro de junio de dos mil veinticinco por medio del cual el Director de Administración por medio del cual manifiesta que no cuenta con las facultades para conocer al respecto toda vez que se trata de un documento de carácter financiero relacionado con el ejercicio de presupuesto público, gasto en servicios personales, retenciones y aportaciones ISSEMYM. </w:t>
      </w:r>
    </w:p>
    <w:p w14:paraId="74F58966" w14:textId="77777777" w:rsidR="00F40E43" w:rsidRPr="00485F10" w:rsidRDefault="00F40E43" w:rsidP="00201D6C"/>
    <w:p w14:paraId="12301CED" w14:textId="0D635B3B" w:rsidR="005639CA" w:rsidRPr="00485F10" w:rsidRDefault="00201D6C" w:rsidP="005639CA">
      <w:pPr>
        <w:pBdr>
          <w:top w:val="nil"/>
          <w:left w:val="nil"/>
          <w:bottom w:val="nil"/>
          <w:right w:val="nil"/>
          <w:between w:val="nil"/>
        </w:pBdr>
        <w:contextualSpacing/>
        <w:rPr>
          <w:rFonts w:eastAsia="Palatino Linotype" w:cs="Palatino Linotype"/>
          <w:color w:val="000000"/>
          <w:szCs w:val="24"/>
        </w:rPr>
      </w:pPr>
      <w:r w:rsidRPr="00485F10">
        <w:rPr>
          <w:rFonts w:eastAsia="Palatino Linotype" w:cs="Palatino Linotype"/>
          <w:color w:val="000000"/>
          <w:szCs w:val="24"/>
        </w:rPr>
        <w:t xml:space="preserve">Ante la respuesta emitida por el Sujeto Obligado, el Recurrente consideró que su derecho a la información pública había sido conculcado, por lo que interpuso el recurso de revisión al rubro citado, señalando como motivos de inconformidad </w:t>
      </w:r>
      <w:r w:rsidRPr="00485F10">
        <w:rPr>
          <w:rFonts w:eastAsia="Palatino Linotype" w:cs="Palatino Linotype"/>
          <w:i/>
          <w:iCs/>
          <w:color w:val="000000"/>
          <w:szCs w:val="24"/>
        </w:rPr>
        <w:t>“</w:t>
      </w:r>
      <w:r w:rsidR="00E15ACA" w:rsidRPr="00485F10">
        <w:rPr>
          <w:color w:val="000000"/>
          <w:szCs w:val="24"/>
        </w:rPr>
        <w:t>La negativa a la entrega de la información requerida</w:t>
      </w:r>
      <w:r w:rsidRPr="00485F10">
        <w:rPr>
          <w:i/>
          <w:iCs/>
          <w:color w:val="000000"/>
          <w:szCs w:val="24"/>
        </w:rPr>
        <w:t xml:space="preserve">” </w:t>
      </w:r>
      <w:r w:rsidRPr="00485F10">
        <w:rPr>
          <w:color w:val="000000"/>
          <w:szCs w:val="24"/>
        </w:rPr>
        <w:t xml:space="preserve"> y como razo</w:t>
      </w:r>
      <w:r w:rsidR="00E15ACA" w:rsidRPr="00485F10">
        <w:rPr>
          <w:color w:val="000000"/>
          <w:szCs w:val="24"/>
        </w:rPr>
        <w:t>nes o motivos de inconformidad “</w:t>
      </w:r>
      <w:r w:rsidR="00E15ACA" w:rsidRPr="00485F10">
        <w:rPr>
          <w:i/>
          <w:color w:val="000000"/>
          <w:sz w:val="22"/>
        </w:rPr>
        <w:t xml:space="preserve">En </w:t>
      </w:r>
      <w:r w:rsidR="00E15ACA" w:rsidRPr="00485F10">
        <w:rPr>
          <w:i/>
          <w:color w:val="000000"/>
          <w:sz w:val="22"/>
        </w:rPr>
        <w:lastRenderedPageBreak/>
        <w:t>cuanto a la Dirección de Administración, presenta un análisis jurídico manifiestamente erróneo, incongruente y risible al argumentar que</w:t>
      </w:r>
      <w:r w:rsidR="00E15ACA" w:rsidRPr="00485F10">
        <w:rPr>
          <w:i/>
          <w:color w:val="000000"/>
          <w:sz w:val="22"/>
          <w:u w:val="single"/>
        </w:rPr>
        <w:t xml:space="preserve"> la conciliación de nómina es un "documento financiero" fuera de su atribución. Este argumento es falaz y se contradice flagrantemente con el reconocimiento explícito de la propia Dirección de que "colabora" en su elaboración</w:t>
      </w:r>
      <w:r w:rsidR="00E15ACA" w:rsidRPr="00485F10">
        <w:rPr>
          <w:i/>
          <w:color w:val="000000"/>
          <w:sz w:val="22"/>
        </w:rPr>
        <w:t xml:space="preserve">. Conforme a los principios de la Ley de Transparencia, toda entidad pública que genere, posea o administre información está obligada a entregarla. Al admitir su participación, la Dirección confirma que es poseedora de la información y, por tanto, tiene la competencia y la obligación ineludible de transparentarla. Su negativa, basada en pretextos ilógicos, no solo evidencia un profundo desconocimiento del marco normativo que la rige, sino que pone en tela de juicio su capacidad para gestionar con rigor las responsabilidades que le son conferidas. La posesión de un documento público genera la obligación ineludible de garantizar el acceso al mismo. Por lo que hace a la Tesorería Municipal, se limita a remitir comprobantes de transferencia globales, </w:t>
      </w:r>
      <w:r w:rsidR="00E15ACA" w:rsidRPr="00485F10">
        <w:rPr>
          <w:i/>
          <w:color w:val="000000"/>
          <w:sz w:val="22"/>
          <w:u w:val="single"/>
        </w:rPr>
        <w:t xml:space="preserve">omitiendo la entrega de los archivos de dispersión de nómina, que son el núcleo de la información solicitada. </w:t>
      </w:r>
      <w:r w:rsidR="00E15ACA" w:rsidRPr="00485F10">
        <w:rPr>
          <w:i/>
          <w:color w:val="000000"/>
          <w:sz w:val="22"/>
        </w:rPr>
        <w:t>Si bien estos archivos contienen datos personales, la obligación de la autoridad no es negar la información, sino elaborar una versión pública en la que se testen debidamente dichos datos, protegiendo la información confidencial sin impedir el acceso a la información pública. En resumen, la respuesta es evasiva, incompleta y obstruye deliberadamente el derecho ciudadano a la rendición de cuentas. Se exige un cumplimiento íntegro e inmediato de la solicitud.</w:t>
      </w:r>
      <w:r w:rsidRPr="00485F10">
        <w:rPr>
          <w:i/>
          <w:iCs/>
          <w:color w:val="000000"/>
          <w:szCs w:val="24"/>
        </w:rPr>
        <w:t xml:space="preserve">” </w:t>
      </w:r>
      <w:r w:rsidRPr="00485F10">
        <w:rPr>
          <w:rFonts w:eastAsia="Palatino Linotype" w:cs="Palatino Linotype"/>
          <w:color w:val="000000"/>
          <w:szCs w:val="24"/>
        </w:rPr>
        <w:t xml:space="preserve">en este sentido el Recurrente considero que el Sujeto Obligado no le dio cuenta </w:t>
      </w:r>
      <w:r w:rsidR="005639CA" w:rsidRPr="00485F10">
        <w:rPr>
          <w:rFonts w:eastAsia="Palatino Linotype" w:cs="Palatino Linotype"/>
          <w:color w:val="000000"/>
          <w:szCs w:val="24"/>
        </w:rPr>
        <w:t xml:space="preserve">de la conciliación de nómina y la dispersión de nómina de los servidores públicos adscritos al Sujeto Obligado de la primera y segunda quincena de abril  del dos mil veinticinco. </w:t>
      </w:r>
    </w:p>
    <w:p w14:paraId="7C06BA62" w14:textId="77777777" w:rsidR="005639CA" w:rsidRPr="00485F10" w:rsidRDefault="005639CA" w:rsidP="00201D6C">
      <w:pPr>
        <w:pBdr>
          <w:top w:val="nil"/>
          <w:left w:val="nil"/>
          <w:bottom w:val="nil"/>
          <w:right w:val="nil"/>
          <w:between w:val="nil"/>
        </w:pBdr>
        <w:contextualSpacing/>
      </w:pPr>
    </w:p>
    <w:p w14:paraId="7FD01285" w14:textId="2E8EA412" w:rsidR="005639CA" w:rsidRPr="00485F10" w:rsidRDefault="00201D6C" w:rsidP="00201D6C">
      <w:pPr>
        <w:pBdr>
          <w:top w:val="nil"/>
          <w:left w:val="nil"/>
          <w:bottom w:val="nil"/>
          <w:right w:val="nil"/>
          <w:between w:val="nil"/>
        </w:pBdr>
        <w:contextualSpacing/>
      </w:pPr>
      <w:r w:rsidRPr="00485F10">
        <w:t>De lo anterior a efecto de no vulnerar el derecho al acceso a la información del Recurrente el Sujeto Obligado rindió su in</w:t>
      </w:r>
      <w:r w:rsidR="005639CA" w:rsidRPr="00485F10">
        <w:t xml:space="preserve">forme justificado por medio de los </w:t>
      </w:r>
      <w:r w:rsidRPr="00485F10">
        <w:t>archivo</w:t>
      </w:r>
      <w:r w:rsidR="005639CA" w:rsidRPr="00485F10">
        <w:t>s</w:t>
      </w:r>
      <w:r w:rsidRPr="00485F10">
        <w:t xml:space="preserve"> electrónico</w:t>
      </w:r>
      <w:r w:rsidR="005639CA" w:rsidRPr="00485F10">
        <w:t>s</w:t>
      </w:r>
      <w:r w:rsidRPr="00485F10">
        <w:t xml:space="preserve"> </w:t>
      </w:r>
      <w:r w:rsidRPr="00485F10">
        <w:rPr>
          <w:i/>
          <w:szCs w:val="24"/>
        </w:rPr>
        <w:t>“</w:t>
      </w:r>
      <w:r w:rsidR="005639CA" w:rsidRPr="00485F10">
        <w:rPr>
          <w:rFonts w:cs="Arial"/>
          <w:b/>
          <w:bCs/>
          <w:i/>
          <w:szCs w:val="24"/>
        </w:rPr>
        <w:t>[</w:t>
      </w:r>
      <w:proofErr w:type="spellStart"/>
      <w:r w:rsidR="005639CA" w:rsidRPr="00485F10">
        <w:rPr>
          <w:rFonts w:cs="Arial"/>
          <w:b/>
          <w:bCs/>
          <w:i/>
          <w:szCs w:val="24"/>
        </w:rPr>
        <w:t>Untitled</w:t>
      </w:r>
      <w:proofErr w:type="spellEnd"/>
      <w:r w:rsidR="005639CA" w:rsidRPr="00485F10">
        <w:rPr>
          <w:rFonts w:cs="Arial"/>
          <w:b/>
          <w:bCs/>
          <w:i/>
          <w:szCs w:val="24"/>
        </w:rPr>
        <w:t>]_2025071611374390.pdf</w:t>
      </w:r>
      <w:r w:rsidRPr="00485F10">
        <w:rPr>
          <w:b/>
          <w:bCs/>
          <w:i/>
        </w:rPr>
        <w:t>”</w:t>
      </w:r>
      <w:r w:rsidRPr="00485F10">
        <w:rPr>
          <w:b/>
          <w:bCs/>
        </w:rPr>
        <w:t xml:space="preserve"> </w:t>
      </w:r>
      <w:r w:rsidR="005639CA" w:rsidRPr="00485F10">
        <w:rPr>
          <w:b/>
          <w:bCs/>
        </w:rPr>
        <w:t xml:space="preserve"> y “</w:t>
      </w:r>
      <w:r w:rsidR="005639CA" w:rsidRPr="00485F10">
        <w:rPr>
          <w:rFonts w:ascii="Arial" w:hAnsi="Arial" w:cs="Arial"/>
          <w:b/>
          <w:bCs/>
          <w:sz w:val="17"/>
          <w:szCs w:val="17"/>
        </w:rPr>
        <w:t>[</w:t>
      </w:r>
      <w:proofErr w:type="spellStart"/>
      <w:r w:rsidR="005639CA" w:rsidRPr="00485F10">
        <w:rPr>
          <w:rFonts w:cs="Arial"/>
          <w:b/>
          <w:bCs/>
          <w:i/>
          <w:szCs w:val="24"/>
        </w:rPr>
        <w:t>Untitled</w:t>
      </w:r>
      <w:proofErr w:type="spellEnd"/>
      <w:r w:rsidR="005639CA" w:rsidRPr="00485F10">
        <w:rPr>
          <w:rFonts w:cs="Arial"/>
          <w:b/>
          <w:bCs/>
          <w:i/>
          <w:szCs w:val="24"/>
        </w:rPr>
        <w:t>]_2025071616293783.pd</w:t>
      </w:r>
      <w:r w:rsidR="005639CA" w:rsidRPr="00485F10">
        <w:rPr>
          <w:i/>
          <w:szCs w:val="24"/>
        </w:rPr>
        <w:t>f”</w:t>
      </w:r>
      <w:r w:rsidR="00A40D42" w:rsidRPr="00485F10">
        <w:rPr>
          <w:szCs w:val="24"/>
        </w:rPr>
        <w:t xml:space="preserve">en los términos siguientes; </w:t>
      </w:r>
    </w:p>
    <w:p w14:paraId="2D8E1E74" w14:textId="77777777" w:rsidR="005639CA" w:rsidRPr="00485F10" w:rsidRDefault="005639CA" w:rsidP="00201D6C">
      <w:pPr>
        <w:pStyle w:val="Prrafodelista"/>
        <w:numPr>
          <w:ilvl w:val="0"/>
          <w:numId w:val="13"/>
        </w:numPr>
        <w:pBdr>
          <w:top w:val="nil"/>
          <w:left w:val="nil"/>
          <w:bottom w:val="nil"/>
          <w:right w:val="nil"/>
          <w:between w:val="nil"/>
        </w:pBdr>
        <w:rPr>
          <w:b/>
          <w:bCs/>
          <w:i/>
        </w:rPr>
      </w:pPr>
      <w:r w:rsidRPr="00485F10">
        <w:rPr>
          <w:rFonts w:cs="Arial"/>
          <w:b/>
          <w:bCs/>
          <w:i/>
          <w:szCs w:val="24"/>
        </w:rPr>
        <w:lastRenderedPageBreak/>
        <w:t>[</w:t>
      </w:r>
      <w:proofErr w:type="spellStart"/>
      <w:r w:rsidRPr="00485F10">
        <w:rPr>
          <w:rFonts w:cs="Arial"/>
          <w:b/>
          <w:bCs/>
          <w:i/>
          <w:szCs w:val="24"/>
        </w:rPr>
        <w:t>Untitled</w:t>
      </w:r>
      <w:proofErr w:type="spellEnd"/>
      <w:r w:rsidRPr="00485F10">
        <w:rPr>
          <w:rFonts w:cs="Arial"/>
          <w:b/>
          <w:bCs/>
          <w:i/>
          <w:szCs w:val="24"/>
        </w:rPr>
        <w:t xml:space="preserve">]_2025071611374390.pdf: </w:t>
      </w:r>
      <w:r w:rsidRPr="00485F10">
        <w:rPr>
          <w:rFonts w:cs="Arial"/>
          <w:bCs/>
          <w:szCs w:val="24"/>
        </w:rPr>
        <w:t xml:space="preserve">Soporte documental que consta de tres fojas en formato PDF por medio del cual el Tesorero Municipal ratifica su repuesta primigenia. </w:t>
      </w:r>
    </w:p>
    <w:p w14:paraId="03E52049" w14:textId="77777777" w:rsidR="005639CA" w:rsidRPr="00485F10" w:rsidRDefault="005639CA" w:rsidP="005639CA">
      <w:pPr>
        <w:pStyle w:val="Prrafodelista"/>
        <w:pBdr>
          <w:top w:val="nil"/>
          <w:left w:val="nil"/>
          <w:bottom w:val="nil"/>
          <w:right w:val="nil"/>
          <w:between w:val="nil"/>
        </w:pBdr>
        <w:rPr>
          <w:b/>
          <w:bCs/>
          <w:i/>
        </w:rPr>
      </w:pPr>
    </w:p>
    <w:p w14:paraId="766BB893" w14:textId="77777777" w:rsidR="00B67BB8" w:rsidRPr="00485F10" w:rsidRDefault="005639CA" w:rsidP="00B67BB8">
      <w:pPr>
        <w:pStyle w:val="Prrafodelista"/>
        <w:numPr>
          <w:ilvl w:val="0"/>
          <w:numId w:val="13"/>
        </w:numPr>
        <w:pBdr>
          <w:top w:val="nil"/>
          <w:left w:val="nil"/>
          <w:bottom w:val="nil"/>
          <w:right w:val="nil"/>
          <w:between w:val="nil"/>
        </w:pBdr>
        <w:rPr>
          <w:b/>
          <w:bCs/>
          <w:i/>
        </w:rPr>
      </w:pPr>
      <w:r w:rsidRPr="00485F10">
        <w:rPr>
          <w:b/>
          <w:bCs/>
        </w:rPr>
        <w:t xml:space="preserve"> </w:t>
      </w:r>
      <w:r w:rsidRPr="00485F10">
        <w:rPr>
          <w:rFonts w:ascii="Arial" w:hAnsi="Arial" w:cs="Arial"/>
          <w:b/>
          <w:bCs/>
          <w:sz w:val="17"/>
          <w:szCs w:val="17"/>
        </w:rPr>
        <w:t>[</w:t>
      </w:r>
      <w:proofErr w:type="spellStart"/>
      <w:r w:rsidRPr="00485F10">
        <w:rPr>
          <w:rFonts w:cs="Arial"/>
          <w:b/>
          <w:bCs/>
          <w:i/>
          <w:szCs w:val="24"/>
        </w:rPr>
        <w:t>Untitled</w:t>
      </w:r>
      <w:proofErr w:type="spellEnd"/>
      <w:r w:rsidRPr="00485F10">
        <w:rPr>
          <w:rFonts w:cs="Arial"/>
          <w:b/>
          <w:bCs/>
          <w:i/>
          <w:szCs w:val="24"/>
        </w:rPr>
        <w:t>]_2025071616293783.pd</w:t>
      </w:r>
      <w:r w:rsidRPr="00485F10">
        <w:rPr>
          <w:i/>
          <w:szCs w:val="24"/>
        </w:rPr>
        <w:t>f:</w:t>
      </w:r>
      <w:r w:rsidRPr="00485F10">
        <w:rPr>
          <w:b/>
          <w:bCs/>
          <w:i/>
        </w:rPr>
        <w:t xml:space="preserve"> </w:t>
      </w:r>
      <w:r w:rsidRPr="00485F10">
        <w:rPr>
          <w:bCs/>
        </w:rPr>
        <w:t xml:space="preserve">Soporte documental que consta de cuatro fojas en formato PDF </w:t>
      </w:r>
      <w:r w:rsidR="00B67BB8" w:rsidRPr="00485F10">
        <w:rPr>
          <w:bCs/>
        </w:rPr>
        <w:t xml:space="preserve">por medio del cual el Director de Administración ratifica su </w:t>
      </w:r>
      <w:r w:rsidR="00B67BB8" w:rsidRPr="00485F10">
        <w:rPr>
          <w:rFonts w:cs="Arial"/>
          <w:bCs/>
          <w:szCs w:val="24"/>
        </w:rPr>
        <w:t xml:space="preserve">repuesta primigenia. </w:t>
      </w:r>
    </w:p>
    <w:p w14:paraId="37E06077" w14:textId="77777777" w:rsidR="00201D6C" w:rsidRPr="00485F10" w:rsidRDefault="00201D6C" w:rsidP="00C1496B">
      <w:pPr>
        <w:pBdr>
          <w:top w:val="nil"/>
          <w:left w:val="nil"/>
          <w:bottom w:val="nil"/>
          <w:right w:val="nil"/>
          <w:between w:val="nil"/>
        </w:pBdr>
        <w:contextualSpacing/>
      </w:pPr>
    </w:p>
    <w:p w14:paraId="35E17BE4" w14:textId="77777777" w:rsidR="00201D6C" w:rsidRPr="00485F10" w:rsidRDefault="00201D6C" w:rsidP="00201D6C">
      <w:pPr>
        <w:rPr>
          <w:rFonts w:eastAsia="Times New Roman" w:cs="Times New Roman"/>
          <w:szCs w:val="24"/>
          <w:lang w:eastAsia="es-ES"/>
        </w:rPr>
      </w:pPr>
      <w:r w:rsidRPr="00485F10">
        <w:rPr>
          <w:rFonts w:cs="Arial"/>
          <w:szCs w:val="24"/>
        </w:rPr>
        <w:t xml:space="preserve">En este tenor, es necesario subrayar que </w:t>
      </w:r>
      <w:r w:rsidRPr="00485F10">
        <w:rPr>
          <w:rFonts w:eastAsia="Times New Roman" w:cs="Times New Roman"/>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265A9852" w14:textId="77777777" w:rsidR="00201D6C" w:rsidRPr="00485F10" w:rsidRDefault="00201D6C" w:rsidP="00201D6C">
      <w:pPr>
        <w:spacing w:before="240"/>
        <w:ind w:left="851" w:right="851"/>
        <w:rPr>
          <w:rFonts w:eastAsia="Times New Roman" w:cs="Times New Roman"/>
          <w:i/>
          <w:sz w:val="22"/>
          <w:lang w:eastAsia="es-ES"/>
        </w:rPr>
      </w:pPr>
      <w:r w:rsidRPr="00485F10">
        <w:rPr>
          <w:rFonts w:eastAsia="Times New Roman" w:cs="Times New Roman"/>
          <w:b/>
          <w:i/>
          <w:lang w:eastAsia="es-ES"/>
        </w:rPr>
        <w:t>“</w:t>
      </w:r>
      <w:r w:rsidRPr="00485F10">
        <w:rPr>
          <w:rFonts w:eastAsia="Times New Roman" w:cs="Times New Roman"/>
          <w:b/>
          <w:i/>
          <w:sz w:val="22"/>
          <w:lang w:eastAsia="es-ES"/>
        </w:rPr>
        <w:t>Artículo 4.</w:t>
      </w:r>
      <w:r w:rsidRPr="00485F10">
        <w:rPr>
          <w:rFonts w:eastAsia="Times New Roman" w:cs="Times New Roman"/>
          <w:i/>
          <w:sz w:val="22"/>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C9247FE" w14:textId="77777777" w:rsidR="00201D6C" w:rsidRPr="00485F10" w:rsidRDefault="00201D6C" w:rsidP="00201D6C">
      <w:pPr>
        <w:spacing w:before="240"/>
        <w:ind w:left="851" w:right="851"/>
        <w:rPr>
          <w:rFonts w:eastAsia="Times New Roman" w:cs="Times New Roman"/>
          <w:i/>
          <w:sz w:val="22"/>
          <w:lang w:eastAsia="es-ES"/>
        </w:rPr>
      </w:pPr>
      <w:r w:rsidRPr="00485F10">
        <w:rPr>
          <w:rFonts w:eastAsia="Times New Roman" w:cs="Times New Roman"/>
          <w:i/>
          <w:sz w:val="22"/>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2E0E30C" w14:textId="77777777" w:rsidR="00201D6C" w:rsidRPr="00485F10" w:rsidRDefault="00201D6C" w:rsidP="00201D6C">
      <w:pPr>
        <w:spacing w:before="240"/>
        <w:ind w:left="851" w:right="851"/>
        <w:rPr>
          <w:rFonts w:eastAsia="Times New Roman" w:cs="Times New Roman"/>
          <w:i/>
          <w:sz w:val="22"/>
          <w:lang w:eastAsia="es-ES"/>
        </w:rPr>
      </w:pPr>
      <w:r w:rsidRPr="00485F10">
        <w:rPr>
          <w:rFonts w:eastAsia="Times New Roman" w:cs="Times New Roman"/>
          <w:i/>
          <w:sz w:val="22"/>
          <w:lang w:eastAsia="es-ES"/>
        </w:rPr>
        <w:lastRenderedPageBreak/>
        <w:t>Los sujetos obligados deben poner en práctica, políticas y programas de acceso a la información que se apeguen a criterios de publicidad, veracidad, oportunidad, precisión y suficiencia en beneficio de los solicitantes.</w:t>
      </w:r>
    </w:p>
    <w:p w14:paraId="5872FBEE" w14:textId="77777777" w:rsidR="00201D6C" w:rsidRPr="00485F10" w:rsidRDefault="00201D6C" w:rsidP="00201D6C">
      <w:pPr>
        <w:spacing w:before="240"/>
        <w:ind w:left="851" w:right="851"/>
        <w:rPr>
          <w:rFonts w:eastAsia="Times New Roman" w:cs="Times New Roman"/>
          <w:i/>
          <w:sz w:val="22"/>
          <w:lang w:eastAsia="es-ES"/>
        </w:rPr>
      </w:pPr>
      <w:r w:rsidRPr="00485F10">
        <w:rPr>
          <w:rFonts w:eastAsia="Times New Roman" w:cs="Times New Roman"/>
          <w:b/>
          <w:i/>
          <w:sz w:val="22"/>
          <w:lang w:eastAsia="es-ES"/>
        </w:rPr>
        <w:t>Artículo 12.</w:t>
      </w:r>
      <w:r w:rsidRPr="00485F10">
        <w:rPr>
          <w:rFonts w:eastAsia="Times New Roman" w:cs="Times New Roman"/>
          <w:i/>
          <w:sz w:val="22"/>
          <w:lang w:eastAsia="es-ES"/>
        </w:rPr>
        <w:t xml:space="preserve"> Quienes generen, recopilen, administren, manejen, procesen, archiven o conserven información pública serán responsables de la misma en los términos de las disposiciones jurídicas aplicables.</w:t>
      </w:r>
    </w:p>
    <w:p w14:paraId="4E37B89F" w14:textId="77777777" w:rsidR="00201D6C" w:rsidRPr="00485F10" w:rsidRDefault="00201D6C" w:rsidP="00201D6C">
      <w:pPr>
        <w:spacing w:before="240"/>
        <w:ind w:left="851" w:right="851"/>
        <w:rPr>
          <w:rFonts w:eastAsia="Times New Roman" w:cs="Times New Roman"/>
          <w:i/>
          <w:sz w:val="22"/>
          <w:lang w:eastAsia="es-ES"/>
        </w:rPr>
      </w:pPr>
      <w:r w:rsidRPr="00485F10">
        <w:rPr>
          <w:rFonts w:eastAsia="Times New Roman" w:cs="Times New Roman"/>
          <w:i/>
          <w:sz w:val="22"/>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4AB27976" w14:textId="77777777" w:rsidR="00201D6C" w:rsidRPr="00485F10" w:rsidRDefault="00201D6C" w:rsidP="00201D6C">
      <w:pPr>
        <w:spacing w:before="240"/>
        <w:ind w:left="851" w:right="851"/>
        <w:rPr>
          <w:rFonts w:eastAsia="Times New Roman" w:cs="Times New Roman"/>
          <w:i/>
          <w:sz w:val="22"/>
          <w:lang w:eastAsia="es-ES"/>
        </w:rPr>
      </w:pPr>
      <w:r w:rsidRPr="00485F10">
        <w:rPr>
          <w:rFonts w:eastAsia="Times New Roman" w:cs="Times New Roman"/>
          <w:i/>
          <w:sz w:val="22"/>
          <w:lang w:eastAsia="es-ES"/>
        </w:rPr>
        <w:t>(…)</w:t>
      </w:r>
    </w:p>
    <w:p w14:paraId="3BEA8B92" w14:textId="77777777" w:rsidR="00201D6C" w:rsidRPr="00485F10" w:rsidRDefault="00201D6C" w:rsidP="00201D6C">
      <w:pPr>
        <w:spacing w:before="240"/>
        <w:ind w:left="851" w:right="851"/>
        <w:rPr>
          <w:rFonts w:eastAsia="Times New Roman" w:cs="Times New Roman"/>
          <w:b/>
          <w:i/>
          <w:sz w:val="22"/>
          <w:lang w:eastAsia="es-ES"/>
        </w:rPr>
      </w:pPr>
      <w:r w:rsidRPr="00485F10">
        <w:rPr>
          <w:rFonts w:eastAsia="Times New Roman" w:cs="Times New Roman"/>
          <w:b/>
          <w:i/>
          <w:sz w:val="22"/>
          <w:lang w:eastAsia="es-ES"/>
        </w:rPr>
        <w:t xml:space="preserve">Artículo 24. </w:t>
      </w:r>
    </w:p>
    <w:p w14:paraId="2FF92280" w14:textId="77777777" w:rsidR="00201D6C" w:rsidRPr="00485F10" w:rsidRDefault="00201D6C" w:rsidP="00201D6C">
      <w:pPr>
        <w:spacing w:before="240"/>
        <w:ind w:left="851" w:right="851"/>
        <w:rPr>
          <w:rFonts w:eastAsia="Times New Roman" w:cs="Times New Roman"/>
          <w:i/>
          <w:sz w:val="22"/>
          <w:lang w:eastAsia="es-ES"/>
        </w:rPr>
      </w:pPr>
      <w:r w:rsidRPr="00485F10">
        <w:rPr>
          <w:rFonts w:eastAsia="Times New Roman" w:cs="Times New Roman"/>
          <w:i/>
          <w:sz w:val="22"/>
          <w:lang w:eastAsia="es-ES"/>
        </w:rPr>
        <w:t>(…)</w:t>
      </w:r>
    </w:p>
    <w:p w14:paraId="03AD66C4" w14:textId="77777777" w:rsidR="00201D6C" w:rsidRPr="00485F10" w:rsidRDefault="00201D6C" w:rsidP="00201D6C">
      <w:pPr>
        <w:spacing w:before="240"/>
        <w:ind w:left="851" w:right="851"/>
        <w:rPr>
          <w:rFonts w:eastAsia="Times New Roman" w:cs="Times New Roman"/>
          <w:i/>
          <w:sz w:val="22"/>
          <w:lang w:eastAsia="es-ES"/>
        </w:rPr>
      </w:pPr>
      <w:r w:rsidRPr="00485F10">
        <w:rPr>
          <w:rFonts w:eastAsia="Times New Roman" w:cs="Times New Roman"/>
          <w:i/>
          <w:sz w:val="22"/>
          <w:lang w:eastAsia="es-ES"/>
        </w:rPr>
        <w:t>Los sujetos obligados solo proporcionarán la información pública que generen, administren o posean en el ejercicio de sus atribuciones.”</w:t>
      </w:r>
    </w:p>
    <w:p w14:paraId="2E4C0DA6" w14:textId="77777777" w:rsidR="00201D6C" w:rsidRPr="00485F10" w:rsidRDefault="00201D6C" w:rsidP="00201D6C">
      <w:pPr>
        <w:spacing w:before="240"/>
        <w:ind w:left="851" w:right="851"/>
        <w:rPr>
          <w:rFonts w:eastAsia="Times New Roman" w:cs="Times New Roman"/>
          <w:i/>
          <w:sz w:val="22"/>
          <w:lang w:eastAsia="es-ES"/>
        </w:rPr>
      </w:pPr>
      <w:r w:rsidRPr="00485F10">
        <w:rPr>
          <w:rFonts w:eastAsia="Times New Roman" w:cs="Times New Roman"/>
          <w:i/>
          <w:sz w:val="22"/>
          <w:lang w:eastAsia="es-ES"/>
        </w:rPr>
        <w:t>(…)</w:t>
      </w:r>
    </w:p>
    <w:p w14:paraId="36B465BC" w14:textId="77777777" w:rsidR="00201D6C" w:rsidRPr="00485F10" w:rsidRDefault="00201D6C" w:rsidP="00201D6C">
      <w:pPr>
        <w:spacing w:before="240"/>
        <w:ind w:left="851" w:right="851"/>
        <w:rPr>
          <w:rFonts w:eastAsia="Times New Roman" w:cs="Times New Roman"/>
          <w:i/>
          <w:sz w:val="22"/>
          <w:lang w:eastAsia="es-ES"/>
        </w:rPr>
      </w:pPr>
      <w:r w:rsidRPr="00485F10">
        <w:rPr>
          <w:rFonts w:eastAsia="Times New Roman" w:cs="Times New Roman"/>
          <w:b/>
          <w:i/>
          <w:sz w:val="22"/>
          <w:lang w:eastAsia="es-ES"/>
        </w:rPr>
        <w:t>Artículo 160.</w:t>
      </w:r>
      <w:r w:rsidRPr="00485F10">
        <w:rPr>
          <w:rFonts w:eastAsia="Times New Roman" w:cs="Times New Roman"/>
          <w:i/>
          <w:sz w:val="22"/>
          <w:lang w:eastAsia="es-ES"/>
        </w:rPr>
        <w:t xml:space="preserve"> Los sujetos obligados deberán otorgar acceso a los documentos que se </w:t>
      </w:r>
      <w:r w:rsidRPr="00485F10">
        <w:rPr>
          <w:rFonts w:eastAsia="Times New Roman" w:cs="Times New Roman"/>
          <w:b/>
          <w:i/>
          <w:sz w:val="22"/>
          <w:lang w:eastAsia="es-ES"/>
        </w:rPr>
        <w:t xml:space="preserve"> </w:t>
      </w:r>
      <w:r w:rsidRPr="00485F10">
        <w:rPr>
          <w:rFonts w:eastAsia="Times New Roman" w:cs="Times New Roman"/>
          <w:i/>
          <w:sz w:val="22"/>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41AF9B43" w14:textId="77777777" w:rsidR="00201D6C" w:rsidRPr="00485F10" w:rsidRDefault="00201D6C" w:rsidP="00201D6C">
      <w:pPr>
        <w:spacing w:before="240"/>
        <w:ind w:left="851" w:right="851"/>
        <w:rPr>
          <w:rFonts w:eastAsia="Times New Roman" w:cs="Times New Roman"/>
          <w:b/>
          <w:i/>
          <w:sz w:val="22"/>
          <w:lang w:eastAsia="es-ES"/>
        </w:rPr>
      </w:pPr>
      <w:r w:rsidRPr="00485F10">
        <w:rPr>
          <w:rFonts w:eastAsia="Times New Roman" w:cs="Times New Roman"/>
          <w:i/>
          <w:sz w:val="22"/>
          <w:lang w:eastAsia="es-ES"/>
        </w:rPr>
        <w:lastRenderedPageBreak/>
        <w:t>En caso que la información solicitada consista en bases de datos se deberá privilegiar la entrega de la misma en formatos abiertos.”</w:t>
      </w:r>
      <w:r w:rsidRPr="00485F10">
        <w:rPr>
          <w:rFonts w:eastAsia="Times New Roman" w:cs="Times New Roman"/>
          <w:b/>
          <w:i/>
          <w:sz w:val="22"/>
          <w:lang w:eastAsia="es-ES"/>
        </w:rPr>
        <w:t>[Sic]</w:t>
      </w:r>
    </w:p>
    <w:p w14:paraId="08E43B80" w14:textId="77777777" w:rsidR="00201D6C" w:rsidRPr="00485F10" w:rsidRDefault="00201D6C" w:rsidP="00201D6C">
      <w:pPr>
        <w:rPr>
          <w:rFonts w:eastAsia="Times New Roman" w:cs="Times New Roman"/>
          <w:szCs w:val="24"/>
          <w:lang w:eastAsia="es-ES"/>
        </w:rPr>
      </w:pPr>
    </w:p>
    <w:p w14:paraId="36CB4F07" w14:textId="77777777" w:rsidR="00201D6C" w:rsidRPr="00485F10" w:rsidRDefault="00201D6C" w:rsidP="00201D6C">
      <w:pPr>
        <w:rPr>
          <w:rFonts w:eastAsia="Times New Roman" w:cs="Times New Roman"/>
          <w:szCs w:val="24"/>
          <w:lang w:eastAsia="es-ES"/>
        </w:rPr>
      </w:pPr>
      <w:r w:rsidRPr="00485F10">
        <w:rPr>
          <w:rFonts w:eastAsia="Times New Roman" w:cs="Times New Roman"/>
          <w:szCs w:val="24"/>
          <w:lang w:eastAsia="es-ES"/>
        </w:rPr>
        <w:t xml:space="preserve">Así que la obligación de los </w:t>
      </w:r>
      <w:r w:rsidRPr="00485F10">
        <w:rPr>
          <w:rFonts w:eastAsia="Times New Roman" w:cs="Times New Roman"/>
          <w:b/>
          <w:szCs w:val="24"/>
          <w:lang w:eastAsia="es-ES"/>
        </w:rPr>
        <w:t>Sujetos Obligados</w:t>
      </w:r>
      <w:r w:rsidRPr="00485F10">
        <w:rPr>
          <w:rFonts w:eastAsia="Times New Roman" w:cs="Times New Roman"/>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485F10">
        <w:rPr>
          <w:rFonts w:eastAsia="Times New Roman" w:cs="Times New Roman"/>
          <w:bCs/>
          <w:szCs w:val="24"/>
          <w:lang w:eastAsia="es-ES"/>
        </w:rPr>
        <w:t>de la Ley local en la materia, que se reproduce de la siguiente forma</w:t>
      </w:r>
      <w:r w:rsidRPr="00485F10">
        <w:rPr>
          <w:rFonts w:eastAsia="Times New Roman" w:cs="Times New Roman"/>
          <w:szCs w:val="24"/>
          <w:lang w:eastAsia="es-ES"/>
        </w:rPr>
        <w:t>:</w:t>
      </w:r>
    </w:p>
    <w:p w14:paraId="30A39BDB" w14:textId="77777777" w:rsidR="00201D6C" w:rsidRPr="00485F10" w:rsidRDefault="00201D6C" w:rsidP="00201D6C">
      <w:pPr>
        <w:spacing w:before="240"/>
        <w:ind w:left="851" w:right="851"/>
        <w:rPr>
          <w:rFonts w:eastAsia="Times New Roman" w:cs="Arial"/>
          <w:b/>
          <w:i/>
          <w:sz w:val="22"/>
          <w:lang w:eastAsia="es-ES"/>
        </w:rPr>
      </w:pPr>
      <w:r w:rsidRPr="00485F10">
        <w:rPr>
          <w:rFonts w:eastAsia="Times New Roman" w:cs="Arial"/>
          <w:i/>
          <w:sz w:val="22"/>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485F10">
        <w:rPr>
          <w:rFonts w:eastAsia="Times New Roman" w:cs="Arial"/>
          <w:b/>
          <w:i/>
          <w:sz w:val="22"/>
          <w:lang w:eastAsia="es-ES"/>
        </w:rPr>
        <w:t>[Sic]</w:t>
      </w:r>
    </w:p>
    <w:p w14:paraId="0F9EF202" w14:textId="77777777" w:rsidR="00201D6C" w:rsidRPr="00485F10" w:rsidRDefault="00201D6C" w:rsidP="00201D6C">
      <w:pPr>
        <w:pBdr>
          <w:top w:val="nil"/>
          <w:left w:val="nil"/>
          <w:bottom w:val="nil"/>
          <w:right w:val="nil"/>
          <w:between w:val="nil"/>
        </w:pBdr>
        <w:contextualSpacing/>
      </w:pPr>
    </w:p>
    <w:p w14:paraId="74535F91" w14:textId="7EEBCD94" w:rsidR="001B53A5" w:rsidRPr="00485F10" w:rsidRDefault="00201D6C" w:rsidP="001B53A5">
      <w:pPr>
        <w:pBdr>
          <w:top w:val="nil"/>
          <w:left w:val="nil"/>
          <w:bottom w:val="nil"/>
          <w:right w:val="nil"/>
          <w:between w:val="nil"/>
        </w:pBdr>
        <w:contextualSpacing/>
        <w:rPr>
          <w:szCs w:val="24"/>
        </w:rPr>
      </w:pPr>
      <w:r w:rsidRPr="00485F10">
        <w:t xml:space="preserve">Por lo que, se debe traer a efecto de establecer si la respuesta brindada por el Sujeto Obligado colma el derecho al acceso a la información del Recurrente se debe de traer a colación </w:t>
      </w:r>
      <w:r w:rsidR="001B53A5" w:rsidRPr="00485F10">
        <w:t xml:space="preserve">el artículo 56 del Bando Municipal vigente del Sujeto Obligado así como el artículo 49 del Reglamento Orgánico de la administración Pública Municipal de </w:t>
      </w:r>
      <w:proofErr w:type="spellStart"/>
      <w:r w:rsidR="001B53A5" w:rsidRPr="00485F10">
        <w:t>Atizapan</w:t>
      </w:r>
      <w:proofErr w:type="spellEnd"/>
      <w:r w:rsidR="001B53A5" w:rsidRPr="00485F10">
        <w:t xml:space="preserve"> de Zaragoza a efecto de advertir que le corresponde a la Dirección de Administración el </w:t>
      </w:r>
      <w:r w:rsidR="001B53A5" w:rsidRPr="00485F10">
        <w:rPr>
          <w:szCs w:val="24"/>
        </w:rPr>
        <w:t xml:space="preserve">control y aprovechamiento eficiente de los recursos humanos por lo que a efecto de cumplir con las atribuciones se auxilia de diversos departamentos entre los cuales se encuentra el Departamento de Nóminas y Pagos, por lo que </w:t>
      </w:r>
      <w:r w:rsidR="00EB24BC" w:rsidRPr="00485F10">
        <w:rPr>
          <w:szCs w:val="24"/>
        </w:rPr>
        <w:t xml:space="preserve">es la unidad administrativa que podría generar, poseer o administrar la información en comento, conforme lo siguiente; </w:t>
      </w:r>
    </w:p>
    <w:p w14:paraId="1CA601AB" w14:textId="30815F3F" w:rsidR="00B67BB8" w:rsidRPr="00485F10" w:rsidRDefault="001B53A5" w:rsidP="001B53A5">
      <w:pPr>
        <w:pBdr>
          <w:top w:val="nil"/>
          <w:left w:val="nil"/>
          <w:bottom w:val="nil"/>
          <w:right w:val="nil"/>
          <w:between w:val="nil"/>
        </w:pBdr>
        <w:ind w:left="708"/>
        <w:contextualSpacing/>
        <w:rPr>
          <w:i/>
          <w:sz w:val="22"/>
        </w:rPr>
      </w:pPr>
      <w:r w:rsidRPr="00485F10">
        <w:rPr>
          <w:b/>
          <w:i/>
          <w:sz w:val="22"/>
        </w:rPr>
        <w:t>ARTÍCULO 56.-</w:t>
      </w:r>
      <w:r w:rsidRPr="00485F10">
        <w:rPr>
          <w:i/>
          <w:sz w:val="22"/>
        </w:rPr>
        <w:t xml:space="preserve"> A la Dirección de Administración, le corresponde planear, establecer y difundir entre las Dependencias de la Administración Pública Municipal, las políticas, procedimientos y </w:t>
      </w:r>
      <w:r w:rsidRPr="00485F10">
        <w:rPr>
          <w:i/>
          <w:sz w:val="22"/>
        </w:rPr>
        <w:lastRenderedPageBreak/>
        <w:t>estrategias necesarias para la adquisición, contratación, organización, control y aprovechamiento eficiente de los recursos humanos, materiales, tecnológicos y de servicios generales que se proporcionan a las Dependencias y Unidades Administrativas de todas las adscripciones, para satisfacer las necesidades generales que constituyen el objeto de los servicios y la función pública.</w:t>
      </w:r>
    </w:p>
    <w:p w14:paraId="279AC940" w14:textId="77777777" w:rsidR="00B67BB8" w:rsidRPr="00485F10" w:rsidRDefault="00B67BB8" w:rsidP="00B67BB8">
      <w:pPr>
        <w:pBdr>
          <w:top w:val="nil"/>
          <w:left w:val="nil"/>
          <w:bottom w:val="nil"/>
          <w:right w:val="nil"/>
          <w:between w:val="nil"/>
        </w:pBdr>
        <w:contextualSpacing/>
        <w:rPr>
          <w:b/>
        </w:rPr>
      </w:pPr>
    </w:p>
    <w:p w14:paraId="59302101" w14:textId="77777777" w:rsidR="001B53A5" w:rsidRPr="00485F10" w:rsidRDefault="00B67BB8" w:rsidP="001B53A5">
      <w:pPr>
        <w:pBdr>
          <w:top w:val="nil"/>
          <w:left w:val="nil"/>
          <w:bottom w:val="nil"/>
          <w:right w:val="nil"/>
          <w:between w:val="nil"/>
        </w:pBdr>
        <w:ind w:left="708"/>
        <w:contextualSpacing/>
        <w:rPr>
          <w:i/>
          <w:sz w:val="22"/>
        </w:rPr>
      </w:pPr>
      <w:r w:rsidRPr="00485F10">
        <w:rPr>
          <w:b/>
          <w:i/>
          <w:sz w:val="22"/>
        </w:rPr>
        <w:t>ARTÍCULO 49.</w:t>
      </w:r>
      <w:r w:rsidRPr="00485F10">
        <w:rPr>
          <w:i/>
          <w:sz w:val="22"/>
        </w:rPr>
        <w:t xml:space="preserve"> - Para el estudio, planeación y despacho de los asuntos de su competencia la Dirección de Administración, se integrará de la siguiente manera:</w:t>
      </w:r>
    </w:p>
    <w:p w14:paraId="45B27947" w14:textId="7135E3FD" w:rsidR="001B53A5" w:rsidRPr="00485F10" w:rsidRDefault="00B67BB8" w:rsidP="001B53A5">
      <w:pPr>
        <w:pBdr>
          <w:top w:val="nil"/>
          <w:left w:val="nil"/>
          <w:bottom w:val="nil"/>
          <w:right w:val="nil"/>
          <w:between w:val="nil"/>
        </w:pBdr>
        <w:ind w:left="708"/>
        <w:contextualSpacing/>
        <w:rPr>
          <w:i/>
          <w:sz w:val="22"/>
        </w:rPr>
      </w:pPr>
      <w:r w:rsidRPr="00485F10">
        <w:rPr>
          <w:i/>
          <w:sz w:val="22"/>
        </w:rPr>
        <w:t xml:space="preserve"> </w:t>
      </w:r>
      <w:r w:rsidR="001B53A5" w:rsidRPr="00485F10">
        <w:rPr>
          <w:i/>
          <w:sz w:val="22"/>
        </w:rPr>
        <w:t>….</w:t>
      </w:r>
    </w:p>
    <w:p w14:paraId="2FE002FC" w14:textId="77777777" w:rsidR="001B53A5" w:rsidRPr="00485F10" w:rsidRDefault="00B67BB8" w:rsidP="001B53A5">
      <w:pPr>
        <w:pBdr>
          <w:top w:val="nil"/>
          <w:left w:val="nil"/>
          <w:bottom w:val="nil"/>
          <w:right w:val="nil"/>
          <w:between w:val="nil"/>
        </w:pBdr>
        <w:ind w:left="708"/>
        <w:contextualSpacing/>
        <w:rPr>
          <w:i/>
          <w:sz w:val="22"/>
        </w:rPr>
      </w:pPr>
      <w:r w:rsidRPr="00485F10">
        <w:rPr>
          <w:i/>
          <w:sz w:val="22"/>
        </w:rPr>
        <w:t xml:space="preserve">III. Subdirección de Recursos Humanos </w:t>
      </w:r>
    </w:p>
    <w:p w14:paraId="75E345BD" w14:textId="77777777" w:rsidR="001B53A5" w:rsidRPr="00485F10" w:rsidRDefault="00B67BB8" w:rsidP="001B53A5">
      <w:pPr>
        <w:pBdr>
          <w:top w:val="nil"/>
          <w:left w:val="nil"/>
          <w:bottom w:val="nil"/>
          <w:right w:val="nil"/>
          <w:between w:val="nil"/>
        </w:pBdr>
        <w:ind w:left="708"/>
        <w:contextualSpacing/>
        <w:rPr>
          <w:i/>
          <w:sz w:val="22"/>
          <w:u w:val="single"/>
        </w:rPr>
      </w:pPr>
      <w:r w:rsidRPr="00485F10">
        <w:rPr>
          <w:i/>
          <w:sz w:val="22"/>
          <w:u w:val="single"/>
        </w:rPr>
        <w:t>III.I Departamento de Nóminas y Pagos</w:t>
      </w:r>
    </w:p>
    <w:p w14:paraId="6D40C3BD" w14:textId="77777777" w:rsidR="001B53A5" w:rsidRPr="00485F10" w:rsidRDefault="00B67BB8" w:rsidP="001B53A5">
      <w:pPr>
        <w:pBdr>
          <w:top w:val="nil"/>
          <w:left w:val="nil"/>
          <w:bottom w:val="nil"/>
          <w:right w:val="nil"/>
          <w:between w:val="nil"/>
        </w:pBdr>
        <w:ind w:left="708"/>
        <w:contextualSpacing/>
        <w:rPr>
          <w:i/>
          <w:sz w:val="22"/>
        </w:rPr>
      </w:pPr>
      <w:r w:rsidRPr="00485F10">
        <w:rPr>
          <w:i/>
          <w:sz w:val="22"/>
        </w:rPr>
        <w:t xml:space="preserve"> III.II Departamento de Relaciones Laborales </w:t>
      </w:r>
    </w:p>
    <w:p w14:paraId="3FC308C1" w14:textId="77777777" w:rsidR="00201D6C" w:rsidRPr="00485F10" w:rsidRDefault="00201D6C" w:rsidP="00201D6C">
      <w:pPr>
        <w:contextualSpacing/>
        <w:rPr>
          <w:b/>
          <w:i/>
          <w:sz w:val="22"/>
        </w:rPr>
      </w:pPr>
    </w:p>
    <w:p w14:paraId="1065FA37" w14:textId="35E452D1" w:rsidR="00EB24BC" w:rsidRPr="00485F10" w:rsidRDefault="00EB24BC" w:rsidP="00201D6C">
      <w:pPr>
        <w:contextualSpacing/>
      </w:pPr>
      <w:r w:rsidRPr="00485F10">
        <w:rPr>
          <w:szCs w:val="24"/>
        </w:rPr>
        <w:t xml:space="preserve">En ese contexto </w:t>
      </w:r>
      <w:r w:rsidRPr="00485F10">
        <w:t>el artículo 53 del Bando Municipal vigente del Sujeto Obligado a efecto de advertir que le corresponde a la Tesorería</w:t>
      </w:r>
      <w:r w:rsidR="00C17E69" w:rsidRPr="00485F10">
        <w:t xml:space="preserve"> </w:t>
      </w:r>
      <w:r w:rsidR="00C17E69" w:rsidRPr="00485F10">
        <w:rPr>
          <w:szCs w:val="24"/>
        </w:rPr>
        <w:t xml:space="preserve">establecer políticas de administración de las finanzas públicas, garantizando equilibrio, disciplina </w:t>
      </w:r>
      <w:r w:rsidR="00E816F0" w:rsidRPr="00485F10">
        <w:rPr>
          <w:szCs w:val="24"/>
        </w:rPr>
        <w:t>presupuestaria,</w:t>
      </w:r>
      <w:r w:rsidR="00C17E69" w:rsidRPr="00485F10">
        <w:rPr>
          <w:szCs w:val="24"/>
        </w:rPr>
        <w:t xml:space="preserve"> así como capacidad administrativa</w:t>
      </w:r>
      <w:r w:rsidRPr="00485F10">
        <w:rPr>
          <w:szCs w:val="24"/>
        </w:rPr>
        <w:t>, conforme lo siguiente;</w:t>
      </w:r>
    </w:p>
    <w:p w14:paraId="3B30A3CF" w14:textId="1125C56B" w:rsidR="00EB24BC" w:rsidRPr="00485F10" w:rsidRDefault="00EB24BC" w:rsidP="00C17E69">
      <w:pPr>
        <w:ind w:left="708"/>
        <w:contextualSpacing/>
        <w:rPr>
          <w:i/>
          <w:sz w:val="22"/>
        </w:rPr>
      </w:pPr>
      <w:r w:rsidRPr="00485F10">
        <w:rPr>
          <w:b/>
          <w:i/>
          <w:sz w:val="22"/>
        </w:rPr>
        <w:t>ARTÍCULO 53.-</w:t>
      </w:r>
      <w:r w:rsidRPr="00485F10">
        <w:rPr>
          <w:i/>
          <w:sz w:val="22"/>
        </w:rPr>
        <w:t xml:space="preserve"> La Tesorería Municipal, en términos de la Ley Orgánica Municipal del Estado de México, es la Dependencia encargada de la Administración de la Hacienda Pública Municipal, de conformidad con las disposiciones legales aplicables, que le facultan para establecer políticas de administración de las finanzas públicas, garantizando equilibrio, disciplina presupuestaria así como capacidad administrativa, necesaria para asegurar la viabilidad financiera que permita la consolidación de los planes, programas y proyectos de la Administración Municipal.</w:t>
      </w:r>
    </w:p>
    <w:p w14:paraId="4018BF0C" w14:textId="77777777" w:rsidR="00EB24BC" w:rsidRPr="00485F10" w:rsidRDefault="00EB24BC" w:rsidP="00201D6C">
      <w:pPr>
        <w:contextualSpacing/>
        <w:rPr>
          <w:bCs/>
          <w:iCs/>
          <w:szCs w:val="24"/>
          <w:lang w:val="es-ES"/>
        </w:rPr>
      </w:pPr>
    </w:p>
    <w:p w14:paraId="3833A663" w14:textId="77777777" w:rsidR="00201D6C" w:rsidRPr="00485F10" w:rsidRDefault="00201D6C" w:rsidP="00201D6C">
      <w:pPr>
        <w:contextualSpacing/>
        <w:rPr>
          <w:b/>
          <w:bCs/>
          <w:iCs/>
          <w:szCs w:val="24"/>
          <w:lang w:val="es-ES"/>
        </w:rPr>
      </w:pPr>
      <w:r w:rsidRPr="00485F10">
        <w:rPr>
          <w:bCs/>
          <w:iCs/>
          <w:szCs w:val="24"/>
          <w:lang w:val="es-ES"/>
        </w:rPr>
        <w:t xml:space="preserve">En este contexto, el Anexo IV.2 Clasificación por objeto del gasto, del Manual para la Planeación, Programación y Presupuesto de Egresos Municipal, establece que los </w:t>
      </w:r>
      <w:r w:rsidRPr="00485F10">
        <w:rPr>
          <w:bCs/>
          <w:iCs/>
          <w:szCs w:val="24"/>
          <w:lang w:val="es-ES"/>
        </w:rPr>
        <w:lastRenderedPageBreak/>
        <w:t xml:space="preserve">Presupuestos de Egresos Municipales, se tendrán que generar, conforme al “Clasificador por Objeto del Gasto”, el cual se conforma de diversos capítulos, entre los cuales, se encuentra el </w:t>
      </w:r>
      <w:r w:rsidRPr="00485F10">
        <w:rPr>
          <w:b/>
          <w:bCs/>
          <w:iCs/>
          <w:szCs w:val="24"/>
          <w:lang w:val="es-ES"/>
        </w:rPr>
        <w:t>1000 Servicios Personales</w:t>
      </w:r>
      <w:r w:rsidRPr="00485F10">
        <w:rPr>
          <w:bCs/>
          <w:iCs/>
          <w:szCs w:val="24"/>
          <w:lang w:val="es-ES"/>
        </w:rPr>
        <w:t>,</w:t>
      </w:r>
      <w:r w:rsidRPr="00485F10">
        <w:rPr>
          <w:b/>
          <w:bCs/>
          <w:iCs/>
          <w:szCs w:val="24"/>
          <w:lang w:val="es-ES"/>
        </w:rPr>
        <w:t xml:space="preserve"> que agrupa las remuneraciones del personal al servicio de los entes públicos, tales como el sueldo, salarios, dietas, honorarios, prestaciones, obligaciones laborales, entre otras.</w:t>
      </w:r>
    </w:p>
    <w:p w14:paraId="3082E860" w14:textId="77777777" w:rsidR="00201D6C" w:rsidRPr="00485F10" w:rsidRDefault="00201D6C" w:rsidP="00201D6C">
      <w:pPr>
        <w:contextualSpacing/>
        <w:rPr>
          <w:bCs/>
          <w:szCs w:val="24"/>
          <w:lang w:val="es-ES"/>
        </w:rPr>
      </w:pPr>
    </w:p>
    <w:p w14:paraId="5BCA32F2" w14:textId="77777777" w:rsidR="00424EC4" w:rsidRPr="00485F10" w:rsidRDefault="00201D6C" w:rsidP="00201D6C">
      <w:pPr>
        <w:contextualSpacing/>
        <w:rPr>
          <w:rFonts w:eastAsia="Times New Roman"/>
          <w:bCs/>
          <w:szCs w:val="24"/>
        </w:rPr>
      </w:pPr>
      <w:r w:rsidRPr="00485F10">
        <w:rPr>
          <w:rFonts w:eastAsia="Times New Roman" w:cs="Tahoma"/>
          <w:bCs/>
          <w:szCs w:val="24"/>
        </w:rPr>
        <w:t xml:space="preserve">En ese orden de ideas, </w:t>
      </w:r>
      <w:r w:rsidRPr="00485F10">
        <w:rPr>
          <w:bCs/>
          <w:szCs w:val="24"/>
        </w:rPr>
        <w:t>Lineamientos para la Integración y Entrega del Informe Trimestral Municipal, dos mil veintitrés, emitidos por el Órgano Superior de Fiscalización del Estado de México,</w:t>
      </w:r>
      <w:r w:rsidRPr="00485F10">
        <w:rPr>
          <w:rFonts w:eastAsia="Times New Roman" w:cs="Tahoma"/>
          <w:bCs/>
          <w:szCs w:val="24"/>
        </w:rPr>
        <w:t xml:space="preserve"> </w:t>
      </w:r>
      <w:r w:rsidRPr="00485F10">
        <w:rPr>
          <w:bCs/>
          <w:szCs w:val="24"/>
        </w:rPr>
        <w:t xml:space="preserve">entre los formatos que maneja en el </w:t>
      </w:r>
      <w:r w:rsidRPr="00485F10">
        <w:rPr>
          <w:b/>
          <w:bCs/>
          <w:szCs w:val="24"/>
        </w:rPr>
        <w:t>Módulo 4</w:t>
      </w:r>
      <w:r w:rsidRPr="00485F10">
        <w:rPr>
          <w:bCs/>
          <w:szCs w:val="24"/>
        </w:rPr>
        <w:t xml:space="preserve">, se advierte que se encuentran la Nómina detallada, reporte de remuneraciones, </w:t>
      </w:r>
      <w:r w:rsidRPr="00485F10">
        <w:rPr>
          <w:b/>
          <w:bCs/>
          <w:szCs w:val="24"/>
        </w:rPr>
        <w:t>conciliación de nómina</w:t>
      </w:r>
      <w:r w:rsidRPr="00485F10">
        <w:rPr>
          <w:bCs/>
          <w:szCs w:val="24"/>
        </w:rPr>
        <w:t xml:space="preserve">, tabulador de sueldos, </w:t>
      </w:r>
      <w:r w:rsidRPr="00485F10">
        <w:rPr>
          <w:rFonts w:eastAsia="Times New Roman"/>
          <w:bCs/>
          <w:szCs w:val="24"/>
        </w:rPr>
        <w:t xml:space="preserve">mismos que serán entregados a la autoridad fiscalizadora y que contienen todas las remuneraciones que recibe cada servidor público. </w:t>
      </w:r>
    </w:p>
    <w:p w14:paraId="103A8E12" w14:textId="77777777" w:rsidR="00424EC4" w:rsidRPr="00485F10" w:rsidRDefault="00424EC4" w:rsidP="00201D6C">
      <w:pPr>
        <w:contextualSpacing/>
        <w:rPr>
          <w:rFonts w:eastAsia="Times New Roman"/>
          <w:bCs/>
          <w:szCs w:val="24"/>
        </w:rPr>
      </w:pPr>
    </w:p>
    <w:p w14:paraId="06E0C481" w14:textId="77777777" w:rsidR="00424EC4" w:rsidRPr="00485F10" w:rsidRDefault="00424EC4" w:rsidP="00201D6C">
      <w:pPr>
        <w:contextualSpacing/>
      </w:pPr>
      <w:r w:rsidRPr="00485F10">
        <w:t xml:space="preserve">La “Conciliación de Nómina” se debe presentar en los formatos XLSX y TXT considerando las siguientes especificaciones: </w:t>
      </w:r>
    </w:p>
    <w:p w14:paraId="48F85457" w14:textId="77777777" w:rsidR="00424EC4" w:rsidRPr="00485F10" w:rsidRDefault="00424EC4" w:rsidP="00424EC4">
      <w:pPr>
        <w:ind w:left="426"/>
        <w:contextualSpacing/>
        <w:rPr>
          <w:i/>
        </w:rPr>
      </w:pPr>
      <w:r w:rsidRPr="00485F10">
        <w:rPr>
          <w:b/>
          <w:i/>
        </w:rPr>
        <w:t>1. Número Consecutivo</w:t>
      </w:r>
      <w:r w:rsidRPr="00485F10">
        <w:rPr>
          <w:i/>
        </w:rPr>
        <w:t>: Anotar el número asignado consecutivamente del número de servidores públicos que laboran en el Ente Público.</w:t>
      </w:r>
    </w:p>
    <w:p w14:paraId="17499CB2" w14:textId="77777777" w:rsidR="00424EC4" w:rsidRPr="00485F10" w:rsidRDefault="00424EC4" w:rsidP="00424EC4">
      <w:pPr>
        <w:ind w:left="426"/>
        <w:contextualSpacing/>
        <w:rPr>
          <w:i/>
        </w:rPr>
      </w:pPr>
      <w:r w:rsidRPr="00485F10">
        <w:rPr>
          <w:b/>
          <w:i/>
        </w:rPr>
        <w:t xml:space="preserve"> 2. Número de Quincena:</w:t>
      </w:r>
      <w:r w:rsidRPr="00485F10">
        <w:rPr>
          <w:i/>
        </w:rPr>
        <w:t xml:space="preserve"> Anotar la quincena del periodo de pago que se realiza a los servidores públicos en el mes. </w:t>
      </w:r>
    </w:p>
    <w:p w14:paraId="546CA033" w14:textId="77777777" w:rsidR="00424EC4" w:rsidRPr="00485F10" w:rsidRDefault="00424EC4" w:rsidP="00424EC4">
      <w:pPr>
        <w:ind w:left="426"/>
        <w:contextualSpacing/>
        <w:rPr>
          <w:i/>
        </w:rPr>
      </w:pPr>
      <w:r w:rsidRPr="00485F10">
        <w:rPr>
          <w:b/>
          <w:i/>
        </w:rPr>
        <w:t>3. Número de Empleado</w:t>
      </w:r>
      <w:r w:rsidRPr="00485F10">
        <w:rPr>
          <w:i/>
        </w:rPr>
        <w:t>: Anotar el número identificador del servidor que asigna el Ente Público al inicio de su relación laboral.</w:t>
      </w:r>
    </w:p>
    <w:p w14:paraId="25E01478" w14:textId="77777777" w:rsidR="00424EC4" w:rsidRPr="00485F10" w:rsidRDefault="00424EC4" w:rsidP="00424EC4">
      <w:pPr>
        <w:ind w:left="426"/>
        <w:contextualSpacing/>
        <w:rPr>
          <w:i/>
        </w:rPr>
      </w:pPr>
      <w:r w:rsidRPr="00485F10">
        <w:rPr>
          <w:i/>
        </w:rPr>
        <w:t xml:space="preserve"> </w:t>
      </w:r>
      <w:r w:rsidRPr="00485F10">
        <w:rPr>
          <w:b/>
          <w:i/>
        </w:rPr>
        <w:t>4. RFC:</w:t>
      </w:r>
      <w:r w:rsidRPr="00485F10">
        <w:rPr>
          <w:i/>
        </w:rPr>
        <w:t xml:space="preserve"> Registro Federal del Contribuyente del servidor que labora en el Ente Público. </w:t>
      </w:r>
    </w:p>
    <w:p w14:paraId="589BC2F5" w14:textId="207E1670" w:rsidR="00424EC4" w:rsidRPr="00485F10" w:rsidRDefault="00424EC4" w:rsidP="00424EC4">
      <w:pPr>
        <w:ind w:left="426"/>
        <w:contextualSpacing/>
        <w:rPr>
          <w:i/>
        </w:rPr>
      </w:pPr>
      <w:r w:rsidRPr="00485F10">
        <w:rPr>
          <w:b/>
          <w:i/>
        </w:rPr>
        <w:t>5. CURP:</w:t>
      </w:r>
      <w:r w:rsidRPr="00485F10">
        <w:rPr>
          <w:i/>
        </w:rPr>
        <w:t xml:space="preserve"> Clave Única de Registro de Población. </w:t>
      </w:r>
    </w:p>
    <w:p w14:paraId="6E0E7C5E" w14:textId="6A93097E" w:rsidR="00424EC4" w:rsidRPr="00485F10" w:rsidRDefault="00424EC4" w:rsidP="00424EC4">
      <w:pPr>
        <w:ind w:left="426"/>
        <w:contextualSpacing/>
        <w:rPr>
          <w:i/>
        </w:rPr>
      </w:pPr>
      <w:r w:rsidRPr="00485F10">
        <w:rPr>
          <w:b/>
          <w:i/>
        </w:rPr>
        <w:lastRenderedPageBreak/>
        <w:t>6. Número de Seguridad Social (ISSEMYM):</w:t>
      </w:r>
      <w:r w:rsidRPr="00485F10">
        <w:rPr>
          <w:i/>
        </w:rPr>
        <w:t xml:space="preserve"> Anotar la clave de </w:t>
      </w:r>
      <w:proofErr w:type="spellStart"/>
      <w:r w:rsidRPr="00485F10">
        <w:rPr>
          <w:i/>
        </w:rPr>
        <w:t>ISSEMyM</w:t>
      </w:r>
      <w:proofErr w:type="spellEnd"/>
      <w:r w:rsidRPr="00485F10">
        <w:rPr>
          <w:i/>
        </w:rPr>
        <w:t xml:space="preserve"> del servidor público.</w:t>
      </w:r>
    </w:p>
    <w:p w14:paraId="3CE18352" w14:textId="77777777" w:rsidR="00424EC4" w:rsidRPr="00485F10" w:rsidRDefault="00424EC4" w:rsidP="00424EC4">
      <w:pPr>
        <w:ind w:left="426"/>
        <w:contextualSpacing/>
        <w:rPr>
          <w:i/>
        </w:rPr>
      </w:pPr>
      <w:r w:rsidRPr="00485F10">
        <w:rPr>
          <w:b/>
          <w:i/>
        </w:rPr>
        <w:t>7 - 9. Nombre Completo</w:t>
      </w:r>
      <w:r w:rsidRPr="00485F10">
        <w:rPr>
          <w:i/>
        </w:rPr>
        <w:t xml:space="preserve">: Anotar el nombre del servidor público iniciando por apellido paterno, apellido materno y nombre(s). </w:t>
      </w:r>
    </w:p>
    <w:p w14:paraId="35622E1F" w14:textId="77777777" w:rsidR="00424EC4" w:rsidRPr="00485F10" w:rsidRDefault="00424EC4" w:rsidP="00424EC4">
      <w:pPr>
        <w:ind w:left="426"/>
        <w:contextualSpacing/>
        <w:rPr>
          <w:i/>
        </w:rPr>
      </w:pPr>
      <w:r w:rsidRPr="00485F10">
        <w:rPr>
          <w:b/>
          <w:i/>
        </w:rPr>
        <w:t>10. Fecha de Alta</w:t>
      </w:r>
      <w:r w:rsidRPr="00485F10">
        <w:rPr>
          <w:i/>
        </w:rPr>
        <w:t xml:space="preserve">: Anotar la fecha que se le asigna al servidor en el momento en que inicia la relación laboral con el Ente Público. 11. Fecha de Baja: Anotar la fecha asignada cuando el servidor finaliza la relación laboral con el Ente Público. </w:t>
      </w:r>
    </w:p>
    <w:p w14:paraId="76EDD842" w14:textId="77777777" w:rsidR="00424EC4" w:rsidRPr="00485F10" w:rsidRDefault="00424EC4" w:rsidP="00424EC4">
      <w:pPr>
        <w:ind w:left="426"/>
        <w:contextualSpacing/>
        <w:rPr>
          <w:i/>
        </w:rPr>
      </w:pPr>
      <w:r w:rsidRPr="00485F10">
        <w:rPr>
          <w:b/>
          <w:i/>
        </w:rPr>
        <w:t>12. Puesto Funcional</w:t>
      </w:r>
      <w:r w:rsidRPr="00485F10">
        <w:rPr>
          <w:i/>
        </w:rPr>
        <w:t xml:space="preserve">: Anotar el puesto que desarrolla el servidor de acuerdo a la clasificación del Ente Público en el Tabulador de Sueldos y Salarios. </w:t>
      </w:r>
    </w:p>
    <w:p w14:paraId="76232888" w14:textId="77777777" w:rsidR="00424EC4" w:rsidRPr="00485F10" w:rsidRDefault="00424EC4" w:rsidP="00424EC4">
      <w:pPr>
        <w:ind w:left="426"/>
        <w:contextualSpacing/>
        <w:rPr>
          <w:i/>
        </w:rPr>
      </w:pPr>
      <w:r w:rsidRPr="00485F10">
        <w:rPr>
          <w:b/>
          <w:i/>
        </w:rPr>
        <w:t>13. Nivel y/o Rango:</w:t>
      </w:r>
      <w:r w:rsidRPr="00485F10">
        <w:rPr>
          <w:i/>
        </w:rPr>
        <w:t xml:space="preserve"> Anotar la categoría de pagos de los servidores públicos en los que están situados (si no se cuenta con el nivel y/o rango únicamente se llenará la columna del puesto funcional). </w:t>
      </w:r>
    </w:p>
    <w:p w14:paraId="3D108922" w14:textId="3DD6DD3F" w:rsidR="00424EC4" w:rsidRPr="00485F10" w:rsidRDefault="00424EC4" w:rsidP="00424EC4">
      <w:pPr>
        <w:ind w:left="426"/>
        <w:contextualSpacing/>
        <w:rPr>
          <w:i/>
        </w:rPr>
      </w:pPr>
      <w:r w:rsidRPr="00485F10">
        <w:rPr>
          <w:b/>
          <w:i/>
        </w:rPr>
        <w:t>14. No. de Horas Laboradas</w:t>
      </w:r>
      <w:r w:rsidRPr="00485F10">
        <w:rPr>
          <w:i/>
        </w:rPr>
        <w:t xml:space="preserve">: Anotar el número de horas de trabajo. </w:t>
      </w:r>
    </w:p>
    <w:p w14:paraId="09D2CE20" w14:textId="77777777" w:rsidR="00424EC4" w:rsidRPr="00485F10" w:rsidRDefault="00424EC4" w:rsidP="00424EC4">
      <w:pPr>
        <w:ind w:left="426"/>
        <w:contextualSpacing/>
        <w:rPr>
          <w:i/>
        </w:rPr>
      </w:pPr>
      <w:r w:rsidRPr="00485F10">
        <w:rPr>
          <w:b/>
          <w:i/>
        </w:rPr>
        <w:t>15. Adscripción:</w:t>
      </w:r>
      <w:r w:rsidRPr="00485F10">
        <w:rPr>
          <w:i/>
        </w:rPr>
        <w:t xml:space="preserve"> Anotar el área en donde desarrolla sus funciones el servidor público. 16 - </w:t>
      </w:r>
      <w:r w:rsidRPr="00485F10">
        <w:rPr>
          <w:b/>
          <w:i/>
        </w:rPr>
        <w:t>18. Categoría:</w:t>
      </w:r>
      <w:r w:rsidRPr="00485F10">
        <w:rPr>
          <w:i/>
        </w:rPr>
        <w:t xml:space="preserve"> Anotar la categoría de Confianza/Sindicalizado/Eventual de cada empleado. </w:t>
      </w:r>
    </w:p>
    <w:p w14:paraId="76F28CD4" w14:textId="773A5B51" w:rsidR="00424EC4" w:rsidRPr="00485F10" w:rsidRDefault="00424EC4" w:rsidP="00424EC4">
      <w:pPr>
        <w:ind w:left="426"/>
        <w:contextualSpacing/>
        <w:rPr>
          <w:i/>
        </w:rPr>
      </w:pPr>
      <w:r w:rsidRPr="00485F10">
        <w:rPr>
          <w:b/>
          <w:i/>
        </w:rPr>
        <w:t>19 - 27. Percepciones Ordinarias:</w:t>
      </w:r>
      <w:r w:rsidRPr="00485F10">
        <w:rPr>
          <w:i/>
        </w:rPr>
        <w:t xml:space="preserve"> Anotar todos los pagos por sueldos y salarios, conforme a los tabuladores autorizados. </w:t>
      </w:r>
    </w:p>
    <w:p w14:paraId="14CE2D63" w14:textId="77777777" w:rsidR="00424EC4" w:rsidRPr="00485F10" w:rsidRDefault="00424EC4" w:rsidP="00424EC4">
      <w:pPr>
        <w:ind w:left="426"/>
        <w:contextualSpacing/>
        <w:rPr>
          <w:i/>
        </w:rPr>
      </w:pPr>
      <w:r w:rsidRPr="00485F10">
        <w:rPr>
          <w:b/>
          <w:i/>
        </w:rPr>
        <w:t>28 – 30. Percepciones Extraordinarias:</w:t>
      </w:r>
      <w:r w:rsidRPr="00485F10">
        <w:rPr>
          <w:i/>
        </w:rPr>
        <w:t xml:space="preserve"> Anotar todos los pagos por concepto de estímulos, reconocimientos, recompensas, incentivos y pagos equivalentes a los mismos que se otorgan de manera excepcional al personal y que no constituye un ingreso fijo, regular ni permanente, ya que su otorgamiento se encuentra sujeto a requisitos y condiciones variables con la periodicidad establecida en las disposiciones aplicables. </w:t>
      </w:r>
    </w:p>
    <w:p w14:paraId="2AFC15CF" w14:textId="77777777" w:rsidR="00424EC4" w:rsidRPr="00485F10" w:rsidRDefault="00424EC4" w:rsidP="00424EC4">
      <w:pPr>
        <w:ind w:left="426"/>
        <w:contextualSpacing/>
        <w:rPr>
          <w:i/>
        </w:rPr>
      </w:pPr>
      <w:r w:rsidRPr="00485F10">
        <w:rPr>
          <w:b/>
          <w:i/>
        </w:rPr>
        <w:t>31. Total de Percepciones Brutas:</w:t>
      </w:r>
      <w:r w:rsidRPr="00485F10">
        <w:rPr>
          <w:i/>
        </w:rPr>
        <w:t xml:space="preserve"> Anotar el total de la suma de todas las Percepciones ordinarias y las Percepciones extraordinarias </w:t>
      </w:r>
    </w:p>
    <w:p w14:paraId="02FBD784" w14:textId="77777777" w:rsidR="00424EC4" w:rsidRPr="00485F10" w:rsidRDefault="00424EC4" w:rsidP="00424EC4">
      <w:pPr>
        <w:ind w:left="426"/>
        <w:contextualSpacing/>
        <w:rPr>
          <w:i/>
        </w:rPr>
      </w:pPr>
      <w:r w:rsidRPr="00485F10">
        <w:rPr>
          <w:b/>
          <w:i/>
        </w:rPr>
        <w:lastRenderedPageBreak/>
        <w:t>32 - 35. Deducciones:</w:t>
      </w:r>
      <w:r w:rsidRPr="00485F10">
        <w:rPr>
          <w:i/>
        </w:rPr>
        <w:t xml:space="preserve"> Anotar los montos que se le descuentan al salario base de un trabajador regulado por las leyes laborales, constitucionales y de seguridad social. Además de los descuentos de pensión alimenticia y las deducciones facultativas autorizadas por el servidor público, como ejemplo alimentación y transporte, ambas con límites de descuentos establecidos por la ley, los prestamos etc.; estas deducciones no son obligatorias por ley y se tratan de un acuerdo entre patrón y trabajador. </w:t>
      </w:r>
    </w:p>
    <w:p w14:paraId="77778210" w14:textId="77777777" w:rsidR="00424EC4" w:rsidRPr="00485F10" w:rsidRDefault="00424EC4" w:rsidP="00424EC4">
      <w:pPr>
        <w:ind w:left="426"/>
        <w:contextualSpacing/>
        <w:rPr>
          <w:i/>
        </w:rPr>
      </w:pPr>
      <w:r w:rsidRPr="00485F10">
        <w:rPr>
          <w:b/>
          <w:i/>
        </w:rPr>
        <w:t>36. Total de Deducciones</w:t>
      </w:r>
      <w:r w:rsidRPr="00485F10">
        <w:rPr>
          <w:i/>
        </w:rPr>
        <w:t>: Anotar el total de la suma de todas las deducciones.</w:t>
      </w:r>
    </w:p>
    <w:p w14:paraId="02BF59F4" w14:textId="77777777" w:rsidR="00424EC4" w:rsidRPr="00485F10" w:rsidRDefault="00424EC4" w:rsidP="00424EC4">
      <w:pPr>
        <w:ind w:left="426"/>
        <w:contextualSpacing/>
        <w:rPr>
          <w:i/>
        </w:rPr>
      </w:pPr>
      <w:r w:rsidRPr="00485F10">
        <w:rPr>
          <w:i/>
        </w:rPr>
        <w:t xml:space="preserve"> </w:t>
      </w:r>
      <w:r w:rsidRPr="00485F10">
        <w:rPr>
          <w:b/>
          <w:i/>
        </w:rPr>
        <w:t>37. Total Neto</w:t>
      </w:r>
      <w:r w:rsidRPr="00485F10">
        <w:rPr>
          <w:i/>
        </w:rPr>
        <w:t xml:space="preserve">: Anotar la diferencia del total de percepciones brutas y el total de deducciones. </w:t>
      </w:r>
    </w:p>
    <w:p w14:paraId="1DE75DC2" w14:textId="77777777" w:rsidR="00424EC4" w:rsidRPr="00485F10" w:rsidRDefault="00424EC4" w:rsidP="00424EC4">
      <w:pPr>
        <w:ind w:left="426"/>
        <w:contextualSpacing/>
        <w:rPr>
          <w:i/>
        </w:rPr>
      </w:pPr>
      <w:r w:rsidRPr="00485F10">
        <w:rPr>
          <w:b/>
          <w:i/>
        </w:rPr>
        <w:t>38. Días Pagados</w:t>
      </w:r>
      <w:r w:rsidRPr="00485F10">
        <w:rPr>
          <w:i/>
        </w:rPr>
        <w:t xml:space="preserve">: Anotar los días que el servidor público trabajo en la quincena. </w:t>
      </w:r>
    </w:p>
    <w:p w14:paraId="3C84C333" w14:textId="5004A8DF" w:rsidR="00424EC4" w:rsidRPr="00485F10" w:rsidRDefault="00424EC4" w:rsidP="00424EC4">
      <w:pPr>
        <w:ind w:left="426"/>
        <w:contextualSpacing/>
        <w:rPr>
          <w:i/>
        </w:rPr>
      </w:pPr>
      <w:r w:rsidRPr="00485F10">
        <w:rPr>
          <w:b/>
          <w:i/>
        </w:rPr>
        <w:t>39. Nombre de la Fuente de Financiamiento:</w:t>
      </w:r>
      <w:r w:rsidRPr="00485F10">
        <w:rPr>
          <w:i/>
        </w:rPr>
        <w:t xml:space="preserve"> Anotar el nombre del recurso que utilizó la entidad para el pago de la nómina. </w:t>
      </w:r>
    </w:p>
    <w:p w14:paraId="7C8EE844" w14:textId="77777777" w:rsidR="00424EC4" w:rsidRPr="00485F10" w:rsidRDefault="00424EC4" w:rsidP="00424EC4">
      <w:pPr>
        <w:ind w:left="426"/>
        <w:contextualSpacing/>
        <w:rPr>
          <w:i/>
        </w:rPr>
      </w:pPr>
      <w:r w:rsidRPr="00485F10">
        <w:rPr>
          <w:b/>
          <w:i/>
        </w:rPr>
        <w:t>40 - 43. Póliza:</w:t>
      </w:r>
      <w:r w:rsidRPr="00485F10">
        <w:rPr>
          <w:i/>
        </w:rPr>
        <w:t xml:space="preserve"> Anotar los datos de la(s) póliza(s) Tipo/No./Concepto e importe donde se registró contablemente el pago de la nómina. </w:t>
      </w:r>
    </w:p>
    <w:p w14:paraId="3D08A8A5" w14:textId="11716F8B" w:rsidR="00424EC4" w:rsidRPr="00485F10" w:rsidRDefault="00424EC4" w:rsidP="00424EC4">
      <w:pPr>
        <w:ind w:left="426"/>
        <w:contextualSpacing/>
        <w:rPr>
          <w:i/>
        </w:rPr>
      </w:pPr>
      <w:r w:rsidRPr="00485F10">
        <w:rPr>
          <w:b/>
          <w:i/>
        </w:rPr>
        <w:t>44 - 48. Medio de Pago</w:t>
      </w:r>
      <w:r w:rsidRPr="00485F10">
        <w:rPr>
          <w:i/>
        </w:rPr>
        <w:t>: Anotar el medio en que fue pagada la nómina; detallando los siguientes datos: Nombre de la institución bancaria, número de cuenta bancaria; la forma en que se realizó el pago ya sea transferencia, cheque o efectivo, además el número de referencia y/o cheque y el importe.</w:t>
      </w:r>
    </w:p>
    <w:p w14:paraId="3CC61610" w14:textId="77777777" w:rsidR="00424EC4" w:rsidRPr="00485F10" w:rsidRDefault="00424EC4" w:rsidP="00201D6C">
      <w:pPr>
        <w:contextualSpacing/>
        <w:rPr>
          <w:rFonts w:eastAsia="Times New Roman"/>
          <w:bCs/>
          <w:szCs w:val="24"/>
        </w:rPr>
      </w:pPr>
    </w:p>
    <w:p w14:paraId="29197E7F" w14:textId="77114EF1" w:rsidR="00201D6C" w:rsidRPr="00485F10" w:rsidRDefault="00201D6C" w:rsidP="00201D6C">
      <w:pPr>
        <w:contextualSpacing/>
        <w:rPr>
          <w:rFonts w:eastAsia="Times New Roman"/>
          <w:bCs/>
          <w:szCs w:val="24"/>
        </w:rPr>
      </w:pPr>
      <w:r w:rsidRPr="00485F10">
        <w:rPr>
          <w:rFonts w:eastAsia="Times New Roman"/>
          <w:b/>
          <w:szCs w:val="24"/>
        </w:rPr>
        <w:t>Dispersión de nómina:</w:t>
      </w:r>
      <w:r w:rsidRPr="00485F10">
        <w:rPr>
          <w:rFonts w:eastAsia="Times New Roman"/>
          <w:bCs/>
          <w:szCs w:val="24"/>
        </w:rPr>
        <w:t xml:space="preserve"> es el documento que emite la institución bancaria por la transferencia realizada del pago de las remuneraciones de cada servidor del Ente Público por cada quincena.</w:t>
      </w:r>
    </w:p>
    <w:p w14:paraId="52169CE3" w14:textId="1B1F63F1" w:rsidR="00201D6C" w:rsidRPr="00485F10" w:rsidRDefault="00424EC4" w:rsidP="00424EC4">
      <w:pPr>
        <w:contextualSpacing/>
        <w:jc w:val="center"/>
        <w:rPr>
          <w:bCs/>
          <w:szCs w:val="24"/>
        </w:rPr>
      </w:pPr>
      <w:r w:rsidRPr="00485F10">
        <w:rPr>
          <w:bCs/>
          <w:noProof/>
          <w:szCs w:val="24"/>
          <w:lang w:val="es-MX"/>
        </w:rPr>
        <w:lastRenderedPageBreak/>
        <w:drawing>
          <wp:inline distT="0" distB="0" distL="0" distR="0" wp14:anchorId="1E49DD15" wp14:editId="430F3C00">
            <wp:extent cx="4404289" cy="1384286"/>
            <wp:effectExtent l="0" t="0" r="0" b="698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429852" cy="1392321"/>
                    </a:xfrm>
                    <a:prstGeom prst="rect">
                      <a:avLst/>
                    </a:prstGeom>
                  </pic:spPr>
                </pic:pic>
              </a:graphicData>
            </a:graphic>
          </wp:inline>
        </w:drawing>
      </w:r>
    </w:p>
    <w:p w14:paraId="51E9015D" w14:textId="77777777" w:rsidR="00424EC4" w:rsidRPr="00485F10" w:rsidRDefault="00424EC4" w:rsidP="00201D6C">
      <w:pPr>
        <w:contextualSpacing/>
        <w:rPr>
          <w:rFonts w:eastAsia="Palatino Linotype" w:cs="Palatino Linotype"/>
          <w:szCs w:val="24"/>
        </w:rPr>
      </w:pPr>
    </w:p>
    <w:p w14:paraId="488D86A2" w14:textId="77777777" w:rsidR="00201D6C" w:rsidRPr="00485F10" w:rsidRDefault="00201D6C" w:rsidP="00201D6C">
      <w:pPr>
        <w:contextualSpacing/>
        <w:rPr>
          <w:rFonts w:eastAsia="Palatino Linotype" w:cs="Palatino Linotype"/>
          <w:szCs w:val="24"/>
        </w:rPr>
      </w:pPr>
      <w:r w:rsidRPr="00485F10">
        <w:rPr>
          <w:rFonts w:eastAsia="Palatino Linotype" w:cs="Palatino Linotype"/>
          <w:szCs w:val="24"/>
        </w:rPr>
        <w:t xml:space="preserve">Dentro de los cuales ubicamos en su módulo cuatro la información de la </w:t>
      </w:r>
      <w:r w:rsidRPr="00485F10">
        <w:rPr>
          <w:rFonts w:eastAsia="Times New Roman" w:cs="Tahoma"/>
          <w:bCs/>
          <w:szCs w:val="24"/>
        </w:rPr>
        <w:t>conciliación</w:t>
      </w:r>
      <w:r w:rsidRPr="00485F10">
        <w:rPr>
          <w:rFonts w:eastAsia="Palatino Linotype" w:cs="Palatino Linotype"/>
          <w:szCs w:val="24"/>
        </w:rPr>
        <w:t xml:space="preserve"> de nómina los cuales son generados de manera quincenal mediante archivos PDF y XLS, así como la dispersión de nómina como se advierte en las siguientes imágenes sustraídas de dichos lineamientos:</w:t>
      </w:r>
    </w:p>
    <w:p w14:paraId="66C97579" w14:textId="2036AB54" w:rsidR="00201D6C" w:rsidRPr="00485F10" w:rsidRDefault="00201D6C" w:rsidP="00424EC4">
      <w:pPr>
        <w:jc w:val="center"/>
      </w:pPr>
      <w:r w:rsidRPr="00485F10">
        <w:rPr>
          <w:noProof/>
          <w:color w:val="000000"/>
          <w:szCs w:val="24"/>
          <w:lang w:val="es-MX"/>
        </w:rPr>
        <w:drawing>
          <wp:inline distT="0" distB="0" distL="0" distR="0" wp14:anchorId="61882A22" wp14:editId="3FC534B7">
            <wp:extent cx="5296535" cy="2492553"/>
            <wp:effectExtent l="0" t="0" r="0" b="3175"/>
            <wp:docPr id="1935271137" name="Imagen 1" descr="Texto, Calendari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271137" name="Imagen 1" descr="Texto, Calendario&#10;&#10;El contenido generado por IA puede ser incorrecto."/>
                    <pic:cNvPicPr/>
                  </pic:nvPicPr>
                  <pic:blipFill>
                    <a:blip r:embed="rId8"/>
                    <a:stretch>
                      <a:fillRect/>
                    </a:stretch>
                  </pic:blipFill>
                  <pic:spPr>
                    <a:xfrm>
                      <a:off x="0" y="0"/>
                      <a:ext cx="5315822" cy="2501630"/>
                    </a:xfrm>
                    <a:prstGeom prst="rect">
                      <a:avLst/>
                    </a:prstGeom>
                  </pic:spPr>
                </pic:pic>
              </a:graphicData>
            </a:graphic>
          </wp:inline>
        </w:drawing>
      </w:r>
    </w:p>
    <w:p w14:paraId="00CF63FD" w14:textId="6E25AEE9" w:rsidR="00424EC4" w:rsidRPr="00485F10" w:rsidRDefault="00424EC4" w:rsidP="00424EC4">
      <w:pPr>
        <w:pStyle w:val="Prrafodelista"/>
        <w:ind w:left="0"/>
        <w:jc w:val="center"/>
        <w:rPr>
          <w:rFonts w:eastAsia="Palatino Linotype" w:cs="Palatino Linotype"/>
        </w:rPr>
      </w:pPr>
      <w:r w:rsidRPr="00485F10">
        <w:rPr>
          <w:rFonts w:eastAsia="Palatino Linotype" w:cs="Palatino Linotype"/>
          <w:noProof/>
          <w:lang w:val="es-MX"/>
        </w:rPr>
        <w:lastRenderedPageBreak/>
        <w:drawing>
          <wp:inline distT="0" distB="0" distL="0" distR="0" wp14:anchorId="36B41F33" wp14:editId="25738536">
            <wp:extent cx="5645078" cy="2164715"/>
            <wp:effectExtent l="0" t="0" r="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84802" cy="2179948"/>
                    </a:xfrm>
                    <a:prstGeom prst="rect">
                      <a:avLst/>
                    </a:prstGeom>
                  </pic:spPr>
                </pic:pic>
              </a:graphicData>
            </a:graphic>
          </wp:inline>
        </w:drawing>
      </w:r>
    </w:p>
    <w:p w14:paraId="1B3CD134" w14:textId="77777777" w:rsidR="00424EC4" w:rsidRPr="00485F10" w:rsidRDefault="00424EC4" w:rsidP="00201D6C">
      <w:pPr>
        <w:pStyle w:val="Prrafodelista"/>
        <w:ind w:left="0"/>
        <w:rPr>
          <w:rFonts w:eastAsia="Palatino Linotype" w:cs="Palatino Linotype"/>
        </w:rPr>
      </w:pPr>
    </w:p>
    <w:p w14:paraId="59AC8530" w14:textId="77777777" w:rsidR="00201D6C" w:rsidRPr="00485F10" w:rsidRDefault="00201D6C" w:rsidP="00201D6C">
      <w:pPr>
        <w:pStyle w:val="Prrafodelista"/>
        <w:ind w:left="0"/>
        <w:rPr>
          <w:rFonts w:eastAsia="Palatino Linotype" w:cs="Palatino Linotype"/>
        </w:rPr>
      </w:pPr>
      <w:r w:rsidRPr="00485F10">
        <w:rPr>
          <w:rFonts w:eastAsia="Palatino Linotype" w:cs="Palatino Linotype"/>
        </w:rPr>
        <w:t xml:space="preserve">En observancia a las imágenes anteriores, se acredita que el </w:t>
      </w:r>
      <w:r w:rsidRPr="00485F10">
        <w:rPr>
          <w:rFonts w:eastAsia="Palatino Linotype" w:cs="Palatino Linotype"/>
          <w:b/>
        </w:rPr>
        <w:t>SUJETO OBLIGADO</w:t>
      </w:r>
      <w:r w:rsidRPr="00485F10">
        <w:rPr>
          <w:rFonts w:eastAsia="Palatino Linotype" w:cs="Palatino Linotype"/>
        </w:rPr>
        <w:t xml:space="preserve">, </w:t>
      </w:r>
      <w:r w:rsidRPr="00485F10">
        <w:rPr>
          <w:rFonts w:eastAsia="Palatino Linotype" w:cs="Palatino Linotype"/>
          <w:u w:val="single"/>
        </w:rPr>
        <w:t>debió generar la información relativa a la conciliación de nómina y dispersión de nómina de manera quincenal y remitirla de manera trimestral al Órgano Superior de Fiscalización del Estado de México, para su respectiva revisión y fiscalización.</w:t>
      </w:r>
    </w:p>
    <w:p w14:paraId="4A7E614C" w14:textId="77777777" w:rsidR="00201D6C" w:rsidRPr="00485F10" w:rsidRDefault="00201D6C" w:rsidP="00201D6C">
      <w:pPr>
        <w:pStyle w:val="Prrafodelista"/>
        <w:ind w:left="0"/>
        <w:rPr>
          <w:rFonts w:eastAsia="Palatino Linotype" w:cs="Palatino Linotype"/>
        </w:rPr>
      </w:pPr>
    </w:p>
    <w:p w14:paraId="6D6778CC" w14:textId="77777777" w:rsidR="00201D6C" w:rsidRPr="00485F10" w:rsidRDefault="00201D6C" w:rsidP="00201D6C">
      <w:pPr>
        <w:ind w:right="-28"/>
        <w:rPr>
          <w:rFonts w:eastAsia="Palatino Linotype" w:cs="Palatino Linotype"/>
          <w:szCs w:val="24"/>
        </w:rPr>
      </w:pPr>
      <w:r w:rsidRPr="00485F10">
        <w:rPr>
          <w:rFonts w:eastAsia="Palatino Linotype" w:cs="Palatino Linotype"/>
          <w:szCs w:val="24"/>
        </w:rPr>
        <w:t xml:space="preserve">Aunado a lo anterior, es importante destacar que la información relacionada con remuneraciones corresponde a información considerada como una de las obligaciones de transparencias comunes que los Sujetos Obligados tienen el deber de poner a disposición del público de manera permanente y actualizada de forma sencilla, precisa y entendible, en los respectivos medios electrónicos, de acuerdo con sus facultades, atribuciones, funciones u objeto social, según corresponda; esto conforme a lo establecido en el artículo 92 de la de la Ley de Transparencia y Acceso a la Información Pública del Estado de México y Municipios, en su fracción VIII, dispone lo siguiente: </w:t>
      </w:r>
    </w:p>
    <w:p w14:paraId="3592224C" w14:textId="77777777" w:rsidR="00201D6C" w:rsidRPr="00485F10" w:rsidRDefault="00201D6C" w:rsidP="00201D6C">
      <w:pPr>
        <w:ind w:left="567" w:right="539"/>
        <w:rPr>
          <w:rFonts w:eastAsia="Palatino Linotype" w:cs="Palatino Linotype"/>
          <w:i/>
          <w:sz w:val="22"/>
        </w:rPr>
      </w:pPr>
      <w:r w:rsidRPr="00485F10">
        <w:rPr>
          <w:rFonts w:eastAsia="Palatino Linotype" w:cs="Palatino Linotype"/>
          <w:b/>
          <w:i/>
          <w:sz w:val="22"/>
        </w:rPr>
        <w:t>“Artículo 92.</w:t>
      </w:r>
      <w:r w:rsidRPr="00485F10">
        <w:rPr>
          <w:rFonts w:eastAsia="Palatino Linotype" w:cs="Palatino Linotype"/>
          <w:i/>
          <w:sz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w:t>
      </w:r>
      <w:r w:rsidRPr="00485F10">
        <w:rPr>
          <w:rFonts w:eastAsia="Palatino Linotype" w:cs="Palatino Linotype"/>
          <w:i/>
          <w:sz w:val="22"/>
        </w:rPr>
        <w:lastRenderedPageBreak/>
        <w:t>corresponda, la información, por lo menos, de los temas, documentos y políticas que a continuación se señalan:</w:t>
      </w:r>
    </w:p>
    <w:p w14:paraId="423A7E93" w14:textId="77777777" w:rsidR="00201D6C" w:rsidRPr="00485F10" w:rsidRDefault="00201D6C" w:rsidP="00201D6C">
      <w:pPr>
        <w:ind w:left="567" w:right="539"/>
        <w:rPr>
          <w:rFonts w:eastAsia="Palatino Linotype" w:cs="Palatino Linotype"/>
          <w:i/>
          <w:sz w:val="22"/>
        </w:rPr>
      </w:pPr>
      <w:r w:rsidRPr="00485F10">
        <w:rPr>
          <w:rFonts w:eastAsia="Palatino Linotype" w:cs="Palatino Linotype"/>
          <w:b/>
          <w:i/>
          <w:sz w:val="22"/>
        </w:rPr>
        <w:t>(…)</w:t>
      </w:r>
    </w:p>
    <w:p w14:paraId="59169362" w14:textId="77777777" w:rsidR="00201D6C" w:rsidRPr="00485F10" w:rsidRDefault="00201D6C" w:rsidP="00201D6C">
      <w:pPr>
        <w:ind w:left="567" w:right="539"/>
        <w:rPr>
          <w:rFonts w:eastAsia="Palatino Linotype" w:cs="Palatino Linotype"/>
          <w:i/>
          <w:sz w:val="22"/>
        </w:rPr>
      </w:pPr>
      <w:r w:rsidRPr="00485F10">
        <w:rPr>
          <w:rFonts w:eastAsia="Palatino Linotype" w:cs="Palatino Linotype"/>
          <w:b/>
          <w:i/>
          <w:sz w:val="22"/>
        </w:rPr>
        <w:t xml:space="preserve">VIII. La remuneración bruta y neta de todos los servidores públicos de base o de confianza, </w:t>
      </w:r>
      <w:r w:rsidRPr="00485F10">
        <w:rPr>
          <w:rFonts w:eastAsia="Palatino Linotype" w:cs="Palatino Linotype"/>
          <w:i/>
          <w:sz w:val="22"/>
        </w:rPr>
        <w:t>de todas las percepciones, incluyendo sueldos, prestaciones, gratificaciones, primas, comisiones, dietas, bonos, estímulos, ingresos y sistemas de compensación, señalando la periodicidad de dicha remuneración;</w:t>
      </w:r>
    </w:p>
    <w:p w14:paraId="52210977" w14:textId="77777777" w:rsidR="00201D6C" w:rsidRPr="00485F10" w:rsidRDefault="00201D6C" w:rsidP="00201D6C">
      <w:pPr>
        <w:ind w:left="567" w:right="539"/>
        <w:rPr>
          <w:rFonts w:eastAsia="Palatino Linotype" w:cs="Palatino Linotype"/>
          <w:i/>
          <w:sz w:val="22"/>
        </w:rPr>
      </w:pPr>
      <w:r w:rsidRPr="00485F10">
        <w:rPr>
          <w:rFonts w:eastAsia="Palatino Linotype" w:cs="Palatino Linotype"/>
          <w:b/>
          <w:i/>
          <w:sz w:val="22"/>
        </w:rPr>
        <w:t>(…)</w:t>
      </w:r>
      <w:r w:rsidRPr="00485F10">
        <w:rPr>
          <w:rFonts w:eastAsia="Palatino Linotype" w:cs="Palatino Linotype"/>
          <w:i/>
          <w:sz w:val="22"/>
        </w:rPr>
        <w:t xml:space="preserve">”  </w:t>
      </w:r>
    </w:p>
    <w:p w14:paraId="58750587" w14:textId="77777777" w:rsidR="00201D6C" w:rsidRPr="00485F10" w:rsidRDefault="00201D6C" w:rsidP="00201D6C">
      <w:pPr>
        <w:ind w:right="-592"/>
        <w:rPr>
          <w:rFonts w:eastAsia="Palatino Linotype" w:cs="Palatino Linotype"/>
          <w:i/>
          <w:szCs w:val="24"/>
        </w:rPr>
      </w:pPr>
    </w:p>
    <w:p w14:paraId="1C61EA15" w14:textId="77777777" w:rsidR="00201D6C" w:rsidRPr="00485F10" w:rsidRDefault="00201D6C" w:rsidP="00201D6C">
      <w:pPr>
        <w:ind w:right="-28"/>
        <w:rPr>
          <w:rFonts w:eastAsia="Palatino Linotype" w:cs="Palatino Linotype"/>
          <w:szCs w:val="24"/>
        </w:rPr>
      </w:pPr>
      <w:r w:rsidRPr="00485F10">
        <w:rPr>
          <w:rFonts w:eastAsia="Palatino Linotype" w:cs="Palatino Linotype"/>
          <w:szCs w:val="24"/>
        </w:rPr>
        <w:t xml:space="preserve">Por otra parte, la Ley del Trabajo de los Servidores Públicos del Estado y Municipios, en su artículo 220 K, establece los documentos que tiene la obligación de conservar el </w:t>
      </w:r>
      <w:r w:rsidRPr="00485F10">
        <w:rPr>
          <w:rFonts w:eastAsia="Palatino Linotype" w:cs="Palatino Linotype"/>
          <w:b/>
          <w:szCs w:val="24"/>
        </w:rPr>
        <w:t>SUJETO OBLIGADO</w:t>
      </w:r>
      <w:r w:rsidRPr="00485F10">
        <w:rPr>
          <w:rFonts w:eastAsia="Palatino Linotype" w:cs="Palatino Linotype"/>
          <w:szCs w:val="24"/>
        </w:rPr>
        <w:t xml:space="preserve">, entre los que se encuentran los recibos de pagos: </w:t>
      </w:r>
    </w:p>
    <w:p w14:paraId="735DD987" w14:textId="77777777" w:rsidR="00201D6C" w:rsidRPr="00485F10" w:rsidRDefault="00201D6C" w:rsidP="00201D6C">
      <w:pPr>
        <w:ind w:left="567" w:right="539"/>
        <w:rPr>
          <w:rFonts w:eastAsia="Palatino Linotype" w:cs="Palatino Linotype"/>
          <w:i/>
          <w:sz w:val="22"/>
        </w:rPr>
      </w:pPr>
      <w:r w:rsidRPr="00485F10">
        <w:rPr>
          <w:rFonts w:eastAsia="Palatino Linotype" w:cs="Palatino Linotype"/>
          <w:i/>
          <w:sz w:val="22"/>
        </w:rPr>
        <w:t>“</w:t>
      </w:r>
      <w:r w:rsidRPr="00485F10">
        <w:rPr>
          <w:rFonts w:eastAsia="Palatino Linotype" w:cs="Palatino Linotype"/>
          <w:b/>
          <w:i/>
          <w:sz w:val="22"/>
        </w:rPr>
        <w:t>ARTÍCULO 220 K.-</w:t>
      </w:r>
      <w:r w:rsidRPr="00485F10">
        <w:rPr>
          <w:rFonts w:eastAsia="Palatino Linotype" w:cs="Palatino Linotype"/>
          <w:i/>
          <w:sz w:val="22"/>
        </w:rPr>
        <w:t xml:space="preserve"> La institución o dependencia pública tiene la obligación de conservar y exhibir en el proceso los documentos que a continuación se precisan: </w:t>
      </w:r>
    </w:p>
    <w:p w14:paraId="726F0F32" w14:textId="77777777" w:rsidR="00201D6C" w:rsidRPr="00485F10" w:rsidRDefault="00201D6C" w:rsidP="00201D6C">
      <w:pPr>
        <w:ind w:left="567" w:right="539"/>
        <w:rPr>
          <w:rFonts w:eastAsia="Palatino Linotype" w:cs="Palatino Linotype"/>
          <w:i/>
          <w:sz w:val="22"/>
        </w:rPr>
      </w:pPr>
      <w:r w:rsidRPr="00485F10">
        <w:rPr>
          <w:rFonts w:eastAsia="Palatino Linotype" w:cs="Palatino Linotype"/>
          <w:i/>
          <w:sz w:val="22"/>
        </w:rPr>
        <w:t xml:space="preserve">I. Contratos, Nombramientos o Formato Único de Movimientos de Personal, cuando no exista Convenio de condiciones generales de trabajo aplicable; </w:t>
      </w:r>
    </w:p>
    <w:p w14:paraId="29A6D472" w14:textId="77777777" w:rsidR="00201D6C" w:rsidRPr="00485F10" w:rsidRDefault="00201D6C" w:rsidP="00201D6C">
      <w:pPr>
        <w:ind w:left="567" w:right="539"/>
        <w:rPr>
          <w:rFonts w:eastAsia="Palatino Linotype" w:cs="Palatino Linotype"/>
          <w:i/>
          <w:sz w:val="22"/>
        </w:rPr>
      </w:pPr>
      <w:r w:rsidRPr="00485F10">
        <w:rPr>
          <w:rFonts w:eastAsia="Palatino Linotype" w:cs="Palatino Linotype"/>
          <w:b/>
          <w:i/>
          <w:sz w:val="22"/>
        </w:rPr>
        <w:t>II. Recibos de pagos de salarios</w:t>
      </w:r>
      <w:r w:rsidRPr="00485F10">
        <w:rPr>
          <w:rFonts w:eastAsia="Palatino Linotype" w:cs="Palatino Linotype"/>
          <w:i/>
          <w:sz w:val="22"/>
        </w:rPr>
        <w:t xml:space="preserve"> o las constancias documentales del pago de salario cuando sea por depósito o mediante información electrónica; </w:t>
      </w:r>
    </w:p>
    <w:p w14:paraId="0030E6D2" w14:textId="77777777" w:rsidR="00201D6C" w:rsidRPr="00485F10" w:rsidRDefault="00201D6C" w:rsidP="00201D6C">
      <w:pPr>
        <w:ind w:left="567" w:right="539"/>
        <w:rPr>
          <w:rFonts w:eastAsia="Palatino Linotype" w:cs="Palatino Linotype"/>
          <w:i/>
          <w:sz w:val="22"/>
        </w:rPr>
      </w:pPr>
      <w:r w:rsidRPr="00485F10">
        <w:rPr>
          <w:rFonts w:eastAsia="Palatino Linotype" w:cs="Palatino Linotype"/>
          <w:i/>
          <w:sz w:val="22"/>
        </w:rPr>
        <w:t xml:space="preserve">III. Controles de asistencia o la información magnética o electrónica de asistencia de los servidores públicos; </w:t>
      </w:r>
    </w:p>
    <w:p w14:paraId="6F13ABC0" w14:textId="77777777" w:rsidR="00201D6C" w:rsidRPr="00485F10" w:rsidRDefault="00201D6C" w:rsidP="00201D6C">
      <w:pPr>
        <w:ind w:left="567" w:right="539"/>
        <w:rPr>
          <w:rFonts w:eastAsia="Palatino Linotype" w:cs="Palatino Linotype"/>
          <w:i/>
          <w:sz w:val="22"/>
        </w:rPr>
      </w:pPr>
      <w:r w:rsidRPr="00485F10">
        <w:rPr>
          <w:rFonts w:eastAsia="Palatino Linotype" w:cs="Palatino Linotype"/>
          <w:i/>
          <w:sz w:val="22"/>
        </w:rPr>
        <w:t xml:space="preserve">IV. Recibos o las constancias de depósito o del medio de información magnética o electrónica que sean utilizadas para el pago de salarios, prima vacacional, aguinaldo y demás prestaciones establecidas en la presente ley; y </w:t>
      </w:r>
    </w:p>
    <w:p w14:paraId="60B0DE0F" w14:textId="77777777" w:rsidR="00201D6C" w:rsidRPr="00485F10" w:rsidRDefault="00201D6C" w:rsidP="00201D6C">
      <w:pPr>
        <w:ind w:left="567" w:right="539"/>
        <w:rPr>
          <w:rFonts w:eastAsia="Palatino Linotype" w:cs="Palatino Linotype"/>
          <w:i/>
          <w:sz w:val="22"/>
        </w:rPr>
      </w:pPr>
      <w:r w:rsidRPr="00485F10">
        <w:rPr>
          <w:rFonts w:eastAsia="Palatino Linotype" w:cs="Palatino Linotype"/>
          <w:i/>
          <w:sz w:val="22"/>
        </w:rPr>
        <w:t>V. Los demás que señalen las leyes.</w:t>
      </w:r>
    </w:p>
    <w:p w14:paraId="7C43D0AB" w14:textId="77777777" w:rsidR="00201D6C" w:rsidRPr="00485F10" w:rsidRDefault="00201D6C" w:rsidP="00201D6C">
      <w:pPr>
        <w:ind w:left="567" w:right="539"/>
        <w:rPr>
          <w:rFonts w:eastAsia="Palatino Linotype" w:cs="Palatino Linotype"/>
          <w:i/>
          <w:sz w:val="22"/>
        </w:rPr>
      </w:pPr>
      <w:r w:rsidRPr="00485F10">
        <w:rPr>
          <w:rFonts w:eastAsia="Palatino Linotype" w:cs="Palatino Linotype"/>
          <w:i/>
          <w:sz w:val="22"/>
        </w:rPr>
        <w:t xml:space="preserve">Los documentos señalados en la fracción I de este artículo, deberán conservarse mientras dure la relación laboral y hasta un año después; los señalados por las fracciones II, III, IV durante el </w:t>
      </w:r>
      <w:r w:rsidRPr="00485F10">
        <w:rPr>
          <w:rFonts w:eastAsia="Palatino Linotype" w:cs="Palatino Linotype"/>
          <w:i/>
          <w:sz w:val="22"/>
        </w:rPr>
        <w:lastRenderedPageBreak/>
        <w:t>último año y un año después de que se extinga la relación laboral,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 “</w:t>
      </w:r>
    </w:p>
    <w:p w14:paraId="50A92D8D" w14:textId="77777777" w:rsidR="00201D6C" w:rsidRPr="00485F10" w:rsidRDefault="00201D6C" w:rsidP="00201D6C">
      <w:pPr>
        <w:tabs>
          <w:tab w:val="left" w:pos="709"/>
        </w:tabs>
        <w:rPr>
          <w:szCs w:val="24"/>
        </w:rPr>
      </w:pPr>
    </w:p>
    <w:p w14:paraId="054556C3" w14:textId="77777777" w:rsidR="00201D6C" w:rsidRPr="00485F10" w:rsidRDefault="00201D6C" w:rsidP="00201D6C">
      <w:pPr>
        <w:tabs>
          <w:tab w:val="left" w:pos="709"/>
        </w:tabs>
        <w:rPr>
          <w:szCs w:val="24"/>
        </w:rPr>
      </w:pPr>
      <w:r w:rsidRPr="00485F10">
        <w:rPr>
          <w:szCs w:val="24"/>
        </w:rPr>
        <w:t>Respecto los comprobantes bancarios de dispersión de nómina, se debe de considerar que se encuentra integrado por los siguientes datos;</w:t>
      </w:r>
    </w:p>
    <w:p w14:paraId="501E36D4" w14:textId="77777777" w:rsidR="00201D6C" w:rsidRPr="00485F10" w:rsidRDefault="00201D6C" w:rsidP="00201D6C">
      <w:pPr>
        <w:tabs>
          <w:tab w:val="left" w:pos="709"/>
        </w:tabs>
        <w:ind w:left="708"/>
        <w:rPr>
          <w:i/>
          <w:iCs/>
          <w:sz w:val="22"/>
        </w:rPr>
      </w:pPr>
      <w:r w:rsidRPr="00485F10">
        <w:rPr>
          <w:szCs w:val="24"/>
        </w:rPr>
        <w:tab/>
      </w:r>
      <w:r w:rsidRPr="00485F10">
        <w:rPr>
          <w:i/>
          <w:iCs/>
          <w:sz w:val="22"/>
        </w:rPr>
        <w:t>Las características mínimas que debe contener el documento expedido por la institución bancaria del detalle de las operaciones son las siguientes:</w:t>
      </w:r>
    </w:p>
    <w:p w14:paraId="322A4180" w14:textId="77777777" w:rsidR="00201D6C" w:rsidRPr="00485F10" w:rsidRDefault="00201D6C" w:rsidP="00201D6C">
      <w:pPr>
        <w:tabs>
          <w:tab w:val="left" w:pos="709"/>
        </w:tabs>
        <w:ind w:left="1416"/>
        <w:rPr>
          <w:i/>
          <w:iCs/>
          <w:sz w:val="22"/>
        </w:rPr>
      </w:pPr>
      <w:r w:rsidRPr="00485F10">
        <w:rPr>
          <w:i/>
          <w:iCs/>
          <w:sz w:val="22"/>
        </w:rPr>
        <w:t xml:space="preserve"> 1. Número de Cuenta de origen y destino </w:t>
      </w:r>
    </w:p>
    <w:p w14:paraId="1A1FA737" w14:textId="77777777" w:rsidR="00201D6C" w:rsidRPr="00485F10" w:rsidRDefault="00201D6C" w:rsidP="00201D6C">
      <w:pPr>
        <w:tabs>
          <w:tab w:val="left" w:pos="709"/>
        </w:tabs>
        <w:ind w:left="1416"/>
        <w:rPr>
          <w:i/>
          <w:iCs/>
          <w:sz w:val="22"/>
        </w:rPr>
      </w:pPr>
      <w:r w:rsidRPr="00485F10">
        <w:rPr>
          <w:i/>
          <w:iCs/>
          <w:sz w:val="22"/>
        </w:rPr>
        <w:t xml:space="preserve">2. Fecha del pago </w:t>
      </w:r>
    </w:p>
    <w:p w14:paraId="4B5EA90B" w14:textId="77777777" w:rsidR="00201D6C" w:rsidRPr="00485F10" w:rsidRDefault="00201D6C" w:rsidP="00201D6C">
      <w:pPr>
        <w:tabs>
          <w:tab w:val="left" w:pos="709"/>
        </w:tabs>
        <w:ind w:left="1416"/>
        <w:rPr>
          <w:i/>
          <w:iCs/>
          <w:sz w:val="22"/>
        </w:rPr>
      </w:pPr>
      <w:r w:rsidRPr="00485F10">
        <w:rPr>
          <w:i/>
          <w:iCs/>
          <w:sz w:val="22"/>
        </w:rPr>
        <w:t xml:space="preserve">3. Importe </w:t>
      </w:r>
    </w:p>
    <w:p w14:paraId="0987F074" w14:textId="77777777" w:rsidR="00201D6C" w:rsidRPr="00485F10" w:rsidRDefault="00201D6C" w:rsidP="00201D6C">
      <w:pPr>
        <w:tabs>
          <w:tab w:val="left" w:pos="709"/>
        </w:tabs>
        <w:ind w:left="1416"/>
        <w:rPr>
          <w:i/>
          <w:iCs/>
          <w:sz w:val="22"/>
        </w:rPr>
      </w:pPr>
      <w:r w:rsidRPr="00485F10">
        <w:rPr>
          <w:i/>
          <w:iCs/>
          <w:sz w:val="22"/>
        </w:rPr>
        <w:t xml:space="preserve">4. Nombre del servidor público a quien se emitió el pago </w:t>
      </w:r>
    </w:p>
    <w:p w14:paraId="3F20435E" w14:textId="77777777" w:rsidR="00201D6C" w:rsidRPr="00485F10" w:rsidRDefault="00201D6C" w:rsidP="00201D6C">
      <w:pPr>
        <w:tabs>
          <w:tab w:val="left" w:pos="709"/>
        </w:tabs>
        <w:ind w:left="1416"/>
        <w:rPr>
          <w:i/>
          <w:iCs/>
          <w:sz w:val="22"/>
        </w:rPr>
      </w:pPr>
      <w:r w:rsidRPr="00485F10">
        <w:rPr>
          <w:i/>
          <w:iCs/>
          <w:sz w:val="22"/>
        </w:rPr>
        <w:t xml:space="preserve">5. Estatus del pago </w:t>
      </w:r>
    </w:p>
    <w:p w14:paraId="53C553F3" w14:textId="77777777" w:rsidR="00201D6C" w:rsidRPr="00485F10" w:rsidRDefault="00201D6C" w:rsidP="00201D6C">
      <w:pPr>
        <w:tabs>
          <w:tab w:val="left" w:pos="709"/>
        </w:tabs>
        <w:ind w:left="1416"/>
        <w:rPr>
          <w:i/>
          <w:iCs/>
          <w:sz w:val="22"/>
        </w:rPr>
      </w:pPr>
      <w:r w:rsidRPr="00485F10">
        <w:rPr>
          <w:i/>
          <w:iCs/>
          <w:sz w:val="22"/>
        </w:rPr>
        <w:t>6. Descripción del pago</w:t>
      </w:r>
    </w:p>
    <w:p w14:paraId="798E8560" w14:textId="7F24724B" w:rsidR="00375732" w:rsidRPr="00485F10" w:rsidRDefault="00375732" w:rsidP="00375732">
      <w:pPr>
        <w:tabs>
          <w:tab w:val="left" w:pos="709"/>
        </w:tabs>
        <w:rPr>
          <w:sz w:val="22"/>
        </w:rPr>
      </w:pPr>
      <w:r w:rsidRPr="00485F10">
        <w:rPr>
          <w:sz w:val="22"/>
        </w:rPr>
        <w:t xml:space="preserve">De lo anterior es de considerarse que respecto el número de cuenta y la </w:t>
      </w:r>
      <w:r w:rsidR="00230105" w:rsidRPr="00485F10">
        <w:rPr>
          <w:sz w:val="22"/>
        </w:rPr>
        <w:t xml:space="preserve">cuenta clave podrían integrar datos susceptibles de ser confidenciales en los términos del artículo 143 fracción I de la Ley de Transparencia Local </w:t>
      </w:r>
    </w:p>
    <w:p w14:paraId="6525248B" w14:textId="5C43B377" w:rsidR="00FF57A2" w:rsidRPr="00485F10" w:rsidRDefault="00B065D6" w:rsidP="00FF57A2">
      <w:pPr>
        <w:tabs>
          <w:tab w:val="left" w:pos="709"/>
        </w:tabs>
        <w:ind w:left="360"/>
        <w:rPr>
          <w:sz w:val="22"/>
        </w:rPr>
      </w:pPr>
      <w:r w:rsidRPr="00485F10">
        <w:rPr>
          <w:sz w:val="22"/>
        </w:rPr>
        <w:t xml:space="preserve">CBDN1: Comprobante Bancario de la Dispersión de la Nómina, primera quincena CBDN2: Comprobante Bancario de la Dispersión de la Nómina, segunda quincena </w:t>
      </w:r>
    </w:p>
    <w:p w14:paraId="2C7368ED" w14:textId="77777777" w:rsidR="00FF57A2" w:rsidRPr="00485F10" w:rsidRDefault="00B065D6" w:rsidP="00FF57A2">
      <w:pPr>
        <w:tabs>
          <w:tab w:val="left" w:pos="709"/>
        </w:tabs>
        <w:ind w:left="360"/>
        <w:rPr>
          <w:sz w:val="22"/>
        </w:rPr>
      </w:pPr>
      <w:r w:rsidRPr="00485F10">
        <w:rPr>
          <w:sz w:val="22"/>
        </w:rPr>
        <w:t xml:space="preserve">0: Clave para identificar a la entidad </w:t>
      </w:r>
    </w:p>
    <w:p w14:paraId="2474E4F3" w14:textId="77777777" w:rsidR="00DF00A2" w:rsidRPr="00485F10" w:rsidRDefault="00B065D6" w:rsidP="00FF57A2">
      <w:pPr>
        <w:tabs>
          <w:tab w:val="left" w:pos="709"/>
        </w:tabs>
        <w:ind w:left="360"/>
        <w:rPr>
          <w:sz w:val="22"/>
        </w:rPr>
      </w:pPr>
      <w:r w:rsidRPr="00485F10">
        <w:rPr>
          <w:sz w:val="22"/>
        </w:rPr>
        <w:t xml:space="preserve">000: Número de la entidad municipal </w:t>
      </w:r>
    </w:p>
    <w:p w14:paraId="5369713C" w14:textId="77777777" w:rsidR="00DF00A2" w:rsidRPr="00485F10" w:rsidRDefault="00B065D6" w:rsidP="00FF57A2">
      <w:pPr>
        <w:tabs>
          <w:tab w:val="left" w:pos="709"/>
        </w:tabs>
        <w:ind w:left="360"/>
        <w:rPr>
          <w:sz w:val="22"/>
        </w:rPr>
      </w:pPr>
      <w:r w:rsidRPr="00485F10">
        <w:rPr>
          <w:sz w:val="22"/>
        </w:rPr>
        <w:t xml:space="preserve">2025: Ejercicio Fiscal </w:t>
      </w:r>
    </w:p>
    <w:p w14:paraId="5646269A" w14:textId="77777777" w:rsidR="00DF00A2" w:rsidRPr="00485F10" w:rsidRDefault="00B065D6" w:rsidP="00FF57A2">
      <w:pPr>
        <w:tabs>
          <w:tab w:val="left" w:pos="709"/>
        </w:tabs>
        <w:ind w:left="360"/>
        <w:rPr>
          <w:sz w:val="22"/>
        </w:rPr>
      </w:pPr>
      <w:r w:rsidRPr="00485F10">
        <w:rPr>
          <w:sz w:val="22"/>
        </w:rPr>
        <w:t xml:space="preserve">00: Mes </w:t>
      </w:r>
    </w:p>
    <w:p w14:paraId="08A69BA3" w14:textId="0F29EBC2" w:rsidR="00B13D33" w:rsidRPr="00485F10" w:rsidRDefault="00B065D6" w:rsidP="00FF57A2">
      <w:pPr>
        <w:tabs>
          <w:tab w:val="left" w:pos="709"/>
        </w:tabs>
        <w:ind w:left="360"/>
        <w:rPr>
          <w:sz w:val="22"/>
        </w:rPr>
      </w:pPr>
      <w:r w:rsidRPr="00485F10">
        <w:rPr>
          <w:sz w:val="22"/>
        </w:rPr>
        <w:lastRenderedPageBreak/>
        <w:t>Se deberá integrar de manera quincenal en un solo documento en formato PDF el o los comprobantes que emite la institución bancaria por la(s) transferencia(s) realizadas respecto del pago de las remuneraciones de cada servidor del Ente Público, en caso de que la nómina se haya pagado mediante cheques u otra forma de pago se deberán anexar en el mismo documento.</w:t>
      </w:r>
    </w:p>
    <w:p w14:paraId="6B1B7C88" w14:textId="77777777" w:rsidR="00B13D33" w:rsidRPr="00485F10" w:rsidRDefault="00B13D33" w:rsidP="00375732">
      <w:pPr>
        <w:tabs>
          <w:tab w:val="left" w:pos="709"/>
        </w:tabs>
        <w:rPr>
          <w:sz w:val="22"/>
        </w:rPr>
      </w:pPr>
    </w:p>
    <w:p w14:paraId="2E7AA19B" w14:textId="77777777" w:rsidR="00201D6C" w:rsidRPr="00485F10" w:rsidRDefault="00201D6C" w:rsidP="00201D6C">
      <w:pPr>
        <w:pStyle w:val="Ttulo3"/>
        <w:numPr>
          <w:ilvl w:val="0"/>
          <w:numId w:val="5"/>
        </w:numPr>
        <w:tabs>
          <w:tab w:val="num" w:pos="360"/>
        </w:tabs>
        <w:ind w:left="720" w:hanging="360"/>
        <w:rPr>
          <w:rFonts w:eastAsia="Palatino Linotype" w:cs="Palatino Linotype"/>
          <w:b/>
          <w:color w:val="000000"/>
        </w:rPr>
      </w:pPr>
      <w:r w:rsidRPr="00485F10">
        <w:rPr>
          <w:rFonts w:eastAsia="Palatino Linotype" w:cs="Palatino Linotype"/>
          <w:b/>
          <w:color w:val="000000"/>
        </w:rPr>
        <w:t>Clave Única de Registro de Población (CURP).</w:t>
      </w:r>
    </w:p>
    <w:p w14:paraId="3196799F" w14:textId="77777777" w:rsidR="00201D6C" w:rsidRPr="00485F10" w:rsidRDefault="00201D6C" w:rsidP="00201D6C">
      <w:pPr>
        <w:pBdr>
          <w:top w:val="nil"/>
          <w:left w:val="nil"/>
          <w:bottom w:val="nil"/>
          <w:right w:val="nil"/>
          <w:between w:val="nil"/>
        </w:pBdr>
        <w:tabs>
          <w:tab w:val="left" w:pos="709"/>
        </w:tabs>
        <w:ind w:right="49"/>
        <w:rPr>
          <w:rFonts w:eastAsia="Palatino Linotype" w:cs="Palatino Linotype"/>
          <w:color w:val="000000"/>
          <w:szCs w:val="24"/>
        </w:rPr>
      </w:pPr>
      <w:r w:rsidRPr="00485F10">
        <w:rPr>
          <w:rFonts w:eastAsia="Palatino Linotype" w:cs="Palatino Linotype"/>
          <w:color w:val="000000"/>
          <w:szCs w:val="24"/>
        </w:rPr>
        <w:t xml:space="preserve">La Clave Única de Registro de Población (CURP) según lo establecido en el Instructivo Normativo para la Asignación de la Clave Única de Registro de Población, la CURP es un elemento que permite registrar de forma individual a las o los mexicanos, así como a los extranjeros que se encuentren en condiciones de estancia regular en el país o en trámite de ésta, se integra por dieciocho (18) caracteres, los cuales son: </w:t>
      </w:r>
    </w:p>
    <w:p w14:paraId="74C49915" w14:textId="77777777" w:rsidR="00201D6C" w:rsidRPr="00485F10" w:rsidRDefault="00201D6C" w:rsidP="00201D6C">
      <w:pPr>
        <w:tabs>
          <w:tab w:val="left" w:pos="851"/>
        </w:tabs>
        <w:ind w:right="49"/>
        <w:jc w:val="center"/>
        <w:rPr>
          <w:rFonts w:eastAsia="Palatino Linotype" w:cs="Palatino Linotype"/>
        </w:rPr>
      </w:pPr>
      <w:r w:rsidRPr="00485F10">
        <w:rPr>
          <w:noProof/>
          <w:lang w:val="es-MX"/>
        </w:rPr>
        <w:drawing>
          <wp:inline distT="0" distB="0" distL="0" distR="0" wp14:anchorId="0B842C92" wp14:editId="68AE9994">
            <wp:extent cx="4613910" cy="3260035"/>
            <wp:effectExtent l="0" t="0" r="0" b="0"/>
            <wp:docPr id="8" name="image1.png" descr="Interfaz de usuario gráfica, Aplicación&#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8" name="image1.png" descr="Interfaz de usuario gráfica, Aplicación&#10;&#10;El contenido generado por IA puede ser incorrecto."/>
                    <pic:cNvPicPr preferRelativeResize="0"/>
                  </pic:nvPicPr>
                  <pic:blipFill>
                    <a:blip r:embed="rId10"/>
                    <a:srcRect l="25748" t="8269" r="41254" b="18081"/>
                    <a:stretch>
                      <a:fillRect/>
                    </a:stretch>
                  </pic:blipFill>
                  <pic:spPr>
                    <a:xfrm>
                      <a:off x="0" y="0"/>
                      <a:ext cx="4636055" cy="3275682"/>
                    </a:xfrm>
                    <a:prstGeom prst="rect">
                      <a:avLst/>
                    </a:prstGeom>
                    <a:ln/>
                  </pic:spPr>
                </pic:pic>
              </a:graphicData>
            </a:graphic>
          </wp:inline>
        </w:drawing>
      </w:r>
    </w:p>
    <w:p w14:paraId="3531B00B" w14:textId="77777777" w:rsidR="00201D6C" w:rsidRPr="00485F10" w:rsidRDefault="00201D6C" w:rsidP="00201D6C">
      <w:pPr>
        <w:tabs>
          <w:tab w:val="left" w:pos="851"/>
        </w:tabs>
        <w:ind w:right="49"/>
        <w:rPr>
          <w:rFonts w:eastAsia="Palatino Linotype" w:cs="Palatino Linotype"/>
        </w:rPr>
      </w:pPr>
    </w:p>
    <w:p w14:paraId="4E3B61C0" w14:textId="77777777" w:rsidR="00201D6C" w:rsidRPr="00485F10" w:rsidRDefault="00201D6C" w:rsidP="00201D6C">
      <w:pPr>
        <w:pBdr>
          <w:top w:val="nil"/>
          <w:left w:val="nil"/>
          <w:bottom w:val="nil"/>
          <w:right w:val="nil"/>
          <w:between w:val="nil"/>
        </w:pBdr>
        <w:tabs>
          <w:tab w:val="left" w:pos="567"/>
        </w:tabs>
        <w:ind w:right="49"/>
        <w:rPr>
          <w:rFonts w:eastAsia="Palatino Linotype" w:cs="Palatino Linotype"/>
          <w:color w:val="000000"/>
          <w:szCs w:val="24"/>
        </w:rPr>
      </w:pPr>
      <w:r w:rsidRPr="00485F10">
        <w:rPr>
          <w:rFonts w:eastAsia="Palatino Linotype" w:cs="Palatino Linotype"/>
          <w:color w:val="000000"/>
          <w:szCs w:val="24"/>
        </w:rPr>
        <w:lastRenderedPageBreak/>
        <w:t xml:space="preserve">Es entonces que a partir de los datos básicos de la persona (nombre, apellido, sexo, fecha y lugar de nacimiento) encontrados en los documentos probatorios de identidad es que se genera la CURP, la cual tiene la particularidad de asegurar una correspondencia entre claves y personas. </w:t>
      </w:r>
    </w:p>
    <w:p w14:paraId="5721CEBA" w14:textId="77777777" w:rsidR="00201D6C" w:rsidRPr="00485F10" w:rsidRDefault="00201D6C" w:rsidP="00201D6C">
      <w:pPr>
        <w:tabs>
          <w:tab w:val="left" w:pos="0"/>
          <w:tab w:val="left" w:pos="426"/>
        </w:tabs>
        <w:ind w:right="49"/>
        <w:rPr>
          <w:rFonts w:eastAsia="Palatino Linotype" w:cs="Palatino Linotype"/>
        </w:rPr>
      </w:pPr>
    </w:p>
    <w:p w14:paraId="47049674" w14:textId="77777777" w:rsidR="00201D6C" w:rsidRPr="00485F10" w:rsidRDefault="00201D6C" w:rsidP="00201D6C">
      <w:pPr>
        <w:pBdr>
          <w:top w:val="nil"/>
          <w:left w:val="nil"/>
          <w:bottom w:val="nil"/>
          <w:right w:val="nil"/>
          <w:between w:val="nil"/>
        </w:pBdr>
        <w:tabs>
          <w:tab w:val="left" w:pos="0"/>
          <w:tab w:val="left" w:pos="426"/>
        </w:tabs>
        <w:ind w:right="49"/>
        <w:rPr>
          <w:rFonts w:eastAsia="Palatino Linotype" w:cs="Palatino Linotype"/>
          <w:color w:val="000000"/>
          <w:szCs w:val="24"/>
        </w:rPr>
      </w:pPr>
      <w:r w:rsidRPr="00485F10">
        <w:rPr>
          <w:rFonts w:eastAsia="Palatino Linotype" w:cs="Palatino Linotype"/>
          <w:color w:val="000000"/>
          <w:szCs w:val="24"/>
        </w:rPr>
        <w:t xml:space="preserve">Entre las características de la CURP, se encuentra: </w:t>
      </w:r>
    </w:p>
    <w:p w14:paraId="160CB4AA" w14:textId="77777777" w:rsidR="00201D6C" w:rsidRPr="00485F10" w:rsidRDefault="00201D6C" w:rsidP="00201D6C">
      <w:pPr>
        <w:tabs>
          <w:tab w:val="left" w:pos="426"/>
          <w:tab w:val="left" w:pos="567"/>
        </w:tabs>
        <w:ind w:left="567" w:right="567"/>
        <w:rPr>
          <w:rFonts w:eastAsia="Palatino Linotype" w:cs="Palatino Linotype"/>
          <w:szCs w:val="24"/>
        </w:rPr>
      </w:pPr>
      <w:r w:rsidRPr="00485F10">
        <w:rPr>
          <w:rFonts w:eastAsia="Palatino Linotype" w:cs="Palatino Linotype"/>
          <w:b/>
          <w:szCs w:val="24"/>
        </w:rPr>
        <w:t xml:space="preserve">Composición. </w:t>
      </w:r>
      <w:r w:rsidRPr="00485F10">
        <w:rPr>
          <w:rFonts w:eastAsia="Palatino Linotype" w:cs="Palatino Linotype"/>
          <w:szCs w:val="24"/>
        </w:rPr>
        <w:t>Alfanumérica.</w:t>
      </w:r>
    </w:p>
    <w:p w14:paraId="007B8D0B" w14:textId="77777777" w:rsidR="00201D6C" w:rsidRPr="00485F10" w:rsidRDefault="00201D6C" w:rsidP="00201D6C">
      <w:pPr>
        <w:tabs>
          <w:tab w:val="left" w:pos="426"/>
          <w:tab w:val="left" w:pos="567"/>
        </w:tabs>
        <w:ind w:left="567" w:right="567"/>
        <w:rPr>
          <w:rFonts w:eastAsia="Palatino Linotype" w:cs="Palatino Linotype"/>
          <w:szCs w:val="24"/>
        </w:rPr>
      </w:pPr>
      <w:r w:rsidRPr="00485F10">
        <w:rPr>
          <w:rFonts w:eastAsia="Palatino Linotype" w:cs="Palatino Linotype"/>
          <w:b/>
          <w:szCs w:val="24"/>
        </w:rPr>
        <w:t xml:space="preserve">Longitud. </w:t>
      </w:r>
      <w:r w:rsidRPr="00485F10">
        <w:rPr>
          <w:rFonts w:eastAsia="Palatino Linotype" w:cs="Palatino Linotype"/>
          <w:szCs w:val="24"/>
        </w:rPr>
        <w:t xml:space="preserve"> 18 caracteres.</w:t>
      </w:r>
    </w:p>
    <w:p w14:paraId="1EDE83B7" w14:textId="77777777" w:rsidR="00201D6C" w:rsidRPr="00485F10" w:rsidRDefault="00201D6C" w:rsidP="00201D6C">
      <w:pPr>
        <w:tabs>
          <w:tab w:val="left" w:pos="426"/>
          <w:tab w:val="left" w:pos="567"/>
        </w:tabs>
        <w:ind w:left="567" w:right="567"/>
        <w:rPr>
          <w:rFonts w:eastAsia="Palatino Linotype" w:cs="Palatino Linotype"/>
          <w:szCs w:val="24"/>
        </w:rPr>
      </w:pPr>
      <w:r w:rsidRPr="00485F10">
        <w:rPr>
          <w:rFonts w:eastAsia="Palatino Linotype" w:cs="Palatino Linotype"/>
          <w:b/>
          <w:szCs w:val="24"/>
        </w:rPr>
        <w:t xml:space="preserve">Naturaleza. </w:t>
      </w:r>
      <w:r w:rsidRPr="00485F10">
        <w:rPr>
          <w:rFonts w:eastAsia="Palatino Linotype" w:cs="Palatino Linotype"/>
          <w:szCs w:val="24"/>
        </w:rPr>
        <w:t>Biunívoca.</w:t>
      </w:r>
    </w:p>
    <w:p w14:paraId="596FB71B" w14:textId="77777777" w:rsidR="00201D6C" w:rsidRPr="00485F10" w:rsidRDefault="00201D6C" w:rsidP="00201D6C">
      <w:pPr>
        <w:tabs>
          <w:tab w:val="left" w:pos="426"/>
          <w:tab w:val="left" w:pos="567"/>
        </w:tabs>
        <w:ind w:left="567" w:right="567"/>
        <w:rPr>
          <w:rFonts w:eastAsia="Palatino Linotype" w:cs="Palatino Linotype"/>
          <w:szCs w:val="24"/>
        </w:rPr>
      </w:pPr>
      <w:r w:rsidRPr="00485F10">
        <w:rPr>
          <w:rFonts w:eastAsia="Palatino Linotype" w:cs="Palatino Linotype"/>
          <w:b/>
          <w:szCs w:val="24"/>
        </w:rPr>
        <w:t xml:space="preserve">Universalidad. </w:t>
      </w:r>
      <w:r w:rsidRPr="00485F10">
        <w:rPr>
          <w:rFonts w:eastAsia="Palatino Linotype" w:cs="Palatino Linotype"/>
          <w:szCs w:val="24"/>
        </w:rPr>
        <w:t>Se asigna a todas las personas que conforman la población.</w:t>
      </w:r>
    </w:p>
    <w:p w14:paraId="2DD071EC" w14:textId="77777777" w:rsidR="00201D6C" w:rsidRPr="00485F10" w:rsidRDefault="00201D6C" w:rsidP="00201D6C">
      <w:pPr>
        <w:tabs>
          <w:tab w:val="left" w:pos="426"/>
          <w:tab w:val="left" w:pos="567"/>
        </w:tabs>
        <w:ind w:left="567" w:right="567"/>
        <w:rPr>
          <w:rFonts w:eastAsia="Palatino Linotype" w:cs="Palatino Linotype"/>
          <w:b/>
          <w:szCs w:val="24"/>
        </w:rPr>
      </w:pPr>
      <w:r w:rsidRPr="00485F10">
        <w:rPr>
          <w:rFonts w:eastAsia="Palatino Linotype" w:cs="Palatino Linotype"/>
          <w:b/>
          <w:szCs w:val="24"/>
        </w:rPr>
        <w:t xml:space="preserve">Verificabilidad. </w:t>
      </w:r>
      <w:r w:rsidRPr="00485F10">
        <w:rPr>
          <w:rFonts w:eastAsia="Palatino Linotype" w:cs="Palatino Linotype"/>
          <w:szCs w:val="24"/>
        </w:rPr>
        <w:t>En su estructura existen elementos que permiten comprobar si fue conformada correctamente o no, así como fecha de nacimiento, sexo, identificad federativa de nacimiento y las primeras composiciones de la clave, conformadas por la letra inicial y primera vocal interna del primer apellido, la letra inicial del segundo apellido y la primera letra del nombre.</w:t>
      </w:r>
      <w:r w:rsidRPr="00485F10">
        <w:rPr>
          <w:rFonts w:eastAsia="Palatino Linotype" w:cs="Palatino Linotype"/>
          <w:b/>
          <w:szCs w:val="24"/>
        </w:rPr>
        <w:t xml:space="preserve">  </w:t>
      </w:r>
    </w:p>
    <w:p w14:paraId="30AF2421" w14:textId="77777777" w:rsidR="00201D6C" w:rsidRPr="00485F10" w:rsidRDefault="00201D6C" w:rsidP="00201D6C">
      <w:pPr>
        <w:pBdr>
          <w:top w:val="nil"/>
          <w:left w:val="nil"/>
          <w:bottom w:val="nil"/>
          <w:right w:val="nil"/>
          <w:between w:val="nil"/>
        </w:pBdr>
        <w:tabs>
          <w:tab w:val="left" w:pos="567"/>
        </w:tabs>
        <w:ind w:right="49"/>
        <w:rPr>
          <w:rFonts w:eastAsia="Palatino Linotype" w:cs="Palatino Linotype"/>
          <w:b/>
          <w:sz w:val="28"/>
          <w:szCs w:val="28"/>
          <w:u w:val="single"/>
        </w:rPr>
      </w:pPr>
    </w:p>
    <w:p w14:paraId="4A09E512" w14:textId="77777777" w:rsidR="00201D6C" w:rsidRPr="00485F10" w:rsidRDefault="00201D6C" w:rsidP="00201D6C">
      <w:pPr>
        <w:pBdr>
          <w:top w:val="nil"/>
          <w:left w:val="nil"/>
          <w:bottom w:val="nil"/>
          <w:right w:val="nil"/>
          <w:between w:val="nil"/>
        </w:pBdr>
        <w:tabs>
          <w:tab w:val="left" w:pos="567"/>
        </w:tabs>
        <w:ind w:right="49"/>
        <w:rPr>
          <w:rFonts w:eastAsia="Palatino Linotype" w:cs="Palatino Linotype"/>
          <w:i/>
          <w:color w:val="000000"/>
          <w:szCs w:val="24"/>
        </w:rPr>
      </w:pPr>
      <w:r w:rsidRPr="00485F10">
        <w:rPr>
          <w:rFonts w:eastAsia="Palatino Linotype" w:cs="Palatino Linotype"/>
          <w:color w:val="000000"/>
          <w:szCs w:val="24"/>
        </w:rPr>
        <w:t xml:space="preserve">Del mismo modo, los Lineamientos en comento señalan en su artículo Décimo Tercero, “Manejo de la Información que la información contenida en la Base de Datos Nacional de la Clave Única de Registro de Población (BNDCURP), tiene carácter de confidencial, por lo que su tratamiento debe ser acorde con la legislación aplicable y vigente en materia de transparencia y acceso a la información pública, y protección de datos personales. </w:t>
      </w:r>
    </w:p>
    <w:p w14:paraId="78A5D0A2" w14:textId="77777777" w:rsidR="00201D6C" w:rsidRPr="00485F10" w:rsidRDefault="00201D6C" w:rsidP="00201D6C">
      <w:pPr>
        <w:tabs>
          <w:tab w:val="left" w:pos="567"/>
        </w:tabs>
        <w:ind w:right="49"/>
        <w:rPr>
          <w:rFonts w:eastAsia="Palatino Linotype" w:cs="Palatino Linotype"/>
          <w:i/>
          <w:szCs w:val="24"/>
        </w:rPr>
      </w:pPr>
    </w:p>
    <w:p w14:paraId="0C41C2AD" w14:textId="77777777" w:rsidR="00201D6C" w:rsidRPr="00485F10" w:rsidRDefault="00201D6C" w:rsidP="00201D6C">
      <w:pPr>
        <w:pBdr>
          <w:top w:val="nil"/>
          <w:left w:val="nil"/>
          <w:bottom w:val="nil"/>
          <w:right w:val="nil"/>
          <w:between w:val="nil"/>
        </w:pBdr>
        <w:tabs>
          <w:tab w:val="left" w:pos="567"/>
        </w:tabs>
        <w:ind w:right="49"/>
        <w:rPr>
          <w:rFonts w:eastAsia="Palatino Linotype" w:cs="Palatino Linotype"/>
          <w:color w:val="000000"/>
          <w:szCs w:val="24"/>
        </w:rPr>
      </w:pPr>
      <w:r w:rsidRPr="00485F10">
        <w:rPr>
          <w:rFonts w:eastAsia="Palatino Linotype" w:cs="Palatino Linotype"/>
          <w:color w:val="000000"/>
          <w:szCs w:val="24"/>
        </w:rPr>
        <w:t xml:space="preserve">Es entonces que, de lo anterior, se desprende que la Clave Única de Registro de Población es un dato personal confidencial, ya que por sí releva información personal de su titular, </w:t>
      </w:r>
      <w:r w:rsidRPr="00485F10">
        <w:rPr>
          <w:rFonts w:eastAsia="Palatino Linotype" w:cs="Palatino Linotype"/>
          <w:color w:val="000000"/>
          <w:szCs w:val="24"/>
        </w:rPr>
        <w:lastRenderedPageBreak/>
        <w:t>y su exposición únicamente vulneraría la esfera privada del mismo, aunado a que no guarda relación con el desempeño profesional o laboral de un individuo ni con el ejercicio de recursos públicos.</w:t>
      </w:r>
    </w:p>
    <w:p w14:paraId="51D62902" w14:textId="77777777" w:rsidR="00201D6C" w:rsidRPr="00485F10" w:rsidRDefault="00201D6C" w:rsidP="00201D6C">
      <w:pPr>
        <w:pBdr>
          <w:top w:val="nil"/>
          <w:left w:val="nil"/>
          <w:bottom w:val="nil"/>
          <w:right w:val="nil"/>
          <w:between w:val="nil"/>
        </w:pBdr>
        <w:tabs>
          <w:tab w:val="left" w:pos="567"/>
        </w:tabs>
        <w:ind w:right="49"/>
        <w:rPr>
          <w:rFonts w:eastAsia="Palatino Linotype" w:cs="Palatino Linotype"/>
          <w:color w:val="000000"/>
          <w:szCs w:val="24"/>
        </w:rPr>
      </w:pPr>
    </w:p>
    <w:p w14:paraId="1FF01A7B" w14:textId="77777777" w:rsidR="00201D6C" w:rsidRPr="00485F10" w:rsidRDefault="00201D6C" w:rsidP="00201D6C">
      <w:pPr>
        <w:pBdr>
          <w:top w:val="nil"/>
          <w:left w:val="nil"/>
          <w:bottom w:val="nil"/>
          <w:right w:val="nil"/>
          <w:between w:val="nil"/>
        </w:pBdr>
        <w:tabs>
          <w:tab w:val="left" w:pos="567"/>
        </w:tabs>
        <w:ind w:right="49"/>
        <w:rPr>
          <w:rFonts w:eastAsia="Palatino Linotype" w:cs="Palatino Linotype"/>
          <w:color w:val="000000"/>
          <w:szCs w:val="24"/>
        </w:rPr>
      </w:pPr>
      <w:r w:rsidRPr="00485F10">
        <w:rPr>
          <w:rFonts w:eastAsia="Palatino Linotype" w:cs="Palatino Linotype"/>
          <w:color w:val="000000"/>
          <w:szCs w:val="24"/>
        </w:rPr>
        <w:t xml:space="preserve">Ante ello, resulta aplicable el Criterio 18/17 emitido por el Instituto Nacional de Transparencia, Acceso a la Información y Protección de Datos Personales, que a la literalidad señala: </w:t>
      </w:r>
    </w:p>
    <w:p w14:paraId="50C2FEF6" w14:textId="365A5596" w:rsidR="00201D6C" w:rsidRPr="00485F10" w:rsidRDefault="00201D6C" w:rsidP="00515B55">
      <w:pPr>
        <w:pBdr>
          <w:top w:val="nil"/>
          <w:left w:val="nil"/>
          <w:bottom w:val="nil"/>
          <w:right w:val="nil"/>
          <w:between w:val="nil"/>
        </w:pBdr>
        <w:tabs>
          <w:tab w:val="left" w:pos="567"/>
        </w:tabs>
        <w:ind w:left="567" w:right="822"/>
        <w:rPr>
          <w:rFonts w:eastAsia="Palatino Linotype" w:cs="Palatino Linotype"/>
          <w:color w:val="000000"/>
          <w:sz w:val="22"/>
        </w:rPr>
      </w:pPr>
      <w:r w:rsidRPr="00485F10">
        <w:rPr>
          <w:rFonts w:eastAsia="Palatino Linotype" w:cs="Palatino Linotype"/>
          <w:i/>
          <w:color w:val="000000"/>
        </w:rPr>
        <w:t>“</w:t>
      </w:r>
      <w:r w:rsidRPr="00485F10">
        <w:rPr>
          <w:rFonts w:eastAsia="Palatino Linotype" w:cs="Palatino Linotype"/>
          <w:b/>
          <w:i/>
          <w:color w:val="000000"/>
          <w:sz w:val="22"/>
        </w:rPr>
        <w:t xml:space="preserve">Clave Única de Registro de Población (CURP). </w:t>
      </w:r>
      <w:r w:rsidRPr="00485F10">
        <w:rPr>
          <w:rFonts w:eastAsia="Palatino Linotype" w:cs="Palatino Linotype"/>
          <w:i/>
          <w:color w:val="000000"/>
          <w:sz w:val="22"/>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w:t>
      </w:r>
    </w:p>
    <w:p w14:paraId="63BC15C8" w14:textId="77777777" w:rsidR="00201D6C" w:rsidRPr="00485F10" w:rsidRDefault="00201D6C" w:rsidP="00201D6C">
      <w:pPr>
        <w:pStyle w:val="Ttulo3"/>
        <w:rPr>
          <w:rFonts w:eastAsia="Palatino Linotype" w:cs="Palatino Linotype"/>
          <w:b/>
          <w:color w:val="000000"/>
        </w:rPr>
      </w:pPr>
      <w:bookmarkStart w:id="1" w:name="_heading=h.3rdcrjn" w:colFirst="0" w:colLast="0"/>
      <w:bookmarkEnd w:id="1"/>
      <w:r w:rsidRPr="00485F10">
        <w:rPr>
          <w:rFonts w:eastAsia="Palatino Linotype" w:cs="Palatino Linotype"/>
          <w:b/>
          <w:color w:val="000000"/>
        </w:rPr>
        <w:t xml:space="preserve">II. Clave </w:t>
      </w:r>
      <w:proofErr w:type="spellStart"/>
      <w:r w:rsidRPr="00485F10">
        <w:rPr>
          <w:rFonts w:eastAsia="Palatino Linotype" w:cs="Palatino Linotype"/>
          <w:b/>
          <w:color w:val="000000"/>
        </w:rPr>
        <w:t>ISSEMyM</w:t>
      </w:r>
      <w:proofErr w:type="spellEnd"/>
    </w:p>
    <w:p w14:paraId="419C8182" w14:textId="77777777" w:rsidR="00201D6C" w:rsidRPr="00485F10" w:rsidRDefault="00201D6C" w:rsidP="00201D6C">
      <w:pPr>
        <w:pBdr>
          <w:top w:val="nil"/>
          <w:left w:val="nil"/>
          <w:bottom w:val="nil"/>
          <w:right w:val="nil"/>
          <w:between w:val="nil"/>
        </w:pBdr>
        <w:rPr>
          <w:rFonts w:eastAsia="Palatino Linotype" w:cs="Palatino Linotype"/>
          <w:color w:val="000000"/>
          <w:szCs w:val="24"/>
        </w:rPr>
      </w:pPr>
      <w:r w:rsidRPr="00485F10">
        <w:rPr>
          <w:rFonts w:eastAsia="Palatino Linotype" w:cs="Palatino Linotype"/>
          <w:color w:val="000000"/>
          <w:szCs w:val="24"/>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2C2128A0" w14:textId="77777777" w:rsidR="00201D6C" w:rsidRPr="00485F10" w:rsidRDefault="00201D6C" w:rsidP="00201D6C">
      <w:pPr>
        <w:pBdr>
          <w:top w:val="nil"/>
          <w:left w:val="nil"/>
          <w:bottom w:val="nil"/>
          <w:right w:val="nil"/>
          <w:between w:val="nil"/>
        </w:pBdr>
        <w:rPr>
          <w:rFonts w:eastAsia="Palatino Linotype" w:cs="Palatino Linotype"/>
          <w:color w:val="000000"/>
          <w:szCs w:val="24"/>
        </w:rPr>
      </w:pPr>
    </w:p>
    <w:p w14:paraId="0F205825" w14:textId="77777777" w:rsidR="00201D6C" w:rsidRPr="00485F10" w:rsidRDefault="00201D6C" w:rsidP="00201D6C">
      <w:pPr>
        <w:pBdr>
          <w:top w:val="nil"/>
          <w:left w:val="nil"/>
          <w:bottom w:val="nil"/>
          <w:right w:val="nil"/>
          <w:between w:val="nil"/>
        </w:pBdr>
        <w:rPr>
          <w:rFonts w:eastAsia="Palatino Linotype" w:cs="Palatino Linotype"/>
          <w:color w:val="000000"/>
          <w:szCs w:val="24"/>
        </w:rPr>
      </w:pPr>
      <w:r w:rsidRPr="00485F10">
        <w:rPr>
          <w:rFonts w:eastAsia="Palatino Linotype" w:cs="Palatino Linotype"/>
          <w:color w:val="000000"/>
          <w:szCs w:val="24"/>
        </w:rPr>
        <w:t xml:space="preserve">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w:t>
      </w:r>
      <w:r w:rsidRPr="00485F10">
        <w:rPr>
          <w:rFonts w:eastAsia="Palatino Linotype" w:cs="Palatino Linotype"/>
          <w:color w:val="000000"/>
          <w:szCs w:val="24"/>
        </w:rPr>
        <w:lastRenderedPageBreak/>
        <w:t>Social del Estado de México y Municipios, establece que es obligación de los derechohabientes tramitar la credencial que los acredite como tal, la cual será de naturaleza personal e intransferible. En esta credencial se consignan diversos datos personales y se le asigna una clave para hacer identificable al trabajador con el objetivo de poder proporcionar los servicios que brinda el Instituto de Seguridad Social del Estado de México y Municipios.</w:t>
      </w:r>
    </w:p>
    <w:p w14:paraId="66E24AFF" w14:textId="77777777" w:rsidR="00201D6C" w:rsidRPr="00485F10" w:rsidRDefault="00201D6C" w:rsidP="00201D6C">
      <w:pPr>
        <w:pBdr>
          <w:top w:val="nil"/>
          <w:left w:val="nil"/>
          <w:bottom w:val="nil"/>
          <w:right w:val="nil"/>
          <w:between w:val="nil"/>
        </w:pBdr>
        <w:ind w:left="720"/>
        <w:rPr>
          <w:rFonts w:eastAsia="Palatino Linotype" w:cs="Palatino Linotype"/>
          <w:color w:val="000000"/>
          <w:szCs w:val="24"/>
        </w:rPr>
      </w:pPr>
    </w:p>
    <w:p w14:paraId="12640463" w14:textId="77777777" w:rsidR="00201D6C" w:rsidRPr="00485F10" w:rsidRDefault="00201D6C" w:rsidP="00201D6C">
      <w:pPr>
        <w:pBdr>
          <w:top w:val="nil"/>
          <w:left w:val="nil"/>
          <w:bottom w:val="nil"/>
          <w:right w:val="nil"/>
          <w:between w:val="nil"/>
        </w:pBdr>
        <w:rPr>
          <w:rFonts w:eastAsia="Palatino Linotype" w:cs="Palatino Linotype"/>
          <w:color w:val="000000"/>
          <w:szCs w:val="24"/>
        </w:rPr>
      </w:pPr>
      <w:r w:rsidRPr="00485F10">
        <w:rPr>
          <w:rFonts w:eastAsia="Palatino Linotype" w:cs="Palatino Linotype"/>
          <w:color w:val="000000"/>
          <w:szCs w:val="24"/>
        </w:rPr>
        <w:t>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14:paraId="22090516" w14:textId="77777777" w:rsidR="00201D6C" w:rsidRPr="00485F10" w:rsidRDefault="00201D6C" w:rsidP="00201D6C">
      <w:pPr>
        <w:pBdr>
          <w:top w:val="nil"/>
          <w:left w:val="nil"/>
          <w:bottom w:val="nil"/>
          <w:right w:val="nil"/>
          <w:between w:val="nil"/>
        </w:pBdr>
        <w:ind w:left="720"/>
        <w:rPr>
          <w:rFonts w:eastAsia="Palatino Linotype" w:cs="Palatino Linotype"/>
          <w:color w:val="000000"/>
          <w:szCs w:val="24"/>
        </w:rPr>
      </w:pPr>
    </w:p>
    <w:p w14:paraId="4F14DC88" w14:textId="77777777" w:rsidR="00201D6C" w:rsidRPr="00485F10" w:rsidRDefault="00201D6C" w:rsidP="00201D6C">
      <w:pPr>
        <w:pStyle w:val="Ttulo3"/>
        <w:rPr>
          <w:rFonts w:eastAsia="Palatino Linotype" w:cs="Palatino Linotype"/>
          <w:b/>
          <w:color w:val="000000"/>
        </w:rPr>
      </w:pPr>
      <w:bookmarkStart w:id="2" w:name="_heading=h.26in1rg" w:colFirst="0" w:colLast="0"/>
      <w:bookmarkEnd w:id="2"/>
      <w:r w:rsidRPr="00485F10">
        <w:rPr>
          <w:rFonts w:eastAsia="Palatino Linotype" w:cs="Palatino Linotype"/>
          <w:b/>
          <w:color w:val="000000"/>
        </w:rPr>
        <w:t>III. NÚMERO DE EMPLEADO.</w:t>
      </w:r>
    </w:p>
    <w:p w14:paraId="6E5D2871" w14:textId="77777777" w:rsidR="00201D6C" w:rsidRPr="00485F10" w:rsidRDefault="00201D6C" w:rsidP="00201D6C">
      <w:pPr>
        <w:pBdr>
          <w:top w:val="nil"/>
          <w:left w:val="nil"/>
          <w:bottom w:val="nil"/>
          <w:right w:val="nil"/>
          <w:between w:val="nil"/>
        </w:pBdr>
        <w:rPr>
          <w:rFonts w:eastAsia="Palatino Linotype" w:cs="Palatino Linotype"/>
          <w:color w:val="000000"/>
          <w:szCs w:val="24"/>
        </w:rPr>
      </w:pPr>
      <w:r w:rsidRPr="00485F10">
        <w:rPr>
          <w:rFonts w:eastAsia="Palatino Linotype" w:cs="Palatino Linotype"/>
          <w:color w:val="000000"/>
          <w:szCs w:val="24"/>
        </w:rPr>
        <w:t>El número de empleado de los servidores públicos del Ayuntamiento son asignados por el Departamento de Recursos Humanos o equivalente y se trata de un código identificador para uso exclusivo del empleado que, de vincularse y relacionarse al RFC lo hace identificable plenamente y, con los mismos se puede tener acceso a diversa información, inclusive con sus datos personales.</w:t>
      </w:r>
    </w:p>
    <w:p w14:paraId="06E56B7E" w14:textId="77777777" w:rsidR="00201D6C" w:rsidRPr="00485F10" w:rsidRDefault="00201D6C" w:rsidP="00201D6C">
      <w:pPr>
        <w:pBdr>
          <w:top w:val="nil"/>
          <w:left w:val="nil"/>
          <w:bottom w:val="nil"/>
          <w:right w:val="nil"/>
          <w:between w:val="nil"/>
        </w:pBdr>
        <w:rPr>
          <w:rFonts w:eastAsia="Palatino Linotype" w:cs="Palatino Linotype"/>
          <w:color w:val="000000"/>
          <w:szCs w:val="24"/>
        </w:rPr>
      </w:pPr>
    </w:p>
    <w:p w14:paraId="2A597EBE" w14:textId="77777777" w:rsidR="00201D6C" w:rsidRPr="00485F10" w:rsidRDefault="00201D6C" w:rsidP="00201D6C">
      <w:pPr>
        <w:pBdr>
          <w:top w:val="nil"/>
          <w:left w:val="nil"/>
          <w:bottom w:val="nil"/>
          <w:right w:val="nil"/>
          <w:between w:val="nil"/>
        </w:pBdr>
        <w:rPr>
          <w:rFonts w:eastAsia="Palatino Linotype" w:cs="Palatino Linotype"/>
          <w:color w:val="000000"/>
        </w:rPr>
      </w:pPr>
      <w:r w:rsidRPr="00485F10">
        <w:rPr>
          <w:rFonts w:eastAsia="Palatino Linotype" w:cs="Palatino Linotype"/>
          <w:color w:val="000000"/>
          <w:szCs w:val="24"/>
        </w:rPr>
        <w:t xml:space="preserve">Se trata de un número de identificación personal utilizado como usuario para acceder a diferentes aplicaciones internas del Ayuntamiento y que en las cuales existe información </w:t>
      </w:r>
      <w:r w:rsidRPr="00485F10">
        <w:rPr>
          <w:rFonts w:eastAsia="Palatino Linotype" w:cs="Palatino Linotype"/>
          <w:color w:val="000000"/>
          <w:szCs w:val="24"/>
        </w:rPr>
        <w:lastRenderedPageBreak/>
        <w:t>confidencial que atañe a su titular sirve de apoyo el criterio 06/19 emitido por el instituto Nacional de Transparencia, Acceso a la Información y Protección de Datos Personales (INAI</w:t>
      </w:r>
      <w:r w:rsidRPr="00485F10">
        <w:rPr>
          <w:rFonts w:eastAsia="Palatino Linotype" w:cs="Palatino Linotype"/>
          <w:color w:val="000000"/>
        </w:rPr>
        <w:t xml:space="preserve">); </w:t>
      </w:r>
    </w:p>
    <w:p w14:paraId="465FFAD1" w14:textId="77777777" w:rsidR="00201D6C" w:rsidRPr="00485F10" w:rsidRDefault="00201D6C" w:rsidP="00201D6C">
      <w:pPr>
        <w:pBdr>
          <w:top w:val="nil"/>
          <w:left w:val="nil"/>
          <w:bottom w:val="nil"/>
          <w:right w:val="nil"/>
          <w:between w:val="nil"/>
        </w:pBdr>
        <w:ind w:left="567" w:right="822"/>
        <w:rPr>
          <w:rFonts w:eastAsia="Palatino Linotype" w:cs="Palatino Linotype"/>
          <w:i/>
          <w:color w:val="000000"/>
          <w:sz w:val="22"/>
        </w:rPr>
      </w:pPr>
      <w:r w:rsidRPr="00485F10">
        <w:rPr>
          <w:rFonts w:eastAsia="Palatino Linotype" w:cs="Palatino Linotype"/>
          <w:b/>
          <w:i/>
          <w:color w:val="000000"/>
          <w:sz w:val="22"/>
        </w:rPr>
        <w:t>Número de empleado.</w:t>
      </w:r>
      <w:r w:rsidRPr="00485F10">
        <w:rPr>
          <w:rFonts w:eastAsia="Palatino Linotype" w:cs="Palatino Linotype"/>
          <w:i/>
          <w:color w:val="000000"/>
          <w:sz w:val="22"/>
        </w:rPr>
        <w:t xml:space="preserve"> Cuando el número de empleado o su equivalente, se integra con datos personales de los trabajadores o funciona como una clave de acceso que no requiere adicionalmente de una contraseña para ingresar a sistemas de base de datos personales, procede su clasificación como confidencial.</w:t>
      </w:r>
    </w:p>
    <w:p w14:paraId="6B25FBD0" w14:textId="77777777" w:rsidR="00201D6C" w:rsidRPr="00485F10" w:rsidRDefault="00201D6C" w:rsidP="00201D6C">
      <w:pPr>
        <w:pBdr>
          <w:top w:val="nil"/>
          <w:left w:val="nil"/>
          <w:bottom w:val="nil"/>
          <w:right w:val="nil"/>
          <w:between w:val="nil"/>
        </w:pBdr>
        <w:rPr>
          <w:rFonts w:eastAsia="Palatino Linotype" w:cs="Palatino Linotype"/>
          <w:color w:val="000000"/>
          <w:szCs w:val="24"/>
        </w:rPr>
      </w:pPr>
    </w:p>
    <w:p w14:paraId="7917BE9B" w14:textId="429233C2" w:rsidR="00201D6C" w:rsidRPr="00485F10" w:rsidRDefault="00201D6C" w:rsidP="00201D6C">
      <w:pPr>
        <w:pBdr>
          <w:top w:val="nil"/>
          <w:left w:val="nil"/>
          <w:bottom w:val="nil"/>
          <w:right w:val="nil"/>
          <w:between w:val="nil"/>
        </w:pBdr>
        <w:rPr>
          <w:rFonts w:eastAsia="Palatino Linotype" w:cs="Palatino Linotype"/>
          <w:color w:val="000000"/>
        </w:rPr>
      </w:pPr>
      <w:r w:rsidRPr="00485F10">
        <w:rPr>
          <w:rFonts w:eastAsia="Palatino Linotype" w:cs="Palatino Linotype"/>
          <w:color w:val="000000"/>
          <w:szCs w:val="24"/>
        </w:rPr>
        <w:t>En otros escenarios, el número de empleado corresponde sólo a un número consecutivo que no contiene datos personales ni se relaciona con los mismos, por lo que, solo se debe clasificar dicho dato únicamente si se integra con datos personales, tal y como lo señala el criterio orientador.</w:t>
      </w:r>
    </w:p>
    <w:p w14:paraId="1EF82B29" w14:textId="77777777" w:rsidR="00201D6C" w:rsidRPr="00485F10" w:rsidRDefault="00201D6C" w:rsidP="00201D6C">
      <w:pPr>
        <w:pStyle w:val="Ttulo3"/>
        <w:rPr>
          <w:rFonts w:eastAsia="Palatino Linotype" w:cs="Palatino Linotype"/>
          <w:b/>
        </w:rPr>
      </w:pPr>
      <w:bookmarkStart w:id="3" w:name="_heading=h.lnxbz9" w:colFirst="0" w:colLast="0"/>
      <w:bookmarkEnd w:id="3"/>
      <w:r w:rsidRPr="00485F10">
        <w:rPr>
          <w:rFonts w:eastAsia="Palatino Linotype" w:cs="Palatino Linotype"/>
          <w:b/>
          <w:color w:val="000000"/>
        </w:rPr>
        <w:t>IV. Registro Federal de Contribuyentes (RFC)</w:t>
      </w:r>
    </w:p>
    <w:p w14:paraId="319C7845" w14:textId="77777777" w:rsidR="00201D6C" w:rsidRPr="00485F10" w:rsidRDefault="00201D6C" w:rsidP="00201D6C">
      <w:pPr>
        <w:pBdr>
          <w:top w:val="nil"/>
          <w:left w:val="nil"/>
          <w:bottom w:val="nil"/>
          <w:right w:val="nil"/>
          <w:between w:val="nil"/>
        </w:pBdr>
        <w:rPr>
          <w:rFonts w:eastAsia="Palatino Linotype" w:cs="Palatino Linotype"/>
          <w:color w:val="000000"/>
          <w:szCs w:val="24"/>
        </w:rPr>
      </w:pPr>
      <w:r w:rsidRPr="00485F10">
        <w:rPr>
          <w:rFonts w:eastAsia="Palatino Linotype" w:cs="Palatino Linotype"/>
          <w:color w:val="000000"/>
          <w:szCs w:val="24"/>
        </w:rPr>
        <w:t>El RFC es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5ABEC7A1" w14:textId="77777777" w:rsidR="00201D6C" w:rsidRPr="00485F10" w:rsidRDefault="00201D6C" w:rsidP="00201D6C">
      <w:pPr>
        <w:pBdr>
          <w:top w:val="nil"/>
          <w:left w:val="nil"/>
          <w:bottom w:val="nil"/>
          <w:right w:val="nil"/>
          <w:between w:val="nil"/>
        </w:pBdr>
        <w:rPr>
          <w:rFonts w:eastAsia="Palatino Linotype" w:cs="Palatino Linotype"/>
          <w:color w:val="000000"/>
          <w:szCs w:val="24"/>
        </w:rPr>
      </w:pPr>
    </w:p>
    <w:p w14:paraId="63FD6026" w14:textId="77777777" w:rsidR="00201D6C" w:rsidRPr="00485F10" w:rsidRDefault="00201D6C" w:rsidP="00201D6C">
      <w:pPr>
        <w:pBdr>
          <w:top w:val="nil"/>
          <w:left w:val="nil"/>
          <w:bottom w:val="nil"/>
          <w:right w:val="nil"/>
          <w:between w:val="nil"/>
        </w:pBdr>
        <w:rPr>
          <w:rFonts w:eastAsia="Palatino Linotype" w:cs="Palatino Linotype"/>
          <w:color w:val="000000"/>
          <w:szCs w:val="24"/>
        </w:rPr>
      </w:pPr>
      <w:r w:rsidRPr="00485F10">
        <w:rPr>
          <w:rFonts w:eastAsia="Palatino Linotype" w:cs="Palatino Linotype"/>
          <w:color w:val="000000"/>
          <w:szCs w:val="24"/>
        </w:rPr>
        <w:t xml:space="preserve">De acuerdo a lo establecido en el artículo en comento, esta clave se compone de trece caracteres alfanuméricos, con datos obtenidos de los apellidos, nombre (s), fecha de nacimiento del titular, más una </w:t>
      </w:r>
      <w:proofErr w:type="spellStart"/>
      <w:r w:rsidRPr="00485F10">
        <w:rPr>
          <w:rFonts w:eastAsia="Palatino Linotype" w:cs="Palatino Linotype"/>
          <w:color w:val="000000"/>
          <w:szCs w:val="24"/>
        </w:rPr>
        <w:t>homoclave</w:t>
      </w:r>
      <w:proofErr w:type="spellEnd"/>
      <w:r w:rsidRPr="00485F10">
        <w:rPr>
          <w:rFonts w:eastAsia="Palatino Linotype" w:cs="Palatino Linotype"/>
          <w:color w:val="000000"/>
          <w:szCs w:val="24"/>
        </w:rPr>
        <w:t xml:space="preserve"> que establece el sistema automático del Servicio de Administración Tributaria.</w:t>
      </w:r>
    </w:p>
    <w:p w14:paraId="0A5E8AE4" w14:textId="77777777" w:rsidR="00201D6C" w:rsidRPr="00485F10" w:rsidRDefault="00201D6C" w:rsidP="00201D6C">
      <w:pPr>
        <w:pBdr>
          <w:top w:val="nil"/>
          <w:left w:val="nil"/>
          <w:bottom w:val="nil"/>
          <w:right w:val="nil"/>
          <w:between w:val="nil"/>
        </w:pBdr>
        <w:rPr>
          <w:rFonts w:eastAsia="Palatino Linotype" w:cs="Palatino Linotype"/>
          <w:color w:val="000000"/>
          <w:szCs w:val="24"/>
        </w:rPr>
      </w:pPr>
    </w:p>
    <w:p w14:paraId="680314AF" w14:textId="77777777" w:rsidR="00201D6C" w:rsidRPr="00485F10" w:rsidRDefault="00201D6C" w:rsidP="00201D6C">
      <w:pPr>
        <w:pBdr>
          <w:top w:val="nil"/>
          <w:left w:val="nil"/>
          <w:bottom w:val="nil"/>
          <w:right w:val="nil"/>
          <w:between w:val="nil"/>
        </w:pBdr>
        <w:rPr>
          <w:rFonts w:eastAsia="Palatino Linotype" w:cs="Palatino Linotype"/>
          <w:color w:val="000000"/>
          <w:szCs w:val="24"/>
        </w:rPr>
      </w:pPr>
      <w:r w:rsidRPr="00485F10">
        <w:rPr>
          <w:rFonts w:eastAsia="Palatino Linotype" w:cs="Palatino Linotype"/>
          <w:color w:val="000000"/>
          <w:szCs w:val="24"/>
        </w:rPr>
        <w:lastRenderedPageBreak/>
        <w:t>Ahora bien, la clave del Registro Federal de Contribuyentes, es el medio de control que tiene la Secretaría de Hacienda y Crédito Público (SHCP) a través del Servicio de Administración Tributaria (SAT),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593D5ED4" w14:textId="77777777" w:rsidR="00201D6C" w:rsidRPr="00485F10" w:rsidRDefault="00201D6C" w:rsidP="00201D6C">
      <w:pPr>
        <w:pBdr>
          <w:top w:val="nil"/>
          <w:left w:val="nil"/>
          <w:bottom w:val="nil"/>
          <w:right w:val="nil"/>
          <w:between w:val="nil"/>
        </w:pBdr>
        <w:ind w:left="720"/>
        <w:rPr>
          <w:rFonts w:eastAsia="Palatino Linotype" w:cs="Palatino Linotype"/>
          <w:color w:val="000000"/>
          <w:szCs w:val="24"/>
        </w:rPr>
      </w:pPr>
    </w:p>
    <w:p w14:paraId="1FD86447" w14:textId="7DD87243" w:rsidR="00201D6C" w:rsidRPr="00485F10" w:rsidRDefault="00201D6C" w:rsidP="00201D6C">
      <w:pPr>
        <w:pBdr>
          <w:top w:val="nil"/>
          <w:left w:val="nil"/>
          <w:bottom w:val="nil"/>
          <w:right w:val="nil"/>
          <w:between w:val="nil"/>
        </w:pBdr>
        <w:rPr>
          <w:rFonts w:eastAsia="Palatino Linotype" w:cs="Palatino Linotype"/>
          <w:color w:val="000000"/>
          <w:szCs w:val="24"/>
        </w:rPr>
      </w:pPr>
      <w:r w:rsidRPr="00485F10">
        <w:rPr>
          <w:rFonts w:eastAsia="Palatino Linotype" w:cs="Palatino Linotype"/>
          <w:color w:val="000000"/>
          <w:szCs w:val="24"/>
        </w:rPr>
        <w:t xml:space="preserve">Conforme a lo expuesto, el Registro Federal de Contribuyentes, es un dato personal, ya que hace a las personas físicas identificas e identificables, además de que las relaciona como contribuyentes de las autoridades fiscales. Es de destacar que el Registro Federal de Contribuyentes únicamente sirve para efectos fiscales y pago de contribuciones, por lo que se trata de un dato relevante únicamente para las personas </w:t>
      </w:r>
      <w:proofErr w:type="gramStart"/>
      <w:r w:rsidRPr="00485F10">
        <w:rPr>
          <w:rFonts w:eastAsia="Palatino Linotype" w:cs="Palatino Linotype"/>
          <w:color w:val="000000"/>
          <w:szCs w:val="24"/>
        </w:rPr>
        <w:t>involucradas</w:t>
      </w:r>
      <w:proofErr w:type="gramEnd"/>
      <w:r w:rsidRPr="00485F10">
        <w:rPr>
          <w:rFonts w:eastAsia="Palatino Linotype" w:cs="Palatino Linotype"/>
          <w:color w:val="000000"/>
          <w:szCs w:val="24"/>
        </w:rPr>
        <w:t>, en el pago de estos.</w:t>
      </w:r>
    </w:p>
    <w:p w14:paraId="4B8BC4BE" w14:textId="77777777" w:rsidR="00201D6C" w:rsidRPr="00485F10" w:rsidRDefault="00201D6C" w:rsidP="00201D6C">
      <w:pPr>
        <w:pBdr>
          <w:top w:val="nil"/>
          <w:left w:val="nil"/>
          <w:bottom w:val="nil"/>
          <w:right w:val="nil"/>
          <w:between w:val="nil"/>
        </w:pBdr>
        <w:rPr>
          <w:rFonts w:eastAsia="Palatino Linotype" w:cs="Palatino Linotype"/>
          <w:color w:val="000000"/>
          <w:szCs w:val="24"/>
        </w:rPr>
      </w:pPr>
      <w:r w:rsidRPr="00485F10">
        <w:rPr>
          <w:rFonts w:eastAsia="Palatino Linotype" w:cs="Palatino Linotype"/>
          <w:color w:val="000000"/>
          <w:szCs w:val="24"/>
        </w:rPr>
        <w:t>Lo anterior, resulta congruente con el Criterio 19/17 emitido por el Instituto Nacional de Transparencia, Acceso a la Información y Protección de Datos Personales, en el cual se señala lo siguiente:</w:t>
      </w:r>
    </w:p>
    <w:p w14:paraId="4C079BC4" w14:textId="77777777" w:rsidR="00201D6C" w:rsidRPr="00485F10" w:rsidRDefault="00201D6C" w:rsidP="00201D6C">
      <w:pPr>
        <w:ind w:left="567"/>
        <w:rPr>
          <w:rFonts w:eastAsia="Palatino Linotype" w:cs="Palatino Linotype"/>
          <w:b/>
          <w:i/>
          <w:sz w:val="22"/>
        </w:rPr>
      </w:pPr>
      <w:r w:rsidRPr="00485F10">
        <w:rPr>
          <w:rFonts w:eastAsia="Palatino Linotype" w:cs="Palatino Linotype"/>
          <w:b/>
          <w:i/>
          <w:sz w:val="22"/>
        </w:rPr>
        <w:t xml:space="preserve">Registro Federal de Contribuyentes (RFC) de personas físicas. </w:t>
      </w:r>
    </w:p>
    <w:p w14:paraId="5AEF99E0" w14:textId="77777777" w:rsidR="00201D6C" w:rsidRPr="00485F10" w:rsidRDefault="00201D6C" w:rsidP="00201D6C">
      <w:pPr>
        <w:pBdr>
          <w:top w:val="nil"/>
          <w:left w:val="nil"/>
          <w:bottom w:val="nil"/>
          <w:right w:val="nil"/>
          <w:between w:val="nil"/>
        </w:pBdr>
        <w:ind w:left="567" w:right="567"/>
        <w:rPr>
          <w:rFonts w:eastAsia="Palatino Linotype" w:cs="Palatino Linotype"/>
          <w:i/>
          <w:color w:val="000000"/>
          <w:sz w:val="22"/>
        </w:rPr>
      </w:pPr>
      <w:r w:rsidRPr="00485F10">
        <w:rPr>
          <w:rFonts w:eastAsia="Palatino Linotype" w:cs="Palatino Linotype"/>
          <w:i/>
          <w:color w:val="000000"/>
          <w:sz w:val="22"/>
        </w:rPr>
        <w:t xml:space="preserve">El RFC es una clave de carácter fiscal, </w:t>
      </w:r>
      <w:proofErr w:type="gramStart"/>
      <w:r w:rsidRPr="00485F10">
        <w:rPr>
          <w:rFonts w:eastAsia="Palatino Linotype" w:cs="Palatino Linotype"/>
          <w:i/>
          <w:color w:val="000000"/>
          <w:sz w:val="22"/>
        </w:rPr>
        <w:t>única</w:t>
      </w:r>
      <w:proofErr w:type="gramEnd"/>
      <w:r w:rsidRPr="00485F10">
        <w:rPr>
          <w:rFonts w:eastAsia="Palatino Linotype" w:cs="Palatino Linotype"/>
          <w:i/>
          <w:color w:val="000000"/>
          <w:sz w:val="22"/>
        </w:rPr>
        <w:t xml:space="preserve"> e irrepetible, que permite identificar al titular, su edad y fecha de nacimiento, por lo que es un dato personal de carácter confidencial.</w:t>
      </w:r>
    </w:p>
    <w:p w14:paraId="34EF00E4" w14:textId="77777777" w:rsidR="00201D6C" w:rsidRPr="00485F10" w:rsidRDefault="00201D6C" w:rsidP="00201D6C">
      <w:pPr>
        <w:pBdr>
          <w:top w:val="nil"/>
          <w:left w:val="nil"/>
          <w:bottom w:val="nil"/>
          <w:right w:val="nil"/>
          <w:between w:val="nil"/>
        </w:pBdr>
        <w:ind w:left="567" w:right="567"/>
        <w:rPr>
          <w:rFonts w:eastAsia="Palatino Linotype" w:cs="Palatino Linotype"/>
          <w:color w:val="000000"/>
        </w:rPr>
      </w:pPr>
    </w:p>
    <w:p w14:paraId="5001EE7D" w14:textId="77777777" w:rsidR="00201D6C" w:rsidRPr="00485F10" w:rsidRDefault="00201D6C" w:rsidP="00201D6C">
      <w:pPr>
        <w:pBdr>
          <w:top w:val="nil"/>
          <w:left w:val="nil"/>
          <w:bottom w:val="nil"/>
          <w:right w:val="nil"/>
          <w:between w:val="nil"/>
        </w:pBdr>
        <w:rPr>
          <w:rFonts w:eastAsia="Palatino Linotype" w:cs="Palatino Linotype"/>
          <w:color w:val="000000"/>
          <w:szCs w:val="24"/>
        </w:rPr>
      </w:pPr>
      <w:r w:rsidRPr="00485F10">
        <w:rPr>
          <w:rFonts w:eastAsia="Palatino Linotype" w:cs="Palatino Linotype"/>
          <w:b/>
          <w:color w:val="000000"/>
          <w:szCs w:val="24"/>
        </w:rPr>
        <w:t>De tal suerte, el Registro Federal de Contribuyentes de las personas físicas no guarda relación con la transparencia de los recursos públicos</w:t>
      </w:r>
      <w:r w:rsidRPr="00485F10">
        <w:rPr>
          <w:rFonts w:eastAsia="Palatino Linotype" w:cs="Palatino Linotype"/>
          <w:color w:val="000000"/>
          <w:szCs w:val="24"/>
        </w:rPr>
        <w:t>, así como tampoco con el desempeño laboral que pueda tener una persona.</w:t>
      </w:r>
    </w:p>
    <w:p w14:paraId="75270C12" w14:textId="77777777" w:rsidR="00201D6C" w:rsidRPr="00485F10" w:rsidRDefault="00201D6C" w:rsidP="00201D6C">
      <w:pPr>
        <w:pBdr>
          <w:top w:val="nil"/>
          <w:left w:val="nil"/>
          <w:bottom w:val="nil"/>
          <w:right w:val="nil"/>
          <w:between w:val="nil"/>
        </w:pBdr>
        <w:rPr>
          <w:rFonts w:eastAsia="Palatino Linotype" w:cs="Palatino Linotype"/>
          <w:color w:val="000000"/>
          <w:szCs w:val="24"/>
        </w:rPr>
      </w:pPr>
    </w:p>
    <w:p w14:paraId="7607067F" w14:textId="77777777" w:rsidR="00201D6C" w:rsidRPr="00485F10" w:rsidRDefault="00201D6C" w:rsidP="00201D6C">
      <w:pPr>
        <w:pStyle w:val="Ttulo3"/>
        <w:rPr>
          <w:rFonts w:eastAsia="Palatino Linotype" w:cs="Palatino Linotype"/>
          <w:b/>
          <w:color w:val="000000"/>
        </w:rPr>
      </w:pPr>
      <w:bookmarkStart w:id="4" w:name="_heading=h.35nkun2" w:colFirst="0" w:colLast="0"/>
      <w:bookmarkEnd w:id="4"/>
      <w:r w:rsidRPr="00485F10">
        <w:rPr>
          <w:rFonts w:eastAsia="Palatino Linotype" w:cs="Palatino Linotype"/>
          <w:b/>
          <w:color w:val="000000"/>
        </w:rPr>
        <w:lastRenderedPageBreak/>
        <w:t>V. Deducciones personales</w:t>
      </w:r>
    </w:p>
    <w:p w14:paraId="06912F00" w14:textId="77777777" w:rsidR="00201D6C" w:rsidRPr="00485F10" w:rsidRDefault="00201D6C" w:rsidP="00201D6C">
      <w:pPr>
        <w:pBdr>
          <w:top w:val="nil"/>
          <w:left w:val="nil"/>
          <w:bottom w:val="nil"/>
          <w:right w:val="nil"/>
          <w:between w:val="nil"/>
        </w:pBdr>
        <w:rPr>
          <w:rFonts w:eastAsia="Palatino Linotype" w:cs="Palatino Linotype"/>
          <w:color w:val="000000"/>
          <w:szCs w:val="24"/>
        </w:rPr>
      </w:pPr>
      <w:r w:rsidRPr="00485F10">
        <w:rPr>
          <w:rFonts w:eastAsia="Palatino Linotype" w:cs="Palatino Linotype"/>
          <w:color w:val="000000"/>
          <w:szCs w:val="24"/>
        </w:rPr>
        <w:t xml:space="preserve">Es necesario precisar que existen deducciones que se generan con motivo de una decisión libre y voluntaria de los servidores públicos, como son: créditos personales, </w:t>
      </w:r>
      <w:r w:rsidRPr="00485F10">
        <w:rPr>
          <w:rFonts w:eastAsia="Palatino Linotype" w:cs="Palatino Linotype"/>
          <w:b/>
          <w:color w:val="000000"/>
          <w:szCs w:val="24"/>
          <w:u w:val="single"/>
        </w:rPr>
        <w:t>cuotas sindicales y fondo de resistencia del Sindicato Único de Trabajadores de los Poderes, Municipios e Institución Descentralizadas del Estado de México</w:t>
      </w:r>
      <w:r w:rsidRPr="00485F10">
        <w:rPr>
          <w:rFonts w:eastAsia="Palatino Linotype" w:cs="Palatino Linotype"/>
          <w:color w:val="000000"/>
          <w:szCs w:val="24"/>
        </w:rPr>
        <w:t>, seguro de vida, accidentes y enfermedades.</w:t>
      </w:r>
    </w:p>
    <w:p w14:paraId="0AC4C608" w14:textId="77777777" w:rsidR="00201D6C" w:rsidRPr="00485F10" w:rsidRDefault="00201D6C" w:rsidP="00201D6C">
      <w:pPr>
        <w:pBdr>
          <w:top w:val="nil"/>
          <w:left w:val="nil"/>
          <w:bottom w:val="nil"/>
          <w:right w:val="nil"/>
          <w:between w:val="nil"/>
        </w:pBdr>
        <w:rPr>
          <w:rFonts w:eastAsia="Palatino Linotype" w:cs="Palatino Linotype"/>
          <w:color w:val="000000"/>
          <w:szCs w:val="24"/>
        </w:rPr>
      </w:pPr>
    </w:p>
    <w:p w14:paraId="39EDC8C5" w14:textId="77777777" w:rsidR="00201D6C" w:rsidRPr="00485F10" w:rsidRDefault="00201D6C" w:rsidP="00201D6C">
      <w:pPr>
        <w:pBdr>
          <w:top w:val="nil"/>
          <w:left w:val="nil"/>
          <w:bottom w:val="nil"/>
          <w:right w:val="nil"/>
          <w:between w:val="nil"/>
        </w:pBdr>
        <w:rPr>
          <w:rFonts w:eastAsia="Palatino Linotype" w:cs="Palatino Linotype"/>
          <w:color w:val="000000"/>
          <w:szCs w:val="24"/>
        </w:rPr>
      </w:pPr>
      <w:r w:rsidRPr="00485F10">
        <w:rPr>
          <w:rFonts w:eastAsia="Palatino Linotype" w:cs="Palatino Linotype"/>
          <w:color w:val="000000"/>
          <w:szCs w:val="24"/>
        </w:rPr>
        <w:t xml:space="preserve">Asimismo, hay otras que se generan con motivo de una sentencia judicial, como es la pensión alimenticia que periódicamente se retira de la cuenta de un empleado, a efecto de que sea entregado a un tercero.  </w:t>
      </w:r>
    </w:p>
    <w:p w14:paraId="723BF951" w14:textId="77777777" w:rsidR="00201D6C" w:rsidRPr="00485F10" w:rsidRDefault="00201D6C" w:rsidP="00201D6C">
      <w:pPr>
        <w:pBdr>
          <w:top w:val="nil"/>
          <w:left w:val="nil"/>
          <w:bottom w:val="nil"/>
          <w:right w:val="nil"/>
          <w:between w:val="nil"/>
        </w:pBdr>
        <w:ind w:left="720"/>
        <w:rPr>
          <w:rFonts w:eastAsia="Palatino Linotype" w:cs="Palatino Linotype"/>
          <w:color w:val="000000"/>
          <w:szCs w:val="24"/>
        </w:rPr>
      </w:pPr>
    </w:p>
    <w:p w14:paraId="01D88AC5" w14:textId="77777777" w:rsidR="00201D6C" w:rsidRPr="00485F10" w:rsidRDefault="00201D6C" w:rsidP="00201D6C">
      <w:pPr>
        <w:pBdr>
          <w:top w:val="nil"/>
          <w:left w:val="nil"/>
          <w:bottom w:val="nil"/>
          <w:right w:val="nil"/>
          <w:between w:val="nil"/>
        </w:pBdr>
        <w:rPr>
          <w:rFonts w:eastAsia="Palatino Linotype" w:cs="Palatino Linotype"/>
          <w:color w:val="000000"/>
          <w:szCs w:val="24"/>
        </w:rPr>
      </w:pPr>
      <w:r w:rsidRPr="00485F10">
        <w:rPr>
          <w:rFonts w:eastAsia="Palatino Linotype" w:cs="Palatino Linotype"/>
          <w:color w:val="000000"/>
          <w:szCs w:val="24"/>
        </w:rPr>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w:t>
      </w:r>
    </w:p>
    <w:p w14:paraId="6B50623C" w14:textId="77777777" w:rsidR="00201D6C" w:rsidRPr="00485F10" w:rsidRDefault="00201D6C" w:rsidP="00201D6C">
      <w:pPr>
        <w:pBdr>
          <w:top w:val="nil"/>
          <w:left w:val="nil"/>
          <w:bottom w:val="nil"/>
          <w:right w:val="nil"/>
          <w:between w:val="nil"/>
        </w:pBdr>
        <w:ind w:left="720"/>
        <w:rPr>
          <w:rFonts w:eastAsia="Palatino Linotype" w:cs="Palatino Linotype"/>
          <w:color w:val="000000"/>
          <w:szCs w:val="24"/>
        </w:rPr>
      </w:pPr>
    </w:p>
    <w:p w14:paraId="05D57A42" w14:textId="77777777" w:rsidR="00201D6C" w:rsidRPr="00485F10" w:rsidRDefault="00201D6C" w:rsidP="00201D6C">
      <w:pPr>
        <w:pBdr>
          <w:top w:val="nil"/>
          <w:left w:val="nil"/>
          <w:bottom w:val="nil"/>
          <w:right w:val="nil"/>
          <w:between w:val="nil"/>
        </w:pBdr>
        <w:rPr>
          <w:rFonts w:eastAsia="Palatino Linotype" w:cs="Palatino Linotype"/>
          <w:color w:val="000000"/>
          <w:szCs w:val="24"/>
        </w:rPr>
      </w:pPr>
      <w:r w:rsidRPr="00485F10">
        <w:rPr>
          <w:rFonts w:eastAsia="Palatino Linotype" w:cs="Palatino Linotype"/>
          <w:color w:val="000000"/>
          <w:szCs w:val="24"/>
        </w:rPr>
        <w:t>Así, dichas deducciones reflejan el destino que un servidor público da a su patrimonio, lo que se aleja de la transparencia y rendición de cuentas.</w:t>
      </w:r>
      <w:bookmarkStart w:id="5" w:name="_heading=h.1ksv4uv" w:colFirst="0" w:colLast="0"/>
      <w:bookmarkEnd w:id="5"/>
      <w:r w:rsidRPr="00485F10">
        <w:rPr>
          <w:rFonts w:eastAsia="Palatino Linotype" w:cs="Palatino Linotype"/>
          <w:color w:val="000000"/>
          <w:szCs w:val="24"/>
        </w:rPr>
        <w:t xml:space="preserve"> Hasta este punto, se considera que la información relacionada con los siguientes puntos actualiza una causal de confidencialidad, toda vez que identifica o hace identificable a su titular.</w:t>
      </w:r>
    </w:p>
    <w:p w14:paraId="69BFF417" w14:textId="77777777" w:rsidR="00201D6C" w:rsidRPr="00485F10" w:rsidRDefault="00201D6C" w:rsidP="00201D6C">
      <w:pPr>
        <w:numPr>
          <w:ilvl w:val="0"/>
          <w:numId w:val="3"/>
        </w:numPr>
        <w:pBdr>
          <w:top w:val="nil"/>
          <w:left w:val="nil"/>
          <w:bottom w:val="nil"/>
          <w:right w:val="nil"/>
          <w:between w:val="nil"/>
        </w:pBdr>
        <w:rPr>
          <w:rFonts w:eastAsia="Palatino Linotype" w:cs="Palatino Linotype"/>
          <w:color w:val="000000"/>
        </w:rPr>
      </w:pPr>
      <w:r w:rsidRPr="00485F10">
        <w:rPr>
          <w:rFonts w:eastAsia="Palatino Linotype" w:cs="Palatino Linotype"/>
          <w:color w:val="000000"/>
        </w:rPr>
        <w:t>Clave Única de Registro de Población (CURP)</w:t>
      </w:r>
    </w:p>
    <w:p w14:paraId="04040674" w14:textId="77777777" w:rsidR="00201D6C" w:rsidRPr="00485F10" w:rsidRDefault="00201D6C" w:rsidP="00201D6C">
      <w:pPr>
        <w:numPr>
          <w:ilvl w:val="0"/>
          <w:numId w:val="3"/>
        </w:numPr>
        <w:pBdr>
          <w:top w:val="nil"/>
          <w:left w:val="nil"/>
          <w:bottom w:val="nil"/>
          <w:right w:val="nil"/>
          <w:between w:val="nil"/>
        </w:pBdr>
        <w:rPr>
          <w:rFonts w:eastAsia="Palatino Linotype" w:cs="Palatino Linotype"/>
          <w:color w:val="000000"/>
        </w:rPr>
      </w:pPr>
      <w:r w:rsidRPr="00485F10">
        <w:rPr>
          <w:rFonts w:eastAsia="Palatino Linotype" w:cs="Palatino Linotype"/>
          <w:color w:val="000000"/>
        </w:rPr>
        <w:t xml:space="preserve">Clave </w:t>
      </w:r>
      <w:proofErr w:type="spellStart"/>
      <w:r w:rsidRPr="00485F10">
        <w:rPr>
          <w:rFonts w:eastAsia="Palatino Linotype" w:cs="Palatino Linotype"/>
          <w:color w:val="000000"/>
        </w:rPr>
        <w:t>ISSEMyM</w:t>
      </w:r>
      <w:proofErr w:type="spellEnd"/>
    </w:p>
    <w:p w14:paraId="2978396E" w14:textId="77777777" w:rsidR="00201D6C" w:rsidRPr="00485F10" w:rsidRDefault="00201D6C" w:rsidP="00201D6C">
      <w:pPr>
        <w:numPr>
          <w:ilvl w:val="0"/>
          <w:numId w:val="3"/>
        </w:numPr>
        <w:pBdr>
          <w:top w:val="nil"/>
          <w:left w:val="nil"/>
          <w:bottom w:val="nil"/>
          <w:right w:val="nil"/>
          <w:between w:val="nil"/>
        </w:pBdr>
        <w:rPr>
          <w:rFonts w:eastAsia="Palatino Linotype" w:cs="Palatino Linotype"/>
          <w:color w:val="000000"/>
        </w:rPr>
      </w:pPr>
      <w:r w:rsidRPr="00485F10">
        <w:rPr>
          <w:rFonts w:eastAsia="Palatino Linotype" w:cs="Palatino Linotype"/>
          <w:color w:val="000000"/>
        </w:rPr>
        <w:lastRenderedPageBreak/>
        <w:t>Registro Federal de Contribuyentes (RFC)</w:t>
      </w:r>
    </w:p>
    <w:p w14:paraId="043FE7AA" w14:textId="77777777" w:rsidR="00201D6C" w:rsidRPr="00485F10" w:rsidRDefault="00201D6C" w:rsidP="00201D6C">
      <w:pPr>
        <w:numPr>
          <w:ilvl w:val="0"/>
          <w:numId w:val="3"/>
        </w:numPr>
        <w:pBdr>
          <w:top w:val="nil"/>
          <w:left w:val="nil"/>
          <w:bottom w:val="nil"/>
          <w:right w:val="nil"/>
          <w:between w:val="nil"/>
        </w:pBdr>
        <w:rPr>
          <w:rFonts w:eastAsia="Palatino Linotype" w:cs="Palatino Linotype"/>
          <w:color w:val="000000"/>
        </w:rPr>
      </w:pPr>
      <w:r w:rsidRPr="00485F10">
        <w:rPr>
          <w:rFonts w:eastAsia="Palatino Linotype" w:cs="Palatino Linotype"/>
          <w:color w:val="000000"/>
        </w:rPr>
        <w:t xml:space="preserve">Deducciones personales </w:t>
      </w:r>
    </w:p>
    <w:p w14:paraId="22A708CD" w14:textId="77777777" w:rsidR="00201D6C" w:rsidRPr="00485F10" w:rsidRDefault="00201D6C" w:rsidP="00201D6C">
      <w:pPr>
        <w:numPr>
          <w:ilvl w:val="0"/>
          <w:numId w:val="3"/>
        </w:numPr>
        <w:pBdr>
          <w:top w:val="nil"/>
          <w:left w:val="nil"/>
          <w:bottom w:val="nil"/>
          <w:right w:val="nil"/>
          <w:between w:val="nil"/>
        </w:pBdr>
        <w:rPr>
          <w:rFonts w:eastAsia="Palatino Linotype" w:cs="Palatino Linotype"/>
          <w:color w:val="000000"/>
        </w:rPr>
      </w:pPr>
      <w:r w:rsidRPr="00485F10">
        <w:rPr>
          <w:rFonts w:eastAsia="Palatino Linotype" w:cs="Palatino Linotype"/>
          <w:color w:val="000000"/>
        </w:rPr>
        <w:t xml:space="preserve">Número de empleado </w:t>
      </w:r>
      <w:r w:rsidRPr="00485F10">
        <w:rPr>
          <w:rFonts w:eastAsia="Palatino Linotype" w:cs="Palatino Linotype"/>
          <w:b/>
          <w:color w:val="000000"/>
        </w:rPr>
        <w:t>(sólo en el caso de que contenga datos personales o se relacione con los mismos, de lo contrario es información pública)</w:t>
      </w:r>
    </w:p>
    <w:p w14:paraId="7D09621B" w14:textId="77777777" w:rsidR="00201D6C" w:rsidRPr="00485F10" w:rsidRDefault="00201D6C" w:rsidP="00201D6C">
      <w:pPr>
        <w:pBdr>
          <w:top w:val="nil"/>
          <w:left w:val="nil"/>
          <w:bottom w:val="nil"/>
          <w:right w:val="nil"/>
          <w:between w:val="nil"/>
        </w:pBdr>
        <w:rPr>
          <w:rFonts w:eastAsia="Palatino Linotype" w:cs="Palatino Linotype"/>
          <w:color w:val="000000"/>
        </w:rPr>
      </w:pPr>
    </w:p>
    <w:p w14:paraId="6C05AA81" w14:textId="77777777" w:rsidR="00201D6C" w:rsidRPr="00485F10" w:rsidRDefault="00201D6C" w:rsidP="00201D6C">
      <w:pPr>
        <w:pBdr>
          <w:top w:val="nil"/>
          <w:left w:val="nil"/>
          <w:bottom w:val="nil"/>
          <w:right w:val="nil"/>
          <w:between w:val="nil"/>
        </w:pBdr>
        <w:rPr>
          <w:rFonts w:eastAsia="Palatino Linotype" w:cs="Palatino Linotype"/>
          <w:color w:val="000000"/>
          <w:szCs w:val="24"/>
        </w:rPr>
      </w:pPr>
      <w:r w:rsidRPr="00485F10">
        <w:rPr>
          <w:rFonts w:eastAsia="Palatino Linotype" w:cs="Palatino Linotype"/>
          <w:color w:val="000000"/>
          <w:szCs w:val="24"/>
        </w:rPr>
        <w:t>Es decir, los datos personales enlistados constituyen datos personales confidenciales al actualizar el supuesto normativo del artículo 143, fracción I de la Ley de Transparencia y Acceso a la Información Pública del Estado de México y Municipios.</w:t>
      </w:r>
    </w:p>
    <w:p w14:paraId="306B0B14" w14:textId="77777777" w:rsidR="00201D6C" w:rsidRPr="00485F10" w:rsidRDefault="00201D6C" w:rsidP="00201D6C">
      <w:pPr>
        <w:pBdr>
          <w:top w:val="nil"/>
          <w:left w:val="nil"/>
          <w:bottom w:val="nil"/>
          <w:right w:val="nil"/>
          <w:between w:val="nil"/>
        </w:pBdr>
        <w:rPr>
          <w:rFonts w:eastAsia="Palatino Linotype" w:cs="Palatino Linotype"/>
          <w:color w:val="000000"/>
        </w:rPr>
      </w:pPr>
    </w:p>
    <w:p w14:paraId="1594CD9E" w14:textId="77777777" w:rsidR="00201D6C" w:rsidRPr="00485F10" w:rsidRDefault="00201D6C" w:rsidP="00201D6C">
      <w:pPr>
        <w:pBdr>
          <w:top w:val="nil"/>
          <w:left w:val="nil"/>
          <w:bottom w:val="nil"/>
          <w:right w:val="nil"/>
          <w:between w:val="nil"/>
        </w:pBdr>
        <w:rPr>
          <w:rFonts w:eastAsia="Palatino Linotype" w:cs="Palatino Linotype"/>
          <w:color w:val="000000"/>
          <w:szCs w:val="24"/>
        </w:rPr>
      </w:pPr>
      <w:r w:rsidRPr="00485F10">
        <w:rPr>
          <w:rFonts w:eastAsia="Palatino Linotype" w:cs="Palatino Linotype"/>
          <w:color w:val="000000"/>
          <w:szCs w:val="24"/>
        </w:rPr>
        <w:t>En consecuencia, si deben ser clasificados como confidenciales y es procedente que se proporcionen a través de una versión pública que los proteja. No obstante, es necesario continuar con el análisis de la información que a dicho del Sujeto Obligado debe ser clasificada como confidencial.</w:t>
      </w:r>
    </w:p>
    <w:p w14:paraId="08A0E797" w14:textId="77777777" w:rsidR="00201D6C" w:rsidRPr="00485F10" w:rsidRDefault="00201D6C" w:rsidP="00201D6C">
      <w:pPr>
        <w:pBdr>
          <w:top w:val="nil"/>
          <w:left w:val="nil"/>
          <w:bottom w:val="nil"/>
          <w:right w:val="nil"/>
          <w:between w:val="nil"/>
        </w:pBdr>
        <w:rPr>
          <w:rFonts w:eastAsia="Palatino Linotype" w:cs="Palatino Linotype"/>
          <w:color w:val="000000"/>
          <w:szCs w:val="24"/>
        </w:rPr>
      </w:pPr>
    </w:p>
    <w:p w14:paraId="1FE14062" w14:textId="77777777" w:rsidR="00201D6C" w:rsidRPr="00485F10" w:rsidRDefault="00201D6C" w:rsidP="00201D6C">
      <w:pPr>
        <w:pBdr>
          <w:top w:val="nil"/>
          <w:left w:val="nil"/>
          <w:bottom w:val="nil"/>
          <w:right w:val="nil"/>
          <w:between w:val="nil"/>
        </w:pBdr>
        <w:rPr>
          <w:rFonts w:eastAsia="Palatino Linotype" w:cs="Palatino Linotype"/>
          <w:szCs w:val="24"/>
        </w:rPr>
      </w:pPr>
      <w:r w:rsidRPr="00485F10">
        <w:rPr>
          <w:rFonts w:eastAsia="Palatino Linotype" w:cs="Palatino Linotype"/>
          <w:szCs w:val="24"/>
        </w:rPr>
        <w:t xml:space="preserve">Por otro lado, derivado que pudiera existir información de la </w:t>
      </w:r>
      <w:r w:rsidRPr="00485F10">
        <w:rPr>
          <w:rFonts w:eastAsia="Palatino Linotype" w:cs="Palatino Linotype"/>
          <w:b/>
          <w:szCs w:val="24"/>
        </w:rPr>
        <w:t>Dirección de Seguridad Pública del Ayuntamiento o su equivalente,</w:t>
      </w:r>
      <w:r w:rsidRPr="00485F10">
        <w:rPr>
          <w:rFonts w:eastAsia="Palatino Linotype" w:cs="Palatino Linotype"/>
          <w:szCs w:val="24"/>
        </w:rPr>
        <w:t xml:space="preserve"> la cual ponga en riesgo los integrantes de las corporaciones policiacas, esto es así derivado de las funciones encomendadas en términos del artículo 21 párrafo noveno de la Constitución Política de los Estados Unidos Mexicanos, de las cuales comprende la prevención de los delitos, investigación y persecución para hacerla efectiva, lo cual permite a esta Ponencia proteger los datos de los servidores públicos que integran dicha Dirección </w:t>
      </w:r>
      <w:r w:rsidRPr="00485F10">
        <w:rPr>
          <w:rFonts w:eastAsia="Palatino Linotype" w:cs="Palatino Linotype"/>
          <w:b/>
          <w:szCs w:val="24"/>
        </w:rPr>
        <w:t>sólo por cuanto hace al nombre</w:t>
      </w:r>
      <w:r w:rsidRPr="00485F10">
        <w:rPr>
          <w:rFonts w:eastAsia="Palatino Linotype" w:cs="Palatino Linotype"/>
          <w:szCs w:val="24"/>
        </w:rPr>
        <w:t xml:space="preserve"> </w:t>
      </w:r>
      <w:r w:rsidRPr="00485F10">
        <w:rPr>
          <w:rFonts w:eastAsia="Palatino Linotype" w:cs="Palatino Linotype"/>
          <w:b/>
          <w:szCs w:val="24"/>
        </w:rPr>
        <w:t>dejando intocable el rubro del cargo</w:t>
      </w:r>
      <w:r w:rsidRPr="00485F10">
        <w:rPr>
          <w:rFonts w:eastAsia="Palatino Linotype" w:cs="Palatino Linotype"/>
          <w:szCs w:val="24"/>
        </w:rPr>
        <w:t xml:space="preserve">; circunstancia que en nada afecta al derecho tutelado por este Organismo Garante sino por el contrario también reafirma su compromiso con la rendición de cuentas del Estado y la protección a grupos vulnerables </w:t>
      </w:r>
      <w:r w:rsidRPr="00485F10">
        <w:rPr>
          <w:rFonts w:eastAsia="Palatino Linotype" w:cs="Palatino Linotype"/>
          <w:szCs w:val="24"/>
        </w:rPr>
        <w:lastRenderedPageBreak/>
        <w:t xml:space="preserve">de acuerdo al cargo de seguridad Municipal, por lo que deberá testarse de igual manera sólo el nombre de los servidores públicos de la Policía Municipal </w:t>
      </w:r>
      <w:r w:rsidRPr="00485F10">
        <w:rPr>
          <w:rFonts w:eastAsia="Palatino Linotype" w:cs="Palatino Linotype"/>
          <w:b/>
          <w:szCs w:val="24"/>
        </w:rPr>
        <w:t>que desempeñen funciones operativas</w:t>
      </w:r>
      <w:r w:rsidRPr="00485F10">
        <w:rPr>
          <w:rFonts w:eastAsia="Palatino Linotype" w:cs="Palatino Linotype"/>
          <w:szCs w:val="24"/>
        </w:rPr>
        <w:t>.</w:t>
      </w:r>
    </w:p>
    <w:p w14:paraId="1F6FAFBE" w14:textId="77777777" w:rsidR="00201D6C" w:rsidRPr="00485F10" w:rsidRDefault="00201D6C" w:rsidP="00201D6C">
      <w:pPr>
        <w:pBdr>
          <w:top w:val="nil"/>
          <w:left w:val="nil"/>
          <w:bottom w:val="nil"/>
          <w:right w:val="nil"/>
          <w:between w:val="nil"/>
        </w:pBdr>
        <w:rPr>
          <w:rFonts w:eastAsia="Palatino Linotype" w:cs="Palatino Linotype"/>
        </w:rPr>
      </w:pPr>
    </w:p>
    <w:p w14:paraId="1AB5D216" w14:textId="77777777" w:rsidR="00201D6C" w:rsidRPr="00485F10" w:rsidRDefault="00201D6C" w:rsidP="00201D6C">
      <w:pPr>
        <w:rPr>
          <w:rFonts w:eastAsia="Palatino Linotype" w:cs="Palatino Linotype"/>
          <w:szCs w:val="24"/>
        </w:rPr>
      </w:pPr>
      <w:r w:rsidRPr="00485F10">
        <w:rPr>
          <w:rFonts w:eastAsia="Palatino Linotype" w:cs="Palatino Linotype"/>
          <w:szCs w:val="24"/>
        </w:rPr>
        <w:t xml:space="preserve">Al respecto, la información </w:t>
      </w:r>
      <w:r w:rsidRPr="00485F10">
        <w:rPr>
          <w:rFonts w:eastAsia="Palatino Linotype" w:cs="Palatino Linotype"/>
          <w:b/>
          <w:szCs w:val="24"/>
        </w:rPr>
        <w:t>de los elementos que realizan funciones operativas, entre ellos su nombre debe ser protegido</w:t>
      </w:r>
      <w:r w:rsidRPr="00485F10">
        <w:rPr>
          <w:rFonts w:eastAsia="Palatino Linotype" w:cs="Palatino Linotype"/>
          <w:szCs w:val="24"/>
        </w:rPr>
        <w:t xml:space="preserve"> con la finalidad de evitar la identificación de las personas al amparo de la protección a la vida, salud y seguridad; porque los miembros de las instituciones policiales o que realizan actividades operativas en materia de seguridad pública, se encuentran en un régimen de excepción a diferencia de los servidores públicos con funciones administrativas, ello obedece a que el sólo ejercicio de las funciones que tienen encomendadas lleva implícito el riesgo a su integridad, toda vez que son responsables de procurar el orden, la estabilidad y la defensa de la sociedad a la que pertenecen, lo que se traduce en la prevención de delitos y combate a los delincuentes.</w:t>
      </w:r>
    </w:p>
    <w:p w14:paraId="4C494319" w14:textId="77777777" w:rsidR="00201D6C" w:rsidRPr="00485F10" w:rsidRDefault="00201D6C" w:rsidP="00201D6C">
      <w:pPr>
        <w:rPr>
          <w:rFonts w:eastAsia="Palatino Linotype" w:cs="Palatino Linotype"/>
          <w:szCs w:val="24"/>
        </w:rPr>
      </w:pPr>
    </w:p>
    <w:p w14:paraId="319FFD42" w14:textId="77777777" w:rsidR="00201D6C" w:rsidRPr="00485F10" w:rsidRDefault="00201D6C" w:rsidP="00201D6C">
      <w:pPr>
        <w:rPr>
          <w:rFonts w:eastAsia="Palatino Linotype" w:cs="Palatino Linotype"/>
          <w:szCs w:val="24"/>
        </w:rPr>
      </w:pPr>
      <w:r w:rsidRPr="00485F10">
        <w:rPr>
          <w:rFonts w:eastAsia="Palatino Linotype" w:cs="Palatino Linotype"/>
          <w:szCs w:val="24"/>
        </w:rPr>
        <w:t xml:space="preserve">Robustece lo anterior el Criterio Reiterado 09/2024 emitido por este órgano Garante, el cual establece la clasificación del nombre del personal operativo de seguridad como información reservada; </w:t>
      </w:r>
    </w:p>
    <w:p w14:paraId="61C3AB62" w14:textId="77777777" w:rsidR="00201D6C" w:rsidRPr="00485F10" w:rsidRDefault="00201D6C" w:rsidP="00201D6C">
      <w:pPr>
        <w:ind w:left="708"/>
        <w:rPr>
          <w:i/>
          <w:sz w:val="22"/>
        </w:rPr>
      </w:pPr>
      <w:r w:rsidRPr="00485F10">
        <w:rPr>
          <w:b/>
          <w:i/>
          <w:sz w:val="22"/>
        </w:rPr>
        <w:t xml:space="preserve">NOMBRE DE PERSONAL OPERATIVO DE  SEGURIDAD PÚBLICA. PROCEDE SU CLASIFICACIÓN COMO INFORMACIÓN RESERVADA. </w:t>
      </w:r>
      <w:r w:rsidRPr="00485F10">
        <w:rPr>
          <w:i/>
          <w:sz w:val="22"/>
        </w:rPr>
        <w:t xml:space="preserve">El nombre del personal operativo de seguridad pública debe clasificarse como información reservada </w:t>
      </w:r>
      <w:r w:rsidRPr="00485F10">
        <w:rPr>
          <w:bCs/>
          <w:i/>
          <w:sz w:val="22"/>
        </w:rPr>
        <w:t>previa acreditación de la prueba de daño</w:t>
      </w:r>
      <w:r w:rsidRPr="00485F10">
        <w:rPr>
          <w:i/>
          <w:sz w:val="22"/>
        </w:rPr>
        <w:t xml:space="preserve">, ya que su publicidad podría entorpecer las tareas de seguridad pública y poner en riesgo la vida, la seguridad o la salud del servidor público, ya que los vuelve plenamente identificables ante grupos delictivos. Sin embargo, esta causal de reserva por regla general no puede aplicar al personal </w:t>
      </w:r>
      <w:r w:rsidRPr="00485F10">
        <w:rPr>
          <w:i/>
          <w:sz w:val="22"/>
        </w:rPr>
        <w:lastRenderedPageBreak/>
        <w:t>administrativo y de mando medio y superior, al no realizar funciones operativas de seguridad pública.</w:t>
      </w:r>
    </w:p>
    <w:p w14:paraId="2A92C9B6" w14:textId="77777777" w:rsidR="00201D6C" w:rsidRPr="00485F10" w:rsidRDefault="00201D6C" w:rsidP="00201D6C">
      <w:pPr>
        <w:spacing w:line="276" w:lineRule="auto"/>
        <w:ind w:left="1276" w:firstLine="708"/>
        <w:rPr>
          <w:b/>
          <w:i/>
          <w:sz w:val="18"/>
          <w:szCs w:val="18"/>
        </w:rPr>
      </w:pPr>
      <w:r w:rsidRPr="00485F10">
        <w:rPr>
          <w:b/>
          <w:i/>
          <w:sz w:val="18"/>
          <w:szCs w:val="18"/>
        </w:rPr>
        <w:t>Precedentes:</w:t>
      </w:r>
    </w:p>
    <w:p w14:paraId="5C510F4D" w14:textId="77777777" w:rsidR="00201D6C" w:rsidRPr="00485F10" w:rsidRDefault="00201D6C" w:rsidP="00201D6C">
      <w:pPr>
        <w:pStyle w:val="Prrafodelista"/>
        <w:numPr>
          <w:ilvl w:val="0"/>
          <w:numId w:val="6"/>
        </w:numPr>
        <w:spacing w:line="240" w:lineRule="auto"/>
        <w:ind w:left="1276"/>
        <w:rPr>
          <w:i/>
          <w:sz w:val="18"/>
          <w:szCs w:val="18"/>
          <w:lang w:eastAsia="es-ES_tradnl"/>
        </w:rPr>
      </w:pPr>
      <w:r w:rsidRPr="00485F10">
        <w:rPr>
          <w:i/>
          <w:sz w:val="18"/>
          <w:szCs w:val="18"/>
          <w:lang w:eastAsia="es-ES_tradnl"/>
        </w:rPr>
        <w:t>En materia de acceso a la información pública. 03148/INFOEM/IP/RR/2023 y Acumulados. Aprobada por unanimidad de votos emitiendo voto particular los Comisionados Luis Gustavo Parra Noriega y Guadalupe Ramírez Peña. Ayuntamiento de Tlalmanalco. Comisionada ponente María del Rosario Mejía Ayala. Sesión 04-2024.</w:t>
      </w:r>
    </w:p>
    <w:p w14:paraId="2CC4E20D" w14:textId="77777777" w:rsidR="00201D6C" w:rsidRPr="00485F10" w:rsidRDefault="00201D6C" w:rsidP="00201D6C">
      <w:pPr>
        <w:pStyle w:val="Prrafodelista"/>
        <w:numPr>
          <w:ilvl w:val="0"/>
          <w:numId w:val="6"/>
        </w:numPr>
        <w:spacing w:line="240" w:lineRule="auto"/>
        <w:ind w:left="1276"/>
        <w:rPr>
          <w:i/>
          <w:sz w:val="18"/>
          <w:szCs w:val="18"/>
        </w:rPr>
      </w:pPr>
      <w:r w:rsidRPr="00485F10">
        <w:rPr>
          <w:i/>
          <w:sz w:val="18"/>
          <w:szCs w:val="18"/>
          <w:lang w:eastAsia="es-ES_tradnl"/>
        </w:rPr>
        <w:t>En materia de acceso a la información pública. 06111/INFOEM/IP/RR/2023. Aprobada por unanimidad de votos emitiendo voto particular los Comisionados José Martínez Vilchis, María del Rosario Mejía Ayala, Sharon Cristina Morales Martínez, Luis Gustavo Parra Noriega y Guadalupe Ramírez Peña. Ayuntamiento de Nicolás Romero. Comisionada ponente Sharon Cristina Morales Martínez. Sesión 07-2024.</w:t>
      </w:r>
    </w:p>
    <w:p w14:paraId="1820E7D7" w14:textId="77777777" w:rsidR="00201D6C" w:rsidRPr="00485F10" w:rsidRDefault="00201D6C" w:rsidP="00201D6C">
      <w:pPr>
        <w:pStyle w:val="Prrafodelista"/>
        <w:numPr>
          <w:ilvl w:val="0"/>
          <w:numId w:val="6"/>
        </w:numPr>
        <w:spacing w:line="240" w:lineRule="auto"/>
        <w:ind w:left="1276"/>
        <w:rPr>
          <w:i/>
          <w:sz w:val="18"/>
          <w:szCs w:val="18"/>
        </w:rPr>
      </w:pPr>
      <w:r w:rsidRPr="00485F10">
        <w:rPr>
          <w:i/>
          <w:sz w:val="18"/>
          <w:szCs w:val="18"/>
          <w:lang w:eastAsia="es-ES_tradnl"/>
        </w:rPr>
        <w:t>En materia de acceso a la información pública. 04497/INFOEM/IP/RR/2023. Aprobada por unanimidad de votos emitiendo voto particular los Comisionados Luis Gustavo Parra Noriega y Guadalupe Ramírez Peña. Ayuntamiento de Tezoyuca. Comisionada ponente Sharon Cristina Morales Martínez. Sesión 07-2024.</w:t>
      </w:r>
    </w:p>
    <w:p w14:paraId="416AD1C9" w14:textId="77777777" w:rsidR="00201D6C" w:rsidRPr="00485F10" w:rsidRDefault="00201D6C" w:rsidP="00201D6C">
      <w:pPr>
        <w:rPr>
          <w:rFonts w:eastAsia="Palatino Linotype" w:cs="Palatino Linotype"/>
        </w:rPr>
      </w:pPr>
    </w:p>
    <w:p w14:paraId="39FEEC14" w14:textId="77777777" w:rsidR="00201D6C" w:rsidRPr="00485F10" w:rsidRDefault="00201D6C" w:rsidP="00201D6C">
      <w:pPr>
        <w:pBdr>
          <w:top w:val="nil"/>
          <w:left w:val="nil"/>
          <w:bottom w:val="nil"/>
          <w:right w:val="nil"/>
          <w:between w:val="nil"/>
        </w:pBdr>
        <w:rPr>
          <w:szCs w:val="24"/>
        </w:rPr>
      </w:pPr>
      <w:r w:rsidRPr="00485F10">
        <w:rPr>
          <w:rFonts w:eastAsia="Palatino Linotype" w:cs="Palatino Linotype"/>
          <w:szCs w:val="24"/>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 así como para la elaboración de versiones públicas, al aplicar la prueba de daño correspondiente.</w:t>
      </w:r>
    </w:p>
    <w:p w14:paraId="03B38FDD" w14:textId="77777777" w:rsidR="00201D6C" w:rsidRPr="00485F10" w:rsidRDefault="00201D6C" w:rsidP="00201D6C">
      <w:pPr>
        <w:rPr>
          <w:szCs w:val="24"/>
        </w:rPr>
      </w:pPr>
    </w:p>
    <w:p w14:paraId="1AA2C789" w14:textId="77777777" w:rsidR="00201D6C" w:rsidRPr="00485F10" w:rsidRDefault="00201D6C" w:rsidP="00201D6C">
      <w:pPr>
        <w:pBdr>
          <w:top w:val="nil"/>
          <w:left w:val="nil"/>
          <w:bottom w:val="nil"/>
          <w:right w:val="nil"/>
          <w:between w:val="nil"/>
        </w:pBdr>
        <w:rPr>
          <w:rFonts w:eastAsia="Palatino Linotype" w:cs="Palatino Linotype"/>
          <w:szCs w:val="24"/>
        </w:rPr>
      </w:pPr>
      <w:r w:rsidRPr="00485F10">
        <w:rPr>
          <w:rFonts w:eastAsia="Palatino Linotype" w:cs="Palatino Linotype"/>
          <w:szCs w:val="24"/>
        </w:rPr>
        <w:t xml:space="preserve">Como se ha referido es procedente la clasificación de la información como reservada, con el fin de no poner en riesgo su vida, salud y seguridad, dado que los hace identificables, y para no comprometer el cumplimiento de los objetivos en materia de seguridad pública, o bien, la consecución de la investigación de probables hechos delictivos y/o faltas administrativas; así como evitar que células delictivas neutralizar las acciones en materia </w:t>
      </w:r>
      <w:r w:rsidRPr="00485F10">
        <w:rPr>
          <w:rFonts w:eastAsia="Palatino Linotype" w:cs="Palatino Linotype"/>
          <w:szCs w:val="24"/>
        </w:rPr>
        <w:lastRenderedPageBreak/>
        <w:t>de seguridad pública para la preservación del orden y la paz pública, por lo que, no se trata de una medida desproporcional, ni excesiva.</w:t>
      </w:r>
    </w:p>
    <w:p w14:paraId="71CD99B9" w14:textId="77777777" w:rsidR="00201D6C" w:rsidRPr="00485F10" w:rsidRDefault="00201D6C" w:rsidP="00201D6C">
      <w:pPr>
        <w:pBdr>
          <w:top w:val="nil"/>
          <w:left w:val="nil"/>
          <w:bottom w:val="nil"/>
          <w:right w:val="nil"/>
          <w:between w:val="nil"/>
        </w:pBdr>
        <w:rPr>
          <w:szCs w:val="24"/>
        </w:rPr>
      </w:pPr>
    </w:p>
    <w:p w14:paraId="1386475F" w14:textId="059C767A" w:rsidR="00201D6C" w:rsidRPr="00485F10" w:rsidRDefault="00201D6C" w:rsidP="00201D6C">
      <w:pPr>
        <w:pBdr>
          <w:top w:val="nil"/>
          <w:left w:val="nil"/>
          <w:bottom w:val="nil"/>
          <w:right w:val="nil"/>
          <w:between w:val="nil"/>
        </w:pBdr>
        <w:rPr>
          <w:rFonts w:eastAsia="Palatino Linotype" w:cs="Palatino Linotype"/>
          <w:szCs w:val="24"/>
        </w:rPr>
      </w:pPr>
      <w:r w:rsidRPr="00485F10">
        <w:rPr>
          <w:rFonts w:eastAsia="Palatino Linotype" w:cs="Palatino Linotype"/>
          <w:szCs w:val="24"/>
        </w:rPr>
        <w:t>En ese entendido, la leyenda de clasificación que se genere, deberá establecer ambos supuestos de clasificación: reserva y confidencialidad, en congruencia con los requisitos establecidos en los lineamientos citados.</w:t>
      </w:r>
      <w:r w:rsidR="00AF3376" w:rsidRPr="00485F10">
        <w:rPr>
          <w:rFonts w:eastAsia="Palatino Linotype" w:cs="Palatino Linotype"/>
          <w:szCs w:val="24"/>
        </w:rPr>
        <w:t xml:space="preserve"> </w:t>
      </w:r>
      <w:r w:rsidRPr="00485F10">
        <w:rPr>
          <w:rFonts w:eastAsia="Palatino Linotype" w:cs="Palatino Linotype"/>
          <w:szCs w:val="24"/>
        </w:rPr>
        <w:t>En este marco, cabe señalar que, si bien es cierto este Instituto de Transparencia, Acceso a la Información Pública y Protección de Datos Personales del Estado de México y Municipios tiene la misión de garantizar el derecho de acceso a la información pública de los particulares; también lo es que debe cuidar la protección de datos personales y sobre todo cuando traen implícito que se ponga en riesgo la vida o integridad de una persona, resulta necesario traer por analogía, el criterio de interpretación histórico 06/09, emitido por el entonces Instituto Federal de Acceso a la Información y Protección de Datos ahora Instituto Nacional de Transparencia, Acceso a la Información y Protección de Datos Personales, INAI, que establece lo siguiente:</w:t>
      </w:r>
    </w:p>
    <w:p w14:paraId="216CB0B9" w14:textId="77777777" w:rsidR="00201D6C" w:rsidRPr="00485F10" w:rsidRDefault="00201D6C" w:rsidP="00201D6C">
      <w:pPr>
        <w:pBdr>
          <w:top w:val="nil"/>
          <w:left w:val="nil"/>
          <w:bottom w:val="nil"/>
          <w:right w:val="nil"/>
          <w:between w:val="nil"/>
        </w:pBdr>
        <w:ind w:left="864" w:right="864"/>
        <w:rPr>
          <w:sz w:val="22"/>
        </w:rPr>
      </w:pPr>
      <w:r w:rsidRPr="00485F10">
        <w:rPr>
          <w:rFonts w:eastAsia="Palatino Linotype" w:cs="Palatino Linotype"/>
          <w:b/>
          <w:i/>
          <w:sz w:val="22"/>
        </w:rPr>
        <w:t>Nombres de servidores públicos dedicados a actividades en materia de seguridad, por excepción pueden considerarse información reservada.</w:t>
      </w:r>
      <w:r w:rsidRPr="00485F10">
        <w:rPr>
          <w:rFonts w:eastAsia="Palatino Linotype" w:cs="Palatino Linotype"/>
          <w:i/>
          <w:sz w:val="22"/>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w:t>
      </w:r>
      <w:r w:rsidRPr="00485F10">
        <w:rPr>
          <w:rFonts w:eastAsia="Palatino Linotype" w:cs="Palatino Linotype"/>
          <w:i/>
          <w:sz w:val="22"/>
        </w:rPr>
        <w:lastRenderedPageBreak/>
        <w:t>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61C47F4C" w14:textId="77777777" w:rsidR="00201D6C" w:rsidRPr="00485F10" w:rsidRDefault="00201D6C" w:rsidP="00201D6C"/>
    <w:p w14:paraId="4A547B7F" w14:textId="77777777" w:rsidR="00201D6C" w:rsidRPr="00485F10" w:rsidRDefault="00201D6C" w:rsidP="00201D6C">
      <w:pPr>
        <w:pBdr>
          <w:top w:val="nil"/>
          <w:left w:val="nil"/>
          <w:bottom w:val="nil"/>
          <w:right w:val="nil"/>
          <w:between w:val="nil"/>
        </w:pBdr>
        <w:rPr>
          <w:szCs w:val="24"/>
        </w:rPr>
      </w:pPr>
      <w:r w:rsidRPr="00485F10">
        <w:rPr>
          <w:rFonts w:eastAsia="Palatino Linotype" w:cs="Palatino Linotype"/>
          <w:szCs w:val="24"/>
        </w:rPr>
        <w:t xml:space="preserve">De dicho criterio, se desprende que existen funciones a cargo de servidores públicos, tendentes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w:t>
      </w:r>
      <w:r w:rsidRPr="00485F10">
        <w:rPr>
          <w:rFonts w:eastAsia="Palatino Linotype" w:cs="Palatino Linotype"/>
          <w:b/>
          <w:szCs w:val="24"/>
        </w:rPr>
        <w:t>funciones de carácter operativo.</w:t>
      </w:r>
    </w:p>
    <w:p w14:paraId="26129EC4" w14:textId="77777777" w:rsidR="00201D6C" w:rsidRPr="00485F10" w:rsidRDefault="00201D6C" w:rsidP="00201D6C">
      <w:pPr>
        <w:pBdr>
          <w:top w:val="nil"/>
          <w:left w:val="nil"/>
          <w:bottom w:val="nil"/>
          <w:right w:val="nil"/>
          <w:between w:val="nil"/>
        </w:pBdr>
        <w:rPr>
          <w:szCs w:val="24"/>
        </w:rPr>
      </w:pPr>
    </w:p>
    <w:p w14:paraId="336180B3" w14:textId="77777777" w:rsidR="00201D6C" w:rsidRPr="00485F10" w:rsidRDefault="00201D6C" w:rsidP="00201D6C">
      <w:pPr>
        <w:pBdr>
          <w:top w:val="nil"/>
          <w:left w:val="nil"/>
          <w:bottom w:val="nil"/>
          <w:right w:val="nil"/>
          <w:between w:val="nil"/>
        </w:pBdr>
        <w:rPr>
          <w:szCs w:val="24"/>
        </w:rPr>
      </w:pPr>
      <w:r w:rsidRPr="00485F10">
        <w:rPr>
          <w:rFonts w:eastAsia="Palatino Linotype" w:cs="Palatino Linotype"/>
          <w:szCs w:val="24"/>
        </w:rPr>
        <w:t>Sirven de sustento a lo anterior las tesis jurisprudenciales emitidas por la Suprema corte de Justicia de la Nación, que son del literal siguiente;</w:t>
      </w:r>
    </w:p>
    <w:p w14:paraId="3E930F0C" w14:textId="77777777" w:rsidR="00201D6C" w:rsidRPr="00485F10" w:rsidRDefault="00201D6C" w:rsidP="00201D6C">
      <w:pPr>
        <w:pBdr>
          <w:top w:val="nil"/>
          <w:left w:val="nil"/>
          <w:bottom w:val="nil"/>
          <w:right w:val="nil"/>
          <w:between w:val="nil"/>
        </w:pBdr>
        <w:ind w:left="864" w:right="864"/>
        <w:rPr>
          <w:sz w:val="22"/>
        </w:rPr>
      </w:pPr>
      <w:r w:rsidRPr="00485F10">
        <w:rPr>
          <w:rFonts w:eastAsia="Palatino Linotype" w:cs="Palatino Linotype"/>
          <w:b/>
          <w:i/>
          <w:sz w:val="22"/>
        </w:rPr>
        <w:t xml:space="preserve">DERECHO A LA INFORMACIÓN. SU EJERCICIO SE ENCUENTRA LIMITADO TANTO POR LOS INTERESES NACIONALES Y DE LA SOCIEDAD, COMO POR LOS DERECHOS DE TERCEROS. </w:t>
      </w:r>
      <w:r w:rsidRPr="00485F10">
        <w:rPr>
          <w:rFonts w:eastAsia="Palatino Linotype" w:cs="Palatino Linotype"/>
          <w:i/>
          <w:sz w:val="22"/>
        </w:rPr>
        <w:t xml:space="preserve">El derecho a la información consagrado en la última parte del artículo 6o. de la Constitución Federal no es absoluto, sino que, como toda garantía, se halla sujeto a limitaciones o excepciones </w:t>
      </w:r>
      <w:r w:rsidRPr="00485F10">
        <w:rPr>
          <w:rFonts w:eastAsia="Palatino Linotype" w:cs="Palatino Linotype"/>
          <w:i/>
          <w:sz w:val="22"/>
        </w:rPr>
        <w:lastRenderedPageBreak/>
        <w:t xml:space="preserve">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485F10">
        <w:rPr>
          <w:rFonts w:eastAsia="Palatino Linotype" w:cs="Palatino Linotype"/>
          <w:b/>
          <w:i/>
          <w:sz w:val="22"/>
        </w:rPr>
        <w:t>restringen el acceso a la información en esta materia, en razón de que su conocimiento público puede generar daños a los intereses nacionales y, por el otro, sancionan la inobservancia de esa reserva;</w:t>
      </w:r>
      <w:r w:rsidRPr="00485F10">
        <w:rPr>
          <w:rFonts w:eastAsia="Palatino Linotype" w:cs="Palatino Linotype"/>
          <w:i/>
          <w:sz w:val="22"/>
        </w:rPr>
        <w:t xml:space="preserve"> por lo que hace al interés social, se cuenta con normas que tienden a proteger la averiguación de los delitos, la salud y la moral públicas, </w:t>
      </w:r>
      <w:r w:rsidRPr="00485F10">
        <w:rPr>
          <w:rFonts w:eastAsia="Palatino Linotype" w:cs="Palatino Linotype"/>
          <w:b/>
          <w:i/>
          <w:sz w:val="22"/>
        </w:rPr>
        <w:t>mientras que por lo que respecta a la protección de la persona existen normas que protegen el derecho a la vida o a la privacidad de los gobernados.</w:t>
      </w:r>
    </w:p>
    <w:p w14:paraId="2AB505CB" w14:textId="77777777" w:rsidR="00201D6C" w:rsidRPr="00485F10" w:rsidRDefault="00201D6C" w:rsidP="00201D6C">
      <w:pPr>
        <w:rPr>
          <w:sz w:val="22"/>
        </w:rPr>
      </w:pPr>
    </w:p>
    <w:p w14:paraId="7DAC0CB1" w14:textId="77777777" w:rsidR="00201D6C" w:rsidRPr="00485F10" w:rsidRDefault="00201D6C" w:rsidP="00201D6C">
      <w:pPr>
        <w:pBdr>
          <w:top w:val="nil"/>
          <w:left w:val="nil"/>
          <w:bottom w:val="nil"/>
          <w:right w:val="nil"/>
          <w:between w:val="nil"/>
        </w:pBdr>
        <w:ind w:left="864" w:right="864"/>
        <w:rPr>
          <w:sz w:val="22"/>
        </w:rPr>
      </w:pPr>
      <w:r w:rsidRPr="00485F10">
        <w:rPr>
          <w:rFonts w:eastAsia="Palatino Linotype" w:cs="Palatino Linotype"/>
          <w:b/>
          <w:i/>
          <w:sz w:val="22"/>
        </w:rPr>
        <w:t>TRANSPARENCIA Y ACCESO A LA INFORMACIÓN PÚBLICA GUBERNAMENTAL. EL ARTÍCULO 14, FRACCIÓN I, DE LA LEY FEDERAL RELATIVA, NO VIOLA LA GARANTÍA DE ACCESO A LA INFORMACIÓN.</w:t>
      </w:r>
      <w:r w:rsidRPr="00485F10">
        <w:rPr>
          <w:rFonts w:eastAsia="Palatino Linotype" w:cs="Palatino Linotype"/>
          <w:i/>
          <w:sz w:val="22"/>
        </w:rPr>
        <w:t xml:space="preserve">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w:t>
      </w:r>
      <w:r w:rsidRPr="00485F10">
        <w:rPr>
          <w:rFonts w:eastAsia="Palatino Linotype" w:cs="Palatino Linotype"/>
          <w:i/>
          <w:sz w:val="22"/>
        </w:rPr>
        <w:lastRenderedPageBreak/>
        <w:t xml:space="preserve">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485F10">
        <w:rPr>
          <w:rFonts w:eastAsia="Palatino Linotype" w:cs="Palatino Linotype"/>
          <w:b/>
          <w:i/>
          <w:sz w:val="22"/>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485F10">
        <w:rPr>
          <w:rFonts w:eastAsia="Palatino Linotype" w:cs="Palatino Linotype"/>
          <w:i/>
          <w:sz w:val="22"/>
        </w:rPr>
        <w:t>, la cual debe ser adecuada y necesaria para alcanzar el fin perseguido, de manera que las ventajas obtenidas con la reserva compensen el sacrificio que ésta implique para los titulares de la garantía individual mencionada o para la sociedad en general.</w:t>
      </w:r>
    </w:p>
    <w:p w14:paraId="4C6FDB3C" w14:textId="77777777" w:rsidR="00201D6C" w:rsidRPr="00485F10" w:rsidRDefault="00201D6C" w:rsidP="00201D6C">
      <w:pPr>
        <w:pBdr>
          <w:top w:val="nil"/>
          <w:left w:val="nil"/>
          <w:bottom w:val="nil"/>
          <w:right w:val="nil"/>
          <w:between w:val="nil"/>
        </w:pBdr>
        <w:ind w:left="864" w:right="864"/>
      </w:pPr>
    </w:p>
    <w:p w14:paraId="7A3A6D3A" w14:textId="77777777" w:rsidR="00201D6C" w:rsidRPr="00485F10" w:rsidRDefault="00201D6C" w:rsidP="00201D6C">
      <w:pPr>
        <w:pBdr>
          <w:top w:val="nil"/>
          <w:left w:val="nil"/>
          <w:bottom w:val="nil"/>
          <w:right w:val="nil"/>
          <w:between w:val="nil"/>
        </w:pBdr>
        <w:rPr>
          <w:rFonts w:eastAsia="Palatino Linotype" w:cs="Palatino Linotype"/>
          <w:color w:val="000000"/>
          <w:szCs w:val="24"/>
          <w:u w:val="single"/>
        </w:rPr>
      </w:pPr>
      <w:r w:rsidRPr="00485F10">
        <w:rPr>
          <w:rFonts w:eastAsia="Palatino Linotype" w:cs="Palatino Linotype"/>
          <w:color w:val="000000"/>
          <w:szCs w:val="24"/>
        </w:rPr>
        <w:t xml:space="preserve">Ahora bien, existe algunas </w:t>
      </w:r>
      <w:r w:rsidRPr="00485F10">
        <w:rPr>
          <w:rFonts w:eastAsia="Palatino Linotype" w:cs="Palatino Linotype"/>
          <w:color w:val="000000"/>
          <w:szCs w:val="24"/>
          <w:u w:val="single"/>
        </w:rPr>
        <w:t>deducciones que no forman parte del supuesto normativo del artículo 143, fracción I de la Ley de Transparencia y Acceso a la Información Pública del Estado de México y Municipios, conforme lo siguiente:</w:t>
      </w:r>
      <w:bookmarkStart w:id="6" w:name="_heading=h.44sinio" w:colFirst="0" w:colLast="0"/>
      <w:bookmarkEnd w:id="6"/>
    </w:p>
    <w:p w14:paraId="2E7D4182" w14:textId="77777777" w:rsidR="00201D6C" w:rsidRPr="00485F10" w:rsidRDefault="00201D6C" w:rsidP="00201D6C">
      <w:pPr>
        <w:pBdr>
          <w:top w:val="nil"/>
          <w:left w:val="nil"/>
          <w:bottom w:val="nil"/>
          <w:right w:val="nil"/>
          <w:between w:val="nil"/>
        </w:pBdr>
        <w:rPr>
          <w:rFonts w:eastAsia="Palatino Linotype" w:cs="Palatino Linotype"/>
          <w:color w:val="000000"/>
          <w:szCs w:val="24"/>
          <w:u w:val="single"/>
        </w:rPr>
      </w:pPr>
    </w:p>
    <w:p w14:paraId="1646E063" w14:textId="77777777" w:rsidR="00201D6C" w:rsidRPr="00485F10" w:rsidRDefault="00201D6C" w:rsidP="00201D6C">
      <w:pPr>
        <w:pStyle w:val="Prrafodelista"/>
        <w:ind w:left="0"/>
        <w:rPr>
          <w:rFonts w:cs="Arial"/>
          <w:b/>
        </w:rPr>
      </w:pPr>
      <w:r w:rsidRPr="00485F10">
        <w:rPr>
          <w:rFonts w:cs="Arial"/>
          <w:b/>
        </w:rPr>
        <w:t>Deducciones que no son personales.</w:t>
      </w:r>
    </w:p>
    <w:p w14:paraId="381AE65F" w14:textId="77777777" w:rsidR="00201D6C" w:rsidRPr="00485F10" w:rsidRDefault="00201D6C" w:rsidP="00201D6C">
      <w:pPr>
        <w:pStyle w:val="Prrafodelista"/>
        <w:ind w:left="0"/>
        <w:rPr>
          <w:rFonts w:cs="Arial"/>
        </w:rPr>
      </w:pPr>
      <w:r w:rsidRPr="00485F10">
        <w:rPr>
          <w:rFonts w:cs="Arial"/>
        </w:rPr>
        <w:t>La Ley del Trabajo de los Servidores Públicos del Estado y Municipios</w:t>
      </w:r>
      <w:r w:rsidRPr="00485F10">
        <w:rPr>
          <w:rStyle w:val="Refdenotaalpie"/>
        </w:rPr>
        <w:footnoteReference w:id="2"/>
      </w:r>
      <w:r w:rsidRPr="00485F10">
        <w:rPr>
          <w:rFonts w:cs="Arial"/>
        </w:rPr>
        <w:t xml:space="preserve"> en el artículo 84 </w:t>
      </w:r>
      <w:proofErr w:type="gramStart"/>
      <w:r w:rsidRPr="00485F10">
        <w:rPr>
          <w:rFonts w:cs="Arial"/>
        </w:rPr>
        <w:t>establece</w:t>
      </w:r>
      <w:proofErr w:type="gramEnd"/>
      <w:r w:rsidRPr="00485F10">
        <w:rPr>
          <w:rFonts w:cs="Arial"/>
        </w:rPr>
        <w:t xml:space="preserve"> lo siguiente:</w:t>
      </w:r>
    </w:p>
    <w:p w14:paraId="7B048B06" w14:textId="77777777" w:rsidR="00201D6C" w:rsidRPr="00485F10" w:rsidRDefault="00201D6C" w:rsidP="00201D6C">
      <w:pPr>
        <w:pStyle w:val="Prrafodelista"/>
        <w:ind w:left="567" w:right="822"/>
        <w:rPr>
          <w:i/>
          <w:sz w:val="22"/>
        </w:rPr>
      </w:pPr>
      <w:r w:rsidRPr="00485F10">
        <w:rPr>
          <w:i/>
          <w:sz w:val="22"/>
        </w:rPr>
        <w:lastRenderedPageBreak/>
        <w:t xml:space="preserve">ARTÍCULO 84. Sólo podrán hacerse retenciones, descuentos o deducciones al sueldo de los servidores públicos por concepto de: </w:t>
      </w:r>
    </w:p>
    <w:p w14:paraId="78564E14" w14:textId="77777777" w:rsidR="00201D6C" w:rsidRPr="00485F10" w:rsidRDefault="00201D6C" w:rsidP="00201D6C">
      <w:pPr>
        <w:pStyle w:val="Prrafodelista"/>
        <w:ind w:left="567" w:right="822"/>
        <w:rPr>
          <w:b/>
          <w:i/>
          <w:sz w:val="22"/>
        </w:rPr>
      </w:pPr>
      <w:r w:rsidRPr="00485F10">
        <w:rPr>
          <w:b/>
          <w:i/>
          <w:sz w:val="22"/>
        </w:rPr>
        <w:t>I. Gravámenes fiscales relacionados con el sueldo;</w:t>
      </w:r>
    </w:p>
    <w:p w14:paraId="21FE3A7F" w14:textId="77777777" w:rsidR="00201D6C" w:rsidRPr="00485F10" w:rsidRDefault="00201D6C" w:rsidP="00201D6C">
      <w:pPr>
        <w:pStyle w:val="Prrafodelista"/>
        <w:ind w:left="567" w:right="822"/>
        <w:rPr>
          <w:i/>
          <w:sz w:val="22"/>
        </w:rPr>
      </w:pPr>
      <w:r w:rsidRPr="00485F10">
        <w:rPr>
          <w:i/>
          <w:sz w:val="22"/>
        </w:rPr>
        <w:t xml:space="preserve">II. Deudas contraídas con las instituciones públicas o dependencias por concepto de anticipos de sueldo, pagos hechos con exceso, errores o pérdidas debidamente comprobados; </w:t>
      </w:r>
    </w:p>
    <w:p w14:paraId="3116DCE6" w14:textId="77777777" w:rsidR="00201D6C" w:rsidRPr="00485F10" w:rsidRDefault="00201D6C" w:rsidP="00201D6C">
      <w:pPr>
        <w:pStyle w:val="Prrafodelista"/>
        <w:ind w:left="567" w:right="822"/>
        <w:rPr>
          <w:i/>
          <w:sz w:val="22"/>
        </w:rPr>
      </w:pPr>
      <w:r w:rsidRPr="00485F10">
        <w:rPr>
          <w:i/>
          <w:sz w:val="22"/>
        </w:rPr>
        <w:t xml:space="preserve">III. Cuotas sindicales; </w:t>
      </w:r>
    </w:p>
    <w:p w14:paraId="55253753" w14:textId="77777777" w:rsidR="00201D6C" w:rsidRPr="00485F10" w:rsidRDefault="00201D6C" w:rsidP="00201D6C">
      <w:pPr>
        <w:pStyle w:val="Prrafodelista"/>
        <w:ind w:left="567" w:right="822"/>
        <w:rPr>
          <w:b/>
          <w:i/>
          <w:sz w:val="22"/>
        </w:rPr>
      </w:pPr>
      <w:r w:rsidRPr="00485F10">
        <w:rPr>
          <w:b/>
          <w:i/>
          <w:sz w:val="22"/>
        </w:rPr>
        <w:t xml:space="preserve">IV. Cuotas de aportación a fondos para la constitución de cooperativas y de cajas de ahorro, siempre que el servidor público hubiese manifestado previamente, de manera expresa, su conformidad; </w:t>
      </w:r>
    </w:p>
    <w:p w14:paraId="0FC847D8" w14:textId="77777777" w:rsidR="00201D6C" w:rsidRPr="00485F10" w:rsidRDefault="00201D6C" w:rsidP="00201D6C">
      <w:pPr>
        <w:pStyle w:val="Prrafodelista"/>
        <w:ind w:left="567" w:right="822"/>
        <w:rPr>
          <w:b/>
          <w:i/>
          <w:sz w:val="22"/>
        </w:rPr>
      </w:pPr>
      <w:r w:rsidRPr="00485F10">
        <w:rPr>
          <w:b/>
          <w:i/>
          <w:sz w:val="22"/>
        </w:rPr>
        <w:t xml:space="preserve">V. Descuentos ordenados por el Instituto de Seguridad Social del Estado de México y Municipios, con motivo de cuotas y obligaciones contraídas con éste por los servidores públicos; </w:t>
      </w:r>
    </w:p>
    <w:p w14:paraId="1178D109" w14:textId="77777777" w:rsidR="00201D6C" w:rsidRPr="00485F10" w:rsidRDefault="00201D6C" w:rsidP="00201D6C">
      <w:pPr>
        <w:pStyle w:val="Prrafodelista"/>
        <w:ind w:left="567" w:right="822"/>
        <w:rPr>
          <w:i/>
          <w:sz w:val="22"/>
        </w:rPr>
      </w:pPr>
      <w:r w:rsidRPr="00485F10">
        <w:rPr>
          <w:i/>
          <w:sz w:val="22"/>
        </w:rPr>
        <w:t xml:space="preserve">VI. Obligaciones a cargo del servidor público con las que haya consentido, derivadas de la adquisición o del uso de habitaciones consideradas como de interés social; </w:t>
      </w:r>
    </w:p>
    <w:p w14:paraId="62F7F626" w14:textId="77777777" w:rsidR="00201D6C" w:rsidRPr="00485F10" w:rsidRDefault="00201D6C" w:rsidP="00201D6C">
      <w:pPr>
        <w:pStyle w:val="Prrafodelista"/>
        <w:ind w:left="567" w:right="822"/>
        <w:rPr>
          <w:i/>
          <w:sz w:val="22"/>
        </w:rPr>
      </w:pPr>
      <w:r w:rsidRPr="00485F10">
        <w:rPr>
          <w:i/>
          <w:sz w:val="22"/>
        </w:rPr>
        <w:t xml:space="preserve">VII. Faltas de puntualidad o de asistencia injustificadas; </w:t>
      </w:r>
    </w:p>
    <w:p w14:paraId="5DAAEC44" w14:textId="77777777" w:rsidR="00201D6C" w:rsidRPr="00485F10" w:rsidRDefault="00201D6C" w:rsidP="00201D6C">
      <w:pPr>
        <w:pStyle w:val="Prrafodelista"/>
        <w:ind w:left="567" w:right="822"/>
        <w:rPr>
          <w:i/>
          <w:sz w:val="22"/>
        </w:rPr>
      </w:pPr>
      <w:r w:rsidRPr="00485F10">
        <w:rPr>
          <w:i/>
          <w:sz w:val="22"/>
        </w:rPr>
        <w:t xml:space="preserve">VIII. Pensiones alimenticias ordenadas por la autoridad judicial; o </w:t>
      </w:r>
    </w:p>
    <w:p w14:paraId="0136CC17" w14:textId="77777777" w:rsidR="00201D6C" w:rsidRPr="00485F10" w:rsidRDefault="00201D6C" w:rsidP="00201D6C">
      <w:pPr>
        <w:pStyle w:val="Prrafodelista"/>
        <w:ind w:left="567" w:right="822"/>
        <w:rPr>
          <w:i/>
          <w:sz w:val="22"/>
        </w:rPr>
      </w:pPr>
      <w:r w:rsidRPr="00485F10">
        <w:rPr>
          <w:i/>
          <w:sz w:val="22"/>
        </w:rPr>
        <w:t>IX. Cualquier otro convenido con instituciones de servicios y aceptado por el servidor público.</w:t>
      </w:r>
    </w:p>
    <w:p w14:paraId="2E404A99" w14:textId="77777777" w:rsidR="00201D6C" w:rsidRPr="00485F10" w:rsidRDefault="00201D6C" w:rsidP="00201D6C">
      <w:pPr>
        <w:ind w:right="822"/>
        <w:rPr>
          <w:rFonts w:cs="Arial"/>
          <w:i/>
        </w:rPr>
      </w:pPr>
    </w:p>
    <w:p w14:paraId="737AAAEB" w14:textId="77777777" w:rsidR="00201D6C" w:rsidRPr="00485F10" w:rsidRDefault="00201D6C" w:rsidP="00201D6C">
      <w:pPr>
        <w:pStyle w:val="Prrafodelista"/>
        <w:ind w:left="0"/>
        <w:rPr>
          <w:rFonts w:cs="Arial"/>
        </w:rPr>
      </w:pPr>
      <w:r w:rsidRPr="00485F10">
        <w:rPr>
          <w:rFonts w:cs="Arial"/>
        </w:rPr>
        <w:t xml:space="preserve">Dentro de las retenciones, descuentos o deducciones de sueldo se contemplan los gravámenes fiscales, Cuotas de aportación a fondos para la constitución de cooperativas y de cajas de ahorro, así como descuentos ordenados por el </w:t>
      </w:r>
      <w:proofErr w:type="spellStart"/>
      <w:r w:rsidRPr="00485F10">
        <w:rPr>
          <w:rFonts w:cs="Arial"/>
        </w:rPr>
        <w:t>ISSEMyM</w:t>
      </w:r>
      <w:proofErr w:type="spellEnd"/>
      <w:r w:rsidRPr="00485F10">
        <w:rPr>
          <w:rFonts w:cs="Arial"/>
        </w:rPr>
        <w:t xml:space="preserve"> por motivo de cuotas y obligaciones contraídas por los servidores públicos. </w:t>
      </w:r>
      <w:r w:rsidRPr="00485F10">
        <w:rPr>
          <w:rFonts w:cs="Arial"/>
          <w:b/>
        </w:rPr>
        <w:t>Estos mencionados son de carácter público</w:t>
      </w:r>
      <w:r w:rsidRPr="00485F10">
        <w:rPr>
          <w:rFonts w:cs="Arial"/>
        </w:rPr>
        <w:t xml:space="preserve">, toda vez que se consideran descuentos que por ley se deben realizar a </w:t>
      </w:r>
      <w:r w:rsidRPr="00485F10">
        <w:rPr>
          <w:rFonts w:cs="Arial"/>
        </w:rPr>
        <w:lastRenderedPageBreak/>
        <w:t>los servidores públicos contrario a las deducciones personales que son por voluntad de cada servidor público.</w:t>
      </w:r>
    </w:p>
    <w:p w14:paraId="43FBEED2" w14:textId="77777777" w:rsidR="00201D6C" w:rsidRPr="00485F10" w:rsidRDefault="00201D6C" w:rsidP="00201D6C">
      <w:pPr>
        <w:rPr>
          <w:rFonts w:cs="Arial"/>
        </w:rPr>
      </w:pPr>
    </w:p>
    <w:p w14:paraId="3305D0AC" w14:textId="77777777" w:rsidR="00201D6C" w:rsidRPr="00485F10" w:rsidRDefault="00201D6C" w:rsidP="00201D6C">
      <w:pPr>
        <w:pStyle w:val="Prrafodelista"/>
        <w:numPr>
          <w:ilvl w:val="0"/>
          <w:numId w:val="4"/>
        </w:numPr>
        <w:rPr>
          <w:rFonts w:cs="Arial"/>
          <w:b/>
        </w:rPr>
      </w:pPr>
      <w:r w:rsidRPr="00485F10">
        <w:rPr>
          <w:rFonts w:cs="Arial"/>
          <w:b/>
        </w:rPr>
        <w:t>Seguro de Capitalización Individualizado.</w:t>
      </w:r>
    </w:p>
    <w:p w14:paraId="01231CEC" w14:textId="77777777" w:rsidR="00201D6C" w:rsidRPr="00485F10" w:rsidRDefault="00201D6C" w:rsidP="00201D6C">
      <w:pPr>
        <w:pStyle w:val="Prrafodelista"/>
        <w:ind w:left="0"/>
        <w:rPr>
          <w:rFonts w:cs="Arial"/>
        </w:rPr>
      </w:pPr>
      <w:r w:rsidRPr="00485F10">
        <w:rPr>
          <w:rFonts w:cs="Arial"/>
        </w:rPr>
        <w:t xml:space="preserve">El Sistema de Capitalización Individualizado es el mecanismo mediante el cual, un servidor público y la Institución en la que labora, acumulan recursos, adicionales a su pensión; mismo que se integra hasta por tres rubros, los cuales son los siguientes: </w:t>
      </w:r>
    </w:p>
    <w:p w14:paraId="3B193352" w14:textId="77777777" w:rsidR="00201D6C" w:rsidRPr="00485F10" w:rsidRDefault="00201D6C" w:rsidP="00201D6C">
      <w:pPr>
        <w:pStyle w:val="Prrafodelista"/>
        <w:rPr>
          <w:rFonts w:cs="Arial"/>
        </w:rPr>
      </w:pPr>
      <w:r w:rsidRPr="00485F10">
        <w:rPr>
          <w:rFonts w:cs="Arial"/>
        </w:rPr>
        <w:t>•</w:t>
      </w:r>
      <w:r w:rsidRPr="00485F10">
        <w:rPr>
          <w:rFonts w:cs="Arial"/>
        </w:rPr>
        <w:tab/>
        <w:t>Subcuenta de cuota obligatoria; que corresponde a un porcentaje del sueldo sujeto a cotización, que se descuenta al servir público de manera automática.</w:t>
      </w:r>
    </w:p>
    <w:p w14:paraId="50D2A35C" w14:textId="77777777" w:rsidR="00201D6C" w:rsidRPr="00485F10" w:rsidRDefault="00201D6C" w:rsidP="00201D6C">
      <w:pPr>
        <w:pStyle w:val="Prrafodelista"/>
        <w:rPr>
          <w:rFonts w:cs="Arial"/>
        </w:rPr>
      </w:pPr>
      <w:r w:rsidRPr="00485F10">
        <w:rPr>
          <w:rFonts w:cs="Arial"/>
        </w:rPr>
        <w:t>•</w:t>
      </w:r>
      <w:r w:rsidRPr="00485F10">
        <w:rPr>
          <w:rFonts w:cs="Arial"/>
        </w:rPr>
        <w:tab/>
        <w:t>Subcuenta de aportación obligatoria: que es la aportación que realiza la Institución a favor del servidor público, el cual equivale a un porcentaje del sueldo sujeto a cotización.</w:t>
      </w:r>
    </w:p>
    <w:p w14:paraId="3BD1EC2B" w14:textId="77777777" w:rsidR="00201D6C" w:rsidRPr="00485F10" w:rsidRDefault="00201D6C" w:rsidP="00201D6C">
      <w:pPr>
        <w:pStyle w:val="Prrafodelista"/>
        <w:rPr>
          <w:rFonts w:cs="Arial"/>
        </w:rPr>
      </w:pPr>
      <w:r w:rsidRPr="00485F10">
        <w:rPr>
          <w:rFonts w:cs="Arial"/>
        </w:rPr>
        <w:t>•</w:t>
      </w:r>
      <w:r w:rsidRPr="00485F10">
        <w:rPr>
          <w:rFonts w:cs="Arial"/>
        </w:rPr>
        <w:tab/>
        <w:t xml:space="preserve">Subcuenta voluntaria: que es la cantidad que cada servidor público decide ahorrar de acuerdo con sus aportaciones, permitiendo acumular mayores ingresos para su retiro. </w:t>
      </w:r>
    </w:p>
    <w:p w14:paraId="7F5E0F19" w14:textId="77777777" w:rsidR="00201D6C" w:rsidRPr="00485F10" w:rsidRDefault="00201D6C" w:rsidP="00201D6C">
      <w:pPr>
        <w:pStyle w:val="Prrafodelista"/>
        <w:rPr>
          <w:rFonts w:cs="Arial"/>
        </w:rPr>
      </w:pPr>
    </w:p>
    <w:p w14:paraId="56763E59" w14:textId="77777777" w:rsidR="00201D6C" w:rsidRPr="00485F10" w:rsidRDefault="00201D6C" w:rsidP="00201D6C">
      <w:pPr>
        <w:pStyle w:val="Prrafodelista"/>
        <w:ind w:left="0"/>
        <w:rPr>
          <w:rFonts w:cs="Arial"/>
        </w:rPr>
      </w:pPr>
      <w:r w:rsidRPr="00485F10">
        <w:rPr>
          <w:rFonts w:cs="Arial"/>
        </w:rPr>
        <w:t xml:space="preserve">En razón de lo anterior, debe considerarse que la subcuenta de cuota obligatoria y subcuenta de aportación obligatoria, </w:t>
      </w:r>
      <w:r w:rsidRPr="00485F10">
        <w:rPr>
          <w:rFonts w:cs="Arial"/>
          <w:b/>
        </w:rPr>
        <w:t>deben ser considerados datos de naturaleza pública</w:t>
      </w:r>
      <w:r w:rsidRPr="00485F10">
        <w:rPr>
          <w:rFonts w:cs="Arial"/>
        </w:rPr>
        <w:t xml:space="preserve">, ya que su publicidad es necesaria, considerando que se trata del ejercicio de recursos públicos que se les ha asignado a las dependencias y entidades y, la publicidad de dicha información permite conocer con certeza si el monto de las aportaciones que la Institución en la que labora el servidor público, es equivalente al porcentaje del sueldo bruto mensual de los servidores públicos. Situación que se robustece, con el Criterio 05/10 </w:t>
      </w:r>
      <w:r w:rsidRPr="00485F10">
        <w:rPr>
          <w:rFonts w:cs="Arial"/>
        </w:rPr>
        <w:lastRenderedPageBreak/>
        <w:t xml:space="preserve">emitido por el entonces Pleno del Instituto Federal de Acceso a la Información y Protección de Datos, mismo que se trae por analogía, cuyo texto y rubro es el siguiente: </w:t>
      </w:r>
    </w:p>
    <w:p w14:paraId="1142B760" w14:textId="77777777" w:rsidR="00201D6C" w:rsidRPr="00485F10" w:rsidRDefault="00201D6C" w:rsidP="00201D6C">
      <w:pPr>
        <w:pStyle w:val="Prrafodelista"/>
        <w:ind w:left="567" w:right="822"/>
        <w:rPr>
          <w:rFonts w:cs="Arial"/>
          <w:i/>
          <w:sz w:val="22"/>
        </w:rPr>
      </w:pPr>
      <w:r w:rsidRPr="00485F10">
        <w:rPr>
          <w:rFonts w:cs="Arial"/>
          <w:i/>
          <w:sz w:val="22"/>
        </w:rPr>
        <w:t xml:space="preserve">“Naturaleza de la información relativa a los montos aportados al Seguro de Separación Individualizado. De conformidad con la normatividad aplicable, las aportaciones relativas al Seguro de Separación Individualizado pueden ser divididas en tres grupos: las realizadas por las dependencias y entidades de la Administración Pública Federal; las que realizan los servidores públicos a través de las retenciones que efectúa la dependencia o entidad vía nómina; y las aportaciones adicionales extraordinarias que realizan los servidores públicos. En términos de lo que establecen los artículos 7, fracción IV y 12 de la Ley Federal de Transparencia y Acceso a la Información Pública Gubernamental, en relación con el artículo 14 de su Reglamento, se considera que la información del primer y segundo grupo es de carácter público. Respecto del primer monto, se debe señalar que se trata de la entrega de recursos públicos adicionales a aquellos que corresponden al sueldo bruto mensual integrado, es decir, se trata de una prestación que se obtiene a partir de una partida presupuestal distinta a la que corresponde al sueldo de dichos trabajadores. Respecto del segundo monto, esto es, la parte que aportan los servidores públicos, es de señalarse que, </w:t>
      </w:r>
      <w:proofErr w:type="spellStart"/>
      <w:r w:rsidRPr="00485F10">
        <w:rPr>
          <w:rFonts w:cs="Arial"/>
          <w:i/>
          <w:sz w:val="22"/>
        </w:rPr>
        <w:t>aún</w:t>
      </w:r>
      <w:proofErr w:type="spellEnd"/>
      <w:r w:rsidRPr="00485F10">
        <w:rPr>
          <w:rFonts w:cs="Arial"/>
          <w:i/>
          <w:sz w:val="22"/>
        </w:rPr>
        <w:t xml:space="preserve"> cuando se refiere a una decisión personal sobre su patrimonio, su publicidad es necesaria para determinar si las dependencias y entidades correspondientes han manejado los recursos públicos federales que les son asignados de conformidad con las disposiciones legales aplicables; esto es, la publicidad de dicha información permite conocer con certeza si el monto de las aportaciones que el gobierno federal destina al pago de la prima del Seguro de Separación Individualizado es equivalente al porcentaje del sueldo bruto mensual integrado que los servidores públicos aportan al referido seguro. En relación con el tercer grupo, cabe destacar que se trata de aportaciones adicionales extraordinarias, respecto de las cuales las dependencias y entidades no aportan pago alguno; por lo tanto, se trata de decisiones personales sobre el uso y destino que los servidores públicos desean dar a su </w:t>
      </w:r>
      <w:r w:rsidRPr="00485F10">
        <w:rPr>
          <w:rFonts w:cs="Arial"/>
          <w:i/>
          <w:sz w:val="22"/>
        </w:rPr>
        <w:lastRenderedPageBreak/>
        <w:t>patrimonio, información que de conformidad con los artículos 3, fracción II y 18, fracción II de la Ley Federal de Transparencia y Acceso a la Información Pública Gubernamental, debe clasificarse como confidencial.”</w:t>
      </w:r>
      <w:r w:rsidRPr="00485F10">
        <w:rPr>
          <w:rFonts w:cs="Arial"/>
          <w:sz w:val="22"/>
        </w:rPr>
        <w:t xml:space="preserve"> </w:t>
      </w:r>
    </w:p>
    <w:p w14:paraId="47818596" w14:textId="77777777" w:rsidR="00201D6C" w:rsidRPr="00485F10" w:rsidRDefault="00201D6C" w:rsidP="00201D6C">
      <w:pPr>
        <w:pStyle w:val="Prrafodelista"/>
        <w:rPr>
          <w:rFonts w:cs="Arial"/>
        </w:rPr>
      </w:pPr>
    </w:p>
    <w:p w14:paraId="4EEEAFAC" w14:textId="77777777" w:rsidR="00201D6C" w:rsidRPr="00485F10" w:rsidRDefault="00201D6C" w:rsidP="00201D6C">
      <w:pPr>
        <w:pStyle w:val="Prrafodelista"/>
        <w:ind w:left="0"/>
        <w:rPr>
          <w:rFonts w:cs="Arial"/>
        </w:rPr>
      </w:pPr>
      <w:r w:rsidRPr="00485F10">
        <w:rPr>
          <w:rFonts w:cs="Arial"/>
        </w:rPr>
        <w:t xml:space="preserve">En suma, debe considerarse que la naturaleza de la subcuenta de cuota obligatoria y de la subcuenta de aportación obligatoria, son datos de naturaleza pública y por ende no procede su clasificación en términos del artículo 143, fracción I de la Ley de Transparencia y Acceso a la Información Pública del Estado de México y Municipios. </w:t>
      </w:r>
    </w:p>
    <w:p w14:paraId="35D62DB4" w14:textId="77777777" w:rsidR="00201D6C" w:rsidRPr="00485F10" w:rsidRDefault="00201D6C" w:rsidP="00201D6C">
      <w:pPr>
        <w:pStyle w:val="Prrafodelista"/>
        <w:ind w:left="0"/>
        <w:rPr>
          <w:rFonts w:cs="Arial"/>
        </w:rPr>
      </w:pPr>
    </w:p>
    <w:p w14:paraId="73A47DE8" w14:textId="77777777" w:rsidR="00515B55" w:rsidRPr="00485F10" w:rsidRDefault="00515B55" w:rsidP="00201D6C">
      <w:pPr>
        <w:pStyle w:val="Prrafodelista"/>
        <w:ind w:left="0"/>
        <w:rPr>
          <w:rFonts w:cs="Arial"/>
        </w:rPr>
      </w:pPr>
    </w:p>
    <w:p w14:paraId="5EC42ED3" w14:textId="2BF4A34C" w:rsidR="00D839A1" w:rsidRPr="00485F10" w:rsidRDefault="00515B55" w:rsidP="00201D6C">
      <w:pPr>
        <w:pStyle w:val="Prrafodelista"/>
        <w:ind w:left="0"/>
        <w:rPr>
          <w:rFonts w:cs="Arial"/>
        </w:rPr>
      </w:pPr>
      <w:r w:rsidRPr="00485F10">
        <w:rPr>
          <w:rFonts w:cs="Arial"/>
        </w:rPr>
        <w:t xml:space="preserve">En este sentido no se puede tener por colmado en el Derecho al Acceso a la Información del Recurrente pues del soporte documental remitido por el Tesorero no se advierte que haya remitido en su totalidad </w:t>
      </w:r>
      <w:r w:rsidR="00D839A1" w:rsidRPr="00485F10">
        <w:rPr>
          <w:rFonts w:cs="Arial"/>
        </w:rPr>
        <w:t xml:space="preserve">las dispersiones de nómina de todos los servidores públicos adscritos al Sujeto Obligado correspondiente a la primera y segunda quincena del mes de abril de dos mil veinticinco así mismo se advierte que en algunos casos se observan dispersiones generales por lo que </w:t>
      </w:r>
      <w:r w:rsidR="00D839A1" w:rsidRPr="00485F10">
        <w:rPr>
          <w:rFonts w:cs="Arial"/>
          <w:u w:val="single"/>
        </w:rPr>
        <w:t>no se advierten los datos del servidor público al que se le realizo la dispersión de nómina</w:t>
      </w:r>
      <w:r w:rsidR="00F86174" w:rsidRPr="00485F10">
        <w:rPr>
          <w:rFonts w:cs="Arial"/>
        </w:rPr>
        <w:t xml:space="preserve">, así mismo se advierte que </w:t>
      </w:r>
      <w:r w:rsidR="00D839A1" w:rsidRPr="00485F10">
        <w:rPr>
          <w:rFonts w:cs="Arial"/>
        </w:rPr>
        <w:t>respecto la conciliación de nómina el Servidor Público Habilitado fue omiso en brindar el soporte documental requerido</w:t>
      </w:r>
      <w:r w:rsidR="00F86174" w:rsidRPr="00485F10">
        <w:rPr>
          <w:rFonts w:cs="Arial"/>
        </w:rPr>
        <w:t xml:space="preserve">. </w:t>
      </w:r>
    </w:p>
    <w:p w14:paraId="5A331A3E" w14:textId="77777777" w:rsidR="00201D6C" w:rsidRPr="00485F10" w:rsidRDefault="00201D6C" w:rsidP="00201D6C">
      <w:pPr>
        <w:tabs>
          <w:tab w:val="left" w:pos="709"/>
        </w:tabs>
        <w:rPr>
          <w:rFonts w:eastAsia="Palatino Linotype" w:cs="Palatino Linotype"/>
          <w:color w:val="000000"/>
          <w:szCs w:val="24"/>
        </w:rPr>
      </w:pPr>
    </w:p>
    <w:p w14:paraId="75829529" w14:textId="798F4CE8" w:rsidR="00201D6C" w:rsidRPr="00485F10" w:rsidRDefault="00201D6C" w:rsidP="00201D6C">
      <w:pPr>
        <w:autoSpaceDE w:val="0"/>
        <w:autoSpaceDN w:val="0"/>
        <w:adjustRightInd w:val="0"/>
        <w:rPr>
          <w:color w:val="000000"/>
          <w:szCs w:val="24"/>
        </w:rPr>
      </w:pPr>
      <w:r w:rsidRPr="00485F10">
        <w:rPr>
          <w:color w:val="000000"/>
          <w:szCs w:val="24"/>
        </w:rPr>
        <w:t xml:space="preserve">Por lo descrito en líneas anteriores el Sujeto Obligado tiene la obligación de contar con la digitalización del soporte documental requerido por el Recurrente por lo que resulta dable ordenar de ser procedente en versión pública la conciliación de nómina y la dispersión de nómina del personal adscrito </w:t>
      </w:r>
      <w:r w:rsidR="00F86174" w:rsidRPr="00485F10">
        <w:rPr>
          <w:color w:val="000000"/>
          <w:szCs w:val="24"/>
        </w:rPr>
        <w:t>al Sujeto Obligado c</w:t>
      </w:r>
      <w:r w:rsidR="00F86174" w:rsidRPr="00485F10">
        <w:rPr>
          <w:rFonts w:cs="Arial"/>
        </w:rPr>
        <w:t xml:space="preserve">orrespondiente a la </w:t>
      </w:r>
      <w:r w:rsidR="00F86174" w:rsidRPr="00485F10">
        <w:rPr>
          <w:rFonts w:cs="Arial"/>
        </w:rPr>
        <w:lastRenderedPageBreak/>
        <w:t xml:space="preserve">primera y segunda quincena del mes de abril de dos mil veinticinco acompañado del acta del acta del comité de transparencia en el que se funde y motiva la clasificación de los datos. </w:t>
      </w:r>
    </w:p>
    <w:p w14:paraId="6FA42F79" w14:textId="77777777" w:rsidR="00F86174" w:rsidRPr="00485F10" w:rsidRDefault="00F86174" w:rsidP="00201D6C">
      <w:pPr>
        <w:pBdr>
          <w:top w:val="nil"/>
          <w:left w:val="nil"/>
          <w:bottom w:val="nil"/>
          <w:right w:val="nil"/>
          <w:between w:val="nil"/>
        </w:pBdr>
        <w:contextualSpacing/>
        <w:rPr>
          <w:color w:val="000000"/>
        </w:rPr>
      </w:pPr>
    </w:p>
    <w:p w14:paraId="1E5BA6CC" w14:textId="77777777" w:rsidR="00201D6C" w:rsidRPr="00485F10" w:rsidRDefault="00201D6C" w:rsidP="00201D6C">
      <w:pPr>
        <w:rPr>
          <w:rFonts w:eastAsia="Times New Roman" w:cs="Times New Roman"/>
          <w:b/>
          <w:bCs/>
          <w:i/>
          <w:iCs/>
          <w:szCs w:val="24"/>
          <w:u w:val="single"/>
        </w:rPr>
      </w:pPr>
      <w:r w:rsidRPr="00485F10">
        <w:rPr>
          <w:rFonts w:eastAsia="Times New Roman" w:cs="Times New Roman"/>
          <w:b/>
          <w:bCs/>
          <w:i/>
          <w:iCs/>
          <w:szCs w:val="24"/>
          <w:u w:val="single"/>
        </w:rPr>
        <w:t>DE LA VERSIÓN PÚBLICA</w:t>
      </w:r>
    </w:p>
    <w:p w14:paraId="3D1A8FEA" w14:textId="77777777" w:rsidR="00201D6C" w:rsidRPr="00485F10" w:rsidRDefault="00201D6C" w:rsidP="00201D6C">
      <w:pPr>
        <w:rPr>
          <w:rFonts w:eastAsia="Arial Unicode MS"/>
          <w:szCs w:val="24"/>
        </w:rPr>
      </w:pPr>
      <w:r w:rsidRPr="00485F10">
        <w:rPr>
          <w:rFonts w:eastAsia="Arial Unicode MS"/>
          <w:szCs w:val="24"/>
        </w:rPr>
        <w:t>Tomando en consideración la naturaleza de los documentos que se está ordenado entregar al particular, este Órgano Garante determina ordenar que la entrega de la información al Recurrente se haga en versión pública, esto es, omitiendo, eliminando o suprimiendo la información personal de cada funcionario público, susceptibles de ser clasificadas como confidencial o cualquier otro dato que ponga en riesgo la vida, seguridad o salud de dicha persona.</w:t>
      </w:r>
    </w:p>
    <w:p w14:paraId="3F0FD980" w14:textId="77777777" w:rsidR="00201D6C" w:rsidRPr="00485F10" w:rsidRDefault="00201D6C" w:rsidP="00201D6C">
      <w:pPr>
        <w:rPr>
          <w:bCs/>
          <w:szCs w:val="24"/>
        </w:rPr>
      </w:pPr>
    </w:p>
    <w:p w14:paraId="5E17E701" w14:textId="77777777" w:rsidR="00201D6C" w:rsidRPr="00485F10" w:rsidRDefault="00201D6C" w:rsidP="00201D6C">
      <w:pPr>
        <w:rPr>
          <w:szCs w:val="24"/>
        </w:rPr>
      </w:pPr>
      <w:r w:rsidRPr="00485F10">
        <w:rPr>
          <w:bCs/>
          <w:szCs w:val="24"/>
        </w:rPr>
        <w:t>A este respecto, los</w:t>
      </w:r>
      <w:r w:rsidRPr="00485F10">
        <w:rPr>
          <w:szCs w:val="24"/>
        </w:rPr>
        <w:t xml:space="preserve"> artículos 3, fracciones IX, XX, XXI y XLV; 51 y 52de la Ley de Transparencia y Acceso a la Información Pública del Estado de México y Municipios establecen:</w:t>
      </w:r>
    </w:p>
    <w:p w14:paraId="5605F398" w14:textId="77777777" w:rsidR="00201D6C" w:rsidRPr="00485F10" w:rsidRDefault="00201D6C" w:rsidP="00201D6C">
      <w:pPr>
        <w:ind w:left="567" w:right="616"/>
        <w:rPr>
          <w:i/>
          <w:sz w:val="22"/>
        </w:rPr>
      </w:pPr>
      <w:r w:rsidRPr="00485F10">
        <w:rPr>
          <w:rFonts w:cs="Arial"/>
          <w:b/>
          <w:bCs/>
          <w:i/>
          <w:sz w:val="22"/>
        </w:rPr>
        <w:t xml:space="preserve">Artículo 3. </w:t>
      </w:r>
      <w:r w:rsidRPr="00485F10">
        <w:rPr>
          <w:i/>
          <w:sz w:val="22"/>
        </w:rPr>
        <w:t xml:space="preserve">Para los efectos de la presente Ley se entenderá por: </w:t>
      </w:r>
    </w:p>
    <w:p w14:paraId="3D5EED14" w14:textId="77777777" w:rsidR="00201D6C" w:rsidRPr="00485F10" w:rsidRDefault="00201D6C" w:rsidP="00201D6C">
      <w:pPr>
        <w:ind w:left="567" w:right="616"/>
        <w:rPr>
          <w:i/>
          <w:sz w:val="22"/>
        </w:rPr>
      </w:pPr>
      <w:r w:rsidRPr="00485F10">
        <w:rPr>
          <w:rFonts w:cs="Arial"/>
          <w:i/>
          <w:sz w:val="22"/>
        </w:rPr>
        <w:t>(…</w:t>
      </w:r>
      <w:r w:rsidRPr="00485F10">
        <w:rPr>
          <w:i/>
          <w:sz w:val="22"/>
        </w:rPr>
        <w:t>)</w:t>
      </w:r>
    </w:p>
    <w:p w14:paraId="7DB9F074" w14:textId="77777777" w:rsidR="00201D6C" w:rsidRPr="00485F10" w:rsidRDefault="00201D6C" w:rsidP="00201D6C">
      <w:pPr>
        <w:ind w:left="567" w:right="616"/>
        <w:rPr>
          <w:rFonts w:cs="Arial"/>
          <w:i/>
          <w:sz w:val="22"/>
        </w:rPr>
      </w:pPr>
      <w:r w:rsidRPr="00485F10">
        <w:rPr>
          <w:rFonts w:cs="Arial"/>
          <w:b/>
          <w:i/>
          <w:sz w:val="22"/>
        </w:rPr>
        <w:t>IX.</w:t>
      </w:r>
      <w:r w:rsidRPr="00485F10">
        <w:rPr>
          <w:rFonts w:cs="Arial"/>
          <w:i/>
          <w:sz w:val="22"/>
        </w:rPr>
        <w:t xml:space="preserve"> </w:t>
      </w:r>
      <w:r w:rsidRPr="00485F10">
        <w:rPr>
          <w:rFonts w:cs="Arial"/>
          <w:b/>
          <w:i/>
          <w:sz w:val="22"/>
        </w:rPr>
        <w:t xml:space="preserve">Datos personales: </w:t>
      </w:r>
      <w:r w:rsidRPr="00485F10">
        <w:rPr>
          <w:rFonts w:cs="Arial"/>
          <w:i/>
          <w:sz w:val="22"/>
        </w:rPr>
        <w:t xml:space="preserve">La información concerniente a una persona, identificada o identificable según lo dispuesto por la Ley de Protección de Datos Personales del Estado de México; </w:t>
      </w:r>
    </w:p>
    <w:p w14:paraId="614A8A53" w14:textId="77777777" w:rsidR="00201D6C" w:rsidRPr="00485F10" w:rsidRDefault="00201D6C" w:rsidP="00201D6C">
      <w:pPr>
        <w:ind w:left="567" w:right="616"/>
        <w:rPr>
          <w:rFonts w:cs="Arial"/>
          <w:i/>
          <w:sz w:val="22"/>
        </w:rPr>
      </w:pPr>
      <w:r w:rsidRPr="00485F10">
        <w:rPr>
          <w:rFonts w:cs="Arial"/>
          <w:i/>
          <w:sz w:val="22"/>
        </w:rPr>
        <w:t>(…)</w:t>
      </w:r>
    </w:p>
    <w:p w14:paraId="03A9797C" w14:textId="77777777" w:rsidR="00201D6C" w:rsidRPr="00485F10" w:rsidRDefault="00201D6C" w:rsidP="00201D6C">
      <w:pPr>
        <w:ind w:left="567" w:right="616"/>
        <w:rPr>
          <w:rFonts w:cs="Arial"/>
          <w:i/>
          <w:sz w:val="22"/>
        </w:rPr>
      </w:pPr>
      <w:r w:rsidRPr="00485F10">
        <w:rPr>
          <w:rFonts w:cs="Arial"/>
          <w:b/>
          <w:i/>
          <w:sz w:val="22"/>
        </w:rPr>
        <w:t>XX.</w:t>
      </w:r>
      <w:r w:rsidRPr="00485F10">
        <w:rPr>
          <w:rFonts w:cs="Arial"/>
          <w:i/>
          <w:sz w:val="22"/>
        </w:rPr>
        <w:t xml:space="preserve"> </w:t>
      </w:r>
      <w:r w:rsidRPr="00485F10">
        <w:rPr>
          <w:rFonts w:cs="Arial"/>
          <w:b/>
          <w:i/>
          <w:sz w:val="22"/>
        </w:rPr>
        <w:t>Información clasificada:</w:t>
      </w:r>
      <w:r w:rsidRPr="00485F10">
        <w:rPr>
          <w:rFonts w:cs="Arial"/>
          <w:i/>
          <w:sz w:val="22"/>
        </w:rPr>
        <w:t xml:space="preserve"> Aquella considerada por la presente Ley como reservada o confidencial; </w:t>
      </w:r>
    </w:p>
    <w:p w14:paraId="17A629AB" w14:textId="77777777" w:rsidR="00201D6C" w:rsidRPr="00485F10" w:rsidRDefault="00201D6C" w:rsidP="00201D6C">
      <w:pPr>
        <w:ind w:left="567" w:right="616"/>
        <w:rPr>
          <w:rFonts w:cs="Arial"/>
          <w:i/>
          <w:sz w:val="22"/>
        </w:rPr>
      </w:pPr>
      <w:r w:rsidRPr="00485F10">
        <w:rPr>
          <w:rFonts w:cs="Arial"/>
          <w:b/>
          <w:i/>
          <w:sz w:val="22"/>
        </w:rPr>
        <w:t>XXI.</w:t>
      </w:r>
      <w:r w:rsidRPr="00485F10">
        <w:rPr>
          <w:rFonts w:cs="Arial"/>
          <w:i/>
          <w:sz w:val="22"/>
        </w:rPr>
        <w:t xml:space="preserve"> </w:t>
      </w:r>
      <w:r w:rsidRPr="00485F10">
        <w:rPr>
          <w:rFonts w:cs="Arial"/>
          <w:b/>
          <w:i/>
          <w:sz w:val="22"/>
        </w:rPr>
        <w:t>Información confidencial</w:t>
      </w:r>
      <w:r w:rsidRPr="00485F10">
        <w:rPr>
          <w:rFonts w:cs="Arial"/>
          <w:i/>
          <w:sz w:val="22"/>
        </w:rPr>
        <w:t xml:space="preserve">: Se considera como información confidencial los secretos bancario, fiduciario, industrial, comercial, fiscal, bursátil y postal, cuya titularidad </w:t>
      </w:r>
      <w:r w:rsidRPr="00485F10">
        <w:rPr>
          <w:rFonts w:cs="Arial"/>
          <w:i/>
          <w:sz w:val="22"/>
        </w:rPr>
        <w:lastRenderedPageBreak/>
        <w:t xml:space="preserve">corresponda a particulares, sujetos de derecho internacional o a sujetos obligados cuando no involucren el ejercicio de recursos públicos; </w:t>
      </w:r>
    </w:p>
    <w:p w14:paraId="5C99519F" w14:textId="77777777" w:rsidR="00201D6C" w:rsidRPr="00485F10" w:rsidRDefault="00201D6C" w:rsidP="00201D6C">
      <w:pPr>
        <w:ind w:left="567" w:right="616"/>
        <w:rPr>
          <w:rFonts w:cs="Arial"/>
          <w:i/>
          <w:sz w:val="22"/>
        </w:rPr>
      </w:pPr>
      <w:r w:rsidRPr="00485F10">
        <w:rPr>
          <w:rFonts w:cs="Arial"/>
          <w:i/>
          <w:sz w:val="22"/>
        </w:rPr>
        <w:t>(…)</w:t>
      </w:r>
    </w:p>
    <w:p w14:paraId="00DD2C10" w14:textId="77777777" w:rsidR="00201D6C" w:rsidRPr="00485F10" w:rsidRDefault="00201D6C" w:rsidP="00201D6C">
      <w:pPr>
        <w:ind w:left="567" w:right="616"/>
        <w:rPr>
          <w:rFonts w:cs="Arial"/>
          <w:i/>
          <w:sz w:val="22"/>
        </w:rPr>
      </w:pPr>
      <w:r w:rsidRPr="00485F10">
        <w:rPr>
          <w:rFonts w:cs="Arial"/>
          <w:b/>
          <w:i/>
          <w:sz w:val="22"/>
        </w:rPr>
        <w:t>XLV. Versión pública:</w:t>
      </w:r>
      <w:r w:rsidRPr="00485F10">
        <w:rPr>
          <w:rFonts w:cs="Arial"/>
          <w:i/>
          <w:sz w:val="22"/>
        </w:rPr>
        <w:t xml:space="preserve"> Documento en el que se elimine, suprime o borra la información clasificada como reservada o confidencial para permitir su acceso. </w:t>
      </w:r>
    </w:p>
    <w:p w14:paraId="3FF0197C" w14:textId="77777777" w:rsidR="00201D6C" w:rsidRPr="00485F10" w:rsidRDefault="00201D6C" w:rsidP="00201D6C">
      <w:pPr>
        <w:ind w:left="567" w:right="616"/>
        <w:rPr>
          <w:rFonts w:cs="Arial"/>
          <w:i/>
          <w:sz w:val="22"/>
        </w:rPr>
      </w:pPr>
    </w:p>
    <w:p w14:paraId="790E824F" w14:textId="77777777" w:rsidR="00201D6C" w:rsidRPr="00485F10" w:rsidRDefault="00201D6C" w:rsidP="00201D6C">
      <w:pPr>
        <w:ind w:left="567" w:right="616"/>
        <w:rPr>
          <w:rFonts w:cs="Arial"/>
          <w:i/>
          <w:sz w:val="22"/>
        </w:rPr>
      </w:pPr>
      <w:r w:rsidRPr="00485F10">
        <w:rPr>
          <w:rFonts w:cs="Arial"/>
          <w:b/>
          <w:i/>
          <w:sz w:val="22"/>
        </w:rPr>
        <w:t>Artículo 51.</w:t>
      </w:r>
      <w:r w:rsidRPr="00485F10">
        <w:rPr>
          <w:rFonts w:cs="Arial"/>
          <w:i/>
          <w:sz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485F10">
        <w:rPr>
          <w:rFonts w:cs="Arial"/>
          <w:b/>
          <w:i/>
          <w:sz w:val="22"/>
        </w:rPr>
        <w:t xml:space="preserve">y tendrá la responsabilidad de verificar en cada caso que la misma no sea confidencial o reservada. </w:t>
      </w:r>
      <w:r w:rsidRPr="00485F10">
        <w:rPr>
          <w:rFonts w:cs="Arial"/>
          <w:i/>
          <w:sz w:val="22"/>
        </w:rPr>
        <w:t xml:space="preserve">Dicha Unidad contará con las facultades internas necesarias para gestionar la atención a las solicitudes de información en los términos de la Ley General y la presente Ley. </w:t>
      </w:r>
    </w:p>
    <w:p w14:paraId="3CAA1B51" w14:textId="77777777" w:rsidR="00201D6C" w:rsidRPr="00485F10" w:rsidRDefault="00201D6C" w:rsidP="00201D6C">
      <w:pPr>
        <w:ind w:left="567" w:right="616"/>
        <w:rPr>
          <w:rFonts w:cs="Arial"/>
          <w:bCs/>
          <w:i/>
          <w:noProof/>
          <w:sz w:val="22"/>
        </w:rPr>
      </w:pPr>
      <w:r w:rsidRPr="00485F10">
        <w:rPr>
          <w:rFonts w:cs="Arial"/>
          <w:b/>
          <w:i/>
          <w:sz w:val="22"/>
        </w:rPr>
        <w:t>Artículo 52.</w:t>
      </w:r>
      <w:r w:rsidRPr="00485F10">
        <w:rPr>
          <w:rFonts w:cs="Arial"/>
          <w:i/>
          <w:sz w:val="22"/>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14:paraId="64E6CDC3" w14:textId="77777777" w:rsidR="00201D6C" w:rsidRPr="00485F10" w:rsidRDefault="00201D6C" w:rsidP="00201D6C">
      <w:pPr>
        <w:rPr>
          <w:noProof/>
          <w:sz w:val="22"/>
        </w:rPr>
      </w:pPr>
    </w:p>
    <w:p w14:paraId="05709BCB" w14:textId="77777777" w:rsidR="00201D6C" w:rsidRPr="00485F10" w:rsidRDefault="00201D6C" w:rsidP="00201D6C">
      <w:pPr>
        <w:rPr>
          <w:szCs w:val="24"/>
        </w:rPr>
      </w:pPr>
      <w:r w:rsidRPr="00485F10">
        <w:rPr>
          <w:szCs w:val="24"/>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w:t>
      </w:r>
      <w:r w:rsidRPr="00485F10">
        <w:rPr>
          <w:szCs w:val="24"/>
        </w:rPr>
        <w:lastRenderedPageBreak/>
        <w:t xml:space="preserve">de Protección de Datos Personales en Posesión de Sujetos Obligados del Estado de México y Municipios, los cuales se transcriben para mayor referencia: </w:t>
      </w:r>
    </w:p>
    <w:p w14:paraId="4C156814" w14:textId="77777777" w:rsidR="00201D6C" w:rsidRPr="00485F10" w:rsidRDefault="00201D6C" w:rsidP="00201D6C">
      <w:pPr>
        <w:ind w:left="567" w:right="616"/>
        <w:rPr>
          <w:rFonts w:eastAsia="Arial Unicode MS" w:cs="Arial"/>
          <w:i/>
          <w:sz w:val="22"/>
        </w:rPr>
      </w:pPr>
      <w:r w:rsidRPr="00485F10">
        <w:rPr>
          <w:rFonts w:eastAsia="Arial Unicode MS" w:cs="Arial"/>
          <w:b/>
          <w:i/>
          <w:sz w:val="22"/>
        </w:rPr>
        <w:t>Artículo</w:t>
      </w:r>
      <w:r w:rsidRPr="00485F10">
        <w:rPr>
          <w:rFonts w:eastAsia="Arial Unicode MS" w:cs="Arial"/>
          <w:i/>
          <w:sz w:val="22"/>
        </w:rPr>
        <w:t xml:space="preserve"> </w:t>
      </w:r>
      <w:r w:rsidRPr="00485F10">
        <w:rPr>
          <w:rFonts w:eastAsia="Arial Unicode MS" w:cs="Arial"/>
          <w:b/>
          <w:i/>
          <w:sz w:val="22"/>
        </w:rPr>
        <w:t>22</w:t>
      </w:r>
      <w:r w:rsidRPr="00485F10">
        <w:rPr>
          <w:rFonts w:eastAsia="Arial Unicode MS" w:cs="Arial"/>
          <w:i/>
          <w:sz w:val="22"/>
        </w:rPr>
        <w:t>. Todo tratamiento de datos personales que efectúe el responsable deberá estar justificado por finalidades concretas, lícitas, explícitas y legítimas, relacionadas con las atribuciones que la normatividad aplicable les confiera.</w:t>
      </w:r>
    </w:p>
    <w:p w14:paraId="6C469CFB" w14:textId="77777777" w:rsidR="00201D6C" w:rsidRPr="00485F10" w:rsidRDefault="00201D6C" w:rsidP="00201D6C">
      <w:pPr>
        <w:ind w:left="567" w:right="616"/>
        <w:rPr>
          <w:rFonts w:eastAsia="Arial Unicode MS" w:cs="Arial"/>
          <w:i/>
          <w:sz w:val="22"/>
        </w:rPr>
      </w:pPr>
    </w:p>
    <w:p w14:paraId="6C014197" w14:textId="77777777" w:rsidR="00201D6C" w:rsidRPr="00485F10" w:rsidRDefault="00201D6C" w:rsidP="00201D6C">
      <w:pPr>
        <w:ind w:left="567" w:right="616"/>
        <w:rPr>
          <w:rFonts w:eastAsia="Arial Unicode MS" w:cs="Arial"/>
          <w:i/>
          <w:sz w:val="22"/>
        </w:rPr>
      </w:pPr>
      <w:r w:rsidRPr="00485F10">
        <w:rPr>
          <w:rFonts w:eastAsia="Arial Unicode MS" w:cs="Arial"/>
          <w:i/>
          <w:sz w:val="22"/>
        </w:rPr>
        <w:t>El responsable podrá tratar datos personales para finalidades distintas a aquéllas establecidas en el aviso de privacidad, en los casos siguientes:</w:t>
      </w:r>
    </w:p>
    <w:p w14:paraId="073E3A2A" w14:textId="77777777" w:rsidR="00201D6C" w:rsidRPr="00485F10" w:rsidRDefault="00201D6C" w:rsidP="00201D6C">
      <w:pPr>
        <w:ind w:left="567" w:right="616"/>
        <w:rPr>
          <w:rFonts w:eastAsia="Arial Unicode MS" w:cs="Arial"/>
          <w:i/>
          <w:sz w:val="22"/>
        </w:rPr>
      </w:pPr>
    </w:p>
    <w:p w14:paraId="794A1DEB" w14:textId="77777777" w:rsidR="00201D6C" w:rsidRPr="00485F10" w:rsidRDefault="00201D6C" w:rsidP="00201D6C">
      <w:pPr>
        <w:ind w:left="567" w:right="616"/>
        <w:rPr>
          <w:rFonts w:eastAsia="Arial Unicode MS" w:cs="Arial"/>
          <w:i/>
          <w:sz w:val="22"/>
        </w:rPr>
      </w:pPr>
      <w:r w:rsidRPr="00485F10">
        <w:rPr>
          <w:rFonts w:eastAsia="Arial Unicode MS" w:cs="Arial"/>
          <w:i/>
          <w:sz w:val="22"/>
        </w:rPr>
        <w:t>I. Cuente con atribuciones conferidas en ley y medie el consentimiento del titular.</w:t>
      </w:r>
    </w:p>
    <w:p w14:paraId="2B6AB735" w14:textId="77777777" w:rsidR="00201D6C" w:rsidRPr="00485F10" w:rsidRDefault="00201D6C" w:rsidP="00201D6C">
      <w:pPr>
        <w:ind w:left="567" w:right="616"/>
        <w:rPr>
          <w:rFonts w:eastAsia="Arial Unicode MS" w:cs="Arial"/>
          <w:i/>
          <w:sz w:val="22"/>
        </w:rPr>
      </w:pPr>
      <w:r w:rsidRPr="00485F10">
        <w:rPr>
          <w:rFonts w:eastAsia="Arial Unicode MS" w:cs="Arial"/>
          <w:i/>
          <w:sz w:val="22"/>
        </w:rPr>
        <w:t>II. Se trate de una persona reportada como desaparecida, en los términos previstos en la presente Ley y demás disposiciones legales aplicables...</w:t>
      </w:r>
    </w:p>
    <w:p w14:paraId="38034964" w14:textId="77777777" w:rsidR="00201D6C" w:rsidRPr="00485F10" w:rsidRDefault="00201D6C" w:rsidP="00201D6C">
      <w:pPr>
        <w:ind w:left="567" w:right="616"/>
        <w:rPr>
          <w:rFonts w:eastAsia="Arial Unicode MS" w:cs="Arial"/>
          <w:i/>
          <w:sz w:val="22"/>
        </w:rPr>
      </w:pPr>
      <w:r w:rsidRPr="00485F10">
        <w:rPr>
          <w:rFonts w:eastAsia="Arial Unicode MS" w:cs="Arial"/>
          <w:b/>
          <w:i/>
          <w:sz w:val="22"/>
        </w:rPr>
        <w:t>Artículo</w:t>
      </w:r>
      <w:r w:rsidRPr="00485F10">
        <w:rPr>
          <w:rFonts w:eastAsia="Arial Unicode MS" w:cs="Arial"/>
          <w:i/>
          <w:sz w:val="22"/>
        </w:rPr>
        <w:t xml:space="preserve"> </w:t>
      </w:r>
      <w:r w:rsidRPr="00485F10">
        <w:rPr>
          <w:rFonts w:eastAsia="Arial Unicode MS" w:cs="Arial"/>
          <w:b/>
          <w:i/>
          <w:sz w:val="22"/>
        </w:rPr>
        <w:t>38</w:t>
      </w:r>
      <w:r w:rsidRPr="00485F10">
        <w:rPr>
          <w:rFonts w:eastAsia="Arial Unicode MS" w:cs="Arial"/>
          <w:i/>
          <w:sz w:val="22"/>
        </w:rPr>
        <w:t>.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p>
    <w:p w14:paraId="712352B3" w14:textId="77777777" w:rsidR="00201D6C" w:rsidRPr="00485F10" w:rsidRDefault="00201D6C" w:rsidP="00201D6C">
      <w:pPr>
        <w:ind w:left="567" w:right="616"/>
        <w:rPr>
          <w:rFonts w:eastAsia="Arial Unicode MS" w:cs="Arial"/>
          <w:i/>
        </w:rPr>
      </w:pPr>
    </w:p>
    <w:p w14:paraId="732880E7" w14:textId="77777777" w:rsidR="00201D6C" w:rsidRPr="00485F10" w:rsidRDefault="00201D6C" w:rsidP="00201D6C">
      <w:pPr>
        <w:rPr>
          <w:szCs w:val="24"/>
        </w:rPr>
      </w:pPr>
      <w:r w:rsidRPr="00485F10">
        <w:rPr>
          <w:szCs w:val="24"/>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73E62310" w14:textId="77777777" w:rsidR="00201D6C" w:rsidRPr="00485F10" w:rsidRDefault="00201D6C" w:rsidP="00201D6C">
      <w:pPr>
        <w:rPr>
          <w:szCs w:val="24"/>
        </w:rPr>
      </w:pPr>
    </w:p>
    <w:p w14:paraId="5EDC1479" w14:textId="77777777" w:rsidR="00201D6C" w:rsidRPr="00485F10" w:rsidRDefault="00201D6C" w:rsidP="00201D6C">
      <w:pPr>
        <w:rPr>
          <w:rFonts w:eastAsia="Arial Unicode MS"/>
          <w:szCs w:val="24"/>
        </w:rPr>
      </w:pPr>
      <w:r w:rsidRPr="00485F10">
        <w:rPr>
          <w:rFonts w:eastAsia="Arial Unicode MS"/>
          <w:szCs w:val="24"/>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485F10">
        <w:rPr>
          <w:rFonts w:eastAsia="Arial Unicode MS"/>
          <w:color w:val="000000"/>
          <w:szCs w:val="24"/>
        </w:rPr>
        <w:t>el Sujeto Obligado</w:t>
      </w:r>
      <w:r w:rsidRPr="00485F10">
        <w:rPr>
          <w:rFonts w:eastAsia="Arial Unicode MS"/>
          <w:szCs w:val="24"/>
        </w:rPr>
        <w:t xml:space="preserve">, en ese contexto, todo dato personal susceptible de clasificación debe ser protegido. </w:t>
      </w:r>
    </w:p>
    <w:p w14:paraId="3C0A42F2" w14:textId="77777777" w:rsidR="00201D6C" w:rsidRPr="00485F10" w:rsidRDefault="00201D6C" w:rsidP="00201D6C">
      <w:pPr>
        <w:rPr>
          <w:rFonts w:cs="Tahoma"/>
          <w:b/>
          <w:bCs/>
          <w:iCs/>
          <w:color w:val="000000"/>
        </w:rPr>
      </w:pPr>
    </w:p>
    <w:p w14:paraId="70B70159" w14:textId="77777777" w:rsidR="00201D6C" w:rsidRPr="00485F10" w:rsidRDefault="00201D6C" w:rsidP="00201D6C">
      <w:pPr>
        <w:rPr>
          <w:szCs w:val="24"/>
        </w:rPr>
      </w:pPr>
      <w:r w:rsidRPr="00485F10">
        <w:rPr>
          <w:szCs w:val="24"/>
        </w:rPr>
        <w:t>Por ende, en el presente caso el Sujeto Obligado debe 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el Sujeto Obligado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Sujeto Obligado,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37BB9F74" w14:textId="77777777" w:rsidR="00201D6C" w:rsidRPr="00485F10" w:rsidRDefault="00201D6C" w:rsidP="00201D6C">
      <w:pPr>
        <w:rPr>
          <w:szCs w:val="24"/>
        </w:rPr>
      </w:pPr>
    </w:p>
    <w:p w14:paraId="33E1032D" w14:textId="77777777" w:rsidR="00201D6C" w:rsidRPr="00485F10" w:rsidRDefault="00201D6C" w:rsidP="00201D6C">
      <w:pPr>
        <w:rPr>
          <w:szCs w:val="24"/>
        </w:rPr>
      </w:pPr>
      <w:r w:rsidRPr="00485F10">
        <w:rPr>
          <w:szCs w:val="24"/>
        </w:rPr>
        <w:t xml:space="preserve">Así, es que el Sujeto Obligado deberá cumplir con todos y cada uno de los requisitos señalados en la Ley de Protección de Datos Personales en Posesión de Sujetos Obligados del Estado de México y Municipios, en la Ley de Transparencia y Acceso a la Información </w:t>
      </w:r>
      <w:r w:rsidRPr="00485F10">
        <w:rPr>
          <w:szCs w:val="24"/>
        </w:rPr>
        <w:lastRenderedPageBreak/>
        <w:t>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5A43AD9D" w14:textId="77777777" w:rsidR="00201D6C" w:rsidRPr="00485F10" w:rsidRDefault="00201D6C" w:rsidP="00201D6C">
      <w:pPr>
        <w:rPr>
          <w:szCs w:val="24"/>
        </w:rPr>
      </w:pPr>
    </w:p>
    <w:p w14:paraId="716838D3" w14:textId="77777777" w:rsidR="00201D6C" w:rsidRPr="00485F10" w:rsidRDefault="00201D6C" w:rsidP="00201D6C">
      <w:pPr>
        <w:rPr>
          <w:szCs w:val="24"/>
        </w:rPr>
      </w:pPr>
      <w:r w:rsidRPr="00485F10">
        <w:rPr>
          <w:szCs w:val="24"/>
        </w:rPr>
        <w:t>Ello, sin pasar por alto que la clasificación respectiva tiene que cumplirse mediante las formalidades impuestas por la ley; es decir, mediante Acuerdo debidamente fundado y motivado, en términos de los numerales 49, fracción VIII, y 132, fracciones I, II y III, de la Ley de la materia en vigor, así como los numerales Segundo, fracción XVIII, y del Cuarto al Décimo Primero de los Lineamientos Generales en materia de Clasificación y Desclasificación de la Información, así como para la elaboración de Versiones Públicas, que literalmente establecen lo siguiente:</w:t>
      </w:r>
    </w:p>
    <w:p w14:paraId="4658D9DB" w14:textId="77777777" w:rsidR="00201D6C" w:rsidRPr="00485F10" w:rsidRDefault="00201D6C" w:rsidP="00201D6C">
      <w:pPr>
        <w:ind w:left="567" w:right="616"/>
        <w:rPr>
          <w:i/>
          <w:sz w:val="22"/>
        </w:rPr>
      </w:pPr>
      <w:r w:rsidRPr="00485F10">
        <w:rPr>
          <w:b/>
          <w:i/>
          <w:sz w:val="22"/>
        </w:rPr>
        <w:t xml:space="preserve">Artículo 49. </w:t>
      </w:r>
      <w:r w:rsidRPr="00485F10">
        <w:rPr>
          <w:i/>
          <w:sz w:val="22"/>
        </w:rPr>
        <w:t>Los Comités de Transparencia tendrán las siguientes atribuciones:</w:t>
      </w:r>
    </w:p>
    <w:p w14:paraId="59AA9347" w14:textId="77777777" w:rsidR="00201D6C" w:rsidRPr="00485F10" w:rsidRDefault="00201D6C" w:rsidP="00201D6C">
      <w:pPr>
        <w:ind w:left="567" w:right="616"/>
        <w:rPr>
          <w:bCs/>
          <w:i/>
          <w:sz w:val="22"/>
        </w:rPr>
      </w:pPr>
      <w:r w:rsidRPr="00485F10">
        <w:rPr>
          <w:bCs/>
          <w:i/>
          <w:sz w:val="22"/>
        </w:rPr>
        <w:t>(…)</w:t>
      </w:r>
    </w:p>
    <w:p w14:paraId="7FE0FA22" w14:textId="77777777" w:rsidR="00201D6C" w:rsidRPr="00485F10" w:rsidRDefault="00201D6C" w:rsidP="00201D6C">
      <w:pPr>
        <w:ind w:left="567" w:right="616"/>
        <w:rPr>
          <w:i/>
          <w:sz w:val="22"/>
        </w:rPr>
      </w:pPr>
      <w:r w:rsidRPr="00485F10">
        <w:rPr>
          <w:b/>
          <w:i/>
          <w:sz w:val="22"/>
        </w:rPr>
        <w:t>VIII.</w:t>
      </w:r>
      <w:r w:rsidRPr="00485F10">
        <w:rPr>
          <w:i/>
          <w:sz w:val="22"/>
        </w:rPr>
        <w:t xml:space="preserve"> Aprobar, modificar o revocar la clasificación de la información;</w:t>
      </w:r>
    </w:p>
    <w:p w14:paraId="74E8E767" w14:textId="77777777" w:rsidR="00201D6C" w:rsidRPr="00485F10" w:rsidRDefault="00201D6C" w:rsidP="00201D6C">
      <w:pPr>
        <w:ind w:left="567" w:right="616"/>
        <w:rPr>
          <w:bCs/>
          <w:i/>
          <w:sz w:val="22"/>
        </w:rPr>
      </w:pPr>
      <w:r w:rsidRPr="00485F10">
        <w:rPr>
          <w:bCs/>
          <w:i/>
          <w:sz w:val="22"/>
        </w:rPr>
        <w:t>(…)</w:t>
      </w:r>
    </w:p>
    <w:p w14:paraId="260260C4" w14:textId="77777777" w:rsidR="00201D6C" w:rsidRPr="00485F10" w:rsidRDefault="00201D6C" w:rsidP="00201D6C">
      <w:pPr>
        <w:ind w:left="567" w:right="616"/>
        <w:rPr>
          <w:i/>
          <w:sz w:val="22"/>
        </w:rPr>
      </w:pPr>
    </w:p>
    <w:p w14:paraId="44470CE7" w14:textId="77777777" w:rsidR="00201D6C" w:rsidRPr="00485F10" w:rsidRDefault="00201D6C" w:rsidP="00201D6C">
      <w:pPr>
        <w:ind w:left="567" w:right="616"/>
        <w:rPr>
          <w:i/>
          <w:sz w:val="22"/>
        </w:rPr>
      </w:pPr>
      <w:r w:rsidRPr="00485F10">
        <w:rPr>
          <w:b/>
          <w:i/>
          <w:sz w:val="22"/>
        </w:rPr>
        <w:t>Artículo 132.</w:t>
      </w:r>
      <w:r w:rsidRPr="00485F10">
        <w:rPr>
          <w:i/>
          <w:sz w:val="22"/>
        </w:rPr>
        <w:t xml:space="preserve"> La clasificación de la información se llevará a cabo en el momento en que:</w:t>
      </w:r>
    </w:p>
    <w:p w14:paraId="74C6E19E" w14:textId="77777777" w:rsidR="00201D6C" w:rsidRPr="00485F10" w:rsidRDefault="00201D6C" w:rsidP="00201D6C">
      <w:pPr>
        <w:ind w:left="567" w:right="616"/>
        <w:rPr>
          <w:b/>
          <w:i/>
          <w:sz w:val="22"/>
        </w:rPr>
      </w:pPr>
    </w:p>
    <w:p w14:paraId="0CCA533A" w14:textId="77777777" w:rsidR="00201D6C" w:rsidRPr="00485F10" w:rsidRDefault="00201D6C" w:rsidP="00201D6C">
      <w:pPr>
        <w:ind w:left="567" w:right="616"/>
        <w:rPr>
          <w:i/>
          <w:sz w:val="22"/>
        </w:rPr>
      </w:pPr>
      <w:r w:rsidRPr="00485F10">
        <w:rPr>
          <w:b/>
          <w:i/>
          <w:sz w:val="22"/>
        </w:rPr>
        <w:t>I.</w:t>
      </w:r>
      <w:r w:rsidRPr="00485F10">
        <w:rPr>
          <w:i/>
          <w:sz w:val="22"/>
        </w:rPr>
        <w:t xml:space="preserve"> Se reciba una solicitud de acceso a la información;</w:t>
      </w:r>
    </w:p>
    <w:p w14:paraId="48E7900B" w14:textId="77777777" w:rsidR="00201D6C" w:rsidRPr="00485F10" w:rsidRDefault="00201D6C" w:rsidP="00201D6C">
      <w:pPr>
        <w:ind w:left="567" w:right="616"/>
        <w:rPr>
          <w:i/>
          <w:sz w:val="22"/>
        </w:rPr>
      </w:pPr>
      <w:r w:rsidRPr="00485F10">
        <w:rPr>
          <w:b/>
          <w:i/>
          <w:sz w:val="22"/>
        </w:rPr>
        <w:t>II.</w:t>
      </w:r>
      <w:r w:rsidRPr="00485F10">
        <w:rPr>
          <w:i/>
          <w:sz w:val="22"/>
        </w:rPr>
        <w:t xml:space="preserve"> Se determine mediante resolución de autoridad competente; o</w:t>
      </w:r>
    </w:p>
    <w:p w14:paraId="768DC3C5" w14:textId="77777777" w:rsidR="00201D6C" w:rsidRPr="00485F10" w:rsidRDefault="00201D6C" w:rsidP="00201D6C">
      <w:pPr>
        <w:ind w:left="567" w:right="616"/>
        <w:rPr>
          <w:b/>
          <w:i/>
          <w:sz w:val="22"/>
        </w:rPr>
      </w:pPr>
      <w:r w:rsidRPr="00485F10">
        <w:rPr>
          <w:b/>
          <w:bCs/>
          <w:i/>
          <w:sz w:val="22"/>
        </w:rPr>
        <w:t>III.</w:t>
      </w:r>
      <w:r w:rsidRPr="00485F10">
        <w:rPr>
          <w:i/>
          <w:sz w:val="22"/>
        </w:rPr>
        <w:t xml:space="preserve"> Se generen versiones públicas para dar cumplimiento a las obligaciones de transparencia previstas en esta Ley.</w:t>
      </w:r>
      <w:r w:rsidRPr="00485F10">
        <w:rPr>
          <w:b/>
          <w:i/>
          <w:sz w:val="22"/>
        </w:rPr>
        <w:t>”</w:t>
      </w:r>
    </w:p>
    <w:p w14:paraId="379C4B3D" w14:textId="77777777" w:rsidR="00201D6C" w:rsidRPr="00485F10" w:rsidRDefault="00201D6C" w:rsidP="00201D6C">
      <w:pPr>
        <w:ind w:left="567" w:right="616"/>
        <w:rPr>
          <w:b/>
          <w:i/>
          <w:sz w:val="22"/>
        </w:rPr>
      </w:pPr>
    </w:p>
    <w:p w14:paraId="01FF2194" w14:textId="77777777" w:rsidR="00201D6C" w:rsidRPr="00485F10" w:rsidRDefault="00201D6C" w:rsidP="00201D6C">
      <w:pPr>
        <w:ind w:left="567" w:right="616"/>
        <w:rPr>
          <w:i/>
          <w:sz w:val="22"/>
        </w:rPr>
      </w:pPr>
      <w:r w:rsidRPr="00485F10">
        <w:rPr>
          <w:b/>
          <w:i/>
          <w:sz w:val="22"/>
        </w:rPr>
        <w:t>Segundo.-</w:t>
      </w:r>
      <w:r w:rsidRPr="00485F10">
        <w:rPr>
          <w:i/>
          <w:sz w:val="22"/>
        </w:rPr>
        <w:t xml:space="preserve"> Para efectos de los presentes Lineamientos Generales, se entenderá por:</w:t>
      </w:r>
    </w:p>
    <w:p w14:paraId="33B7EA02" w14:textId="77777777" w:rsidR="00201D6C" w:rsidRPr="00485F10" w:rsidRDefault="00201D6C" w:rsidP="00201D6C">
      <w:pPr>
        <w:ind w:left="567" w:right="616"/>
        <w:rPr>
          <w:i/>
          <w:sz w:val="22"/>
        </w:rPr>
      </w:pPr>
      <w:r w:rsidRPr="00485F10">
        <w:rPr>
          <w:b/>
          <w:i/>
          <w:sz w:val="22"/>
        </w:rPr>
        <w:t>XVIII.</w:t>
      </w:r>
      <w:r w:rsidRPr="00485F10">
        <w:rPr>
          <w:i/>
          <w:sz w:val="22"/>
        </w:rPr>
        <w:t xml:space="preserve"> </w:t>
      </w:r>
      <w:r w:rsidRPr="00485F10">
        <w:rPr>
          <w:b/>
          <w:i/>
          <w:sz w:val="22"/>
        </w:rPr>
        <w:t>Versión pública:</w:t>
      </w:r>
      <w:r w:rsidRPr="00485F10">
        <w:rPr>
          <w:i/>
          <w:sz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31990DE5" w14:textId="77777777" w:rsidR="00201D6C" w:rsidRPr="00485F10" w:rsidRDefault="00201D6C" w:rsidP="00201D6C">
      <w:pPr>
        <w:ind w:left="567" w:right="616"/>
        <w:rPr>
          <w:i/>
          <w:sz w:val="22"/>
        </w:rPr>
      </w:pPr>
      <w:r w:rsidRPr="00485F10">
        <w:rPr>
          <w:b/>
          <w:i/>
          <w:sz w:val="22"/>
        </w:rPr>
        <w:t>Cuarto.</w:t>
      </w:r>
      <w:r w:rsidRPr="00485F10">
        <w:rPr>
          <w:i/>
          <w:sz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7B6D964" w14:textId="77777777" w:rsidR="00201D6C" w:rsidRPr="00485F10" w:rsidRDefault="00201D6C" w:rsidP="00201D6C">
      <w:pPr>
        <w:ind w:left="567" w:right="616"/>
        <w:rPr>
          <w:i/>
          <w:sz w:val="22"/>
        </w:rPr>
      </w:pPr>
      <w:r w:rsidRPr="00485F10">
        <w:rPr>
          <w:i/>
          <w:sz w:val="22"/>
        </w:rPr>
        <w:t>Los Sujetos Obligados deberán aplicar, de manera estricta, las excepciones al derecho de acceso a la información y sólo podrán invocarlas cuando acrediten su procedencia.</w:t>
      </w:r>
    </w:p>
    <w:p w14:paraId="1CBEAAF2" w14:textId="77777777" w:rsidR="00201D6C" w:rsidRPr="00485F10" w:rsidRDefault="00201D6C" w:rsidP="00201D6C">
      <w:pPr>
        <w:ind w:left="567" w:right="616"/>
        <w:rPr>
          <w:b/>
          <w:i/>
          <w:sz w:val="22"/>
        </w:rPr>
      </w:pPr>
    </w:p>
    <w:p w14:paraId="59B0C2AE" w14:textId="77777777" w:rsidR="00201D6C" w:rsidRPr="00485F10" w:rsidRDefault="00201D6C" w:rsidP="00201D6C">
      <w:pPr>
        <w:ind w:left="567" w:right="616"/>
        <w:rPr>
          <w:i/>
          <w:sz w:val="22"/>
        </w:rPr>
      </w:pPr>
      <w:r w:rsidRPr="00485F10">
        <w:rPr>
          <w:b/>
          <w:i/>
          <w:sz w:val="22"/>
        </w:rPr>
        <w:t>Quinto.</w:t>
      </w:r>
      <w:r w:rsidRPr="00485F10">
        <w:rPr>
          <w:i/>
          <w:sz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D2972F6" w14:textId="77777777" w:rsidR="00201D6C" w:rsidRPr="00485F10" w:rsidRDefault="00201D6C" w:rsidP="00201D6C">
      <w:pPr>
        <w:ind w:left="567" w:right="616"/>
        <w:rPr>
          <w:b/>
          <w:i/>
          <w:sz w:val="22"/>
        </w:rPr>
      </w:pPr>
    </w:p>
    <w:p w14:paraId="6A2C3AD4" w14:textId="77777777" w:rsidR="00201D6C" w:rsidRPr="00485F10" w:rsidRDefault="00201D6C" w:rsidP="00201D6C">
      <w:pPr>
        <w:ind w:left="567" w:right="616"/>
        <w:rPr>
          <w:i/>
          <w:sz w:val="22"/>
        </w:rPr>
      </w:pPr>
      <w:r w:rsidRPr="00485F10">
        <w:rPr>
          <w:b/>
          <w:i/>
          <w:sz w:val="22"/>
        </w:rPr>
        <w:t>Sexto.</w:t>
      </w:r>
      <w:r w:rsidRPr="00485F10">
        <w:rPr>
          <w:i/>
          <w:sz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3DD9D3C6" w14:textId="77777777" w:rsidR="00201D6C" w:rsidRPr="00485F10" w:rsidRDefault="00201D6C" w:rsidP="00201D6C">
      <w:pPr>
        <w:ind w:left="567" w:right="616"/>
        <w:rPr>
          <w:i/>
          <w:sz w:val="22"/>
        </w:rPr>
      </w:pPr>
      <w:r w:rsidRPr="00485F10">
        <w:rPr>
          <w:i/>
          <w:sz w:val="22"/>
        </w:rPr>
        <w:lastRenderedPageBreak/>
        <w:t>La clasificación de información se realizará conforme a un análisis caso por caso, mediante la aplicación de la prueba de daño y de interés público.</w:t>
      </w:r>
    </w:p>
    <w:p w14:paraId="689E16F6" w14:textId="77777777" w:rsidR="00201D6C" w:rsidRPr="00485F10" w:rsidRDefault="00201D6C" w:rsidP="00201D6C">
      <w:pPr>
        <w:ind w:left="567" w:right="616"/>
        <w:rPr>
          <w:b/>
          <w:i/>
          <w:sz w:val="22"/>
        </w:rPr>
      </w:pPr>
    </w:p>
    <w:p w14:paraId="13E3D8E0" w14:textId="77777777" w:rsidR="00201D6C" w:rsidRPr="00485F10" w:rsidRDefault="00201D6C" w:rsidP="00201D6C">
      <w:pPr>
        <w:ind w:left="567" w:right="616"/>
        <w:rPr>
          <w:i/>
          <w:sz w:val="22"/>
        </w:rPr>
      </w:pPr>
      <w:r w:rsidRPr="00485F10">
        <w:rPr>
          <w:b/>
          <w:i/>
          <w:sz w:val="22"/>
        </w:rPr>
        <w:t>Séptimo.</w:t>
      </w:r>
      <w:r w:rsidRPr="00485F10">
        <w:rPr>
          <w:i/>
          <w:sz w:val="22"/>
        </w:rPr>
        <w:t xml:space="preserve"> La clasificación de la información se llevará a cabo en el momento en que:</w:t>
      </w:r>
    </w:p>
    <w:p w14:paraId="2703C65E" w14:textId="77777777" w:rsidR="00201D6C" w:rsidRPr="00485F10" w:rsidRDefault="00201D6C" w:rsidP="00201D6C">
      <w:pPr>
        <w:ind w:left="567" w:right="616"/>
        <w:rPr>
          <w:i/>
          <w:sz w:val="22"/>
        </w:rPr>
      </w:pPr>
      <w:r w:rsidRPr="00485F10">
        <w:rPr>
          <w:b/>
          <w:i/>
          <w:sz w:val="22"/>
        </w:rPr>
        <w:t>I.</w:t>
      </w:r>
      <w:r w:rsidRPr="00485F10">
        <w:rPr>
          <w:i/>
          <w:sz w:val="22"/>
        </w:rPr>
        <w:t xml:space="preserve"> Se reciba una solicitud de acceso a la información;</w:t>
      </w:r>
    </w:p>
    <w:p w14:paraId="56DDD871" w14:textId="77777777" w:rsidR="00201D6C" w:rsidRPr="00485F10" w:rsidRDefault="00201D6C" w:rsidP="00201D6C">
      <w:pPr>
        <w:ind w:left="567" w:right="616"/>
        <w:rPr>
          <w:b/>
          <w:i/>
          <w:sz w:val="22"/>
        </w:rPr>
      </w:pPr>
    </w:p>
    <w:p w14:paraId="17C54E28" w14:textId="77777777" w:rsidR="00201D6C" w:rsidRPr="00485F10" w:rsidRDefault="00201D6C" w:rsidP="00201D6C">
      <w:pPr>
        <w:ind w:left="567" w:right="616"/>
        <w:rPr>
          <w:i/>
          <w:sz w:val="22"/>
        </w:rPr>
      </w:pPr>
      <w:r w:rsidRPr="00485F10">
        <w:rPr>
          <w:b/>
          <w:i/>
          <w:sz w:val="22"/>
        </w:rPr>
        <w:t>II.</w:t>
      </w:r>
      <w:r w:rsidRPr="00485F10">
        <w:rPr>
          <w:i/>
          <w:sz w:val="22"/>
        </w:rPr>
        <w:t xml:space="preserve"> Se determine mediante resolución de autoridad competente, o</w:t>
      </w:r>
    </w:p>
    <w:p w14:paraId="0754059D" w14:textId="77777777" w:rsidR="00201D6C" w:rsidRPr="00485F10" w:rsidRDefault="00201D6C" w:rsidP="00201D6C">
      <w:pPr>
        <w:ind w:left="567" w:right="616"/>
        <w:rPr>
          <w:i/>
          <w:sz w:val="22"/>
        </w:rPr>
      </w:pPr>
      <w:r w:rsidRPr="00485F10">
        <w:rPr>
          <w:b/>
          <w:i/>
          <w:sz w:val="22"/>
        </w:rPr>
        <w:t>III.</w:t>
      </w:r>
      <w:r w:rsidRPr="00485F10">
        <w:rPr>
          <w:i/>
          <w:sz w:val="22"/>
        </w:rPr>
        <w:t xml:space="preserve"> Se generen versiones públicas para dar cumplimiento a las obligaciones de transparencia previstas en la Ley General, la Ley Federal y las correspondientes de las entidades federativas.</w:t>
      </w:r>
    </w:p>
    <w:p w14:paraId="3D680A8A" w14:textId="77777777" w:rsidR="00201D6C" w:rsidRPr="00485F10" w:rsidRDefault="00201D6C" w:rsidP="00201D6C">
      <w:pPr>
        <w:ind w:left="567" w:right="616"/>
        <w:rPr>
          <w:i/>
          <w:sz w:val="22"/>
        </w:rPr>
      </w:pPr>
      <w:r w:rsidRPr="00485F10">
        <w:rPr>
          <w:i/>
          <w:sz w:val="22"/>
        </w:rPr>
        <w:t>Los titulares de las áreas deberán revisar la clasificación al momento de la recepción de una solicitud de acceso a la información, para verificar si encuadra en una causal de reserva o de confidencialidad.</w:t>
      </w:r>
    </w:p>
    <w:p w14:paraId="5B6913F1" w14:textId="77777777" w:rsidR="00201D6C" w:rsidRPr="00485F10" w:rsidRDefault="00201D6C" w:rsidP="00201D6C">
      <w:pPr>
        <w:ind w:left="567" w:right="616"/>
        <w:rPr>
          <w:i/>
          <w:sz w:val="22"/>
        </w:rPr>
      </w:pPr>
      <w:r w:rsidRPr="00485F10">
        <w:rPr>
          <w:b/>
          <w:i/>
          <w:sz w:val="22"/>
        </w:rPr>
        <w:t>Octavo.</w:t>
      </w:r>
      <w:r w:rsidRPr="00485F10">
        <w:rPr>
          <w:i/>
          <w:sz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692EED26" w14:textId="77777777" w:rsidR="00201D6C" w:rsidRPr="00485F10" w:rsidRDefault="00201D6C" w:rsidP="00201D6C">
      <w:pPr>
        <w:ind w:left="567" w:right="616"/>
        <w:rPr>
          <w:i/>
          <w:sz w:val="22"/>
        </w:rPr>
      </w:pPr>
      <w:r w:rsidRPr="00485F10">
        <w:rPr>
          <w:i/>
          <w:sz w:val="22"/>
        </w:rPr>
        <w:t>Para motivar la clasificación se deberán señalar las razones o circunstancias especiales que lo llevaron a concluir que el caso particular se ajusta al supuesto previsto por la norma legal invocada como fundamento.</w:t>
      </w:r>
    </w:p>
    <w:p w14:paraId="484CBA86" w14:textId="77777777" w:rsidR="00201D6C" w:rsidRPr="00485F10" w:rsidRDefault="00201D6C" w:rsidP="00201D6C">
      <w:pPr>
        <w:ind w:left="567" w:right="616"/>
        <w:rPr>
          <w:i/>
          <w:sz w:val="22"/>
        </w:rPr>
      </w:pPr>
      <w:r w:rsidRPr="00485F10">
        <w:rPr>
          <w:i/>
          <w:sz w:val="22"/>
        </w:rPr>
        <w:t>En caso de referirse a información reservada, la motivación de la clasificación también deberá comprender las circunstancias que justifican el establecimiento de determinado plazo de reserva.</w:t>
      </w:r>
    </w:p>
    <w:p w14:paraId="429C79DA" w14:textId="77777777" w:rsidR="00201D6C" w:rsidRPr="00485F10" w:rsidRDefault="00201D6C" w:rsidP="00201D6C">
      <w:pPr>
        <w:ind w:left="567" w:right="616"/>
        <w:rPr>
          <w:i/>
          <w:sz w:val="22"/>
        </w:rPr>
      </w:pPr>
    </w:p>
    <w:p w14:paraId="07FB6B81" w14:textId="77777777" w:rsidR="00201D6C" w:rsidRPr="00485F10" w:rsidRDefault="00201D6C" w:rsidP="00201D6C">
      <w:pPr>
        <w:ind w:left="567" w:right="616"/>
        <w:rPr>
          <w:i/>
          <w:sz w:val="22"/>
        </w:rPr>
      </w:pPr>
      <w:r w:rsidRPr="00485F10">
        <w:rPr>
          <w:i/>
          <w:sz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5357D608" w14:textId="77777777" w:rsidR="00201D6C" w:rsidRPr="00485F10" w:rsidRDefault="00201D6C" w:rsidP="00201D6C">
      <w:pPr>
        <w:ind w:left="567" w:right="616"/>
        <w:rPr>
          <w:i/>
          <w:sz w:val="22"/>
        </w:rPr>
      </w:pPr>
      <w:r w:rsidRPr="00485F10">
        <w:rPr>
          <w:i/>
          <w:sz w:val="22"/>
        </w:rPr>
        <w:lastRenderedPageBreak/>
        <w:t>Los documentos contenidos en los archivos históricos y los identificados como históricos confidenciales no serán susceptibles de clasificación como reservados.</w:t>
      </w:r>
    </w:p>
    <w:p w14:paraId="6BBAC426" w14:textId="77777777" w:rsidR="00201D6C" w:rsidRPr="00485F10" w:rsidRDefault="00201D6C" w:rsidP="00201D6C">
      <w:pPr>
        <w:ind w:left="567" w:right="616"/>
        <w:rPr>
          <w:b/>
          <w:i/>
          <w:sz w:val="22"/>
        </w:rPr>
      </w:pPr>
    </w:p>
    <w:p w14:paraId="7703DE70" w14:textId="77777777" w:rsidR="00201D6C" w:rsidRPr="00485F10" w:rsidRDefault="00201D6C" w:rsidP="00201D6C">
      <w:pPr>
        <w:ind w:left="567" w:right="616"/>
        <w:rPr>
          <w:i/>
          <w:sz w:val="22"/>
        </w:rPr>
      </w:pPr>
      <w:r w:rsidRPr="00485F10">
        <w:rPr>
          <w:b/>
          <w:i/>
          <w:sz w:val="22"/>
        </w:rPr>
        <w:t>Noveno.</w:t>
      </w:r>
      <w:r w:rsidRPr="00485F10">
        <w:rPr>
          <w:i/>
          <w:sz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A79599C" w14:textId="77777777" w:rsidR="00201D6C" w:rsidRPr="00485F10" w:rsidRDefault="00201D6C" w:rsidP="00201D6C">
      <w:pPr>
        <w:ind w:left="567" w:right="616"/>
        <w:rPr>
          <w:b/>
          <w:i/>
          <w:sz w:val="22"/>
        </w:rPr>
      </w:pPr>
    </w:p>
    <w:p w14:paraId="4C6F974E" w14:textId="77777777" w:rsidR="00201D6C" w:rsidRPr="00485F10" w:rsidRDefault="00201D6C" w:rsidP="00201D6C">
      <w:pPr>
        <w:ind w:left="567" w:right="616"/>
        <w:rPr>
          <w:i/>
          <w:sz w:val="22"/>
        </w:rPr>
      </w:pPr>
      <w:r w:rsidRPr="00485F10">
        <w:rPr>
          <w:b/>
          <w:i/>
          <w:sz w:val="22"/>
        </w:rPr>
        <w:t>Décimo.</w:t>
      </w:r>
      <w:r w:rsidRPr="00485F10">
        <w:rPr>
          <w:i/>
          <w:sz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700C58CF" w14:textId="77777777" w:rsidR="00201D6C" w:rsidRPr="00485F10" w:rsidRDefault="00201D6C" w:rsidP="00201D6C">
      <w:pPr>
        <w:ind w:left="567" w:right="616"/>
        <w:rPr>
          <w:i/>
          <w:sz w:val="22"/>
        </w:rPr>
      </w:pPr>
      <w:r w:rsidRPr="00485F10">
        <w:rPr>
          <w:i/>
          <w:sz w:val="22"/>
        </w:rPr>
        <w:t>En ausencia de los titulares de las áreas, la información será clasificada o desclasificada por la persona que lo supla, en términos de la normativa que rija la actuación del sujeto obligado.</w:t>
      </w:r>
    </w:p>
    <w:p w14:paraId="24B7F65C" w14:textId="77777777" w:rsidR="00201D6C" w:rsidRPr="00485F10" w:rsidRDefault="00201D6C" w:rsidP="00201D6C">
      <w:pPr>
        <w:ind w:left="567" w:right="616"/>
        <w:rPr>
          <w:b/>
          <w:i/>
          <w:sz w:val="22"/>
        </w:rPr>
      </w:pPr>
    </w:p>
    <w:p w14:paraId="4072F652" w14:textId="77777777" w:rsidR="00201D6C" w:rsidRPr="00485F10" w:rsidRDefault="00201D6C" w:rsidP="00201D6C">
      <w:pPr>
        <w:ind w:left="567" w:right="616"/>
        <w:rPr>
          <w:b/>
          <w:sz w:val="22"/>
        </w:rPr>
      </w:pPr>
      <w:r w:rsidRPr="00485F10">
        <w:rPr>
          <w:b/>
          <w:i/>
          <w:sz w:val="22"/>
        </w:rPr>
        <w:t>Décimo primero.</w:t>
      </w:r>
      <w:r w:rsidRPr="00485F10">
        <w:rPr>
          <w:i/>
          <w:sz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15608BE5" w14:textId="77777777" w:rsidR="00201D6C" w:rsidRPr="00485F10" w:rsidRDefault="00201D6C" w:rsidP="00201D6C">
      <w:pPr>
        <w:rPr>
          <w:rFonts w:cs="Arial"/>
          <w:i/>
          <w:szCs w:val="24"/>
        </w:rPr>
      </w:pPr>
    </w:p>
    <w:p w14:paraId="33E39D72" w14:textId="77777777" w:rsidR="00201D6C" w:rsidRPr="00485F10" w:rsidRDefault="00201D6C" w:rsidP="00201D6C">
      <w:pPr>
        <w:rPr>
          <w:szCs w:val="24"/>
        </w:rPr>
      </w:pPr>
      <w:r w:rsidRPr="00485F10">
        <w:rPr>
          <w:szCs w:val="24"/>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w:t>
      </w:r>
      <w:r w:rsidRPr="00485F10">
        <w:rPr>
          <w:szCs w:val="24"/>
        </w:rPr>
        <w:lastRenderedPageBreak/>
        <w:t>fundado y motivado en el que el Sujeto Obligado precise las razones objetivas por las que la apertura de la información generaría una afectación, asimismo, es claro que éste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3E1BDC4E" w14:textId="77777777" w:rsidR="00201D6C" w:rsidRPr="00485F10" w:rsidRDefault="00201D6C" w:rsidP="00201D6C">
      <w:pPr>
        <w:rPr>
          <w:szCs w:val="24"/>
        </w:rPr>
      </w:pPr>
    </w:p>
    <w:p w14:paraId="4DDF7786" w14:textId="77777777" w:rsidR="00201D6C" w:rsidRPr="00485F10" w:rsidRDefault="00201D6C" w:rsidP="00201D6C">
      <w:pPr>
        <w:rPr>
          <w:szCs w:val="24"/>
        </w:rPr>
      </w:pPr>
      <w:r w:rsidRPr="00485F10">
        <w:rPr>
          <w:szCs w:val="24"/>
        </w:rPr>
        <w:t>Por tanto, la fundamentación y motivación consiste en la obligación que tiene todo ente público de expresar los preceptos jurídicos aplicables al asunto motivo del acto y las razones o argumentos de su actuar. Al respecto, el máximo tribunal del país ha establecido jurisprudencia respecto a qué debe entenderse por fundamentación y motivación, en los siguientes términos:</w:t>
      </w:r>
    </w:p>
    <w:p w14:paraId="10F92BB2" w14:textId="77777777" w:rsidR="00201D6C" w:rsidRPr="00485F10" w:rsidRDefault="00201D6C" w:rsidP="00201D6C">
      <w:pPr>
        <w:ind w:left="567" w:right="616"/>
        <w:rPr>
          <w:b/>
          <w:i/>
          <w:sz w:val="22"/>
        </w:rPr>
      </w:pPr>
      <w:r w:rsidRPr="00485F10">
        <w:rPr>
          <w:b/>
          <w:i/>
          <w:sz w:val="22"/>
        </w:rPr>
        <w:t xml:space="preserve">FUNDAMENTACIÓN Y MOTIVACIÓN. </w:t>
      </w:r>
    </w:p>
    <w:p w14:paraId="420E013D" w14:textId="77777777" w:rsidR="00201D6C" w:rsidRPr="00485F10" w:rsidRDefault="00201D6C" w:rsidP="00201D6C">
      <w:pPr>
        <w:ind w:left="567" w:right="616"/>
        <w:rPr>
          <w:i/>
          <w:sz w:val="22"/>
        </w:rPr>
      </w:pPr>
      <w:r w:rsidRPr="00485F10">
        <w:rPr>
          <w:i/>
          <w:sz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2E525621" w14:textId="77777777" w:rsidR="00201D6C" w:rsidRPr="00485F10" w:rsidRDefault="00201D6C" w:rsidP="00201D6C">
      <w:pPr>
        <w:ind w:left="567" w:right="616"/>
        <w:rPr>
          <w:i/>
          <w:sz w:val="22"/>
        </w:rPr>
      </w:pPr>
    </w:p>
    <w:p w14:paraId="27BF0914" w14:textId="77777777" w:rsidR="00201D6C" w:rsidRPr="00485F10" w:rsidRDefault="00201D6C" w:rsidP="00201D6C">
      <w:pPr>
        <w:rPr>
          <w:szCs w:val="24"/>
        </w:rPr>
      </w:pPr>
      <w:r w:rsidRPr="00485F10">
        <w:rPr>
          <w:szCs w:val="24"/>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 Más aún, a través de diversa jurisprudencia dictada por el Poder Judicial de la Federación se sostiene que la finalidad de la fundamentación o motivación es la de explicar, justificar, posibilitar la defensa y comunicar la decisión de la autoridad:</w:t>
      </w:r>
    </w:p>
    <w:p w14:paraId="66CC1CFB" w14:textId="77777777" w:rsidR="00201D6C" w:rsidRPr="00485F10" w:rsidRDefault="00201D6C" w:rsidP="00201D6C">
      <w:pPr>
        <w:ind w:left="567" w:right="616"/>
        <w:rPr>
          <w:i/>
          <w:sz w:val="22"/>
        </w:rPr>
      </w:pPr>
      <w:r w:rsidRPr="00485F10">
        <w:rPr>
          <w:b/>
          <w:i/>
          <w:sz w:val="22"/>
        </w:rPr>
        <w:lastRenderedPageBreak/>
        <w:t>FUNDAMENTACIÓN Y MOTIVACIÓN. EL ASPECTO FORMAL DE LA GARANTÍA Y SU FINALIDAD SE TRADUCEN EN EXPLICAR, JUSTIFICAR, POSIBILITAR LA DEFENSA Y COMUNICAR LA DECISIÓN</w:t>
      </w:r>
      <w:r w:rsidRPr="00485F10">
        <w:rPr>
          <w:i/>
          <w:sz w:val="22"/>
        </w:rPr>
        <w:t xml:space="preserve">. </w:t>
      </w:r>
    </w:p>
    <w:p w14:paraId="3F80A56C" w14:textId="77777777" w:rsidR="00201D6C" w:rsidRPr="00485F10" w:rsidRDefault="00201D6C" w:rsidP="00201D6C">
      <w:pPr>
        <w:ind w:left="567" w:right="616"/>
        <w:rPr>
          <w:i/>
          <w:sz w:val="22"/>
        </w:rPr>
      </w:pPr>
      <w:r w:rsidRPr="00485F10">
        <w:rPr>
          <w:i/>
          <w:sz w:val="22"/>
        </w:rPr>
        <w:t>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4556EAB7" w14:textId="77777777" w:rsidR="00201D6C" w:rsidRPr="00485F10" w:rsidRDefault="00201D6C" w:rsidP="00201D6C">
      <w:pPr>
        <w:rPr>
          <w:szCs w:val="24"/>
        </w:rPr>
      </w:pPr>
    </w:p>
    <w:p w14:paraId="32773716" w14:textId="77777777" w:rsidR="00201D6C" w:rsidRPr="00485F10" w:rsidRDefault="00201D6C" w:rsidP="00201D6C">
      <w:pPr>
        <w:rPr>
          <w:szCs w:val="24"/>
        </w:rPr>
      </w:pPr>
      <w:r w:rsidRPr="00485F10">
        <w:rPr>
          <w:szCs w:val="24"/>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22892135" w14:textId="77777777" w:rsidR="00201D6C" w:rsidRPr="00485F10" w:rsidRDefault="00201D6C" w:rsidP="00201D6C">
      <w:pPr>
        <w:rPr>
          <w:szCs w:val="24"/>
        </w:rPr>
      </w:pPr>
    </w:p>
    <w:p w14:paraId="0007A692" w14:textId="2F7B769C" w:rsidR="00201D6C" w:rsidRPr="00485F10" w:rsidRDefault="00201D6C" w:rsidP="00201D6C">
      <w:pPr>
        <w:rPr>
          <w:szCs w:val="24"/>
        </w:rPr>
      </w:pPr>
      <w:r w:rsidRPr="00485F10">
        <w:rPr>
          <w:szCs w:val="24"/>
        </w:rPr>
        <w:lastRenderedPageBreak/>
        <w:t>Por lo tanto, la entrega de documentos en su versión pública debe acompañarse necesariamente del Acuerdo del Comité de Transparencia del Sujeto Obligado</w:t>
      </w:r>
      <w:r w:rsidRPr="00485F10">
        <w:rPr>
          <w:b/>
          <w:szCs w:val="24"/>
        </w:rPr>
        <w:t xml:space="preserve"> </w:t>
      </w:r>
      <w:r w:rsidRPr="00485F10">
        <w:rPr>
          <w:szCs w:val="24"/>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 la solicitante.</w:t>
      </w:r>
    </w:p>
    <w:p w14:paraId="408DD8C7" w14:textId="10279445" w:rsidR="00201D6C" w:rsidRPr="00485F10" w:rsidRDefault="00201D6C" w:rsidP="00201D6C">
      <w:pPr>
        <w:tabs>
          <w:tab w:val="left" w:pos="709"/>
        </w:tabs>
        <w:spacing w:before="240"/>
        <w:ind w:right="51"/>
      </w:pPr>
      <w:r w:rsidRPr="00485F10">
        <w:rPr>
          <w:iCs/>
        </w:rPr>
        <w:t xml:space="preserve">En mérito de lo expuesto </w:t>
      </w:r>
      <w:r w:rsidRPr="00485F10">
        <w:t>en líneas anteriores</w:t>
      </w:r>
      <w:r w:rsidRPr="00485F10">
        <w:rPr>
          <w:b/>
        </w:rPr>
        <w:t xml:space="preserve">, </w:t>
      </w:r>
      <w:r w:rsidRPr="00485F10">
        <w:t xml:space="preserve">por ello con fundamento en el artículo 186 fracción III de la Ley de Transparencia y Acceso a la Información Pública del Estado de México y Municipios, se </w:t>
      </w:r>
      <w:r w:rsidR="001C5A25" w:rsidRPr="00485F10">
        <w:rPr>
          <w:b/>
        </w:rPr>
        <w:t>MODIFICA</w:t>
      </w:r>
      <w:r w:rsidRPr="00485F10">
        <w:rPr>
          <w:b/>
        </w:rPr>
        <w:t xml:space="preserve"> </w:t>
      </w:r>
      <w:r w:rsidRPr="00485F10">
        <w:t>la respuesta a la solicitud de información</w:t>
      </w:r>
      <w:r w:rsidRPr="00485F10">
        <w:rPr>
          <w:b/>
          <w:bCs/>
        </w:rPr>
        <w:t xml:space="preserve"> </w:t>
      </w:r>
      <w:r w:rsidR="001C5A25" w:rsidRPr="00485F10">
        <w:rPr>
          <w:b/>
          <w:bCs/>
        </w:rPr>
        <w:t>00343/ATIZARA/IP/2025</w:t>
      </w:r>
      <w:r w:rsidRPr="00485F10">
        <w:rPr>
          <w:b/>
          <w:bCs/>
        </w:rPr>
        <w:t xml:space="preserve">, </w:t>
      </w:r>
      <w:r w:rsidRPr="00485F10">
        <w:t xml:space="preserve">que ha sido materia del presente fallo. </w:t>
      </w:r>
    </w:p>
    <w:p w14:paraId="1CC21B70" w14:textId="77777777" w:rsidR="00201D6C" w:rsidRPr="00485F10" w:rsidRDefault="00201D6C" w:rsidP="00201D6C">
      <w:pPr>
        <w:pStyle w:val="Prrafodelista"/>
        <w:spacing w:before="240" w:after="240"/>
        <w:ind w:left="0"/>
      </w:pPr>
      <w:r w:rsidRPr="00485F10">
        <w:t xml:space="preserve">Por lo antes expuesto y fundado es de resolverse y, </w:t>
      </w:r>
    </w:p>
    <w:p w14:paraId="5DA355BA" w14:textId="77777777" w:rsidR="00201D6C" w:rsidRPr="00485F10" w:rsidRDefault="00201D6C" w:rsidP="00201D6C">
      <w:pPr>
        <w:pStyle w:val="Prrafodelista"/>
        <w:spacing w:before="240" w:after="240"/>
        <w:ind w:left="0"/>
      </w:pPr>
    </w:p>
    <w:p w14:paraId="5E1CA9B1" w14:textId="77777777" w:rsidR="00201D6C" w:rsidRPr="00485F10" w:rsidRDefault="00201D6C" w:rsidP="00201D6C">
      <w:pPr>
        <w:tabs>
          <w:tab w:val="left" w:pos="426"/>
        </w:tabs>
        <w:ind w:right="49"/>
        <w:contextualSpacing/>
        <w:jc w:val="center"/>
        <w:rPr>
          <w:b/>
          <w:sz w:val="28"/>
          <w:szCs w:val="28"/>
        </w:rPr>
      </w:pPr>
      <w:r w:rsidRPr="00485F10">
        <w:rPr>
          <w:b/>
          <w:sz w:val="28"/>
          <w:szCs w:val="28"/>
        </w:rPr>
        <w:t>S E        R E S U E L V E</w:t>
      </w:r>
    </w:p>
    <w:p w14:paraId="0CA6E570" w14:textId="77777777" w:rsidR="00201D6C" w:rsidRPr="00485F10" w:rsidRDefault="00201D6C" w:rsidP="00201D6C">
      <w:pPr>
        <w:tabs>
          <w:tab w:val="left" w:pos="426"/>
        </w:tabs>
        <w:ind w:right="49"/>
        <w:contextualSpacing/>
      </w:pPr>
    </w:p>
    <w:p w14:paraId="79BCB002" w14:textId="08351021" w:rsidR="00201D6C" w:rsidRPr="00485F10" w:rsidRDefault="00201D6C" w:rsidP="00201D6C">
      <w:pPr>
        <w:tabs>
          <w:tab w:val="left" w:pos="426"/>
        </w:tabs>
        <w:ind w:right="49"/>
        <w:contextualSpacing/>
      </w:pPr>
      <w:r w:rsidRPr="00485F10">
        <w:t xml:space="preserve">PRIMERO. </w:t>
      </w:r>
      <w:r w:rsidRPr="00485F10">
        <w:rPr>
          <w:rFonts w:cs="Arial"/>
        </w:rPr>
        <w:t xml:space="preserve">Se </w:t>
      </w:r>
      <w:r w:rsidR="001C5A25" w:rsidRPr="00485F10">
        <w:rPr>
          <w:rFonts w:cs="Arial"/>
          <w:b/>
        </w:rPr>
        <w:t xml:space="preserve">MODIFICA </w:t>
      </w:r>
      <w:r w:rsidRPr="00485F10">
        <w:rPr>
          <w:rFonts w:cs="Arial"/>
        </w:rPr>
        <w:t xml:space="preserve">la respuesta entregada por </w:t>
      </w:r>
      <w:r w:rsidRPr="00485F10">
        <w:rPr>
          <w:rFonts w:cs="Arial"/>
          <w:b/>
        </w:rPr>
        <w:t xml:space="preserve">EL SUJETO OBLIGADO, </w:t>
      </w:r>
      <w:r w:rsidRPr="00485F10">
        <w:rPr>
          <w:rFonts w:cs="Arial"/>
        </w:rPr>
        <w:t xml:space="preserve">a la solicitud de información con número </w:t>
      </w:r>
      <w:r w:rsidR="001C5A25" w:rsidRPr="00485F10">
        <w:rPr>
          <w:b/>
          <w:bCs/>
        </w:rPr>
        <w:t>00343/ATIZARA/IP/2025</w:t>
      </w:r>
      <w:r w:rsidRPr="00485F10">
        <w:rPr>
          <w:rFonts w:cs="Arial"/>
          <w:b/>
        </w:rPr>
        <w:t xml:space="preserve">, </w:t>
      </w:r>
      <w:r w:rsidRPr="00485F10">
        <w:rPr>
          <w:rFonts w:cs="Arial"/>
        </w:rPr>
        <w:t xml:space="preserve">en términos del </w:t>
      </w:r>
      <w:r w:rsidRPr="00485F10">
        <w:rPr>
          <w:rFonts w:cs="Arial"/>
          <w:b/>
        </w:rPr>
        <w:t xml:space="preserve">Considerando QUINTO </w:t>
      </w:r>
      <w:r w:rsidRPr="00485F10">
        <w:rPr>
          <w:rFonts w:cs="Arial"/>
        </w:rPr>
        <w:t>de la presente resolución</w:t>
      </w:r>
      <w:r w:rsidRPr="00485F10">
        <w:t xml:space="preserve">. </w:t>
      </w:r>
    </w:p>
    <w:p w14:paraId="199A3CB3" w14:textId="77777777" w:rsidR="00201D6C" w:rsidRPr="00485F10" w:rsidRDefault="00201D6C" w:rsidP="00201D6C">
      <w:pPr>
        <w:tabs>
          <w:tab w:val="left" w:pos="426"/>
        </w:tabs>
        <w:ind w:right="49"/>
        <w:contextualSpacing/>
      </w:pPr>
      <w:r w:rsidRPr="00485F10">
        <w:rPr>
          <w:b/>
          <w:sz w:val="28"/>
          <w:szCs w:val="28"/>
        </w:rPr>
        <w:lastRenderedPageBreak/>
        <w:t>SEGUNDO</w:t>
      </w:r>
      <w:r w:rsidRPr="00485F10">
        <w:rPr>
          <w:b/>
          <w:bCs/>
        </w:rPr>
        <w:t>.</w:t>
      </w:r>
      <w:r w:rsidRPr="00485F10">
        <w:t xml:space="preserve"> Se </w:t>
      </w:r>
      <w:r w:rsidRPr="00485F10">
        <w:rPr>
          <w:b/>
        </w:rPr>
        <w:t xml:space="preserve">ORDENA </w:t>
      </w:r>
      <w:r w:rsidRPr="00485F10">
        <w:t xml:space="preserve">al </w:t>
      </w:r>
      <w:r w:rsidRPr="00485F10">
        <w:rPr>
          <w:b/>
        </w:rPr>
        <w:t>SUJETO OBLIGADO</w:t>
      </w:r>
      <w:r w:rsidRPr="00485F10">
        <w:t xml:space="preserve">, haga entrega al Recurrente en términos del considerando </w:t>
      </w:r>
      <w:r w:rsidRPr="00485F10">
        <w:rPr>
          <w:b/>
          <w:bCs/>
        </w:rPr>
        <w:t xml:space="preserve">QUINTO </w:t>
      </w:r>
      <w:r w:rsidRPr="00485F10">
        <w:t>de la presente Resolución, a través del Sistema de Acceso a la Información Mexiquense (SAIMEX), en versión pública de ser procedente, de lo siguiente:</w:t>
      </w:r>
    </w:p>
    <w:p w14:paraId="4D175520" w14:textId="597DC8D2" w:rsidR="00201D6C" w:rsidRPr="00485F10" w:rsidRDefault="00201D6C" w:rsidP="00201D6C">
      <w:pPr>
        <w:pStyle w:val="Prrafodelista"/>
        <w:numPr>
          <w:ilvl w:val="0"/>
          <w:numId w:val="2"/>
        </w:numPr>
        <w:pBdr>
          <w:top w:val="nil"/>
          <w:left w:val="nil"/>
          <w:bottom w:val="nil"/>
          <w:right w:val="nil"/>
          <w:between w:val="nil"/>
        </w:pBdr>
        <w:rPr>
          <w:rFonts w:eastAsia="Palatino Linotype" w:cs="Palatino Linotype"/>
          <w:color w:val="000000"/>
        </w:rPr>
      </w:pPr>
      <w:r w:rsidRPr="00485F10">
        <w:rPr>
          <w:color w:val="000000"/>
          <w:szCs w:val="24"/>
        </w:rPr>
        <w:t>Conciliación de nómina y la dispersión de nómina</w:t>
      </w:r>
      <w:r w:rsidR="007B1496" w:rsidRPr="00485F10">
        <w:rPr>
          <w:color w:val="000000"/>
          <w:szCs w:val="24"/>
        </w:rPr>
        <w:t xml:space="preserve"> faltante</w:t>
      </w:r>
      <w:r w:rsidRPr="00485F10">
        <w:rPr>
          <w:color w:val="000000"/>
          <w:szCs w:val="24"/>
        </w:rPr>
        <w:t xml:space="preserve"> del personal adscrito </w:t>
      </w:r>
      <w:r w:rsidR="00B71C03" w:rsidRPr="00485F10">
        <w:rPr>
          <w:color w:val="000000"/>
          <w:szCs w:val="24"/>
        </w:rPr>
        <w:t xml:space="preserve">al </w:t>
      </w:r>
      <w:r w:rsidRPr="00485F10">
        <w:rPr>
          <w:color w:val="000000"/>
          <w:szCs w:val="24"/>
        </w:rPr>
        <w:t xml:space="preserve">Sujeto Obligado de la </w:t>
      </w:r>
      <w:r w:rsidR="00B71C03" w:rsidRPr="00485F10">
        <w:rPr>
          <w:color w:val="000000"/>
          <w:szCs w:val="24"/>
        </w:rPr>
        <w:t>primera y</w:t>
      </w:r>
      <w:r w:rsidR="00EA387E" w:rsidRPr="00485F10">
        <w:rPr>
          <w:color w:val="000000"/>
          <w:szCs w:val="24"/>
        </w:rPr>
        <w:t xml:space="preserve"> </w:t>
      </w:r>
      <w:r w:rsidRPr="00485F10">
        <w:rPr>
          <w:color w:val="000000"/>
          <w:szCs w:val="24"/>
        </w:rPr>
        <w:t>segunda quincena de abril de dos mil veinticinco.</w:t>
      </w:r>
    </w:p>
    <w:p w14:paraId="13298C03" w14:textId="77777777" w:rsidR="00201D6C" w:rsidRPr="00485F10" w:rsidRDefault="00201D6C" w:rsidP="00201D6C">
      <w:pPr>
        <w:pStyle w:val="Prrafodelista"/>
        <w:pBdr>
          <w:top w:val="nil"/>
          <w:left w:val="nil"/>
          <w:bottom w:val="nil"/>
          <w:right w:val="nil"/>
          <w:between w:val="nil"/>
        </w:pBdr>
        <w:rPr>
          <w:rFonts w:eastAsia="Palatino Linotype" w:cs="Palatino Linotype"/>
          <w:color w:val="000000"/>
        </w:rPr>
      </w:pPr>
    </w:p>
    <w:p w14:paraId="3BED0B55" w14:textId="77777777" w:rsidR="00201D6C" w:rsidRPr="00485F10" w:rsidRDefault="00201D6C" w:rsidP="00201D6C">
      <w:pPr>
        <w:pStyle w:val="Prrafodelista"/>
        <w:tabs>
          <w:tab w:val="left" w:pos="426"/>
        </w:tabs>
        <w:ind w:left="1071" w:right="49"/>
        <w:rPr>
          <w:i/>
          <w:sz w:val="22"/>
        </w:rPr>
      </w:pPr>
      <w:r w:rsidRPr="00485F10">
        <w:rPr>
          <w:i/>
          <w:sz w:val="22"/>
        </w:rPr>
        <w:t>Para el caso de la clasificación de la información, se deberá emitir el Acuerdo del Comité de Transparencia en términos de los artículos 49, fracción VIII, 122 y 132 fracciones II y III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recurrente.</w:t>
      </w:r>
    </w:p>
    <w:p w14:paraId="0FD89738" w14:textId="77777777" w:rsidR="00201D6C" w:rsidRPr="00485F10" w:rsidRDefault="00201D6C" w:rsidP="00201D6C">
      <w:pPr>
        <w:rPr>
          <w:rFonts w:eastAsia="Arial Unicode MS" w:cs="Arial"/>
        </w:rPr>
      </w:pPr>
    </w:p>
    <w:p w14:paraId="032E02EF" w14:textId="77777777" w:rsidR="00201D6C" w:rsidRPr="00485F10" w:rsidRDefault="00201D6C" w:rsidP="00201D6C">
      <w:pPr>
        <w:rPr>
          <w:b/>
        </w:rPr>
      </w:pPr>
      <w:r w:rsidRPr="00485F10">
        <w:rPr>
          <w:b/>
        </w:rPr>
        <w:t>TERCERO. Notifíquese</w:t>
      </w:r>
      <w:r w:rsidRPr="00485F10">
        <w:t xml:space="preserve"> al Titular de la Unidad de Transparencia del </w:t>
      </w:r>
      <w:r w:rsidRPr="00485F10">
        <w:rPr>
          <w:b/>
        </w:rPr>
        <w:t>Sujeto Obligado</w:t>
      </w:r>
      <w:r w:rsidRPr="00485F10">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y </w:t>
      </w:r>
      <w:r w:rsidRPr="00485F10">
        <w:rPr>
          <w:b/>
        </w:rPr>
        <w:t xml:space="preserve">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14:paraId="22FE2C41" w14:textId="77777777" w:rsidR="00201D6C" w:rsidRPr="00485F10" w:rsidRDefault="00201D6C" w:rsidP="00201D6C">
      <w:r w:rsidRPr="00485F10">
        <w:rPr>
          <w:b/>
        </w:rPr>
        <w:lastRenderedPageBreak/>
        <w:t>CUARTO.</w:t>
      </w:r>
      <w:r w:rsidRPr="00485F10">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 </w:t>
      </w:r>
    </w:p>
    <w:p w14:paraId="0BF47C4E" w14:textId="77777777" w:rsidR="00201D6C" w:rsidRPr="00485F10" w:rsidRDefault="00201D6C" w:rsidP="00201D6C"/>
    <w:p w14:paraId="3D5162C6" w14:textId="77777777" w:rsidR="00201D6C" w:rsidRPr="00485F10" w:rsidRDefault="00201D6C" w:rsidP="00201D6C">
      <w:pPr>
        <w:rPr>
          <w:rFonts w:eastAsia="Arial Unicode MS" w:cs="Arial"/>
        </w:rPr>
      </w:pPr>
      <w:r w:rsidRPr="00485F10">
        <w:rPr>
          <w:b/>
        </w:rPr>
        <w:t>QUINTO.</w:t>
      </w:r>
      <w:r w:rsidRPr="00485F10">
        <w:t xml:space="preserve"> </w:t>
      </w:r>
      <w:r w:rsidRPr="00485F10">
        <w:rPr>
          <w:b/>
        </w:rPr>
        <w:t>Notifíquese al Recurrente</w:t>
      </w:r>
      <w:r w:rsidRPr="00485F10">
        <w:t xml:space="preserve"> la presente resolución a través del Sistema de Acceso a la Información Mexiquense (SAIMEX),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p>
    <w:p w14:paraId="764726BC" w14:textId="77777777" w:rsidR="00201D6C" w:rsidRPr="00485F10" w:rsidRDefault="00201D6C" w:rsidP="00201D6C">
      <w:pPr>
        <w:rPr>
          <w:rFonts w:cs="Arial"/>
          <w:color w:val="000000"/>
          <w:szCs w:val="24"/>
        </w:rPr>
      </w:pPr>
    </w:p>
    <w:p w14:paraId="22A5EE37" w14:textId="4C5B54A5" w:rsidR="00201D6C" w:rsidRPr="00485F10" w:rsidRDefault="00201D6C" w:rsidP="00201D6C">
      <w:pPr>
        <w:rPr>
          <w:rFonts w:cs="Arial"/>
          <w:szCs w:val="24"/>
          <w:lang w:val="es-MX"/>
        </w:rPr>
      </w:pPr>
      <w:r w:rsidRPr="00485F10">
        <w:rPr>
          <w:rFonts w:cs="Arial"/>
          <w:szCs w:val="24"/>
        </w:rPr>
        <w:t xml:space="preserve">ASÍ LO RESUELVE, POR </w:t>
      </w:r>
      <w:r w:rsidRPr="00485F10">
        <w:rPr>
          <w:rFonts w:cs="Arial"/>
          <w:b/>
          <w:bCs/>
          <w:szCs w:val="24"/>
        </w:rPr>
        <w:t>UNANIMIDAD DE VOTOS</w:t>
      </w:r>
      <w:r w:rsidRPr="00485F10">
        <w:rPr>
          <w:rFonts w:cs="Arial"/>
          <w:szCs w:val="24"/>
        </w:rPr>
        <w:t xml:space="preserve"> EL PLENO DEL</w:t>
      </w:r>
      <w:r w:rsidRPr="00485F10">
        <w:rPr>
          <w:rFonts w:eastAsia="Arial Unicode MS" w:cs="Arial"/>
          <w:szCs w:val="24"/>
        </w:rPr>
        <w:t xml:space="preserve"> INSTITUTO DE TRANSPARENCIA, ACCESO A LA INFORMACIÓN PÚBLICA Y PROTECCIÓN DE DATOS PERSONALES DEL ESTADO DE MÉXICO Y MUNICIPIOS</w:t>
      </w:r>
      <w:r w:rsidRPr="00485F10">
        <w:rPr>
          <w:rFonts w:cs="Arial"/>
          <w:szCs w:val="24"/>
        </w:rPr>
        <w:t>, CONFORMADO POR LOS COMISIONADOS JOSÉ MARTÍNEZ VILCHIS, MARÍA DEL ROSARIO MEJÍA AYALA, SHARON CRISTINA MORALES MARTÍNEZ, LUIS GUSTAVO PARRA NORIEGA</w:t>
      </w:r>
      <w:r w:rsidR="0006589F" w:rsidRPr="00485F10">
        <w:rPr>
          <w:rFonts w:cs="Arial"/>
          <w:szCs w:val="24"/>
        </w:rPr>
        <w:t xml:space="preserve"> </w:t>
      </w:r>
      <w:r w:rsidR="0006589F" w:rsidRPr="00485F10">
        <w:rPr>
          <w:rFonts w:eastAsia="Times New Roman" w:cs="Arial"/>
          <w:szCs w:val="24"/>
        </w:rPr>
        <w:t>(</w:t>
      </w:r>
      <w:r w:rsidR="00900B5C" w:rsidRPr="00485F10">
        <w:rPr>
          <w:rFonts w:eastAsia="Times New Roman" w:cs="Arial"/>
          <w:szCs w:val="24"/>
          <w:u w:val="single"/>
        </w:rPr>
        <w:t xml:space="preserve">EMITIENDO </w:t>
      </w:r>
      <w:r w:rsidR="0006589F" w:rsidRPr="00485F10">
        <w:rPr>
          <w:rFonts w:eastAsia="Times New Roman" w:cs="Arial"/>
          <w:szCs w:val="24"/>
          <w:u w:val="single"/>
        </w:rPr>
        <w:t>VOTO PARTICULAR)</w:t>
      </w:r>
      <w:r w:rsidR="0006589F" w:rsidRPr="00485F10">
        <w:rPr>
          <w:rFonts w:eastAsia="Times New Roman" w:cs="Arial"/>
          <w:szCs w:val="24"/>
        </w:rPr>
        <w:t xml:space="preserve">, </w:t>
      </w:r>
      <w:r w:rsidRPr="00485F10">
        <w:rPr>
          <w:rFonts w:cs="Arial"/>
          <w:szCs w:val="24"/>
        </w:rPr>
        <w:t xml:space="preserve"> Y GUADALUPE RAMÍREZ PEÑA</w:t>
      </w:r>
      <w:r w:rsidR="00900B5C" w:rsidRPr="00485F10">
        <w:rPr>
          <w:rFonts w:cs="Arial"/>
          <w:szCs w:val="24"/>
        </w:rPr>
        <w:t xml:space="preserve"> </w:t>
      </w:r>
      <w:r w:rsidR="0006589F" w:rsidRPr="00485F10">
        <w:rPr>
          <w:rFonts w:eastAsia="Times New Roman" w:cs="Arial"/>
          <w:szCs w:val="24"/>
        </w:rPr>
        <w:t>(</w:t>
      </w:r>
      <w:r w:rsidR="00900B5C" w:rsidRPr="00485F10">
        <w:rPr>
          <w:rFonts w:eastAsia="Times New Roman" w:cs="Arial"/>
          <w:szCs w:val="24"/>
          <w:u w:val="single"/>
        </w:rPr>
        <w:t xml:space="preserve">EMITIENDO </w:t>
      </w:r>
      <w:r w:rsidR="0006589F" w:rsidRPr="00485F10">
        <w:rPr>
          <w:rFonts w:eastAsia="Times New Roman" w:cs="Arial"/>
          <w:szCs w:val="24"/>
          <w:u w:val="single"/>
        </w:rPr>
        <w:t>VOTO PARTICULAR)</w:t>
      </w:r>
      <w:r w:rsidRPr="00485F10">
        <w:rPr>
          <w:rFonts w:cs="Arial"/>
          <w:szCs w:val="24"/>
          <w:u w:val="single"/>
        </w:rPr>
        <w:t>,</w:t>
      </w:r>
      <w:r w:rsidRPr="00485F10">
        <w:rPr>
          <w:rFonts w:cs="Arial"/>
          <w:szCs w:val="24"/>
        </w:rPr>
        <w:t xml:space="preserve"> EN LA </w:t>
      </w:r>
      <w:r w:rsidRPr="00485F10">
        <w:rPr>
          <w:rFonts w:cs="Arial"/>
          <w:b/>
          <w:bCs/>
          <w:szCs w:val="24"/>
          <w:lang w:val="es-419"/>
        </w:rPr>
        <w:t xml:space="preserve">TRIGÉSIMA </w:t>
      </w:r>
      <w:r w:rsidR="0006589F" w:rsidRPr="00485F10">
        <w:rPr>
          <w:rFonts w:cs="Arial"/>
          <w:b/>
          <w:bCs/>
          <w:szCs w:val="24"/>
          <w:lang w:val="es-419"/>
        </w:rPr>
        <w:t>QUINT</w:t>
      </w:r>
      <w:r w:rsidRPr="00485F10">
        <w:rPr>
          <w:rFonts w:cs="Arial"/>
          <w:b/>
          <w:bCs/>
          <w:szCs w:val="24"/>
          <w:lang w:val="es-419"/>
        </w:rPr>
        <w:t xml:space="preserve">A </w:t>
      </w:r>
      <w:r w:rsidRPr="00485F10">
        <w:rPr>
          <w:rFonts w:cs="Arial"/>
          <w:b/>
          <w:bCs/>
          <w:szCs w:val="24"/>
        </w:rPr>
        <w:t xml:space="preserve">SESIÓN ORDINARIA CELEBRADA EL  </w:t>
      </w:r>
      <w:r w:rsidR="0006589F" w:rsidRPr="00485F10">
        <w:rPr>
          <w:rFonts w:cs="Arial"/>
          <w:b/>
          <w:bCs/>
          <w:szCs w:val="24"/>
        </w:rPr>
        <w:t>PRIMERO DE OCTUBRE</w:t>
      </w:r>
      <w:r w:rsidRPr="00485F10">
        <w:rPr>
          <w:rFonts w:cs="Arial"/>
          <w:b/>
          <w:bCs/>
          <w:szCs w:val="24"/>
        </w:rPr>
        <w:t xml:space="preserve"> DE DOS MIL </w:t>
      </w:r>
      <w:r w:rsidRPr="00485F10">
        <w:rPr>
          <w:rFonts w:cs="Arial"/>
          <w:b/>
          <w:bCs/>
          <w:szCs w:val="24"/>
          <w:lang w:val="es-419"/>
        </w:rPr>
        <w:t>VEINTICINCO</w:t>
      </w:r>
      <w:r w:rsidRPr="00485F10">
        <w:rPr>
          <w:rFonts w:cs="Arial"/>
          <w:szCs w:val="24"/>
        </w:rPr>
        <w:t>, ANTE EL SECRETARIO TÉCNICO DEL PLENO, ALEXIS TAPIA RAMÍREZ. --------------------------------------------------------------------------------------------------------------------------------------------------------------------------------------------------------------------------</w:t>
      </w:r>
    </w:p>
    <w:p w14:paraId="52B06775" w14:textId="77777777" w:rsidR="00201D6C" w:rsidRDefault="00201D6C" w:rsidP="00201D6C">
      <w:pPr>
        <w:rPr>
          <w:rFonts w:cs="Arial"/>
          <w:sz w:val="20"/>
        </w:rPr>
      </w:pPr>
      <w:r w:rsidRPr="00485F10">
        <w:rPr>
          <w:rFonts w:cs="Arial"/>
          <w:sz w:val="20"/>
        </w:rPr>
        <w:t>JMV/CCR/NJMB</w:t>
      </w:r>
    </w:p>
    <w:p w14:paraId="547DC52D" w14:textId="77777777" w:rsidR="00201D6C" w:rsidRDefault="00201D6C" w:rsidP="00201D6C">
      <w:pPr>
        <w:rPr>
          <w:rFonts w:cs="Arial"/>
          <w:sz w:val="20"/>
        </w:rPr>
      </w:pPr>
    </w:p>
    <w:p w14:paraId="780228BC" w14:textId="77777777" w:rsidR="00201D6C" w:rsidRDefault="00201D6C" w:rsidP="00201D6C">
      <w:pPr>
        <w:rPr>
          <w:rFonts w:cs="Arial"/>
          <w:sz w:val="20"/>
        </w:rPr>
      </w:pPr>
    </w:p>
    <w:p w14:paraId="05E1A8E4" w14:textId="77777777" w:rsidR="00201D6C" w:rsidRPr="004B7011" w:rsidRDefault="00201D6C" w:rsidP="00201D6C">
      <w:pPr>
        <w:pBdr>
          <w:top w:val="nil"/>
          <w:left w:val="nil"/>
          <w:bottom w:val="nil"/>
          <w:right w:val="nil"/>
          <w:between w:val="nil"/>
        </w:pBdr>
        <w:contextualSpacing/>
        <w:rPr>
          <w:rFonts w:eastAsia="Palatino Linotype" w:cs="Palatino Linotype"/>
          <w:color w:val="000000"/>
          <w:sz w:val="20"/>
          <w:szCs w:val="20"/>
        </w:rPr>
      </w:pPr>
    </w:p>
    <w:p w14:paraId="3D18D838" w14:textId="77777777" w:rsidR="00201D6C" w:rsidRPr="004B7011" w:rsidRDefault="00201D6C" w:rsidP="00201D6C">
      <w:pPr>
        <w:pBdr>
          <w:top w:val="nil"/>
          <w:left w:val="nil"/>
          <w:bottom w:val="nil"/>
          <w:right w:val="nil"/>
          <w:between w:val="nil"/>
        </w:pBdr>
        <w:contextualSpacing/>
        <w:rPr>
          <w:rFonts w:eastAsia="Palatino Linotype" w:cs="Palatino Linotype"/>
          <w:color w:val="000000"/>
          <w:sz w:val="20"/>
          <w:szCs w:val="20"/>
        </w:rPr>
      </w:pPr>
    </w:p>
    <w:p w14:paraId="7D2BA851" w14:textId="77777777" w:rsidR="00201D6C" w:rsidRPr="004B7011" w:rsidRDefault="00201D6C" w:rsidP="00201D6C">
      <w:pPr>
        <w:pBdr>
          <w:top w:val="nil"/>
          <w:left w:val="nil"/>
          <w:bottom w:val="nil"/>
          <w:right w:val="nil"/>
          <w:between w:val="nil"/>
        </w:pBdr>
        <w:contextualSpacing/>
        <w:rPr>
          <w:rFonts w:eastAsia="Palatino Linotype" w:cs="Palatino Linotype"/>
          <w:color w:val="000000"/>
          <w:sz w:val="20"/>
          <w:szCs w:val="20"/>
        </w:rPr>
      </w:pPr>
    </w:p>
    <w:p w14:paraId="0EE532AD" w14:textId="77777777" w:rsidR="00201D6C" w:rsidRPr="004B7011" w:rsidRDefault="00201D6C" w:rsidP="00201D6C">
      <w:pPr>
        <w:pBdr>
          <w:top w:val="nil"/>
          <w:left w:val="nil"/>
          <w:bottom w:val="nil"/>
          <w:right w:val="nil"/>
          <w:between w:val="nil"/>
        </w:pBdr>
        <w:contextualSpacing/>
        <w:rPr>
          <w:rFonts w:eastAsia="Palatino Linotype" w:cs="Palatino Linotype"/>
          <w:color w:val="000000"/>
          <w:sz w:val="20"/>
          <w:szCs w:val="20"/>
        </w:rPr>
      </w:pPr>
    </w:p>
    <w:p w14:paraId="09D5C515" w14:textId="77777777" w:rsidR="00201D6C" w:rsidRPr="004B7011" w:rsidRDefault="00201D6C" w:rsidP="00201D6C">
      <w:pPr>
        <w:pBdr>
          <w:top w:val="nil"/>
          <w:left w:val="nil"/>
          <w:bottom w:val="nil"/>
          <w:right w:val="nil"/>
          <w:between w:val="nil"/>
        </w:pBdr>
        <w:contextualSpacing/>
        <w:rPr>
          <w:rFonts w:eastAsia="Palatino Linotype" w:cs="Palatino Linotype"/>
          <w:color w:val="000000"/>
          <w:sz w:val="20"/>
          <w:szCs w:val="20"/>
        </w:rPr>
      </w:pPr>
    </w:p>
    <w:p w14:paraId="68F66CE0" w14:textId="77777777" w:rsidR="00201D6C" w:rsidRPr="004B7011" w:rsidRDefault="00201D6C" w:rsidP="00201D6C">
      <w:pPr>
        <w:pBdr>
          <w:top w:val="nil"/>
          <w:left w:val="nil"/>
          <w:bottom w:val="nil"/>
          <w:right w:val="nil"/>
          <w:between w:val="nil"/>
        </w:pBdr>
        <w:contextualSpacing/>
        <w:rPr>
          <w:rFonts w:eastAsia="Palatino Linotype" w:cs="Palatino Linotype"/>
          <w:color w:val="000000"/>
          <w:sz w:val="20"/>
          <w:szCs w:val="20"/>
        </w:rPr>
      </w:pPr>
    </w:p>
    <w:p w14:paraId="50BBBAB2" w14:textId="77777777" w:rsidR="00201D6C" w:rsidRPr="004B7011" w:rsidRDefault="00201D6C" w:rsidP="00201D6C">
      <w:pPr>
        <w:pBdr>
          <w:top w:val="nil"/>
          <w:left w:val="nil"/>
          <w:bottom w:val="nil"/>
          <w:right w:val="nil"/>
          <w:between w:val="nil"/>
        </w:pBdr>
        <w:contextualSpacing/>
        <w:rPr>
          <w:rFonts w:eastAsia="Palatino Linotype" w:cs="Palatino Linotype"/>
          <w:color w:val="000000"/>
          <w:sz w:val="20"/>
          <w:szCs w:val="20"/>
        </w:rPr>
      </w:pPr>
    </w:p>
    <w:p w14:paraId="4CF61907" w14:textId="77777777" w:rsidR="00201D6C" w:rsidRPr="004B7011" w:rsidRDefault="00201D6C" w:rsidP="00201D6C">
      <w:pPr>
        <w:pBdr>
          <w:top w:val="nil"/>
          <w:left w:val="nil"/>
          <w:bottom w:val="nil"/>
          <w:right w:val="nil"/>
          <w:between w:val="nil"/>
        </w:pBdr>
        <w:contextualSpacing/>
        <w:rPr>
          <w:rFonts w:eastAsia="Palatino Linotype" w:cs="Palatino Linotype"/>
          <w:color w:val="000000"/>
          <w:sz w:val="20"/>
          <w:szCs w:val="20"/>
        </w:rPr>
      </w:pPr>
    </w:p>
    <w:p w14:paraId="182AFDA2" w14:textId="77777777" w:rsidR="00201D6C" w:rsidRPr="004B7011" w:rsidRDefault="00201D6C" w:rsidP="00201D6C">
      <w:pPr>
        <w:pBdr>
          <w:top w:val="nil"/>
          <w:left w:val="nil"/>
          <w:bottom w:val="nil"/>
          <w:right w:val="nil"/>
          <w:between w:val="nil"/>
        </w:pBdr>
        <w:contextualSpacing/>
        <w:rPr>
          <w:rFonts w:eastAsia="Palatino Linotype" w:cs="Palatino Linotype"/>
          <w:color w:val="000000"/>
          <w:sz w:val="20"/>
          <w:szCs w:val="20"/>
        </w:rPr>
      </w:pPr>
    </w:p>
    <w:p w14:paraId="4450EC65" w14:textId="77777777" w:rsidR="00201D6C" w:rsidRPr="004B7011" w:rsidRDefault="00201D6C" w:rsidP="00201D6C"/>
    <w:p w14:paraId="6F89AF89" w14:textId="77777777" w:rsidR="00201D6C" w:rsidRDefault="00201D6C" w:rsidP="00201D6C"/>
    <w:p w14:paraId="10201A9A" w14:textId="77777777" w:rsidR="00201D6C" w:rsidRDefault="00201D6C" w:rsidP="00201D6C"/>
    <w:p w14:paraId="3AA934ED" w14:textId="77777777" w:rsidR="00201D6C" w:rsidRDefault="00201D6C" w:rsidP="00201D6C"/>
    <w:p w14:paraId="08603DAB" w14:textId="77777777" w:rsidR="00201D6C" w:rsidRDefault="00201D6C" w:rsidP="00201D6C"/>
    <w:p w14:paraId="6F2A8D3A" w14:textId="77777777" w:rsidR="00201D6C" w:rsidRDefault="00201D6C" w:rsidP="00201D6C"/>
    <w:p w14:paraId="4E78EE8B" w14:textId="77777777" w:rsidR="00201D6C" w:rsidRPr="005350DB" w:rsidRDefault="00201D6C" w:rsidP="00201D6C"/>
    <w:p w14:paraId="106429BC" w14:textId="77777777" w:rsidR="00201D6C" w:rsidRDefault="00201D6C"/>
    <w:sectPr w:rsidR="00201D6C" w:rsidSect="00201D6C">
      <w:headerReference w:type="even" r:id="rId11"/>
      <w:headerReference w:type="default" r:id="rId12"/>
      <w:footerReference w:type="default" r:id="rId13"/>
      <w:headerReference w:type="first" r:id="rId14"/>
      <w:footerReference w:type="first" r:id="rId15"/>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B9B8C2" w14:textId="77777777" w:rsidR="002042ED" w:rsidRDefault="002042ED" w:rsidP="00201D6C">
      <w:pPr>
        <w:spacing w:line="240" w:lineRule="auto"/>
      </w:pPr>
      <w:r>
        <w:separator/>
      </w:r>
    </w:p>
  </w:endnote>
  <w:endnote w:type="continuationSeparator" w:id="0">
    <w:p w14:paraId="7B484B2E" w14:textId="77777777" w:rsidR="002042ED" w:rsidRDefault="002042ED" w:rsidP="00201D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F0FD92" w14:textId="68572639" w:rsidR="001C5A25" w:rsidRPr="00871A91" w:rsidRDefault="001C5A25" w:rsidP="00E50CCF">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AA16D6">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AA16D6">
      <w:rPr>
        <w:rFonts w:ascii="Palatino Linotype" w:hAnsi="Palatino Linotype"/>
        <w:b/>
        <w:bCs/>
        <w:noProof/>
        <w:sz w:val="20"/>
      </w:rPr>
      <w:t>55</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282FD5" w14:textId="0123E2CD" w:rsidR="001C5A25" w:rsidRPr="00871A91" w:rsidRDefault="001C5A25" w:rsidP="00E50CCF">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AA16D6">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AA16D6">
      <w:rPr>
        <w:rFonts w:ascii="Palatino Linotype" w:hAnsi="Palatino Linotype"/>
        <w:b/>
        <w:bCs/>
        <w:noProof/>
        <w:sz w:val="20"/>
      </w:rPr>
      <w:t>55</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91CE4A" w14:textId="77777777" w:rsidR="002042ED" w:rsidRDefault="002042ED" w:rsidP="00201D6C">
      <w:pPr>
        <w:spacing w:line="240" w:lineRule="auto"/>
      </w:pPr>
      <w:r>
        <w:separator/>
      </w:r>
    </w:p>
  </w:footnote>
  <w:footnote w:type="continuationSeparator" w:id="0">
    <w:p w14:paraId="781F6C76" w14:textId="77777777" w:rsidR="002042ED" w:rsidRDefault="002042ED" w:rsidP="00201D6C">
      <w:pPr>
        <w:spacing w:line="240" w:lineRule="auto"/>
      </w:pPr>
      <w:r>
        <w:continuationSeparator/>
      </w:r>
    </w:p>
  </w:footnote>
  <w:footnote w:id="1">
    <w:p w14:paraId="59FD625F" w14:textId="77777777" w:rsidR="001C5A25" w:rsidRPr="00481AAF" w:rsidRDefault="001C5A25" w:rsidP="00201D6C">
      <w:pPr>
        <w:spacing w:line="240" w:lineRule="auto"/>
        <w:rPr>
          <w:rFonts w:eastAsia="Times New Roman"/>
          <w:b/>
          <w:bCs/>
          <w:i/>
          <w:sz w:val="20"/>
          <w:szCs w:val="20"/>
        </w:rPr>
      </w:pPr>
      <w:r>
        <w:rPr>
          <w:rStyle w:val="Refdenotaalpie"/>
        </w:rPr>
        <w:footnoteRef/>
      </w:r>
      <w:r>
        <w:t xml:space="preserve"> </w:t>
      </w:r>
      <w:r w:rsidRPr="00946E1F">
        <w:rPr>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b/>
          <w:bCs/>
          <w:i/>
          <w:sz w:val="20"/>
          <w:szCs w:val="20"/>
        </w:rPr>
        <w:t>DERECHOS HUMANOS.</w:t>
      </w:r>
    </w:p>
    <w:p w14:paraId="68B3AF99" w14:textId="77777777" w:rsidR="001C5A25" w:rsidRPr="00946E1F" w:rsidRDefault="001C5A25" w:rsidP="00201D6C">
      <w:pPr>
        <w:spacing w:line="240" w:lineRule="auto"/>
        <w:rPr>
          <w:i/>
          <w:sz w:val="20"/>
          <w:szCs w:val="20"/>
        </w:rPr>
      </w:pPr>
      <w:r w:rsidRPr="00481AAF">
        <w:rPr>
          <w:i/>
          <w:sz w:val="20"/>
          <w:szCs w:val="20"/>
        </w:rPr>
        <w:t>Del examen de compatibilidad de los artículos</w:t>
      </w:r>
      <w:r w:rsidRPr="00481AAF">
        <w:rPr>
          <w:rStyle w:val="apple-converted-space"/>
          <w:i/>
          <w:sz w:val="20"/>
          <w:szCs w:val="20"/>
        </w:rPr>
        <w:t> </w:t>
      </w:r>
      <w:hyperlink r:id="rId1" w:history="1">
        <w:r w:rsidRPr="00481AAF">
          <w:rPr>
            <w:rStyle w:val="Hipervnculo"/>
            <w:i/>
          </w:rPr>
          <w:t>73 y 74 de la Ley de Amparo</w:t>
        </w:r>
      </w:hyperlink>
      <w:r w:rsidRPr="00481AAF">
        <w:rPr>
          <w:rStyle w:val="apple-converted-space"/>
          <w:i/>
          <w:sz w:val="20"/>
          <w:szCs w:val="20"/>
        </w:rPr>
        <w:t> </w:t>
      </w:r>
      <w:r w:rsidRPr="00481AAF">
        <w:rPr>
          <w:i/>
          <w:sz w:val="20"/>
          <w:szCs w:val="20"/>
        </w:rPr>
        <w:t>con el artículo</w:t>
      </w:r>
      <w:r w:rsidRPr="00481AAF">
        <w:rPr>
          <w:rStyle w:val="apple-converted-space"/>
          <w:i/>
          <w:sz w:val="20"/>
          <w:szCs w:val="20"/>
        </w:rPr>
        <w:t> </w:t>
      </w:r>
      <w:hyperlink r:id="rId2" w:history="1">
        <w:r w:rsidRPr="00481AAF">
          <w:rPr>
            <w:rStyle w:val="Hipervnculo"/>
            <w:i/>
          </w:rPr>
          <w:t>25.1 de la Convención Americana sobre Derechos Humanos</w:t>
        </w:r>
      </w:hyperlink>
      <w:r w:rsidRPr="00481AAF">
        <w:rPr>
          <w:rStyle w:val="apple-converted-space"/>
          <w:i/>
          <w:sz w:val="20"/>
          <w:szCs w:val="20"/>
        </w:rPr>
        <w:t> </w:t>
      </w:r>
      <w:r w:rsidRPr="00481AAF">
        <w:rPr>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b/>
          <w:i/>
          <w:sz w:val="20"/>
          <w:szCs w:val="20"/>
          <w:u w:val="single"/>
        </w:rPr>
        <w:t>de amparo,</w:t>
      </w:r>
      <w:r w:rsidRPr="00946E1F">
        <w:rPr>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i/>
          <w:sz w:val="20"/>
          <w:szCs w:val="20"/>
        </w:rPr>
        <w:t>concesoria</w:t>
      </w:r>
      <w:proofErr w:type="spellEnd"/>
      <w:r w:rsidRPr="00946E1F">
        <w:rPr>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50647FA9" w14:textId="77777777" w:rsidR="001C5A25" w:rsidRDefault="001C5A25" w:rsidP="00201D6C">
      <w:pPr>
        <w:pStyle w:val="Textonotapie"/>
      </w:pPr>
      <w:r>
        <w:rPr>
          <w:rStyle w:val="Refdenotaalpie"/>
        </w:rPr>
        <w:footnoteRef/>
      </w:r>
      <w:r>
        <w:t xml:space="preserve"> </w:t>
      </w:r>
      <w:hyperlink r:id="rId3" w:history="1">
        <w:r w:rsidRPr="008A46CF">
          <w:rPr>
            <w:rStyle w:val="Hipervnculo"/>
          </w:rPr>
          <w:t>https://legislacion.edomex.gob.mx/sites/legislacion.edomex.gob.mx/files/files/pdf/ley/vig/leyvig083.pdf</w:t>
        </w:r>
      </w:hyperlink>
    </w:p>
    <w:p w14:paraId="3A8252A2" w14:textId="77777777" w:rsidR="001C5A25" w:rsidRDefault="001C5A25" w:rsidP="00201D6C">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6FFF14" w14:textId="77777777" w:rsidR="001C5A25" w:rsidRDefault="002042ED">
    <w:pPr>
      <w:pStyle w:val="Encabezado"/>
    </w:pPr>
    <w:r>
      <w:rPr>
        <w:noProof/>
        <w:lang w:val="es-MX" w:eastAsia="es-MX"/>
      </w:rPr>
      <w:pict w14:anchorId="2EF250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49" type="#_x0000_t75" alt="" style="position:absolute;left:0;text-align:left;margin-left:0;margin-top:0;width:609.4pt;height:793.75pt;z-index:-251658752;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4F3D3" w14:textId="79AC97FE" w:rsidR="001C5A25" w:rsidRDefault="001C5A25">
    <w:pPr>
      <w:pStyle w:val="Encabezado"/>
    </w:pPr>
  </w:p>
  <w:tbl>
    <w:tblPr>
      <w:tblW w:w="9498" w:type="dxa"/>
      <w:tblLayout w:type="fixed"/>
      <w:tblCellMar>
        <w:left w:w="70" w:type="dxa"/>
        <w:right w:w="70" w:type="dxa"/>
      </w:tblCellMar>
      <w:tblLook w:val="04A0" w:firstRow="1" w:lastRow="0" w:firstColumn="1" w:lastColumn="0" w:noHBand="0" w:noVBand="1"/>
    </w:tblPr>
    <w:tblGrid>
      <w:gridCol w:w="5103"/>
      <w:gridCol w:w="4395"/>
    </w:tblGrid>
    <w:tr w:rsidR="001C5A25" w:rsidRPr="00B17577" w14:paraId="17BDE3F3" w14:textId="77777777" w:rsidTr="00E50CCF">
      <w:trPr>
        <w:trHeight w:val="227"/>
      </w:trPr>
      <w:tc>
        <w:tcPr>
          <w:tcW w:w="5103" w:type="dxa"/>
          <w:hideMark/>
        </w:tcPr>
        <w:p w14:paraId="6E1AD5F8" w14:textId="77777777" w:rsidR="001C5A25" w:rsidRPr="00096248" w:rsidRDefault="001C5A25" w:rsidP="00E50CCF">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168F6FBA" w14:textId="02578762" w:rsidR="001C5A25" w:rsidRPr="00096248" w:rsidRDefault="001C5A25" w:rsidP="00E50CCF">
          <w:pPr>
            <w:spacing w:after="120" w:line="240" w:lineRule="auto"/>
            <w:ind w:right="71"/>
            <w:jc w:val="right"/>
            <w:rPr>
              <w:rFonts w:cs="Arial"/>
              <w:b/>
              <w:szCs w:val="24"/>
            </w:rPr>
          </w:pPr>
          <w:r>
            <w:rPr>
              <w:rFonts w:cs="Arial"/>
              <w:b/>
              <w:bCs/>
              <w:szCs w:val="24"/>
            </w:rPr>
            <w:t>08260</w:t>
          </w:r>
          <w:r w:rsidRPr="00096248">
            <w:rPr>
              <w:rFonts w:cs="Arial"/>
              <w:b/>
              <w:bCs/>
              <w:szCs w:val="24"/>
            </w:rPr>
            <w:t>/INFOEM/IP/RR/202</w:t>
          </w:r>
          <w:r>
            <w:rPr>
              <w:rFonts w:cs="Arial"/>
              <w:b/>
              <w:bCs/>
              <w:szCs w:val="24"/>
            </w:rPr>
            <w:t>5</w:t>
          </w:r>
        </w:p>
      </w:tc>
    </w:tr>
    <w:tr w:rsidR="001C5A25" w14:paraId="7827543B" w14:textId="77777777" w:rsidTr="00E50CCF">
      <w:trPr>
        <w:trHeight w:val="242"/>
      </w:trPr>
      <w:tc>
        <w:tcPr>
          <w:tcW w:w="5103" w:type="dxa"/>
          <w:hideMark/>
        </w:tcPr>
        <w:p w14:paraId="6ADEAFA6" w14:textId="77777777" w:rsidR="001C5A25" w:rsidRPr="00096248" w:rsidRDefault="001C5A25" w:rsidP="00E50CCF">
          <w:pPr>
            <w:spacing w:after="120" w:line="240" w:lineRule="auto"/>
            <w:ind w:right="69"/>
            <w:jc w:val="right"/>
            <w:rPr>
              <w:rFonts w:cs="Arial"/>
              <w:b/>
              <w:szCs w:val="24"/>
            </w:rPr>
          </w:pPr>
          <w:r w:rsidRPr="00096248">
            <w:rPr>
              <w:rFonts w:cs="Arial"/>
              <w:b/>
              <w:szCs w:val="24"/>
            </w:rPr>
            <w:t>Sujeto Obligado:</w:t>
          </w:r>
        </w:p>
      </w:tc>
      <w:tc>
        <w:tcPr>
          <w:tcW w:w="4395" w:type="dxa"/>
          <w:hideMark/>
        </w:tcPr>
        <w:p w14:paraId="7C05735B" w14:textId="7F7AE377" w:rsidR="001C5A25" w:rsidRPr="00096248" w:rsidRDefault="001C5A25" w:rsidP="00E50CCF">
          <w:pPr>
            <w:spacing w:after="120" w:line="240" w:lineRule="auto"/>
            <w:ind w:left="-81" w:right="71"/>
            <w:jc w:val="right"/>
            <w:rPr>
              <w:rFonts w:cs="Arial"/>
              <w:szCs w:val="24"/>
            </w:rPr>
          </w:pPr>
          <w:r w:rsidRPr="00201D6C">
            <w:rPr>
              <w:b/>
              <w:bCs/>
              <w:color w:val="000000"/>
              <w:szCs w:val="24"/>
            </w:rPr>
            <w:t>Ayuntamiento de Atizapán de Zaragoza</w:t>
          </w:r>
        </w:p>
      </w:tc>
    </w:tr>
    <w:tr w:rsidR="001C5A25" w:rsidRPr="00F63239" w14:paraId="1AFE6802" w14:textId="77777777" w:rsidTr="00E50CCF">
      <w:trPr>
        <w:trHeight w:val="342"/>
      </w:trPr>
      <w:tc>
        <w:tcPr>
          <w:tcW w:w="5103" w:type="dxa"/>
          <w:hideMark/>
        </w:tcPr>
        <w:p w14:paraId="17D7441C" w14:textId="77777777" w:rsidR="001C5A25" w:rsidRPr="00096248" w:rsidRDefault="001C5A25" w:rsidP="00E50CCF">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385CB692" w14:textId="77777777" w:rsidR="001C5A25" w:rsidRDefault="001C5A25" w:rsidP="00E50CCF">
          <w:pPr>
            <w:spacing w:after="120" w:line="240" w:lineRule="auto"/>
            <w:ind w:left="-486" w:right="71" w:firstLine="567"/>
            <w:jc w:val="right"/>
            <w:rPr>
              <w:rFonts w:cs="Arial"/>
              <w:szCs w:val="24"/>
            </w:rPr>
          </w:pPr>
          <w:r w:rsidRPr="00096248">
            <w:rPr>
              <w:rFonts w:cs="Arial"/>
              <w:szCs w:val="24"/>
            </w:rPr>
            <w:t>José Martínez Vilchis</w:t>
          </w:r>
        </w:p>
        <w:p w14:paraId="57D4D50E" w14:textId="77777777" w:rsidR="001C5A25" w:rsidRPr="00711916" w:rsidRDefault="001C5A25" w:rsidP="00E50CCF">
          <w:pPr>
            <w:spacing w:after="120" w:line="240" w:lineRule="auto"/>
            <w:ind w:left="-486" w:right="71" w:firstLine="567"/>
            <w:jc w:val="right"/>
            <w:rPr>
              <w:rFonts w:cs="Arial"/>
              <w:sz w:val="2"/>
              <w:szCs w:val="2"/>
            </w:rPr>
          </w:pPr>
        </w:p>
      </w:tc>
    </w:tr>
  </w:tbl>
  <w:p w14:paraId="2CE8DA1D" w14:textId="77777777" w:rsidR="001C5A25" w:rsidRPr="00871A91" w:rsidRDefault="002042ED">
    <w:pPr>
      <w:pStyle w:val="Encabezado"/>
      <w:rPr>
        <w:sz w:val="2"/>
      </w:rPr>
    </w:pPr>
    <w:r>
      <w:rPr>
        <w:noProof/>
        <w:lang w:val="es-MX" w:eastAsia="es-MX"/>
      </w:rPr>
      <w:pict w14:anchorId="21079C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left:0;text-align:left;margin-left:-84pt;margin-top:-141.3pt;width:609.4pt;height:793.75pt;z-index:-251657728;mso-wrap-edited:f;mso-width-percent:0;mso-height-percent:0;mso-position-horizontal-relative:margin;mso-position-vertical-relative:margin;mso-width-percent:0;mso-height-percent:0" o:allowincell="f">
          <v:imagedata r:id="rId1" o:title="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95BE58" w14:textId="77777777" w:rsidR="001C5A25" w:rsidRDefault="001C5A25">
    <w:pPr>
      <w:pStyle w:val="Encabezado"/>
    </w:pPr>
  </w:p>
  <w:tbl>
    <w:tblPr>
      <w:tblW w:w="9356" w:type="dxa"/>
      <w:tblLayout w:type="fixed"/>
      <w:tblCellMar>
        <w:left w:w="70" w:type="dxa"/>
        <w:right w:w="70" w:type="dxa"/>
      </w:tblCellMar>
      <w:tblLook w:val="04A0" w:firstRow="1" w:lastRow="0" w:firstColumn="1" w:lastColumn="0" w:noHBand="0" w:noVBand="1"/>
    </w:tblPr>
    <w:tblGrid>
      <w:gridCol w:w="5103"/>
      <w:gridCol w:w="4253"/>
    </w:tblGrid>
    <w:tr w:rsidR="001C5A25" w14:paraId="6073164B" w14:textId="77777777" w:rsidTr="00E50CCF">
      <w:trPr>
        <w:trHeight w:val="227"/>
      </w:trPr>
      <w:tc>
        <w:tcPr>
          <w:tcW w:w="5103" w:type="dxa"/>
          <w:hideMark/>
        </w:tcPr>
        <w:p w14:paraId="42B3F3C9" w14:textId="77777777" w:rsidR="001C5A25" w:rsidRPr="00663A37" w:rsidRDefault="001C5A25" w:rsidP="00E50CCF">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253" w:type="dxa"/>
          <w:hideMark/>
        </w:tcPr>
        <w:p w14:paraId="0C9C3A3E" w14:textId="6867CFB2" w:rsidR="001C5A25" w:rsidRPr="00C81ECD" w:rsidRDefault="001C5A25" w:rsidP="00E50CCF">
          <w:pPr>
            <w:spacing w:after="120" w:line="240" w:lineRule="auto"/>
            <w:ind w:left="-486" w:right="68" w:firstLine="558"/>
            <w:jc w:val="right"/>
            <w:rPr>
              <w:rFonts w:cs="Arial"/>
              <w:b/>
              <w:szCs w:val="24"/>
            </w:rPr>
          </w:pPr>
          <w:r>
            <w:rPr>
              <w:rFonts w:cs="Arial"/>
              <w:b/>
              <w:bCs/>
              <w:szCs w:val="24"/>
            </w:rPr>
            <w:t>08260/INFOEM/IP/RR/2025</w:t>
          </w:r>
        </w:p>
      </w:tc>
    </w:tr>
    <w:tr w:rsidR="001C5A25" w:rsidRPr="001F57CD" w14:paraId="61F6DCA1" w14:textId="77777777" w:rsidTr="00E50CCF">
      <w:trPr>
        <w:trHeight w:val="196"/>
      </w:trPr>
      <w:tc>
        <w:tcPr>
          <w:tcW w:w="5103" w:type="dxa"/>
          <w:hideMark/>
        </w:tcPr>
        <w:p w14:paraId="3A2B16CF" w14:textId="77777777" w:rsidR="001C5A25" w:rsidRPr="00663A37" w:rsidRDefault="001C5A25" w:rsidP="00E50CCF">
          <w:pPr>
            <w:spacing w:after="120" w:line="240" w:lineRule="auto"/>
            <w:ind w:right="68"/>
            <w:jc w:val="right"/>
            <w:rPr>
              <w:rFonts w:cs="Arial"/>
              <w:b/>
              <w:szCs w:val="24"/>
            </w:rPr>
          </w:pPr>
          <w:r w:rsidRPr="00663A37">
            <w:rPr>
              <w:rFonts w:cs="Arial"/>
              <w:b/>
              <w:szCs w:val="24"/>
            </w:rPr>
            <w:t>Recurrente:</w:t>
          </w:r>
          <w:r>
            <w:rPr>
              <w:rFonts w:cs="Arial"/>
              <w:b/>
              <w:szCs w:val="24"/>
            </w:rPr>
            <w:t xml:space="preserve">     </w:t>
          </w:r>
        </w:p>
      </w:tc>
      <w:tc>
        <w:tcPr>
          <w:tcW w:w="4253" w:type="dxa"/>
          <w:hideMark/>
        </w:tcPr>
        <w:p w14:paraId="2216DBB1" w14:textId="6AD595BF" w:rsidR="001C5A25" w:rsidRPr="00663A37" w:rsidRDefault="00AA16D6" w:rsidP="00E50CCF">
          <w:pPr>
            <w:spacing w:after="120" w:line="240" w:lineRule="auto"/>
            <w:ind w:right="68"/>
            <w:jc w:val="right"/>
            <w:rPr>
              <w:rFonts w:cs="Arial"/>
              <w:szCs w:val="24"/>
            </w:rPr>
          </w:pPr>
          <w:r>
            <w:rPr>
              <w:rFonts w:cs="Arial"/>
              <w:szCs w:val="24"/>
            </w:rPr>
            <w:t>XXXXXXXXXXXXX</w:t>
          </w:r>
          <w:r w:rsidR="001C5A25">
            <w:rPr>
              <w:rFonts w:cs="Arial"/>
              <w:szCs w:val="24"/>
            </w:rPr>
            <w:t xml:space="preserve"> </w:t>
          </w:r>
        </w:p>
      </w:tc>
    </w:tr>
    <w:tr w:rsidR="001C5A25" w14:paraId="46DEA538" w14:textId="77777777" w:rsidTr="00E50CCF">
      <w:trPr>
        <w:trHeight w:val="242"/>
      </w:trPr>
      <w:tc>
        <w:tcPr>
          <w:tcW w:w="5103" w:type="dxa"/>
          <w:hideMark/>
        </w:tcPr>
        <w:p w14:paraId="567B09B1" w14:textId="77777777" w:rsidR="001C5A25" w:rsidRPr="00663A37" w:rsidRDefault="001C5A25" w:rsidP="00E50CCF">
          <w:pPr>
            <w:spacing w:after="120" w:line="240" w:lineRule="auto"/>
            <w:ind w:right="68"/>
            <w:jc w:val="right"/>
            <w:rPr>
              <w:rFonts w:cs="Arial"/>
              <w:b/>
              <w:szCs w:val="24"/>
            </w:rPr>
          </w:pPr>
          <w:r w:rsidRPr="00663A37">
            <w:rPr>
              <w:rFonts w:cs="Arial"/>
              <w:b/>
              <w:szCs w:val="24"/>
            </w:rPr>
            <w:t>Sujeto Obligado:</w:t>
          </w:r>
        </w:p>
      </w:tc>
      <w:tc>
        <w:tcPr>
          <w:tcW w:w="4253" w:type="dxa"/>
          <w:hideMark/>
        </w:tcPr>
        <w:p w14:paraId="492FB925" w14:textId="32645336" w:rsidR="001C5A25" w:rsidRPr="007F5D63" w:rsidRDefault="001C5A25" w:rsidP="00E50CCF">
          <w:pPr>
            <w:spacing w:after="120" w:line="240" w:lineRule="auto"/>
            <w:ind w:left="-70" w:right="68"/>
            <w:jc w:val="right"/>
            <w:rPr>
              <w:rFonts w:cs="Arial"/>
              <w:b/>
              <w:bCs/>
              <w:szCs w:val="24"/>
            </w:rPr>
          </w:pPr>
          <w:r>
            <w:rPr>
              <w:bCs/>
              <w:color w:val="000000"/>
              <w:szCs w:val="24"/>
            </w:rPr>
            <w:t xml:space="preserve">          </w:t>
          </w:r>
          <w:r w:rsidRPr="00201D6C">
            <w:rPr>
              <w:b/>
              <w:bCs/>
              <w:color w:val="000000"/>
              <w:szCs w:val="24"/>
            </w:rPr>
            <w:t>Ayuntamiento de Atizapán de Zaragoza</w:t>
          </w:r>
        </w:p>
      </w:tc>
    </w:tr>
    <w:tr w:rsidR="001C5A25" w14:paraId="0BEC3C9D" w14:textId="77777777" w:rsidTr="00E50CCF">
      <w:trPr>
        <w:trHeight w:val="342"/>
      </w:trPr>
      <w:tc>
        <w:tcPr>
          <w:tcW w:w="5103" w:type="dxa"/>
          <w:hideMark/>
        </w:tcPr>
        <w:p w14:paraId="66753AF2" w14:textId="77777777" w:rsidR="001C5A25" w:rsidRPr="00663A37" w:rsidRDefault="001C5A25" w:rsidP="00E50CCF">
          <w:pPr>
            <w:tabs>
              <w:tab w:val="left" w:pos="4892"/>
            </w:tabs>
            <w:spacing w:after="120" w:line="240" w:lineRule="auto"/>
            <w:ind w:right="68"/>
            <w:jc w:val="right"/>
            <w:rPr>
              <w:rFonts w:cs="Arial"/>
              <w:b/>
              <w:szCs w:val="24"/>
            </w:rPr>
          </w:pPr>
          <w:r w:rsidRPr="00663A37">
            <w:rPr>
              <w:rFonts w:cs="Arial"/>
              <w:b/>
              <w:szCs w:val="24"/>
            </w:rPr>
            <w:t>Comisionado Ponente:</w:t>
          </w:r>
        </w:p>
      </w:tc>
      <w:tc>
        <w:tcPr>
          <w:tcW w:w="4253" w:type="dxa"/>
          <w:hideMark/>
        </w:tcPr>
        <w:p w14:paraId="3A633B71" w14:textId="77777777" w:rsidR="001C5A25" w:rsidRPr="00663A37" w:rsidRDefault="001C5A25" w:rsidP="00E50CCF">
          <w:pPr>
            <w:spacing w:after="120" w:line="240" w:lineRule="auto"/>
            <w:ind w:left="-486" w:right="68" w:firstLine="567"/>
            <w:jc w:val="right"/>
            <w:rPr>
              <w:rFonts w:cs="Arial"/>
              <w:szCs w:val="24"/>
            </w:rPr>
          </w:pPr>
          <w:r w:rsidRPr="00663A37">
            <w:rPr>
              <w:rFonts w:cs="Arial"/>
              <w:szCs w:val="24"/>
            </w:rPr>
            <w:t>José Martínez Vilchis</w:t>
          </w:r>
        </w:p>
      </w:tc>
    </w:tr>
  </w:tbl>
  <w:p w14:paraId="00DE0F5B" w14:textId="77777777" w:rsidR="001C5A25" w:rsidRPr="00871A91" w:rsidRDefault="001C5A25">
    <w:pPr>
      <w:pStyle w:val="Encabezado"/>
      <w:rPr>
        <w:sz w:val="2"/>
      </w:rPr>
    </w:pPr>
    <w:r>
      <w:rPr>
        <w:noProof/>
        <w:sz w:val="2"/>
        <w:lang w:val="es-MX" w:eastAsia="es-MX"/>
        <w14:ligatures w14:val="standardContextual"/>
      </w:rPr>
      <w:drawing>
        <wp:anchor distT="0" distB="0" distL="114300" distR="114300" simplePos="0" relativeHeight="251656704" behindDoc="1" locked="0" layoutInCell="0" allowOverlap="1" wp14:anchorId="3C038F89" wp14:editId="6FA64DA3">
          <wp:simplePos x="0" y="0"/>
          <wp:positionH relativeFrom="margin">
            <wp:posOffset>-883285</wp:posOffset>
          </wp:positionH>
          <wp:positionV relativeFrom="margin">
            <wp:posOffset>-1663065</wp:posOffset>
          </wp:positionV>
          <wp:extent cx="5690235" cy="7411720"/>
          <wp:effectExtent l="0" t="0" r="5715" b="0"/>
          <wp:wrapNone/>
          <wp:docPr id="89725458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90235" cy="741172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F7704D"/>
    <w:multiLevelType w:val="hybridMultilevel"/>
    <w:tmpl w:val="FA54223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D9D1642"/>
    <w:multiLevelType w:val="hybridMultilevel"/>
    <w:tmpl w:val="60CE3116"/>
    <w:lvl w:ilvl="0" w:tplc="029C7E14">
      <w:start w:val="1"/>
      <w:numFmt w:val="bullet"/>
      <w:lvlText w:val=""/>
      <w:lvlJc w:val="left"/>
      <w:pPr>
        <w:ind w:left="720" w:hanging="360"/>
      </w:pPr>
      <w:rPr>
        <w:rFonts w:ascii="Symbol" w:eastAsia="Calibri" w:hAnsi="Symbol"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0543778"/>
    <w:multiLevelType w:val="hybridMultilevel"/>
    <w:tmpl w:val="E3E0C432"/>
    <w:lvl w:ilvl="0" w:tplc="FF668BFC">
      <w:start w:val="1"/>
      <w:numFmt w:val="upperRoman"/>
      <w:lvlText w:val="%1."/>
      <w:lvlJc w:val="left"/>
      <w:pPr>
        <w:ind w:left="1800" w:hanging="720"/>
      </w:pPr>
      <w:rPr>
        <w:rFonts w:cs="Times New Roman" w:hint="default"/>
      </w:rPr>
    </w:lvl>
    <w:lvl w:ilvl="1" w:tplc="080A0019">
      <w:start w:val="1"/>
      <w:numFmt w:val="lowerLetter"/>
      <w:lvlText w:val="%2."/>
      <w:lvlJc w:val="left"/>
      <w:pPr>
        <w:ind w:left="2160" w:hanging="360"/>
      </w:pPr>
      <w:rPr>
        <w:rFonts w:cs="Times New Roman"/>
      </w:rPr>
    </w:lvl>
    <w:lvl w:ilvl="2" w:tplc="080A001B" w:tentative="1">
      <w:start w:val="1"/>
      <w:numFmt w:val="lowerRoman"/>
      <w:lvlText w:val="%3."/>
      <w:lvlJc w:val="right"/>
      <w:pPr>
        <w:ind w:left="2880" w:hanging="180"/>
      </w:pPr>
      <w:rPr>
        <w:rFonts w:cs="Times New Roman"/>
      </w:rPr>
    </w:lvl>
    <w:lvl w:ilvl="3" w:tplc="080A000F" w:tentative="1">
      <w:start w:val="1"/>
      <w:numFmt w:val="decimal"/>
      <w:lvlText w:val="%4."/>
      <w:lvlJc w:val="left"/>
      <w:pPr>
        <w:ind w:left="3600" w:hanging="360"/>
      </w:pPr>
      <w:rPr>
        <w:rFonts w:cs="Times New Roman"/>
      </w:rPr>
    </w:lvl>
    <w:lvl w:ilvl="4" w:tplc="080A0019" w:tentative="1">
      <w:start w:val="1"/>
      <w:numFmt w:val="lowerLetter"/>
      <w:lvlText w:val="%5."/>
      <w:lvlJc w:val="left"/>
      <w:pPr>
        <w:ind w:left="4320" w:hanging="360"/>
      </w:pPr>
      <w:rPr>
        <w:rFonts w:cs="Times New Roman"/>
      </w:rPr>
    </w:lvl>
    <w:lvl w:ilvl="5" w:tplc="080A001B" w:tentative="1">
      <w:start w:val="1"/>
      <w:numFmt w:val="lowerRoman"/>
      <w:lvlText w:val="%6."/>
      <w:lvlJc w:val="right"/>
      <w:pPr>
        <w:ind w:left="5040" w:hanging="180"/>
      </w:pPr>
      <w:rPr>
        <w:rFonts w:cs="Times New Roman"/>
      </w:rPr>
    </w:lvl>
    <w:lvl w:ilvl="6" w:tplc="080A000F" w:tentative="1">
      <w:start w:val="1"/>
      <w:numFmt w:val="decimal"/>
      <w:lvlText w:val="%7."/>
      <w:lvlJc w:val="left"/>
      <w:pPr>
        <w:ind w:left="5760" w:hanging="360"/>
      </w:pPr>
      <w:rPr>
        <w:rFonts w:cs="Times New Roman"/>
      </w:rPr>
    </w:lvl>
    <w:lvl w:ilvl="7" w:tplc="080A0019" w:tentative="1">
      <w:start w:val="1"/>
      <w:numFmt w:val="lowerLetter"/>
      <w:lvlText w:val="%8."/>
      <w:lvlJc w:val="left"/>
      <w:pPr>
        <w:ind w:left="6480" w:hanging="360"/>
      </w:pPr>
      <w:rPr>
        <w:rFonts w:cs="Times New Roman"/>
      </w:rPr>
    </w:lvl>
    <w:lvl w:ilvl="8" w:tplc="080A001B" w:tentative="1">
      <w:start w:val="1"/>
      <w:numFmt w:val="lowerRoman"/>
      <w:lvlText w:val="%9."/>
      <w:lvlJc w:val="right"/>
      <w:pPr>
        <w:ind w:left="7200" w:hanging="180"/>
      </w:pPr>
      <w:rPr>
        <w:rFonts w:cs="Times New Roman"/>
      </w:rPr>
    </w:lvl>
  </w:abstractNum>
  <w:abstractNum w:abstractNumId="3" w15:restartNumberingAfterBreak="0">
    <w:nsid w:val="30804E49"/>
    <w:multiLevelType w:val="hybridMultilevel"/>
    <w:tmpl w:val="54DABAA6"/>
    <w:lvl w:ilvl="0" w:tplc="F2483AA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6406E75"/>
    <w:multiLevelType w:val="hybridMultilevel"/>
    <w:tmpl w:val="90569F34"/>
    <w:lvl w:ilvl="0" w:tplc="DDA0DFD6">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5" w15:restartNumberingAfterBreak="0">
    <w:nsid w:val="36632C61"/>
    <w:multiLevelType w:val="hybridMultilevel"/>
    <w:tmpl w:val="71D6B0BE"/>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382A579E"/>
    <w:multiLevelType w:val="hybridMultilevel"/>
    <w:tmpl w:val="FF74CA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94B3A6C"/>
    <w:multiLevelType w:val="hybridMultilevel"/>
    <w:tmpl w:val="8D5EC468"/>
    <w:lvl w:ilvl="0" w:tplc="44F03E3A">
      <w:start w:val="1"/>
      <w:numFmt w:val="decimal"/>
      <w:lvlText w:val="%1."/>
      <w:lvlJc w:val="left"/>
      <w:pPr>
        <w:ind w:left="720" w:hanging="360"/>
      </w:pPr>
      <w:rPr>
        <w:rFonts w:eastAsia="Calibri" w:cs="Calibri"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9576B50"/>
    <w:multiLevelType w:val="hybridMultilevel"/>
    <w:tmpl w:val="739EE322"/>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395F1E70"/>
    <w:multiLevelType w:val="multilevel"/>
    <w:tmpl w:val="E3C23E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E252B15"/>
    <w:multiLevelType w:val="hybridMultilevel"/>
    <w:tmpl w:val="E0BC454C"/>
    <w:lvl w:ilvl="0" w:tplc="32F4136E">
      <w:start w:val="343"/>
      <w:numFmt w:val="bullet"/>
      <w:lvlText w:val=""/>
      <w:lvlJc w:val="left"/>
      <w:pPr>
        <w:ind w:left="720" w:hanging="360"/>
      </w:pPr>
      <w:rPr>
        <w:rFonts w:ascii="Symbol" w:eastAsia="Calibri" w:hAnsi="Symbol" w:cs="Calibri"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F453674"/>
    <w:multiLevelType w:val="hybridMultilevel"/>
    <w:tmpl w:val="FD5A2DB4"/>
    <w:lvl w:ilvl="0" w:tplc="080A0001">
      <w:start w:val="1"/>
      <w:numFmt w:val="bullet"/>
      <w:lvlText w:val=""/>
      <w:lvlJc w:val="left"/>
      <w:pPr>
        <w:ind w:left="4308" w:hanging="360"/>
      </w:pPr>
      <w:rPr>
        <w:rFonts w:ascii="Symbol" w:hAnsi="Symbol" w:hint="default"/>
      </w:rPr>
    </w:lvl>
    <w:lvl w:ilvl="1" w:tplc="080A0003" w:tentative="1">
      <w:start w:val="1"/>
      <w:numFmt w:val="bullet"/>
      <w:lvlText w:val="o"/>
      <w:lvlJc w:val="left"/>
      <w:pPr>
        <w:ind w:left="5028" w:hanging="360"/>
      </w:pPr>
      <w:rPr>
        <w:rFonts w:ascii="Courier New" w:hAnsi="Courier New" w:cs="Courier New" w:hint="default"/>
      </w:rPr>
    </w:lvl>
    <w:lvl w:ilvl="2" w:tplc="080A0005" w:tentative="1">
      <w:start w:val="1"/>
      <w:numFmt w:val="bullet"/>
      <w:lvlText w:val=""/>
      <w:lvlJc w:val="left"/>
      <w:pPr>
        <w:ind w:left="5748" w:hanging="360"/>
      </w:pPr>
      <w:rPr>
        <w:rFonts w:ascii="Wingdings" w:hAnsi="Wingdings" w:hint="default"/>
      </w:rPr>
    </w:lvl>
    <w:lvl w:ilvl="3" w:tplc="080A0001" w:tentative="1">
      <w:start w:val="1"/>
      <w:numFmt w:val="bullet"/>
      <w:lvlText w:val=""/>
      <w:lvlJc w:val="left"/>
      <w:pPr>
        <w:ind w:left="6468" w:hanging="360"/>
      </w:pPr>
      <w:rPr>
        <w:rFonts w:ascii="Symbol" w:hAnsi="Symbol" w:hint="default"/>
      </w:rPr>
    </w:lvl>
    <w:lvl w:ilvl="4" w:tplc="080A0003" w:tentative="1">
      <w:start w:val="1"/>
      <w:numFmt w:val="bullet"/>
      <w:lvlText w:val="o"/>
      <w:lvlJc w:val="left"/>
      <w:pPr>
        <w:ind w:left="7188" w:hanging="360"/>
      </w:pPr>
      <w:rPr>
        <w:rFonts w:ascii="Courier New" w:hAnsi="Courier New" w:cs="Courier New" w:hint="default"/>
      </w:rPr>
    </w:lvl>
    <w:lvl w:ilvl="5" w:tplc="080A0005" w:tentative="1">
      <w:start w:val="1"/>
      <w:numFmt w:val="bullet"/>
      <w:lvlText w:val=""/>
      <w:lvlJc w:val="left"/>
      <w:pPr>
        <w:ind w:left="7908" w:hanging="360"/>
      </w:pPr>
      <w:rPr>
        <w:rFonts w:ascii="Wingdings" w:hAnsi="Wingdings" w:hint="default"/>
      </w:rPr>
    </w:lvl>
    <w:lvl w:ilvl="6" w:tplc="080A0001" w:tentative="1">
      <w:start w:val="1"/>
      <w:numFmt w:val="bullet"/>
      <w:lvlText w:val=""/>
      <w:lvlJc w:val="left"/>
      <w:pPr>
        <w:ind w:left="8628" w:hanging="360"/>
      </w:pPr>
      <w:rPr>
        <w:rFonts w:ascii="Symbol" w:hAnsi="Symbol" w:hint="default"/>
      </w:rPr>
    </w:lvl>
    <w:lvl w:ilvl="7" w:tplc="080A0003" w:tentative="1">
      <w:start w:val="1"/>
      <w:numFmt w:val="bullet"/>
      <w:lvlText w:val="o"/>
      <w:lvlJc w:val="left"/>
      <w:pPr>
        <w:ind w:left="9348" w:hanging="360"/>
      </w:pPr>
      <w:rPr>
        <w:rFonts w:ascii="Courier New" w:hAnsi="Courier New" w:cs="Courier New" w:hint="default"/>
      </w:rPr>
    </w:lvl>
    <w:lvl w:ilvl="8" w:tplc="080A0005" w:tentative="1">
      <w:start w:val="1"/>
      <w:numFmt w:val="bullet"/>
      <w:lvlText w:val=""/>
      <w:lvlJc w:val="left"/>
      <w:pPr>
        <w:ind w:left="10068" w:hanging="360"/>
      </w:pPr>
      <w:rPr>
        <w:rFonts w:ascii="Wingdings" w:hAnsi="Wingdings" w:hint="default"/>
      </w:rPr>
    </w:lvl>
  </w:abstractNum>
  <w:abstractNum w:abstractNumId="12" w15:restartNumberingAfterBreak="0">
    <w:nsid w:val="6F864865"/>
    <w:multiLevelType w:val="hybridMultilevel"/>
    <w:tmpl w:val="45F42A1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7"/>
  </w:num>
  <w:num w:numId="3">
    <w:abstractNumId w:val="9"/>
  </w:num>
  <w:num w:numId="4">
    <w:abstractNumId w:val="6"/>
  </w:num>
  <w:num w:numId="5">
    <w:abstractNumId w:val="3"/>
  </w:num>
  <w:num w:numId="6">
    <w:abstractNumId w:val="11"/>
  </w:num>
  <w:num w:numId="7">
    <w:abstractNumId w:val="4"/>
  </w:num>
  <w:num w:numId="8">
    <w:abstractNumId w:val="12"/>
  </w:num>
  <w:num w:numId="9">
    <w:abstractNumId w:val="5"/>
  </w:num>
  <w:num w:numId="10">
    <w:abstractNumId w:val="1"/>
  </w:num>
  <w:num w:numId="11">
    <w:abstractNumId w:val="0"/>
  </w:num>
  <w:num w:numId="12">
    <w:abstractNumId w:val="8"/>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D6C"/>
    <w:rsid w:val="0006589F"/>
    <w:rsid w:val="000E553B"/>
    <w:rsid w:val="001A566C"/>
    <w:rsid w:val="001B53A5"/>
    <w:rsid w:val="001C5A25"/>
    <w:rsid w:val="00201D6C"/>
    <w:rsid w:val="002042ED"/>
    <w:rsid w:val="00230105"/>
    <w:rsid w:val="00251326"/>
    <w:rsid w:val="00253BB8"/>
    <w:rsid w:val="00375732"/>
    <w:rsid w:val="00387983"/>
    <w:rsid w:val="003F6FC5"/>
    <w:rsid w:val="00424EC4"/>
    <w:rsid w:val="00461680"/>
    <w:rsid w:val="00485F10"/>
    <w:rsid w:val="004F0495"/>
    <w:rsid w:val="00515B55"/>
    <w:rsid w:val="005639CA"/>
    <w:rsid w:val="00647D55"/>
    <w:rsid w:val="006F7F8A"/>
    <w:rsid w:val="00730EB4"/>
    <w:rsid w:val="00776F86"/>
    <w:rsid w:val="007B1496"/>
    <w:rsid w:val="007C661A"/>
    <w:rsid w:val="00900B5C"/>
    <w:rsid w:val="00947923"/>
    <w:rsid w:val="00A40D42"/>
    <w:rsid w:val="00A77450"/>
    <w:rsid w:val="00A85AC7"/>
    <w:rsid w:val="00AA16D6"/>
    <w:rsid w:val="00AF3376"/>
    <w:rsid w:val="00B065D6"/>
    <w:rsid w:val="00B13D33"/>
    <w:rsid w:val="00B67BB8"/>
    <w:rsid w:val="00B71C03"/>
    <w:rsid w:val="00C1496B"/>
    <w:rsid w:val="00C17E69"/>
    <w:rsid w:val="00C6093E"/>
    <w:rsid w:val="00C738E2"/>
    <w:rsid w:val="00D839A1"/>
    <w:rsid w:val="00DF00A2"/>
    <w:rsid w:val="00E15ACA"/>
    <w:rsid w:val="00E50CCF"/>
    <w:rsid w:val="00E816F0"/>
    <w:rsid w:val="00EA387E"/>
    <w:rsid w:val="00EB24BC"/>
    <w:rsid w:val="00F4098B"/>
    <w:rsid w:val="00F40E43"/>
    <w:rsid w:val="00F5346F"/>
    <w:rsid w:val="00F86174"/>
    <w:rsid w:val="00F942BD"/>
    <w:rsid w:val="00FF57A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0636838"/>
  <w15:chartTrackingRefBased/>
  <w15:docId w15:val="{994AE9BA-2492-4CF5-99A1-A8CB7899B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1D6C"/>
    <w:pPr>
      <w:spacing w:after="0" w:line="360" w:lineRule="auto"/>
      <w:jc w:val="both"/>
    </w:pPr>
    <w:rPr>
      <w:rFonts w:ascii="Palatino Linotype" w:eastAsia="Calibri" w:hAnsi="Palatino Linotype" w:cs="Calibri"/>
      <w:kern w:val="0"/>
      <w:szCs w:val="22"/>
      <w:lang w:val="es-ES_tradnl" w:eastAsia="es-MX"/>
      <w14:ligatures w14:val="none"/>
    </w:rPr>
  </w:style>
  <w:style w:type="paragraph" w:styleId="Ttulo1">
    <w:name w:val="heading 1"/>
    <w:aliases w:val="Título Res"/>
    <w:basedOn w:val="Normal"/>
    <w:next w:val="Normal"/>
    <w:link w:val="Ttulo1Car"/>
    <w:uiPriority w:val="9"/>
    <w:qFormat/>
    <w:rsid w:val="00201D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aliases w:val="Subtítulos"/>
    <w:basedOn w:val="Normal"/>
    <w:next w:val="Normal"/>
    <w:link w:val="Ttulo2Car"/>
    <w:uiPriority w:val="9"/>
    <w:unhideWhenUsed/>
    <w:qFormat/>
    <w:rsid w:val="00201D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201D6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01D6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01D6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01D6C"/>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01D6C"/>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01D6C"/>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01D6C"/>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Res Car"/>
    <w:basedOn w:val="Fuentedeprrafopredeter"/>
    <w:link w:val="Ttulo1"/>
    <w:uiPriority w:val="9"/>
    <w:rsid w:val="00201D6C"/>
    <w:rPr>
      <w:rFonts w:asciiTheme="majorHAnsi" w:eastAsiaTheme="majorEastAsia" w:hAnsiTheme="majorHAnsi" w:cstheme="majorBidi"/>
      <w:color w:val="0F4761" w:themeColor="accent1" w:themeShade="BF"/>
      <w:sz w:val="40"/>
      <w:szCs w:val="40"/>
    </w:rPr>
  </w:style>
  <w:style w:type="character" w:customStyle="1" w:styleId="Ttulo2Car">
    <w:name w:val="Título 2 Car"/>
    <w:aliases w:val="Subtítulos Car"/>
    <w:basedOn w:val="Fuentedeprrafopredeter"/>
    <w:link w:val="Ttulo2"/>
    <w:uiPriority w:val="9"/>
    <w:rsid w:val="00201D6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201D6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01D6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01D6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01D6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01D6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01D6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01D6C"/>
    <w:rPr>
      <w:rFonts w:eastAsiaTheme="majorEastAsia" w:cstheme="majorBidi"/>
      <w:color w:val="272727" w:themeColor="text1" w:themeTint="D8"/>
    </w:rPr>
  </w:style>
  <w:style w:type="paragraph" w:styleId="Puesto">
    <w:name w:val="Title"/>
    <w:basedOn w:val="Normal"/>
    <w:next w:val="Normal"/>
    <w:link w:val="PuestoCar"/>
    <w:uiPriority w:val="10"/>
    <w:qFormat/>
    <w:rsid w:val="00201D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201D6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01D6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01D6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01D6C"/>
    <w:pPr>
      <w:spacing w:before="160"/>
      <w:jc w:val="center"/>
    </w:pPr>
    <w:rPr>
      <w:i/>
      <w:iCs/>
      <w:color w:val="404040" w:themeColor="text1" w:themeTint="BF"/>
    </w:rPr>
  </w:style>
  <w:style w:type="character" w:customStyle="1" w:styleId="CitaCar">
    <w:name w:val="Cita Car"/>
    <w:basedOn w:val="Fuentedeprrafopredeter"/>
    <w:link w:val="Cita"/>
    <w:uiPriority w:val="29"/>
    <w:rsid w:val="00201D6C"/>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01D6C"/>
    <w:pPr>
      <w:ind w:left="720"/>
      <w:contextualSpacing/>
    </w:pPr>
  </w:style>
  <w:style w:type="character" w:styleId="nfasisintenso">
    <w:name w:val="Intense Emphasis"/>
    <w:basedOn w:val="Fuentedeprrafopredeter"/>
    <w:uiPriority w:val="21"/>
    <w:qFormat/>
    <w:rsid w:val="00201D6C"/>
    <w:rPr>
      <w:i/>
      <w:iCs/>
      <w:color w:val="0F4761" w:themeColor="accent1" w:themeShade="BF"/>
    </w:rPr>
  </w:style>
  <w:style w:type="paragraph" w:styleId="Citadestacada">
    <w:name w:val="Intense Quote"/>
    <w:basedOn w:val="Normal"/>
    <w:next w:val="Normal"/>
    <w:link w:val="CitadestacadaCar"/>
    <w:uiPriority w:val="30"/>
    <w:qFormat/>
    <w:rsid w:val="00201D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01D6C"/>
    <w:rPr>
      <w:i/>
      <w:iCs/>
      <w:color w:val="0F4761" w:themeColor="accent1" w:themeShade="BF"/>
    </w:rPr>
  </w:style>
  <w:style w:type="character" w:styleId="Referenciaintensa">
    <w:name w:val="Intense Reference"/>
    <w:basedOn w:val="Fuentedeprrafopredeter"/>
    <w:uiPriority w:val="32"/>
    <w:qFormat/>
    <w:rsid w:val="00201D6C"/>
    <w:rPr>
      <w:b/>
      <w:bCs/>
      <w:smallCaps/>
      <w:color w:val="0F4761" w:themeColor="accent1" w:themeShade="BF"/>
      <w:spacing w:val="5"/>
    </w:rPr>
  </w:style>
  <w:style w:type="paragraph" w:styleId="Encabezado">
    <w:name w:val="header"/>
    <w:basedOn w:val="Normal"/>
    <w:link w:val="EncabezadoCar"/>
    <w:uiPriority w:val="99"/>
    <w:unhideWhenUsed/>
    <w:rsid w:val="00201D6C"/>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201D6C"/>
    <w:rPr>
      <w:rFonts w:ascii="Times New Roman" w:eastAsia="Calibri" w:hAnsi="Times New Roman" w:cs="Times New Roman"/>
      <w:kern w:val="0"/>
      <w:lang w:val="es-ES" w:eastAsia="es-ES"/>
      <w14:ligatures w14:val="none"/>
    </w:rPr>
  </w:style>
  <w:style w:type="paragraph" w:styleId="Piedepgina">
    <w:name w:val="footer"/>
    <w:basedOn w:val="Normal"/>
    <w:link w:val="PiedepginaCar"/>
    <w:uiPriority w:val="99"/>
    <w:unhideWhenUsed/>
    <w:rsid w:val="00201D6C"/>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201D6C"/>
    <w:rPr>
      <w:rFonts w:ascii="Times New Roman" w:eastAsia="Calibri" w:hAnsi="Times New Roman" w:cs="Times New Roman"/>
      <w:kern w:val="0"/>
      <w:lang w:val="es-ES"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01D6C"/>
  </w:style>
  <w:style w:type="character" w:customStyle="1" w:styleId="apple-converted-space">
    <w:name w:val="apple-converted-space"/>
    <w:basedOn w:val="Fuentedeprrafopredeter"/>
    <w:rsid w:val="00201D6C"/>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201D6C"/>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sid w:val="00201D6C"/>
    <w:rPr>
      <w:color w:val="467886" w:themeColor="hyperlink"/>
      <w:u w:val="single"/>
    </w:rPr>
  </w:style>
  <w:style w:type="paragraph" w:customStyle="1" w:styleId="Fundamentos">
    <w:name w:val="Fundamentos"/>
    <w:basedOn w:val="Normal"/>
    <w:qFormat/>
    <w:rsid w:val="00201D6C"/>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01D6C"/>
    <w:pPr>
      <w:spacing w:line="240" w:lineRule="auto"/>
      <w:jc w:val="left"/>
    </w:pPr>
    <w:rPr>
      <w:rFonts w:ascii="Calibri" w:hAnsi="Calibri" w:cs="Times New Roman"/>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201D6C"/>
    <w:rPr>
      <w:rFonts w:ascii="Calibri" w:eastAsia="Calibri" w:hAnsi="Calibri"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legislacion.edomex.gob.mx/sites/legislacion.edomex.gob.mx/files/files/pdf/ley/vig/leyvig083.pdf"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55</Pages>
  <Words>13152</Words>
  <Characters>72339</Characters>
  <Application>Microsoft Office Word</Application>
  <DocSecurity>0</DocSecurity>
  <Lines>602</Lines>
  <Paragraphs>170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 jesus mejia bernal</dc:creator>
  <cp:keywords/>
  <dc:description/>
  <cp:lastModifiedBy>INFOEM557</cp:lastModifiedBy>
  <cp:revision>5</cp:revision>
  <cp:lastPrinted>2025-10-03T16:36:00Z</cp:lastPrinted>
  <dcterms:created xsi:type="dcterms:W3CDTF">2025-10-02T15:54:00Z</dcterms:created>
  <dcterms:modified xsi:type="dcterms:W3CDTF">2025-11-04T17:24:00Z</dcterms:modified>
</cp:coreProperties>
</file>