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9DA9A" w14:textId="77777777" w:rsidR="00894528" w:rsidRDefault="00894528">
      <w:pPr>
        <w:tabs>
          <w:tab w:val="left" w:pos="3465"/>
        </w:tabs>
        <w:spacing w:line="360" w:lineRule="auto"/>
        <w:ind w:right="-787"/>
        <w:jc w:val="both"/>
        <w:rPr>
          <w:rFonts w:ascii="Palatino Linotype" w:eastAsia="Palatino Linotype" w:hAnsi="Palatino Linotype" w:cs="Palatino Linotype"/>
        </w:rPr>
      </w:pPr>
      <w:bookmarkStart w:id="0" w:name="_heading=h.gjdgxs" w:colFirst="0" w:colLast="0"/>
      <w:bookmarkEnd w:id="0"/>
    </w:p>
    <w:p w14:paraId="614A3311" w14:textId="5480B62E" w:rsidR="00626C57" w:rsidRPr="004F1889" w:rsidRDefault="0077452A">
      <w:pPr>
        <w:tabs>
          <w:tab w:val="left" w:pos="3465"/>
        </w:tabs>
        <w:spacing w:line="360" w:lineRule="auto"/>
        <w:ind w:right="-787"/>
        <w:jc w:val="both"/>
        <w:rPr>
          <w:rFonts w:ascii="Palatino Linotype" w:eastAsia="Palatino Linotype" w:hAnsi="Palatino Linotype" w:cs="Palatino Linotype"/>
        </w:rPr>
      </w:pPr>
      <w:r w:rsidRPr="004F188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seis (06) de marzo de dos mil veinticinco.</w:t>
      </w:r>
    </w:p>
    <w:p w14:paraId="614A3312" w14:textId="77777777" w:rsidR="00626C57" w:rsidRPr="004F1889" w:rsidRDefault="00626C57">
      <w:pPr>
        <w:tabs>
          <w:tab w:val="left" w:pos="3465"/>
        </w:tabs>
        <w:spacing w:line="360" w:lineRule="auto"/>
        <w:ind w:right="-787"/>
        <w:jc w:val="both"/>
        <w:rPr>
          <w:rFonts w:ascii="Palatino Linotype" w:eastAsia="Palatino Linotype" w:hAnsi="Palatino Linotype" w:cs="Palatino Linotype"/>
        </w:rPr>
      </w:pPr>
    </w:p>
    <w:p w14:paraId="614A3313" w14:textId="77777777" w:rsidR="00626C57" w:rsidRPr="004F1889" w:rsidRDefault="0077452A">
      <w:pPr>
        <w:spacing w:line="360" w:lineRule="auto"/>
        <w:ind w:right="-787"/>
        <w:jc w:val="both"/>
        <w:rPr>
          <w:rFonts w:ascii="Palatino Linotype" w:eastAsia="Palatino Linotype" w:hAnsi="Palatino Linotype" w:cs="Palatino Linotype"/>
        </w:rPr>
      </w:pPr>
      <w:r w:rsidRPr="004F1889">
        <w:rPr>
          <w:rFonts w:ascii="Palatino Linotype" w:eastAsia="Palatino Linotype" w:hAnsi="Palatino Linotype" w:cs="Palatino Linotype"/>
          <w:b/>
        </w:rPr>
        <w:t>VISTO</w:t>
      </w:r>
      <w:r w:rsidRPr="004F1889">
        <w:rPr>
          <w:rFonts w:ascii="Palatino Linotype" w:eastAsia="Palatino Linotype" w:hAnsi="Palatino Linotype" w:cs="Palatino Linotype"/>
        </w:rPr>
        <w:t xml:space="preserve"> el expediente electrónico formado con motivo del recurso de revisión </w:t>
      </w:r>
      <w:r w:rsidRPr="004F1889">
        <w:rPr>
          <w:rFonts w:ascii="Palatino Linotype" w:eastAsia="Palatino Linotype" w:hAnsi="Palatino Linotype" w:cs="Palatino Linotype"/>
          <w:b/>
        </w:rPr>
        <w:t xml:space="preserve">02868/INFOEM/IP/RR/2024, </w:t>
      </w:r>
      <w:r w:rsidRPr="004F1889">
        <w:rPr>
          <w:rFonts w:ascii="Palatino Linotype" w:eastAsia="Palatino Linotype" w:hAnsi="Palatino Linotype" w:cs="Palatino Linotype"/>
        </w:rPr>
        <w:t xml:space="preserve">promovido por </w:t>
      </w:r>
      <w:r w:rsidRPr="004F1889">
        <w:rPr>
          <w:rFonts w:ascii="Palatino Linotype" w:eastAsia="Palatino Linotype" w:hAnsi="Palatino Linotype" w:cs="Palatino Linotype"/>
          <w:b/>
        </w:rPr>
        <w:t>un usuario que no registró nombre alguno</w:t>
      </w:r>
      <w:r w:rsidRPr="004F1889">
        <w:rPr>
          <w:rFonts w:ascii="Palatino Linotype" w:eastAsia="Palatino Linotype" w:hAnsi="Palatino Linotype" w:cs="Palatino Linotype"/>
        </w:rPr>
        <w:t xml:space="preserve">, a quien en lo sucesivo se le identificará como </w:t>
      </w:r>
      <w:r w:rsidRPr="004F1889">
        <w:rPr>
          <w:rFonts w:ascii="Palatino Linotype" w:eastAsia="Palatino Linotype" w:hAnsi="Palatino Linotype" w:cs="Palatino Linotype"/>
          <w:b/>
        </w:rPr>
        <w:t>RECURRENTE</w:t>
      </w:r>
      <w:r w:rsidRPr="004F1889">
        <w:rPr>
          <w:rFonts w:ascii="Palatino Linotype" w:eastAsia="Palatino Linotype" w:hAnsi="Palatino Linotype" w:cs="Palatino Linotype"/>
        </w:rPr>
        <w:t xml:space="preserve">, en contra de la respuesta del </w:t>
      </w:r>
      <w:r w:rsidRPr="004F1889">
        <w:rPr>
          <w:rFonts w:ascii="Palatino Linotype" w:eastAsia="Palatino Linotype" w:hAnsi="Palatino Linotype" w:cs="Palatino Linotype"/>
          <w:b/>
        </w:rPr>
        <w:t xml:space="preserve">Ayuntamiento de Tlalnepantla de Baz, </w:t>
      </w:r>
      <w:r w:rsidRPr="004F1889">
        <w:rPr>
          <w:rFonts w:ascii="Palatino Linotype" w:eastAsia="Palatino Linotype" w:hAnsi="Palatino Linotype" w:cs="Palatino Linotype"/>
        </w:rPr>
        <w:t>en adelante el</w:t>
      </w:r>
      <w:r w:rsidRPr="004F1889">
        <w:rPr>
          <w:rFonts w:ascii="Palatino Linotype" w:eastAsia="Palatino Linotype" w:hAnsi="Palatino Linotype" w:cs="Palatino Linotype"/>
          <w:b/>
        </w:rPr>
        <w:t xml:space="preserve"> SUJETO OBLIGADO</w:t>
      </w:r>
      <w:r w:rsidRPr="004F1889">
        <w:rPr>
          <w:rFonts w:ascii="Palatino Linotype" w:eastAsia="Palatino Linotype" w:hAnsi="Palatino Linotype" w:cs="Palatino Linotype"/>
        </w:rPr>
        <w:t>, por lo que se procede a dictar la presente Resolución, con base en los siguientes:</w:t>
      </w:r>
    </w:p>
    <w:p w14:paraId="614A3314" w14:textId="77777777" w:rsidR="00626C57" w:rsidRPr="004F1889" w:rsidRDefault="00626C57">
      <w:pPr>
        <w:spacing w:line="360" w:lineRule="auto"/>
        <w:ind w:right="-787"/>
        <w:jc w:val="both"/>
        <w:rPr>
          <w:rFonts w:ascii="Palatino Linotype" w:eastAsia="Palatino Linotype" w:hAnsi="Palatino Linotype" w:cs="Palatino Linotype"/>
        </w:rPr>
      </w:pPr>
    </w:p>
    <w:p w14:paraId="614A3315" w14:textId="77777777" w:rsidR="00626C57" w:rsidRPr="004F1889" w:rsidRDefault="0077452A">
      <w:pPr>
        <w:pStyle w:val="Ttulo1"/>
        <w:spacing w:before="0" w:line="360" w:lineRule="auto"/>
        <w:ind w:right="-787"/>
        <w:jc w:val="center"/>
        <w:rPr>
          <w:rFonts w:ascii="Palatino Linotype" w:eastAsia="Palatino Linotype" w:hAnsi="Palatino Linotype" w:cs="Palatino Linotype"/>
          <w:b/>
          <w:color w:val="000000"/>
          <w:sz w:val="24"/>
          <w:szCs w:val="24"/>
        </w:rPr>
      </w:pPr>
      <w:bookmarkStart w:id="1" w:name="_heading=h.30j0zll" w:colFirst="0" w:colLast="0"/>
      <w:bookmarkEnd w:id="1"/>
      <w:r w:rsidRPr="004F1889">
        <w:rPr>
          <w:rFonts w:ascii="Palatino Linotype" w:eastAsia="Palatino Linotype" w:hAnsi="Palatino Linotype" w:cs="Palatino Linotype"/>
          <w:b/>
          <w:color w:val="000000"/>
          <w:sz w:val="24"/>
          <w:szCs w:val="24"/>
        </w:rPr>
        <w:t>A N T E C E D E N T E S</w:t>
      </w:r>
    </w:p>
    <w:p w14:paraId="614A3316" w14:textId="77777777" w:rsidR="00626C57" w:rsidRPr="004F1889" w:rsidRDefault="00626C57">
      <w:pPr>
        <w:pBdr>
          <w:top w:val="nil"/>
          <w:left w:val="nil"/>
          <w:bottom w:val="nil"/>
          <w:right w:val="nil"/>
          <w:between w:val="nil"/>
        </w:pBdr>
        <w:spacing w:line="360" w:lineRule="auto"/>
        <w:ind w:left="720" w:right="-787"/>
        <w:jc w:val="both"/>
        <w:rPr>
          <w:rFonts w:ascii="Palatino Linotype" w:eastAsia="Palatino Linotype" w:hAnsi="Palatino Linotype" w:cs="Palatino Linotype"/>
          <w:b/>
          <w:color w:val="000000"/>
          <w:u w:val="single"/>
        </w:rPr>
      </w:pPr>
    </w:p>
    <w:p w14:paraId="614A3317" w14:textId="672FC71F" w:rsidR="00626C57" w:rsidRPr="004F1889" w:rsidRDefault="0077452A">
      <w:pPr>
        <w:numPr>
          <w:ilvl w:val="0"/>
          <w:numId w:val="4"/>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El día</w:t>
      </w:r>
      <w:r w:rsidRPr="004F1889">
        <w:rPr>
          <w:rFonts w:ascii="Palatino Linotype" w:eastAsia="Palatino Linotype" w:hAnsi="Palatino Linotype" w:cs="Palatino Linotype"/>
          <w:b/>
          <w:color w:val="000000"/>
        </w:rPr>
        <w:t xml:space="preserve"> uno de abril de dos mil veinticuatro</w:t>
      </w:r>
      <w:r w:rsidRPr="004F1889">
        <w:rPr>
          <w:rFonts w:ascii="Palatino Linotype" w:eastAsia="Palatino Linotype" w:hAnsi="Palatino Linotype" w:cs="Palatino Linotype"/>
          <w:color w:val="000000"/>
        </w:rPr>
        <w:t>,</w:t>
      </w:r>
      <w:r w:rsidRPr="004F1889">
        <w:rPr>
          <w:rFonts w:ascii="Palatino Linotype" w:eastAsia="Palatino Linotype" w:hAnsi="Palatino Linotype" w:cs="Palatino Linotype"/>
          <w:b/>
          <w:color w:val="000000"/>
        </w:rPr>
        <w:t xml:space="preserve"> </w:t>
      </w:r>
      <w:r w:rsidRPr="004F1889">
        <w:rPr>
          <w:rFonts w:ascii="Palatino Linotype" w:eastAsia="Palatino Linotype" w:hAnsi="Palatino Linotype" w:cs="Palatino Linotype"/>
          <w:color w:val="000000"/>
        </w:rPr>
        <w:t>se presentó ante el Sujeto Obligado vía Sistema de Acceso a la Información Mexiquense, en adelante SAIMEX, la solicitud de información pública</w:t>
      </w:r>
      <w:r w:rsidR="0026615C" w:rsidRPr="004F1889">
        <w:rPr>
          <w:rFonts w:ascii="Palatino Linotype" w:eastAsia="Palatino Linotype" w:hAnsi="Palatino Linotype" w:cs="Palatino Linotype"/>
          <w:color w:val="000000"/>
        </w:rPr>
        <w:t xml:space="preserve"> </w:t>
      </w:r>
      <w:r w:rsidR="0026615C" w:rsidRPr="004F1889">
        <w:rPr>
          <w:rFonts w:ascii="Palatino Linotype" w:eastAsia="Palatino Linotype" w:hAnsi="Palatino Linotype" w:cs="Palatino Linotype"/>
          <w:b/>
          <w:bCs/>
          <w:color w:val="000000"/>
        </w:rPr>
        <w:t>00330/TLALNEPA/IP/2024</w:t>
      </w:r>
      <w:r w:rsidRPr="004F1889">
        <w:rPr>
          <w:rFonts w:ascii="Palatino Linotype" w:eastAsia="Palatino Linotype" w:hAnsi="Palatino Linotype" w:cs="Palatino Linotype"/>
          <w:color w:val="000000"/>
        </w:rPr>
        <w:t>:</w:t>
      </w:r>
    </w:p>
    <w:p w14:paraId="614A3318" w14:textId="77777777" w:rsidR="00626C57" w:rsidRPr="004F1889" w:rsidRDefault="00626C57">
      <w:pPr>
        <w:pBdr>
          <w:top w:val="nil"/>
          <w:left w:val="nil"/>
          <w:bottom w:val="nil"/>
          <w:right w:val="nil"/>
          <w:between w:val="nil"/>
        </w:pBdr>
        <w:spacing w:line="360" w:lineRule="auto"/>
        <w:ind w:left="425" w:right="-787"/>
        <w:jc w:val="both"/>
        <w:rPr>
          <w:rFonts w:ascii="Palatino Linotype" w:eastAsia="Palatino Linotype" w:hAnsi="Palatino Linotype" w:cs="Palatino Linotype"/>
          <w:i/>
        </w:rPr>
      </w:pPr>
    </w:p>
    <w:p w14:paraId="614A3319" w14:textId="77777777" w:rsidR="00626C57" w:rsidRPr="004F1889" w:rsidRDefault="0077452A">
      <w:pPr>
        <w:pBdr>
          <w:top w:val="nil"/>
          <w:left w:val="nil"/>
          <w:bottom w:val="nil"/>
          <w:right w:val="nil"/>
          <w:between w:val="nil"/>
        </w:pBdr>
        <w:spacing w:line="360" w:lineRule="auto"/>
        <w:ind w:left="425" w:right="-787"/>
        <w:jc w:val="both"/>
        <w:rPr>
          <w:rFonts w:ascii="Palatino Linotype" w:eastAsia="Palatino Linotype" w:hAnsi="Palatino Linotype" w:cs="Palatino Linotype"/>
          <w:i/>
          <w:color w:val="000000"/>
        </w:rPr>
      </w:pPr>
      <w:r w:rsidRPr="004F1889">
        <w:rPr>
          <w:rFonts w:ascii="Palatino Linotype" w:eastAsia="Palatino Linotype" w:hAnsi="Palatino Linotype" w:cs="Palatino Linotype"/>
          <w:i/>
          <w:color w:val="000000"/>
        </w:rPr>
        <w:t>“Pido en versión pública los mandamientos de ejecución por concepto de créditos fiscales de Ejecución fiscal del año 2023”</w:t>
      </w:r>
    </w:p>
    <w:p w14:paraId="614A331A" w14:textId="77777777" w:rsidR="00626C57" w:rsidRPr="004F1889" w:rsidRDefault="00626C57">
      <w:pPr>
        <w:pBdr>
          <w:top w:val="nil"/>
          <w:left w:val="nil"/>
          <w:bottom w:val="nil"/>
          <w:right w:val="nil"/>
          <w:between w:val="nil"/>
        </w:pBdr>
        <w:spacing w:line="360" w:lineRule="auto"/>
        <w:ind w:left="425" w:right="-787"/>
        <w:jc w:val="both"/>
        <w:rPr>
          <w:rFonts w:ascii="Palatino Linotype" w:eastAsia="Palatino Linotype" w:hAnsi="Palatino Linotype" w:cs="Palatino Linotype"/>
          <w:color w:val="000000"/>
        </w:rPr>
      </w:pPr>
    </w:p>
    <w:p w14:paraId="614A331B" w14:textId="77777777" w:rsidR="00626C57" w:rsidRPr="004F1889" w:rsidRDefault="0077452A">
      <w:pPr>
        <w:numPr>
          <w:ilvl w:val="0"/>
          <w:numId w:val="2"/>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 xml:space="preserve">Se eligió como modalidad de entrega de la información: A través del </w:t>
      </w:r>
      <w:r w:rsidRPr="004F1889">
        <w:rPr>
          <w:rFonts w:ascii="Palatino Linotype" w:eastAsia="Palatino Linotype" w:hAnsi="Palatino Linotype" w:cs="Palatino Linotype"/>
          <w:b/>
          <w:color w:val="000000"/>
        </w:rPr>
        <w:t>SAIMEX.</w:t>
      </w:r>
    </w:p>
    <w:p w14:paraId="614A331C" w14:textId="77777777" w:rsidR="00626C57" w:rsidRPr="004F1889" w:rsidRDefault="00626C57">
      <w:pPr>
        <w:pBdr>
          <w:top w:val="nil"/>
          <w:left w:val="nil"/>
          <w:bottom w:val="nil"/>
          <w:right w:val="nil"/>
          <w:between w:val="nil"/>
        </w:pBdr>
        <w:tabs>
          <w:tab w:val="left" w:pos="0"/>
        </w:tabs>
        <w:spacing w:line="360" w:lineRule="auto"/>
        <w:ind w:left="349" w:right="-787"/>
        <w:jc w:val="both"/>
        <w:rPr>
          <w:rFonts w:ascii="Palatino Linotype" w:eastAsia="Palatino Linotype" w:hAnsi="Palatino Linotype" w:cs="Palatino Linotype"/>
          <w:color w:val="000000"/>
        </w:rPr>
      </w:pPr>
    </w:p>
    <w:p w14:paraId="614A331D" w14:textId="77777777" w:rsidR="00626C57" w:rsidRPr="004F1889" w:rsidRDefault="0077452A">
      <w:pPr>
        <w:numPr>
          <w:ilvl w:val="0"/>
          <w:numId w:val="4"/>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El día</w:t>
      </w:r>
      <w:r w:rsidRPr="004F1889">
        <w:rPr>
          <w:rFonts w:ascii="Palatino Linotype" w:eastAsia="Palatino Linotype" w:hAnsi="Palatino Linotype" w:cs="Palatino Linotype"/>
          <w:b/>
          <w:color w:val="000000"/>
        </w:rPr>
        <w:t xml:space="preserve"> </w:t>
      </w:r>
      <w:r w:rsidRPr="004F1889">
        <w:rPr>
          <w:rFonts w:ascii="Palatino Linotype" w:eastAsia="Palatino Linotype" w:hAnsi="Palatino Linotype" w:cs="Palatino Linotype"/>
          <w:color w:val="000000"/>
        </w:rPr>
        <w:t>diecinueve</w:t>
      </w:r>
      <w:r w:rsidRPr="004F1889">
        <w:rPr>
          <w:rFonts w:ascii="Palatino Linotype" w:eastAsia="Palatino Linotype" w:hAnsi="Palatino Linotype" w:cs="Palatino Linotype"/>
          <w:b/>
          <w:color w:val="000000"/>
        </w:rPr>
        <w:t xml:space="preserve"> de abril de dos mil veinticuatro</w:t>
      </w:r>
      <w:r w:rsidRPr="004F1889">
        <w:rPr>
          <w:rFonts w:ascii="Palatino Linotype" w:eastAsia="Palatino Linotype" w:hAnsi="Palatino Linotype" w:cs="Palatino Linotype"/>
          <w:color w:val="000000"/>
        </w:rPr>
        <w:t>,</w:t>
      </w:r>
      <w:r w:rsidRPr="004F1889">
        <w:rPr>
          <w:rFonts w:ascii="Palatino Linotype" w:eastAsia="Palatino Linotype" w:hAnsi="Palatino Linotype" w:cs="Palatino Linotype"/>
          <w:b/>
          <w:color w:val="000000"/>
        </w:rPr>
        <w:t xml:space="preserve"> </w:t>
      </w:r>
      <w:r w:rsidRPr="004F1889">
        <w:rPr>
          <w:rFonts w:ascii="Palatino Linotype" w:eastAsia="Palatino Linotype" w:hAnsi="Palatino Linotype" w:cs="Palatino Linotype"/>
          <w:color w:val="000000"/>
        </w:rPr>
        <w:t xml:space="preserve">el </w:t>
      </w:r>
      <w:r w:rsidRPr="004F1889">
        <w:rPr>
          <w:rFonts w:ascii="Palatino Linotype" w:eastAsia="Palatino Linotype" w:hAnsi="Palatino Linotype" w:cs="Palatino Linotype"/>
          <w:b/>
          <w:color w:val="000000"/>
        </w:rPr>
        <w:t xml:space="preserve">SUJETO OBLIGADO </w:t>
      </w:r>
      <w:r w:rsidRPr="004F1889">
        <w:rPr>
          <w:rFonts w:ascii="Palatino Linotype" w:eastAsia="Palatino Linotype" w:hAnsi="Palatino Linotype" w:cs="Palatino Linotype"/>
          <w:color w:val="000000"/>
        </w:rPr>
        <w:t xml:space="preserve">solicitó una prórroga para atender la solicitud de información por un periodo de siete días </w:t>
      </w:r>
      <w:r w:rsidRPr="004F1889">
        <w:rPr>
          <w:rFonts w:ascii="Palatino Linotype" w:eastAsia="Palatino Linotype" w:hAnsi="Palatino Linotype" w:cs="Palatino Linotype"/>
        </w:rPr>
        <w:lastRenderedPageBreak/>
        <w:t>adicionales</w:t>
      </w:r>
      <w:r w:rsidRPr="004F1889">
        <w:rPr>
          <w:rFonts w:ascii="Palatino Linotype" w:eastAsia="Palatino Linotype" w:hAnsi="Palatino Linotype" w:cs="Palatino Linotype"/>
          <w:color w:val="000000"/>
        </w:rPr>
        <w:t xml:space="preserve">; sin embargo se adjuntó como anexo el archivo denominado </w:t>
      </w:r>
      <w:r w:rsidRPr="004F1889">
        <w:rPr>
          <w:rFonts w:ascii="Palatino Linotype" w:eastAsia="Palatino Linotype" w:hAnsi="Palatino Linotype" w:cs="Palatino Linotype"/>
          <w:b/>
          <w:color w:val="000000"/>
        </w:rPr>
        <w:t xml:space="preserve">RESP </w:t>
      </w:r>
      <w:r w:rsidRPr="004F1889">
        <w:rPr>
          <w:rFonts w:ascii="Palatino Linotype" w:eastAsia="Palatino Linotype" w:hAnsi="Palatino Linotype" w:cs="Palatino Linotype"/>
          <w:b/>
        </w:rPr>
        <w:t>TESORERIA</w:t>
      </w:r>
      <w:r w:rsidRPr="004F1889">
        <w:rPr>
          <w:rFonts w:ascii="Palatino Linotype" w:eastAsia="Palatino Linotype" w:hAnsi="Palatino Linotype" w:cs="Palatino Linotype"/>
          <w:b/>
          <w:color w:val="000000"/>
        </w:rPr>
        <w:t xml:space="preserve"> TM_1475_2024.zip</w:t>
      </w:r>
      <w:r w:rsidRPr="004F1889">
        <w:rPr>
          <w:rFonts w:ascii="Palatino Linotype" w:eastAsia="Palatino Linotype" w:hAnsi="Palatino Linotype" w:cs="Palatino Linotype"/>
          <w:color w:val="000000"/>
        </w:rPr>
        <w:t>, cuyo contenido corresponde a un oficio signado por el Tesorero Municipal, a través del cual informa que lo solicitado corresponde a información clasificada en su totalidad, encontrándose imposibilitado el Sujeto Obligado de entregar la información solicitada.</w:t>
      </w:r>
    </w:p>
    <w:p w14:paraId="614A331E" w14:textId="77777777" w:rsidR="00626C57" w:rsidRPr="004F1889" w:rsidRDefault="00626C57">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14:paraId="614A331F" w14:textId="77777777" w:rsidR="00626C57" w:rsidRPr="004F1889" w:rsidRDefault="0077452A">
      <w:pPr>
        <w:numPr>
          <w:ilvl w:val="0"/>
          <w:numId w:val="4"/>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El</w:t>
      </w:r>
      <w:r w:rsidRPr="004F1889">
        <w:rPr>
          <w:rFonts w:ascii="Palatino Linotype" w:eastAsia="Palatino Linotype" w:hAnsi="Palatino Linotype" w:cs="Palatino Linotype"/>
          <w:b/>
          <w:color w:val="000000"/>
        </w:rPr>
        <w:t xml:space="preserve"> dos de mayo de dos mil veinticuatro</w:t>
      </w:r>
      <w:r w:rsidRPr="004F1889">
        <w:rPr>
          <w:rFonts w:ascii="Palatino Linotype" w:eastAsia="Palatino Linotype" w:hAnsi="Palatino Linotype" w:cs="Palatino Linotype"/>
          <w:color w:val="000000"/>
        </w:rPr>
        <w:t xml:space="preserve">, el Sujeto Obligado emitió su formal respuesta a través del archivo electrónico denominado </w:t>
      </w:r>
      <w:r w:rsidRPr="004F1889">
        <w:rPr>
          <w:rFonts w:ascii="Palatino Linotype" w:eastAsia="Palatino Linotype" w:hAnsi="Palatino Linotype" w:cs="Palatino Linotype"/>
          <w:b/>
          <w:color w:val="000000"/>
        </w:rPr>
        <w:t>RESP TESORERIA TM_1475_2024.zip,</w:t>
      </w:r>
      <w:r w:rsidRPr="004F1889">
        <w:rPr>
          <w:rFonts w:ascii="Palatino Linotype" w:eastAsia="Palatino Linotype" w:hAnsi="Palatino Linotype" w:cs="Palatino Linotype"/>
          <w:color w:val="000000"/>
        </w:rPr>
        <w:t xml:space="preserve"> que corresponde al mismo archivo antes transcrito.</w:t>
      </w:r>
    </w:p>
    <w:p w14:paraId="614A3320" w14:textId="77777777" w:rsidR="00626C57" w:rsidRPr="004F1889" w:rsidRDefault="00626C57">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14:paraId="614A3321" w14:textId="77777777" w:rsidR="00626C57" w:rsidRPr="004F1889" w:rsidRDefault="0077452A">
      <w:pPr>
        <w:numPr>
          <w:ilvl w:val="0"/>
          <w:numId w:val="2"/>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b/>
          <w:color w:val="000000"/>
        </w:rPr>
      </w:pPr>
      <w:r w:rsidRPr="004F1889">
        <w:rPr>
          <w:rFonts w:ascii="Palatino Linotype" w:eastAsia="Palatino Linotype" w:hAnsi="Palatino Linotype" w:cs="Palatino Linotype"/>
          <w:b/>
          <w:color w:val="000000"/>
        </w:rPr>
        <w:t>Las razones o motivos de contratación de la servidora pública señalada, así como sus funciones.</w:t>
      </w:r>
    </w:p>
    <w:p w14:paraId="614A3322" w14:textId="77777777" w:rsidR="00626C57" w:rsidRPr="004F1889" w:rsidRDefault="0077452A">
      <w:pPr>
        <w:numPr>
          <w:ilvl w:val="0"/>
          <w:numId w:val="4"/>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El</w:t>
      </w:r>
      <w:r w:rsidRPr="004F1889">
        <w:rPr>
          <w:rFonts w:ascii="Palatino Linotype" w:eastAsia="Palatino Linotype" w:hAnsi="Palatino Linotype" w:cs="Palatino Linotype"/>
          <w:b/>
          <w:color w:val="000000"/>
        </w:rPr>
        <w:t xml:space="preserve"> dos de mayo de dos mil veinticuatro</w:t>
      </w:r>
      <w:r w:rsidRPr="004F1889">
        <w:rPr>
          <w:rFonts w:ascii="Palatino Linotype" w:eastAsia="Palatino Linotype" w:hAnsi="Palatino Linotype" w:cs="Palatino Linotype"/>
          <w:color w:val="000000"/>
        </w:rPr>
        <w:t>, el particular interpuso el recurso de revisión en contra de la respuesta, realizando las siguientes manifestaciones:</w:t>
      </w:r>
    </w:p>
    <w:p w14:paraId="614A3323" w14:textId="77777777" w:rsidR="00626C57" w:rsidRPr="004F1889" w:rsidRDefault="0077452A">
      <w:pPr>
        <w:numPr>
          <w:ilvl w:val="0"/>
          <w:numId w:val="5"/>
        </w:numPr>
        <w:pBdr>
          <w:top w:val="nil"/>
          <w:left w:val="nil"/>
          <w:bottom w:val="nil"/>
          <w:right w:val="nil"/>
          <w:between w:val="nil"/>
        </w:pBdr>
        <w:spacing w:line="360" w:lineRule="auto"/>
        <w:ind w:right="-145" w:hanging="359"/>
        <w:jc w:val="both"/>
        <w:rPr>
          <w:rFonts w:ascii="Palatino Linotype" w:eastAsia="Palatino Linotype" w:hAnsi="Palatino Linotype" w:cs="Palatino Linotype"/>
          <w:i/>
          <w:color w:val="000000"/>
          <w:sz w:val="22"/>
          <w:szCs w:val="22"/>
        </w:rPr>
      </w:pPr>
      <w:bookmarkStart w:id="2" w:name="_heading=h.1fob9te" w:colFirst="0" w:colLast="0"/>
      <w:bookmarkEnd w:id="2"/>
      <w:r w:rsidRPr="004F1889">
        <w:rPr>
          <w:rFonts w:ascii="Palatino Linotype" w:eastAsia="Palatino Linotype" w:hAnsi="Palatino Linotype" w:cs="Palatino Linotype"/>
          <w:b/>
          <w:color w:val="000000"/>
          <w:sz w:val="22"/>
          <w:szCs w:val="22"/>
        </w:rPr>
        <w:t xml:space="preserve">Acto impugnado: </w:t>
      </w:r>
      <w:r w:rsidRPr="004F1889">
        <w:rPr>
          <w:rFonts w:ascii="Palatino Linotype" w:eastAsia="Palatino Linotype" w:hAnsi="Palatino Linotype" w:cs="Palatino Linotype"/>
          <w:i/>
          <w:color w:val="000000"/>
          <w:sz w:val="22"/>
          <w:szCs w:val="22"/>
        </w:rPr>
        <w:t xml:space="preserve">“el OFICIO de la </w:t>
      </w:r>
      <w:proofErr w:type="spellStart"/>
      <w:r w:rsidRPr="004F1889">
        <w:rPr>
          <w:rFonts w:ascii="Palatino Linotype" w:eastAsia="Palatino Linotype" w:hAnsi="Palatino Linotype" w:cs="Palatino Linotype"/>
          <w:i/>
          <w:color w:val="000000"/>
          <w:sz w:val="22"/>
          <w:szCs w:val="22"/>
        </w:rPr>
        <w:t>tesoreria</w:t>
      </w:r>
      <w:proofErr w:type="spellEnd"/>
      <w:r w:rsidRPr="004F1889">
        <w:rPr>
          <w:rFonts w:ascii="Palatino Linotype" w:eastAsia="Palatino Linotype" w:hAnsi="Palatino Linotype" w:cs="Palatino Linotype"/>
          <w:i/>
          <w:color w:val="000000"/>
          <w:sz w:val="22"/>
          <w:szCs w:val="22"/>
        </w:rPr>
        <w:t>”</w:t>
      </w:r>
    </w:p>
    <w:p w14:paraId="614A3324" w14:textId="77777777" w:rsidR="00626C57" w:rsidRPr="004F1889" w:rsidRDefault="0077452A">
      <w:pPr>
        <w:numPr>
          <w:ilvl w:val="0"/>
          <w:numId w:val="5"/>
        </w:numPr>
        <w:pBdr>
          <w:top w:val="nil"/>
          <w:left w:val="nil"/>
          <w:bottom w:val="nil"/>
          <w:right w:val="nil"/>
          <w:between w:val="nil"/>
        </w:pBdr>
        <w:spacing w:line="360" w:lineRule="auto"/>
        <w:ind w:right="-145" w:hanging="359"/>
        <w:jc w:val="both"/>
        <w:rPr>
          <w:rFonts w:ascii="Palatino Linotype" w:eastAsia="Palatino Linotype" w:hAnsi="Palatino Linotype" w:cs="Palatino Linotype"/>
          <w:i/>
          <w:color w:val="000000"/>
          <w:sz w:val="22"/>
          <w:szCs w:val="22"/>
        </w:rPr>
      </w:pPr>
      <w:bookmarkStart w:id="3" w:name="_heading=h.3znysh7" w:colFirst="0" w:colLast="0"/>
      <w:bookmarkEnd w:id="3"/>
      <w:r w:rsidRPr="004F1889">
        <w:rPr>
          <w:rFonts w:ascii="Palatino Linotype" w:eastAsia="Palatino Linotype" w:hAnsi="Palatino Linotype" w:cs="Palatino Linotype"/>
          <w:b/>
          <w:color w:val="000000"/>
          <w:sz w:val="22"/>
          <w:szCs w:val="22"/>
        </w:rPr>
        <w:t xml:space="preserve">Razones o Motivos de inconformidad: </w:t>
      </w:r>
      <w:r w:rsidRPr="004F1889">
        <w:rPr>
          <w:rFonts w:ascii="Palatino Linotype" w:eastAsia="Palatino Linotype" w:hAnsi="Palatino Linotype" w:cs="Palatino Linotype"/>
          <w:i/>
          <w:color w:val="000000"/>
          <w:sz w:val="22"/>
          <w:szCs w:val="22"/>
        </w:rPr>
        <w:t xml:space="preserve">“Únicamente informan que reservan, sin justificar su reserva,” </w:t>
      </w:r>
      <w:r w:rsidRPr="004F1889">
        <w:rPr>
          <w:rFonts w:ascii="Palatino Linotype" w:eastAsia="Palatino Linotype" w:hAnsi="Palatino Linotype" w:cs="Palatino Linotype"/>
          <w:color w:val="000000"/>
          <w:sz w:val="22"/>
          <w:szCs w:val="22"/>
        </w:rPr>
        <w:t>(Sic)</w:t>
      </w:r>
    </w:p>
    <w:p w14:paraId="614A3325" w14:textId="77777777" w:rsidR="00626C57" w:rsidRPr="004F1889" w:rsidRDefault="00626C57">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14:paraId="614A3326" w14:textId="77777777" w:rsidR="00626C57" w:rsidRPr="004F1889" w:rsidRDefault="0077452A">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 xml:space="preserve">El </w:t>
      </w:r>
      <w:r w:rsidRPr="004F1889">
        <w:rPr>
          <w:rFonts w:ascii="Palatino Linotype" w:eastAsia="Palatino Linotype" w:hAnsi="Palatino Linotype" w:cs="Palatino Linotype"/>
          <w:b/>
          <w:color w:val="000000"/>
        </w:rPr>
        <w:t>diecisiete de mayo de dos mil veinticuatro</w:t>
      </w:r>
      <w:r w:rsidRPr="004F1889">
        <w:rPr>
          <w:rFonts w:ascii="Palatino Linotype" w:eastAsia="Palatino Linotype" w:hAnsi="Palatino Linotype" w:cs="Palatino Linotype"/>
          <w:color w:val="000000"/>
        </w:rPr>
        <w:t xml:space="preserve">, se admitió a trámite el Recurso de Revisión y, con fundamento en lo dispuesto por el artículo 185 fracción II de la ley de la materia, se acordó a las partes a efecto de que en un plazo máximo de siete días, el Recurrente </w:t>
      </w:r>
      <w:r w:rsidRPr="004F1889">
        <w:rPr>
          <w:rFonts w:ascii="Palatino Linotype" w:eastAsia="Palatino Linotype" w:hAnsi="Palatino Linotype" w:cs="Palatino Linotype"/>
        </w:rPr>
        <w:t>manifiesta</w:t>
      </w:r>
      <w:r w:rsidRPr="004F1889">
        <w:rPr>
          <w:rFonts w:ascii="Palatino Linotype" w:eastAsia="Palatino Linotype" w:hAnsi="Palatino Linotype" w:cs="Palatino Linotype"/>
          <w:color w:val="000000"/>
        </w:rPr>
        <w:t xml:space="preserve"> lo que a su derecho conviniera, </w:t>
      </w:r>
      <w:r w:rsidRPr="004F1889">
        <w:rPr>
          <w:rFonts w:ascii="Palatino Linotype" w:eastAsia="Palatino Linotype" w:hAnsi="Palatino Linotype" w:cs="Palatino Linotype"/>
        </w:rPr>
        <w:t>ofreciera</w:t>
      </w:r>
      <w:r w:rsidRPr="004F1889">
        <w:rPr>
          <w:rFonts w:ascii="Palatino Linotype" w:eastAsia="Palatino Linotype" w:hAnsi="Palatino Linotype" w:cs="Palatino Linotype"/>
          <w:color w:val="000000"/>
        </w:rPr>
        <w:t xml:space="preserve"> pruebas y alegatos y el Sujeto Obligado presentará el Informe Justificado.</w:t>
      </w:r>
    </w:p>
    <w:p w14:paraId="614A3327" w14:textId="77777777" w:rsidR="00626C57" w:rsidRPr="004F1889" w:rsidRDefault="00626C57">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14:paraId="614A3328" w14:textId="77777777" w:rsidR="00626C57" w:rsidRPr="004F1889" w:rsidRDefault="0077452A">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lastRenderedPageBreak/>
        <w:t xml:space="preserve">El </w:t>
      </w:r>
      <w:r w:rsidRPr="004F1889">
        <w:rPr>
          <w:rFonts w:ascii="Palatino Linotype" w:eastAsia="Palatino Linotype" w:hAnsi="Palatino Linotype" w:cs="Palatino Linotype"/>
          <w:b/>
          <w:color w:val="000000"/>
        </w:rPr>
        <w:t>SUJETO OBLIGADO</w:t>
      </w:r>
      <w:r w:rsidRPr="004F1889">
        <w:rPr>
          <w:rFonts w:ascii="Palatino Linotype" w:eastAsia="Palatino Linotype" w:hAnsi="Palatino Linotype" w:cs="Palatino Linotype"/>
          <w:color w:val="000000"/>
        </w:rPr>
        <w:t xml:space="preserve"> en fecha veintitrés de mayo de dos mil veinticuatro rindió su informe justificado a través del archivo comprimido </w:t>
      </w:r>
      <w:r w:rsidRPr="004F1889">
        <w:rPr>
          <w:rFonts w:ascii="Palatino Linotype" w:eastAsia="Palatino Linotype" w:hAnsi="Palatino Linotype" w:cs="Palatino Linotype"/>
          <w:b/>
          <w:color w:val="000000"/>
        </w:rPr>
        <w:t>MANIFESTACIONES.zip</w:t>
      </w:r>
      <w:r w:rsidRPr="004F1889">
        <w:rPr>
          <w:rFonts w:ascii="Palatino Linotype" w:eastAsia="Palatino Linotype" w:hAnsi="Palatino Linotype" w:cs="Palatino Linotype"/>
          <w:color w:val="000000"/>
        </w:rPr>
        <w:t>, cuyo contenido corresponde a tres archivos. El primero de ellos a un oficio signado por el Tesorero Municipal confirma la reserva total de la información; asimismo remite dos archivos que corresponden al Acta del Comité de Transparencia 15/CT/14-ORD/2024 mediante el cual se somete a clasificación soporte documental relacionado a solicitudes de información diversas de la de mérito, así como el Acta 18/CT/19-ORD/2024, a través del cual el Comité de Transparencia confirma la clasificación propuesta por el Tesorero Municipal.</w:t>
      </w:r>
    </w:p>
    <w:p w14:paraId="614A3329" w14:textId="77777777" w:rsidR="00626C57" w:rsidRPr="004F1889" w:rsidRDefault="00626C57">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614A332A" w14:textId="77777777" w:rsidR="00626C57" w:rsidRPr="004F1889" w:rsidRDefault="0077452A">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 xml:space="preserve">Por su parte, el ahora </w:t>
      </w:r>
      <w:r w:rsidRPr="004F1889">
        <w:rPr>
          <w:rFonts w:ascii="Palatino Linotype" w:eastAsia="Palatino Linotype" w:hAnsi="Palatino Linotype" w:cs="Palatino Linotype"/>
          <w:b/>
          <w:color w:val="000000"/>
        </w:rPr>
        <w:t xml:space="preserve">RECURRENTE </w:t>
      </w:r>
      <w:r w:rsidRPr="004F1889">
        <w:rPr>
          <w:rFonts w:ascii="Palatino Linotype" w:eastAsia="Palatino Linotype" w:hAnsi="Palatino Linotype" w:cs="Palatino Linotype"/>
          <w:color w:val="000000"/>
        </w:rPr>
        <w:t>fue omiso en realizar manifestaciones que a su derecho conviniera y asistiera.</w:t>
      </w:r>
    </w:p>
    <w:p w14:paraId="614A332B" w14:textId="77777777" w:rsidR="00626C57" w:rsidRPr="004F1889" w:rsidRDefault="00626C57">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14:paraId="614A332C" w14:textId="77777777" w:rsidR="00626C57" w:rsidRPr="004F1889" w:rsidRDefault="0077452A">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El </w:t>
      </w:r>
      <w:r w:rsidRPr="004F1889">
        <w:rPr>
          <w:rFonts w:ascii="Palatino Linotype" w:eastAsia="Palatino Linotype" w:hAnsi="Palatino Linotype" w:cs="Palatino Linotype"/>
          <w:b/>
        </w:rPr>
        <w:t>doce de agosto de dos mil veinticuatro</w:t>
      </w:r>
      <w:r w:rsidRPr="004F1889">
        <w:rPr>
          <w:rFonts w:ascii="Palatino Linotype" w:eastAsia="Palatino Linotype" w:hAnsi="Palatino Linotype" w:cs="Palatino Linotype"/>
        </w:rPr>
        <w:t xml:space="preserve">, se amplió el término para resolver; al respecto este organismo garante no pasa por alto justificar, que la dilación en la resolución del presente asunto encuentra justificación en el alto número de recursos de </w:t>
      </w:r>
      <w:r w:rsidRPr="004F1889">
        <w:rPr>
          <w:rFonts w:ascii="Palatino Linotype" w:eastAsia="Palatino Linotype" w:hAnsi="Palatino Linotype" w:cs="Palatino Linotype"/>
          <w:color w:val="000000"/>
        </w:rPr>
        <w:t>revisión</w:t>
      </w:r>
      <w:r w:rsidRPr="004F1889">
        <w:rPr>
          <w:rFonts w:ascii="Palatino Linotype" w:eastAsia="Palatino Linotype" w:hAnsi="Palatino Linotype" w:cs="Palatino Linotype"/>
        </w:rPr>
        <w:t xml:space="preserve">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614A332D" w14:textId="77777777" w:rsidR="00626C57" w:rsidRPr="004F1889" w:rsidRDefault="00626C57">
      <w:pPr>
        <w:spacing w:line="360" w:lineRule="auto"/>
        <w:ind w:right="-787"/>
        <w:jc w:val="both"/>
        <w:rPr>
          <w:rFonts w:ascii="Palatino Linotype" w:eastAsia="Palatino Linotype" w:hAnsi="Palatino Linotype" w:cs="Palatino Linotype"/>
        </w:rPr>
      </w:pPr>
    </w:p>
    <w:p w14:paraId="614A332E" w14:textId="77777777" w:rsidR="00626C57" w:rsidRPr="004F1889" w:rsidRDefault="0077452A">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w:t>
      </w:r>
      <w:r w:rsidRPr="004F1889">
        <w:rPr>
          <w:rFonts w:ascii="Palatino Linotype" w:eastAsia="Palatino Linotype" w:hAnsi="Palatino Linotype" w:cs="Palatino Linotype"/>
        </w:rPr>
        <w:lastRenderedPageBreak/>
        <w:t>por diversos órganos jurisdiccionales federales, aplicables también en procedimientos análogos, como el que nos ocupa.</w:t>
      </w:r>
    </w:p>
    <w:p w14:paraId="614A332F" w14:textId="77777777" w:rsidR="00626C57" w:rsidRPr="004F1889" w:rsidRDefault="00626C57">
      <w:pPr>
        <w:spacing w:line="360" w:lineRule="auto"/>
        <w:ind w:left="720" w:right="-787"/>
        <w:rPr>
          <w:rFonts w:ascii="Palatino Linotype" w:eastAsia="Palatino Linotype" w:hAnsi="Palatino Linotype" w:cs="Palatino Linotype"/>
        </w:rPr>
      </w:pPr>
    </w:p>
    <w:p w14:paraId="614A3330" w14:textId="77777777" w:rsidR="00626C57" w:rsidRPr="004F1889" w:rsidRDefault="0077452A">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14A3331" w14:textId="77777777" w:rsidR="00626C57" w:rsidRPr="004F1889" w:rsidRDefault="00626C57">
      <w:pPr>
        <w:spacing w:line="360" w:lineRule="auto"/>
        <w:ind w:left="720" w:right="-787"/>
        <w:rPr>
          <w:rFonts w:ascii="Palatino Linotype" w:eastAsia="Palatino Linotype" w:hAnsi="Palatino Linotype" w:cs="Palatino Linotype"/>
        </w:rPr>
      </w:pPr>
    </w:p>
    <w:p w14:paraId="614A3332" w14:textId="77777777" w:rsidR="00626C57" w:rsidRPr="004F1889" w:rsidRDefault="0077452A">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14A3333" w14:textId="77777777" w:rsidR="00626C57" w:rsidRPr="004F1889" w:rsidRDefault="00626C57">
      <w:pPr>
        <w:spacing w:line="360" w:lineRule="auto"/>
        <w:ind w:left="720" w:right="-787"/>
        <w:rPr>
          <w:rFonts w:ascii="Palatino Linotype" w:eastAsia="Palatino Linotype" w:hAnsi="Palatino Linotype" w:cs="Palatino Linotype"/>
        </w:rPr>
      </w:pPr>
    </w:p>
    <w:p w14:paraId="614A3334" w14:textId="77777777" w:rsidR="00626C57" w:rsidRPr="004F1889" w:rsidRDefault="0077452A">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14:paraId="614A3335" w14:textId="77777777" w:rsidR="00626C57" w:rsidRPr="004F1889" w:rsidRDefault="0077452A">
      <w:pPr>
        <w:numPr>
          <w:ilvl w:val="0"/>
          <w:numId w:val="3"/>
        </w:numPr>
        <w:spacing w:line="360" w:lineRule="auto"/>
        <w:ind w:right="-145"/>
        <w:jc w:val="both"/>
        <w:rPr>
          <w:rFonts w:ascii="Palatino Linotype" w:eastAsia="Palatino Linotype" w:hAnsi="Palatino Linotype" w:cs="Palatino Linotype"/>
          <w:sz w:val="22"/>
          <w:szCs w:val="22"/>
        </w:rPr>
      </w:pPr>
      <w:r w:rsidRPr="004F1889">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614A3336" w14:textId="77777777" w:rsidR="00626C57" w:rsidRPr="004F1889" w:rsidRDefault="0077452A">
      <w:pPr>
        <w:numPr>
          <w:ilvl w:val="0"/>
          <w:numId w:val="3"/>
        </w:numPr>
        <w:spacing w:line="360" w:lineRule="auto"/>
        <w:ind w:right="-145"/>
        <w:jc w:val="both"/>
        <w:rPr>
          <w:rFonts w:ascii="Palatino Linotype" w:eastAsia="Palatino Linotype" w:hAnsi="Palatino Linotype" w:cs="Palatino Linotype"/>
          <w:sz w:val="22"/>
          <w:szCs w:val="22"/>
        </w:rPr>
      </w:pPr>
      <w:r w:rsidRPr="004F1889">
        <w:rPr>
          <w:rFonts w:ascii="Palatino Linotype" w:eastAsia="Palatino Linotype" w:hAnsi="Palatino Linotype" w:cs="Palatino Linotype"/>
          <w:sz w:val="22"/>
          <w:szCs w:val="22"/>
        </w:rPr>
        <w:t>Actividad Procesal del interesado. Acciones u omisiones del interesado.</w:t>
      </w:r>
    </w:p>
    <w:p w14:paraId="614A3337" w14:textId="77777777" w:rsidR="00626C57" w:rsidRPr="004F1889" w:rsidRDefault="0077452A">
      <w:pPr>
        <w:numPr>
          <w:ilvl w:val="0"/>
          <w:numId w:val="3"/>
        </w:numPr>
        <w:spacing w:line="360" w:lineRule="auto"/>
        <w:ind w:right="-145"/>
        <w:jc w:val="both"/>
        <w:rPr>
          <w:rFonts w:ascii="Palatino Linotype" w:eastAsia="Palatino Linotype" w:hAnsi="Palatino Linotype" w:cs="Palatino Linotype"/>
          <w:sz w:val="22"/>
          <w:szCs w:val="22"/>
        </w:rPr>
      </w:pPr>
      <w:r w:rsidRPr="004F1889">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614A3338" w14:textId="77777777" w:rsidR="00626C57" w:rsidRPr="004F1889" w:rsidRDefault="0077452A">
      <w:pPr>
        <w:spacing w:line="360" w:lineRule="auto"/>
        <w:ind w:left="851" w:right="-145" w:hanging="284"/>
        <w:jc w:val="both"/>
        <w:rPr>
          <w:rFonts w:ascii="Palatino Linotype" w:eastAsia="Palatino Linotype" w:hAnsi="Palatino Linotype" w:cs="Palatino Linotype"/>
          <w:sz w:val="22"/>
          <w:szCs w:val="22"/>
        </w:rPr>
      </w:pPr>
      <w:r w:rsidRPr="004F1889">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614A3339" w14:textId="77777777" w:rsidR="00626C57" w:rsidRPr="004F1889" w:rsidRDefault="00626C57">
      <w:pPr>
        <w:spacing w:line="360" w:lineRule="auto"/>
        <w:ind w:left="851" w:right="-787" w:hanging="284"/>
        <w:jc w:val="both"/>
        <w:rPr>
          <w:rFonts w:ascii="Palatino Linotype" w:eastAsia="Palatino Linotype" w:hAnsi="Palatino Linotype" w:cs="Palatino Linotype"/>
        </w:rPr>
      </w:pPr>
    </w:p>
    <w:p w14:paraId="614A333A" w14:textId="77777777" w:rsidR="00626C57" w:rsidRPr="004F1889" w:rsidRDefault="0077452A">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14A333B" w14:textId="77777777" w:rsidR="00626C57" w:rsidRPr="004F1889" w:rsidRDefault="00626C57">
      <w:pPr>
        <w:pBdr>
          <w:top w:val="nil"/>
          <w:left w:val="nil"/>
          <w:bottom w:val="nil"/>
          <w:right w:val="nil"/>
          <w:between w:val="nil"/>
        </w:pBdr>
        <w:spacing w:line="360" w:lineRule="auto"/>
        <w:ind w:right="-787"/>
        <w:jc w:val="both"/>
        <w:rPr>
          <w:rFonts w:ascii="Palatino Linotype" w:eastAsia="Palatino Linotype" w:hAnsi="Palatino Linotype" w:cs="Palatino Linotype"/>
        </w:rPr>
      </w:pPr>
    </w:p>
    <w:p w14:paraId="614A333C" w14:textId="77777777" w:rsidR="00626C57" w:rsidRPr="004F1889" w:rsidRDefault="0077452A">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rPr>
      </w:pPr>
      <w:r w:rsidRPr="004F1889">
        <w:rPr>
          <w:rFonts w:ascii="Palatino Linotype" w:eastAsia="Palatino Linotype" w:hAnsi="Palatino Linotype" w:cs="Palatino Linotype"/>
        </w:rPr>
        <w:t>Argumento que encuentra sustento en la jurisprudencia P</w:t>
      </w:r>
      <w:proofErr w:type="gramStart"/>
      <w:r w:rsidRPr="004F1889">
        <w:rPr>
          <w:rFonts w:ascii="Palatino Linotype" w:eastAsia="Palatino Linotype" w:hAnsi="Palatino Linotype" w:cs="Palatino Linotype"/>
        </w:rPr>
        <w:t>./</w:t>
      </w:r>
      <w:proofErr w:type="gramEnd"/>
      <w:r w:rsidRPr="004F1889">
        <w:rPr>
          <w:rFonts w:ascii="Palatino Linotype" w:eastAsia="Palatino Linotype" w:hAnsi="Palatino Linotype" w:cs="Palatino Linotype"/>
        </w:rPr>
        <w:t xml:space="preserve">J. 32/92 emitida por el Pleno de la Suprema Corte de Justicia de la Nación del rubro </w:t>
      </w:r>
      <w:r w:rsidRPr="004F1889">
        <w:rPr>
          <w:rFonts w:ascii="Palatino Linotype" w:eastAsia="Palatino Linotype" w:hAnsi="Palatino Linotype" w:cs="Palatino Linotype"/>
          <w:i/>
        </w:rPr>
        <w:t xml:space="preserve">“TÉRMINOS </w:t>
      </w:r>
      <w:r w:rsidRPr="004F1889">
        <w:rPr>
          <w:rFonts w:ascii="Palatino Linotype" w:eastAsia="Palatino Linotype" w:hAnsi="Palatino Linotype" w:cs="Palatino Linotype"/>
        </w:rPr>
        <w:t>PROCESALES</w:t>
      </w:r>
      <w:r w:rsidRPr="004F1889">
        <w:rPr>
          <w:rFonts w:ascii="Palatino Linotype" w:eastAsia="Palatino Linotype" w:hAnsi="Palatino Linotype" w:cs="Palatino Linotype"/>
          <w:i/>
        </w:rPr>
        <w:t xml:space="preserve">. PARA DETERMINAR SI UN FUNCIONARIO JUDICIAL ACTUÓ </w:t>
      </w:r>
      <w:r w:rsidRPr="004F1889">
        <w:rPr>
          <w:rFonts w:ascii="Palatino Linotype" w:eastAsia="Palatino Linotype" w:hAnsi="Palatino Linotype" w:cs="Palatino Linotype"/>
        </w:rPr>
        <w:t>INDEBIDAMENTE</w:t>
      </w:r>
      <w:r w:rsidRPr="004F1889">
        <w:rPr>
          <w:rFonts w:ascii="Palatino Linotype" w:eastAsia="Palatino Linotype" w:hAnsi="Palatino Linotype" w:cs="Palatino Linotype"/>
          <w:i/>
        </w:rPr>
        <w:t xml:space="preserve"> POR NO RESPETARLOS SE DEBE ATENDER AL PRESUPUESTO QUE CONSIDERÓ EL LEGISLADOR AL FIJARLOS Y LAS CARACTERÍSTICAS DEL CASO.”</w:t>
      </w:r>
      <w:r w:rsidRPr="004F1889">
        <w:rPr>
          <w:rFonts w:ascii="Palatino Linotype" w:eastAsia="Palatino Linotype" w:hAnsi="Palatino Linotype" w:cs="Palatino Linotype"/>
        </w:rPr>
        <w:t>, visible en la Gaceta del Semanario Judicial de la Federación con el registro digital 205635.</w:t>
      </w:r>
    </w:p>
    <w:p w14:paraId="614A333D" w14:textId="77777777" w:rsidR="00626C57" w:rsidRPr="004F1889" w:rsidRDefault="00626C57">
      <w:pPr>
        <w:spacing w:line="360" w:lineRule="auto"/>
        <w:ind w:right="-787"/>
        <w:jc w:val="both"/>
        <w:rPr>
          <w:rFonts w:ascii="Palatino Linotype" w:eastAsia="Palatino Linotype" w:hAnsi="Palatino Linotype" w:cs="Palatino Linotype"/>
        </w:rPr>
      </w:pPr>
    </w:p>
    <w:p w14:paraId="614A333E" w14:textId="77777777" w:rsidR="00626C57" w:rsidRPr="004F1889" w:rsidRDefault="0077452A">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14A333F" w14:textId="77777777" w:rsidR="00626C57" w:rsidRPr="004F1889" w:rsidRDefault="00626C57">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614A3340" w14:textId="77777777" w:rsidR="00626C57" w:rsidRPr="004F1889" w:rsidRDefault="0077452A">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614A3341" w14:textId="77777777" w:rsidR="00626C57" w:rsidRPr="004F1889" w:rsidRDefault="00626C57">
      <w:pPr>
        <w:spacing w:line="360" w:lineRule="auto"/>
        <w:ind w:right="-787"/>
        <w:jc w:val="both"/>
        <w:rPr>
          <w:rFonts w:ascii="Palatino Linotype" w:eastAsia="Palatino Linotype" w:hAnsi="Palatino Linotype" w:cs="Palatino Linotype"/>
        </w:rPr>
      </w:pPr>
    </w:p>
    <w:p w14:paraId="614A3342" w14:textId="77777777" w:rsidR="00626C57" w:rsidRPr="004F1889" w:rsidRDefault="0077452A">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14A3343" w14:textId="77777777" w:rsidR="00626C57" w:rsidRPr="004F1889" w:rsidRDefault="0077452A">
      <w:pPr>
        <w:spacing w:line="360" w:lineRule="auto"/>
        <w:ind w:left="709" w:right="-145"/>
        <w:jc w:val="both"/>
        <w:rPr>
          <w:rFonts w:ascii="Palatino Linotype" w:eastAsia="Palatino Linotype" w:hAnsi="Palatino Linotype" w:cs="Palatino Linotype"/>
          <w:i/>
          <w:sz w:val="22"/>
          <w:szCs w:val="22"/>
        </w:rPr>
      </w:pPr>
      <w:r w:rsidRPr="004F1889">
        <w:rPr>
          <w:rFonts w:ascii="Palatino Linotype" w:eastAsia="Palatino Linotype" w:hAnsi="Palatino Linotype" w:cs="Palatino Linotype"/>
          <w:i/>
          <w:sz w:val="22"/>
          <w:szCs w:val="22"/>
        </w:rPr>
        <w:t xml:space="preserve"> “PLAZO RAZONABLE PARA RESOLVER. DIMENSIÓN Y EFECTOS DE ESTE CONCEPTO CUANDO SE ADUCE EXCESIVA CARGA DE TRABAJO.” consultable en el Seminario Judicial de la Federación y su gaceta, con el registro digital 2002351.</w:t>
      </w:r>
    </w:p>
    <w:p w14:paraId="614A3344" w14:textId="77777777" w:rsidR="00626C57" w:rsidRPr="004F1889" w:rsidRDefault="00626C57">
      <w:pPr>
        <w:spacing w:line="360" w:lineRule="auto"/>
        <w:ind w:left="709" w:right="-145"/>
        <w:jc w:val="both"/>
        <w:rPr>
          <w:rFonts w:ascii="Palatino Linotype" w:eastAsia="Palatino Linotype" w:hAnsi="Palatino Linotype" w:cs="Palatino Linotype"/>
          <w:b/>
          <w:i/>
          <w:sz w:val="22"/>
          <w:szCs w:val="22"/>
        </w:rPr>
      </w:pPr>
    </w:p>
    <w:p w14:paraId="614A3345" w14:textId="77777777" w:rsidR="00626C57" w:rsidRPr="004F1889" w:rsidRDefault="0077452A">
      <w:pPr>
        <w:spacing w:line="360" w:lineRule="auto"/>
        <w:ind w:left="709" w:right="-145"/>
        <w:jc w:val="both"/>
        <w:rPr>
          <w:rFonts w:ascii="Palatino Linotype" w:eastAsia="Palatino Linotype" w:hAnsi="Palatino Linotype" w:cs="Palatino Linotype"/>
          <w:i/>
          <w:sz w:val="22"/>
          <w:szCs w:val="22"/>
        </w:rPr>
      </w:pPr>
      <w:r w:rsidRPr="004F1889">
        <w:rPr>
          <w:rFonts w:ascii="Palatino Linotype" w:eastAsia="Palatino Linotype" w:hAnsi="Palatino Linotype" w:cs="Palatino Linotype"/>
          <w:i/>
          <w:sz w:val="22"/>
          <w:szCs w:val="22"/>
        </w:rPr>
        <w:t>“PLAZO RAZONABLE PARA RESOLVER. CONCEPTO Y ELEMENTOS QUE LO INTEGRAN A LA LUZ DEL DERECHO INTERNACIONAL DE LOS DERECHOS HUMANOS.”, visible en el Seminario Judicial de la Federación y su gaceta, con el registro digital 2002350.”</w:t>
      </w:r>
    </w:p>
    <w:p w14:paraId="614A3346" w14:textId="77777777" w:rsidR="00626C57" w:rsidRPr="004F1889" w:rsidRDefault="00626C57">
      <w:pPr>
        <w:spacing w:line="360" w:lineRule="auto"/>
        <w:ind w:right="-787"/>
        <w:jc w:val="both"/>
        <w:rPr>
          <w:rFonts w:ascii="Palatino Linotype" w:eastAsia="Palatino Linotype" w:hAnsi="Palatino Linotype" w:cs="Palatino Linotype"/>
          <w:color w:val="000000"/>
        </w:rPr>
      </w:pPr>
    </w:p>
    <w:p w14:paraId="614A3347" w14:textId="77777777" w:rsidR="00626C57" w:rsidRPr="004F1889" w:rsidRDefault="0077452A">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4" w:name="_heading=h.2et92p0" w:colFirst="0" w:colLast="0"/>
      <w:bookmarkEnd w:id="4"/>
      <w:r w:rsidRPr="004F1889">
        <w:rPr>
          <w:rFonts w:ascii="Palatino Linotype" w:eastAsia="Palatino Linotype" w:hAnsi="Palatino Linotype" w:cs="Palatino Linotype"/>
          <w:color w:val="000000"/>
        </w:rPr>
        <w:t xml:space="preserve">Seguidamente, mediante acuerdo de fecha </w:t>
      </w:r>
      <w:r w:rsidRPr="004F1889">
        <w:rPr>
          <w:rFonts w:ascii="Palatino Linotype" w:eastAsia="Palatino Linotype" w:hAnsi="Palatino Linotype" w:cs="Palatino Linotype"/>
          <w:b/>
          <w:color w:val="000000"/>
        </w:rPr>
        <w:t>veintisiete de febrero de dos mil veinticinco</w:t>
      </w:r>
      <w:r w:rsidRPr="004F1889">
        <w:rPr>
          <w:rFonts w:ascii="Palatino Linotype" w:eastAsia="Palatino Linotype" w:hAnsi="Palatino Linotype" w:cs="Palatino Linotype"/>
          <w:color w:val="000000"/>
        </w:rPr>
        <w:t>, la Comisionada Ponente dictó el cierre del periodo de instrucción y, ordenó la resolución que conforme a Derecho proceda, de acuerdo a las siguientes:</w:t>
      </w:r>
    </w:p>
    <w:p w14:paraId="614A3348" w14:textId="77777777" w:rsidR="00626C57" w:rsidRPr="004F1889" w:rsidRDefault="00626C57">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p>
    <w:p w14:paraId="614A3349" w14:textId="77777777" w:rsidR="00626C57" w:rsidRPr="004F1889" w:rsidRDefault="0077452A">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r w:rsidRPr="004F1889">
        <w:rPr>
          <w:rFonts w:ascii="Palatino Linotype" w:eastAsia="Palatino Linotype" w:hAnsi="Palatino Linotype" w:cs="Palatino Linotype"/>
          <w:b/>
          <w:color w:val="000000"/>
        </w:rPr>
        <w:t>C O N S I D E R A C I O N E S</w:t>
      </w:r>
    </w:p>
    <w:p w14:paraId="614A334A" w14:textId="77777777" w:rsidR="00626C57" w:rsidRPr="004F1889" w:rsidRDefault="00626C57">
      <w:pPr>
        <w:pBdr>
          <w:top w:val="nil"/>
          <w:left w:val="nil"/>
          <w:bottom w:val="nil"/>
          <w:right w:val="nil"/>
          <w:between w:val="nil"/>
        </w:pBdr>
        <w:spacing w:line="360" w:lineRule="auto"/>
        <w:ind w:right="-787"/>
        <w:jc w:val="center"/>
        <w:rPr>
          <w:rFonts w:ascii="Palatino Linotype" w:eastAsia="Palatino Linotype" w:hAnsi="Palatino Linotype" w:cs="Palatino Linotype"/>
          <w:b/>
          <w:color w:val="000000"/>
        </w:rPr>
      </w:pPr>
    </w:p>
    <w:p w14:paraId="614A334B" w14:textId="77777777" w:rsidR="00626C57" w:rsidRPr="004F1889" w:rsidRDefault="0077452A">
      <w:pPr>
        <w:pStyle w:val="Ttulo2"/>
        <w:spacing w:before="0" w:line="360" w:lineRule="auto"/>
        <w:ind w:right="-787"/>
        <w:rPr>
          <w:rFonts w:ascii="Palatino Linotype" w:eastAsia="Palatino Linotype" w:hAnsi="Palatino Linotype" w:cs="Palatino Linotype"/>
          <w:b/>
          <w:color w:val="000000"/>
          <w:sz w:val="24"/>
          <w:szCs w:val="24"/>
        </w:rPr>
      </w:pPr>
      <w:bookmarkStart w:id="5" w:name="_heading=h.tyjcwt" w:colFirst="0" w:colLast="0"/>
      <w:bookmarkEnd w:id="5"/>
      <w:r w:rsidRPr="004F1889">
        <w:rPr>
          <w:rFonts w:ascii="Palatino Linotype" w:eastAsia="Palatino Linotype" w:hAnsi="Palatino Linotype" w:cs="Palatino Linotype"/>
          <w:b/>
          <w:color w:val="000000"/>
          <w:sz w:val="24"/>
          <w:szCs w:val="24"/>
        </w:rPr>
        <w:t>PRIMERA. Competencia</w:t>
      </w:r>
    </w:p>
    <w:p w14:paraId="614A334C" w14:textId="77777777" w:rsidR="00626C57" w:rsidRPr="004F1889" w:rsidRDefault="0077452A">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 xml:space="preserve">El Instituto de Transparencia, Acceso a la Información Pública y Protección de Datos Personales del Estado de México y Municipios, es competente para conocer y resolver el </w:t>
      </w:r>
      <w:r w:rsidRPr="004F1889">
        <w:rPr>
          <w:rFonts w:ascii="Palatino Linotype" w:eastAsia="Palatino Linotype" w:hAnsi="Palatino Linotype" w:cs="Palatino Linotype"/>
          <w:color w:val="000000"/>
        </w:rPr>
        <w:lastRenderedPageBreak/>
        <w:t>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14A334D" w14:textId="77777777" w:rsidR="00626C57" w:rsidRPr="004F1889" w:rsidRDefault="00626C57">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14:paraId="614A334E" w14:textId="77777777" w:rsidR="00626C57" w:rsidRPr="004F1889" w:rsidRDefault="0077452A">
      <w:pPr>
        <w:pStyle w:val="Ttulo2"/>
        <w:spacing w:before="0" w:line="360" w:lineRule="auto"/>
        <w:ind w:right="-787"/>
        <w:rPr>
          <w:rFonts w:ascii="Palatino Linotype" w:eastAsia="Palatino Linotype" w:hAnsi="Palatino Linotype" w:cs="Palatino Linotype"/>
          <w:b/>
          <w:color w:val="000000"/>
          <w:sz w:val="24"/>
          <w:szCs w:val="24"/>
        </w:rPr>
      </w:pPr>
      <w:bookmarkStart w:id="6" w:name="_heading=h.3dy6vkm" w:colFirst="0" w:colLast="0"/>
      <w:bookmarkEnd w:id="6"/>
      <w:r w:rsidRPr="004F1889">
        <w:rPr>
          <w:rFonts w:ascii="Palatino Linotype" w:eastAsia="Palatino Linotype" w:hAnsi="Palatino Linotype" w:cs="Palatino Linotype"/>
          <w:b/>
          <w:color w:val="000000"/>
          <w:sz w:val="24"/>
          <w:szCs w:val="24"/>
        </w:rPr>
        <w:t>SEGUNDA. Procedencia.</w:t>
      </w:r>
    </w:p>
    <w:p w14:paraId="614A334F"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Este Órgano Garante considera que el medio de impugnación reúne los requisitos de procedencia </w:t>
      </w:r>
      <w:r w:rsidRPr="004F1889">
        <w:rPr>
          <w:rFonts w:ascii="Palatino Linotype" w:eastAsia="Palatino Linotype" w:hAnsi="Palatino Linotype" w:cs="Palatino Linotype"/>
          <w:color w:val="000000"/>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614A3350" w14:textId="77777777" w:rsidR="00626C57" w:rsidRPr="004F1889" w:rsidRDefault="00626C57">
      <w:pPr>
        <w:spacing w:line="360" w:lineRule="auto"/>
        <w:ind w:right="-787"/>
        <w:jc w:val="both"/>
        <w:rPr>
          <w:rFonts w:ascii="Palatino Linotype" w:eastAsia="Palatino Linotype" w:hAnsi="Palatino Linotype" w:cs="Palatino Linotype"/>
        </w:rPr>
      </w:pPr>
    </w:p>
    <w:p w14:paraId="614A3351"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14A3352" w14:textId="77777777" w:rsidR="00626C57" w:rsidRPr="004F1889" w:rsidRDefault="0077452A">
      <w:pPr>
        <w:spacing w:line="360" w:lineRule="auto"/>
        <w:ind w:left="567" w:right="-145"/>
        <w:jc w:val="both"/>
        <w:rPr>
          <w:rFonts w:ascii="Palatino Linotype" w:eastAsia="Palatino Linotype" w:hAnsi="Palatino Linotype" w:cs="Palatino Linotype"/>
          <w:i/>
          <w:sz w:val="22"/>
          <w:szCs w:val="22"/>
        </w:rPr>
      </w:pPr>
      <w:r w:rsidRPr="004F1889">
        <w:rPr>
          <w:rFonts w:ascii="Palatino Linotype" w:eastAsia="Palatino Linotype" w:hAnsi="Palatino Linotype" w:cs="Palatino Linotype"/>
          <w:i/>
          <w:sz w:val="22"/>
          <w:szCs w:val="22"/>
        </w:rPr>
        <w:lastRenderedPageBreak/>
        <w:t>"</w:t>
      </w:r>
      <w:r w:rsidRPr="004F1889">
        <w:rPr>
          <w:rFonts w:ascii="Palatino Linotype" w:eastAsia="Palatino Linotype" w:hAnsi="Palatino Linotype" w:cs="Palatino Linotype"/>
          <w:b/>
          <w:i/>
          <w:sz w:val="22"/>
          <w:szCs w:val="22"/>
        </w:rPr>
        <w:t>Las solicitudes anónimas</w:t>
      </w:r>
      <w:r w:rsidRPr="004F1889">
        <w:rPr>
          <w:rFonts w:ascii="Palatino Linotype" w:eastAsia="Palatino Linotype" w:hAnsi="Palatino Linotype" w:cs="Palatino Linotype"/>
          <w:i/>
          <w:sz w:val="22"/>
          <w:szCs w:val="22"/>
        </w:rPr>
        <w:t xml:space="preserve">, con nombre incompleto o seudónimo </w:t>
      </w:r>
      <w:r w:rsidRPr="004F1889">
        <w:rPr>
          <w:rFonts w:ascii="Palatino Linotype" w:eastAsia="Palatino Linotype" w:hAnsi="Palatino Linotype" w:cs="Palatino Linotype"/>
          <w:b/>
          <w:i/>
          <w:sz w:val="22"/>
          <w:szCs w:val="22"/>
        </w:rPr>
        <w:t>serán procedentes para su trámite por parte del sujeto obligado ante quien se presente</w:t>
      </w:r>
      <w:r w:rsidRPr="004F1889">
        <w:rPr>
          <w:rFonts w:ascii="Palatino Linotype" w:eastAsia="Palatino Linotype" w:hAnsi="Palatino Linotype" w:cs="Palatino Linotype"/>
          <w:i/>
          <w:sz w:val="22"/>
          <w:szCs w:val="22"/>
        </w:rPr>
        <w:t>. No podrá requerirse información adicional con motivo del nombre proporcionado por el solicitante."</w:t>
      </w:r>
    </w:p>
    <w:p w14:paraId="614A3353" w14:textId="77777777" w:rsidR="00626C57" w:rsidRPr="004F1889" w:rsidRDefault="00626C57">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614A3354"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Finalmente, el escrito contiene las formalidades previstas por el artículo 180 último párrafo de la citada Ley de la materia, por lo que es procedente que este Instituto conozca y resuelva el presente recurso.</w:t>
      </w:r>
    </w:p>
    <w:p w14:paraId="614A3355" w14:textId="77777777" w:rsidR="00626C57" w:rsidRPr="004F1889" w:rsidRDefault="00626C57">
      <w:pPr>
        <w:pBdr>
          <w:top w:val="nil"/>
          <w:left w:val="nil"/>
          <w:bottom w:val="nil"/>
          <w:right w:val="nil"/>
          <w:between w:val="nil"/>
        </w:pBdr>
        <w:spacing w:line="360" w:lineRule="auto"/>
        <w:ind w:right="-787"/>
        <w:rPr>
          <w:rFonts w:ascii="Palatino Linotype" w:eastAsia="Palatino Linotype" w:hAnsi="Palatino Linotype" w:cs="Palatino Linotype"/>
          <w:color w:val="000000"/>
        </w:rPr>
      </w:pPr>
    </w:p>
    <w:p w14:paraId="614A3356" w14:textId="77777777" w:rsidR="00626C57" w:rsidRPr="004F1889" w:rsidRDefault="0077452A">
      <w:pPr>
        <w:pStyle w:val="Ttulo1"/>
        <w:spacing w:before="0" w:line="360" w:lineRule="auto"/>
        <w:ind w:right="-787"/>
        <w:rPr>
          <w:rFonts w:ascii="Palatino Linotype" w:eastAsia="Palatino Linotype" w:hAnsi="Palatino Linotype" w:cs="Palatino Linotype"/>
          <w:b/>
          <w:color w:val="000000"/>
          <w:sz w:val="24"/>
          <w:szCs w:val="24"/>
        </w:rPr>
      </w:pPr>
      <w:bookmarkStart w:id="7" w:name="_heading=h.1t3h5sf" w:colFirst="0" w:colLast="0"/>
      <w:bookmarkEnd w:id="7"/>
      <w:r w:rsidRPr="004F1889">
        <w:rPr>
          <w:rFonts w:ascii="Palatino Linotype" w:eastAsia="Palatino Linotype" w:hAnsi="Palatino Linotype" w:cs="Palatino Linotype"/>
          <w:b/>
          <w:color w:val="000000"/>
          <w:sz w:val="24"/>
          <w:szCs w:val="24"/>
        </w:rPr>
        <w:t>TERCERA. Descripción de hechos y planteamiento de la controversia.</w:t>
      </w:r>
    </w:p>
    <w:p w14:paraId="614A3357" w14:textId="77777777" w:rsidR="00626C57" w:rsidRPr="004F1889" w:rsidRDefault="0077452A">
      <w:pPr>
        <w:numPr>
          <w:ilvl w:val="0"/>
          <w:numId w:val="4"/>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Se solicitó tener acceso, a la información que a continuación se simplifica:</w:t>
      </w:r>
    </w:p>
    <w:p w14:paraId="614A3358" w14:textId="77777777" w:rsidR="00626C57" w:rsidRPr="004F1889" w:rsidRDefault="0077452A">
      <w:pPr>
        <w:numPr>
          <w:ilvl w:val="0"/>
          <w:numId w:val="6"/>
        </w:numPr>
        <w:pBdr>
          <w:top w:val="nil"/>
          <w:left w:val="nil"/>
          <w:bottom w:val="nil"/>
          <w:right w:val="nil"/>
          <w:between w:val="nil"/>
        </w:pBdr>
        <w:spacing w:line="360" w:lineRule="auto"/>
        <w:ind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b/>
          <w:color w:val="000000"/>
          <w:sz w:val="22"/>
          <w:szCs w:val="22"/>
        </w:rPr>
        <w:t>Mandamientos de ejecución de créditos fiscales del Ejercicio Fiscal del año 2023.</w:t>
      </w:r>
    </w:p>
    <w:p w14:paraId="614A3359" w14:textId="77777777" w:rsidR="00626C57" w:rsidRPr="004F1889" w:rsidRDefault="00626C57">
      <w:pPr>
        <w:pBdr>
          <w:top w:val="nil"/>
          <w:left w:val="nil"/>
          <w:bottom w:val="nil"/>
          <w:right w:val="nil"/>
          <w:between w:val="nil"/>
        </w:pBdr>
        <w:spacing w:line="360" w:lineRule="auto"/>
        <w:ind w:left="709" w:right="-787"/>
        <w:jc w:val="both"/>
        <w:rPr>
          <w:rFonts w:ascii="Palatino Linotype" w:eastAsia="Palatino Linotype" w:hAnsi="Palatino Linotype" w:cs="Palatino Linotype"/>
          <w:i/>
          <w:color w:val="000000"/>
        </w:rPr>
      </w:pPr>
    </w:p>
    <w:p w14:paraId="614A335A"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rPr>
        <w:t xml:space="preserve">En respuesta, el </w:t>
      </w:r>
      <w:r w:rsidRPr="004F1889">
        <w:rPr>
          <w:rFonts w:ascii="Palatino Linotype" w:eastAsia="Palatino Linotype" w:hAnsi="Palatino Linotype" w:cs="Palatino Linotype"/>
          <w:b/>
        </w:rPr>
        <w:t xml:space="preserve">SUJETO OBLIGADO </w:t>
      </w:r>
      <w:r w:rsidRPr="004F1889">
        <w:rPr>
          <w:rFonts w:ascii="Palatino Linotype" w:eastAsia="Palatino Linotype" w:hAnsi="Palatino Linotype" w:cs="Palatino Linotype"/>
        </w:rPr>
        <w:t>negó su entrega por considerarla reservada en su totalidad. Inconforme con la respuesta, se interpuso recurso de revisión en contra de la clasificación injustificada.</w:t>
      </w:r>
    </w:p>
    <w:p w14:paraId="614A335B" w14:textId="77777777" w:rsidR="00626C57" w:rsidRPr="004F1889" w:rsidRDefault="00626C57">
      <w:pPr>
        <w:spacing w:line="360" w:lineRule="auto"/>
        <w:ind w:right="-787"/>
        <w:jc w:val="both"/>
        <w:rPr>
          <w:rFonts w:ascii="Palatino Linotype" w:eastAsia="Palatino Linotype" w:hAnsi="Palatino Linotype" w:cs="Palatino Linotype"/>
          <w:color w:val="000000"/>
        </w:rPr>
      </w:pPr>
    </w:p>
    <w:p w14:paraId="614A335C"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En dichas condiciones, la controversia a resolver en el presente proveído, corresponde a determinar si se actualiza la causal de procedencia prevista en el artículo 179, fracción II</w:t>
      </w:r>
      <w:r w:rsidRPr="004F1889">
        <w:rPr>
          <w:rFonts w:ascii="Palatino Linotype" w:eastAsia="Palatino Linotype" w:hAnsi="Palatino Linotype" w:cs="Palatino Linotype"/>
          <w:b/>
        </w:rPr>
        <w:t xml:space="preserve"> </w:t>
      </w:r>
      <w:r w:rsidRPr="004F1889">
        <w:rPr>
          <w:rFonts w:ascii="Palatino Linotype" w:eastAsia="Palatino Linotype" w:hAnsi="Palatino Linotype" w:cs="Palatino Linotype"/>
        </w:rPr>
        <w:t>de la Ley de Transparencia y Acceso a la Información Pública del Estado de</w:t>
      </w:r>
      <w:r w:rsidRPr="004F1889">
        <w:rPr>
          <w:rFonts w:ascii="Palatino Linotype" w:eastAsia="Palatino Linotype" w:hAnsi="Palatino Linotype" w:cs="Palatino Linotype"/>
          <w:b/>
        </w:rPr>
        <w:t xml:space="preserve"> </w:t>
      </w:r>
      <w:r w:rsidRPr="004F1889">
        <w:rPr>
          <w:rFonts w:ascii="Palatino Linotype" w:eastAsia="Palatino Linotype" w:hAnsi="Palatino Linotype" w:cs="Palatino Linotype"/>
        </w:rPr>
        <w:t>México</w:t>
      </w:r>
      <w:r w:rsidRPr="004F1889">
        <w:rPr>
          <w:rFonts w:ascii="Palatino Linotype" w:eastAsia="Palatino Linotype" w:hAnsi="Palatino Linotype" w:cs="Palatino Linotype"/>
          <w:b/>
        </w:rPr>
        <w:t xml:space="preserve"> </w:t>
      </w:r>
      <w:r w:rsidRPr="004F1889">
        <w:rPr>
          <w:rFonts w:ascii="Palatino Linotype" w:eastAsia="Palatino Linotype" w:hAnsi="Palatino Linotype" w:cs="Palatino Linotype"/>
        </w:rPr>
        <w:t>y</w:t>
      </w:r>
      <w:r w:rsidRPr="004F1889">
        <w:rPr>
          <w:rFonts w:ascii="Palatino Linotype" w:eastAsia="Palatino Linotype" w:hAnsi="Palatino Linotype" w:cs="Palatino Linotype"/>
          <w:b/>
        </w:rPr>
        <w:t xml:space="preserve"> </w:t>
      </w:r>
      <w:r w:rsidRPr="004F1889">
        <w:rPr>
          <w:rFonts w:ascii="Palatino Linotype" w:eastAsia="Palatino Linotype" w:hAnsi="Palatino Linotype" w:cs="Palatino Linotype"/>
        </w:rPr>
        <w:t xml:space="preserve">Municipios; </w:t>
      </w:r>
      <w:r w:rsidRPr="004F1889">
        <w:rPr>
          <w:rFonts w:ascii="Palatino Linotype" w:eastAsia="Palatino Linotype" w:hAnsi="Palatino Linotype" w:cs="Palatino Linotype"/>
          <w:color w:val="000000"/>
        </w:rPr>
        <w:t xml:space="preserve">fracción que determina las hipótesis relativa a la clasificación de la información; </w:t>
      </w:r>
      <w:r w:rsidRPr="004F1889">
        <w:rPr>
          <w:rFonts w:ascii="Palatino Linotype" w:eastAsia="Palatino Linotype" w:hAnsi="Palatino Linotype" w:cs="Palatino Linotype"/>
        </w:rPr>
        <w:t>contexto del cual se dolió el Recurrente al momento de interponer su inconformidad.</w:t>
      </w:r>
      <w:r w:rsidRPr="004F1889">
        <w:rPr>
          <w:rFonts w:ascii="Palatino Linotype" w:eastAsia="Palatino Linotype" w:hAnsi="Palatino Linotype" w:cs="Palatino Linotype"/>
          <w:color w:val="000000"/>
        </w:rPr>
        <w:t xml:space="preserve"> De modo tal que el presente recurso de revisión se </w:t>
      </w:r>
      <w:r w:rsidRPr="004F1889">
        <w:rPr>
          <w:rFonts w:ascii="Palatino Linotype" w:eastAsia="Palatino Linotype" w:hAnsi="Palatino Linotype" w:cs="Palatino Linotype"/>
        </w:rPr>
        <w:t>abocará</w:t>
      </w:r>
      <w:r w:rsidRPr="004F1889">
        <w:rPr>
          <w:rFonts w:ascii="Palatino Linotype" w:eastAsia="Palatino Linotype" w:hAnsi="Palatino Linotype" w:cs="Palatino Linotype"/>
          <w:color w:val="000000"/>
        </w:rPr>
        <w:t xml:space="preserve"> en determinar si el Sujeto Obligado con su respuesta ciertamente actualiza las causales de procedencia</w:t>
      </w:r>
      <w:r w:rsidRPr="004F1889">
        <w:rPr>
          <w:rFonts w:ascii="Palatino Linotype" w:eastAsia="Palatino Linotype" w:hAnsi="Palatino Linotype" w:cs="Palatino Linotype"/>
          <w:b/>
          <w:color w:val="000000"/>
        </w:rPr>
        <w:t xml:space="preserve"> </w:t>
      </w:r>
      <w:r w:rsidRPr="004F1889">
        <w:rPr>
          <w:rFonts w:ascii="Palatino Linotype" w:eastAsia="Palatino Linotype" w:hAnsi="Palatino Linotype" w:cs="Palatino Linotype"/>
          <w:color w:val="000000"/>
        </w:rPr>
        <w:t xml:space="preserve">señaladas. </w:t>
      </w:r>
    </w:p>
    <w:p w14:paraId="614A335D" w14:textId="77777777" w:rsidR="00626C57" w:rsidRPr="004F1889" w:rsidRDefault="00626C57">
      <w:pPr>
        <w:spacing w:line="360" w:lineRule="auto"/>
        <w:ind w:right="-787"/>
        <w:rPr>
          <w:rFonts w:ascii="Palatino Linotype" w:eastAsia="Palatino Linotype" w:hAnsi="Palatino Linotype" w:cs="Palatino Linotype"/>
        </w:rPr>
      </w:pPr>
    </w:p>
    <w:p w14:paraId="614A335E" w14:textId="77777777" w:rsidR="00626C57" w:rsidRPr="004F1889" w:rsidRDefault="0077452A">
      <w:pPr>
        <w:pStyle w:val="Ttulo2"/>
        <w:spacing w:before="0" w:line="360" w:lineRule="auto"/>
        <w:ind w:right="-787"/>
        <w:rPr>
          <w:rFonts w:ascii="Palatino Linotype" w:eastAsia="Palatino Linotype" w:hAnsi="Palatino Linotype" w:cs="Palatino Linotype"/>
          <w:b/>
          <w:color w:val="000000"/>
          <w:sz w:val="24"/>
          <w:szCs w:val="24"/>
        </w:rPr>
      </w:pPr>
      <w:bookmarkStart w:id="8" w:name="_heading=h.4d34og8" w:colFirst="0" w:colLast="0"/>
      <w:bookmarkEnd w:id="8"/>
      <w:r w:rsidRPr="004F1889">
        <w:rPr>
          <w:rFonts w:ascii="Palatino Linotype" w:eastAsia="Palatino Linotype" w:hAnsi="Palatino Linotype" w:cs="Palatino Linotype"/>
          <w:b/>
          <w:color w:val="000000"/>
          <w:sz w:val="24"/>
          <w:szCs w:val="24"/>
        </w:rPr>
        <w:lastRenderedPageBreak/>
        <w:t>CUARTA. Estudio de la controversia.</w:t>
      </w:r>
    </w:p>
    <w:p w14:paraId="614A335F"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614A3360" w14:textId="77777777" w:rsidR="00626C57" w:rsidRPr="004F1889" w:rsidRDefault="00626C57">
      <w:pPr>
        <w:spacing w:line="360" w:lineRule="auto"/>
        <w:ind w:right="-787"/>
        <w:jc w:val="both"/>
        <w:rPr>
          <w:rFonts w:ascii="Palatino Linotype" w:eastAsia="Palatino Linotype" w:hAnsi="Palatino Linotype" w:cs="Palatino Linotype"/>
        </w:rPr>
      </w:pPr>
    </w:p>
    <w:p w14:paraId="614A3361"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14A3362" w14:textId="77777777" w:rsidR="00626C57" w:rsidRPr="004F1889" w:rsidRDefault="00626C57">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614A3363"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w:t>
      </w:r>
      <w:r w:rsidRPr="004F1889">
        <w:rPr>
          <w:rFonts w:ascii="Palatino Linotype" w:eastAsia="Palatino Linotype" w:hAnsi="Palatino Linotype" w:cs="Palatino Linotype"/>
        </w:rPr>
        <w:lastRenderedPageBreak/>
        <w:t>cualquier medio de difusión o porque la requieren a través de una solicitud de acceso a la información, siempre y cuando no encuadre en una de las excepciones contempladas por la ley.</w:t>
      </w:r>
    </w:p>
    <w:p w14:paraId="614A3364" w14:textId="77777777" w:rsidR="00626C57" w:rsidRPr="004F1889" w:rsidRDefault="00626C57">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614A3365"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Una vez sentado lo anterior, resulta oportuno señalar que con su respuesta el </w:t>
      </w:r>
      <w:r w:rsidRPr="004F1889">
        <w:rPr>
          <w:rFonts w:ascii="Palatino Linotype" w:eastAsia="Palatino Linotype" w:hAnsi="Palatino Linotype" w:cs="Palatino Linotype"/>
          <w:b/>
        </w:rPr>
        <w:t>SUJETO OBLIGADO</w:t>
      </w:r>
      <w:r w:rsidRPr="004F1889">
        <w:rPr>
          <w:rFonts w:ascii="Palatino Linotype" w:eastAsia="Palatino Linotype" w:hAnsi="Palatino Linotype" w:cs="Palatino Linotype"/>
        </w:rPr>
        <w:t xml:space="preserve"> acepta de manera expresa que si generó, posee y administra lo solicitado; tan es así que inicialmente indica que no se puede entregar por ser reservada, confirmando dicho contexto en calidad de informe justificado. Luego entonces se consideraría innecesario un estudio minucioso de su fuente obligacional para arribar a la conclusión, de si cuenta con los solicitado o no pues –se insiste–, ya estableció que si obra en sus archivos; sin embargo ello no es impedimento para mencionar la naturaleza de lo que se está requiriendo a efecto de determinar si ciertamente actualiza una causal de reserva.</w:t>
      </w:r>
    </w:p>
    <w:p w14:paraId="614A3366" w14:textId="77777777" w:rsidR="00626C57" w:rsidRPr="004F1889" w:rsidRDefault="00626C57">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614A3367"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En ese sentido se tiene que lo solicitado corresponde a mandamientos de ejecución de créditos fiscales, los cuales para el caso de ayuntamientos corresponden a actos administrativos para cobrar deudas tributarias que no han sido pagadas voluntariamente por los contribuyentes. </w:t>
      </w:r>
    </w:p>
    <w:p w14:paraId="614A3368" w14:textId="77777777" w:rsidR="00626C57" w:rsidRPr="004F1889" w:rsidRDefault="00626C57">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614A3369"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Estos mandamientos forman parte del procedimiento de recaudación ejecutiva y están regulados por el Código Fiscal del Estado de México, al respecto en su artículos 15 y 16, se establece la concepción del crédito fiscal, como se observa:</w:t>
      </w:r>
    </w:p>
    <w:p w14:paraId="614A336A" w14:textId="77777777" w:rsidR="00626C57" w:rsidRPr="004F1889" w:rsidRDefault="0077452A">
      <w:pPr>
        <w:pBdr>
          <w:top w:val="nil"/>
          <w:left w:val="nil"/>
          <w:bottom w:val="nil"/>
          <w:right w:val="nil"/>
          <w:between w:val="nil"/>
        </w:pBdr>
        <w:spacing w:line="360" w:lineRule="auto"/>
        <w:ind w:left="567"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i/>
          <w:color w:val="000000"/>
          <w:sz w:val="22"/>
          <w:szCs w:val="22"/>
        </w:rPr>
        <w:t xml:space="preserve">Artículo 15.- </w:t>
      </w:r>
      <w:r w:rsidRPr="004F1889">
        <w:rPr>
          <w:rFonts w:ascii="Palatino Linotype" w:eastAsia="Palatino Linotype" w:hAnsi="Palatino Linotype" w:cs="Palatino Linotype"/>
          <w:b/>
          <w:i/>
          <w:color w:val="000000"/>
          <w:sz w:val="22"/>
          <w:szCs w:val="22"/>
        </w:rPr>
        <w:t>Son créditos fiscales los que tengan derecho a percibir los Entes Públicos</w:t>
      </w:r>
      <w:r w:rsidRPr="004F1889">
        <w:rPr>
          <w:rFonts w:ascii="Palatino Linotype" w:eastAsia="Palatino Linotype" w:hAnsi="Palatino Linotype" w:cs="Palatino Linotype"/>
          <w:i/>
          <w:color w:val="000000"/>
          <w:sz w:val="22"/>
          <w:szCs w:val="22"/>
        </w:rPr>
        <w:t xml:space="preserve">, de acuerdo con su naturaleza jurídica y según corresponda, que deriven de contribuciones, </w:t>
      </w:r>
      <w:r w:rsidRPr="004F1889">
        <w:rPr>
          <w:rFonts w:ascii="Palatino Linotype" w:eastAsia="Palatino Linotype" w:hAnsi="Palatino Linotype" w:cs="Palatino Linotype"/>
          <w:i/>
          <w:color w:val="000000"/>
          <w:sz w:val="22"/>
          <w:szCs w:val="22"/>
        </w:rPr>
        <w:lastRenderedPageBreak/>
        <w:t>aprovechamientos, accesorios, y de responsabilidades administrativas, así como aquellos a los que las leyes les den ese carácter.</w:t>
      </w:r>
    </w:p>
    <w:p w14:paraId="614A336B" w14:textId="77777777" w:rsidR="00626C57" w:rsidRPr="004F1889" w:rsidRDefault="0077452A">
      <w:pPr>
        <w:pBdr>
          <w:top w:val="nil"/>
          <w:left w:val="nil"/>
          <w:bottom w:val="nil"/>
          <w:right w:val="nil"/>
          <w:between w:val="nil"/>
        </w:pBdr>
        <w:spacing w:line="360" w:lineRule="auto"/>
        <w:ind w:left="567"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i/>
          <w:color w:val="000000"/>
          <w:sz w:val="22"/>
          <w:szCs w:val="22"/>
        </w:rPr>
        <w:t>Para tales efectos, las autoridades que remitan créditos fiscales a la autoridad fiscal para su cobro, deberán cumplir con los requisitos establecidos mediante las Reglas de Carácter General que al efecto emita y publique la Secretaría en el Periódico Oficial.</w:t>
      </w:r>
    </w:p>
    <w:p w14:paraId="614A336C" w14:textId="77777777" w:rsidR="00626C57" w:rsidRPr="004F1889" w:rsidRDefault="00626C57">
      <w:pPr>
        <w:pBdr>
          <w:top w:val="nil"/>
          <w:left w:val="nil"/>
          <w:bottom w:val="nil"/>
          <w:right w:val="nil"/>
          <w:between w:val="nil"/>
        </w:pBdr>
        <w:spacing w:line="360" w:lineRule="auto"/>
        <w:ind w:left="567" w:right="-145"/>
        <w:jc w:val="both"/>
        <w:rPr>
          <w:rFonts w:ascii="Palatino Linotype" w:eastAsia="Palatino Linotype" w:hAnsi="Palatino Linotype" w:cs="Palatino Linotype"/>
          <w:i/>
          <w:color w:val="000000"/>
          <w:sz w:val="22"/>
          <w:szCs w:val="22"/>
        </w:rPr>
      </w:pPr>
    </w:p>
    <w:p w14:paraId="614A336D" w14:textId="77777777" w:rsidR="00626C57" w:rsidRPr="004F1889" w:rsidRDefault="0077452A">
      <w:pPr>
        <w:pBdr>
          <w:top w:val="nil"/>
          <w:left w:val="nil"/>
          <w:bottom w:val="nil"/>
          <w:right w:val="nil"/>
          <w:between w:val="nil"/>
        </w:pBdr>
        <w:spacing w:line="360" w:lineRule="auto"/>
        <w:ind w:left="567"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i/>
          <w:color w:val="000000"/>
          <w:sz w:val="22"/>
          <w:szCs w:val="22"/>
        </w:rPr>
        <w:t xml:space="preserve">Artículo 16.- </w:t>
      </w:r>
      <w:r w:rsidRPr="004F1889">
        <w:rPr>
          <w:rFonts w:ascii="Palatino Linotype" w:eastAsia="Palatino Linotype" w:hAnsi="Palatino Linotype" w:cs="Palatino Linotype"/>
          <w:b/>
          <w:i/>
          <w:color w:val="000000"/>
          <w:sz w:val="22"/>
          <w:szCs w:val="22"/>
        </w:rPr>
        <w:t>Son autoridades fiscales</w:t>
      </w:r>
      <w:r w:rsidRPr="004F1889">
        <w:rPr>
          <w:rFonts w:ascii="Palatino Linotype" w:eastAsia="Palatino Linotype" w:hAnsi="Palatino Linotype" w:cs="Palatino Linotype"/>
          <w:i/>
          <w:color w:val="000000"/>
          <w:sz w:val="22"/>
          <w:szCs w:val="22"/>
        </w:rPr>
        <w:t xml:space="preserve">, la persona titular del Poder Ejecutivo del Estado, </w:t>
      </w:r>
      <w:r w:rsidRPr="004F1889">
        <w:rPr>
          <w:rFonts w:ascii="Palatino Linotype" w:eastAsia="Palatino Linotype" w:hAnsi="Palatino Linotype" w:cs="Palatino Linotype"/>
          <w:b/>
          <w:i/>
          <w:color w:val="000000"/>
          <w:sz w:val="22"/>
          <w:szCs w:val="22"/>
        </w:rPr>
        <w:t>los ayuntamientos, las y los presidentes, síndicos y tesoreros municipales</w:t>
      </w:r>
      <w:r w:rsidRPr="004F1889">
        <w:rPr>
          <w:rFonts w:ascii="Palatino Linotype" w:eastAsia="Palatino Linotype" w:hAnsi="Palatino Linotype" w:cs="Palatino Linotype"/>
          <w:i/>
          <w:color w:val="000000"/>
          <w:sz w:val="22"/>
          <w:szCs w:val="22"/>
        </w:rPr>
        <w:t>, así como las personas servidoras públicas de las dependencias o unidades administrativas y de los organismos públicos descentralizados, que en términos de las disposiciones legales y reglamentarias aplicables tengan atribuciones de esa naturaleza.</w:t>
      </w:r>
    </w:p>
    <w:p w14:paraId="614A336E" w14:textId="77777777" w:rsidR="00626C57" w:rsidRPr="004F1889" w:rsidRDefault="00626C57">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614A336F" w14:textId="77777777" w:rsidR="00626C57" w:rsidRPr="004F1889" w:rsidRDefault="00626C57">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614A3370"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De los preceptos transcritos se arriba a la conclusión que el crédito fiscal es un concepto jurídico y financiero que se refiere a una deuda a favor del Estado o de una entidad pública quienes tienen el carácter de autoridades fiscales, derivado de obligaciones tributarias; en otras palabras, es el derecho que tiene en el caso concreto el gobierno municipal para exigir el pago de una cantidad determinada por parte de un contribuyente o responsable obligado, el cual puede surgir por el incumplimiento de obligaciones fiscales, como el pago de impuestos, contribuciones, multas, recargos o aprovechamientos.</w:t>
      </w:r>
    </w:p>
    <w:p w14:paraId="614A3371"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Acotado lo anterior, para el caso de incumplimiento es que surge lo requerido por el hoy </w:t>
      </w:r>
      <w:r w:rsidRPr="004F1889">
        <w:rPr>
          <w:rFonts w:ascii="Palatino Linotype" w:eastAsia="Palatino Linotype" w:hAnsi="Palatino Linotype" w:cs="Palatino Linotype"/>
          <w:b/>
        </w:rPr>
        <w:t>RECURRENTE,</w:t>
      </w:r>
      <w:r w:rsidRPr="004F1889">
        <w:rPr>
          <w:rFonts w:ascii="Palatino Linotype" w:eastAsia="Palatino Linotype" w:hAnsi="Palatino Linotype" w:cs="Palatino Linotype"/>
        </w:rPr>
        <w:t xml:space="preserve"> hecho que se encuentra contemplado en el Artículo 20 Bis, del citado Código, a saber:</w:t>
      </w:r>
    </w:p>
    <w:p w14:paraId="614A3372" w14:textId="77777777" w:rsidR="00626C57" w:rsidRPr="004F1889" w:rsidRDefault="0077452A">
      <w:pPr>
        <w:pBdr>
          <w:top w:val="nil"/>
          <w:left w:val="nil"/>
          <w:bottom w:val="nil"/>
          <w:right w:val="nil"/>
          <w:between w:val="nil"/>
        </w:pBdr>
        <w:shd w:val="clear" w:color="auto" w:fill="FFFFFF"/>
        <w:spacing w:line="360" w:lineRule="auto"/>
        <w:ind w:left="284" w:right="-145" w:firstLine="141"/>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b/>
          <w:i/>
          <w:color w:val="000000"/>
          <w:sz w:val="22"/>
          <w:szCs w:val="22"/>
        </w:rPr>
        <w:t xml:space="preserve">Artículo 20 Bis.- </w:t>
      </w:r>
      <w:r w:rsidRPr="004F1889">
        <w:rPr>
          <w:rFonts w:ascii="Palatino Linotype" w:eastAsia="Palatino Linotype" w:hAnsi="Palatino Linotype" w:cs="Palatino Linotype"/>
          <w:i/>
          <w:color w:val="000000"/>
          <w:sz w:val="22"/>
          <w:szCs w:val="22"/>
        </w:rPr>
        <w:t xml:space="preserve">Cuando los contribuyentes obligados a realizar el pago de contribuciones y/o a presentar declaraciones, avisos y demás documentos, </w:t>
      </w:r>
      <w:r w:rsidRPr="004F1889">
        <w:rPr>
          <w:rFonts w:ascii="Palatino Linotype" w:eastAsia="Palatino Linotype" w:hAnsi="Palatino Linotype" w:cs="Palatino Linotype"/>
          <w:b/>
          <w:i/>
          <w:color w:val="000000"/>
          <w:sz w:val="22"/>
          <w:szCs w:val="22"/>
        </w:rPr>
        <w:t xml:space="preserve">no lo hagan dentro de los plazos señalados </w:t>
      </w:r>
      <w:r w:rsidRPr="004F1889">
        <w:rPr>
          <w:rFonts w:ascii="Palatino Linotype" w:eastAsia="Palatino Linotype" w:hAnsi="Palatino Linotype" w:cs="Palatino Linotype"/>
          <w:b/>
          <w:i/>
          <w:color w:val="000000"/>
          <w:sz w:val="22"/>
          <w:szCs w:val="22"/>
        </w:rPr>
        <w:lastRenderedPageBreak/>
        <w:t>en este Código, las autoridades fiscales exigirán por escrito su presentación ante las oficinas recaudadoras</w:t>
      </w:r>
      <w:r w:rsidRPr="004F1889">
        <w:rPr>
          <w:rFonts w:ascii="Palatino Linotype" w:eastAsia="Palatino Linotype" w:hAnsi="Palatino Linotype" w:cs="Palatino Linotype"/>
          <w:i/>
          <w:color w:val="000000"/>
          <w:sz w:val="22"/>
          <w:szCs w:val="22"/>
        </w:rPr>
        <w:t>, procediendo conforme a lo siguiente:</w:t>
      </w:r>
    </w:p>
    <w:p w14:paraId="614A3373" w14:textId="77777777" w:rsidR="00626C57" w:rsidRPr="004F1889" w:rsidRDefault="00626C57">
      <w:pPr>
        <w:pBdr>
          <w:top w:val="nil"/>
          <w:left w:val="nil"/>
          <w:bottom w:val="nil"/>
          <w:right w:val="nil"/>
          <w:between w:val="nil"/>
        </w:pBdr>
        <w:shd w:val="clear" w:color="auto" w:fill="FFFFFF"/>
        <w:spacing w:line="360" w:lineRule="auto"/>
        <w:ind w:left="284" w:right="-145" w:firstLine="141"/>
        <w:jc w:val="both"/>
        <w:rPr>
          <w:rFonts w:ascii="Palatino Linotype" w:eastAsia="Palatino Linotype" w:hAnsi="Palatino Linotype" w:cs="Palatino Linotype"/>
          <w:b/>
          <w:i/>
          <w:color w:val="000000"/>
          <w:sz w:val="22"/>
          <w:szCs w:val="22"/>
        </w:rPr>
      </w:pPr>
    </w:p>
    <w:p w14:paraId="614A3374" w14:textId="77777777" w:rsidR="00626C57" w:rsidRPr="004F1889" w:rsidRDefault="0077452A">
      <w:pPr>
        <w:pBdr>
          <w:top w:val="nil"/>
          <w:left w:val="nil"/>
          <w:bottom w:val="nil"/>
          <w:right w:val="nil"/>
          <w:between w:val="nil"/>
        </w:pBdr>
        <w:shd w:val="clear" w:color="auto" w:fill="FFFFFF"/>
        <w:spacing w:line="360" w:lineRule="auto"/>
        <w:ind w:left="284" w:right="-145" w:firstLine="141"/>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b/>
          <w:i/>
          <w:color w:val="000000"/>
          <w:sz w:val="22"/>
          <w:szCs w:val="22"/>
        </w:rPr>
        <w:t xml:space="preserve">I. </w:t>
      </w:r>
      <w:r w:rsidRPr="004F1889">
        <w:rPr>
          <w:rFonts w:ascii="Palatino Linotype" w:eastAsia="Palatino Linotype" w:hAnsi="Palatino Linotype" w:cs="Palatino Linotype"/>
          <w:b/>
          <w:i/>
          <w:color w:val="000000"/>
          <w:sz w:val="22"/>
          <w:szCs w:val="22"/>
        </w:rPr>
        <w:tab/>
        <w:t>Requerir hasta en dos ocasiones la presentación del documento con el que acredite el cumplimiento de sus obligaciones fiscales</w:t>
      </w:r>
      <w:r w:rsidRPr="004F1889">
        <w:rPr>
          <w:rFonts w:ascii="Palatino Linotype" w:eastAsia="Palatino Linotype" w:hAnsi="Palatino Linotype" w:cs="Palatino Linotype"/>
          <w:i/>
          <w:color w:val="000000"/>
          <w:sz w:val="22"/>
          <w:szCs w:val="22"/>
        </w:rPr>
        <w:t xml:space="preserve">, otorgando al contribuyente un plazo de quince días para el cumplimiento de cada requerimiento. En caso de no atenderse cualquiera de los requerimientos, </w:t>
      </w:r>
      <w:r w:rsidRPr="004F1889">
        <w:rPr>
          <w:rFonts w:ascii="Palatino Linotype" w:eastAsia="Palatino Linotype" w:hAnsi="Palatino Linotype" w:cs="Palatino Linotype"/>
          <w:b/>
          <w:i/>
          <w:color w:val="000000"/>
          <w:sz w:val="22"/>
          <w:szCs w:val="22"/>
        </w:rPr>
        <w:t xml:space="preserve">surtirán efectos </w:t>
      </w:r>
      <w:r w:rsidRPr="004F1889">
        <w:rPr>
          <w:rFonts w:ascii="Palatino Linotype" w:eastAsia="Palatino Linotype" w:hAnsi="Palatino Linotype" w:cs="Palatino Linotype"/>
          <w:i/>
          <w:color w:val="000000"/>
          <w:sz w:val="22"/>
          <w:szCs w:val="22"/>
        </w:rPr>
        <w:t>las multas correspondientes que en cada uno se refieran, teniéndose, en estos supuestos, por notificadas e impuestas en la fecha en que venza el plazo de quince días a que refiere este párrafo; correspondiendo una multa por cada obligación requerida. La autoridad, después del primer requerimiento, podrá aplicar lo dispuesto en la siguiente fracción.</w:t>
      </w:r>
    </w:p>
    <w:p w14:paraId="614A3375" w14:textId="77777777" w:rsidR="00626C57" w:rsidRPr="004F1889" w:rsidRDefault="00626C57">
      <w:pPr>
        <w:pBdr>
          <w:top w:val="nil"/>
          <w:left w:val="nil"/>
          <w:bottom w:val="nil"/>
          <w:right w:val="nil"/>
          <w:between w:val="nil"/>
        </w:pBdr>
        <w:shd w:val="clear" w:color="auto" w:fill="FFFFFF"/>
        <w:spacing w:line="360" w:lineRule="auto"/>
        <w:ind w:left="284" w:right="-145" w:firstLine="141"/>
        <w:jc w:val="both"/>
        <w:rPr>
          <w:rFonts w:ascii="Palatino Linotype" w:eastAsia="Palatino Linotype" w:hAnsi="Palatino Linotype" w:cs="Palatino Linotype"/>
          <w:i/>
          <w:color w:val="000000"/>
          <w:sz w:val="22"/>
          <w:szCs w:val="22"/>
        </w:rPr>
      </w:pPr>
    </w:p>
    <w:p w14:paraId="614A3376" w14:textId="77777777" w:rsidR="00626C57" w:rsidRPr="004F1889" w:rsidRDefault="0077452A">
      <w:pPr>
        <w:pBdr>
          <w:top w:val="nil"/>
          <w:left w:val="nil"/>
          <w:bottom w:val="nil"/>
          <w:right w:val="nil"/>
          <w:between w:val="nil"/>
        </w:pBdr>
        <w:shd w:val="clear" w:color="auto" w:fill="FFFFFF"/>
        <w:spacing w:line="360" w:lineRule="auto"/>
        <w:ind w:left="284"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i/>
          <w:color w:val="000000"/>
          <w:sz w:val="22"/>
          <w:szCs w:val="22"/>
        </w:rPr>
        <w:t>Lo establecido en el párrafo anterior, no será aplicable tratándose del aviso de dictaminación de contribuciones o dictámenes correspondientes a que se encuentran obligados.</w:t>
      </w:r>
    </w:p>
    <w:p w14:paraId="614A3377" w14:textId="77777777" w:rsidR="00626C57" w:rsidRPr="004F1889" w:rsidRDefault="00626C57">
      <w:pPr>
        <w:pBdr>
          <w:top w:val="nil"/>
          <w:left w:val="nil"/>
          <w:bottom w:val="nil"/>
          <w:right w:val="nil"/>
          <w:between w:val="nil"/>
        </w:pBdr>
        <w:shd w:val="clear" w:color="auto" w:fill="FFFFFF"/>
        <w:spacing w:line="360" w:lineRule="auto"/>
        <w:ind w:left="284" w:right="-145" w:firstLine="141"/>
        <w:jc w:val="both"/>
        <w:rPr>
          <w:rFonts w:ascii="Palatino Linotype" w:eastAsia="Palatino Linotype" w:hAnsi="Palatino Linotype" w:cs="Palatino Linotype"/>
          <w:i/>
          <w:color w:val="000000"/>
          <w:sz w:val="22"/>
          <w:szCs w:val="22"/>
        </w:rPr>
      </w:pPr>
    </w:p>
    <w:p w14:paraId="614A3378" w14:textId="77777777" w:rsidR="00626C57" w:rsidRPr="004F1889" w:rsidRDefault="0077452A">
      <w:pPr>
        <w:pBdr>
          <w:top w:val="nil"/>
          <w:left w:val="nil"/>
          <w:bottom w:val="nil"/>
          <w:right w:val="nil"/>
          <w:between w:val="nil"/>
        </w:pBdr>
        <w:shd w:val="clear" w:color="auto" w:fill="FFFFFF"/>
        <w:spacing w:line="360" w:lineRule="auto"/>
        <w:ind w:left="284"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i/>
          <w:color w:val="000000"/>
          <w:sz w:val="22"/>
          <w:szCs w:val="22"/>
        </w:rPr>
        <w:t>La autoridad fiscal que haya requerido podrá cancelar el o los requerimientos formulados al contribuyente, así como las multas correspondientes que en los mismos se refieran, siempre que se exhiba la declaración, aviso y demás documentos presuntamente omitidos, y que éstos se hayan presentado con anterioridad a la fecha de notificación del requerimiento.</w:t>
      </w:r>
    </w:p>
    <w:p w14:paraId="614A3379" w14:textId="77777777" w:rsidR="00626C57" w:rsidRPr="004F1889" w:rsidRDefault="00626C57">
      <w:pPr>
        <w:pBdr>
          <w:top w:val="nil"/>
          <w:left w:val="nil"/>
          <w:bottom w:val="nil"/>
          <w:right w:val="nil"/>
          <w:between w:val="nil"/>
        </w:pBdr>
        <w:shd w:val="clear" w:color="auto" w:fill="FFFFFF"/>
        <w:spacing w:line="360" w:lineRule="auto"/>
        <w:ind w:left="284" w:right="-145" w:firstLine="141"/>
        <w:jc w:val="both"/>
        <w:rPr>
          <w:rFonts w:ascii="Palatino Linotype" w:eastAsia="Palatino Linotype" w:hAnsi="Palatino Linotype" w:cs="Palatino Linotype"/>
          <w:i/>
          <w:color w:val="000000"/>
          <w:sz w:val="22"/>
          <w:szCs w:val="22"/>
        </w:rPr>
      </w:pPr>
    </w:p>
    <w:p w14:paraId="614A337A" w14:textId="77777777" w:rsidR="00626C57" w:rsidRPr="004F1889" w:rsidRDefault="0077452A">
      <w:pPr>
        <w:spacing w:line="360" w:lineRule="auto"/>
        <w:ind w:left="284" w:right="-145"/>
        <w:jc w:val="both"/>
        <w:rPr>
          <w:rFonts w:ascii="Palatino Linotype" w:eastAsia="Palatino Linotype" w:hAnsi="Palatino Linotype" w:cs="Palatino Linotype"/>
          <w:i/>
          <w:sz w:val="22"/>
          <w:szCs w:val="22"/>
        </w:rPr>
      </w:pPr>
      <w:r w:rsidRPr="004F1889">
        <w:rPr>
          <w:rFonts w:ascii="Palatino Linotype" w:eastAsia="Palatino Linotype" w:hAnsi="Palatino Linotype" w:cs="Palatino Linotype"/>
          <w:i/>
          <w:sz w:val="22"/>
          <w:szCs w:val="22"/>
        </w:rPr>
        <w:t>Si los documentos a que se refiere el párrafo anterior, se exhiben en el momento de la diligencia de notificación del requerimiento, el notificador levantará acta circunstanciada en la que precise los documentos exhibidos, los cuales podrán ser recabados a través de medios electrónicos y deberán agregarse al acta de referencia, para el seguimiento que corresponda por parte de la autoridad.</w:t>
      </w:r>
    </w:p>
    <w:p w14:paraId="614A337B" w14:textId="77777777" w:rsidR="00626C57" w:rsidRPr="004F1889" w:rsidRDefault="00626C57">
      <w:pPr>
        <w:spacing w:line="360" w:lineRule="auto"/>
        <w:ind w:left="284" w:right="-145" w:firstLine="141"/>
        <w:jc w:val="both"/>
        <w:rPr>
          <w:rFonts w:ascii="Palatino Linotype" w:eastAsia="Palatino Linotype" w:hAnsi="Palatino Linotype" w:cs="Palatino Linotype"/>
          <w:b/>
          <w:i/>
          <w:sz w:val="22"/>
          <w:szCs w:val="22"/>
        </w:rPr>
      </w:pPr>
    </w:p>
    <w:p w14:paraId="614A337C" w14:textId="77777777" w:rsidR="00626C57" w:rsidRPr="004F1889" w:rsidRDefault="0077452A">
      <w:pPr>
        <w:spacing w:line="360" w:lineRule="auto"/>
        <w:ind w:left="284" w:right="-145" w:firstLine="141"/>
        <w:jc w:val="both"/>
        <w:rPr>
          <w:rFonts w:ascii="Palatino Linotype" w:eastAsia="Palatino Linotype" w:hAnsi="Palatino Linotype" w:cs="Palatino Linotype"/>
          <w:i/>
          <w:sz w:val="22"/>
          <w:szCs w:val="22"/>
        </w:rPr>
      </w:pPr>
      <w:r w:rsidRPr="004F1889">
        <w:rPr>
          <w:rFonts w:ascii="Palatino Linotype" w:eastAsia="Palatino Linotype" w:hAnsi="Palatino Linotype" w:cs="Palatino Linotype"/>
          <w:b/>
          <w:i/>
          <w:sz w:val="22"/>
          <w:szCs w:val="22"/>
        </w:rPr>
        <w:t>II.</w:t>
      </w:r>
      <w:r w:rsidRPr="004F1889">
        <w:rPr>
          <w:rFonts w:ascii="Palatino Linotype" w:eastAsia="Palatino Linotype" w:hAnsi="Palatino Linotype" w:cs="Palatino Linotype"/>
          <w:b/>
          <w:i/>
          <w:sz w:val="22"/>
          <w:szCs w:val="22"/>
        </w:rPr>
        <w:tab/>
      </w:r>
      <w:r w:rsidRPr="004F1889">
        <w:rPr>
          <w:rFonts w:ascii="Palatino Linotype" w:eastAsia="Palatino Linotype" w:hAnsi="Palatino Linotype" w:cs="Palatino Linotype"/>
          <w:i/>
          <w:sz w:val="22"/>
          <w:szCs w:val="22"/>
        </w:rPr>
        <w:t xml:space="preserve">Tratándose de la omisión de pago o la presentación de una declaración periódica para el pago de contribuciones, una vez realizada la actuación prevista en la fracción anterior, </w:t>
      </w:r>
      <w:r w:rsidRPr="004F1889">
        <w:rPr>
          <w:rFonts w:ascii="Palatino Linotype" w:eastAsia="Palatino Linotype" w:hAnsi="Palatino Linotype" w:cs="Palatino Linotype"/>
          <w:b/>
          <w:i/>
          <w:sz w:val="22"/>
          <w:szCs w:val="22"/>
        </w:rPr>
        <w:t xml:space="preserve">podrán hacer </w:t>
      </w:r>
      <w:r w:rsidRPr="004F1889">
        <w:rPr>
          <w:rFonts w:ascii="Palatino Linotype" w:eastAsia="Palatino Linotype" w:hAnsi="Palatino Linotype" w:cs="Palatino Linotype"/>
          <w:b/>
          <w:i/>
          <w:sz w:val="22"/>
          <w:szCs w:val="22"/>
        </w:rPr>
        <w:lastRenderedPageBreak/>
        <w:t>efectiva al contribuyente que haya incurrido en la omisión, una cantidad igual al monto mayor que hubiera determinado a su cargo en cualquiera de los últimos seis pagos o declaraciones de la contribución de que se trate, a partir de la fecha en que la autoridad fiscal ejerza dicha facultad.</w:t>
      </w:r>
    </w:p>
    <w:p w14:paraId="614A337D" w14:textId="77777777" w:rsidR="00626C57" w:rsidRPr="004F1889" w:rsidRDefault="00626C57">
      <w:pPr>
        <w:spacing w:line="360" w:lineRule="auto"/>
        <w:ind w:left="284" w:right="-145" w:firstLine="141"/>
        <w:jc w:val="both"/>
        <w:rPr>
          <w:rFonts w:ascii="Palatino Linotype" w:eastAsia="Palatino Linotype" w:hAnsi="Palatino Linotype" w:cs="Palatino Linotype"/>
          <w:i/>
          <w:sz w:val="22"/>
          <w:szCs w:val="22"/>
        </w:rPr>
      </w:pPr>
    </w:p>
    <w:p w14:paraId="614A337E" w14:textId="77777777" w:rsidR="00626C57" w:rsidRPr="004F1889" w:rsidRDefault="0077452A">
      <w:pPr>
        <w:spacing w:line="360" w:lineRule="auto"/>
        <w:ind w:left="284" w:right="-145" w:firstLine="141"/>
        <w:jc w:val="both"/>
        <w:rPr>
          <w:rFonts w:ascii="Palatino Linotype" w:eastAsia="Palatino Linotype" w:hAnsi="Palatino Linotype" w:cs="Palatino Linotype"/>
          <w:i/>
          <w:sz w:val="22"/>
          <w:szCs w:val="22"/>
        </w:rPr>
      </w:pPr>
      <w:r w:rsidRPr="004F1889">
        <w:rPr>
          <w:rFonts w:ascii="Palatino Linotype" w:eastAsia="Palatino Linotype" w:hAnsi="Palatino Linotype" w:cs="Palatino Linotype"/>
          <w:i/>
          <w:sz w:val="22"/>
          <w:szCs w:val="22"/>
        </w:rPr>
        <w:t>En el caso de que la autoridad carezca de los elementos de información que le permitan aplicar lo establecido en esta fracción, lo hará del conocimiento de la autoridad fiscalizadora a efecto de que esta determine el importe de las contribuciones omitidas.</w:t>
      </w:r>
    </w:p>
    <w:p w14:paraId="614A337F" w14:textId="77777777" w:rsidR="00626C57" w:rsidRPr="004F1889" w:rsidRDefault="00626C57">
      <w:pPr>
        <w:spacing w:line="360" w:lineRule="auto"/>
        <w:ind w:left="284" w:right="-145" w:firstLine="141"/>
        <w:jc w:val="both"/>
        <w:rPr>
          <w:rFonts w:ascii="Palatino Linotype" w:eastAsia="Palatino Linotype" w:hAnsi="Palatino Linotype" w:cs="Palatino Linotype"/>
          <w:i/>
          <w:sz w:val="22"/>
          <w:szCs w:val="22"/>
        </w:rPr>
      </w:pPr>
    </w:p>
    <w:p w14:paraId="614A3380" w14:textId="77777777" w:rsidR="00626C57" w:rsidRPr="004F1889" w:rsidRDefault="0077452A">
      <w:pPr>
        <w:spacing w:line="360" w:lineRule="auto"/>
        <w:ind w:left="284" w:right="-145" w:firstLine="141"/>
        <w:jc w:val="both"/>
        <w:rPr>
          <w:rFonts w:ascii="Palatino Linotype" w:eastAsia="Palatino Linotype" w:hAnsi="Palatino Linotype" w:cs="Palatino Linotype"/>
          <w:b/>
          <w:i/>
          <w:sz w:val="22"/>
          <w:szCs w:val="22"/>
        </w:rPr>
      </w:pPr>
      <w:r w:rsidRPr="004F1889">
        <w:rPr>
          <w:rFonts w:ascii="Palatino Linotype" w:eastAsia="Palatino Linotype" w:hAnsi="Palatino Linotype" w:cs="Palatino Linotype"/>
          <w:i/>
          <w:sz w:val="22"/>
          <w:szCs w:val="22"/>
        </w:rPr>
        <w:t>Cuando la omisión sea de una declaración o pago de las que se conozca de manera fehaciente la cantidad a la que le es aplicable la tasa o cuota respectiva, la autoridad fiscal podrá hacer efectiva al contribuyente, una cantidad igual a la contribución que a éste corresponda determinar.</w:t>
      </w:r>
    </w:p>
    <w:p w14:paraId="614A3381" w14:textId="77777777" w:rsidR="00626C57" w:rsidRPr="004F1889" w:rsidRDefault="00626C57">
      <w:pPr>
        <w:spacing w:line="360" w:lineRule="auto"/>
        <w:ind w:left="284" w:right="-145" w:firstLine="141"/>
        <w:jc w:val="both"/>
        <w:rPr>
          <w:rFonts w:ascii="Palatino Linotype" w:eastAsia="Palatino Linotype" w:hAnsi="Palatino Linotype" w:cs="Palatino Linotype"/>
          <w:i/>
          <w:sz w:val="22"/>
          <w:szCs w:val="22"/>
        </w:rPr>
      </w:pPr>
    </w:p>
    <w:p w14:paraId="614A3382" w14:textId="77777777" w:rsidR="00626C57" w:rsidRPr="004F1889" w:rsidRDefault="0077452A">
      <w:pPr>
        <w:pBdr>
          <w:top w:val="nil"/>
          <w:left w:val="nil"/>
          <w:bottom w:val="nil"/>
          <w:right w:val="nil"/>
          <w:between w:val="nil"/>
        </w:pBdr>
        <w:shd w:val="clear" w:color="auto" w:fill="FFFFFF"/>
        <w:spacing w:line="360" w:lineRule="auto"/>
        <w:ind w:left="284" w:right="-145" w:firstLine="141"/>
        <w:jc w:val="both"/>
        <w:rPr>
          <w:rFonts w:ascii="Palatino Linotype" w:eastAsia="Palatino Linotype" w:hAnsi="Palatino Linotype" w:cs="Palatino Linotype"/>
          <w:b/>
          <w:i/>
          <w:color w:val="000000"/>
          <w:sz w:val="22"/>
          <w:szCs w:val="22"/>
        </w:rPr>
      </w:pPr>
      <w:r w:rsidRPr="004F1889">
        <w:rPr>
          <w:rFonts w:ascii="Palatino Linotype" w:eastAsia="Palatino Linotype" w:hAnsi="Palatino Linotype" w:cs="Palatino Linotype"/>
          <w:b/>
          <w:i/>
          <w:color w:val="000000"/>
          <w:sz w:val="22"/>
          <w:szCs w:val="22"/>
        </w:rPr>
        <w:t>Una vez que haya vencido el plazo para el cumplimiento del primer requerimiento, la autoridad fiscal, en un plazo no mayor a tres meses, notificará al contribuyente o responsable solidario omiso la resolución que, en los términos de la fracción II y segundo párrafo de este artículo, determine el crédito fiscal. En caso de que la autoridad opte por emitir un segundo requerimiento, los tres meses a que refiere el presente párrafo correrán a partir de que haya vencido el plazo para cumplir con el segundo requerimiento.</w:t>
      </w:r>
    </w:p>
    <w:p w14:paraId="614A3383" w14:textId="77777777" w:rsidR="00626C57" w:rsidRPr="004F1889" w:rsidRDefault="00626C57">
      <w:pPr>
        <w:pBdr>
          <w:top w:val="nil"/>
          <w:left w:val="nil"/>
          <w:bottom w:val="nil"/>
          <w:right w:val="nil"/>
          <w:between w:val="nil"/>
        </w:pBdr>
        <w:shd w:val="clear" w:color="auto" w:fill="FFFFFF"/>
        <w:spacing w:line="360" w:lineRule="auto"/>
        <w:ind w:left="284" w:right="-145" w:firstLine="141"/>
        <w:jc w:val="both"/>
        <w:rPr>
          <w:rFonts w:ascii="Palatino Linotype" w:eastAsia="Palatino Linotype" w:hAnsi="Palatino Linotype" w:cs="Palatino Linotype"/>
          <w:i/>
          <w:color w:val="000000"/>
          <w:sz w:val="22"/>
          <w:szCs w:val="22"/>
        </w:rPr>
      </w:pPr>
    </w:p>
    <w:p w14:paraId="614A3384" w14:textId="77777777" w:rsidR="00626C57" w:rsidRPr="004F1889" w:rsidRDefault="0077452A">
      <w:pPr>
        <w:pBdr>
          <w:top w:val="nil"/>
          <w:left w:val="nil"/>
          <w:bottom w:val="nil"/>
          <w:right w:val="nil"/>
          <w:between w:val="nil"/>
        </w:pBdr>
        <w:shd w:val="clear" w:color="auto" w:fill="FFFFFF"/>
        <w:spacing w:line="360" w:lineRule="auto"/>
        <w:ind w:left="284" w:right="-145" w:firstLine="141"/>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i/>
          <w:color w:val="000000"/>
          <w:sz w:val="22"/>
          <w:szCs w:val="22"/>
        </w:rPr>
        <w:t xml:space="preserve">La autoridad, dentro de la substanciación del procedimiento de determinación del crédito, </w:t>
      </w:r>
      <w:r w:rsidRPr="004F1889">
        <w:rPr>
          <w:rFonts w:ascii="Palatino Linotype" w:eastAsia="Palatino Linotype" w:hAnsi="Palatino Linotype" w:cs="Palatino Linotype"/>
          <w:b/>
          <w:i/>
          <w:color w:val="000000"/>
          <w:sz w:val="22"/>
          <w:szCs w:val="22"/>
        </w:rPr>
        <w:t>podrá ordenar el embargo precautorio, sólo en los casos en que el contribuyente no haya atendido los dos requerimientos, que en su caso se hayan emitido. El importe por el cual se ordenará el embargo precautorio, será por un monto igual al que corresponda determinar conforme a este artículo.</w:t>
      </w:r>
    </w:p>
    <w:p w14:paraId="614A3385" w14:textId="77777777" w:rsidR="00626C57" w:rsidRPr="004F1889" w:rsidRDefault="00626C57">
      <w:pPr>
        <w:spacing w:line="360" w:lineRule="auto"/>
        <w:ind w:left="284" w:right="-145" w:firstLine="141"/>
        <w:jc w:val="both"/>
        <w:rPr>
          <w:rFonts w:ascii="Palatino Linotype" w:eastAsia="Palatino Linotype" w:hAnsi="Palatino Linotype" w:cs="Palatino Linotype"/>
          <w:i/>
          <w:sz w:val="22"/>
          <w:szCs w:val="22"/>
        </w:rPr>
      </w:pPr>
    </w:p>
    <w:p w14:paraId="614A3386" w14:textId="77777777" w:rsidR="00626C57" w:rsidRPr="004F1889" w:rsidRDefault="0077452A">
      <w:pPr>
        <w:spacing w:line="360" w:lineRule="auto"/>
        <w:ind w:left="284" w:right="-145" w:firstLine="141"/>
        <w:jc w:val="both"/>
        <w:rPr>
          <w:rFonts w:ascii="Palatino Linotype" w:eastAsia="Palatino Linotype" w:hAnsi="Palatino Linotype" w:cs="Palatino Linotype"/>
          <w:i/>
          <w:sz w:val="22"/>
          <w:szCs w:val="22"/>
        </w:rPr>
      </w:pPr>
      <w:r w:rsidRPr="004F1889">
        <w:rPr>
          <w:rFonts w:ascii="Palatino Linotype" w:eastAsia="Palatino Linotype" w:hAnsi="Palatino Linotype" w:cs="Palatino Linotype"/>
          <w:i/>
          <w:sz w:val="22"/>
          <w:szCs w:val="22"/>
        </w:rPr>
        <w:lastRenderedPageBreak/>
        <w:t>Esta determinación podrá ser impugnable hasta el momento en el que se ejecute el procedimiento administrativo de ejecución, en el mismo podrán hacerse valer agravios contra la resolución determinante del crédito fiscal.</w:t>
      </w:r>
    </w:p>
    <w:p w14:paraId="614A3387" w14:textId="77777777" w:rsidR="00626C57" w:rsidRPr="004F1889" w:rsidRDefault="00626C57">
      <w:pPr>
        <w:spacing w:line="360" w:lineRule="auto"/>
        <w:ind w:left="284" w:right="-145" w:firstLine="141"/>
        <w:jc w:val="both"/>
        <w:rPr>
          <w:rFonts w:ascii="Palatino Linotype" w:eastAsia="Palatino Linotype" w:hAnsi="Palatino Linotype" w:cs="Palatino Linotype"/>
          <w:i/>
          <w:sz w:val="22"/>
          <w:szCs w:val="22"/>
        </w:rPr>
      </w:pPr>
    </w:p>
    <w:p w14:paraId="614A3388" w14:textId="77777777" w:rsidR="00626C57" w:rsidRPr="004F1889" w:rsidRDefault="0077452A">
      <w:pPr>
        <w:spacing w:line="360" w:lineRule="auto"/>
        <w:ind w:left="284" w:right="-145" w:firstLine="141"/>
        <w:jc w:val="both"/>
        <w:rPr>
          <w:rFonts w:ascii="Palatino Linotype" w:eastAsia="Palatino Linotype" w:hAnsi="Palatino Linotype" w:cs="Palatino Linotype"/>
          <w:i/>
          <w:sz w:val="22"/>
          <w:szCs w:val="22"/>
        </w:rPr>
      </w:pPr>
      <w:r w:rsidRPr="004F1889">
        <w:rPr>
          <w:rFonts w:ascii="Palatino Linotype" w:eastAsia="Palatino Linotype" w:hAnsi="Palatino Linotype" w:cs="Palatino Linotype"/>
          <w:i/>
          <w:sz w:val="22"/>
          <w:szCs w:val="22"/>
        </w:rPr>
        <w:t>El pago de los créditos fiscales determinados conforme al presente artículo, no libera a los obligados a presentar la declaración o declaraciones omitidas y/o pagos correspondientes, ni limita las facultades de comprobación de las autoridades fiscales.</w:t>
      </w:r>
    </w:p>
    <w:p w14:paraId="614A3389" w14:textId="77777777" w:rsidR="00626C57" w:rsidRPr="004F1889" w:rsidRDefault="00626C57">
      <w:pPr>
        <w:spacing w:line="360" w:lineRule="auto"/>
        <w:ind w:left="284" w:right="-145" w:firstLine="141"/>
        <w:jc w:val="both"/>
        <w:rPr>
          <w:rFonts w:ascii="Palatino Linotype" w:eastAsia="Palatino Linotype" w:hAnsi="Palatino Linotype" w:cs="Palatino Linotype"/>
          <w:i/>
          <w:sz w:val="22"/>
          <w:szCs w:val="22"/>
        </w:rPr>
      </w:pPr>
    </w:p>
    <w:p w14:paraId="614A338A" w14:textId="77777777" w:rsidR="00626C57" w:rsidRPr="004F1889" w:rsidRDefault="0077452A">
      <w:pPr>
        <w:spacing w:line="360" w:lineRule="auto"/>
        <w:ind w:left="284" w:right="-145" w:firstLine="141"/>
        <w:jc w:val="both"/>
        <w:rPr>
          <w:rFonts w:ascii="Palatino Linotype" w:eastAsia="Palatino Linotype" w:hAnsi="Palatino Linotype" w:cs="Palatino Linotype"/>
          <w:i/>
          <w:sz w:val="22"/>
          <w:szCs w:val="22"/>
        </w:rPr>
      </w:pPr>
      <w:r w:rsidRPr="004F1889">
        <w:rPr>
          <w:rFonts w:ascii="Palatino Linotype" w:eastAsia="Palatino Linotype" w:hAnsi="Palatino Linotype" w:cs="Palatino Linotype"/>
          <w:i/>
          <w:sz w:val="22"/>
          <w:szCs w:val="22"/>
        </w:rPr>
        <w:t>Cuando la declaración y/o pago referido en el párrafo anterior se realice con posterioridad al pago que haya efectuado del crédito fiscal determinado por la autoridad conforme a este artículo, este último pago se disminuirá del importe que tenga que pagar por la contribución a su cargo. En caso de que en la declaración y/o pago resultare una cantidad menor a la determinada por la autoridad fiscal, la diferencia únicamente podrá ser compensada en las declaraciones y/o pagos subsecuentes.</w:t>
      </w:r>
    </w:p>
    <w:p w14:paraId="614A338B" w14:textId="77777777" w:rsidR="00626C57" w:rsidRPr="004F1889" w:rsidRDefault="00626C57">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614A338C"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Como se observa del precepto transcrito cuando los contribuyentes están obligados a realizar el pago de contribuciones, presentar declaraciones, avisos u otros documentos fiscales y no lo hacen, las autoridades fiscales tienen la facultad de exigir el cumplimiento de estas obligaciones de manera formal y por escrito. Posteriormente al agotarse el plazo para regularizar la deuda puede iniciar la ejecución del crédito, que tiene como objetivo garantizar que el Ayuntamiento en su calidad de autoridad fiscal cobrará coactivamente (de manera forzosa) los créditos fiscales.</w:t>
      </w:r>
    </w:p>
    <w:p w14:paraId="614A338D" w14:textId="77777777" w:rsidR="00626C57" w:rsidRPr="004F1889" w:rsidRDefault="00626C57">
      <w:pPr>
        <w:spacing w:line="360" w:lineRule="auto"/>
        <w:ind w:left="502" w:right="-787"/>
        <w:jc w:val="both"/>
        <w:rPr>
          <w:rFonts w:ascii="Palatino Linotype" w:eastAsia="Palatino Linotype" w:hAnsi="Palatino Linotype" w:cs="Palatino Linotype"/>
        </w:rPr>
      </w:pPr>
    </w:p>
    <w:p w14:paraId="614A338E"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Dicho lo anterior, no se advierte que entonces lo solicitado actualice una causal de reserva de la información, la cual de acuerdo a lo manifestado por el </w:t>
      </w:r>
      <w:r w:rsidRPr="004F1889">
        <w:rPr>
          <w:rFonts w:ascii="Palatino Linotype" w:eastAsia="Palatino Linotype" w:hAnsi="Palatino Linotype" w:cs="Palatino Linotype"/>
          <w:b/>
        </w:rPr>
        <w:t>SUJETO OBLIGADO</w:t>
      </w:r>
      <w:r w:rsidRPr="004F1889">
        <w:rPr>
          <w:rFonts w:ascii="Palatino Linotype" w:eastAsia="Palatino Linotype" w:hAnsi="Palatino Linotype" w:cs="Palatino Linotype"/>
        </w:rPr>
        <w:t xml:space="preserve">, obedece a que forma parte de los Informes Trimestrales de las Entidades Fiscalizables del </w:t>
      </w:r>
      <w:r w:rsidRPr="004F1889">
        <w:rPr>
          <w:rFonts w:ascii="Palatino Linotype" w:eastAsia="Palatino Linotype" w:hAnsi="Palatino Linotype" w:cs="Palatino Linotype"/>
        </w:rPr>
        <w:lastRenderedPageBreak/>
        <w:t>Estado de México del Ejercicio Fiscal 2023, entregados al Órgano Superior de Fiscalización (OSFEM) para su revisión y fiscalización por lo que se debe guardar sigilo como se observa:</w:t>
      </w:r>
    </w:p>
    <w:p w14:paraId="614A338F" w14:textId="77777777" w:rsidR="00626C57" w:rsidRPr="004F1889" w:rsidRDefault="00626C57">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614A3390" w14:textId="77777777" w:rsidR="00626C57" w:rsidRPr="004F1889" w:rsidRDefault="0077452A">
      <w:pPr>
        <w:spacing w:line="360" w:lineRule="auto"/>
        <w:ind w:right="-787"/>
        <w:jc w:val="center"/>
        <w:rPr>
          <w:rFonts w:ascii="Palatino Linotype" w:eastAsia="Palatino Linotype" w:hAnsi="Palatino Linotype" w:cs="Palatino Linotype"/>
        </w:rPr>
      </w:pPr>
      <w:r w:rsidRPr="004F1889">
        <w:rPr>
          <w:rFonts w:ascii="Palatino Linotype" w:eastAsia="Palatino Linotype" w:hAnsi="Palatino Linotype" w:cs="Palatino Linotype"/>
          <w:noProof/>
          <w:lang w:val="es-MX" w:eastAsia="es-MX"/>
        </w:rPr>
        <w:drawing>
          <wp:inline distT="0" distB="0" distL="0" distR="0" wp14:anchorId="614A3453" wp14:editId="614A3454">
            <wp:extent cx="5384005" cy="320372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384005" cy="3203720"/>
                    </a:xfrm>
                    <a:prstGeom prst="rect">
                      <a:avLst/>
                    </a:prstGeom>
                    <a:ln/>
                  </pic:spPr>
                </pic:pic>
              </a:graphicData>
            </a:graphic>
          </wp:inline>
        </w:drawing>
      </w:r>
    </w:p>
    <w:p w14:paraId="614A3391" w14:textId="77777777" w:rsidR="00626C57" w:rsidRPr="004F1889" w:rsidRDefault="00626C57">
      <w:pPr>
        <w:spacing w:line="360" w:lineRule="auto"/>
        <w:ind w:right="-787"/>
        <w:jc w:val="center"/>
        <w:rPr>
          <w:rFonts w:ascii="Palatino Linotype" w:eastAsia="Palatino Linotype" w:hAnsi="Palatino Linotype" w:cs="Palatino Linotype"/>
        </w:rPr>
      </w:pPr>
    </w:p>
    <w:p w14:paraId="614A3392" w14:textId="77777777" w:rsidR="00626C57" w:rsidRPr="004F1889" w:rsidRDefault="00626C57">
      <w:pPr>
        <w:spacing w:line="360" w:lineRule="auto"/>
        <w:ind w:right="-787"/>
        <w:jc w:val="center"/>
        <w:rPr>
          <w:rFonts w:ascii="Palatino Linotype" w:eastAsia="Palatino Linotype" w:hAnsi="Palatino Linotype" w:cs="Palatino Linotype"/>
        </w:rPr>
      </w:pPr>
    </w:p>
    <w:p w14:paraId="614A3393"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Lo anterior sin que para tal efecto se haya desarrollado una prueba de daño, que corresponde al mecanismo utilizado para justificar la restricción o clasificación de cierta información como reservada, con el objetivo de demostrar que la divulgación de dicha información causaría un daño real, probable e identificable a un interés protegido por la ley. Por otro lado, de la segunda acta remitida, de igual manera se desestima; toda vez que en la misma se pretende clasificar información relacionada a solicitudes de información diversas de la de mérito, como se observa:</w:t>
      </w:r>
    </w:p>
    <w:p w14:paraId="614A3394" w14:textId="77777777" w:rsidR="00626C57" w:rsidRPr="004F1889" w:rsidRDefault="00626C57">
      <w:pPr>
        <w:spacing w:line="360" w:lineRule="auto"/>
        <w:ind w:left="502" w:right="-787"/>
        <w:jc w:val="both"/>
        <w:rPr>
          <w:rFonts w:ascii="Palatino Linotype" w:eastAsia="Palatino Linotype" w:hAnsi="Palatino Linotype" w:cs="Palatino Linotype"/>
        </w:rPr>
      </w:pPr>
    </w:p>
    <w:p w14:paraId="614A3395" w14:textId="77777777" w:rsidR="00626C57" w:rsidRPr="004F1889" w:rsidRDefault="0077452A">
      <w:pPr>
        <w:spacing w:line="360" w:lineRule="auto"/>
        <w:ind w:right="-787"/>
        <w:jc w:val="center"/>
        <w:rPr>
          <w:rFonts w:ascii="Palatino Linotype" w:eastAsia="Palatino Linotype" w:hAnsi="Palatino Linotype" w:cs="Palatino Linotype"/>
        </w:rPr>
      </w:pPr>
      <w:r w:rsidRPr="004F1889">
        <w:rPr>
          <w:rFonts w:ascii="Palatino Linotype" w:eastAsia="Palatino Linotype" w:hAnsi="Palatino Linotype" w:cs="Palatino Linotype"/>
          <w:noProof/>
          <w:lang w:val="es-MX" w:eastAsia="es-MX"/>
        </w:rPr>
        <w:lastRenderedPageBreak/>
        <w:drawing>
          <wp:inline distT="0" distB="0" distL="0" distR="0" wp14:anchorId="614A3455" wp14:editId="614A3456">
            <wp:extent cx="4768021" cy="3051361"/>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68021" cy="3051361"/>
                    </a:xfrm>
                    <a:prstGeom prst="rect">
                      <a:avLst/>
                    </a:prstGeom>
                    <a:ln/>
                  </pic:spPr>
                </pic:pic>
              </a:graphicData>
            </a:graphic>
          </wp:inline>
        </w:drawing>
      </w:r>
    </w:p>
    <w:p w14:paraId="614A3396" w14:textId="77777777" w:rsidR="00626C57" w:rsidRPr="004F1889" w:rsidRDefault="00626C57">
      <w:pPr>
        <w:spacing w:line="360" w:lineRule="auto"/>
        <w:ind w:right="-787"/>
        <w:jc w:val="center"/>
        <w:rPr>
          <w:rFonts w:ascii="Palatino Linotype" w:eastAsia="Palatino Linotype" w:hAnsi="Palatino Linotype" w:cs="Palatino Linotype"/>
        </w:rPr>
      </w:pPr>
    </w:p>
    <w:p w14:paraId="614A3397"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Luego entonces al no guardar relación con la solicitud de información que ocupa el presente proveído, no es susceptible de ser considerada en consideración. Ahora bien, no pasa desapercibido que suponiendo sin conceder se hubiera desarrollado una pretendida prueba de daño; también lo es que el soporte documental requerido no actualiza una causal de reserva; toda vez como el propio </w:t>
      </w:r>
      <w:r w:rsidRPr="004F1889">
        <w:rPr>
          <w:rFonts w:ascii="Palatino Linotype" w:eastAsia="Palatino Linotype" w:hAnsi="Palatino Linotype" w:cs="Palatino Linotype"/>
          <w:b/>
        </w:rPr>
        <w:t>SUJETO OBLIGADO</w:t>
      </w:r>
      <w:r w:rsidRPr="004F1889">
        <w:rPr>
          <w:rFonts w:ascii="Palatino Linotype" w:eastAsia="Palatino Linotype" w:hAnsi="Palatino Linotype" w:cs="Palatino Linotype"/>
        </w:rPr>
        <w:t xml:space="preserve"> señala ya fueron remitidos para su fiscalización al OSFEM, por tanto ya detentan el carácter de definitivos.</w:t>
      </w:r>
    </w:p>
    <w:p w14:paraId="614A3398" w14:textId="77777777" w:rsidR="00626C57" w:rsidRPr="004F1889" w:rsidRDefault="00626C57">
      <w:pPr>
        <w:spacing w:line="360" w:lineRule="auto"/>
        <w:ind w:right="-787"/>
        <w:jc w:val="both"/>
        <w:rPr>
          <w:rFonts w:ascii="Palatino Linotype" w:eastAsia="Palatino Linotype" w:hAnsi="Palatino Linotype" w:cs="Palatino Linotype"/>
        </w:rPr>
      </w:pPr>
    </w:p>
    <w:p w14:paraId="614A3399"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Al respecto, resulta necesario enfatizar que si bien los ordenamientos normativos en materia de transparencia, consagra que el derecho de acceso a la información no es absoluto, estableciendo hipótesis que permiten la delimitación de la publicidad de la información, a través de la clasificación de la información; también lo es que la naturaleza de la información solicitada, son documentales que ya fueron elaboradas en su temporalidad específica, considerándolos como </w:t>
      </w:r>
      <w:r w:rsidRPr="004F1889">
        <w:rPr>
          <w:rFonts w:ascii="Palatino Linotype" w:eastAsia="Palatino Linotype" w:hAnsi="Palatino Linotype" w:cs="Palatino Linotype"/>
          <w:b/>
        </w:rPr>
        <w:t>documentos definitivos</w:t>
      </w:r>
      <w:r w:rsidRPr="004F1889">
        <w:rPr>
          <w:rFonts w:ascii="Palatino Linotype" w:eastAsia="Palatino Linotype" w:hAnsi="Palatino Linotype" w:cs="Palatino Linotype"/>
        </w:rPr>
        <w:t xml:space="preserve"> que no habrán de sufrir modificación </w:t>
      </w:r>
      <w:r w:rsidRPr="004F1889">
        <w:rPr>
          <w:rFonts w:ascii="Palatino Linotype" w:eastAsia="Palatino Linotype" w:hAnsi="Palatino Linotype" w:cs="Palatino Linotype"/>
        </w:rPr>
        <w:lastRenderedPageBreak/>
        <w:t>alguna, derivada de la auditoría, fiscalización o revisión por parte del Órgano Superior de Fiscalización del Estado de México; por el contrario, servirán de base para la debida rendición de cuentas en la fiscalización.</w:t>
      </w:r>
    </w:p>
    <w:p w14:paraId="614A339A" w14:textId="77777777" w:rsidR="00626C57" w:rsidRPr="004F1889" w:rsidRDefault="00626C57">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614A339B"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En esa virtud, por lo que concluye que es procedente proporcionar la información de los documentos que no sufran modificación, pues su entrega no modifica el resultado del informe final de las auditorías realizadas, argumentos reforzados con el Criterio 09/2004 emitido por la Suprema Corte de Justicia de la Nación el cual establece lo siguiente:</w:t>
      </w:r>
    </w:p>
    <w:p w14:paraId="614A339C" w14:textId="77777777" w:rsidR="00626C57" w:rsidRPr="004F1889" w:rsidRDefault="0077452A">
      <w:pPr>
        <w:pBdr>
          <w:top w:val="nil"/>
          <w:left w:val="nil"/>
          <w:bottom w:val="nil"/>
          <w:right w:val="nil"/>
          <w:between w:val="nil"/>
        </w:pBdr>
        <w:spacing w:line="360" w:lineRule="auto"/>
        <w:ind w:left="644"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b/>
          <w:i/>
          <w:color w:val="000000"/>
          <w:sz w:val="22"/>
          <w:szCs w:val="22"/>
        </w:rPr>
        <w:t>INFORMACIÓN SUJETA A REVISIÓN. SI YA CONSTA EN UN DOCUMENTO DEFINITIVO, DEBE PERMITIRSE EL ACCESO A ÉSTE</w:t>
      </w:r>
      <w:r w:rsidRPr="004F1889">
        <w:rPr>
          <w:rFonts w:ascii="Palatino Linotype" w:eastAsia="Palatino Linotype" w:hAnsi="Palatino Linotype" w:cs="Palatino Linotype"/>
          <w:i/>
          <w:color w:val="000000"/>
          <w:sz w:val="22"/>
          <w:szCs w:val="22"/>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w:t>
      </w:r>
    </w:p>
    <w:p w14:paraId="614A339D" w14:textId="77777777" w:rsidR="00626C57" w:rsidRPr="004F1889" w:rsidRDefault="0077452A">
      <w:pPr>
        <w:pBdr>
          <w:top w:val="nil"/>
          <w:left w:val="nil"/>
          <w:bottom w:val="nil"/>
          <w:right w:val="nil"/>
          <w:between w:val="nil"/>
        </w:pBdr>
        <w:spacing w:line="360" w:lineRule="auto"/>
        <w:ind w:left="644"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i/>
          <w:color w:val="000000"/>
          <w:sz w:val="22"/>
          <w:szCs w:val="22"/>
        </w:rPr>
        <w:t>Clasificación de la información 10/2004-J, 19 de mayo de 2004.</w:t>
      </w:r>
    </w:p>
    <w:p w14:paraId="614A339E" w14:textId="77777777" w:rsidR="00626C57" w:rsidRPr="004F1889" w:rsidRDefault="0077452A">
      <w:pPr>
        <w:pBdr>
          <w:top w:val="nil"/>
          <w:left w:val="nil"/>
          <w:bottom w:val="nil"/>
          <w:right w:val="nil"/>
          <w:between w:val="nil"/>
        </w:pBdr>
        <w:spacing w:line="360" w:lineRule="auto"/>
        <w:ind w:left="644" w:right="-145"/>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i/>
          <w:color w:val="000000"/>
          <w:sz w:val="22"/>
          <w:szCs w:val="22"/>
        </w:rPr>
        <w:t>Unanimidad de votos</w:t>
      </w:r>
    </w:p>
    <w:p w14:paraId="614A339F" w14:textId="77777777" w:rsidR="00626C57" w:rsidRPr="004F1889" w:rsidRDefault="00626C57">
      <w:pPr>
        <w:spacing w:line="360" w:lineRule="auto"/>
        <w:ind w:right="-787"/>
        <w:jc w:val="both"/>
        <w:rPr>
          <w:rFonts w:ascii="Palatino Linotype" w:eastAsia="Palatino Linotype" w:hAnsi="Palatino Linotype" w:cs="Palatino Linotype"/>
        </w:rPr>
      </w:pPr>
    </w:p>
    <w:p w14:paraId="614A33A0"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Aunado a lo anterior, se reitera que el </w:t>
      </w:r>
      <w:r w:rsidRPr="004F1889">
        <w:rPr>
          <w:rFonts w:ascii="Palatino Linotype" w:eastAsia="Palatino Linotype" w:hAnsi="Palatino Linotype" w:cs="Palatino Linotype"/>
          <w:b/>
        </w:rPr>
        <w:t>SUJETO OBLIGADO</w:t>
      </w:r>
      <w:r w:rsidRPr="004F1889">
        <w:rPr>
          <w:rFonts w:ascii="Palatino Linotype" w:eastAsia="Palatino Linotype" w:hAnsi="Palatino Linotype" w:cs="Palatino Linotype"/>
        </w:rPr>
        <w:t xml:space="preserve"> no acreditó el daño respecto de los documentos que contienen mandamientos o requerimientos de créditos fiscales; en virtud de que la divulgación no representa un riesgo real, identificable y demostrable, de perjuicio significativo al interés público, ya que se trata de documentos cuyo </w:t>
      </w:r>
      <w:r w:rsidRPr="004F1889">
        <w:rPr>
          <w:rFonts w:ascii="Palatino Linotype" w:eastAsia="Palatino Linotype" w:hAnsi="Palatino Linotype" w:cs="Palatino Linotype"/>
        </w:rPr>
        <w:lastRenderedPageBreak/>
        <w:t>contenido no puede ser modificado y su conocimiento público no afecta la realización ni las observaciones o determinaciones que emita el OSFEM.</w:t>
      </w:r>
    </w:p>
    <w:p w14:paraId="614A33A1" w14:textId="77777777" w:rsidR="00626C57" w:rsidRPr="004F1889" w:rsidRDefault="00626C57">
      <w:pPr>
        <w:spacing w:line="360" w:lineRule="auto"/>
        <w:ind w:right="-787"/>
        <w:jc w:val="both"/>
        <w:rPr>
          <w:rFonts w:ascii="Palatino Linotype" w:eastAsia="Palatino Linotype" w:hAnsi="Palatino Linotype" w:cs="Palatino Linotype"/>
        </w:rPr>
      </w:pPr>
    </w:p>
    <w:p w14:paraId="614A33A2"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En consecuencia, no se acredita el riesgo de perjuicio respecto de los documentos que no pueden ser modificados y que se integran a los informes remitidos al OSFEM. </w:t>
      </w:r>
      <w:r w:rsidRPr="004F1889">
        <w:rPr>
          <w:rFonts w:ascii="Palatino Linotype" w:eastAsia="Palatino Linotype" w:hAnsi="Palatino Linotype" w:cs="Palatino Linotype"/>
          <w:color w:val="000000"/>
        </w:rPr>
        <w:t xml:space="preserve">Así, podemos afirmar que los documentos que se señalan como definitivos, son aquellos que derivan del ejercicio de las facultades, competencias o funciones de </w:t>
      </w:r>
      <w:r w:rsidRPr="004F1889">
        <w:rPr>
          <w:rFonts w:ascii="Palatino Linotype" w:eastAsia="Palatino Linotype" w:hAnsi="Palatino Linotype" w:cs="Palatino Linotype"/>
        </w:rPr>
        <w:t>manera</w:t>
      </w:r>
      <w:r w:rsidRPr="004F1889">
        <w:rPr>
          <w:rFonts w:ascii="Palatino Linotype" w:eastAsia="Palatino Linotype" w:hAnsi="Palatino Linotype" w:cs="Palatino Linotype"/>
          <w:color w:val="000000"/>
        </w:rPr>
        <w:t xml:space="preserve"> ordinaria por parte del Ayuntamiento, previo –incluso– al proceso de ser fiscalizado y que fueron objeto de revisión por el ente fiscalizador, en tanto que los documentos que se refieren como no definitivos son aquellos papeles de trabajo, cédulas y documentos susceptibles de ser modificados; que de ser entregados puede ciertamente existir un riesgo de conocerlos de manera anticipada por los contribuyentes, por ejemplo.</w:t>
      </w:r>
    </w:p>
    <w:p w14:paraId="614A33A3" w14:textId="77777777" w:rsidR="00626C57" w:rsidRPr="004F1889" w:rsidRDefault="00626C57">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614A33A4"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Es por ello, que esta Ponencia, considera que los documentos definitivos, son aquellos que se han realizado previamente y que, por ello, no pueden modificarse sin incurrir en responsabilidades administrativas, por lo que efectivamente no existe un riesgo real e identificable y por ello que resulta procedente la entrega de los documentos definitivos, como lo es la información solicitada por el particular en su solicitud de información, en tanto que los documentos no definitivos, por corresponder a un procedimiento en desahogo, podría generarse un riesgo real e identificable a los actos de ejecución de créditos fiscales.</w:t>
      </w:r>
    </w:p>
    <w:p w14:paraId="614A33A5" w14:textId="77777777" w:rsidR="00626C57" w:rsidRPr="004F1889" w:rsidRDefault="00626C57">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614A33A6"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 xml:space="preserve">Por lo que, al prever que la información solicitada corresponde a la </w:t>
      </w:r>
      <w:r w:rsidRPr="004F1889">
        <w:rPr>
          <w:rFonts w:ascii="Palatino Linotype" w:eastAsia="Palatino Linotype" w:hAnsi="Palatino Linotype" w:cs="Palatino Linotype"/>
        </w:rPr>
        <w:t>documentales</w:t>
      </w:r>
      <w:r w:rsidRPr="004F1889">
        <w:rPr>
          <w:rFonts w:ascii="Palatino Linotype" w:eastAsia="Palatino Linotype" w:hAnsi="Palatino Linotype" w:cs="Palatino Linotype"/>
          <w:color w:val="000000"/>
        </w:rPr>
        <w:t xml:space="preserve"> de naturaleza pública e interés social, que obran en los archivos del </w:t>
      </w:r>
      <w:r w:rsidRPr="004F1889">
        <w:rPr>
          <w:rFonts w:ascii="Palatino Linotype" w:eastAsia="Palatino Linotype" w:hAnsi="Palatino Linotype" w:cs="Palatino Linotype"/>
          <w:b/>
          <w:color w:val="000000"/>
        </w:rPr>
        <w:t>SUJETO OBLIGADO</w:t>
      </w:r>
      <w:r w:rsidRPr="004F1889">
        <w:rPr>
          <w:rFonts w:ascii="Palatino Linotype" w:eastAsia="Palatino Linotype" w:hAnsi="Palatino Linotype" w:cs="Palatino Linotype"/>
          <w:color w:val="000000"/>
        </w:rPr>
        <w:t xml:space="preserve">, y en cumplimiento al principio de máxima publicidad, éste debe permitir su acceso, por lo que </w:t>
      </w:r>
      <w:r w:rsidRPr="004F1889">
        <w:rPr>
          <w:rFonts w:ascii="Palatino Linotype" w:eastAsia="Palatino Linotype" w:hAnsi="Palatino Linotype" w:cs="Palatino Linotype"/>
          <w:color w:val="000000"/>
        </w:rPr>
        <w:lastRenderedPageBreak/>
        <w:t xml:space="preserve">este Órgano Garante determina </w:t>
      </w:r>
      <w:r w:rsidRPr="004F1889">
        <w:rPr>
          <w:rFonts w:ascii="Palatino Linotype" w:eastAsia="Palatino Linotype" w:hAnsi="Palatino Linotype" w:cs="Palatino Linotype"/>
          <w:b/>
          <w:color w:val="000000"/>
        </w:rPr>
        <w:t xml:space="preserve">REVOCAR </w:t>
      </w:r>
      <w:r w:rsidRPr="004F1889">
        <w:rPr>
          <w:rFonts w:ascii="Palatino Linotype" w:eastAsia="Palatino Linotype" w:hAnsi="Palatino Linotype" w:cs="Palatino Linotype"/>
          <w:color w:val="000000"/>
        </w:rPr>
        <w:t>la respuesta y</w:t>
      </w:r>
      <w:r w:rsidRPr="004F1889">
        <w:rPr>
          <w:rFonts w:ascii="Palatino Linotype" w:eastAsia="Palatino Linotype" w:hAnsi="Palatino Linotype" w:cs="Palatino Linotype"/>
          <w:b/>
          <w:color w:val="000000"/>
        </w:rPr>
        <w:t xml:space="preserve"> ORDENA</w:t>
      </w:r>
      <w:r w:rsidRPr="004F1889">
        <w:rPr>
          <w:rFonts w:ascii="Palatino Linotype" w:eastAsia="Palatino Linotype" w:hAnsi="Palatino Linotype" w:cs="Palatino Linotype"/>
          <w:color w:val="000000"/>
        </w:rPr>
        <w:t xml:space="preserve"> la entrega de la información solicitada.</w:t>
      </w:r>
    </w:p>
    <w:p w14:paraId="614A33A7" w14:textId="77777777" w:rsidR="00626C57" w:rsidRPr="004F1889" w:rsidRDefault="00626C57">
      <w:pPr>
        <w:spacing w:line="360" w:lineRule="auto"/>
        <w:ind w:right="-787"/>
        <w:jc w:val="both"/>
        <w:rPr>
          <w:rFonts w:ascii="Palatino Linotype" w:eastAsia="Palatino Linotype" w:hAnsi="Palatino Linotype" w:cs="Palatino Linotype"/>
        </w:rPr>
      </w:pPr>
    </w:p>
    <w:p w14:paraId="614A33A8"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 xml:space="preserve">Con la determinación anterior quedará por colmado el derecho de acceso a la información del ahora </w:t>
      </w:r>
      <w:r w:rsidRPr="004F1889">
        <w:rPr>
          <w:rFonts w:ascii="Palatino Linotype" w:eastAsia="Palatino Linotype" w:hAnsi="Palatino Linotype" w:cs="Palatino Linotype"/>
        </w:rPr>
        <w:t>Recurrente</w:t>
      </w:r>
      <w:r w:rsidRPr="004F1889">
        <w:rPr>
          <w:rFonts w:ascii="Palatino Linotype" w:eastAsia="Palatino Linotype" w:hAnsi="Palatino Linotype" w:cs="Palatino Linotype"/>
          <w:color w:val="000000"/>
        </w:rPr>
        <w:t xml:space="preserve">; toda vez que el Derecho que tutela este Órgano Garante corresponde a la  </w:t>
      </w:r>
      <w:r w:rsidRPr="004F1889">
        <w:rPr>
          <w:rFonts w:ascii="Palatino Linotype" w:eastAsia="Palatino Linotype" w:hAnsi="Palatino Linotype" w:cs="Palatino Linotype"/>
          <w:i/>
          <w:color w:val="000000"/>
        </w:rPr>
        <w:t>igualdad de oportunidades para recibir, buscar e impartir información</w:t>
      </w:r>
      <w:r w:rsidRPr="004F1889">
        <w:rPr>
          <w:rFonts w:ascii="Palatino Linotype" w:eastAsia="Palatino Linotype" w:hAnsi="Palatino Linotype" w:cs="Palatino Linotype"/>
          <w:i/>
          <w:color w:val="000000"/>
          <w:vertAlign w:val="superscript"/>
        </w:rPr>
        <w:footnoteReference w:id="1"/>
      </w:r>
      <w:r w:rsidRPr="004F1889">
        <w:rPr>
          <w:rFonts w:ascii="Palatino Linotype" w:eastAsia="Palatino Linotype" w:hAnsi="Palatino Linotype" w:cs="Palatino Linotype"/>
          <w:i/>
          <w:color w:val="000000"/>
        </w:rPr>
        <w:t xml:space="preserve"> en posesión de cualquier autoridad, entidad, órgano y organismo de los </w:t>
      </w:r>
      <w:r w:rsidRPr="004F1889">
        <w:rPr>
          <w:rFonts w:ascii="Palatino Linotype" w:eastAsia="Palatino Linotype" w:hAnsi="Palatino Linotype" w:cs="Palatino Linotype"/>
        </w:rPr>
        <w:t>poderes</w:t>
      </w:r>
      <w:r w:rsidRPr="004F1889">
        <w:rPr>
          <w:rFonts w:ascii="Palatino Linotype" w:eastAsia="Palatino Linotype" w:hAnsi="Palatino Linotype" w:cs="Palatino Linotype"/>
          <w:i/>
          <w:color w:val="00000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F1889">
        <w:rPr>
          <w:rFonts w:ascii="Palatino Linotype" w:eastAsia="Palatino Linotype" w:hAnsi="Palatino Linotype" w:cs="Palatino Linotype"/>
          <w:color w:val="000000"/>
          <w:vertAlign w:val="superscript"/>
        </w:rPr>
        <w:footnoteReference w:id="2"/>
      </w:r>
      <w:r w:rsidRPr="004F1889">
        <w:rPr>
          <w:rFonts w:ascii="Palatino Linotype" w:eastAsia="Palatino Linotype" w:hAnsi="Palatino Linotype" w:cs="Palatino Linotype"/>
          <w:i/>
          <w:color w:val="000000"/>
        </w:rPr>
        <w:t xml:space="preserve"> </w:t>
      </w:r>
      <w:r w:rsidRPr="004F1889">
        <w:rPr>
          <w:rFonts w:ascii="Palatino Linotype" w:eastAsia="Palatino Linotype" w:hAnsi="Palatino Linotype" w:cs="Palatino Linotype"/>
          <w:color w:val="000000"/>
        </w:rPr>
        <w:t xml:space="preserve">que se constituye como una herramienta fundamental para </w:t>
      </w:r>
      <w:r w:rsidRPr="004F1889">
        <w:rPr>
          <w:rFonts w:ascii="Palatino Linotype" w:eastAsia="Palatino Linotype" w:hAnsi="Palatino Linotype" w:cs="Palatino Linotype"/>
          <w:i/>
          <w:color w:val="000000"/>
        </w:rPr>
        <w:t>ejercer control democrático de las gestiones estatales, de forma tal que puedan cuestionar, indagar y considerar si se está dando un adecuado cumplimiento de las funciones públicas,</w:t>
      </w:r>
      <w:r w:rsidRPr="004F1889">
        <w:rPr>
          <w:rFonts w:ascii="Palatino Linotype" w:eastAsia="Palatino Linotype" w:hAnsi="Palatino Linotype" w:cs="Palatino Linotype"/>
          <w:i/>
          <w:color w:val="000000"/>
          <w:vertAlign w:val="superscript"/>
        </w:rPr>
        <w:footnoteReference w:id="3"/>
      </w:r>
      <w:r w:rsidRPr="004F1889">
        <w:rPr>
          <w:rFonts w:ascii="Palatino Linotype" w:eastAsia="Palatino Linotype" w:hAnsi="Palatino Linotype" w:cs="Palatino Linotype"/>
          <w:color w:val="000000"/>
        </w:rPr>
        <w:t>fomentando</w:t>
      </w:r>
      <w:r w:rsidRPr="004F1889">
        <w:rPr>
          <w:rFonts w:ascii="Palatino Linotype" w:eastAsia="Palatino Linotype" w:hAnsi="Palatino Linotype" w:cs="Palatino Linotype"/>
          <w:i/>
          <w:color w:val="000000"/>
        </w:rPr>
        <w:t xml:space="preserve"> la transparencia de las actividades estatales y</w:t>
      </w:r>
      <w:r w:rsidRPr="004F1889">
        <w:rPr>
          <w:rFonts w:ascii="Palatino Linotype" w:eastAsia="Palatino Linotype" w:hAnsi="Palatino Linotype" w:cs="Palatino Linotype"/>
          <w:color w:val="000000"/>
        </w:rPr>
        <w:t xml:space="preserve"> promoviendo</w:t>
      </w:r>
      <w:r w:rsidRPr="004F1889">
        <w:rPr>
          <w:rFonts w:ascii="Palatino Linotype" w:eastAsia="Palatino Linotype" w:hAnsi="Palatino Linotype" w:cs="Palatino Linotype"/>
          <w:i/>
          <w:color w:val="000000"/>
        </w:rPr>
        <w:t xml:space="preserve"> la responsabilidad de los funcionarios sobre su gestión pública</w:t>
      </w:r>
      <w:r w:rsidRPr="004F1889">
        <w:rPr>
          <w:rFonts w:ascii="Palatino Linotype" w:eastAsia="Palatino Linotype" w:hAnsi="Palatino Linotype" w:cs="Palatino Linotype"/>
          <w:i/>
          <w:color w:val="000000"/>
          <w:vertAlign w:val="superscript"/>
        </w:rPr>
        <w:footnoteReference w:id="4"/>
      </w:r>
      <w:r w:rsidRPr="004F1889">
        <w:rPr>
          <w:rFonts w:ascii="Palatino Linotype" w:eastAsia="Palatino Linotype" w:hAnsi="Palatino Linotype" w:cs="Palatino Linotype"/>
          <w:i/>
          <w:color w:val="000000"/>
        </w:rPr>
        <w:t xml:space="preserve"> </w:t>
      </w:r>
      <w:r w:rsidRPr="004F1889">
        <w:rPr>
          <w:rFonts w:ascii="Palatino Linotype" w:eastAsia="Palatino Linotype" w:hAnsi="Palatino Linotype" w:cs="Palatino Linotype"/>
          <w:color w:val="000000"/>
        </w:rPr>
        <w:t>que permite</w:t>
      </w:r>
      <w:r w:rsidRPr="004F1889">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r w:rsidRPr="004F1889">
        <w:rPr>
          <w:rFonts w:ascii="Palatino Linotype" w:eastAsia="Palatino Linotype" w:hAnsi="Palatino Linotype" w:cs="Palatino Linotype"/>
          <w:i/>
          <w:color w:val="000000"/>
          <w:vertAlign w:val="superscript"/>
        </w:rPr>
        <w:footnoteReference w:id="5"/>
      </w:r>
      <w:r w:rsidRPr="004F1889">
        <w:rPr>
          <w:rFonts w:ascii="Palatino Linotype" w:eastAsia="Palatino Linotype" w:hAnsi="Palatino Linotype" w:cs="Palatino Linotype"/>
          <w:color w:val="000000"/>
        </w:rPr>
        <w:t xml:space="preserve"> ” </w:t>
      </w:r>
    </w:p>
    <w:p w14:paraId="614A33A9" w14:textId="77777777" w:rsidR="00626C57" w:rsidRPr="004F1889" w:rsidRDefault="00626C57">
      <w:pPr>
        <w:pBdr>
          <w:top w:val="nil"/>
          <w:left w:val="nil"/>
          <w:bottom w:val="nil"/>
          <w:right w:val="nil"/>
          <w:between w:val="nil"/>
        </w:pBdr>
        <w:tabs>
          <w:tab w:val="left" w:pos="284"/>
        </w:tabs>
        <w:spacing w:line="360" w:lineRule="auto"/>
        <w:ind w:right="-787"/>
        <w:jc w:val="both"/>
        <w:rPr>
          <w:rFonts w:ascii="Palatino Linotype" w:eastAsia="Palatino Linotype" w:hAnsi="Palatino Linotype" w:cs="Palatino Linotype"/>
          <w:color w:val="000000"/>
        </w:rPr>
      </w:pPr>
    </w:p>
    <w:p w14:paraId="614A33AA"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 xml:space="preserve">Para entender los alcances de la información pública se considera importante citar el criterio de interpretación </w:t>
      </w:r>
      <w:r w:rsidRPr="004F1889">
        <w:rPr>
          <w:rFonts w:ascii="Palatino Linotype" w:eastAsia="Palatino Linotype" w:hAnsi="Palatino Linotype" w:cs="Palatino Linotype"/>
        </w:rPr>
        <w:t>en</w:t>
      </w:r>
      <w:r w:rsidRPr="004F1889">
        <w:rPr>
          <w:rFonts w:ascii="Palatino Linotype" w:eastAsia="Palatino Linotype" w:hAnsi="Palatino Linotype" w:cs="Palatino Linotype"/>
          <w:color w:val="000000"/>
        </w:rPr>
        <w:t xml:space="preserve"> el orden administrativo número 0002-11, emitido por Acuerdo </w:t>
      </w:r>
      <w:r w:rsidRPr="004F1889">
        <w:rPr>
          <w:rFonts w:ascii="Palatino Linotype" w:eastAsia="Palatino Linotype" w:hAnsi="Palatino Linotype" w:cs="Palatino Linotype"/>
          <w:color w:val="000000"/>
        </w:rPr>
        <w:lastRenderedPageBreak/>
        <w:t>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14A33AB" w14:textId="77777777" w:rsidR="00626C57" w:rsidRPr="004F1889" w:rsidRDefault="0077452A">
      <w:pPr>
        <w:spacing w:line="360" w:lineRule="auto"/>
        <w:ind w:left="426" w:right="-145"/>
        <w:jc w:val="both"/>
        <w:rPr>
          <w:rFonts w:ascii="Palatino Linotype" w:eastAsia="Palatino Linotype" w:hAnsi="Palatino Linotype" w:cs="Palatino Linotype"/>
          <w:b/>
          <w:i/>
          <w:color w:val="000000"/>
          <w:sz w:val="22"/>
          <w:szCs w:val="22"/>
        </w:rPr>
      </w:pPr>
      <w:r w:rsidRPr="004F1889">
        <w:rPr>
          <w:rFonts w:ascii="Palatino Linotype" w:eastAsia="Palatino Linotype" w:hAnsi="Palatino Linotype" w:cs="Palatino Linotype"/>
          <w:b/>
          <w:i/>
          <w:color w:val="000000"/>
          <w:sz w:val="22"/>
          <w:szCs w:val="22"/>
        </w:rPr>
        <w:t>“CRITERIO 0002-11</w:t>
      </w:r>
    </w:p>
    <w:p w14:paraId="614A33AC" w14:textId="77777777" w:rsidR="00626C57" w:rsidRPr="004F1889" w:rsidRDefault="0077452A">
      <w:pPr>
        <w:spacing w:line="360" w:lineRule="auto"/>
        <w:ind w:left="426"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b/>
          <w:i/>
          <w:color w:val="000000"/>
          <w:sz w:val="22"/>
          <w:szCs w:val="22"/>
        </w:rPr>
        <w:t>INFORMACIÓN PÚBLICA, CONCEPTO DE, EN MATERIA DE TRANSPARENCIA. INTERPRETACIÓN TEMÁTICA DE LOS ARTÍCULOS 2, FRACCIÓN V, XV, Y XVI, 3, 4,11 Y 41.</w:t>
      </w:r>
      <w:r w:rsidRPr="004F1889">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14A33AD" w14:textId="77777777" w:rsidR="00626C57" w:rsidRPr="004F1889" w:rsidRDefault="0077452A">
      <w:pPr>
        <w:spacing w:line="360" w:lineRule="auto"/>
        <w:ind w:left="426"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14:paraId="614A33AE" w14:textId="77777777" w:rsidR="00626C57" w:rsidRPr="004F1889" w:rsidRDefault="0077452A">
      <w:pPr>
        <w:spacing w:line="360" w:lineRule="auto"/>
        <w:ind w:left="426"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614A33AF" w14:textId="77777777" w:rsidR="00626C57" w:rsidRPr="004F1889" w:rsidRDefault="0077452A">
      <w:pPr>
        <w:spacing w:line="360" w:lineRule="auto"/>
        <w:ind w:left="426"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614A33B0" w14:textId="77777777" w:rsidR="00626C57" w:rsidRPr="004F1889" w:rsidRDefault="0077452A">
      <w:pPr>
        <w:spacing w:line="360" w:lineRule="auto"/>
        <w:ind w:left="426"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 encuentre en posesión de los Sujetos Obligados.”</w:t>
      </w:r>
    </w:p>
    <w:p w14:paraId="614A33B1" w14:textId="77777777" w:rsidR="00626C57" w:rsidRPr="004F1889" w:rsidRDefault="00626C57">
      <w:pPr>
        <w:spacing w:line="360" w:lineRule="auto"/>
        <w:ind w:left="567" w:right="-787"/>
        <w:jc w:val="both"/>
        <w:rPr>
          <w:rFonts w:ascii="Palatino Linotype" w:eastAsia="Palatino Linotype" w:hAnsi="Palatino Linotype" w:cs="Palatino Linotype"/>
          <w:i/>
          <w:color w:val="000000"/>
        </w:rPr>
      </w:pPr>
    </w:p>
    <w:p w14:paraId="614A33B2"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14:paraId="614A33B3" w14:textId="77777777" w:rsidR="00626C57" w:rsidRPr="004F1889" w:rsidRDefault="0077452A">
      <w:pPr>
        <w:spacing w:line="360" w:lineRule="auto"/>
        <w:ind w:left="426"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b/>
          <w:i/>
          <w:color w:val="000000"/>
          <w:sz w:val="22"/>
          <w:szCs w:val="22"/>
        </w:rPr>
        <w:lastRenderedPageBreak/>
        <w:t xml:space="preserve">XI. Documento: </w:t>
      </w:r>
      <w:r w:rsidRPr="004F1889">
        <w:rPr>
          <w:rFonts w:ascii="Palatino Linotype" w:eastAsia="Palatino Linotype" w:hAnsi="Palatino Linotype" w:cs="Palatino Linotype"/>
          <w:i/>
          <w:color w:val="000000"/>
          <w:sz w:val="22"/>
          <w:szCs w:val="22"/>
        </w:rPr>
        <w:t xml:space="preserve">Los expedientes, reportes, estudios, actas, resoluciones, oficios, correspondencia, acuerdos, directivas, directrices, circulares, contratos, convenios, instructivos, notas, memorandos, estadísticas o bien, </w:t>
      </w:r>
      <w:r w:rsidRPr="004F1889">
        <w:rPr>
          <w:rFonts w:ascii="Palatino Linotype" w:eastAsia="Palatino Linotype" w:hAnsi="Palatino Linotype" w:cs="Palatino Linotype"/>
          <w:b/>
          <w:i/>
          <w:color w:val="000000"/>
          <w:sz w:val="22"/>
          <w:szCs w:val="22"/>
        </w:rPr>
        <w:t>cualquier otro registro</w:t>
      </w:r>
      <w:r w:rsidRPr="004F1889">
        <w:rPr>
          <w:rFonts w:ascii="Palatino Linotype" w:eastAsia="Palatino Linotype" w:hAnsi="Palatino Linotype" w:cs="Palatino Linotype"/>
          <w:i/>
          <w:color w:val="000000"/>
          <w:sz w:val="22"/>
          <w:szCs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14A33B4" w14:textId="77777777" w:rsidR="00626C57" w:rsidRPr="004F1889" w:rsidRDefault="00626C57">
      <w:pPr>
        <w:spacing w:line="360" w:lineRule="auto"/>
        <w:ind w:left="567" w:right="-787"/>
        <w:jc w:val="both"/>
        <w:rPr>
          <w:rFonts w:ascii="Palatino Linotype" w:eastAsia="Palatino Linotype" w:hAnsi="Palatino Linotype" w:cs="Palatino Linotype"/>
          <w:i/>
          <w:color w:val="000000"/>
        </w:rPr>
      </w:pPr>
    </w:p>
    <w:p w14:paraId="614A33B5"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 xml:space="preserve">Es así que, todos los actos de autoridad que realicen los Sujetos Obligados </w:t>
      </w:r>
      <w:r w:rsidRPr="004F1889">
        <w:rPr>
          <w:rFonts w:ascii="Palatino Linotype" w:eastAsia="Palatino Linotype" w:hAnsi="Palatino Linotype" w:cs="Palatino Linotype"/>
          <w:b/>
          <w:color w:val="000000"/>
        </w:rPr>
        <w:t xml:space="preserve">deben estar </w:t>
      </w:r>
      <w:r w:rsidRPr="004F1889">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14:paraId="614A33B6" w14:textId="77777777" w:rsidR="00626C57" w:rsidRPr="004F1889" w:rsidRDefault="00626C57">
      <w:pPr>
        <w:pBdr>
          <w:top w:val="nil"/>
          <w:left w:val="nil"/>
          <w:bottom w:val="nil"/>
          <w:right w:val="nil"/>
          <w:between w:val="nil"/>
        </w:pBdr>
        <w:tabs>
          <w:tab w:val="left" w:pos="284"/>
        </w:tabs>
        <w:spacing w:line="360" w:lineRule="auto"/>
        <w:ind w:right="-787"/>
        <w:jc w:val="both"/>
        <w:rPr>
          <w:rFonts w:ascii="Palatino Linotype" w:eastAsia="Palatino Linotype" w:hAnsi="Palatino Linotype" w:cs="Palatino Linotype"/>
          <w:color w:val="000000"/>
        </w:rPr>
      </w:pPr>
    </w:p>
    <w:p w14:paraId="614A33B7"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14:paraId="614A33B8" w14:textId="77777777" w:rsidR="00626C57" w:rsidRPr="004F1889" w:rsidRDefault="0077452A">
      <w:pPr>
        <w:spacing w:line="360" w:lineRule="auto"/>
        <w:ind w:left="426"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b/>
          <w:i/>
          <w:color w:val="000000"/>
          <w:sz w:val="22"/>
          <w:szCs w:val="22"/>
        </w:rPr>
        <w:t xml:space="preserve">“Artículo 4. </w:t>
      </w:r>
      <w:r w:rsidRPr="004F1889">
        <w:rPr>
          <w:rFonts w:ascii="Palatino Linotype" w:eastAsia="Palatino Linotype" w:hAnsi="Palatino Linotype" w:cs="Palatino Linotype"/>
          <w:i/>
          <w:color w:val="000000"/>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614A33B9" w14:textId="77777777" w:rsidR="00626C57" w:rsidRPr="004F1889" w:rsidRDefault="0077452A">
      <w:pPr>
        <w:spacing w:line="360" w:lineRule="auto"/>
        <w:ind w:left="426"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b/>
          <w:i/>
          <w:color w:val="000000"/>
          <w:sz w:val="22"/>
          <w:szCs w:val="22"/>
        </w:rPr>
        <w:t>Toda la información</w:t>
      </w:r>
      <w:r w:rsidRPr="004F1889">
        <w:rPr>
          <w:rFonts w:ascii="Palatino Linotype" w:eastAsia="Palatino Linotype" w:hAnsi="Palatino Linotype" w:cs="Palatino Linotype"/>
          <w:i/>
          <w:color w:val="000000"/>
          <w:sz w:val="22"/>
          <w:szCs w:val="22"/>
        </w:rPr>
        <w:t xml:space="preserve"> generada, obtenida, adquirida, transformada, administrada o </w:t>
      </w:r>
      <w:r w:rsidRPr="004F1889">
        <w:rPr>
          <w:rFonts w:ascii="Palatino Linotype" w:eastAsia="Palatino Linotype" w:hAnsi="Palatino Linotype" w:cs="Palatino Linotype"/>
          <w:b/>
          <w:i/>
          <w:color w:val="000000"/>
          <w:sz w:val="22"/>
          <w:szCs w:val="22"/>
        </w:rPr>
        <w:t>en posesión de los sujetos obligados es pública</w:t>
      </w:r>
      <w:r w:rsidRPr="004F1889">
        <w:rPr>
          <w:rFonts w:ascii="Palatino Linotype" w:eastAsia="Palatino Linotype" w:hAnsi="Palatino Linotype" w:cs="Palatino Linotype"/>
          <w:i/>
          <w:color w:val="000000"/>
          <w:sz w:val="22"/>
          <w:szCs w:val="22"/>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14A33BA" w14:textId="77777777" w:rsidR="00626C57" w:rsidRPr="004F1889" w:rsidRDefault="0077452A">
      <w:pPr>
        <w:spacing w:line="360" w:lineRule="auto"/>
        <w:ind w:left="426"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i/>
          <w:color w:val="000000"/>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614A33BB" w14:textId="77777777" w:rsidR="00626C57" w:rsidRPr="004F1889" w:rsidRDefault="00626C57">
      <w:pPr>
        <w:spacing w:line="360" w:lineRule="auto"/>
        <w:ind w:left="567" w:right="-787"/>
        <w:jc w:val="both"/>
        <w:rPr>
          <w:rFonts w:ascii="Palatino Linotype" w:eastAsia="Palatino Linotype" w:hAnsi="Palatino Linotype" w:cs="Palatino Linotype"/>
          <w:i/>
          <w:color w:val="000000"/>
        </w:rPr>
      </w:pPr>
    </w:p>
    <w:p w14:paraId="614A33BC"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4F1889">
        <w:rPr>
          <w:rFonts w:ascii="Palatino Linotype" w:eastAsia="Palatino Linotype" w:hAnsi="Palatino Linotype" w:cs="Palatino Linotype"/>
          <w:color w:val="000000"/>
          <w:vertAlign w:val="superscript"/>
        </w:rPr>
        <w:footnoteReference w:id="6"/>
      </w:r>
      <w:r w:rsidRPr="004F1889">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14A33BD" w14:textId="77777777" w:rsidR="00626C57" w:rsidRPr="004F1889" w:rsidRDefault="00626C57">
      <w:pPr>
        <w:spacing w:line="360" w:lineRule="auto"/>
        <w:ind w:right="-787"/>
        <w:jc w:val="both"/>
        <w:rPr>
          <w:rFonts w:ascii="Palatino Linotype" w:eastAsia="Palatino Linotype" w:hAnsi="Palatino Linotype" w:cs="Palatino Linotype"/>
          <w:color w:val="000000"/>
        </w:rPr>
      </w:pPr>
    </w:p>
    <w:p w14:paraId="614A33BE"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14A33BF" w14:textId="77777777" w:rsidR="00626C57" w:rsidRPr="004F1889" w:rsidRDefault="0077452A">
      <w:pPr>
        <w:pBdr>
          <w:top w:val="nil"/>
          <w:left w:val="nil"/>
          <w:bottom w:val="nil"/>
          <w:right w:val="nil"/>
          <w:between w:val="nil"/>
        </w:pBdr>
        <w:tabs>
          <w:tab w:val="left" w:pos="851"/>
        </w:tabs>
        <w:spacing w:line="360" w:lineRule="auto"/>
        <w:ind w:left="425" w:right="-145"/>
        <w:jc w:val="both"/>
        <w:rPr>
          <w:rFonts w:ascii="Palatino Linotype" w:eastAsia="Palatino Linotype" w:hAnsi="Palatino Linotype" w:cs="Palatino Linotype"/>
          <w:i/>
          <w:color w:val="000000"/>
          <w:sz w:val="22"/>
          <w:szCs w:val="22"/>
        </w:rPr>
      </w:pPr>
      <w:r w:rsidRPr="004F1889">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4F1889">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w:t>
      </w:r>
      <w:r w:rsidRPr="004F1889">
        <w:rPr>
          <w:rFonts w:ascii="Palatino Linotype" w:eastAsia="Palatino Linotype" w:hAnsi="Palatino Linotype" w:cs="Palatino Linotype"/>
          <w:i/>
          <w:color w:val="000000"/>
          <w:sz w:val="22"/>
          <w:szCs w:val="22"/>
        </w:rPr>
        <w:lastRenderedPageBreak/>
        <w:t>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614A33C0" w14:textId="77777777" w:rsidR="00626C57" w:rsidRPr="004F1889" w:rsidRDefault="00626C57">
      <w:pPr>
        <w:spacing w:line="360" w:lineRule="auto"/>
        <w:ind w:right="-787"/>
        <w:jc w:val="both"/>
        <w:rPr>
          <w:rFonts w:ascii="Palatino Linotype" w:eastAsia="Palatino Linotype" w:hAnsi="Palatino Linotype" w:cs="Palatino Linotype"/>
        </w:rPr>
      </w:pPr>
    </w:p>
    <w:p w14:paraId="614A33C1" w14:textId="77777777" w:rsidR="00626C57" w:rsidRPr="004F1889" w:rsidRDefault="0077452A">
      <w:pPr>
        <w:keepNext/>
        <w:keepLines/>
        <w:spacing w:line="360" w:lineRule="auto"/>
        <w:ind w:right="-787"/>
        <w:rPr>
          <w:rFonts w:ascii="Palatino Linotype" w:eastAsia="Palatino Linotype" w:hAnsi="Palatino Linotype" w:cs="Palatino Linotype"/>
          <w:b/>
          <w:color w:val="000000"/>
        </w:rPr>
      </w:pPr>
      <w:r w:rsidRPr="004F1889">
        <w:rPr>
          <w:rFonts w:ascii="Palatino Linotype" w:eastAsia="Palatino Linotype" w:hAnsi="Palatino Linotype" w:cs="Palatino Linotype"/>
          <w:b/>
          <w:color w:val="000000"/>
        </w:rPr>
        <w:t>QUINTO. De la versión pública.</w:t>
      </w:r>
    </w:p>
    <w:p w14:paraId="614A33C2"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Derivado de la naturaleza de la información es insoslayable, resaltar que contiene datos personales susceptibles de clasificar mediante una versión pública, como justamente fuera solicitado por el particular.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w:t>
      </w:r>
      <w:r w:rsidRPr="004F1889">
        <w:rPr>
          <w:rFonts w:ascii="Palatino Linotype" w:eastAsia="Palatino Linotype" w:hAnsi="Palatino Linotype" w:cs="Palatino Linotype"/>
        </w:rPr>
        <w:lastRenderedPageBreak/>
        <w:t>referencia cuyo fundamento legal aplicable se encuentra inmerso en los numerales de la Ley de la materia, que a la letra esgrimen:</w:t>
      </w:r>
    </w:p>
    <w:p w14:paraId="614A33C3" w14:textId="77777777" w:rsidR="00626C57" w:rsidRPr="004F1889" w:rsidRDefault="0077452A">
      <w:pPr>
        <w:tabs>
          <w:tab w:val="left" w:pos="7938"/>
        </w:tabs>
        <w:spacing w:line="360" w:lineRule="auto"/>
        <w:ind w:right="-787"/>
        <w:jc w:val="both"/>
        <w:rPr>
          <w:rFonts w:ascii="Palatino Linotype" w:eastAsia="Palatino Linotype" w:hAnsi="Palatino Linotype" w:cs="Palatino Linotype"/>
        </w:rPr>
      </w:pPr>
      <w:r w:rsidRPr="004F1889">
        <w:rPr>
          <w:rFonts w:ascii="Palatino Linotype" w:eastAsia="Palatino Linotype" w:hAnsi="Palatino Linotype" w:cs="Palatino Linotype"/>
        </w:rPr>
        <w:t> </w:t>
      </w:r>
    </w:p>
    <w:p w14:paraId="614A33C4" w14:textId="77777777" w:rsidR="00626C57" w:rsidRPr="004F1889" w:rsidRDefault="0077452A">
      <w:pPr>
        <w:shd w:val="clear" w:color="auto" w:fill="FFFFFF"/>
        <w:spacing w:line="360" w:lineRule="auto"/>
        <w:ind w:left="567" w:right="-145"/>
        <w:jc w:val="both"/>
        <w:rPr>
          <w:rFonts w:ascii="Palatino Linotype" w:eastAsia="Palatino Linotype" w:hAnsi="Palatino Linotype" w:cs="Palatino Linotype"/>
          <w:color w:val="222222"/>
          <w:sz w:val="22"/>
          <w:szCs w:val="22"/>
        </w:rPr>
      </w:pPr>
      <w:r w:rsidRPr="004F1889">
        <w:rPr>
          <w:rFonts w:ascii="Palatino Linotype" w:eastAsia="Palatino Linotype" w:hAnsi="Palatino Linotype" w:cs="Palatino Linotype"/>
          <w:b/>
          <w:i/>
          <w:color w:val="222222"/>
          <w:sz w:val="22"/>
          <w:szCs w:val="22"/>
        </w:rPr>
        <w:t>Artículo 3. Para los efectos de la presente Ley se entenderá por:</w:t>
      </w:r>
    </w:p>
    <w:p w14:paraId="614A33C5" w14:textId="77777777" w:rsidR="00626C57" w:rsidRPr="004F1889" w:rsidRDefault="0077452A">
      <w:pPr>
        <w:shd w:val="clear" w:color="auto" w:fill="FFFFFF"/>
        <w:spacing w:line="360" w:lineRule="auto"/>
        <w:ind w:left="567" w:right="-145"/>
        <w:jc w:val="both"/>
        <w:rPr>
          <w:rFonts w:ascii="Palatino Linotype" w:eastAsia="Palatino Linotype" w:hAnsi="Palatino Linotype" w:cs="Palatino Linotype"/>
          <w:color w:val="222222"/>
          <w:sz w:val="22"/>
          <w:szCs w:val="22"/>
        </w:rPr>
      </w:pPr>
      <w:r w:rsidRPr="004F1889">
        <w:rPr>
          <w:rFonts w:ascii="Palatino Linotype" w:eastAsia="Palatino Linotype" w:hAnsi="Palatino Linotype" w:cs="Palatino Linotype"/>
          <w:b/>
          <w:i/>
          <w:color w:val="222222"/>
          <w:sz w:val="22"/>
          <w:szCs w:val="22"/>
        </w:rPr>
        <w:t>[…]</w:t>
      </w:r>
    </w:p>
    <w:p w14:paraId="614A33C6" w14:textId="77777777" w:rsidR="00626C57" w:rsidRPr="004F1889" w:rsidRDefault="0077452A">
      <w:pPr>
        <w:shd w:val="clear" w:color="auto" w:fill="FFFFFF"/>
        <w:spacing w:line="360" w:lineRule="auto"/>
        <w:ind w:left="567" w:right="-145"/>
        <w:jc w:val="both"/>
        <w:rPr>
          <w:rFonts w:ascii="Palatino Linotype" w:eastAsia="Palatino Linotype" w:hAnsi="Palatino Linotype" w:cs="Palatino Linotype"/>
          <w:color w:val="222222"/>
          <w:sz w:val="22"/>
          <w:szCs w:val="22"/>
        </w:rPr>
      </w:pPr>
      <w:r w:rsidRPr="004F1889">
        <w:rPr>
          <w:rFonts w:ascii="Palatino Linotype" w:eastAsia="Palatino Linotype" w:hAnsi="Palatino Linotype" w:cs="Palatino Linotype"/>
          <w:b/>
          <w:i/>
          <w:color w:val="222222"/>
          <w:sz w:val="22"/>
          <w:szCs w:val="22"/>
        </w:rPr>
        <w:t xml:space="preserve">IX. Datos personales: </w:t>
      </w:r>
      <w:r w:rsidRPr="004F1889">
        <w:rPr>
          <w:rFonts w:ascii="Palatino Linotype" w:eastAsia="Palatino Linotype" w:hAnsi="Palatino Linotype" w:cs="Palatino Linotype"/>
          <w:i/>
          <w:color w:val="222222"/>
          <w:sz w:val="22"/>
          <w:szCs w:val="22"/>
        </w:rPr>
        <w:t>La información concerniente a una persona, identificada o identificable según lo dispuesto por la Ley de Protección de Datos Personales del Estado de México;</w:t>
      </w:r>
    </w:p>
    <w:p w14:paraId="614A33C7" w14:textId="77777777" w:rsidR="00626C57" w:rsidRPr="004F1889" w:rsidRDefault="0077452A">
      <w:pPr>
        <w:shd w:val="clear" w:color="auto" w:fill="FFFFFF"/>
        <w:spacing w:line="360" w:lineRule="auto"/>
        <w:ind w:left="567" w:right="-145"/>
        <w:jc w:val="both"/>
        <w:rPr>
          <w:rFonts w:ascii="Palatino Linotype" w:eastAsia="Palatino Linotype" w:hAnsi="Palatino Linotype" w:cs="Palatino Linotype"/>
          <w:color w:val="222222"/>
          <w:sz w:val="22"/>
          <w:szCs w:val="22"/>
        </w:rPr>
      </w:pPr>
      <w:r w:rsidRPr="004F1889">
        <w:rPr>
          <w:rFonts w:ascii="Palatino Linotype" w:eastAsia="Palatino Linotype" w:hAnsi="Palatino Linotype" w:cs="Palatino Linotype"/>
          <w:b/>
          <w:i/>
          <w:color w:val="222222"/>
          <w:sz w:val="22"/>
          <w:szCs w:val="22"/>
        </w:rPr>
        <w:t>[…]</w:t>
      </w:r>
    </w:p>
    <w:p w14:paraId="614A33C8" w14:textId="77777777" w:rsidR="00626C57" w:rsidRPr="004F1889" w:rsidRDefault="0077452A">
      <w:pPr>
        <w:shd w:val="clear" w:color="auto" w:fill="FFFFFF"/>
        <w:spacing w:line="360" w:lineRule="auto"/>
        <w:ind w:left="567" w:right="-145"/>
        <w:jc w:val="both"/>
        <w:rPr>
          <w:rFonts w:ascii="Palatino Linotype" w:eastAsia="Palatino Linotype" w:hAnsi="Palatino Linotype" w:cs="Palatino Linotype"/>
          <w:color w:val="222222"/>
          <w:sz w:val="22"/>
          <w:szCs w:val="22"/>
        </w:rPr>
      </w:pPr>
      <w:r w:rsidRPr="004F1889">
        <w:rPr>
          <w:rFonts w:ascii="Palatino Linotype" w:eastAsia="Palatino Linotype" w:hAnsi="Palatino Linotype" w:cs="Palatino Linotype"/>
          <w:b/>
          <w:i/>
          <w:color w:val="222222"/>
          <w:sz w:val="22"/>
          <w:szCs w:val="22"/>
        </w:rPr>
        <w:t xml:space="preserve">XLV. Versión pública: </w:t>
      </w:r>
      <w:r w:rsidRPr="004F1889">
        <w:rPr>
          <w:rFonts w:ascii="Palatino Linotype" w:eastAsia="Palatino Linotype" w:hAnsi="Palatino Linotype" w:cs="Palatino Linotype"/>
          <w:i/>
          <w:color w:val="222222"/>
          <w:sz w:val="22"/>
          <w:szCs w:val="22"/>
        </w:rPr>
        <w:t>Documento en el que se elimine, suprime o borra la información clasificada como reservada o confidencial para permitir su acceso.</w:t>
      </w:r>
    </w:p>
    <w:p w14:paraId="614A33C9" w14:textId="77777777" w:rsidR="00626C57" w:rsidRPr="004F1889" w:rsidRDefault="00626C57">
      <w:pPr>
        <w:shd w:val="clear" w:color="auto" w:fill="FFFFFF"/>
        <w:spacing w:line="360" w:lineRule="auto"/>
        <w:ind w:left="567" w:right="-145"/>
        <w:jc w:val="both"/>
        <w:rPr>
          <w:rFonts w:ascii="Palatino Linotype" w:eastAsia="Palatino Linotype" w:hAnsi="Palatino Linotype" w:cs="Palatino Linotype"/>
          <w:b/>
          <w:i/>
          <w:color w:val="222222"/>
          <w:sz w:val="22"/>
          <w:szCs w:val="22"/>
        </w:rPr>
      </w:pPr>
    </w:p>
    <w:p w14:paraId="614A33CA" w14:textId="77777777" w:rsidR="00626C57" w:rsidRPr="004F1889" w:rsidRDefault="0077452A">
      <w:pPr>
        <w:shd w:val="clear" w:color="auto" w:fill="FFFFFF"/>
        <w:spacing w:line="360" w:lineRule="auto"/>
        <w:ind w:left="567" w:right="-145"/>
        <w:jc w:val="both"/>
        <w:rPr>
          <w:rFonts w:ascii="Palatino Linotype" w:eastAsia="Palatino Linotype" w:hAnsi="Palatino Linotype" w:cs="Palatino Linotype"/>
          <w:color w:val="222222"/>
          <w:sz w:val="22"/>
          <w:szCs w:val="22"/>
        </w:rPr>
      </w:pPr>
      <w:r w:rsidRPr="004F1889">
        <w:rPr>
          <w:rFonts w:ascii="Palatino Linotype" w:eastAsia="Palatino Linotype" w:hAnsi="Palatino Linotype" w:cs="Palatino Linotype"/>
          <w:b/>
          <w:i/>
          <w:color w:val="222222"/>
          <w:sz w:val="22"/>
          <w:szCs w:val="22"/>
        </w:rPr>
        <w:t xml:space="preserve">Artículo 122. </w:t>
      </w:r>
      <w:r w:rsidRPr="004F1889">
        <w:rPr>
          <w:rFonts w:ascii="Palatino Linotype" w:eastAsia="Palatino Linotype" w:hAnsi="Palatino Linotype" w:cs="Palatino Linotype"/>
          <w:i/>
          <w:color w:val="222222"/>
          <w:sz w:val="22"/>
          <w:szCs w:val="22"/>
        </w:rPr>
        <w:t xml:space="preserve">La clasificación es el proceso mediante el cual el sujeto obligado determina que la información en su poder </w:t>
      </w:r>
      <w:proofErr w:type="spellStart"/>
      <w:r w:rsidRPr="004F1889">
        <w:rPr>
          <w:rFonts w:ascii="Palatino Linotype" w:eastAsia="Palatino Linotype" w:hAnsi="Palatino Linotype" w:cs="Palatino Linotype"/>
          <w:i/>
          <w:color w:val="222222"/>
          <w:sz w:val="22"/>
          <w:szCs w:val="22"/>
        </w:rPr>
        <w:t>actualiza</w:t>
      </w:r>
      <w:proofErr w:type="spellEnd"/>
      <w:r w:rsidRPr="004F1889">
        <w:rPr>
          <w:rFonts w:ascii="Palatino Linotype" w:eastAsia="Palatino Linotype" w:hAnsi="Palatino Linotype" w:cs="Palatino Linotype"/>
          <w:i/>
          <w:color w:val="222222"/>
          <w:sz w:val="22"/>
          <w:szCs w:val="22"/>
        </w:rPr>
        <w:t xml:space="preserve"> alguno de los supuestos de reserva o confidencialidad, de conformidad con lo dispuesto en el presente título.</w:t>
      </w:r>
    </w:p>
    <w:p w14:paraId="614A33CB" w14:textId="77777777" w:rsidR="00626C57" w:rsidRPr="004F1889" w:rsidRDefault="0077452A">
      <w:pPr>
        <w:shd w:val="clear" w:color="auto" w:fill="FFFFFF"/>
        <w:spacing w:line="360" w:lineRule="auto"/>
        <w:ind w:left="567" w:right="-145"/>
        <w:jc w:val="both"/>
        <w:rPr>
          <w:rFonts w:ascii="Palatino Linotype" w:eastAsia="Palatino Linotype" w:hAnsi="Palatino Linotype" w:cs="Palatino Linotype"/>
          <w:color w:val="222222"/>
          <w:sz w:val="22"/>
          <w:szCs w:val="22"/>
        </w:rPr>
      </w:pPr>
      <w:r w:rsidRPr="004F1889">
        <w:rPr>
          <w:rFonts w:ascii="Palatino Linotype" w:eastAsia="Palatino Linotype" w:hAnsi="Palatino Linotype" w:cs="Palatino Linotype"/>
          <w:i/>
          <w:color w:val="222222"/>
          <w:sz w:val="22"/>
          <w:szCs w:val="22"/>
        </w:rPr>
        <w:t>[…]</w:t>
      </w:r>
    </w:p>
    <w:p w14:paraId="614A33CC" w14:textId="77777777" w:rsidR="00626C57" w:rsidRPr="004F1889" w:rsidRDefault="00626C57">
      <w:pPr>
        <w:shd w:val="clear" w:color="auto" w:fill="FFFFFF"/>
        <w:spacing w:line="360" w:lineRule="auto"/>
        <w:ind w:left="567" w:right="-145"/>
        <w:jc w:val="both"/>
        <w:rPr>
          <w:rFonts w:ascii="Palatino Linotype" w:eastAsia="Palatino Linotype" w:hAnsi="Palatino Linotype" w:cs="Palatino Linotype"/>
          <w:b/>
          <w:i/>
          <w:color w:val="222222"/>
          <w:sz w:val="22"/>
          <w:szCs w:val="22"/>
        </w:rPr>
      </w:pPr>
    </w:p>
    <w:p w14:paraId="614A33CD" w14:textId="77777777" w:rsidR="00626C57" w:rsidRPr="004F1889" w:rsidRDefault="0077452A">
      <w:pPr>
        <w:shd w:val="clear" w:color="auto" w:fill="FFFFFF"/>
        <w:spacing w:line="360" w:lineRule="auto"/>
        <w:ind w:left="567" w:right="-145"/>
        <w:jc w:val="both"/>
        <w:rPr>
          <w:rFonts w:ascii="Palatino Linotype" w:eastAsia="Palatino Linotype" w:hAnsi="Palatino Linotype" w:cs="Palatino Linotype"/>
          <w:color w:val="222222"/>
          <w:sz w:val="22"/>
          <w:szCs w:val="22"/>
        </w:rPr>
      </w:pPr>
      <w:r w:rsidRPr="004F1889">
        <w:rPr>
          <w:rFonts w:ascii="Palatino Linotype" w:eastAsia="Palatino Linotype" w:hAnsi="Palatino Linotype" w:cs="Palatino Linotype"/>
          <w:b/>
          <w:i/>
          <w:color w:val="222222"/>
          <w:sz w:val="22"/>
          <w:szCs w:val="22"/>
        </w:rPr>
        <w:t>Artículo 132.</w:t>
      </w:r>
      <w:r w:rsidRPr="004F1889">
        <w:rPr>
          <w:rFonts w:ascii="Palatino Linotype" w:eastAsia="Palatino Linotype" w:hAnsi="Palatino Linotype" w:cs="Palatino Linotype"/>
          <w:i/>
          <w:color w:val="222222"/>
          <w:sz w:val="22"/>
          <w:szCs w:val="22"/>
        </w:rPr>
        <w:t xml:space="preserve"> La clasificación de la información se llevará a cabo en el momento en que:</w:t>
      </w:r>
    </w:p>
    <w:p w14:paraId="614A33CE" w14:textId="77777777" w:rsidR="00626C57" w:rsidRPr="004F1889" w:rsidRDefault="0077452A">
      <w:pPr>
        <w:shd w:val="clear" w:color="auto" w:fill="FFFFFF"/>
        <w:spacing w:line="360" w:lineRule="auto"/>
        <w:ind w:left="567" w:right="-145"/>
        <w:jc w:val="both"/>
        <w:rPr>
          <w:rFonts w:ascii="Palatino Linotype" w:eastAsia="Palatino Linotype" w:hAnsi="Palatino Linotype" w:cs="Palatino Linotype"/>
          <w:color w:val="222222"/>
          <w:sz w:val="22"/>
          <w:szCs w:val="22"/>
        </w:rPr>
      </w:pPr>
      <w:r w:rsidRPr="004F1889">
        <w:rPr>
          <w:rFonts w:ascii="Palatino Linotype" w:eastAsia="Palatino Linotype" w:hAnsi="Palatino Linotype" w:cs="Palatino Linotype"/>
          <w:i/>
          <w:color w:val="222222"/>
          <w:sz w:val="22"/>
          <w:szCs w:val="22"/>
        </w:rPr>
        <w:t>[…]</w:t>
      </w:r>
    </w:p>
    <w:p w14:paraId="614A33CF" w14:textId="77777777" w:rsidR="00626C57" w:rsidRPr="004F1889" w:rsidRDefault="0077452A">
      <w:pPr>
        <w:shd w:val="clear" w:color="auto" w:fill="FFFFFF"/>
        <w:spacing w:line="360" w:lineRule="auto"/>
        <w:ind w:left="567" w:right="-145"/>
        <w:jc w:val="both"/>
        <w:rPr>
          <w:rFonts w:ascii="Palatino Linotype" w:eastAsia="Palatino Linotype" w:hAnsi="Palatino Linotype" w:cs="Palatino Linotype"/>
          <w:color w:val="222222"/>
          <w:sz w:val="22"/>
          <w:szCs w:val="22"/>
        </w:rPr>
      </w:pPr>
      <w:r w:rsidRPr="004F1889">
        <w:rPr>
          <w:rFonts w:ascii="Palatino Linotype" w:eastAsia="Palatino Linotype" w:hAnsi="Palatino Linotype" w:cs="Palatino Linotype"/>
          <w:b/>
          <w:i/>
          <w:color w:val="222222"/>
          <w:sz w:val="22"/>
          <w:szCs w:val="22"/>
        </w:rPr>
        <w:t>II. Se determine mediante resolución de autoridad competente; o</w:t>
      </w:r>
    </w:p>
    <w:p w14:paraId="614A33D0" w14:textId="77777777" w:rsidR="00626C57" w:rsidRPr="004F1889" w:rsidRDefault="00626C57">
      <w:pPr>
        <w:shd w:val="clear" w:color="auto" w:fill="FFFFFF"/>
        <w:spacing w:line="360" w:lineRule="auto"/>
        <w:ind w:left="567" w:right="-145"/>
        <w:jc w:val="both"/>
        <w:rPr>
          <w:rFonts w:ascii="Palatino Linotype" w:eastAsia="Palatino Linotype" w:hAnsi="Palatino Linotype" w:cs="Palatino Linotype"/>
          <w:b/>
          <w:i/>
          <w:color w:val="222222"/>
          <w:sz w:val="22"/>
          <w:szCs w:val="22"/>
        </w:rPr>
      </w:pPr>
    </w:p>
    <w:p w14:paraId="614A33D1" w14:textId="77777777" w:rsidR="00626C57" w:rsidRPr="004F1889" w:rsidRDefault="0077452A">
      <w:pPr>
        <w:shd w:val="clear" w:color="auto" w:fill="FFFFFF"/>
        <w:spacing w:line="360" w:lineRule="auto"/>
        <w:ind w:left="567" w:right="-145"/>
        <w:jc w:val="both"/>
        <w:rPr>
          <w:rFonts w:ascii="Palatino Linotype" w:eastAsia="Palatino Linotype" w:hAnsi="Palatino Linotype" w:cs="Palatino Linotype"/>
          <w:color w:val="222222"/>
          <w:sz w:val="22"/>
          <w:szCs w:val="22"/>
        </w:rPr>
      </w:pPr>
      <w:r w:rsidRPr="004F1889">
        <w:rPr>
          <w:rFonts w:ascii="Palatino Linotype" w:eastAsia="Palatino Linotype" w:hAnsi="Palatino Linotype" w:cs="Palatino Linotype"/>
          <w:b/>
          <w:i/>
          <w:color w:val="222222"/>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4F1889">
        <w:rPr>
          <w:rFonts w:ascii="Palatino Linotype" w:eastAsia="Palatino Linotype" w:hAnsi="Palatino Linotype" w:cs="Palatino Linotype"/>
          <w:b/>
          <w:i/>
          <w:color w:val="222222"/>
          <w:sz w:val="22"/>
          <w:szCs w:val="22"/>
          <w:u w:val="single"/>
        </w:rPr>
        <w:t>de manera genérica y fundando y motivando su clasificación.”</w:t>
      </w:r>
    </w:p>
    <w:p w14:paraId="614A33D2" w14:textId="77777777" w:rsidR="00626C57" w:rsidRPr="004F1889" w:rsidRDefault="0077452A">
      <w:pPr>
        <w:shd w:val="clear" w:color="auto" w:fill="FFFFFF"/>
        <w:spacing w:line="360" w:lineRule="auto"/>
        <w:ind w:left="567" w:right="-787"/>
        <w:rPr>
          <w:rFonts w:ascii="Palatino Linotype" w:eastAsia="Palatino Linotype" w:hAnsi="Palatino Linotype" w:cs="Palatino Linotype"/>
          <w:color w:val="222222"/>
        </w:rPr>
      </w:pPr>
      <w:r w:rsidRPr="004F1889">
        <w:rPr>
          <w:rFonts w:ascii="Palatino Linotype" w:eastAsia="Palatino Linotype" w:hAnsi="Palatino Linotype" w:cs="Palatino Linotype"/>
          <w:color w:val="222222"/>
        </w:rPr>
        <w:t>(Énfasis añadido)</w:t>
      </w:r>
    </w:p>
    <w:p w14:paraId="614A33D3" w14:textId="77777777" w:rsidR="00626C57" w:rsidRPr="004F1889" w:rsidRDefault="00626C57">
      <w:pPr>
        <w:tabs>
          <w:tab w:val="left" w:pos="7938"/>
        </w:tabs>
        <w:spacing w:line="360" w:lineRule="auto"/>
        <w:ind w:right="-787"/>
        <w:jc w:val="both"/>
        <w:rPr>
          <w:rFonts w:ascii="Palatino Linotype" w:eastAsia="Palatino Linotype" w:hAnsi="Palatino Linotype" w:cs="Palatino Linotype"/>
        </w:rPr>
      </w:pPr>
    </w:p>
    <w:p w14:paraId="614A33D4"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Verbigracia, de los datos personales que pueden contener los documentos solicitados son de manera enunciativa más no limitativa, el nombre del contribuyente, domicilio, CURP y RFC.</w:t>
      </w:r>
    </w:p>
    <w:p w14:paraId="614A33D5" w14:textId="77777777" w:rsidR="00626C57" w:rsidRPr="004F1889" w:rsidRDefault="00626C57">
      <w:pPr>
        <w:spacing w:line="360" w:lineRule="auto"/>
        <w:ind w:right="-787"/>
        <w:jc w:val="both"/>
        <w:rPr>
          <w:rFonts w:ascii="Palatino Linotype" w:eastAsia="Palatino Linotype" w:hAnsi="Palatino Linotype" w:cs="Palatino Linotype"/>
        </w:rPr>
      </w:pPr>
    </w:p>
    <w:p w14:paraId="614A33D6"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Luego entonces,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los contribuyentes, entre otros considerados como datos personales en términos de la normatividad aplicable.</w:t>
      </w:r>
    </w:p>
    <w:p w14:paraId="614A33D7" w14:textId="77777777" w:rsidR="00626C57" w:rsidRPr="004F1889" w:rsidRDefault="00626C57">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14:paraId="614A33D8"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En cuanto al Registro Federal de Contribuyentes de las personas físicas constituye un dato personal, ya que para su obtención es necesario acreditar ante la autoridad fiscal previamente la identidad de la persona, su fecha de nacimiento, entre otros aspectos.</w:t>
      </w:r>
    </w:p>
    <w:p w14:paraId="614A33D9" w14:textId="77777777" w:rsidR="00626C57" w:rsidRPr="004F1889" w:rsidRDefault="0077452A">
      <w:pPr>
        <w:tabs>
          <w:tab w:val="left" w:pos="7938"/>
        </w:tabs>
        <w:spacing w:line="360" w:lineRule="auto"/>
        <w:ind w:right="-787"/>
        <w:jc w:val="both"/>
        <w:rPr>
          <w:rFonts w:ascii="Palatino Linotype" w:eastAsia="Palatino Linotype" w:hAnsi="Palatino Linotype" w:cs="Palatino Linotype"/>
        </w:rPr>
      </w:pPr>
      <w:r w:rsidRPr="004F1889">
        <w:rPr>
          <w:rFonts w:ascii="Palatino Linotype" w:eastAsia="Palatino Linotype" w:hAnsi="Palatino Linotype" w:cs="Palatino Linotype"/>
        </w:rPr>
        <w:t> </w:t>
      </w:r>
    </w:p>
    <w:p w14:paraId="614A33DA"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14A33DB" w14:textId="77777777" w:rsidR="00626C57" w:rsidRPr="004F1889" w:rsidRDefault="0077452A">
      <w:pPr>
        <w:tabs>
          <w:tab w:val="left" w:pos="7938"/>
        </w:tabs>
        <w:spacing w:line="360" w:lineRule="auto"/>
        <w:ind w:right="-787"/>
        <w:jc w:val="both"/>
        <w:rPr>
          <w:rFonts w:ascii="Palatino Linotype" w:eastAsia="Palatino Linotype" w:hAnsi="Palatino Linotype" w:cs="Palatino Linotype"/>
        </w:rPr>
      </w:pPr>
      <w:r w:rsidRPr="004F1889">
        <w:rPr>
          <w:rFonts w:ascii="Palatino Linotype" w:eastAsia="Palatino Linotype" w:hAnsi="Palatino Linotype" w:cs="Palatino Linotype"/>
        </w:rPr>
        <w:t> </w:t>
      </w:r>
    </w:p>
    <w:p w14:paraId="614A33DC"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Lo anterior, es compartido por el Instituto Nacional de Transparencia, Acceso a la Información Pública y Protección de Datos Personales (INAI), a través del Criterio 19/17, de la segunda época, el cual es del tenor literal siguiente:</w:t>
      </w:r>
    </w:p>
    <w:p w14:paraId="614A33DD" w14:textId="77777777" w:rsidR="00626C57" w:rsidRPr="004F1889" w:rsidRDefault="0077452A">
      <w:pPr>
        <w:tabs>
          <w:tab w:val="left" w:pos="7938"/>
        </w:tabs>
        <w:spacing w:line="360" w:lineRule="auto"/>
        <w:ind w:left="426" w:right="-145"/>
        <w:jc w:val="both"/>
        <w:rPr>
          <w:rFonts w:ascii="Palatino Linotype" w:eastAsia="Palatino Linotype" w:hAnsi="Palatino Linotype" w:cs="Palatino Linotype"/>
          <w:color w:val="222222"/>
          <w:sz w:val="22"/>
          <w:szCs w:val="22"/>
        </w:rPr>
      </w:pPr>
      <w:r w:rsidRPr="004F1889">
        <w:rPr>
          <w:rFonts w:ascii="Palatino Linotype" w:eastAsia="Palatino Linotype" w:hAnsi="Palatino Linotype" w:cs="Palatino Linotype"/>
          <w:sz w:val="22"/>
          <w:szCs w:val="22"/>
        </w:rPr>
        <w:lastRenderedPageBreak/>
        <w:t> </w:t>
      </w:r>
      <w:r w:rsidRPr="004F1889">
        <w:rPr>
          <w:rFonts w:ascii="Palatino Linotype" w:eastAsia="Palatino Linotype" w:hAnsi="Palatino Linotype" w:cs="Palatino Linotype"/>
          <w:i/>
          <w:color w:val="222222"/>
          <w:sz w:val="22"/>
          <w:szCs w:val="22"/>
        </w:rPr>
        <w:t>“</w:t>
      </w:r>
      <w:r w:rsidRPr="004F1889">
        <w:rPr>
          <w:rFonts w:ascii="Palatino Linotype" w:eastAsia="Palatino Linotype" w:hAnsi="Palatino Linotype" w:cs="Palatino Linotype"/>
          <w:b/>
          <w:i/>
          <w:color w:val="222222"/>
          <w:sz w:val="22"/>
          <w:szCs w:val="22"/>
        </w:rPr>
        <w:t>Registro Federal de Contribuyentes (RFC) de personas físicas. </w:t>
      </w:r>
      <w:r w:rsidRPr="004F1889">
        <w:rPr>
          <w:rFonts w:ascii="Palatino Linotype" w:eastAsia="Palatino Linotype" w:hAnsi="Palatino Linotype" w:cs="Palatino Linotype"/>
          <w:i/>
          <w:color w:val="222222"/>
          <w:sz w:val="22"/>
          <w:szCs w:val="22"/>
        </w:rPr>
        <w:t>El RFC es una clave de carácter fiscal, única e irrepetible, que permite identificar al titular, su edad y fecha de nacimiento, por lo que es un dato personal de carácter confidencial.”</w:t>
      </w:r>
    </w:p>
    <w:p w14:paraId="614A33DE" w14:textId="77777777" w:rsidR="00626C57" w:rsidRPr="004F1889" w:rsidRDefault="00626C57">
      <w:pPr>
        <w:tabs>
          <w:tab w:val="left" w:pos="7938"/>
        </w:tabs>
        <w:spacing w:line="360" w:lineRule="auto"/>
        <w:ind w:right="-787"/>
        <w:jc w:val="both"/>
        <w:rPr>
          <w:rFonts w:ascii="Palatino Linotype" w:eastAsia="Palatino Linotype" w:hAnsi="Palatino Linotype" w:cs="Palatino Linotype"/>
        </w:rPr>
      </w:pPr>
    </w:p>
    <w:p w14:paraId="614A33DF"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Así, el RFC se vincula al nombre de su titular, permite identificar la edad de la persona, su fecha de nacimiento, así como su </w:t>
      </w:r>
      <w:proofErr w:type="spellStart"/>
      <w:r w:rsidRPr="004F1889">
        <w:rPr>
          <w:rFonts w:ascii="Palatino Linotype" w:eastAsia="Palatino Linotype" w:hAnsi="Palatino Linotype" w:cs="Palatino Linotype"/>
        </w:rPr>
        <w:t>homoclave</w:t>
      </w:r>
      <w:proofErr w:type="spellEnd"/>
      <w:r w:rsidRPr="004F1889">
        <w:rPr>
          <w:rFonts w:ascii="Palatino Linotype" w:eastAsia="Palatino Linotype" w:hAnsi="Palatino Linotype" w:cs="Palatino Linotype"/>
        </w:rPr>
        <w:t>, la cual es única e irrepetible y determina justamente la identificación de dicha persona para efectos fiscales, por lo que éste constituye un dato personal que concierne a una persona física identificada e identificable.</w:t>
      </w:r>
    </w:p>
    <w:p w14:paraId="614A33E0" w14:textId="77777777" w:rsidR="00626C57" w:rsidRPr="004F1889" w:rsidRDefault="0077452A">
      <w:pPr>
        <w:tabs>
          <w:tab w:val="left" w:pos="7938"/>
        </w:tabs>
        <w:spacing w:line="360" w:lineRule="auto"/>
        <w:ind w:right="-787"/>
        <w:jc w:val="both"/>
        <w:rPr>
          <w:rFonts w:ascii="Palatino Linotype" w:eastAsia="Palatino Linotype" w:hAnsi="Palatino Linotype" w:cs="Palatino Linotype"/>
        </w:rPr>
      </w:pPr>
      <w:r w:rsidRPr="004F1889">
        <w:rPr>
          <w:rFonts w:ascii="Palatino Linotype" w:eastAsia="Palatino Linotype" w:hAnsi="Palatino Linotype" w:cs="Palatino Linotype"/>
        </w:rPr>
        <w:t> </w:t>
      </w:r>
    </w:p>
    <w:p w14:paraId="614A33E1"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14A33E2" w14:textId="77777777" w:rsidR="00626C57" w:rsidRPr="004F1889" w:rsidRDefault="0077452A">
      <w:pPr>
        <w:tabs>
          <w:tab w:val="left" w:pos="7938"/>
        </w:tabs>
        <w:spacing w:line="360" w:lineRule="auto"/>
        <w:ind w:right="-787"/>
        <w:jc w:val="both"/>
        <w:rPr>
          <w:rFonts w:ascii="Palatino Linotype" w:eastAsia="Palatino Linotype" w:hAnsi="Palatino Linotype" w:cs="Palatino Linotype"/>
        </w:rPr>
      </w:pPr>
      <w:r w:rsidRPr="004F1889">
        <w:rPr>
          <w:rFonts w:ascii="Palatino Linotype" w:eastAsia="Palatino Linotype" w:hAnsi="Palatino Linotype" w:cs="Palatino Linotype"/>
        </w:rPr>
        <w:t> </w:t>
      </w:r>
    </w:p>
    <w:p w14:paraId="614A33E3"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Argumento que es compartido por el Instituto Nacional de Transparencia, Acceso a la Información Pública y Protección de Datos Personales, conforme al criterio número 18/17 de la segunda época, el cual refiere:</w:t>
      </w:r>
    </w:p>
    <w:p w14:paraId="614A33E4" w14:textId="77777777" w:rsidR="00626C57" w:rsidRPr="004F1889" w:rsidRDefault="0077452A">
      <w:pPr>
        <w:tabs>
          <w:tab w:val="left" w:pos="7938"/>
        </w:tabs>
        <w:spacing w:line="360" w:lineRule="auto"/>
        <w:ind w:left="567" w:right="-145"/>
        <w:jc w:val="both"/>
        <w:rPr>
          <w:rFonts w:ascii="Palatino Linotype" w:eastAsia="Palatino Linotype" w:hAnsi="Palatino Linotype" w:cs="Palatino Linotype"/>
          <w:color w:val="222222"/>
          <w:sz w:val="22"/>
          <w:szCs w:val="22"/>
        </w:rPr>
      </w:pPr>
      <w:r w:rsidRPr="004F1889">
        <w:rPr>
          <w:rFonts w:ascii="Palatino Linotype" w:eastAsia="Palatino Linotype" w:hAnsi="Palatino Linotype" w:cs="Palatino Linotype"/>
          <w:sz w:val="22"/>
          <w:szCs w:val="22"/>
        </w:rPr>
        <w:t> </w:t>
      </w:r>
      <w:r w:rsidRPr="004F1889">
        <w:rPr>
          <w:rFonts w:ascii="Palatino Linotype" w:eastAsia="Palatino Linotype" w:hAnsi="Palatino Linotype" w:cs="Palatino Linotype"/>
          <w:i/>
          <w:color w:val="222222"/>
          <w:sz w:val="22"/>
          <w:szCs w:val="22"/>
        </w:rPr>
        <w:t>“</w:t>
      </w:r>
      <w:r w:rsidRPr="004F1889">
        <w:rPr>
          <w:rFonts w:ascii="Palatino Linotype" w:eastAsia="Palatino Linotype" w:hAnsi="Palatino Linotype" w:cs="Palatino Linotype"/>
          <w:b/>
          <w:i/>
          <w:color w:val="222222"/>
          <w:sz w:val="22"/>
          <w:szCs w:val="22"/>
        </w:rPr>
        <w:t xml:space="preserve">Clave Única de Registro de Población (CURP). </w:t>
      </w:r>
      <w:r w:rsidRPr="004F1889">
        <w:rPr>
          <w:rFonts w:ascii="Palatino Linotype" w:eastAsia="Palatino Linotype" w:hAnsi="Palatino Linotype" w:cs="Palatino Linotype"/>
          <w:i/>
          <w:color w:val="222222"/>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14A33E5" w14:textId="77777777" w:rsidR="00626C57" w:rsidRPr="004F1889" w:rsidRDefault="00626C57">
      <w:pPr>
        <w:tabs>
          <w:tab w:val="left" w:pos="7938"/>
        </w:tabs>
        <w:spacing w:line="360" w:lineRule="auto"/>
        <w:ind w:right="-787"/>
        <w:jc w:val="both"/>
        <w:rPr>
          <w:rFonts w:ascii="Palatino Linotype" w:eastAsia="Palatino Linotype" w:hAnsi="Palatino Linotype" w:cs="Palatino Linotype"/>
        </w:rPr>
      </w:pPr>
    </w:p>
    <w:p w14:paraId="614A33E6"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Los acuerdos de clasificación deberán contener un razonamiento lógico en que se demuestre que la información se encuentra en una de las hipótesis previstas en la ley, si bien </w:t>
      </w:r>
      <w:r w:rsidRPr="004F1889">
        <w:rPr>
          <w:rFonts w:ascii="Palatino Linotype" w:eastAsia="Palatino Linotype" w:hAnsi="Palatino Linotype" w:cs="Palatino Linotype"/>
        </w:rPr>
        <w:lastRenderedPageBreak/>
        <w:t>es cierto cuenta con los requisitos mínimos que debe contener un acuerdo de clasificación, también es cierto que debe estar debidamente fundado y motivado, sirve de apoyo lo siguiente:</w:t>
      </w:r>
    </w:p>
    <w:p w14:paraId="614A33E7" w14:textId="77777777" w:rsidR="00626C57" w:rsidRPr="004F1889" w:rsidRDefault="0077452A">
      <w:pPr>
        <w:shd w:val="clear" w:color="auto" w:fill="FFFFFF"/>
        <w:spacing w:line="360" w:lineRule="auto"/>
        <w:ind w:left="567" w:right="-145"/>
        <w:jc w:val="both"/>
        <w:rPr>
          <w:rFonts w:ascii="Palatino Linotype" w:eastAsia="Palatino Linotype" w:hAnsi="Palatino Linotype" w:cs="Palatino Linotype"/>
          <w:color w:val="222222"/>
          <w:sz w:val="22"/>
          <w:szCs w:val="22"/>
        </w:rPr>
      </w:pPr>
      <w:r w:rsidRPr="004F1889">
        <w:rPr>
          <w:rFonts w:ascii="Palatino Linotype" w:eastAsia="Palatino Linotype" w:hAnsi="Palatino Linotype" w:cs="Palatino Linotype"/>
          <w:b/>
          <w:i/>
          <w:color w:val="000000"/>
          <w:sz w:val="22"/>
          <w:szCs w:val="22"/>
        </w:rPr>
        <w:t>“FUNDAMENTACIÓN Y MOTIVACIÓN.</w:t>
      </w:r>
      <w:r w:rsidRPr="004F1889">
        <w:rPr>
          <w:rFonts w:ascii="Palatino Linotype" w:eastAsia="Palatino Linotype" w:hAnsi="Palatino Linotype" w:cs="Palatino Linotype"/>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14A33E8" w14:textId="77777777" w:rsidR="00626C57" w:rsidRPr="004F1889" w:rsidRDefault="00626C57">
      <w:pPr>
        <w:tabs>
          <w:tab w:val="left" w:pos="7938"/>
        </w:tabs>
        <w:spacing w:line="360" w:lineRule="auto"/>
        <w:ind w:right="-787"/>
        <w:jc w:val="both"/>
        <w:rPr>
          <w:rFonts w:ascii="Palatino Linotype" w:eastAsia="Palatino Linotype" w:hAnsi="Palatino Linotype" w:cs="Palatino Linotype"/>
        </w:rPr>
      </w:pPr>
    </w:p>
    <w:p w14:paraId="614A33E9"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14A33EA" w14:textId="77777777" w:rsidR="00626C57" w:rsidRPr="004F1889" w:rsidRDefault="00626C57">
      <w:pPr>
        <w:tabs>
          <w:tab w:val="left" w:pos="7938"/>
        </w:tabs>
        <w:spacing w:line="360" w:lineRule="auto"/>
        <w:ind w:right="-787"/>
        <w:jc w:val="both"/>
        <w:rPr>
          <w:rFonts w:ascii="Palatino Linotype" w:eastAsia="Palatino Linotype" w:hAnsi="Palatino Linotype" w:cs="Palatino Linotype"/>
        </w:rPr>
      </w:pPr>
    </w:p>
    <w:p w14:paraId="614A33EB"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r w:rsidRPr="004F1889">
        <w:rPr>
          <w:rFonts w:ascii="Palatino Linotype" w:eastAsia="Palatino Linotype" w:hAnsi="Palatino Linotype" w:cs="Palatino Linotype"/>
        </w:rPr>
        <w:t>En consecuencia, la fundamentación y motivación implica que, en el acto de autoridad, además de contenerse los supuestos jurídicos aplicables se expliquen claramente por qué a través de la utilización de la norma se emitió el acto.</w:t>
      </w:r>
    </w:p>
    <w:p w14:paraId="614A33EC" w14:textId="77777777" w:rsidR="00626C57" w:rsidRPr="004F1889" w:rsidRDefault="0077452A">
      <w:pPr>
        <w:spacing w:line="360" w:lineRule="auto"/>
        <w:ind w:right="-787"/>
        <w:jc w:val="both"/>
        <w:rPr>
          <w:rFonts w:ascii="Palatino Linotype" w:eastAsia="Palatino Linotype" w:hAnsi="Palatino Linotype" w:cs="Palatino Linotype"/>
        </w:rPr>
      </w:pPr>
      <w:r w:rsidRPr="004F1889">
        <w:rPr>
          <w:rFonts w:ascii="Palatino Linotype" w:eastAsia="Palatino Linotype" w:hAnsi="Palatino Linotype" w:cs="Palatino Linotype"/>
          <w:color w:val="000000"/>
        </w:rPr>
        <w:t xml:space="preserve"> </w:t>
      </w:r>
    </w:p>
    <w:p w14:paraId="614A33ED"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color w:val="000000"/>
        </w:rPr>
        <w:t>Luego entonces, no pasa desapercibido para este Órgano Garante que los sujetos obligados</w:t>
      </w:r>
      <w:r w:rsidRPr="004F1889">
        <w:rPr>
          <w:rFonts w:ascii="Palatino Linotype" w:eastAsia="Palatino Linotype" w:hAnsi="Palatino Linotype" w:cs="Palatino Linotype"/>
          <w:b/>
          <w:color w:val="000000"/>
        </w:rPr>
        <w:t xml:space="preserve"> </w:t>
      </w:r>
      <w:r w:rsidRPr="004F1889">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14A33EE" w14:textId="77777777" w:rsidR="00626C57" w:rsidRPr="004F1889" w:rsidRDefault="00626C57">
      <w:pPr>
        <w:tabs>
          <w:tab w:val="left" w:pos="284"/>
        </w:tabs>
        <w:spacing w:line="360" w:lineRule="auto"/>
        <w:ind w:right="-787"/>
        <w:jc w:val="both"/>
        <w:rPr>
          <w:rFonts w:ascii="Palatino Linotype" w:eastAsia="Palatino Linotype" w:hAnsi="Palatino Linotype" w:cs="Palatino Linotype"/>
          <w:color w:val="000000"/>
        </w:rPr>
      </w:pPr>
    </w:p>
    <w:tbl>
      <w:tblPr>
        <w:tblStyle w:val="a1"/>
        <w:tblW w:w="976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50"/>
        <w:gridCol w:w="6915"/>
      </w:tblGrid>
      <w:tr w:rsidR="00626C57" w:rsidRPr="004F1889" w14:paraId="614A33F7" w14:textId="77777777">
        <w:tc>
          <w:tcPr>
            <w:tcW w:w="2850" w:type="dxa"/>
          </w:tcPr>
          <w:p w14:paraId="614A33EF" w14:textId="77777777" w:rsidR="00626C57" w:rsidRPr="004F1889" w:rsidRDefault="0077452A">
            <w:pPr>
              <w:tabs>
                <w:tab w:val="left" w:pos="284"/>
              </w:tabs>
              <w:spacing w:line="360" w:lineRule="auto"/>
              <w:ind w:right="-82"/>
              <w:rPr>
                <w:rFonts w:ascii="Palatino Linotype" w:eastAsia="Palatino Linotype" w:hAnsi="Palatino Linotype" w:cs="Palatino Linotype"/>
                <w:b/>
                <w:sz w:val="22"/>
                <w:szCs w:val="22"/>
              </w:rPr>
            </w:pPr>
            <w:r w:rsidRPr="004F1889">
              <w:rPr>
                <w:rFonts w:ascii="Palatino Linotype" w:eastAsia="Palatino Linotype" w:hAnsi="Palatino Linotype" w:cs="Palatino Linotype"/>
                <w:b/>
                <w:sz w:val="22"/>
                <w:szCs w:val="22"/>
              </w:rPr>
              <w:lastRenderedPageBreak/>
              <w:t>a) Requisitos previos.</w:t>
            </w:r>
          </w:p>
        </w:tc>
        <w:tc>
          <w:tcPr>
            <w:tcW w:w="6915" w:type="dxa"/>
          </w:tcPr>
          <w:p w14:paraId="614A33F0"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614A33F1" w14:textId="77777777" w:rsidR="00626C57" w:rsidRPr="004F1889" w:rsidRDefault="00626C57">
            <w:pPr>
              <w:tabs>
                <w:tab w:val="left" w:pos="284"/>
              </w:tabs>
              <w:spacing w:line="360" w:lineRule="auto"/>
              <w:ind w:right="-82"/>
              <w:jc w:val="both"/>
              <w:rPr>
                <w:rFonts w:ascii="Palatino Linotype" w:eastAsia="Palatino Linotype" w:hAnsi="Palatino Linotype" w:cs="Palatino Linotype"/>
                <w:color w:val="000000"/>
                <w:sz w:val="22"/>
                <w:szCs w:val="22"/>
              </w:rPr>
            </w:pPr>
          </w:p>
          <w:p w14:paraId="614A33F2"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14:paraId="614A33F3"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color w:val="000000"/>
                <w:sz w:val="22"/>
                <w:szCs w:val="22"/>
              </w:rPr>
              <w:t>Además, se debe señalar el procedimiento, de los tres que establecen los artículos 132 y 106 de la Ley Estatal y General, respectivamente.</w:t>
            </w:r>
          </w:p>
          <w:p w14:paraId="614A33F4" w14:textId="77777777" w:rsidR="00626C57" w:rsidRPr="004F1889" w:rsidRDefault="00626C57">
            <w:pPr>
              <w:tabs>
                <w:tab w:val="left" w:pos="284"/>
              </w:tabs>
              <w:spacing w:line="360" w:lineRule="auto"/>
              <w:ind w:right="-82"/>
              <w:jc w:val="both"/>
              <w:rPr>
                <w:rFonts w:ascii="Palatino Linotype" w:eastAsia="Palatino Linotype" w:hAnsi="Palatino Linotype" w:cs="Palatino Linotype"/>
                <w:color w:val="000000"/>
                <w:sz w:val="22"/>
                <w:szCs w:val="22"/>
              </w:rPr>
            </w:pPr>
          </w:p>
          <w:p w14:paraId="614A33F5"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sidRPr="004F1889">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sidRPr="004F1889">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p w14:paraId="614A33F6" w14:textId="77777777" w:rsidR="00626C57" w:rsidRPr="004F1889" w:rsidRDefault="00626C57">
            <w:pPr>
              <w:tabs>
                <w:tab w:val="left" w:pos="284"/>
              </w:tabs>
              <w:spacing w:line="360" w:lineRule="auto"/>
              <w:ind w:right="-82"/>
              <w:jc w:val="both"/>
              <w:rPr>
                <w:rFonts w:ascii="Palatino Linotype" w:eastAsia="Palatino Linotype" w:hAnsi="Palatino Linotype" w:cs="Palatino Linotype"/>
                <w:sz w:val="22"/>
                <w:szCs w:val="22"/>
              </w:rPr>
            </w:pPr>
          </w:p>
        </w:tc>
      </w:tr>
      <w:tr w:rsidR="00626C57" w:rsidRPr="004F1889" w14:paraId="614A33FF" w14:textId="77777777">
        <w:tc>
          <w:tcPr>
            <w:tcW w:w="2850" w:type="dxa"/>
          </w:tcPr>
          <w:p w14:paraId="614A33F8" w14:textId="77777777" w:rsidR="00626C57" w:rsidRPr="004F1889" w:rsidRDefault="0077452A">
            <w:pPr>
              <w:tabs>
                <w:tab w:val="left" w:pos="284"/>
              </w:tabs>
              <w:spacing w:line="360" w:lineRule="auto"/>
              <w:ind w:right="-82"/>
              <w:rPr>
                <w:rFonts w:ascii="Palatino Linotype" w:eastAsia="Palatino Linotype" w:hAnsi="Palatino Linotype" w:cs="Palatino Linotype"/>
                <w:b/>
                <w:sz w:val="22"/>
                <w:szCs w:val="22"/>
              </w:rPr>
            </w:pPr>
            <w:r w:rsidRPr="004F1889">
              <w:rPr>
                <w:rFonts w:ascii="Palatino Linotype" w:eastAsia="Palatino Linotype" w:hAnsi="Palatino Linotype" w:cs="Palatino Linotype"/>
                <w:b/>
                <w:sz w:val="22"/>
                <w:szCs w:val="22"/>
              </w:rPr>
              <w:t>b) Supuestos de clasificación.</w:t>
            </w:r>
          </w:p>
        </w:tc>
        <w:tc>
          <w:tcPr>
            <w:tcW w:w="6915" w:type="dxa"/>
          </w:tcPr>
          <w:p w14:paraId="614A33F9"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614A33FA" w14:textId="77777777" w:rsidR="00626C57" w:rsidRPr="004F1889" w:rsidRDefault="00626C57">
            <w:pPr>
              <w:tabs>
                <w:tab w:val="left" w:pos="284"/>
              </w:tabs>
              <w:spacing w:line="360" w:lineRule="auto"/>
              <w:ind w:right="-82"/>
              <w:jc w:val="both"/>
              <w:rPr>
                <w:rFonts w:ascii="Palatino Linotype" w:eastAsia="Palatino Linotype" w:hAnsi="Palatino Linotype" w:cs="Palatino Linotype"/>
                <w:color w:val="000000"/>
                <w:sz w:val="22"/>
                <w:szCs w:val="22"/>
              </w:rPr>
            </w:pPr>
          </w:p>
          <w:p w14:paraId="614A33FB"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color w:val="000000"/>
                <w:sz w:val="22"/>
                <w:szCs w:val="22"/>
              </w:rPr>
              <w:t xml:space="preserve">Los artículos 116 y 143 de la Ley Estatal y de la Ley General, respectivamente, señalan los supuestos para que la información pueda ser clasificada como confidencial. Mientras que los artículos 105 y 130 </w:t>
            </w:r>
            <w:r w:rsidRPr="004F1889">
              <w:rPr>
                <w:rFonts w:ascii="Palatino Linotype" w:eastAsia="Palatino Linotype" w:hAnsi="Palatino Linotype" w:cs="Palatino Linotype"/>
                <w:color w:val="000000"/>
                <w:sz w:val="22"/>
                <w:szCs w:val="22"/>
              </w:rPr>
              <w:lastRenderedPageBreak/>
              <w:t>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14A33FC" w14:textId="77777777" w:rsidR="00626C57" w:rsidRPr="004F1889" w:rsidRDefault="00626C57">
            <w:pPr>
              <w:tabs>
                <w:tab w:val="left" w:pos="284"/>
              </w:tabs>
              <w:spacing w:line="360" w:lineRule="auto"/>
              <w:ind w:right="-82"/>
              <w:jc w:val="both"/>
              <w:rPr>
                <w:rFonts w:ascii="Palatino Linotype" w:eastAsia="Palatino Linotype" w:hAnsi="Palatino Linotype" w:cs="Palatino Linotype"/>
                <w:color w:val="000000"/>
                <w:sz w:val="22"/>
                <w:szCs w:val="22"/>
              </w:rPr>
            </w:pPr>
          </w:p>
          <w:p w14:paraId="614A33FD"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color w:val="000000"/>
                <w:sz w:val="22"/>
                <w:szCs w:val="22"/>
              </w:rPr>
              <w:t xml:space="preserve">El </w:t>
            </w:r>
            <w:r w:rsidRPr="004F1889">
              <w:rPr>
                <w:rFonts w:ascii="Palatino Linotype" w:eastAsia="Palatino Linotype" w:hAnsi="Palatino Linotype" w:cs="Palatino Linotype"/>
                <w:b/>
                <w:color w:val="000000"/>
                <w:sz w:val="22"/>
                <w:szCs w:val="22"/>
              </w:rPr>
              <w:t>Sujeto Obligado</w:t>
            </w:r>
            <w:r w:rsidRPr="004F1889">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614A33FE" w14:textId="77777777" w:rsidR="00626C57" w:rsidRPr="004F1889" w:rsidRDefault="00626C57">
            <w:pPr>
              <w:tabs>
                <w:tab w:val="left" w:pos="284"/>
              </w:tabs>
              <w:spacing w:line="360" w:lineRule="auto"/>
              <w:ind w:right="-82"/>
              <w:jc w:val="both"/>
              <w:rPr>
                <w:rFonts w:ascii="Palatino Linotype" w:eastAsia="Palatino Linotype" w:hAnsi="Palatino Linotype" w:cs="Palatino Linotype"/>
                <w:sz w:val="22"/>
                <w:szCs w:val="22"/>
              </w:rPr>
            </w:pPr>
          </w:p>
        </w:tc>
      </w:tr>
      <w:tr w:rsidR="00626C57" w:rsidRPr="004F1889" w14:paraId="614A3406" w14:textId="77777777">
        <w:tc>
          <w:tcPr>
            <w:tcW w:w="2850" w:type="dxa"/>
          </w:tcPr>
          <w:p w14:paraId="614A3400" w14:textId="77777777" w:rsidR="00626C57" w:rsidRPr="004F1889" w:rsidRDefault="0077452A">
            <w:pPr>
              <w:tabs>
                <w:tab w:val="left" w:pos="284"/>
              </w:tabs>
              <w:spacing w:line="360" w:lineRule="auto"/>
              <w:ind w:right="-82"/>
              <w:rPr>
                <w:rFonts w:ascii="Palatino Linotype" w:eastAsia="Palatino Linotype" w:hAnsi="Palatino Linotype" w:cs="Palatino Linotype"/>
                <w:b/>
                <w:sz w:val="22"/>
                <w:szCs w:val="22"/>
              </w:rPr>
            </w:pPr>
            <w:r w:rsidRPr="004F1889">
              <w:rPr>
                <w:rFonts w:ascii="Palatino Linotype" w:eastAsia="Palatino Linotype" w:hAnsi="Palatino Linotype" w:cs="Palatino Linotype"/>
                <w:b/>
                <w:sz w:val="22"/>
                <w:szCs w:val="22"/>
              </w:rPr>
              <w:lastRenderedPageBreak/>
              <w:t>c) Formalidades para emitir el acuerdo de clasificación.</w:t>
            </w:r>
          </w:p>
        </w:tc>
        <w:tc>
          <w:tcPr>
            <w:tcW w:w="6915" w:type="dxa"/>
          </w:tcPr>
          <w:p w14:paraId="614A3401"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614A3402" w14:textId="77777777" w:rsidR="00626C57" w:rsidRPr="004F1889" w:rsidRDefault="00626C57">
            <w:pPr>
              <w:tabs>
                <w:tab w:val="left" w:pos="284"/>
              </w:tabs>
              <w:spacing w:line="360" w:lineRule="auto"/>
              <w:ind w:right="-82"/>
              <w:jc w:val="both"/>
              <w:rPr>
                <w:rFonts w:ascii="Palatino Linotype" w:eastAsia="Palatino Linotype" w:hAnsi="Palatino Linotype" w:cs="Palatino Linotype"/>
                <w:color w:val="000000"/>
                <w:sz w:val="22"/>
                <w:szCs w:val="22"/>
              </w:rPr>
            </w:pPr>
          </w:p>
          <w:p w14:paraId="614A3403"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color w:val="000000"/>
                <w:sz w:val="22"/>
                <w:szCs w:val="22"/>
              </w:rPr>
              <w:t xml:space="preserve">Es necesario que </w:t>
            </w:r>
            <w:r w:rsidRPr="004F1889">
              <w:rPr>
                <w:rFonts w:ascii="Palatino Linotype" w:eastAsia="Palatino Linotype" w:hAnsi="Palatino Linotype" w:cs="Palatino Linotype"/>
                <w:b/>
                <w:color w:val="000000"/>
                <w:sz w:val="22"/>
                <w:szCs w:val="22"/>
                <w:u w:val="single"/>
              </w:rPr>
              <w:t>el acto reúna con los requisitos elementales</w:t>
            </w:r>
            <w:r w:rsidRPr="004F1889">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614A3404"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color w:val="000000"/>
                <w:sz w:val="22"/>
                <w:szCs w:val="22"/>
              </w:rPr>
              <w:t xml:space="preserve">La decisión de aprobar, modificar o revocar la clasificación deberá de asentarse en un documento que registre la determinación a la que se llegue después de un análisis minucioso a partir de lo propuesto por el Titular del I. </w:t>
            </w:r>
            <w:r w:rsidRPr="004F1889">
              <w:rPr>
                <w:rFonts w:ascii="Palatino Linotype" w:eastAsia="Palatino Linotype" w:hAnsi="Palatino Linotype" w:cs="Palatino Linotype"/>
                <w:sz w:val="22"/>
                <w:szCs w:val="22"/>
              </w:rPr>
              <w:t>El área</w:t>
            </w:r>
            <w:r w:rsidRPr="004F1889">
              <w:rPr>
                <w:rFonts w:ascii="Palatino Linotype" w:eastAsia="Palatino Linotype" w:hAnsi="Palatino Linotype" w:cs="Palatino Linotype"/>
                <w:color w:val="000000"/>
                <w:sz w:val="22"/>
                <w:szCs w:val="22"/>
              </w:rPr>
              <w:t xml:space="preserve"> que administra la información, cuyo análisis debe integrarse en la agenda de los asuntos a tratar en las sesiones, se insiste, a partir de las decisiones adoptadas previamente por los </w:t>
            </w:r>
            <w:r w:rsidRPr="004F1889">
              <w:rPr>
                <w:rFonts w:ascii="Palatino Linotype" w:eastAsia="Palatino Linotype" w:hAnsi="Palatino Linotype" w:cs="Palatino Linotype"/>
                <w:color w:val="000000"/>
                <w:sz w:val="22"/>
                <w:szCs w:val="22"/>
              </w:rPr>
              <w:lastRenderedPageBreak/>
              <w:t>titulares de áreas y que son sujetas a control, en primera instancia, por el Comité de Transparencia.</w:t>
            </w:r>
          </w:p>
          <w:p w14:paraId="614A3405" w14:textId="77777777" w:rsidR="00626C57" w:rsidRPr="004F1889" w:rsidRDefault="00626C57">
            <w:pPr>
              <w:tabs>
                <w:tab w:val="left" w:pos="284"/>
              </w:tabs>
              <w:spacing w:line="360" w:lineRule="auto"/>
              <w:ind w:right="-82"/>
              <w:jc w:val="both"/>
              <w:rPr>
                <w:rFonts w:ascii="Palatino Linotype" w:eastAsia="Palatino Linotype" w:hAnsi="Palatino Linotype" w:cs="Palatino Linotype"/>
                <w:sz w:val="22"/>
                <w:szCs w:val="22"/>
              </w:rPr>
            </w:pPr>
          </w:p>
        </w:tc>
      </w:tr>
      <w:tr w:rsidR="00626C57" w:rsidRPr="004F1889" w14:paraId="614A3412" w14:textId="77777777">
        <w:tc>
          <w:tcPr>
            <w:tcW w:w="2850" w:type="dxa"/>
          </w:tcPr>
          <w:p w14:paraId="614A3407" w14:textId="77777777" w:rsidR="00626C57" w:rsidRPr="004F1889" w:rsidRDefault="00626C57">
            <w:pPr>
              <w:tabs>
                <w:tab w:val="left" w:pos="284"/>
              </w:tabs>
              <w:spacing w:line="360" w:lineRule="auto"/>
              <w:ind w:right="-82"/>
              <w:rPr>
                <w:rFonts w:ascii="Palatino Linotype" w:eastAsia="Palatino Linotype" w:hAnsi="Palatino Linotype" w:cs="Palatino Linotype"/>
                <w:b/>
                <w:sz w:val="22"/>
                <w:szCs w:val="22"/>
              </w:rPr>
            </w:pPr>
          </w:p>
          <w:p w14:paraId="614A3408"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b/>
                <w:sz w:val="22"/>
                <w:szCs w:val="22"/>
              </w:rPr>
            </w:pPr>
            <w:r w:rsidRPr="004F1889">
              <w:rPr>
                <w:rFonts w:ascii="Palatino Linotype" w:eastAsia="Palatino Linotype" w:hAnsi="Palatino Linotype" w:cs="Palatino Linotype"/>
                <w:b/>
                <w:color w:val="000000"/>
                <w:sz w:val="22"/>
                <w:szCs w:val="22"/>
              </w:rPr>
              <w:t xml:space="preserve">d) Requisitos de fondo del acuerdo de clasificación. </w:t>
            </w:r>
          </w:p>
        </w:tc>
        <w:tc>
          <w:tcPr>
            <w:tcW w:w="6915" w:type="dxa"/>
          </w:tcPr>
          <w:p w14:paraId="614A3409"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F1889">
              <w:rPr>
                <w:rFonts w:ascii="Palatino Linotype" w:eastAsia="Palatino Linotype" w:hAnsi="Palatino Linotype" w:cs="Palatino Linotype"/>
                <w:b/>
                <w:color w:val="000000"/>
                <w:sz w:val="22"/>
                <w:szCs w:val="22"/>
              </w:rPr>
              <w:t>Sujetos Obligados</w:t>
            </w:r>
            <w:r w:rsidRPr="004F1889">
              <w:rPr>
                <w:rFonts w:ascii="Palatino Linotype" w:eastAsia="Palatino Linotype" w:hAnsi="Palatino Linotype" w:cs="Palatino Linotype"/>
                <w:color w:val="000000"/>
                <w:sz w:val="22"/>
                <w:szCs w:val="22"/>
              </w:rPr>
              <w:t xml:space="preserve">, por lo que deberán fundar y motivar debidamente la clasificación. </w:t>
            </w:r>
          </w:p>
          <w:p w14:paraId="614A340A"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color w:val="000000"/>
                <w:sz w:val="22"/>
                <w:szCs w:val="22"/>
              </w:rPr>
              <w:t xml:space="preserve">De lo anterior, se desprende que para una correcta </w:t>
            </w:r>
            <w:r w:rsidRPr="004F1889">
              <w:rPr>
                <w:rFonts w:ascii="Palatino Linotype" w:eastAsia="Palatino Linotype" w:hAnsi="Palatino Linotype" w:cs="Palatino Linotype"/>
                <w:b/>
                <w:color w:val="000000"/>
                <w:sz w:val="22"/>
                <w:szCs w:val="22"/>
              </w:rPr>
              <w:t>clasificación total o parcial</w:t>
            </w:r>
            <w:r w:rsidRPr="004F1889">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14A340B" w14:textId="77777777" w:rsidR="00626C57" w:rsidRPr="004F1889" w:rsidRDefault="00626C57">
            <w:pPr>
              <w:tabs>
                <w:tab w:val="left" w:pos="284"/>
              </w:tabs>
              <w:spacing w:line="360" w:lineRule="auto"/>
              <w:ind w:right="-82"/>
              <w:jc w:val="both"/>
              <w:rPr>
                <w:rFonts w:ascii="Palatino Linotype" w:eastAsia="Palatino Linotype" w:hAnsi="Palatino Linotype" w:cs="Palatino Linotype"/>
                <w:color w:val="000000"/>
                <w:sz w:val="22"/>
                <w:szCs w:val="22"/>
              </w:rPr>
            </w:pPr>
          </w:p>
          <w:p w14:paraId="614A340C"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14A340D" w14:textId="77777777" w:rsidR="00626C57" w:rsidRPr="004F1889" w:rsidRDefault="00626C57">
            <w:pPr>
              <w:tabs>
                <w:tab w:val="left" w:pos="284"/>
              </w:tabs>
              <w:spacing w:line="360" w:lineRule="auto"/>
              <w:ind w:right="-82"/>
              <w:jc w:val="both"/>
              <w:rPr>
                <w:rFonts w:ascii="Palatino Linotype" w:eastAsia="Palatino Linotype" w:hAnsi="Palatino Linotype" w:cs="Palatino Linotype"/>
                <w:color w:val="000000"/>
                <w:sz w:val="22"/>
                <w:szCs w:val="22"/>
              </w:rPr>
            </w:pPr>
          </w:p>
          <w:p w14:paraId="614A340E"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color w:val="000000"/>
                <w:sz w:val="22"/>
                <w:szCs w:val="22"/>
              </w:rPr>
              <w:lastRenderedPageBreak/>
              <w:t>En ese mismo sentido, el numeral trigésimo tercero fracción V de los Lineamientos Generales, precisa que para motivar la clasificación se deben acreditar las circunstancias de tiempo, modo y lugar.</w:t>
            </w:r>
          </w:p>
          <w:p w14:paraId="614A340F" w14:textId="77777777" w:rsidR="00626C57" w:rsidRPr="004F1889" w:rsidRDefault="00626C57">
            <w:pPr>
              <w:tabs>
                <w:tab w:val="left" w:pos="284"/>
              </w:tabs>
              <w:spacing w:line="360" w:lineRule="auto"/>
              <w:ind w:right="-82"/>
              <w:jc w:val="both"/>
              <w:rPr>
                <w:rFonts w:ascii="Palatino Linotype" w:eastAsia="Palatino Linotype" w:hAnsi="Palatino Linotype" w:cs="Palatino Linotype"/>
                <w:color w:val="000000"/>
                <w:sz w:val="22"/>
                <w:szCs w:val="22"/>
              </w:rPr>
            </w:pPr>
          </w:p>
          <w:p w14:paraId="614A3410"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color w:val="000000"/>
                <w:sz w:val="22"/>
                <w:szCs w:val="22"/>
              </w:rPr>
              <w:t xml:space="preserve">Ahora bien, </w:t>
            </w:r>
            <w:r w:rsidRPr="004F1889">
              <w:rPr>
                <w:rFonts w:ascii="Palatino Linotype" w:eastAsia="Palatino Linotype" w:hAnsi="Palatino Linotype" w:cs="Palatino Linotype"/>
                <w:b/>
                <w:color w:val="000000"/>
                <w:sz w:val="22"/>
                <w:szCs w:val="22"/>
                <w:u w:val="single"/>
              </w:rPr>
              <w:t>para cada caso además de fundar y motivar</w:t>
            </w:r>
            <w:r w:rsidRPr="004F1889">
              <w:rPr>
                <w:rFonts w:ascii="Palatino Linotype" w:eastAsia="Palatino Linotype" w:hAnsi="Palatino Linotype" w:cs="Palatino Linotype"/>
                <w:color w:val="000000"/>
                <w:sz w:val="22"/>
                <w:szCs w:val="22"/>
              </w:rPr>
              <w:t xml:space="preserve">, se debe identificar con claridad </w:t>
            </w:r>
            <w:r w:rsidRPr="004F1889">
              <w:rPr>
                <w:rFonts w:ascii="Palatino Linotype" w:eastAsia="Palatino Linotype" w:hAnsi="Palatino Linotype" w:cs="Palatino Linotype"/>
                <w:sz w:val="22"/>
                <w:szCs w:val="22"/>
              </w:rPr>
              <w:t>qué</w:t>
            </w:r>
            <w:r w:rsidRPr="004F1889">
              <w:rPr>
                <w:rFonts w:ascii="Palatino Linotype" w:eastAsia="Palatino Linotype" w:hAnsi="Palatino Linotype" w:cs="Palatino Linotype"/>
                <w:color w:val="000000"/>
                <w:sz w:val="22"/>
                <w:szCs w:val="22"/>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14:paraId="614A3411" w14:textId="77777777" w:rsidR="00626C57" w:rsidRPr="004F1889" w:rsidRDefault="00626C57">
            <w:pPr>
              <w:tabs>
                <w:tab w:val="left" w:pos="284"/>
              </w:tabs>
              <w:spacing w:line="360" w:lineRule="auto"/>
              <w:ind w:right="-82"/>
              <w:jc w:val="both"/>
              <w:rPr>
                <w:rFonts w:ascii="Palatino Linotype" w:eastAsia="Palatino Linotype" w:hAnsi="Palatino Linotype" w:cs="Palatino Linotype"/>
                <w:color w:val="000000"/>
                <w:sz w:val="22"/>
                <w:szCs w:val="22"/>
              </w:rPr>
            </w:pPr>
          </w:p>
        </w:tc>
      </w:tr>
      <w:tr w:rsidR="00626C57" w:rsidRPr="004F1889" w14:paraId="614A3419" w14:textId="77777777">
        <w:tc>
          <w:tcPr>
            <w:tcW w:w="2850" w:type="dxa"/>
          </w:tcPr>
          <w:p w14:paraId="614A3413"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b/>
                <w:sz w:val="22"/>
                <w:szCs w:val="22"/>
              </w:rPr>
            </w:pPr>
            <w:r w:rsidRPr="004F1889">
              <w:rPr>
                <w:rFonts w:ascii="Palatino Linotype" w:eastAsia="Palatino Linotype" w:hAnsi="Palatino Linotype" w:cs="Palatino Linotype"/>
                <w:b/>
                <w:sz w:val="22"/>
                <w:szCs w:val="22"/>
              </w:rPr>
              <w:lastRenderedPageBreak/>
              <w:t xml:space="preserve">e) Condiciones especiales de la clasificación de la información como confidencial. </w:t>
            </w:r>
          </w:p>
        </w:tc>
        <w:tc>
          <w:tcPr>
            <w:tcW w:w="6915" w:type="dxa"/>
          </w:tcPr>
          <w:p w14:paraId="614A3414"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14:paraId="614A3415" w14:textId="77777777" w:rsidR="00626C57" w:rsidRPr="004F1889" w:rsidRDefault="00626C57">
            <w:pPr>
              <w:tabs>
                <w:tab w:val="left" w:pos="284"/>
              </w:tabs>
              <w:spacing w:line="360" w:lineRule="auto"/>
              <w:ind w:right="-82"/>
              <w:jc w:val="both"/>
              <w:rPr>
                <w:rFonts w:ascii="Palatino Linotype" w:eastAsia="Palatino Linotype" w:hAnsi="Palatino Linotype" w:cs="Palatino Linotype"/>
                <w:color w:val="000000"/>
                <w:sz w:val="22"/>
                <w:szCs w:val="22"/>
              </w:rPr>
            </w:pPr>
          </w:p>
          <w:p w14:paraId="614A3416"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color w:val="000000"/>
                <w:sz w:val="22"/>
                <w:szCs w:val="22"/>
              </w:rPr>
            </w:pPr>
            <w:r w:rsidRPr="004F1889">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14A3417" w14:textId="77777777" w:rsidR="00626C57" w:rsidRPr="004F1889" w:rsidRDefault="00626C57">
            <w:pPr>
              <w:tabs>
                <w:tab w:val="left" w:pos="284"/>
              </w:tabs>
              <w:spacing w:line="360" w:lineRule="auto"/>
              <w:ind w:right="-82"/>
              <w:jc w:val="both"/>
              <w:rPr>
                <w:rFonts w:ascii="Palatino Linotype" w:eastAsia="Palatino Linotype" w:hAnsi="Palatino Linotype" w:cs="Palatino Linotype"/>
                <w:color w:val="000000"/>
                <w:sz w:val="22"/>
                <w:szCs w:val="22"/>
              </w:rPr>
            </w:pPr>
          </w:p>
          <w:p w14:paraId="614A3418" w14:textId="77777777" w:rsidR="00626C57" w:rsidRPr="004F1889" w:rsidRDefault="0077452A">
            <w:pPr>
              <w:tabs>
                <w:tab w:val="left" w:pos="284"/>
              </w:tabs>
              <w:spacing w:line="360" w:lineRule="auto"/>
              <w:ind w:right="-82"/>
              <w:jc w:val="both"/>
              <w:rPr>
                <w:rFonts w:ascii="Palatino Linotype" w:eastAsia="Palatino Linotype" w:hAnsi="Palatino Linotype" w:cs="Palatino Linotype"/>
                <w:sz w:val="22"/>
                <w:szCs w:val="22"/>
              </w:rPr>
            </w:pPr>
            <w:r w:rsidRPr="004F1889">
              <w:rPr>
                <w:rFonts w:ascii="Palatino Linotype" w:eastAsia="Palatino Linotype" w:hAnsi="Palatino Linotype" w:cs="Palatino Linotype"/>
                <w:color w:val="000000"/>
                <w:sz w:val="22"/>
                <w:szCs w:val="22"/>
              </w:rPr>
              <w:t xml:space="preserve">Pero si la información que se pretende clasificar como confidencial no se encuentra en los supuestos de los artículos señalados y es posible, se deberá consultar al titular de los datos si permite o no el acceso. De </w:t>
            </w:r>
            <w:r w:rsidRPr="004F1889">
              <w:rPr>
                <w:rFonts w:ascii="Palatino Linotype" w:eastAsia="Palatino Linotype" w:hAnsi="Palatino Linotype" w:cs="Palatino Linotype"/>
                <w:color w:val="000000"/>
                <w:sz w:val="22"/>
                <w:szCs w:val="22"/>
              </w:rPr>
              <w:lastRenderedPageBreak/>
              <w:t>no ser posible, la realización de la consulta, procede, fundando y motivando, la clasificación.</w:t>
            </w:r>
          </w:p>
        </w:tc>
      </w:tr>
    </w:tbl>
    <w:p w14:paraId="614A341A" w14:textId="77777777" w:rsidR="00626C57" w:rsidRPr="004F1889" w:rsidRDefault="00626C57">
      <w:pPr>
        <w:spacing w:line="360" w:lineRule="auto"/>
        <w:ind w:right="-787"/>
        <w:jc w:val="both"/>
        <w:rPr>
          <w:rFonts w:ascii="Palatino Linotype" w:eastAsia="Palatino Linotype" w:hAnsi="Palatino Linotype" w:cs="Palatino Linotype"/>
          <w:color w:val="000000"/>
        </w:rPr>
      </w:pPr>
    </w:p>
    <w:p w14:paraId="614A341B"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color w:val="000000"/>
        </w:rPr>
      </w:pPr>
      <w:r w:rsidRPr="004F1889">
        <w:rPr>
          <w:rFonts w:ascii="Palatino Linotype" w:eastAsia="Palatino Linotype" w:hAnsi="Palatino Linotype" w:cs="Palatino Linotype"/>
        </w:rPr>
        <w:t xml:space="preserve">Si el </w:t>
      </w:r>
      <w:r w:rsidRPr="004F1889">
        <w:rPr>
          <w:rFonts w:ascii="Palatino Linotype" w:eastAsia="Palatino Linotype" w:hAnsi="Palatino Linotype" w:cs="Palatino Linotype"/>
          <w:color w:val="000000"/>
        </w:rPr>
        <w:t>servidor</w:t>
      </w:r>
      <w:r w:rsidRPr="004F1889">
        <w:rPr>
          <w:rFonts w:ascii="Palatino Linotype" w:eastAsia="Palatino Linotype" w:hAnsi="Palatino Linotype" w:cs="Palatino Linotype"/>
        </w:rPr>
        <w:t xml:space="preserve"> público incumple con estas formalidades y entrega la información sin </w:t>
      </w:r>
      <w:r w:rsidRPr="004F1889">
        <w:rPr>
          <w:rFonts w:ascii="Palatino Linotype" w:eastAsia="Palatino Linotype" w:hAnsi="Palatino Linotype" w:cs="Palatino Linotype"/>
          <w:color w:val="000000"/>
        </w:rPr>
        <w:t>proteger</w:t>
      </w:r>
      <w:r w:rsidRPr="004F1889">
        <w:rPr>
          <w:rFonts w:ascii="Palatino Linotype" w:eastAsia="Palatino Linotype" w:hAnsi="Palatino Linotype" w:cs="Palatino Linotype"/>
        </w:rPr>
        <w:t xml:space="preserve"> los datos personales incumple con lo que estipula las disposiciones </w:t>
      </w:r>
      <w:r w:rsidRPr="004F1889">
        <w:rPr>
          <w:rFonts w:ascii="Palatino Linotype" w:eastAsia="Palatino Linotype" w:hAnsi="Palatino Linotype" w:cs="Palatino Linotype"/>
          <w:color w:val="000000"/>
        </w:rPr>
        <w:t>legales</w:t>
      </w:r>
      <w:r w:rsidRPr="004F1889">
        <w:rPr>
          <w:rFonts w:ascii="Palatino Linotype" w:eastAsia="Palatino Linotype" w:hAnsi="Palatino Linotype" w:cs="Palatino Linotype"/>
        </w:rPr>
        <w:t xml:space="preserve"> </w:t>
      </w:r>
      <w:r w:rsidRPr="004F1889">
        <w:rPr>
          <w:rFonts w:ascii="Palatino Linotype" w:eastAsia="Palatino Linotype" w:hAnsi="Palatino Linotype" w:cs="Palatino Linotype"/>
          <w:color w:val="000000"/>
        </w:rPr>
        <w:t>establecidas;</w:t>
      </w:r>
      <w:r w:rsidRPr="004F1889">
        <w:rPr>
          <w:rFonts w:ascii="Palatino Linotype" w:eastAsia="Palatino Linotype" w:hAnsi="Palatino Linotype" w:cs="Palatino Linotype"/>
        </w:rPr>
        <w:t xml:space="preserve"> asimismo que si entrega un documento testado sin el debido acuerdo de clasificación.</w:t>
      </w:r>
    </w:p>
    <w:p w14:paraId="614A341C" w14:textId="77777777" w:rsidR="00626C57" w:rsidRPr="004F1889" w:rsidRDefault="00626C57">
      <w:pPr>
        <w:spacing w:line="360" w:lineRule="auto"/>
        <w:ind w:right="-787"/>
        <w:jc w:val="both"/>
        <w:rPr>
          <w:rFonts w:ascii="Palatino Linotype" w:eastAsia="Palatino Linotype" w:hAnsi="Palatino Linotype" w:cs="Palatino Linotype"/>
          <w:color w:val="000000"/>
        </w:rPr>
      </w:pPr>
    </w:p>
    <w:p w14:paraId="614A341D" w14:textId="77777777" w:rsidR="00626C57" w:rsidRPr="004F1889" w:rsidRDefault="0077452A">
      <w:pPr>
        <w:numPr>
          <w:ilvl w:val="0"/>
          <w:numId w:val="4"/>
        </w:numPr>
        <w:spacing w:line="360" w:lineRule="auto"/>
        <w:ind w:left="0" w:right="-787" w:firstLine="0"/>
        <w:jc w:val="both"/>
        <w:rPr>
          <w:rFonts w:ascii="Palatino Linotype" w:eastAsia="Palatino Linotype" w:hAnsi="Palatino Linotype" w:cs="Palatino Linotype"/>
        </w:rPr>
      </w:pPr>
      <w:bookmarkStart w:id="9" w:name="_heading=h.3rdcrjn" w:colFirst="0" w:colLast="0"/>
      <w:bookmarkEnd w:id="9"/>
      <w:r w:rsidRPr="004F1889">
        <w:rPr>
          <w:rFonts w:ascii="Palatino Linotype" w:eastAsia="Palatino Linotype" w:hAnsi="Palatino Linotype" w:cs="Palatino Linotype"/>
          <w:color w:val="222222"/>
        </w:rPr>
        <w:t xml:space="preserve">Por lo anteriormente expuesto y fundado, este </w:t>
      </w:r>
      <w:r w:rsidRPr="004F1889">
        <w:rPr>
          <w:rFonts w:ascii="Palatino Linotype" w:eastAsia="Palatino Linotype" w:hAnsi="Palatino Linotype" w:cs="Palatino Linotype"/>
          <w:b/>
          <w:color w:val="222222"/>
        </w:rPr>
        <w:t>ÓRGANO GARANTE</w:t>
      </w:r>
      <w:r w:rsidRPr="004F1889">
        <w:rPr>
          <w:rFonts w:ascii="Palatino Linotype" w:eastAsia="Palatino Linotype" w:hAnsi="Palatino Linotype" w:cs="Palatino Linotype"/>
          <w:color w:val="222222"/>
        </w:rPr>
        <w:t xml:space="preserve"> emite los siguientes:-----------------------------------------------------------------------------------------------------------</w:t>
      </w:r>
    </w:p>
    <w:p w14:paraId="614A341E" w14:textId="77777777" w:rsidR="00626C57" w:rsidRPr="004F1889" w:rsidRDefault="0077452A">
      <w:pPr>
        <w:keepNext/>
        <w:keepLines/>
        <w:spacing w:line="360" w:lineRule="auto"/>
        <w:ind w:right="-787"/>
        <w:jc w:val="center"/>
        <w:rPr>
          <w:rFonts w:ascii="Palatino Linotype" w:eastAsia="Palatino Linotype" w:hAnsi="Palatino Linotype" w:cs="Palatino Linotype"/>
          <w:b/>
          <w:color w:val="000000"/>
        </w:rPr>
      </w:pPr>
      <w:r w:rsidRPr="004F1889">
        <w:rPr>
          <w:rFonts w:ascii="Palatino Linotype" w:eastAsia="Palatino Linotype" w:hAnsi="Palatino Linotype" w:cs="Palatino Linotype"/>
          <w:b/>
          <w:color w:val="000000"/>
        </w:rPr>
        <w:t>R E S O L U T I V O S</w:t>
      </w:r>
    </w:p>
    <w:p w14:paraId="614A341F" w14:textId="77777777" w:rsidR="00626C57" w:rsidRPr="004F1889" w:rsidRDefault="0077452A">
      <w:pPr>
        <w:spacing w:line="360" w:lineRule="auto"/>
        <w:ind w:right="-787"/>
        <w:jc w:val="both"/>
        <w:rPr>
          <w:rFonts w:ascii="Palatino Linotype" w:eastAsia="Palatino Linotype" w:hAnsi="Palatino Linotype" w:cs="Palatino Linotype"/>
          <w:b/>
        </w:rPr>
      </w:pPr>
      <w:r w:rsidRPr="004F1889">
        <w:rPr>
          <w:rFonts w:ascii="Palatino Linotype" w:eastAsia="Palatino Linotype" w:hAnsi="Palatino Linotype" w:cs="Palatino Linotype"/>
          <w:b/>
        </w:rPr>
        <w:tab/>
      </w:r>
    </w:p>
    <w:p w14:paraId="614A3420" w14:textId="147436B1" w:rsidR="00626C57" w:rsidRPr="004F1889" w:rsidRDefault="0077452A">
      <w:pPr>
        <w:spacing w:line="360" w:lineRule="auto"/>
        <w:ind w:right="-787"/>
        <w:jc w:val="both"/>
        <w:rPr>
          <w:rFonts w:ascii="Palatino Linotype" w:eastAsia="Palatino Linotype" w:hAnsi="Palatino Linotype" w:cs="Palatino Linotype"/>
        </w:rPr>
      </w:pPr>
      <w:r w:rsidRPr="004F1889">
        <w:rPr>
          <w:rFonts w:ascii="Palatino Linotype" w:eastAsia="Palatino Linotype" w:hAnsi="Palatino Linotype" w:cs="Palatino Linotype"/>
          <w:b/>
        </w:rPr>
        <w:t>PRIMERO</w:t>
      </w:r>
      <w:r w:rsidRPr="004F1889">
        <w:rPr>
          <w:rFonts w:ascii="Palatino Linotype" w:eastAsia="Palatino Linotype" w:hAnsi="Palatino Linotype" w:cs="Palatino Linotype"/>
        </w:rPr>
        <w:t>. Resultan fundadas las</w:t>
      </w:r>
      <w:r w:rsidRPr="004F1889">
        <w:rPr>
          <w:rFonts w:ascii="Palatino Linotype" w:eastAsia="Palatino Linotype" w:hAnsi="Palatino Linotype" w:cs="Palatino Linotype"/>
          <w:b/>
        </w:rPr>
        <w:t xml:space="preserve"> </w:t>
      </w:r>
      <w:r w:rsidRPr="004F1889">
        <w:rPr>
          <w:rFonts w:ascii="Palatino Linotype" w:eastAsia="Palatino Linotype" w:hAnsi="Palatino Linotype" w:cs="Palatino Linotype"/>
        </w:rPr>
        <w:t xml:space="preserve">razones o motivos de inconformidad hechos valer en el Recurso de Revisión </w:t>
      </w:r>
      <w:r w:rsidRPr="004F1889">
        <w:rPr>
          <w:rFonts w:ascii="Palatino Linotype" w:eastAsia="Palatino Linotype" w:hAnsi="Palatino Linotype" w:cs="Palatino Linotype"/>
          <w:b/>
        </w:rPr>
        <w:t xml:space="preserve">02868/INFOEM/IP/RR/2024, </w:t>
      </w:r>
      <w:r w:rsidRPr="004F1889">
        <w:rPr>
          <w:rFonts w:ascii="Palatino Linotype" w:eastAsia="Palatino Linotype" w:hAnsi="Palatino Linotype" w:cs="Palatino Linotype"/>
        </w:rPr>
        <w:t xml:space="preserve">en términos de los </w:t>
      </w:r>
      <w:r w:rsidRPr="004F1889">
        <w:rPr>
          <w:rFonts w:ascii="Palatino Linotype" w:eastAsia="Palatino Linotype" w:hAnsi="Palatino Linotype" w:cs="Palatino Linotype"/>
          <w:b/>
        </w:rPr>
        <w:t>Considerandos</w:t>
      </w:r>
      <w:r w:rsidRPr="004F1889">
        <w:rPr>
          <w:rFonts w:ascii="Palatino Linotype" w:eastAsia="Palatino Linotype" w:hAnsi="Palatino Linotype" w:cs="Palatino Linotype"/>
        </w:rPr>
        <w:t xml:space="preserve"> </w:t>
      </w:r>
      <w:r w:rsidRPr="004F1889">
        <w:rPr>
          <w:rFonts w:ascii="Palatino Linotype" w:eastAsia="Palatino Linotype" w:hAnsi="Palatino Linotype" w:cs="Palatino Linotype"/>
          <w:b/>
        </w:rPr>
        <w:t>CUARTO</w:t>
      </w:r>
      <w:r w:rsidRPr="004F1889">
        <w:rPr>
          <w:rFonts w:ascii="Palatino Linotype" w:eastAsia="Palatino Linotype" w:hAnsi="Palatino Linotype" w:cs="Palatino Linotype"/>
        </w:rPr>
        <w:t xml:space="preserve"> y </w:t>
      </w:r>
      <w:r w:rsidRPr="004F1889">
        <w:rPr>
          <w:rFonts w:ascii="Palatino Linotype" w:eastAsia="Palatino Linotype" w:hAnsi="Palatino Linotype" w:cs="Palatino Linotype"/>
          <w:b/>
        </w:rPr>
        <w:t xml:space="preserve">QUINTO </w:t>
      </w:r>
      <w:r w:rsidRPr="004F1889">
        <w:rPr>
          <w:rFonts w:ascii="Palatino Linotype" w:eastAsia="Palatino Linotype" w:hAnsi="Palatino Linotype" w:cs="Palatino Linotype"/>
        </w:rPr>
        <w:t>de la presente Resolución.</w:t>
      </w:r>
    </w:p>
    <w:p w14:paraId="614A3421" w14:textId="77777777" w:rsidR="00626C57" w:rsidRPr="004F1889" w:rsidRDefault="00626C57">
      <w:pPr>
        <w:spacing w:line="360" w:lineRule="auto"/>
        <w:ind w:right="-787"/>
        <w:jc w:val="both"/>
        <w:rPr>
          <w:rFonts w:ascii="Palatino Linotype" w:eastAsia="Palatino Linotype" w:hAnsi="Palatino Linotype" w:cs="Palatino Linotype"/>
        </w:rPr>
      </w:pPr>
    </w:p>
    <w:p w14:paraId="614A3422" w14:textId="77777777" w:rsidR="00626C57" w:rsidRPr="004F1889" w:rsidRDefault="0077452A">
      <w:pPr>
        <w:spacing w:line="360" w:lineRule="auto"/>
        <w:ind w:right="-787"/>
        <w:jc w:val="both"/>
        <w:rPr>
          <w:rFonts w:ascii="Palatino Linotype" w:eastAsia="Palatino Linotype" w:hAnsi="Palatino Linotype" w:cs="Palatino Linotype"/>
        </w:rPr>
      </w:pPr>
      <w:bookmarkStart w:id="10" w:name="_heading=h.26in1rg" w:colFirst="0" w:colLast="0"/>
      <w:bookmarkEnd w:id="10"/>
      <w:r w:rsidRPr="004F1889">
        <w:rPr>
          <w:rFonts w:ascii="Palatino Linotype" w:eastAsia="Palatino Linotype" w:hAnsi="Palatino Linotype" w:cs="Palatino Linotype"/>
          <w:b/>
        </w:rPr>
        <w:t xml:space="preserve">SEGUNDO. </w:t>
      </w:r>
      <w:r w:rsidRPr="004F1889">
        <w:rPr>
          <w:rFonts w:ascii="Palatino Linotype" w:eastAsia="Palatino Linotype" w:hAnsi="Palatino Linotype" w:cs="Palatino Linotype"/>
          <w:color w:val="000000"/>
        </w:rPr>
        <w:t xml:space="preserve">Se </w:t>
      </w:r>
      <w:r w:rsidRPr="004F1889">
        <w:rPr>
          <w:rFonts w:ascii="Palatino Linotype" w:eastAsia="Palatino Linotype" w:hAnsi="Palatino Linotype" w:cs="Palatino Linotype"/>
          <w:b/>
          <w:color w:val="000000"/>
        </w:rPr>
        <w:t xml:space="preserve">REVOCA </w:t>
      </w:r>
      <w:r w:rsidRPr="004F1889">
        <w:rPr>
          <w:rFonts w:ascii="Palatino Linotype" w:eastAsia="Palatino Linotype" w:hAnsi="Palatino Linotype" w:cs="Palatino Linotype"/>
          <w:color w:val="000000"/>
        </w:rPr>
        <w:t>la respuesta emitida por el Ayuntamiento de Tlalnepantla de Baz</w:t>
      </w:r>
      <w:r w:rsidRPr="004F1889">
        <w:rPr>
          <w:rFonts w:ascii="Palatino Linotype" w:eastAsia="Palatino Linotype" w:hAnsi="Palatino Linotype" w:cs="Palatino Linotype"/>
          <w:b/>
          <w:color w:val="000000"/>
        </w:rPr>
        <w:t xml:space="preserve"> </w:t>
      </w:r>
      <w:r w:rsidRPr="004F1889">
        <w:rPr>
          <w:rFonts w:ascii="Palatino Linotype" w:eastAsia="Palatino Linotype" w:hAnsi="Palatino Linotype" w:cs="Palatino Linotype"/>
          <w:color w:val="000000"/>
        </w:rPr>
        <w:t xml:space="preserve">y se </w:t>
      </w:r>
      <w:r w:rsidRPr="004F1889">
        <w:rPr>
          <w:rFonts w:ascii="Palatino Linotype" w:eastAsia="Palatino Linotype" w:hAnsi="Palatino Linotype" w:cs="Palatino Linotype"/>
          <w:b/>
          <w:color w:val="000000"/>
        </w:rPr>
        <w:t>ORDENA</w:t>
      </w:r>
      <w:r w:rsidRPr="004F1889">
        <w:rPr>
          <w:rFonts w:ascii="Palatino Linotype" w:eastAsia="Palatino Linotype" w:hAnsi="Palatino Linotype" w:cs="Palatino Linotype"/>
          <w:color w:val="000000"/>
        </w:rPr>
        <w:t xml:space="preserve"> entregar vía Sistema de Acceso a la Información Mexiquense (SAIMEX), en versión pública, la siguiente información</w:t>
      </w:r>
      <w:r w:rsidRPr="004F1889">
        <w:rPr>
          <w:rFonts w:ascii="Palatino Linotype" w:eastAsia="Palatino Linotype" w:hAnsi="Palatino Linotype" w:cs="Palatino Linotype"/>
        </w:rPr>
        <w:t>:</w:t>
      </w:r>
    </w:p>
    <w:p w14:paraId="614A3423" w14:textId="77777777" w:rsidR="00626C57" w:rsidRPr="004F1889" w:rsidRDefault="00626C57">
      <w:pPr>
        <w:pBdr>
          <w:top w:val="nil"/>
          <w:left w:val="nil"/>
          <w:bottom w:val="nil"/>
          <w:right w:val="nil"/>
          <w:between w:val="nil"/>
        </w:pBdr>
        <w:tabs>
          <w:tab w:val="left" w:pos="8080"/>
        </w:tabs>
        <w:spacing w:line="360" w:lineRule="auto"/>
        <w:ind w:left="709" w:right="-787"/>
        <w:jc w:val="both"/>
        <w:rPr>
          <w:rFonts w:ascii="Palatino Linotype" w:eastAsia="Palatino Linotype" w:hAnsi="Palatino Linotype" w:cs="Palatino Linotype"/>
          <w:i/>
          <w:color w:val="000000"/>
        </w:rPr>
      </w:pPr>
    </w:p>
    <w:p w14:paraId="614A3424" w14:textId="77777777" w:rsidR="00626C57" w:rsidRPr="004F1889" w:rsidRDefault="0077452A">
      <w:pPr>
        <w:numPr>
          <w:ilvl w:val="0"/>
          <w:numId w:val="1"/>
        </w:numPr>
        <w:pBdr>
          <w:top w:val="nil"/>
          <w:left w:val="nil"/>
          <w:bottom w:val="nil"/>
          <w:right w:val="nil"/>
          <w:between w:val="nil"/>
        </w:pBdr>
        <w:tabs>
          <w:tab w:val="left" w:pos="8080"/>
        </w:tabs>
        <w:spacing w:line="360" w:lineRule="auto"/>
        <w:ind w:left="567" w:right="-787"/>
        <w:jc w:val="both"/>
        <w:rPr>
          <w:rFonts w:ascii="Palatino Linotype" w:eastAsia="Palatino Linotype" w:hAnsi="Palatino Linotype" w:cs="Palatino Linotype"/>
          <w:i/>
          <w:color w:val="000000"/>
        </w:rPr>
      </w:pPr>
      <w:r w:rsidRPr="004F1889">
        <w:rPr>
          <w:rFonts w:ascii="Palatino Linotype" w:eastAsia="Palatino Linotype" w:hAnsi="Palatino Linotype" w:cs="Palatino Linotype"/>
          <w:b/>
          <w:color w:val="000000"/>
        </w:rPr>
        <w:t>Mandamientos de ejecución de créditos fiscales del Ejercicio Fiscal 2023.</w:t>
      </w:r>
    </w:p>
    <w:p w14:paraId="614A3425" w14:textId="77777777" w:rsidR="00626C57" w:rsidRPr="004F1889" w:rsidRDefault="00626C57">
      <w:pPr>
        <w:tabs>
          <w:tab w:val="left" w:pos="8080"/>
        </w:tabs>
        <w:spacing w:line="360" w:lineRule="auto"/>
        <w:ind w:right="-787"/>
        <w:jc w:val="both"/>
        <w:rPr>
          <w:rFonts w:ascii="Palatino Linotype" w:eastAsia="Palatino Linotype" w:hAnsi="Palatino Linotype" w:cs="Palatino Linotype"/>
        </w:rPr>
      </w:pPr>
    </w:p>
    <w:p w14:paraId="614A3426" w14:textId="77777777" w:rsidR="00626C57" w:rsidRPr="004F1889" w:rsidRDefault="0077452A">
      <w:pPr>
        <w:tabs>
          <w:tab w:val="left" w:pos="8080"/>
        </w:tabs>
        <w:spacing w:line="360" w:lineRule="auto"/>
        <w:ind w:right="-787"/>
        <w:jc w:val="both"/>
        <w:rPr>
          <w:rFonts w:ascii="Palatino Linotype" w:eastAsia="Palatino Linotype" w:hAnsi="Palatino Linotype" w:cs="Palatino Linotype"/>
        </w:rPr>
      </w:pPr>
      <w:r w:rsidRPr="004F1889">
        <w:rPr>
          <w:rFonts w:ascii="Palatino Linotype" w:eastAsia="Palatino Linotype" w:hAnsi="Palatino Linotype" w:cs="Palatino Linotype"/>
        </w:rPr>
        <w:t xml:space="preserve">Para efectos de lo anterior, se deberá emitir el Acuerdo del Comité de Transparencia en términos de los artículos 49, fracciones II y VIII, 132, fracción II y 143 de la Ley de </w:t>
      </w:r>
      <w:r w:rsidRPr="004F1889">
        <w:rPr>
          <w:rFonts w:ascii="Palatino Linotype" w:eastAsia="Palatino Linotype" w:hAnsi="Palatino Linotype" w:cs="Palatino Linotype"/>
        </w:rPr>
        <w:lastRenderedPageBreak/>
        <w:t xml:space="preserve">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del </w:t>
      </w:r>
      <w:r w:rsidRPr="004F1889">
        <w:rPr>
          <w:rFonts w:ascii="Palatino Linotype" w:eastAsia="Palatino Linotype" w:hAnsi="Palatino Linotype" w:cs="Palatino Linotype"/>
          <w:b/>
          <w:color w:val="000000"/>
        </w:rPr>
        <w:t>RECURRENTE</w:t>
      </w:r>
      <w:r w:rsidRPr="004F1889">
        <w:rPr>
          <w:rFonts w:ascii="Palatino Linotype" w:eastAsia="Palatino Linotype" w:hAnsi="Palatino Linotype" w:cs="Palatino Linotype"/>
        </w:rPr>
        <w:t>.</w:t>
      </w:r>
    </w:p>
    <w:p w14:paraId="614A3427" w14:textId="77777777" w:rsidR="00626C57" w:rsidRPr="004F1889" w:rsidRDefault="00626C57">
      <w:pPr>
        <w:tabs>
          <w:tab w:val="left" w:pos="8080"/>
        </w:tabs>
        <w:spacing w:line="360" w:lineRule="auto"/>
        <w:ind w:right="-787"/>
        <w:jc w:val="both"/>
        <w:rPr>
          <w:rFonts w:ascii="Palatino Linotype" w:eastAsia="Palatino Linotype" w:hAnsi="Palatino Linotype" w:cs="Palatino Linotype"/>
        </w:rPr>
      </w:pPr>
    </w:p>
    <w:p w14:paraId="614A3428" w14:textId="77777777" w:rsidR="00626C57" w:rsidRPr="004F1889" w:rsidRDefault="0077452A">
      <w:pPr>
        <w:spacing w:line="360" w:lineRule="auto"/>
        <w:ind w:right="-787"/>
        <w:jc w:val="both"/>
        <w:rPr>
          <w:rFonts w:ascii="Palatino Linotype" w:eastAsia="Palatino Linotype" w:hAnsi="Palatino Linotype" w:cs="Palatino Linotype"/>
        </w:rPr>
      </w:pPr>
      <w:r w:rsidRPr="004F1889">
        <w:rPr>
          <w:rFonts w:ascii="Palatino Linotype" w:eastAsia="Palatino Linotype" w:hAnsi="Palatino Linotype" w:cs="Palatino Linotype"/>
          <w:b/>
        </w:rPr>
        <w:t xml:space="preserve">TERCERO. Notifíquese </w:t>
      </w:r>
      <w:r w:rsidRPr="004F1889">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4F1889">
        <w:rPr>
          <w:rFonts w:ascii="Palatino Linotype" w:eastAsia="Palatino Linotype" w:hAnsi="Palatino Linotype" w:cs="Palatino Linotype"/>
          <w:b/>
        </w:rPr>
        <w:t>dé cumplimiento a lo ordenado dentro del plazo de diez días hábiles,</w:t>
      </w:r>
      <w:r w:rsidRPr="004F1889">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14A3429" w14:textId="77777777" w:rsidR="00626C57" w:rsidRPr="004F1889" w:rsidRDefault="00626C57">
      <w:pPr>
        <w:spacing w:line="360" w:lineRule="auto"/>
        <w:ind w:right="-787"/>
        <w:jc w:val="both"/>
        <w:rPr>
          <w:rFonts w:ascii="Palatino Linotype" w:eastAsia="Palatino Linotype" w:hAnsi="Palatino Linotype" w:cs="Palatino Linotype"/>
        </w:rPr>
      </w:pPr>
    </w:p>
    <w:p w14:paraId="614A342A" w14:textId="77777777" w:rsidR="00626C57" w:rsidRPr="004F1889" w:rsidRDefault="0077452A">
      <w:pPr>
        <w:spacing w:line="360" w:lineRule="auto"/>
        <w:ind w:right="-787"/>
        <w:jc w:val="both"/>
        <w:rPr>
          <w:rFonts w:ascii="Palatino Linotype" w:eastAsia="Palatino Linotype" w:hAnsi="Palatino Linotype" w:cs="Palatino Linotype"/>
        </w:rPr>
      </w:pPr>
      <w:r w:rsidRPr="004F1889">
        <w:rPr>
          <w:rFonts w:ascii="Palatino Linotype" w:eastAsia="Palatino Linotype" w:hAnsi="Palatino Linotype" w:cs="Palatino Linotype"/>
          <w:b/>
        </w:rPr>
        <w:t xml:space="preserve">CUARTO. </w:t>
      </w:r>
      <w:r w:rsidRPr="004F188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F1889">
        <w:rPr>
          <w:rFonts w:ascii="Palatino Linotype" w:eastAsia="Palatino Linotype" w:hAnsi="Palatino Linotype" w:cs="Palatino Linotype"/>
          <w:b/>
        </w:rPr>
        <w:t>SUJETO OBLIGADO</w:t>
      </w:r>
      <w:r w:rsidRPr="004F1889">
        <w:rPr>
          <w:rFonts w:ascii="Palatino Linotype" w:eastAsia="Palatino Linotype" w:hAnsi="Palatino Linotype" w:cs="Palatino Linotype"/>
        </w:rPr>
        <w:t xml:space="preserve"> de manera fundada y motivada, podrá solicitar una ampliación de plazo para el cumplimiento de la presente Resolución.</w:t>
      </w:r>
    </w:p>
    <w:p w14:paraId="614A342B" w14:textId="77777777" w:rsidR="00626C57" w:rsidRPr="004F1889" w:rsidRDefault="00626C57">
      <w:pPr>
        <w:spacing w:line="360" w:lineRule="auto"/>
        <w:ind w:right="-787"/>
        <w:jc w:val="both"/>
        <w:rPr>
          <w:rFonts w:ascii="Palatino Linotype" w:eastAsia="Palatino Linotype" w:hAnsi="Palatino Linotype" w:cs="Palatino Linotype"/>
        </w:rPr>
      </w:pPr>
    </w:p>
    <w:p w14:paraId="614A342C" w14:textId="77777777" w:rsidR="00626C57" w:rsidRPr="004F1889" w:rsidRDefault="0077452A">
      <w:pPr>
        <w:tabs>
          <w:tab w:val="left" w:pos="8080"/>
        </w:tabs>
        <w:spacing w:line="360" w:lineRule="auto"/>
        <w:ind w:right="-787"/>
        <w:jc w:val="both"/>
        <w:rPr>
          <w:rFonts w:ascii="Palatino Linotype" w:eastAsia="Palatino Linotype" w:hAnsi="Palatino Linotype" w:cs="Palatino Linotype"/>
        </w:rPr>
      </w:pPr>
      <w:bookmarkStart w:id="11" w:name="_heading=h.lnxbz9" w:colFirst="0" w:colLast="0"/>
      <w:bookmarkEnd w:id="11"/>
      <w:r w:rsidRPr="004F1889">
        <w:rPr>
          <w:rFonts w:ascii="Palatino Linotype" w:eastAsia="Palatino Linotype" w:hAnsi="Palatino Linotype" w:cs="Palatino Linotype"/>
          <w:b/>
        </w:rPr>
        <w:t xml:space="preserve">QUINTO. </w:t>
      </w:r>
      <w:r w:rsidRPr="004F1889">
        <w:rPr>
          <w:rFonts w:ascii="Palatino Linotype" w:eastAsia="Palatino Linotype" w:hAnsi="Palatino Linotype" w:cs="Palatino Linotype"/>
        </w:rPr>
        <w:t xml:space="preserve">Notifíquese al </w:t>
      </w:r>
      <w:r w:rsidRPr="004F1889">
        <w:rPr>
          <w:rFonts w:ascii="Palatino Linotype" w:eastAsia="Palatino Linotype" w:hAnsi="Palatino Linotype" w:cs="Palatino Linotype"/>
          <w:b/>
        </w:rPr>
        <w:t>RECURRENTE</w:t>
      </w:r>
      <w:r w:rsidRPr="004F1889">
        <w:rPr>
          <w:rFonts w:ascii="Palatino Linotype" w:eastAsia="Palatino Linotype" w:hAnsi="Palatino Linotype" w:cs="Palatino Linotype"/>
        </w:rPr>
        <w:t xml:space="preserve"> la presente Resolución, vía </w:t>
      </w:r>
      <w:r w:rsidRPr="004F1889">
        <w:rPr>
          <w:rFonts w:ascii="Palatino Linotype" w:eastAsia="Palatino Linotype" w:hAnsi="Palatino Linotype" w:cs="Palatino Linotype"/>
          <w:b/>
        </w:rPr>
        <w:t>SAIMEX</w:t>
      </w:r>
      <w:r w:rsidRPr="004F1889">
        <w:rPr>
          <w:rFonts w:ascii="Palatino Linotype" w:eastAsia="Palatino Linotype" w:hAnsi="Palatino Linotype" w:cs="Palatino Linotype"/>
        </w:rPr>
        <w:t>.</w:t>
      </w:r>
    </w:p>
    <w:p w14:paraId="614A342D" w14:textId="77777777" w:rsidR="00626C57" w:rsidRPr="004F1889" w:rsidRDefault="00626C57">
      <w:pPr>
        <w:tabs>
          <w:tab w:val="left" w:pos="8080"/>
        </w:tabs>
        <w:spacing w:line="360" w:lineRule="auto"/>
        <w:ind w:right="-787"/>
        <w:jc w:val="both"/>
        <w:rPr>
          <w:rFonts w:ascii="Palatino Linotype" w:eastAsia="Palatino Linotype" w:hAnsi="Palatino Linotype" w:cs="Palatino Linotype"/>
        </w:rPr>
      </w:pPr>
    </w:p>
    <w:p w14:paraId="614A342E" w14:textId="77777777" w:rsidR="00626C57" w:rsidRPr="004F1889" w:rsidRDefault="0077452A">
      <w:pPr>
        <w:shd w:val="clear" w:color="auto" w:fill="FFFFFF"/>
        <w:spacing w:line="360" w:lineRule="auto"/>
        <w:ind w:right="-787"/>
        <w:jc w:val="both"/>
        <w:rPr>
          <w:rFonts w:ascii="Palatino Linotype" w:eastAsia="Palatino Linotype" w:hAnsi="Palatino Linotype" w:cs="Palatino Linotype"/>
        </w:rPr>
      </w:pPr>
      <w:r w:rsidRPr="004F1889">
        <w:rPr>
          <w:rFonts w:ascii="Palatino Linotype" w:eastAsia="Palatino Linotype" w:hAnsi="Palatino Linotype" w:cs="Palatino Linotype"/>
          <w:b/>
        </w:rPr>
        <w:t xml:space="preserve">SEXTO. </w:t>
      </w:r>
      <w:r w:rsidRPr="004F1889">
        <w:rPr>
          <w:rFonts w:ascii="Palatino Linotype" w:eastAsia="Palatino Linotype" w:hAnsi="Palatino Linotype" w:cs="Palatino Linotype"/>
        </w:rPr>
        <w:t>Se hace del conocimiento del</w:t>
      </w:r>
      <w:r w:rsidRPr="004F1889">
        <w:rPr>
          <w:rFonts w:ascii="Palatino Linotype" w:eastAsia="Palatino Linotype" w:hAnsi="Palatino Linotype" w:cs="Palatino Linotype"/>
          <w:b/>
        </w:rPr>
        <w:t xml:space="preserve"> RECURRENTE </w:t>
      </w:r>
      <w:r w:rsidRPr="004F1889">
        <w:rPr>
          <w:rFonts w:ascii="Palatino Linotype" w:eastAsia="Palatino Linotype" w:hAnsi="Palatino Linotype" w:cs="Palatino Linotype"/>
        </w:rPr>
        <w:t xml:space="preserve">que, de conformidad con lo establecido en el artículo 196 de la Ley de Transparencia y Acceso a la Información Pública </w:t>
      </w:r>
      <w:r w:rsidRPr="004F1889">
        <w:rPr>
          <w:rFonts w:ascii="Palatino Linotype" w:eastAsia="Palatino Linotype" w:hAnsi="Palatino Linotype" w:cs="Palatino Linotype"/>
        </w:rPr>
        <w:lastRenderedPageBreak/>
        <w:t>del Estado de México y Municipios, en caso de que considere que la resolución le cause algún perjuicio podrá impugnar vía juicio de amparo en los términos de las leyes aplicables.</w:t>
      </w:r>
    </w:p>
    <w:p w14:paraId="614A342F" w14:textId="77777777" w:rsidR="00626C57" w:rsidRPr="004F1889" w:rsidRDefault="00626C57">
      <w:pPr>
        <w:shd w:val="clear" w:color="auto" w:fill="FFFFFF"/>
        <w:spacing w:line="360" w:lineRule="auto"/>
        <w:ind w:right="-787"/>
        <w:jc w:val="both"/>
        <w:rPr>
          <w:rFonts w:ascii="Palatino Linotype" w:eastAsia="Palatino Linotype" w:hAnsi="Palatino Linotype" w:cs="Palatino Linotype"/>
        </w:rPr>
      </w:pPr>
    </w:p>
    <w:p w14:paraId="2F50BDFF" w14:textId="77777777" w:rsidR="0077452A" w:rsidRPr="008B02EE" w:rsidRDefault="0077452A" w:rsidP="0077452A">
      <w:pPr>
        <w:spacing w:line="360" w:lineRule="auto"/>
        <w:ind w:left="-142" w:right="-595" w:firstLine="1"/>
        <w:jc w:val="both"/>
        <w:rPr>
          <w:rFonts w:ascii="Palatino Linotype" w:hAnsi="Palatino Linotype"/>
        </w:rPr>
      </w:pPr>
      <w:bookmarkStart w:id="12" w:name="_Hlk192106016"/>
      <w:r w:rsidRPr="004F1889">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SEIS (06) DE MARZO DE DOS MIL VEINTICINCO, ANTE EL SECRETARIO TÉCNICO DEL PLENO ALEXIS TAPIA RAMÍREZ.</w:t>
      </w:r>
      <w:bookmarkStart w:id="13" w:name="_GoBack"/>
      <w:bookmarkEnd w:id="13"/>
      <w:r w:rsidRPr="008B02EE">
        <w:rPr>
          <w:rFonts w:ascii="Palatino Linotype" w:hAnsi="Palatino Linotype"/>
        </w:rPr>
        <w:t xml:space="preserve"> </w:t>
      </w:r>
    </w:p>
    <w:bookmarkEnd w:id="12"/>
    <w:p w14:paraId="614A3431" w14:textId="77777777" w:rsidR="00626C57" w:rsidRDefault="00626C57">
      <w:pPr>
        <w:spacing w:line="360" w:lineRule="auto"/>
        <w:ind w:right="-787"/>
        <w:jc w:val="both"/>
        <w:rPr>
          <w:rFonts w:ascii="Palatino Linotype" w:eastAsia="Palatino Linotype" w:hAnsi="Palatino Linotype" w:cs="Palatino Linotype"/>
        </w:rPr>
      </w:pPr>
    </w:p>
    <w:p w14:paraId="614A3432" w14:textId="77777777" w:rsidR="00626C57" w:rsidRDefault="00626C57">
      <w:pPr>
        <w:spacing w:line="360" w:lineRule="auto"/>
        <w:ind w:right="-787"/>
        <w:jc w:val="both"/>
        <w:rPr>
          <w:rFonts w:ascii="Palatino Linotype" w:eastAsia="Palatino Linotype" w:hAnsi="Palatino Linotype" w:cs="Palatino Linotype"/>
        </w:rPr>
      </w:pPr>
    </w:p>
    <w:p w14:paraId="614A3433" w14:textId="77777777" w:rsidR="00626C57" w:rsidRDefault="00626C57">
      <w:pPr>
        <w:spacing w:line="360" w:lineRule="auto"/>
        <w:ind w:right="-787"/>
        <w:jc w:val="both"/>
        <w:rPr>
          <w:rFonts w:ascii="Palatino Linotype" w:eastAsia="Palatino Linotype" w:hAnsi="Palatino Linotype" w:cs="Palatino Linotype"/>
        </w:rPr>
      </w:pPr>
    </w:p>
    <w:p w14:paraId="614A3434" w14:textId="77777777" w:rsidR="00626C57" w:rsidRDefault="00626C57">
      <w:pPr>
        <w:spacing w:line="360" w:lineRule="auto"/>
        <w:ind w:right="-787"/>
        <w:jc w:val="both"/>
        <w:rPr>
          <w:rFonts w:ascii="Palatino Linotype" w:eastAsia="Palatino Linotype" w:hAnsi="Palatino Linotype" w:cs="Palatino Linotype"/>
        </w:rPr>
      </w:pPr>
    </w:p>
    <w:p w14:paraId="614A3435" w14:textId="77777777" w:rsidR="00626C57" w:rsidRDefault="00626C57">
      <w:pPr>
        <w:spacing w:line="360" w:lineRule="auto"/>
        <w:ind w:right="-787"/>
        <w:jc w:val="both"/>
        <w:rPr>
          <w:rFonts w:ascii="Palatino Linotype" w:eastAsia="Palatino Linotype" w:hAnsi="Palatino Linotype" w:cs="Palatino Linotype"/>
        </w:rPr>
      </w:pPr>
    </w:p>
    <w:p w14:paraId="614A3436" w14:textId="77777777" w:rsidR="00626C57" w:rsidRDefault="00626C57">
      <w:pPr>
        <w:spacing w:line="360" w:lineRule="auto"/>
        <w:ind w:right="-787"/>
        <w:jc w:val="both"/>
        <w:rPr>
          <w:rFonts w:ascii="Palatino Linotype" w:eastAsia="Palatino Linotype" w:hAnsi="Palatino Linotype" w:cs="Palatino Linotype"/>
        </w:rPr>
      </w:pPr>
    </w:p>
    <w:p w14:paraId="614A3437" w14:textId="77777777" w:rsidR="00626C57" w:rsidRDefault="00626C57">
      <w:pPr>
        <w:spacing w:line="360" w:lineRule="auto"/>
        <w:ind w:right="-787"/>
        <w:rPr>
          <w:rFonts w:ascii="Palatino Linotype" w:eastAsia="Palatino Linotype" w:hAnsi="Palatino Linotype" w:cs="Palatino Linotype"/>
        </w:rPr>
      </w:pPr>
    </w:p>
    <w:p w14:paraId="614A3438" w14:textId="77777777" w:rsidR="00626C57" w:rsidRDefault="00626C57">
      <w:pPr>
        <w:spacing w:line="360" w:lineRule="auto"/>
        <w:ind w:right="-787"/>
        <w:rPr>
          <w:rFonts w:ascii="Palatino Linotype" w:eastAsia="Palatino Linotype" w:hAnsi="Palatino Linotype" w:cs="Palatino Linotype"/>
        </w:rPr>
      </w:pPr>
    </w:p>
    <w:p w14:paraId="614A3439" w14:textId="77777777" w:rsidR="00626C57" w:rsidRDefault="00626C57">
      <w:pPr>
        <w:spacing w:line="360" w:lineRule="auto"/>
        <w:ind w:right="-787"/>
        <w:rPr>
          <w:rFonts w:ascii="Palatino Linotype" w:eastAsia="Palatino Linotype" w:hAnsi="Palatino Linotype" w:cs="Palatino Linotype"/>
        </w:rPr>
      </w:pPr>
    </w:p>
    <w:p w14:paraId="614A343A" w14:textId="77777777" w:rsidR="00626C57" w:rsidRDefault="00626C57">
      <w:pPr>
        <w:spacing w:line="360" w:lineRule="auto"/>
        <w:ind w:right="-787"/>
        <w:rPr>
          <w:rFonts w:ascii="Palatino Linotype" w:eastAsia="Palatino Linotype" w:hAnsi="Palatino Linotype" w:cs="Palatino Linotype"/>
        </w:rPr>
      </w:pPr>
    </w:p>
    <w:p w14:paraId="614A343B" w14:textId="77777777" w:rsidR="00626C57" w:rsidRDefault="00626C57">
      <w:pPr>
        <w:spacing w:line="360" w:lineRule="auto"/>
        <w:ind w:right="-787"/>
        <w:rPr>
          <w:rFonts w:ascii="Palatino Linotype" w:eastAsia="Palatino Linotype" w:hAnsi="Palatino Linotype" w:cs="Palatino Linotype"/>
        </w:rPr>
      </w:pPr>
    </w:p>
    <w:p w14:paraId="614A343C" w14:textId="77777777" w:rsidR="00626C57" w:rsidRDefault="00626C57">
      <w:pPr>
        <w:spacing w:line="360" w:lineRule="auto"/>
        <w:ind w:right="-787"/>
        <w:rPr>
          <w:rFonts w:ascii="Palatino Linotype" w:eastAsia="Palatino Linotype" w:hAnsi="Palatino Linotype" w:cs="Palatino Linotype"/>
        </w:rPr>
      </w:pPr>
    </w:p>
    <w:p w14:paraId="614A343D" w14:textId="77777777" w:rsidR="00626C57" w:rsidRDefault="00626C57">
      <w:pPr>
        <w:spacing w:line="360" w:lineRule="auto"/>
        <w:ind w:right="-787"/>
        <w:rPr>
          <w:rFonts w:ascii="Palatino Linotype" w:eastAsia="Palatino Linotype" w:hAnsi="Palatino Linotype" w:cs="Palatino Linotype"/>
        </w:rPr>
      </w:pPr>
    </w:p>
    <w:p w14:paraId="614A343E" w14:textId="77777777" w:rsidR="00626C57" w:rsidRDefault="0077452A">
      <w:pPr>
        <w:tabs>
          <w:tab w:val="left" w:pos="3374"/>
        </w:tabs>
        <w:spacing w:line="360" w:lineRule="auto"/>
        <w:ind w:right="-787"/>
        <w:rPr>
          <w:rFonts w:ascii="Palatino Linotype" w:eastAsia="Palatino Linotype" w:hAnsi="Palatino Linotype" w:cs="Palatino Linotype"/>
        </w:rPr>
      </w:pPr>
      <w:r>
        <w:rPr>
          <w:rFonts w:ascii="Palatino Linotype" w:eastAsia="Palatino Linotype" w:hAnsi="Palatino Linotype" w:cs="Palatino Linotype"/>
        </w:rPr>
        <w:lastRenderedPageBreak/>
        <w:tab/>
      </w:r>
    </w:p>
    <w:p w14:paraId="614A343F"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40" w14:textId="77777777" w:rsidR="00626C57" w:rsidRDefault="0077452A">
      <w:pPr>
        <w:tabs>
          <w:tab w:val="left" w:pos="3374"/>
        </w:tabs>
        <w:spacing w:line="360" w:lineRule="auto"/>
        <w:ind w:right="-787"/>
        <w:rPr>
          <w:rFonts w:ascii="Palatino Linotype" w:eastAsia="Palatino Linotype" w:hAnsi="Palatino Linotype" w:cs="Palatino Linotype"/>
        </w:rPr>
      </w:pPr>
      <w:r>
        <w:rPr>
          <w:rFonts w:ascii="Palatino Linotype" w:eastAsia="Palatino Linotype" w:hAnsi="Palatino Linotype" w:cs="Palatino Linotype"/>
        </w:rPr>
        <w:tab/>
      </w:r>
    </w:p>
    <w:p w14:paraId="614A3441"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42"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43"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44"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45"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46"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47"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48"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49"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4A"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4B"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4C"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4D"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4E"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4F"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50"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51" w14:textId="77777777" w:rsidR="00626C57" w:rsidRDefault="00626C57">
      <w:pPr>
        <w:tabs>
          <w:tab w:val="left" w:pos="3374"/>
        </w:tabs>
        <w:spacing w:line="360" w:lineRule="auto"/>
        <w:ind w:right="-787"/>
        <w:rPr>
          <w:rFonts w:ascii="Palatino Linotype" w:eastAsia="Palatino Linotype" w:hAnsi="Palatino Linotype" w:cs="Palatino Linotype"/>
        </w:rPr>
      </w:pPr>
    </w:p>
    <w:p w14:paraId="614A3452" w14:textId="77777777" w:rsidR="00626C57" w:rsidRDefault="00626C57">
      <w:pPr>
        <w:spacing w:line="360" w:lineRule="auto"/>
        <w:ind w:right="-787"/>
        <w:rPr>
          <w:rFonts w:ascii="Palatino Linotype" w:eastAsia="Palatino Linotype" w:hAnsi="Palatino Linotype" w:cs="Palatino Linotype"/>
        </w:rPr>
      </w:pPr>
    </w:p>
    <w:sectPr w:rsidR="00626C57">
      <w:headerReference w:type="even" r:id="rId10"/>
      <w:headerReference w:type="default" r:id="rId11"/>
      <w:footerReference w:type="default" r:id="rId12"/>
      <w:headerReference w:type="first" r:id="rId13"/>
      <w:footerReference w:type="first" r:id="rId14"/>
      <w:pgSz w:w="12240" w:h="15840"/>
      <w:pgMar w:top="2268" w:right="1615" w:bottom="1843"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25508B" w14:textId="77777777" w:rsidR="0046666F" w:rsidRDefault="0046666F">
      <w:r>
        <w:separator/>
      </w:r>
    </w:p>
  </w:endnote>
  <w:endnote w:type="continuationSeparator" w:id="0">
    <w:p w14:paraId="1C48DB2D" w14:textId="77777777" w:rsidR="0046666F" w:rsidRDefault="00466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4E8B8DF4-5520-49C7-90C8-72D82C5B67EF}"/>
  </w:font>
  <w:font w:name="Courier New">
    <w:panose1 w:val="02070309020205020404"/>
    <w:charset w:val="00"/>
    <w:family w:val="modern"/>
    <w:pitch w:val="fixed"/>
    <w:sig w:usb0="E0002E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embedRegular r:id="rId2" w:fontKey="{7BD93D83-7376-4B27-96FE-482A3EEB052F}"/>
    <w:embedBold r:id="rId3" w:fontKey="{B363E9F0-56CD-446C-87D8-9ABC36774FAC}"/>
    <w:embedItalic r:id="rId4" w:fontKey="{2482A647-3299-4CFD-9E62-D654915E3479}"/>
    <w:embedBoldItalic r:id="rId5" w:fontKey="{DE177A83-2E4B-4606-BC82-D9F2607B6C49}"/>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92DB3E13-D835-487B-9F2C-E39B73746C33}"/>
    <w:embedBold r:id="rId7" w:fontKey="{6CA4F987-5F7C-42BD-A889-E3EFC62F7346}"/>
  </w:font>
  <w:font w:name="Calibri Light">
    <w:panose1 w:val="020F0302020204030204"/>
    <w:charset w:val="00"/>
    <w:family w:val="swiss"/>
    <w:pitch w:val="variable"/>
    <w:sig w:usb0="E4002EFF" w:usb1="C200247B" w:usb2="00000009" w:usb3="00000000" w:csb0="000001FF" w:csb1="00000000"/>
    <w:embedRegular r:id="rId8" w:fontKey="{5B491723-4D1E-4717-810B-5F560FF2FBE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4A9E2541-7A6E-407E-8854-933B822A1D8B}"/>
    <w:embedItalic r:id="rId10" w:fontKey="{4CFAD915-D536-43BB-9E4E-65E924AAC4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A3463" w14:textId="2A04D638" w:rsidR="00626C57" w:rsidRDefault="0077452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F1889">
      <w:rPr>
        <w:rFonts w:ascii="Palatino Linotype" w:eastAsia="Palatino Linotype" w:hAnsi="Palatino Linotype" w:cs="Palatino Linotype"/>
        <w:noProof/>
        <w:color w:val="000000"/>
        <w:sz w:val="20"/>
        <w:szCs w:val="20"/>
      </w:rPr>
      <w:t>33</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F1889">
      <w:rPr>
        <w:rFonts w:ascii="Palatino Linotype" w:eastAsia="Palatino Linotype" w:hAnsi="Palatino Linotype" w:cs="Palatino Linotype"/>
        <w:noProof/>
        <w:color w:val="000000"/>
        <w:sz w:val="20"/>
        <w:szCs w:val="20"/>
      </w:rPr>
      <w:t>35</w:t>
    </w:r>
    <w:r>
      <w:rPr>
        <w:rFonts w:ascii="Palatino Linotype" w:eastAsia="Palatino Linotype" w:hAnsi="Palatino Linotype" w:cs="Palatino Linotype"/>
        <w:color w:val="000000"/>
        <w:sz w:val="20"/>
        <w:szCs w:val="20"/>
      </w:rPr>
      <w:fldChar w:fldCharType="end"/>
    </w:r>
  </w:p>
  <w:p w14:paraId="614A3464" w14:textId="77777777" w:rsidR="00626C57" w:rsidRDefault="00626C5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A3473" w14:textId="23518DE8" w:rsidR="00626C57" w:rsidRDefault="0077452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F1889">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F1889">
      <w:rPr>
        <w:rFonts w:ascii="Palatino Linotype" w:eastAsia="Palatino Linotype" w:hAnsi="Palatino Linotype" w:cs="Palatino Linotype"/>
        <w:noProof/>
        <w:color w:val="000000"/>
        <w:sz w:val="20"/>
        <w:szCs w:val="20"/>
      </w:rPr>
      <w:t>35</w:t>
    </w:r>
    <w:r>
      <w:rPr>
        <w:rFonts w:ascii="Palatino Linotype" w:eastAsia="Palatino Linotype" w:hAnsi="Palatino Linotype" w:cs="Palatino Linotype"/>
        <w:color w:val="000000"/>
        <w:sz w:val="20"/>
        <w:szCs w:val="20"/>
      </w:rPr>
      <w:fldChar w:fldCharType="end"/>
    </w:r>
  </w:p>
  <w:p w14:paraId="614A3474" w14:textId="77777777" w:rsidR="00626C57" w:rsidRDefault="00626C5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F87B87" w14:textId="77777777" w:rsidR="0046666F" w:rsidRDefault="0046666F">
      <w:r>
        <w:separator/>
      </w:r>
    </w:p>
  </w:footnote>
  <w:footnote w:type="continuationSeparator" w:id="0">
    <w:p w14:paraId="06792892" w14:textId="77777777" w:rsidR="0046666F" w:rsidRDefault="0046666F">
      <w:r>
        <w:continuationSeparator/>
      </w:r>
    </w:p>
  </w:footnote>
  <w:footnote w:id="1">
    <w:p w14:paraId="614A3478" w14:textId="77777777" w:rsidR="00626C57" w:rsidRDefault="0077452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614A3479" w14:textId="77777777" w:rsidR="00626C57" w:rsidRDefault="0077452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614A347A" w14:textId="77777777" w:rsidR="00626C57" w:rsidRDefault="0077452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14:paraId="614A347B" w14:textId="77777777" w:rsidR="00626C57" w:rsidRDefault="0077452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14:paraId="614A347C" w14:textId="77777777" w:rsidR="00626C57" w:rsidRDefault="0077452A">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14:paraId="614A347D" w14:textId="77777777" w:rsidR="00626C57" w:rsidRDefault="0077452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14:paraId="614A347E" w14:textId="77777777" w:rsidR="00626C57" w:rsidRDefault="0077452A">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614A347F" w14:textId="77777777" w:rsidR="00626C57" w:rsidRDefault="0077452A">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A3457" w14:textId="77777777" w:rsidR="00626C57" w:rsidRDefault="0046666F">
    <w:pPr>
      <w:pBdr>
        <w:top w:val="nil"/>
        <w:left w:val="nil"/>
        <w:bottom w:val="nil"/>
        <w:right w:val="nil"/>
        <w:between w:val="nil"/>
      </w:pBdr>
      <w:tabs>
        <w:tab w:val="center" w:pos="4419"/>
        <w:tab w:val="right" w:pos="8838"/>
      </w:tabs>
      <w:rPr>
        <w:color w:val="000000"/>
      </w:rPr>
    </w:pPr>
    <w:r>
      <w:rPr>
        <w:color w:val="000000"/>
      </w:rPr>
      <w:pict w14:anchorId="614A3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A3458" w14:textId="77777777" w:rsidR="00626C57" w:rsidRDefault="00626C57">
    <w:pPr>
      <w:widowControl w:val="0"/>
      <w:pBdr>
        <w:top w:val="nil"/>
        <w:left w:val="nil"/>
        <w:bottom w:val="nil"/>
        <w:right w:val="nil"/>
        <w:between w:val="nil"/>
      </w:pBdr>
      <w:spacing w:line="276" w:lineRule="auto"/>
      <w:rPr>
        <w:color w:val="000000"/>
      </w:rPr>
    </w:pPr>
  </w:p>
  <w:tbl>
    <w:tblPr>
      <w:tblStyle w:val="a2"/>
      <w:tblW w:w="7470" w:type="dxa"/>
      <w:tblInd w:w="2694" w:type="dxa"/>
      <w:tblLayout w:type="fixed"/>
      <w:tblLook w:val="0400" w:firstRow="0" w:lastRow="0" w:firstColumn="0" w:lastColumn="0" w:noHBand="0" w:noVBand="1"/>
    </w:tblPr>
    <w:tblGrid>
      <w:gridCol w:w="2970"/>
      <w:gridCol w:w="4500"/>
    </w:tblGrid>
    <w:tr w:rsidR="00626C57" w14:paraId="614A345B" w14:textId="77777777">
      <w:trPr>
        <w:trHeight w:val="227"/>
      </w:trPr>
      <w:tc>
        <w:tcPr>
          <w:tcW w:w="2970" w:type="dxa"/>
          <w:vAlign w:val="center"/>
        </w:tcPr>
        <w:p w14:paraId="614A3459" w14:textId="77777777" w:rsidR="00626C57" w:rsidRDefault="0077452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00" w:type="dxa"/>
          <w:vAlign w:val="center"/>
        </w:tcPr>
        <w:p w14:paraId="614A345A" w14:textId="77777777" w:rsidR="00626C57" w:rsidRDefault="0077452A">
          <w:pPr>
            <w:pBdr>
              <w:top w:val="nil"/>
              <w:left w:val="nil"/>
              <w:bottom w:val="nil"/>
              <w:right w:val="nil"/>
              <w:between w:val="nil"/>
            </w:pBdr>
            <w:tabs>
              <w:tab w:val="center" w:pos="4419"/>
              <w:tab w:val="right" w:pos="8838"/>
            </w:tabs>
            <w:ind w:right="-861"/>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02868/INFOEM/IP/RR/2024</w:t>
          </w:r>
        </w:p>
      </w:tc>
    </w:tr>
    <w:tr w:rsidR="00626C57" w14:paraId="614A345E" w14:textId="77777777">
      <w:trPr>
        <w:trHeight w:val="242"/>
      </w:trPr>
      <w:tc>
        <w:tcPr>
          <w:tcW w:w="2970" w:type="dxa"/>
          <w:vAlign w:val="center"/>
        </w:tcPr>
        <w:p w14:paraId="614A345C" w14:textId="77777777" w:rsidR="00626C57" w:rsidRDefault="0077452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00" w:type="dxa"/>
          <w:vAlign w:val="center"/>
        </w:tcPr>
        <w:p w14:paraId="614A345D" w14:textId="77777777" w:rsidR="00626C57" w:rsidRDefault="0077452A">
          <w:pPr>
            <w:pBdr>
              <w:top w:val="nil"/>
              <w:left w:val="nil"/>
              <w:bottom w:val="nil"/>
              <w:right w:val="nil"/>
              <w:between w:val="nil"/>
            </w:pBdr>
            <w:tabs>
              <w:tab w:val="center" w:pos="4419"/>
              <w:tab w:val="right" w:pos="8838"/>
            </w:tabs>
            <w:ind w:right="-861"/>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Tlalnepantla de Baz</w:t>
          </w:r>
        </w:p>
      </w:tc>
    </w:tr>
    <w:tr w:rsidR="00626C57" w14:paraId="614A3461" w14:textId="77777777">
      <w:trPr>
        <w:trHeight w:val="342"/>
      </w:trPr>
      <w:tc>
        <w:tcPr>
          <w:tcW w:w="2970" w:type="dxa"/>
          <w:vAlign w:val="center"/>
        </w:tcPr>
        <w:p w14:paraId="614A345F" w14:textId="77777777" w:rsidR="00626C57" w:rsidRDefault="0077452A">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00" w:type="dxa"/>
          <w:vAlign w:val="center"/>
        </w:tcPr>
        <w:p w14:paraId="614A3460" w14:textId="77777777" w:rsidR="00626C57" w:rsidRDefault="0077452A">
          <w:pPr>
            <w:pBdr>
              <w:top w:val="nil"/>
              <w:left w:val="nil"/>
              <w:bottom w:val="nil"/>
              <w:right w:val="nil"/>
              <w:between w:val="nil"/>
            </w:pBdr>
            <w:tabs>
              <w:tab w:val="center" w:pos="4419"/>
              <w:tab w:val="right" w:pos="8838"/>
            </w:tabs>
            <w:ind w:right="-861"/>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614A3462" w14:textId="77777777" w:rsidR="00626C57" w:rsidRDefault="0046666F">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614A3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A3465" w14:textId="77777777" w:rsidR="00626C57" w:rsidRDefault="00626C57">
    <w:pPr>
      <w:widowControl w:val="0"/>
      <w:pBdr>
        <w:top w:val="nil"/>
        <w:left w:val="nil"/>
        <w:bottom w:val="nil"/>
        <w:right w:val="nil"/>
        <w:between w:val="nil"/>
      </w:pBdr>
      <w:spacing w:line="276" w:lineRule="auto"/>
      <w:rPr>
        <w:color w:val="000000"/>
        <w:sz w:val="14"/>
        <w:szCs w:val="14"/>
      </w:rPr>
    </w:pPr>
  </w:p>
  <w:tbl>
    <w:tblPr>
      <w:tblStyle w:val="a3"/>
      <w:tblW w:w="7470" w:type="dxa"/>
      <w:tblInd w:w="2552" w:type="dxa"/>
      <w:tblLayout w:type="fixed"/>
      <w:tblLook w:val="0400" w:firstRow="0" w:lastRow="0" w:firstColumn="0" w:lastColumn="0" w:noHBand="0" w:noVBand="1"/>
    </w:tblPr>
    <w:tblGrid>
      <w:gridCol w:w="2970"/>
      <w:gridCol w:w="4500"/>
    </w:tblGrid>
    <w:tr w:rsidR="00626C57" w14:paraId="614A3468" w14:textId="77777777">
      <w:trPr>
        <w:trHeight w:val="227"/>
      </w:trPr>
      <w:tc>
        <w:tcPr>
          <w:tcW w:w="2970" w:type="dxa"/>
          <w:vAlign w:val="center"/>
        </w:tcPr>
        <w:p w14:paraId="614A3466" w14:textId="77777777" w:rsidR="00626C57" w:rsidRDefault="0077452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00" w:type="dxa"/>
          <w:vAlign w:val="center"/>
        </w:tcPr>
        <w:p w14:paraId="614A3467" w14:textId="77777777" w:rsidR="00626C57" w:rsidRDefault="0077452A">
          <w:pPr>
            <w:pBdr>
              <w:top w:val="nil"/>
              <w:left w:val="nil"/>
              <w:bottom w:val="nil"/>
              <w:right w:val="nil"/>
              <w:between w:val="nil"/>
            </w:pBdr>
            <w:tabs>
              <w:tab w:val="center" w:pos="4419"/>
              <w:tab w:val="right" w:pos="8838"/>
            </w:tabs>
            <w:ind w:right="-853"/>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sz w:val="22"/>
              <w:szCs w:val="22"/>
            </w:rPr>
            <w:t>02868/INFOEM/IP/RR/2024</w:t>
          </w:r>
        </w:p>
      </w:tc>
    </w:tr>
    <w:tr w:rsidR="00626C57" w14:paraId="614A346B" w14:textId="77777777">
      <w:trPr>
        <w:trHeight w:val="242"/>
      </w:trPr>
      <w:tc>
        <w:tcPr>
          <w:tcW w:w="2970" w:type="dxa"/>
          <w:vAlign w:val="center"/>
        </w:tcPr>
        <w:p w14:paraId="614A3469" w14:textId="77777777" w:rsidR="00626C57" w:rsidRDefault="0077452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500" w:type="dxa"/>
        </w:tcPr>
        <w:p w14:paraId="614A346A" w14:textId="77777777" w:rsidR="00626C57" w:rsidRDefault="00626C57">
          <w:pPr>
            <w:pBdr>
              <w:top w:val="nil"/>
              <w:left w:val="nil"/>
              <w:bottom w:val="nil"/>
              <w:right w:val="nil"/>
              <w:between w:val="nil"/>
            </w:pBdr>
            <w:tabs>
              <w:tab w:val="center" w:pos="4419"/>
              <w:tab w:val="right" w:pos="8838"/>
              <w:tab w:val="left" w:pos="521"/>
            </w:tabs>
            <w:ind w:right="-853"/>
            <w:rPr>
              <w:rFonts w:ascii="Palatino Linotype" w:eastAsia="Palatino Linotype" w:hAnsi="Palatino Linotype" w:cs="Palatino Linotype"/>
              <w:color w:val="FF0000"/>
              <w:sz w:val="22"/>
              <w:szCs w:val="22"/>
              <w:highlight w:val="green"/>
            </w:rPr>
          </w:pPr>
        </w:p>
      </w:tc>
    </w:tr>
    <w:tr w:rsidR="00626C57" w14:paraId="614A346E" w14:textId="77777777">
      <w:trPr>
        <w:trHeight w:val="342"/>
      </w:trPr>
      <w:tc>
        <w:tcPr>
          <w:tcW w:w="2970" w:type="dxa"/>
          <w:vAlign w:val="center"/>
        </w:tcPr>
        <w:p w14:paraId="614A346C" w14:textId="77777777" w:rsidR="00626C57" w:rsidRDefault="0077452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00" w:type="dxa"/>
          <w:vAlign w:val="center"/>
        </w:tcPr>
        <w:p w14:paraId="614A346D" w14:textId="77777777" w:rsidR="00626C57" w:rsidRDefault="0077452A">
          <w:pPr>
            <w:pBdr>
              <w:top w:val="nil"/>
              <w:left w:val="nil"/>
              <w:bottom w:val="nil"/>
              <w:right w:val="nil"/>
              <w:between w:val="nil"/>
            </w:pBdr>
            <w:tabs>
              <w:tab w:val="center" w:pos="4419"/>
              <w:tab w:val="right" w:pos="8838"/>
            </w:tabs>
            <w:ind w:right="-853"/>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Ayuntamiento de Tlalnepantla de Baz</w:t>
          </w:r>
        </w:p>
      </w:tc>
    </w:tr>
    <w:tr w:rsidR="00626C57" w14:paraId="614A3471" w14:textId="77777777">
      <w:trPr>
        <w:trHeight w:val="342"/>
      </w:trPr>
      <w:tc>
        <w:tcPr>
          <w:tcW w:w="2970" w:type="dxa"/>
          <w:vAlign w:val="center"/>
        </w:tcPr>
        <w:p w14:paraId="614A346F" w14:textId="77777777" w:rsidR="00626C57" w:rsidRDefault="0077452A">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00" w:type="dxa"/>
          <w:vAlign w:val="center"/>
        </w:tcPr>
        <w:p w14:paraId="614A3470" w14:textId="77777777" w:rsidR="00626C57" w:rsidRDefault="0077452A">
          <w:pPr>
            <w:pBdr>
              <w:top w:val="nil"/>
              <w:left w:val="nil"/>
              <w:bottom w:val="nil"/>
              <w:right w:val="nil"/>
              <w:between w:val="nil"/>
            </w:pBdr>
            <w:tabs>
              <w:tab w:val="center" w:pos="4419"/>
              <w:tab w:val="right" w:pos="8838"/>
            </w:tabs>
            <w:ind w:right="-853"/>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614A3472" w14:textId="77777777" w:rsidR="00626C57" w:rsidRDefault="0046666F">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614A3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90310E"/>
    <w:multiLevelType w:val="multilevel"/>
    <w:tmpl w:val="41863046"/>
    <w:lvl w:ilvl="0">
      <w:start w:val="1"/>
      <w:numFmt w:val="bullet"/>
      <w:lvlText w:val="●"/>
      <w:lvlJc w:val="left"/>
      <w:pPr>
        <w:ind w:left="709" w:hanging="358"/>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
    <w:nsid w:val="615370F3"/>
    <w:multiLevelType w:val="multilevel"/>
    <w:tmpl w:val="AEE8713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64AE2888"/>
    <w:multiLevelType w:val="multilevel"/>
    <w:tmpl w:val="228E17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6F334E0E"/>
    <w:multiLevelType w:val="multilevel"/>
    <w:tmpl w:val="48683BAA"/>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6946CDD"/>
    <w:multiLevelType w:val="multilevel"/>
    <w:tmpl w:val="4F70DBDA"/>
    <w:lvl w:ilvl="0">
      <w:start w:val="1"/>
      <w:numFmt w:val="lowerLetter"/>
      <w:lvlText w:val="%1)"/>
      <w:lvlJc w:val="left"/>
      <w:pPr>
        <w:ind w:left="1713" w:hanging="360"/>
      </w:pPr>
      <w:rPr>
        <w:b/>
        <w:i w:val="0"/>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5">
    <w:nsid w:val="7B665185"/>
    <w:multiLevelType w:val="multilevel"/>
    <w:tmpl w:val="68E0E53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abstractNumId w:val="4"/>
  </w:num>
  <w:num w:numId="2">
    <w:abstractNumId w:val="5"/>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C57"/>
    <w:rsid w:val="0026615C"/>
    <w:rsid w:val="0046666F"/>
    <w:rsid w:val="004F1889"/>
    <w:rsid w:val="00626C57"/>
    <w:rsid w:val="0074652B"/>
    <w:rsid w:val="00750654"/>
    <w:rsid w:val="0077452A"/>
    <w:rsid w:val="00894528"/>
    <w:rsid w:val="00A23DA1"/>
    <w:rsid w:val="00A32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4A3310"/>
  <w15:docId w15:val="{55A09906-8FA2-42D3-BB16-62AB4754A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Fundamentos,INAI"/>
    <w:link w:val="SinespaciadoCar"/>
    <w:uiPriority w:val="1"/>
    <w:qFormat/>
    <w:rsid w:val="0069334B"/>
    <w:rPr>
      <w:rFonts w:eastAsiaTheme="minorEastAsia"/>
      <w:lang w:eastAsia="es-ES"/>
    </w:rPr>
  </w:style>
  <w:style w:type="character" w:customStyle="1" w:styleId="SinespaciadoCar">
    <w:name w:val="Sin espaciado Car"/>
    <w:aliases w:val="Francesa Car,Fundamentos Car,INAI Car"/>
    <w:link w:val="Sinespaciado"/>
    <w:uiPriority w:val="1"/>
    <w:qFormat/>
    <w:locked/>
    <w:rsid w:val="0069334B"/>
    <w:rPr>
      <w:rFonts w:eastAsiaTheme="minorEastAsia"/>
      <w:sz w:val="24"/>
      <w:szCs w:val="24"/>
      <w:lang w:val="es-ES_tradnl" w:eastAsia="es-ES"/>
    </w:rPr>
  </w:style>
  <w:style w:type="paragraph" w:customStyle="1" w:styleId="Default">
    <w:name w:val="Default"/>
    <w:rsid w:val="00AC5C39"/>
    <w:pPr>
      <w:autoSpaceDE w:val="0"/>
      <w:autoSpaceDN w:val="0"/>
      <w:adjustRightInd w:val="0"/>
    </w:pPr>
    <w:rPr>
      <w:rFonts w:ascii="Arial" w:hAnsi="Arial" w:cs="Arial"/>
      <w:color w:val="000000"/>
    </w:rPr>
  </w:style>
  <w:style w:type="character" w:customStyle="1" w:styleId="normaltextrun">
    <w:name w:val="normaltextrun"/>
    <w:basedOn w:val="Fuentedeprrafopredeter"/>
    <w:rsid w:val="007754E3"/>
  </w:style>
  <w:style w:type="paragraph" w:customStyle="1" w:styleId="paragraph">
    <w:name w:val="paragraph"/>
    <w:basedOn w:val="Normal"/>
    <w:rsid w:val="007754E3"/>
    <w:pPr>
      <w:spacing w:before="100" w:beforeAutospacing="1" w:after="100" w:afterAutospacing="1"/>
    </w:pPr>
    <w:rPr>
      <w:rFonts w:ascii="Times New Roman" w:eastAsia="Times New Roman" w:hAnsi="Times New Roman" w:cs="Times New Roman"/>
      <w:lang w:val="es-MX" w:eastAsia="es-MX"/>
    </w:rPr>
  </w:style>
  <w:style w:type="paragraph" w:styleId="TDC1">
    <w:name w:val="toc 1"/>
    <w:basedOn w:val="Normal"/>
    <w:next w:val="Normal"/>
    <w:autoRedefine/>
    <w:uiPriority w:val="39"/>
    <w:unhideWhenUsed/>
    <w:rsid w:val="0012469B"/>
    <w:pPr>
      <w:spacing w:after="100"/>
    </w:pPr>
  </w:style>
  <w:style w:type="paragraph" w:styleId="Textoindependiente2">
    <w:name w:val="Body Text 2"/>
    <w:basedOn w:val="Normal"/>
    <w:link w:val="Textoindependiente2Car"/>
    <w:semiHidden/>
    <w:rsid w:val="002B110D"/>
    <w:pPr>
      <w:jc w:val="both"/>
    </w:pPr>
    <w:rPr>
      <w:rFonts w:ascii="Arial" w:eastAsia="Times New Roman" w:hAnsi="Arial" w:cs="Times New Roman"/>
      <w:iCs/>
      <w:lang w:val="es-MX" w:eastAsia="es-MX"/>
    </w:rPr>
  </w:style>
  <w:style w:type="character" w:customStyle="1" w:styleId="Textoindependiente2Car">
    <w:name w:val="Texto independiente 2 Car"/>
    <w:basedOn w:val="Fuentedeprrafopredeter"/>
    <w:link w:val="Textoindependiente2"/>
    <w:semiHidden/>
    <w:rsid w:val="002B110D"/>
    <w:rPr>
      <w:rFonts w:ascii="Arial" w:eastAsia="Times New Roman" w:hAnsi="Arial" w:cs="Times New Roman"/>
      <w:iCs/>
      <w:sz w:val="24"/>
      <w:szCs w:val="24"/>
      <w:lang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70" w:type="dxa"/>
        <w:bottom w:w="0" w:type="dxa"/>
        <w:right w:w="70"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 w:type="paragraph" w:customStyle="1" w:styleId="Texto">
    <w:name w:val="Texto"/>
    <w:basedOn w:val="Normal"/>
    <w:link w:val="TextoCar"/>
    <w:rsid w:val="005427EB"/>
    <w:pPr>
      <w:spacing w:after="101" w:line="216" w:lineRule="exact"/>
      <w:ind w:firstLine="288"/>
      <w:jc w:val="both"/>
    </w:pPr>
    <w:rPr>
      <w:rFonts w:ascii="Arial" w:eastAsia="Times New Roman" w:hAnsi="Arial" w:cs="Arial"/>
      <w:sz w:val="18"/>
      <w:szCs w:val="18"/>
      <w:lang w:val="es-MX"/>
    </w:rPr>
  </w:style>
  <w:style w:type="character" w:customStyle="1" w:styleId="TextoCar">
    <w:name w:val="Texto Car"/>
    <w:link w:val="Texto"/>
    <w:locked/>
    <w:rsid w:val="005427EB"/>
    <w:rPr>
      <w:rFonts w:ascii="Arial" w:eastAsia="Times New Roman" w:hAnsi="Arial" w:cs="Arial"/>
      <w:sz w:val="18"/>
      <w:szCs w:val="18"/>
      <w:lang w:val="es-MX" w:eastAsia="es-ES"/>
    </w:rPr>
  </w:style>
  <w:style w:type="paragraph" w:customStyle="1" w:styleId="ecxmsonormal">
    <w:name w:val="ecxmsonormal"/>
    <w:basedOn w:val="Normal"/>
    <w:qFormat/>
    <w:rsid w:val="00F61440"/>
    <w:pPr>
      <w:spacing w:before="100" w:beforeAutospacing="1" w:after="100" w:afterAutospacing="1"/>
    </w:pPr>
    <w:rPr>
      <w:rFonts w:ascii="Times New Roman" w:eastAsia="Times New Roman" w:hAnsi="Times New Roman" w:cs="Times New Roman"/>
      <w:lang w:val="es-MX" w:eastAsia="es-MX"/>
    </w:rPr>
  </w:style>
  <w:style w:type="character" w:customStyle="1" w:styleId="apple-converted-space">
    <w:name w:val="apple-converted-space"/>
    <w:basedOn w:val="Fuentedeprrafopredeter"/>
    <w:rsid w:val="00F61440"/>
  </w:style>
  <w:style w:type="paragraph" w:customStyle="1" w:styleId="ecxmsolistparagraph">
    <w:name w:val="ecxmsolistparagraph"/>
    <w:basedOn w:val="Normal"/>
    <w:uiPriority w:val="99"/>
    <w:qFormat/>
    <w:rsid w:val="00F61440"/>
    <w:pPr>
      <w:spacing w:before="100" w:beforeAutospacing="1" w:after="100" w:afterAutospacing="1"/>
    </w:pPr>
    <w:rPr>
      <w:rFonts w:ascii="Times New Roman" w:eastAsia="Times New Roman" w:hAnsi="Times New Roman" w:cs="Times New Roman"/>
      <w:lang w:val="es-MX" w:eastAsia="es-MX"/>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h+hnej1ko5TjDP1nYuza5xSlRg==">CgMxLjAyCGguZ2pkZ3hzMgloLjMwajB6bGwyCWguMWZvYjl0ZTIJaC4zem55c2g3MgloLjJldDkycDAyCGgudHlqY3d0MgloLjNkeTZ2a20yCWguMXQzaDVzZjIJaC40ZDM0b2c4MgloLjNyZGNyam4yCWguMjZpbjFyZzIIaC5sbnhiejk4AHIhMVNyS19KTlBFYUxsYThlMndRVlFjcFRmaG9aMlBRbGNX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35</Pages>
  <Words>8033</Words>
  <Characters>44182</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INFOEM416</cp:lastModifiedBy>
  <cp:revision>8</cp:revision>
  <cp:lastPrinted>2025-03-07T18:36:00Z</cp:lastPrinted>
  <dcterms:created xsi:type="dcterms:W3CDTF">2025-02-27T01:20:00Z</dcterms:created>
  <dcterms:modified xsi:type="dcterms:W3CDTF">2025-03-07T18:36:00Z</dcterms:modified>
</cp:coreProperties>
</file>