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B507B9F" w:rsidR="00C4052B" w:rsidRPr="0022632F" w:rsidRDefault="00C4052B" w:rsidP="007808E0">
          <w:pPr>
            <w:pStyle w:val="TtulodeTDC"/>
            <w:spacing w:before="0" w:line="360" w:lineRule="auto"/>
            <w:jc w:val="center"/>
            <w:rPr>
              <w:rFonts w:ascii="Palatino Linotype" w:hAnsi="Palatino Linotype"/>
              <w:color w:val="auto"/>
              <w:sz w:val="22"/>
              <w:szCs w:val="22"/>
            </w:rPr>
          </w:pPr>
          <w:r w:rsidRPr="0022632F">
            <w:rPr>
              <w:rFonts w:ascii="Palatino Linotype" w:hAnsi="Palatino Linotype"/>
              <w:color w:val="auto"/>
              <w:sz w:val="22"/>
              <w:szCs w:val="22"/>
              <w:lang w:val="es-ES"/>
            </w:rPr>
            <w:t xml:space="preserve">RESOLUCIÓN DEL RECURSO DE REVISIÓN </w:t>
          </w:r>
          <w:r w:rsidR="006C1E67" w:rsidRPr="0022632F">
            <w:rPr>
              <w:rFonts w:ascii="Palatino Linotype" w:hAnsi="Palatino Linotype"/>
              <w:color w:val="auto"/>
              <w:sz w:val="22"/>
              <w:szCs w:val="22"/>
            </w:rPr>
            <w:t>0</w:t>
          </w:r>
          <w:r w:rsidR="004E0E99" w:rsidRPr="0022632F">
            <w:rPr>
              <w:rFonts w:ascii="Palatino Linotype" w:hAnsi="Palatino Linotype"/>
              <w:color w:val="auto"/>
              <w:sz w:val="22"/>
              <w:szCs w:val="22"/>
            </w:rPr>
            <w:t>7171</w:t>
          </w:r>
          <w:r w:rsidR="000D392E" w:rsidRPr="0022632F">
            <w:rPr>
              <w:rFonts w:ascii="Palatino Linotype" w:hAnsi="Palatino Linotype"/>
              <w:color w:val="auto"/>
              <w:sz w:val="22"/>
              <w:szCs w:val="22"/>
            </w:rPr>
            <w:t>/INFOEM/IP/RR/2025</w:t>
          </w:r>
          <w:r w:rsidR="004E0E99" w:rsidRPr="0022632F">
            <w:rPr>
              <w:rFonts w:ascii="Palatino Linotype" w:hAnsi="Palatino Linotype"/>
              <w:color w:val="auto"/>
              <w:sz w:val="22"/>
              <w:szCs w:val="22"/>
            </w:rPr>
            <w:t xml:space="preserve"> Y ACUMULADOS</w:t>
          </w:r>
        </w:p>
        <w:p w14:paraId="73933EFA" w14:textId="77777777" w:rsidR="00C4052B" w:rsidRPr="0022632F" w:rsidRDefault="00C4052B" w:rsidP="007808E0">
          <w:pPr>
            <w:spacing w:after="0" w:line="360" w:lineRule="auto"/>
          </w:pPr>
        </w:p>
        <w:p w14:paraId="78EEDF67" w14:textId="55EB167F" w:rsidR="00C30650" w:rsidRDefault="00C4052B">
          <w:pPr>
            <w:pStyle w:val="TDC1"/>
            <w:tabs>
              <w:tab w:val="right" w:leader="dot" w:pos="8921"/>
            </w:tabs>
            <w:rPr>
              <w:rFonts w:asciiTheme="minorHAnsi" w:eastAsiaTheme="minorEastAsia" w:hAnsiTheme="minorHAnsi" w:cstheme="minorBidi"/>
              <w:noProof/>
              <w:color w:val="auto"/>
            </w:rPr>
          </w:pPr>
          <w:r w:rsidRPr="0022632F">
            <w:fldChar w:fldCharType="begin"/>
          </w:r>
          <w:r w:rsidRPr="0022632F">
            <w:instrText xml:space="preserve"> TOC \o "1-3" \h \z \u </w:instrText>
          </w:r>
          <w:r w:rsidRPr="0022632F">
            <w:fldChar w:fldCharType="separate"/>
          </w:r>
          <w:hyperlink w:anchor="_Toc207292033" w:history="1">
            <w:r w:rsidR="00C30650" w:rsidRPr="00AA1CC0">
              <w:rPr>
                <w:rStyle w:val="Hipervnculo"/>
                <w:noProof/>
              </w:rPr>
              <w:t>A N T E C E D E N T E S</w:t>
            </w:r>
            <w:r w:rsidR="00C30650">
              <w:rPr>
                <w:noProof/>
                <w:webHidden/>
              </w:rPr>
              <w:tab/>
            </w:r>
            <w:r w:rsidR="00C30650">
              <w:rPr>
                <w:noProof/>
                <w:webHidden/>
              </w:rPr>
              <w:fldChar w:fldCharType="begin"/>
            </w:r>
            <w:r w:rsidR="00C30650">
              <w:rPr>
                <w:noProof/>
                <w:webHidden/>
              </w:rPr>
              <w:instrText xml:space="preserve"> PAGEREF _Toc207292033 \h </w:instrText>
            </w:r>
            <w:r w:rsidR="00C30650">
              <w:rPr>
                <w:noProof/>
                <w:webHidden/>
              </w:rPr>
            </w:r>
            <w:r w:rsidR="00C30650">
              <w:rPr>
                <w:noProof/>
                <w:webHidden/>
              </w:rPr>
              <w:fldChar w:fldCharType="separate"/>
            </w:r>
            <w:r w:rsidR="00BD6553">
              <w:rPr>
                <w:noProof/>
                <w:webHidden/>
              </w:rPr>
              <w:t>2</w:t>
            </w:r>
            <w:r w:rsidR="00C30650">
              <w:rPr>
                <w:noProof/>
                <w:webHidden/>
              </w:rPr>
              <w:fldChar w:fldCharType="end"/>
            </w:r>
          </w:hyperlink>
        </w:p>
        <w:p w14:paraId="7EFD79CF" w14:textId="76A89C25" w:rsidR="00C30650" w:rsidRDefault="00BE5BE4">
          <w:pPr>
            <w:pStyle w:val="TDC2"/>
            <w:tabs>
              <w:tab w:val="right" w:leader="dot" w:pos="8921"/>
            </w:tabs>
            <w:rPr>
              <w:rFonts w:asciiTheme="minorHAnsi" w:eastAsiaTheme="minorEastAsia" w:hAnsiTheme="minorHAnsi" w:cstheme="minorBidi"/>
              <w:noProof/>
              <w:color w:val="auto"/>
            </w:rPr>
          </w:pPr>
          <w:hyperlink w:anchor="_Toc207292034" w:history="1">
            <w:r w:rsidR="00C30650" w:rsidRPr="00AA1CC0">
              <w:rPr>
                <w:rStyle w:val="Hipervnculo"/>
                <w:noProof/>
                <w:lang w:eastAsia="es-ES"/>
              </w:rPr>
              <w:t>I. Presentación de la solicitud de información</w:t>
            </w:r>
            <w:r w:rsidR="00C30650">
              <w:rPr>
                <w:noProof/>
                <w:webHidden/>
              </w:rPr>
              <w:tab/>
            </w:r>
            <w:r w:rsidR="00C30650">
              <w:rPr>
                <w:noProof/>
                <w:webHidden/>
              </w:rPr>
              <w:fldChar w:fldCharType="begin"/>
            </w:r>
            <w:r w:rsidR="00C30650">
              <w:rPr>
                <w:noProof/>
                <w:webHidden/>
              </w:rPr>
              <w:instrText xml:space="preserve"> PAGEREF _Toc207292034 \h </w:instrText>
            </w:r>
            <w:r w:rsidR="00C30650">
              <w:rPr>
                <w:noProof/>
                <w:webHidden/>
              </w:rPr>
            </w:r>
            <w:r w:rsidR="00C30650">
              <w:rPr>
                <w:noProof/>
                <w:webHidden/>
              </w:rPr>
              <w:fldChar w:fldCharType="separate"/>
            </w:r>
            <w:r w:rsidR="00BD6553">
              <w:rPr>
                <w:noProof/>
                <w:webHidden/>
              </w:rPr>
              <w:t>2</w:t>
            </w:r>
            <w:r w:rsidR="00C30650">
              <w:rPr>
                <w:noProof/>
                <w:webHidden/>
              </w:rPr>
              <w:fldChar w:fldCharType="end"/>
            </w:r>
          </w:hyperlink>
        </w:p>
        <w:p w14:paraId="5D370317" w14:textId="3C1828C8" w:rsidR="00C30650" w:rsidRDefault="00BE5BE4">
          <w:pPr>
            <w:pStyle w:val="TDC2"/>
            <w:tabs>
              <w:tab w:val="right" w:leader="dot" w:pos="8921"/>
            </w:tabs>
            <w:rPr>
              <w:rFonts w:asciiTheme="minorHAnsi" w:eastAsiaTheme="minorEastAsia" w:hAnsiTheme="minorHAnsi" w:cstheme="minorBidi"/>
              <w:noProof/>
              <w:color w:val="auto"/>
            </w:rPr>
          </w:pPr>
          <w:hyperlink w:anchor="_Toc207292035" w:history="1">
            <w:r w:rsidR="00C30650" w:rsidRPr="00AA1CC0">
              <w:rPr>
                <w:rStyle w:val="Hipervnculo"/>
                <w:rFonts w:cs="Tahoma"/>
                <w:noProof/>
              </w:rPr>
              <w:t>II.</w:t>
            </w:r>
            <w:r w:rsidR="00C30650" w:rsidRPr="00AA1CC0">
              <w:rPr>
                <w:rStyle w:val="Hipervnculo"/>
                <w:noProof/>
              </w:rPr>
              <w:t xml:space="preserve"> Respuesta del Sujeto Obligado</w:t>
            </w:r>
            <w:r w:rsidR="00C30650">
              <w:rPr>
                <w:noProof/>
                <w:webHidden/>
              </w:rPr>
              <w:tab/>
            </w:r>
            <w:r w:rsidR="00C30650">
              <w:rPr>
                <w:noProof/>
                <w:webHidden/>
              </w:rPr>
              <w:fldChar w:fldCharType="begin"/>
            </w:r>
            <w:r w:rsidR="00C30650">
              <w:rPr>
                <w:noProof/>
                <w:webHidden/>
              </w:rPr>
              <w:instrText xml:space="preserve"> PAGEREF _Toc207292035 \h </w:instrText>
            </w:r>
            <w:r w:rsidR="00C30650">
              <w:rPr>
                <w:noProof/>
                <w:webHidden/>
              </w:rPr>
            </w:r>
            <w:r w:rsidR="00C30650">
              <w:rPr>
                <w:noProof/>
                <w:webHidden/>
              </w:rPr>
              <w:fldChar w:fldCharType="separate"/>
            </w:r>
            <w:r w:rsidR="00BD6553">
              <w:rPr>
                <w:noProof/>
                <w:webHidden/>
              </w:rPr>
              <w:t>3</w:t>
            </w:r>
            <w:r w:rsidR="00C30650">
              <w:rPr>
                <w:noProof/>
                <w:webHidden/>
              </w:rPr>
              <w:fldChar w:fldCharType="end"/>
            </w:r>
          </w:hyperlink>
        </w:p>
        <w:p w14:paraId="227E842A" w14:textId="3156ABF0" w:rsidR="00C30650" w:rsidRDefault="00BE5BE4">
          <w:pPr>
            <w:pStyle w:val="TDC2"/>
            <w:tabs>
              <w:tab w:val="right" w:leader="dot" w:pos="8921"/>
            </w:tabs>
            <w:rPr>
              <w:rFonts w:asciiTheme="minorHAnsi" w:eastAsiaTheme="minorEastAsia" w:hAnsiTheme="minorHAnsi" w:cstheme="minorBidi"/>
              <w:noProof/>
              <w:color w:val="auto"/>
            </w:rPr>
          </w:pPr>
          <w:hyperlink w:anchor="_Toc207292036" w:history="1">
            <w:r w:rsidR="00C30650" w:rsidRPr="00AA1CC0">
              <w:rPr>
                <w:rStyle w:val="Hipervnculo"/>
                <w:noProof/>
              </w:rPr>
              <w:t>III. Interposición del Recurso de Revisión</w:t>
            </w:r>
            <w:r w:rsidR="00C30650">
              <w:rPr>
                <w:noProof/>
                <w:webHidden/>
              </w:rPr>
              <w:tab/>
            </w:r>
            <w:r w:rsidR="00C30650">
              <w:rPr>
                <w:noProof/>
                <w:webHidden/>
              </w:rPr>
              <w:fldChar w:fldCharType="begin"/>
            </w:r>
            <w:r w:rsidR="00C30650">
              <w:rPr>
                <w:noProof/>
                <w:webHidden/>
              </w:rPr>
              <w:instrText xml:space="preserve"> PAGEREF _Toc207292036 \h </w:instrText>
            </w:r>
            <w:r w:rsidR="00C30650">
              <w:rPr>
                <w:noProof/>
                <w:webHidden/>
              </w:rPr>
            </w:r>
            <w:r w:rsidR="00C30650">
              <w:rPr>
                <w:noProof/>
                <w:webHidden/>
              </w:rPr>
              <w:fldChar w:fldCharType="separate"/>
            </w:r>
            <w:r w:rsidR="00BD6553">
              <w:rPr>
                <w:noProof/>
                <w:webHidden/>
              </w:rPr>
              <w:t>4</w:t>
            </w:r>
            <w:r w:rsidR="00C30650">
              <w:rPr>
                <w:noProof/>
                <w:webHidden/>
              </w:rPr>
              <w:fldChar w:fldCharType="end"/>
            </w:r>
          </w:hyperlink>
        </w:p>
        <w:p w14:paraId="6AA10DEE" w14:textId="09A7E7E2" w:rsidR="00C30650" w:rsidRDefault="00BE5BE4">
          <w:pPr>
            <w:pStyle w:val="TDC2"/>
            <w:tabs>
              <w:tab w:val="right" w:leader="dot" w:pos="8921"/>
            </w:tabs>
            <w:rPr>
              <w:rFonts w:asciiTheme="minorHAnsi" w:eastAsiaTheme="minorEastAsia" w:hAnsiTheme="minorHAnsi" w:cstheme="minorBidi"/>
              <w:noProof/>
              <w:color w:val="auto"/>
            </w:rPr>
          </w:pPr>
          <w:hyperlink w:anchor="_Toc207292037" w:history="1">
            <w:r w:rsidR="00C30650" w:rsidRPr="00AA1CC0">
              <w:rPr>
                <w:rStyle w:val="Hipervnculo"/>
                <w:noProof/>
              </w:rPr>
              <w:t>IV. Trámite del Recurso de Revisión ante este Instituto</w:t>
            </w:r>
            <w:r w:rsidR="00C30650">
              <w:rPr>
                <w:noProof/>
                <w:webHidden/>
              </w:rPr>
              <w:tab/>
            </w:r>
            <w:r w:rsidR="00C30650">
              <w:rPr>
                <w:noProof/>
                <w:webHidden/>
              </w:rPr>
              <w:fldChar w:fldCharType="begin"/>
            </w:r>
            <w:r w:rsidR="00C30650">
              <w:rPr>
                <w:noProof/>
                <w:webHidden/>
              </w:rPr>
              <w:instrText xml:space="preserve"> PAGEREF _Toc207292037 \h </w:instrText>
            </w:r>
            <w:r w:rsidR="00C30650">
              <w:rPr>
                <w:noProof/>
                <w:webHidden/>
              </w:rPr>
            </w:r>
            <w:r w:rsidR="00C30650">
              <w:rPr>
                <w:noProof/>
                <w:webHidden/>
              </w:rPr>
              <w:fldChar w:fldCharType="separate"/>
            </w:r>
            <w:r w:rsidR="00BD6553">
              <w:rPr>
                <w:noProof/>
                <w:webHidden/>
              </w:rPr>
              <w:t>5</w:t>
            </w:r>
            <w:r w:rsidR="00C30650">
              <w:rPr>
                <w:noProof/>
                <w:webHidden/>
              </w:rPr>
              <w:fldChar w:fldCharType="end"/>
            </w:r>
          </w:hyperlink>
        </w:p>
        <w:p w14:paraId="3FA05906" w14:textId="465DBDAC" w:rsidR="00C30650" w:rsidRDefault="00BE5BE4">
          <w:pPr>
            <w:pStyle w:val="TDC1"/>
            <w:tabs>
              <w:tab w:val="right" w:leader="dot" w:pos="8921"/>
            </w:tabs>
            <w:rPr>
              <w:rFonts w:asciiTheme="minorHAnsi" w:eastAsiaTheme="minorEastAsia" w:hAnsiTheme="minorHAnsi" w:cstheme="minorBidi"/>
              <w:noProof/>
              <w:color w:val="auto"/>
            </w:rPr>
          </w:pPr>
          <w:hyperlink w:anchor="_Toc207292038" w:history="1">
            <w:r w:rsidR="00C30650" w:rsidRPr="00AA1CC0">
              <w:rPr>
                <w:rStyle w:val="Hipervnculo"/>
                <w:noProof/>
              </w:rPr>
              <w:t>C O N S I D E R A N D O S</w:t>
            </w:r>
            <w:r w:rsidR="00C30650">
              <w:rPr>
                <w:noProof/>
                <w:webHidden/>
              </w:rPr>
              <w:tab/>
            </w:r>
            <w:r w:rsidR="00C30650">
              <w:rPr>
                <w:noProof/>
                <w:webHidden/>
              </w:rPr>
              <w:fldChar w:fldCharType="begin"/>
            </w:r>
            <w:r w:rsidR="00C30650">
              <w:rPr>
                <w:noProof/>
                <w:webHidden/>
              </w:rPr>
              <w:instrText xml:space="preserve"> PAGEREF _Toc207292038 \h </w:instrText>
            </w:r>
            <w:r w:rsidR="00C30650">
              <w:rPr>
                <w:noProof/>
                <w:webHidden/>
              </w:rPr>
            </w:r>
            <w:r w:rsidR="00C30650">
              <w:rPr>
                <w:noProof/>
                <w:webHidden/>
              </w:rPr>
              <w:fldChar w:fldCharType="separate"/>
            </w:r>
            <w:r w:rsidR="00BD6553">
              <w:rPr>
                <w:noProof/>
                <w:webHidden/>
              </w:rPr>
              <w:t>10</w:t>
            </w:r>
            <w:r w:rsidR="00C30650">
              <w:rPr>
                <w:noProof/>
                <w:webHidden/>
              </w:rPr>
              <w:fldChar w:fldCharType="end"/>
            </w:r>
          </w:hyperlink>
        </w:p>
        <w:p w14:paraId="058414CC" w14:textId="2BCA1DE7" w:rsidR="00C30650" w:rsidRDefault="00BE5BE4">
          <w:pPr>
            <w:pStyle w:val="TDC2"/>
            <w:tabs>
              <w:tab w:val="right" w:leader="dot" w:pos="8921"/>
            </w:tabs>
            <w:rPr>
              <w:rFonts w:asciiTheme="minorHAnsi" w:eastAsiaTheme="minorEastAsia" w:hAnsiTheme="minorHAnsi" w:cstheme="minorBidi"/>
              <w:noProof/>
              <w:color w:val="auto"/>
            </w:rPr>
          </w:pPr>
          <w:hyperlink w:anchor="_Toc207292039" w:history="1">
            <w:r w:rsidR="00C30650" w:rsidRPr="00AA1CC0">
              <w:rPr>
                <w:rStyle w:val="Hipervnculo"/>
                <w:noProof/>
              </w:rPr>
              <w:t>PRIMERO. Competencia</w:t>
            </w:r>
            <w:r w:rsidR="00C30650">
              <w:rPr>
                <w:noProof/>
                <w:webHidden/>
              </w:rPr>
              <w:tab/>
            </w:r>
            <w:r w:rsidR="00C30650">
              <w:rPr>
                <w:noProof/>
                <w:webHidden/>
              </w:rPr>
              <w:fldChar w:fldCharType="begin"/>
            </w:r>
            <w:r w:rsidR="00C30650">
              <w:rPr>
                <w:noProof/>
                <w:webHidden/>
              </w:rPr>
              <w:instrText xml:space="preserve"> PAGEREF _Toc207292039 \h </w:instrText>
            </w:r>
            <w:r w:rsidR="00C30650">
              <w:rPr>
                <w:noProof/>
                <w:webHidden/>
              </w:rPr>
            </w:r>
            <w:r w:rsidR="00C30650">
              <w:rPr>
                <w:noProof/>
                <w:webHidden/>
              </w:rPr>
              <w:fldChar w:fldCharType="separate"/>
            </w:r>
            <w:r w:rsidR="00BD6553">
              <w:rPr>
                <w:noProof/>
                <w:webHidden/>
              </w:rPr>
              <w:t>10</w:t>
            </w:r>
            <w:r w:rsidR="00C30650">
              <w:rPr>
                <w:noProof/>
                <w:webHidden/>
              </w:rPr>
              <w:fldChar w:fldCharType="end"/>
            </w:r>
          </w:hyperlink>
        </w:p>
        <w:p w14:paraId="371E92E1" w14:textId="40BC2036" w:rsidR="00C30650" w:rsidRDefault="00BE5BE4">
          <w:pPr>
            <w:pStyle w:val="TDC2"/>
            <w:tabs>
              <w:tab w:val="right" w:leader="dot" w:pos="8921"/>
            </w:tabs>
            <w:rPr>
              <w:rFonts w:asciiTheme="minorHAnsi" w:eastAsiaTheme="minorEastAsia" w:hAnsiTheme="minorHAnsi" w:cstheme="minorBidi"/>
              <w:noProof/>
              <w:color w:val="auto"/>
            </w:rPr>
          </w:pPr>
          <w:hyperlink w:anchor="_Toc207292040" w:history="1">
            <w:r w:rsidR="00C30650" w:rsidRPr="00AA1CC0">
              <w:rPr>
                <w:rStyle w:val="Hipervnculo"/>
                <w:noProof/>
              </w:rPr>
              <w:t>SEGUNDO. Causales de improcedencia y sobreseimiento</w:t>
            </w:r>
            <w:r w:rsidR="00C30650">
              <w:rPr>
                <w:noProof/>
                <w:webHidden/>
              </w:rPr>
              <w:tab/>
            </w:r>
            <w:r w:rsidR="00C30650">
              <w:rPr>
                <w:noProof/>
                <w:webHidden/>
              </w:rPr>
              <w:fldChar w:fldCharType="begin"/>
            </w:r>
            <w:r w:rsidR="00C30650">
              <w:rPr>
                <w:noProof/>
                <w:webHidden/>
              </w:rPr>
              <w:instrText xml:space="preserve"> PAGEREF _Toc207292040 \h </w:instrText>
            </w:r>
            <w:r w:rsidR="00C30650">
              <w:rPr>
                <w:noProof/>
                <w:webHidden/>
              </w:rPr>
            </w:r>
            <w:r w:rsidR="00C30650">
              <w:rPr>
                <w:noProof/>
                <w:webHidden/>
              </w:rPr>
              <w:fldChar w:fldCharType="separate"/>
            </w:r>
            <w:r w:rsidR="00BD6553">
              <w:rPr>
                <w:noProof/>
                <w:webHidden/>
              </w:rPr>
              <w:t>10</w:t>
            </w:r>
            <w:r w:rsidR="00C30650">
              <w:rPr>
                <w:noProof/>
                <w:webHidden/>
              </w:rPr>
              <w:fldChar w:fldCharType="end"/>
            </w:r>
          </w:hyperlink>
        </w:p>
        <w:p w14:paraId="2AF58121" w14:textId="268CD364" w:rsidR="00C30650" w:rsidRDefault="00BE5BE4">
          <w:pPr>
            <w:pStyle w:val="TDC2"/>
            <w:tabs>
              <w:tab w:val="right" w:leader="dot" w:pos="8921"/>
            </w:tabs>
            <w:rPr>
              <w:rFonts w:asciiTheme="minorHAnsi" w:eastAsiaTheme="minorEastAsia" w:hAnsiTheme="minorHAnsi" w:cstheme="minorBidi"/>
              <w:noProof/>
              <w:color w:val="auto"/>
            </w:rPr>
          </w:pPr>
          <w:hyperlink w:anchor="_Toc207292041" w:history="1">
            <w:r w:rsidR="00C30650" w:rsidRPr="00AA1CC0">
              <w:rPr>
                <w:rStyle w:val="Hipervnculo"/>
                <w:noProof/>
              </w:rPr>
              <w:t>TERCERO. Determinación de la Controversia</w:t>
            </w:r>
            <w:r w:rsidR="00C30650">
              <w:rPr>
                <w:noProof/>
                <w:webHidden/>
              </w:rPr>
              <w:tab/>
            </w:r>
            <w:r w:rsidR="00C30650">
              <w:rPr>
                <w:noProof/>
                <w:webHidden/>
              </w:rPr>
              <w:fldChar w:fldCharType="begin"/>
            </w:r>
            <w:r w:rsidR="00C30650">
              <w:rPr>
                <w:noProof/>
                <w:webHidden/>
              </w:rPr>
              <w:instrText xml:space="preserve"> PAGEREF _Toc207292041 \h </w:instrText>
            </w:r>
            <w:r w:rsidR="00C30650">
              <w:rPr>
                <w:noProof/>
                <w:webHidden/>
              </w:rPr>
            </w:r>
            <w:r w:rsidR="00C30650">
              <w:rPr>
                <w:noProof/>
                <w:webHidden/>
              </w:rPr>
              <w:fldChar w:fldCharType="separate"/>
            </w:r>
            <w:r w:rsidR="00BD6553">
              <w:rPr>
                <w:noProof/>
                <w:webHidden/>
              </w:rPr>
              <w:t>12</w:t>
            </w:r>
            <w:r w:rsidR="00C30650">
              <w:rPr>
                <w:noProof/>
                <w:webHidden/>
              </w:rPr>
              <w:fldChar w:fldCharType="end"/>
            </w:r>
          </w:hyperlink>
        </w:p>
        <w:p w14:paraId="27679C17" w14:textId="3CBA69E9" w:rsidR="00C30650" w:rsidRDefault="00BE5BE4">
          <w:pPr>
            <w:pStyle w:val="TDC2"/>
            <w:tabs>
              <w:tab w:val="right" w:leader="dot" w:pos="8921"/>
            </w:tabs>
            <w:rPr>
              <w:rFonts w:asciiTheme="minorHAnsi" w:eastAsiaTheme="minorEastAsia" w:hAnsiTheme="minorHAnsi" w:cstheme="minorBidi"/>
              <w:noProof/>
              <w:color w:val="auto"/>
            </w:rPr>
          </w:pPr>
          <w:hyperlink w:anchor="_Toc207292042" w:history="1">
            <w:r w:rsidR="00C30650" w:rsidRPr="00AA1CC0">
              <w:rPr>
                <w:rStyle w:val="Hipervnculo"/>
                <w:noProof/>
              </w:rPr>
              <w:t>CUARTO. Marco normativo aplicable en materia de transparencia y acceso a la información pública</w:t>
            </w:r>
            <w:r w:rsidR="00C30650">
              <w:rPr>
                <w:noProof/>
                <w:webHidden/>
              </w:rPr>
              <w:tab/>
            </w:r>
            <w:r w:rsidR="00C30650">
              <w:rPr>
                <w:noProof/>
                <w:webHidden/>
              </w:rPr>
              <w:fldChar w:fldCharType="begin"/>
            </w:r>
            <w:r w:rsidR="00C30650">
              <w:rPr>
                <w:noProof/>
                <w:webHidden/>
              </w:rPr>
              <w:instrText xml:space="preserve"> PAGEREF _Toc207292042 \h </w:instrText>
            </w:r>
            <w:r w:rsidR="00C30650">
              <w:rPr>
                <w:noProof/>
                <w:webHidden/>
              </w:rPr>
            </w:r>
            <w:r w:rsidR="00C30650">
              <w:rPr>
                <w:noProof/>
                <w:webHidden/>
              </w:rPr>
              <w:fldChar w:fldCharType="separate"/>
            </w:r>
            <w:r w:rsidR="00BD6553">
              <w:rPr>
                <w:noProof/>
                <w:webHidden/>
              </w:rPr>
              <w:t>13</w:t>
            </w:r>
            <w:r w:rsidR="00C30650">
              <w:rPr>
                <w:noProof/>
                <w:webHidden/>
              </w:rPr>
              <w:fldChar w:fldCharType="end"/>
            </w:r>
          </w:hyperlink>
        </w:p>
        <w:p w14:paraId="4CDBF4AC" w14:textId="35148702" w:rsidR="00C30650" w:rsidRDefault="00BE5BE4">
          <w:pPr>
            <w:pStyle w:val="TDC2"/>
            <w:tabs>
              <w:tab w:val="right" w:leader="dot" w:pos="8921"/>
            </w:tabs>
            <w:rPr>
              <w:rFonts w:asciiTheme="minorHAnsi" w:eastAsiaTheme="minorEastAsia" w:hAnsiTheme="minorHAnsi" w:cstheme="minorBidi"/>
              <w:noProof/>
              <w:color w:val="auto"/>
            </w:rPr>
          </w:pPr>
          <w:hyperlink w:anchor="_Toc207292043" w:history="1">
            <w:r w:rsidR="00C30650" w:rsidRPr="00AA1CC0">
              <w:rPr>
                <w:rStyle w:val="Hipervnculo"/>
                <w:noProof/>
              </w:rPr>
              <w:t>QUINTO. Estudio de Fondo</w:t>
            </w:r>
            <w:r w:rsidR="00C30650">
              <w:rPr>
                <w:noProof/>
                <w:webHidden/>
              </w:rPr>
              <w:tab/>
            </w:r>
            <w:r w:rsidR="00C30650">
              <w:rPr>
                <w:noProof/>
                <w:webHidden/>
              </w:rPr>
              <w:fldChar w:fldCharType="begin"/>
            </w:r>
            <w:r w:rsidR="00C30650">
              <w:rPr>
                <w:noProof/>
                <w:webHidden/>
              </w:rPr>
              <w:instrText xml:space="preserve"> PAGEREF _Toc207292043 \h </w:instrText>
            </w:r>
            <w:r w:rsidR="00C30650">
              <w:rPr>
                <w:noProof/>
                <w:webHidden/>
              </w:rPr>
            </w:r>
            <w:r w:rsidR="00C30650">
              <w:rPr>
                <w:noProof/>
                <w:webHidden/>
              </w:rPr>
              <w:fldChar w:fldCharType="separate"/>
            </w:r>
            <w:r w:rsidR="00BD6553">
              <w:rPr>
                <w:noProof/>
                <w:webHidden/>
              </w:rPr>
              <w:t>14</w:t>
            </w:r>
            <w:r w:rsidR="00C30650">
              <w:rPr>
                <w:noProof/>
                <w:webHidden/>
              </w:rPr>
              <w:fldChar w:fldCharType="end"/>
            </w:r>
          </w:hyperlink>
        </w:p>
        <w:p w14:paraId="2D464DEA" w14:textId="6E59903C" w:rsidR="00C30650" w:rsidRDefault="00BE5BE4">
          <w:pPr>
            <w:pStyle w:val="TDC2"/>
            <w:tabs>
              <w:tab w:val="right" w:leader="dot" w:pos="8921"/>
            </w:tabs>
            <w:rPr>
              <w:rFonts w:asciiTheme="minorHAnsi" w:eastAsiaTheme="minorEastAsia" w:hAnsiTheme="minorHAnsi" w:cstheme="minorBidi"/>
              <w:noProof/>
              <w:color w:val="auto"/>
            </w:rPr>
          </w:pPr>
          <w:hyperlink w:anchor="_Toc207292044" w:history="1">
            <w:r w:rsidR="00C30650" w:rsidRPr="00AA1CC0">
              <w:rPr>
                <w:rStyle w:val="Hipervnculo"/>
                <w:noProof/>
              </w:rPr>
              <w:t>SEXTO. Decisión</w:t>
            </w:r>
            <w:r w:rsidR="00C30650">
              <w:rPr>
                <w:noProof/>
                <w:webHidden/>
              </w:rPr>
              <w:tab/>
            </w:r>
            <w:r w:rsidR="00C30650">
              <w:rPr>
                <w:noProof/>
                <w:webHidden/>
              </w:rPr>
              <w:fldChar w:fldCharType="begin"/>
            </w:r>
            <w:r w:rsidR="00C30650">
              <w:rPr>
                <w:noProof/>
                <w:webHidden/>
              </w:rPr>
              <w:instrText xml:space="preserve"> PAGEREF _Toc207292044 \h </w:instrText>
            </w:r>
            <w:r w:rsidR="00C30650">
              <w:rPr>
                <w:noProof/>
                <w:webHidden/>
              </w:rPr>
            </w:r>
            <w:r w:rsidR="00C30650">
              <w:rPr>
                <w:noProof/>
                <w:webHidden/>
              </w:rPr>
              <w:fldChar w:fldCharType="separate"/>
            </w:r>
            <w:r w:rsidR="00BD6553">
              <w:rPr>
                <w:noProof/>
                <w:webHidden/>
              </w:rPr>
              <w:t>23</w:t>
            </w:r>
            <w:r w:rsidR="00C30650">
              <w:rPr>
                <w:noProof/>
                <w:webHidden/>
              </w:rPr>
              <w:fldChar w:fldCharType="end"/>
            </w:r>
          </w:hyperlink>
        </w:p>
        <w:p w14:paraId="7D27E544" w14:textId="6965E77C" w:rsidR="00C30650" w:rsidRDefault="00BE5BE4">
          <w:pPr>
            <w:pStyle w:val="TDC1"/>
            <w:tabs>
              <w:tab w:val="right" w:leader="dot" w:pos="8921"/>
            </w:tabs>
            <w:rPr>
              <w:rFonts w:asciiTheme="minorHAnsi" w:eastAsiaTheme="minorEastAsia" w:hAnsiTheme="minorHAnsi" w:cstheme="minorBidi"/>
              <w:noProof/>
              <w:color w:val="auto"/>
            </w:rPr>
          </w:pPr>
          <w:hyperlink w:anchor="_Toc207292045" w:history="1">
            <w:r w:rsidR="00C30650" w:rsidRPr="00AA1CC0">
              <w:rPr>
                <w:rStyle w:val="Hipervnculo"/>
                <w:noProof/>
              </w:rPr>
              <w:t>R E S U E L V E</w:t>
            </w:r>
            <w:r w:rsidR="00C30650">
              <w:rPr>
                <w:noProof/>
                <w:webHidden/>
              </w:rPr>
              <w:tab/>
            </w:r>
            <w:r w:rsidR="00C30650">
              <w:rPr>
                <w:noProof/>
                <w:webHidden/>
              </w:rPr>
              <w:fldChar w:fldCharType="begin"/>
            </w:r>
            <w:r w:rsidR="00C30650">
              <w:rPr>
                <w:noProof/>
                <w:webHidden/>
              </w:rPr>
              <w:instrText xml:space="preserve"> PAGEREF _Toc207292045 \h </w:instrText>
            </w:r>
            <w:r w:rsidR="00C30650">
              <w:rPr>
                <w:noProof/>
                <w:webHidden/>
              </w:rPr>
            </w:r>
            <w:r w:rsidR="00C30650">
              <w:rPr>
                <w:noProof/>
                <w:webHidden/>
              </w:rPr>
              <w:fldChar w:fldCharType="separate"/>
            </w:r>
            <w:r w:rsidR="00BD6553">
              <w:rPr>
                <w:noProof/>
                <w:webHidden/>
              </w:rPr>
              <w:t>24</w:t>
            </w:r>
            <w:r w:rsidR="00C30650">
              <w:rPr>
                <w:noProof/>
                <w:webHidden/>
              </w:rPr>
              <w:fldChar w:fldCharType="end"/>
            </w:r>
          </w:hyperlink>
        </w:p>
        <w:p w14:paraId="5B9D6C11" w14:textId="5B96AD40" w:rsidR="00C4052B" w:rsidRPr="0022632F" w:rsidRDefault="00C4052B" w:rsidP="007808E0">
          <w:pPr>
            <w:spacing w:after="0" w:line="360" w:lineRule="auto"/>
          </w:pPr>
          <w:r w:rsidRPr="0022632F">
            <w:rPr>
              <w:b/>
              <w:bCs/>
              <w:lang w:val="es-ES"/>
            </w:rPr>
            <w:fldChar w:fldCharType="end"/>
          </w:r>
        </w:p>
      </w:sdtContent>
    </w:sdt>
    <w:p w14:paraId="57481942" w14:textId="77777777" w:rsidR="00C4052B" w:rsidRPr="0022632F" w:rsidRDefault="00C4052B" w:rsidP="007808E0">
      <w:pPr>
        <w:tabs>
          <w:tab w:val="left" w:pos="8931"/>
        </w:tabs>
        <w:spacing w:after="0" w:line="360" w:lineRule="auto"/>
      </w:pPr>
    </w:p>
    <w:p w14:paraId="411B5995" w14:textId="77777777" w:rsidR="00C4052B" w:rsidRPr="0022632F" w:rsidRDefault="00C4052B" w:rsidP="007808E0">
      <w:pPr>
        <w:tabs>
          <w:tab w:val="left" w:pos="8931"/>
        </w:tabs>
        <w:spacing w:after="0" w:line="360" w:lineRule="auto"/>
      </w:pPr>
    </w:p>
    <w:p w14:paraId="6784625D" w14:textId="77777777" w:rsidR="00C4052B" w:rsidRPr="0022632F" w:rsidRDefault="00C4052B" w:rsidP="007808E0">
      <w:pPr>
        <w:tabs>
          <w:tab w:val="left" w:pos="8931"/>
        </w:tabs>
        <w:spacing w:after="0" w:line="360" w:lineRule="auto"/>
      </w:pPr>
    </w:p>
    <w:p w14:paraId="140888DD" w14:textId="77777777" w:rsidR="00C4052B" w:rsidRPr="0022632F" w:rsidRDefault="00C4052B" w:rsidP="007808E0">
      <w:pPr>
        <w:tabs>
          <w:tab w:val="left" w:pos="8931"/>
        </w:tabs>
        <w:spacing w:after="0" w:line="360" w:lineRule="auto"/>
      </w:pPr>
    </w:p>
    <w:p w14:paraId="46268890" w14:textId="77777777" w:rsidR="00C4052B" w:rsidRPr="0022632F" w:rsidRDefault="00C4052B" w:rsidP="007808E0">
      <w:pPr>
        <w:tabs>
          <w:tab w:val="left" w:pos="8931"/>
        </w:tabs>
        <w:spacing w:after="0" w:line="360" w:lineRule="auto"/>
      </w:pPr>
    </w:p>
    <w:p w14:paraId="147CC638" w14:textId="77777777" w:rsidR="00C4052B" w:rsidRPr="0022632F" w:rsidRDefault="00C4052B" w:rsidP="007808E0">
      <w:pPr>
        <w:tabs>
          <w:tab w:val="left" w:pos="8931"/>
        </w:tabs>
        <w:spacing w:after="0" w:line="360" w:lineRule="auto"/>
      </w:pPr>
    </w:p>
    <w:p w14:paraId="01BB5716" w14:textId="77777777" w:rsidR="00C4052B" w:rsidRPr="0022632F" w:rsidRDefault="00C4052B" w:rsidP="007808E0">
      <w:pPr>
        <w:tabs>
          <w:tab w:val="left" w:pos="8931"/>
        </w:tabs>
        <w:spacing w:after="0" w:line="360" w:lineRule="auto"/>
      </w:pPr>
    </w:p>
    <w:p w14:paraId="62C1CEC9" w14:textId="77777777" w:rsidR="00C4052B" w:rsidRPr="0022632F" w:rsidRDefault="00C4052B" w:rsidP="007808E0">
      <w:pPr>
        <w:tabs>
          <w:tab w:val="left" w:pos="8931"/>
        </w:tabs>
        <w:spacing w:after="0" w:line="360" w:lineRule="auto"/>
      </w:pPr>
    </w:p>
    <w:p w14:paraId="7F38981D" w14:textId="77777777" w:rsidR="00A55E82" w:rsidRPr="0022632F" w:rsidRDefault="00A55E82" w:rsidP="007808E0">
      <w:pPr>
        <w:tabs>
          <w:tab w:val="left" w:pos="8931"/>
        </w:tabs>
        <w:spacing w:after="0" w:line="360" w:lineRule="auto"/>
      </w:pPr>
    </w:p>
    <w:p w14:paraId="3FB7EB5E" w14:textId="1BAFDD50" w:rsidR="005C690F" w:rsidRPr="0022632F" w:rsidRDefault="007D6307" w:rsidP="007808E0">
      <w:pPr>
        <w:tabs>
          <w:tab w:val="left" w:pos="8931"/>
        </w:tabs>
        <w:spacing w:after="0" w:line="360" w:lineRule="auto"/>
      </w:pPr>
      <w:r w:rsidRPr="0022632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22632F">
        <w:t xml:space="preserve">fecha </w:t>
      </w:r>
      <w:r w:rsidR="00CB0A09" w:rsidRPr="0022632F">
        <w:t>veintisiete</w:t>
      </w:r>
      <w:r w:rsidR="000B40C7" w:rsidRPr="0022632F">
        <w:t xml:space="preserve"> de agosto</w:t>
      </w:r>
      <w:r w:rsidR="00CF7AA5" w:rsidRPr="0022632F">
        <w:t xml:space="preserve"> </w:t>
      </w:r>
      <w:r w:rsidR="00945CB8" w:rsidRPr="0022632F">
        <w:t>de dos mil veintic</w:t>
      </w:r>
      <w:r w:rsidR="00C11A18" w:rsidRPr="0022632F">
        <w:t>inco</w:t>
      </w:r>
      <w:r w:rsidRPr="0022632F">
        <w:t xml:space="preserve">. </w:t>
      </w:r>
    </w:p>
    <w:p w14:paraId="0DCD3B82" w14:textId="77777777" w:rsidR="005C690F" w:rsidRPr="0022632F" w:rsidRDefault="005C690F" w:rsidP="007808E0">
      <w:pPr>
        <w:spacing w:after="0" w:line="360" w:lineRule="auto"/>
        <w:rPr>
          <w:b/>
        </w:rPr>
      </w:pPr>
    </w:p>
    <w:p w14:paraId="1570B336" w14:textId="1AA029DD" w:rsidR="005C690F" w:rsidRPr="0022632F" w:rsidRDefault="007D6307" w:rsidP="007808E0">
      <w:pPr>
        <w:spacing w:after="0" w:line="360" w:lineRule="auto"/>
        <w:rPr>
          <w:color w:val="0D0D0D"/>
        </w:rPr>
      </w:pPr>
      <w:r w:rsidRPr="0022632F">
        <w:rPr>
          <w:b/>
        </w:rPr>
        <w:t xml:space="preserve">VISTO </w:t>
      </w:r>
      <w:r w:rsidRPr="0022632F">
        <w:t>el expediente elect</w:t>
      </w:r>
      <w:r w:rsidR="00ED4B8D" w:rsidRPr="0022632F">
        <w:t>rónico conformado con motivo de los</w:t>
      </w:r>
      <w:r w:rsidRPr="0022632F">
        <w:t xml:space="preserve"> Recurso</w:t>
      </w:r>
      <w:r w:rsidR="00ED4B8D" w:rsidRPr="0022632F">
        <w:t>s</w:t>
      </w:r>
      <w:r w:rsidRPr="0022632F">
        <w:t xml:space="preserve"> de Revisión </w:t>
      </w:r>
      <w:r w:rsidR="00EE1006" w:rsidRPr="002F329C">
        <w:rPr>
          <w:b/>
        </w:rPr>
        <w:t>0</w:t>
      </w:r>
      <w:r w:rsidR="00ED4B8D" w:rsidRPr="002F329C">
        <w:rPr>
          <w:b/>
        </w:rPr>
        <w:t>7171</w:t>
      </w:r>
      <w:r w:rsidR="000D392E" w:rsidRPr="002F329C">
        <w:rPr>
          <w:b/>
        </w:rPr>
        <w:t>/INFOEM/IP/RR/2025</w:t>
      </w:r>
      <w:r w:rsidR="00ED4B8D" w:rsidRPr="002F329C">
        <w:rPr>
          <w:b/>
        </w:rPr>
        <w:t>, 07172/INFOEM/IP/RR/2025, 07173/INFOEM/IP/RR/2025 y 0717/INFOEM/IP/RR/2025</w:t>
      </w:r>
      <w:r w:rsidRPr="002F329C">
        <w:rPr>
          <w:b/>
        </w:rPr>
        <w:t>,</w:t>
      </w:r>
      <w:r w:rsidRPr="0022632F">
        <w:rPr>
          <w:bCs/>
        </w:rPr>
        <w:t xml:space="preserve"> interpuesto </w:t>
      </w:r>
      <w:r w:rsidR="008415EA" w:rsidRPr="0022632F">
        <w:rPr>
          <w:bCs/>
        </w:rPr>
        <w:t>por</w:t>
      </w:r>
      <w:r w:rsidR="00EE1006" w:rsidRPr="0022632F">
        <w:rPr>
          <w:bCs/>
        </w:rPr>
        <w:t xml:space="preserve"> </w:t>
      </w:r>
      <w:r w:rsidR="0083322E" w:rsidRPr="0083322E">
        <w:rPr>
          <w:b/>
          <w:bCs/>
          <w:highlight w:val="black"/>
        </w:rPr>
        <w:t>XXXXXXXX</w:t>
      </w:r>
      <w:bookmarkStart w:id="0" w:name="_GoBack"/>
      <w:bookmarkEnd w:id="0"/>
      <w:r w:rsidR="000B40C7" w:rsidRPr="002F329C">
        <w:rPr>
          <w:b/>
          <w:bCs/>
        </w:rPr>
        <w:t>,</w:t>
      </w:r>
      <w:r w:rsidR="000B40C7" w:rsidRPr="0022632F">
        <w:rPr>
          <w:bCs/>
        </w:rPr>
        <w:t xml:space="preserve"> quien será </w:t>
      </w:r>
      <w:r w:rsidR="00D906B2" w:rsidRPr="0022632F">
        <w:rPr>
          <w:bCs/>
        </w:rPr>
        <w:t>la persona</w:t>
      </w:r>
      <w:r w:rsidRPr="0022632F">
        <w:rPr>
          <w:bCs/>
        </w:rPr>
        <w:t xml:space="preserve"> </w:t>
      </w:r>
      <w:r w:rsidRPr="0022632F">
        <w:rPr>
          <w:bCs/>
          <w:color w:val="0D0D0D"/>
        </w:rPr>
        <w:t>Recurrente o Particular, en contra de la respuesta del Sujeto Obligado</w:t>
      </w:r>
      <w:r w:rsidR="00705FBB" w:rsidRPr="0022632F">
        <w:rPr>
          <w:bCs/>
          <w:color w:val="0D0D0D"/>
        </w:rPr>
        <w:t xml:space="preserve">, </w:t>
      </w:r>
      <w:r w:rsidR="008246F7" w:rsidRPr="002F329C">
        <w:rPr>
          <w:b/>
          <w:bCs/>
        </w:rPr>
        <w:t>Ayuntamiento d</w:t>
      </w:r>
      <w:r w:rsidR="000B40C7" w:rsidRPr="002F329C">
        <w:rPr>
          <w:b/>
          <w:bCs/>
        </w:rPr>
        <w:t xml:space="preserve">e </w:t>
      </w:r>
      <w:r w:rsidR="00CB0A09" w:rsidRPr="002F329C">
        <w:rPr>
          <w:b/>
          <w:bCs/>
        </w:rPr>
        <w:t>Teoloyucan</w:t>
      </w:r>
      <w:r w:rsidR="00EF0C39" w:rsidRPr="0022632F">
        <w:rPr>
          <w:bCs/>
        </w:rPr>
        <w:t>,</w:t>
      </w:r>
      <w:r w:rsidRPr="0022632F">
        <w:rPr>
          <w:bCs/>
          <w:color w:val="0D0D0D"/>
        </w:rPr>
        <w:t xml:space="preserve"> </w:t>
      </w:r>
      <w:r w:rsidRPr="0022632F">
        <w:rPr>
          <w:color w:val="0D0D0D"/>
        </w:rPr>
        <w:t>a la</w:t>
      </w:r>
      <w:r w:rsidR="00ED4B8D" w:rsidRPr="0022632F">
        <w:rPr>
          <w:color w:val="0D0D0D"/>
        </w:rPr>
        <w:t>s</w:t>
      </w:r>
      <w:r w:rsidRPr="0022632F">
        <w:rPr>
          <w:color w:val="0D0D0D"/>
        </w:rPr>
        <w:t xml:space="preserve"> solicitud</w:t>
      </w:r>
      <w:r w:rsidR="00ED4B8D" w:rsidRPr="0022632F">
        <w:rPr>
          <w:color w:val="0D0D0D"/>
        </w:rPr>
        <w:t>es</w:t>
      </w:r>
      <w:r w:rsidRPr="0022632F">
        <w:rPr>
          <w:color w:val="0D0D0D"/>
        </w:rPr>
        <w:t xml:space="preserve"> de acceso a la información pública</w:t>
      </w:r>
      <w:r w:rsidR="00800641" w:rsidRPr="0022632F">
        <w:rPr>
          <w:color w:val="0D0D0D"/>
        </w:rPr>
        <w:t xml:space="preserve"> </w:t>
      </w:r>
      <w:r w:rsidR="00EE1006" w:rsidRPr="0022632F">
        <w:t>00</w:t>
      </w:r>
      <w:r w:rsidR="00ED4B8D" w:rsidRPr="0022632F">
        <w:t>452</w:t>
      </w:r>
      <w:r w:rsidR="00EE1006" w:rsidRPr="0022632F">
        <w:t>/</w:t>
      </w:r>
      <w:r w:rsidR="00CB0A09" w:rsidRPr="0022632F">
        <w:t>TEOLOYU</w:t>
      </w:r>
      <w:r w:rsidR="000D392E" w:rsidRPr="0022632F">
        <w:t>/IP/2025</w:t>
      </w:r>
      <w:r w:rsidR="00ED4B8D" w:rsidRPr="0022632F">
        <w:t>, 00453/TEOLOYU/IP/2025, 00454/TEOLOYU/IP/2025 y 00455/TEOLOYU/IP/2025</w:t>
      </w:r>
      <w:r w:rsidRPr="0022632F">
        <w:rPr>
          <w:color w:val="000000"/>
        </w:rPr>
        <w:t xml:space="preserve">, </w:t>
      </w:r>
      <w:r w:rsidRPr="0022632F">
        <w:rPr>
          <w:color w:val="0D0D0D"/>
        </w:rPr>
        <w:t>se emite la presente Resolución, con base en los Antecedentes y Considerandos que se exponen a continuación:</w:t>
      </w:r>
    </w:p>
    <w:p w14:paraId="1F97CEF3" w14:textId="77777777" w:rsidR="005C690F" w:rsidRPr="0022632F" w:rsidRDefault="005C690F" w:rsidP="007808E0">
      <w:pPr>
        <w:spacing w:after="0" w:line="360" w:lineRule="auto"/>
        <w:rPr>
          <w:b/>
        </w:rPr>
      </w:pPr>
    </w:p>
    <w:p w14:paraId="1DEAF9D3" w14:textId="24D35555" w:rsidR="005C690F" w:rsidRPr="0022632F" w:rsidRDefault="00CD6238" w:rsidP="007808E0">
      <w:pPr>
        <w:pStyle w:val="Ttulo1"/>
        <w:spacing w:before="0" w:after="0" w:line="360" w:lineRule="auto"/>
        <w:jc w:val="center"/>
        <w:rPr>
          <w:sz w:val="22"/>
          <w:szCs w:val="22"/>
        </w:rPr>
      </w:pPr>
      <w:bookmarkStart w:id="1" w:name="_Toc207292033"/>
      <w:r w:rsidRPr="0022632F">
        <w:rPr>
          <w:sz w:val="22"/>
          <w:szCs w:val="22"/>
        </w:rPr>
        <w:t>A N T E C E D E N T E S</w:t>
      </w:r>
      <w:bookmarkEnd w:id="1"/>
    </w:p>
    <w:p w14:paraId="5A7EDA4F" w14:textId="77777777" w:rsidR="005C690F" w:rsidRPr="0022632F" w:rsidRDefault="005C690F" w:rsidP="007808E0">
      <w:pPr>
        <w:spacing w:after="0" w:line="360" w:lineRule="auto"/>
        <w:jc w:val="center"/>
        <w:rPr>
          <w:b/>
        </w:rPr>
      </w:pPr>
    </w:p>
    <w:p w14:paraId="4930DAB9" w14:textId="701611A7" w:rsidR="00E22EA8" w:rsidRPr="0022632F" w:rsidRDefault="009215C2" w:rsidP="007808E0">
      <w:pPr>
        <w:pStyle w:val="Ttulo2"/>
        <w:spacing w:before="0" w:after="0" w:line="360" w:lineRule="auto"/>
        <w:rPr>
          <w:sz w:val="22"/>
          <w:szCs w:val="22"/>
          <w:lang w:eastAsia="es-ES"/>
        </w:rPr>
      </w:pPr>
      <w:bookmarkStart w:id="2" w:name="_Toc207292034"/>
      <w:r w:rsidRPr="0022632F">
        <w:rPr>
          <w:sz w:val="22"/>
          <w:szCs w:val="22"/>
          <w:lang w:eastAsia="es-ES"/>
        </w:rPr>
        <w:t xml:space="preserve">I. </w:t>
      </w:r>
      <w:r w:rsidR="00E22EA8" w:rsidRPr="0022632F">
        <w:rPr>
          <w:sz w:val="22"/>
          <w:szCs w:val="22"/>
          <w:lang w:eastAsia="es-ES"/>
        </w:rPr>
        <w:t>Presentación de la solicitud de información</w:t>
      </w:r>
      <w:bookmarkEnd w:id="2"/>
    </w:p>
    <w:p w14:paraId="63A20E25" w14:textId="77777777" w:rsidR="009215C2" w:rsidRPr="0022632F" w:rsidRDefault="009215C2" w:rsidP="007808E0">
      <w:pPr>
        <w:tabs>
          <w:tab w:val="left" w:pos="567"/>
        </w:tabs>
        <w:spacing w:after="0" w:line="360" w:lineRule="auto"/>
        <w:rPr>
          <w:rFonts w:eastAsia="Times New Roman" w:cs="Tahoma"/>
          <w:lang w:eastAsia="es-ES"/>
        </w:rPr>
      </w:pPr>
    </w:p>
    <w:p w14:paraId="301B8A4E" w14:textId="1EE093C2" w:rsidR="00E22EA8" w:rsidRPr="0022632F" w:rsidRDefault="00D906B2" w:rsidP="007808E0">
      <w:pPr>
        <w:spacing w:after="0" w:line="360" w:lineRule="auto"/>
        <w:rPr>
          <w:rFonts w:eastAsia="Calibri" w:cs="Tahoma"/>
        </w:rPr>
      </w:pPr>
      <w:r w:rsidRPr="0022632F">
        <w:rPr>
          <w:rFonts w:eastAsia="Times New Roman" w:cs="Tahoma"/>
          <w:lang w:eastAsia="es-ES"/>
        </w:rPr>
        <w:t>El</w:t>
      </w:r>
      <w:r w:rsidR="00D52EC1" w:rsidRPr="0022632F">
        <w:rPr>
          <w:rFonts w:eastAsia="Times New Roman" w:cs="Tahoma"/>
          <w:lang w:eastAsia="es-ES"/>
        </w:rPr>
        <w:t xml:space="preserve"> </w:t>
      </w:r>
      <w:r w:rsidR="00CB0A09" w:rsidRPr="0022632F">
        <w:rPr>
          <w:rFonts w:eastAsia="Times New Roman" w:cs="Tahoma"/>
          <w:lang w:eastAsia="es-ES"/>
        </w:rPr>
        <w:t>veintitrés</w:t>
      </w:r>
      <w:r w:rsidR="000B40C7" w:rsidRPr="0022632F">
        <w:rPr>
          <w:rFonts w:eastAsia="Times New Roman" w:cs="Tahoma"/>
          <w:lang w:eastAsia="es-ES"/>
        </w:rPr>
        <w:t xml:space="preserve"> de mayo</w:t>
      </w:r>
      <w:r w:rsidR="00A41789" w:rsidRPr="0022632F">
        <w:rPr>
          <w:rFonts w:eastAsia="Times New Roman" w:cs="Tahoma"/>
          <w:lang w:eastAsia="es-ES"/>
        </w:rPr>
        <w:t xml:space="preserve"> </w:t>
      </w:r>
      <w:r w:rsidR="008E0DC4" w:rsidRPr="0022632F">
        <w:rPr>
          <w:rFonts w:eastAsia="Times New Roman" w:cs="Tahoma"/>
          <w:lang w:eastAsia="es-ES"/>
        </w:rPr>
        <w:t>de dos mil veinticinco</w:t>
      </w:r>
      <w:r w:rsidR="00BF362A" w:rsidRPr="0022632F">
        <w:rPr>
          <w:rFonts w:eastAsia="Times New Roman" w:cs="Tahoma"/>
          <w:lang w:eastAsia="es-ES"/>
        </w:rPr>
        <w:t xml:space="preserve">, </w:t>
      </w:r>
      <w:r w:rsidR="000A7895" w:rsidRPr="0022632F">
        <w:rPr>
          <w:rFonts w:eastAsia="Times New Roman" w:cs="Tahoma"/>
          <w:lang w:eastAsia="es-ES"/>
        </w:rPr>
        <w:t>el Particular presentó cuatro</w:t>
      </w:r>
      <w:r w:rsidR="00E22EA8" w:rsidRPr="0022632F">
        <w:rPr>
          <w:rFonts w:eastAsia="Times New Roman" w:cs="Tahoma"/>
          <w:lang w:eastAsia="es-ES"/>
        </w:rPr>
        <w:t xml:space="preserve"> solicitud</w:t>
      </w:r>
      <w:r w:rsidR="000A7895" w:rsidRPr="0022632F">
        <w:rPr>
          <w:rFonts w:eastAsia="Times New Roman" w:cs="Tahoma"/>
          <w:lang w:eastAsia="es-ES"/>
        </w:rPr>
        <w:t>es</w:t>
      </w:r>
      <w:r w:rsidR="00E22EA8" w:rsidRPr="0022632F">
        <w:rPr>
          <w:rFonts w:eastAsia="Times New Roman" w:cs="Tahoma"/>
          <w:lang w:eastAsia="es-ES"/>
        </w:rPr>
        <w:t xml:space="preserve"> de acceso a la información pública, a través del Sistema de Acceso a la Información Mexiquense (SAIMEX), ante</w:t>
      </w:r>
      <w:r w:rsidR="000B3C56" w:rsidRPr="0022632F">
        <w:rPr>
          <w:rFonts w:eastAsia="Times New Roman" w:cs="Tahoma"/>
          <w:lang w:eastAsia="es-ES"/>
        </w:rPr>
        <w:t xml:space="preserve"> </w:t>
      </w:r>
      <w:r w:rsidR="00DC175C" w:rsidRPr="0022632F">
        <w:rPr>
          <w:rFonts w:eastAsia="Times New Roman" w:cs="Tahoma"/>
          <w:lang w:eastAsia="es-ES"/>
        </w:rPr>
        <w:t>el</w:t>
      </w:r>
      <w:r w:rsidR="008246F7" w:rsidRPr="0022632F">
        <w:t xml:space="preserve"> Ayuntamiento de </w:t>
      </w:r>
      <w:r w:rsidR="00CB0A09" w:rsidRPr="0022632F">
        <w:t>Teoloyucan</w:t>
      </w:r>
      <w:r w:rsidR="008E0DC4" w:rsidRPr="0022632F">
        <w:rPr>
          <w:rFonts w:eastAsia="Calibri" w:cs="Times New Roman"/>
          <w:color w:val="000000"/>
        </w:rPr>
        <w:t>,</w:t>
      </w:r>
      <w:r w:rsidR="00DC175C" w:rsidRPr="0022632F">
        <w:rPr>
          <w:rFonts w:eastAsia="Calibri" w:cs="Tahoma"/>
        </w:rPr>
        <w:t xml:space="preserve"> </w:t>
      </w:r>
      <w:r w:rsidR="00E22EA8" w:rsidRPr="0022632F">
        <w:rPr>
          <w:rFonts w:eastAsia="Calibri" w:cs="Tahoma"/>
        </w:rPr>
        <w:t xml:space="preserve">en los siguientes términos: </w:t>
      </w:r>
    </w:p>
    <w:p w14:paraId="2F6F83A1" w14:textId="77777777" w:rsidR="00ED4B8D" w:rsidRPr="0022632F" w:rsidRDefault="00ED4B8D" w:rsidP="007808E0">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22632F"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22632F" w:rsidRDefault="00ED4B8D" w:rsidP="007041E5">
            <w:pPr>
              <w:tabs>
                <w:tab w:val="left" w:pos="567"/>
              </w:tabs>
              <w:spacing w:line="360" w:lineRule="auto"/>
              <w:ind w:right="-28"/>
              <w:contextualSpacing/>
              <w:rPr>
                <w:rFonts w:cs="Tahoma"/>
                <w:b/>
                <w:sz w:val="20"/>
                <w:szCs w:val="20"/>
              </w:rPr>
            </w:pPr>
            <w:bookmarkStart w:id="3" w:name="_Hlk168659039"/>
            <w:r w:rsidRPr="0022632F">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22632F" w:rsidRDefault="00ED4B8D" w:rsidP="007041E5">
            <w:pPr>
              <w:tabs>
                <w:tab w:val="left" w:pos="567"/>
              </w:tabs>
              <w:spacing w:line="360" w:lineRule="auto"/>
              <w:contextualSpacing/>
              <w:rPr>
                <w:rFonts w:cs="Tahoma"/>
                <w:b/>
                <w:sz w:val="20"/>
                <w:szCs w:val="20"/>
              </w:rPr>
            </w:pPr>
            <w:r w:rsidRPr="0022632F">
              <w:rPr>
                <w:rFonts w:cs="Tahoma"/>
                <w:b/>
                <w:sz w:val="20"/>
                <w:szCs w:val="20"/>
              </w:rPr>
              <w:t>‘’DESCRIPCIÓN CLARA Y PRECISA DE LA INFORMACIÓN SOLICITADA</w:t>
            </w:r>
          </w:p>
        </w:tc>
      </w:tr>
      <w:tr w:rsidR="00ED4B8D" w:rsidRPr="0022632F"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3E540709" w:rsidR="00ED4B8D" w:rsidRPr="0022632F" w:rsidRDefault="00947B5C" w:rsidP="007041E5">
            <w:pPr>
              <w:spacing w:line="360" w:lineRule="auto"/>
              <w:rPr>
                <w:b/>
                <w:bCs/>
                <w:i/>
                <w:iCs/>
                <w:sz w:val="20"/>
                <w:szCs w:val="20"/>
              </w:rPr>
            </w:pPr>
            <w:r w:rsidRPr="0022632F">
              <w:rPr>
                <w:b/>
                <w:bCs/>
                <w:i/>
                <w:iCs/>
                <w:sz w:val="20"/>
                <w:szCs w:val="20"/>
              </w:rPr>
              <w:t>00452/TEOLOYU/IP/2025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2BC86E02" w:rsidR="00ED4B8D" w:rsidRPr="0022632F" w:rsidRDefault="00947B5C" w:rsidP="007041E5">
            <w:pPr>
              <w:tabs>
                <w:tab w:val="left" w:pos="567"/>
              </w:tabs>
              <w:spacing w:line="360" w:lineRule="auto"/>
              <w:contextualSpacing/>
              <w:rPr>
                <w:i/>
                <w:color w:val="000000"/>
                <w:sz w:val="20"/>
                <w:szCs w:val="20"/>
              </w:rPr>
            </w:pPr>
            <w:r w:rsidRPr="0022632F">
              <w:rPr>
                <w:i/>
                <w:iCs/>
                <w:color w:val="000000"/>
                <w:sz w:val="20"/>
                <w:szCs w:val="20"/>
              </w:rPr>
              <w:t>Solicito todos los oficios firmados, por el director de la UIPPE del ayuntamiento</w:t>
            </w:r>
            <w:r w:rsidR="007041E5" w:rsidRPr="0022632F">
              <w:rPr>
                <w:i/>
                <w:iCs/>
                <w:color w:val="000000"/>
                <w:sz w:val="20"/>
                <w:szCs w:val="20"/>
              </w:rPr>
              <w:t xml:space="preserve"> de TEOLOYUCAN del mes de enero</w:t>
            </w:r>
            <w:r w:rsidRPr="0022632F">
              <w:rPr>
                <w:i/>
                <w:iCs/>
                <w:color w:val="000000"/>
                <w:sz w:val="20"/>
                <w:szCs w:val="20"/>
              </w:rPr>
              <w:t xml:space="preserve"> 2025 “(</w:t>
            </w:r>
            <w:r w:rsidR="00ED4B8D" w:rsidRPr="0022632F">
              <w:rPr>
                <w:i/>
                <w:iCs/>
                <w:color w:val="000000"/>
                <w:sz w:val="20"/>
                <w:szCs w:val="20"/>
              </w:rPr>
              <w:t>Sic.)</w:t>
            </w:r>
          </w:p>
        </w:tc>
      </w:tr>
      <w:tr w:rsidR="00ED4B8D" w:rsidRPr="0022632F"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7B0C761E" w:rsidR="00ED4B8D" w:rsidRPr="0022632F" w:rsidRDefault="00947B5C" w:rsidP="007041E5">
            <w:pPr>
              <w:spacing w:line="360" w:lineRule="auto"/>
              <w:rPr>
                <w:b/>
                <w:bCs/>
                <w:i/>
                <w:iCs/>
                <w:sz w:val="20"/>
                <w:szCs w:val="20"/>
              </w:rPr>
            </w:pPr>
            <w:r w:rsidRPr="0022632F">
              <w:rPr>
                <w:b/>
                <w:bCs/>
                <w:i/>
                <w:iCs/>
                <w:sz w:val="20"/>
                <w:szCs w:val="20"/>
              </w:rPr>
              <w:t>00453/TEOLOYU/IP/2025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5EEA0637" w:rsidR="00ED4B8D" w:rsidRPr="0022632F" w:rsidRDefault="002A733D" w:rsidP="007041E5">
            <w:pPr>
              <w:spacing w:line="360" w:lineRule="auto"/>
              <w:rPr>
                <w:rFonts w:ascii="Times New Roman" w:hAnsi="Times New Roman"/>
                <w:color w:val="auto"/>
              </w:rPr>
            </w:pPr>
            <w:r w:rsidRPr="0022632F">
              <w:rPr>
                <w:rFonts w:eastAsia="Times New Roman" w:cs="Arial"/>
                <w:bCs/>
                <w:i/>
                <w:iCs/>
                <w:sz w:val="20"/>
                <w:szCs w:val="20"/>
                <w:lang w:eastAsia="es-ES"/>
              </w:rPr>
              <w:t xml:space="preserve">Solicito todos los oficios firmados, por el director de la UIPPE del ayuntamiento de TEOLOYUCAN del mes de </w:t>
            </w:r>
            <w:r w:rsidR="007041E5" w:rsidRPr="0022632F">
              <w:rPr>
                <w:rFonts w:eastAsia="Times New Roman" w:cs="Arial"/>
                <w:bCs/>
                <w:i/>
                <w:iCs/>
                <w:sz w:val="20"/>
                <w:szCs w:val="20"/>
                <w:lang w:eastAsia="es-ES"/>
              </w:rPr>
              <w:t>febrero</w:t>
            </w:r>
            <w:r w:rsidRPr="0022632F">
              <w:rPr>
                <w:rFonts w:eastAsia="Times New Roman" w:cs="Arial"/>
                <w:bCs/>
                <w:i/>
                <w:iCs/>
                <w:sz w:val="20"/>
                <w:szCs w:val="20"/>
                <w:lang w:eastAsia="es-ES"/>
              </w:rPr>
              <w:t xml:space="preserve"> 2025</w:t>
            </w:r>
            <w:r w:rsidR="00ED4B8D" w:rsidRPr="0022632F">
              <w:rPr>
                <w:rFonts w:eastAsia="Times New Roman" w:cs="Arial"/>
                <w:bCs/>
                <w:i/>
                <w:iCs/>
                <w:sz w:val="20"/>
                <w:szCs w:val="20"/>
                <w:lang w:eastAsia="es-ES"/>
              </w:rPr>
              <w:t>” (Sic.)</w:t>
            </w:r>
          </w:p>
        </w:tc>
      </w:tr>
      <w:tr w:rsidR="00947B5C" w:rsidRPr="0022632F" w14:paraId="4BDABFE3" w14:textId="77777777" w:rsidTr="007041E5">
        <w:tc>
          <w:tcPr>
            <w:tcW w:w="2717" w:type="dxa"/>
            <w:tcBorders>
              <w:top w:val="single" w:sz="4" w:space="0" w:color="auto"/>
              <w:left w:val="single" w:sz="4" w:space="0" w:color="auto"/>
              <w:bottom w:val="single" w:sz="4" w:space="0" w:color="auto"/>
              <w:right w:val="single" w:sz="4" w:space="0" w:color="auto"/>
            </w:tcBorders>
          </w:tcPr>
          <w:p w14:paraId="64D11643" w14:textId="3DDD2990" w:rsidR="00947B5C" w:rsidRPr="0022632F" w:rsidRDefault="00947B5C" w:rsidP="007041E5">
            <w:pPr>
              <w:spacing w:line="360" w:lineRule="auto"/>
              <w:rPr>
                <w:b/>
                <w:bCs/>
                <w:i/>
                <w:iCs/>
                <w:sz w:val="20"/>
                <w:szCs w:val="20"/>
              </w:rPr>
            </w:pPr>
            <w:r w:rsidRPr="0022632F">
              <w:rPr>
                <w:b/>
                <w:bCs/>
                <w:i/>
                <w:iCs/>
                <w:sz w:val="20"/>
                <w:szCs w:val="20"/>
              </w:rPr>
              <w:lastRenderedPageBreak/>
              <w:t>00454/TEOLOYU/IP/2025</w:t>
            </w:r>
          </w:p>
        </w:tc>
        <w:tc>
          <w:tcPr>
            <w:tcW w:w="6209" w:type="dxa"/>
            <w:tcBorders>
              <w:top w:val="single" w:sz="4" w:space="0" w:color="auto"/>
              <w:left w:val="single" w:sz="4" w:space="0" w:color="auto"/>
              <w:bottom w:val="single" w:sz="4" w:space="0" w:color="auto"/>
              <w:right w:val="single" w:sz="4" w:space="0" w:color="auto"/>
            </w:tcBorders>
          </w:tcPr>
          <w:p w14:paraId="444FFE47" w14:textId="1396943F" w:rsidR="00947B5C" w:rsidRPr="0022632F" w:rsidRDefault="00F657C9" w:rsidP="007041E5">
            <w:pPr>
              <w:spacing w:line="360" w:lineRule="auto"/>
              <w:rPr>
                <w:i/>
                <w:sz w:val="20"/>
                <w:szCs w:val="20"/>
              </w:rPr>
            </w:pPr>
            <w:r w:rsidRPr="0022632F">
              <w:rPr>
                <w:i/>
                <w:sz w:val="20"/>
                <w:szCs w:val="20"/>
              </w:rPr>
              <w:t>Solicito todos los oficios firmados, por el director de la UIPPE del ayuntamiento de TEOLOYUCAN del mes de marzo 2025</w:t>
            </w:r>
            <w:r w:rsidR="007041E5" w:rsidRPr="0022632F">
              <w:rPr>
                <w:i/>
                <w:sz w:val="20"/>
                <w:szCs w:val="20"/>
              </w:rPr>
              <w:t>” (Sic.)</w:t>
            </w:r>
          </w:p>
        </w:tc>
      </w:tr>
      <w:tr w:rsidR="00947B5C" w:rsidRPr="0022632F" w14:paraId="603ACF3C" w14:textId="77777777" w:rsidTr="007041E5">
        <w:tc>
          <w:tcPr>
            <w:tcW w:w="2717" w:type="dxa"/>
            <w:tcBorders>
              <w:top w:val="single" w:sz="4" w:space="0" w:color="auto"/>
              <w:left w:val="single" w:sz="4" w:space="0" w:color="auto"/>
              <w:bottom w:val="single" w:sz="4" w:space="0" w:color="auto"/>
              <w:right w:val="single" w:sz="4" w:space="0" w:color="auto"/>
            </w:tcBorders>
          </w:tcPr>
          <w:p w14:paraId="4E596707" w14:textId="5917FC38" w:rsidR="00947B5C" w:rsidRPr="0022632F" w:rsidRDefault="00947B5C" w:rsidP="007041E5">
            <w:pPr>
              <w:spacing w:line="360" w:lineRule="auto"/>
              <w:rPr>
                <w:b/>
                <w:bCs/>
                <w:i/>
                <w:iCs/>
                <w:sz w:val="20"/>
                <w:szCs w:val="20"/>
              </w:rPr>
            </w:pPr>
            <w:r w:rsidRPr="0022632F">
              <w:rPr>
                <w:b/>
                <w:bCs/>
                <w:i/>
                <w:iCs/>
                <w:sz w:val="20"/>
                <w:szCs w:val="20"/>
              </w:rPr>
              <w:t>00455/TEOLOYU/IP/2025</w:t>
            </w:r>
          </w:p>
        </w:tc>
        <w:tc>
          <w:tcPr>
            <w:tcW w:w="6209" w:type="dxa"/>
            <w:tcBorders>
              <w:top w:val="single" w:sz="4" w:space="0" w:color="auto"/>
              <w:left w:val="single" w:sz="4" w:space="0" w:color="auto"/>
              <w:bottom w:val="single" w:sz="4" w:space="0" w:color="auto"/>
              <w:right w:val="single" w:sz="4" w:space="0" w:color="auto"/>
            </w:tcBorders>
          </w:tcPr>
          <w:p w14:paraId="56D2635D" w14:textId="23FDD134" w:rsidR="00947B5C" w:rsidRPr="0022632F" w:rsidRDefault="00942FBA" w:rsidP="007041E5">
            <w:pPr>
              <w:spacing w:line="360" w:lineRule="auto"/>
              <w:rPr>
                <w:i/>
                <w:sz w:val="20"/>
                <w:szCs w:val="20"/>
              </w:rPr>
            </w:pPr>
            <w:r w:rsidRPr="0022632F">
              <w:rPr>
                <w:i/>
                <w:sz w:val="20"/>
                <w:szCs w:val="20"/>
              </w:rPr>
              <w:t>Solicito todos los oficios firmados, por el director de la UIPPE del ayuntamiento de TEOLOYUCAN del mes de abril 2025</w:t>
            </w:r>
            <w:r w:rsidR="007041E5" w:rsidRPr="0022632F">
              <w:rPr>
                <w:i/>
                <w:sz w:val="20"/>
                <w:szCs w:val="20"/>
              </w:rPr>
              <w:t>” (Sic.)</w:t>
            </w:r>
          </w:p>
        </w:tc>
      </w:tr>
      <w:bookmarkEnd w:id="3"/>
    </w:tbl>
    <w:p w14:paraId="2B959865" w14:textId="77777777" w:rsidR="00E22EA8" w:rsidRPr="0022632F" w:rsidRDefault="00E22EA8" w:rsidP="007808E0">
      <w:pPr>
        <w:spacing w:after="0" w:line="360" w:lineRule="auto"/>
        <w:rPr>
          <w:rFonts w:eastAsia="Calibri" w:cs="Tahoma"/>
        </w:rPr>
      </w:pPr>
    </w:p>
    <w:p w14:paraId="7D2A95DA" w14:textId="687705E3" w:rsidR="002207FA" w:rsidRPr="0022632F" w:rsidRDefault="00947B5C" w:rsidP="00947B5C">
      <w:pPr>
        <w:spacing w:after="0" w:line="360" w:lineRule="auto"/>
        <w:ind w:right="567"/>
        <w:rPr>
          <w:rFonts w:eastAsia="Times New Roman" w:cs="Arial"/>
          <w:bCs/>
          <w:i/>
          <w:iCs/>
          <w:lang w:eastAsia="es-ES"/>
        </w:rPr>
      </w:pPr>
      <w:r w:rsidRPr="0022632F">
        <w:rPr>
          <w:rFonts w:eastAsia="Times New Roman" w:cs="Arial"/>
          <w:bCs/>
          <w:iCs/>
          <w:lang w:eastAsia="es-ES"/>
        </w:rPr>
        <w:t xml:space="preserve">Es de señalar que en las cuatro solicitudes de acceso a la información la persona Recurrente eligió como modalidad de entrega de la información </w:t>
      </w:r>
      <w:r w:rsidRPr="0022632F">
        <w:rPr>
          <w:rFonts w:eastAsia="Times New Roman" w:cs="Arial"/>
          <w:bCs/>
          <w:i/>
          <w:iCs/>
          <w:lang w:eastAsia="es-ES"/>
        </w:rPr>
        <w:t>“A través del SAIMEX”.</w:t>
      </w:r>
    </w:p>
    <w:p w14:paraId="2E2186C8" w14:textId="77777777" w:rsidR="00947B5C" w:rsidRPr="0022632F" w:rsidRDefault="00947B5C" w:rsidP="00947B5C">
      <w:pPr>
        <w:spacing w:after="0" w:line="360" w:lineRule="auto"/>
        <w:ind w:right="567"/>
        <w:rPr>
          <w:rFonts w:eastAsia="Times New Roman" w:cs="Arial"/>
          <w:bCs/>
          <w:i/>
          <w:iCs/>
          <w:sz w:val="20"/>
          <w:lang w:eastAsia="es-ES"/>
        </w:rPr>
      </w:pPr>
    </w:p>
    <w:p w14:paraId="0A604AAC" w14:textId="5EBA114E" w:rsidR="00E22EA8" w:rsidRPr="0022632F" w:rsidRDefault="000B3C56" w:rsidP="007808E0">
      <w:pPr>
        <w:pStyle w:val="Ttulo2"/>
        <w:spacing w:before="0" w:after="0" w:line="360" w:lineRule="auto"/>
        <w:rPr>
          <w:sz w:val="22"/>
          <w:szCs w:val="22"/>
        </w:rPr>
      </w:pPr>
      <w:bookmarkStart w:id="4" w:name="_Toc207292035"/>
      <w:r w:rsidRPr="0022632F">
        <w:rPr>
          <w:rFonts w:cs="Tahoma"/>
          <w:sz w:val="22"/>
          <w:szCs w:val="22"/>
        </w:rPr>
        <w:t>I</w:t>
      </w:r>
      <w:r w:rsidR="002207FA" w:rsidRPr="0022632F">
        <w:rPr>
          <w:rFonts w:cs="Tahoma"/>
          <w:sz w:val="22"/>
          <w:szCs w:val="22"/>
        </w:rPr>
        <w:t>I</w:t>
      </w:r>
      <w:r w:rsidR="00E22EA8" w:rsidRPr="0022632F">
        <w:rPr>
          <w:rFonts w:cs="Tahoma"/>
          <w:sz w:val="22"/>
          <w:szCs w:val="22"/>
        </w:rPr>
        <w:t>.</w:t>
      </w:r>
      <w:r w:rsidR="00E22EA8" w:rsidRPr="0022632F">
        <w:rPr>
          <w:sz w:val="22"/>
          <w:szCs w:val="22"/>
        </w:rPr>
        <w:t xml:space="preserve"> Respuesta del Sujeto Obligado</w:t>
      </w:r>
      <w:bookmarkEnd w:id="4"/>
    </w:p>
    <w:p w14:paraId="10CE94A9" w14:textId="77777777" w:rsidR="00C06004" w:rsidRPr="0022632F" w:rsidRDefault="00C06004" w:rsidP="007808E0">
      <w:pPr>
        <w:autoSpaceDE w:val="0"/>
        <w:autoSpaceDN w:val="0"/>
        <w:adjustRightInd w:val="0"/>
        <w:spacing w:after="0" w:line="360" w:lineRule="auto"/>
        <w:rPr>
          <w:b/>
          <w:bCs/>
        </w:rPr>
      </w:pPr>
    </w:p>
    <w:p w14:paraId="732E4031" w14:textId="1017383A" w:rsidR="000846E8" w:rsidRPr="0022632F" w:rsidRDefault="00EB386A" w:rsidP="007808E0">
      <w:pPr>
        <w:spacing w:after="0" w:line="360" w:lineRule="auto"/>
      </w:pPr>
      <w:r w:rsidRPr="0022632F">
        <w:t xml:space="preserve">El </w:t>
      </w:r>
      <w:r w:rsidR="00CB0A09" w:rsidRPr="0022632F">
        <w:t>trece de junio</w:t>
      </w:r>
      <w:r w:rsidR="00CD4DE8" w:rsidRPr="0022632F">
        <w:t xml:space="preserve"> de dos mil veinticinco</w:t>
      </w:r>
      <w:r w:rsidR="00E22EA8" w:rsidRPr="0022632F">
        <w:t xml:space="preserve">, el Sujeto Obligado notificó, a través del Sistema de Acceso a la Información Mexiquense (SAIMEX), la respuesta a la solicitud de acceso a la información pública, </w:t>
      </w:r>
      <w:r w:rsidR="002A31E6" w:rsidRPr="0022632F">
        <w:t>mediante</w:t>
      </w:r>
      <w:r w:rsidR="000846E8" w:rsidRPr="0022632F">
        <w:t xml:space="preserve"> los documentos siguientes:</w:t>
      </w:r>
    </w:p>
    <w:p w14:paraId="18A4C473" w14:textId="77777777" w:rsidR="002A31E6" w:rsidRPr="0022632F" w:rsidRDefault="002A31E6" w:rsidP="007808E0">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22632F" w14:paraId="07982B2B" w14:textId="77777777" w:rsidTr="007041E5">
        <w:tc>
          <w:tcPr>
            <w:tcW w:w="240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22632F" w:rsidRDefault="002A31E6" w:rsidP="002A31E6">
            <w:pPr>
              <w:spacing w:line="276" w:lineRule="auto"/>
              <w:rPr>
                <w:b/>
                <w:sz w:val="20"/>
              </w:rPr>
            </w:pPr>
            <w:r w:rsidRPr="0022632F">
              <w:rPr>
                <w:b/>
                <w:sz w:val="20"/>
              </w:rPr>
              <w:t>FOLIO DE SOLICITUD</w:t>
            </w:r>
          </w:p>
        </w:tc>
        <w:tc>
          <w:tcPr>
            <w:tcW w:w="652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22632F" w:rsidRDefault="002A31E6" w:rsidP="002A31E6">
            <w:pPr>
              <w:spacing w:line="276" w:lineRule="auto"/>
              <w:rPr>
                <w:b/>
                <w:sz w:val="20"/>
              </w:rPr>
            </w:pPr>
            <w:r w:rsidRPr="0022632F">
              <w:rPr>
                <w:b/>
                <w:sz w:val="20"/>
              </w:rPr>
              <w:t>RESPUESTA</w:t>
            </w:r>
          </w:p>
        </w:tc>
      </w:tr>
      <w:tr w:rsidR="002A31E6" w:rsidRPr="0022632F" w14:paraId="3A91A0AE" w14:textId="77777777" w:rsidTr="007041E5">
        <w:tc>
          <w:tcPr>
            <w:tcW w:w="2405" w:type="dxa"/>
            <w:tcBorders>
              <w:top w:val="single" w:sz="4" w:space="0" w:color="auto"/>
              <w:left w:val="single" w:sz="4" w:space="0" w:color="auto"/>
              <w:bottom w:val="single" w:sz="4" w:space="0" w:color="auto"/>
              <w:right w:val="single" w:sz="4" w:space="0" w:color="auto"/>
            </w:tcBorders>
            <w:hideMark/>
          </w:tcPr>
          <w:p w14:paraId="73BCD3AE" w14:textId="722B6BAC" w:rsidR="002A31E6" w:rsidRPr="0022632F" w:rsidRDefault="002A31E6" w:rsidP="002A31E6">
            <w:pPr>
              <w:spacing w:line="276" w:lineRule="auto"/>
              <w:rPr>
                <w:b/>
                <w:bCs/>
                <w:i/>
                <w:iCs/>
                <w:sz w:val="20"/>
              </w:rPr>
            </w:pPr>
            <w:r w:rsidRPr="0022632F">
              <w:rPr>
                <w:b/>
                <w:bCs/>
                <w:i/>
                <w:iCs/>
                <w:sz w:val="20"/>
              </w:rPr>
              <w:t>00452/TEOLOYU/IP/2025</w:t>
            </w:r>
          </w:p>
        </w:tc>
        <w:tc>
          <w:tcPr>
            <w:tcW w:w="6521" w:type="dxa"/>
            <w:tcBorders>
              <w:top w:val="single" w:sz="4" w:space="0" w:color="auto"/>
              <w:left w:val="single" w:sz="4" w:space="0" w:color="auto"/>
              <w:bottom w:val="single" w:sz="4" w:space="0" w:color="auto"/>
              <w:right w:val="single" w:sz="4" w:space="0" w:color="auto"/>
            </w:tcBorders>
            <w:hideMark/>
          </w:tcPr>
          <w:p w14:paraId="10C16648" w14:textId="17EB797B" w:rsidR="00CF5F2B" w:rsidRPr="0022632F" w:rsidRDefault="002A31E6" w:rsidP="00CF5F2B">
            <w:pPr>
              <w:spacing w:line="360" w:lineRule="auto"/>
              <w:rPr>
                <w:sz w:val="20"/>
              </w:rPr>
            </w:pPr>
            <w:r w:rsidRPr="0022632F">
              <w:rPr>
                <w:sz w:val="20"/>
              </w:rPr>
              <w:t xml:space="preserve">i. Oficio número </w:t>
            </w:r>
            <w:r w:rsidR="007041E5" w:rsidRPr="0022632F">
              <w:rPr>
                <w:sz w:val="20"/>
              </w:rPr>
              <w:t>DUIPPE/SLV/OF-245</w:t>
            </w:r>
            <w:r w:rsidR="00CF5F2B" w:rsidRPr="0022632F">
              <w:rPr>
                <w:sz w:val="20"/>
              </w:rPr>
              <w:t>/06/2025, del once junio de dos mil veinticinco, suscrito por el Director de la Unidad de Información, Planeación, Programación y Evaluación y dirigido a la Titular de la Unidad de Transparencia, por medio del cual mencionó lo siguiente:</w:t>
            </w:r>
          </w:p>
          <w:p w14:paraId="667D8663" w14:textId="77777777" w:rsidR="00CF5F2B" w:rsidRPr="0022632F" w:rsidRDefault="00CF5F2B" w:rsidP="00CF5F2B">
            <w:pPr>
              <w:spacing w:line="360" w:lineRule="auto"/>
              <w:rPr>
                <w:sz w:val="20"/>
              </w:rPr>
            </w:pPr>
          </w:p>
          <w:p w14:paraId="78996093" w14:textId="77777777" w:rsidR="00CF5F2B" w:rsidRPr="0022632F" w:rsidRDefault="00CF5F2B" w:rsidP="00CF5F2B">
            <w:pPr>
              <w:spacing w:line="360" w:lineRule="auto"/>
              <w:rPr>
                <w:i/>
                <w:sz w:val="20"/>
              </w:rPr>
            </w:pPr>
            <w:r w:rsidRPr="0022632F">
              <w:rPr>
                <w:i/>
                <w:sz w:val="20"/>
              </w:rPr>
              <w:t>“…En respuesta a su solicitud le remito en medio impreso y digital (USB) la información solicitada.</w:t>
            </w:r>
          </w:p>
          <w:p w14:paraId="2F1AD4B9" w14:textId="77777777" w:rsidR="00CF5F2B" w:rsidRPr="0022632F" w:rsidRDefault="00CF5F2B" w:rsidP="00CF5F2B">
            <w:pPr>
              <w:spacing w:line="360" w:lineRule="auto"/>
              <w:rPr>
                <w:sz w:val="20"/>
              </w:rPr>
            </w:pPr>
            <w:r w:rsidRPr="0022632F">
              <w:rPr>
                <w:i/>
                <w:sz w:val="20"/>
              </w:rPr>
              <w:t>…”</w:t>
            </w:r>
          </w:p>
          <w:p w14:paraId="335F97A6" w14:textId="77777777" w:rsidR="00CF5F2B" w:rsidRPr="0022632F" w:rsidRDefault="00CF5F2B" w:rsidP="00CF5F2B">
            <w:pPr>
              <w:spacing w:line="360" w:lineRule="auto"/>
              <w:rPr>
                <w:sz w:val="20"/>
              </w:rPr>
            </w:pPr>
          </w:p>
          <w:p w14:paraId="103E2156" w14:textId="368DE5DA" w:rsidR="002A31E6" w:rsidRPr="0022632F" w:rsidRDefault="007041E5" w:rsidP="00CF5F2B">
            <w:pPr>
              <w:spacing w:line="360" w:lineRule="auto"/>
              <w:rPr>
                <w:iCs/>
                <w:sz w:val="20"/>
              </w:rPr>
            </w:pPr>
            <w:r w:rsidRPr="0022632F">
              <w:rPr>
                <w:sz w:val="20"/>
              </w:rPr>
              <w:t xml:space="preserve">ii. Cuadro que contiene </w:t>
            </w:r>
            <w:r w:rsidR="00CF5F2B" w:rsidRPr="0022632F">
              <w:rPr>
                <w:sz w:val="20"/>
              </w:rPr>
              <w:t>número de oficio</w:t>
            </w:r>
            <w:r w:rsidRPr="0022632F">
              <w:rPr>
                <w:sz w:val="20"/>
              </w:rPr>
              <w:t>, fecha</w:t>
            </w:r>
            <w:r w:rsidR="00CF5F2B" w:rsidRPr="0022632F">
              <w:rPr>
                <w:sz w:val="20"/>
              </w:rPr>
              <w:t>, destinatario, asunto y observaciones.</w:t>
            </w:r>
          </w:p>
        </w:tc>
      </w:tr>
      <w:tr w:rsidR="002A31E6" w:rsidRPr="0022632F" w14:paraId="3BDE275F" w14:textId="77777777" w:rsidTr="007041E5">
        <w:tc>
          <w:tcPr>
            <w:tcW w:w="2405" w:type="dxa"/>
            <w:tcBorders>
              <w:top w:val="single" w:sz="4" w:space="0" w:color="auto"/>
              <w:left w:val="single" w:sz="4" w:space="0" w:color="auto"/>
              <w:bottom w:val="single" w:sz="4" w:space="0" w:color="auto"/>
              <w:right w:val="single" w:sz="4" w:space="0" w:color="auto"/>
            </w:tcBorders>
          </w:tcPr>
          <w:p w14:paraId="30A3D525" w14:textId="4E7AAB12" w:rsidR="002A31E6" w:rsidRPr="0022632F" w:rsidRDefault="002A31E6" w:rsidP="002A31E6">
            <w:pPr>
              <w:spacing w:line="276" w:lineRule="auto"/>
              <w:rPr>
                <w:b/>
                <w:bCs/>
                <w:i/>
                <w:iCs/>
                <w:sz w:val="20"/>
              </w:rPr>
            </w:pPr>
            <w:r w:rsidRPr="0022632F">
              <w:rPr>
                <w:b/>
                <w:bCs/>
                <w:i/>
                <w:iCs/>
                <w:sz w:val="20"/>
              </w:rPr>
              <w:t>00453/TEOLOYU/IP/2025</w:t>
            </w:r>
          </w:p>
        </w:tc>
        <w:tc>
          <w:tcPr>
            <w:tcW w:w="6521" w:type="dxa"/>
            <w:tcBorders>
              <w:top w:val="single" w:sz="4" w:space="0" w:color="auto"/>
              <w:left w:val="single" w:sz="4" w:space="0" w:color="auto"/>
              <w:bottom w:val="single" w:sz="4" w:space="0" w:color="auto"/>
              <w:right w:val="single" w:sz="4" w:space="0" w:color="auto"/>
            </w:tcBorders>
          </w:tcPr>
          <w:p w14:paraId="4020C9AD" w14:textId="77777777" w:rsidR="007041E5" w:rsidRPr="0022632F" w:rsidRDefault="007041E5" w:rsidP="007041E5">
            <w:pPr>
              <w:spacing w:line="276" w:lineRule="auto"/>
              <w:rPr>
                <w:sz w:val="20"/>
              </w:rPr>
            </w:pPr>
            <w:r w:rsidRPr="0022632F">
              <w:rPr>
                <w:sz w:val="20"/>
              </w:rPr>
              <w:t xml:space="preserve">i. Oficio número DUIPPE/SLV/OF-246/06/2025, del once junio de dos mil veinticinco, suscrito por el Director de la Unidad de Información, </w:t>
            </w:r>
            <w:r w:rsidRPr="0022632F">
              <w:rPr>
                <w:sz w:val="20"/>
              </w:rPr>
              <w:lastRenderedPageBreak/>
              <w:t>Planeación, Programación y Evaluación y dirigido a la Titular de la Unidad de Transparencia, por medio del cual mencionó lo siguiente:</w:t>
            </w:r>
          </w:p>
          <w:p w14:paraId="44E5B86E" w14:textId="77777777" w:rsidR="007041E5" w:rsidRPr="0022632F" w:rsidRDefault="007041E5" w:rsidP="007041E5">
            <w:pPr>
              <w:spacing w:line="276" w:lineRule="auto"/>
              <w:rPr>
                <w:sz w:val="20"/>
              </w:rPr>
            </w:pPr>
          </w:p>
          <w:p w14:paraId="3BE131D9" w14:textId="77777777" w:rsidR="007041E5" w:rsidRPr="0022632F" w:rsidRDefault="007041E5" w:rsidP="007041E5">
            <w:pPr>
              <w:spacing w:line="276" w:lineRule="auto"/>
              <w:rPr>
                <w:i/>
                <w:sz w:val="20"/>
              </w:rPr>
            </w:pPr>
            <w:r w:rsidRPr="0022632F">
              <w:rPr>
                <w:i/>
                <w:sz w:val="20"/>
              </w:rPr>
              <w:t>“…En respuesta a su solicitud le remito en medio impreso y digital (USB) la información solicitada.</w:t>
            </w:r>
          </w:p>
          <w:p w14:paraId="49421C29" w14:textId="77777777" w:rsidR="007041E5" w:rsidRPr="0022632F" w:rsidRDefault="007041E5" w:rsidP="007041E5">
            <w:pPr>
              <w:spacing w:line="276" w:lineRule="auto"/>
              <w:rPr>
                <w:i/>
                <w:sz w:val="20"/>
              </w:rPr>
            </w:pPr>
            <w:r w:rsidRPr="0022632F">
              <w:rPr>
                <w:i/>
                <w:sz w:val="20"/>
              </w:rPr>
              <w:t>…”</w:t>
            </w:r>
          </w:p>
          <w:p w14:paraId="083F31EE" w14:textId="77777777" w:rsidR="007041E5" w:rsidRPr="0022632F" w:rsidRDefault="007041E5" w:rsidP="007041E5">
            <w:pPr>
              <w:spacing w:line="276" w:lineRule="auto"/>
              <w:rPr>
                <w:sz w:val="20"/>
              </w:rPr>
            </w:pPr>
          </w:p>
          <w:p w14:paraId="1834C7B5" w14:textId="7B6B338D" w:rsidR="002A31E6" w:rsidRPr="0022632F" w:rsidRDefault="007041E5" w:rsidP="007041E5">
            <w:pPr>
              <w:spacing w:line="276" w:lineRule="auto"/>
              <w:rPr>
                <w:sz w:val="20"/>
              </w:rPr>
            </w:pPr>
            <w:r w:rsidRPr="0022632F">
              <w:rPr>
                <w:sz w:val="20"/>
              </w:rPr>
              <w:t>ii. Cuadro que contiene fecha, número de oficio, destinatario, asunto y observaciones.</w:t>
            </w:r>
          </w:p>
        </w:tc>
      </w:tr>
      <w:tr w:rsidR="002A31E6" w:rsidRPr="0022632F" w14:paraId="69FB69E9" w14:textId="77777777" w:rsidTr="007041E5">
        <w:tc>
          <w:tcPr>
            <w:tcW w:w="2405" w:type="dxa"/>
            <w:tcBorders>
              <w:top w:val="single" w:sz="4" w:space="0" w:color="auto"/>
              <w:left w:val="single" w:sz="4" w:space="0" w:color="auto"/>
              <w:bottom w:val="single" w:sz="4" w:space="0" w:color="auto"/>
              <w:right w:val="single" w:sz="4" w:space="0" w:color="auto"/>
            </w:tcBorders>
          </w:tcPr>
          <w:p w14:paraId="1E448AEA" w14:textId="1165F7D3" w:rsidR="002A31E6" w:rsidRPr="0022632F" w:rsidRDefault="002A31E6" w:rsidP="002A31E6">
            <w:pPr>
              <w:spacing w:line="276" w:lineRule="auto"/>
              <w:rPr>
                <w:b/>
                <w:bCs/>
                <w:i/>
                <w:iCs/>
                <w:sz w:val="20"/>
              </w:rPr>
            </w:pPr>
            <w:r w:rsidRPr="0022632F">
              <w:rPr>
                <w:b/>
                <w:bCs/>
                <w:i/>
                <w:iCs/>
                <w:sz w:val="20"/>
              </w:rPr>
              <w:lastRenderedPageBreak/>
              <w:t>00454/TEOLOYU/IP/2025</w:t>
            </w:r>
          </w:p>
        </w:tc>
        <w:tc>
          <w:tcPr>
            <w:tcW w:w="6521" w:type="dxa"/>
            <w:tcBorders>
              <w:top w:val="single" w:sz="4" w:space="0" w:color="auto"/>
              <w:left w:val="single" w:sz="4" w:space="0" w:color="auto"/>
              <w:bottom w:val="single" w:sz="4" w:space="0" w:color="auto"/>
              <w:right w:val="single" w:sz="4" w:space="0" w:color="auto"/>
            </w:tcBorders>
          </w:tcPr>
          <w:p w14:paraId="26F4D639" w14:textId="0E3BC6D1" w:rsidR="008E59DB" w:rsidRPr="0022632F" w:rsidRDefault="008E59DB" w:rsidP="008E59DB">
            <w:pPr>
              <w:spacing w:line="276" w:lineRule="auto"/>
              <w:rPr>
                <w:sz w:val="20"/>
              </w:rPr>
            </w:pPr>
            <w:r w:rsidRPr="0022632F">
              <w:rPr>
                <w:sz w:val="20"/>
              </w:rPr>
              <w:t>i. Oficio número DUIPPE/SLV/OF-247/06/2025, del once junio de dos mil veinticinco, suscrito por el Director de la Unidad de Información, Planeación, Programación y Evaluación y dirigido a la Titular de la Unidad de Transparencia, por medio del cual mencionó lo siguiente:</w:t>
            </w:r>
          </w:p>
          <w:p w14:paraId="19CB0A46" w14:textId="77777777" w:rsidR="008E59DB" w:rsidRPr="0022632F" w:rsidRDefault="008E59DB" w:rsidP="008E59DB">
            <w:pPr>
              <w:spacing w:line="276" w:lineRule="auto"/>
              <w:rPr>
                <w:sz w:val="20"/>
              </w:rPr>
            </w:pPr>
          </w:p>
          <w:p w14:paraId="1D55D06F" w14:textId="77777777" w:rsidR="008E59DB" w:rsidRPr="0022632F" w:rsidRDefault="008E59DB" w:rsidP="008E59DB">
            <w:pPr>
              <w:spacing w:line="276" w:lineRule="auto"/>
              <w:rPr>
                <w:i/>
                <w:sz w:val="20"/>
              </w:rPr>
            </w:pPr>
            <w:r w:rsidRPr="0022632F">
              <w:rPr>
                <w:i/>
                <w:sz w:val="20"/>
              </w:rPr>
              <w:t>“…En respuesta a su solicitud le remito en medio impreso y digital (USB) la información solicitada.</w:t>
            </w:r>
          </w:p>
          <w:p w14:paraId="002A043A" w14:textId="77777777" w:rsidR="008E59DB" w:rsidRPr="0022632F" w:rsidRDefault="008E59DB" w:rsidP="008E59DB">
            <w:pPr>
              <w:spacing w:line="276" w:lineRule="auto"/>
              <w:rPr>
                <w:sz w:val="20"/>
              </w:rPr>
            </w:pPr>
            <w:r w:rsidRPr="0022632F">
              <w:rPr>
                <w:i/>
                <w:sz w:val="20"/>
              </w:rPr>
              <w:t>…”</w:t>
            </w:r>
          </w:p>
          <w:p w14:paraId="66F0C6A3" w14:textId="77777777" w:rsidR="008E59DB" w:rsidRPr="0022632F" w:rsidRDefault="008E59DB" w:rsidP="008E59DB">
            <w:pPr>
              <w:spacing w:line="276" w:lineRule="auto"/>
              <w:rPr>
                <w:sz w:val="20"/>
              </w:rPr>
            </w:pPr>
          </w:p>
          <w:p w14:paraId="4691FF49" w14:textId="3E014371" w:rsidR="002A31E6" w:rsidRPr="0022632F" w:rsidRDefault="008E59DB" w:rsidP="008E59DB">
            <w:pPr>
              <w:spacing w:line="276" w:lineRule="auto"/>
              <w:rPr>
                <w:sz w:val="20"/>
              </w:rPr>
            </w:pPr>
            <w:r w:rsidRPr="0022632F">
              <w:rPr>
                <w:sz w:val="20"/>
              </w:rPr>
              <w:t>ii. Cuadro que contiene fecha, número de oficio, destinatario, asunto y observaciones.</w:t>
            </w:r>
          </w:p>
        </w:tc>
      </w:tr>
      <w:tr w:rsidR="002A31E6" w:rsidRPr="0022632F" w14:paraId="4FD31BCA" w14:textId="77777777" w:rsidTr="007041E5">
        <w:tc>
          <w:tcPr>
            <w:tcW w:w="2405" w:type="dxa"/>
            <w:tcBorders>
              <w:top w:val="single" w:sz="4" w:space="0" w:color="auto"/>
              <w:left w:val="single" w:sz="4" w:space="0" w:color="auto"/>
              <w:bottom w:val="single" w:sz="4" w:space="0" w:color="auto"/>
              <w:right w:val="single" w:sz="4" w:space="0" w:color="auto"/>
            </w:tcBorders>
          </w:tcPr>
          <w:p w14:paraId="021C4B00" w14:textId="6A2F8DA7" w:rsidR="002A31E6" w:rsidRPr="0022632F" w:rsidRDefault="002A31E6" w:rsidP="002A31E6">
            <w:pPr>
              <w:spacing w:line="276" w:lineRule="auto"/>
              <w:rPr>
                <w:b/>
                <w:bCs/>
                <w:i/>
                <w:iCs/>
                <w:sz w:val="20"/>
              </w:rPr>
            </w:pPr>
            <w:r w:rsidRPr="0022632F">
              <w:rPr>
                <w:b/>
                <w:bCs/>
                <w:i/>
                <w:iCs/>
                <w:sz w:val="20"/>
              </w:rPr>
              <w:t>00455/TEOLOYU/IP/2025</w:t>
            </w:r>
          </w:p>
        </w:tc>
        <w:tc>
          <w:tcPr>
            <w:tcW w:w="6521" w:type="dxa"/>
            <w:tcBorders>
              <w:top w:val="single" w:sz="4" w:space="0" w:color="auto"/>
              <w:left w:val="single" w:sz="4" w:space="0" w:color="auto"/>
              <w:bottom w:val="single" w:sz="4" w:space="0" w:color="auto"/>
              <w:right w:val="single" w:sz="4" w:space="0" w:color="auto"/>
            </w:tcBorders>
          </w:tcPr>
          <w:p w14:paraId="35DE2F7C" w14:textId="20F7C68B" w:rsidR="00942FBA" w:rsidRPr="0022632F" w:rsidRDefault="00942FBA" w:rsidP="00942FBA">
            <w:pPr>
              <w:spacing w:line="276" w:lineRule="auto"/>
              <w:rPr>
                <w:sz w:val="20"/>
              </w:rPr>
            </w:pPr>
            <w:r w:rsidRPr="0022632F">
              <w:rPr>
                <w:sz w:val="20"/>
              </w:rPr>
              <w:t>i. Oficio número DUIPPE/SLV/OF-248/06/2025, del once junio de dos mil veinticinco, suscrito por el Director de la Unidad de Información, Planeación, Programación y Evaluación y dirigido a la Titular de la Unidad de Transparencia, por medio del cual mencionó lo siguiente:</w:t>
            </w:r>
          </w:p>
          <w:p w14:paraId="27D06C29" w14:textId="77777777" w:rsidR="00942FBA" w:rsidRPr="0022632F" w:rsidRDefault="00942FBA" w:rsidP="00942FBA">
            <w:pPr>
              <w:spacing w:line="276" w:lineRule="auto"/>
              <w:rPr>
                <w:sz w:val="20"/>
              </w:rPr>
            </w:pPr>
          </w:p>
          <w:p w14:paraId="01D218A5" w14:textId="77777777" w:rsidR="00942FBA" w:rsidRPr="0022632F" w:rsidRDefault="00942FBA" w:rsidP="00942FBA">
            <w:pPr>
              <w:spacing w:line="276" w:lineRule="auto"/>
              <w:rPr>
                <w:i/>
                <w:sz w:val="20"/>
              </w:rPr>
            </w:pPr>
            <w:r w:rsidRPr="0022632F">
              <w:rPr>
                <w:i/>
                <w:sz w:val="20"/>
              </w:rPr>
              <w:t>“…En respuesta a su solicitud le remito en medio impreso y digital (USB) la información solicitada.</w:t>
            </w:r>
          </w:p>
          <w:p w14:paraId="74082ACF" w14:textId="77777777" w:rsidR="00942FBA" w:rsidRPr="0022632F" w:rsidRDefault="00942FBA" w:rsidP="00942FBA">
            <w:pPr>
              <w:spacing w:line="276" w:lineRule="auto"/>
              <w:rPr>
                <w:i/>
                <w:sz w:val="20"/>
              </w:rPr>
            </w:pPr>
            <w:r w:rsidRPr="0022632F">
              <w:rPr>
                <w:i/>
                <w:sz w:val="20"/>
              </w:rPr>
              <w:t>…”</w:t>
            </w:r>
          </w:p>
          <w:p w14:paraId="785F423B" w14:textId="77777777" w:rsidR="00942FBA" w:rsidRPr="0022632F" w:rsidRDefault="00942FBA" w:rsidP="00942FBA">
            <w:pPr>
              <w:spacing w:line="276" w:lineRule="auto"/>
              <w:rPr>
                <w:sz w:val="20"/>
              </w:rPr>
            </w:pPr>
          </w:p>
          <w:p w14:paraId="1275E4B1" w14:textId="797CCC17" w:rsidR="002A31E6" w:rsidRPr="0022632F" w:rsidRDefault="00942FBA" w:rsidP="00942FBA">
            <w:pPr>
              <w:spacing w:line="276" w:lineRule="auto"/>
              <w:rPr>
                <w:sz w:val="20"/>
              </w:rPr>
            </w:pPr>
            <w:r w:rsidRPr="0022632F">
              <w:rPr>
                <w:sz w:val="20"/>
              </w:rPr>
              <w:t>ii. Cuadro que contiene fecha, número de oficio, destinatario, asunto y observaciones.</w:t>
            </w:r>
          </w:p>
        </w:tc>
      </w:tr>
    </w:tbl>
    <w:p w14:paraId="1B4BAFF5" w14:textId="77777777" w:rsidR="000846E8" w:rsidRPr="0022632F" w:rsidRDefault="000846E8" w:rsidP="007808E0">
      <w:pPr>
        <w:spacing w:after="0" w:line="360" w:lineRule="auto"/>
      </w:pPr>
    </w:p>
    <w:p w14:paraId="7E7FBB31" w14:textId="68020061" w:rsidR="00E22EA8" w:rsidRPr="0022632F" w:rsidRDefault="002207FA" w:rsidP="007808E0">
      <w:pPr>
        <w:pStyle w:val="Ttulo2"/>
        <w:spacing w:before="0" w:after="0" w:line="360" w:lineRule="auto"/>
        <w:rPr>
          <w:sz w:val="22"/>
          <w:szCs w:val="22"/>
        </w:rPr>
      </w:pPr>
      <w:bookmarkStart w:id="5" w:name="_Toc207292036"/>
      <w:r w:rsidRPr="0022632F">
        <w:rPr>
          <w:sz w:val="22"/>
          <w:szCs w:val="22"/>
        </w:rPr>
        <w:t>III</w:t>
      </w:r>
      <w:r w:rsidR="00E22EA8" w:rsidRPr="0022632F">
        <w:rPr>
          <w:sz w:val="22"/>
          <w:szCs w:val="22"/>
        </w:rPr>
        <w:t>. Interposición del Recurso de Revisión</w:t>
      </w:r>
      <w:bookmarkEnd w:id="5"/>
    </w:p>
    <w:p w14:paraId="053D45CF" w14:textId="77777777" w:rsidR="00E22EA8" w:rsidRPr="0022632F" w:rsidRDefault="00E22EA8" w:rsidP="007808E0">
      <w:pPr>
        <w:spacing w:after="0" w:line="360" w:lineRule="auto"/>
        <w:rPr>
          <w:b/>
        </w:rPr>
      </w:pPr>
    </w:p>
    <w:p w14:paraId="355C8CC6" w14:textId="2E096F9B" w:rsidR="009C5A71" w:rsidRPr="0022632F" w:rsidRDefault="00083169" w:rsidP="007808E0">
      <w:pPr>
        <w:spacing w:after="0" w:line="360" w:lineRule="auto"/>
        <w:rPr>
          <w:bCs/>
        </w:rPr>
      </w:pPr>
      <w:r w:rsidRPr="0022632F">
        <w:rPr>
          <w:bCs/>
        </w:rPr>
        <w:t>El</w:t>
      </w:r>
      <w:r w:rsidR="008E5E71" w:rsidRPr="0022632F">
        <w:rPr>
          <w:bCs/>
        </w:rPr>
        <w:t xml:space="preserve"> </w:t>
      </w:r>
      <w:r w:rsidR="00794B3F" w:rsidRPr="0022632F">
        <w:t>d</w:t>
      </w:r>
      <w:r w:rsidR="006A7661" w:rsidRPr="0022632F">
        <w:t>ieciséis</w:t>
      </w:r>
      <w:r w:rsidR="00794B3F" w:rsidRPr="0022632F">
        <w:t xml:space="preserve"> de junio</w:t>
      </w:r>
      <w:r w:rsidR="00C2045C" w:rsidRPr="0022632F">
        <w:t xml:space="preserve"> </w:t>
      </w:r>
      <w:r w:rsidR="008E5E71" w:rsidRPr="0022632F">
        <w:t>de dos mil veinticinco</w:t>
      </w:r>
      <w:r w:rsidR="00E22EA8" w:rsidRPr="0022632F">
        <w:rPr>
          <w:bCs/>
        </w:rPr>
        <w:t xml:space="preserve">, se recibió en este Instituto, a través del </w:t>
      </w:r>
      <w:r w:rsidR="00E22EA8" w:rsidRPr="0022632F">
        <w:rPr>
          <w:bCs/>
          <w:lang w:val="es-ES"/>
        </w:rPr>
        <w:t>Sistema de Acceso a la Información Mexiquense (SAIMEX)</w:t>
      </w:r>
      <w:r w:rsidR="00E22EA8" w:rsidRPr="0022632F">
        <w:rPr>
          <w:bCs/>
        </w:rPr>
        <w:t xml:space="preserve">, </w:t>
      </w:r>
      <w:r w:rsidR="00F17302" w:rsidRPr="0022632F">
        <w:rPr>
          <w:bCs/>
        </w:rPr>
        <w:t>cuatro</w:t>
      </w:r>
      <w:r w:rsidR="009019A8" w:rsidRPr="0022632F">
        <w:rPr>
          <w:bCs/>
        </w:rPr>
        <w:t xml:space="preserve"> </w:t>
      </w:r>
      <w:r w:rsidR="00E22EA8" w:rsidRPr="0022632F">
        <w:rPr>
          <w:bCs/>
        </w:rPr>
        <w:t>Recurso</w:t>
      </w:r>
      <w:r w:rsidR="00F17302" w:rsidRPr="0022632F">
        <w:rPr>
          <w:bCs/>
        </w:rPr>
        <w:t>s</w:t>
      </w:r>
      <w:r w:rsidR="00E22EA8" w:rsidRPr="0022632F">
        <w:rPr>
          <w:bCs/>
        </w:rPr>
        <w:t xml:space="preserve"> de Revisión interpuesto</w:t>
      </w:r>
      <w:r w:rsidR="00F17302" w:rsidRPr="0022632F">
        <w:rPr>
          <w:bCs/>
        </w:rPr>
        <w:t>s</w:t>
      </w:r>
      <w:r w:rsidR="00E22EA8" w:rsidRPr="0022632F">
        <w:rPr>
          <w:bCs/>
        </w:rPr>
        <w:t xml:space="preserve"> </w:t>
      </w:r>
      <w:r w:rsidR="00E22EA8" w:rsidRPr="0022632F">
        <w:rPr>
          <w:bCs/>
        </w:rPr>
        <w:lastRenderedPageBreak/>
        <w:t>por la p</w:t>
      </w:r>
      <w:r w:rsidRPr="0022632F">
        <w:rPr>
          <w:bCs/>
        </w:rPr>
        <w:t>ersona</w:t>
      </w:r>
      <w:r w:rsidR="00E22EA8" w:rsidRPr="0022632F">
        <w:rPr>
          <w:bCs/>
        </w:rPr>
        <w:t xml:space="preserve"> Recurrente, en contra de la</w:t>
      </w:r>
      <w:r w:rsidR="00F17302" w:rsidRPr="0022632F">
        <w:rPr>
          <w:bCs/>
        </w:rPr>
        <w:t>s</w:t>
      </w:r>
      <w:r w:rsidR="00E22EA8" w:rsidRPr="0022632F">
        <w:rPr>
          <w:bCs/>
        </w:rPr>
        <w:t xml:space="preserve"> respuesta</w:t>
      </w:r>
      <w:r w:rsidR="00F17302" w:rsidRPr="0022632F">
        <w:rPr>
          <w:bCs/>
        </w:rPr>
        <w:t>s</w:t>
      </w:r>
      <w:r w:rsidR="00E22EA8" w:rsidRPr="0022632F">
        <w:rPr>
          <w:bCs/>
        </w:rPr>
        <w:t xml:space="preserve"> por el Sujeto Obligado, a la</w:t>
      </w:r>
      <w:r w:rsidR="00F17302" w:rsidRPr="0022632F">
        <w:rPr>
          <w:bCs/>
        </w:rPr>
        <w:t>s</w:t>
      </w:r>
      <w:r w:rsidR="00E22EA8" w:rsidRPr="0022632F">
        <w:rPr>
          <w:bCs/>
        </w:rPr>
        <w:t xml:space="preserve"> solicitud</w:t>
      </w:r>
      <w:r w:rsidR="00F17302" w:rsidRPr="0022632F">
        <w:rPr>
          <w:bCs/>
        </w:rPr>
        <w:t>es</w:t>
      </w:r>
      <w:r w:rsidR="00E22EA8" w:rsidRPr="0022632F">
        <w:rPr>
          <w:bCs/>
        </w:rPr>
        <w:t xml:space="preserve"> de información</w:t>
      </w:r>
      <w:r w:rsidR="00F43789" w:rsidRPr="0022632F">
        <w:rPr>
          <w:rFonts w:eastAsia="Calibri" w:cs="Times New Roman"/>
        </w:rPr>
        <w:t xml:space="preserve">, </w:t>
      </w:r>
      <w:r w:rsidR="00E22EA8" w:rsidRPr="0022632F">
        <w:rPr>
          <w:bCs/>
        </w:rPr>
        <w:t xml:space="preserve">en los </w:t>
      </w:r>
      <w:r w:rsidR="00F17302" w:rsidRPr="0022632F">
        <w:rPr>
          <w:bCs/>
        </w:rPr>
        <w:t>términos similares siguientes</w:t>
      </w:r>
      <w:r w:rsidR="00E22EA8" w:rsidRPr="0022632F">
        <w:rPr>
          <w:bCs/>
        </w:rPr>
        <w:t>:</w:t>
      </w:r>
    </w:p>
    <w:p w14:paraId="499DDBDB" w14:textId="77777777" w:rsidR="008E5E71" w:rsidRPr="0022632F" w:rsidRDefault="008E5E71" w:rsidP="007808E0">
      <w:pPr>
        <w:spacing w:after="0" w:line="360" w:lineRule="auto"/>
        <w:ind w:left="567" w:right="567"/>
        <w:rPr>
          <w:b/>
          <w:bCs/>
          <w:i/>
          <w:sz w:val="20"/>
          <w:szCs w:val="20"/>
        </w:rPr>
      </w:pPr>
    </w:p>
    <w:p w14:paraId="1B2CCD45" w14:textId="1F34B3A9" w:rsidR="00E22EA8" w:rsidRPr="0022632F" w:rsidRDefault="00E12804" w:rsidP="007808E0">
      <w:pPr>
        <w:spacing w:after="0" w:line="360" w:lineRule="auto"/>
        <w:ind w:left="567" w:right="567"/>
        <w:rPr>
          <w:bCs/>
          <w:i/>
          <w:sz w:val="20"/>
          <w:szCs w:val="20"/>
        </w:rPr>
      </w:pPr>
      <w:r w:rsidRPr="0022632F">
        <w:rPr>
          <w:b/>
          <w:bCs/>
          <w:i/>
          <w:sz w:val="20"/>
          <w:szCs w:val="20"/>
        </w:rPr>
        <w:t>‘’</w:t>
      </w:r>
      <w:r w:rsidR="00E22EA8" w:rsidRPr="0022632F">
        <w:rPr>
          <w:b/>
          <w:bCs/>
          <w:i/>
          <w:sz w:val="20"/>
          <w:szCs w:val="20"/>
        </w:rPr>
        <w:t>ACTO IMPUGNADO</w:t>
      </w:r>
    </w:p>
    <w:p w14:paraId="20CB87D1" w14:textId="250FFB74" w:rsidR="00E22EA8" w:rsidRPr="0022632F" w:rsidRDefault="006A7661" w:rsidP="007808E0">
      <w:pPr>
        <w:spacing w:after="0" w:line="360" w:lineRule="auto"/>
        <w:ind w:left="567" w:right="567"/>
        <w:rPr>
          <w:i/>
          <w:sz w:val="20"/>
          <w:szCs w:val="20"/>
        </w:rPr>
      </w:pPr>
      <w:r w:rsidRPr="0022632F">
        <w:rPr>
          <w:i/>
          <w:iCs/>
          <w:sz w:val="20"/>
          <w:szCs w:val="20"/>
        </w:rPr>
        <w:t>RESPUESTA</w:t>
      </w:r>
      <w:r w:rsidR="00E22EA8" w:rsidRPr="0022632F">
        <w:rPr>
          <w:i/>
          <w:iCs/>
          <w:sz w:val="20"/>
          <w:szCs w:val="20"/>
        </w:rPr>
        <w:t>”</w:t>
      </w:r>
      <w:r w:rsidR="002D6CA6" w:rsidRPr="0022632F">
        <w:rPr>
          <w:i/>
          <w:iCs/>
          <w:sz w:val="20"/>
          <w:szCs w:val="20"/>
        </w:rPr>
        <w:t xml:space="preserve"> (Sic.)</w:t>
      </w:r>
    </w:p>
    <w:p w14:paraId="3B2615CC" w14:textId="77777777" w:rsidR="00E22EA8" w:rsidRPr="0022632F" w:rsidRDefault="00E22EA8" w:rsidP="007808E0">
      <w:pPr>
        <w:spacing w:after="0" w:line="360" w:lineRule="auto"/>
        <w:ind w:left="567" w:right="567"/>
        <w:rPr>
          <w:i/>
          <w:sz w:val="20"/>
          <w:szCs w:val="20"/>
        </w:rPr>
      </w:pPr>
    </w:p>
    <w:p w14:paraId="3F1F07C7" w14:textId="49F2AE96" w:rsidR="00E22EA8" w:rsidRPr="0022632F" w:rsidRDefault="00E12804" w:rsidP="007808E0">
      <w:pPr>
        <w:spacing w:after="0" w:line="360" w:lineRule="auto"/>
        <w:ind w:left="567" w:right="567"/>
        <w:rPr>
          <w:b/>
          <w:i/>
          <w:sz w:val="20"/>
          <w:szCs w:val="20"/>
        </w:rPr>
      </w:pPr>
      <w:r w:rsidRPr="0022632F">
        <w:rPr>
          <w:b/>
          <w:i/>
          <w:sz w:val="20"/>
          <w:szCs w:val="20"/>
        </w:rPr>
        <w:t>‘’</w:t>
      </w:r>
      <w:r w:rsidR="00E22EA8" w:rsidRPr="0022632F">
        <w:rPr>
          <w:b/>
          <w:i/>
          <w:sz w:val="20"/>
          <w:szCs w:val="20"/>
        </w:rPr>
        <w:t>RAZONES O MOTIVOS DE LA INCONFORMIDAD</w:t>
      </w:r>
    </w:p>
    <w:p w14:paraId="31B716B5" w14:textId="740C0B59" w:rsidR="00E12804" w:rsidRPr="0022632F" w:rsidRDefault="006A7661" w:rsidP="007808E0">
      <w:pPr>
        <w:spacing w:after="0" w:line="360" w:lineRule="auto"/>
        <w:ind w:left="567" w:right="567"/>
        <w:rPr>
          <w:i/>
          <w:sz w:val="20"/>
          <w:szCs w:val="20"/>
        </w:rPr>
      </w:pPr>
      <w:r w:rsidRPr="0022632F">
        <w:rPr>
          <w:i/>
          <w:iCs/>
          <w:sz w:val="20"/>
          <w:szCs w:val="20"/>
        </w:rPr>
        <w:t>Solicité los OFCIOS FIRMADOS y en la respuesta que me entregan me dan un concentrado de los oficios y es algo que no solicite, requiero los oficios como están, no un concentrado de los mismos.</w:t>
      </w:r>
      <w:r w:rsidR="003C5F59" w:rsidRPr="0022632F">
        <w:rPr>
          <w:i/>
          <w:iCs/>
          <w:sz w:val="20"/>
          <w:szCs w:val="20"/>
        </w:rPr>
        <w:t>”</w:t>
      </w:r>
      <w:r w:rsidR="002D6CA6" w:rsidRPr="0022632F">
        <w:rPr>
          <w:i/>
          <w:iCs/>
          <w:sz w:val="20"/>
          <w:szCs w:val="20"/>
        </w:rPr>
        <w:t xml:space="preserve"> (Sic.)</w:t>
      </w:r>
    </w:p>
    <w:p w14:paraId="333C81B3" w14:textId="77777777" w:rsidR="003E4CFD" w:rsidRPr="0022632F" w:rsidRDefault="003E4CFD" w:rsidP="007808E0">
      <w:pPr>
        <w:spacing w:after="0" w:line="360" w:lineRule="auto"/>
        <w:ind w:right="567"/>
        <w:rPr>
          <w:iCs/>
        </w:rPr>
      </w:pPr>
    </w:p>
    <w:p w14:paraId="009DB65C" w14:textId="2D236FF1" w:rsidR="00E22EA8" w:rsidRPr="0022632F" w:rsidRDefault="002207FA" w:rsidP="007808E0">
      <w:pPr>
        <w:pStyle w:val="Ttulo2"/>
        <w:spacing w:before="0" w:after="0" w:line="360" w:lineRule="auto"/>
        <w:rPr>
          <w:sz w:val="22"/>
          <w:szCs w:val="22"/>
        </w:rPr>
      </w:pPr>
      <w:bookmarkStart w:id="6" w:name="_Toc207292037"/>
      <w:r w:rsidRPr="0022632F">
        <w:rPr>
          <w:sz w:val="22"/>
          <w:szCs w:val="22"/>
        </w:rPr>
        <w:t>I</w:t>
      </w:r>
      <w:r w:rsidR="00E22EA8" w:rsidRPr="0022632F">
        <w:rPr>
          <w:sz w:val="22"/>
          <w:szCs w:val="22"/>
        </w:rPr>
        <w:t>V. Trámite del Recurso de Revisión ante este Instituto</w:t>
      </w:r>
      <w:bookmarkEnd w:id="6"/>
    </w:p>
    <w:p w14:paraId="5C9B63F8" w14:textId="77777777" w:rsidR="009B2DAB" w:rsidRPr="0022632F" w:rsidRDefault="009B2DAB" w:rsidP="007808E0">
      <w:pPr>
        <w:spacing w:after="0" w:line="360" w:lineRule="auto"/>
        <w:rPr>
          <w:b/>
          <w:bCs/>
        </w:rPr>
      </w:pPr>
    </w:p>
    <w:p w14:paraId="173768ED" w14:textId="0489D517" w:rsidR="00E22EA8" w:rsidRPr="0022632F" w:rsidRDefault="00E22EA8" w:rsidP="007808E0">
      <w:pPr>
        <w:spacing w:after="0" w:line="360" w:lineRule="auto"/>
        <w:rPr>
          <w:bCs/>
        </w:rPr>
      </w:pPr>
      <w:r w:rsidRPr="0022632F">
        <w:rPr>
          <w:b/>
          <w:bCs/>
        </w:rPr>
        <w:t>a) Turno del Medio de Impugnación.</w:t>
      </w:r>
      <w:r w:rsidR="000A706F" w:rsidRPr="0022632F">
        <w:rPr>
          <w:bCs/>
        </w:rPr>
        <w:t xml:space="preserve"> </w:t>
      </w:r>
      <w:r w:rsidR="003C5F59" w:rsidRPr="0022632F">
        <w:rPr>
          <w:bCs/>
        </w:rPr>
        <w:t xml:space="preserve">El </w:t>
      </w:r>
      <w:r w:rsidR="00794B3F" w:rsidRPr="0022632F">
        <w:rPr>
          <w:bCs/>
        </w:rPr>
        <w:t>d</w:t>
      </w:r>
      <w:r w:rsidR="00831725" w:rsidRPr="0022632F">
        <w:rPr>
          <w:bCs/>
        </w:rPr>
        <w:t>ieciséis</w:t>
      </w:r>
      <w:r w:rsidR="00794B3F" w:rsidRPr="0022632F">
        <w:rPr>
          <w:bCs/>
        </w:rPr>
        <w:t xml:space="preserve"> de junio</w:t>
      </w:r>
      <w:r w:rsidR="00E64E18" w:rsidRPr="0022632F">
        <w:t xml:space="preserve"> de dos mil veinticinco</w:t>
      </w:r>
      <w:r w:rsidRPr="0022632F">
        <w:rPr>
          <w:bCs/>
        </w:rPr>
        <w:t xml:space="preserve">, el </w:t>
      </w:r>
      <w:r w:rsidRPr="0022632F">
        <w:rPr>
          <w:lang w:val="es-ES"/>
        </w:rPr>
        <w:t>Sistema de Acceso a la Información Mexiquense (SAIMEX),</w:t>
      </w:r>
      <w:r w:rsidR="00F17302" w:rsidRPr="0022632F">
        <w:rPr>
          <w:bCs/>
        </w:rPr>
        <w:t xml:space="preserve"> asignó los</w:t>
      </w:r>
      <w:r w:rsidRPr="0022632F">
        <w:rPr>
          <w:bCs/>
        </w:rPr>
        <w:t xml:space="preserve"> número</w:t>
      </w:r>
      <w:r w:rsidR="00F17302" w:rsidRPr="0022632F">
        <w:rPr>
          <w:bCs/>
        </w:rPr>
        <w:t>s</w:t>
      </w:r>
      <w:r w:rsidRPr="0022632F">
        <w:rPr>
          <w:bCs/>
        </w:rPr>
        <w:t xml:space="preserve"> de expediente</w:t>
      </w:r>
      <w:r w:rsidR="00F17302" w:rsidRPr="0022632F">
        <w:rPr>
          <w:bCs/>
        </w:rPr>
        <w:t>s</w:t>
      </w:r>
      <w:r w:rsidRPr="0022632F">
        <w:rPr>
          <w:bCs/>
        </w:rPr>
        <w:t xml:space="preserve"> </w:t>
      </w:r>
      <w:r w:rsidR="002D6CA6" w:rsidRPr="0022632F">
        <w:rPr>
          <w:b/>
          <w:bCs/>
        </w:rPr>
        <w:t>0</w:t>
      </w:r>
      <w:r w:rsidR="00F17302" w:rsidRPr="0022632F">
        <w:rPr>
          <w:b/>
          <w:bCs/>
        </w:rPr>
        <w:t>7171</w:t>
      </w:r>
      <w:r w:rsidR="000D392E" w:rsidRPr="0022632F">
        <w:rPr>
          <w:b/>
          <w:bCs/>
        </w:rPr>
        <w:t>/INFOEM/IP/RR/2025</w:t>
      </w:r>
      <w:r w:rsidR="00F17302" w:rsidRPr="0022632F">
        <w:rPr>
          <w:b/>
          <w:bCs/>
        </w:rPr>
        <w:t xml:space="preserve">, 07172/INFOEM/IP/RR/2025, 07173/INFOEM/IP/RR/2025 </w:t>
      </w:r>
      <w:r w:rsidR="00F17302" w:rsidRPr="0022632F">
        <w:rPr>
          <w:bCs/>
        </w:rPr>
        <w:t>y</w:t>
      </w:r>
      <w:r w:rsidR="00F17302" w:rsidRPr="0022632F">
        <w:rPr>
          <w:b/>
          <w:bCs/>
        </w:rPr>
        <w:t xml:space="preserve"> 07174/INFOEM/IP/RR/2025</w:t>
      </w:r>
      <w:r w:rsidRPr="0022632F">
        <w:rPr>
          <w:bCs/>
        </w:rPr>
        <w:t xml:space="preserve">, al medio de impugnación que nos ocupa, con base en el sistema aprobado por el Pleno de este </w:t>
      </w:r>
      <w:r w:rsidR="00B65BCA" w:rsidRPr="0022632F">
        <w:rPr>
          <w:bCs/>
        </w:rPr>
        <w:t>Organismo</w:t>
      </w:r>
      <w:r w:rsidR="00F17302" w:rsidRPr="0022632F">
        <w:rPr>
          <w:bCs/>
        </w:rPr>
        <w:t xml:space="preserve"> Garante y los turnó a los</w:t>
      </w:r>
      <w:r w:rsidRPr="0022632F">
        <w:rPr>
          <w:bCs/>
        </w:rPr>
        <w:t xml:space="preserve"> Comisionado</w:t>
      </w:r>
      <w:r w:rsidR="00F17302" w:rsidRPr="0022632F">
        <w:rPr>
          <w:bCs/>
        </w:rPr>
        <w:t>s</w:t>
      </w:r>
      <w:r w:rsidRPr="0022632F">
        <w:rPr>
          <w:bCs/>
        </w:rPr>
        <w:t xml:space="preserve"> Ponente</w:t>
      </w:r>
      <w:r w:rsidR="00F17302" w:rsidRPr="0022632F">
        <w:rPr>
          <w:bCs/>
        </w:rPr>
        <w:t>s Sharon Cristina Morales Martínez, María del Rosario Mejía Ayala, Guadalupe Ramírez Peña y</w:t>
      </w:r>
      <w:r w:rsidRPr="0022632F">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22632F" w:rsidRDefault="005914EE" w:rsidP="007808E0">
      <w:pPr>
        <w:spacing w:after="0" w:line="360" w:lineRule="auto"/>
        <w:rPr>
          <w:b/>
          <w:bCs/>
        </w:rPr>
      </w:pPr>
    </w:p>
    <w:p w14:paraId="61891480" w14:textId="42FF383D" w:rsidR="00E22EA8" w:rsidRPr="0022632F" w:rsidRDefault="00E22EA8" w:rsidP="007808E0">
      <w:pPr>
        <w:spacing w:after="0" w:line="360" w:lineRule="auto"/>
      </w:pPr>
      <w:r w:rsidRPr="0022632F">
        <w:rPr>
          <w:b/>
          <w:bCs/>
        </w:rPr>
        <w:t>b) Admisión del Recurso de Revisión</w:t>
      </w:r>
      <w:r w:rsidRPr="0022632F">
        <w:rPr>
          <w:b/>
          <w:bCs/>
          <w:lang w:val="es-ES_tradnl"/>
        </w:rPr>
        <w:t xml:space="preserve">. </w:t>
      </w:r>
      <w:r w:rsidR="003C5F59" w:rsidRPr="0022632F">
        <w:t xml:space="preserve">El </w:t>
      </w:r>
      <w:r w:rsidR="00747318" w:rsidRPr="0022632F">
        <w:t>diecisiete</w:t>
      </w:r>
      <w:r w:rsidR="00942FBA" w:rsidRPr="0022632F">
        <w:t xml:space="preserve"> y</w:t>
      </w:r>
      <w:r w:rsidR="00AD2992" w:rsidRPr="0022632F">
        <w:t xml:space="preserve"> diecinueve</w:t>
      </w:r>
      <w:r w:rsidR="0043065C" w:rsidRPr="0022632F">
        <w:t xml:space="preserve"> de junio</w:t>
      </w:r>
      <w:r w:rsidR="00E64E18" w:rsidRPr="0022632F">
        <w:t xml:space="preserve"> de dos mil veinticinco</w:t>
      </w:r>
      <w:r w:rsidRPr="0022632F">
        <w:rPr>
          <w:bCs/>
          <w:lang w:val="es-ES_tradnl"/>
        </w:rPr>
        <w:t xml:space="preserve">, se acordó la admisión del Recurso de Revisión interpuesto por </w:t>
      </w:r>
      <w:r w:rsidR="00261B92" w:rsidRPr="0022632F">
        <w:rPr>
          <w:bCs/>
          <w:lang w:val="es-ES_tradnl"/>
        </w:rPr>
        <w:t>la persona</w:t>
      </w:r>
      <w:r w:rsidRPr="0022632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2632F">
        <w:rPr>
          <w:bCs/>
          <w:lang w:val="es-ES_tradnl"/>
        </w:rPr>
        <w:t>el</w:t>
      </w:r>
      <w:r w:rsidR="00AD2992" w:rsidRPr="0022632F">
        <w:rPr>
          <w:bCs/>
          <w:lang w:val="es-ES_tradnl"/>
        </w:rPr>
        <w:t xml:space="preserve"> diecisiete,</w:t>
      </w:r>
      <w:r w:rsidR="00942FBA" w:rsidRPr="0022632F">
        <w:rPr>
          <w:bCs/>
          <w:lang w:val="es-ES_tradnl"/>
        </w:rPr>
        <w:t xml:space="preserve"> diecinueve y</w:t>
      </w:r>
      <w:r w:rsidR="00AD2992" w:rsidRPr="0022632F">
        <w:rPr>
          <w:bCs/>
          <w:lang w:val="es-ES_tradnl"/>
        </w:rPr>
        <w:t xml:space="preserve"> veinte</w:t>
      </w:r>
      <w:r w:rsidR="00942FBA" w:rsidRPr="0022632F">
        <w:rPr>
          <w:bCs/>
          <w:lang w:val="es-ES_tradnl"/>
        </w:rPr>
        <w:t xml:space="preserve"> del mismo mes y año</w:t>
      </w:r>
      <w:r w:rsidRPr="0022632F">
        <w:rPr>
          <w:bCs/>
          <w:lang w:val="es-ES_tradnl"/>
        </w:rPr>
        <w:t xml:space="preserve">, a </w:t>
      </w:r>
      <w:r w:rsidRPr="0022632F">
        <w:rPr>
          <w:bCs/>
          <w:lang w:val="es-ES_tradnl"/>
        </w:rPr>
        <w:lastRenderedPageBreak/>
        <w:t>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2632F" w:rsidRDefault="00E22EA8" w:rsidP="007808E0">
      <w:pPr>
        <w:spacing w:after="0" w:line="360" w:lineRule="auto"/>
        <w:rPr>
          <w:rFonts w:cs="Tahoma"/>
          <w:lang w:val="es-ES_tradnl"/>
        </w:rPr>
      </w:pPr>
    </w:p>
    <w:p w14:paraId="3F6093C9" w14:textId="77777777" w:rsidR="00E559DA" w:rsidRPr="0022632F" w:rsidRDefault="000410E6" w:rsidP="00747318">
      <w:pPr>
        <w:spacing w:after="0" w:line="360" w:lineRule="auto"/>
      </w:pPr>
      <w:r w:rsidRPr="0022632F">
        <w:rPr>
          <w:b/>
        </w:rPr>
        <w:t>c) Informe Justificado</w:t>
      </w:r>
      <w:r w:rsidR="00747318" w:rsidRPr="0022632F">
        <w:rPr>
          <w:b/>
        </w:rPr>
        <w:t xml:space="preserve">. </w:t>
      </w:r>
      <w:r w:rsidR="00747318" w:rsidRPr="0022632F">
        <w:rPr>
          <w:bCs/>
        </w:rPr>
        <w:t xml:space="preserve">El veintitrés de junio de dos mil veinticinco, </w:t>
      </w:r>
      <w:r w:rsidR="00747318" w:rsidRPr="0022632F">
        <w:t xml:space="preserve">se recibió, a través del Sistema de Acceso a la Información Mexiquense (SAIMEX), el Informe Justificado del </w:t>
      </w:r>
      <w:r w:rsidR="00E559DA" w:rsidRPr="0022632F">
        <w:t>Sujeto Obligado, a través de los documentos siguientes:</w:t>
      </w:r>
    </w:p>
    <w:p w14:paraId="170B5707" w14:textId="77777777" w:rsidR="00E559DA" w:rsidRPr="0022632F" w:rsidRDefault="00E559DA" w:rsidP="00747318">
      <w:pPr>
        <w:spacing w:after="0" w:line="360" w:lineRule="auto"/>
      </w:pPr>
    </w:p>
    <w:tbl>
      <w:tblPr>
        <w:tblStyle w:val="Tablaconcuadrcula"/>
        <w:tblW w:w="0" w:type="auto"/>
        <w:tblLook w:val="04A0" w:firstRow="1" w:lastRow="0" w:firstColumn="1" w:lastColumn="0" w:noHBand="0" w:noVBand="1"/>
      </w:tblPr>
      <w:tblGrid>
        <w:gridCol w:w="2691"/>
        <w:gridCol w:w="6230"/>
      </w:tblGrid>
      <w:tr w:rsidR="00E559DA" w:rsidRPr="0022632F" w14:paraId="1832608F" w14:textId="77777777" w:rsidTr="00E559DA">
        <w:tc>
          <w:tcPr>
            <w:tcW w:w="2691" w:type="dxa"/>
            <w:shd w:val="clear" w:color="auto" w:fill="DDD9C3" w:themeFill="background2" w:themeFillShade="E6"/>
          </w:tcPr>
          <w:p w14:paraId="47282CC4" w14:textId="2049A910" w:rsidR="00E559DA" w:rsidRPr="0022632F" w:rsidRDefault="00E559DA" w:rsidP="00E559DA">
            <w:pPr>
              <w:spacing w:line="360" w:lineRule="auto"/>
              <w:jc w:val="center"/>
              <w:rPr>
                <w:b/>
              </w:rPr>
            </w:pPr>
            <w:r w:rsidRPr="0022632F">
              <w:rPr>
                <w:b/>
              </w:rPr>
              <w:t>Recurso de Revisión</w:t>
            </w:r>
          </w:p>
        </w:tc>
        <w:tc>
          <w:tcPr>
            <w:tcW w:w="6230" w:type="dxa"/>
            <w:shd w:val="clear" w:color="auto" w:fill="DDD9C3" w:themeFill="background2" w:themeFillShade="E6"/>
          </w:tcPr>
          <w:p w14:paraId="6B4A3078" w14:textId="6AE361A1" w:rsidR="00E559DA" w:rsidRPr="0022632F" w:rsidRDefault="00E559DA" w:rsidP="00E559DA">
            <w:pPr>
              <w:spacing w:line="360" w:lineRule="auto"/>
              <w:jc w:val="center"/>
              <w:rPr>
                <w:b/>
              </w:rPr>
            </w:pPr>
            <w:r w:rsidRPr="0022632F">
              <w:rPr>
                <w:b/>
              </w:rPr>
              <w:t>Informe Justificado</w:t>
            </w:r>
          </w:p>
        </w:tc>
      </w:tr>
      <w:tr w:rsidR="00E559DA" w:rsidRPr="0022632F" w14:paraId="1C142210" w14:textId="77777777" w:rsidTr="00E559DA">
        <w:tc>
          <w:tcPr>
            <w:tcW w:w="2691" w:type="dxa"/>
          </w:tcPr>
          <w:p w14:paraId="5FAF1641" w14:textId="42B666AE" w:rsidR="00E559DA" w:rsidRPr="0022632F" w:rsidRDefault="00E559DA" w:rsidP="00747318">
            <w:pPr>
              <w:spacing w:line="360" w:lineRule="auto"/>
              <w:rPr>
                <w:b/>
                <w:i/>
                <w:sz w:val="20"/>
              </w:rPr>
            </w:pPr>
            <w:r w:rsidRPr="0022632F">
              <w:rPr>
                <w:b/>
                <w:i/>
                <w:sz w:val="20"/>
              </w:rPr>
              <w:t>07171/INFOEM/IP/RR/2025</w:t>
            </w:r>
          </w:p>
        </w:tc>
        <w:tc>
          <w:tcPr>
            <w:tcW w:w="6230" w:type="dxa"/>
          </w:tcPr>
          <w:p w14:paraId="727734AE" w14:textId="5BFBBF55" w:rsidR="00E559DA" w:rsidRPr="0022632F" w:rsidRDefault="00E559DA" w:rsidP="00E559DA">
            <w:pPr>
              <w:spacing w:line="360" w:lineRule="auto"/>
              <w:rPr>
                <w:sz w:val="20"/>
              </w:rPr>
            </w:pPr>
            <w:r w:rsidRPr="0022632F">
              <w:rPr>
                <w:sz w:val="20"/>
              </w:rPr>
              <w:t>i. Oficio número UT/ABRO/705/2025, del veintitrés de junio de dos mil veinticinco, suscrito por la Titular de la Unidad de Transparencia y dirigido al Comisionado Ponente, por medio del cual mencionó lo siguiente:</w:t>
            </w:r>
          </w:p>
          <w:p w14:paraId="622CE2E2" w14:textId="77777777" w:rsidR="00E559DA" w:rsidRPr="0022632F" w:rsidRDefault="00E559DA" w:rsidP="00E559DA">
            <w:pPr>
              <w:spacing w:line="360" w:lineRule="auto"/>
              <w:rPr>
                <w:sz w:val="20"/>
              </w:rPr>
            </w:pPr>
          </w:p>
          <w:p w14:paraId="6F08D2B0" w14:textId="66CD9C2E" w:rsidR="00E559DA" w:rsidRPr="0022632F" w:rsidRDefault="00E559DA" w:rsidP="00B62EE3">
            <w:pPr>
              <w:spacing w:line="360" w:lineRule="auto"/>
              <w:rPr>
                <w:i/>
                <w:sz w:val="20"/>
              </w:rPr>
            </w:pPr>
            <w:r w:rsidRPr="0022632F">
              <w:rPr>
                <w:i/>
                <w:sz w:val="20"/>
              </w:rPr>
              <w:t>“…se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w:t>
            </w:r>
            <w:r w:rsidR="00B62EE3" w:rsidRPr="0022632F">
              <w:rPr>
                <w:i/>
                <w:sz w:val="20"/>
              </w:rPr>
              <w:t>ior de la Presidencia Municipal, Avenida Dolores sin número, Barrio Tlatilco, municipio de Teoloyucan, Estado de México concretamente en las oficinas de la Unidad de Transparencia donde podrá acudir en un horario de Lunes a Viernes de  9:00 a 18:00 horas.</w:t>
            </w:r>
          </w:p>
          <w:p w14:paraId="5AF5A051" w14:textId="40879AEE" w:rsidR="00E559DA" w:rsidRPr="0022632F" w:rsidRDefault="00E559DA" w:rsidP="00E559DA">
            <w:pPr>
              <w:spacing w:line="360" w:lineRule="auto"/>
              <w:rPr>
                <w:sz w:val="20"/>
              </w:rPr>
            </w:pPr>
            <w:r w:rsidRPr="0022632F">
              <w:rPr>
                <w:i/>
                <w:sz w:val="20"/>
              </w:rPr>
              <w:t>…”</w:t>
            </w:r>
          </w:p>
        </w:tc>
      </w:tr>
      <w:tr w:rsidR="00E559DA" w:rsidRPr="0022632F" w14:paraId="3B8EFAE8" w14:textId="77777777" w:rsidTr="00E559DA">
        <w:tc>
          <w:tcPr>
            <w:tcW w:w="2691" w:type="dxa"/>
          </w:tcPr>
          <w:p w14:paraId="4B6B8319" w14:textId="279B11BF" w:rsidR="00E559DA" w:rsidRPr="0022632F" w:rsidRDefault="00E559DA" w:rsidP="00747318">
            <w:pPr>
              <w:spacing w:line="360" w:lineRule="auto"/>
              <w:rPr>
                <w:b/>
                <w:i/>
                <w:sz w:val="20"/>
              </w:rPr>
            </w:pPr>
            <w:r w:rsidRPr="0022632F">
              <w:rPr>
                <w:b/>
                <w:i/>
                <w:sz w:val="20"/>
              </w:rPr>
              <w:lastRenderedPageBreak/>
              <w:t>07172/INFOEM/IP/RR/2025</w:t>
            </w:r>
          </w:p>
        </w:tc>
        <w:tc>
          <w:tcPr>
            <w:tcW w:w="6230" w:type="dxa"/>
          </w:tcPr>
          <w:p w14:paraId="1C61205F" w14:textId="77777777" w:rsidR="00B62EE3" w:rsidRPr="0022632F" w:rsidRDefault="00B62EE3" w:rsidP="00B62EE3">
            <w:pPr>
              <w:spacing w:line="360" w:lineRule="auto"/>
              <w:rPr>
                <w:sz w:val="20"/>
              </w:rPr>
            </w:pPr>
            <w:r w:rsidRPr="0022632F">
              <w:rPr>
                <w:sz w:val="20"/>
              </w:rPr>
              <w:t>i. Oficio número UT/ABRO/705/2025, del veintitrés de junio de dos mil veinticinco, suscrito por la Titular de la Unidad de Transparencia y dirigido al Comisionado Ponente, por medio del cual mencionó lo siguiente:</w:t>
            </w:r>
          </w:p>
          <w:p w14:paraId="5523AF28" w14:textId="77777777" w:rsidR="00B62EE3" w:rsidRPr="0022632F" w:rsidRDefault="00B62EE3" w:rsidP="00B62EE3">
            <w:pPr>
              <w:spacing w:line="360" w:lineRule="auto"/>
              <w:rPr>
                <w:sz w:val="20"/>
              </w:rPr>
            </w:pPr>
          </w:p>
          <w:p w14:paraId="550378C8" w14:textId="5A844102" w:rsidR="00B62EE3" w:rsidRPr="0022632F" w:rsidRDefault="00B62EE3" w:rsidP="00B62EE3">
            <w:pPr>
              <w:spacing w:line="360" w:lineRule="auto"/>
              <w:rPr>
                <w:i/>
                <w:sz w:val="20"/>
              </w:rPr>
            </w:pPr>
            <w:r w:rsidRPr="0022632F">
              <w:rPr>
                <w:i/>
                <w:sz w:val="20"/>
              </w:rPr>
              <w:t>“…se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w:t>
            </w:r>
            <w:r w:rsidR="00B05AC6" w:rsidRPr="0022632F">
              <w:rPr>
                <w:i/>
                <w:sz w:val="20"/>
              </w:rPr>
              <w:t>ior de la Presidencia Municipal…</w:t>
            </w:r>
          </w:p>
          <w:p w14:paraId="76913444" w14:textId="013D760A" w:rsidR="00E559DA" w:rsidRPr="0022632F" w:rsidRDefault="00B62EE3" w:rsidP="00B62EE3">
            <w:pPr>
              <w:spacing w:line="360" w:lineRule="auto"/>
              <w:rPr>
                <w:sz w:val="20"/>
              </w:rPr>
            </w:pPr>
            <w:r w:rsidRPr="0022632F">
              <w:rPr>
                <w:i/>
                <w:sz w:val="20"/>
              </w:rPr>
              <w:t>…”</w:t>
            </w:r>
          </w:p>
        </w:tc>
      </w:tr>
      <w:tr w:rsidR="00E559DA" w:rsidRPr="0022632F" w14:paraId="6B152DEB" w14:textId="77777777" w:rsidTr="00E559DA">
        <w:tc>
          <w:tcPr>
            <w:tcW w:w="2691" w:type="dxa"/>
          </w:tcPr>
          <w:p w14:paraId="773C66D3" w14:textId="0D73559F" w:rsidR="00E559DA" w:rsidRPr="0022632F" w:rsidRDefault="00E559DA" w:rsidP="00747318">
            <w:pPr>
              <w:spacing w:line="360" w:lineRule="auto"/>
              <w:rPr>
                <w:b/>
                <w:i/>
                <w:sz w:val="20"/>
              </w:rPr>
            </w:pPr>
            <w:r w:rsidRPr="0022632F">
              <w:rPr>
                <w:b/>
                <w:i/>
                <w:sz w:val="20"/>
              </w:rPr>
              <w:t>07173/INFOEM/IP/RR/2025</w:t>
            </w:r>
          </w:p>
        </w:tc>
        <w:tc>
          <w:tcPr>
            <w:tcW w:w="6230" w:type="dxa"/>
          </w:tcPr>
          <w:p w14:paraId="359A1237" w14:textId="77777777" w:rsidR="00942FBA" w:rsidRPr="0022632F" w:rsidRDefault="00942FBA" w:rsidP="00942FBA">
            <w:pPr>
              <w:spacing w:line="360" w:lineRule="auto"/>
              <w:rPr>
                <w:sz w:val="20"/>
              </w:rPr>
            </w:pPr>
            <w:r w:rsidRPr="0022632F">
              <w:rPr>
                <w:sz w:val="20"/>
              </w:rPr>
              <w:t>i. Oficio número UT/ABRO/705/2025, del veintitrés de junio de dos mil veinticinco, suscrito por la Titular de la Unidad de Transparencia y dirigido al Comisionado Ponente, por medio del cual mencionó lo siguiente:</w:t>
            </w:r>
          </w:p>
          <w:p w14:paraId="72B9A111" w14:textId="77777777" w:rsidR="00942FBA" w:rsidRPr="0022632F" w:rsidRDefault="00942FBA" w:rsidP="00942FBA">
            <w:pPr>
              <w:spacing w:line="360" w:lineRule="auto"/>
              <w:rPr>
                <w:sz w:val="20"/>
              </w:rPr>
            </w:pPr>
          </w:p>
          <w:p w14:paraId="56650841" w14:textId="77777777" w:rsidR="00942FBA" w:rsidRPr="0022632F" w:rsidRDefault="00942FBA" w:rsidP="00942FBA">
            <w:pPr>
              <w:spacing w:line="360" w:lineRule="auto"/>
              <w:rPr>
                <w:i/>
                <w:sz w:val="20"/>
              </w:rPr>
            </w:pPr>
            <w:r w:rsidRPr="0022632F">
              <w:rPr>
                <w:i/>
                <w:sz w:val="20"/>
              </w:rPr>
              <w:t xml:space="preserve">“…se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se solicita que se autorice el cambio de modalidad en la entrega de la información y en ese sentido, de resultar procedente se pone a disposición del solicitante en versión pública la información solicitada para que pueda consultarla de manera presencial </w:t>
            </w:r>
            <w:r w:rsidRPr="0022632F">
              <w:rPr>
                <w:i/>
                <w:sz w:val="20"/>
              </w:rPr>
              <w:lastRenderedPageBreak/>
              <w:t>en las oficinas de la dependencia ubicadas en el interior de la Presidencia Municipal, Avenida Dolores sin número, Barrio Tlatilco, municipio de Teoloyucan, Estado de México concretamente en las oficinas de la Unidad de Transparencia donde podrá acudir en un horario de Lunes a Viernes de  9:00 a 18:00 horas.</w:t>
            </w:r>
          </w:p>
          <w:p w14:paraId="6341B6F8" w14:textId="7CFA81D9" w:rsidR="00E559DA" w:rsidRPr="0022632F" w:rsidRDefault="00942FBA" w:rsidP="00942FBA">
            <w:pPr>
              <w:spacing w:line="360" w:lineRule="auto"/>
              <w:rPr>
                <w:sz w:val="20"/>
              </w:rPr>
            </w:pPr>
            <w:r w:rsidRPr="0022632F">
              <w:rPr>
                <w:i/>
                <w:sz w:val="20"/>
              </w:rPr>
              <w:t>…”</w:t>
            </w:r>
          </w:p>
        </w:tc>
      </w:tr>
      <w:tr w:rsidR="00E559DA" w:rsidRPr="0022632F" w14:paraId="2BCE7D74" w14:textId="77777777" w:rsidTr="00E559DA">
        <w:tc>
          <w:tcPr>
            <w:tcW w:w="2691" w:type="dxa"/>
          </w:tcPr>
          <w:p w14:paraId="268F8ACE" w14:textId="6A348D29" w:rsidR="00E559DA" w:rsidRPr="0022632F" w:rsidRDefault="00E559DA" w:rsidP="00747318">
            <w:pPr>
              <w:spacing w:line="360" w:lineRule="auto"/>
              <w:rPr>
                <w:b/>
                <w:i/>
                <w:sz w:val="20"/>
              </w:rPr>
            </w:pPr>
            <w:r w:rsidRPr="0022632F">
              <w:rPr>
                <w:b/>
                <w:i/>
                <w:sz w:val="20"/>
              </w:rPr>
              <w:lastRenderedPageBreak/>
              <w:t>07174/INFOEM/IP/RR/2025</w:t>
            </w:r>
          </w:p>
        </w:tc>
        <w:tc>
          <w:tcPr>
            <w:tcW w:w="6230" w:type="dxa"/>
          </w:tcPr>
          <w:p w14:paraId="5A49C113" w14:textId="77777777" w:rsidR="009D3E7F" w:rsidRPr="0022632F" w:rsidRDefault="009D3E7F" w:rsidP="009D3E7F">
            <w:pPr>
              <w:spacing w:line="360" w:lineRule="auto"/>
              <w:rPr>
                <w:sz w:val="20"/>
              </w:rPr>
            </w:pPr>
            <w:r w:rsidRPr="0022632F">
              <w:rPr>
                <w:sz w:val="20"/>
              </w:rPr>
              <w:t>i. Oficio número UT/ABRO/705/2025, del veintitrés de junio de dos mil veinticinco, suscrito por la Titular de la Unidad de Transparencia y dirigido al Comisionado Ponente, por medio del cual mencionó lo siguiente:</w:t>
            </w:r>
          </w:p>
          <w:p w14:paraId="5A80CE8B" w14:textId="77777777" w:rsidR="009D3E7F" w:rsidRPr="0022632F" w:rsidRDefault="009D3E7F" w:rsidP="009D3E7F">
            <w:pPr>
              <w:spacing w:line="360" w:lineRule="auto"/>
              <w:rPr>
                <w:sz w:val="20"/>
              </w:rPr>
            </w:pPr>
          </w:p>
          <w:p w14:paraId="1A807FC4" w14:textId="77777777" w:rsidR="009D3E7F" w:rsidRPr="0022632F" w:rsidRDefault="009D3E7F" w:rsidP="009D3E7F">
            <w:pPr>
              <w:spacing w:line="360" w:lineRule="auto"/>
              <w:rPr>
                <w:i/>
                <w:sz w:val="20"/>
              </w:rPr>
            </w:pPr>
            <w:r w:rsidRPr="0022632F">
              <w:rPr>
                <w:i/>
                <w:sz w:val="20"/>
              </w:rPr>
              <w:t>“…se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Avenida Dolores sin número, Barrio Tlatilco, municipio de Teoloyucan, Estado de México concretamente en las oficinas de la Unidad de Transparencia donde podrá acudir en un horario de Lunes a Viernes de  9:00 a 18:00 horas.</w:t>
            </w:r>
          </w:p>
          <w:p w14:paraId="6BCCD32E" w14:textId="4EB250CD" w:rsidR="00E559DA" w:rsidRPr="0022632F" w:rsidRDefault="009D3E7F" w:rsidP="009D3E7F">
            <w:pPr>
              <w:spacing w:line="360" w:lineRule="auto"/>
              <w:rPr>
                <w:sz w:val="20"/>
              </w:rPr>
            </w:pPr>
            <w:r w:rsidRPr="0022632F">
              <w:rPr>
                <w:i/>
                <w:sz w:val="20"/>
              </w:rPr>
              <w:t>…”</w:t>
            </w:r>
          </w:p>
        </w:tc>
      </w:tr>
    </w:tbl>
    <w:p w14:paraId="2FBA1A3B" w14:textId="77777777" w:rsidR="00747318" w:rsidRPr="0022632F" w:rsidRDefault="00747318" w:rsidP="00747318">
      <w:pPr>
        <w:spacing w:after="0" w:line="360" w:lineRule="auto"/>
      </w:pPr>
    </w:p>
    <w:p w14:paraId="0C728AAB" w14:textId="73BC3F19" w:rsidR="00747318" w:rsidRPr="0022632F" w:rsidRDefault="00747318" w:rsidP="007808E0">
      <w:pPr>
        <w:spacing w:after="0" w:line="360" w:lineRule="auto"/>
        <w:rPr>
          <w:rFonts w:cs="Tahoma"/>
          <w:bCs/>
          <w:i/>
          <w:lang w:val="es-ES"/>
        </w:rPr>
      </w:pPr>
      <w:r w:rsidRPr="0022632F">
        <w:rPr>
          <w:b/>
        </w:rPr>
        <w:t>d) Vista del Informe Justificado.</w:t>
      </w:r>
      <w:r w:rsidRPr="0022632F">
        <w:t xml:space="preserve"> El diecinueve de agosto de dos mil veinticinco, se dictó acuerdo mediante el cual se puso a la vista del Particular el Informe Justificado, entregado por el Sujeto Obligado, así como los documentos adjuntos, el cual fue notificado a las partes, </w:t>
      </w:r>
      <w:r w:rsidRPr="0022632F">
        <w:lastRenderedPageBreak/>
        <w:t>a través del Sistema de Acceso a la Información Mexiquense (SAIMEX). Cabe señalar que el Particular fue omiso en realizar manifestación alguna.</w:t>
      </w:r>
    </w:p>
    <w:p w14:paraId="3C0E5EC8" w14:textId="77777777" w:rsidR="00B37A6D" w:rsidRPr="0022632F" w:rsidRDefault="00B37A6D" w:rsidP="007808E0">
      <w:pPr>
        <w:spacing w:after="0" w:line="360" w:lineRule="auto"/>
        <w:rPr>
          <w:b/>
          <w:color w:val="000000"/>
        </w:rPr>
      </w:pPr>
      <w:bookmarkStart w:id="7" w:name="_Hlk182976945"/>
    </w:p>
    <w:p w14:paraId="0C0B5A6C" w14:textId="4E5A726C" w:rsidR="00745BEA" w:rsidRPr="0022632F" w:rsidRDefault="00745BEA" w:rsidP="007808E0">
      <w:pPr>
        <w:spacing w:after="0" w:line="360" w:lineRule="auto"/>
        <w:rPr>
          <w:color w:val="000000"/>
        </w:rPr>
      </w:pPr>
      <w:r w:rsidRPr="0022632F">
        <w:rPr>
          <w:b/>
          <w:color w:val="000000"/>
        </w:rPr>
        <w:t xml:space="preserve">e) Acumulación de los asuntos. </w:t>
      </w:r>
      <w:r w:rsidRPr="0022632F">
        <w:rPr>
          <w:color w:val="000000"/>
        </w:rPr>
        <w:t xml:space="preserve">El diecinueve de agosto de dos mil veinticinco, el Pleno del Instituto de Transparencia, Acceso a la Información Pública y Protección de Datos Personales del Estado de México y Municipios, durante la Vigésima Sexta Sesión Ordinaria, celebrada el dieciséis de julio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 los Recursos de Revisión </w:t>
      </w:r>
      <w:r w:rsidRPr="0022632F">
        <w:rPr>
          <w:b/>
          <w:color w:val="000000"/>
        </w:rPr>
        <w:t>07172/INFOEM/IP/RR/2025, 07173/INFOEM/IP/RR/2025 y 07174/INFOEM/IP/RR/2025</w:t>
      </w:r>
      <w:r w:rsidRPr="0022632F">
        <w:rPr>
          <w:color w:val="000000"/>
        </w:rPr>
        <w:t xml:space="preserve">, al diverso </w:t>
      </w:r>
      <w:r w:rsidRPr="0022632F">
        <w:rPr>
          <w:b/>
          <w:color w:val="000000"/>
        </w:rPr>
        <w:t>07171/INFOEM/IP/RR/2025</w:t>
      </w:r>
      <w:r w:rsidRPr="0022632F">
        <w:rPr>
          <w:color w:val="000000"/>
        </w:rPr>
        <w:t>, por ser este último el más antiguo, sustanciado bajo el índice de esta Ponencia.</w:t>
      </w:r>
    </w:p>
    <w:p w14:paraId="7EE48AAC" w14:textId="77777777" w:rsidR="00745BEA" w:rsidRPr="0022632F" w:rsidRDefault="00745BEA" w:rsidP="007808E0">
      <w:pPr>
        <w:spacing w:after="0" w:line="360" w:lineRule="auto"/>
        <w:rPr>
          <w:color w:val="000000"/>
        </w:rPr>
      </w:pPr>
    </w:p>
    <w:p w14:paraId="0E56F2A7" w14:textId="3965A61F" w:rsidR="00B37A6D" w:rsidRPr="0022632F" w:rsidRDefault="00745BEA" w:rsidP="007808E0">
      <w:pPr>
        <w:spacing w:after="0" w:line="360" w:lineRule="auto"/>
        <w:rPr>
          <w:b/>
          <w:color w:val="000000"/>
        </w:rPr>
      </w:pPr>
      <w:r w:rsidRPr="0022632F">
        <w:rPr>
          <w:b/>
          <w:color w:val="000000"/>
        </w:rPr>
        <w:t>f</w:t>
      </w:r>
      <w:r w:rsidR="00B37A6D" w:rsidRPr="0022632F">
        <w:rPr>
          <w:b/>
          <w:color w:val="000000"/>
        </w:rPr>
        <w:t xml:space="preserve">) Ampliación de plazo para resolver. </w:t>
      </w:r>
      <w:r w:rsidR="00B37A6D" w:rsidRPr="0022632F">
        <w:rPr>
          <w:color w:val="000000"/>
        </w:rPr>
        <w:t xml:space="preserve">El </w:t>
      </w:r>
      <w:r w:rsidR="00794B3F" w:rsidRPr="0022632F">
        <w:rPr>
          <w:color w:val="000000"/>
        </w:rPr>
        <w:t>die</w:t>
      </w:r>
      <w:r w:rsidR="00747318" w:rsidRPr="0022632F">
        <w:rPr>
          <w:color w:val="000000"/>
        </w:rPr>
        <w:t>cinueve de agosto</w:t>
      </w:r>
      <w:r w:rsidR="00B37A6D" w:rsidRPr="0022632F">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6EFC71EC" w14:textId="77777777" w:rsidR="003C5FE0" w:rsidRPr="0022632F" w:rsidRDefault="003C5FE0" w:rsidP="007808E0">
      <w:pPr>
        <w:spacing w:after="0" w:line="360" w:lineRule="auto"/>
        <w:rPr>
          <w:b/>
          <w:color w:val="000000"/>
        </w:rPr>
      </w:pPr>
    </w:p>
    <w:p w14:paraId="1220E37C" w14:textId="5320158C" w:rsidR="003C5FE0" w:rsidRPr="0022632F" w:rsidRDefault="00745BEA" w:rsidP="007808E0">
      <w:pPr>
        <w:spacing w:after="0" w:line="360" w:lineRule="auto"/>
        <w:contextualSpacing/>
      </w:pPr>
      <w:r w:rsidRPr="0022632F">
        <w:rPr>
          <w:rFonts w:eastAsia="Batang" w:cs="Tahoma"/>
          <w:b/>
        </w:rPr>
        <w:t>g</w:t>
      </w:r>
      <w:r w:rsidR="003C5FE0" w:rsidRPr="0022632F">
        <w:rPr>
          <w:rFonts w:eastAsia="Batang" w:cs="Tahoma"/>
          <w:b/>
        </w:rPr>
        <w:t xml:space="preserve">) </w:t>
      </w:r>
      <w:r w:rsidR="00002B20" w:rsidRPr="0022632F">
        <w:rPr>
          <w:rFonts w:eastAsia="Times New Roman" w:cs="Tahoma"/>
          <w:b/>
          <w:szCs w:val="24"/>
          <w:lang w:eastAsia="es-ES"/>
        </w:rPr>
        <w:t>Cierre de instrucción.</w:t>
      </w:r>
      <w:r w:rsidR="00C06C06" w:rsidRPr="0022632F">
        <w:rPr>
          <w:rFonts w:eastAsia="Times New Roman" w:cs="Tahoma"/>
          <w:szCs w:val="24"/>
          <w:lang w:eastAsia="es-ES"/>
        </w:rPr>
        <w:t xml:space="preserve"> El </w:t>
      </w:r>
      <w:r w:rsidR="0022632F">
        <w:rPr>
          <w:rFonts w:eastAsia="Times New Roman" w:cs="Tahoma"/>
          <w:szCs w:val="24"/>
          <w:lang w:eastAsia="es-ES"/>
        </w:rPr>
        <w:t>veintiocho</w:t>
      </w:r>
      <w:r w:rsidR="00747318" w:rsidRPr="0022632F">
        <w:rPr>
          <w:rFonts w:eastAsia="Times New Roman" w:cs="Tahoma"/>
          <w:szCs w:val="24"/>
          <w:lang w:eastAsia="es-ES"/>
        </w:rPr>
        <w:t xml:space="preserve"> de agosto</w:t>
      </w:r>
      <w:r w:rsidR="00002B20" w:rsidRPr="0022632F">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w:t>
      </w:r>
      <w:r w:rsidR="00002B20" w:rsidRPr="0022632F">
        <w:rPr>
          <w:rFonts w:eastAsia="Times New Roman" w:cs="Tahoma"/>
          <w:szCs w:val="24"/>
          <w:lang w:eastAsia="es-ES"/>
        </w:rPr>
        <w:lastRenderedPageBreak/>
        <w:t xml:space="preserve">dispuesto en los artículos 185, fracciones VI y VIII, de la Ley de Transparencia y Acceso a la Información Pública del Estado de México y Municipios, </w:t>
      </w:r>
      <w:r w:rsidR="00002B20" w:rsidRPr="0022632F">
        <w:rPr>
          <w:lang w:val="es-ES"/>
        </w:rPr>
        <w:t>acto que fue notificado a las partes, mediante el Sistema de Acceso a la Información Mexiquense (SAIMEX), el mismo día.</w:t>
      </w:r>
    </w:p>
    <w:bookmarkEnd w:id="7"/>
    <w:p w14:paraId="08D98E1D" w14:textId="77777777" w:rsidR="000410E6" w:rsidRPr="0022632F" w:rsidRDefault="000410E6" w:rsidP="007808E0">
      <w:pPr>
        <w:spacing w:after="0" w:line="360" w:lineRule="auto"/>
        <w:rPr>
          <w:b/>
          <w:bCs/>
          <w:lang w:val="es-ES"/>
        </w:rPr>
      </w:pPr>
    </w:p>
    <w:p w14:paraId="1D2DAFCD" w14:textId="77777777" w:rsidR="000410E6" w:rsidRPr="0022632F" w:rsidRDefault="000410E6" w:rsidP="007808E0">
      <w:pPr>
        <w:spacing w:after="0" w:line="360" w:lineRule="auto"/>
        <w:rPr>
          <w:color w:val="000000"/>
        </w:rPr>
      </w:pPr>
      <w:r w:rsidRPr="0022632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2632F" w:rsidRDefault="00674DAF" w:rsidP="007808E0">
      <w:pPr>
        <w:spacing w:after="0" w:line="360" w:lineRule="auto"/>
        <w:rPr>
          <w:color w:val="000000"/>
        </w:rPr>
      </w:pPr>
    </w:p>
    <w:p w14:paraId="250F6589" w14:textId="3F880C72" w:rsidR="005C690F" w:rsidRPr="0022632F" w:rsidRDefault="00CD6238" w:rsidP="007808E0">
      <w:pPr>
        <w:pStyle w:val="Ttulo1"/>
        <w:spacing w:before="0" w:after="0" w:line="360" w:lineRule="auto"/>
        <w:jc w:val="center"/>
        <w:rPr>
          <w:sz w:val="22"/>
          <w:szCs w:val="22"/>
        </w:rPr>
      </w:pPr>
      <w:bookmarkStart w:id="8" w:name="_Toc207292038"/>
      <w:r w:rsidRPr="0022632F">
        <w:rPr>
          <w:sz w:val="22"/>
          <w:szCs w:val="22"/>
        </w:rPr>
        <w:t>C O N S I D E R A N D O S</w:t>
      </w:r>
      <w:bookmarkEnd w:id="8"/>
    </w:p>
    <w:p w14:paraId="5AB6ED71" w14:textId="77777777" w:rsidR="005C690F" w:rsidRPr="0022632F" w:rsidRDefault="005C690F" w:rsidP="007808E0">
      <w:pPr>
        <w:spacing w:after="0" w:line="360" w:lineRule="auto"/>
        <w:jc w:val="center"/>
        <w:rPr>
          <w:b/>
          <w:color w:val="000000"/>
        </w:rPr>
      </w:pPr>
    </w:p>
    <w:p w14:paraId="36BFFC7E" w14:textId="2F0F17EA" w:rsidR="005C690F" w:rsidRPr="0022632F" w:rsidRDefault="007D6307" w:rsidP="007808E0">
      <w:pPr>
        <w:pStyle w:val="Ttulo2"/>
        <w:spacing w:before="0" w:after="0" w:line="360" w:lineRule="auto"/>
        <w:rPr>
          <w:sz w:val="22"/>
          <w:szCs w:val="22"/>
        </w:rPr>
      </w:pPr>
      <w:bookmarkStart w:id="9" w:name="_Toc207292039"/>
      <w:r w:rsidRPr="0022632F">
        <w:rPr>
          <w:sz w:val="22"/>
          <w:szCs w:val="22"/>
        </w:rPr>
        <w:t xml:space="preserve">PRIMERO. </w:t>
      </w:r>
      <w:r w:rsidR="00CD6238" w:rsidRPr="0022632F">
        <w:rPr>
          <w:sz w:val="22"/>
          <w:szCs w:val="22"/>
        </w:rPr>
        <w:t>Competencia</w:t>
      </w:r>
      <w:bookmarkEnd w:id="9"/>
    </w:p>
    <w:p w14:paraId="34E42005" w14:textId="77777777" w:rsidR="0084143D" w:rsidRPr="0022632F" w:rsidRDefault="0084143D" w:rsidP="007808E0">
      <w:pPr>
        <w:spacing w:after="0" w:line="360" w:lineRule="auto"/>
        <w:contextualSpacing/>
        <w:rPr>
          <w:rFonts w:eastAsia="Times New Roman" w:cs="Tahoma"/>
          <w:bCs/>
          <w:lang w:eastAsia="es-ES"/>
        </w:rPr>
      </w:pPr>
      <w:bookmarkStart w:id="10" w:name="_heading=h.30j0zll" w:colFirst="0" w:colLast="0"/>
      <w:bookmarkEnd w:id="10"/>
    </w:p>
    <w:p w14:paraId="7B44FF8F" w14:textId="05ABBC8A" w:rsidR="00A576F9" w:rsidRPr="0022632F" w:rsidRDefault="00A576F9" w:rsidP="007808E0">
      <w:pPr>
        <w:spacing w:after="0" w:line="360" w:lineRule="auto"/>
        <w:contextualSpacing/>
        <w:rPr>
          <w:rFonts w:eastAsia="Times New Roman" w:cs="Tahoma"/>
          <w:bCs/>
          <w:lang w:eastAsia="es-ES"/>
        </w:rPr>
      </w:pPr>
      <w:r w:rsidRPr="0022632F">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0B2A1D" w:rsidRPr="0022632F">
        <w:rPr>
          <w:rFonts w:eastAsia="Times New Roman" w:cs="Tahoma"/>
          <w:bCs/>
          <w:lang w:eastAsia="es-ES"/>
        </w:rPr>
        <w:t>, cuadragésimo y cuadragésimo primero</w:t>
      </w:r>
      <w:r w:rsidRPr="0022632F">
        <w:rPr>
          <w:rFonts w:eastAsia="Times New Roman" w:cs="Tahoma"/>
          <w:bCs/>
          <w:lang w:eastAsia="es-ES"/>
        </w:rPr>
        <w:t>, fracciones I, II, III, IV y V de la Constitución Política del Estado Libre y Soberano de México;</w:t>
      </w:r>
    </w:p>
    <w:p w14:paraId="6DB5C24B" w14:textId="210CF7E7" w:rsidR="00A576F9" w:rsidRPr="0022632F" w:rsidRDefault="00A576F9" w:rsidP="007808E0">
      <w:pPr>
        <w:spacing w:after="0" w:line="360" w:lineRule="auto"/>
        <w:contextualSpacing/>
        <w:rPr>
          <w:rFonts w:eastAsia="Times New Roman" w:cs="Tahoma"/>
          <w:bCs/>
          <w:lang w:eastAsia="es-ES"/>
        </w:rPr>
      </w:pPr>
      <w:r w:rsidRPr="0022632F">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22632F" w:rsidRDefault="005C690F" w:rsidP="007808E0">
      <w:pPr>
        <w:spacing w:after="0" w:line="360" w:lineRule="auto"/>
        <w:rPr>
          <w:b/>
          <w:color w:val="000000"/>
        </w:rPr>
      </w:pPr>
    </w:p>
    <w:p w14:paraId="46691DD5" w14:textId="4C1C70AD" w:rsidR="005C690F" w:rsidRPr="0022632F" w:rsidRDefault="007D6307" w:rsidP="007808E0">
      <w:pPr>
        <w:pStyle w:val="Ttulo2"/>
        <w:spacing w:before="0" w:after="0" w:line="360" w:lineRule="auto"/>
        <w:rPr>
          <w:sz w:val="22"/>
          <w:szCs w:val="22"/>
        </w:rPr>
      </w:pPr>
      <w:bookmarkStart w:id="11" w:name="_Toc207292040"/>
      <w:r w:rsidRPr="0022632F">
        <w:rPr>
          <w:sz w:val="22"/>
          <w:szCs w:val="22"/>
        </w:rPr>
        <w:t>SEGUNDO. Causales de</w:t>
      </w:r>
      <w:r w:rsidR="00CD6238" w:rsidRPr="0022632F">
        <w:rPr>
          <w:sz w:val="22"/>
          <w:szCs w:val="22"/>
        </w:rPr>
        <w:t xml:space="preserve"> improcedencia y sobreseimiento</w:t>
      </w:r>
      <w:bookmarkEnd w:id="11"/>
    </w:p>
    <w:p w14:paraId="49AA4CDE" w14:textId="77777777" w:rsidR="005C690F" w:rsidRPr="0022632F" w:rsidRDefault="005C690F" w:rsidP="007808E0">
      <w:pPr>
        <w:spacing w:after="0" w:line="360" w:lineRule="auto"/>
        <w:rPr>
          <w:color w:val="000000"/>
        </w:rPr>
      </w:pPr>
    </w:p>
    <w:p w14:paraId="2553CE58" w14:textId="77777777" w:rsidR="005C690F" w:rsidRPr="0022632F" w:rsidRDefault="007D6307" w:rsidP="007808E0">
      <w:pPr>
        <w:spacing w:after="0" w:line="360" w:lineRule="auto"/>
        <w:rPr>
          <w:color w:val="000000"/>
        </w:rPr>
      </w:pPr>
      <w:r w:rsidRPr="0022632F">
        <w:rPr>
          <w:color w:val="000000"/>
        </w:rPr>
        <w:lastRenderedPageBreak/>
        <w:t xml:space="preserve">De las constancias que forma parte del Recurso de Revisión que se analiza, se advierte que previo al estudio del fondo de la </w:t>
      </w:r>
      <w:r w:rsidRPr="0022632F">
        <w:rPr>
          <w:i/>
          <w:color w:val="000000"/>
        </w:rPr>
        <w:t>litis</w:t>
      </w:r>
      <w:r w:rsidRPr="0022632F">
        <w:rPr>
          <w:color w:val="000000"/>
        </w:rPr>
        <w:t>, es necesario estudiar las causales de improcedencia y sobreseimiento que se adviertan, para determinar lo que en Derecho proceda.</w:t>
      </w:r>
    </w:p>
    <w:p w14:paraId="35A30074" w14:textId="77777777" w:rsidR="009B2DAB" w:rsidRPr="0022632F" w:rsidRDefault="009B2DAB" w:rsidP="007808E0">
      <w:pPr>
        <w:spacing w:after="0" w:line="360" w:lineRule="auto"/>
        <w:rPr>
          <w:color w:val="000000"/>
        </w:rPr>
      </w:pPr>
    </w:p>
    <w:p w14:paraId="3066DF0C" w14:textId="77777777" w:rsidR="005C690F" w:rsidRPr="0022632F" w:rsidRDefault="007D6307" w:rsidP="007808E0">
      <w:pPr>
        <w:spacing w:after="0" w:line="360" w:lineRule="auto"/>
        <w:rPr>
          <w:b/>
        </w:rPr>
      </w:pPr>
      <w:r w:rsidRPr="0022632F">
        <w:rPr>
          <w:b/>
        </w:rPr>
        <w:t>Causales de improcedencia</w:t>
      </w:r>
    </w:p>
    <w:p w14:paraId="706394D4" w14:textId="77777777" w:rsidR="00304DE6" w:rsidRPr="0022632F" w:rsidRDefault="00304DE6" w:rsidP="007808E0">
      <w:pPr>
        <w:spacing w:after="0" w:line="360" w:lineRule="auto"/>
        <w:rPr>
          <w:b/>
        </w:rPr>
      </w:pPr>
    </w:p>
    <w:p w14:paraId="6C56CA88" w14:textId="77777777" w:rsidR="005C690F" w:rsidRPr="0022632F" w:rsidRDefault="007D6307" w:rsidP="007808E0">
      <w:pPr>
        <w:spacing w:after="0" w:line="360" w:lineRule="auto"/>
        <w:rPr>
          <w:color w:val="000000"/>
        </w:rPr>
      </w:pPr>
      <w:r w:rsidRPr="0022632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2632F" w:rsidRDefault="005C690F" w:rsidP="007808E0">
      <w:pPr>
        <w:spacing w:after="0" w:line="360" w:lineRule="auto"/>
        <w:rPr>
          <w:color w:val="000000"/>
        </w:rPr>
      </w:pPr>
    </w:p>
    <w:p w14:paraId="22563DDB" w14:textId="33D3D011" w:rsidR="008D3B3F" w:rsidRPr="0022632F" w:rsidRDefault="007D6307" w:rsidP="007808E0">
      <w:pPr>
        <w:spacing w:after="0" w:line="360" w:lineRule="auto"/>
        <w:rPr>
          <w:color w:val="000000"/>
        </w:rPr>
      </w:pPr>
      <w:r w:rsidRPr="0022632F">
        <w:rPr>
          <w:color w:val="000000"/>
        </w:rPr>
        <w:t>En el presente caso, </w:t>
      </w:r>
      <w:r w:rsidRPr="0022632F">
        <w:rPr>
          <w:b/>
          <w:color w:val="000000"/>
        </w:rPr>
        <w:t>no se actualiza ninguna de las causales de improcedencia</w:t>
      </w:r>
      <w:r w:rsidRPr="0022632F">
        <w:rPr>
          <w:color w:val="000000"/>
        </w:rPr>
        <w:t> establecidas en el ordenamiento jurídico previamente señalado, toda vez que: este Instituto no tiene conocimiento de que se encuentre en trámite algún medio de defensa presentado por la</w:t>
      </w:r>
      <w:r w:rsidR="00261B92" w:rsidRPr="0022632F">
        <w:rPr>
          <w:color w:val="000000"/>
        </w:rPr>
        <w:t xml:space="preserve"> persona</w:t>
      </w:r>
      <w:r w:rsidRPr="0022632F">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2632F" w:rsidRDefault="00874D8A" w:rsidP="007808E0">
      <w:pPr>
        <w:spacing w:after="0" w:line="360" w:lineRule="auto"/>
        <w:rPr>
          <w:color w:val="000000"/>
        </w:rPr>
      </w:pPr>
    </w:p>
    <w:p w14:paraId="1593A12B" w14:textId="766BCED4" w:rsidR="00304DE6" w:rsidRPr="0022632F" w:rsidRDefault="007D6307" w:rsidP="007808E0">
      <w:pPr>
        <w:spacing w:after="0" w:line="360" w:lineRule="auto"/>
      </w:pPr>
      <w:r w:rsidRPr="0022632F">
        <w:t>Por lo cual, se actualiza la causal de procedencia del Recurso de Revisión señal</w:t>
      </w:r>
      <w:r w:rsidR="00261DF6" w:rsidRPr="0022632F">
        <w:t>ada en el artículo 179, fracci</w:t>
      </w:r>
      <w:r w:rsidR="003A103F" w:rsidRPr="0022632F">
        <w:t>ón V</w:t>
      </w:r>
      <w:r w:rsidRPr="0022632F">
        <w:t>, de la Ley en cita, pues la p</w:t>
      </w:r>
      <w:r w:rsidR="00261B92" w:rsidRPr="0022632F">
        <w:t>ersona</w:t>
      </w:r>
      <w:r w:rsidRPr="0022632F">
        <w:t xml:space="preserve"> Recurrente se inconformó </w:t>
      </w:r>
      <w:r w:rsidR="00304DE6" w:rsidRPr="0022632F">
        <w:t xml:space="preserve">de la </w:t>
      </w:r>
      <w:r w:rsidR="003A103F" w:rsidRPr="0022632F">
        <w:t>entrega de información</w:t>
      </w:r>
      <w:r w:rsidR="00874D8A" w:rsidRPr="0022632F">
        <w:t xml:space="preserve"> incompleta</w:t>
      </w:r>
      <w:r w:rsidR="003A103F" w:rsidRPr="0022632F">
        <w:t>.</w:t>
      </w:r>
    </w:p>
    <w:p w14:paraId="7B59B025" w14:textId="77777777" w:rsidR="00712ED6" w:rsidRPr="0022632F" w:rsidRDefault="00712ED6" w:rsidP="007808E0">
      <w:pPr>
        <w:spacing w:after="0" w:line="360" w:lineRule="auto"/>
      </w:pPr>
    </w:p>
    <w:p w14:paraId="55FF691A" w14:textId="6D373E30" w:rsidR="005C690F" w:rsidRPr="0022632F" w:rsidRDefault="007D6307" w:rsidP="007808E0">
      <w:pPr>
        <w:spacing w:after="0" w:line="360" w:lineRule="auto"/>
        <w:rPr>
          <w:color w:val="0D0D0D"/>
        </w:rPr>
      </w:pPr>
      <w:r w:rsidRPr="0022632F">
        <w:rPr>
          <w:b/>
          <w:color w:val="0D0D0D"/>
        </w:rPr>
        <w:lastRenderedPageBreak/>
        <w:t>Ca</w:t>
      </w:r>
      <w:r w:rsidR="00CD6238" w:rsidRPr="0022632F">
        <w:rPr>
          <w:b/>
          <w:color w:val="0D0D0D"/>
        </w:rPr>
        <w:t>usales de sobreseimiento</w:t>
      </w:r>
    </w:p>
    <w:p w14:paraId="426FEE7A" w14:textId="77777777" w:rsidR="005C690F" w:rsidRPr="0022632F" w:rsidRDefault="005C690F" w:rsidP="007808E0">
      <w:pPr>
        <w:spacing w:after="0" w:line="360" w:lineRule="auto"/>
        <w:rPr>
          <w:color w:val="0D0D0D"/>
        </w:rPr>
      </w:pPr>
    </w:p>
    <w:p w14:paraId="5B1C849A" w14:textId="77777777" w:rsidR="005C690F" w:rsidRPr="0022632F" w:rsidRDefault="007D6307" w:rsidP="007808E0">
      <w:pPr>
        <w:spacing w:after="0" w:line="360" w:lineRule="auto"/>
        <w:rPr>
          <w:color w:val="0D0D0D"/>
        </w:rPr>
      </w:pPr>
      <w:r w:rsidRPr="0022632F">
        <w:rPr>
          <w:color w:val="0D0D0D"/>
        </w:rPr>
        <w:t>Por ser de previo y especial pronunciamiento, este Instituto analiza si se actualiza alguna causal de sobreseimiento.</w:t>
      </w:r>
    </w:p>
    <w:p w14:paraId="5CEDF034" w14:textId="77777777" w:rsidR="00A96A4E" w:rsidRPr="0022632F" w:rsidRDefault="00A96A4E" w:rsidP="007808E0">
      <w:pPr>
        <w:spacing w:after="0" w:line="360" w:lineRule="auto"/>
        <w:rPr>
          <w:color w:val="0D0D0D"/>
        </w:rPr>
      </w:pPr>
    </w:p>
    <w:p w14:paraId="766AB72D" w14:textId="77777777" w:rsidR="00BC038B" w:rsidRPr="0022632F" w:rsidRDefault="00BC038B" w:rsidP="00BC038B">
      <w:pPr>
        <w:spacing w:after="0" w:line="360" w:lineRule="auto"/>
        <w:rPr>
          <w:color w:val="000000"/>
        </w:rPr>
      </w:pPr>
      <w:r w:rsidRPr="0022632F">
        <w:rPr>
          <w:color w:val="0D0D0D"/>
        </w:rPr>
        <w:t>Sobre el tema, e</w:t>
      </w:r>
      <w:r w:rsidRPr="0022632F">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22632F" w:rsidRDefault="00BC038B" w:rsidP="00BC038B">
      <w:pPr>
        <w:spacing w:after="0" w:line="360" w:lineRule="auto"/>
        <w:rPr>
          <w:color w:val="000000"/>
        </w:rPr>
      </w:pPr>
    </w:p>
    <w:p w14:paraId="5BDF3BB4" w14:textId="2A80B251" w:rsidR="00BC038B" w:rsidRPr="0022632F" w:rsidRDefault="00BC038B" w:rsidP="00BC038B">
      <w:pPr>
        <w:spacing w:after="0" w:line="360" w:lineRule="auto"/>
        <w:rPr>
          <w:color w:val="0D0D0D"/>
        </w:rPr>
      </w:pPr>
      <w:r w:rsidRPr="0022632F">
        <w:rPr>
          <w:color w:val="0D0D0D"/>
        </w:rPr>
        <w:t>Por tales motivos, se considera procedente entrar al fondo del presente asunto.</w:t>
      </w:r>
    </w:p>
    <w:p w14:paraId="275D3AA1" w14:textId="77777777" w:rsidR="001A44D1" w:rsidRPr="0022632F" w:rsidRDefault="001A44D1" w:rsidP="007808E0">
      <w:pPr>
        <w:spacing w:after="0" w:line="360" w:lineRule="auto"/>
        <w:rPr>
          <w:b/>
          <w:color w:val="000000"/>
        </w:rPr>
      </w:pPr>
    </w:p>
    <w:p w14:paraId="0A6A0BAE" w14:textId="184EF292" w:rsidR="005C690F" w:rsidRPr="0022632F" w:rsidRDefault="007D6307" w:rsidP="007808E0">
      <w:pPr>
        <w:pStyle w:val="Ttulo2"/>
        <w:spacing w:before="0" w:after="0" w:line="360" w:lineRule="auto"/>
        <w:rPr>
          <w:sz w:val="22"/>
          <w:szCs w:val="22"/>
        </w:rPr>
      </w:pPr>
      <w:bookmarkStart w:id="12" w:name="_Toc207292041"/>
      <w:r w:rsidRPr="0022632F">
        <w:rPr>
          <w:sz w:val="22"/>
          <w:szCs w:val="22"/>
        </w:rPr>
        <w:t>TERCERO. De</w:t>
      </w:r>
      <w:r w:rsidR="00CD6238" w:rsidRPr="0022632F">
        <w:rPr>
          <w:sz w:val="22"/>
          <w:szCs w:val="22"/>
        </w:rPr>
        <w:t>terminación de la Controversia</w:t>
      </w:r>
      <w:bookmarkEnd w:id="12"/>
    </w:p>
    <w:p w14:paraId="4A0739CB" w14:textId="77777777" w:rsidR="00897A05" w:rsidRPr="0022632F" w:rsidRDefault="00897A05" w:rsidP="007808E0">
      <w:pPr>
        <w:spacing w:after="0" w:line="360" w:lineRule="auto"/>
        <w:rPr>
          <w:b/>
          <w:color w:val="000000"/>
        </w:rPr>
      </w:pPr>
    </w:p>
    <w:p w14:paraId="22CD4831" w14:textId="32674DA6" w:rsidR="00C8729E" w:rsidRPr="0022632F" w:rsidRDefault="007C7BAF" w:rsidP="00F12A3F">
      <w:pPr>
        <w:spacing w:after="0" w:line="360" w:lineRule="auto"/>
        <w:rPr>
          <w:rFonts w:cs="Tahoma"/>
        </w:rPr>
      </w:pPr>
      <w:r w:rsidRPr="0022632F">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22632F">
        <w:rPr>
          <w:rFonts w:cs="Tahoma"/>
        </w:rPr>
        <w:t>requirió</w:t>
      </w:r>
      <w:r w:rsidR="00C8729E" w:rsidRPr="0022632F">
        <w:rPr>
          <w:rFonts w:cs="Tahoma"/>
        </w:rPr>
        <w:t xml:space="preserve"> </w:t>
      </w:r>
      <w:r w:rsidR="00F12A3F" w:rsidRPr="0022632F">
        <w:rPr>
          <w:rFonts w:cs="Tahoma"/>
        </w:rPr>
        <w:t>los oficios firmados por el Director de Director de la Unidad de Información, Planeación, Programación y Evaluación</w:t>
      </w:r>
      <w:r w:rsidR="00A13D94" w:rsidRPr="0022632F">
        <w:rPr>
          <w:rFonts w:cs="Tahoma"/>
        </w:rPr>
        <w:t>, del primero de enero al treinta de abril</w:t>
      </w:r>
      <w:r w:rsidR="00F12A3F" w:rsidRPr="0022632F">
        <w:rPr>
          <w:rFonts w:cs="Tahoma"/>
        </w:rPr>
        <w:t xml:space="preserve"> de dos mil veinticinco. </w:t>
      </w:r>
    </w:p>
    <w:p w14:paraId="28C48B58" w14:textId="77777777" w:rsidR="00F12A3F" w:rsidRPr="0022632F" w:rsidRDefault="00F12A3F" w:rsidP="007808E0">
      <w:pPr>
        <w:spacing w:after="0" w:line="360" w:lineRule="auto"/>
        <w:rPr>
          <w:rFonts w:cs="Tahoma"/>
        </w:rPr>
      </w:pPr>
    </w:p>
    <w:p w14:paraId="28F82416" w14:textId="51D31BF5" w:rsidR="00972243" w:rsidRPr="0022632F" w:rsidRDefault="007C7BAF" w:rsidP="00F12A3F">
      <w:pPr>
        <w:spacing w:after="0" w:line="360" w:lineRule="auto"/>
        <w:rPr>
          <w:color w:val="000000"/>
        </w:rPr>
      </w:pPr>
      <w:r w:rsidRPr="0022632F">
        <w:rPr>
          <w:color w:val="000000"/>
        </w:rPr>
        <w:t>En respuesta, el Sujeto Obligado,</w:t>
      </w:r>
      <w:r w:rsidR="00644832" w:rsidRPr="0022632F">
        <w:rPr>
          <w:color w:val="000000"/>
        </w:rPr>
        <w:t xml:space="preserve"> </w:t>
      </w:r>
      <w:r w:rsidR="00C672CD" w:rsidRPr="0022632F">
        <w:rPr>
          <w:color w:val="000000"/>
        </w:rPr>
        <w:t>a través de</w:t>
      </w:r>
      <w:r w:rsidR="00F12A3F" w:rsidRPr="0022632F">
        <w:rPr>
          <w:color w:val="000000"/>
        </w:rPr>
        <w:t xml:space="preserve">l Director de la Unidad de Información, Planeación, Programación y Evaluación </w:t>
      </w:r>
      <w:r w:rsidR="00AA5EF5" w:rsidRPr="0022632F">
        <w:rPr>
          <w:color w:val="000000"/>
        </w:rPr>
        <w:t xml:space="preserve">mencionó que entregaba la información y adjuntó </w:t>
      </w:r>
      <w:r w:rsidR="00F12A3F" w:rsidRPr="0022632F">
        <w:rPr>
          <w:color w:val="000000"/>
        </w:rPr>
        <w:lastRenderedPageBreak/>
        <w:t xml:space="preserve">un cuadro que contiene </w:t>
      </w:r>
      <w:r w:rsidR="00AA5EF5" w:rsidRPr="0022632F">
        <w:rPr>
          <w:color w:val="000000"/>
        </w:rPr>
        <w:t xml:space="preserve">el </w:t>
      </w:r>
      <w:r w:rsidR="00F12A3F" w:rsidRPr="0022632F">
        <w:rPr>
          <w:color w:val="000000"/>
        </w:rPr>
        <w:t>número de oficio, fecha, destinatario, asunto y observaciones</w:t>
      </w:r>
      <w:r w:rsidR="00C672CD" w:rsidRPr="0022632F">
        <w:rPr>
          <w:color w:val="000000"/>
          <w:sz w:val="24"/>
        </w:rPr>
        <w:t>;</w:t>
      </w:r>
      <w:r w:rsidRPr="0022632F">
        <w:t xml:space="preserve"> </w:t>
      </w:r>
      <w:r w:rsidRPr="0022632F">
        <w:rPr>
          <w:rFonts w:cs="Tahoma"/>
          <w:lang w:val="es-ES"/>
        </w:rPr>
        <w:t>ante dicha circunstancia, el Particular se inconformó</w:t>
      </w:r>
      <w:r w:rsidR="00644832" w:rsidRPr="0022632F">
        <w:rPr>
          <w:rFonts w:cs="Tahoma"/>
          <w:lang w:val="es-ES"/>
        </w:rPr>
        <w:t xml:space="preserve"> </w:t>
      </w:r>
      <w:r w:rsidR="00966BF0" w:rsidRPr="0022632F">
        <w:rPr>
          <w:rFonts w:cs="Tahoma"/>
          <w:lang w:val="es-ES"/>
        </w:rPr>
        <w:t>de</w:t>
      </w:r>
      <w:r w:rsidR="001260CE" w:rsidRPr="0022632F">
        <w:rPr>
          <w:rFonts w:cs="Tahoma"/>
          <w:lang w:val="es-ES"/>
        </w:rPr>
        <w:t xml:space="preserve"> </w:t>
      </w:r>
      <w:r w:rsidR="00C672CD" w:rsidRPr="0022632F">
        <w:rPr>
          <w:rFonts w:cs="Tahoma"/>
          <w:lang w:val="es-ES"/>
        </w:rPr>
        <w:t>la</w:t>
      </w:r>
      <w:r w:rsidR="0076190F" w:rsidRPr="0022632F">
        <w:rPr>
          <w:rFonts w:cs="Tahoma"/>
          <w:lang w:val="es-ES"/>
        </w:rPr>
        <w:t xml:space="preserve"> </w:t>
      </w:r>
      <w:r w:rsidR="00413093" w:rsidRPr="0022632F">
        <w:rPr>
          <w:rFonts w:cs="Tahoma"/>
          <w:lang w:val="es-ES"/>
        </w:rPr>
        <w:t xml:space="preserve">entrega de información </w:t>
      </w:r>
      <w:r w:rsidR="00E00BC4" w:rsidRPr="0022632F">
        <w:rPr>
          <w:rFonts w:cs="Tahoma"/>
          <w:lang w:val="es-ES"/>
        </w:rPr>
        <w:t xml:space="preserve">incompleta </w:t>
      </w:r>
      <w:r w:rsidR="00413093" w:rsidRPr="0022632F">
        <w:rPr>
          <w:rFonts w:cs="Tahoma"/>
          <w:lang w:val="es-ES"/>
        </w:rPr>
        <w:t>al mencionar que</w:t>
      </w:r>
      <w:r w:rsidR="00F12A3F" w:rsidRPr="0022632F">
        <w:rPr>
          <w:rFonts w:cs="Tahoma"/>
          <w:lang w:val="es-ES"/>
        </w:rPr>
        <w:t xml:space="preserve"> solicitó los oficios no una relación de los oficios</w:t>
      </w:r>
      <w:r w:rsidR="001A7F04" w:rsidRPr="0022632F">
        <w:rPr>
          <w:rFonts w:cs="Tahoma"/>
          <w:lang w:val="es-ES"/>
        </w:rPr>
        <w:t xml:space="preserve">, </w:t>
      </w:r>
      <w:r w:rsidRPr="0022632F">
        <w:rPr>
          <w:rFonts w:cs="Tahoma"/>
          <w:lang w:val="es-ES"/>
        </w:rPr>
        <w:t xml:space="preserve">lo cual </w:t>
      </w:r>
      <w:r w:rsidRPr="0022632F">
        <w:rPr>
          <w:rFonts w:eastAsia="Calibri" w:cs="Tahoma"/>
        </w:rPr>
        <w:t>actualiza la causal de proce</w:t>
      </w:r>
      <w:r w:rsidR="00413093" w:rsidRPr="0022632F">
        <w:rPr>
          <w:rFonts w:eastAsia="Calibri" w:cs="Tahoma"/>
        </w:rPr>
        <w:t>dencia prevista en la fracción V</w:t>
      </w:r>
      <w:r w:rsidRPr="0022632F">
        <w:rPr>
          <w:rFonts w:eastAsia="Calibri" w:cs="Tahoma"/>
        </w:rPr>
        <w:t>, del artículo 179 de la Ley de Transparencia y Acceso a la Información Pública del Estado de México y Municipios</w:t>
      </w:r>
      <w:r w:rsidRPr="0022632F">
        <w:rPr>
          <w:color w:val="0D0D0D"/>
        </w:rPr>
        <w:t xml:space="preserve">. </w:t>
      </w:r>
      <w:r w:rsidRPr="0022632F">
        <w:rPr>
          <w:rFonts w:eastAsia="Calibri" w:cs="Tahoma"/>
        </w:rPr>
        <w:t>Así, las cosas, una vez admitido y notificado el Recurso de Revisión</w:t>
      </w:r>
      <w:r w:rsidR="00522A47" w:rsidRPr="0022632F">
        <w:rPr>
          <w:rFonts w:eastAsia="Calibri" w:cs="Tahoma"/>
        </w:rPr>
        <w:t xml:space="preserve"> a las partes,</w:t>
      </w:r>
      <w:r w:rsidR="001A7F04" w:rsidRPr="0022632F">
        <w:rPr>
          <w:rFonts w:eastAsia="Calibri" w:cs="Tahoma"/>
        </w:rPr>
        <w:t xml:space="preserve"> </w:t>
      </w:r>
      <w:r w:rsidR="00F12A3F" w:rsidRPr="0022632F">
        <w:rPr>
          <w:rFonts w:eastAsia="Calibri" w:cs="Tahoma"/>
        </w:rPr>
        <w:t>el Sujeto Obligado cambió de modalidad a consulta directa debido a que la capacidad técnica, administrativa, humana y material se encuentra rebasada en exceso por un incremento inusual y atípico en el número de solicitudes de información ingresadas mediante la plataforma del Sistema de Acceso a la Información Mexiquense (SAIMEX).</w:t>
      </w:r>
    </w:p>
    <w:p w14:paraId="137DA036" w14:textId="77777777" w:rsidR="00AB4AC2" w:rsidRPr="0022632F" w:rsidRDefault="00AB4AC2" w:rsidP="007808E0">
      <w:pPr>
        <w:spacing w:after="0" w:line="360" w:lineRule="auto"/>
        <w:ind w:right="567"/>
        <w:rPr>
          <w:i/>
          <w:iCs/>
          <w:sz w:val="20"/>
          <w:szCs w:val="20"/>
        </w:rPr>
      </w:pPr>
    </w:p>
    <w:p w14:paraId="22C5958E" w14:textId="7A69342C" w:rsidR="007C7BAF" w:rsidRPr="0022632F" w:rsidRDefault="007C7BAF" w:rsidP="007808E0">
      <w:pPr>
        <w:tabs>
          <w:tab w:val="left" w:pos="4962"/>
        </w:tabs>
        <w:spacing w:after="0" w:line="360" w:lineRule="auto"/>
        <w:rPr>
          <w:rFonts w:eastAsia="Calibri" w:cs="Tahoma"/>
          <w:bCs/>
        </w:rPr>
      </w:pPr>
      <w:r w:rsidRPr="0022632F">
        <w:rPr>
          <w:rFonts w:eastAsia="Calibri" w:cs="Tahoma"/>
          <w:iCs/>
          <w:lang w:val="es-ES" w:eastAsia="es-ES_tradnl"/>
        </w:rPr>
        <w:t>Lo anterior, se desprende de las documentales que obran en el expediente de referencia, materia de la presente resolución, consistente en: la solic</w:t>
      </w:r>
      <w:r w:rsidR="00BB3F28" w:rsidRPr="0022632F">
        <w:rPr>
          <w:rFonts w:eastAsia="Calibri" w:cs="Tahoma"/>
          <w:iCs/>
          <w:lang w:val="es-ES" w:eastAsia="es-ES_tradnl"/>
        </w:rPr>
        <w:t>i</w:t>
      </w:r>
      <w:r w:rsidR="0076190F" w:rsidRPr="0022632F">
        <w:rPr>
          <w:rFonts w:eastAsia="Calibri" w:cs="Tahoma"/>
          <w:iCs/>
          <w:lang w:val="es-ES" w:eastAsia="es-ES_tradnl"/>
        </w:rPr>
        <w:t xml:space="preserve">tud de acceso a </w:t>
      </w:r>
      <w:r w:rsidR="003C46A9" w:rsidRPr="0022632F">
        <w:rPr>
          <w:rFonts w:eastAsia="Calibri" w:cs="Tahoma"/>
          <w:iCs/>
          <w:lang w:val="es-ES" w:eastAsia="es-ES_tradnl"/>
        </w:rPr>
        <w:t>la información,</w:t>
      </w:r>
      <w:r w:rsidR="0076190F" w:rsidRPr="0022632F">
        <w:rPr>
          <w:rFonts w:eastAsia="Calibri" w:cs="Tahoma"/>
          <w:iCs/>
          <w:lang w:val="es-ES" w:eastAsia="es-ES_tradnl"/>
        </w:rPr>
        <w:t xml:space="preserve"> </w:t>
      </w:r>
      <w:r w:rsidRPr="0022632F">
        <w:rPr>
          <w:rFonts w:eastAsia="Calibri" w:cs="Tahoma"/>
          <w:iCs/>
          <w:lang w:eastAsia="es-ES_tradnl"/>
        </w:rPr>
        <w:t xml:space="preserve">el escrito </w:t>
      </w:r>
      <w:proofErr w:type="spellStart"/>
      <w:r w:rsidRPr="0022632F">
        <w:rPr>
          <w:rFonts w:eastAsia="Calibri" w:cs="Tahoma"/>
          <w:iCs/>
          <w:lang w:eastAsia="es-ES_tradnl"/>
        </w:rPr>
        <w:t>recursal</w:t>
      </w:r>
      <w:proofErr w:type="spellEnd"/>
      <w:r w:rsidR="003C46A9" w:rsidRPr="0022632F">
        <w:rPr>
          <w:rFonts w:eastAsia="Calibri" w:cs="Tahoma"/>
          <w:iCs/>
          <w:lang w:eastAsia="es-ES_tradnl"/>
        </w:rPr>
        <w:t xml:space="preserve"> y el Informe Justificado</w:t>
      </w:r>
      <w:r w:rsidRPr="0022632F">
        <w:rPr>
          <w:rFonts w:eastAsia="Calibri" w:cs="Tahoma"/>
          <w:iCs/>
          <w:lang w:eastAsia="es-ES_tradnl"/>
        </w:rPr>
        <w:t xml:space="preserve">; </w:t>
      </w:r>
      <w:r w:rsidRPr="0022632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22632F" w:rsidRDefault="00C672CD" w:rsidP="007808E0">
      <w:pPr>
        <w:pStyle w:val="Ttulo2"/>
        <w:spacing w:before="0" w:after="0" w:line="360" w:lineRule="auto"/>
        <w:rPr>
          <w:sz w:val="22"/>
          <w:szCs w:val="22"/>
        </w:rPr>
      </w:pPr>
    </w:p>
    <w:p w14:paraId="36DCBD9D" w14:textId="0AA8912A" w:rsidR="005C690F" w:rsidRPr="0022632F" w:rsidRDefault="007D6307" w:rsidP="007808E0">
      <w:pPr>
        <w:pStyle w:val="Ttulo2"/>
        <w:spacing w:before="0" w:after="0" w:line="360" w:lineRule="auto"/>
        <w:rPr>
          <w:sz w:val="22"/>
          <w:szCs w:val="22"/>
        </w:rPr>
      </w:pPr>
      <w:bookmarkStart w:id="13" w:name="_Toc207292042"/>
      <w:r w:rsidRPr="0022632F">
        <w:rPr>
          <w:sz w:val="22"/>
          <w:szCs w:val="22"/>
        </w:rPr>
        <w:t xml:space="preserve">CUARTO. Marco normativo aplicable en materia de transparencia y </w:t>
      </w:r>
      <w:r w:rsidR="00CD6238" w:rsidRPr="0022632F">
        <w:rPr>
          <w:sz w:val="22"/>
          <w:szCs w:val="22"/>
        </w:rPr>
        <w:t>acceso a la información pública</w:t>
      </w:r>
      <w:bookmarkEnd w:id="13"/>
    </w:p>
    <w:p w14:paraId="4D62F8F1" w14:textId="77777777" w:rsidR="005C690F" w:rsidRPr="0022632F" w:rsidRDefault="005C690F" w:rsidP="007808E0">
      <w:pPr>
        <w:spacing w:after="0" w:line="360" w:lineRule="auto"/>
        <w:rPr>
          <w:color w:val="000000"/>
        </w:rPr>
      </w:pPr>
    </w:p>
    <w:p w14:paraId="68F50546" w14:textId="77777777" w:rsidR="005C690F" w:rsidRPr="0022632F" w:rsidRDefault="007D6307" w:rsidP="007808E0">
      <w:pPr>
        <w:spacing w:after="0" w:line="360" w:lineRule="auto"/>
        <w:rPr>
          <w:color w:val="000000"/>
        </w:rPr>
      </w:pPr>
      <w:r w:rsidRPr="0022632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22632F" w:rsidRDefault="005C690F" w:rsidP="007808E0">
      <w:pPr>
        <w:spacing w:after="0" w:line="360" w:lineRule="auto"/>
        <w:rPr>
          <w:color w:val="000000"/>
        </w:rPr>
      </w:pPr>
    </w:p>
    <w:p w14:paraId="69458899" w14:textId="77777777" w:rsidR="005C690F" w:rsidRPr="0022632F" w:rsidRDefault="007D6307" w:rsidP="007808E0">
      <w:pPr>
        <w:spacing w:after="0" w:line="360" w:lineRule="auto"/>
        <w:rPr>
          <w:color w:val="000000"/>
        </w:rPr>
      </w:pPr>
      <w:r w:rsidRPr="0022632F">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2632F" w:rsidRDefault="005C690F" w:rsidP="007808E0">
      <w:pPr>
        <w:spacing w:after="0" w:line="360" w:lineRule="auto"/>
        <w:rPr>
          <w:color w:val="000000"/>
        </w:rPr>
      </w:pPr>
    </w:p>
    <w:p w14:paraId="3D8EBDEC" w14:textId="77777777" w:rsidR="005C690F" w:rsidRPr="0022632F" w:rsidRDefault="007D6307" w:rsidP="007808E0">
      <w:pPr>
        <w:spacing w:after="0" w:line="360" w:lineRule="auto"/>
        <w:rPr>
          <w:color w:val="000000"/>
        </w:rPr>
      </w:pPr>
      <w:r w:rsidRPr="0022632F">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22632F" w:rsidRDefault="005C690F" w:rsidP="007808E0">
      <w:pPr>
        <w:spacing w:after="0" w:line="360" w:lineRule="auto"/>
        <w:rPr>
          <w:color w:val="000000"/>
        </w:rPr>
      </w:pPr>
    </w:p>
    <w:p w14:paraId="5BD9CB2E" w14:textId="77777777" w:rsidR="005C690F" w:rsidRPr="0022632F" w:rsidRDefault="007D6307" w:rsidP="007808E0">
      <w:pPr>
        <w:spacing w:after="0" w:line="360" w:lineRule="auto"/>
        <w:rPr>
          <w:color w:val="000000"/>
        </w:rPr>
      </w:pPr>
      <w:r w:rsidRPr="0022632F">
        <w:rPr>
          <w:color w:val="000000"/>
        </w:rPr>
        <w:t>El artículo 12, que, quienes generen, recopilen, administren, manejen, procesen, archiven o conserven información pública serán responsables de la misma.</w:t>
      </w:r>
    </w:p>
    <w:p w14:paraId="6BD1FFBB" w14:textId="77777777" w:rsidR="007C02D1" w:rsidRPr="0022632F" w:rsidRDefault="007C02D1" w:rsidP="007808E0">
      <w:pPr>
        <w:spacing w:after="0" w:line="360" w:lineRule="auto"/>
        <w:rPr>
          <w:color w:val="000000"/>
        </w:rPr>
      </w:pPr>
    </w:p>
    <w:p w14:paraId="3D899A16" w14:textId="77777777" w:rsidR="005C690F" w:rsidRPr="0022632F" w:rsidRDefault="007D6307" w:rsidP="007808E0">
      <w:pPr>
        <w:widowControl w:val="0"/>
        <w:spacing w:after="0" w:line="360" w:lineRule="auto"/>
        <w:rPr>
          <w:color w:val="000000"/>
        </w:rPr>
      </w:pPr>
      <w:r w:rsidRPr="0022632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2632F" w:rsidRDefault="00B153FA" w:rsidP="007808E0">
      <w:pPr>
        <w:widowControl w:val="0"/>
        <w:spacing w:after="0" w:line="360" w:lineRule="auto"/>
        <w:rPr>
          <w:color w:val="000000"/>
        </w:rPr>
      </w:pPr>
    </w:p>
    <w:p w14:paraId="70E5B643" w14:textId="378E2A57" w:rsidR="00B04A35" w:rsidRPr="0022632F" w:rsidRDefault="007D6307" w:rsidP="007808E0">
      <w:pPr>
        <w:spacing w:after="0" w:line="360" w:lineRule="auto"/>
        <w:rPr>
          <w:color w:val="000000"/>
        </w:rPr>
      </w:pPr>
      <w:r w:rsidRPr="0022632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2632F" w:rsidRDefault="005C690F" w:rsidP="007808E0">
      <w:pPr>
        <w:spacing w:after="0" w:line="360" w:lineRule="auto"/>
      </w:pPr>
    </w:p>
    <w:p w14:paraId="3AF871E5" w14:textId="6FEB966D" w:rsidR="005C690F" w:rsidRPr="0022632F" w:rsidRDefault="00CD6238" w:rsidP="007808E0">
      <w:pPr>
        <w:pStyle w:val="Ttulo2"/>
        <w:spacing w:before="0" w:after="0" w:line="360" w:lineRule="auto"/>
        <w:rPr>
          <w:sz w:val="22"/>
          <w:szCs w:val="22"/>
        </w:rPr>
      </w:pPr>
      <w:bookmarkStart w:id="14" w:name="_Toc207292043"/>
      <w:r w:rsidRPr="0022632F">
        <w:rPr>
          <w:sz w:val="22"/>
          <w:szCs w:val="22"/>
        </w:rPr>
        <w:t>Q</w:t>
      </w:r>
      <w:r w:rsidR="0044017B" w:rsidRPr="0022632F">
        <w:rPr>
          <w:sz w:val="22"/>
          <w:szCs w:val="22"/>
        </w:rPr>
        <w:t>UINTO</w:t>
      </w:r>
      <w:r w:rsidRPr="0022632F">
        <w:rPr>
          <w:sz w:val="22"/>
          <w:szCs w:val="22"/>
        </w:rPr>
        <w:t>. Estudio de Fondo</w:t>
      </w:r>
      <w:bookmarkEnd w:id="14"/>
    </w:p>
    <w:p w14:paraId="2596B212" w14:textId="77777777" w:rsidR="00A56228" w:rsidRPr="0022632F" w:rsidRDefault="00A56228" w:rsidP="007808E0">
      <w:pPr>
        <w:spacing w:after="0" w:line="360" w:lineRule="auto"/>
        <w:rPr>
          <w:b/>
          <w:color w:val="000000"/>
        </w:rPr>
      </w:pPr>
    </w:p>
    <w:p w14:paraId="5F490A49" w14:textId="71CC9B98" w:rsidR="007F4407" w:rsidRPr="0022632F" w:rsidRDefault="0064067B" w:rsidP="007808E0">
      <w:pPr>
        <w:spacing w:after="0" w:line="360" w:lineRule="auto"/>
        <w:rPr>
          <w:rFonts w:eastAsia="Times New Roman" w:cs="Tahoma"/>
          <w:bCs/>
          <w:iCs/>
          <w:lang w:eastAsia="es-ES"/>
        </w:rPr>
      </w:pPr>
      <w:r w:rsidRPr="0022632F">
        <w:rPr>
          <w:color w:val="000000"/>
        </w:rPr>
        <w:t>Expuestas las posturas de las partes, se procede al análisis de los agravios hechos valer por la persona Recurrente</w:t>
      </w:r>
      <w:r w:rsidR="00731FB9" w:rsidRPr="0022632F">
        <w:t xml:space="preserve">, </w:t>
      </w:r>
      <w:r w:rsidR="007F4407" w:rsidRPr="0022632F">
        <w:rPr>
          <w:rFonts w:eastAsia="Times New Roman" w:cs="Tahoma"/>
          <w:bCs/>
          <w:iCs/>
          <w:lang w:eastAsia="es-ES"/>
        </w:rPr>
        <w:t>por lo que, en principio es necesario contextualizar la solicitud de información.</w:t>
      </w:r>
    </w:p>
    <w:p w14:paraId="35212D72" w14:textId="77777777" w:rsidR="001F52BC" w:rsidRPr="0022632F" w:rsidRDefault="001F52BC" w:rsidP="007808E0">
      <w:pPr>
        <w:spacing w:after="0" w:line="360" w:lineRule="auto"/>
        <w:rPr>
          <w:rFonts w:eastAsia="Times New Roman" w:cs="Tahoma"/>
          <w:bCs/>
          <w:iCs/>
          <w:lang w:eastAsia="es-ES"/>
        </w:rPr>
      </w:pPr>
    </w:p>
    <w:p w14:paraId="01E233E8" w14:textId="77777777" w:rsidR="001F52BC" w:rsidRPr="0022632F" w:rsidRDefault="001F52BC" w:rsidP="001F52BC">
      <w:pPr>
        <w:spacing w:after="0" w:line="360" w:lineRule="auto"/>
        <w:rPr>
          <w:rFonts w:eastAsia="Times New Roman" w:cs="Tahoma"/>
          <w:bCs/>
          <w:iCs/>
          <w:lang w:eastAsia="es-ES"/>
        </w:rPr>
      </w:pPr>
      <w:r w:rsidRPr="0022632F">
        <w:rPr>
          <w:rFonts w:eastAsia="Times New Roman" w:cs="Tahoma"/>
          <w:bCs/>
          <w:iCs/>
          <w:lang w:eastAsia="es-ES"/>
        </w:rPr>
        <w:t>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5DEE0FC4" w14:textId="77777777" w:rsidR="001F52BC" w:rsidRPr="0022632F" w:rsidRDefault="001F52BC" w:rsidP="001F52BC">
      <w:pPr>
        <w:spacing w:after="0" w:line="360" w:lineRule="auto"/>
        <w:rPr>
          <w:rFonts w:eastAsia="Times New Roman" w:cs="Tahoma"/>
          <w:bCs/>
          <w:iCs/>
          <w:lang w:eastAsia="es-ES"/>
        </w:rPr>
      </w:pPr>
    </w:p>
    <w:p w14:paraId="10DFACCC" w14:textId="77777777" w:rsidR="001F52BC" w:rsidRPr="0022632F" w:rsidRDefault="001F52BC" w:rsidP="001F52BC">
      <w:pPr>
        <w:spacing w:after="0" w:line="360" w:lineRule="auto"/>
        <w:rPr>
          <w:rFonts w:eastAsia="Times New Roman" w:cs="Tahoma"/>
          <w:bCs/>
          <w:iCs/>
          <w:lang w:eastAsia="es-ES"/>
        </w:rPr>
      </w:pPr>
      <w:r w:rsidRPr="0022632F">
        <w:rPr>
          <w:rFonts w:eastAsia="Times New Roman" w:cs="Tahoma"/>
          <w:bCs/>
          <w:iCs/>
          <w:lang w:eastAsia="es-ES"/>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6FF4C960" w14:textId="77777777" w:rsidR="001F52BC" w:rsidRPr="0022632F" w:rsidRDefault="001F52BC" w:rsidP="001F52BC">
      <w:pPr>
        <w:spacing w:after="0" w:line="360" w:lineRule="auto"/>
        <w:rPr>
          <w:rFonts w:eastAsia="Times New Roman" w:cs="Tahoma"/>
          <w:bCs/>
          <w:iCs/>
          <w:lang w:eastAsia="es-ES"/>
        </w:rPr>
      </w:pPr>
    </w:p>
    <w:p w14:paraId="1CDE5BB7" w14:textId="77777777" w:rsidR="001F52BC" w:rsidRPr="0022632F" w:rsidRDefault="001F52BC" w:rsidP="001F52BC">
      <w:pPr>
        <w:spacing w:after="0" w:line="360" w:lineRule="auto"/>
        <w:rPr>
          <w:rFonts w:eastAsia="Times New Roman" w:cs="Tahoma"/>
          <w:bCs/>
          <w:iCs/>
          <w:lang w:eastAsia="es-ES"/>
        </w:rPr>
      </w:pPr>
      <w:r w:rsidRPr="0022632F">
        <w:rPr>
          <w:rFonts w:eastAsia="Times New Roman" w:cs="Tahoma"/>
          <w:bCs/>
          <w:iCs/>
          <w:lang w:eastAsia="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9714E6E" w14:textId="77777777" w:rsidR="001F52BC" w:rsidRPr="0022632F" w:rsidRDefault="001F52BC" w:rsidP="001F52BC">
      <w:pPr>
        <w:spacing w:after="0" w:line="360" w:lineRule="auto"/>
        <w:rPr>
          <w:rFonts w:eastAsia="Times New Roman" w:cs="Tahoma"/>
          <w:bCs/>
          <w:iCs/>
          <w:lang w:eastAsia="es-ES"/>
        </w:rPr>
      </w:pPr>
    </w:p>
    <w:p w14:paraId="2ADA885C" w14:textId="77777777" w:rsidR="001F52BC" w:rsidRPr="0022632F" w:rsidRDefault="001F52BC" w:rsidP="001F52BC">
      <w:pPr>
        <w:spacing w:after="0" w:line="360" w:lineRule="auto"/>
        <w:rPr>
          <w:rFonts w:eastAsia="Times New Roman" w:cs="Tahoma"/>
          <w:bCs/>
          <w:iCs/>
          <w:lang w:eastAsia="es-ES"/>
        </w:rPr>
      </w:pPr>
      <w:r w:rsidRPr="0022632F">
        <w:rPr>
          <w:rFonts w:eastAsia="Times New Roman" w:cs="Tahoma"/>
          <w:bCs/>
          <w:iCs/>
          <w:lang w:eastAsia="es-ES"/>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CAE0651" w14:textId="77777777" w:rsidR="001F52BC" w:rsidRPr="0022632F" w:rsidRDefault="001F52BC" w:rsidP="001F52BC">
      <w:pPr>
        <w:spacing w:after="0" w:line="360" w:lineRule="auto"/>
        <w:rPr>
          <w:rFonts w:eastAsia="Times New Roman" w:cs="Tahoma"/>
          <w:bCs/>
          <w:iCs/>
          <w:lang w:eastAsia="es-ES"/>
        </w:rPr>
      </w:pPr>
    </w:p>
    <w:p w14:paraId="328BACBE" w14:textId="2FB487D8" w:rsidR="000633CA" w:rsidRPr="0022632F" w:rsidRDefault="001F52BC" w:rsidP="001F52BC">
      <w:pPr>
        <w:spacing w:after="0" w:line="360" w:lineRule="auto"/>
        <w:rPr>
          <w:rFonts w:eastAsia="Times New Roman" w:cs="Tahoma"/>
          <w:bCs/>
          <w:iCs/>
          <w:lang w:eastAsia="es-ES"/>
        </w:rPr>
      </w:pPr>
      <w:r w:rsidRPr="0022632F">
        <w:rPr>
          <w:rFonts w:eastAsia="Times New Roman" w:cs="Tahoma"/>
          <w:bCs/>
          <w:iCs/>
          <w:lang w:eastAsia="es-ES"/>
        </w:rPr>
        <w:lastRenderedPageBreak/>
        <w:t xml:space="preserve">Ahora bien, </w:t>
      </w:r>
      <w:r w:rsidR="000633CA" w:rsidRPr="0022632F">
        <w:rPr>
          <w:rFonts w:eastAsia="Times New Roman" w:cs="Tahoma"/>
          <w:bCs/>
          <w:iCs/>
          <w:lang w:eastAsia="es-ES"/>
        </w:rPr>
        <w:t xml:space="preserve">el artículo </w:t>
      </w:r>
      <w:r w:rsidR="00F05F10" w:rsidRPr="0022632F">
        <w:rPr>
          <w:rFonts w:eastAsia="Times New Roman" w:cs="Tahoma"/>
          <w:bCs/>
          <w:iCs/>
          <w:lang w:eastAsia="es-ES"/>
        </w:rPr>
        <w:t>21 del Bando Municipal de Teoloyucan, dos mil veinticinco, precisa que, para el despacho, estudio y planeación de los diversos asuntos de la Administración Pública Municipal, el Ayuntamiento se auxiliará de la Dirección de la Unidad de Información, Planeación, Programación y Evaluación “U.I.P.P.E.”.</w:t>
      </w:r>
    </w:p>
    <w:p w14:paraId="6E4DAC81" w14:textId="77777777" w:rsidR="007179C4" w:rsidRPr="0022632F" w:rsidRDefault="007179C4" w:rsidP="007179C4">
      <w:pPr>
        <w:tabs>
          <w:tab w:val="left" w:pos="4962"/>
        </w:tabs>
        <w:spacing w:after="0" w:line="360" w:lineRule="auto"/>
        <w:rPr>
          <w:rFonts w:eastAsia="Calibri" w:cs="Tahoma"/>
          <w:iCs/>
          <w:color w:val="000000"/>
          <w:szCs w:val="24"/>
        </w:rPr>
      </w:pPr>
    </w:p>
    <w:p w14:paraId="2BC89A18" w14:textId="22271F76" w:rsidR="00167989" w:rsidRPr="0022632F" w:rsidRDefault="007179C4" w:rsidP="00167989">
      <w:pPr>
        <w:spacing w:after="0" w:line="360" w:lineRule="auto"/>
        <w:rPr>
          <w:rFonts w:cs="Tahoma"/>
        </w:rPr>
      </w:pPr>
      <w:r w:rsidRPr="0022632F">
        <w:rPr>
          <w:rFonts w:eastAsia="Times New Roman" w:cs="Tahoma"/>
          <w:bCs/>
          <w:color w:val="auto"/>
          <w:lang w:val="es-ES_tradnl" w:eastAsia="es-ES"/>
        </w:rPr>
        <w:t xml:space="preserve">De tales circunstancias, se logra vislumbrar que la pretensión de la persona </w:t>
      </w:r>
      <w:r w:rsidR="00D43A3A" w:rsidRPr="0022632F">
        <w:rPr>
          <w:rFonts w:eastAsia="Times New Roman" w:cs="Tahoma"/>
          <w:bCs/>
          <w:color w:val="auto"/>
          <w:lang w:val="es-ES_tradnl" w:eastAsia="es-ES"/>
        </w:rPr>
        <w:t>Recurrente</w:t>
      </w:r>
      <w:r w:rsidRPr="0022632F">
        <w:rPr>
          <w:rFonts w:eastAsia="Times New Roman" w:cs="Tahoma"/>
          <w:bCs/>
          <w:color w:val="auto"/>
          <w:lang w:val="es-ES_tradnl" w:eastAsia="es-ES"/>
        </w:rPr>
        <w:t xml:space="preserve"> es obtener</w:t>
      </w:r>
      <w:r w:rsidR="00D43A3A" w:rsidRPr="0022632F">
        <w:rPr>
          <w:rFonts w:eastAsia="Times New Roman" w:cs="Tahoma"/>
          <w:bCs/>
          <w:color w:val="auto"/>
          <w:lang w:val="es-ES_tradnl" w:eastAsia="es-ES"/>
        </w:rPr>
        <w:t xml:space="preserve">, </w:t>
      </w:r>
      <w:r w:rsidR="00167989" w:rsidRPr="0022632F">
        <w:rPr>
          <w:rFonts w:cs="Tahoma"/>
        </w:rPr>
        <w:t xml:space="preserve">los oficios firmados por el Director de la Unidad de Información, Planeación, Programación y Evaluación, del primero de enero al treinta de abril de dos mil veinticinco. </w:t>
      </w:r>
    </w:p>
    <w:p w14:paraId="5B5C2CDC" w14:textId="77777777" w:rsidR="001805A9" w:rsidRPr="0022632F" w:rsidRDefault="001805A9" w:rsidP="007808E0">
      <w:pPr>
        <w:spacing w:after="0" w:line="360" w:lineRule="auto"/>
        <w:rPr>
          <w:color w:val="000000"/>
          <w:lang w:eastAsia="es-ES_tradnl"/>
        </w:rPr>
      </w:pPr>
    </w:p>
    <w:p w14:paraId="2F43139B" w14:textId="0609F20D" w:rsidR="001805A9" w:rsidRPr="0022632F" w:rsidRDefault="001805A9" w:rsidP="007808E0">
      <w:pPr>
        <w:spacing w:after="0" w:line="360" w:lineRule="auto"/>
        <w:rPr>
          <w:color w:val="0D0D0D"/>
        </w:rPr>
      </w:pPr>
      <w:r w:rsidRPr="0022632F">
        <w:rPr>
          <w:color w:val="000000"/>
          <w:lang w:eastAsia="es-ES_tradnl"/>
        </w:rPr>
        <w:t>Establecida dicha circunstancia</w:t>
      </w:r>
      <w:r w:rsidRPr="0022632F">
        <w:rPr>
          <w:color w:val="000000"/>
        </w:rPr>
        <w:t>, de las constancias que obran en el expediente electrónico, se advierte que el Sujeto Obligado</w:t>
      </w:r>
      <w:r w:rsidRPr="0022632F">
        <w:rPr>
          <w:color w:val="0D0D0D"/>
        </w:rPr>
        <w:t xml:space="preserve"> dio respuesta a través de</w:t>
      </w:r>
      <w:r w:rsidR="00167989" w:rsidRPr="0022632F">
        <w:rPr>
          <w:color w:val="0D0D0D"/>
        </w:rPr>
        <w:t xml:space="preserve">l </w:t>
      </w:r>
      <w:r w:rsidR="00167989" w:rsidRPr="0022632F">
        <w:rPr>
          <w:rFonts w:cs="Tahoma"/>
        </w:rPr>
        <w:t>Director de la Unidad de Información, Planeación, Programación y Evaluación</w:t>
      </w:r>
      <w:r w:rsidRPr="0022632F">
        <w:rPr>
          <w:color w:val="000000"/>
        </w:rPr>
        <w:t xml:space="preserve">; </w:t>
      </w:r>
      <w:r w:rsidRPr="0022632F">
        <w:t xml:space="preserve">por lo que, es oportuno hacer referencia al </w:t>
      </w:r>
      <w:r w:rsidRPr="0022632F">
        <w:rPr>
          <w:b/>
        </w:rPr>
        <w:t>procedimiento de búsqueda que deben de seguir los Sujetos Obligados para localizar la información</w:t>
      </w:r>
      <w:r w:rsidRPr="0022632F">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22632F" w:rsidRDefault="001805A9" w:rsidP="007808E0">
      <w:pPr>
        <w:spacing w:after="0" w:line="360" w:lineRule="auto"/>
      </w:pPr>
    </w:p>
    <w:p w14:paraId="33FB7858" w14:textId="01E66ECC" w:rsidR="00D72175" w:rsidRPr="0022632F" w:rsidRDefault="001805A9" w:rsidP="007808E0">
      <w:pPr>
        <w:spacing w:after="0" w:line="360" w:lineRule="auto"/>
      </w:pPr>
      <w:r w:rsidRPr="0022632F">
        <w:t>Así y de lo plasmado en párrafos anteriores, se logra colegir que el Sujeto Obligado</w:t>
      </w:r>
      <w:r w:rsidR="00D43A3A" w:rsidRPr="0022632F">
        <w:t xml:space="preserve"> </w:t>
      </w:r>
      <w:r w:rsidRPr="0022632F">
        <w:t>cumplió con el procedimiento de búsqueda establecido en el artículo 162 de la Ley de Transparencia y Acceso a la Información Pública del Estado de México y Municipios, toda vez, qu</w:t>
      </w:r>
      <w:r w:rsidR="006C1C90" w:rsidRPr="0022632F">
        <w:t>e</w:t>
      </w:r>
      <w:r w:rsidR="00D43A3A" w:rsidRPr="0022632F">
        <w:t xml:space="preserve"> </w:t>
      </w:r>
      <w:r w:rsidRPr="0022632F">
        <w:t>gestionó el requerimiento de información al área competente para conocer de l</w:t>
      </w:r>
      <w:r w:rsidR="00D43A3A" w:rsidRPr="0022632F">
        <w:t xml:space="preserve">os </w:t>
      </w:r>
      <w:r w:rsidR="006C1C90" w:rsidRPr="0022632F">
        <w:t>oficios.</w:t>
      </w:r>
    </w:p>
    <w:p w14:paraId="6F821906" w14:textId="77777777" w:rsidR="00D43A3A" w:rsidRPr="0022632F" w:rsidRDefault="00D43A3A" w:rsidP="007808E0">
      <w:pPr>
        <w:spacing w:after="0" w:line="360" w:lineRule="auto"/>
      </w:pPr>
    </w:p>
    <w:p w14:paraId="6293B77B" w14:textId="5F63FC48" w:rsidR="00352D6C" w:rsidRPr="0022632F" w:rsidRDefault="00D43A3A" w:rsidP="007808E0">
      <w:pPr>
        <w:spacing w:after="0" w:line="360" w:lineRule="auto"/>
        <w:rPr>
          <w:rFonts w:cs="Tahoma"/>
        </w:rPr>
      </w:pPr>
      <w:r w:rsidRPr="0022632F">
        <w:lastRenderedPageBreak/>
        <w:t xml:space="preserve">Ahora bien, en respuesta </w:t>
      </w:r>
      <w:r w:rsidR="00352D6C" w:rsidRPr="0022632F">
        <w:t xml:space="preserve">el Director de </w:t>
      </w:r>
      <w:r w:rsidR="00352D6C" w:rsidRPr="0022632F">
        <w:rPr>
          <w:rFonts w:cs="Tahoma"/>
        </w:rPr>
        <w:t xml:space="preserve">la Unidad de Información, Planeación, Programación y Evaluación entregó </w:t>
      </w:r>
      <w:r w:rsidR="005B31FA" w:rsidRPr="0022632F">
        <w:rPr>
          <w:rFonts w:cs="Tahoma"/>
        </w:rPr>
        <w:t>cuatro cuadros que contienen el número de oficio, fecha, destinatario, asunto y observaciones</w:t>
      </w:r>
      <w:r w:rsidR="00D44204" w:rsidRPr="0022632F">
        <w:rPr>
          <w:rFonts w:cs="Tahoma"/>
        </w:rPr>
        <w:t xml:space="preserve">, de los meses de enero, febrero, marzo y abril de dos mil veinticinco, como se muestra </w:t>
      </w:r>
      <w:r w:rsidR="00D7408F" w:rsidRPr="0022632F">
        <w:rPr>
          <w:rFonts w:cs="Tahoma"/>
        </w:rPr>
        <w:t>en los extractos siguientes</w:t>
      </w:r>
      <w:r w:rsidR="00D44204" w:rsidRPr="0022632F">
        <w:rPr>
          <w:rFonts w:cs="Tahoma"/>
        </w:rPr>
        <w:t>:</w:t>
      </w:r>
    </w:p>
    <w:p w14:paraId="7DD319ED" w14:textId="77777777" w:rsidR="00D44204" w:rsidRPr="0022632F" w:rsidRDefault="00D44204" w:rsidP="007808E0">
      <w:pPr>
        <w:spacing w:after="0" w:line="360" w:lineRule="auto"/>
        <w:rPr>
          <w:rFonts w:cs="Tahoma"/>
        </w:rPr>
      </w:pPr>
    </w:p>
    <w:p w14:paraId="2F431E6A" w14:textId="40CCDEB7" w:rsidR="00D7408F" w:rsidRPr="0022632F" w:rsidRDefault="00D7408F" w:rsidP="00D7408F">
      <w:pPr>
        <w:spacing w:after="0" w:line="360" w:lineRule="auto"/>
        <w:jc w:val="center"/>
        <w:rPr>
          <w:rFonts w:cs="Tahoma"/>
        </w:rPr>
      </w:pPr>
      <w:r w:rsidRPr="0022632F">
        <w:rPr>
          <w:rFonts w:cs="Tahoma"/>
          <w:noProof/>
        </w:rPr>
        <w:drawing>
          <wp:inline distT="0" distB="0" distL="0" distR="0" wp14:anchorId="0E88E607" wp14:editId="763150DA">
            <wp:extent cx="5671185" cy="2192655"/>
            <wp:effectExtent l="0" t="0" r="5715" b="0"/>
            <wp:docPr id="1723076485" name="Imagen 1" descr="Una 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76485" name="Imagen 1" descr="Una captura de pantalla de un celular&#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671185" cy="2192655"/>
                    </a:xfrm>
                    <a:prstGeom prst="rect">
                      <a:avLst/>
                    </a:prstGeom>
                  </pic:spPr>
                </pic:pic>
              </a:graphicData>
            </a:graphic>
          </wp:inline>
        </w:drawing>
      </w:r>
    </w:p>
    <w:p w14:paraId="26A0AC98" w14:textId="05C7D41F" w:rsidR="00D7408F" w:rsidRPr="0022632F" w:rsidRDefault="00D7408F" w:rsidP="00D7408F">
      <w:pPr>
        <w:spacing w:after="0" w:line="360" w:lineRule="auto"/>
        <w:jc w:val="center"/>
        <w:rPr>
          <w:rFonts w:cs="Tahoma"/>
        </w:rPr>
      </w:pPr>
      <w:r w:rsidRPr="0022632F">
        <w:rPr>
          <w:rFonts w:cs="Tahoma"/>
          <w:noProof/>
        </w:rPr>
        <w:drawing>
          <wp:inline distT="0" distB="0" distL="0" distR="0" wp14:anchorId="5E214CB4" wp14:editId="1C0D5F86">
            <wp:extent cx="5671185" cy="1636395"/>
            <wp:effectExtent l="0" t="0" r="5715" b="1905"/>
            <wp:docPr id="822993585" name="Imagen 2" descr="Imagen de la pantalla de un celular de un mensaje e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93585" name="Imagen 2" descr="Imagen de la pantalla de un celular de un mensaje en letras blancas&#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5671185" cy="1636395"/>
                    </a:xfrm>
                    <a:prstGeom prst="rect">
                      <a:avLst/>
                    </a:prstGeom>
                  </pic:spPr>
                </pic:pic>
              </a:graphicData>
            </a:graphic>
          </wp:inline>
        </w:drawing>
      </w:r>
    </w:p>
    <w:p w14:paraId="1B1A2606" w14:textId="657631C7" w:rsidR="00D7408F" w:rsidRPr="0022632F" w:rsidRDefault="00D7408F" w:rsidP="00D7408F">
      <w:pPr>
        <w:spacing w:after="0" w:line="360" w:lineRule="auto"/>
        <w:jc w:val="center"/>
        <w:rPr>
          <w:rFonts w:cs="Tahoma"/>
        </w:rPr>
      </w:pPr>
      <w:r w:rsidRPr="0022632F">
        <w:rPr>
          <w:rFonts w:cs="Tahoma"/>
          <w:noProof/>
        </w:rPr>
        <w:drawing>
          <wp:inline distT="0" distB="0" distL="0" distR="0" wp14:anchorId="02607D8F" wp14:editId="4EBF7978">
            <wp:extent cx="5671185" cy="1726565"/>
            <wp:effectExtent l="0" t="0" r="5715" b="6985"/>
            <wp:docPr id="7026972" name="Imagen 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972" name="Imagen 3" descr="Tabl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671185" cy="1726565"/>
                    </a:xfrm>
                    <a:prstGeom prst="rect">
                      <a:avLst/>
                    </a:prstGeom>
                  </pic:spPr>
                </pic:pic>
              </a:graphicData>
            </a:graphic>
          </wp:inline>
        </w:drawing>
      </w:r>
    </w:p>
    <w:p w14:paraId="020125D6" w14:textId="2347111E" w:rsidR="00D7408F" w:rsidRPr="0022632F" w:rsidRDefault="00D7408F" w:rsidP="00D7408F">
      <w:pPr>
        <w:spacing w:after="0" w:line="360" w:lineRule="auto"/>
        <w:jc w:val="center"/>
        <w:rPr>
          <w:rFonts w:cs="Tahoma"/>
        </w:rPr>
      </w:pPr>
      <w:r w:rsidRPr="0022632F">
        <w:rPr>
          <w:rFonts w:cs="Tahoma"/>
          <w:noProof/>
        </w:rPr>
        <w:lastRenderedPageBreak/>
        <w:drawing>
          <wp:inline distT="0" distB="0" distL="0" distR="0" wp14:anchorId="78687C70" wp14:editId="720C608F">
            <wp:extent cx="5671185" cy="1756410"/>
            <wp:effectExtent l="0" t="0" r="5715" b="0"/>
            <wp:docPr id="371112052" name="Imagen 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12052" name="Imagen 4" descr="Interfaz de usuario gráfic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5671185" cy="1756410"/>
                    </a:xfrm>
                    <a:prstGeom prst="rect">
                      <a:avLst/>
                    </a:prstGeom>
                  </pic:spPr>
                </pic:pic>
              </a:graphicData>
            </a:graphic>
          </wp:inline>
        </w:drawing>
      </w:r>
    </w:p>
    <w:p w14:paraId="5F9755E6" w14:textId="77777777" w:rsidR="00D7408F" w:rsidRPr="0022632F" w:rsidRDefault="00D7408F" w:rsidP="00D7408F">
      <w:pPr>
        <w:spacing w:after="0" w:line="360" w:lineRule="auto"/>
        <w:jc w:val="center"/>
        <w:rPr>
          <w:rFonts w:cs="Tahoma"/>
        </w:rPr>
      </w:pPr>
    </w:p>
    <w:p w14:paraId="243381C7" w14:textId="36BC6C0B" w:rsidR="00CE5435" w:rsidRPr="0022632F" w:rsidRDefault="00E370A1" w:rsidP="00CE5435">
      <w:pPr>
        <w:spacing w:after="0" w:line="360" w:lineRule="auto"/>
        <w:contextualSpacing/>
        <w:rPr>
          <w:rFonts w:cs="Tahoma"/>
          <w:lang w:val="es-ES"/>
        </w:rPr>
      </w:pPr>
      <w:r w:rsidRPr="0022632F">
        <w:rPr>
          <w:rFonts w:cs="Tahoma"/>
        </w:rPr>
        <w:t xml:space="preserve">En ese sentido, </w:t>
      </w:r>
      <w:r w:rsidR="00C4414F" w:rsidRPr="0022632F">
        <w:rPr>
          <w:rFonts w:cs="Tahoma"/>
        </w:rPr>
        <w:t xml:space="preserve">si bien entregó una relación de todos los oficios firmados por el </w:t>
      </w:r>
      <w:r w:rsidR="00C4414F" w:rsidRPr="0022632F">
        <w:t xml:space="preserve">Director de </w:t>
      </w:r>
      <w:r w:rsidR="00C4414F" w:rsidRPr="0022632F">
        <w:rPr>
          <w:rFonts w:cs="Tahoma"/>
        </w:rPr>
        <w:t>la Unidad de Información, Planeación, Programación y Evaluación</w:t>
      </w:r>
      <w:r w:rsidR="00CE5435" w:rsidRPr="0022632F">
        <w:rPr>
          <w:rFonts w:cs="Tahoma"/>
        </w:rPr>
        <w:t xml:space="preserve">, lo requerido por el Particular son los oficios, por lo que, </w:t>
      </w:r>
      <w:r w:rsidR="00CE5435" w:rsidRPr="0022632F">
        <w:rPr>
          <w:color w:val="000000"/>
          <w:lang w:eastAsia="es-ES_tradnl"/>
        </w:rPr>
        <w:t xml:space="preserve">se concluye que </w:t>
      </w:r>
      <w:r w:rsidR="00CE5435" w:rsidRPr="0022632F">
        <w:rPr>
          <w:rFonts w:eastAsia="Times New Roman" w:cs="Tahoma"/>
          <w:bCs/>
          <w:iCs/>
          <w:lang w:eastAsia="es-ES"/>
        </w:rPr>
        <w:t xml:space="preserve">el Sujeto Obligado </w:t>
      </w:r>
      <w:r w:rsidR="00CE5435" w:rsidRPr="0022632F">
        <w:rPr>
          <w:color w:val="000000"/>
          <w:lang w:eastAsia="es-ES_tradnl"/>
        </w:rPr>
        <w:t xml:space="preserve">no satisfizo el derecho de acceso a la información del Solicitante, al no entregar </w:t>
      </w:r>
      <w:r w:rsidR="00CE5435" w:rsidRPr="0022632F">
        <w:rPr>
          <w:rFonts w:eastAsia="Times New Roman" w:cs="Tahoma"/>
          <w:bCs/>
          <w:iCs/>
          <w:lang w:eastAsia="es-ES"/>
        </w:rPr>
        <w:t xml:space="preserve">los oficios mencionados, </w:t>
      </w:r>
      <w:r w:rsidR="00CE5435" w:rsidRPr="0022632F">
        <w:rPr>
          <w:color w:val="000000"/>
          <w:lang w:eastAsia="es-ES_tradnl"/>
        </w:rPr>
        <w:t xml:space="preserve">lo cual da como resultado que el agravio sea </w:t>
      </w:r>
      <w:r w:rsidR="00CE5435" w:rsidRPr="0022632F">
        <w:rPr>
          <w:b/>
          <w:color w:val="000000"/>
          <w:lang w:eastAsia="es-ES_tradnl"/>
        </w:rPr>
        <w:t xml:space="preserve">FUNDADO; </w:t>
      </w:r>
      <w:r w:rsidR="00CE5435" w:rsidRPr="0022632F">
        <w:rPr>
          <w:bCs/>
          <w:color w:val="000000"/>
          <w:lang w:eastAsia="es-ES_tradnl"/>
        </w:rPr>
        <w:t xml:space="preserve">no obstante, durante la sustanciación del medio de impugnación, el Sujeto Obligado </w:t>
      </w:r>
      <w:r w:rsidR="00CE5435" w:rsidRPr="0022632F">
        <w:rPr>
          <w:szCs w:val="20"/>
        </w:rPr>
        <w:t xml:space="preserve">mencionó que debido </w:t>
      </w:r>
      <w:r w:rsidR="00CE5435" w:rsidRPr="0022632F">
        <w:rPr>
          <w:rFonts w:eastAsia="Calibri" w:cs="Tahoma"/>
        </w:rPr>
        <w:t xml:space="preserve">a que la capacidad técnica, administrativa, humana y material se encuentra rebasada en exceso por un incremento inusual y atípico en el número de solicitudes de información ingresadas mediante la plataforma SAIMEX, </w:t>
      </w:r>
      <w:r w:rsidR="00CE5435" w:rsidRPr="0022632F">
        <w:rPr>
          <w:szCs w:val="20"/>
        </w:rPr>
        <w:t xml:space="preserve">se </w:t>
      </w:r>
      <w:r w:rsidR="00CE5435" w:rsidRPr="0022632F">
        <w:rPr>
          <w:rFonts w:eastAsia="Calibri" w:cs="Tahoma"/>
        </w:rPr>
        <w:t xml:space="preserve">cambia de modalidad a consulta directa </w:t>
      </w:r>
      <w:r w:rsidR="00CE5435" w:rsidRPr="0022632F">
        <w:rPr>
          <w:szCs w:val="20"/>
        </w:rPr>
        <w:t xml:space="preserve">en sus oficinas; </w:t>
      </w:r>
      <w:r w:rsidR="00CE5435" w:rsidRPr="0022632F">
        <w:rPr>
          <w:rFonts w:cs="Tahoma"/>
          <w:iCs/>
          <w:szCs w:val="24"/>
          <w:lang w:val="es-ES_tradnl"/>
        </w:rPr>
        <w:t>por lo que, se procede analizar si procede el cambio de modalidad. A</w:t>
      </w:r>
      <w:r w:rsidR="00CE5435" w:rsidRPr="0022632F">
        <w:rPr>
          <w:rFonts w:cs="Tahoma"/>
          <w:lang w:val="es-ES"/>
        </w:rPr>
        <w:t>l respecto, cabe recordar que se requirió la información, a través del Sistema de Acceso a Información Mexiquense (SAIMEX).</w:t>
      </w:r>
    </w:p>
    <w:p w14:paraId="40E0A7F0" w14:textId="77777777" w:rsidR="00CE5435" w:rsidRPr="0022632F" w:rsidRDefault="00CE5435" w:rsidP="00CE5435">
      <w:pPr>
        <w:spacing w:after="0" w:line="360" w:lineRule="auto"/>
        <w:contextualSpacing/>
        <w:rPr>
          <w:rFonts w:cs="Tahoma"/>
          <w:lang w:val="es-ES"/>
        </w:rPr>
      </w:pPr>
    </w:p>
    <w:p w14:paraId="0E515F18" w14:textId="77777777" w:rsidR="00CE5435" w:rsidRPr="0022632F" w:rsidRDefault="00CE5435" w:rsidP="00CE5435">
      <w:pPr>
        <w:spacing w:after="0" w:line="360" w:lineRule="auto"/>
      </w:pPr>
      <w:r w:rsidRPr="0022632F">
        <w:rPr>
          <w:color w:val="0D0D0D"/>
        </w:rPr>
        <w:t>En ese sentido,</w:t>
      </w:r>
      <w:r w:rsidRPr="0022632F">
        <w:t xml:space="preserve"> el artículo 155, fracción V, de la Ley de Transparencia y Acceso a la Información Pública del Estado de México y Municipios, precisa que para presentar una solicitud, el particular podrá señalar </w:t>
      </w:r>
      <w:r w:rsidRPr="0022632F">
        <w:rPr>
          <w:b/>
        </w:rPr>
        <w:t>la modalidad en la que prefiere se otorgue el acceso a la información</w:t>
      </w:r>
      <w:r w:rsidRPr="0022632F">
        <w:t>, la cual podrá ser verbal, siempre y cuando sea para fines de orientación, mediante consulta directa, mediante la expedición de copias simples o certificadas o la reproducción en cualquier otro medio, incluidos los electrónicos.</w:t>
      </w:r>
    </w:p>
    <w:p w14:paraId="0C34CF83" w14:textId="77777777" w:rsidR="00CE5435" w:rsidRPr="0022632F" w:rsidRDefault="00CE5435" w:rsidP="00CE5435">
      <w:pPr>
        <w:spacing w:after="0" w:line="360" w:lineRule="auto"/>
        <w:rPr>
          <w:b/>
        </w:rPr>
      </w:pPr>
      <w:r w:rsidRPr="0022632F">
        <w:lastRenderedPageBreak/>
        <w:t xml:space="preserve">El artículo 158, dispone que, de manera excepcional, cuando de manera fundada y motivada lo determine el Sujeto Obligado, </w:t>
      </w:r>
      <w:r w:rsidRPr="0022632F">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61099BD8" w14:textId="77777777" w:rsidR="00CE5435" w:rsidRPr="0022632F" w:rsidRDefault="00CE5435" w:rsidP="00CE5435">
      <w:pPr>
        <w:spacing w:after="0" w:line="360" w:lineRule="auto"/>
        <w:rPr>
          <w:b/>
        </w:rPr>
      </w:pPr>
    </w:p>
    <w:p w14:paraId="48ACA3B5" w14:textId="77777777" w:rsidR="00CE5435" w:rsidRPr="0022632F" w:rsidRDefault="00CE5435" w:rsidP="00CE5435">
      <w:pPr>
        <w:spacing w:after="0" w:line="360" w:lineRule="auto"/>
      </w:pPr>
      <w:r w:rsidRPr="0022632F">
        <w:t xml:space="preserve">En ese orden de ideas, el artículo 164 de dicho ordenamiento jurídico, prevé que el acceso se dará en la modalidad de entrega y, en su caso, de envío elegidos por al solicitante. </w:t>
      </w:r>
      <w:r w:rsidRPr="0022632F">
        <w:rPr>
          <w:b/>
        </w:rPr>
        <w:t>Cuando la información no pueda entregarse o enviarse en la modalidad elegida, el sujeto obligado deberá ofrecer otra u otras modalidades de entrega.</w:t>
      </w:r>
      <w:r w:rsidRPr="0022632F">
        <w:t xml:space="preserve"> En cualquier caso, </w:t>
      </w:r>
      <w:r w:rsidRPr="0022632F">
        <w:rPr>
          <w:b/>
        </w:rPr>
        <w:t>se deberá fundar y motivar</w:t>
      </w:r>
      <w:r w:rsidRPr="0022632F">
        <w:t xml:space="preserve"> la necesidad de ofrecer otras modalidades.</w:t>
      </w:r>
    </w:p>
    <w:p w14:paraId="2211225C" w14:textId="77777777" w:rsidR="00CE5435" w:rsidRPr="0022632F" w:rsidRDefault="00CE5435" w:rsidP="00CE5435">
      <w:pPr>
        <w:spacing w:after="0" w:line="360" w:lineRule="auto"/>
      </w:pPr>
    </w:p>
    <w:p w14:paraId="065FE177" w14:textId="77777777" w:rsidR="00CE5435" w:rsidRPr="0022632F" w:rsidRDefault="00CE5435" w:rsidP="00CE5435">
      <w:pPr>
        <w:spacing w:after="0" w:line="360" w:lineRule="auto"/>
        <w:contextualSpacing/>
        <w:rPr>
          <w:rFonts w:cs="Tahoma"/>
          <w:b/>
          <w:bCs/>
          <w:iCs/>
        </w:rPr>
      </w:pPr>
      <w:r w:rsidRPr="0022632F">
        <w:rPr>
          <w:rFonts w:cs="Tahoma"/>
          <w:bCs/>
          <w:iCs/>
        </w:rPr>
        <w:t xml:space="preserve">En tales consideraciones, la entrega de la información deberá hacerse, </w:t>
      </w:r>
      <w:r w:rsidRPr="0022632F">
        <w:rPr>
          <w:rFonts w:cs="Tahoma"/>
          <w:b/>
          <w:bCs/>
          <w:iCs/>
        </w:rPr>
        <w:t>en la medida de lo posible, en la forma solicitada por el interesado, salvo que exista un impedimento justificado para atenderla</w:t>
      </w:r>
      <w:r w:rsidRPr="0022632F">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22632F">
        <w:rPr>
          <w:rFonts w:cs="Tahoma"/>
          <w:b/>
          <w:bCs/>
          <w:iCs/>
        </w:rPr>
        <w:t xml:space="preserve">sólo procede, en caso de que se acredite la imposibilidad de atenderla. </w:t>
      </w:r>
    </w:p>
    <w:p w14:paraId="275954FE" w14:textId="77777777" w:rsidR="00CE5435" w:rsidRPr="0022632F" w:rsidRDefault="00CE5435" w:rsidP="00CE5435">
      <w:pPr>
        <w:spacing w:after="0" w:line="360" w:lineRule="auto"/>
        <w:contextualSpacing/>
        <w:rPr>
          <w:rFonts w:eastAsia="Calibri" w:cs="Tahoma"/>
          <w:bCs/>
        </w:rPr>
      </w:pPr>
    </w:p>
    <w:p w14:paraId="291E680C" w14:textId="77777777" w:rsidR="00CE5435" w:rsidRPr="0022632F" w:rsidRDefault="00CE5435" w:rsidP="00CE5435">
      <w:pPr>
        <w:spacing w:after="0" w:line="360" w:lineRule="auto"/>
        <w:contextualSpacing/>
        <w:rPr>
          <w:rFonts w:eastAsia="Calibri" w:cs="Tahoma"/>
          <w:b/>
        </w:rPr>
      </w:pPr>
      <w:bookmarkStart w:id="15" w:name="_Hlk144892817"/>
      <w:r w:rsidRPr="0022632F">
        <w:rPr>
          <w:rFonts w:eastAsia="Calibri" w:cs="Tahoma"/>
          <w:bCs/>
          <w:color w:val="auto"/>
          <w:lang w:val="es-ES"/>
        </w:rPr>
        <w:t xml:space="preserve">Así, cuando se justifique el impedimento, </w:t>
      </w:r>
      <w:r w:rsidRPr="0022632F">
        <w:rPr>
          <w:rFonts w:eastAsia="Calibri" w:cs="Tahoma"/>
          <w:b/>
          <w:bCs/>
          <w:color w:val="auto"/>
          <w:lang w:val="es-ES"/>
        </w:rPr>
        <w:t>los Sujetos Obligados deberán ofrecer al particular otras modalidades de entrega que permita la información</w:t>
      </w:r>
      <w:r w:rsidRPr="0022632F">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que</w:t>
      </w:r>
      <w:r w:rsidRPr="0022632F">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w:t>
      </w:r>
      <w:r w:rsidRPr="0022632F">
        <w:rPr>
          <w:rFonts w:eastAsia="Calibri" w:cs="Tahoma"/>
          <w:bCs/>
        </w:rPr>
        <w:lastRenderedPageBreak/>
        <w:t xml:space="preserve">misma y se notifique al particular la puesta a disposición de la </w:t>
      </w:r>
      <w:r w:rsidRPr="0022632F">
        <w:rPr>
          <w:rFonts w:eastAsia="Calibri" w:cs="Tahoma"/>
          <w:b/>
        </w:rPr>
        <w:t>información en todas las modalidades que lo permitan, procurando reducir los costos de entrega.</w:t>
      </w:r>
    </w:p>
    <w:bookmarkEnd w:id="15"/>
    <w:p w14:paraId="0E8A4AB0" w14:textId="77777777" w:rsidR="00CE5435" w:rsidRPr="0022632F" w:rsidRDefault="00CE5435" w:rsidP="00CE5435">
      <w:pPr>
        <w:spacing w:after="0" w:line="360" w:lineRule="auto"/>
        <w:contextualSpacing/>
        <w:rPr>
          <w:rFonts w:eastAsia="Times New Roman" w:cs="Tahoma"/>
          <w:lang w:eastAsia="es-ES"/>
        </w:rPr>
      </w:pPr>
    </w:p>
    <w:p w14:paraId="6A5FE97F" w14:textId="77777777" w:rsidR="00CE5435" w:rsidRPr="0022632F" w:rsidRDefault="00CE5435" w:rsidP="00CE5435">
      <w:pPr>
        <w:widowControl w:val="0"/>
        <w:spacing w:after="0" w:line="360" w:lineRule="auto"/>
        <w:contextualSpacing/>
        <w:rPr>
          <w:rFonts w:eastAsia="Calibri" w:cs="Tahoma"/>
          <w:bCs/>
        </w:rPr>
      </w:pPr>
      <w:r w:rsidRPr="0022632F">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C8DA9BD" w14:textId="77777777" w:rsidR="00CE5435" w:rsidRPr="0022632F" w:rsidRDefault="00CE5435" w:rsidP="00CE5435">
      <w:pPr>
        <w:widowControl w:val="0"/>
        <w:spacing w:after="0" w:line="360" w:lineRule="auto"/>
        <w:contextualSpacing/>
        <w:rPr>
          <w:rFonts w:eastAsia="Calibri" w:cs="Tahoma"/>
          <w:bCs/>
        </w:rPr>
      </w:pPr>
    </w:p>
    <w:p w14:paraId="61B5BA7C" w14:textId="77777777" w:rsidR="00CE5435" w:rsidRPr="0022632F" w:rsidRDefault="00CE5435" w:rsidP="00CE5435">
      <w:pPr>
        <w:numPr>
          <w:ilvl w:val="0"/>
          <w:numId w:val="28"/>
        </w:numPr>
        <w:spacing w:after="0" w:line="360" w:lineRule="auto"/>
        <w:contextualSpacing/>
        <w:rPr>
          <w:rFonts w:eastAsia="Calibri" w:cs="Tahoma"/>
          <w:bCs/>
        </w:rPr>
      </w:pPr>
      <w:r w:rsidRPr="0022632F">
        <w:rPr>
          <w:rFonts w:eastAsia="Calibri" w:cs="Tahoma"/>
          <w:bCs/>
        </w:rPr>
        <w:t>Las razones por las cuales la información implicaba un análisis, estudio o procesamiento de datos;</w:t>
      </w:r>
    </w:p>
    <w:p w14:paraId="13C00695" w14:textId="77777777" w:rsidR="00CE5435" w:rsidRPr="0022632F" w:rsidRDefault="00CE5435" w:rsidP="00CE5435">
      <w:pPr>
        <w:spacing w:after="0" w:line="360" w:lineRule="auto"/>
        <w:ind w:left="720"/>
        <w:contextualSpacing/>
        <w:rPr>
          <w:rFonts w:eastAsia="Calibri" w:cs="Tahoma"/>
          <w:bCs/>
        </w:rPr>
      </w:pPr>
    </w:p>
    <w:p w14:paraId="48C94C4F" w14:textId="77777777" w:rsidR="00CE5435" w:rsidRPr="0022632F" w:rsidRDefault="00CE5435" w:rsidP="00CE5435">
      <w:pPr>
        <w:numPr>
          <w:ilvl w:val="0"/>
          <w:numId w:val="28"/>
        </w:numPr>
        <w:spacing w:after="0" w:line="360" w:lineRule="auto"/>
        <w:contextualSpacing/>
        <w:rPr>
          <w:rFonts w:eastAsia="Calibri" w:cs="Tahoma"/>
          <w:bCs/>
        </w:rPr>
      </w:pPr>
      <w:r w:rsidRPr="0022632F">
        <w:rPr>
          <w:rFonts w:cs="Tahoma"/>
          <w:iCs/>
        </w:rPr>
        <w:t>Por qué motivo el tiempo, que se le otorga al Sujeto Obligado para dar respuesta, en la modalidad elegida a la solicitud de información, no le es suficiente</w:t>
      </w:r>
      <w:r w:rsidRPr="0022632F">
        <w:rPr>
          <w:rFonts w:eastAsia="Calibri" w:cs="Tahoma"/>
          <w:bCs/>
        </w:rPr>
        <w:t>, y</w:t>
      </w:r>
    </w:p>
    <w:p w14:paraId="6D8145CB" w14:textId="77777777" w:rsidR="00CE5435" w:rsidRPr="0022632F" w:rsidRDefault="00CE5435" w:rsidP="00CE5435">
      <w:pPr>
        <w:pStyle w:val="Prrafodelista"/>
        <w:spacing w:line="360" w:lineRule="auto"/>
        <w:rPr>
          <w:rFonts w:eastAsia="Calibri" w:cs="Tahoma"/>
          <w:bCs/>
        </w:rPr>
      </w:pPr>
    </w:p>
    <w:p w14:paraId="135F6772" w14:textId="77777777" w:rsidR="00CE5435" w:rsidRPr="0022632F" w:rsidRDefault="00CE5435" w:rsidP="00CE5435">
      <w:pPr>
        <w:numPr>
          <w:ilvl w:val="0"/>
          <w:numId w:val="28"/>
        </w:numPr>
        <w:spacing w:after="0" w:line="360" w:lineRule="auto"/>
        <w:contextualSpacing/>
        <w:rPr>
          <w:rFonts w:eastAsia="Calibri" w:cs="Tahoma"/>
          <w:bCs/>
        </w:rPr>
      </w:pPr>
      <w:r w:rsidRPr="0022632F">
        <w:rPr>
          <w:rFonts w:eastAsia="Calibri" w:cs="Tahoma"/>
          <w:bCs/>
        </w:rPr>
        <w:t>La cantidad de recursos humanos y materiales con los que cuenta el Sujeto Obligado son insuficientes.</w:t>
      </w:r>
    </w:p>
    <w:p w14:paraId="4E104D11" w14:textId="77777777" w:rsidR="00CE5435" w:rsidRPr="0022632F" w:rsidRDefault="00CE5435" w:rsidP="00CE5435">
      <w:pPr>
        <w:spacing w:after="0" w:line="360" w:lineRule="auto"/>
        <w:ind w:right="-28"/>
        <w:rPr>
          <w:color w:val="000000"/>
        </w:rPr>
      </w:pPr>
    </w:p>
    <w:p w14:paraId="6269580B" w14:textId="77777777" w:rsidR="00CE5435" w:rsidRPr="0022632F" w:rsidRDefault="00CE5435" w:rsidP="00CE5435">
      <w:pPr>
        <w:spacing w:after="0" w:line="360" w:lineRule="auto"/>
        <w:ind w:right="-28"/>
      </w:pPr>
      <w:r w:rsidRPr="0022632F">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E639A26" w14:textId="77777777" w:rsidR="00CE5435" w:rsidRPr="0022632F" w:rsidRDefault="00CE5435" w:rsidP="00CE5435">
      <w:pPr>
        <w:spacing w:after="0" w:line="360" w:lineRule="auto"/>
        <w:ind w:right="-28"/>
      </w:pPr>
    </w:p>
    <w:p w14:paraId="4E1DA32F" w14:textId="77777777" w:rsidR="00CE5435" w:rsidRPr="0022632F" w:rsidRDefault="00CE5435" w:rsidP="00CE5435">
      <w:pPr>
        <w:autoSpaceDE w:val="0"/>
        <w:autoSpaceDN w:val="0"/>
        <w:adjustRightInd w:val="0"/>
        <w:spacing w:after="0" w:line="360" w:lineRule="auto"/>
        <w:rPr>
          <w:rFonts w:eastAsia="Calibri" w:cs="Tahoma"/>
          <w:szCs w:val="24"/>
        </w:rPr>
      </w:pPr>
      <w:r w:rsidRPr="0022632F">
        <w:rPr>
          <w:rFonts w:eastAsia="Calibri" w:cs="Tahoma"/>
          <w:bCs/>
          <w:iCs/>
        </w:rPr>
        <w:t xml:space="preserve">Sobre dicha circunstancia, </w:t>
      </w:r>
      <w:r w:rsidRPr="0022632F">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22632F">
        <w:rPr>
          <w:rFonts w:cs="Tahoma"/>
          <w:b/>
          <w:bCs/>
          <w:szCs w:val="24"/>
        </w:rPr>
        <w:t>quinientos megabytes</w:t>
      </w:r>
      <w:r w:rsidRPr="0022632F">
        <w:rPr>
          <w:rFonts w:cs="Tahoma"/>
          <w:szCs w:val="24"/>
        </w:rPr>
        <w:t xml:space="preserve"> o su equivalente a </w:t>
      </w:r>
      <w:r w:rsidRPr="0022632F">
        <w:rPr>
          <w:rFonts w:cs="Tahoma"/>
          <w:b/>
          <w:bCs/>
          <w:szCs w:val="24"/>
        </w:rPr>
        <w:t>ocho mil fojas</w:t>
      </w:r>
      <w:r w:rsidRPr="0022632F">
        <w:rPr>
          <w:rFonts w:cs="Tahoma"/>
          <w:szCs w:val="24"/>
        </w:rPr>
        <w:t>.</w:t>
      </w:r>
    </w:p>
    <w:p w14:paraId="620A13D2" w14:textId="77777777" w:rsidR="00CE5435" w:rsidRPr="0022632F" w:rsidRDefault="00CE5435" w:rsidP="00CE5435">
      <w:pPr>
        <w:spacing w:after="0" w:line="360" w:lineRule="auto"/>
        <w:ind w:right="-28"/>
      </w:pPr>
    </w:p>
    <w:p w14:paraId="26418D69" w14:textId="631E5E4E" w:rsidR="00CE5435" w:rsidRPr="0022632F" w:rsidRDefault="00CE5435" w:rsidP="00CE5435">
      <w:pPr>
        <w:spacing w:after="0" w:line="360" w:lineRule="auto"/>
        <w:ind w:right="-28"/>
        <w:contextualSpacing/>
        <w:rPr>
          <w:rFonts w:eastAsia="Calibri" w:cs="Tahoma"/>
          <w:bCs/>
          <w:color w:val="000000"/>
          <w:lang w:val="es-ES"/>
        </w:rPr>
      </w:pPr>
      <w:r w:rsidRPr="0022632F">
        <w:rPr>
          <w:rFonts w:eastAsia="Calibri" w:cs="Tahoma"/>
          <w:bCs/>
          <w:color w:val="000000"/>
          <w:lang w:val="es-ES"/>
        </w:rPr>
        <w:t xml:space="preserve">Sobre esta situación, es necesario precisar que la Titular de la Unidad de Transparencia mencionó que pone a disposición en consulta directa en sus oficinas los oficios mencionados en respuesta, es decir, </w:t>
      </w:r>
      <w:r w:rsidR="00401A82" w:rsidRPr="0022632F">
        <w:rPr>
          <w:rFonts w:eastAsia="Calibri" w:cs="Tahoma"/>
          <w:bCs/>
          <w:color w:val="000000"/>
          <w:lang w:val="es-ES"/>
        </w:rPr>
        <w:t xml:space="preserve">de conformidad con la relación de oficios entregados en respuesta </w:t>
      </w:r>
      <w:r w:rsidRPr="0022632F">
        <w:rPr>
          <w:rFonts w:eastAsia="Calibri" w:cs="Tahoma"/>
          <w:bCs/>
          <w:color w:val="000000"/>
          <w:lang w:val="es-ES"/>
        </w:rPr>
        <w:t xml:space="preserve">son </w:t>
      </w:r>
      <w:r w:rsidR="00401A82" w:rsidRPr="0022632F">
        <w:rPr>
          <w:rFonts w:eastAsia="Calibri" w:cs="Tahoma"/>
          <w:bCs/>
          <w:color w:val="000000"/>
          <w:lang w:val="es-ES"/>
        </w:rPr>
        <w:t xml:space="preserve">un total de </w:t>
      </w:r>
      <w:r w:rsidRPr="0022632F">
        <w:rPr>
          <w:rFonts w:eastAsia="Calibri" w:cs="Tahoma"/>
          <w:bCs/>
          <w:color w:val="000000"/>
          <w:lang w:val="es-ES"/>
        </w:rPr>
        <w:t xml:space="preserve">ciento cincuenta oficios </w:t>
      </w:r>
      <w:r w:rsidR="00401A82" w:rsidRPr="0022632F">
        <w:rPr>
          <w:rFonts w:eastAsia="Calibri" w:cs="Tahoma"/>
          <w:bCs/>
          <w:color w:val="000000"/>
          <w:lang w:val="es-ES"/>
        </w:rPr>
        <w:t>de los meses de enero, febrero, marzo y abril de dos mil veinticinco</w:t>
      </w:r>
      <w:r w:rsidR="0090589B" w:rsidRPr="0022632F">
        <w:rPr>
          <w:rFonts w:eastAsia="Calibri" w:cs="Tahoma"/>
          <w:bCs/>
          <w:color w:val="000000"/>
          <w:lang w:val="es-ES"/>
        </w:rPr>
        <w:t>.</w:t>
      </w:r>
    </w:p>
    <w:p w14:paraId="79442E2B" w14:textId="77777777" w:rsidR="0090589B" w:rsidRPr="0022632F" w:rsidRDefault="0090589B" w:rsidP="00CE5435">
      <w:pPr>
        <w:spacing w:after="0" w:line="360" w:lineRule="auto"/>
        <w:ind w:right="-28"/>
        <w:contextualSpacing/>
        <w:rPr>
          <w:rFonts w:eastAsia="Calibri" w:cs="Tahoma"/>
          <w:bCs/>
          <w:color w:val="000000"/>
          <w:lang w:val="es-ES"/>
        </w:rPr>
      </w:pPr>
    </w:p>
    <w:p w14:paraId="3BDAC146" w14:textId="3506129B" w:rsidR="00CE5435" w:rsidRPr="0022632F" w:rsidRDefault="00CE5435" w:rsidP="00CE5435">
      <w:pPr>
        <w:spacing w:after="0" w:line="360" w:lineRule="auto"/>
        <w:ind w:right="-28"/>
        <w:contextualSpacing/>
        <w:rPr>
          <w:rFonts w:cs="Tahoma"/>
          <w:bCs/>
          <w:iCs/>
          <w:lang w:val="es-ES"/>
        </w:rPr>
      </w:pPr>
      <w:r w:rsidRPr="0022632F">
        <w:rPr>
          <w:rFonts w:eastAsia="Calibri" w:cs="Tahoma"/>
          <w:iCs/>
          <w:lang w:val="es-ES" w:eastAsia="es-ES_tradnl"/>
        </w:rPr>
        <w:t xml:space="preserve">En otras palabras, se logra vislumbrar que el Sujeto Obligado no tiene algún impedimento del número de hojas o peso de la información que sobrepasara </w:t>
      </w:r>
      <w:r w:rsidRPr="0022632F">
        <w:rPr>
          <w:rFonts w:cs="Tahoma"/>
          <w:bCs/>
          <w:iCs/>
          <w:lang w:val="es-ES"/>
        </w:rPr>
        <w:t>las capacidades técnicas del sistema SAIMEX, si no que únicamente refirió que no puede entregar o enviar la información faltante en la modalidad solicitada</w:t>
      </w:r>
      <w:r w:rsidR="0090589B" w:rsidRPr="0022632F">
        <w:rPr>
          <w:rFonts w:cs="Tahoma"/>
          <w:bCs/>
          <w:iCs/>
          <w:lang w:val="es-ES"/>
        </w:rPr>
        <w:t xml:space="preserve"> pues </w:t>
      </w:r>
      <w:r w:rsidR="0090589B" w:rsidRPr="0022632F">
        <w:rPr>
          <w:szCs w:val="20"/>
        </w:rPr>
        <w:t xml:space="preserve">debido </w:t>
      </w:r>
      <w:r w:rsidR="0090589B" w:rsidRPr="0022632F">
        <w:rPr>
          <w:rFonts w:eastAsia="Calibri" w:cs="Tahoma"/>
        </w:rPr>
        <w:t>a que la capacidad técnica, administrativa, humana y material se encuentra rebasada en exceso por un incremento inusual y atípico en el número de solicitudes de información</w:t>
      </w:r>
      <w:r w:rsidRPr="0022632F">
        <w:rPr>
          <w:color w:val="000000"/>
        </w:rPr>
        <w:t xml:space="preserve">, es decir, no puede </w:t>
      </w:r>
      <w:r w:rsidRPr="0022632F">
        <w:rPr>
          <w:rFonts w:cs="Tahoma"/>
          <w:bCs/>
          <w:iCs/>
          <w:lang w:val="es-ES"/>
        </w:rPr>
        <w:t xml:space="preserve">ponerla a disposición del Particular a través del SAIMEX. </w:t>
      </w:r>
    </w:p>
    <w:p w14:paraId="523562E2" w14:textId="77777777" w:rsidR="00CE5435" w:rsidRPr="0022632F" w:rsidRDefault="00CE5435" w:rsidP="00CE5435">
      <w:pPr>
        <w:spacing w:after="0" w:line="360" w:lineRule="auto"/>
        <w:ind w:right="-28"/>
        <w:contextualSpacing/>
        <w:rPr>
          <w:rFonts w:eastAsia="Calibri" w:cs="Tahoma"/>
          <w:iCs/>
          <w:lang w:val="es-ES" w:eastAsia="es-ES_tradnl"/>
        </w:rPr>
      </w:pPr>
    </w:p>
    <w:p w14:paraId="651F6ABD" w14:textId="64B8BF9F" w:rsidR="00CE5435" w:rsidRPr="0022632F" w:rsidRDefault="00CE5435" w:rsidP="00CE5435">
      <w:pPr>
        <w:spacing w:after="0" w:line="360" w:lineRule="auto"/>
        <w:rPr>
          <w:rFonts w:cs="Tahoma"/>
        </w:rPr>
      </w:pPr>
      <w:r w:rsidRPr="0022632F">
        <w:t xml:space="preserve">Conforme a lo anterior, se logra vislumbrar que el Sujeto Obligado no tiene algún impedimento para entregar a información vía SAIMEX, por lo que dicha circunstancia robustece el hecho de que no proceda el cambio de modalidad, </w:t>
      </w:r>
      <w:r w:rsidRPr="0022632F">
        <w:rPr>
          <w:color w:val="000000"/>
        </w:rPr>
        <w:t xml:space="preserve">lo cual da como resultado que el agravio sea </w:t>
      </w:r>
      <w:r w:rsidRPr="0022632F">
        <w:rPr>
          <w:b/>
          <w:bCs/>
          <w:color w:val="000000"/>
        </w:rPr>
        <w:t>FUNDADO</w:t>
      </w:r>
      <w:r w:rsidRPr="0022632F">
        <w:rPr>
          <w:rFonts w:eastAsia="Calibri" w:cs="Times New Roman"/>
        </w:rPr>
        <w:t xml:space="preserve">; por lo que, </w:t>
      </w:r>
      <w:r w:rsidRPr="0022632F">
        <w:t>p</w:t>
      </w:r>
      <w:r w:rsidRPr="0022632F">
        <w:rPr>
          <w:color w:val="000000"/>
        </w:rPr>
        <w:t xml:space="preserve">ara atender el requerimiento de la información, </w:t>
      </w:r>
      <w:r w:rsidRPr="0022632F">
        <w:rPr>
          <w:color w:val="000000"/>
        </w:rPr>
        <w:lastRenderedPageBreak/>
        <w:t xml:space="preserve">el Sujeto Obligado deberá </w:t>
      </w:r>
      <w:r w:rsidR="0090589B" w:rsidRPr="0022632F">
        <w:rPr>
          <w:color w:val="000000"/>
        </w:rPr>
        <w:t xml:space="preserve">entregar los oficios firmados por el </w:t>
      </w:r>
      <w:r w:rsidR="0090589B" w:rsidRPr="0022632F">
        <w:t xml:space="preserve">Director de </w:t>
      </w:r>
      <w:r w:rsidR="0090589B" w:rsidRPr="0022632F">
        <w:rPr>
          <w:rFonts w:cs="Tahoma"/>
        </w:rPr>
        <w:t>la Unidad de Información, Planeación, Programación y Evaluación, mencionados en respuesta.</w:t>
      </w:r>
    </w:p>
    <w:p w14:paraId="661B7FC2" w14:textId="77777777" w:rsidR="0090589B" w:rsidRPr="0022632F" w:rsidRDefault="0090589B" w:rsidP="00CE5435">
      <w:pPr>
        <w:spacing w:after="0" w:line="360" w:lineRule="auto"/>
        <w:rPr>
          <w:rFonts w:cs="Tahoma"/>
        </w:rPr>
      </w:pPr>
    </w:p>
    <w:p w14:paraId="4E737D63" w14:textId="77777777" w:rsidR="0090589B" w:rsidRPr="0022632F" w:rsidRDefault="0090589B" w:rsidP="0090589B">
      <w:pPr>
        <w:spacing w:after="0" w:line="360" w:lineRule="auto"/>
        <w:ind w:right="-93"/>
      </w:pPr>
      <w:r w:rsidRPr="0022632F">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F9E2F48" w14:textId="77777777" w:rsidR="0090589B" w:rsidRPr="0022632F" w:rsidRDefault="0090589B" w:rsidP="0090589B">
      <w:pPr>
        <w:widowControl w:val="0"/>
        <w:autoSpaceDE w:val="0"/>
        <w:autoSpaceDN w:val="0"/>
        <w:adjustRightInd w:val="0"/>
        <w:spacing w:after="0" w:line="360" w:lineRule="auto"/>
        <w:contextualSpacing/>
      </w:pPr>
    </w:p>
    <w:p w14:paraId="3288C1B6" w14:textId="77777777" w:rsidR="0090589B" w:rsidRPr="0022632F" w:rsidRDefault="0090589B" w:rsidP="0090589B">
      <w:pPr>
        <w:widowControl w:val="0"/>
        <w:autoSpaceDE w:val="0"/>
        <w:autoSpaceDN w:val="0"/>
        <w:adjustRightInd w:val="0"/>
        <w:spacing w:after="0" w:line="360" w:lineRule="auto"/>
        <w:contextualSpacing/>
      </w:pPr>
      <w:r w:rsidRPr="0022632F">
        <w:t xml:space="preserve">De esta manera, el derecho de acceso a la información pública se satisface en aquellos casos en que se entregue el soporte documental en el que conste la información solicitada, sin necesidad de elaborar documentos </w:t>
      </w:r>
      <w:r w:rsidRPr="0022632F">
        <w:rPr>
          <w:i/>
        </w:rPr>
        <w:t>ad hoc</w:t>
      </w:r>
      <w:r w:rsidRPr="0022632F">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437C33D1" w14:textId="77777777" w:rsidR="0090589B" w:rsidRPr="0022632F" w:rsidRDefault="0090589B" w:rsidP="0090589B">
      <w:pPr>
        <w:widowControl w:val="0"/>
        <w:autoSpaceDE w:val="0"/>
        <w:autoSpaceDN w:val="0"/>
        <w:adjustRightInd w:val="0"/>
        <w:spacing w:after="0" w:line="360" w:lineRule="auto"/>
        <w:contextualSpacing/>
      </w:pPr>
    </w:p>
    <w:p w14:paraId="0EDCA475" w14:textId="3F8F460E" w:rsidR="0090589B" w:rsidRPr="0022632F" w:rsidRDefault="0090589B" w:rsidP="0090589B">
      <w:pPr>
        <w:widowControl w:val="0"/>
        <w:autoSpaceDE w:val="0"/>
        <w:autoSpaceDN w:val="0"/>
        <w:adjustRightInd w:val="0"/>
        <w:spacing w:after="0" w:line="360" w:lineRule="auto"/>
        <w:contextualSpacing/>
      </w:pPr>
      <w:r w:rsidRPr="0022632F">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oficios mencionados en respuesta.</w:t>
      </w:r>
    </w:p>
    <w:p w14:paraId="187F4F78" w14:textId="77777777" w:rsidR="00AD7046" w:rsidRPr="0022632F" w:rsidRDefault="00AD7046" w:rsidP="00AD7046">
      <w:pPr>
        <w:autoSpaceDE w:val="0"/>
        <w:autoSpaceDN w:val="0"/>
        <w:adjustRightInd w:val="0"/>
        <w:spacing w:after="0" w:line="360" w:lineRule="auto"/>
        <w:contextualSpacing/>
      </w:pPr>
    </w:p>
    <w:p w14:paraId="0B6FD9C5" w14:textId="0399F7DC" w:rsidR="00AD1B81" w:rsidRPr="0022632F" w:rsidRDefault="00AD1B81" w:rsidP="00AD7046">
      <w:pPr>
        <w:autoSpaceDE w:val="0"/>
        <w:autoSpaceDN w:val="0"/>
        <w:adjustRightInd w:val="0"/>
        <w:spacing w:after="0" w:line="360" w:lineRule="auto"/>
        <w:contextualSpacing/>
      </w:pPr>
      <w:r w:rsidRPr="0022632F">
        <w:t xml:space="preserve">Además, es de señalar que el Sujeto Obligado señaló que oficios </w:t>
      </w:r>
      <w:r w:rsidR="000F161C" w:rsidRPr="0022632F">
        <w:t xml:space="preserve">que </w:t>
      </w:r>
      <w:r w:rsidRPr="0022632F">
        <w:t>había cancelado y, por lo tanto, no se habían emitido, con lo cual dio cumplimiento al artículo 19, párrafo segundo, de la Ley de Transparencia y Acceso a la Información Pública del Estado de México y Municipios</w:t>
      </w:r>
      <w:r w:rsidR="000F161C" w:rsidRPr="0022632F">
        <w:t xml:space="preserve"> y por lo tanto, de estos no procede su entrega, al ser inexistentes.</w:t>
      </w:r>
    </w:p>
    <w:p w14:paraId="3E9E084B" w14:textId="62ACC7C6" w:rsidR="00AD7046" w:rsidRPr="0022632F" w:rsidRDefault="00AD7046" w:rsidP="00AD7046">
      <w:pPr>
        <w:pBdr>
          <w:top w:val="nil"/>
          <w:left w:val="nil"/>
          <w:bottom w:val="nil"/>
          <w:right w:val="nil"/>
          <w:between w:val="nil"/>
        </w:pBdr>
        <w:spacing w:after="0" w:line="360" w:lineRule="auto"/>
        <w:ind w:right="-30"/>
      </w:pPr>
      <w:r w:rsidRPr="0022632F">
        <w:lastRenderedPageBreak/>
        <w:t>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FB0EC81" w14:textId="77777777" w:rsidR="00AD7046" w:rsidRPr="0022632F" w:rsidRDefault="00AD7046" w:rsidP="00AD7046">
      <w:pPr>
        <w:widowControl w:val="0"/>
        <w:autoSpaceDE w:val="0"/>
        <w:autoSpaceDN w:val="0"/>
        <w:adjustRightInd w:val="0"/>
        <w:spacing w:after="0" w:line="360" w:lineRule="auto"/>
        <w:contextualSpacing/>
        <w:rPr>
          <w:rFonts w:eastAsia="Times New Roman" w:cs="Times New Roman"/>
          <w:bCs/>
          <w:iCs/>
          <w:szCs w:val="20"/>
          <w:lang w:eastAsia="es-ES"/>
        </w:rPr>
      </w:pPr>
    </w:p>
    <w:p w14:paraId="516DE0BC" w14:textId="77777777" w:rsidR="00AD7046" w:rsidRPr="0022632F" w:rsidRDefault="00AD7046" w:rsidP="00333808">
      <w:pPr>
        <w:autoSpaceDE w:val="0"/>
        <w:autoSpaceDN w:val="0"/>
        <w:adjustRightInd w:val="0"/>
        <w:spacing w:after="0" w:line="360" w:lineRule="auto"/>
        <w:contextualSpacing/>
        <w:rPr>
          <w:rFonts w:eastAsia="Times New Roman" w:cs="Times New Roman"/>
          <w:bCs/>
          <w:iCs/>
          <w:szCs w:val="20"/>
          <w:lang w:eastAsia="es-ES"/>
        </w:rPr>
      </w:pPr>
      <w:r w:rsidRPr="0022632F">
        <w:t>P</w:t>
      </w:r>
      <w:r w:rsidRPr="0022632F">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22632F" w:rsidRDefault="001A3C87" w:rsidP="007808E0">
      <w:pPr>
        <w:spacing w:after="0" w:line="360" w:lineRule="auto"/>
        <w:ind w:right="-28"/>
        <w:rPr>
          <w:color w:val="auto"/>
        </w:rPr>
      </w:pPr>
    </w:p>
    <w:p w14:paraId="0CCF70E8" w14:textId="77777777" w:rsidR="00D1318A" w:rsidRPr="0022632F" w:rsidRDefault="00D1318A" w:rsidP="007808E0">
      <w:pPr>
        <w:pStyle w:val="Ttulo2"/>
        <w:spacing w:before="0" w:after="0" w:line="360" w:lineRule="auto"/>
        <w:rPr>
          <w:sz w:val="22"/>
          <w:szCs w:val="22"/>
        </w:rPr>
      </w:pPr>
      <w:bookmarkStart w:id="16" w:name="_Toc207292044"/>
      <w:r w:rsidRPr="0022632F">
        <w:rPr>
          <w:sz w:val="22"/>
          <w:szCs w:val="22"/>
        </w:rPr>
        <w:t>SEXTO. Decisión</w:t>
      </w:r>
      <w:bookmarkEnd w:id="16"/>
    </w:p>
    <w:p w14:paraId="0D2B29DC" w14:textId="77777777" w:rsidR="00D1318A" w:rsidRPr="0022632F" w:rsidRDefault="00D1318A" w:rsidP="007808E0">
      <w:pPr>
        <w:spacing w:after="0" w:line="360" w:lineRule="auto"/>
        <w:contextualSpacing/>
        <w:rPr>
          <w:rFonts w:eastAsia="Calibri" w:cs="Tahoma"/>
          <w:b/>
        </w:rPr>
      </w:pPr>
    </w:p>
    <w:p w14:paraId="4BF18B87" w14:textId="7D1C24E1" w:rsidR="00D1318A" w:rsidRPr="0022632F" w:rsidRDefault="00D1318A" w:rsidP="007808E0">
      <w:pPr>
        <w:spacing w:after="0" w:line="360" w:lineRule="auto"/>
      </w:pPr>
      <w:r w:rsidRPr="0022632F">
        <w:t xml:space="preserve">De acuerdo con lo expuesto y, con fundamento en el artículo 186, fracción III, de la Ley de Transparencia y Acceso a la Información Pública del Estado de México y Municipios, este Instituto considera procedente </w:t>
      </w:r>
      <w:r w:rsidR="00F66940" w:rsidRPr="0022632F">
        <w:rPr>
          <w:b/>
        </w:rPr>
        <w:t>MODIFICAR</w:t>
      </w:r>
      <w:r w:rsidRPr="0022632F">
        <w:rPr>
          <w:b/>
        </w:rPr>
        <w:t xml:space="preserve"> </w:t>
      </w:r>
      <w:r w:rsidRPr="0022632F">
        <w:t>la</w:t>
      </w:r>
      <w:r w:rsidR="002F16B6" w:rsidRPr="0022632F">
        <w:t>s</w:t>
      </w:r>
      <w:r w:rsidRPr="0022632F">
        <w:t xml:space="preserve"> resp</w:t>
      </w:r>
      <w:r w:rsidR="00655068" w:rsidRPr="0022632F">
        <w:t>uesta</w:t>
      </w:r>
      <w:r w:rsidR="002F16B6" w:rsidRPr="0022632F">
        <w:t>s</w:t>
      </w:r>
      <w:r w:rsidR="00655068" w:rsidRPr="0022632F">
        <w:t xml:space="preserve"> del</w:t>
      </w:r>
      <w:r w:rsidR="00F66940" w:rsidRPr="0022632F">
        <w:t xml:space="preserve"> Ayuntamiento de </w:t>
      </w:r>
      <w:r w:rsidR="00806629" w:rsidRPr="0022632F">
        <w:t>Teoloyucan</w:t>
      </w:r>
      <w:r w:rsidRPr="0022632F">
        <w:rPr>
          <w:b/>
        </w:rPr>
        <w:t xml:space="preserve">, </w:t>
      </w:r>
      <w:r w:rsidRPr="0022632F">
        <w:t xml:space="preserve">a efecto de que </w:t>
      </w:r>
      <w:r w:rsidR="004076BD" w:rsidRPr="0022632F">
        <w:t xml:space="preserve">entregue la información </w:t>
      </w:r>
      <w:r w:rsidR="00806629" w:rsidRPr="0022632F">
        <w:t>completa</w:t>
      </w:r>
      <w:r w:rsidR="00715343" w:rsidRPr="0022632F">
        <w:t>.</w:t>
      </w:r>
    </w:p>
    <w:p w14:paraId="13D4A44D" w14:textId="77777777" w:rsidR="004306AC" w:rsidRPr="0022632F" w:rsidRDefault="004306AC" w:rsidP="007808E0">
      <w:pPr>
        <w:spacing w:after="0" w:line="360" w:lineRule="auto"/>
      </w:pPr>
    </w:p>
    <w:p w14:paraId="0C829323" w14:textId="77777777" w:rsidR="00D1318A" w:rsidRPr="0022632F" w:rsidRDefault="00D1318A" w:rsidP="007808E0">
      <w:pPr>
        <w:spacing w:after="0" w:line="360" w:lineRule="auto"/>
        <w:contextualSpacing/>
        <w:rPr>
          <w:rFonts w:eastAsia="Calibri" w:cs="Tahoma"/>
          <w:b/>
          <w:bCs/>
        </w:rPr>
      </w:pPr>
      <w:r w:rsidRPr="0022632F">
        <w:rPr>
          <w:rFonts w:eastAsia="Calibri" w:cs="Tahoma"/>
          <w:b/>
          <w:bCs/>
        </w:rPr>
        <w:t>Términos de la Resolución para conocimiento del Particular</w:t>
      </w:r>
    </w:p>
    <w:p w14:paraId="08535812" w14:textId="77777777" w:rsidR="00D1318A" w:rsidRPr="0022632F" w:rsidRDefault="00D1318A" w:rsidP="007808E0">
      <w:pPr>
        <w:spacing w:after="0" w:line="360" w:lineRule="auto"/>
        <w:contextualSpacing/>
        <w:rPr>
          <w:rFonts w:eastAsia="Calibri" w:cs="Tahoma"/>
          <w:b/>
          <w:bCs/>
        </w:rPr>
      </w:pPr>
    </w:p>
    <w:p w14:paraId="3B668E85" w14:textId="4B43868B" w:rsidR="00D1318A" w:rsidRPr="0022632F" w:rsidRDefault="00D1318A" w:rsidP="007808E0">
      <w:pPr>
        <w:spacing w:after="0" w:line="360" w:lineRule="auto"/>
      </w:pPr>
      <w:r w:rsidRPr="0022632F">
        <w:t xml:space="preserve">Se le hace del conocimiento a la persona Recurrente que, en el presente asunto, se le da la razón, pues </w:t>
      </w:r>
      <w:r w:rsidR="00715343" w:rsidRPr="0022632F">
        <w:t xml:space="preserve">si bien </w:t>
      </w:r>
      <w:r w:rsidR="004076BD" w:rsidRPr="0022632F">
        <w:t xml:space="preserve">el Sujeto Obligado entregó parte de lo solicitado, fue omiso en adjuntar </w:t>
      </w:r>
      <w:r w:rsidR="009F7DFF" w:rsidRPr="0022632F">
        <w:t>los oficios mencionados</w:t>
      </w:r>
      <w:r w:rsidRPr="0022632F">
        <w:t>, por lo que, deberá hacer la entre</w:t>
      </w:r>
      <w:r w:rsidR="00655068" w:rsidRPr="0022632F">
        <w:t>ga de la información</w:t>
      </w:r>
      <w:r w:rsidR="00715343" w:rsidRPr="0022632F">
        <w:t xml:space="preserve"> faltante</w:t>
      </w:r>
      <w:r w:rsidR="00655068" w:rsidRPr="0022632F">
        <w:t>.</w:t>
      </w:r>
      <w:r w:rsidR="00D1305D" w:rsidRPr="0022632F">
        <w:t xml:space="preserve"> </w:t>
      </w:r>
      <w:r w:rsidR="000F161C" w:rsidRPr="0022632F">
        <w:rPr>
          <w:color w:val="000000"/>
        </w:rPr>
        <w:lastRenderedPageBreak/>
        <w:t xml:space="preserve">Además, se le informa que </w:t>
      </w:r>
      <w:r w:rsidRPr="0022632F">
        <w:rPr>
          <w:color w:val="000000"/>
        </w:rPr>
        <w:t>la labor del Instituto, es apoyar a la población a acceder a la información pública y garantizar la protección de sus datos personales.</w:t>
      </w:r>
    </w:p>
    <w:p w14:paraId="687646A0" w14:textId="77777777" w:rsidR="00D1318A" w:rsidRPr="0022632F" w:rsidRDefault="00D1318A" w:rsidP="007808E0">
      <w:pPr>
        <w:spacing w:after="0" w:line="360" w:lineRule="auto"/>
      </w:pPr>
    </w:p>
    <w:p w14:paraId="1C805ED0" w14:textId="77777777" w:rsidR="00D1318A" w:rsidRPr="0022632F" w:rsidRDefault="00D1318A" w:rsidP="007808E0">
      <w:pPr>
        <w:spacing w:after="0" w:line="360" w:lineRule="auto"/>
        <w:contextualSpacing/>
        <w:rPr>
          <w:rFonts w:eastAsia="Calibri"/>
        </w:rPr>
      </w:pPr>
      <w:r w:rsidRPr="0022632F">
        <w:rPr>
          <w:rFonts w:eastAsia="Calibri"/>
        </w:rPr>
        <w:t>Por lo expuesto y fundado, este Pleno:</w:t>
      </w:r>
    </w:p>
    <w:p w14:paraId="7E4B6E8F" w14:textId="77777777" w:rsidR="00057905" w:rsidRPr="0022632F" w:rsidRDefault="00057905" w:rsidP="007808E0">
      <w:pPr>
        <w:spacing w:after="0" w:line="360" w:lineRule="auto"/>
        <w:contextualSpacing/>
        <w:rPr>
          <w:rFonts w:eastAsia="Calibri"/>
        </w:rPr>
      </w:pPr>
    </w:p>
    <w:p w14:paraId="4969F2B6" w14:textId="77777777" w:rsidR="00D1318A" w:rsidRPr="0022632F" w:rsidRDefault="00D1318A" w:rsidP="007808E0">
      <w:pPr>
        <w:pStyle w:val="Ttulo1"/>
        <w:spacing w:before="0" w:after="0" w:line="360" w:lineRule="auto"/>
        <w:jc w:val="center"/>
        <w:rPr>
          <w:sz w:val="22"/>
          <w:szCs w:val="22"/>
        </w:rPr>
      </w:pPr>
      <w:bookmarkStart w:id="17" w:name="_Toc207292045"/>
      <w:r w:rsidRPr="0022632F">
        <w:rPr>
          <w:sz w:val="22"/>
          <w:szCs w:val="22"/>
        </w:rPr>
        <w:t>R E S U E L V E</w:t>
      </w:r>
      <w:bookmarkEnd w:id="17"/>
    </w:p>
    <w:p w14:paraId="00911B7E" w14:textId="77777777" w:rsidR="00D1318A" w:rsidRPr="0022632F" w:rsidRDefault="00D1318A" w:rsidP="007808E0">
      <w:pPr>
        <w:spacing w:after="0" w:line="360" w:lineRule="auto"/>
        <w:contextualSpacing/>
        <w:rPr>
          <w:rFonts w:eastAsia="Calibri"/>
          <w:b/>
          <w:bCs/>
        </w:rPr>
      </w:pPr>
    </w:p>
    <w:p w14:paraId="59D86F6A" w14:textId="2C87CE26" w:rsidR="00D1318A" w:rsidRPr="0022632F" w:rsidRDefault="00D1318A" w:rsidP="007808E0">
      <w:pPr>
        <w:spacing w:after="0" w:line="360" w:lineRule="auto"/>
        <w:contextualSpacing/>
        <w:rPr>
          <w:bCs/>
        </w:rPr>
      </w:pPr>
      <w:r w:rsidRPr="0022632F">
        <w:rPr>
          <w:rFonts w:cs="Tahoma"/>
          <w:b/>
          <w:bCs/>
        </w:rPr>
        <w:t xml:space="preserve">PRIMERO. </w:t>
      </w:r>
      <w:r w:rsidRPr="0022632F">
        <w:rPr>
          <w:rFonts w:cs="Tahoma"/>
          <w:bCs/>
        </w:rPr>
        <w:t xml:space="preserve">Se </w:t>
      </w:r>
      <w:r w:rsidR="004076BD" w:rsidRPr="0022632F">
        <w:rPr>
          <w:rFonts w:cs="Tahoma"/>
          <w:b/>
          <w:bCs/>
        </w:rPr>
        <w:t>MODIFICA</w:t>
      </w:r>
      <w:r w:rsidRPr="0022632F">
        <w:rPr>
          <w:rFonts w:cs="Tahoma"/>
          <w:b/>
          <w:bCs/>
        </w:rPr>
        <w:t xml:space="preserve"> </w:t>
      </w:r>
      <w:r w:rsidRPr="0022632F">
        <w:rPr>
          <w:rFonts w:cs="Tahoma"/>
          <w:bCs/>
        </w:rPr>
        <w:t>la respuesta entrega</w:t>
      </w:r>
      <w:r w:rsidR="00655068" w:rsidRPr="0022632F">
        <w:rPr>
          <w:rFonts w:cs="Tahoma"/>
          <w:bCs/>
        </w:rPr>
        <w:t>da por el</w:t>
      </w:r>
      <w:r w:rsidR="004076BD" w:rsidRPr="0022632F">
        <w:rPr>
          <w:rFonts w:cs="Tahoma"/>
          <w:bCs/>
        </w:rPr>
        <w:t xml:space="preserve"> Ayuntamiento de </w:t>
      </w:r>
      <w:r w:rsidR="002F16B6" w:rsidRPr="0022632F">
        <w:rPr>
          <w:rFonts w:cs="Tahoma"/>
          <w:bCs/>
        </w:rPr>
        <w:t>Teoloyucan</w:t>
      </w:r>
      <w:r w:rsidRPr="0022632F">
        <w:rPr>
          <w:rFonts w:cs="Tahoma"/>
          <w:bCs/>
        </w:rPr>
        <w:t>, a la</w:t>
      </w:r>
      <w:r w:rsidR="002F16B6" w:rsidRPr="0022632F">
        <w:rPr>
          <w:rFonts w:cs="Tahoma"/>
          <w:bCs/>
        </w:rPr>
        <w:t>s</w:t>
      </w:r>
      <w:r w:rsidRPr="0022632F">
        <w:rPr>
          <w:rFonts w:cs="Tahoma"/>
          <w:bCs/>
        </w:rPr>
        <w:t xml:space="preserve"> solicitud</w:t>
      </w:r>
      <w:r w:rsidR="002F16B6" w:rsidRPr="0022632F">
        <w:rPr>
          <w:rFonts w:cs="Tahoma"/>
          <w:bCs/>
        </w:rPr>
        <w:t>es</w:t>
      </w:r>
      <w:r w:rsidRPr="0022632F">
        <w:rPr>
          <w:rFonts w:cs="Tahoma"/>
          <w:bCs/>
        </w:rPr>
        <w:t xml:space="preserve"> de información</w:t>
      </w:r>
      <w:r w:rsidR="002F16B6" w:rsidRPr="0022632F">
        <w:t xml:space="preserve"> 00452/TEOLOYU/IP/2025, 00453/TEOLOYU/IP/2025, 00454/TEOLOYU/IP/2025 y 00455/TEOLOYU/IP/2025</w:t>
      </w:r>
      <w:r w:rsidRPr="0022632F">
        <w:rPr>
          <w:bCs/>
        </w:rPr>
        <w:t xml:space="preserve">, por resultar </w:t>
      </w:r>
      <w:r w:rsidRPr="0022632F">
        <w:rPr>
          <w:b/>
          <w:bCs/>
        </w:rPr>
        <w:t>FUNDADAS</w:t>
      </w:r>
      <w:r w:rsidRPr="0022632F">
        <w:rPr>
          <w:rFonts w:cs="Tahoma"/>
          <w:b/>
          <w:bCs/>
        </w:rPr>
        <w:t xml:space="preserve"> </w:t>
      </w:r>
      <w:r w:rsidRPr="0022632F">
        <w:rPr>
          <w:rFonts w:eastAsia="Calibri" w:cs="Tahoma"/>
          <w:bCs/>
        </w:rPr>
        <w:t>las razones o motivos de inconformidad hechos valer por el Recurrente</w:t>
      </w:r>
      <w:r w:rsidRPr="0022632F">
        <w:rPr>
          <w:rFonts w:cs="Tahoma"/>
          <w:bCs/>
        </w:rPr>
        <w:t xml:space="preserve">, </w:t>
      </w:r>
      <w:r w:rsidRPr="0022632F">
        <w:rPr>
          <w:rFonts w:eastAsia="Calibri" w:cs="Tahoma"/>
          <w:bCs/>
        </w:rPr>
        <w:t>en términos de los considerandos QUINTO y SEXTO de la presente Resolución.</w:t>
      </w:r>
    </w:p>
    <w:p w14:paraId="5F3709A7" w14:textId="77777777" w:rsidR="00D1318A" w:rsidRPr="0022632F" w:rsidRDefault="00D1318A" w:rsidP="007808E0">
      <w:pPr>
        <w:spacing w:after="0" w:line="360" w:lineRule="auto"/>
        <w:contextualSpacing/>
        <w:rPr>
          <w:rFonts w:eastAsia="Times New Roman" w:cs="Tahoma"/>
          <w:bCs/>
          <w:lang w:eastAsia="es-ES"/>
        </w:rPr>
      </w:pPr>
    </w:p>
    <w:p w14:paraId="402B3360" w14:textId="236D603D" w:rsidR="00655068" w:rsidRPr="0022632F" w:rsidRDefault="00D1318A" w:rsidP="007808E0">
      <w:pPr>
        <w:spacing w:after="0" w:line="360" w:lineRule="auto"/>
      </w:pPr>
      <w:r w:rsidRPr="0022632F">
        <w:rPr>
          <w:rFonts w:cs="Tahoma"/>
          <w:b/>
          <w:bCs/>
        </w:rPr>
        <w:t xml:space="preserve">SEGUNDO. </w:t>
      </w:r>
      <w:r w:rsidRPr="0022632F">
        <w:t xml:space="preserve">Se </w:t>
      </w:r>
      <w:r w:rsidRPr="0022632F">
        <w:rPr>
          <w:b/>
        </w:rPr>
        <w:t>ORDENA</w:t>
      </w:r>
      <w:r w:rsidRPr="0022632F">
        <w:t xml:space="preserve"> al Ente Recurrido</w:t>
      </w:r>
      <w:r w:rsidRPr="0022632F">
        <w:rPr>
          <w:b/>
        </w:rPr>
        <w:t xml:space="preserve">, </w:t>
      </w:r>
      <w:r w:rsidR="004068E7" w:rsidRPr="0022632F">
        <w:t xml:space="preserve">a efecto de que </w:t>
      </w:r>
      <w:r w:rsidRPr="0022632F">
        <w:t>entregue a través del Sistema de Acceso a la I</w:t>
      </w:r>
      <w:r w:rsidR="00715343" w:rsidRPr="0022632F">
        <w:t>nformación Mexiquense (SAIMEX)</w:t>
      </w:r>
      <w:r w:rsidR="004068E7" w:rsidRPr="0022632F">
        <w:t xml:space="preserve">, </w:t>
      </w:r>
      <w:r w:rsidR="002F16B6" w:rsidRPr="0022632F">
        <w:t xml:space="preserve">en su caso, </w:t>
      </w:r>
      <w:r w:rsidR="00B17B55" w:rsidRPr="0022632F">
        <w:t xml:space="preserve">en versión pública, </w:t>
      </w:r>
      <w:r w:rsidR="00655068" w:rsidRPr="0022632F">
        <w:t>lo siguiente:</w:t>
      </w:r>
    </w:p>
    <w:p w14:paraId="545EC5E3" w14:textId="77777777" w:rsidR="00655068" w:rsidRPr="0022632F" w:rsidRDefault="00655068" w:rsidP="007808E0">
      <w:pPr>
        <w:spacing w:after="0" w:line="360" w:lineRule="auto"/>
        <w:rPr>
          <w:rFonts w:cs="Tahoma"/>
        </w:rPr>
      </w:pPr>
    </w:p>
    <w:p w14:paraId="5B734820" w14:textId="5392AD69" w:rsidR="00D1318A" w:rsidRPr="0022632F" w:rsidRDefault="002F16B6" w:rsidP="007808E0">
      <w:pPr>
        <w:pStyle w:val="Prrafodelista"/>
        <w:numPr>
          <w:ilvl w:val="0"/>
          <w:numId w:val="4"/>
        </w:numPr>
        <w:spacing w:line="360" w:lineRule="auto"/>
        <w:ind w:right="-91"/>
        <w:rPr>
          <w:rFonts w:eastAsia="Calibri" w:cs="Tahoma"/>
          <w:bCs/>
        </w:rPr>
      </w:pPr>
      <w:r w:rsidRPr="0022632F">
        <w:rPr>
          <w:color w:val="000000"/>
        </w:rPr>
        <w:t xml:space="preserve">Los oficios firmados por el </w:t>
      </w:r>
      <w:r w:rsidRPr="0022632F">
        <w:t xml:space="preserve">Director de </w:t>
      </w:r>
      <w:r w:rsidRPr="0022632F">
        <w:rPr>
          <w:rFonts w:cs="Tahoma"/>
        </w:rPr>
        <w:t>la Unidad de Información, Planeación, Programación y Evaluación, mencionados en respuesta.</w:t>
      </w:r>
    </w:p>
    <w:p w14:paraId="38FDF135" w14:textId="77777777" w:rsidR="00B17B55" w:rsidRPr="0022632F" w:rsidRDefault="00B17B55" w:rsidP="00B17B55">
      <w:pPr>
        <w:spacing w:line="360" w:lineRule="auto"/>
        <w:ind w:right="-91"/>
        <w:rPr>
          <w:rFonts w:eastAsia="Calibri" w:cs="Tahoma"/>
          <w:bCs/>
        </w:rPr>
      </w:pPr>
    </w:p>
    <w:p w14:paraId="67653411" w14:textId="4FBAAAEB" w:rsidR="004068E7" w:rsidRPr="0022632F" w:rsidRDefault="00B17B55" w:rsidP="00B17B55">
      <w:pPr>
        <w:spacing w:after="0" w:line="360" w:lineRule="auto"/>
        <w:rPr>
          <w:rFonts w:cs="Tahoma"/>
          <w:bCs/>
          <w:iCs/>
          <w:lang w:eastAsia="es-ES"/>
        </w:rPr>
      </w:pPr>
      <w:r w:rsidRPr="0022632F">
        <w:rPr>
          <w:color w:val="000000"/>
        </w:rPr>
        <w:t xml:space="preserve">Además, </w:t>
      </w:r>
      <w:r w:rsidR="000F161C" w:rsidRPr="0022632F">
        <w:rPr>
          <w:color w:val="000000"/>
        </w:rPr>
        <w:t xml:space="preserve">de ser necesario, </w:t>
      </w:r>
      <w:r w:rsidRPr="0022632F">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22632F" w:rsidRDefault="00B17B55" w:rsidP="00B17B55">
      <w:pPr>
        <w:spacing w:after="0" w:line="360" w:lineRule="auto"/>
        <w:rPr>
          <w:rFonts w:cs="Tahoma"/>
          <w:bCs/>
          <w:iCs/>
          <w:lang w:eastAsia="es-ES"/>
        </w:rPr>
      </w:pPr>
    </w:p>
    <w:p w14:paraId="3EAE0142" w14:textId="5A14D67D" w:rsidR="00D1318A" w:rsidRPr="0022632F" w:rsidRDefault="00D1318A" w:rsidP="007808E0">
      <w:pPr>
        <w:spacing w:after="0" w:line="360" w:lineRule="auto"/>
        <w:ind w:right="-28"/>
        <w:contextualSpacing/>
        <w:rPr>
          <w:rFonts w:eastAsia="Calibri" w:cs="Tahoma"/>
          <w:iCs/>
          <w:color w:val="000000"/>
        </w:rPr>
      </w:pPr>
      <w:r w:rsidRPr="0022632F">
        <w:rPr>
          <w:rFonts w:eastAsia="Calibri" w:cs="Tahoma"/>
          <w:b/>
          <w:bCs/>
        </w:rPr>
        <w:lastRenderedPageBreak/>
        <w:t xml:space="preserve">TERCERO. </w:t>
      </w:r>
      <w:r w:rsidRPr="0022632F">
        <w:rPr>
          <w:rFonts w:cs="Tahoma"/>
          <w:b/>
          <w:bCs/>
          <w:iCs/>
        </w:rPr>
        <w:t xml:space="preserve">NOTIFÍQUESE POR SAIMEX </w:t>
      </w:r>
      <w:r w:rsidRPr="0022632F">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22632F">
        <w:rPr>
          <w:rFonts w:cs="Tahoma"/>
          <w:bCs/>
          <w:iCs/>
        </w:rPr>
        <w:t xml:space="preserve"> </w:t>
      </w:r>
      <w:r w:rsidRPr="0022632F">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22632F" w:rsidRDefault="00D1318A" w:rsidP="007808E0">
      <w:pPr>
        <w:spacing w:after="0" w:line="360" w:lineRule="auto"/>
        <w:contextualSpacing/>
        <w:rPr>
          <w:rFonts w:eastAsia="Calibri" w:cs="Tahoma"/>
          <w:color w:val="000000"/>
          <w:lang w:val="es-ES"/>
        </w:rPr>
      </w:pPr>
    </w:p>
    <w:p w14:paraId="3F59EFC7" w14:textId="77777777" w:rsidR="00D1318A" w:rsidRPr="0022632F" w:rsidRDefault="00D1318A" w:rsidP="007808E0">
      <w:pPr>
        <w:spacing w:after="0" w:line="360" w:lineRule="auto"/>
        <w:contextualSpacing/>
        <w:rPr>
          <w:rFonts w:cs="Tahoma"/>
        </w:rPr>
      </w:pPr>
      <w:r w:rsidRPr="0022632F">
        <w:rPr>
          <w:rFonts w:eastAsia="Calibri" w:cs="Tahoma"/>
          <w:b/>
        </w:rPr>
        <w:t>CUARTO</w:t>
      </w:r>
      <w:r w:rsidRPr="0022632F">
        <w:rPr>
          <w:rFonts w:eastAsia="Calibri" w:cs="Tahoma"/>
          <w:b/>
          <w:bCs/>
        </w:rPr>
        <w:t xml:space="preserve">. </w:t>
      </w:r>
      <w:r w:rsidRPr="0022632F">
        <w:rPr>
          <w:rFonts w:cs="Tahoma"/>
          <w:b/>
        </w:rPr>
        <w:t>NOTIFÍQUESE POR SAIMEX</w:t>
      </w:r>
      <w:r w:rsidRPr="0022632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2632F" w:rsidRDefault="00D1318A" w:rsidP="007808E0">
      <w:pPr>
        <w:spacing w:after="0" w:line="360" w:lineRule="auto"/>
        <w:contextualSpacing/>
        <w:rPr>
          <w:rFonts w:cs="Arial"/>
          <w:b/>
          <w:bCs/>
        </w:rPr>
      </w:pPr>
    </w:p>
    <w:p w14:paraId="440D22CF" w14:textId="4F25044E" w:rsidR="00D1318A" w:rsidRDefault="00D1318A" w:rsidP="007808E0">
      <w:pPr>
        <w:spacing w:after="0" w:line="360" w:lineRule="auto"/>
        <w:contextualSpacing/>
        <w:rPr>
          <w:rFonts w:cs="Tahoma"/>
          <w:b/>
          <w:bCs/>
        </w:rPr>
      </w:pPr>
      <w:r w:rsidRPr="0022632F">
        <w:rPr>
          <w:rFonts w:eastAsia="Calibri" w:cs="Tahoma"/>
          <w:bCs/>
        </w:rPr>
        <w:t>ASÍ LO RESUELVE, POR </w:t>
      </w:r>
      <w:r w:rsidRPr="0022632F">
        <w:rPr>
          <w:rFonts w:eastAsia="Calibri" w:cs="Tahoma"/>
          <w:b/>
          <w:bCs/>
        </w:rPr>
        <w:t>UNANIMIDAD</w:t>
      </w:r>
      <w:r w:rsidRPr="0022632F">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22632F">
        <w:rPr>
          <w:rFonts w:eastAsia="Calibri" w:cs="Tahoma"/>
          <w:bCs/>
        </w:rPr>
        <w:t xml:space="preserve">, EN LA </w:t>
      </w:r>
      <w:r w:rsidR="006B5E14" w:rsidRPr="0022632F">
        <w:rPr>
          <w:rFonts w:eastAsia="Calibri" w:cs="Tahoma"/>
          <w:bCs/>
        </w:rPr>
        <w:t>TRIGÉSIMA</w:t>
      </w:r>
      <w:r w:rsidR="00715343" w:rsidRPr="0022632F">
        <w:rPr>
          <w:rFonts w:eastAsia="Calibri" w:cs="Tahoma"/>
          <w:bCs/>
        </w:rPr>
        <w:t xml:space="preserve"> </w:t>
      </w:r>
      <w:r w:rsidRPr="0022632F">
        <w:rPr>
          <w:rFonts w:eastAsia="Calibri" w:cs="Tahoma"/>
          <w:bCs/>
        </w:rPr>
        <w:t>SESIÓN ORDINA</w:t>
      </w:r>
      <w:r w:rsidR="00715343" w:rsidRPr="0022632F">
        <w:rPr>
          <w:rFonts w:eastAsia="Calibri" w:cs="Tahoma"/>
          <w:bCs/>
        </w:rPr>
        <w:t>RIA, C</w:t>
      </w:r>
      <w:r w:rsidR="0052714E" w:rsidRPr="0022632F">
        <w:rPr>
          <w:rFonts w:eastAsia="Calibri" w:cs="Tahoma"/>
          <w:bCs/>
        </w:rPr>
        <w:t xml:space="preserve">ELEBRADA EL </w:t>
      </w:r>
      <w:r w:rsidR="006B5E14" w:rsidRPr="0022632F">
        <w:rPr>
          <w:rFonts w:eastAsia="Calibri" w:cs="Tahoma"/>
          <w:bCs/>
        </w:rPr>
        <w:t>VEINTISIETE</w:t>
      </w:r>
      <w:r w:rsidR="007E56C0" w:rsidRPr="0022632F">
        <w:rPr>
          <w:rFonts w:eastAsia="Calibri" w:cs="Tahoma"/>
          <w:bCs/>
        </w:rPr>
        <w:t xml:space="preserve"> DE AGOSTO</w:t>
      </w:r>
      <w:r w:rsidR="00655068" w:rsidRPr="0022632F">
        <w:rPr>
          <w:rFonts w:eastAsia="Calibri" w:cs="Tahoma"/>
          <w:bCs/>
        </w:rPr>
        <w:t xml:space="preserve"> </w:t>
      </w:r>
      <w:r w:rsidRPr="0022632F">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C18CD" w14:textId="77777777" w:rsidR="007A4148" w:rsidRDefault="007A4148">
      <w:pPr>
        <w:spacing w:after="0" w:line="240" w:lineRule="auto"/>
      </w:pPr>
      <w:r>
        <w:separator/>
      </w:r>
    </w:p>
  </w:endnote>
  <w:endnote w:type="continuationSeparator" w:id="0">
    <w:p w14:paraId="39DA6F46" w14:textId="77777777" w:rsidR="007A4148" w:rsidRDefault="007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03A4E8B" w:rsidR="007041E5" w:rsidRDefault="007041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D6553">
      <w:rPr>
        <w:b/>
        <w:noProof/>
        <w:color w:val="000000"/>
        <w:sz w:val="24"/>
        <w:szCs w:val="24"/>
      </w:rPr>
      <w:t>26</w:t>
    </w:r>
    <w:r>
      <w:rPr>
        <w:b/>
        <w:color w:val="000000"/>
        <w:sz w:val="24"/>
        <w:szCs w:val="24"/>
      </w:rPr>
      <w:fldChar w:fldCharType="end"/>
    </w:r>
  </w:p>
  <w:p w14:paraId="7EB9860B" w14:textId="77777777" w:rsidR="007041E5" w:rsidRDefault="007041E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041E5" w:rsidRDefault="007041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E5BE4">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E5BE4">
      <w:rPr>
        <w:b/>
        <w:noProof/>
        <w:color w:val="000000"/>
        <w:sz w:val="24"/>
        <w:szCs w:val="24"/>
      </w:rPr>
      <w:t>26</w:t>
    </w:r>
    <w:r>
      <w:rPr>
        <w:b/>
        <w:color w:val="000000"/>
        <w:sz w:val="24"/>
        <w:szCs w:val="24"/>
      </w:rPr>
      <w:fldChar w:fldCharType="end"/>
    </w:r>
  </w:p>
  <w:p w14:paraId="0D7FA8D9" w14:textId="77777777" w:rsidR="007041E5" w:rsidRDefault="007041E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041E5" w:rsidRDefault="007041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E5BE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E5BE4">
      <w:rPr>
        <w:b/>
        <w:noProof/>
        <w:color w:val="000000"/>
        <w:sz w:val="24"/>
        <w:szCs w:val="24"/>
      </w:rPr>
      <w:t>26</w:t>
    </w:r>
    <w:r>
      <w:rPr>
        <w:b/>
        <w:color w:val="000000"/>
        <w:sz w:val="24"/>
        <w:szCs w:val="24"/>
      </w:rPr>
      <w:fldChar w:fldCharType="end"/>
    </w:r>
  </w:p>
  <w:p w14:paraId="6796AF5F" w14:textId="77777777" w:rsidR="007041E5" w:rsidRDefault="007041E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95F65" w14:textId="77777777" w:rsidR="007A4148" w:rsidRDefault="007A4148">
      <w:pPr>
        <w:spacing w:after="0" w:line="240" w:lineRule="auto"/>
      </w:pPr>
      <w:r>
        <w:separator/>
      </w:r>
    </w:p>
  </w:footnote>
  <w:footnote w:type="continuationSeparator" w:id="0">
    <w:p w14:paraId="279354FD" w14:textId="77777777" w:rsidR="007A4148" w:rsidRDefault="007A4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041E5" w:rsidRDefault="007041E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041E5" w14:paraId="10C29E94" w14:textId="77777777">
      <w:trPr>
        <w:trHeight w:val="132"/>
      </w:trPr>
      <w:tc>
        <w:tcPr>
          <w:tcW w:w="2691" w:type="dxa"/>
        </w:tcPr>
        <w:p w14:paraId="7D85A4B8" w14:textId="77777777" w:rsidR="007041E5" w:rsidRDefault="007041E5">
          <w:pPr>
            <w:tabs>
              <w:tab w:val="right" w:pos="8838"/>
            </w:tabs>
            <w:ind w:right="-105"/>
            <w:rPr>
              <w:b/>
            </w:rPr>
          </w:pPr>
          <w:r>
            <w:rPr>
              <w:b/>
            </w:rPr>
            <w:t>Recurso de Revisión:</w:t>
          </w:r>
        </w:p>
      </w:tc>
      <w:tc>
        <w:tcPr>
          <w:tcW w:w="3405" w:type="dxa"/>
        </w:tcPr>
        <w:p w14:paraId="0B0D1A9D" w14:textId="77777777" w:rsidR="007041E5" w:rsidRDefault="007041E5">
          <w:pPr>
            <w:tabs>
              <w:tab w:val="right" w:pos="8838"/>
            </w:tabs>
            <w:ind w:left="-28" w:right="-32"/>
          </w:pPr>
          <w:r>
            <w:t>03846/INFOEM/IP/RR/2020</w:t>
          </w:r>
        </w:p>
      </w:tc>
    </w:tr>
    <w:tr w:rsidR="007041E5" w14:paraId="2F47AC72" w14:textId="77777777">
      <w:trPr>
        <w:trHeight w:val="261"/>
      </w:trPr>
      <w:tc>
        <w:tcPr>
          <w:tcW w:w="2691" w:type="dxa"/>
        </w:tcPr>
        <w:p w14:paraId="154A4752" w14:textId="77777777" w:rsidR="007041E5" w:rsidRDefault="007041E5">
          <w:pPr>
            <w:tabs>
              <w:tab w:val="right" w:pos="8838"/>
            </w:tabs>
            <w:ind w:right="-105"/>
            <w:rPr>
              <w:b/>
            </w:rPr>
          </w:pPr>
          <w:r>
            <w:rPr>
              <w:b/>
            </w:rPr>
            <w:t>Sujeto Obligado:</w:t>
          </w:r>
        </w:p>
      </w:tc>
      <w:tc>
        <w:tcPr>
          <w:tcW w:w="3405" w:type="dxa"/>
        </w:tcPr>
        <w:p w14:paraId="5D9EC711" w14:textId="77777777" w:rsidR="007041E5" w:rsidRDefault="007041E5">
          <w:pPr>
            <w:tabs>
              <w:tab w:val="right" w:pos="8838"/>
            </w:tabs>
            <w:ind w:right="-32"/>
          </w:pPr>
          <w:r>
            <w:t>Ayuntamiento de Temascalcingo</w:t>
          </w:r>
        </w:p>
      </w:tc>
    </w:tr>
    <w:tr w:rsidR="007041E5" w14:paraId="11FBB450" w14:textId="77777777">
      <w:trPr>
        <w:trHeight w:val="261"/>
      </w:trPr>
      <w:tc>
        <w:tcPr>
          <w:tcW w:w="2691" w:type="dxa"/>
        </w:tcPr>
        <w:p w14:paraId="6BAF6003" w14:textId="77777777" w:rsidR="007041E5" w:rsidRDefault="007041E5">
          <w:pPr>
            <w:tabs>
              <w:tab w:val="right" w:pos="8838"/>
            </w:tabs>
            <w:ind w:right="-105"/>
            <w:rPr>
              <w:b/>
            </w:rPr>
          </w:pPr>
          <w:r>
            <w:rPr>
              <w:b/>
            </w:rPr>
            <w:t>Comisionado Ponente:</w:t>
          </w:r>
        </w:p>
      </w:tc>
      <w:tc>
        <w:tcPr>
          <w:tcW w:w="3405" w:type="dxa"/>
        </w:tcPr>
        <w:p w14:paraId="420341AF" w14:textId="77777777" w:rsidR="007041E5" w:rsidRDefault="007041E5">
          <w:pPr>
            <w:tabs>
              <w:tab w:val="right" w:pos="8838"/>
            </w:tabs>
            <w:ind w:right="-32"/>
            <w:rPr>
              <w:b/>
            </w:rPr>
          </w:pPr>
          <w:r>
            <w:t>Luis Gustavo Parra Noriega</w:t>
          </w:r>
        </w:p>
      </w:tc>
    </w:tr>
  </w:tbl>
  <w:p w14:paraId="00411D75" w14:textId="77777777" w:rsidR="007041E5" w:rsidRDefault="00BE5BE4">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041E5" w:rsidRDefault="00BE5BE4">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7041E5" w14:paraId="40D5D5A3" w14:textId="77777777" w:rsidTr="00AD1B81">
      <w:trPr>
        <w:trHeight w:val="138"/>
      </w:trPr>
      <w:tc>
        <w:tcPr>
          <w:tcW w:w="2268" w:type="dxa"/>
          <w:vAlign w:val="center"/>
        </w:tcPr>
        <w:p w14:paraId="43377EBE" w14:textId="77777777" w:rsidR="007041E5" w:rsidRDefault="007041E5" w:rsidP="008C266D">
          <w:pPr>
            <w:tabs>
              <w:tab w:val="right" w:pos="8838"/>
            </w:tabs>
            <w:ind w:left="-108" w:right="-105"/>
            <w:jc w:val="left"/>
            <w:rPr>
              <w:b/>
            </w:rPr>
          </w:pPr>
        </w:p>
        <w:p w14:paraId="1DB5C8D0" w14:textId="7E98B3D2" w:rsidR="007041E5" w:rsidRDefault="007041E5" w:rsidP="008C266D">
          <w:pPr>
            <w:tabs>
              <w:tab w:val="right" w:pos="8838"/>
            </w:tabs>
            <w:ind w:left="-108" w:right="-105"/>
            <w:jc w:val="left"/>
            <w:rPr>
              <w:b/>
            </w:rPr>
          </w:pPr>
          <w:r>
            <w:rPr>
              <w:b/>
            </w:rPr>
            <w:t>Recurso de Revisión:</w:t>
          </w:r>
        </w:p>
      </w:tc>
      <w:tc>
        <w:tcPr>
          <w:tcW w:w="4536" w:type="dxa"/>
        </w:tcPr>
        <w:p w14:paraId="5BCC69C4" w14:textId="77777777" w:rsidR="007041E5" w:rsidRPr="00EF0C39" w:rsidRDefault="007041E5" w:rsidP="008C266D">
          <w:pPr>
            <w:tabs>
              <w:tab w:val="right" w:pos="8838"/>
            </w:tabs>
            <w:ind w:right="57"/>
          </w:pPr>
        </w:p>
        <w:p w14:paraId="61E59D71" w14:textId="055CD45B" w:rsidR="007041E5" w:rsidRPr="00EF0C39" w:rsidRDefault="007041E5" w:rsidP="008C266D">
          <w:pPr>
            <w:tabs>
              <w:tab w:val="right" w:pos="8838"/>
            </w:tabs>
            <w:ind w:right="57"/>
          </w:pPr>
          <w:r>
            <w:t>07171/INFOEM/IP/RR/2025 y acumulados</w:t>
          </w:r>
        </w:p>
      </w:tc>
    </w:tr>
    <w:tr w:rsidR="007041E5" w14:paraId="7A281F30" w14:textId="77777777" w:rsidTr="00AD1B81">
      <w:trPr>
        <w:trHeight w:val="273"/>
      </w:trPr>
      <w:tc>
        <w:tcPr>
          <w:tcW w:w="2268" w:type="dxa"/>
        </w:tcPr>
        <w:p w14:paraId="6671A308" w14:textId="77777777" w:rsidR="007041E5" w:rsidRDefault="007041E5" w:rsidP="008C266D">
          <w:pPr>
            <w:tabs>
              <w:tab w:val="right" w:pos="8838"/>
            </w:tabs>
            <w:ind w:left="-108" w:right="-105"/>
            <w:rPr>
              <w:b/>
            </w:rPr>
          </w:pPr>
          <w:r>
            <w:rPr>
              <w:b/>
            </w:rPr>
            <w:t>Sujeto Obligado:</w:t>
          </w:r>
        </w:p>
      </w:tc>
      <w:tc>
        <w:tcPr>
          <w:tcW w:w="4536" w:type="dxa"/>
        </w:tcPr>
        <w:p w14:paraId="30885B6D" w14:textId="6DBF9468" w:rsidR="007041E5" w:rsidRPr="00EF0C39" w:rsidRDefault="007041E5" w:rsidP="007B4717">
          <w:pPr>
            <w:tabs>
              <w:tab w:val="right" w:pos="8838"/>
            </w:tabs>
            <w:ind w:right="180"/>
          </w:pPr>
          <w:r>
            <w:t>Ayuntamiento de Teoloyucan</w:t>
          </w:r>
        </w:p>
      </w:tc>
    </w:tr>
    <w:tr w:rsidR="007041E5" w14:paraId="00C22F2F" w14:textId="77777777" w:rsidTr="00AD1B81">
      <w:trPr>
        <w:trHeight w:val="273"/>
      </w:trPr>
      <w:tc>
        <w:tcPr>
          <w:tcW w:w="2268" w:type="dxa"/>
        </w:tcPr>
        <w:p w14:paraId="70417649" w14:textId="77777777" w:rsidR="007041E5" w:rsidRDefault="007041E5" w:rsidP="008C266D">
          <w:pPr>
            <w:tabs>
              <w:tab w:val="right" w:pos="8838"/>
            </w:tabs>
            <w:ind w:left="-108" w:right="-105"/>
            <w:rPr>
              <w:b/>
            </w:rPr>
          </w:pPr>
          <w:r>
            <w:rPr>
              <w:b/>
            </w:rPr>
            <w:t>Comisionado Ponente:</w:t>
          </w:r>
        </w:p>
      </w:tc>
      <w:tc>
        <w:tcPr>
          <w:tcW w:w="4536" w:type="dxa"/>
        </w:tcPr>
        <w:p w14:paraId="5E6EB38B" w14:textId="77777777" w:rsidR="007041E5" w:rsidRPr="00EF0C39" w:rsidRDefault="007041E5" w:rsidP="008C266D">
          <w:pPr>
            <w:tabs>
              <w:tab w:val="right" w:pos="8838"/>
            </w:tabs>
            <w:ind w:right="-170"/>
          </w:pPr>
          <w:r w:rsidRPr="00EF0C39">
            <w:t>Luis Gustavo Parra Noriega</w:t>
          </w:r>
        </w:p>
        <w:p w14:paraId="1A63C67B" w14:textId="77777777" w:rsidR="007041E5" w:rsidRPr="00EF0C39" w:rsidRDefault="007041E5" w:rsidP="008C266D">
          <w:pPr>
            <w:tabs>
              <w:tab w:val="right" w:pos="8838"/>
            </w:tabs>
            <w:ind w:right="-170"/>
            <w:rPr>
              <w:b/>
            </w:rPr>
          </w:pPr>
        </w:p>
      </w:tc>
    </w:tr>
  </w:tbl>
  <w:p w14:paraId="3498D107" w14:textId="7E17876C" w:rsidR="007041E5" w:rsidRDefault="007041E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7041E5" w:rsidRDefault="007041E5">
    <w:pPr>
      <w:widowControl w:val="0"/>
      <w:pBdr>
        <w:top w:val="nil"/>
        <w:left w:val="nil"/>
        <w:bottom w:val="nil"/>
        <w:right w:val="nil"/>
        <w:between w:val="nil"/>
      </w:pBdr>
      <w:spacing w:after="0" w:line="276" w:lineRule="auto"/>
      <w:jc w:val="left"/>
      <w:rPr>
        <w:color w:val="000000"/>
      </w:rPr>
    </w:pPr>
  </w:p>
  <w:tbl>
    <w:tblPr>
      <w:tblStyle w:val="1"/>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7041E5" w14:paraId="6B3232BD" w14:textId="77777777" w:rsidTr="00AD1B81">
      <w:trPr>
        <w:trHeight w:val="132"/>
      </w:trPr>
      <w:tc>
        <w:tcPr>
          <w:tcW w:w="2551" w:type="dxa"/>
        </w:tcPr>
        <w:p w14:paraId="38F16E2F" w14:textId="77777777" w:rsidR="007041E5" w:rsidRDefault="007041E5">
          <w:pPr>
            <w:tabs>
              <w:tab w:val="right" w:pos="8838"/>
            </w:tabs>
            <w:ind w:right="-105"/>
            <w:rPr>
              <w:b/>
            </w:rPr>
          </w:pPr>
          <w:r>
            <w:rPr>
              <w:b/>
            </w:rPr>
            <w:t>Recurso de Revisión:</w:t>
          </w:r>
        </w:p>
      </w:tc>
      <w:tc>
        <w:tcPr>
          <w:tcW w:w="4395" w:type="dxa"/>
        </w:tcPr>
        <w:p w14:paraId="211CDC0A" w14:textId="5FEA6ACD" w:rsidR="007041E5" w:rsidRPr="00026C6B" w:rsidRDefault="007041E5" w:rsidP="00026C6B">
          <w:r>
            <w:t>07171/INFOEM/IP/RR/2025 y acumulados</w:t>
          </w:r>
        </w:p>
      </w:tc>
    </w:tr>
    <w:tr w:rsidR="007041E5" w14:paraId="6AA3CC58" w14:textId="77777777" w:rsidTr="00AD1B81">
      <w:trPr>
        <w:trHeight w:val="132"/>
      </w:trPr>
      <w:tc>
        <w:tcPr>
          <w:tcW w:w="2551" w:type="dxa"/>
        </w:tcPr>
        <w:p w14:paraId="7FD164F5" w14:textId="77777777" w:rsidR="007041E5" w:rsidRDefault="007041E5">
          <w:pPr>
            <w:tabs>
              <w:tab w:val="left" w:pos="1875"/>
            </w:tabs>
            <w:ind w:right="-105"/>
            <w:rPr>
              <w:b/>
            </w:rPr>
          </w:pPr>
          <w:r>
            <w:rPr>
              <w:b/>
            </w:rPr>
            <w:t>Recurrente:</w:t>
          </w:r>
          <w:r>
            <w:rPr>
              <w:b/>
            </w:rPr>
            <w:tab/>
          </w:r>
        </w:p>
      </w:tc>
      <w:tc>
        <w:tcPr>
          <w:tcW w:w="4395" w:type="dxa"/>
        </w:tcPr>
        <w:p w14:paraId="1F1B0537" w14:textId="1574F35F" w:rsidR="007041E5" w:rsidRPr="00EF0C39" w:rsidRDefault="0083322E" w:rsidP="006D7FDA">
          <w:pPr>
            <w:tabs>
              <w:tab w:val="right" w:pos="8838"/>
            </w:tabs>
            <w:ind w:right="-250"/>
          </w:pPr>
          <w:r w:rsidRPr="0083322E">
            <w:rPr>
              <w:highlight w:val="black"/>
            </w:rPr>
            <w:t>XXXXXXXX</w:t>
          </w:r>
        </w:p>
      </w:tc>
    </w:tr>
    <w:tr w:rsidR="007041E5" w14:paraId="5113CAA6" w14:textId="77777777" w:rsidTr="00AD1B81">
      <w:trPr>
        <w:trHeight w:val="261"/>
      </w:trPr>
      <w:tc>
        <w:tcPr>
          <w:tcW w:w="2551" w:type="dxa"/>
        </w:tcPr>
        <w:p w14:paraId="28E3431B" w14:textId="30EC7C18" w:rsidR="007041E5" w:rsidRDefault="007041E5">
          <w:pPr>
            <w:tabs>
              <w:tab w:val="right" w:pos="8838"/>
            </w:tabs>
            <w:ind w:right="-105"/>
            <w:rPr>
              <w:b/>
            </w:rPr>
          </w:pPr>
          <w:r>
            <w:rPr>
              <w:b/>
            </w:rPr>
            <w:t>Sujeto Obligado:</w:t>
          </w:r>
        </w:p>
      </w:tc>
      <w:tc>
        <w:tcPr>
          <w:tcW w:w="4395" w:type="dxa"/>
        </w:tcPr>
        <w:p w14:paraId="3192354E" w14:textId="7576CC8B" w:rsidR="007041E5" w:rsidRPr="00026C6B" w:rsidRDefault="007041E5" w:rsidP="00026C6B">
          <w:r>
            <w:t>Ayuntamiento de Teoloyucan</w:t>
          </w:r>
        </w:p>
      </w:tc>
    </w:tr>
    <w:tr w:rsidR="007041E5" w14:paraId="5D4C2A35" w14:textId="77777777" w:rsidTr="00AD1B81">
      <w:trPr>
        <w:trHeight w:val="74"/>
      </w:trPr>
      <w:tc>
        <w:tcPr>
          <w:tcW w:w="2551" w:type="dxa"/>
        </w:tcPr>
        <w:p w14:paraId="7F522FEC" w14:textId="77777777" w:rsidR="007041E5" w:rsidRDefault="007041E5">
          <w:pPr>
            <w:tabs>
              <w:tab w:val="right" w:pos="8838"/>
            </w:tabs>
            <w:ind w:right="-105"/>
            <w:rPr>
              <w:b/>
            </w:rPr>
          </w:pPr>
          <w:r>
            <w:rPr>
              <w:b/>
            </w:rPr>
            <w:t>Comisionado Ponente:</w:t>
          </w:r>
        </w:p>
      </w:tc>
      <w:tc>
        <w:tcPr>
          <w:tcW w:w="4395" w:type="dxa"/>
        </w:tcPr>
        <w:p w14:paraId="0F0566F9" w14:textId="77777777" w:rsidR="007041E5" w:rsidRPr="00EF0C39" w:rsidRDefault="007041E5" w:rsidP="00C46A25">
          <w:pPr>
            <w:tabs>
              <w:tab w:val="right" w:pos="8838"/>
            </w:tabs>
            <w:ind w:right="-32"/>
            <w:rPr>
              <w:b/>
            </w:rPr>
          </w:pPr>
          <w:r w:rsidRPr="00EF0C39">
            <w:t>Luis Gustavo Parra Noriega</w:t>
          </w:r>
        </w:p>
      </w:tc>
    </w:tr>
  </w:tbl>
  <w:p w14:paraId="4DFC2598" w14:textId="77777777" w:rsidR="007041E5" w:rsidRDefault="00BE5BE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6"/>
  </w:num>
  <w:num w:numId="6">
    <w:abstractNumId w:val="7"/>
  </w:num>
  <w:num w:numId="7">
    <w:abstractNumId w:val="15"/>
  </w:num>
  <w:num w:numId="8">
    <w:abstractNumId w:val="19"/>
  </w:num>
  <w:num w:numId="9">
    <w:abstractNumId w:val="5"/>
  </w:num>
  <w:num w:numId="10">
    <w:abstractNumId w:val="14"/>
  </w:num>
  <w:num w:numId="11">
    <w:abstractNumId w:val="3"/>
  </w:num>
  <w:num w:numId="12">
    <w:abstractNumId w:val="24"/>
  </w:num>
  <w:num w:numId="13">
    <w:abstractNumId w:val="20"/>
  </w:num>
  <w:num w:numId="14">
    <w:abstractNumId w:val="23"/>
  </w:num>
  <w:num w:numId="15">
    <w:abstractNumId w:val="0"/>
  </w:num>
  <w:num w:numId="16">
    <w:abstractNumId w:val="0"/>
  </w:num>
  <w:num w:numId="17">
    <w:abstractNumId w:val="18"/>
  </w:num>
  <w:num w:numId="18">
    <w:abstractNumId w:val="11"/>
  </w:num>
  <w:num w:numId="19">
    <w:abstractNumId w:val="9"/>
  </w:num>
  <w:num w:numId="20">
    <w:abstractNumId w:val="8"/>
  </w:num>
  <w:num w:numId="21">
    <w:abstractNumId w:val="1"/>
  </w:num>
  <w:num w:numId="22">
    <w:abstractNumId w:val="21"/>
  </w:num>
  <w:num w:numId="23">
    <w:abstractNumId w:val="10"/>
  </w:num>
  <w:num w:numId="24">
    <w:abstractNumId w:val="13"/>
  </w:num>
  <w:num w:numId="25">
    <w:abstractNumId w:val="17"/>
  </w:num>
  <w:num w:numId="26">
    <w:abstractNumId w:val="25"/>
  </w:num>
  <w:num w:numId="27">
    <w:abstractNumId w:val="12"/>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3CB"/>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769F"/>
    <w:rsid w:val="00057905"/>
    <w:rsid w:val="000602BA"/>
    <w:rsid w:val="00061123"/>
    <w:rsid w:val="000633CA"/>
    <w:rsid w:val="000709AA"/>
    <w:rsid w:val="000735F0"/>
    <w:rsid w:val="00073949"/>
    <w:rsid w:val="00075996"/>
    <w:rsid w:val="00075A71"/>
    <w:rsid w:val="00075CAF"/>
    <w:rsid w:val="00080524"/>
    <w:rsid w:val="00081D01"/>
    <w:rsid w:val="0008295C"/>
    <w:rsid w:val="00082B5B"/>
    <w:rsid w:val="00083169"/>
    <w:rsid w:val="000846E8"/>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A7895"/>
    <w:rsid w:val="000B2470"/>
    <w:rsid w:val="000B2A1D"/>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0F21"/>
    <w:rsid w:val="000E1C4F"/>
    <w:rsid w:val="000E3169"/>
    <w:rsid w:val="000F161C"/>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89"/>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57C4"/>
    <w:rsid w:val="001B7EFB"/>
    <w:rsid w:val="001C638A"/>
    <w:rsid w:val="001C6D31"/>
    <w:rsid w:val="001D1635"/>
    <w:rsid w:val="001D24CD"/>
    <w:rsid w:val="001D3FB9"/>
    <w:rsid w:val="001D4F21"/>
    <w:rsid w:val="001D5DBE"/>
    <w:rsid w:val="001D7D0E"/>
    <w:rsid w:val="001D7F0C"/>
    <w:rsid w:val="001E4284"/>
    <w:rsid w:val="001E4ECA"/>
    <w:rsid w:val="001E6077"/>
    <w:rsid w:val="001F285F"/>
    <w:rsid w:val="001F5043"/>
    <w:rsid w:val="001F52BC"/>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632F"/>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0216"/>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1E6"/>
    <w:rsid w:val="002A376A"/>
    <w:rsid w:val="002A3A8E"/>
    <w:rsid w:val="002A3E42"/>
    <w:rsid w:val="002A5DEB"/>
    <w:rsid w:val="002A733D"/>
    <w:rsid w:val="002B2FEA"/>
    <w:rsid w:val="002B5A2D"/>
    <w:rsid w:val="002B772B"/>
    <w:rsid w:val="002C0C3A"/>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16B6"/>
    <w:rsid w:val="002F329C"/>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2D6C"/>
    <w:rsid w:val="00353296"/>
    <w:rsid w:val="0035368D"/>
    <w:rsid w:val="00354255"/>
    <w:rsid w:val="00354FD0"/>
    <w:rsid w:val="00355D05"/>
    <w:rsid w:val="00356E1B"/>
    <w:rsid w:val="003602C9"/>
    <w:rsid w:val="0036042F"/>
    <w:rsid w:val="00363AC8"/>
    <w:rsid w:val="003657F4"/>
    <w:rsid w:val="003663BF"/>
    <w:rsid w:val="00366BB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1A82"/>
    <w:rsid w:val="0040398B"/>
    <w:rsid w:val="004068E7"/>
    <w:rsid w:val="004076BD"/>
    <w:rsid w:val="0041096D"/>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2432"/>
    <w:rsid w:val="0044320C"/>
    <w:rsid w:val="0044451C"/>
    <w:rsid w:val="00445A40"/>
    <w:rsid w:val="00446CA3"/>
    <w:rsid w:val="004475C6"/>
    <w:rsid w:val="004479B9"/>
    <w:rsid w:val="0045046D"/>
    <w:rsid w:val="00455EA5"/>
    <w:rsid w:val="00456B23"/>
    <w:rsid w:val="00461DF2"/>
    <w:rsid w:val="00462ED0"/>
    <w:rsid w:val="004649E0"/>
    <w:rsid w:val="0046597D"/>
    <w:rsid w:val="00467659"/>
    <w:rsid w:val="00471E99"/>
    <w:rsid w:val="004721AA"/>
    <w:rsid w:val="0047290D"/>
    <w:rsid w:val="00473151"/>
    <w:rsid w:val="00473453"/>
    <w:rsid w:val="00474793"/>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0E99"/>
    <w:rsid w:val="004E22FF"/>
    <w:rsid w:val="004E3063"/>
    <w:rsid w:val="004E47CC"/>
    <w:rsid w:val="004F0490"/>
    <w:rsid w:val="004F29C8"/>
    <w:rsid w:val="004F2DE2"/>
    <w:rsid w:val="004F56D3"/>
    <w:rsid w:val="004F59FB"/>
    <w:rsid w:val="004F76F4"/>
    <w:rsid w:val="004F7F19"/>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31FA"/>
    <w:rsid w:val="005B3AED"/>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07076"/>
    <w:rsid w:val="0061303E"/>
    <w:rsid w:val="006206A1"/>
    <w:rsid w:val="006207EF"/>
    <w:rsid w:val="00621F2D"/>
    <w:rsid w:val="00622401"/>
    <w:rsid w:val="00622CFB"/>
    <w:rsid w:val="006241B8"/>
    <w:rsid w:val="006242F2"/>
    <w:rsid w:val="00624488"/>
    <w:rsid w:val="006245B4"/>
    <w:rsid w:val="0062539C"/>
    <w:rsid w:val="006271E6"/>
    <w:rsid w:val="00627280"/>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7661"/>
    <w:rsid w:val="006B0607"/>
    <w:rsid w:val="006B083B"/>
    <w:rsid w:val="006B218E"/>
    <w:rsid w:val="006B3839"/>
    <w:rsid w:val="006B40EF"/>
    <w:rsid w:val="006B4C0B"/>
    <w:rsid w:val="006B5E14"/>
    <w:rsid w:val="006B634B"/>
    <w:rsid w:val="006C0BD7"/>
    <w:rsid w:val="006C17DE"/>
    <w:rsid w:val="006C1C90"/>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3E3B"/>
    <w:rsid w:val="006E5B7E"/>
    <w:rsid w:val="006E72D4"/>
    <w:rsid w:val="006E7B27"/>
    <w:rsid w:val="006E7C4E"/>
    <w:rsid w:val="006E7CFC"/>
    <w:rsid w:val="006F134A"/>
    <w:rsid w:val="006F1838"/>
    <w:rsid w:val="006F272D"/>
    <w:rsid w:val="006F4CC9"/>
    <w:rsid w:val="006F60D5"/>
    <w:rsid w:val="006F79F1"/>
    <w:rsid w:val="006F7CBF"/>
    <w:rsid w:val="007001B2"/>
    <w:rsid w:val="00702D5F"/>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915"/>
    <w:rsid w:val="0074523A"/>
    <w:rsid w:val="00745BEA"/>
    <w:rsid w:val="00747318"/>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4148"/>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6629"/>
    <w:rsid w:val="0081186D"/>
    <w:rsid w:val="00812FF1"/>
    <w:rsid w:val="0081681D"/>
    <w:rsid w:val="0081756A"/>
    <w:rsid w:val="008201FA"/>
    <w:rsid w:val="008234EA"/>
    <w:rsid w:val="008246F7"/>
    <w:rsid w:val="00826071"/>
    <w:rsid w:val="00826E84"/>
    <w:rsid w:val="00830986"/>
    <w:rsid w:val="00831725"/>
    <w:rsid w:val="00832312"/>
    <w:rsid w:val="0083322E"/>
    <w:rsid w:val="00836749"/>
    <w:rsid w:val="0084143D"/>
    <w:rsid w:val="008415EA"/>
    <w:rsid w:val="008416D9"/>
    <w:rsid w:val="008441D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D28E1"/>
    <w:rsid w:val="008D3B3F"/>
    <w:rsid w:val="008D43A8"/>
    <w:rsid w:val="008D46FC"/>
    <w:rsid w:val="008D58F4"/>
    <w:rsid w:val="008D7C22"/>
    <w:rsid w:val="008E0D53"/>
    <w:rsid w:val="008E0DC4"/>
    <w:rsid w:val="008E59DB"/>
    <w:rsid w:val="008E5E71"/>
    <w:rsid w:val="008E736C"/>
    <w:rsid w:val="008E7959"/>
    <w:rsid w:val="008F0749"/>
    <w:rsid w:val="008F4E82"/>
    <w:rsid w:val="008F5A51"/>
    <w:rsid w:val="00900916"/>
    <w:rsid w:val="009019A8"/>
    <w:rsid w:val="0090220A"/>
    <w:rsid w:val="00903E21"/>
    <w:rsid w:val="0090431D"/>
    <w:rsid w:val="009048A7"/>
    <w:rsid w:val="00905638"/>
    <w:rsid w:val="0090589B"/>
    <w:rsid w:val="0091086E"/>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2FBA"/>
    <w:rsid w:val="00943435"/>
    <w:rsid w:val="00945CB8"/>
    <w:rsid w:val="00947B5C"/>
    <w:rsid w:val="009502F9"/>
    <w:rsid w:val="00950D76"/>
    <w:rsid w:val="00950ED4"/>
    <w:rsid w:val="00951B0D"/>
    <w:rsid w:val="0095477E"/>
    <w:rsid w:val="0095571A"/>
    <w:rsid w:val="00956E0E"/>
    <w:rsid w:val="00960DEA"/>
    <w:rsid w:val="00960E46"/>
    <w:rsid w:val="00962C51"/>
    <w:rsid w:val="0096342B"/>
    <w:rsid w:val="00963E6F"/>
    <w:rsid w:val="009643D0"/>
    <w:rsid w:val="00965741"/>
    <w:rsid w:val="00966BF0"/>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2F16"/>
    <w:rsid w:val="009D3E7F"/>
    <w:rsid w:val="009D41AB"/>
    <w:rsid w:val="009D4333"/>
    <w:rsid w:val="009D443C"/>
    <w:rsid w:val="009D4BA7"/>
    <w:rsid w:val="009D778F"/>
    <w:rsid w:val="009D7D07"/>
    <w:rsid w:val="009E03A4"/>
    <w:rsid w:val="009E0F24"/>
    <w:rsid w:val="009E263E"/>
    <w:rsid w:val="009E29E8"/>
    <w:rsid w:val="009E2E2A"/>
    <w:rsid w:val="009E4128"/>
    <w:rsid w:val="009E4A04"/>
    <w:rsid w:val="009F2202"/>
    <w:rsid w:val="009F3790"/>
    <w:rsid w:val="009F39DF"/>
    <w:rsid w:val="009F6813"/>
    <w:rsid w:val="009F7DFF"/>
    <w:rsid w:val="00A03F8F"/>
    <w:rsid w:val="00A042BC"/>
    <w:rsid w:val="00A045F2"/>
    <w:rsid w:val="00A071E9"/>
    <w:rsid w:val="00A1369B"/>
    <w:rsid w:val="00A13D94"/>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56D"/>
    <w:rsid w:val="00AA5EF5"/>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1B81"/>
    <w:rsid w:val="00AD2992"/>
    <w:rsid w:val="00AD3E0D"/>
    <w:rsid w:val="00AD468B"/>
    <w:rsid w:val="00AD4F7B"/>
    <w:rsid w:val="00AD7046"/>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5AC6"/>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016"/>
    <w:rsid w:val="00B42F31"/>
    <w:rsid w:val="00B43C12"/>
    <w:rsid w:val="00B43D92"/>
    <w:rsid w:val="00B51050"/>
    <w:rsid w:val="00B52CAD"/>
    <w:rsid w:val="00B53EAF"/>
    <w:rsid w:val="00B554D6"/>
    <w:rsid w:val="00B62EE3"/>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6505"/>
    <w:rsid w:val="00BD6553"/>
    <w:rsid w:val="00BE288A"/>
    <w:rsid w:val="00BE5634"/>
    <w:rsid w:val="00BE57BB"/>
    <w:rsid w:val="00BE5BE4"/>
    <w:rsid w:val="00BE7092"/>
    <w:rsid w:val="00BE7118"/>
    <w:rsid w:val="00BF0C25"/>
    <w:rsid w:val="00BF362A"/>
    <w:rsid w:val="00BF381B"/>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0650"/>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0A09"/>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A13"/>
    <w:rsid w:val="00D36A9F"/>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4273"/>
    <w:rsid w:val="00D64C4F"/>
    <w:rsid w:val="00D66DDB"/>
    <w:rsid w:val="00D70766"/>
    <w:rsid w:val="00D72175"/>
    <w:rsid w:val="00D7252C"/>
    <w:rsid w:val="00D7408F"/>
    <w:rsid w:val="00D7768F"/>
    <w:rsid w:val="00D82691"/>
    <w:rsid w:val="00D837B0"/>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D73A4"/>
    <w:rsid w:val="00DE00CB"/>
    <w:rsid w:val="00DE02CA"/>
    <w:rsid w:val="00DE224D"/>
    <w:rsid w:val="00DE41C5"/>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370A1"/>
    <w:rsid w:val="00E40395"/>
    <w:rsid w:val="00E40CA6"/>
    <w:rsid w:val="00E41747"/>
    <w:rsid w:val="00E44D06"/>
    <w:rsid w:val="00E46240"/>
    <w:rsid w:val="00E52B0F"/>
    <w:rsid w:val="00E54144"/>
    <w:rsid w:val="00E547F7"/>
    <w:rsid w:val="00E559DA"/>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878C8"/>
    <w:rsid w:val="00E909E3"/>
    <w:rsid w:val="00E91D41"/>
    <w:rsid w:val="00E9742F"/>
    <w:rsid w:val="00EA372C"/>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4B8D"/>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F10"/>
    <w:rsid w:val="00F06AF6"/>
    <w:rsid w:val="00F104DF"/>
    <w:rsid w:val="00F12A3F"/>
    <w:rsid w:val="00F1561E"/>
    <w:rsid w:val="00F16F36"/>
    <w:rsid w:val="00F17302"/>
    <w:rsid w:val="00F20567"/>
    <w:rsid w:val="00F21BA6"/>
    <w:rsid w:val="00F25709"/>
    <w:rsid w:val="00F26C65"/>
    <w:rsid w:val="00F316B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989"/>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C6327C-21F9-4B7E-8F5E-2DCC09D6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6131</Words>
  <Characters>33721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2025-08-29T12:30:00Z</cp:lastPrinted>
  <dcterms:created xsi:type="dcterms:W3CDTF">2025-08-29T12:30:00Z</dcterms:created>
  <dcterms:modified xsi:type="dcterms:W3CDTF">2025-09-11T19:35:00Z</dcterms:modified>
</cp:coreProperties>
</file>