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48" w:rsidRPr="001D347D" w:rsidRDefault="00F63048">
      <w:pPr>
        <w:widowControl w:val="0"/>
        <w:pBdr>
          <w:top w:val="nil"/>
          <w:left w:val="nil"/>
          <w:bottom w:val="nil"/>
          <w:right w:val="nil"/>
          <w:between w:val="nil"/>
        </w:pBdr>
        <w:spacing w:line="276" w:lineRule="auto"/>
        <w:rPr>
          <w:rFonts w:ascii="Palatino Linotype" w:hAnsi="Palatino Linotype"/>
        </w:rPr>
      </w:pPr>
    </w:p>
    <w:p w:rsidR="00F63048" w:rsidRPr="00DC4D0C" w:rsidRDefault="00EF0524">
      <w:pPr>
        <w:spacing w:line="360" w:lineRule="auto"/>
        <w:jc w:val="both"/>
        <w:rPr>
          <w:rFonts w:ascii="Palatino Linotype" w:eastAsia="Palatino Linotype" w:hAnsi="Palatino Linotype" w:cs="Palatino Linotype"/>
        </w:rPr>
      </w:pPr>
      <w:r w:rsidRPr="00DC4D0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DC4D0C">
        <w:rPr>
          <w:rFonts w:ascii="Palatino Linotype" w:eastAsia="Palatino Linotype" w:hAnsi="Palatino Linotype" w:cs="Palatino Linotype"/>
          <w:b/>
        </w:rPr>
        <w:t>veintiséis de marzo de dos mil veinticinco.</w:t>
      </w:r>
      <w:r w:rsidRPr="00DC4D0C">
        <w:rPr>
          <w:rFonts w:ascii="Palatino Linotype" w:eastAsia="Palatino Linotype" w:hAnsi="Palatino Linotype" w:cs="Palatino Linotype"/>
        </w:rPr>
        <w:t xml:space="preserve"> </w:t>
      </w:r>
    </w:p>
    <w:p w:rsidR="00F63048" w:rsidRPr="00DC4D0C" w:rsidRDefault="00F63048">
      <w:pPr>
        <w:spacing w:line="360" w:lineRule="auto"/>
        <w:jc w:val="both"/>
        <w:rPr>
          <w:rFonts w:ascii="Palatino Linotype" w:eastAsia="Palatino Linotype" w:hAnsi="Palatino Linotype" w:cs="Palatino Linotype"/>
        </w:rPr>
      </w:pPr>
    </w:p>
    <w:p w:rsidR="00F63048" w:rsidRPr="00DC4D0C" w:rsidRDefault="00EF0524">
      <w:pPr>
        <w:spacing w:line="360" w:lineRule="auto"/>
        <w:jc w:val="both"/>
        <w:rPr>
          <w:rFonts w:ascii="Palatino Linotype" w:eastAsia="Palatino Linotype" w:hAnsi="Palatino Linotype" w:cs="Palatino Linotype"/>
        </w:rPr>
      </w:pPr>
      <w:r w:rsidRPr="00DC4D0C">
        <w:rPr>
          <w:rFonts w:ascii="Palatino Linotype" w:eastAsia="Palatino Linotype" w:hAnsi="Palatino Linotype" w:cs="Palatino Linotype"/>
          <w:b/>
        </w:rPr>
        <w:t>VISTO</w:t>
      </w:r>
      <w:r w:rsidRPr="00DC4D0C">
        <w:rPr>
          <w:rFonts w:ascii="Palatino Linotype" w:eastAsia="Palatino Linotype" w:hAnsi="Palatino Linotype" w:cs="Palatino Linotype"/>
        </w:rPr>
        <w:t xml:space="preserve"> el expediente electrónico formado con motivo del recurso de revisión </w:t>
      </w:r>
      <w:r w:rsidRPr="00DC4D0C">
        <w:rPr>
          <w:rFonts w:ascii="Palatino Linotype" w:eastAsia="Palatino Linotype" w:hAnsi="Palatino Linotype" w:cs="Palatino Linotype"/>
          <w:b/>
        </w:rPr>
        <w:t xml:space="preserve">00348/INFOEM/IP/RR/2025, </w:t>
      </w:r>
      <w:r w:rsidRPr="00DC4D0C">
        <w:rPr>
          <w:rFonts w:ascii="Palatino Linotype" w:eastAsia="Palatino Linotype" w:hAnsi="Palatino Linotype" w:cs="Palatino Linotype"/>
        </w:rPr>
        <w:t xml:space="preserve">promovido por un usuario </w:t>
      </w:r>
      <w:r w:rsidR="00251535" w:rsidRPr="00DC4D0C">
        <w:rPr>
          <w:rFonts w:ascii="Palatino Linotype" w:eastAsia="Palatino Linotype" w:hAnsi="Palatino Linotype" w:cs="Palatino Linotype"/>
        </w:rPr>
        <w:t xml:space="preserve">de nombre </w:t>
      </w:r>
      <w:r w:rsidR="003C79EA">
        <w:rPr>
          <w:rFonts w:ascii="Palatino Linotype" w:eastAsia="Palatino Linotype" w:hAnsi="Palatino Linotype" w:cs="Palatino Linotype"/>
          <w:b/>
        </w:rPr>
        <w:t>XXXX</w:t>
      </w:r>
      <w:r w:rsidRPr="00DC4D0C">
        <w:rPr>
          <w:rFonts w:ascii="Palatino Linotype" w:eastAsia="Palatino Linotype" w:hAnsi="Palatino Linotype" w:cs="Palatino Linotype"/>
        </w:rPr>
        <w:t xml:space="preserve">, </w:t>
      </w:r>
      <w:r w:rsidR="00251535" w:rsidRPr="00DC4D0C">
        <w:rPr>
          <w:rFonts w:ascii="Palatino Linotype" w:eastAsia="Palatino Linotype" w:hAnsi="Palatino Linotype" w:cs="Palatino Linotype"/>
        </w:rPr>
        <w:t xml:space="preserve">a </w:t>
      </w:r>
      <w:r w:rsidRPr="00DC4D0C">
        <w:rPr>
          <w:rFonts w:ascii="Palatino Linotype" w:eastAsia="Palatino Linotype" w:hAnsi="Palatino Linotype" w:cs="Palatino Linotype"/>
        </w:rPr>
        <w:t xml:space="preserve">quien en lo sucesivo se identificará como </w:t>
      </w:r>
      <w:r w:rsidRPr="00DC4D0C">
        <w:rPr>
          <w:rFonts w:ascii="Palatino Linotype" w:eastAsia="Palatino Linotype" w:hAnsi="Palatino Linotype" w:cs="Palatino Linotype"/>
          <w:b/>
        </w:rPr>
        <w:t>EL RECURRENTE</w:t>
      </w:r>
      <w:r w:rsidRPr="00DC4D0C">
        <w:rPr>
          <w:rFonts w:ascii="Palatino Linotype" w:eastAsia="Palatino Linotype" w:hAnsi="Palatino Linotype" w:cs="Palatino Linotype"/>
        </w:rPr>
        <w:t xml:space="preserve">, en contra de la respuesta del </w:t>
      </w:r>
      <w:r w:rsidRPr="00DC4D0C">
        <w:rPr>
          <w:rFonts w:ascii="Palatino Linotype" w:eastAsia="Palatino Linotype" w:hAnsi="Palatino Linotype" w:cs="Palatino Linotype"/>
          <w:b/>
        </w:rPr>
        <w:t xml:space="preserve">Organismo Público Descentralizado para la Prestación de Los Servicios de Agua Potable Alcantarillado y Saneamiento del Municipio de Tlalnepantla de Baz, </w:t>
      </w:r>
      <w:r w:rsidRPr="00DC4D0C">
        <w:rPr>
          <w:rFonts w:ascii="Palatino Linotype" w:eastAsia="Palatino Linotype" w:hAnsi="Palatino Linotype" w:cs="Palatino Linotype"/>
        </w:rPr>
        <w:t>en lo sucesivo el</w:t>
      </w:r>
      <w:r w:rsidRPr="00DC4D0C">
        <w:rPr>
          <w:rFonts w:ascii="Palatino Linotype" w:eastAsia="Palatino Linotype" w:hAnsi="Palatino Linotype" w:cs="Palatino Linotype"/>
          <w:b/>
        </w:rPr>
        <w:t xml:space="preserve"> SUJETO OBLIGADO</w:t>
      </w:r>
      <w:r w:rsidRPr="00DC4D0C">
        <w:rPr>
          <w:rFonts w:ascii="Palatino Linotype" w:eastAsia="Palatino Linotype" w:hAnsi="Palatino Linotype" w:cs="Palatino Linotype"/>
        </w:rPr>
        <w:t>, por lo que se procede a dictar la presente resolución, con base en los siguientes:</w:t>
      </w:r>
    </w:p>
    <w:p w:rsidR="00F63048" w:rsidRPr="00DC4D0C" w:rsidRDefault="00F63048">
      <w:pPr>
        <w:spacing w:line="360" w:lineRule="auto"/>
        <w:jc w:val="both"/>
        <w:rPr>
          <w:rFonts w:ascii="Palatino Linotype" w:eastAsia="Palatino Linotype" w:hAnsi="Palatino Linotype" w:cs="Palatino Linotype"/>
          <w:b/>
        </w:rPr>
      </w:pPr>
    </w:p>
    <w:p w:rsidR="00F63048" w:rsidRPr="00DC4D0C" w:rsidRDefault="00EF0524">
      <w:pPr>
        <w:keepNext/>
        <w:keepLines/>
        <w:spacing w:line="360" w:lineRule="auto"/>
        <w:jc w:val="center"/>
        <w:rPr>
          <w:rFonts w:ascii="Palatino Linotype" w:eastAsia="Palatino Linotype" w:hAnsi="Palatino Linotype" w:cs="Palatino Linotype"/>
          <w:b/>
        </w:rPr>
      </w:pPr>
      <w:bookmarkStart w:id="0" w:name="_heading=h.c56urwmrt2ab" w:colFirst="0" w:colLast="0"/>
      <w:bookmarkEnd w:id="0"/>
      <w:r w:rsidRPr="00DC4D0C">
        <w:rPr>
          <w:rFonts w:ascii="Palatino Linotype" w:eastAsia="Palatino Linotype" w:hAnsi="Palatino Linotype" w:cs="Palatino Linotype"/>
          <w:b/>
        </w:rPr>
        <w:t>ANTECEDENTES</w:t>
      </w:r>
    </w:p>
    <w:p w:rsidR="00F63048" w:rsidRPr="00DC4D0C" w:rsidRDefault="00F63048">
      <w:pPr>
        <w:spacing w:line="360" w:lineRule="auto"/>
        <w:rPr>
          <w:rFonts w:ascii="Palatino Linotype" w:eastAsia="Palatino Linotype" w:hAnsi="Palatino Linotype" w:cs="Palatino Linotype"/>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El </w:t>
      </w:r>
      <w:r w:rsidRPr="00DC4D0C">
        <w:rPr>
          <w:rFonts w:ascii="Palatino Linotype" w:eastAsia="Palatino Linotype" w:hAnsi="Palatino Linotype" w:cs="Palatino Linotype"/>
          <w:b/>
          <w:color w:val="000000"/>
        </w:rPr>
        <w:t>veintiuno de enero de dos mil veinticinco</w:t>
      </w:r>
      <w:r w:rsidRPr="00DC4D0C">
        <w:rPr>
          <w:rFonts w:ascii="Palatino Linotype" w:eastAsia="Palatino Linotype" w:hAnsi="Palatino Linotype" w:cs="Palatino Linotype"/>
          <w:color w:val="000000"/>
        </w:rPr>
        <w:t xml:space="preserve">, </w:t>
      </w:r>
      <w:r w:rsidRPr="00DC4D0C">
        <w:rPr>
          <w:rFonts w:ascii="Palatino Linotype" w:eastAsia="Palatino Linotype" w:hAnsi="Palatino Linotype" w:cs="Palatino Linotype"/>
          <w:b/>
          <w:color w:val="000000"/>
        </w:rPr>
        <w:t>EL RECURRENTE,</w:t>
      </w:r>
      <w:r w:rsidRPr="00DC4D0C">
        <w:rPr>
          <w:rFonts w:ascii="Palatino Linotype" w:eastAsia="Palatino Linotype" w:hAnsi="Palatino Linotype" w:cs="Palatino Linotype"/>
          <w:color w:val="000000"/>
        </w:rPr>
        <w:t xml:space="preserve"> ante el </w:t>
      </w:r>
      <w:r w:rsidRPr="00DC4D0C">
        <w:rPr>
          <w:rFonts w:ascii="Palatino Linotype" w:eastAsia="Palatino Linotype" w:hAnsi="Palatino Linotype" w:cs="Palatino Linotype"/>
          <w:b/>
          <w:color w:val="000000"/>
        </w:rPr>
        <w:t>SUJETO OBLIGADO</w:t>
      </w:r>
      <w:r w:rsidRPr="00DC4D0C">
        <w:rPr>
          <w:rFonts w:ascii="Palatino Linotype" w:eastAsia="Palatino Linotype" w:hAnsi="Palatino Linotype" w:cs="Palatino Linotype"/>
          <w:color w:val="000000"/>
        </w:rPr>
        <w:t xml:space="preserve"> vía Sistema de Acceso a la Información Mexiquense (</w:t>
      </w:r>
      <w:r w:rsidRPr="00DC4D0C">
        <w:rPr>
          <w:rFonts w:ascii="Palatino Linotype" w:eastAsia="Palatino Linotype" w:hAnsi="Palatino Linotype" w:cs="Palatino Linotype"/>
          <w:b/>
          <w:color w:val="000000"/>
        </w:rPr>
        <w:t>SAIMEX)</w:t>
      </w:r>
      <w:r w:rsidRPr="00DC4D0C">
        <w:rPr>
          <w:rFonts w:ascii="Palatino Linotype" w:eastAsia="Palatino Linotype" w:hAnsi="Palatino Linotype" w:cs="Palatino Linotype"/>
          <w:color w:val="000000"/>
        </w:rPr>
        <w:t xml:space="preserve">, presentó una solicitud de información registrada con el número </w:t>
      </w:r>
      <w:r w:rsidRPr="00DC4D0C">
        <w:rPr>
          <w:rFonts w:ascii="Palatino Linotype" w:eastAsia="Palatino Linotype" w:hAnsi="Palatino Linotype" w:cs="Palatino Linotype"/>
          <w:b/>
          <w:color w:val="000000"/>
        </w:rPr>
        <w:t xml:space="preserve">00029/OASTLALNE/IP/2025, </w:t>
      </w:r>
      <w:r w:rsidRPr="00DC4D0C">
        <w:rPr>
          <w:rFonts w:ascii="Palatino Linotype" w:eastAsia="Palatino Linotype" w:hAnsi="Palatino Linotype" w:cs="Palatino Linotype"/>
          <w:color w:val="000000"/>
        </w:rPr>
        <w:t>mediante la cual solicitó lo siguiente:</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i/>
          <w:color w:val="000000"/>
        </w:rPr>
        <w:t xml:space="preserve">“Solicito en versión publica cuantas cuentas bancarias tenía el Organismo Público Descentralizado para la Prestación de los Servicios de Agua Potable, </w:t>
      </w:r>
      <w:r w:rsidRPr="00DC4D0C">
        <w:rPr>
          <w:rFonts w:ascii="Palatino Linotype" w:eastAsia="Palatino Linotype" w:hAnsi="Palatino Linotype" w:cs="Palatino Linotype"/>
          <w:i/>
          <w:color w:val="000000"/>
        </w:rPr>
        <w:lastRenderedPageBreak/>
        <w:t xml:space="preserve">Alcantarillado y Saneamiento del Municipio de Tlalnepantla en la administración 2024 Solicito en versión publica que saldos dejaron en las cuentas bancarias del Organismo Público Descentralizado para la Prestación de los Servicios de Agua Potable, Alcantarillado y Saneamiento del Municipio de Tlalnepantla en la administración 2024 en su entrega.” (Sic) </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Se solicitó la entrega de la información a través de SAIMEX.</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El </w:t>
      </w:r>
      <w:r w:rsidRPr="00DC4D0C">
        <w:rPr>
          <w:rFonts w:ascii="Palatino Linotype" w:eastAsia="Palatino Linotype" w:hAnsi="Palatino Linotype" w:cs="Palatino Linotype"/>
          <w:b/>
          <w:color w:val="000000"/>
        </w:rPr>
        <w:t>veintisiete de enero de dos mil veinticuatro,</w:t>
      </w:r>
      <w:r w:rsidRPr="00DC4D0C">
        <w:rPr>
          <w:rFonts w:ascii="Palatino Linotype" w:eastAsia="Palatino Linotype" w:hAnsi="Palatino Linotype" w:cs="Palatino Linotype"/>
          <w:color w:val="000000"/>
        </w:rPr>
        <w:t xml:space="preserve"> se realizó un requerimiento al servidor público habilitado.</w:t>
      </w:r>
    </w:p>
    <w:p w:rsidR="00F63048" w:rsidRPr="00DC4D0C" w:rsidRDefault="00F63048">
      <w:pPr>
        <w:pBdr>
          <w:top w:val="nil"/>
          <w:left w:val="nil"/>
          <w:bottom w:val="nil"/>
          <w:right w:val="nil"/>
          <w:between w:val="nil"/>
        </w:pBdr>
        <w:ind w:left="720"/>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El </w:t>
      </w:r>
      <w:r w:rsidRPr="00DC4D0C">
        <w:rPr>
          <w:rFonts w:ascii="Palatino Linotype" w:eastAsia="Palatino Linotype" w:hAnsi="Palatino Linotype" w:cs="Palatino Linotype"/>
          <w:b/>
          <w:color w:val="000000"/>
        </w:rPr>
        <w:t>veintisiete de enero de dos mil veinticuatro</w:t>
      </w:r>
      <w:r w:rsidRPr="00DC4D0C">
        <w:rPr>
          <w:rFonts w:ascii="Palatino Linotype" w:eastAsia="Palatino Linotype" w:hAnsi="Palatino Linotype" w:cs="Palatino Linotype"/>
          <w:color w:val="000000"/>
        </w:rPr>
        <w:t>, el Sujeto Obligado entregó respuesta en el siguiente sentido:</w:t>
      </w:r>
    </w:p>
    <w:p w:rsidR="00F63048" w:rsidRPr="00DC4D0C" w:rsidRDefault="00F63048">
      <w:pPr>
        <w:pBdr>
          <w:top w:val="nil"/>
          <w:left w:val="nil"/>
          <w:bottom w:val="nil"/>
          <w:right w:val="nil"/>
          <w:between w:val="nil"/>
        </w:pBdr>
        <w:ind w:left="720"/>
        <w:rPr>
          <w:rFonts w:ascii="Palatino Linotype" w:eastAsia="Palatino Linotype" w:hAnsi="Palatino Linotype" w:cs="Palatino Linotype"/>
          <w:color w:val="000000"/>
        </w:rPr>
      </w:pPr>
    </w:p>
    <w:tbl>
      <w:tblPr>
        <w:tblStyle w:val="a"/>
        <w:tblW w:w="7931" w:type="dxa"/>
        <w:jc w:val="center"/>
        <w:tblInd w:w="0" w:type="dxa"/>
        <w:tblLayout w:type="fixed"/>
        <w:tblLook w:val="0400" w:firstRow="0" w:lastRow="0" w:firstColumn="0" w:lastColumn="0" w:noHBand="0" w:noVBand="1"/>
      </w:tblPr>
      <w:tblGrid>
        <w:gridCol w:w="7931"/>
      </w:tblGrid>
      <w:tr w:rsidR="00F63048" w:rsidRPr="00DC4D0C">
        <w:trPr>
          <w:trHeight w:val="306"/>
          <w:jc w:val="center"/>
        </w:trPr>
        <w:tc>
          <w:tcPr>
            <w:tcW w:w="7931" w:type="dxa"/>
            <w:vAlign w:val="center"/>
          </w:tcPr>
          <w:p w:rsidR="00F63048" w:rsidRPr="00DC4D0C" w:rsidRDefault="00EF0524">
            <w:pPr>
              <w:jc w:val="right"/>
              <w:rPr>
                <w:rFonts w:ascii="Palatino Linotype" w:eastAsia="Palatino Linotype" w:hAnsi="Palatino Linotype" w:cs="Palatino Linotype"/>
                <w:i/>
              </w:rPr>
            </w:pPr>
            <w:r w:rsidRPr="00DC4D0C">
              <w:rPr>
                <w:rFonts w:ascii="Palatino Linotype" w:eastAsia="Palatino Linotype" w:hAnsi="Palatino Linotype" w:cs="Palatino Linotype"/>
                <w:i/>
              </w:rPr>
              <w:t>“o Descentralizado para la Prestación de Los Servicios de Agua Potable Alcantarillado y Saneamiento del Municipio de Tlalnepantla de Baz, México a 27 de Enero de 2025</w:t>
            </w:r>
          </w:p>
        </w:tc>
      </w:tr>
      <w:tr w:rsidR="00F63048" w:rsidRPr="00DC4D0C">
        <w:trPr>
          <w:trHeight w:val="306"/>
          <w:jc w:val="center"/>
        </w:trPr>
        <w:tc>
          <w:tcPr>
            <w:tcW w:w="7931" w:type="dxa"/>
            <w:vAlign w:val="center"/>
          </w:tcPr>
          <w:p w:rsidR="00F63048" w:rsidRPr="00DC4D0C" w:rsidRDefault="00EF0524">
            <w:pPr>
              <w:jc w:val="right"/>
              <w:rPr>
                <w:rFonts w:ascii="Palatino Linotype" w:eastAsia="Palatino Linotype" w:hAnsi="Palatino Linotype" w:cs="Palatino Linotype"/>
                <w:i/>
              </w:rPr>
            </w:pPr>
            <w:r w:rsidRPr="00DC4D0C">
              <w:rPr>
                <w:rFonts w:ascii="Palatino Linotype" w:eastAsia="Palatino Linotype" w:hAnsi="Palatino Linotype" w:cs="Palatino Linotype"/>
                <w:i/>
              </w:rPr>
              <w:t>Nombre del solicitante: C. Solicitante</w:t>
            </w:r>
          </w:p>
        </w:tc>
      </w:tr>
      <w:tr w:rsidR="00F63048" w:rsidRPr="00DC4D0C">
        <w:trPr>
          <w:trHeight w:val="306"/>
          <w:jc w:val="center"/>
        </w:trPr>
        <w:tc>
          <w:tcPr>
            <w:tcW w:w="7931" w:type="dxa"/>
            <w:vAlign w:val="center"/>
          </w:tcPr>
          <w:p w:rsidR="00F63048" w:rsidRPr="00DC4D0C" w:rsidRDefault="00EF0524">
            <w:pPr>
              <w:jc w:val="right"/>
              <w:rPr>
                <w:rFonts w:ascii="Palatino Linotype" w:eastAsia="Palatino Linotype" w:hAnsi="Palatino Linotype" w:cs="Palatino Linotype"/>
                <w:i/>
              </w:rPr>
            </w:pPr>
            <w:r w:rsidRPr="00DC4D0C">
              <w:rPr>
                <w:rFonts w:ascii="Palatino Linotype" w:eastAsia="Palatino Linotype" w:hAnsi="Palatino Linotype" w:cs="Palatino Linotype"/>
                <w:i/>
              </w:rPr>
              <w:t>Folio de la solicitud: 00029/OASTLALNE/IP/2025</w:t>
            </w:r>
          </w:p>
        </w:tc>
      </w:tr>
      <w:tr w:rsidR="00F63048" w:rsidRPr="00DC4D0C">
        <w:trPr>
          <w:trHeight w:val="459"/>
          <w:jc w:val="center"/>
        </w:trPr>
        <w:tc>
          <w:tcPr>
            <w:tcW w:w="7931" w:type="dxa"/>
            <w:vAlign w:val="center"/>
          </w:tcPr>
          <w:p w:rsidR="00F63048" w:rsidRPr="00DC4D0C" w:rsidRDefault="00F63048">
            <w:pPr>
              <w:jc w:val="right"/>
              <w:rPr>
                <w:rFonts w:ascii="Palatino Linotype" w:eastAsia="Palatino Linotype" w:hAnsi="Palatino Linotype" w:cs="Palatino Linotype"/>
                <w:i/>
              </w:rPr>
            </w:pPr>
          </w:p>
        </w:tc>
      </w:tr>
      <w:tr w:rsidR="00F63048" w:rsidRPr="00DC4D0C">
        <w:trPr>
          <w:trHeight w:val="153"/>
          <w:jc w:val="center"/>
        </w:trPr>
        <w:tc>
          <w:tcPr>
            <w:tcW w:w="7931" w:type="dxa"/>
            <w:vAlign w:val="center"/>
          </w:tcPr>
          <w:p w:rsidR="00F63048" w:rsidRPr="00DC4D0C" w:rsidRDefault="00EF0524">
            <w:pPr>
              <w:rPr>
                <w:rFonts w:ascii="Palatino Linotype" w:eastAsia="Palatino Linotype" w:hAnsi="Palatino Linotype" w:cs="Palatino Linotype"/>
                <w:i/>
              </w:rPr>
            </w:pPr>
            <w:r w:rsidRPr="00DC4D0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63048" w:rsidRPr="00DC4D0C">
        <w:trPr>
          <w:trHeight w:val="383"/>
          <w:jc w:val="center"/>
        </w:trPr>
        <w:tc>
          <w:tcPr>
            <w:tcW w:w="7931" w:type="dxa"/>
            <w:vAlign w:val="center"/>
          </w:tcPr>
          <w:p w:rsidR="00F63048" w:rsidRPr="00DC4D0C" w:rsidRDefault="00F63048">
            <w:pPr>
              <w:rPr>
                <w:rFonts w:ascii="Palatino Linotype" w:eastAsia="Palatino Linotype" w:hAnsi="Palatino Linotype" w:cs="Palatino Linotype"/>
                <w:i/>
              </w:rPr>
            </w:pPr>
          </w:p>
        </w:tc>
      </w:tr>
      <w:tr w:rsidR="00F63048" w:rsidRPr="00DC4D0C">
        <w:trPr>
          <w:trHeight w:val="153"/>
          <w:jc w:val="center"/>
        </w:trPr>
        <w:tc>
          <w:tcPr>
            <w:tcW w:w="7931" w:type="dxa"/>
            <w:vAlign w:val="center"/>
          </w:tcPr>
          <w:p w:rsidR="00F63048" w:rsidRPr="00DC4D0C" w:rsidRDefault="00EF0524">
            <w:pPr>
              <w:rPr>
                <w:rFonts w:ascii="Palatino Linotype" w:eastAsia="Palatino Linotype" w:hAnsi="Palatino Linotype" w:cs="Palatino Linotype"/>
                <w:i/>
              </w:rPr>
            </w:pPr>
            <w:r w:rsidRPr="00DC4D0C">
              <w:rPr>
                <w:rFonts w:ascii="Palatino Linotype" w:eastAsia="Palatino Linotype" w:hAnsi="Palatino Linotype" w:cs="Palatino Linotype"/>
                <w:i/>
              </w:rPr>
              <w:lastRenderedPageBreak/>
              <w:t>Le envío archivo electrónico con respuesta a su solicitud de información con número de folio SAIMEX 00029/OASTLALNE/IP/2025.</w:t>
            </w:r>
          </w:p>
        </w:tc>
      </w:tr>
      <w:tr w:rsidR="00F63048" w:rsidRPr="00DC4D0C">
        <w:trPr>
          <w:trHeight w:val="383"/>
          <w:jc w:val="center"/>
        </w:trPr>
        <w:tc>
          <w:tcPr>
            <w:tcW w:w="7931" w:type="dxa"/>
            <w:vAlign w:val="center"/>
          </w:tcPr>
          <w:p w:rsidR="00F63048" w:rsidRPr="00DC4D0C" w:rsidRDefault="00F63048">
            <w:pPr>
              <w:rPr>
                <w:rFonts w:ascii="Palatino Linotype" w:eastAsia="Palatino Linotype" w:hAnsi="Palatino Linotype" w:cs="Palatino Linotype"/>
                <w:i/>
              </w:rPr>
            </w:pPr>
          </w:p>
        </w:tc>
      </w:tr>
      <w:tr w:rsidR="00F63048" w:rsidRPr="00DC4D0C">
        <w:trPr>
          <w:trHeight w:val="153"/>
          <w:jc w:val="center"/>
        </w:trPr>
        <w:tc>
          <w:tcPr>
            <w:tcW w:w="7931" w:type="dxa"/>
            <w:vAlign w:val="center"/>
          </w:tcPr>
          <w:p w:rsidR="00F63048" w:rsidRPr="00DC4D0C" w:rsidRDefault="00F63048">
            <w:pPr>
              <w:jc w:val="center"/>
              <w:rPr>
                <w:rFonts w:ascii="Palatino Linotype" w:eastAsia="Palatino Linotype" w:hAnsi="Palatino Linotype" w:cs="Palatino Linotype"/>
                <w:i/>
              </w:rPr>
            </w:pPr>
          </w:p>
        </w:tc>
      </w:tr>
      <w:tr w:rsidR="00F63048" w:rsidRPr="00DC4D0C">
        <w:trPr>
          <w:trHeight w:val="153"/>
          <w:jc w:val="center"/>
        </w:trPr>
        <w:tc>
          <w:tcPr>
            <w:tcW w:w="7931" w:type="dxa"/>
            <w:vAlign w:val="center"/>
          </w:tcPr>
          <w:p w:rsidR="00F63048" w:rsidRPr="00DC4D0C" w:rsidRDefault="00F63048">
            <w:pPr>
              <w:rPr>
                <w:rFonts w:ascii="Palatino Linotype" w:eastAsia="Palatino Linotype" w:hAnsi="Palatino Linotype" w:cs="Palatino Linotype"/>
                <w:i/>
              </w:rPr>
            </w:pPr>
          </w:p>
        </w:tc>
      </w:tr>
      <w:tr w:rsidR="00F63048" w:rsidRPr="00DC4D0C">
        <w:trPr>
          <w:trHeight w:val="153"/>
          <w:jc w:val="center"/>
        </w:trPr>
        <w:tc>
          <w:tcPr>
            <w:tcW w:w="7931" w:type="dxa"/>
            <w:vAlign w:val="center"/>
          </w:tcPr>
          <w:p w:rsidR="00F63048" w:rsidRPr="00DC4D0C" w:rsidRDefault="00EF0524">
            <w:pPr>
              <w:rPr>
                <w:rFonts w:ascii="Palatino Linotype" w:eastAsia="Palatino Linotype" w:hAnsi="Palatino Linotype" w:cs="Palatino Linotype"/>
                <w:i/>
              </w:rPr>
            </w:pPr>
            <w:r w:rsidRPr="00DC4D0C">
              <w:rPr>
                <w:rFonts w:ascii="Palatino Linotype" w:eastAsia="Palatino Linotype" w:hAnsi="Palatino Linotype" w:cs="Palatino Linotype"/>
                <w:i/>
              </w:rPr>
              <w:t>ATENTAMENTE</w:t>
            </w:r>
          </w:p>
        </w:tc>
      </w:tr>
      <w:tr w:rsidR="00F63048" w:rsidRPr="00DC4D0C">
        <w:trPr>
          <w:trHeight w:val="229"/>
          <w:jc w:val="center"/>
        </w:trPr>
        <w:tc>
          <w:tcPr>
            <w:tcW w:w="7931" w:type="dxa"/>
            <w:vAlign w:val="center"/>
          </w:tcPr>
          <w:p w:rsidR="00F63048" w:rsidRPr="00DC4D0C" w:rsidRDefault="00F63048">
            <w:pPr>
              <w:rPr>
                <w:rFonts w:ascii="Palatino Linotype" w:eastAsia="Palatino Linotype" w:hAnsi="Palatino Linotype" w:cs="Palatino Linotype"/>
                <w:i/>
              </w:rPr>
            </w:pPr>
          </w:p>
        </w:tc>
      </w:tr>
      <w:tr w:rsidR="00F63048" w:rsidRPr="00DC4D0C">
        <w:trPr>
          <w:trHeight w:val="153"/>
          <w:jc w:val="center"/>
        </w:trPr>
        <w:tc>
          <w:tcPr>
            <w:tcW w:w="7931" w:type="dxa"/>
            <w:vAlign w:val="center"/>
          </w:tcPr>
          <w:p w:rsidR="00F63048" w:rsidRPr="00DC4D0C" w:rsidRDefault="00EF0524">
            <w:pPr>
              <w:rPr>
                <w:rFonts w:ascii="Palatino Linotype" w:eastAsia="Palatino Linotype" w:hAnsi="Palatino Linotype" w:cs="Palatino Linotype"/>
                <w:i/>
              </w:rPr>
            </w:pPr>
            <w:r w:rsidRPr="00DC4D0C">
              <w:rPr>
                <w:rFonts w:ascii="Palatino Linotype" w:eastAsia="Palatino Linotype" w:hAnsi="Palatino Linotype" w:cs="Palatino Linotype"/>
                <w:i/>
              </w:rPr>
              <w:t>Humberto Reyes Castro”</w:t>
            </w:r>
          </w:p>
        </w:tc>
      </w:tr>
    </w:tbl>
    <w:p w:rsidR="00F63048" w:rsidRPr="00DC4D0C" w:rsidRDefault="00F63048">
      <w:pPr>
        <w:pBdr>
          <w:top w:val="nil"/>
          <w:left w:val="nil"/>
          <w:bottom w:val="nil"/>
          <w:right w:val="nil"/>
          <w:between w:val="nil"/>
        </w:pBdr>
        <w:spacing w:line="360" w:lineRule="auto"/>
        <w:jc w:val="both"/>
        <w:rPr>
          <w:rFonts w:ascii="Palatino Linotype" w:eastAsia="Century Gothic" w:hAnsi="Palatino Linotype" w:cs="Century Gothic"/>
          <w:color w:val="000000"/>
        </w:rPr>
      </w:pPr>
    </w:p>
    <w:p w:rsidR="00F63048" w:rsidRPr="00DC4D0C" w:rsidRDefault="00EF052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A la respuesta se adjuntó el archivo electrónico denominado </w:t>
      </w:r>
      <w:r w:rsidRPr="00DC4D0C">
        <w:rPr>
          <w:rFonts w:ascii="Palatino Linotype" w:eastAsia="Palatino Linotype" w:hAnsi="Palatino Linotype" w:cs="Palatino Linotype"/>
          <w:b/>
          <w:color w:val="000000"/>
        </w:rPr>
        <w:t>CONTESTACION SAIMEX 29.pdf</w:t>
      </w:r>
      <w:r w:rsidRPr="00DC4D0C">
        <w:rPr>
          <w:rFonts w:ascii="Palatino Linotype" w:eastAsia="Palatino Linotype" w:hAnsi="Palatino Linotype" w:cs="Palatino Linotype"/>
          <w:color w:val="000000"/>
        </w:rPr>
        <w:t>, en el que se advierte el oficio número OPDM/OM/SF/</w:t>
      </w:r>
      <w:proofErr w:type="spellStart"/>
      <w:r w:rsidRPr="00DC4D0C">
        <w:rPr>
          <w:rFonts w:ascii="Palatino Linotype" w:eastAsia="Palatino Linotype" w:hAnsi="Palatino Linotype" w:cs="Palatino Linotype"/>
          <w:color w:val="000000"/>
        </w:rPr>
        <w:t>AIyE</w:t>
      </w:r>
      <w:proofErr w:type="spellEnd"/>
      <w:r w:rsidRPr="00DC4D0C">
        <w:rPr>
          <w:rFonts w:ascii="Palatino Linotype" w:eastAsia="Palatino Linotype" w:hAnsi="Palatino Linotype" w:cs="Palatino Linotype"/>
          <w:color w:val="000000"/>
        </w:rPr>
        <w:t xml:space="preserve">/0023/2025 de fecha veintidós de enero de dos mil veinticinco, suscrito por el Titular del Área de Ingresos y Egresos, en el que adjuntó una tabla que refiere el número de cuenta y el saldo contable de cada una. </w:t>
      </w:r>
    </w:p>
    <w:p w:rsidR="00F63048" w:rsidRPr="00DC4D0C" w:rsidRDefault="00F63048">
      <w:pPr>
        <w:spacing w:line="360" w:lineRule="auto"/>
        <w:jc w:val="both"/>
        <w:rPr>
          <w:rFonts w:ascii="Palatino Linotype" w:eastAsia="Palatino Linotype" w:hAnsi="Palatino Linotype" w:cs="Palatino Linotype"/>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El </w:t>
      </w:r>
      <w:r w:rsidRPr="00DC4D0C">
        <w:rPr>
          <w:rFonts w:ascii="Palatino Linotype" w:eastAsia="Palatino Linotype" w:hAnsi="Palatino Linotype" w:cs="Palatino Linotype"/>
          <w:b/>
          <w:color w:val="000000"/>
        </w:rPr>
        <w:t>treinta de enero de dos mil veinticinco</w:t>
      </w:r>
      <w:r w:rsidRPr="00DC4D0C">
        <w:rPr>
          <w:rFonts w:ascii="Palatino Linotype" w:eastAsia="Palatino Linotype" w:hAnsi="Palatino Linotype" w:cs="Palatino Linotype"/>
          <w:color w:val="000000"/>
        </w:rPr>
        <w:t xml:space="preserve">, </w:t>
      </w:r>
      <w:r w:rsidRPr="00DC4D0C">
        <w:rPr>
          <w:rFonts w:ascii="Palatino Linotype" w:eastAsia="Palatino Linotype" w:hAnsi="Palatino Linotype" w:cs="Palatino Linotype"/>
          <w:b/>
          <w:color w:val="000000"/>
        </w:rPr>
        <w:t>EL RECURRENTE</w:t>
      </w:r>
      <w:r w:rsidRPr="00DC4D0C">
        <w:rPr>
          <w:rFonts w:ascii="Palatino Linotype" w:eastAsia="Palatino Linotype" w:hAnsi="Palatino Linotype" w:cs="Palatino Linotype"/>
          <w:color w:val="000000"/>
        </w:rPr>
        <w:t xml:space="preserve"> interpuso el recurso de revisión, en contra de la respuesta, señalando como:</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spacing w:line="360" w:lineRule="auto"/>
        <w:ind w:left="567" w:right="567"/>
        <w:jc w:val="both"/>
        <w:rPr>
          <w:rFonts w:ascii="Palatino Linotype" w:eastAsia="Palatino Linotype" w:hAnsi="Palatino Linotype" w:cs="Palatino Linotype"/>
          <w:i/>
        </w:rPr>
      </w:pPr>
      <w:r w:rsidRPr="00DC4D0C">
        <w:rPr>
          <w:rFonts w:ascii="Palatino Linotype" w:eastAsia="Palatino Linotype" w:hAnsi="Palatino Linotype" w:cs="Palatino Linotype"/>
          <w:b/>
        </w:rPr>
        <w:t>Acto impugnado</w:t>
      </w:r>
      <w:r w:rsidRPr="00DC4D0C">
        <w:rPr>
          <w:rFonts w:ascii="Palatino Linotype" w:eastAsia="Palatino Linotype" w:hAnsi="Palatino Linotype" w:cs="Palatino Linotype"/>
          <w:b/>
          <w:i/>
        </w:rPr>
        <w:t>:</w:t>
      </w:r>
      <w:r w:rsidRPr="00DC4D0C">
        <w:rPr>
          <w:rFonts w:ascii="Palatino Linotype" w:eastAsia="Palatino Linotype" w:hAnsi="Palatino Linotype" w:cs="Palatino Linotype"/>
          <w:i/>
        </w:rPr>
        <w:t xml:space="preserve"> “otorga la información incompleta" (Sic)</w:t>
      </w:r>
    </w:p>
    <w:p w:rsidR="00F63048" w:rsidRPr="00DC4D0C" w:rsidRDefault="00F63048">
      <w:pPr>
        <w:spacing w:line="360" w:lineRule="auto"/>
        <w:ind w:left="567" w:right="567"/>
        <w:jc w:val="both"/>
        <w:rPr>
          <w:rFonts w:ascii="Palatino Linotype" w:eastAsia="Palatino Linotype" w:hAnsi="Palatino Linotype" w:cs="Palatino Linotype"/>
        </w:rPr>
      </w:pPr>
    </w:p>
    <w:p w:rsidR="00F63048" w:rsidRPr="00DC4D0C" w:rsidRDefault="00EF0524">
      <w:pPr>
        <w:spacing w:line="360" w:lineRule="auto"/>
        <w:ind w:left="567" w:right="567"/>
        <w:jc w:val="both"/>
        <w:rPr>
          <w:rFonts w:ascii="Palatino Linotype" w:eastAsia="Palatino Linotype" w:hAnsi="Palatino Linotype" w:cs="Palatino Linotype"/>
        </w:rPr>
      </w:pPr>
      <w:r w:rsidRPr="00DC4D0C">
        <w:rPr>
          <w:rFonts w:ascii="Palatino Linotype" w:eastAsia="Palatino Linotype" w:hAnsi="Palatino Linotype" w:cs="Palatino Linotype"/>
          <w:b/>
        </w:rPr>
        <w:t xml:space="preserve">Razones o Motivos de inconformidad: </w:t>
      </w:r>
      <w:r w:rsidRPr="00DC4D0C">
        <w:rPr>
          <w:rFonts w:ascii="Palatino Linotype" w:eastAsia="Palatino Linotype" w:hAnsi="Palatino Linotype" w:cs="Palatino Linotype"/>
        </w:rPr>
        <w:t>“</w:t>
      </w:r>
      <w:r w:rsidRPr="00DC4D0C">
        <w:rPr>
          <w:rFonts w:ascii="Palatino Linotype" w:eastAsia="Palatino Linotype" w:hAnsi="Palatino Linotype" w:cs="Palatino Linotype"/>
          <w:i/>
        </w:rPr>
        <w:t>entrega oficio mediante el cual en lista 32 cuentas pero no anexa los contratos para comprobar si son del organismo” (Sic)</w:t>
      </w:r>
      <w:r w:rsidRPr="00DC4D0C">
        <w:rPr>
          <w:rFonts w:ascii="Palatino Linotype" w:eastAsia="Palatino Linotype" w:hAnsi="Palatino Linotype" w:cs="Palatino Linotype"/>
        </w:rPr>
        <w:t xml:space="preserve">. </w:t>
      </w:r>
    </w:p>
    <w:p w:rsidR="00F63048" w:rsidRPr="00DC4D0C" w:rsidRDefault="00F63048">
      <w:pPr>
        <w:spacing w:line="360" w:lineRule="auto"/>
        <w:ind w:left="567" w:right="567"/>
        <w:jc w:val="both"/>
        <w:rPr>
          <w:rFonts w:ascii="Palatino Linotype" w:eastAsia="Palatino Linotype" w:hAnsi="Palatino Linotype" w:cs="Palatino Linotype"/>
          <w:i/>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lastRenderedPageBreak/>
        <w:t xml:space="preserve">Se registró el recurso de revisión bajo el número de expediente al rubro indicado, asimismo con fundamento en lo dispuesto por el artículo 185 fracción I de la </w:t>
      </w:r>
      <w:r w:rsidRPr="00DC4D0C">
        <w:rPr>
          <w:rFonts w:ascii="Palatino Linotype" w:eastAsia="Palatino Linotype" w:hAnsi="Palatino Linotype" w:cs="Palatino Linotype"/>
          <w:b/>
          <w:color w:val="000000"/>
        </w:rPr>
        <w:t xml:space="preserve">Ley de Transparencia y Acceso a la Información Pública del Estado de México y Municipios </w:t>
      </w:r>
      <w:r w:rsidRPr="00DC4D0C">
        <w:rPr>
          <w:rFonts w:ascii="Palatino Linotype" w:eastAsia="Palatino Linotype" w:hAnsi="Palatino Linotype" w:cs="Palatino Linotype"/>
          <w:color w:val="000000"/>
        </w:rPr>
        <w:t xml:space="preserve">se turnó a la </w:t>
      </w:r>
      <w:r w:rsidRPr="00DC4D0C">
        <w:rPr>
          <w:rFonts w:ascii="Palatino Linotype" w:eastAsia="Palatino Linotype" w:hAnsi="Palatino Linotype" w:cs="Palatino Linotype"/>
          <w:b/>
          <w:color w:val="000000"/>
        </w:rPr>
        <w:t xml:space="preserve">Comisionada María del Rosario Mejía Ayala, </w:t>
      </w:r>
      <w:r w:rsidRPr="00DC4D0C">
        <w:rPr>
          <w:rFonts w:ascii="Palatino Linotype" w:eastAsia="Palatino Linotype" w:hAnsi="Palatino Linotype" w:cs="Palatino Linotype"/>
          <w:color w:val="000000"/>
        </w:rPr>
        <w:t xml:space="preserve">con el objeto de su análisis. </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El </w:t>
      </w:r>
      <w:bookmarkStart w:id="1" w:name="_GoBack"/>
      <w:bookmarkEnd w:id="1"/>
      <w:r w:rsidRPr="00DC4D0C">
        <w:rPr>
          <w:rFonts w:ascii="Palatino Linotype" w:eastAsia="Palatino Linotype" w:hAnsi="Palatino Linotype" w:cs="Palatino Linotype"/>
          <w:color w:val="000000"/>
        </w:rPr>
        <w:t xml:space="preserve">Comisionado Ponente con fundamento en lo dispuesto por el artículo 185 fracción II de la ley de la materia, a través del acuerdo de admisión del </w:t>
      </w:r>
      <w:r w:rsidRPr="00DC4D0C">
        <w:rPr>
          <w:rFonts w:ascii="Palatino Linotype" w:eastAsia="Palatino Linotype" w:hAnsi="Palatino Linotype" w:cs="Palatino Linotype"/>
          <w:b/>
          <w:color w:val="000000"/>
        </w:rPr>
        <w:t>treinta y uno de enero de dos mil veinticinco</w:t>
      </w:r>
      <w:r w:rsidRPr="00DC4D0C">
        <w:rPr>
          <w:rFonts w:ascii="Palatino Linotype" w:eastAsia="Palatino Linotype" w:hAnsi="Palatino Linotype" w:cs="Palatino Linotype"/>
          <w:color w:val="000000"/>
        </w:rPr>
        <w:t xml:space="preserve">, puso a disposición de las partes el expediente electrónico vía </w:t>
      </w:r>
      <w:r w:rsidRPr="00DC4D0C">
        <w:rPr>
          <w:rFonts w:ascii="Palatino Linotype" w:eastAsia="Palatino Linotype" w:hAnsi="Palatino Linotype" w:cs="Palatino Linotype"/>
          <w:b/>
          <w:color w:val="000000"/>
        </w:rPr>
        <w:t xml:space="preserve">SAIMEX </w:t>
      </w:r>
      <w:r w:rsidRPr="00DC4D0C">
        <w:rPr>
          <w:rFonts w:ascii="Palatino Linotype" w:eastAsia="Palatino Linotype" w:hAnsi="Palatino Linotype" w:cs="Palatino Linotype"/>
          <w:color w:val="000000"/>
        </w:rPr>
        <w:t xml:space="preserve">a efecto de que en un plazo máximo de siete días manifestaran lo que a derecho convinieran, ofrecieran pruebas y alegatos según corresponda al caso concreto, de esta forma para que el </w:t>
      </w:r>
      <w:r w:rsidRPr="00DC4D0C">
        <w:rPr>
          <w:rFonts w:ascii="Palatino Linotype" w:eastAsia="Palatino Linotype" w:hAnsi="Palatino Linotype" w:cs="Palatino Linotype"/>
          <w:b/>
          <w:color w:val="000000"/>
        </w:rPr>
        <w:t>SUJETO OBLIGADO</w:t>
      </w:r>
      <w:r w:rsidRPr="00DC4D0C">
        <w:rPr>
          <w:rFonts w:ascii="Palatino Linotype" w:eastAsia="Palatino Linotype" w:hAnsi="Palatino Linotype" w:cs="Palatino Linotype"/>
          <w:color w:val="000000"/>
        </w:rPr>
        <w:t xml:space="preserve"> presentara el informe justificado procedente. De las constancias que obran en el expediente electrónico SAIMEX el particular no realizó manifestaciones. </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Por su parte, el Sujeto Obligado remitió informe justificado </w:t>
      </w:r>
      <w:r w:rsidRPr="00DC4D0C">
        <w:rPr>
          <w:rFonts w:ascii="Palatino Linotype" w:eastAsia="Palatino Linotype" w:hAnsi="Palatino Linotype" w:cs="Palatino Linotype"/>
          <w:b/>
          <w:color w:val="000000"/>
        </w:rPr>
        <w:t>cinco de febrero de dos mil veinticinco</w:t>
      </w:r>
      <w:r w:rsidRPr="00DC4D0C">
        <w:rPr>
          <w:rFonts w:ascii="Palatino Linotype" w:eastAsia="Palatino Linotype" w:hAnsi="Palatino Linotype" w:cs="Palatino Linotype"/>
          <w:color w:val="000000"/>
        </w:rPr>
        <w:t xml:space="preserve"> y fue puesto a la vista del particular el </w:t>
      </w:r>
      <w:r w:rsidRPr="00DC4D0C">
        <w:rPr>
          <w:rFonts w:ascii="Palatino Linotype" w:eastAsia="Palatino Linotype" w:hAnsi="Palatino Linotype" w:cs="Palatino Linotype"/>
          <w:b/>
          <w:color w:val="000000"/>
        </w:rPr>
        <w:t>veinte de marzo de dos mil veinticinco</w:t>
      </w:r>
      <w:r w:rsidRPr="00DC4D0C">
        <w:rPr>
          <w:rFonts w:ascii="Palatino Linotype" w:eastAsia="Palatino Linotype" w:hAnsi="Palatino Linotype" w:cs="Palatino Linotype"/>
          <w:color w:val="000000"/>
        </w:rPr>
        <w:t xml:space="preserve">, a través del archivo denominado </w:t>
      </w:r>
      <w:hyperlink r:id="rId8">
        <w:r w:rsidRPr="00DC4D0C">
          <w:rPr>
            <w:rFonts w:ascii="Palatino Linotype" w:eastAsia="Palatino Linotype" w:hAnsi="Palatino Linotype" w:cs="Palatino Linotype"/>
            <w:b/>
            <w:color w:val="000000"/>
            <w:u w:val="single"/>
          </w:rPr>
          <w:t>CONTESTACIÓN RR 348 SAIMEX 29.pdf</w:t>
        </w:r>
      </w:hyperlink>
      <w:r w:rsidRPr="00DC4D0C">
        <w:rPr>
          <w:rFonts w:ascii="Palatino Linotype" w:eastAsia="Palatino Linotype" w:hAnsi="Palatino Linotype" w:cs="Palatino Linotype"/>
          <w:color w:val="000000"/>
        </w:rPr>
        <w:t xml:space="preserve">, en el que se ratificó la respuesta y aclara que no se solicitaron contratos. </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DC4D0C">
        <w:rPr>
          <w:rFonts w:ascii="Palatino Linotype" w:eastAsia="Palatino Linotype" w:hAnsi="Palatino Linotype" w:cs="Palatino Linotype"/>
        </w:rPr>
        <w:lastRenderedPageBreak/>
        <w:t xml:space="preserve">El </w:t>
      </w:r>
      <w:r w:rsidRPr="00DC4D0C">
        <w:rPr>
          <w:rFonts w:ascii="Palatino Linotype" w:eastAsia="Palatino Linotype" w:hAnsi="Palatino Linotype" w:cs="Palatino Linotype"/>
          <w:b/>
        </w:rPr>
        <w:t>catorce de marzo de dos mil veinticinco</w:t>
      </w:r>
      <w:r w:rsidRPr="00DC4D0C">
        <w:rPr>
          <w:rFonts w:ascii="Palatino Linotype" w:eastAsia="Palatino Linotype" w:hAnsi="Palatino Linotype" w:cs="Palatino Linotype"/>
        </w:rPr>
        <w:t xml:space="preserve">, se notificó el acuerdo a través del cual se aprobó la ampliación de plazo para emitir resolución. </w:t>
      </w:r>
    </w:p>
    <w:p w:rsidR="00F63048" w:rsidRPr="00DC4D0C" w:rsidRDefault="00F63048">
      <w:pPr>
        <w:pBdr>
          <w:top w:val="nil"/>
          <w:left w:val="nil"/>
          <w:bottom w:val="nil"/>
          <w:right w:val="nil"/>
          <w:between w:val="nil"/>
        </w:pBdr>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El Comisionado Ponente decretó el cierre de instrucción mediante el acuerdo de fecha </w:t>
      </w:r>
      <w:r w:rsidRPr="00DC4D0C">
        <w:rPr>
          <w:rFonts w:ascii="Palatino Linotype" w:eastAsia="Palatino Linotype" w:hAnsi="Palatino Linotype" w:cs="Palatino Linotype"/>
          <w:b/>
          <w:color w:val="000000"/>
        </w:rPr>
        <w:t xml:space="preserve">veintiséis de marzo de dos mil veinticinco. </w:t>
      </w:r>
    </w:p>
    <w:p w:rsidR="00F63048" w:rsidRPr="00DC4D0C" w:rsidRDefault="00F63048">
      <w:pPr>
        <w:spacing w:line="360" w:lineRule="auto"/>
        <w:jc w:val="both"/>
        <w:rPr>
          <w:rFonts w:ascii="Palatino Linotype" w:eastAsia="Palatino Linotype" w:hAnsi="Palatino Linotype" w:cs="Palatino Linotype"/>
        </w:rPr>
      </w:pPr>
    </w:p>
    <w:p w:rsidR="00F63048" w:rsidRPr="00DC4D0C" w:rsidRDefault="00EF0524">
      <w:pPr>
        <w:spacing w:line="360" w:lineRule="auto"/>
        <w:jc w:val="center"/>
        <w:rPr>
          <w:rFonts w:ascii="Palatino Linotype" w:eastAsia="Palatino Linotype" w:hAnsi="Palatino Linotype" w:cs="Palatino Linotype"/>
        </w:rPr>
      </w:pPr>
      <w:bookmarkStart w:id="2" w:name="_heading=h.11r91vrr76tw" w:colFirst="0" w:colLast="0"/>
      <w:bookmarkEnd w:id="2"/>
      <w:r w:rsidRPr="00DC4D0C">
        <w:rPr>
          <w:rFonts w:ascii="Palatino Linotype" w:eastAsia="Palatino Linotype" w:hAnsi="Palatino Linotype" w:cs="Palatino Linotype"/>
          <w:b/>
        </w:rPr>
        <w:t>CONSIDERANDO</w:t>
      </w:r>
    </w:p>
    <w:p w:rsidR="00F63048" w:rsidRPr="00DC4D0C" w:rsidRDefault="00EF0524">
      <w:pPr>
        <w:spacing w:line="360" w:lineRule="auto"/>
        <w:jc w:val="both"/>
        <w:rPr>
          <w:rFonts w:ascii="Palatino Linotype" w:eastAsia="Palatino Linotype" w:hAnsi="Palatino Linotype" w:cs="Palatino Linotype"/>
        </w:rPr>
      </w:pPr>
      <w:r w:rsidRPr="00DC4D0C">
        <w:rPr>
          <w:rFonts w:ascii="Palatino Linotype" w:eastAsia="Palatino Linotype" w:hAnsi="Palatino Linotype" w:cs="Palatino Linotype"/>
        </w:rPr>
        <w:t xml:space="preserve">                                                                                                                     </w:t>
      </w:r>
    </w:p>
    <w:p w:rsidR="00F63048" w:rsidRPr="00DC4D0C" w:rsidRDefault="00EF0524">
      <w:pPr>
        <w:spacing w:line="360" w:lineRule="auto"/>
        <w:jc w:val="both"/>
        <w:rPr>
          <w:rFonts w:ascii="Palatino Linotype" w:eastAsia="Palatino Linotype" w:hAnsi="Palatino Linotype" w:cs="Palatino Linotype"/>
          <w:b/>
        </w:rPr>
      </w:pPr>
      <w:bookmarkStart w:id="3" w:name="_heading=h.jpit553kph1e" w:colFirst="0" w:colLast="0"/>
      <w:bookmarkEnd w:id="3"/>
      <w:r w:rsidRPr="00DC4D0C">
        <w:rPr>
          <w:rFonts w:ascii="Palatino Linotype" w:eastAsia="Palatino Linotype" w:hAnsi="Palatino Linotype" w:cs="Palatino Linotype"/>
          <w:b/>
        </w:rPr>
        <w:t>PRIMERO. De la competencia</w:t>
      </w:r>
    </w:p>
    <w:p w:rsidR="00F63048" w:rsidRPr="00DC4D0C" w:rsidRDefault="00F63048">
      <w:pPr>
        <w:spacing w:line="360" w:lineRule="auto"/>
        <w:jc w:val="both"/>
        <w:rPr>
          <w:rFonts w:ascii="Palatino Linotype" w:eastAsia="Palatino Linotype" w:hAnsi="Palatino Linotype" w:cs="Palatino Linotype"/>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keepNext/>
        <w:keepLines/>
        <w:spacing w:line="360" w:lineRule="auto"/>
        <w:rPr>
          <w:rFonts w:ascii="Palatino Linotype" w:eastAsia="Palatino Linotype" w:hAnsi="Palatino Linotype" w:cs="Palatino Linotype"/>
          <w:b/>
        </w:rPr>
      </w:pPr>
      <w:bookmarkStart w:id="4" w:name="_heading=h.mjja21stfaz0" w:colFirst="0" w:colLast="0"/>
      <w:bookmarkEnd w:id="4"/>
      <w:r w:rsidRPr="00DC4D0C">
        <w:rPr>
          <w:rFonts w:ascii="Palatino Linotype" w:eastAsia="Palatino Linotype" w:hAnsi="Palatino Linotype" w:cs="Palatino Linotype"/>
          <w:b/>
        </w:rPr>
        <w:lastRenderedPageBreak/>
        <w:t>SEGUNDO. De la oportunidad y procedencia.</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El medio de impugnación fue presentado a través del </w:t>
      </w:r>
      <w:r w:rsidRPr="00DC4D0C">
        <w:rPr>
          <w:rFonts w:ascii="Palatino Linotype" w:eastAsia="Palatino Linotype" w:hAnsi="Palatino Linotype" w:cs="Palatino Linotype"/>
          <w:b/>
          <w:color w:val="000000"/>
        </w:rPr>
        <w:t>SAIMEX,</w:t>
      </w:r>
      <w:r w:rsidRPr="00DC4D0C">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DC4D0C">
        <w:rPr>
          <w:rFonts w:ascii="Palatino Linotype" w:eastAsia="Palatino Linotype" w:hAnsi="Palatino Linotype" w:cs="Palatino Linotype"/>
          <w:b/>
          <w:color w:val="000000"/>
        </w:rPr>
        <w:t>SUJETO OBLIGADO</w:t>
      </w:r>
      <w:r w:rsidRPr="00DC4D0C">
        <w:rPr>
          <w:rFonts w:ascii="Palatino Linotype" w:eastAsia="Palatino Linotype" w:hAnsi="Palatino Linotype" w:cs="Palatino Linotype"/>
          <w:color w:val="000000"/>
        </w:rPr>
        <w:t xml:space="preserve"> entregó respuesta a la solicitud el día </w:t>
      </w:r>
      <w:r w:rsidRPr="00DC4D0C">
        <w:rPr>
          <w:rFonts w:ascii="Palatino Linotype" w:eastAsia="Palatino Linotype" w:hAnsi="Palatino Linotype" w:cs="Palatino Linotype"/>
          <w:b/>
          <w:color w:val="000000"/>
        </w:rPr>
        <w:t>veintisiete de enero de dos mil veinticinco</w:t>
      </w:r>
      <w:r w:rsidRPr="00DC4D0C">
        <w:rPr>
          <w:rFonts w:ascii="Palatino Linotype" w:eastAsia="Palatino Linotype" w:hAnsi="Palatino Linotype" w:cs="Palatino Linotype"/>
          <w:color w:val="000000"/>
        </w:rPr>
        <w:t xml:space="preserve">, de tal forma que el plazo para interponer el recurso de revisión transcurrió del </w:t>
      </w:r>
      <w:r w:rsidRPr="00DC4D0C">
        <w:rPr>
          <w:rFonts w:ascii="Palatino Linotype" w:eastAsia="Palatino Linotype" w:hAnsi="Palatino Linotype" w:cs="Palatino Linotype"/>
          <w:b/>
          <w:color w:val="000000"/>
        </w:rPr>
        <w:t>veintiocho de enero al dieciocho de febrero de dos mil veinticinco</w:t>
      </w:r>
      <w:r w:rsidRPr="00DC4D0C">
        <w:rPr>
          <w:rFonts w:ascii="Palatino Linotype" w:eastAsia="Palatino Linotype" w:hAnsi="Palatino Linotype" w:cs="Palatino Linotype"/>
          <w:color w:val="000000"/>
        </w:rPr>
        <w:t xml:space="preserve">; en consecuencia, presentó su inconformidad el día </w:t>
      </w:r>
      <w:r w:rsidRPr="00DC4D0C">
        <w:rPr>
          <w:rFonts w:ascii="Palatino Linotype" w:eastAsia="Palatino Linotype" w:hAnsi="Palatino Linotype" w:cs="Palatino Linotype"/>
          <w:b/>
          <w:color w:val="000000"/>
        </w:rPr>
        <w:t>treinta de enero de dos mil veinticinco</w:t>
      </w:r>
      <w:r w:rsidRPr="00DC4D0C">
        <w:rPr>
          <w:rFonts w:ascii="Palatino Linotype" w:eastAsia="Palatino Linotype" w:hAnsi="Palatino Linotype" w:cs="Palatino Linotype"/>
          <w:color w:val="000000"/>
        </w:rPr>
        <w:t xml:space="preserve">, por lo que se encuentra dentro de los márgenes temporales previstos en el artículo 178 de la </w:t>
      </w:r>
      <w:r w:rsidRPr="00DC4D0C">
        <w:rPr>
          <w:rFonts w:ascii="Palatino Linotype" w:eastAsia="Palatino Linotype" w:hAnsi="Palatino Linotype" w:cs="Palatino Linotype"/>
          <w:b/>
          <w:color w:val="000000"/>
        </w:rPr>
        <w:t xml:space="preserve">Ley de Transparencia y Acceso a la Información Pública del Estado de México y Municipios </w:t>
      </w:r>
      <w:r w:rsidRPr="00DC4D0C">
        <w:rPr>
          <w:rFonts w:ascii="Palatino Linotype" w:eastAsia="Palatino Linotype" w:hAnsi="Palatino Linotype" w:cs="Palatino Linotype"/>
          <w:color w:val="000000"/>
        </w:rPr>
        <w:t>vigente.</w:t>
      </w:r>
    </w:p>
    <w:p w:rsidR="00F63048" w:rsidRPr="00DC4D0C" w:rsidRDefault="00F63048">
      <w:pPr>
        <w:spacing w:line="360" w:lineRule="auto"/>
        <w:rPr>
          <w:rFonts w:ascii="Palatino Linotype" w:eastAsia="Palatino Linotype" w:hAnsi="Palatino Linotype" w:cs="Palatino Linotype"/>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F63048" w:rsidRPr="00DC4D0C" w:rsidRDefault="00EF0524">
      <w:pPr>
        <w:keepNext/>
        <w:keepLines/>
        <w:spacing w:before="240" w:line="360" w:lineRule="auto"/>
        <w:rPr>
          <w:rFonts w:ascii="Palatino Linotype" w:eastAsia="Palatino Linotype" w:hAnsi="Palatino Linotype" w:cs="Palatino Linotype"/>
          <w:b/>
        </w:rPr>
      </w:pPr>
      <w:bookmarkStart w:id="5" w:name="_heading=h.33zlugk98jwa" w:colFirst="0" w:colLast="0"/>
      <w:bookmarkEnd w:id="5"/>
      <w:r w:rsidRPr="00DC4D0C">
        <w:rPr>
          <w:rFonts w:ascii="Palatino Linotype" w:eastAsia="Palatino Linotype" w:hAnsi="Palatino Linotype" w:cs="Palatino Linotype"/>
          <w:b/>
        </w:rPr>
        <w:t>TERCERO. De las causales del sobreseimiento.</w:t>
      </w:r>
    </w:p>
    <w:p w:rsidR="00F63048" w:rsidRPr="00DC4D0C" w:rsidRDefault="00EF0524">
      <w:pPr>
        <w:numPr>
          <w:ilvl w:val="0"/>
          <w:numId w:val="1"/>
        </w:numPr>
        <w:pBdr>
          <w:top w:val="nil"/>
          <w:left w:val="nil"/>
          <w:bottom w:val="nil"/>
          <w:right w:val="nil"/>
          <w:between w:val="nil"/>
        </w:pBdr>
        <w:tabs>
          <w:tab w:val="left" w:pos="284"/>
          <w:tab w:val="left" w:pos="426"/>
        </w:tabs>
        <w:spacing w:before="240" w:line="360" w:lineRule="auto"/>
        <w:ind w:left="0" w:right="49"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w:t>
      </w:r>
      <w:r w:rsidRPr="00DC4D0C">
        <w:rPr>
          <w:rFonts w:ascii="Palatino Linotype" w:eastAsia="Palatino Linotype" w:hAnsi="Palatino Linotype" w:cs="Palatino Linotype"/>
          <w:color w:val="000000"/>
        </w:rPr>
        <w:lastRenderedPageBreak/>
        <w:t xml:space="preserve">o </w:t>
      </w:r>
      <w:r w:rsidRPr="00DC4D0C">
        <w:rPr>
          <w:rFonts w:ascii="Palatino Linotype" w:eastAsia="Palatino Linotype" w:hAnsi="Palatino Linotype" w:cs="Palatino Linotype"/>
          <w:b/>
          <w:color w:val="000000"/>
          <w:u w:val="single"/>
        </w:rPr>
        <w:t>sobreseimiento</w:t>
      </w:r>
      <w:r w:rsidRPr="00DC4D0C">
        <w:rPr>
          <w:rFonts w:ascii="Palatino Linotype" w:eastAsia="Palatino Linotype" w:hAnsi="Palatino Linotype" w:cs="Palatino Linotype"/>
          <w:color w:val="000000"/>
        </w:rPr>
        <w:t xml:space="preserve">; y, en su caso, ordenar la entrega de la información respecto a la falta de respuesta por parte del </w:t>
      </w:r>
      <w:r w:rsidRPr="00DC4D0C">
        <w:rPr>
          <w:rFonts w:ascii="Palatino Linotype" w:eastAsia="Palatino Linotype" w:hAnsi="Palatino Linotype" w:cs="Palatino Linotype"/>
          <w:b/>
          <w:color w:val="000000"/>
        </w:rPr>
        <w:t>SUJETO</w:t>
      </w:r>
      <w:r w:rsidRPr="00DC4D0C">
        <w:rPr>
          <w:rFonts w:ascii="Palatino Linotype" w:eastAsia="Palatino Linotype" w:hAnsi="Palatino Linotype" w:cs="Palatino Linotype"/>
          <w:color w:val="000000"/>
        </w:rPr>
        <w:t xml:space="preserve"> </w:t>
      </w:r>
      <w:r w:rsidRPr="00DC4D0C">
        <w:rPr>
          <w:rFonts w:ascii="Palatino Linotype" w:eastAsia="Palatino Linotype" w:hAnsi="Palatino Linotype" w:cs="Palatino Linotype"/>
          <w:b/>
          <w:color w:val="000000"/>
        </w:rPr>
        <w:t>OBLIGADO</w:t>
      </w:r>
      <w:r w:rsidRPr="00DC4D0C">
        <w:rPr>
          <w:rFonts w:ascii="Palatino Linotype" w:eastAsia="Palatino Linotype" w:hAnsi="Palatino Linotype" w:cs="Palatino Linotype"/>
          <w:color w:val="000000"/>
        </w:rPr>
        <w:t>.</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bookmarkStart w:id="6" w:name="_heading=h.mgdy5zkqw2pl" w:colFirst="0" w:colLast="0"/>
      <w:bookmarkEnd w:id="6"/>
      <w:r w:rsidRPr="00DC4D0C">
        <w:rPr>
          <w:rFonts w:ascii="Palatino Linotype" w:eastAsia="Palatino Linotype" w:hAnsi="Palatino Linotype" w:cs="Palatino Linotype"/>
          <w:color w:val="000000"/>
        </w:rPr>
        <w:t xml:space="preserve">Así, debemos recordar que el particular solicitó las cuentas bancarias y saldo del Sujeto Obligado referente a la entrega de la administración 2024. </w:t>
      </w:r>
    </w:p>
    <w:p w:rsidR="00F63048" w:rsidRPr="00DC4D0C" w:rsidRDefault="00F63048">
      <w:pPr>
        <w:pBdr>
          <w:top w:val="nil"/>
          <w:left w:val="nil"/>
          <w:bottom w:val="nil"/>
          <w:right w:val="nil"/>
          <w:between w:val="nil"/>
        </w:pBdr>
        <w:ind w:left="720"/>
        <w:rPr>
          <w:rFonts w:ascii="Palatino Linotype" w:eastAsia="Palatino Linotype" w:hAnsi="Palatino Linotype" w:cs="Palatino Linotype"/>
          <w:i/>
          <w:color w:val="000000"/>
        </w:rPr>
      </w:pPr>
    </w:p>
    <w:p w:rsidR="00F63048" w:rsidRPr="00DC4D0C" w:rsidRDefault="00EF0524">
      <w:pPr>
        <w:numPr>
          <w:ilvl w:val="0"/>
          <w:numId w:val="1"/>
        </w:numPr>
        <w:tabs>
          <w:tab w:val="left" w:pos="0"/>
        </w:tabs>
        <w:spacing w:before="240" w:line="360" w:lineRule="auto"/>
        <w:ind w:left="0" w:right="49" w:firstLine="0"/>
        <w:jc w:val="both"/>
        <w:rPr>
          <w:rFonts w:ascii="Palatino Linotype" w:eastAsia="Palatino Linotype" w:hAnsi="Palatino Linotype" w:cs="Palatino Linotype"/>
        </w:rPr>
      </w:pPr>
      <w:r w:rsidRPr="00DC4D0C">
        <w:rPr>
          <w:rFonts w:ascii="Palatino Linotype" w:eastAsia="Palatino Linotype" w:hAnsi="Palatino Linotype" w:cs="Palatino Linotype"/>
        </w:rPr>
        <w:t>Así las cosas, este Instituto de Transparencia, de conformidad con los principios de eficacia y profesionalismo</w:t>
      </w:r>
      <w:r w:rsidRPr="00DC4D0C">
        <w:rPr>
          <w:rFonts w:ascii="Palatino Linotype" w:eastAsia="Palatino Linotype" w:hAnsi="Palatino Linotype" w:cs="Palatino Linotype"/>
          <w:vertAlign w:val="superscript"/>
        </w:rPr>
        <w:footnoteReference w:id="1"/>
      </w:r>
      <w:r w:rsidRPr="00DC4D0C">
        <w:rPr>
          <w:rFonts w:ascii="Palatino Linotype" w:eastAsia="Palatino Linotype" w:hAnsi="Palatino Linotype" w:cs="Palatino Linotype"/>
        </w:rPr>
        <w:t xml:space="preserve">, procederá a verificar la información remitida por el </w:t>
      </w:r>
      <w:r w:rsidRPr="00DC4D0C">
        <w:rPr>
          <w:rFonts w:ascii="Palatino Linotype" w:eastAsia="Palatino Linotype" w:hAnsi="Palatino Linotype" w:cs="Palatino Linotype"/>
          <w:b/>
        </w:rPr>
        <w:t>SUJETO OBLIGADO y</w:t>
      </w:r>
      <w:r w:rsidRPr="00DC4D0C">
        <w:rPr>
          <w:rFonts w:ascii="Palatino Linotype" w:eastAsia="Palatino Linotype" w:hAnsi="Palatino Linotype" w:cs="Palatino Linotype"/>
        </w:rPr>
        <w:t xml:space="preserve"> las manifestaciones realizadas por el </w:t>
      </w:r>
      <w:r w:rsidRPr="00DC4D0C">
        <w:rPr>
          <w:rFonts w:ascii="Palatino Linotype" w:eastAsia="Palatino Linotype" w:hAnsi="Palatino Linotype" w:cs="Palatino Linotype"/>
          <w:b/>
        </w:rPr>
        <w:t xml:space="preserve">SOLICTANTE </w:t>
      </w:r>
      <w:r w:rsidRPr="00DC4D0C">
        <w:rPr>
          <w:rFonts w:ascii="Palatino Linotype" w:eastAsia="Palatino Linotype" w:hAnsi="Palatino Linotype" w:cs="Palatino Linotype"/>
        </w:rPr>
        <w:t xml:space="preserve">a efecto de determinar si la información remitida se encuentra apegada a lo que establece la Ley en materia de transparencia. </w:t>
      </w:r>
    </w:p>
    <w:p w:rsidR="00F63048" w:rsidRPr="00DC4D0C" w:rsidRDefault="00F63048">
      <w:pPr>
        <w:spacing w:line="360" w:lineRule="auto"/>
        <w:rPr>
          <w:rFonts w:ascii="Palatino Linotype" w:eastAsia="Palatino Linotype" w:hAnsi="Palatino Linotype" w:cs="Palatino Linotype"/>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color w:val="000000"/>
        </w:rPr>
        <w:t xml:space="preserve">En tal contexto, el </w:t>
      </w:r>
      <w:r w:rsidRPr="00DC4D0C">
        <w:rPr>
          <w:rFonts w:ascii="Palatino Linotype" w:eastAsia="Palatino Linotype" w:hAnsi="Palatino Linotype" w:cs="Palatino Linotype"/>
          <w:b/>
          <w:color w:val="000000"/>
        </w:rPr>
        <w:t xml:space="preserve">SUJETO OBLIGADO </w:t>
      </w:r>
      <w:r w:rsidRPr="00DC4D0C">
        <w:rPr>
          <w:rFonts w:ascii="Palatino Linotype" w:eastAsia="Palatino Linotype" w:hAnsi="Palatino Linotype" w:cs="Palatino Linotype"/>
          <w:color w:val="000000"/>
        </w:rPr>
        <w:t xml:space="preserve">adjuntó en respuesta un documento ad hoc, suscrito por el Titular de Ingresos y Egresos, en el que se advierte una tabla con el número de cuenta y el saldo de cada cuenta.  </w:t>
      </w:r>
    </w:p>
    <w:p w:rsidR="00F63048" w:rsidRPr="00DC4D0C" w:rsidRDefault="00F63048">
      <w:pPr>
        <w:pBdr>
          <w:top w:val="nil"/>
          <w:left w:val="nil"/>
          <w:bottom w:val="nil"/>
          <w:right w:val="nil"/>
          <w:between w:val="nil"/>
        </w:pBdr>
        <w:ind w:left="720"/>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color w:val="000000"/>
        </w:rPr>
        <w:t>Subsecuentemente, inconforme con la respuesta, el particular presentó el Recurso de Revisión de mérito, en el que señaló lo siguiente:</w:t>
      </w:r>
    </w:p>
    <w:p w:rsidR="00F63048" w:rsidRPr="00DC4D0C" w:rsidRDefault="00F63048">
      <w:pPr>
        <w:pBdr>
          <w:top w:val="nil"/>
          <w:left w:val="nil"/>
          <w:bottom w:val="nil"/>
          <w:right w:val="nil"/>
          <w:between w:val="nil"/>
        </w:pBdr>
        <w:ind w:left="720"/>
        <w:rPr>
          <w:rFonts w:ascii="Palatino Linotype" w:eastAsia="Palatino Linotype" w:hAnsi="Palatino Linotype" w:cs="Palatino Linotype"/>
          <w:color w:val="000000"/>
        </w:rPr>
      </w:pPr>
    </w:p>
    <w:p w:rsidR="00F63048" w:rsidRPr="00DC4D0C" w:rsidRDefault="00EF0524">
      <w:pPr>
        <w:spacing w:line="360" w:lineRule="auto"/>
        <w:ind w:left="567" w:right="567"/>
        <w:jc w:val="both"/>
        <w:rPr>
          <w:rFonts w:ascii="Palatino Linotype" w:eastAsia="Palatino Linotype" w:hAnsi="Palatino Linotype" w:cs="Palatino Linotype"/>
          <w:i/>
        </w:rPr>
      </w:pPr>
      <w:r w:rsidRPr="00DC4D0C">
        <w:rPr>
          <w:rFonts w:ascii="Palatino Linotype" w:eastAsia="Palatino Linotype" w:hAnsi="Palatino Linotype" w:cs="Palatino Linotype"/>
        </w:rPr>
        <w:t xml:space="preserve"> </w:t>
      </w:r>
      <w:r w:rsidRPr="00DC4D0C">
        <w:rPr>
          <w:rFonts w:ascii="Palatino Linotype" w:eastAsia="Palatino Linotype" w:hAnsi="Palatino Linotype" w:cs="Palatino Linotype"/>
          <w:i/>
        </w:rPr>
        <w:t>“entrega oficio mediante el cual en lista 32 cuentas pero no anexa los contratos para comprobar si son del organismo" (Sic)</w:t>
      </w:r>
    </w:p>
    <w:p w:rsidR="00F63048" w:rsidRPr="00DC4D0C" w:rsidRDefault="00F63048">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En ese sentido, este Órgano Garante advierte que del recurso de revisión se desprenden nuevos requerimientos</w:t>
      </w:r>
      <w:r w:rsidRPr="00DC4D0C">
        <w:rPr>
          <w:rFonts w:ascii="Palatino Linotype" w:eastAsia="Palatino Linotype" w:hAnsi="Palatino Linotype" w:cs="Palatino Linotype"/>
          <w:b/>
          <w:color w:val="000000"/>
        </w:rPr>
        <w:t xml:space="preserve"> </w:t>
      </w:r>
      <w:r w:rsidRPr="00DC4D0C">
        <w:rPr>
          <w:rFonts w:ascii="Palatino Linotype" w:eastAsia="Palatino Linotype" w:hAnsi="Palatino Linotype" w:cs="Palatino Linotype"/>
          <w:b/>
          <w:i/>
          <w:color w:val="000000"/>
        </w:rPr>
        <w:t>“no anexa los contratos para comprobar si son del organismo "</w:t>
      </w:r>
      <w:r w:rsidRPr="00DC4D0C">
        <w:rPr>
          <w:rFonts w:ascii="Palatino Linotype" w:eastAsia="Palatino Linotype" w:hAnsi="Palatino Linotype" w:cs="Palatino Linotype"/>
          <w:b/>
          <w:color w:val="000000"/>
        </w:rPr>
        <w:t xml:space="preserve">, </w:t>
      </w:r>
      <w:r w:rsidRPr="00DC4D0C">
        <w:rPr>
          <w:rFonts w:ascii="Palatino Linotype" w:eastAsia="Palatino Linotype" w:hAnsi="Palatino Linotype" w:cs="Palatino Linotype"/>
          <w:color w:val="000000"/>
        </w:rPr>
        <w:t xml:space="preserve">mismos que no pueden ser atendidos dado que </w:t>
      </w:r>
      <w:r w:rsidRPr="00DC4D0C">
        <w:rPr>
          <w:rFonts w:ascii="Palatino Linotype" w:eastAsia="Palatino Linotype" w:hAnsi="Palatino Linotype" w:cs="Palatino Linotype"/>
          <w:b/>
          <w:color w:val="000000"/>
        </w:rPr>
        <w:t xml:space="preserve">no fueron solicitados inicialmente, a lo que se le conoce también como plus </w:t>
      </w:r>
      <w:proofErr w:type="spellStart"/>
      <w:r w:rsidRPr="00DC4D0C">
        <w:rPr>
          <w:rFonts w:ascii="Palatino Linotype" w:eastAsia="Palatino Linotype" w:hAnsi="Palatino Linotype" w:cs="Palatino Linotype"/>
          <w:b/>
          <w:color w:val="000000"/>
        </w:rPr>
        <w:t>petitio</w:t>
      </w:r>
      <w:proofErr w:type="spellEnd"/>
      <w:r w:rsidRPr="00DC4D0C">
        <w:rPr>
          <w:rFonts w:ascii="Palatino Linotype" w:eastAsia="Palatino Linotype" w:hAnsi="Palatino Linotype" w:cs="Palatino Linotype"/>
          <w:b/>
          <w:color w:val="000000"/>
        </w:rPr>
        <w:t xml:space="preserve">. </w:t>
      </w:r>
    </w:p>
    <w:p w:rsidR="00F63048" w:rsidRPr="00DC4D0C" w:rsidRDefault="00F6304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En ese sentido, es procedente señalar que el hoy Recurrente, en un inicio solicitó los número de cuentas y su saldo, y posteriormente solicitó los contratos, información que no fue requerida en un inicio. </w:t>
      </w:r>
    </w:p>
    <w:p w:rsidR="00F63048" w:rsidRPr="00DC4D0C" w:rsidRDefault="00F6304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En ese contexto, la información requerida a través del Recurso de revisión, se trata de nuevos requerimientos, los cuales no pueden ser atendidos por no haber sido requeridos en la solicitud primigenia.  Sirve de apoyo a lo anterior por analogía, la Jurisprudencia No. 29 visible a foja 19 del Apéndice al Semanario Judicial de la Federación 1917-1995, Torno VI, Materia Común, Primera Parte, Tesis de la Suprema Corte de Justicia, que enseña:</w:t>
      </w:r>
    </w:p>
    <w:p w:rsidR="00F63048" w:rsidRPr="00DC4D0C" w:rsidRDefault="00F6304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F63048" w:rsidRPr="00DC4D0C" w:rsidRDefault="00EF0524">
      <w:pPr>
        <w:pBdr>
          <w:top w:val="nil"/>
          <w:left w:val="nil"/>
          <w:bottom w:val="nil"/>
          <w:right w:val="nil"/>
          <w:between w:val="nil"/>
        </w:pBdr>
        <w:spacing w:line="360" w:lineRule="auto"/>
        <w:ind w:left="720" w:right="901"/>
        <w:jc w:val="both"/>
        <w:rPr>
          <w:rFonts w:ascii="Palatino Linotype" w:eastAsia="Palatino Linotype" w:hAnsi="Palatino Linotype" w:cs="Palatino Linotype"/>
          <w:b/>
          <w:color w:val="000000"/>
        </w:rPr>
      </w:pPr>
      <w:r w:rsidRPr="00DC4D0C">
        <w:rPr>
          <w:rFonts w:ascii="Palatino Linotype" w:eastAsia="Palatino Linotype" w:hAnsi="Palatino Linotype" w:cs="Palatino Linotype"/>
          <w:b/>
          <w:color w:val="000000"/>
        </w:rPr>
        <w:t>"</w:t>
      </w:r>
      <w:r w:rsidRPr="00DC4D0C">
        <w:rPr>
          <w:rFonts w:ascii="Palatino Linotype" w:eastAsia="Palatino Linotype" w:hAnsi="Palatino Linotype" w:cs="Palatino Linotype"/>
          <w:i/>
          <w:color w:val="000000"/>
        </w:rPr>
        <w:t xml:space="preserve">AGRAVIOS EN LA REVISION. DEBEN ESTAR EN RELACION DIRECTA CON LOS FUNDAMENTOS Y CONSIDERACIONES DE LA </w:t>
      </w:r>
      <w:r w:rsidRPr="00DC4D0C">
        <w:rPr>
          <w:rFonts w:ascii="Palatino Linotype" w:eastAsia="Palatino Linotype" w:hAnsi="Palatino Linotype" w:cs="Palatino Linotype"/>
          <w:i/>
          <w:color w:val="000000"/>
        </w:rPr>
        <w:lastRenderedPageBreak/>
        <w:t>SENTENCIA.-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sidRPr="00DC4D0C">
        <w:rPr>
          <w:rFonts w:ascii="Palatino Linotype" w:eastAsia="Palatino Linotype" w:hAnsi="Palatino Linotype" w:cs="Palatino Linotype"/>
          <w:b/>
          <w:color w:val="000000"/>
        </w:rPr>
        <w:t>"</w:t>
      </w:r>
    </w:p>
    <w:p w:rsidR="00F63048" w:rsidRPr="00DC4D0C" w:rsidRDefault="00F63048">
      <w:pPr>
        <w:pBdr>
          <w:top w:val="nil"/>
          <w:left w:val="nil"/>
          <w:bottom w:val="nil"/>
          <w:right w:val="nil"/>
          <w:between w:val="nil"/>
        </w:pBdr>
        <w:spacing w:line="360" w:lineRule="auto"/>
        <w:ind w:left="720" w:right="901"/>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Asimismo, cabe por analogía en el presente asunto el fallo emitido por el Segundo Tribunal Colegiado del Cuarto Circuito, recaído en el amparo directo 277/88, que establece:</w:t>
      </w:r>
    </w:p>
    <w:p w:rsidR="00F63048" w:rsidRPr="00DC4D0C" w:rsidRDefault="00F6304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F63048" w:rsidRPr="00DC4D0C" w:rsidRDefault="00EF0524">
      <w:pPr>
        <w:pBdr>
          <w:top w:val="nil"/>
          <w:left w:val="nil"/>
          <w:bottom w:val="nil"/>
          <w:right w:val="nil"/>
          <w:between w:val="nil"/>
        </w:pBdr>
        <w:spacing w:line="360" w:lineRule="auto"/>
        <w:ind w:left="720" w:right="901"/>
        <w:jc w:val="both"/>
        <w:rPr>
          <w:rFonts w:ascii="Palatino Linotype" w:eastAsia="Palatino Linotype" w:hAnsi="Palatino Linotype" w:cs="Palatino Linotype"/>
          <w:b/>
          <w:color w:val="000000"/>
        </w:rPr>
      </w:pPr>
      <w:r w:rsidRPr="00DC4D0C">
        <w:rPr>
          <w:rFonts w:ascii="Palatino Linotype" w:eastAsia="Palatino Linotype" w:hAnsi="Palatino Linotype" w:cs="Palatino Linotype"/>
          <w:b/>
          <w:color w:val="000000"/>
        </w:rPr>
        <w:t>“</w:t>
      </w:r>
      <w:r w:rsidRPr="00DC4D0C">
        <w:rPr>
          <w:rFonts w:ascii="Palatino Linotype" w:eastAsia="Palatino Linotype" w:hAnsi="Palatino Linotype" w:cs="Palatino Linotype"/>
          <w:i/>
          <w:color w:val="000000"/>
        </w:rPr>
        <w:t xml:space="preserve">JUICIO DE NULIDAD LITIS EN EL. Interpretación de los artículos 215 y 237 DEL CÓDIGO FISCAL DE LA FEDERACIÓN.- El actual Código Fiscal de la Federación no contempla literalmente la hipótesis legal regulada en el artículo 219 del Código Fiscal de 1967, en el que se estima que la resolución impugnada deberá ser apreciada en los términos en que lo fue ante la autoridad administrativa; sin embargo el artículo 237 de dicho ordenamiento en vigor establece que las sentencias del Tribunal Fiscal de la Federación se fundarán en derecho y examinarán todos y cada uno de los </w:t>
      </w:r>
      <w:r w:rsidRPr="00DC4D0C">
        <w:rPr>
          <w:rFonts w:ascii="Palatino Linotype" w:eastAsia="Palatino Linotype" w:hAnsi="Palatino Linotype" w:cs="Palatino Linotype"/>
          <w:i/>
          <w:color w:val="000000"/>
        </w:rPr>
        <w:lastRenderedPageBreak/>
        <w:t>puntos controvertidos, del acto impugnado de donde se sigue que, interpretando conjuntamente los artículos 215 y 237, del Código Fiscal vigente, la autoridad en su contestación a la demanda no podrá cambiar los fundamentos de derecho dados en la resolución y, por su parte, la actora no podrá introducir en su demanda cuestiones diversas a las planteadas originalmente ante la autoridad administrativa, pues de seguirse un criterio contrario, el juzgador tendría que analizar el acto combatido a la luz de argumentos que no fueron del conocimiento de la autoridad o, en su caso, de aquéllos que no fueron expuestos en la propia resolución, con lo cual no se examinarían todos y cada uno de los hechos y puntos controvertidos del acto impugnado, tal como establece el artículo 237 mencionado. Por último cabe señalar que dicha regla admite la excepción relativa a cuestiones y pruebas supervenientes- Visible en el S.J.F., Octava Época, Tomo VII, enero de 1991, pág. 294.</w:t>
      </w:r>
      <w:r w:rsidRPr="00DC4D0C">
        <w:rPr>
          <w:rFonts w:ascii="Palatino Linotype" w:eastAsia="Palatino Linotype" w:hAnsi="Palatino Linotype" w:cs="Palatino Linotype"/>
          <w:b/>
          <w:color w:val="000000"/>
        </w:rPr>
        <w:t>”</w:t>
      </w:r>
    </w:p>
    <w:p w:rsidR="00F63048" w:rsidRPr="00DC4D0C" w:rsidRDefault="00F63048">
      <w:pPr>
        <w:pBdr>
          <w:top w:val="nil"/>
          <w:left w:val="nil"/>
          <w:bottom w:val="nil"/>
          <w:right w:val="nil"/>
          <w:between w:val="nil"/>
        </w:pBdr>
        <w:ind w:left="720" w:right="901"/>
        <w:jc w:val="both"/>
        <w:rPr>
          <w:rFonts w:ascii="Palatino Linotype" w:eastAsia="Palatino Linotype" w:hAnsi="Palatino Linotype" w:cs="Palatino Linotype"/>
          <w:b/>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Por lo anterior, se establece que, el recurso de revisión presentado por </w:t>
      </w:r>
      <w:r w:rsidRPr="00DC4D0C">
        <w:rPr>
          <w:rFonts w:ascii="Palatino Linotype" w:eastAsia="Palatino Linotype" w:hAnsi="Palatino Linotype" w:cs="Palatino Linotype"/>
          <w:b/>
          <w:color w:val="000000"/>
        </w:rPr>
        <w:t>EL RECURRENTE</w:t>
      </w:r>
      <w:r w:rsidRPr="00DC4D0C">
        <w:rPr>
          <w:rFonts w:ascii="Palatino Linotype" w:eastAsia="Palatino Linotype" w:hAnsi="Palatino Linotype" w:cs="Palatino Linotype"/>
          <w:color w:val="000000"/>
        </w:rPr>
        <w:t xml:space="preserve"> no debe variar el fondo de la </w:t>
      </w:r>
      <w:proofErr w:type="spellStart"/>
      <w:r w:rsidRPr="00DC4D0C">
        <w:rPr>
          <w:rFonts w:ascii="Palatino Linotype" w:eastAsia="Palatino Linotype" w:hAnsi="Palatino Linotype" w:cs="Palatino Linotype"/>
          <w:color w:val="000000"/>
        </w:rPr>
        <w:t>litis</w:t>
      </w:r>
      <w:proofErr w:type="spellEnd"/>
      <w:r w:rsidRPr="00DC4D0C">
        <w:rPr>
          <w:rFonts w:ascii="Palatino Linotype" w:eastAsia="Palatino Linotype" w:hAnsi="Palatino Linotype" w:cs="Palatino Linotype"/>
          <w:color w:val="000000"/>
        </w:rPr>
        <w:t xml:space="preserve">, de tal manera que, los argumentos planteados por </w:t>
      </w:r>
      <w:r w:rsidRPr="00DC4D0C">
        <w:rPr>
          <w:rFonts w:ascii="Palatino Linotype" w:eastAsia="Palatino Linotype" w:hAnsi="Palatino Linotype" w:cs="Palatino Linotype"/>
          <w:b/>
          <w:color w:val="000000"/>
        </w:rPr>
        <w:t>EL RECURRENTE</w:t>
      </w:r>
      <w:r w:rsidRPr="00DC4D0C">
        <w:rPr>
          <w:rFonts w:ascii="Palatino Linotype" w:eastAsia="Palatino Linotype" w:hAnsi="Palatino Linotype" w:cs="Palatino Linotype"/>
          <w:color w:val="000000"/>
        </w:rPr>
        <w:t xml:space="preserve"> en su inconformidad respecto de los puntos materia del presente análisis, resultan notoriamente improcedentes, pues este Órgano Garante se encuentra imposibilitado para satisfacer requerimientos que no fueron formulados en tiempo y forma.</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hd w:val="clear" w:color="auto" w:fill="FFFFFF"/>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lastRenderedPageBreak/>
        <w:t>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F63048" w:rsidRPr="00DC4D0C" w:rsidRDefault="00F63048">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rPr>
      </w:pPr>
    </w:p>
    <w:p w:rsidR="00F63048" w:rsidRPr="00DC4D0C" w:rsidRDefault="00EF0524">
      <w:pPr>
        <w:pBdr>
          <w:top w:val="nil"/>
          <w:left w:val="nil"/>
          <w:bottom w:val="nil"/>
          <w:right w:val="nil"/>
          <w:between w:val="nil"/>
        </w:pBdr>
        <w:shd w:val="clear" w:color="auto" w:fill="FFFFFF"/>
        <w:spacing w:line="360" w:lineRule="auto"/>
        <w:ind w:left="851" w:right="822"/>
        <w:jc w:val="both"/>
        <w:rPr>
          <w:rFonts w:ascii="Palatino Linotype" w:eastAsia="Palatino Linotype" w:hAnsi="Palatino Linotype" w:cs="Palatino Linotype"/>
          <w:b/>
          <w:i/>
          <w:color w:val="000000"/>
        </w:rPr>
      </w:pPr>
      <w:r w:rsidRPr="00DC4D0C">
        <w:rPr>
          <w:rFonts w:ascii="Palatino Linotype" w:eastAsia="Palatino Linotype" w:hAnsi="Palatino Linotype" w:cs="Palatino Linotype"/>
          <w:b/>
          <w:i/>
          <w:color w:val="000000"/>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 </w:t>
      </w:r>
      <w:r w:rsidRPr="00DC4D0C">
        <w:rPr>
          <w:rFonts w:ascii="Palatino Linotype" w:eastAsia="Palatino Linotype" w:hAnsi="Palatino Linotype" w:cs="Palatino Linotype"/>
          <w:i/>
          <w:color w:val="000000"/>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w:t>
      </w:r>
      <w:r w:rsidRPr="00DC4D0C">
        <w:rPr>
          <w:rFonts w:ascii="Palatino Linotype" w:eastAsia="Palatino Linotype" w:hAnsi="Palatino Linotype" w:cs="Palatino Linotype"/>
          <w:i/>
          <w:color w:val="000000"/>
        </w:rPr>
        <w:lastRenderedPageBreak/>
        <w:t>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r w:rsidRPr="00DC4D0C">
        <w:rPr>
          <w:rFonts w:ascii="Palatino Linotype" w:eastAsia="Palatino Linotype" w:hAnsi="Palatino Linotype" w:cs="Palatino Linotype"/>
          <w:i/>
          <w:color w:val="000000"/>
        </w:rPr>
        <w:br/>
        <w:t>OCTAVO TRIBUNAL COLEGIADO EN MATERIA ADMINISTRATIVA DEL PRIMER CIRCUITO.</w:t>
      </w:r>
      <w:r w:rsidRPr="00DC4D0C">
        <w:rPr>
          <w:rFonts w:ascii="Palatino Linotype" w:eastAsia="Palatino Linotype" w:hAnsi="Palatino Linotype" w:cs="Palatino Linotype"/>
          <w:b/>
          <w:i/>
          <w:color w:val="000000"/>
        </w:rPr>
        <w:t>”</w:t>
      </w:r>
    </w:p>
    <w:p w:rsidR="00F63048" w:rsidRPr="00DC4D0C" w:rsidRDefault="00F63048">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b/>
          <w:color w:val="000000"/>
        </w:rPr>
      </w:pPr>
    </w:p>
    <w:p w:rsidR="00F63048" w:rsidRPr="00DC4D0C" w:rsidRDefault="00EF0524">
      <w:pPr>
        <w:numPr>
          <w:ilvl w:val="0"/>
          <w:numId w:val="1"/>
        </w:numPr>
        <w:pBdr>
          <w:top w:val="nil"/>
          <w:left w:val="nil"/>
          <w:bottom w:val="nil"/>
          <w:right w:val="nil"/>
          <w:between w:val="nil"/>
        </w:pBdr>
        <w:shd w:val="clear" w:color="auto" w:fill="FFFFFF"/>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Así mismo ha sido criterio del Instituto Nacional de Transparencia, Acceso a la Información y Protección de Datos Personales bajo el número 27/10, que </w:t>
      </w:r>
      <w:r w:rsidRPr="00DC4D0C">
        <w:rPr>
          <w:rFonts w:ascii="Palatino Linotype" w:eastAsia="Palatino Linotype" w:hAnsi="Palatino Linotype" w:cs="Palatino Linotype"/>
          <w:color w:val="000000"/>
          <w:u w:val="single"/>
        </w:rPr>
        <w:t>resulta improcedente ampliar las solicitudes de información pública o de datos personales a través de la interposición del recurso de revisión</w:t>
      </w:r>
      <w:r w:rsidRPr="00DC4D0C">
        <w:rPr>
          <w:rFonts w:ascii="Palatino Linotype" w:eastAsia="Palatino Linotype" w:hAnsi="Palatino Linotype" w:cs="Palatino Linotype"/>
          <w:color w:val="000000"/>
        </w:rPr>
        <w:t xml:space="preserve">, como se estima acontece en el presente asunto, al aumentar datos a la solicitud inicial, </w:t>
      </w:r>
      <w:r w:rsidRPr="00DC4D0C">
        <w:rPr>
          <w:rFonts w:ascii="Palatino Linotype" w:eastAsia="Palatino Linotype" w:hAnsi="Palatino Linotype" w:cs="Palatino Linotype"/>
          <w:b/>
          <w:color w:val="000000"/>
        </w:rPr>
        <w:t>por lo que se insiste no se puede entrar al estudio de la información novedosa</w:t>
      </w:r>
      <w:r w:rsidRPr="00DC4D0C">
        <w:rPr>
          <w:rFonts w:ascii="Palatino Linotype" w:eastAsia="Palatino Linotype" w:hAnsi="Palatino Linotype" w:cs="Palatino Linotype"/>
          <w:color w:val="000000"/>
        </w:rPr>
        <w:t>, criterio que es de la literalidad siguiente:</w:t>
      </w:r>
    </w:p>
    <w:p w:rsidR="00F63048" w:rsidRPr="00DC4D0C" w:rsidRDefault="00F63048">
      <w:pPr>
        <w:pBdr>
          <w:top w:val="nil"/>
          <w:left w:val="nil"/>
          <w:bottom w:val="nil"/>
          <w:right w:val="nil"/>
          <w:between w:val="nil"/>
        </w:pBdr>
        <w:shd w:val="clear" w:color="auto" w:fill="FFFFFF"/>
        <w:spacing w:line="360" w:lineRule="auto"/>
        <w:ind w:left="720"/>
        <w:jc w:val="both"/>
        <w:rPr>
          <w:rFonts w:ascii="Palatino Linotype" w:eastAsia="Palatino Linotype" w:hAnsi="Palatino Linotype" w:cs="Palatino Linotype"/>
          <w:color w:val="000000"/>
        </w:rPr>
      </w:pPr>
    </w:p>
    <w:p w:rsidR="00F63048" w:rsidRPr="00DC4D0C" w:rsidRDefault="00EF0524">
      <w:pPr>
        <w:pBdr>
          <w:top w:val="nil"/>
          <w:left w:val="nil"/>
          <w:bottom w:val="nil"/>
          <w:right w:val="nil"/>
          <w:between w:val="nil"/>
        </w:pBdr>
        <w:shd w:val="clear" w:color="auto" w:fill="FFFFFF"/>
        <w:spacing w:line="360" w:lineRule="auto"/>
        <w:ind w:left="851" w:right="822"/>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b/>
          <w:i/>
          <w:color w:val="000000"/>
        </w:rPr>
        <w:t>“Es improcedente ampliar las solicitudes de acceso a información pública o datos personales, a través de la interposición del recurso de revisión.</w:t>
      </w:r>
      <w:r w:rsidRPr="00DC4D0C">
        <w:rPr>
          <w:rFonts w:ascii="Palatino Linotype" w:eastAsia="Palatino Linotype" w:hAnsi="Palatino Linotype" w:cs="Palatino Linotype"/>
          <w:i/>
          <w:color w:val="000000"/>
        </w:rPr>
        <w:t xml:space="preserve"> En aquellos casos en los que los recurrentes amplíen los alcances de </w:t>
      </w:r>
      <w:r w:rsidRPr="00DC4D0C">
        <w:rPr>
          <w:rFonts w:ascii="Palatino Linotype" w:eastAsia="Palatino Linotype" w:hAnsi="Palatino Linotype" w:cs="Palatino Linotype"/>
          <w:i/>
          <w:color w:val="000000"/>
        </w:rPr>
        <w:lastRenderedPageBreak/>
        <w:t>su solicitud de información o acceso a datos personales a través de su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w:t>
      </w:r>
    </w:p>
    <w:p w:rsidR="00F63048" w:rsidRPr="00DC4D0C" w:rsidRDefault="00EF0524">
      <w:pPr>
        <w:pBdr>
          <w:top w:val="nil"/>
          <w:left w:val="nil"/>
          <w:bottom w:val="nil"/>
          <w:right w:val="nil"/>
          <w:between w:val="nil"/>
        </w:pBdr>
        <w:shd w:val="clear" w:color="auto" w:fill="FFFFFF"/>
        <w:spacing w:line="360" w:lineRule="auto"/>
        <w:ind w:left="851" w:right="822"/>
        <w:jc w:val="both"/>
        <w:rPr>
          <w:rFonts w:ascii="Palatino Linotype" w:eastAsia="Palatino Linotype" w:hAnsi="Palatino Linotype" w:cs="Palatino Linotype"/>
          <w:b/>
          <w:i/>
          <w:color w:val="000000"/>
        </w:rPr>
      </w:pPr>
      <w:r w:rsidRPr="00DC4D0C">
        <w:rPr>
          <w:rFonts w:ascii="Palatino Linotype" w:eastAsia="Palatino Linotype" w:hAnsi="Palatino Linotype" w:cs="Palatino Linotype"/>
          <w:i/>
          <w:color w:val="000000"/>
        </w:rPr>
        <w:t xml:space="preserve">Expedientes: 5871/08 Secretaría de Educación Pública – Alonso Gómez-Robledo Verduzco 3468/09 Instituto de Seguridad y Servicios Sociales de los Trabajadores del Estado - Ángel Trinidad Zaldívar 5417/09 Procuraduría General de la República - María </w:t>
      </w:r>
      <w:proofErr w:type="spellStart"/>
      <w:r w:rsidRPr="00DC4D0C">
        <w:rPr>
          <w:rFonts w:ascii="Palatino Linotype" w:eastAsia="Palatino Linotype" w:hAnsi="Palatino Linotype" w:cs="Palatino Linotype"/>
          <w:i/>
          <w:color w:val="000000"/>
        </w:rPr>
        <w:t>Marván</w:t>
      </w:r>
      <w:proofErr w:type="spellEnd"/>
      <w:r w:rsidRPr="00DC4D0C">
        <w:rPr>
          <w:rFonts w:ascii="Palatino Linotype" w:eastAsia="Palatino Linotype" w:hAnsi="Palatino Linotype" w:cs="Palatino Linotype"/>
          <w:i/>
          <w:color w:val="000000"/>
        </w:rPr>
        <w:t xml:space="preserve"> Laborde1523 1006/10 Instituto Mexicano del Seguro Social – Sigrid </w:t>
      </w:r>
      <w:proofErr w:type="spellStart"/>
      <w:r w:rsidRPr="00DC4D0C">
        <w:rPr>
          <w:rFonts w:ascii="Palatino Linotype" w:eastAsia="Palatino Linotype" w:hAnsi="Palatino Linotype" w:cs="Palatino Linotype"/>
          <w:i/>
          <w:color w:val="000000"/>
        </w:rPr>
        <w:t>Arzt</w:t>
      </w:r>
      <w:proofErr w:type="spellEnd"/>
      <w:r w:rsidRPr="00DC4D0C">
        <w:rPr>
          <w:rFonts w:ascii="Palatino Linotype" w:eastAsia="Palatino Linotype" w:hAnsi="Palatino Linotype" w:cs="Palatino Linotype"/>
          <w:i/>
          <w:color w:val="000000"/>
        </w:rPr>
        <w:t xml:space="preserve"> Colunga 1378/10 Instituto de Seguridad y Servicios Sociales de los Trabajadores del Estado – María Elena Pérez-Jaén Zermeño.</w:t>
      </w:r>
      <w:r w:rsidRPr="00DC4D0C">
        <w:rPr>
          <w:rFonts w:ascii="Palatino Linotype" w:eastAsia="Palatino Linotype" w:hAnsi="Palatino Linotype" w:cs="Palatino Linotype"/>
          <w:b/>
          <w:i/>
          <w:color w:val="000000"/>
        </w:rPr>
        <w:t>”</w:t>
      </w:r>
    </w:p>
    <w:p w:rsidR="00F63048" w:rsidRPr="00DC4D0C" w:rsidRDefault="00F63048">
      <w:pPr>
        <w:pBdr>
          <w:top w:val="nil"/>
          <w:left w:val="nil"/>
          <w:bottom w:val="nil"/>
          <w:right w:val="nil"/>
          <w:between w:val="nil"/>
        </w:pBdr>
        <w:shd w:val="clear" w:color="auto" w:fill="FFFFFF"/>
        <w:ind w:left="720" w:right="899"/>
        <w:jc w:val="both"/>
        <w:rPr>
          <w:rFonts w:ascii="Palatino Linotype" w:eastAsia="Palatino Linotype" w:hAnsi="Palatino Linotype" w:cs="Palatino Linotype"/>
          <w:b/>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En tal virtud, resulta procedente </w:t>
      </w:r>
      <w:r w:rsidRPr="00DC4D0C">
        <w:rPr>
          <w:rFonts w:ascii="Palatino Linotype" w:eastAsia="Palatino Linotype" w:hAnsi="Palatino Linotype" w:cs="Palatino Linotype"/>
          <w:b/>
          <w:color w:val="000000"/>
        </w:rPr>
        <w:t>DESECHAR</w:t>
      </w:r>
      <w:r w:rsidRPr="00DC4D0C">
        <w:rPr>
          <w:rFonts w:ascii="Palatino Linotype" w:eastAsia="Palatino Linotype" w:hAnsi="Palatino Linotype" w:cs="Palatino Linotype"/>
          <w:color w:val="000000"/>
        </w:rPr>
        <w:t xml:space="preserve"> el presente recurso, en términos del artículo 191, fracción VII de la de la Ley de Transparencia y Acceso a la Información Pública del Estado de México y Municipios, que literalmente establece:</w:t>
      </w:r>
    </w:p>
    <w:p w:rsidR="00F63048" w:rsidRPr="00DC4D0C" w:rsidRDefault="00F6304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F63048" w:rsidRPr="00DC4D0C" w:rsidRDefault="00EF0524">
      <w:pPr>
        <w:pBdr>
          <w:top w:val="nil"/>
          <w:left w:val="nil"/>
          <w:bottom w:val="nil"/>
          <w:right w:val="nil"/>
          <w:between w:val="nil"/>
        </w:pBdr>
        <w:spacing w:line="360" w:lineRule="auto"/>
        <w:ind w:left="720" w:right="901"/>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b/>
          <w:i/>
          <w:color w:val="000000"/>
        </w:rPr>
        <w:t xml:space="preserve">“Artículo 191. </w:t>
      </w:r>
      <w:r w:rsidRPr="00DC4D0C">
        <w:rPr>
          <w:rFonts w:ascii="Palatino Linotype" w:eastAsia="Palatino Linotype" w:hAnsi="Palatino Linotype" w:cs="Palatino Linotype"/>
          <w:i/>
          <w:color w:val="000000"/>
        </w:rPr>
        <w:t>El recurso será desechado por improcedente cuando:</w:t>
      </w:r>
    </w:p>
    <w:p w:rsidR="00F63048" w:rsidRPr="00DC4D0C" w:rsidRDefault="00EF0524">
      <w:pPr>
        <w:pBdr>
          <w:top w:val="nil"/>
          <w:left w:val="nil"/>
          <w:bottom w:val="nil"/>
          <w:right w:val="nil"/>
          <w:between w:val="nil"/>
        </w:pBdr>
        <w:spacing w:line="360" w:lineRule="auto"/>
        <w:ind w:left="720" w:right="901"/>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b/>
          <w:i/>
          <w:color w:val="000000"/>
        </w:rPr>
        <w:t>…</w:t>
      </w:r>
    </w:p>
    <w:p w:rsidR="00F63048" w:rsidRPr="00DC4D0C" w:rsidRDefault="00EF0524">
      <w:pPr>
        <w:pBdr>
          <w:top w:val="nil"/>
          <w:left w:val="nil"/>
          <w:bottom w:val="nil"/>
          <w:right w:val="nil"/>
          <w:between w:val="nil"/>
        </w:pBdr>
        <w:spacing w:line="360" w:lineRule="auto"/>
        <w:ind w:left="720" w:right="901"/>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b/>
          <w:i/>
          <w:color w:val="000000"/>
        </w:rPr>
        <w:t xml:space="preserve">VII. </w:t>
      </w:r>
      <w:r w:rsidRPr="00DC4D0C">
        <w:rPr>
          <w:rFonts w:ascii="Palatino Linotype" w:eastAsia="Palatino Linotype" w:hAnsi="Palatino Linotype" w:cs="Palatino Linotype"/>
          <w:i/>
          <w:color w:val="000000"/>
        </w:rPr>
        <w:t>El recurrente amplíe su solicitud en el recurso de revisión, únicamente respecto de los nuevos contenidos.</w:t>
      </w:r>
    </w:p>
    <w:p w:rsidR="00F63048" w:rsidRPr="00DC4D0C" w:rsidRDefault="00EF0524">
      <w:pPr>
        <w:pBdr>
          <w:top w:val="nil"/>
          <w:left w:val="nil"/>
          <w:bottom w:val="nil"/>
          <w:right w:val="nil"/>
          <w:between w:val="nil"/>
        </w:pBdr>
        <w:spacing w:line="360" w:lineRule="auto"/>
        <w:ind w:left="720" w:right="901"/>
        <w:jc w:val="both"/>
        <w:rPr>
          <w:rFonts w:ascii="Palatino Linotype" w:eastAsia="Palatino Linotype" w:hAnsi="Palatino Linotype" w:cs="Palatino Linotype"/>
          <w:b/>
          <w:i/>
          <w:color w:val="000000"/>
        </w:rPr>
      </w:pPr>
      <w:r w:rsidRPr="00DC4D0C">
        <w:rPr>
          <w:rFonts w:ascii="Palatino Linotype" w:eastAsia="Palatino Linotype" w:hAnsi="Palatino Linotype" w:cs="Palatino Linotype"/>
          <w:b/>
          <w:i/>
          <w:color w:val="000000"/>
        </w:rPr>
        <w:t>…”</w:t>
      </w:r>
    </w:p>
    <w:p w:rsidR="00F63048" w:rsidRPr="00DC4D0C" w:rsidRDefault="00F63048">
      <w:pPr>
        <w:pBdr>
          <w:top w:val="nil"/>
          <w:left w:val="nil"/>
          <w:bottom w:val="nil"/>
          <w:right w:val="nil"/>
          <w:between w:val="nil"/>
        </w:pBdr>
        <w:ind w:left="720" w:right="901"/>
        <w:jc w:val="both"/>
        <w:rPr>
          <w:rFonts w:ascii="Palatino Linotype" w:eastAsia="Palatino Linotype" w:hAnsi="Palatino Linotype" w:cs="Palatino Linotype"/>
          <w:i/>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No obstante lo anterior, se dejan a salvo los derechos del</w:t>
      </w:r>
      <w:r w:rsidRPr="00DC4D0C">
        <w:rPr>
          <w:rFonts w:ascii="Palatino Linotype" w:eastAsia="Palatino Linotype" w:hAnsi="Palatino Linotype" w:cs="Palatino Linotype"/>
          <w:b/>
          <w:color w:val="000000"/>
        </w:rPr>
        <w:t xml:space="preserve"> RECURRENTE </w:t>
      </w:r>
      <w:r w:rsidRPr="00DC4D0C">
        <w:rPr>
          <w:rFonts w:ascii="Palatino Linotype" w:eastAsia="Palatino Linotype" w:hAnsi="Palatino Linotype" w:cs="Palatino Linotype"/>
          <w:color w:val="000000"/>
        </w:rPr>
        <w:t>para ejercitar su derecho de acceso a la información pública, realizando una nueva solicitud respecto de la información requerida mediante el recurso de revisión.</w:t>
      </w:r>
    </w:p>
    <w:p w:rsidR="00F63048" w:rsidRPr="00DC4D0C" w:rsidRDefault="00F6304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Al no actualizar ninguna causal de procedencia, el recurso de revisión deben ser desechados por improcedentes; sin embargo, una vez admitido, procederá el sobreseimiento de acuerdo a lo que establece el artículo 192 fracción IV, de la multicitada Ley de Transparencia:</w:t>
      </w:r>
    </w:p>
    <w:p w:rsidR="00F63048" w:rsidRPr="00DC4D0C" w:rsidRDefault="00F6304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F63048" w:rsidRPr="00DC4D0C" w:rsidRDefault="00EF052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i/>
          <w:color w:val="000000"/>
        </w:rPr>
        <w:t>Artículo 192. El recurso será sobreseído, en todo o en parte, cuando una vez admitido, se actualicen alguno de los siguientes supuestos:</w:t>
      </w:r>
    </w:p>
    <w:p w:rsidR="00F63048" w:rsidRPr="00DC4D0C" w:rsidRDefault="00EF052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i/>
          <w:color w:val="000000"/>
        </w:rPr>
        <w:t xml:space="preserve">I. El recurrente se desista expresamente del recurso; </w:t>
      </w:r>
    </w:p>
    <w:p w:rsidR="00F63048" w:rsidRPr="00DC4D0C" w:rsidRDefault="00EF052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i/>
          <w:color w:val="000000"/>
        </w:rPr>
        <w:t xml:space="preserve">II. El recurrente fallezca o, tratándose de personas jurídicas colectivas, se disuelva; </w:t>
      </w:r>
    </w:p>
    <w:p w:rsidR="00F63048" w:rsidRPr="00DC4D0C" w:rsidRDefault="00EF052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i/>
          <w:color w:val="000000"/>
        </w:rPr>
        <w:t xml:space="preserve">III. El sujeto obligado responsable del acto lo modifique o revoque de tal manera que el recurso de revisión quede sin materia; </w:t>
      </w:r>
    </w:p>
    <w:p w:rsidR="00F63048" w:rsidRPr="00DC4D0C" w:rsidRDefault="00EF052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rPr>
      </w:pPr>
      <w:r w:rsidRPr="00DC4D0C">
        <w:rPr>
          <w:rFonts w:ascii="Palatino Linotype" w:eastAsia="Palatino Linotype" w:hAnsi="Palatino Linotype" w:cs="Palatino Linotype"/>
          <w:b/>
          <w:i/>
          <w:color w:val="000000"/>
        </w:rPr>
        <w:t xml:space="preserve">IV. Admitido el recurso de revisión, aparezca alguna causal de improcedencia en los términos de la presente Ley; y </w:t>
      </w:r>
    </w:p>
    <w:p w:rsidR="00F63048" w:rsidRPr="00DC4D0C" w:rsidRDefault="00EF052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rPr>
      </w:pPr>
      <w:r w:rsidRPr="00DC4D0C">
        <w:rPr>
          <w:rFonts w:ascii="Palatino Linotype" w:eastAsia="Palatino Linotype" w:hAnsi="Palatino Linotype" w:cs="Palatino Linotype"/>
          <w:i/>
          <w:color w:val="000000"/>
        </w:rPr>
        <w:t>V. Cuando por cualquier motivo quede sin materia el recurso.</w:t>
      </w:r>
    </w:p>
    <w:p w:rsidR="00F63048" w:rsidRPr="00DC4D0C" w:rsidRDefault="00F6304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lastRenderedPageBreak/>
        <w:t>Es así que, el recurso de revisión actualiza la causal de sobreseimiento establecida en la fracción IV del artículo 192, en relación a las fracciones III del artículo 191, ambos de la Ley de Transparencia y Acceso a la Información Pública del Estado de México y Municipios.</w:t>
      </w:r>
    </w:p>
    <w:p w:rsidR="00F63048" w:rsidRPr="00DC4D0C"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DC4D0C" w:rsidRDefault="00EF052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color w:val="000000"/>
        </w:rPr>
        <w:t xml:space="preserve">Por lo anteriormente expuesto y fundado, este </w:t>
      </w:r>
      <w:r w:rsidRPr="00DC4D0C">
        <w:rPr>
          <w:rFonts w:ascii="Palatino Linotype" w:eastAsia="Palatino Linotype" w:hAnsi="Palatino Linotype" w:cs="Palatino Linotype"/>
          <w:b/>
          <w:color w:val="000000"/>
        </w:rPr>
        <w:t>ÓRGANO GARANTE</w:t>
      </w:r>
      <w:r w:rsidRPr="00DC4D0C">
        <w:rPr>
          <w:rFonts w:ascii="Palatino Linotype" w:eastAsia="Palatino Linotype" w:hAnsi="Palatino Linotype" w:cs="Palatino Linotype"/>
          <w:color w:val="000000"/>
        </w:rPr>
        <w:t xml:space="preserve"> emite los siguientes:</w:t>
      </w:r>
    </w:p>
    <w:p w:rsidR="00F63048" w:rsidRPr="00DC4D0C" w:rsidRDefault="00F63048">
      <w:pPr>
        <w:pBdr>
          <w:top w:val="nil"/>
          <w:left w:val="nil"/>
          <w:bottom w:val="nil"/>
          <w:right w:val="nil"/>
          <w:between w:val="nil"/>
        </w:pBdr>
        <w:tabs>
          <w:tab w:val="left" w:pos="426"/>
        </w:tabs>
        <w:spacing w:after="240" w:line="360" w:lineRule="auto"/>
        <w:ind w:right="49"/>
        <w:jc w:val="both"/>
        <w:rPr>
          <w:rFonts w:ascii="Palatino Linotype" w:eastAsia="Palatino Linotype" w:hAnsi="Palatino Linotype" w:cs="Palatino Linotype"/>
          <w:color w:val="000000"/>
        </w:rPr>
      </w:pPr>
    </w:p>
    <w:p w:rsidR="00F63048" w:rsidRPr="00DC4D0C" w:rsidRDefault="00EF0524">
      <w:pPr>
        <w:pStyle w:val="Ttulo1"/>
        <w:spacing w:line="360" w:lineRule="auto"/>
        <w:jc w:val="center"/>
        <w:rPr>
          <w:rFonts w:ascii="Palatino Linotype" w:eastAsia="Palatino Linotype" w:hAnsi="Palatino Linotype" w:cs="Palatino Linotype"/>
          <w:b/>
          <w:color w:val="000000"/>
          <w:sz w:val="24"/>
          <w:szCs w:val="24"/>
        </w:rPr>
      </w:pPr>
      <w:bookmarkStart w:id="7" w:name="_heading=h.4lhga9831d9v" w:colFirst="0" w:colLast="0"/>
      <w:bookmarkEnd w:id="7"/>
      <w:r w:rsidRPr="00DC4D0C">
        <w:rPr>
          <w:rFonts w:ascii="Palatino Linotype" w:eastAsia="Palatino Linotype" w:hAnsi="Palatino Linotype" w:cs="Palatino Linotype"/>
          <w:b/>
          <w:color w:val="000000"/>
          <w:sz w:val="24"/>
          <w:szCs w:val="24"/>
        </w:rPr>
        <w:t>R E S O L U T I V O S</w:t>
      </w:r>
    </w:p>
    <w:p w:rsidR="00F63048" w:rsidRPr="00DC4D0C" w:rsidRDefault="00F63048">
      <w:pPr>
        <w:rPr>
          <w:rFonts w:ascii="Palatino Linotype" w:hAnsi="Palatino Linotype"/>
        </w:rPr>
      </w:pPr>
    </w:p>
    <w:p w:rsidR="00F63048" w:rsidRPr="00DC4D0C" w:rsidRDefault="00EF0524">
      <w:pPr>
        <w:spacing w:after="240" w:line="360" w:lineRule="auto"/>
        <w:jc w:val="both"/>
        <w:rPr>
          <w:rFonts w:ascii="Palatino Linotype" w:eastAsia="Palatino Linotype" w:hAnsi="Palatino Linotype" w:cs="Palatino Linotype"/>
        </w:rPr>
      </w:pPr>
      <w:bookmarkStart w:id="8" w:name="_heading=h.cqy2yw5j4p7r" w:colFirst="0" w:colLast="0"/>
      <w:bookmarkEnd w:id="8"/>
      <w:r w:rsidRPr="00DC4D0C">
        <w:rPr>
          <w:rFonts w:ascii="Palatino Linotype" w:eastAsia="Palatino Linotype" w:hAnsi="Palatino Linotype" w:cs="Palatino Linotype"/>
          <w:b/>
        </w:rPr>
        <w:t>PRIMERO.</w:t>
      </w:r>
      <w:r w:rsidRPr="00DC4D0C">
        <w:rPr>
          <w:rFonts w:ascii="Palatino Linotype" w:eastAsia="Palatino Linotype" w:hAnsi="Palatino Linotype" w:cs="Palatino Linotype"/>
        </w:rPr>
        <w:t xml:space="preserve"> Se </w:t>
      </w:r>
      <w:r w:rsidRPr="00DC4D0C">
        <w:rPr>
          <w:rFonts w:ascii="Palatino Linotype" w:eastAsia="Palatino Linotype" w:hAnsi="Palatino Linotype" w:cs="Palatino Linotype"/>
          <w:b/>
        </w:rPr>
        <w:t xml:space="preserve">SOBRESEE </w:t>
      </w:r>
      <w:r w:rsidRPr="00DC4D0C">
        <w:rPr>
          <w:rFonts w:ascii="Palatino Linotype" w:eastAsia="Palatino Linotype" w:hAnsi="Palatino Linotype" w:cs="Palatino Linotype"/>
        </w:rPr>
        <w:t>por improcedente el</w:t>
      </w:r>
      <w:r w:rsidRPr="00DC4D0C">
        <w:rPr>
          <w:rFonts w:ascii="Palatino Linotype" w:eastAsia="Palatino Linotype" w:hAnsi="Palatino Linotype" w:cs="Palatino Linotype"/>
          <w:b/>
        </w:rPr>
        <w:t xml:space="preserve"> </w:t>
      </w:r>
      <w:r w:rsidRPr="00DC4D0C">
        <w:rPr>
          <w:rFonts w:ascii="Palatino Linotype" w:eastAsia="Palatino Linotype" w:hAnsi="Palatino Linotype" w:cs="Palatino Linotype"/>
        </w:rPr>
        <w:t xml:space="preserve">recurso de revisión número </w:t>
      </w:r>
      <w:r w:rsidRPr="00DC4D0C">
        <w:rPr>
          <w:rFonts w:ascii="Palatino Linotype" w:eastAsia="Palatino Linotype" w:hAnsi="Palatino Linotype" w:cs="Palatino Linotype"/>
          <w:b/>
        </w:rPr>
        <w:t>00348/INFOEM/IP/RR/2025</w:t>
      </w:r>
      <w:r w:rsidRPr="00DC4D0C">
        <w:rPr>
          <w:rFonts w:ascii="Palatino Linotype" w:eastAsia="Palatino Linotype" w:hAnsi="Palatino Linotype" w:cs="Palatino Linotype"/>
        </w:rPr>
        <w:t xml:space="preserve">, conforme al artículo </w:t>
      </w:r>
      <w:r w:rsidRPr="00DC4D0C">
        <w:rPr>
          <w:rFonts w:ascii="Palatino Linotype" w:eastAsia="Palatino Linotype" w:hAnsi="Palatino Linotype" w:cs="Palatino Linotype"/>
          <w:b/>
        </w:rPr>
        <w:t>192 fracción IV</w:t>
      </w:r>
      <w:r w:rsidRPr="00DC4D0C">
        <w:rPr>
          <w:rFonts w:ascii="Palatino Linotype" w:eastAsia="Palatino Linotype" w:hAnsi="Palatino Linotype" w:cs="Palatino Linotype"/>
        </w:rPr>
        <w:t xml:space="preserve">, de la Ley de Transparencia y Acceso a la Información Pública del Estado de México y Municipios, en términos del </w:t>
      </w:r>
      <w:r w:rsidRPr="00DC4D0C">
        <w:rPr>
          <w:rFonts w:ascii="Palatino Linotype" w:eastAsia="Palatino Linotype" w:hAnsi="Palatino Linotype" w:cs="Palatino Linotype"/>
          <w:b/>
        </w:rPr>
        <w:t>Considerando TERCERO</w:t>
      </w:r>
      <w:r w:rsidRPr="00DC4D0C">
        <w:rPr>
          <w:rFonts w:ascii="Palatino Linotype" w:eastAsia="Palatino Linotype" w:hAnsi="Palatino Linotype" w:cs="Palatino Linotype"/>
        </w:rPr>
        <w:t xml:space="preserve"> de la presente resolución.</w:t>
      </w:r>
    </w:p>
    <w:p w:rsidR="00F63048" w:rsidRPr="00DC4D0C" w:rsidRDefault="00EF0524">
      <w:pPr>
        <w:pBdr>
          <w:top w:val="nil"/>
          <w:left w:val="nil"/>
          <w:bottom w:val="nil"/>
          <w:right w:val="nil"/>
          <w:between w:val="nil"/>
        </w:pBdr>
        <w:spacing w:after="240" w:line="360" w:lineRule="auto"/>
        <w:jc w:val="both"/>
        <w:rPr>
          <w:rFonts w:ascii="Palatino Linotype" w:eastAsia="Palatino Linotype" w:hAnsi="Palatino Linotype" w:cs="Palatino Linotype"/>
          <w:b/>
          <w:color w:val="000000"/>
        </w:rPr>
      </w:pPr>
      <w:r w:rsidRPr="00DC4D0C">
        <w:rPr>
          <w:rFonts w:ascii="Palatino Linotype" w:eastAsia="Palatino Linotype" w:hAnsi="Palatino Linotype" w:cs="Palatino Linotype"/>
          <w:b/>
          <w:color w:val="000000"/>
        </w:rPr>
        <w:t xml:space="preserve">SEGUNDO. </w:t>
      </w:r>
      <w:r w:rsidR="000C5523" w:rsidRPr="00DC4D0C">
        <w:rPr>
          <w:rFonts w:ascii="Palatino Linotype" w:eastAsia="Palatino Linotype" w:hAnsi="Palatino Linotype" w:cs="Palatino Linotype"/>
          <w:b/>
          <w:color w:val="000000"/>
        </w:rPr>
        <w:t xml:space="preserve">Notifíquese </w:t>
      </w:r>
      <w:r w:rsidRPr="00DC4D0C">
        <w:rPr>
          <w:rFonts w:ascii="Palatino Linotype" w:eastAsia="Palatino Linotype" w:hAnsi="Palatino Linotype" w:cs="Palatino Linotype"/>
          <w:color w:val="000000"/>
        </w:rPr>
        <w:t xml:space="preserve">a través del Sistema de Acceso a la Información Mexiquense </w:t>
      </w:r>
      <w:r w:rsidRPr="00DC4D0C">
        <w:rPr>
          <w:rFonts w:ascii="Palatino Linotype" w:eastAsia="Palatino Linotype" w:hAnsi="Palatino Linotype" w:cs="Palatino Linotype"/>
          <w:b/>
          <w:color w:val="000000"/>
        </w:rPr>
        <w:t xml:space="preserve">(SAIMEX) </w:t>
      </w:r>
      <w:r w:rsidRPr="00DC4D0C">
        <w:rPr>
          <w:rFonts w:ascii="Palatino Linotype" w:eastAsia="Palatino Linotype" w:hAnsi="Palatino Linotype" w:cs="Palatino Linotype"/>
          <w:color w:val="000000"/>
        </w:rPr>
        <w:t>la presente resolución al Titular de la Unidad de Transparencia del</w:t>
      </w:r>
      <w:r w:rsidRPr="00DC4D0C">
        <w:rPr>
          <w:rFonts w:ascii="Palatino Linotype" w:eastAsia="Palatino Linotype" w:hAnsi="Palatino Linotype" w:cs="Palatino Linotype"/>
          <w:b/>
          <w:color w:val="000000"/>
        </w:rPr>
        <w:t xml:space="preserve"> SUJETO OBLIGADO. </w:t>
      </w:r>
    </w:p>
    <w:p w:rsidR="00F63048" w:rsidRPr="00DC4D0C" w:rsidRDefault="00EF0524">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b/>
          <w:color w:val="000000"/>
        </w:rPr>
        <w:t xml:space="preserve">TERCERO. Notifíquese al RECURRENTE </w:t>
      </w:r>
      <w:r w:rsidRPr="00DC4D0C">
        <w:rPr>
          <w:rFonts w:ascii="Palatino Linotype" w:eastAsia="Palatino Linotype" w:hAnsi="Palatino Linotype" w:cs="Palatino Linotype"/>
          <w:color w:val="000000"/>
        </w:rPr>
        <w:t xml:space="preserve">la presente resolución vía </w:t>
      </w:r>
      <w:r w:rsidRPr="00DC4D0C">
        <w:rPr>
          <w:rFonts w:ascii="Palatino Linotype" w:eastAsia="Palatino Linotype" w:hAnsi="Palatino Linotype" w:cs="Palatino Linotype"/>
          <w:b/>
          <w:color w:val="000000"/>
        </w:rPr>
        <w:t>SAIMEX</w:t>
      </w:r>
      <w:r w:rsidRPr="00DC4D0C">
        <w:rPr>
          <w:rFonts w:ascii="Palatino Linotype" w:eastAsia="Palatino Linotype" w:hAnsi="Palatino Linotype" w:cs="Palatino Linotype"/>
          <w:color w:val="000000"/>
        </w:rPr>
        <w:t>.</w:t>
      </w:r>
    </w:p>
    <w:p w:rsidR="00F63048" w:rsidRPr="00DC4D0C" w:rsidRDefault="00EF0524">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DC4D0C">
        <w:rPr>
          <w:rFonts w:ascii="Palatino Linotype" w:eastAsia="Palatino Linotype" w:hAnsi="Palatino Linotype" w:cs="Palatino Linotype"/>
          <w:b/>
          <w:color w:val="000000"/>
        </w:rPr>
        <w:t>CUARTO.</w:t>
      </w:r>
      <w:r w:rsidRPr="00DC4D0C">
        <w:rPr>
          <w:rFonts w:ascii="Palatino Linotype" w:eastAsia="Palatino Linotype" w:hAnsi="Palatino Linotype" w:cs="Palatino Linotype"/>
          <w:color w:val="000000"/>
        </w:rPr>
        <w:t xml:space="preserve"> Se hace del conocimiento del </w:t>
      </w:r>
      <w:r w:rsidRPr="00DC4D0C">
        <w:rPr>
          <w:rFonts w:ascii="Palatino Linotype" w:eastAsia="Palatino Linotype" w:hAnsi="Palatino Linotype" w:cs="Palatino Linotype"/>
          <w:b/>
          <w:color w:val="000000"/>
        </w:rPr>
        <w:t xml:space="preserve">RECURRENTE </w:t>
      </w:r>
      <w:r w:rsidRPr="00DC4D0C">
        <w:rPr>
          <w:rFonts w:ascii="Palatino Linotype" w:eastAsia="Palatino Linotype" w:hAnsi="Palatino Linotype" w:cs="Palatino Linotype"/>
          <w:color w:val="000000"/>
        </w:rPr>
        <w:t xml:space="preserve">que, de conformidad con lo establecido en el artículo 196 de la Ley de Transparencia y Acceso a la Información </w:t>
      </w:r>
      <w:r w:rsidRPr="00DC4D0C">
        <w:rPr>
          <w:rFonts w:ascii="Palatino Linotype" w:eastAsia="Palatino Linotype" w:hAnsi="Palatino Linotype" w:cs="Palatino Linotype"/>
          <w:color w:val="000000"/>
        </w:rPr>
        <w:lastRenderedPageBreak/>
        <w:t>Pública del Estado de México y Municipios, en caso de que considere que la resolución le cause algún perjuicio podrá impugnarla vía juicio de amparo en los términos de las leyes aplicables.</w:t>
      </w:r>
    </w:p>
    <w:p w:rsidR="00E049F3" w:rsidRPr="00DC4D0C" w:rsidRDefault="00E049F3">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p>
    <w:p w:rsidR="00E049F3" w:rsidRPr="001D347D" w:rsidRDefault="00E049F3" w:rsidP="00E049F3">
      <w:pPr>
        <w:spacing w:before="240" w:after="240" w:line="360" w:lineRule="auto"/>
        <w:ind w:right="49"/>
        <w:jc w:val="both"/>
        <w:rPr>
          <w:rFonts w:ascii="Palatino Linotype" w:eastAsia="Palatino Linotype" w:hAnsi="Palatino Linotype" w:cs="Palatino Linotype"/>
        </w:rPr>
      </w:pPr>
      <w:r w:rsidRPr="00DC4D0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rsidR="00F63048" w:rsidRPr="001D347D" w:rsidRDefault="00EF0524">
      <w:pPr>
        <w:spacing w:line="360" w:lineRule="auto"/>
        <w:ind w:right="48"/>
        <w:jc w:val="both"/>
        <w:rPr>
          <w:rFonts w:ascii="Palatino Linotype" w:eastAsia="Palatino Linotype" w:hAnsi="Palatino Linotype" w:cs="Palatino Linotype"/>
        </w:rPr>
      </w:pPr>
      <w:r w:rsidRPr="001D347D">
        <w:rPr>
          <w:rFonts w:ascii="Palatino Linotype" w:eastAsia="Palatino Linotype" w:hAnsi="Palatino Linotype" w:cs="Palatino Linotype"/>
        </w:rPr>
        <w:t xml:space="preserve"> </w:t>
      </w:r>
    </w:p>
    <w:p w:rsidR="00F63048" w:rsidRPr="001D347D"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1D347D" w:rsidRDefault="00F63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63048" w:rsidRPr="001D347D" w:rsidRDefault="00F63048">
      <w:pPr>
        <w:spacing w:line="360" w:lineRule="auto"/>
        <w:ind w:right="49"/>
        <w:jc w:val="both"/>
        <w:rPr>
          <w:rFonts w:ascii="Palatino Linotype" w:eastAsia="Palatino Linotype" w:hAnsi="Palatino Linotype" w:cs="Palatino Linotype"/>
        </w:rPr>
      </w:pPr>
    </w:p>
    <w:p w:rsidR="00F63048" w:rsidRPr="001D347D" w:rsidRDefault="00F63048">
      <w:pPr>
        <w:spacing w:line="360" w:lineRule="auto"/>
        <w:ind w:right="49"/>
        <w:jc w:val="both"/>
        <w:rPr>
          <w:rFonts w:ascii="Palatino Linotype" w:eastAsia="Palatino Linotype" w:hAnsi="Palatino Linotype" w:cs="Palatino Linotype"/>
        </w:rPr>
      </w:pPr>
    </w:p>
    <w:p w:rsidR="00F63048" w:rsidRPr="001D347D" w:rsidRDefault="00F63048">
      <w:pPr>
        <w:spacing w:line="360" w:lineRule="auto"/>
        <w:ind w:right="49"/>
        <w:jc w:val="both"/>
        <w:rPr>
          <w:rFonts w:ascii="Palatino Linotype" w:eastAsia="Palatino Linotype" w:hAnsi="Palatino Linotype" w:cs="Palatino Linotype"/>
        </w:rPr>
      </w:pPr>
    </w:p>
    <w:p w:rsidR="00F63048" w:rsidRPr="001D347D" w:rsidRDefault="00F63048">
      <w:pPr>
        <w:spacing w:line="360" w:lineRule="auto"/>
        <w:rPr>
          <w:rFonts w:ascii="Palatino Linotype" w:eastAsia="Palatino Linotype" w:hAnsi="Palatino Linotype" w:cs="Palatino Linotype"/>
        </w:rPr>
      </w:pPr>
    </w:p>
    <w:p w:rsidR="00F63048" w:rsidRPr="001D347D" w:rsidRDefault="00F63048">
      <w:pPr>
        <w:spacing w:line="360" w:lineRule="auto"/>
        <w:rPr>
          <w:rFonts w:ascii="Palatino Linotype" w:eastAsia="Palatino Linotype" w:hAnsi="Palatino Linotype" w:cs="Palatino Linotype"/>
        </w:rPr>
      </w:pPr>
    </w:p>
    <w:p w:rsidR="00F63048" w:rsidRPr="001D347D" w:rsidRDefault="00F63048">
      <w:pPr>
        <w:spacing w:line="360" w:lineRule="auto"/>
        <w:rPr>
          <w:rFonts w:ascii="Palatino Linotype" w:eastAsia="Palatino Linotype" w:hAnsi="Palatino Linotype" w:cs="Palatino Linotype"/>
        </w:rPr>
      </w:pPr>
    </w:p>
    <w:p w:rsidR="00F63048" w:rsidRPr="001D347D" w:rsidRDefault="00F63048">
      <w:pPr>
        <w:spacing w:line="360" w:lineRule="auto"/>
        <w:rPr>
          <w:rFonts w:ascii="Palatino Linotype" w:eastAsia="Palatino Linotype" w:hAnsi="Palatino Linotype" w:cs="Palatino Linotype"/>
        </w:rPr>
      </w:pPr>
    </w:p>
    <w:p w:rsidR="00F63048" w:rsidRPr="001D347D" w:rsidRDefault="00F63048">
      <w:pPr>
        <w:spacing w:line="360" w:lineRule="auto"/>
        <w:rPr>
          <w:rFonts w:ascii="Palatino Linotype" w:eastAsia="Palatino Linotype" w:hAnsi="Palatino Linotype" w:cs="Palatino Linotype"/>
        </w:rPr>
      </w:pPr>
    </w:p>
    <w:p w:rsidR="00F63048" w:rsidRPr="001D347D" w:rsidRDefault="00F63048">
      <w:pPr>
        <w:spacing w:line="360" w:lineRule="auto"/>
        <w:rPr>
          <w:rFonts w:ascii="Palatino Linotype" w:eastAsia="Palatino Linotype" w:hAnsi="Palatino Linotype" w:cs="Palatino Linotype"/>
        </w:rPr>
      </w:pPr>
    </w:p>
    <w:p w:rsidR="00F63048" w:rsidRPr="001D347D" w:rsidRDefault="00F63048">
      <w:pPr>
        <w:spacing w:line="360" w:lineRule="auto"/>
        <w:rPr>
          <w:rFonts w:ascii="Palatino Linotype" w:eastAsia="Palatino Linotype" w:hAnsi="Palatino Linotype" w:cs="Palatino Linotype"/>
        </w:rPr>
      </w:pPr>
    </w:p>
    <w:p w:rsidR="00F63048" w:rsidRPr="001D347D" w:rsidRDefault="00F63048">
      <w:pPr>
        <w:rPr>
          <w:rFonts w:ascii="Palatino Linotype" w:hAnsi="Palatino Linotype"/>
        </w:rPr>
      </w:pPr>
    </w:p>
    <w:sectPr w:rsidR="00F63048" w:rsidRPr="001D347D">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866" w:rsidRDefault="00F67866">
      <w:r>
        <w:separator/>
      </w:r>
    </w:p>
  </w:endnote>
  <w:endnote w:type="continuationSeparator" w:id="0">
    <w:p w:rsidR="00F67866" w:rsidRDefault="00F6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8" w:rsidRDefault="00EF052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C79EA">
      <w:rPr>
        <w:b/>
        <w:noProof/>
        <w:color w:val="000000"/>
      </w:rPr>
      <w:t>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C79EA">
      <w:rPr>
        <w:b/>
        <w:noProof/>
        <w:color w:val="000000"/>
      </w:rPr>
      <w:t>17</w:t>
    </w:r>
    <w:r>
      <w:rPr>
        <w:b/>
        <w:color w:val="000000"/>
      </w:rPr>
      <w:fldChar w:fldCharType="end"/>
    </w:r>
  </w:p>
  <w:p w:rsidR="00F63048" w:rsidRDefault="00F6304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8" w:rsidRDefault="00EF052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C79E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C79EA">
      <w:rPr>
        <w:b/>
        <w:noProof/>
        <w:color w:val="000000"/>
      </w:rPr>
      <w:t>17</w:t>
    </w:r>
    <w:r>
      <w:rPr>
        <w:b/>
        <w:color w:val="000000"/>
      </w:rPr>
      <w:fldChar w:fldCharType="end"/>
    </w:r>
  </w:p>
  <w:p w:rsidR="00F63048" w:rsidRDefault="00F6304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866" w:rsidRDefault="00F67866">
      <w:r>
        <w:separator/>
      </w:r>
    </w:p>
  </w:footnote>
  <w:footnote w:type="continuationSeparator" w:id="0">
    <w:p w:rsidR="00F67866" w:rsidRDefault="00F67866">
      <w:r>
        <w:continuationSeparator/>
      </w:r>
    </w:p>
  </w:footnote>
  <w:footnote w:id="1">
    <w:p w:rsidR="00F63048" w:rsidRDefault="00EF0524">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sz w:val="18"/>
          <w:szCs w:val="18"/>
        </w:rPr>
        <w:t>Artículo 9.</w:t>
      </w:r>
      <w:r>
        <w:rPr>
          <w:rFonts w:ascii="Palatino Linotype" w:eastAsia="Palatino Linotype" w:hAnsi="Palatino Linotype" w:cs="Palatino Linotype"/>
          <w:color w:val="000000"/>
          <w:sz w:val="18"/>
          <w:szCs w:val="18"/>
        </w:rPr>
        <w:t xml:space="preserve"> El Instituto deberá regir su funcionamiento de acuerdo a los siguientes principios:</w:t>
      </w:r>
    </w:p>
    <w:p w:rsidR="00F63048" w:rsidRDefault="00EF0524">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F63048" w:rsidRDefault="00EF0524">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II. Eficacia:</w:t>
      </w:r>
      <w:r>
        <w:rPr>
          <w:rFonts w:ascii="Palatino Linotype" w:eastAsia="Palatino Linotype" w:hAnsi="Palatino Linotype" w:cs="Palatino Linotype"/>
          <w:color w:val="000000"/>
          <w:sz w:val="18"/>
          <w:szCs w:val="18"/>
        </w:rPr>
        <w:t xml:space="preserve"> Obligación del Instituto para tutelar, de manera efectiva, el derecho de acceso a la información</w:t>
      </w:r>
    </w:p>
    <w:p w:rsidR="00F63048" w:rsidRDefault="00EF0524">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F63048" w:rsidRDefault="00EF0524">
      <w:pPr>
        <w:pBdr>
          <w:top w:val="nil"/>
          <w:left w:val="nil"/>
          <w:bottom w:val="nil"/>
          <w:right w:val="nil"/>
          <w:between w:val="nil"/>
        </w:pBdr>
        <w:jc w:val="both"/>
        <w:rPr>
          <w:rFonts w:ascii="Calibri" w:eastAsia="Calibri" w:hAnsi="Calibri" w:cs="Calibri"/>
          <w:color w:val="000000"/>
        </w:rPr>
      </w:pPr>
      <w:r>
        <w:rPr>
          <w:rFonts w:ascii="Palatino Linotype" w:eastAsia="Palatino Linotype" w:hAnsi="Palatino Linotype" w:cs="Palatino Linotype"/>
          <w:b/>
          <w:color w:val="000000"/>
          <w:sz w:val="18"/>
          <w:szCs w:val="18"/>
        </w:rPr>
        <w:t>IX. Profesionalismo:</w:t>
      </w:r>
      <w:r>
        <w:rPr>
          <w:rFonts w:ascii="Palatino Linotype" w:eastAsia="Palatino Linotype" w:hAnsi="Palatino Linotype" w:cs="Palatino Linotype"/>
          <w:color w:val="000000"/>
          <w:sz w:val="18"/>
          <w:szCs w:val="18"/>
        </w:rP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8" w:rsidRDefault="00F6786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8" w:rsidRDefault="00F63048">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F63048">
      <w:trPr>
        <w:trHeight w:val="1435"/>
      </w:trPr>
      <w:tc>
        <w:tcPr>
          <w:tcW w:w="2268" w:type="dxa"/>
          <w:shd w:val="clear" w:color="auto" w:fill="auto"/>
        </w:tcPr>
        <w:p w:rsidR="00F63048" w:rsidRDefault="00F63048">
          <w:pPr>
            <w:tabs>
              <w:tab w:val="right" w:pos="4273"/>
            </w:tabs>
            <w:rPr>
              <w:rFonts w:ascii="Garamond" w:eastAsia="Garamond" w:hAnsi="Garamond" w:cs="Garamond"/>
              <w:sz w:val="16"/>
              <w:szCs w:val="16"/>
            </w:rPr>
          </w:pPr>
        </w:p>
      </w:tc>
      <w:tc>
        <w:tcPr>
          <w:tcW w:w="6946" w:type="dxa"/>
          <w:shd w:val="clear" w:color="auto" w:fill="auto"/>
        </w:tcPr>
        <w:p w:rsidR="00F63048" w:rsidRDefault="00F63048"/>
        <w:tbl>
          <w:tblPr>
            <w:tblStyle w:val="a1"/>
            <w:tblW w:w="6662" w:type="dxa"/>
            <w:tblInd w:w="40" w:type="dxa"/>
            <w:tblLayout w:type="fixed"/>
            <w:tblLook w:val="0400" w:firstRow="0" w:lastRow="0" w:firstColumn="0" w:lastColumn="0" w:noHBand="0" w:noVBand="1"/>
          </w:tblPr>
          <w:tblGrid>
            <w:gridCol w:w="2551"/>
            <w:gridCol w:w="4111"/>
          </w:tblGrid>
          <w:tr w:rsidR="00F63048">
            <w:trPr>
              <w:trHeight w:val="150"/>
            </w:trPr>
            <w:tc>
              <w:tcPr>
                <w:tcW w:w="2551" w:type="dxa"/>
                <w:shd w:val="clear" w:color="auto" w:fill="auto"/>
              </w:tcPr>
              <w:p w:rsidR="00F63048" w:rsidRDefault="00EF052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F63048" w:rsidRDefault="00EF0524">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00348/INFOEM/IP/RR/2025</w:t>
                </w:r>
                <w:r>
                  <w:rPr>
                    <w:rFonts w:ascii="Palatino Linotype" w:eastAsia="Palatino Linotype" w:hAnsi="Palatino Linotype" w:cs="Palatino Linotype"/>
                    <w:b/>
                    <w:sz w:val="22"/>
                    <w:szCs w:val="22"/>
                  </w:rPr>
                  <w:t xml:space="preserve"> </w:t>
                </w:r>
              </w:p>
            </w:tc>
          </w:tr>
          <w:tr w:rsidR="00F63048">
            <w:trPr>
              <w:trHeight w:val="295"/>
            </w:trPr>
            <w:tc>
              <w:tcPr>
                <w:tcW w:w="2551" w:type="dxa"/>
                <w:shd w:val="clear" w:color="auto" w:fill="auto"/>
              </w:tcPr>
              <w:p w:rsidR="00F63048" w:rsidRDefault="00EF052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F63048" w:rsidRDefault="00EF0524">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Público Descentralizado para la Prestación de Los Servicios de Agua Potable Alcantarillado y Saneamiento del Municipio de Tlalnepantla de Baz</w:t>
                </w:r>
              </w:p>
            </w:tc>
          </w:tr>
          <w:tr w:rsidR="00F63048">
            <w:trPr>
              <w:trHeight w:val="295"/>
            </w:trPr>
            <w:tc>
              <w:tcPr>
                <w:tcW w:w="2551" w:type="dxa"/>
                <w:shd w:val="clear" w:color="auto" w:fill="auto"/>
              </w:tcPr>
              <w:p w:rsidR="00F63048" w:rsidRDefault="00EF052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rsidR="00F63048" w:rsidRDefault="00EF0524">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F63048" w:rsidRDefault="00F63048">
                <w:pPr>
                  <w:tabs>
                    <w:tab w:val="right" w:pos="8838"/>
                  </w:tabs>
                  <w:ind w:left="-108" w:right="171"/>
                  <w:jc w:val="both"/>
                  <w:rPr>
                    <w:rFonts w:ascii="Palatino Linotype" w:eastAsia="Palatino Linotype" w:hAnsi="Palatino Linotype" w:cs="Palatino Linotype"/>
                    <w:b/>
                    <w:sz w:val="22"/>
                    <w:szCs w:val="22"/>
                  </w:rPr>
                </w:pPr>
              </w:p>
            </w:tc>
          </w:tr>
        </w:tbl>
        <w:p w:rsidR="00F63048" w:rsidRDefault="00F63048">
          <w:pPr>
            <w:tabs>
              <w:tab w:val="right" w:pos="8838"/>
            </w:tabs>
            <w:ind w:left="-28"/>
            <w:jc w:val="both"/>
            <w:rPr>
              <w:rFonts w:ascii="Arial" w:eastAsia="Arial" w:hAnsi="Arial" w:cs="Arial"/>
              <w:b/>
              <w:sz w:val="22"/>
              <w:szCs w:val="22"/>
            </w:rPr>
          </w:pPr>
        </w:p>
      </w:tc>
    </w:tr>
  </w:tbl>
  <w:p w:rsidR="00F63048" w:rsidRDefault="00F67866">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8" w:rsidRDefault="00F63048">
    <w:pPr>
      <w:widowControl w:val="0"/>
      <w:pBdr>
        <w:top w:val="nil"/>
        <w:left w:val="nil"/>
        <w:bottom w:val="nil"/>
        <w:right w:val="nil"/>
        <w:between w:val="nil"/>
      </w:pBdr>
      <w:spacing w:line="276" w:lineRule="auto"/>
      <w:rPr>
        <w:color w:val="000000"/>
        <w:sz w:val="14"/>
        <w:szCs w:val="14"/>
      </w:rPr>
    </w:pPr>
  </w:p>
  <w:tbl>
    <w:tblPr>
      <w:tblStyle w:val="a2"/>
      <w:tblW w:w="9072" w:type="dxa"/>
      <w:tblInd w:w="0" w:type="dxa"/>
      <w:tblLayout w:type="fixed"/>
      <w:tblLook w:val="0400" w:firstRow="0" w:lastRow="0" w:firstColumn="0" w:lastColumn="0" w:noHBand="0" w:noVBand="1"/>
    </w:tblPr>
    <w:tblGrid>
      <w:gridCol w:w="2268"/>
      <w:gridCol w:w="6804"/>
    </w:tblGrid>
    <w:tr w:rsidR="00F63048">
      <w:trPr>
        <w:trHeight w:val="1435"/>
      </w:trPr>
      <w:tc>
        <w:tcPr>
          <w:tcW w:w="2268" w:type="dxa"/>
          <w:shd w:val="clear" w:color="auto" w:fill="auto"/>
        </w:tcPr>
        <w:p w:rsidR="00F63048" w:rsidRDefault="00F63048">
          <w:pPr>
            <w:tabs>
              <w:tab w:val="right" w:pos="4273"/>
            </w:tabs>
            <w:rPr>
              <w:rFonts w:ascii="Garamond" w:eastAsia="Garamond" w:hAnsi="Garamond" w:cs="Garamond"/>
              <w:sz w:val="22"/>
              <w:szCs w:val="22"/>
            </w:rPr>
          </w:pPr>
        </w:p>
      </w:tc>
      <w:tc>
        <w:tcPr>
          <w:tcW w:w="6804" w:type="dxa"/>
          <w:shd w:val="clear" w:color="auto" w:fill="auto"/>
        </w:tcPr>
        <w:p w:rsidR="00F63048" w:rsidRDefault="00F63048">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6662" w:type="dxa"/>
            <w:tblInd w:w="40" w:type="dxa"/>
            <w:tblLayout w:type="fixed"/>
            <w:tblLook w:val="0400" w:firstRow="0" w:lastRow="0" w:firstColumn="0" w:lastColumn="0" w:noHBand="0" w:noVBand="1"/>
          </w:tblPr>
          <w:tblGrid>
            <w:gridCol w:w="2444"/>
            <w:gridCol w:w="4218"/>
          </w:tblGrid>
          <w:tr w:rsidR="00F63048">
            <w:trPr>
              <w:trHeight w:val="144"/>
            </w:trPr>
            <w:tc>
              <w:tcPr>
                <w:tcW w:w="2444" w:type="dxa"/>
                <w:shd w:val="clear" w:color="auto" w:fill="auto"/>
              </w:tcPr>
              <w:p w:rsidR="00F63048" w:rsidRDefault="00EF0524">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F63048" w:rsidRDefault="00EF0524">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00348/INFOEM/IP/RR/2025</w:t>
                </w:r>
              </w:p>
            </w:tc>
          </w:tr>
          <w:tr w:rsidR="00F63048">
            <w:trPr>
              <w:trHeight w:val="144"/>
            </w:trPr>
            <w:tc>
              <w:tcPr>
                <w:tcW w:w="2444" w:type="dxa"/>
                <w:shd w:val="clear" w:color="auto" w:fill="auto"/>
              </w:tcPr>
              <w:p w:rsidR="00F63048" w:rsidRDefault="00EF052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F63048" w:rsidRDefault="003C79EA">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F63048">
            <w:trPr>
              <w:trHeight w:val="283"/>
            </w:trPr>
            <w:tc>
              <w:tcPr>
                <w:tcW w:w="2444" w:type="dxa"/>
                <w:shd w:val="clear" w:color="auto" w:fill="auto"/>
              </w:tcPr>
              <w:p w:rsidR="00F63048" w:rsidRDefault="00EF052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F63048" w:rsidRDefault="00EF0524">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Público Descentralizado para la Prestación de Los Servicios de Agua Potable Alcantarillado y Saneamiento del Municipio de Tlalnepantla de Baz</w:t>
                </w:r>
              </w:p>
            </w:tc>
          </w:tr>
          <w:tr w:rsidR="00F63048">
            <w:trPr>
              <w:trHeight w:val="283"/>
            </w:trPr>
            <w:tc>
              <w:tcPr>
                <w:tcW w:w="2444" w:type="dxa"/>
                <w:shd w:val="clear" w:color="auto" w:fill="auto"/>
              </w:tcPr>
              <w:p w:rsidR="00F63048" w:rsidRDefault="00EF052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rsidR="00F63048" w:rsidRDefault="00EF0524">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F63048" w:rsidRDefault="00F63048">
                <w:pPr>
                  <w:tabs>
                    <w:tab w:val="right" w:pos="8838"/>
                  </w:tabs>
                  <w:ind w:left="-74" w:right="-105"/>
                  <w:jc w:val="both"/>
                  <w:rPr>
                    <w:rFonts w:ascii="Palatino Linotype" w:eastAsia="Palatino Linotype" w:hAnsi="Palatino Linotype" w:cs="Palatino Linotype"/>
                    <w:b/>
                    <w:sz w:val="22"/>
                    <w:szCs w:val="22"/>
                  </w:rPr>
                </w:pPr>
              </w:p>
            </w:tc>
          </w:tr>
        </w:tbl>
        <w:p w:rsidR="00F63048" w:rsidRDefault="00F63048">
          <w:pPr>
            <w:tabs>
              <w:tab w:val="right" w:pos="8838"/>
            </w:tabs>
            <w:ind w:left="-28"/>
            <w:jc w:val="both"/>
            <w:rPr>
              <w:rFonts w:ascii="Arial" w:eastAsia="Arial" w:hAnsi="Arial" w:cs="Arial"/>
              <w:b/>
              <w:sz w:val="22"/>
              <w:szCs w:val="22"/>
            </w:rPr>
          </w:pPr>
        </w:p>
      </w:tc>
    </w:tr>
  </w:tbl>
  <w:p w:rsidR="00F63048" w:rsidRDefault="00F67866">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83839"/>
    <w:multiLevelType w:val="multilevel"/>
    <w:tmpl w:val="6636A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123BE8"/>
    <w:multiLevelType w:val="multilevel"/>
    <w:tmpl w:val="F90CEC1A"/>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48"/>
    <w:rsid w:val="000C5523"/>
    <w:rsid w:val="001D347D"/>
    <w:rsid w:val="00251535"/>
    <w:rsid w:val="003C79EA"/>
    <w:rsid w:val="008E1DEA"/>
    <w:rsid w:val="00DC3856"/>
    <w:rsid w:val="00DC4D0C"/>
    <w:rsid w:val="00E049F3"/>
    <w:rsid w:val="00EF0524"/>
    <w:rsid w:val="00F63048"/>
    <w:rsid w:val="00F678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97992B3-8021-4039-80AB-008BCADB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ACE"/>
  </w:style>
  <w:style w:type="paragraph" w:styleId="Ttulo1">
    <w:name w:val="heading 1"/>
    <w:basedOn w:val="Normal"/>
    <w:next w:val="Normal"/>
    <w:link w:val="Ttulo1Car"/>
    <w:uiPriority w:val="9"/>
    <w:qFormat/>
    <w:rsid w:val="00CF6A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F6ACE"/>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CF6ACE"/>
    <w:pPr>
      <w:tabs>
        <w:tab w:val="center" w:pos="4419"/>
        <w:tab w:val="right" w:pos="8838"/>
      </w:tabs>
    </w:pPr>
  </w:style>
  <w:style w:type="character" w:customStyle="1" w:styleId="EncabezadoCar">
    <w:name w:val="Encabezado Car"/>
    <w:basedOn w:val="Fuentedeprrafopredeter"/>
    <w:link w:val="Encabezado"/>
    <w:uiPriority w:val="99"/>
    <w:rsid w:val="00CF6AC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F6ACE"/>
    <w:pPr>
      <w:tabs>
        <w:tab w:val="center" w:pos="4419"/>
        <w:tab w:val="right" w:pos="8838"/>
      </w:tabs>
    </w:pPr>
  </w:style>
  <w:style w:type="character" w:customStyle="1" w:styleId="PiedepginaCar">
    <w:name w:val="Pie de página Car"/>
    <w:basedOn w:val="Fuentedeprrafopredeter"/>
    <w:link w:val="Piedepgina"/>
    <w:uiPriority w:val="99"/>
    <w:rsid w:val="00CF6AC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F6AC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F6AC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F6ACE"/>
    <w:rPr>
      <w:color w:val="0563C1"/>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uiPriority w:val="99"/>
    <w:unhideWhenUsed/>
    <w:qFormat/>
    <w:rsid w:val="00CF6ACE"/>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CF6ACE"/>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qFormat/>
    <w:rsid w:val="00CF6ACE"/>
    <w:rPr>
      <w:rFonts w:ascii="Calibri" w:eastAsia="Calibri" w:hAnsi="Calibri" w:cs="Times New Roman"/>
      <w:sz w:val="24"/>
      <w:szCs w:val="24"/>
    </w:rPr>
  </w:style>
  <w:style w:type="paragraph" w:styleId="Sinespaciado">
    <w:name w:val="No Spacing"/>
    <w:aliases w:val="Francesa,INAI"/>
    <w:link w:val="SinespaciadoCar"/>
    <w:uiPriority w:val="1"/>
    <w:qFormat/>
    <w:rsid w:val="00CF6ACE"/>
    <w:rPr>
      <w:lang w:eastAsia="es-ES"/>
    </w:rPr>
  </w:style>
  <w:style w:type="character" w:customStyle="1" w:styleId="SinespaciadoCar">
    <w:name w:val="Sin espaciado Car"/>
    <w:aliases w:val="Francesa Car,INAI Car"/>
    <w:link w:val="Sinespaciado"/>
    <w:uiPriority w:val="1"/>
    <w:locked/>
    <w:rsid w:val="00CF6ACE"/>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41768.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oR5T4ZS/HWWfSucqcr8dZEKGA==">CgMxLjAyDmguYzU2dXJ3bXJ0MmFiMg5oLjExcjkxdnJyNzZ0dzIOaC5qcGl0NTUza3BoMWUyDmgubWpqYTIxc3RmYXowMg5oLjMzemx1Z2s5OGp3YTIOaC5tZ2R5NXprcXcycGwyDmguNGxoZ2E5ODMxZDl2Mg5oLmNxeTJ5dzVqNHA3cjgAciExajRNcmFzUVZqcXB1cnRPMGtQWFlwY2d3OXJwc1N1WU8=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2965</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7</cp:revision>
  <cp:lastPrinted>2025-03-27T16:15:00Z</cp:lastPrinted>
  <dcterms:created xsi:type="dcterms:W3CDTF">2025-03-20T18:19:00Z</dcterms:created>
  <dcterms:modified xsi:type="dcterms:W3CDTF">2025-04-01T23:34:00Z</dcterms:modified>
</cp:coreProperties>
</file>