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FD2CD" w14:textId="6F9C012E" w:rsidR="00CF7DC1" w:rsidRPr="00A70BA6" w:rsidRDefault="008E39FE">
      <w:pPr>
        <w:spacing w:line="360" w:lineRule="auto"/>
        <w:jc w:val="both"/>
        <w:rPr>
          <w:rFonts w:ascii="Palatino Linotype" w:eastAsia="Palatino Linotype" w:hAnsi="Palatino Linotype" w:cs="Palatino Linotype"/>
          <w:sz w:val="22"/>
          <w:szCs w:val="22"/>
        </w:rPr>
      </w:pPr>
      <w:r w:rsidRPr="00A70BA6">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A31790" w:rsidRPr="00A70BA6">
        <w:rPr>
          <w:rFonts w:ascii="Palatino Linotype" w:eastAsia="Palatino Linotype" w:hAnsi="Palatino Linotype" w:cs="Palatino Linotype"/>
          <w:b/>
          <w:sz w:val="22"/>
          <w:szCs w:val="22"/>
        </w:rPr>
        <w:t>dieciocho</w:t>
      </w:r>
      <w:r w:rsidRPr="00A70BA6">
        <w:rPr>
          <w:rFonts w:ascii="Palatino Linotype" w:eastAsia="Palatino Linotype" w:hAnsi="Palatino Linotype" w:cs="Palatino Linotype"/>
          <w:b/>
          <w:sz w:val="22"/>
          <w:szCs w:val="22"/>
        </w:rPr>
        <w:t xml:space="preserve"> de </w:t>
      </w:r>
      <w:r w:rsidR="000B0D90" w:rsidRPr="00A70BA6">
        <w:rPr>
          <w:rFonts w:ascii="Palatino Linotype" w:eastAsia="Palatino Linotype" w:hAnsi="Palatino Linotype" w:cs="Palatino Linotype"/>
          <w:b/>
          <w:sz w:val="22"/>
          <w:szCs w:val="22"/>
        </w:rPr>
        <w:t>septiembre</w:t>
      </w:r>
      <w:r w:rsidRPr="00A70BA6">
        <w:rPr>
          <w:rFonts w:ascii="Palatino Linotype" w:eastAsia="Palatino Linotype" w:hAnsi="Palatino Linotype" w:cs="Palatino Linotype"/>
          <w:b/>
          <w:sz w:val="22"/>
          <w:szCs w:val="22"/>
        </w:rPr>
        <w:t xml:space="preserve"> de dos mil veinticinco</w:t>
      </w:r>
      <w:r w:rsidRPr="00A70BA6">
        <w:rPr>
          <w:rFonts w:ascii="Palatino Linotype" w:eastAsia="Palatino Linotype" w:hAnsi="Palatino Linotype" w:cs="Palatino Linotype"/>
          <w:sz w:val="22"/>
          <w:szCs w:val="22"/>
        </w:rPr>
        <w:t xml:space="preserve">.  </w:t>
      </w:r>
    </w:p>
    <w:p w14:paraId="1A670A52" w14:textId="77777777" w:rsidR="00CF7DC1" w:rsidRPr="00A70BA6" w:rsidRDefault="00CF7DC1">
      <w:pPr>
        <w:spacing w:line="360" w:lineRule="auto"/>
        <w:jc w:val="both"/>
        <w:rPr>
          <w:rFonts w:ascii="Palatino Linotype" w:eastAsia="Palatino Linotype" w:hAnsi="Palatino Linotype" w:cs="Palatino Linotype"/>
          <w:sz w:val="22"/>
          <w:szCs w:val="22"/>
        </w:rPr>
      </w:pPr>
    </w:p>
    <w:p w14:paraId="7E03AB66" w14:textId="33F4175B" w:rsidR="00CF7DC1" w:rsidRPr="00A70BA6" w:rsidRDefault="008E39FE">
      <w:pPr>
        <w:spacing w:line="360" w:lineRule="auto"/>
        <w:jc w:val="both"/>
        <w:rPr>
          <w:rFonts w:ascii="Palatino Linotype" w:eastAsia="Palatino Linotype" w:hAnsi="Palatino Linotype" w:cs="Palatino Linotype"/>
          <w:sz w:val="22"/>
          <w:szCs w:val="22"/>
        </w:rPr>
      </w:pPr>
      <w:r w:rsidRPr="00A70BA6">
        <w:rPr>
          <w:rFonts w:ascii="Palatino Linotype" w:eastAsia="Palatino Linotype" w:hAnsi="Palatino Linotype" w:cs="Palatino Linotype"/>
          <w:b/>
          <w:sz w:val="22"/>
          <w:szCs w:val="22"/>
        </w:rPr>
        <w:t>Visto</w:t>
      </w:r>
      <w:r w:rsidRPr="00A70BA6">
        <w:rPr>
          <w:rFonts w:ascii="Palatino Linotype" w:eastAsia="Palatino Linotype" w:hAnsi="Palatino Linotype" w:cs="Palatino Linotype"/>
          <w:sz w:val="22"/>
          <w:szCs w:val="22"/>
        </w:rPr>
        <w:t xml:space="preserve"> el expediente relativo al recurso de revisión </w:t>
      </w:r>
      <w:r w:rsidR="000B0D90" w:rsidRPr="00A70BA6">
        <w:rPr>
          <w:rFonts w:ascii="Palatino Linotype" w:eastAsia="Palatino Linotype" w:hAnsi="Palatino Linotype" w:cs="Palatino Linotype"/>
          <w:b/>
          <w:sz w:val="22"/>
          <w:szCs w:val="22"/>
        </w:rPr>
        <w:t>0</w:t>
      </w:r>
      <w:r w:rsidR="00A31790" w:rsidRPr="00A70BA6">
        <w:rPr>
          <w:rFonts w:ascii="Palatino Linotype" w:eastAsia="Palatino Linotype" w:hAnsi="Palatino Linotype" w:cs="Palatino Linotype"/>
          <w:b/>
          <w:sz w:val="22"/>
          <w:szCs w:val="22"/>
        </w:rPr>
        <w:t>5154</w:t>
      </w:r>
      <w:r w:rsidR="000B0D90" w:rsidRPr="00A70BA6">
        <w:rPr>
          <w:rFonts w:ascii="Palatino Linotype" w:eastAsia="Palatino Linotype" w:hAnsi="Palatino Linotype" w:cs="Palatino Linotype"/>
          <w:b/>
          <w:sz w:val="22"/>
          <w:szCs w:val="22"/>
        </w:rPr>
        <w:t>/INFOEM/IP/RR/2025</w:t>
      </w:r>
      <w:r w:rsidRPr="00A70BA6">
        <w:rPr>
          <w:rFonts w:ascii="Palatino Linotype" w:eastAsia="Palatino Linotype" w:hAnsi="Palatino Linotype" w:cs="Palatino Linotype"/>
          <w:sz w:val="22"/>
          <w:szCs w:val="22"/>
        </w:rPr>
        <w:t xml:space="preserve">, interpuesto por </w:t>
      </w:r>
      <w:r w:rsidR="000B0D90" w:rsidRPr="00A70BA6">
        <w:rPr>
          <w:rFonts w:ascii="Palatino Linotype" w:eastAsia="Palatino Linotype" w:hAnsi="Palatino Linotype" w:cs="Palatino Linotype"/>
          <w:b/>
          <w:sz w:val="22"/>
          <w:szCs w:val="22"/>
        </w:rPr>
        <w:t xml:space="preserve">Un Usuario que no proporcionó su nombre, </w:t>
      </w:r>
      <w:r w:rsidRPr="00A70BA6">
        <w:rPr>
          <w:rFonts w:ascii="Palatino Linotype" w:eastAsia="Palatino Linotype" w:hAnsi="Palatino Linotype" w:cs="Palatino Linotype"/>
          <w:sz w:val="22"/>
          <w:szCs w:val="22"/>
        </w:rPr>
        <w:t>en lo sucesivo se le denominará la parte</w:t>
      </w:r>
      <w:r w:rsidRPr="00A70BA6">
        <w:rPr>
          <w:rFonts w:ascii="Palatino Linotype" w:eastAsia="Palatino Linotype" w:hAnsi="Palatino Linotype" w:cs="Palatino Linotype"/>
          <w:b/>
          <w:sz w:val="22"/>
          <w:szCs w:val="22"/>
        </w:rPr>
        <w:t xml:space="preserve"> RECURRENTE</w:t>
      </w:r>
      <w:r w:rsidRPr="00A70BA6">
        <w:rPr>
          <w:rFonts w:ascii="Palatino Linotype" w:eastAsia="Palatino Linotype" w:hAnsi="Palatino Linotype" w:cs="Palatino Linotype"/>
          <w:sz w:val="22"/>
          <w:szCs w:val="22"/>
        </w:rPr>
        <w:t>, en contra de la respuesta a su solicitud de información con número de folio</w:t>
      </w:r>
      <w:r w:rsidRPr="00A70BA6">
        <w:rPr>
          <w:rFonts w:ascii="Palatino Linotype" w:eastAsia="Palatino Linotype" w:hAnsi="Palatino Linotype" w:cs="Palatino Linotype"/>
          <w:b/>
          <w:sz w:val="22"/>
          <w:szCs w:val="22"/>
        </w:rPr>
        <w:t xml:space="preserve"> </w:t>
      </w:r>
      <w:r w:rsidR="006A05C4" w:rsidRPr="00A70BA6">
        <w:rPr>
          <w:rFonts w:ascii="Palatino Linotype" w:eastAsia="Palatino Linotype" w:hAnsi="Palatino Linotype" w:cs="Palatino Linotype"/>
          <w:b/>
          <w:sz w:val="22"/>
          <w:szCs w:val="22"/>
        </w:rPr>
        <w:t>00</w:t>
      </w:r>
      <w:r w:rsidR="00A31790" w:rsidRPr="00A70BA6">
        <w:rPr>
          <w:rFonts w:ascii="Palatino Linotype" w:eastAsia="Palatino Linotype" w:hAnsi="Palatino Linotype" w:cs="Palatino Linotype"/>
          <w:b/>
          <w:sz w:val="22"/>
          <w:szCs w:val="22"/>
        </w:rPr>
        <w:t>262</w:t>
      </w:r>
      <w:r w:rsidR="006A05C4" w:rsidRPr="00A70BA6">
        <w:rPr>
          <w:rFonts w:ascii="Palatino Linotype" w:eastAsia="Palatino Linotype" w:hAnsi="Palatino Linotype" w:cs="Palatino Linotype"/>
          <w:b/>
          <w:sz w:val="22"/>
          <w:szCs w:val="22"/>
        </w:rPr>
        <w:t>/</w:t>
      </w:r>
      <w:r w:rsidR="00A31790" w:rsidRPr="00A70BA6">
        <w:rPr>
          <w:rFonts w:ascii="Palatino Linotype" w:eastAsia="Palatino Linotype" w:hAnsi="Palatino Linotype" w:cs="Palatino Linotype"/>
          <w:b/>
          <w:sz w:val="22"/>
          <w:szCs w:val="22"/>
        </w:rPr>
        <w:t>ZINACANT</w:t>
      </w:r>
      <w:r w:rsidR="006A05C4" w:rsidRPr="00A70BA6">
        <w:rPr>
          <w:rFonts w:ascii="Palatino Linotype" w:eastAsia="Palatino Linotype" w:hAnsi="Palatino Linotype" w:cs="Palatino Linotype"/>
          <w:b/>
          <w:sz w:val="22"/>
          <w:szCs w:val="22"/>
        </w:rPr>
        <w:t>/IP/2025</w:t>
      </w:r>
      <w:r w:rsidRPr="00A70BA6">
        <w:rPr>
          <w:rFonts w:ascii="Palatino Linotype" w:eastAsia="Palatino Linotype" w:hAnsi="Palatino Linotype" w:cs="Palatino Linotype"/>
          <w:sz w:val="22"/>
          <w:szCs w:val="22"/>
        </w:rPr>
        <w:t xml:space="preserve">, por parte del </w:t>
      </w:r>
      <w:r w:rsidR="00A31790" w:rsidRPr="00A70BA6">
        <w:rPr>
          <w:rFonts w:ascii="Palatino Linotype" w:eastAsia="Palatino Linotype" w:hAnsi="Palatino Linotype" w:cs="Palatino Linotype"/>
          <w:b/>
          <w:sz w:val="22"/>
          <w:szCs w:val="22"/>
        </w:rPr>
        <w:t>Ayuntamiento de Zinacantepec</w:t>
      </w:r>
      <w:r w:rsidR="0024638C" w:rsidRPr="00A70BA6">
        <w:rPr>
          <w:rFonts w:ascii="Palatino Linotype" w:eastAsia="Palatino Linotype" w:hAnsi="Palatino Linotype" w:cs="Palatino Linotype"/>
          <w:sz w:val="22"/>
          <w:szCs w:val="22"/>
        </w:rPr>
        <w:t xml:space="preserve"> </w:t>
      </w:r>
      <w:r w:rsidRPr="00A70BA6">
        <w:rPr>
          <w:rFonts w:ascii="Palatino Linotype" w:eastAsia="Palatino Linotype" w:hAnsi="Palatino Linotype" w:cs="Palatino Linotype"/>
          <w:sz w:val="22"/>
          <w:szCs w:val="22"/>
        </w:rPr>
        <w:t xml:space="preserve">en lo sucesivo el </w:t>
      </w:r>
      <w:r w:rsidRPr="00A70BA6">
        <w:rPr>
          <w:rFonts w:ascii="Palatino Linotype" w:eastAsia="Palatino Linotype" w:hAnsi="Palatino Linotype" w:cs="Palatino Linotype"/>
          <w:b/>
          <w:sz w:val="22"/>
          <w:szCs w:val="22"/>
        </w:rPr>
        <w:t>SUJETO OBLIGADO</w:t>
      </w:r>
      <w:r w:rsidRPr="00A70BA6">
        <w:rPr>
          <w:rFonts w:ascii="Palatino Linotype" w:eastAsia="Palatino Linotype" w:hAnsi="Palatino Linotype" w:cs="Palatino Linotype"/>
          <w:sz w:val="22"/>
          <w:szCs w:val="22"/>
        </w:rPr>
        <w:t>;</w:t>
      </w:r>
      <w:r w:rsidRPr="00A70BA6">
        <w:rPr>
          <w:rFonts w:ascii="Palatino Linotype" w:eastAsia="Palatino Linotype" w:hAnsi="Palatino Linotype" w:cs="Palatino Linotype"/>
          <w:b/>
          <w:sz w:val="22"/>
          <w:szCs w:val="22"/>
        </w:rPr>
        <w:t xml:space="preserve"> </w:t>
      </w:r>
      <w:r w:rsidRPr="00A70BA6">
        <w:rPr>
          <w:rFonts w:ascii="Palatino Linotype" w:eastAsia="Palatino Linotype" w:hAnsi="Palatino Linotype" w:cs="Palatino Linotype"/>
          <w:sz w:val="22"/>
          <w:szCs w:val="22"/>
        </w:rPr>
        <w:t>se procede a dictar la presente resolución, con base en los siguientes:</w:t>
      </w:r>
    </w:p>
    <w:p w14:paraId="6DD3706C" w14:textId="77777777" w:rsidR="00CF7DC1" w:rsidRPr="00A70BA6" w:rsidRDefault="00CF7DC1">
      <w:pPr>
        <w:spacing w:line="360" w:lineRule="auto"/>
        <w:jc w:val="both"/>
        <w:rPr>
          <w:rFonts w:ascii="Palatino Linotype" w:eastAsia="Palatino Linotype" w:hAnsi="Palatino Linotype" w:cs="Palatino Linotype"/>
          <w:sz w:val="22"/>
          <w:szCs w:val="22"/>
        </w:rPr>
      </w:pPr>
    </w:p>
    <w:p w14:paraId="638CCF8D" w14:textId="77777777" w:rsidR="00CF7DC1" w:rsidRPr="00A70BA6" w:rsidRDefault="008E39FE">
      <w:pPr>
        <w:numPr>
          <w:ilvl w:val="0"/>
          <w:numId w:val="2"/>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A70BA6">
        <w:rPr>
          <w:rFonts w:ascii="Palatino Linotype" w:eastAsia="Palatino Linotype" w:hAnsi="Palatino Linotype" w:cs="Palatino Linotype"/>
          <w:b/>
          <w:sz w:val="22"/>
          <w:szCs w:val="22"/>
        </w:rPr>
        <w:t>A N T E C E D E N T E S:</w:t>
      </w:r>
    </w:p>
    <w:p w14:paraId="2C0338DA" w14:textId="77777777" w:rsidR="00CF7DC1" w:rsidRPr="00A70BA6" w:rsidRDefault="00CF7DC1">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12A8DADD" w14:textId="45D8EC3A" w:rsidR="00CF7DC1" w:rsidRPr="00A70BA6" w:rsidRDefault="008E39FE">
      <w:pPr>
        <w:numPr>
          <w:ilvl w:val="1"/>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A70BA6">
        <w:rPr>
          <w:rFonts w:ascii="Palatino Linotype" w:eastAsia="Palatino Linotype" w:hAnsi="Palatino Linotype" w:cs="Palatino Linotype"/>
          <w:b/>
          <w:sz w:val="22"/>
          <w:szCs w:val="22"/>
        </w:rPr>
        <w:t xml:space="preserve">Solicitud de acceso a la información. </w:t>
      </w:r>
      <w:r w:rsidRPr="00A70BA6">
        <w:rPr>
          <w:rFonts w:ascii="Palatino Linotype" w:eastAsia="Palatino Linotype" w:hAnsi="Palatino Linotype" w:cs="Palatino Linotype"/>
          <w:sz w:val="22"/>
          <w:szCs w:val="22"/>
        </w:rPr>
        <w:t xml:space="preserve">Con fecha </w:t>
      </w:r>
      <w:r w:rsidR="00A31790" w:rsidRPr="00A70BA6">
        <w:rPr>
          <w:rFonts w:ascii="Palatino Linotype" w:eastAsia="Palatino Linotype" w:hAnsi="Palatino Linotype" w:cs="Palatino Linotype"/>
          <w:b/>
          <w:sz w:val="22"/>
          <w:szCs w:val="22"/>
        </w:rPr>
        <w:t>ocho</w:t>
      </w:r>
      <w:r w:rsidR="0024638C" w:rsidRPr="00A70BA6">
        <w:rPr>
          <w:rFonts w:ascii="Palatino Linotype" w:eastAsia="Palatino Linotype" w:hAnsi="Palatino Linotype" w:cs="Palatino Linotype"/>
          <w:b/>
          <w:sz w:val="22"/>
          <w:szCs w:val="22"/>
        </w:rPr>
        <w:t xml:space="preserve"> </w:t>
      </w:r>
      <w:r w:rsidRPr="00A70BA6">
        <w:rPr>
          <w:rFonts w:ascii="Palatino Linotype" w:eastAsia="Palatino Linotype" w:hAnsi="Palatino Linotype" w:cs="Palatino Linotype"/>
          <w:b/>
          <w:sz w:val="22"/>
          <w:szCs w:val="22"/>
        </w:rPr>
        <w:t xml:space="preserve">de </w:t>
      </w:r>
      <w:r w:rsidR="00A31790" w:rsidRPr="00A70BA6">
        <w:rPr>
          <w:rFonts w:ascii="Palatino Linotype" w:eastAsia="Palatino Linotype" w:hAnsi="Palatino Linotype" w:cs="Palatino Linotype"/>
          <w:b/>
          <w:sz w:val="22"/>
          <w:szCs w:val="22"/>
        </w:rPr>
        <w:t>abril</w:t>
      </w:r>
      <w:r w:rsidRPr="00A70BA6">
        <w:rPr>
          <w:rFonts w:ascii="Palatino Linotype" w:eastAsia="Palatino Linotype" w:hAnsi="Palatino Linotype" w:cs="Palatino Linotype"/>
          <w:b/>
          <w:sz w:val="22"/>
          <w:szCs w:val="22"/>
        </w:rPr>
        <w:t xml:space="preserve"> de dos mil veinticinco</w:t>
      </w:r>
      <w:r w:rsidRPr="00A70BA6">
        <w:rPr>
          <w:rFonts w:ascii="Palatino Linotype" w:eastAsia="Palatino Linotype" w:hAnsi="Palatino Linotype" w:cs="Palatino Linotype"/>
          <w:sz w:val="22"/>
          <w:szCs w:val="22"/>
        </w:rPr>
        <w:t xml:space="preserve">, la parte </w:t>
      </w:r>
      <w:r w:rsidRPr="00A70BA6">
        <w:rPr>
          <w:rFonts w:ascii="Palatino Linotype" w:eastAsia="Palatino Linotype" w:hAnsi="Palatino Linotype" w:cs="Palatino Linotype"/>
          <w:b/>
          <w:sz w:val="22"/>
          <w:szCs w:val="22"/>
        </w:rPr>
        <w:t>RECURRENTE</w:t>
      </w:r>
      <w:r w:rsidRPr="00A70BA6">
        <w:rPr>
          <w:rFonts w:ascii="Palatino Linotype" w:eastAsia="Palatino Linotype" w:hAnsi="Palatino Linotype" w:cs="Palatino Linotype"/>
          <w:sz w:val="22"/>
          <w:szCs w:val="22"/>
        </w:rPr>
        <w:t xml:space="preserve"> formuló solicitud de acceso a información pública al </w:t>
      </w:r>
      <w:r w:rsidRPr="00A70BA6">
        <w:rPr>
          <w:rFonts w:ascii="Palatino Linotype" w:eastAsia="Palatino Linotype" w:hAnsi="Palatino Linotype" w:cs="Palatino Linotype"/>
          <w:b/>
          <w:sz w:val="22"/>
          <w:szCs w:val="22"/>
        </w:rPr>
        <w:t>SUJETO OBLIGADO</w:t>
      </w:r>
      <w:r w:rsidRPr="00A70BA6">
        <w:rPr>
          <w:rFonts w:ascii="Palatino Linotype" w:eastAsia="Palatino Linotype" w:hAnsi="Palatino Linotype" w:cs="Palatino Linotype"/>
          <w:sz w:val="22"/>
          <w:szCs w:val="22"/>
        </w:rPr>
        <w:t xml:space="preserve"> a través del Sistema de Acceso a la Información Mexiquense, en adelante </w:t>
      </w:r>
      <w:r w:rsidRPr="00A70BA6">
        <w:rPr>
          <w:rFonts w:ascii="Palatino Linotype" w:eastAsia="Palatino Linotype" w:hAnsi="Palatino Linotype" w:cs="Palatino Linotype"/>
          <w:b/>
          <w:sz w:val="22"/>
          <w:szCs w:val="22"/>
        </w:rPr>
        <w:t>SAIMEX</w:t>
      </w:r>
      <w:r w:rsidRPr="00A70BA6">
        <w:rPr>
          <w:rFonts w:ascii="Palatino Linotype" w:eastAsia="Palatino Linotype" w:hAnsi="Palatino Linotype" w:cs="Palatino Linotype"/>
          <w:sz w:val="22"/>
          <w:szCs w:val="22"/>
        </w:rPr>
        <w:t>, requiriéndole lo siguiente:</w:t>
      </w:r>
    </w:p>
    <w:p w14:paraId="403E62F3" w14:textId="77777777" w:rsidR="0024638C" w:rsidRPr="00A70BA6" w:rsidRDefault="0024638C" w:rsidP="0024638C">
      <w:pPr>
        <w:spacing w:line="360" w:lineRule="auto"/>
        <w:ind w:left="709" w:right="900"/>
        <w:jc w:val="both"/>
        <w:rPr>
          <w:rFonts w:ascii="Palatino Linotype" w:eastAsia="Palatino Linotype" w:hAnsi="Palatino Linotype" w:cs="Palatino Linotype"/>
          <w:i/>
          <w:sz w:val="22"/>
          <w:szCs w:val="22"/>
        </w:rPr>
      </w:pPr>
    </w:p>
    <w:p w14:paraId="5AEE7EE5" w14:textId="2DEB4A48" w:rsidR="00CF7DC1" w:rsidRPr="00A70BA6" w:rsidRDefault="0024638C" w:rsidP="0024638C">
      <w:pPr>
        <w:spacing w:line="360" w:lineRule="auto"/>
        <w:ind w:left="709" w:right="900"/>
        <w:jc w:val="both"/>
        <w:rPr>
          <w:rFonts w:ascii="Palatino Linotype" w:eastAsia="Palatino Linotype" w:hAnsi="Palatino Linotype" w:cs="Palatino Linotype"/>
          <w:b/>
          <w:i/>
          <w:sz w:val="22"/>
          <w:szCs w:val="22"/>
        </w:rPr>
      </w:pPr>
      <w:r w:rsidRPr="00A70BA6">
        <w:rPr>
          <w:rFonts w:ascii="Palatino Linotype" w:eastAsia="Palatino Linotype" w:hAnsi="Palatino Linotype" w:cs="Palatino Linotype"/>
          <w:i/>
          <w:sz w:val="22"/>
          <w:szCs w:val="22"/>
        </w:rPr>
        <w:t>“</w:t>
      </w:r>
      <w:r w:rsidR="00A31790" w:rsidRPr="00A70BA6">
        <w:rPr>
          <w:rFonts w:ascii="Palatino Linotype" w:eastAsia="Palatino Linotype" w:hAnsi="Palatino Linotype" w:cs="Palatino Linotype"/>
          <w:i/>
          <w:sz w:val="22"/>
          <w:szCs w:val="22"/>
        </w:rPr>
        <w:t xml:space="preserve">informes sobre la gestión y destino de recursos destinados a programas de salud pública, incluyendo auditorías, evaluaciones de eficacia y resultados </w:t>
      </w:r>
      <w:proofErr w:type="gramStart"/>
      <w:r w:rsidR="00A31790" w:rsidRPr="00A70BA6">
        <w:rPr>
          <w:rFonts w:ascii="Palatino Linotype" w:eastAsia="Palatino Linotype" w:hAnsi="Palatino Linotype" w:cs="Palatino Linotype"/>
          <w:i/>
          <w:sz w:val="22"/>
          <w:szCs w:val="22"/>
        </w:rPr>
        <w:t>obtenidos.</w:t>
      </w:r>
      <w:r w:rsidR="006A05C4" w:rsidRPr="00A70BA6">
        <w:rPr>
          <w:rFonts w:ascii="Palatino Linotype" w:eastAsia="Palatino Linotype" w:hAnsi="Palatino Linotype" w:cs="Palatino Linotype"/>
          <w:i/>
          <w:sz w:val="22"/>
          <w:szCs w:val="22"/>
        </w:rPr>
        <w:t>.</w:t>
      </w:r>
      <w:proofErr w:type="gramEnd"/>
      <w:r w:rsidRPr="00A70BA6">
        <w:rPr>
          <w:rFonts w:ascii="Palatino Linotype" w:eastAsia="Palatino Linotype" w:hAnsi="Palatino Linotype" w:cs="Palatino Linotype"/>
          <w:i/>
          <w:sz w:val="22"/>
          <w:szCs w:val="22"/>
        </w:rPr>
        <w:t xml:space="preserve">”(Sic) </w:t>
      </w:r>
    </w:p>
    <w:p w14:paraId="6713D136" w14:textId="77777777" w:rsidR="0024638C" w:rsidRPr="00A70BA6" w:rsidRDefault="0024638C">
      <w:pPr>
        <w:spacing w:line="360" w:lineRule="auto"/>
        <w:jc w:val="both"/>
        <w:rPr>
          <w:rFonts w:ascii="Palatino Linotype" w:eastAsia="Palatino Linotype" w:hAnsi="Palatino Linotype" w:cs="Palatino Linotype"/>
          <w:b/>
          <w:sz w:val="22"/>
          <w:szCs w:val="22"/>
        </w:rPr>
      </w:pPr>
    </w:p>
    <w:p w14:paraId="0A86FC59" w14:textId="7BD6CD3B" w:rsidR="00CF7DC1" w:rsidRPr="00A70BA6" w:rsidRDefault="008E39FE">
      <w:pPr>
        <w:spacing w:line="360" w:lineRule="auto"/>
        <w:jc w:val="both"/>
        <w:rPr>
          <w:rFonts w:ascii="Palatino Linotype" w:eastAsia="Palatino Linotype" w:hAnsi="Palatino Linotype" w:cs="Palatino Linotype"/>
          <w:strike/>
          <w:sz w:val="22"/>
          <w:szCs w:val="22"/>
        </w:rPr>
      </w:pPr>
      <w:r w:rsidRPr="00A70BA6">
        <w:rPr>
          <w:rFonts w:ascii="Palatino Linotype" w:eastAsia="Palatino Linotype" w:hAnsi="Palatino Linotype" w:cs="Palatino Linotype"/>
          <w:b/>
          <w:sz w:val="22"/>
          <w:szCs w:val="22"/>
        </w:rPr>
        <w:t xml:space="preserve">Modalidad elegida para la entrega de la información: </w:t>
      </w:r>
      <w:r w:rsidRPr="00A70BA6">
        <w:rPr>
          <w:rFonts w:ascii="Palatino Linotype" w:eastAsia="Palatino Linotype" w:hAnsi="Palatino Linotype" w:cs="Palatino Linotype"/>
          <w:sz w:val="22"/>
          <w:szCs w:val="22"/>
        </w:rPr>
        <w:t>a través del Sistema de Acceso a la Información Mexiquense</w:t>
      </w:r>
      <w:r w:rsidR="000B0D90" w:rsidRPr="00A70BA6">
        <w:rPr>
          <w:rFonts w:ascii="Palatino Linotype" w:eastAsia="Palatino Linotype" w:hAnsi="Palatino Linotype" w:cs="Palatino Linotype"/>
          <w:sz w:val="22"/>
          <w:szCs w:val="22"/>
        </w:rPr>
        <w:t xml:space="preserve"> (SAIMEX).</w:t>
      </w:r>
    </w:p>
    <w:p w14:paraId="778B9E0C" w14:textId="77777777" w:rsidR="00CF7DC1" w:rsidRPr="00A70BA6" w:rsidRDefault="00CF7DC1">
      <w:pPr>
        <w:pBdr>
          <w:top w:val="nil"/>
          <w:left w:val="nil"/>
          <w:bottom w:val="nil"/>
          <w:right w:val="nil"/>
          <w:between w:val="nil"/>
        </w:pBdr>
        <w:spacing w:line="276" w:lineRule="auto"/>
        <w:ind w:right="616"/>
        <w:jc w:val="both"/>
        <w:rPr>
          <w:rFonts w:ascii="Palatino Linotype" w:eastAsia="Palatino Linotype" w:hAnsi="Palatino Linotype" w:cs="Palatino Linotype"/>
          <w:i/>
          <w:sz w:val="22"/>
          <w:szCs w:val="22"/>
        </w:rPr>
      </w:pPr>
    </w:p>
    <w:p w14:paraId="0292846C" w14:textId="77777777" w:rsidR="00A31790" w:rsidRPr="00A70BA6" w:rsidRDefault="008E39FE">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bookmarkStart w:id="0" w:name="_heading=h.3znysh7" w:colFirst="0" w:colLast="0"/>
      <w:bookmarkEnd w:id="0"/>
      <w:r w:rsidRPr="00A70BA6">
        <w:rPr>
          <w:rFonts w:ascii="Palatino Linotype" w:eastAsia="Palatino Linotype" w:hAnsi="Palatino Linotype" w:cs="Palatino Linotype"/>
          <w:b/>
          <w:sz w:val="22"/>
          <w:szCs w:val="22"/>
        </w:rPr>
        <w:lastRenderedPageBreak/>
        <w:t xml:space="preserve">Respuesta. </w:t>
      </w:r>
      <w:r w:rsidRPr="00A70BA6">
        <w:rPr>
          <w:rFonts w:ascii="Palatino Linotype" w:eastAsia="Palatino Linotype" w:hAnsi="Palatino Linotype" w:cs="Palatino Linotype"/>
          <w:sz w:val="22"/>
          <w:szCs w:val="22"/>
        </w:rPr>
        <w:t xml:space="preserve">Con fecha </w:t>
      </w:r>
      <w:r w:rsidR="00A31790" w:rsidRPr="00A70BA6">
        <w:rPr>
          <w:rFonts w:ascii="Palatino Linotype" w:eastAsia="Palatino Linotype" w:hAnsi="Palatino Linotype" w:cs="Palatino Linotype"/>
          <w:b/>
          <w:sz w:val="22"/>
          <w:szCs w:val="22"/>
        </w:rPr>
        <w:t>veintitrés</w:t>
      </w:r>
      <w:r w:rsidRPr="00A70BA6">
        <w:rPr>
          <w:rFonts w:ascii="Palatino Linotype" w:eastAsia="Palatino Linotype" w:hAnsi="Palatino Linotype" w:cs="Palatino Linotype"/>
          <w:b/>
          <w:sz w:val="22"/>
          <w:szCs w:val="22"/>
        </w:rPr>
        <w:t xml:space="preserve"> de </w:t>
      </w:r>
      <w:r w:rsidR="00A31790" w:rsidRPr="00A70BA6">
        <w:rPr>
          <w:rFonts w:ascii="Palatino Linotype" w:eastAsia="Palatino Linotype" w:hAnsi="Palatino Linotype" w:cs="Palatino Linotype"/>
          <w:b/>
          <w:sz w:val="22"/>
          <w:szCs w:val="22"/>
        </w:rPr>
        <w:t>abril</w:t>
      </w:r>
      <w:r w:rsidRPr="00A70BA6">
        <w:rPr>
          <w:rFonts w:ascii="Palatino Linotype" w:eastAsia="Palatino Linotype" w:hAnsi="Palatino Linotype" w:cs="Palatino Linotype"/>
          <w:b/>
          <w:sz w:val="22"/>
          <w:szCs w:val="22"/>
        </w:rPr>
        <w:t xml:space="preserve"> de dos mil veinticinco</w:t>
      </w:r>
      <w:r w:rsidRPr="00A70BA6">
        <w:rPr>
          <w:rFonts w:ascii="Palatino Linotype" w:eastAsia="Palatino Linotype" w:hAnsi="Palatino Linotype" w:cs="Palatino Linotype"/>
          <w:sz w:val="22"/>
          <w:szCs w:val="22"/>
        </w:rPr>
        <w:t xml:space="preserve">, el </w:t>
      </w:r>
      <w:r w:rsidRPr="00A70BA6">
        <w:rPr>
          <w:rFonts w:ascii="Palatino Linotype" w:eastAsia="Palatino Linotype" w:hAnsi="Palatino Linotype" w:cs="Palatino Linotype"/>
          <w:b/>
          <w:sz w:val="22"/>
          <w:szCs w:val="22"/>
        </w:rPr>
        <w:t>SUJETO OBLIGADO</w:t>
      </w:r>
      <w:r w:rsidRPr="00A70BA6">
        <w:rPr>
          <w:rFonts w:ascii="Palatino Linotype" w:eastAsia="Palatino Linotype" w:hAnsi="Palatino Linotype" w:cs="Palatino Linotype"/>
          <w:sz w:val="22"/>
          <w:szCs w:val="22"/>
        </w:rPr>
        <w:t xml:space="preserve"> envió su respuesta a la solicitud de acceso a la información a través del SAIMEX,</w:t>
      </w:r>
      <w:r w:rsidR="00A31790" w:rsidRPr="00A70BA6">
        <w:rPr>
          <w:rFonts w:ascii="Palatino Linotype" w:eastAsia="Palatino Linotype" w:hAnsi="Palatino Linotype" w:cs="Palatino Linotype"/>
          <w:sz w:val="22"/>
          <w:szCs w:val="22"/>
        </w:rPr>
        <w:t xml:space="preserve"> en los siguientes términos:</w:t>
      </w:r>
    </w:p>
    <w:p w14:paraId="68AD4CF0" w14:textId="77777777" w:rsidR="00A31790" w:rsidRPr="00A70BA6" w:rsidRDefault="00A31790" w:rsidP="00A3179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C10B33A" w14:textId="0626B782" w:rsidR="00A31790" w:rsidRPr="00A70BA6" w:rsidRDefault="00A31790" w:rsidP="00A31790">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A70BA6">
        <w:rPr>
          <w:rFonts w:ascii="Palatino Linotype" w:eastAsia="Palatino Linotype" w:hAnsi="Palatino Linotype" w:cs="Palatino Linotype"/>
          <w:i/>
          <w:sz w:val="22"/>
          <w:szCs w:val="22"/>
        </w:rPr>
        <w:t>“En apego a lo establecido su solicitud fue analizada,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informo lo siguiente: La información se encuentra en posesión de otro Sujeto Obligado, mismo que cuenta con su propia Unidad de Transparencia, por tal razón en aras de garantizar el acceso a la información pública y teniendo en consideración que este Sujeto Obligado encontrándose en tiempo y forma de conformidad con el artículo 167 de la Ley de Transparencia y Acceso a la Información Pública del Estado de México y Municipios, por tal razón se le invita redirigir su solicitud dentro del siguiente enlace al siguiente Sujeto Obligado: https://saimex.org.mx/saimex/ciudadano/login.page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57B8B580" w14:textId="77777777" w:rsidR="00A31790" w:rsidRPr="00A70BA6" w:rsidRDefault="00A31790" w:rsidP="00A31790">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A70BA6">
        <w:rPr>
          <w:rFonts w:ascii="Palatino Linotype" w:eastAsia="Palatino Linotype" w:hAnsi="Palatino Linotype" w:cs="Palatino Linotype"/>
          <w:i/>
          <w:sz w:val="22"/>
          <w:szCs w:val="22"/>
        </w:rPr>
        <w:t>ATENTAMENTE</w:t>
      </w:r>
    </w:p>
    <w:p w14:paraId="5B6D8C58" w14:textId="5D6069AC" w:rsidR="00A31790" w:rsidRPr="00A70BA6" w:rsidRDefault="00A31790" w:rsidP="00A31790">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A70BA6">
        <w:rPr>
          <w:rFonts w:ascii="Palatino Linotype" w:eastAsia="Palatino Linotype" w:hAnsi="Palatino Linotype" w:cs="Palatino Linotype"/>
          <w:i/>
          <w:sz w:val="22"/>
          <w:szCs w:val="22"/>
        </w:rPr>
        <w:t>BRENDA SELENE HERNANDEZ LOPEZ”</w:t>
      </w:r>
    </w:p>
    <w:p w14:paraId="14AE0129" w14:textId="77777777" w:rsidR="00A31790" w:rsidRPr="00A70BA6" w:rsidRDefault="00A31790" w:rsidP="00A3179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2B5CB83" w14:textId="29334F6E" w:rsidR="00A31790" w:rsidRPr="00A70BA6" w:rsidRDefault="00A31790" w:rsidP="00A3179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70BA6">
        <w:rPr>
          <w:rFonts w:ascii="Palatino Linotype" w:eastAsia="Palatino Linotype" w:hAnsi="Palatino Linotype" w:cs="Palatino Linotype"/>
          <w:sz w:val="22"/>
          <w:szCs w:val="22"/>
        </w:rPr>
        <w:t xml:space="preserve">Asimismo, adjuntó el documento electrónico denominado </w:t>
      </w:r>
      <w:r w:rsidRPr="00A70BA6">
        <w:rPr>
          <w:rFonts w:ascii="Palatino Linotype" w:eastAsia="Palatino Linotype" w:hAnsi="Palatino Linotype" w:cs="Palatino Linotype"/>
          <w:b/>
          <w:sz w:val="22"/>
          <w:szCs w:val="22"/>
        </w:rPr>
        <w:t xml:space="preserve">RESPUESTA SOLICITUD 262.pdf </w:t>
      </w:r>
      <w:r w:rsidRPr="00A70BA6">
        <w:rPr>
          <w:rFonts w:ascii="Palatino Linotype" w:eastAsia="Palatino Linotype" w:hAnsi="Palatino Linotype" w:cs="Palatino Linotype"/>
          <w:sz w:val="22"/>
          <w:szCs w:val="22"/>
        </w:rPr>
        <w:t>cuyo contenido será analizado en el considerando correspondiente.</w:t>
      </w:r>
    </w:p>
    <w:p w14:paraId="0A1CE286" w14:textId="77777777" w:rsidR="00FC4D37" w:rsidRPr="00A70BA6" w:rsidRDefault="00FC4D37" w:rsidP="00A31790">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1E38F8BA" w14:textId="02905602" w:rsidR="00CF7DC1" w:rsidRPr="00A70BA6" w:rsidRDefault="008E39FE" w:rsidP="00FC4D37">
      <w:pPr>
        <w:pStyle w:val="Prrafodelista"/>
        <w:numPr>
          <w:ilvl w:val="0"/>
          <w:numId w:val="5"/>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rPr>
      </w:pPr>
      <w:r w:rsidRPr="00A70BA6">
        <w:rPr>
          <w:rFonts w:ascii="Palatino Linotype" w:eastAsia="Palatino Linotype" w:hAnsi="Palatino Linotype" w:cs="Palatino Linotype"/>
          <w:b/>
        </w:rPr>
        <w:t xml:space="preserve">Interposición del recurso de revisión. </w:t>
      </w:r>
      <w:r w:rsidRPr="00A70BA6">
        <w:rPr>
          <w:rFonts w:ascii="Palatino Linotype" w:eastAsia="Palatino Linotype" w:hAnsi="Palatino Linotype" w:cs="Palatino Linotype"/>
        </w:rPr>
        <w:t xml:space="preserve">Inconforme con la respuesta del </w:t>
      </w:r>
      <w:r w:rsidRPr="00A70BA6">
        <w:rPr>
          <w:rFonts w:ascii="Palatino Linotype" w:eastAsia="Palatino Linotype" w:hAnsi="Palatino Linotype" w:cs="Palatino Linotype"/>
          <w:b/>
        </w:rPr>
        <w:t>SUJETO OBLIGADO, la parte RECURRENTE</w:t>
      </w:r>
      <w:r w:rsidRPr="00A70BA6">
        <w:rPr>
          <w:rFonts w:ascii="Palatino Linotype" w:eastAsia="Palatino Linotype" w:hAnsi="Palatino Linotype" w:cs="Palatino Linotype"/>
        </w:rPr>
        <w:t xml:space="preserve"> interpuso recurso de revisión a través del SAIMEX en fecha </w:t>
      </w:r>
      <w:r w:rsidR="00A31790" w:rsidRPr="00A70BA6">
        <w:rPr>
          <w:rFonts w:ascii="Palatino Linotype" w:eastAsia="Palatino Linotype" w:hAnsi="Palatino Linotype" w:cs="Palatino Linotype"/>
          <w:b/>
        </w:rPr>
        <w:t>seis</w:t>
      </w:r>
      <w:r w:rsidR="00883406" w:rsidRPr="00A70BA6">
        <w:rPr>
          <w:rFonts w:ascii="Palatino Linotype" w:eastAsia="Palatino Linotype" w:hAnsi="Palatino Linotype" w:cs="Palatino Linotype"/>
          <w:b/>
        </w:rPr>
        <w:t xml:space="preserve"> de </w:t>
      </w:r>
      <w:r w:rsidR="00A31790" w:rsidRPr="00A70BA6">
        <w:rPr>
          <w:rFonts w:ascii="Palatino Linotype" w:eastAsia="Palatino Linotype" w:hAnsi="Palatino Linotype" w:cs="Palatino Linotype"/>
          <w:b/>
        </w:rPr>
        <w:t>mayo</w:t>
      </w:r>
      <w:r w:rsidR="00883406" w:rsidRPr="00A70BA6">
        <w:rPr>
          <w:rFonts w:ascii="Palatino Linotype" w:eastAsia="Palatino Linotype" w:hAnsi="Palatino Linotype" w:cs="Palatino Linotype"/>
          <w:b/>
        </w:rPr>
        <w:t xml:space="preserve"> </w:t>
      </w:r>
      <w:r w:rsidRPr="00A70BA6">
        <w:rPr>
          <w:rFonts w:ascii="Palatino Linotype" w:eastAsia="Palatino Linotype" w:hAnsi="Palatino Linotype" w:cs="Palatino Linotype"/>
          <w:b/>
        </w:rPr>
        <w:t>de dos mil veinticinco</w:t>
      </w:r>
      <w:r w:rsidRPr="00A70BA6">
        <w:rPr>
          <w:rFonts w:ascii="Palatino Linotype" w:eastAsia="Palatino Linotype" w:hAnsi="Palatino Linotype" w:cs="Palatino Linotype"/>
        </w:rPr>
        <w:t>,</w:t>
      </w:r>
      <w:r w:rsidR="00883406" w:rsidRPr="00A70BA6">
        <w:rPr>
          <w:rFonts w:ascii="Palatino Linotype" w:eastAsia="Palatino Linotype" w:hAnsi="Palatino Linotype" w:cs="Palatino Linotype"/>
        </w:rPr>
        <w:t xml:space="preserve"> </w:t>
      </w:r>
      <w:r w:rsidRPr="00A70BA6">
        <w:rPr>
          <w:rFonts w:ascii="Palatino Linotype" w:eastAsia="Palatino Linotype" w:hAnsi="Palatino Linotype" w:cs="Palatino Linotype"/>
        </w:rPr>
        <w:t>a través del cual expresó lo siguiente:</w:t>
      </w:r>
    </w:p>
    <w:p w14:paraId="0AAAB205" w14:textId="77777777" w:rsidR="00CF7DC1" w:rsidRPr="00A70BA6" w:rsidRDefault="00CF7DC1">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517C1101" w14:textId="19C8689F" w:rsidR="00CF7DC1" w:rsidRPr="00A70BA6" w:rsidRDefault="008E39FE">
      <w:pPr>
        <w:spacing w:line="276" w:lineRule="auto"/>
        <w:ind w:left="851" w:right="616"/>
        <w:jc w:val="both"/>
        <w:rPr>
          <w:rFonts w:ascii="Palatino Linotype" w:eastAsia="Palatino Linotype" w:hAnsi="Palatino Linotype" w:cs="Palatino Linotype"/>
          <w:i/>
          <w:sz w:val="22"/>
          <w:szCs w:val="22"/>
        </w:rPr>
      </w:pPr>
      <w:r w:rsidRPr="00A70BA6">
        <w:rPr>
          <w:rFonts w:ascii="Palatino Linotype" w:eastAsia="Palatino Linotype" w:hAnsi="Palatino Linotype" w:cs="Palatino Linotype"/>
          <w:b/>
          <w:sz w:val="22"/>
          <w:szCs w:val="22"/>
        </w:rPr>
        <w:t xml:space="preserve">Acto impugnado. </w:t>
      </w:r>
      <w:r w:rsidRPr="00A70BA6">
        <w:rPr>
          <w:rFonts w:ascii="Palatino Linotype" w:eastAsia="Palatino Linotype" w:hAnsi="Palatino Linotype" w:cs="Palatino Linotype"/>
          <w:i/>
          <w:sz w:val="22"/>
          <w:szCs w:val="22"/>
        </w:rPr>
        <w:t>“</w:t>
      </w:r>
      <w:r w:rsidR="00A31790" w:rsidRPr="00A70BA6">
        <w:rPr>
          <w:rFonts w:ascii="Palatino Linotype" w:eastAsia="Palatino Linotype" w:hAnsi="Palatino Linotype" w:cs="Palatino Linotype"/>
          <w:i/>
          <w:sz w:val="22"/>
          <w:szCs w:val="22"/>
        </w:rPr>
        <w:t>NO ENTREGA INFORMACION</w:t>
      </w:r>
      <w:r w:rsidRPr="00A70BA6">
        <w:rPr>
          <w:rFonts w:ascii="Palatino Linotype" w:eastAsia="Palatino Linotype" w:hAnsi="Palatino Linotype" w:cs="Palatino Linotype"/>
          <w:i/>
          <w:sz w:val="22"/>
          <w:szCs w:val="22"/>
        </w:rPr>
        <w:t xml:space="preserve">”. </w:t>
      </w:r>
    </w:p>
    <w:p w14:paraId="1FA52D21" w14:textId="77777777" w:rsidR="00CF7DC1" w:rsidRPr="00A70BA6" w:rsidRDefault="00CF7DC1">
      <w:pPr>
        <w:spacing w:line="276" w:lineRule="auto"/>
        <w:ind w:left="851" w:right="616"/>
        <w:rPr>
          <w:rFonts w:ascii="Palatino Linotype" w:eastAsia="Palatino Linotype" w:hAnsi="Palatino Linotype" w:cs="Palatino Linotype"/>
          <w:sz w:val="22"/>
          <w:szCs w:val="22"/>
        </w:rPr>
      </w:pPr>
    </w:p>
    <w:p w14:paraId="1EC115B2" w14:textId="6ED446CE" w:rsidR="00CF7DC1" w:rsidRPr="00A70BA6" w:rsidRDefault="008E39FE" w:rsidP="008366F9">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A70BA6">
        <w:rPr>
          <w:rFonts w:ascii="Palatino Linotype" w:eastAsia="Palatino Linotype" w:hAnsi="Palatino Linotype" w:cs="Palatino Linotype"/>
          <w:b/>
          <w:sz w:val="22"/>
          <w:szCs w:val="22"/>
        </w:rPr>
        <w:t xml:space="preserve">Motivos de inconformidad. </w:t>
      </w:r>
      <w:r w:rsidRPr="00A70BA6">
        <w:rPr>
          <w:rFonts w:ascii="Palatino Linotype" w:eastAsia="Palatino Linotype" w:hAnsi="Palatino Linotype" w:cs="Palatino Linotype"/>
          <w:i/>
          <w:sz w:val="22"/>
          <w:szCs w:val="22"/>
        </w:rPr>
        <w:t>“</w:t>
      </w:r>
      <w:r w:rsidR="00A31790" w:rsidRPr="00A70BA6">
        <w:rPr>
          <w:rFonts w:ascii="Palatino Linotype" w:eastAsia="Palatino Linotype" w:hAnsi="Palatino Linotype" w:cs="Palatino Linotype"/>
          <w:i/>
          <w:sz w:val="22"/>
          <w:szCs w:val="22"/>
        </w:rPr>
        <w:t>NO ENTREGA INFORMACION</w:t>
      </w:r>
      <w:r w:rsidRPr="00A70BA6">
        <w:rPr>
          <w:rFonts w:ascii="Palatino Linotype" w:eastAsia="Palatino Linotype" w:hAnsi="Palatino Linotype" w:cs="Palatino Linotype"/>
          <w:i/>
          <w:sz w:val="22"/>
          <w:szCs w:val="22"/>
        </w:rPr>
        <w:t>”. (sic)</w:t>
      </w:r>
    </w:p>
    <w:p w14:paraId="0D4C3342" w14:textId="77777777" w:rsidR="002B3067" w:rsidRPr="00A70BA6" w:rsidRDefault="002B3067" w:rsidP="008366F9">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2E476D6A" w14:textId="3B591AF2" w:rsidR="00CF7DC1" w:rsidRPr="00A70BA6" w:rsidRDefault="008E39FE">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A70BA6">
        <w:rPr>
          <w:rFonts w:ascii="Palatino Linotype" w:eastAsia="Palatino Linotype" w:hAnsi="Palatino Linotype" w:cs="Palatino Linotype"/>
          <w:b/>
          <w:sz w:val="22"/>
          <w:szCs w:val="22"/>
        </w:rPr>
        <w:t xml:space="preserve">Turno. </w:t>
      </w:r>
      <w:r w:rsidRPr="00A70BA6">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A31790" w:rsidRPr="00A70BA6">
        <w:rPr>
          <w:rFonts w:ascii="Palatino Linotype" w:eastAsia="Palatino Linotype" w:hAnsi="Palatino Linotype" w:cs="Palatino Linotype"/>
          <w:b/>
          <w:sz w:val="22"/>
          <w:szCs w:val="22"/>
        </w:rPr>
        <w:t>05154/INFOEM/IP/RR/2025</w:t>
      </w:r>
      <w:r w:rsidRPr="00A70BA6">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A70BA6">
        <w:rPr>
          <w:rFonts w:ascii="Palatino Linotype" w:eastAsia="Palatino Linotype" w:hAnsi="Palatino Linotype" w:cs="Palatino Linotype"/>
          <w:b/>
          <w:sz w:val="22"/>
          <w:szCs w:val="22"/>
        </w:rPr>
        <w:t>Guadalupe Ramírez Peña</w:t>
      </w:r>
      <w:r w:rsidRPr="00A70BA6">
        <w:rPr>
          <w:rFonts w:ascii="Palatino Linotype" w:eastAsia="Palatino Linotype" w:hAnsi="Palatino Linotype" w:cs="Palatino Linotype"/>
          <w:sz w:val="22"/>
          <w:szCs w:val="22"/>
        </w:rPr>
        <w:t>, para su análisis, estudio, elaboración del proyecto y presentación ante el Pleno de este Instituto.</w:t>
      </w:r>
    </w:p>
    <w:p w14:paraId="053D4ADC" w14:textId="77777777" w:rsidR="00CF7DC1" w:rsidRPr="00A70BA6" w:rsidRDefault="00CF7DC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1B6D9B1D" w14:textId="7327DDA8" w:rsidR="00CF7DC1" w:rsidRPr="00A70BA6" w:rsidRDefault="008E39FE">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1" w:name="_heading=h.gjdgxs" w:colFirst="0" w:colLast="0"/>
      <w:bookmarkEnd w:id="1"/>
      <w:r w:rsidRPr="00A70BA6">
        <w:rPr>
          <w:rFonts w:ascii="Palatino Linotype" w:eastAsia="Palatino Linotype" w:hAnsi="Palatino Linotype" w:cs="Palatino Linotype"/>
          <w:b/>
          <w:sz w:val="22"/>
          <w:szCs w:val="22"/>
        </w:rPr>
        <w:t xml:space="preserve">Admisión del recurso de revisión: </w:t>
      </w:r>
      <w:r w:rsidRPr="00A70BA6">
        <w:rPr>
          <w:rFonts w:ascii="Palatino Linotype" w:eastAsia="Palatino Linotype" w:hAnsi="Palatino Linotype" w:cs="Palatino Linotype"/>
          <w:sz w:val="22"/>
          <w:szCs w:val="22"/>
        </w:rPr>
        <w:t xml:space="preserve">En fecha </w:t>
      </w:r>
      <w:r w:rsidR="00A31790" w:rsidRPr="00A70BA6">
        <w:rPr>
          <w:rFonts w:ascii="Palatino Linotype" w:eastAsia="Palatino Linotype" w:hAnsi="Palatino Linotype" w:cs="Palatino Linotype"/>
          <w:b/>
          <w:sz w:val="22"/>
          <w:szCs w:val="22"/>
        </w:rPr>
        <w:t>nueve</w:t>
      </w:r>
      <w:r w:rsidR="00883406" w:rsidRPr="00A70BA6">
        <w:rPr>
          <w:rFonts w:ascii="Palatino Linotype" w:eastAsia="Palatino Linotype" w:hAnsi="Palatino Linotype" w:cs="Palatino Linotype"/>
          <w:b/>
          <w:sz w:val="22"/>
          <w:szCs w:val="22"/>
        </w:rPr>
        <w:t xml:space="preserve"> de </w:t>
      </w:r>
      <w:r w:rsidR="00A31790" w:rsidRPr="00A70BA6">
        <w:rPr>
          <w:rFonts w:ascii="Palatino Linotype" w:eastAsia="Palatino Linotype" w:hAnsi="Palatino Linotype" w:cs="Palatino Linotype"/>
          <w:b/>
          <w:sz w:val="22"/>
          <w:szCs w:val="22"/>
        </w:rPr>
        <w:t>mayo</w:t>
      </w:r>
      <w:r w:rsidRPr="00A70BA6">
        <w:rPr>
          <w:rFonts w:ascii="Palatino Linotype" w:eastAsia="Palatino Linotype" w:hAnsi="Palatino Linotype" w:cs="Palatino Linotype"/>
          <w:b/>
          <w:sz w:val="22"/>
          <w:szCs w:val="22"/>
        </w:rPr>
        <w:t xml:space="preserve"> de dos mil veinticinco</w:t>
      </w:r>
      <w:r w:rsidRPr="00A70BA6">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A70BA6">
        <w:rPr>
          <w:rFonts w:ascii="Palatino Linotype" w:eastAsia="Palatino Linotype" w:hAnsi="Palatino Linotype" w:cs="Palatino Linotype"/>
          <w:b/>
          <w:sz w:val="22"/>
          <w:szCs w:val="22"/>
        </w:rPr>
        <w:t>SUJETO OBLIGADO</w:t>
      </w:r>
      <w:r w:rsidRPr="00A70BA6">
        <w:rPr>
          <w:rFonts w:ascii="Palatino Linotype" w:eastAsia="Palatino Linotype" w:hAnsi="Palatino Linotype" w:cs="Palatino Linotype"/>
          <w:sz w:val="22"/>
          <w:szCs w:val="22"/>
        </w:rPr>
        <w:t xml:space="preserve"> presentara su informe justificado.</w:t>
      </w:r>
    </w:p>
    <w:p w14:paraId="56E45C0F" w14:textId="77777777" w:rsidR="00CF7DC1" w:rsidRPr="00A70BA6" w:rsidRDefault="00CF7DC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05EB4443" w14:textId="77777777" w:rsidR="00143136" w:rsidRPr="00A70BA6" w:rsidRDefault="008E39FE" w:rsidP="00143136">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b/>
          <w:sz w:val="22"/>
          <w:szCs w:val="22"/>
        </w:rPr>
      </w:pPr>
      <w:r w:rsidRPr="00A70BA6">
        <w:rPr>
          <w:rFonts w:ascii="Palatino Linotype" w:eastAsia="Palatino Linotype" w:hAnsi="Palatino Linotype" w:cs="Palatino Linotype"/>
          <w:b/>
          <w:sz w:val="22"/>
          <w:szCs w:val="22"/>
        </w:rPr>
        <w:t>Manifestaciones.</w:t>
      </w:r>
      <w:r w:rsidRPr="00A70BA6">
        <w:rPr>
          <w:rFonts w:ascii="Palatino Linotype" w:eastAsia="Palatino Linotype" w:hAnsi="Palatino Linotype" w:cs="Palatino Linotype"/>
          <w:sz w:val="22"/>
          <w:szCs w:val="22"/>
        </w:rPr>
        <w:t xml:space="preserve"> </w:t>
      </w:r>
      <w:r w:rsidR="00C3177F" w:rsidRPr="00A70BA6">
        <w:rPr>
          <w:rFonts w:ascii="Palatino Linotype" w:eastAsia="Palatino Linotype" w:hAnsi="Palatino Linotype" w:cs="Palatino Linotype"/>
          <w:sz w:val="22"/>
          <w:szCs w:val="22"/>
        </w:rPr>
        <w:t>De las constancias que obran en el expediente electrónico del SAIMEX, se aprecia que el Sujeto Obligado</w:t>
      </w:r>
      <w:r w:rsidR="00E71CDD" w:rsidRPr="00A70BA6">
        <w:rPr>
          <w:rFonts w:ascii="Palatino Linotype" w:eastAsia="Palatino Linotype" w:hAnsi="Palatino Linotype" w:cs="Palatino Linotype"/>
          <w:sz w:val="22"/>
          <w:szCs w:val="22"/>
        </w:rPr>
        <w:t xml:space="preserve"> rindió informe justificado el </w:t>
      </w:r>
      <w:r w:rsidR="00E71CDD" w:rsidRPr="00A70BA6">
        <w:rPr>
          <w:rFonts w:ascii="Palatino Linotype" w:eastAsia="Palatino Linotype" w:hAnsi="Palatino Linotype" w:cs="Palatino Linotype"/>
          <w:b/>
          <w:sz w:val="22"/>
          <w:szCs w:val="22"/>
        </w:rPr>
        <w:t>diez de ju</w:t>
      </w:r>
      <w:r w:rsidR="00461F8E" w:rsidRPr="00A70BA6">
        <w:rPr>
          <w:rFonts w:ascii="Palatino Linotype" w:eastAsia="Palatino Linotype" w:hAnsi="Palatino Linotype" w:cs="Palatino Linotype"/>
          <w:b/>
          <w:sz w:val="22"/>
          <w:szCs w:val="22"/>
        </w:rPr>
        <w:t>nio</w:t>
      </w:r>
      <w:r w:rsidR="00E71CDD" w:rsidRPr="00A70BA6">
        <w:rPr>
          <w:rFonts w:ascii="Palatino Linotype" w:eastAsia="Palatino Linotype" w:hAnsi="Palatino Linotype" w:cs="Palatino Linotype"/>
          <w:b/>
          <w:sz w:val="22"/>
          <w:szCs w:val="22"/>
        </w:rPr>
        <w:t xml:space="preserve"> de dos mil </w:t>
      </w:r>
      <w:r w:rsidR="00E71CDD" w:rsidRPr="00A70BA6">
        <w:rPr>
          <w:rFonts w:ascii="Palatino Linotype" w:eastAsia="Palatino Linotype" w:hAnsi="Palatino Linotype" w:cs="Palatino Linotype"/>
          <w:b/>
          <w:sz w:val="22"/>
          <w:szCs w:val="22"/>
        </w:rPr>
        <w:lastRenderedPageBreak/>
        <w:t>veinticinco,</w:t>
      </w:r>
      <w:r w:rsidR="00E71CDD" w:rsidRPr="00A70BA6">
        <w:rPr>
          <w:rFonts w:ascii="Palatino Linotype" w:eastAsia="Palatino Linotype" w:hAnsi="Palatino Linotype" w:cs="Palatino Linotype"/>
          <w:sz w:val="22"/>
          <w:szCs w:val="22"/>
        </w:rPr>
        <w:t xml:space="preserve"> a través de</w:t>
      </w:r>
      <w:r w:rsidR="00461F8E" w:rsidRPr="00A70BA6">
        <w:rPr>
          <w:rFonts w:ascii="Palatino Linotype" w:eastAsia="Palatino Linotype" w:hAnsi="Palatino Linotype" w:cs="Palatino Linotype"/>
          <w:sz w:val="22"/>
          <w:szCs w:val="22"/>
        </w:rPr>
        <w:t xml:space="preserve"> </w:t>
      </w:r>
      <w:r w:rsidR="00E71CDD" w:rsidRPr="00A70BA6">
        <w:rPr>
          <w:rFonts w:ascii="Palatino Linotype" w:eastAsia="Palatino Linotype" w:hAnsi="Palatino Linotype" w:cs="Palatino Linotype"/>
          <w:sz w:val="22"/>
          <w:szCs w:val="22"/>
        </w:rPr>
        <w:t>l</w:t>
      </w:r>
      <w:r w:rsidR="00461F8E" w:rsidRPr="00A70BA6">
        <w:rPr>
          <w:rFonts w:ascii="Palatino Linotype" w:eastAsia="Palatino Linotype" w:hAnsi="Palatino Linotype" w:cs="Palatino Linotype"/>
          <w:sz w:val="22"/>
          <w:szCs w:val="22"/>
        </w:rPr>
        <w:t>os</w:t>
      </w:r>
      <w:r w:rsidR="00E71CDD" w:rsidRPr="00A70BA6">
        <w:rPr>
          <w:rFonts w:ascii="Palatino Linotype" w:eastAsia="Palatino Linotype" w:hAnsi="Palatino Linotype" w:cs="Palatino Linotype"/>
          <w:sz w:val="22"/>
          <w:szCs w:val="22"/>
        </w:rPr>
        <w:t xml:space="preserve"> documento</w:t>
      </w:r>
      <w:r w:rsidR="00461F8E" w:rsidRPr="00A70BA6">
        <w:rPr>
          <w:rFonts w:ascii="Palatino Linotype" w:eastAsia="Palatino Linotype" w:hAnsi="Palatino Linotype" w:cs="Palatino Linotype"/>
          <w:sz w:val="22"/>
          <w:szCs w:val="22"/>
        </w:rPr>
        <w:t>s</w:t>
      </w:r>
      <w:r w:rsidR="00E71CDD" w:rsidRPr="00A70BA6">
        <w:rPr>
          <w:rFonts w:ascii="Palatino Linotype" w:eastAsia="Palatino Linotype" w:hAnsi="Palatino Linotype" w:cs="Palatino Linotype"/>
          <w:sz w:val="22"/>
          <w:szCs w:val="22"/>
        </w:rPr>
        <w:t xml:space="preserve"> electrónico</w:t>
      </w:r>
      <w:r w:rsidR="00461F8E" w:rsidRPr="00A70BA6">
        <w:rPr>
          <w:rFonts w:ascii="Palatino Linotype" w:eastAsia="Palatino Linotype" w:hAnsi="Palatino Linotype" w:cs="Palatino Linotype"/>
          <w:sz w:val="22"/>
          <w:szCs w:val="22"/>
        </w:rPr>
        <w:t>s</w:t>
      </w:r>
      <w:r w:rsidR="00E71CDD" w:rsidRPr="00A70BA6">
        <w:rPr>
          <w:rFonts w:ascii="Palatino Linotype" w:eastAsia="Palatino Linotype" w:hAnsi="Palatino Linotype" w:cs="Palatino Linotype"/>
          <w:sz w:val="22"/>
          <w:szCs w:val="22"/>
        </w:rPr>
        <w:t xml:space="preserve"> denominado</w:t>
      </w:r>
      <w:r w:rsidR="00461F8E" w:rsidRPr="00A70BA6">
        <w:rPr>
          <w:rFonts w:ascii="Palatino Linotype" w:eastAsia="Palatino Linotype" w:hAnsi="Palatino Linotype" w:cs="Palatino Linotype"/>
          <w:sz w:val="22"/>
          <w:szCs w:val="22"/>
        </w:rPr>
        <w:t>s</w:t>
      </w:r>
      <w:r w:rsidR="00E71CDD" w:rsidRPr="00A70BA6">
        <w:rPr>
          <w:rFonts w:ascii="Palatino Linotype" w:eastAsia="Palatino Linotype" w:hAnsi="Palatino Linotype" w:cs="Palatino Linotype"/>
          <w:sz w:val="22"/>
          <w:szCs w:val="22"/>
        </w:rPr>
        <w:t xml:space="preserve"> </w:t>
      </w:r>
      <w:r w:rsidR="00461F8E" w:rsidRPr="00A70BA6">
        <w:rPr>
          <w:rFonts w:ascii="Palatino Linotype" w:eastAsia="Palatino Linotype" w:hAnsi="Palatino Linotype" w:cs="Palatino Linotype"/>
          <w:b/>
          <w:sz w:val="22"/>
          <w:szCs w:val="22"/>
        </w:rPr>
        <w:t xml:space="preserve">IJ </w:t>
      </w:r>
      <w:proofErr w:type="gramStart"/>
      <w:r w:rsidR="00461F8E" w:rsidRPr="00A70BA6">
        <w:rPr>
          <w:rFonts w:ascii="Palatino Linotype" w:eastAsia="Palatino Linotype" w:hAnsi="Palatino Linotype" w:cs="Palatino Linotype"/>
          <w:b/>
          <w:sz w:val="22"/>
          <w:szCs w:val="22"/>
        </w:rPr>
        <w:t>5154..</w:t>
      </w:r>
      <w:proofErr w:type="gramEnd"/>
      <w:r w:rsidR="00461F8E" w:rsidRPr="00A70BA6">
        <w:rPr>
          <w:rFonts w:ascii="Palatino Linotype" w:eastAsia="Palatino Linotype" w:hAnsi="Palatino Linotype" w:cs="Palatino Linotype"/>
          <w:b/>
          <w:sz w:val="22"/>
          <w:szCs w:val="22"/>
        </w:rPr>
        <w:t xml:space="preserve">pdf; y SECT ZINA 08 2025, </w:t>
      </w:r>
      <w:r w:rsidR="00461F8E" w:rsidRPr="00A70BA6">
        <w:rPr>
          <w:rFonts w:ascii="Palatino Linotype" w:eastAsia="Palatino Linotype" w:hAnsi="Palatino Linotype" w:cs="Palatino Linotype"/>
          <w:sz w:val="22"/>
          <w:szCs w:val="22"/>
        </w:rPr>
        <w:t xml:space="preserve">cuyo contenido será analizado en el Considerando Correspondiente. Dicho informe justificado se puso a disposición del Recurrente el </w:t>
      </w:r>
      <w:r w:rsidR="00461F8E" w:rsidRPr="00A70BA6">
        <w:rPr>
          <w:rFonts w:ascii="Palatino Linotype" w:eastAsia="Palatino Linotype" w:hAnsi="Palatino Linotype" w:cs="Palatino Linotype"/>
          <w:b/>
          <w:sz w:val="22"/>
          <w:szCs w:val="22"/>
        </w:rPr>
        <w:t>cinco de septiembre de dos mil veinticinco.</w:t>
      </w:r>
    </w:p>
    <w:p w14:paraId="6540F268" w14:textId="77777777" w:rsidR="00143136" w:rsidRPr="00A70BA6" w:rsidRDefault="00143136" w:rsidP="00143136">
      <w:pPr>
        <w:pStyle w:val="Prrafodelista"/>
        <w:rPr>
          <w:rFonts w:ascii="Palatino Linotype" w:eastAsia="Palatino Linotype" w:hAnsi="Palatino Linotype" w:cs="Palatino Linotype"/>
          <w:b/>
        </w:rPr>
      </w:pPr>
    </w:p>
    <w:p w14:paraId="16921A7C" w14:textId="53D2DD2B" w:rsidR="00CF7DC1" w:rsidRPr="00A70BA6" w:rsidRDefault="008E39FE" w:rsidP="00143136">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A70BA6">
        <w:rPr>
          <w:rFonts w:ascii="Palatino Linotype" w:eastAsia="Palatino Linotype" w:hAnsi="Palatino Linotype" w:cs="Palatino Linotype"/>
          <w:b/>
          <w:sz w:val="22"/>
          <w:szCs w:val="22"/>
        </w:rPr>
        <w:t>Ampliación del plazo.</w:t>
      </w:r>
      <w:r w:rsidRPr="00A70BA6">
        <w:rPr>
          <w:rFonts w:ascii="Palatino Linotype" w:eastAsia="Palatino Linotype" w:hAnsi="Palatino Linotype" w:cs="Palatino Linotype"/>
          <w:sz w:val="22"/>
          <w:szCs w:val="22"/>
        </w:rPr>
        <w:t xml:space="preserve"> En fecha </w:t>
      </w:r>
      <w:r w:rsidR="007A0898" w:rsidRPr="00A70BA6">
        <w:rPr>
          <w:rFonts w:ascii="Palatino Linotype" w:eastAsia="Palatino Linotype" w:hAnsi="Palatino Linotype" w:cs="Palatino Linotype"/>
          <w:b/>
          <w:sz w:val="22"/>
          <w:szCs w:val="22"/>
        </w:rPr>
        <w:t>cinco</w:t>
      </w:r>
      <w:r w:rsidR="007A0898" w:rsidRPr="00A70BA6">
        <w:rPr>
          <w:rFonts w:ascii="Palatino Linotype" w:eastAsia="Palatino Linotype" w:hAnsi="Palatino Linotype" w:cs="Palatino Linotype"/>
          <w:sz w:val="22"/>
          <w:szCs w:val="22"/>
        </w:rPr>
        <w:t xml:space="preserve"> </w:t>
      </w:r>
      <w:r w:rsidR="00883406" w:rsidRPr="00A70BA6">
        <w:rPr>
          <w:rFonts w:ascii="Palatino Linotype" w:eastAsia="Palatino Linotype" w:hAnsi="Palatino Linotype" w:cs="Palatino Linotype"/>
          <w:b/>
          <w:sz w:val="22"/>
          <w:szCs w:val="22"/>
        </w:rPr>
        <w:t xml:space="preserve">de </w:t>
      </w:r>
      <w:r w:rsidR="00E71CDD" w:rsidRPr="00A70BA6">
        <w:rPr>
          <w:rFonts w:ascii="Palatino Linotype" w:eastAsia="Palatino Linotype" w:hAnsi="Palatino Linotype" w:cs="Palatino Linotype"/>
          <w:b/>
          <w:sz w:val="22"/>
          <w:szCs w:val="22"/>
        </w:rPr>
        <w:t>septiembre</w:t>
      </w:r>
      <w:r w:rsidRPr="00A70BA6">
        <w:rPr>
          <w:rFonts w:ascii="Palatino Linotype" w:eastAsia="Palatino Linotype" w:hAnsi="Palatino Linotype" w:cs="Palatino Linotype"/>
          <w:b/>
          <w:sz w:val="22"/>
          <w:szCs w:val="22"/>
        </w:rPr>
        <w:t xml:space="preserve"> de dos mil veinticinco</w:t>
      </w:r>
      <w:r w:rsidRPr="00A70BA6">
        <w:rPr>
          <w:rFonts w:ascii="Palatino Linotype" w:eastAsia="Palatino Linotype" w:hAnsi="Palatino Linotype" w:cs="Palatino Linotype"/>
          <w:sz w:val="22"/>
          <w:szCs w:val="22"/>
        </w:rPr>
        <w:t>, con fundamento en el artículo 181, párrafo tercero de la Ley de Transparencia y Acceso a la Información Pública del Estado de México y Municipios, se acordó la ampliación del plazo para su resolución.</w:t>
      </w:r>
    </w:p>
    <w:p w14:paraId="2857FF34" w14:textId="77777777" w:rsidR="00143136" w:rsidRPr="00A70BA6" w:rsidRDefault="00143136" w:rsidP="00143136">
      <w:pPr>
        <w:pStyle w:val="Prrafodelista"/>
        <w:rPr>
          <w:rFonts w:ascii="Palatino Linotype" w:eastAsia="Palatino Linotype" w:hAnsi="Palatino Linotype" w:cs="Palatino Linotype"/>
        </w:rPr>
      </w:pPr>
    </w:p>
    <w:p w14:paraId="52E63C57" w14:textId="77777777" w:rsidR="00143136" w:rsidRPr="00A70BA6" w:rsidRDefault="00143136" w:rsidP="00143136">
      <w:pPr>
        <w:spacing w:line="360" w:lineRule="auto"/>
        <w:ind w:right="49"/>
        <w:jc w:val="both"/>
        <w:rPr>
          <w:rFonts w:ascii="Palatino Linotype" w:eastAsia="Palatino Linotype" w:hAnsi="Palatino Linotype" w:cs="Palatino Linotype"/>
          <w:sz w:val="22"/>
          <w:szCs w:val="22"/>
        </w:rPr>
      </w:pPr>
      <w:r w:rsidRPr="00A70BA6">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5A5B643" w14:textId="77777777" w:rsidR="00143136" w:rsidRPr="00A70BA6" w:rsidRDefault="00143136" w:rsidP="00143136">
      <w:pPr>
        <w:spacing w:line="360" w:lineRule="auto"/>
        <w:ind w:right="49"/>
        <w:jc w:val="both"/>
        <w:rPr>
          <w:rFonts w:ascii="Palatino Linotype" w:eastAsia="Palatino Linotype" w:hAnsi="Palatino Linotype" w:cs="Palatino Linotype"/>
          <w:sz w:val="22"/>
          <w:szCs w:val="22"/>
        </w:rPr>
      </w:pPr>
      <w:r w:rsidRPr="00A70BA6">
        <w:rPr>
          <w:rFonts w:ascii="Palatino Linotype" w:eastAsia="Palatino Linotype" w:hAnsi="Palatino Linotype" w:cs="Palatino Linotype"/>
          <w:sz w:val="22"/>
          <w:szCs w:val="22"/>
        </w:rPr>
        <w:t xml:space="preserve"> </w:t>
      </w:r>
    </w:p>
    <w:p w14:paraId="214E0E52" w14:textId="77777777" w:rsidR="00143136" w:rsidRPr="00A70BA6" w:rsidRDefault="00143136" w:rsidP="00143136">
      <w:pPr>
        <w:spacing w:line="360" w:lineRule="auto"/>
        <w:ind w:right="49"/>
        <w:jc w:val="both"/>
        <w:rPr>
          <w:rFonts w:ascii="Palatino Linotype" w:eastAsia="Palatino Linotype" w:hAnsi="Palatino Linotype" w:cs="Palatino Linotype"/>
          <w:sz w:val="22"/>
          <w:szCs w:val="22"/>
        </w:rPr>
      </w:pPr>
      <w:r w:rsidRPr="00A70BA6">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A881B6F" w14:textId="77777777" w:rsidR="00143136" w:rsidRPr="00A70BA6" w:rsidRDefault="00143136" w:rsidP="00143136">
      <w:pPr>
        <w:spacing w:line="360" w:lineRule="auto"/>
        <w:ind w:right="49"/>
        <w:jc w:val="both"/>
        <w:rPr>
          <w:rFonts w:ascii="Palatino Linotype" w:eastAsia="Palatino Linotype" w:hAnsi="Palatino Linotype" w:cs="Palatino Linotype"/>
          <w:sz w:val="22"/>
          <w:szCs w:val="22"/>
        </w:rPr>
      </w:pPr>
      <w:r w:rsidRPr="00A70BA6">
        <w:rPr>
          <w:rFonts w:ascii="Palatino Linotype" w:eastAsia="Palatino Linotype" w:hAnsi="Palatino Linotype" w:cs="Palatino Linotype"/>
          <w:sz w:val="22"/>
          <w:szCs w:val="22"/>
        </w:rPr>
        <w:t xml:space="preserve"> </w:t>
      </w:r>
    </w:p>
    <w:p w14:paraId="62913B47" w14:textId="77777777" w:rsidR="00143136" w:rsidRPr="00A70BA6" w:rsidRDefault="00143136" w:rsidP="00143136">
      <w:pPr>
        <w:spacing w:line="360" w:lineRule="auto"/>
        <w:ind w:right="49"/>
        <w:jc w:val="both"/>
        <w:rPr>
          <w:rFonts w:ascii="Palatino Linotype" w:eastAsia="Palatino Linotype" w:hAnsi="Palatino Linotype" w:cs="Palatino Linotype"/>
          <w:sz w:val="22"/>
          <w:szCs w:val="22"/>
        </w:rPr>
      </w:pPr>
      <w:r w:rsidRPr="00A70BA6">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89BF758" w14:textId="77777777" w:rsidR="00143136" w:rsidRPr="00A70BA6" w:rsidRDefault="00143136" w:rsidP="00143136">
      <w:pPr>
        <w:spacing w:line="360" w:lineRule="auto"/>
        <w:ind w:right="49"/>
        <w:jc w:val="both"/>
        <w:rPr>
          <w:rFonts w:ascii="Palatino Linotype" w:eastAsia="Palatino Linotype" w:hAnsi="Palatino Linotype" w:cs="Palatino Linotype"/>
          <w:sz w:val="22"/>
          <w:szCs w:val="22"/>
        </w:rPr>
      </w:pPr>
    </w:p>
    <w:p w14:paraId="126CE208" w14:textId="77777777" w:rsidR="00143136" w:rsidRPr="00A70BA6" w:rsidRDefault="00143136" w:rsidP="00143136">
      <w:pPr>
        <w:spacing w:line="360" w:lineRule="auto"/>
        <w:ind w:right="49"/>
        <w:jc w:val="both"/>
        <w:rPr>
          <w:rFonts w:ascii="Palatino Linotype" w:eastAsia="Palatino Linotype" w:hAnsi="Palatino Linotype" w:cs="Palatino Linotype"/>
          <w:sz w:val="22"/>
          <w:szCs w:val="22"/>
        </w:rPr>
      </w:pPr>
      <w:r w:rsidRPr="00A70BA6">
        <w:rPr>
          <w:rFonts w:ascii="Palatino Linotype" w:eastAsia="Palatino Linotype" w:hAnsi="Palatino Linotype" w:cs="Palatino Linotype"/>
          <w:sz w:val="22"/>
          <w:szCs w:val="22"/>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6281882" w14:textId="77777777" w:rsidR="00143136" w:rsidRPr="00A70BA6" w:rsidRDefault="00143136" w:rsidP="00143136">
      <w:pPr>
        <w:spacing w:line="360" w:lineRule="auto"/>
        <w:ind w:right="49"/>
        <w:jc w:val="both"/>
        <w:rPr>
          <w:rFonts w:ascii="Palatino Linotype" w:eastAsia="Palatino Linotype" w:hAnsi="Palatino Linotype" w:cs="Palatino Linotype"/>
          <w:sz w:val="22"/>
          <w:szCs w:val="22"/>
        </w:rPr>
      </w:pPr>
    </w:p>
    <w:p w14:paraId="7B4117A1" w14:textId="77777777" w:rsidR="00143136" w:rsidRPr="00A70BA6" w:rsidRDefault="00143136" w:rsidP="00143136">
      <w:pPr>
        <w:spacing w:line="360" w:lineRule="auto"/>
        <w:ind w:right="49"/>
        <w:jc w:val="both"/>
        <w:rPr>
          <w:rFonts w:ascii="Palatino Linotype" w:eastAsia="Palatino Linotype" w:hAnsi="Palatino Linotype" w:cs="Palatino Linotype"/>
          <w:sz w:val="22"/>
          <w:szCs w:val="22"/>
        </w:rPr>
      </w:pPr>
      <w:r w:rsidRPr="00A70BA6">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0B34649E" w14:textId="77777777" w:rsidR="00143136" w:rsidRPr="00A70BA6" w:rsidRDefault="00143136" w:rsidP="00143136">
      <w:pPr>
        <w:spacing w:line="360" w:lineRule="auto"/>
        <w:ind w:right="49"/>
        <w:jc w:val="both"/>
        <w:rPr>
          <w:rFonts w:ascii="Palatino Linotype" w:eastAsia="Palatino Linotype" w:hAnsi="Palatino Linotype" w:cs="Palatino Linotype"/>
          <w:sz w:val="22"/>
          <w:szCs w:val="22"/>
        </w:rPr>
      </w:pPr>
    </w:p>
    <w:p w14:paraId="7404AEE1" w14:textId="77777777" w:rsidR="00143136" w:rsidRPr="00A70BA6" w:rsidRDefault="00143136" w:rsidP="00143136">
      <w:pPr>
        <w:tabs>
          <w:tab w:val="left" w:pos="709"/>
        </w:tabs>
        <w:spacing w:line="360" w:lineRule="auto"/>
        <w:ind w:left="567" w:right="560"/>
        <w:jc w:val="both"/>
        <w:rPr>
          <w:rFonts w:ascii="Palatino Linotype" w:eastAsia="Palatino Linotype" w:hAnsi="Palatino Linotype" w:cs="Palatino Linotype"/>
          <w:sz w:val="22"/>
          <w:szCs w:val="22"/>
        </w:rPr>
      </w:pPr>
      <w:r w:rsidRPr="00A70BA6">
        <w:rPr>
          <w:rFonts w:ascii="Palatino Linotype" w:eastAsia="Palatino Linotype" w:hAnsi="Palatino Linotype" w:cs="Palatino Linotype"/>
          <w:b/>
          <w:sz w:val="22"/>
          <w:szCs w:val="22"/>
        </w:rPr>
        <w:t>a)    Complejidad del asunto:</w:t>
      </w:r>
      <w:r w:rsidRPr="00A70BA6">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72B5D164" w14:textId="77777777" w:rsidR="00143136" w:rsidRPr="00A70BA6" w:rsidRDefault="00143136" w:rsidP="00143136">
      <w:pPr>
        <w:tabs>
          <w:tab w:val="left" w:pos="709"/>
        </w:tabs>
        <w:spacing w:line="360" w:lineRule="auto"/>
        <w:ind w:left="567" w:right="560"/>
        <w:jc w:val="both"/>
        <w:rPr>
          <w:rFonts w:ascii="Palatino Linotype" w:eastAsia="Palatino Linotype" w:hAnsi="Palatino Linotype" w:cs="Palatino Linotype"/>
          <w:sz w:val="22"/>
          <w:szCs w:val="22"/>
        </w:rPr>
      </w:pPr>
      <w:r w:rsidRPr="00A70BA6">
        <w:rPr>
          <w:rFonts w:ascii="Palatino Linotype" w:eastAsia="Palatino Linotype" w:hAnsi="Palatino Linotype" w:cs="Palatino Linotype"/>
          <w:b/>
          <w:sz w:val="22"/>
          <w:szCs w:val="22"/>
        </w:rPr>
        <w:t>b)   Actividad Procesal del interesado</w:t>
      </w:r>
      <w:r w:rsidRPr="00A70BA6">
        <w:rPr>
          <w:rFonts w:ascii="Palatino Linotype" w:eastAsia="Palatino Linotype" w:hAnsi="Palatino Linotype" w:cs="Palatino Linotype"/>
          <w:sz w:val="22"/>
          <w:szCs w:val="22"/>
        </w:rPr>
        <w:t>: Acciones u omisiones del interesado.</w:t>
      </w:r>
    </w:p>
    <w:p w14:paraId="442ED9A5" w14:textId="77777777" w:rsidR="00143136" w:rsidRPr="00A70BA6" w:rsidRDefault="00143136" w:rsidP="00143136">
      <w:pPr>
        <w:tabs>
          <w:tab w:val="left" w:pos="851"/>
        </w:tabs>
        <w:spacing w:line="360" w:lineRule="auto"/>
        <w:ind w:left="567" w:right="560"/>
        <w:jc w:val="both"/>
        <w:rPr>
          <w:rFonts w:ascii="Palatino Linotype" w:eastAsia="Palatino Linotype" w:hAnsi="Palatino Linotype" w:cs="Palatino Linotype"/>
          <w:sz w:val="22"/>
          <w:szCs w:val="22"/>
        </w:rPr>
      </w:pPr>
      <w:r w:rsidRPr="00A70BA6">
        <w:rPr>
          <w:rFonts w:ascii="Palatino Linotype" w:eastAsia="Palatino Linotype" w:hAnsi="Palatino Linotype" w:cs="Palatino Linotype"/>
          <w:b/>
          <w:sz w:val="22"/>
          <w:szCs w:val="22"/>
        </w:rPr>
        <w:t>c)  Conducta de la Autoridad:</w:t>
      </w:r>
      <w:r w:rsidRPr="00A70BA6">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54607392" w14:textId="77777777" w:rsidR="00143136" w:rsidRPr="00A70BA6" w:rsidRDefault="00143136" w:rsidP="00143136">
      <w:pPr>
        <w:tabs>
          <w:tab w:val="left" w:pos="851"/>
        </w:tabs>
        <w:spacing w:line="360" w:lineRule="auto"/>
        <w:ind w:left="567" w:right="560"/>
        <w:jc w:val="both"/>
        <w:rPr>
          <w:rFonts w:ascii="Palatino Linotype" w:eastAsia="Palatino Linotype" w:hAnsi="Palatino Linotype" w:cs="Palatino Linotype"/>
          <w:sz w:val="22"/>
          <w:szCs w:val="22"/>
        </w:rPr>
      </w:pPr>
      <w:r w:rsidRPr="00A70BA6">
        <w:rPr>
          <w:rFonts w:ascii="Palatino Linotype" w:eastAsia="Palatino Linotype" w:hAnsi="Palatino Linotype" w:cs="Palatino Linotype"/>
          <w:b/>
          <w:sz w:val="22"/>
          <w:szCs w:val="22"/>
        </w:rPr>
        <w:t>d) La afectación generada en la situación jurídica de la persona involucrada en el proceso:</w:t>
      </w:r>
      <w:r w:rsidRPr="00A70BA6">
        <w:rPr>
          <w:rFonts w:ascii="Palatino Linotype" w:eastAsia="Palatino Linotype" w:hAnsi="Palatino Linotype" w:cs="Palatino Linotype"/>
          <w:sz w:val="22"/>
          <w:szCs w:val="22"/>
        </w:rPr>
        <w:t xml:space="preserve"> Violación a sus derechos humanos.</w:t>
      </w:r>
    </w:p>
    <w:p w14:paraId="133E7FB5" w14:textId="77777777" w:rsidR="00143136" w:rsidRPr="00A70BA6" w:rsidRDefault="00143136" w:rsidP="00143136">
      <w:pPr>
        <w:spacing w:line="360" w:lineRule="auto"/>
        <w:ind w:right="49"/>
        <w:jc w:val="both"/>
        <w:rPr>
          <w:rFonts w:ascii="Palatino Linotype" w:eastAsia="Palatino Linotype" w:hAnsi="Palatino Linotype" w:cs="Palatino Linotype"/>
          <w:sz w:val="22"/>
          <w:szCs w:val="22"/>
        </w:rPr>
      </w:pPr>
    </w:p>
    <w:p w14:paraId="5FB60A29" w14:textId="77777777" w:rsidR="00143136" w:rsidRPr="00A70BA6" w:rsidRDefault="00143136" w:rsidP="00143136">
      <w:pPr>
        <w:spacing w:line="360" w:lineRule="auto"/>
        <w:ind w:right="49"/>
        <w:jc w:val="both"/>
        <w:rPr>
          <w:rFonts w:ascii="Palatino Linotype" w:eastAsia="Palatino Linotype" w:hAnsi="Palatino Linotype" w:cs="Palatino Linotype"/>
          <w:sz w:val="22"/>
          <w:szCs w:val="22"/>
        </w:rPr>
      </w:pPr>
      <w:r w:rsidRPr="00A70BA6">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5B0A4B4" w14:textId="77777777" w:rsidR="00143136" w:rsidRPr="00A70BA6" w:rsidRDefault="00143136" w:rsidP="00143136">
      <w:pPr>
        <w:spacing w:line="360" w:lineRule="auto"/>
        <w:ind w:right="49"/>
        <w:jc w:val="both"/>
        <w:rPr>
          <w:rFonts w:ascii="Palatino Linotype" w:eastAsia="Palatino Linotype" w:hAnsi="Palatino Linotype" w:cs="Palatino Linotype"/>
          <w:sz w:val="22"/>
          <w:szCs w:val="22"/>
        </w:rPr>
      </w:pPr>
      <w:r w:rsidRPr="00A70BA6">
        <w:rPr>
          <w:rFonts w:ascii="Palatino Linotype" w:eastAsia="Palatino Linotype" w:hAnsi="Palatino Linotype" w:cs="Palatino Linotype"/>
          <w:sz w:val="22"/>
          <w:szCs w:val="22"/>
        </w:rPr>
        <w:t xml:space="preserve"> </w:t>
      </w:r>
    </w:p>
    <w:p w14:paraId="44AB771D" w14:textId="77777777" w:rsidR="00143136" w:rsidRPr="00A70BA6" w:rsidRDefault="00143136" w:rsidP="00143136">
      <w:pPr>
        <w:spacing w:line="360" w:lineRule="auto"/>
        <w:ind w:right="49"/>
        <w:jc w:val="both"/>
        <w:rPr>
          <w:rFonts w:ascii="Palatino Linotype" w:eastAsia="Palatino Linotype" w:hAnsi="Palatino Linotype" w:cs="Palatino Linotype"/>
          <w:sz w:val="22"/>
          <w:szCs w:val="22"/>
        </w:rPr>
      </w:pPr>
      <w:r w:rsidRPr="00A70BA6">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A70BA6">
        <w:rPr>
          <w:rFonts w:ascii="Palatino Linotype" w:eastAsia="Palatino Linotype" w:hAnsi="Palatino Linotype" w:cs="Palatino Linotype"/>
          <w:b/>
          <w:sz w:val="22"/>
          <w:szCs w:val="22"/>
        </w:rPr>
        <w:t xml:space="preserve">TÉRMINOS PROCESALES. PARA </w:t>
      </w:r>
      <w:r w:rsidRPr="00A70BA6">
        <w:rPr>
          <w:rFonts w:ascii="Palatino Linotype" w:eastAsia="Palatino Linotype" w:hAnsi="Palatino Linotype" w:cs="Palatino Linotype"/>
          <w:b/>
          <w:sz w:val="22"/>
          <w:szCs w:val="22"/>
        </w:rPr>
        <w:lastRenderedPageBreak/>
        <w:t>DETERMINAR SI UN FUNCIONARIO JUDICIAL ACTUÓ INDEBIDAMENTE POR NO RESPETARLOS SE DEBE ATENDER AL PRESUPUESTO QUE CONSIDERÓ EL LEGISLADOR AL FIJARLOS Y LAS CARACTERÍSTICAS DEL CASO.”</w:t>
      </w:r>
      <w:r w:rsidRPr="00A70BA6">
        <w:rPr>
          <w:rFonts w:ascii="Palatino Linotype" w:eastAsia="Palatino Linotype" w:hAnsi="Palatino Linotype" w:cs="Palatino Linotype"/>
          <w:sz w:val="22"/>
          <w:szCs w:val="22"/>
        </w:rPr>
        <w:t>, visible en la Gaceta del Seminario Judicial de la Federación con el registro digital 205635.</w:t>
      </w:r>
    </w:p>
    <w:p w14:paraId="010578B1" w14:textId="77777777" w:rsidR="00143136" w:rsidRPr="00A70BA6" w:rsidRDefault="00143136" w:rsidP="00143136">
      <w:pPr>
        <w:spacing w:line="360" w:lineRule="auto"/>
        <w:ind w:right="49"/>
        <w:jc w:val="both"/>
        <w:rPr>
          <w:rFonts w:ascii="Palatino Linotype" w:eastAsia="Palatino Linotype" w:hAnsi="Palatino Linotype" w:cs="Palatino Linotype"/>
          <w:sz w:val="22"/>
          <w:szCs w:val="22"/>
        </w:rPr>
      </w:pPr>
      <w:r w:rsidRPr="00A70BA6">
        <w:rPr>
          <w:rFonts w:ascii="Palatino Linotype" w:eastAsia="Palatino Linotype" w:hAnsi="Palatino Linotype" w:cs="Palatino Linotype"/>
          <w:sz w:val="22"/>
          <w:szCs w:val="22"/>
        </w:rPr>
        <w:t xml:space="preserve"> </w:t>
      </w:r>
    </w:p>
    <w:p w14:paraId="49F3DA05" w14:textId="77777777" w:rsidR="00143136" w:rsidRPr="00A70BA6" w:rsidRDefault="00143136" w:rsidP="00143136">
      <w:pPr>
        <w:spacing w:line="360" w:lineRule="auto"/>
        <w:ind w:right="49"/>
        <w:jc w:val="both"/>
        <w:rPr>
          <w:rFonts w:ascii="Palatino Linotype" w:eastAsia="Palatino Linotype" w:hAnsi="Palatino Linotype" w:cs="Palatino Linotype"/>
          <w:sz w:val="22"/>
          <w:szCs w:val="22"/>
        </w:rPr>
      </w:pPr>
      <w:r w:rsidRPr="00A70BA6">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AFFC2BE" w14:textId="77777777" w:rsidR="00143136" w:rsidRPr="00A70BA6" w:rsidRDefault="00143136" w:rsidP="00143136">
      <w:pPr>
        <w:spacing w:line="360" w:lineRule="auto"/>
        <w:ind w:right="49"/>
        <w:jc w:val="both"/>
        <w:rPr>
          <w:rFonts w:ascii="Palatino Linotype" w:eastAsia="Palatino Linotype" w:hAnsi="Palatino Linotype" w:cs="Palatino Linotype"/>
          <w:sz w:val="22"/>
          <w:szCs w:val="22"/>
        </w:rPr>
      </w:pPr>
    </w:p>
    <w:p w14:paraId="30DEB88F" w14:textId="77777777" w:rsidR="00143136" w:rsidRPr="00A70BA6" w:rsidRDefault="00143136" w:rsidP="00143136">
      <w:pPr>
        <w:spacing w:line="360" w:lineRule="auto"/>
        <w:ind w:right="49"/>
        <w:jc w:val="both"/>
        <w:rPr>
          <w:rFonts w:ascii="Palatino Linotype" w:eastAsia="Palatino Linotype" w:hAnsi="Palatino Linotype" w:cs="Palatino Linotype"/>
          <w:sz w:val="22"/>
          <w:szCs w:val="22"/>
        </w:rPr>
      </w:pPr>
      <w:r w:rsidRPr="00A70BA6">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6B5B0F01" w14:textId="77777777" w:rsidR="00143136" w:rsidRPr="00A70BA6" w:rsidRDefault="00143136" w:rsidP="00143136">
      <w:pPr>
        <w:spacing w:line="360" w:lineRule="auto"/>
        <w:ind w:right="49"/>
        <w:jc w:val="both"/>
        <w:rPr>
          <w:rFonts w:ascii="Palatino Linotype" w:eastAsia="Palatino Linotype" w:hAnsi="Palatino Linotype" w:cs="Palatino Linotype"/>
          <w:sz w:val="22"/>
          <w:szCs w:val="22"/>
        </w:rPr>
      </w:pPr>
    </w:p>
    <w:p w14:paraId="1F5B7707" w14:textId="77777777" w:rsidR="00143136" w:rsidRPr="00A70BA6" w:rsidRDefault="00143136" w:rsidP="00143136">
      <w:pPr>
        <w:spacing w:line="360" w:lineRule="auto"/>
        <w:ind w:left="567" w:right="560"/>
        <w:jc w:val="both"/>
        <w:rPr>
          <w:rFonts w:ascii="Palatino Linotype" w:eastAsia="Palatino Linotype" w:hAnsi="Palatino Linotype" w:cs="Palatino Linotype"/>
          <w:sz w:val="22"/>
          <w:szCs w:val="22"/>
        </w:rPr>
      </w:pPr>
      <w:r w:rsidRPr="00A70BA6">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A70BA6">
        <w:rPr>
          <w:rFonts w:ascii="Palatino Linotype" w:eastAsia="Palatino Linotype" w:hAnsi="Palatino Linotype" w:cs="Palatino Linotype"/>
          <w:sz w:val="22"/>
          <w:szCs w:val="22"/>
        </w:rPr>
        <w:t xml:space="preserve"> consultable en el Seminario Judicial de la Federación y su gaceta, con el registro digital 2002351.</w:t>
      </w:r>
    </w:p>
    <w:p w14:paraId="12F1FD1F" w14:textId="77777777" w:rsidR="00143136" w:rsidRPr="00A70BA6" w:rsidRDefault="00143136" w:rsidP="00143136">
      <w:pPr>
        <w:spacing w:line="360" w:lineRule="auto"/>
        <w:ind w:left="567" w:right="560"/>
        <w:jc w:val="both"/>
        <w:rPr>
          <w:rFonts w:ascii="Palatino Linotype" w:eastAsia="Palatino Linotype" w:hAnsi="Palatino Linotype" w:cs="Palatino Linotype"/>
          <w:sz w:val="22"/>
          <w:szCs w:val="22"/>
        </w:rPr>
      </w:pPr>
      <w:r w:rsidRPr="00A70BA6">
        <w:rPr>
          <w:rFonts w:ascii="Palatino Linotype" w:eastAsia="Palatino Linotype" w:hAnsi="Palatino Linotype" w:cs="Palatino Linotype"/>
          <w:b/>
          <w:sz w:val="22"/>
          <w:szCs w:val="22"/>
        </w:rPr>
        <w:t xml:space="preserve">“PLAZO RAZONABLE PARA RESOLVER. CONCEPTO Y ELEMENTOS QUE LO INTEGRAN A LA LUZ DEL DERECHO INTERNACIONAL DE </w:t>
      </w:r>
      <w:r w:rsidRPr="00A70BA6">
        <w:rPr>
          <w:rFonts w:ascii="Palatino Linotype" w:eastAsia="Palatino Linotype" w:hAnsi="Palatino Linotype" w:cs="Palatino Linotype"/>
          <w:b/>
          <w:sz w:val="22"/>
          <w:szCs w:val="22"/>
        </w:rPr>
        <w:lastRenderedPageBreak/>
        <w:t>LOS DERECHOS HUMANOS.”,</w:t>
      </w:r>
      <w:r w:rsidRPr="00A70BA6">
        <w:rPr>
          <w:rFonts w:ascii="Palatino Linotype" w:eastAsia="Palatino Linotype" w:hAnsi="Palatino Linotype" w:cs="Palatino Linotype"/>
          <w:sz w:val="22"/>
          <w:szCs w:val="22"/>
        </w:rPr>
        <w:t xml:space="preserve"> visible en el Seminario Judicial de la Federación y su gaceta, con el registro digital 2002350.</w:t>
      </w:r>
    </w:p>
    <w:p w14:paraId="68883CDD" w14:textId="77777777" w:rsidR="00143136" w:rsidRPr="00A70BA6" w:rsidRDefault="00143136" w:rsidP="00143136">
      <w:pPr>
        <w:spacing w:line="360" w:lineRule="auto"/>
        <w:ind w:left="567" w:right="560"/>
        <w:jc w:val="both"/>
        <w:rPr>
          <w:rFonts w:ascii="Palatino Linotype" w:eastAsia="Palatino Linotype" w:hAnsi="Palatino Linotype" w:cs="Palatino Linotype"/>
          <w:sz w:val="22"/>
          <w:szCs w:val="22"/>
        </w:rPr>
      </w:pPr>
    </w:p>
    <w:p w14:paraId="2DDD92DD" w14:textId="4D93E9BD" w:rsidR="00143136" w:rsidRPr="00A70BA6" w:rsidRDefault="00143136" w:rsidP="0014313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A70BA6">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367A0ADB" w14:textId="77777777" w:rsidR="00CF7DC1" w:rsidRPr="00A70BA6" w:rsidRDefault="00CF7DC1">
      <w:pPr>
        <w:spacing w:line="360" w:lineRule="auto"/>
        <w:jc w:val="both"/>
        <w:rPr>
          <w:rFonts w:ascii="Palatino Linotype" w:eastAsia="Palatino Linotype" w:hAnsi="Palatino Linotype" w:cs="Palatino Linotype"/>
          <w:sz w:val="22"/>
          <w:szCs w:val="22"/>
        </w:rPr>
      </w:pPr>
    </w:p>
    <w:p w14:paraId="02FF4755" w14:textId="7833EA3C" w:rsidR="00CF7DC1" w:rsidRPr="00A70BA6" w:rsidRDefault="008E39FE">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A70BA6">
        <w:rPr>
          <w:rFonts w:ascii="Palatino Linotype" w:eastAsia="Palatino Linotype" w:hAnsi="Palatino Linotype" w:cs="Palatino Linotype"/>
          <w:b/>
          <w:sz w:val="22"/>
          <w:szCs w:val="22"/>
        </w:rPr>
        <w:t xml:space="preserve">Cierre de instrucción. </w:t>
      </w:r>
      <w:r w:rsidRPr="00A70BA6">
        <w:rPr>
          <w:rFonts w:ascii="Palatino Linotype" w:eastAsia="Palatino Linotype" w:hAnsi="Palatino Linotype" w:cs="Palatino Linotype"/>
          <w:sz w:val="22"/>
          <w:szCs w:val="22"/>
        </w:rPr>
        <w:t xml:space="preserve">El </w:t>
      </w:r>
      <w:r w:rsidR="007A0898" w:rsidRPr="00A70BA6">
        <w:rPr>
          <w:rFonts w:ascii="Palatino Linotype" w:eastAsia="Palatino Linotype" w:hAnsi="Palatino Linotype" w:cs="Palatino Linotype"/>
          <w:b/>
          <w:sz w:val="22"/>
          <w:szCs w:val="22"/>
        </w:rPr>
        <w:t>once</w:t>
      </w:r>
      <w:r w:rsidR="00883406" w:rsidRPr="00A70BA6">
        <w:rPr>
          <w:rFonts w:ascii="Palatino Linotype" w:eastAsia="Palatino Linotype" w:hAnsi="Palatino Linotype" w:cs="Palatino Linotype"/>
          <w:b/>
          <w:sz w:val="22"/>
          <w:szCs w:val="22"/>
        </w:rPr>
        <w:t xml:space="preserve"> de </w:t>
      </w:r>
      <w:r w:rsidR="000C038C" w:rsidRPr="00A70BA6">
        <w:rPr>
          <w:rFonts w:ascii="Palatino Linotype" w:eastAsia="Palatino Linotype" w:hAnsi="Palatino Linotype" w:cs="Palatino Linotype"/>
          <w:b/>
          <w:sz w:val="22"/>
          <w:szCs w:val="22"/>
        </w:rPr>
        <w:t>septiembre</w:t>
      </w:r>
      <w:r w:rsidRPr="00A70BA6">
        <w:rPr>
          <w:rFonts w:ascii="Palatino Linotype" w:eastAsia="Palatino Linotype" w:hAnsi="Palatino Linotype" w:cs="Palatino Linotype"/>
          <w:b/>
          <w:sz w:val="22"/>
          <w:szCs w:val="22"/>
        </w:rPr>
        <w:t xml:space="preserve"> de dos mil veinticinco</w:t>
      </w:r>
      <w:r w:rsidRPr="00A70BA6">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6603E34" w14:textId="77777777" w:rsidR="00CF7DC1" w:rsidRPr="00A70BA6" w:rsidRDefault="00CF7DC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053F1ED3" w14:textId="77777777" w:rsidR="00CF7DC1" w:rsidRPr="00A70BA6" w:rsidRDefault="008E39FE">
      <w:pPr>
        <w:spacing w:line="360" w:lineRule="auto"/>
        <w:jc w:val="both"/>
        <w:rPr>
          <w:rFonts w:ascii="Palatino Linotype" w:eastAsia="Palatino Linotype" w:hAnsi="Palatino Linotype" w:cs="Palatino Linotype"/>
          <w:sz w:val="22"/>
          <w:szCs w:val="22"/>
        </w:rPr>
      </w:pPr>
      <w:r w:rsidRPr="00A70BA6">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534DC62" w14:textId="77777777" w:rsidR="00CF7DC1" w:rsidRPr="00A70BA6" w:rsidRDefault="008E39FE">
      <w:pPr>
        <w:numPr>
          <w:ilvl w:val="0"/>
          <w:numId w:val="2"/>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2" w:name="_heading=h.30j0zll" w:colFirst="0" w:colLast="0"/>
      <w:bookmarkEnd w:id="2"/>
      <w:r w:rsidRPr="00A70BA6">
        <w:rPr>
          <w:rFonts w:ascii="Palatino Linotype" w:eastAsia="Palatino Linotype" w:hAnsi="Palatino Linotype" w:cs="Palatino Linotype"/>
          <w:b/>
          <w:sz w:val="22"/>
          <w:szCs w:val="22"/>
        </w:rPr>
        <w:t>C O N S I D E R A N D O:</w:t>
      </w:r>
    </w:p>
    <w:p w14:paraId="77F75571" w14:textId="77777777" w:rsidR="00CF7DC1" w:rsidRPr="00A70BA6" w:rsidRDefault="00CF7DC1">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6695D8F1" w14:textId="77777777" w:rsidR="00CF7DC1" w:rsidRPr="00A70BA6" w:rsidRDefault="008E39FE">
      <w:pPr>
        <w:spacing w:line="360" w:lineRule="auto"/>
        <w:ind w:right="49"/>
        <w:jc w:val="both"/>
        <w:rPr>
          <w:rFonts w:ascii="Palatino Linotype" w:eastAsia="Palatino Linotype" w:hAnsi="Palatino Linotype" w:cs="Palatino Linotype"/>
          <w:sz w:val="22"/>
          <w:szCs w:val="22"/>
        </w:rPr>
      </w:pPr>
      <w:r w:rsidRPr="00A70BA6">
        <w:rPr>
          <w:rFonts w:ascii="Palatino Linotype" w:eastAsia="Palatino Linotype" w:hAnsi="Palatino Linotype" w:cs="Palatino Linotype"/>
          <w:b/>
          <w:sz w:val="22"/>
          <w:szCs w:val="22"/>
        </w:rPr>
        <w:t>Primero. Competencia.</w:t>
      </w:r>
      <w:r w:rsidRPr="00A70BA6">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w:t>
      </w:r>
      <w:r w:rsidRPr="00A70BA6">
        <w:rPr>
          <w:rFonts w:ascii="Palatino Linotype" w:eastAsia="Palatino Linotype" w:hAnsi="Palatino Linotype" w:cs="Palatino Linotype"/>
          <w:sz w:val="22"/>
          <w:szCs w:val="22"/>
        </w:rPr>
        <w:lastRenderedPageBreak/>
        <w:t>la Información Pública y Protección de Datos Personales del Estado de México y Municipios.</w:t>
      </w:r>
    </w:p>
    <w:p w14:paraId="1DB0905C" w14:textId="77777777" w:rsidR="00CF7DC1" w:rsidRPr="00A70BA6" w:rsidRDefault="00CF7DC1">
      <w:pPr>
        <w:spacing w:line="360" w:lineRule="auto"/>
        <w:jc w:val="both"/>
        <w:rPr>
          <w:rFonts w:ascii="Palatino Linotype" w:eastAsia="Palatino Linotype" w:hAnsi="Palatino Linotype" w:cs="Palatino Linotype"/>
          <w:b/>
          <w:sz w:val="22"/>
          <w:szCs w:val="22"/>
        </w:rPr>
      </w:pPr>
    </w:p>
    <w:p w14:paraId="199EE819" w14:textId="77777777" w:rsidR="00CF7DC1" w:rsidRPr="00A70BA6" w:rsidRDefault="008E39FE">
      <w:pPr>
        <w:spacing w:line="360" w:lineRule="auto"/>
        <w:jc w:val="both"/>
        <w:rPr>
          <w:rFonts w:ascii="Palatino Linotype" w:eastAsia="Palatino Linotype" w:hAnsi="Palatino Linotype" w:cs="Palatino Linotype"/>
          <w:sz w:val="22"/>
          <w:szCs w:val="22"/>
        </w:rPr>
      </w:pPr>
      <w:r w:rsidRPr="00A70BA6">
        <w:rPr>
          <w:rFonts w:ascii="Palatino Linotype" w:eastAsia="Palatino Linotype" w:hAnsi="Palatino Linotype" w:cs="Palatino Linotype"/>
          <w:b/>
          <w:sz w:val="22"/>
          <w:szCs w:val="22"/>
        </w:rPr>
        <w:t>Segundo. Oportunidad y Procedibilidad del Recurso de Revisión</w:t>
      </w:r>
      <w:r w:rsidRPr="00A70BA6">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03AD649" w14:textId="77777777" w:rsidR="00CF7DC1" w:rsidRPr="00A70BA6" w:rsidRDefault="00CF7DC1">
      <w:pPr>
        <w:spacing w:line="360" w:lineRule="auto"/>
        <w:jc w:val="both"/>
        <w:rPr>
          <w:rFonts w:ascii="Palatino Linotype" w:eastAsia="Palatino Linotype" w:hAnsi="Palatino Linotype" w:cs="Palatino Linotype"/>
          <w:sz w:val="22"/>
          <w:szCs w:val="22"/>
        </w:rPr>
      </w:pPr>
    </w:p>
    <w:p w14:paraId="3DAB1A24" w14:textId="6A4F055A" w:rsidR="00D60EE8" w:rsidRPr="00A70BA6" w:rsidRDefault="008E39FE" w:rsidP="00D60EE8">
      <w:pPr>
        <w:spacing w:line="360" w:lineRule="auto"/>
        <w:ind w:right="49"/>
        <w:jc w:val="both"/>
        <w:rPr>
          <w:rFonts w:ascii="Palatino Linotype" w:eastAsia="Palatino Linotype" w:hAnsi="Palatino Linotype" w:cs="Palatino Linotype"/>
          <w:sz w:val="22"/>
          <w:szCs w:val="22"/>
        </w:rPr>
      </w:pPr>
      <w:r w:rsidRPr="00A70BA6">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A70BA6">
        <w:rPr>
          <w:rFonts w:ascii="Palatino Linotype" w:eastAsia="Palatino Linotype" w:hAnsi="Palatino Linotype" w:cs="Palatino Linotype"/>
          <w:b/>
          <w:sz w:val="22"/>
          <w:szCs w:val="22"/>
        </w:rPr>
        <w:t>SUJETO OBLIGADO</w:t>
      </w:r>
      <w:r w:rsidRPr="00A70BA6">
        <w:rPr>
          <w:rFonts w:ascii="Palatino Linotype" w:eastAsia="Palatino Linotype" w:hAnsi="Palatino Linotype" w:cs="Palatino Linotype"/>
          <w:sz w:val="22"/>
          <w:szCs w:val="22"/>
        </w:rPr>
        <w:t xml:space="preserve"> proporcionó su respuesta a la solicitud de información el </w:t>
      </w:r>
      <w:r w:rsidR="007A0898" w:rsidRPr="00A70BA6">
        <w:rPr>
          <w:rFonts w:ascii="Palatino Linotype" w:eastAsia="Palatino Linotype" w:hAnsi="Palatino Linotype" w:cs="Palatino Linotype"/>
          <w:b/>
          <w:sz w:val="22"/>
          <w:szCs w:val="22"/>
        </w:rPr>
        <w:t>veintitrés</w:t>
      </w:r>
      <w:r w:rsidR="00424300" w:rsidRPr="00A70BA6">
        <w:rPr>
          <w:rFonts w:ascii="Palatino Linotype" w:eastAsia="Palatino Linotype" w:hAnsi="Palatino Linotype" w:cs="Palatino Linotype"/>
          <w:b/>
          <w:sz w:val="22"/>
          <w:szCs w:val="22"/>
        </w:rPr>
        <w:t xml:space="preserve"> de </w:t>
      </w:r>
      <w:r w:rsidR="007A0898" w:rsidRPr="00A70BA6">
        <w:rPr>
          <w:rFonts w:ascii="Palatino Linotype" w:eastAsia="Palatino Linotype" w:hAnsi="Palatino Linotype" w:cs="Palatino Linotype"/>
          <w:b/>
          <w:sz w:val="22"/>
          <w:szCs w:val="22"/>
        </w:rPr>
        <w:t>abril</w:t>
      </w:r>
      <w:r w:rsidR="00424300" w:rsidRPr="00A70BA6">
        <w:rPr>
          <w:rFonts w:ascii="Palatino Linotype" w:eastAsia="Palatino Linotype" w:hAnsi="Palatino Linotype" w:cs="Palatino Linotype"/>
          <w:b/>
          <w:sz w:val="22"/>
          <w:szCs w:val="22"/>
        </w:rPr>
        <w:t xml:space="preserve"> de dos mil</w:t>
      </w:r>
      <w:r w:rsidRPr="00A70BA6">
        <w:rPr>
          <w:rFonts w:ascii="Palatino Linotype" w:eastAsia="Palatino Linotype" w:hAnsi="Palatino Linotype" w:cs="Palatino Linotype"/>
          <w:b/>
          <w:sz w:val="22"/>
          <w:szCs w:val="22"/>
        </w:rPr>
        <w:t xml:space="preserve"> veinticinco</w:t>
      </w:r>
      <w:r w:rsidRPr="00A70BA6">
        <w:rPr>
          <w:rFonts w:ascii="Palatino Linotype" w:eastAsia="Palatino Linotype" w:hAnsi="Palatino Linotype" w:cs="Palatino Linotype"/>
          <w:sz w:val="22"/>
          <w:szCs w:val="22"/>
        </w:rPr>
        <w:t xml:space="preserve"> y </w:t>
      </w:r>
      <w:r w:rsidR="00883406" w:rsidRPr="00A70BA6">
        <w:rPr>
          <w:rFonts w:ascii="Palatino Linotype" w:eastAsia="Palatino Linotype" w:hAnsi="Palatino Linotype" w:cs="Palatino Linotype"/>
          <w:sz w:val="22"/>
          <w:szCs w:val="22"/>
        </w:rPr>
        <w:t xml:space="preserve">el recurso se tuvo por presentado el </w:t>
      </w:r>
      <w:r w:rsidR="007A0898" w:rsidRPr="00A70BA6">
        <w:rPr>
          <w:rFonts w:ascii="Palatino Linotype" w:eastAsia="Palatino Linotype" w:hAnsi="Palatino Linotype" w:cs="Palatino Linotype"/>
          <w:b/>
          <w:sz w:val="22"/>
          <w:szCs w:val="22"/>
        </w:rPr>
        <w:t>seis</w:t>
      </w:r>
      <w:r w:rsidR="00424300" w:rsidRPr="00A70BA6">
        <w:rPr>
          <w:rFonts w:ascii="Palatino Linotype" w:eastAsia="Palatino Linotype" w:hAnsi="Palatino Linotype" w:cs="Palatino Linotype"/>
          <w:b/>
          <w:sz w:val="22"/>
          <w:szCs w:val="22"/>
        </w:rPr>
        <w:t xml:space="preserve"> de </w:t>
      </w:r>
      <w:r w:rsidR="007A0898" w:rsidRPr="00A70BA6">
        <w:rPr>
          <w:rFonts w:ascii="Palatino Linotype" w:eastAsia="Palatino Linotype" w:hAnsi="Palatino Linotype" w:cs="Palatino Linotype"/>
          <w:b/>
          <w:sz w:val="22"/>
          <w:szCs w:val="22"/>
        </w:rPr>
        <w:t>mayo</w:t>
      </w:r>
      <w:r w:rsidR="00E71CDD" w:rsidRPr="00A70BA6">
        <w:rPr>
          <w:rFonts w:ascii="Palatino Linotype" w:eastAsia="Palatino Linotype" w:hAnsi="Palatino Linotype" w:cs="Palatino Linotype"/>
          <w:b/>
          <w:sz w:val="22"/>
          <w:szCs w:val="22"/>
        </w:rPr>
        <w:t xml:space="preserve"> de dos mil veinticinco</w:t>
      </w:r>
      <w:r w:rsidR="007A0898" w:rsidRPr="00A70BA6">
        <w:rPr>
          <w:rFonts w:ascii="Palatino Linotype" w:eastAsia="Palatino Linotype" w:hAnsi="Palatino Linotype" w:cs="Palatino Linotype"/>
          <w:sz w:val="22"/>
          <w:szCs w:val="22"/>
        </w:rPr>
        <w:t xml:space="preserve">, esto es al </w:t>
      </w:r>
      <w:r w:rsidR="007A0898" w:rsidRPr="00A70BA6">
        <w:rPr>
          <w:rFonts w:ascii="Palatino Linotype" w:eastAsia="Palatino Linotype" w:hAnsi="Palatino Linotype" w:cs="Palatino Linotype"/>
          <w:b/>
          <w:sz w:val="22"/>
          <w:szCs w:val="22"/>
        </w:rPr>
        <w:t>séptimo día</w:t>
      </w:r>
      <w:r w:rsidR="007A0898" w:rsidRPr="00A70BA6">
        <w:rPr>
          <w:rFonts w:ascii="Palatino Linotype" w:eastAsia="Palatino Linotype" w:hAnsi="Palatino Linotype" w:cs="Palatino Linotype"/>
          <w:sz w:val="22"/>
          <w:szCs w:val="22"/>
        </w:rPr>
        <w:t xml:space="preserve"> que se tuvo conocimiento de la solicitud.</w:t>
      </w:r>
    </w:p>
    <w:p w14:paraId="4854A724" w14:textId="77777777" w:rsidR="00D60EE8" w:rsidRPr="00A70BA6" w:rsidRDefault="00D60EE8" w:rsidP="00D60EE8">
      <w:pPr>
        <w:spacing w:line="360" w:lineRule="auto"/>
        <w:ind w:right="49"/>
        <w:jc w:val="both"/>
        <w:rPr>
          <w:rFonts w:ascii="Palatino Linotype" w:eastAsia="Palatino Linotype" w:hAnsi="Palatino Linotype" w:cs="Palatino Linotype"/>
          <w:sz w:val="22"/>
          <w:szCs w:val="22"/>
        </w:rPr>
      </w:pPr>
    </w:p>
    <w:p w14:paraId="508888D2" w14:textId="20F5BAA8" w:rsidR="00D60EE8" w:rsidRPr="00A70BA6" w:rsidRDefault="008E39FE">
      <w:pPr>
        <w:spacing w:line="360" w:lineRule="auto"/>
        <w:jc w:val="both"/>
        <w:rPr>
          <w:rFonts w:ascii="Palatino Linotype" w:eastAsia="Palatino Linotype" w:hAnsi="Palatino Linotype" w:cs="Palatino Linotype"/>
          <w:b/>
          <w:sz w:val="22"/>
          <w:szCs w:val="22"/>
        </w:rPr>
      </w:pPr>
      <w:r w:rsidRPr="00A70BA6">
        <w:rPr>
          <w:rFonts w:ascii="Palatino Linotype" w:eastAsia="Palatino Linotype" w:hAnsi="Palatino Linotype" w:cs="Palatino Linotype"/>
          <w:sz w:val="22"/>
          <w:szCs w:val="22"/>
        </w:rPr>
        <w:t xml:space="preserve">De acuerdo con 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A70BA6">
        <w:rPr>
          <w:rFonts w:ascii="Palatino Linotype" w:eastAsia="Palatino Linotype" w:hAnsi="Palatino Linotype" w:cs="Palatino Linotype"/>
          <w:b/>
          <w:sz w:val="22"/>
          <w:szCs w:val="22"/>
        </w:rPr>
        <w:t>EL SAIMEX.</w:t>
      </w:r>
    </w:p>
    <w:p w14:paraId="59F6C3CE" w14:textId="77777777" w:rsidR="00D60EE8" w:rsidRPr="00A70BA6" w:rsidRDefault="00D60EE8" w:rsidP="00D60EE8">
      <w:pPr>
        <w:pStyle w:val="NormalWeb"/>
        <w:spacing w:before="240" w:beforeAutospacing="0" w:after="240" w:afterAutospacing="0" w:line="360" w:lineRule="auto"/>
        <w:ind w:right="49"/>
        <w:jc w:val="both"/>
        <w:rPr>
          <w:rFonts w:ascii="Palatino Linotype" w:hAnsi="Palatino Linotype"/>
          <w:sz w:val="22"/>
          <w:szCs w:val="22"/>
        </w:rPr>
      </w:pPr>
      <w:r w:rsidRPr="00A70BA6">
        <w:rPr>
          <w:rFonts w:ascii="Palatino Linotype" w:hAnsi="Palatino Linotype"/>
          <w:sz w:val="22"/>
          <w:szCs w:val="22"/>
        </w:rPr>
        <w:t xml:space="preserve">Asimismo por cuanto hace a la procedibilidad del recurso de revisión, es de suma importancia señalar que </w:t>
      </w:r>
      <w:r w:rsidRPr="00A70BA6">
        <w:rPr>
          <w:rFonts w:ascii="Palatino Linotype" w:hAnsi="Palatino Linotype"/>
          <w:b/>
          <w:bCs/>
          <w:sz w:val="22"/>
          <w:szCs w:val="22"/>
        </w:rPr>
        <w:t>la parte</w:t>
      </w:r>
      <w:r w:rsidRPr="00A70BA6">
        <w:rPr>
          <w:rFonts w:ascii="Palatino Linotype" w:hAnsi="Palatino Linotype"/>
          <w:sz w:val="22"/>
          <w:szCs w:val="22"/>
        </w:rPr>
        <w:t xml:space="preserve"> </w:t>
      </w:r>
      <w:r w:rsidRPr="00A70BA6">
        <w:rPr>
          <w:rFonts w:ascii="Palatino Linotype" w:hAnsi="Palatino Linotype"/>
          <w:b/>
          <w:bCs/>
          <w:sz w:val="22"/>
          <w:szCs w:val="22"/>
        </w:rPr>
        <w:t>Recurrente</w:t>
      </w:r>
      <w:r w:rsidRPr="00A70BA6">
        <w:rPr>
          <w:rFonts w:ascii="Palatino Linotype" w:hAnsi="Palatino Linotype"/>
          <w:sz w:val="22"/>
          <w:szCs w:val="22"/>
        </w:rPr>
        <w:t xml:space="preserve"> </w:t>
      </w:r>
      <w:r w:rsidRPr="00A70BA6">
        <w:rPr>
          <w:rFonts w:ascii="Palatino Linotype" w:hAnsi="Palatino Linotype"/>
          <w:b/>
          <w:bCs/>
          <w:sz w:val="22"/>
          <w:szCs w:val="22"/>
          <w:u w:val="single"/>
        </w:rPr>
        <w:t>no proporcionó nombre o seudónimo</w:t>
      </w:r>
      <w:r w:rsidRPr="00A70BA6">
        <w:rPr>
          <w:rFonts w:ascii="Palatino Linotype" w:hAnsi="Palatino Linotype"/>
          <w:sz w:val="22"/>
          <w:szCs w:val="22"/>
        </w:rPr>
        <w:t xml:space="preserve"> con el que desea que se le identifique</w:t>
      </w:r>
      <w:r w:rsidRPr="00A70BA6">
        <w:rPr>
          <w:rFonts w:ascii="Palatino Linotype" w:hAnsi="Palatino Linotype"/>
          <w:b/>
          <w:bCs/>
          <w:sz w:val="22"/>
          <w:szCs w:val="22"/>
        </w:rPr>
        <w:t>,</w:t>
      </w:r>
      <w:r w:rsidRPr="00A70BA6">
        <w:rPr>
          <w:rFonts w:ascii="Palatino Linotype" w:hAnsi="Palatino Linotype"/>
          <w:sz w:val="22"/>
          <w:szCs w:val="22"/>
        </w:rPr>
        <w:t xml:space="preserve"> como se advierte en el detalle de seguimiento del SAIMEX, no obstante lo anterior, no proporcionar el nombre no es motivo para archivar la solicitud de acceso a la información pública como concluida, conforme a lo previsto en el artículo </w:t>
      </w:r>
      <w:r w:rsidRPr="00A70BA6">
        <w:rPr>
          <w:rFonts w:ascii="Palatino Linotype" w:hAnsi="Palatino Linotype"/>
          <w:sz w:val="22"/>
          <w:szCs w:val="22"/>
        </w:rPr>
        <w:lastRenderedPageBreak/>
        <w:t>155, penúltimo párrafo de la Ley de Transparencia y Acceso a la Información Pública del Estado de México y Municipios que establece lo siguiente:</w:t>
      </w:r>
    </w:p>
    <w:p w14:paraId="09583404" w14:textId="73AD6069" w:rsidR="00CF7DC1" w:rsidRPr="00A70BA6" w:rsidRDefault="00D60EE8" w:rsidP="00D60EE8">
      <w:pPr>
        <w:pStyle w:val="NormalWeb"/>
        <w:spacing w:before="240" w:beforeAutospacing="0" w:after="240" w:afterAutospacing="0" w:line="360" w:lineRule="auto"/>
        <w:ind w:left="851" w:right="902"/>
        <w:jc w:val="both"/>
        <w:rPr>
          <w:rFonts w:ascii="Palatino Linotype" w:hAnsi="Palatino Linotype"/>
          <w:sz w:val="22"/>
          <w:szCs w:val="22"/>
        </w:rPr>
      </w:pPr>
      <w:r w:rsidRPr="00A70BA6">
        <w:rPr>
          <w:rFonts w:ascii="Palatino Linotype" w:hAnsi="Palatino Linotype"/>
          <w:i/>
          <w:iCs/>
          <w:sz w:val="22"/>
          <w:szCs w:val="22"/>
        </w:rPr>
        <w:t>"</w:t>
      </w:r>
      <w:r w:rsidRPr="00A70BA6">
        <w:rPr>
          <w:rFonts w:ascii="Palatino Linotype" w:hAnsi="Palatino Linotype"/>
          <w:b/>
          <w:bCs/>
          <w:i/>
          <w:iCs/>
          <w:sz w:val="22"/>
          <w:szCs w:val="22"/>
        </w:rPr>
        <w:t xml:space="preserve">Las solicitudes </w:t>
      </w:r>
      <w:r w:rsidRPr="00A70BA6">
        <w:rPr>
          <w:rFonts w:ascii="Palatino Linotype" w:hAnsi="Palatino Linotype"/>
          <w:i/>
          <w:iCs/>
          <w:sz w:val="22"/>
          <w:szCs w:val="22"/>
        </w:rPr>
        <w:t xml:space="preserve">anónimas, con </w:t>
      </w:r>
      <w:r w:rsidRPr="00A70BA6">
        <w:rPr>
          <w:rFonts w:ascii="Palatino Linotype" w:hAnsi="Palatino Linotype"/>
          <w:b/>
          <w:bCs/>
          <w:i/>
          <w:iCs/>
          <w:sz w:val="22"/>
          <w:szCs w:val="22"/>
        </w:rPr>
        <w:t>nombre incompleto o seudónimo</w:t>
      </w:r>
      <w:r w:rsidRPr="00A70BA6">
        <w:rPr>
          <w:rFonts w:ascii="Palatino Linotype" w:hAnsi="Palatino Linotype"/>
          <w:i/>
          <w:iCs/>
          <w:sz w:val="22"/>
          <w:szCs w:val="22"/>
        </w:rPr>
        <w:t xml:space="preserve"> </w:t>
      </w:r>
      <w:r w:rsidRPr="00A70BA6">
        <w:rPr>
          <w:rFonts w:ascii="Palatino Linotype" w:hAnsi="Palatino Linotype"/>
          <w:b/>
          <w:bCs/>
          <w:i/>
          <w:iCs/>
          <w:sz w:val="22"/>
          <w:szCs w:val="22"/>
        </w:rPr>
        <w:t>serán procedentes para su trámite por parte del sujeto obligado ante quien se presente</w:t>
      </w:r>
      <w:r w:rsidRPr="00A70BA6">
        <w:rPr>
          <w:rFonts w:ascii="Palatino Linotype" w:hAnsi="Palatino Linotype"/>
          <w:i/>
          <w:iCs/>
          <w:sz w:val="22"/>
          <w:szCs w:val="22"/>
        </w:rPr>
        <w:t>. No podrá requerirse información adicional con motivo del nombre proporcionado por el solicitante."(Énfasis añadido)</w:t>
      </w:r>
    </w:p>
    <w:p w14:paraId="1B8968F4" w14:textId="69B0F43C" w:rsidR="00CF7DC1" w:rsidRPr="00A70BA6" w:rsidRDefault="008E39FE">
      <w:pPr>
        <w:spacing w:line="360" w:lineRule="auto"/>
        <w:jc w:val="both"/>
        <w:rPr>
          <w:rFonts w:ascii="Palatino Linotype" w:eastAsia="Palatino Linotype" w:hAnsi="Palatino Linotype" w:cs="Palatino Linotype"/>
          <w:sz w:val="22"/>
          <w:szCs w:val="22"/>
        </w:rPr>
      </w:pPr>
      <w:r w:rsidRPr="00A70BA6">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w:t>
      </w:r>
      <w:r w:rsidR="00D60EE8" w:rsidRPr="00A70BA6">
        <w:rPr>
          <w:rFonts w:ascii="Palatino Linotype" w:eastAsia="Palatino Linotype" w:hAnsi="Palatino Linotype" w:cs="Palatino Linotype"/>
          <w:sz w:val="22"/>
          <w:szCs w:val="22"/>
        </w:rPr>
        <w:t xml:space="preserve"> </w:t>
      </w:r>
      <w:r w:rsidR="007A0898" w:rsidRPr="00A70BA6">
        <w:rPr>
          <w:rFonts w:ascii="Palatino Linotype" w:eastAsia="Palatino Linotype" w:hAnsi="Palatino Linotype" w:cs="Palatino Linotype"/>
          <w:sz w:val="22"/>
          <w:szCs w:val="22"/>
        </w:rPr>
        <w:t>I</w:t>
      </w:r>
      <w:r w:rsidRPr="00A70BA6">
        <w:rPr>
          <w:rFonts w:ascii="Palatino Linotype" w:eastAsia="Palatino Linotype" w:hAnsi="Palatino Linotype" w:cs="Palatino Linotype"/>
          <w:sz w:val="22"/>
          <w:szCs w:val="22"/>
        </w:rPr>
        <w:t xml:space="preserve"> de la ley de la materia, que a la letra dice:</w:t>
      </w:r>
    </w:p>
    <w:p w14:paraId="018C14BD" w14:textId="77777777" w:rsidR="00CF7DC1" w:rsidRPr="00A70BA6" w:rsidRDefault="00CF7DC1">
      <w:pPr>
        <w:spacing w:line="360" w:lineRule="auto"/>
        <w:jc w:val="both"/>
        <w:rPr>
          <w:rFonts w:ascii="Palatino Linotype" w:eastAsia="Palatino Linotype" w:hAnsi="Palatino Linotype" w:cs="Palatino Linotype"/>
          <w:sz w:val="22"/>
          <w:szCs w:val="22"/>
        </w:rPr>
      </w:pPr>
    </w:p>
    <w:p w14:paraId="76043DB2" w14:textId="77777777" w:rsidR="00CF7DC1" w:rsidRPr="00A70BA6" w:rsidRDefault="008E39FE">
      <w:pPr>
        <w:spacing w:line="276" w:lineRule="auto"/>
        <w:ind w:left="567" w:right="616"/>
        <w:jc w:val="both"/>
        <w:rPr>
          <w:rFonts w:ascii="Palatino Linotype" w:eastAsia="Palatino Linotype" w:hAnsi="Palatino Linotype" w:cs="Palatino Linotype"/>
          <w:i/>
          <w:sz w:val="22"/>
          <w:szCs w:val="22"/>
        </w:rPr>
      </w:pPr>
      <w:r w:rsidRPr="00A70BA6">
        <w:rPr>
          <w:rFonts w:ascii="Palatino Linotype" w:eastAsia="Palatino Linotype" w:hAnsi="Palatino Linotype" w:cs="Palatino Linotype"/>
          <w:i/>
          <w:sz w:val="22"/>
          <w:szCs w:val="22"/>
        </w:rPr>
        <w:t>“</w:t>
      </w:r>
      <w:r w:rsidRPr="00A70BA6">
        <w:rPr>
          <w:rFonts w:ascii="Palatino Linotype" w:eastAsia="Palatino Linotype" w:hAnsi="Palatino Linotype" w:cs="Palatino Linotype"/>
          <w:b/>
          <w:i/>
          <w:sz w:val="22"/>
          <w:szCs w:val="22"/>
        </w:rPr>
        <w:t xml:space="preserve">Artículo 179. </w:t>
      </w:r>
      <w:r w:rsidRPr="00A70BA6">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2F207B68" w14:textId="77777777" w:rsidR="007A0898" w:rsidRPr="00A70BA6" w:rsidRDefault="007A0898">
      <w:pPr>
        <w:spacing w:line="276" w:lineRule="auto"/>
        <w:ind w:left="567" w:right="616"/>
        <w:jc w:val="both"/>
        <w:rPr>
          <w:rFonts w:ascii="Palatino Linotype" w:eastAsia="Palatino Linotype" w:hAnsi="Palatino Linotype" w:cs="Palatino Linotype"/>
          <w:i/>
          <w:sz w:val="22"/>
          <w:szCs w:val="22"/>
        </w:rPr>
      </w:pPr>
    </w:p>
    <w:p w14:paraId="145D756D" w14:textId="22C30841" w:rsidR="00D60EE8" w:rsidRPr="00A70BA6" w:rsidRDefault="007A0898" w:rsidP="007A0898">
      <w:pPr>
        <w:pStyle w:val="Prrafodelista"/>
        <w:numPr>
          <w:ilvl w:val="0"/>
          <w:numId w:val="10"/>
        </w:numPr>
        <w:spacing w:line="276" w:lineRule="auto"/>
        <w:ind w:right="616"/>
        <w:jc w:val="both"/>
        <w:rPr>
          <w:rFonts w:ascii="Palatino Linotype" w:eastAsia="Palatino Linotype" w:hAnsi="Palatino Linotype" w:cs="Palatino Linotype"/>
          <w:i/>
        </w:rPr>
      </w:pPr>
      <w:r w:rsidRPr="00A70BA6">
        <w:rPr>
          <w:rFonts w:ascii="Palatino Linotype" w:eastAsia="Palatino Linotype" w:hAnsi="Palatino Linotype" w:cs="Palatino Linotype"/>
          <w:i/>
        </w:rPr>
        <w:t>La negativa a la información solicitada;</w:t>
      </w:r>
    </w:p>
    <w:p w14:paraId="1B45B0B6" w14:textId="287BC126" w:rsidR="00CF7DC1" w:rsidRPr="00A70BA6" w:rsidRDefault="008E39FE" w:rsidP="00D60EE8">
      <w:pPr>
        <w:spacing w:line="360" w:lineRule="auto"/>
        <w:ind w:left="567" w:right="616"/>
        <w:jc w:val="both"/>
        <w:rPr>
          <w:rFonts w:ascii="Palatino Linotype" w:eastAsia="Palatino Linotype" w:hAnsi="Palatino Linotype" w:cs="Palatino Linotype"/>
          <w:i/>
          <w:sz w:val="22"/>
          <w:szCs w:val="22"/>
        </w:rPr>
      </w:pPr>
      <w:r w:rsidRPr="00A70BA6">
        <w:rPr>
          <w:rFonts w:ascii="Palatino Linotype" w:eastAsia="Palatino Linotype" w:hAnsi="Palatino Linotype" w:cs="Palatino Linotype"/>
          <w:i/>
          <w:sz w:val="22"/>
          <w:szCs w:val="22"/>
        </w:rPr>
        <w:t xml:space="preserve">…” </w:t>
      </w:r>
    </w:p>
    <w:p w14:paraId="5B98F62E" w14:textId="77777777" w:rsidR="00CF7DC1" w:rsidRPr="00A70BA6" w:rsidRDefault="00CF7DC1">
      <w:pPr>
        <w:spacing w:line="360" w:lineRule="auto"/>
        <w:ind w:left="567" w:right="616"/>
        <w:jc w:val="both"/>
        <w:rPr>
          <w:rFonts w:ascii="Palatino Linotype" w:eastAsia="Palatino Linotype" w:hAnsi="Palatino Linotype" w:cs="Palatino Linotype"/>
          <w:i/>
          <w:sz w:val="22"/>
          <w:szCs w:val="22"/>
        </w:rPr>
      </w:pPr>
    </w:p>
    <w:p w14:paraId="1629282B" w14:textId="55F9734F" w:rsidR="00CF7DC1" w:rsidRPr="00A70BA6" w:rsidRDefault="008E39FE">
      <w:pPr>
        <w:spacing w:line="360" w:lineRule="auto"/>
        <w:jc w:val="both"/>
        <w:rPr>
          <w:rFonts w:ascii="Palatino Linotype" w:eastAsia="Palatino Linotype" w:hAnsi="Palatino Linotype" w:cs="Palatino Linotype"/>
          <w:sz w:val="22"/>
          <w:szCs w:val="22"/>
        </w:rPr>
      </w:pPr>
      <w:r w:rsidRPr="00A70BA6">
        <w:rPr>
          <w:rFonts w:ascii="Palatino Linotype" w:eastAsia="Palatino Linotype" w:hAnsi="Palatino Linotype" w:cs="Palatino Linotype"/>
          <w:b/>
          <w:sz w:val="22"/>
          <w:szCs w:val="22"/>
        </w:rPr>
        <w:t>Tercero. Materia de Revisión</w:t>
      </w:r>
      <w:r w:rsidRPr="00A70BA6">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en determinar si se actualiza la fracción </w:t>
      </w:r>
      <w:r w:rsidR="007A0898" w:rsidRPr="00A70BA6">
        <w:rPr>
          <w:rFonts w:ascii="Palatino Linotype" w:eastAsia="Palatino Linotype" w:hAnsi="Palatino Linotype" w:cs="Palatino Linotype"/>
          <w:sz w:val="22"/>
          <w:szCs w:val="22"/>
        </w:rPr>
        <w:t xml:space="preserve">I </w:t>
      </w:r>
      <w:r w:rsidR="00D60EE8" w:rsidRPr="00A70BA6">
        <w:rPr>
          <w:rFonts w:ascii="Palatino Linotype" w:eastAsia="Palatino Linotype" w:hAnsi="Palatino Linotype" w:cs="Palatino Linotype"/>
          <w:sz w:val="22"/>
          <w:szCs w:val="22"/>
        </w:rPr>
        <w:t>del artículo 179</w:t>
      </w:r>
      <w:r w:rsidRPr="00A70BA6">
        <w:rPr>
          <w:rFonts w:ascii="Palatino Linotype" w:eastAsia="Palatino Linotype" w:hAnsi="Palatino Linotype" w:cs="Palatino Linotype"/>
          <w:sz w:val="22"/>
          <w:szCs w:val="22"/>
        </w:rPr>
        <w:t xml:space="preserve"> de la Ley de Transparencia y Acceso a la Información Pública del Estado de México y Municipios.  </w:t>
      </w:r>
    </w:p>
    <w:p w14:paraId="43F6AAD9" w14:textId="77777777" w:rsidR="00CF7DC1" w:rsidRPr="00A70BA6" w:rsidRDefault="00CF7DC1">
      <w:pPr>
        <w:spacing w:line="360" w:lineRule="auto"/>
        <w:ind w:right="49"/>
        <w:jc w:val="both"/>
        <w:rPr>
          <w:rFonts w:ascii="Palatino Linotype" w:eastAsia="Palatino Linotype" w:hAnsi="Palatino Linotype" w:cs="Palatino Linotype"/>
          <w:sz w:val="22"/>
          <w:szCs w:val="22"/>
        </w:rPr>
      </w:pPr>
    </w:p>
    <w:p w14:paraId="69052DA2" w14:textId="77777777" w:rsidR="00CF7DC1" w:rsidRPr="00A70BA6" w:rsidRDefault="008E39FE">
      <w:pPr>
        <w:spacing w:line="360" w:lineRule="auto"/>
        <w:ind w:right="49"/>
        <w:jc w:val="both"/>
        <w:rPr>
          <w:rFonts w:ascii="Palatino Linotype" w:eastAsia="Palatino Linotype" w:hAnsi="Palatino Linotype" w:cs="Palatino Linotype"/>
          <w:sz w:val="22"/>
          <w:szCs w:val="22"/>
        </w:rPr>
      </w:pPr>
      <w:r w:rsidRPr="00A70BA6">
        <w:rPr>
          <w:rFonts w:ascii="Palatino Linotype" w:eastAsia="Palatino Linotype" w:hAnsi="Palatino Linotype" w:cs="Palatino Linotype"/>
          <w:b/>
          <w:sz w:val="22"/>
          <w:szCs w:val="22"/>
        </w:rPr>
        <w:t>Cuarto.</w:t>
      </w:r>
      <w:r w:rsidRPr="00A70BA6">
        <w:rPr>
          <w:rFonts w:ascii="Palatino Linotype" w:eastAsia="Palatino Linotype" w:hAnsi="Palatino Linotype" w:cs="Palatino Linotype"/>
          <w:sz w:val="22"/>
          <w:szCs w:val="22"/>
        </w:rPr>
        <w:t xml:space="preserve"> </w:t>
      </w:r>
      <w:r w:rsidRPr="00A70BA6">
        <w:rPr>
          <w:rFonts w:ascii="Palatino Linotype" w:eastAsia="Palatino Linotype" w:hAnsi="Palatino Linotype" w:cs="Palatino Linotype"/>
          <w:b/>
          <w:sz w:val="22"/>
          <w:szCs w:val="22"/>
        </w:rPr>
        <w:t>Estudio de fondo del asunto.</w:t>
      </w:r>
      <w:r w:rsidRPr="00A70BA6">
        <w:rPr>
          <w:rFonts w:ascii="Palatino Linotype" w:eastAsia="Palatino Linotype" w:hAnsi="Palatino Linotype" w:cs="Palatino Linotype"/>
          <w:sz w:val="22"/>
          <w:szCs w:val="22"/>
        </w:rPr>
        <w:t xml:space="preserve">  Antes de entrar al análisis de los pronunciamientos del Sujeto Obligado en la respuesta proporcionada, es necesario mencionar que el derecho de acceso a la información está consagrado en instrumentos internacionales de los cuales el Estado Mexicano se ha adherido, sin oponer reserva alguna sobre lo que nos interesa, </w:t>
      </w:r>
      <w:r w:rsidRPr="00A70BA6">
        <w:rPr>
          <w:rFonts w:ascii="Palatino Linotype" w:eastAsia="Palatino Linotype" w:hAnsi="Palatino Linotype" w:cs="Palatino Linotype"/>
          <w:sz w:val="22"/>
          <w:szCs w:val="22"/>
        </w:rPr>
        <w:lastRenderedPageBreak/>
        <w:t>adoptando dichas disposiciones al Derecho Interno, específicamente a nivel Constitucional, tal y como lo prevén los arábigos 1 párrafos primero, segundo y tercero y 6 apartado A fracciones I, II, III, IV, V, VI y VII que a la letra señalan:</w:t>
      </w:r>
    </w:p>
    <w:p w14:paraId="06B481C9" w14:textId="77777777" w:rsidR="00CF7DC1" w:rsidRPr="00A70BA6" w:rsidRDefault="00CF7DC1">
      <w:pPr>
        <w:ind w:left="567" w:right="560"/>
        <w:jc w:val="both"/>
        <w:rPr>
          <w:rFonts w:ascii="Palatino Linotype" w:eastAsia="Palatino Linotype" w:hAnsi="Palatino Linotype" w:cs="Palatino Linotype"/>
          <w:i/>
          <w:sz w:val="22"/>
          <w:szCs w:val="22"/>
        </w:rPr>
      </w:pPr>
    </w:p>
    <w:p w14:paraId="55E3BF01" w14:textId="77777777" w:rsidR="00CF7DC1" w:rsidRPr="00A70BA6" w:rsidRDefault="008E39FE">
      <w:pPr>
        <w:ind w:left="567" w:right="560"/>
        <w:jc w:val="both"/>
        <w:rPr>
          <w:rFonts w:ascii="Palatino Linotype" w:eastAsia="Palatino Linotype" w:hAnsi="Palatino Linotype" w:cs="Palatino Linotype"/>
          <w:i/>
          <w:sz w:val="22"/>
          <w:szCs w:val="22"/>
        </w:rPr>
      </w:pPr>
      <w:r w:rsidRPr="00A70BA6">
        <w:rPr>
          <w:rFonts w:ascii="Palatino Linotype" w:eastAsia="Palatino Linotype" w:hAnsi="Palatino Linotype" w:cs="Palatino Linotype"/>
          <w:b/>
          <w:i/>
          <w:sz w:val="22"/>
          <w:szCs w:val="22"/>
        </w:rPr>
        <w:t>Artículo 1o.</w:t>
      </w:r>
      <w:r w:rsidRPr="00A70BA6">
        <w:rPr>
          <w:rFonts w:ascii="Palatino Linotype" w:eastAsia="Palatino Linotype" w:hAnsi="Palatino Linotype" w:cs="Palatino Linotype"/>
          <w:i/>
          <w:sz w:val="22"/>
          <w:szCs w:val="22"/>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D23720A" w14:textId="77777777" w:rsidR="00CF7DC1" w:rsidRPr="00A70BA6" w:rsidRDefault="008E39FE">
      <w:pPr>
        <w:ind w:left="567" w:right="560"/>
        <w:jc w:val="both"/>
        <w:rPr>
          <w:rFonts w:ascii="Palatino Linotype" w:eastAsia="Palatino Linotype" w:hAnsi="Palatino Linotype" w:cs="Palatino Linotype"/>
          <w:i/>
          <w:sz w:val="22"/>
          <w:szCs w:val="22"/>
        </w:rPr>
      </w:pPr>
      <w:r w:rsidRPr="00A70BA6">
        <w:rPr>
          <w:rFonts w:ascii="Palatino Linotype" w:eastAsia="Palatino Linotype" w:hAnsi="Palatino Linotype" w:cs="Palatino Linotype"/>
          <w:i/>
          <w:sz w:val="22"/>
          <w:szCs w:val="22"/>
        </w:rPr>
        <w:t>Las normas relativas a los derechos humanos se interpretarán de conformidad con esta Constitución y con los tratados internacionales de la materia favoreciendo en todo tiempo a las personas la protección más amplia.</w:t>
      </w:r>
    </w:p>
    <w:p w14:paraId="73DAB9F4" w14:textId="77777777" w:rsidR="00CF7DC1" w:rsidRPr="00A70BA6" w:rsidRDefault="008E39FE">
      <w:pPr>
        <w:ind w:left="567" w:right="560"/>
        <w:jc w:val="both"/>
        <w:rPr>
          <w:rFonts w:ascii="Palatino Linotype" w:eastAsia="Palatino Linotype" w:hAnsi="Palatino Linotype" w:cs="Palatino Linotype"/>
          <w:i/>
          <w:sz w:val="22"/>
          <w:szCs w:val="22"/>
        </w:rPr>
      </w:pPr>
      <w:r w:rsidRPr="00A70BA6">
        <w:rPr>
          <w:rFonts w:ascii="Palatino Linotype" w:eastAsia="Palatino Linotype" w:hAnsi="Palatino Linotype" w:cs="Palatino Linotype"/>
          <w:i/>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91CBB0E" w14:textId="77777777" w:rsidR="00CF7DC1" w:rsidRPr="00A70BA6" w:rsidRDefault="008E39FE">
      <w:pPr>
        <w:ind w:left="567" w:right="560"/>
        <w:jc w:val="both"/>
        <w:rPr>
          <w:rFonts w:ascii="Palatino Linotype" w:eastAsia="Palatino Linotype" w:hAnsi="Palatino Linotype" w:cs="Palatino Linotype"/>
          <w:i/>
          <w:sz w:val="22"/>
          <w:szCs w:val="22"/>
        </w:rPr>
      </w:pPr>
      <w:r w:rsidRPr="00A70BA6">
        <w:rPr>
          <w:rFonts w:ascii="Palatino Linotype" w:eastAsia="Palatino Linotype" w:hAnsi="Palatino Linotype" w:cs="Palatino Linotype"/>
          <w:i/>
          <w:sz w:val="22"/>
          <w:szCs w:val="22"/>
        </w:rPr>
        <w:t>[…]</w:t>
      </w:r>
    </w:p>
    <w:p w14:paraId="4E40D3D7" w14:textId="77777777" w:rsidR="00CF7DC1" w:rsidRPr="00A70BA6" w:rsidRDefault="008E39FE">
      <w:pPr>
        <w:ind w:left="567" w:right="560"/>
        <w:jc w:val="both"/>
        <w:rPr>
          <w:rFonts w:ascii="Palatino Linotype" w:eastAsia="Palatino Linotype" w:hAnsi="Palatino Linotype" w:cs="Palatino Linotype"/>
          <w:b/>
          <w:i/>
          <w:sz w:val="22"/>
          <w:szCs w:val="22"/>
        </w:rPr>
      </w:pPr>
      <w:r w:rsidRPr="00A70BA6">
        <w:rPr>
          <w:rFonts w:ascii="Palatino Linotype" w:eastAsia="Palatino Linotype" w:hAnsi="Palatino Linotype" w:cs="Palatino Linotype"/>
          <w:b/>
          <w:i/>
          <w:sz w:val="22"/>
          <w:szCs w:val="22"/>
        </w:rPr>
        <w:t>“Artículo 6o.</w:t>
      </w:r>
    </w:p>
    <w:p w14:paraId="280BAB16" w14:textId="77777777" w:rsidR="00CF7DC1" w:rsidRPr="00A70BA6" w:rsidRDefault="008E39FE">
      <w:pPr>
        <w:ind w:left="567" w:right="560"/>
        <w:jc w:val="both"/>
        <w:rPr>
          <w:rFonts w:ascii="Palatino Linotype" w:eastAsia="Palatino Linotype" w:hAnsi="Palatino Linotype" w:cs="Palatino Linotype"/>
          <w:i/>
          <w:sz w:val="22"/>
          <w:szCs w:val="22"/>
        </w:rPr>
      </w:pPr>
      <w:r w:rsidRPr="00A70BA6">
        <w:rPr>
          <w:rFonts w:ascii="Palatino Linotype" w:eastAsia="Palatino Linotype" w:hAnsi="Palatino Linotype" w:cs="Palatino Linotype"/>
          <w:i/>
          <w:sz w:val="22"/>
          <w:szCs w:val="22"/>
        </w:rPr>
        <w:t>[...]</w:t>
      </w:r>
    </w:p>
    <w:p w14:paraId="62AF2582" w14:textId="77777777" w:rsidR="00CF7DC1" w:rsidRPr="00A70BA6" w:rsidRDefault="008E39FE">
      <w:pPr>
        <w:ind w:left="567" w:right="560"/>
        <w:jc w:val="both"/>
        <w:rPr>
          <w:rFonts w:ascii="Palatino Linotype" w:eastAsia="Palatino Linotype" w:hAnsi="Palatino Linotype" w:cs="Palatino Linotype"/>
          <w:i/>
          <w:sz w:val="22"/>
          <w:szCs w:val="22"/>
        </w:rPr>
      </w:pPr>
      <w:r w:rsidRPr="00A70BA6">
        <w:rPr>
          <w:rFonts w:ascii="Palatino Linotype" w:eastAsia="Palatino Linotype" w:hAnsi="Palatino Linotype" w:cs="Palatino Linotype"/>
          <w:i/>
          <w:sz w:val="22"/>
          <w:szCs w:val="22"/>
        </w:rPr>
        <w:t>A. Para el ejercicio del derecho de acceso a la información, la Federación y las entidades federativas, en el ámbito de sus respectivas competencias, se regirán por los siguientes principios y bases:</w:t>
      </w:r>
    </w:p>
    <w:p w14:paraId="743EE71B" w14:textId="77777777" w:rsidR="00CF7DC1" w:rsidRPr="00A70BA6" w:rsidRDefault="008E39FE">
      <w:pPr>
        <w:ind w:left="567" w:right="560"/>
        <w:jc w:val="both"/>
        <w:rPr>
          <w:rFonts w:ascii="Palatino Linotype" w:eastAsia="Palatino Linotype" w:hAnsi="Palatino Linotype" w:cs="Palatino Linotype"/>
          <w:i/>
          <w:sz w:val="22"/>
          <w:szCs w:val="22"/>
        </w:rPr>
      </w:pPr>
      <w:r w:rsidRPr="00A70BA6">
        <w:rPr>
          <w:rFonts w:ascii="Palatino Linotype" w:eastAsia="Palatino Linotype" w:hAnsi="Palatino Linotype" w:cs="Palatino Linotype"/>
          <w:i/>
          <w:sz w:val="22"/>
          <w:szCs w:val="22"/>
        </w:rPr>
        <w:t xml:space="preserve">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C34F2D1" w14:textId="77777777" w:rsidR="00CF7DC1" w:rsidRPr="00A70BA6" w:rsidRDefault="008E39FE">
      <w:pPr>
        <w:ind w:left="567" w:right="560"/>
        <w:jc w:val="both"/>
        <w:rPr>
          <w:rFonts w:ascii="Palatino Linotype" w:eastAsia="Palatino Linotype" w:hAnsi="Palatino Linotype" w:cs="Palatino Linotype"/>
          <w:i/>
          <w:sz w:val="22"/>
          <w:szCs w:val="22"/>
        </w:rPr>
      </w:pPr>
      <w:r w:rsidRPr="00A70BA6">
        <w:rPr>
          <w:rFonts w:ascii="Palatino Linotype" w:eastAsia="Palatino Linotype" w:hAnsi="Palatino Linotype" w:cs="Palatino Linotype"/>
          <w:i/>
          <w:sz w:val="22"/>
          <w:szCs w:val="22"/>
        </w:rPr>
        <w:t xml:space="preserve"> II. La información que se refiere a la vida privada y los datos personales será protegida en los términos y con las excepciones que fijen las leyes.</w:t>
      </w:r>
    </w:p>
    <w:p w14:paraId="06540715" w14:textId="77777777" w:rsidR="00CF7DC1" w:rsidRPr="00A70BA6" w:rsidRDefault="008E39FE">
      <w:pPr>
        <w:ind w:left="567" w:right="560"/>
        <w:jc w:val="both"/>
        <w:rPr>
          <w:rFonts w:ascii="Palatino Linotype" w:eastAsia="Palatino Linotype" w:hAnsi="Palatino Linotype" w:cs="Palatino Linotype"/>
          <w:i/>
          <w:sz w:val="22"/>
          <w:szCs w:val="22"/>
        </w:rPr>
      </w:pPr>
      <w:r w:rsidRPr="00A70BA6">
        <w:rPr>
          <w:rFonts w:ascii="Palatino Linotype" w:eastAsia="Palatino Linotype" w:hAnsi="Palatino Linotype" w:cs="Palatino Linotype"/>
          <w:i/>
          <w:sz w:val="22"/>
          <w:szCs w:val="22"/>
        </w:rPr>
        <w:lastRenderedPageBreak/>
        <w:t xml:space="preserve"> III. Toda persona, sin necesidad de acreditar interés alguno o justificar su utilización, tendrá acceso gratuito a la información pública, a sus datos personales o a la rectificación de éstos.</w:t>
      </w:r>
    </w:p>
    <w:p w14:paraId="60A06B39" w14:textId="77777777" w:rsidR="00CF7DC1" w:rsidRPr="00A70BA6" w:rsidRDefault="008E39FE">
      <w:pPr>
        <w:ind w:left="567" w:right="560"/>
        <w:jc w:val="both"/>
        <w:rPr>
          <w:rFonts w:ascii="Palatino Linotype" w:eastAsia="Palatino Linotype" w:hAnsi="Palatino Linotype" w:cs="Palatino Linotype"/>
          <w:i/>
          <w:sz w:val="22"/>
          <w:szCs w:val="22"/>
        </w:rPr>
      </w:pPr>
      <w:r w:rsidRPr="00A70BA6">
        <w:rPr>
          <w:rFonts w:ascii="Palatino Linotype" w:eastAsia="Palatino Linotype" w:hAnsi="Palatino Linotype" w:cs="Palatino Linotype"/>
          <w:i/>
          <w:sz w:val="22"/>
          <w:szCs w:val="22"/>
        </w:rPr>
        <w:t xml:space="preserve"> IV. Se establecerán mecanismos de acceso a la información y procedimientos de revisión expeditos que se sustanciarán ante los organismos autónomos especializados e imparciales que establece esta Constitución.</w:t>
      </w:r>
    </w:p>
    <w:p w14:paraId="053E4533" w14:textId="77777777" w:rsidR="00CF7DC1" w:rsidRPr="00A70BA6" w:rsidRDefault="008E39FE">
      <w:pPr>
        <w:ind w:left="567" w:right="560"/>
        <w:jc w:val="both"/>
        <w:rPr>
          <w:rFonts w:ascii="Palatino Linotype" w:eastAsia="Palatino Linotype" w:hAnsi="Palatino Linotype" w:cs="Palatino Linotype"/>
          <w:i/>
          <w:sz w:val="22"/>
          <w:szCs w:val="22"/>
        </w:rPr>
      </w:pPr>
      <w:r w:rsidRPr="00A70BA6">
        <w:rPr>
          <w:rFonts w:ascii="Palatino Linotype" w:eastAsia="Palatino Linotype" w:hAnsi="Palatino Linotype" w:cs="Palatino Linotype"/>
          <w:i/>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0F160B0" w14:textId="77777777" w:rsidR="00CF7DC1" w:rsidRPr="00A70BA6" w:rsidRDefault="008E39FE">
      <w:pPr>
        <w:ind w:left="567" w:right="560"/>
        <w:jc w:val="both"/>
        <w:rPr>
          <w:rFonts w:ascii="Palatino Linotype" w:eastAsia="Palatino Linotype" w:hAnsi="Palatino Linotype" w:cs="Palatino Linotype"/>
          <w:i/>
          <w:sz w:val="22"/>
          <w:szCs w:val="22"/>
        </w:rPr>
      </w:pPr>
      <w:r w:rsidRPr="00A70BA6">
        <w:rPr>
          <w:rFonts w:ascii="Palatino Linotype" w:eastAsia="Palatino Linotype" w:hAnsi="Palatino Linotype" w:cs="Palatino Linotype"/>
          <w:i/>
          <w:sz w:val="22"/>
          <w:szCs w:val="22"/>
        </w:rPr>
        <w:t xml:space="preserve"> VI. Las leyes determinarán la manera en que los sujetos obligados deberán hacer pública la información relativa a los recursos públicos que entreguen a personas físicas o morales.</w:t>
      </w:r>
    </w:p>
    <w:p w14:paraId="07170B65" w14:textId="77777777" w:rsidR="00CF7DC1" w:rsidRPr="00A70BA6" w:rsidRDefault="008E39FE">
      <w:pPr>
        <w:ind w:left="567" w:right="560"/>
        <w:jc w:val="both"/>
        <w:rPr>
          <w:rFonts w:ascii="Palatino Linotype" w:eastAsia="Palatino Linotype" w:hAnsi="Palatino Linotype" w:cs="Palatino Linotype"/>
          <w:i/>
          <w:sz w:val="22"/>
          <w:szCs w:val="22"/>
        </w:rPr>
      </w:pPr>
      <w:r w:rsidRPr="00A70BA6">
        <w:rPr>
          <w:rFonts w:ascii="Palatino Linotype" w:eastAsia="Palatino Linotype" w:hAnsi="Palatino Linotype" w:cs="Palatino Linotype"/>
          <w:i/>
          <w:sz w:val="22"/>
          <w:szCs w:val="22"/>
        </w:rPr>
        <w:t xml:space="preserve"> VII. La inobservancia a las disposiciones en materia de acceso a la información pública será sancionada en los términos que dispongan las leyes. [...]</w:t>
      </w:r>
    </w:p>
    <w:p w14:paraId="1A1CD1CC" w14:textId="77777777" w:rsidR="00CF7DC1" w:rsidRPr="00A70BA6" w:rsidRDefault="00CF7DC1">
      <w:pPr>
        <w:ind w:left="567" w:right="560"/>
        <w:jc w:val="both"/>
        <w:rPr>
          <w:rFonts w:ascii="Palatino Linotype" w:eastAsia="Palatino Linotype" w:hAnsi="Palatino Linotype" w:cs="Palatino Linotype"/>
          <w:i/>
          <w:sz w:val="22"/>
          <w:szCs w:val="22"/>
        </w:rPr>
      </w:pPr>
    </w:p>
    <w:p w14:paraId="5EA94A1C" w14:textId="77777777" w:rsidR="00CF7DC1" w:rsidRPr="00A70BA6" w:rsidRDefault="008E39FE">
      <w:pPr>
        <w:spacing w:line="360" w:lineRule="auto"/>
        <w:ind w:right="49"/>
        <w:jc w:val="both"/>
        <w:rPr>
          <w:rFonts w:ascii="Palatino Linotype" w:eastAsia="Palatino Linotype" w:hAnsi="Palatino Linotype" w:cs="Palatino Linotype"/>
          <w:sz w:val="22"/>
          <w:szCs w:val="22"/>
        </w:rPr>
      </w:pPr>
      <w:r w:rsidRPr="00A70BA6">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F8D0D8F" w14:textId="77777777" w:rsidR="00CF7DC1" w:rsidRPr="00A70BA6" w:rsidRDefault="00CF7DC1">
      <w:pPr>
        <w:spacing w:line="360" w:lineRule="auto"/>
        <w:ind w:right="49"/>
        <w:jc w:val="both"/>
        <w:rPr>
          <w:rFonts w:ascii="Palatino Linotype" w:eastAsia="Palatino Linotype" w:hAnsi="Palatino Linotype" w:cs="Palatino Linotype"/>
          <w:sz w:val="22"/>
          <w:szCs w:val="22"/>
        </w:rPr>
      </w:pPr>
    </w:p>
    <w:p w14:paraId="014DE452" w14:textId="77777777" w:rsidR="00CF7DC1" w:rsidRPr="00A70BA6" w:rsidRDefault="008E39FE">
      <w:pPr>
        <w:ind w:left="567" w:right="560"/>
        <w:jc w:val="both"/>
        <w:rPr>
          <w:rFonts w:ascii="Palatino Linotype" w:eastAsia="Palatino Linotype" w:hAnsi="Palatino Linotype" w:cs="Palatino Linotype"/>
          <w:i/>
          <w:sz w:val="22"/>
          <w:szCs w:val="22"/>
        </w:rPr>
      </w:pPr>
      <w:r w:rsidRPr="00A70BA6">
        <w:rPr>
          <w:rFonts w:ascii="Palatino Linotype" w:eastAsia="Palatino Linotype" w:hAnsi="Palatino Linotype" w:cs="Palatino Linotype"/>
          <w:i/>
          <w:sz w:val="22"/>
          <w:szCs w:val="22"/>
        </w:rPr>
        <w:t>“</w:t>
      </w:r>
      <w:r w:rsidRPr="00A70BA6">
        <w:rPr>
          <w:rFonts w:ascii="Palatino Linotype" w:eastAsia="Palatino Linotype" w:hAnsi="Palatino Linotype" w:cs="Palatino Linotype"/>
          <w:b/>
          <w:i/>
          <w:sz w:val="22"/>
          <w:szCs w:val="22"/>
        </w:rPr>
        <w:t>Artículo 4.</w:t>
      </w:r>
      <w:r w:rsidRPr="00A70BA6">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43CC833" w14:textId="77777777" w:rsidR="00CF7DC1" w:rsidRPr="00A70BA6" w:rsidRDefault="008E39FE">
      <w:pPr>
        <w:ind w:left="567" w:right="560"/>
        <w:jc w:val="both"/>
        <w:rPr>
          <w:rFonts w:ascii="Palatino Linotype" w:eastAsia="Palatino Linotype" w:hAnsi="Palatino Linotype" w:cs="Palatino Linotype"/>
          <w:i/>
          <w:sz w:val="22"/>
          <w:szCs w:val="22"/>
        </w:rPr>
      </w:pPr>
      <w:r w:rsidRPr="00A70BA6">
        <w:rPr>
          <w:rFonts w:ascii="Palatino Linotype" w:eastAsia="Palatino Linotype" w:hAnsi="Palatino Linotype" w:cs="Palatino Linotype"/>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w:t>
      </w:r>
      <w:r w:rsidRPr="00A70BA6">
        <w:rPr>
          <w:rFonts w:ascii="Palatino Linotype" w:eastAsia="Palatino Linotype" w:hAnsi="Palatino Linotype" w:cs="Palatino Linotype"/>
          <w:i/>
          <w:sz w:val="22"/>
          <w:szCs w:val="22"/>
        </w:rPr>
        <w:lastRenderedPageBreak/>
        <w:t>a la Información Pública del Estado de México y Municipios 29 como reservada temporalmente por razones de interés público, en los términos de las causas legítimas y estrictamente necesarias previstas por esta Ley.</w:t>
      </w:r>
    </w:p>
    <w:p w14:paraId="4AD91F06" w14:textId="77777777" w:rsidR="00CF7DC1" w:rsidRPr="00A70BA6" w:rsidRDefault="008E39FE">
      <w:pPr>
        <w:ind w:left="567" w:right="560"/>
        <w:jc w:val="both"/>
        <w:rPr>
          <w:rFonts w:ascii="Palatino Linotype" w:eastAsia="Palatino Linotype" w:hAnsi="Palatino Linotype" w:cs="Palatino Linotype"/>
          <w:i/>
          <w:sz w:val="22"/>
          <w:szCs w:val="22"/>
        </w:rPr>
      </w:pPr>
      <w:r w:rsidRPr="00A70BA6">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06880E00" w14:textId="77777777" w:rsidR="00CF7DC1" w:rsidRPr="00A70BA6" w:rsidRDefault="00CF7DC1">
      <w:pPr>
        <w:spacing w:line="360" w:lineRule="auto"/>
        <w:ind w:left="567" w:right="560"/>
        <w:jc w:val="both"/>
        <w:rPr>
          <w:rFonts w:ascii="Palatino Linotype" w:eastAsia="Palatino Linotype" w:hAnsi="Palatino Linotype" w:cs="Palatino Linotype"/>
          <w:i/>
          <w:sz w:val="22"/>
          <w:szCs w:val="22"/>
        </w:rPr>
      </w:pPr>
    </w:p>
    <w:p w14:paraId="2C8DC582" w14:textId="77777777" w:rsidR="00CF7DC1" w:rsidRPr="00A70BA6" w:rsidRDefault="008E39FE">
      <w:pPr>
        <w:spacing w:line="360" w:lineRule="auto"/>
        <w:ind w:right="49"/>
        <w:jc w:val="both"/>
        <w:rPr>
          <w:rFonts w:ascii="Palatino Linotype" w:eastAsia="Palatino Linotype" w:hAnsi="Palatino Linotype" w:cs="Palatino Linotype"/>
          <w:sz w:val="22"/>
          <w:szCs w:val="22"/>
        </w:rPr>
      </w:pPr>
      <w:r w:rsidRPr="00A70BA6">
        <w:rPr>
          <w:rFonts w:ascii="Palatino Linotype" w:eastAsia="Palatino Linotype" w:hAnsi="Palatino Linotype" w:cs="Palatino Linotype"/>
          <w:sz w:val="22"/>
          <w:szCs w:val="22"/>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55DEC5D8" w14:textId="77777777" w:rsidR="00CF7DC1" w:rsidRPr="00A70BA6" w:rsidRDefault="00CF7DC1">
      <w:pPr>
        <w:spacing w:line="360" w:lineRule="auto"/>
        <w:ind w:right="49"/>
        <w:jc w:val="both"/>
        <w:rPr>
          <w:rFonts w:ascii="Palatino Linotype" w:eastAsia="Palatino Linotype" w:hAnsi="Palatino Linotype" w:cs="Palatino Linotype"/>
          <w:sz w:val="22"/>
          <w:szCs w:val="22"/>
        </w:rPr>
      </w:pPr>
    </w:p>
    <w:p w14:paraId="5E58E375" w14:textId="77777777" w:rsidR="00CF7DC1" w:rsidRPr="00A70BA6" w:rsidRDefault="008E39FE">
      <w:pPr>
        <w:ind w:left="567" w:right="560"/>
        <w:jc w:val="both"/>
        <w:rPr>
          <w:rFonts w:ascii="Palatino Linotype" w:eastAsia="Palatino Linotype" w:hAnsi="Palatino Linotype" w:cs="Palatino Linotype"/>
          <w:i/>
          <w:sz w:val="22"/>
          <w:szCs w:val="22"/>
        </w:rPr>
      </w:pPr>
      <w:r w:rsidRPr="00A70BA6">
        <w:rPr>
          <w:rFonts w:ascii="Palatino Linotype" w:eastAsia="Palatino Linotype" w:hAnsi="Palatino Linotype" w:cs="Palatino Linotype"/>
          <w:i/>
          <w:sz w:val="22"/>
          <w:szCs w:val="22"/>
        </w:rPr>
        <w:t>“</w:t>
      </w:r>
      <w:r w:rsidRPr="00A70BA6">
        <w:rPr>
          <w:rFonts w:ascii="Palatino Linotype" w:eastAsia="Palatino Linotype" w:hAnsi="Palatino Linotype" w:cs="Palatino Linotype"/>
          <w:b/>
          <w:i/>
          <w:sz w:val="22"/>
          <w:szCs w:val="22"/>
        </w:rPr>
        <w:t>Artículo 12.</w:t>
      </w:r>
      <w:r w:rsidRPr="00A70BA6">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31AE03D" w14:textId="77777777" w:rsidR="00CF7DC1" w:rsidRPr="00A70BA6" w:rsidRDefault="008E39FE">
      <w:pPr>
        <w:ind w:left="567" w:right="560"/>
        <w:jc w:val="both"/>
        <w:rPr>
          <w:rFonts w:ascii="Palatino Linotype" w:eastAsia="Palatino Linotype" w:hAnsi="Palatino Linotype" w:cs="Palatino Linotype"/>
          <w:i/>
          <w:sz w:val="22"/>
          <w:szCs w:val="22"/>
        </w:rPr>
      </w:pPr>
      <w:r w:rsidRPr="00A70BA6">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9194ABF" w14:textId="77777777" w:rsidR="00CF7DC1" w:rsidRPr="00A70BA6" w:rsidRDefault="00CF7DC1">
      <w:pPr>
        <w:spacing w:line="360" w:lineRule="auto"/>
        <w:ind w:right="49"/>
        <w:jc w:val="both"/>
        <w:rPr>
          <w:rFonts w:ascii="Palatino Linotype" w:eastAsia="Palatino Linotype" w:hAnsi="Palatino Linotype" w:cs="Palatino Linotype"/>
          <w:sz w:val="22"/>
          <w:szCs w:val="22"/>
        </w:rPr>
      </w:pPr>
    </w:p>
    <w:p w14:paraId="2A5538E9" w14:textId="34F33820" w:rsidR="00CF7DC1" w:rsidRPr="00A70BA6" w:rsidRDefault="008E39FE">
      <w:pPr>
        <w:spacing w:line="360" w:lineRule="auto"/>
        <w:ind w:right="49"/>
        <w:jc w:val="both"/>
        <w:rPr>
          <w:rFonts w:ascii="Palatino Linotype" w:eastAsia="Palatino Linotype" w:hAnsi="Palatino Linotype" w:cs="Palatino Linotype"/>
          <w:sz w:val="22"/>
          <w:szCs w:val="22"/>
        </w:rPr>
      </w:pPr>
      <w:r w:rsidRPr="00A70BA6">
        <w:rPr>
          <w:rFonts w:ascii="Palatino Linotype" w:eastAsia="Palatino Linotype" w:hAnsi="Palatino Linotype" w:cs="Palatino Linotype"/>
          <w:sz w:val="22"/>
          <w:szCs w:val="22"/>
        </w:rPr>
        <w:t xml:space="preserve">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w:t>
      </w:r>
      <w:r w:rsidR="00E5693D" w:rsidRPr="00A70BA6">
        <w:rPr>
          <w:rFonts w:ascii="Palatino Linotype" w:eastAsia="Palatino Linotype" w:hAnsi="Palatino Linotype" w:cs="Palatino Linotype"/>
          <w:sz w:val="22"/>
          <w:szCs w:val="22"/>
        </w:rPr>
        <w:t xml:space="preserve"> Orientador </w:t>
      </w:r>
      <w:r w:rsidRPr="00A70BA6">
        <w:rPr>
          <w:rFonts w:ascii="Palatino Linotype" w:eastAsia="Palatino Linotype" w:hAnsi="Palatino Linotype" w:cs="Palatino Linotype"/>
          <w:sz w:val="22"/>
          <w:szCs w:val="22"/>
        </w:rPr>
        <w:t>03/17 emitido por el entonces Instituto Nacional de Transparencia, Acceso a la Información Pública y Protección de Datos Personales, el cual señala lo siguiente:</w:t>
      </w:r>
    </w:p>
    <w:p w14:paraId="22750CFA" w14:textId="77777777" w:rsidR="00CF7DC1" w:rsidRPr="00A70BA6" w:rsidRDefault="00CF7DC1">
      <w:pPr>
        <w:spacing w:line="360" w:lineRule="auto"/>
        <w:ind w:right="49"/>
        <w:jc w:val="both"/>
        <w:rPr>
          <w:rFonts w:ascii="Palatino Linotype" w:eastAsia="Palatino Linotype" w:hAnsi="Palatino Linotype" w:cs="Palatino Linotype"/>
          <w:sz w:val="22"/>
          <w:szCs w:val="22"/>
        </w:rPr>
      </w:pPr>
    </w:p>
    <w:p w14:paraId="7F7F8D7C" w14:textId="77777777" w:rsidR="00CF7DC1" w:rsidRPr="00A70BA6" w:rsidRDefault="008E39FE">
      <w:pPr>
        <w:ind w:left="567" w:right="560"/>
        <w:jc w:val="both"/>
        <w:rPr>
          <w:rFonts w:ascii="Palatino Linotype" w:eastAsia="Palatino Linotype" w:hAnsi="Palatino Linotype" w:cs="Palatino Linotype"/>
          <w:b/>
          <w:i/>
          <w:sz w:val="22"/>
          <w:szCs w:val="22"/>
        </w:rPr>
      </w:pPr>
      <w:r w:rsidRPr="00A70BA6">
        <w:rPr>
          <w:rFonts w:ascii="Palatino Linotype" w:eastAsia="Palatino Linotype" w:hAnsi="Palatino Linotype" w:cs="Palatino Linotype"/>
          <w:b/>
          <w:i/>
          <w:sz w:val="22"/>
          <w:szCs w:val="22"/>
        </w:rPr>
        <w:lastRenderedPageBreak/>
        <w:t>Criterio 03/17</w:t>
      </w:r>
    </w:p>
    <w:p w14:paraId="5B63D6DD" w14:textId="77777777" w:rsidR="00CF7DC1" w:rsidRPr="00A70BA6" w:rsidRDefault="008E39FE">
      <w:pPr>
        <w:ind w:left="567" w:right="560"/>
        <w:jc w:val="both"/>
        <w:rPr>
          <w:rFonts w:ascii="Palatino Linotype" w:eastAsia="Palatino Linotype" w:hAnsi="Palatino Linotype" w:cs="Palatino Linotype"/>
          <w:i/>
          <w:sz w:val="22"/>
          <w:szCs w:val="22"/>
        </w:rPr>
      </w:pPr>
      <w:r w:rsidRPr="00A70BA6">
        <w:rPr>
          <w:rFonts w:ascii="Palatino Linotype" w:eastAsia="Palatino Linotype" w:hAnsi="Palatino Linotype" w:cs="Palatino Linotype"/>
          <w:b/>
          <w:i/>
          <w:sz w:val="22"/>
          <w:szCs w:val="22"/>
        </w:rPr>
        <w:t xml:space="preserve">“NO EXISTE OBLIGACIÓN DE ELABORAR DOCUMENTOS AD HOC PARA ATENDER LAS SOLICITUDES DE ACCESO A LA INFORMACIÓN. </w:t>
      </w:r>
      <w:r w:rsidRPr="00A70BA6">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036D034" w14:textId="77777777" w:rsidR="00CF7DC1" w:rsidRPr="00A70BA6" w:rsidRDefault="00CF7DC1">
      <w:pPr>
        <w:spacing w:line="360" w:lineRule="auto"/>
        <w:ind w:left="567" w:right="560"/>
        <w:jc w:val="both"/>
        <w:rPr>
          <w:rFonts w:ascii="Palatino Linotype" w:eastAsia="Palatino Linotype" w:hAnsi="Palatino Linotype" w:cs="Palatino Linotype"/>
          <w:b/>
          <w:i/>
          <w:sz w:val="22"/>
          <w:szCs w:val="22"/>
        </w:rPr>
      </w:pPr>
    </w:p>
    <w:p w14:paraId="71DE0E4A" w14:textId="77777777" w:rsidR="00CF7DC1" w:rsidRPr="00A70BA6" w:rsidRDefault="008E39FE">
      <w:pPr>
        <w:spacing w:line="360" w:lineRule="auto"/>
        <w:ind w:right="49"/>
        <w:jc w:val="both"/>
        <w:rPr>
          <w:rFonts w:ascii="Palatino Linotype" w:eastAsia="Palatino Linotype" w:hAnsi="Palatino Linotype" w:cs="Palatino Linotype"/>
          <w:sz w:val="22"/>
          <w:szCs w:val="22"/>
        </w:rPr>
      </w:pPr>
      <w:r w:rsidRPr="00A70BA6">
        <w:rPr>
          <w:rFonts w:ascii="Palatino Linotype" w:eastAsia="Palatino Linotype" w:hAnsi="Palatino Linotype" w:cs="Palatino Linotype"/>
          <w:sz w:val="22"/>
          <w:szCs w:val="22"/>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ED71DF2" w14:textId="77777777" w:rsidR="00CF7DC1" w:rsidRPr="00A70BA6" w:rsidRDefault="00CF7DC1">
      <w:pPr>
        <w:spacing w:line="360" w:lineRule="auto"/>
        <w:ind w:right="49"/>
        <w:jc w:val="both"/>
        <w:rPr>
          <w:rFonts w:ascii="Palatino Linotype" w:eastAsia="Palatino Linotype" w:hAnsi="Palatino Linotype" w:cs="Palatino Linotype"/>
          <w:sz w:val="22"/>
          <w:szCs w:val="22"/>
        </w:rPr>
      </w:pPr>
    </w:p>
    <w:p w14:paraId="4DA4D0DD" w14:textId="77777777" w:rsidR="00CF7DC1" w:rsidRPr="00A70BA6" w:rsidRDefault="008E39FE">
      <w:pPr>
        <w:spacing w:line="360" w:lineRule="auto"/>
        <w:ind w:right="49"/>
        <w:jc w:val="both"/>
        <w:rPr>
          <w:rFonts w:ascii="Palatino Linotype" w:eastAsia="Palatino Linotype" w:hAnsi="Palatino Linotype" w:cs="Palatino Linotype"/>
          <w:sz w:val="22"/>
          <w:szCs w:val="22"/>
        </w:rPr>
      </w:pPr>
      <w:r w:rsidRPr="00A70BA6">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6ED832E" w14:textId="77777777" w:rsidR="00CF7DC1" w:rsidRPr="00A70BA6" w:rsidRDefault="00CF7DC1">
      <w:pPr>
        <w:spacing w:line="360" w:lineRule="auto"/>
        <w:ind w:right="49"/>
        <w:jc w:val="both"/>
        <w:rPr>
          <w:rFonts w:ascii="Palatino Linotype" w:eastAsia="Palatino Linotype" w:hAnsi="Palatino Linotype" w:cs="Palatino Linotype"/>
          <w:sz w:val="22"/>
          <w:szCs w:val="22"/>
        </w:rPr>
      </w:pPr>
    </w:p>
    <w:p w14:paraId="20CE4DD6" w14:textId="77777777" w:rsidR="00CF7DC1" w:rsidRPr="00A70BA6" w:rsidRDefault="008E39FE">
      <w:pPr>
        <w:spacing w:line="360" w:lineRule="auto"/>
        <w:ind w:right="49"/>
        <w:jc w:val="both"/>
        <w:rPr>
          <w:rFonts w:ascii="Palatino Linotype" w:eastAsia="Palatino Linotype" w:hAnsi="Palatino Linotype" w:cs="Palatino Linotype"/>
          <w:sz w:val="22"/>
          <w:szCs w:val="22"/>
        </w:rPr>
      </w:pPr>
      <w:r w:rsidRPr="00A70BA6">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w:t>
      </w:r>
      <w:r w:rsidRPr="00A70BA6">
        <w:rPr>
          <w:rFonts w:ascii="Palatino Linotype" w:eastAsia="Palatino Linotype" w:hAnsi="Palatino Linotype" w:cs="Palatino Linotype"/>
          <w:sz w:val="22"/>
          <w:szCs w:val="22"/>
        </w:rPr>
        <w:lastRenderedPageBreak/>
        <w:t xml:space="preserve">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58CC138" w14:textId="77777777" w:rsidR="00CF7DC1" w:rsidRPr="00A70BA6" w:rsidRDefault="00CF7DC1">
      <w:pPr>
        <w:spacing w:line="360" w:lineRule="auto"/>
        <w:ind w:right="49"/>
        <w:jc w:val="both"/>
        <w:rPr>
          <w:rFonts w:ascii="Palatino Linotype" w:eastAsia="Palatino Linotype" w:hAnsi="Palatino Linotype" w:cs="Palatino Linotype"/>
          <w:sz w:val="22"/>
          <w:szCs w:val="22"/>
        </w:rPr>
      </w:pPr>
    </w:p>
    <w:p w14:paraId="23DD36D8" w14:textId="77777777" w:rsidR="00CF7DC1" w:rsidRPr="00A70BA6" w:rsidRDefault="008E39FE">
      <w:pPr>
        <w:ind w:left="567" w:right="560"/>
        <w:jc w:val="both"/>
        <w:rPr>
          <w:rFonts w:ascii="Palatino Linotype" w:eastAsia="Palatino Linotype" w:hAnsi="Palatino Linotype" w:cs="Palatino Linotype"/>
          <w:i/>
          <w:sz w:val="22"/>
          <w:szCs w:val="22"/>
        </w:rPr>
      </w:pPr>
      <w:r w:rsidRPr="00A70BA6">
        <w:rPr>
          <w:rFonts w:ascii="Palatino Linotype" w:eastAsia="Palatino Linotype" w:hAnsi="Palatino Linotype" w:cs="Palatino Linotype"/>
          <w:i/>
          <w:sz w:val="22"/>
          <w:szCs w:val="22"/>
        </w:rPr>
        <w:t>“</w:t>
      </w:r>
      <w:r w:rsidRPr="00A70BA6">
        <w:rPr>
          <w:rFonts w:ascii="Palatino Linotype" w:eastAsia="Palatino Linotype" w:hAnsi="Palatino Linotype" w:cs="Palatino Linotype"/>
          <w:b/>
          <w:i/>
          <w:sz w:val="22"/>
          <w:szCs w:val="22"/>
        </w:rPr>
        <w:t>Artículo 3.</w:t>
      </w:r>
      <w:r w:rsidRPr="00A70BA6">
        <w:rPr>
          <w:rFonts w:ascii="Palatino Linotype" w:eastAsia="Palatino Linotype" w:hAnsi="Palatino Linotype" w:cs="Palatino Linotype"/>
          <w:i/>
          <w:sz w:val="22"/>
          <w:szCs w:val="22"/>
        </w:rPr>
        <w:t xml:space="preserve"> Para los efectos de la presente Ley se entenderá por:</w:t>
      </w:r>
    </w:p>
    <w:p w14:paraId="788DCA77" w14:textId="77777777" w:rsidR="00CF7DC1" w:rsidRPr="00A70BA6" w:rsidRDefault="008E39FE">
      <w:pPr>
        <w:ind w:left="567" w:right="560"/>
        <w:jc w:val="both"/>
        <w:rPr>
          <w:rFonts w:ascii="Palatino Linotype" w:eastAsia="Palatino Linotype" w:hAnsi="Palatino Linotype" w:cs="Palatino Linotype"/>
          <w:i/>
          <w:sz w:val="22"/>
          <w:szCs w:val="22"/>
        </w:rPr>
      </w:pPr>
      <w:r w:rsidRPr="00A70BA6">
        <w:rPr>
          <w:rFonts w:ascii="Palatino Linotype" w:eastAsia="Palatino Linotype" w:hAnsi="Palatino Linotype" w:cs="Palatino Linotype"/>
          <w:i/>
          <w:sz w:val="22"/>
          <w:szCs w:val="22"/>
        </w:rPr>
        <w:t>…</w:t>
      </w:r>
    </w:p>
    <w:p w14:paraId="729D3ACD" w14:textId="77777777" w:rsidR="00CF7DC1" w:rsidRPr="00A70BA6" w:rsidRDefault="008E39FE">
      <w:pPr>
        <w:ind w:left="567" w:right="560"/>
        <w:jc w:val="both"/>
        <w:rPr>
          <w:rFonts w:ascii="Palatino Linotype" w:eastAsia="Palatino Linotype" w:hAnsi="Palatino Linotype" w:cs="Palatino Linotype"/>
          <w:i/>
          <w:sz w:val="22"/>
          <w:szCs w:val="22"/>
        </w:rPr>
      </w:pPr>
      <w:r w:rsidRPr="00A70BA6">
        <w:rPr>
          <w:rFonts w:ascii="Palatino Linotype" w:eastAsia="Palatino Linotype" w:hAnsi="Palatino Linotype" w:cs="Palatino Linotype"/>
          <w:b/>
          <w:i/>
          <w:sz w:val="22"/>
          <w:szCs w:val="22"/>
        </w:rPr>
        <w:t>XI. Documento:</w:t>
      </w:r>
      <w:r w:rsidRPr="00A70BA6">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4E5C92E" w14:textId="77777777" w:rsidR="00CF7DC1" w:rsidRPr="00A70BA6" w:rsidRDefault="00CF7DC1">
      <w:pPr>
        <w:spacing w:line="360" w:lineRule="auto"/>
        <w:ind w:right="49"/>
        <w:jc w:val="both"/>
        <w:rPr>
          <w:rFonts w:ascii="Palatino Linotype" w:eastAsia="Palatino Linotype" w:hAnsi="Palatino Linotype" w:cs="Palatino Linotype"/>
          <w:sz w:val="22"/>
          <w:szCs w:val="22"/>
        </w:rPr>
      </w:pPr>
    </w:p>
    <w:p w14:paraId="4E63A32E" w14:textId="77777777" w:rsidR="00CF7DC1" w:rsidRPr="00A70BA6" w:rsidRDefault="008E39FE">
      <w:pPr>
        <w:spacing w:line="360" w:lineRule="auto"/>
        <w:ind w:right="49"/>
        <w:jc w:val="both"/>
        <w:rPr>
          <w:rFonts w:ascii="Palatino Linotype" w:eastAsia="Palatino Linotype" w:hAnsi="Palatino Linotype" w:cs="Palatino Linotype"/>
          <w:sz w:val="22"/>
          <w:szCs w:val="22"/>
        </w:rPr>
      </w:pPr>
      <w:r w:rsidRPr="00A70BA6">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F7801C3" w14:textId="77777777" w:rsidR="00CF7DC1" w:rsidRPr="00A70BA6" w:rsidRDefault="00CF7DC1">
      <w:pPr>
        <w:spacing w:line="360" w:lineRule="auto"/>
        <w:ind w:right="49"/>
        <w:jc w:val="both"/>
        <w:rPr>
          <w:rFonts w:ascii="Palatino Linotype" w:eastAsia="Palatino Linotype" w:hAnsi="Palatino Linotype" w:cs="Palatino Linotype"/>
          <w:sz w:val="22"/>
          <w:szCs w:val="22"/>
        </w:rPr>
      </w:pPr>
    </w:p>
    <w:p w14:paraId="19E87ED1" w14:textId="77777777" w:rsidR="00CF7DC1" w:rsidRPr="00A70BA6" w:rsidRDefault="008E39FE">
      <w:pPr>
        <w:ind w:left="567" w:right="560"/>
        <w:jc w:val="both"/>
        <w:rPr>
          <w:rFonts w:ascii="Palatino Linotype" w:eastAsia="Palatino Linotype" w:hAnsi="Palatino Linotype" w:cs="Palatino Linotype"/>
          <w:b/>
          <w:i/>
          <w:sz w:val="22"/>
          <w:szCs w:val="22"/>
        </w:rPr>
      </w:pPr>
      <w:r w:rsidRPr="00A70BA6">
        <w:rPr>
          <w:rFonts w:ascii="Palatino Linotype" w:eastAsia="Palatino Linotype" w:hAnsi="Palatino Linotype" w:cs="Palatino Linotype"/>
          <w:i/>
          <w:sz w:val="22"/>
          <w:szCs w:val="22"/>
        </w:rPr>
        <w:t>“</w:t>
      </w:r>
      <w:r w:rsidRPr="00A70BA6">
        <w:rPr>
          <w:rFonts w:ascii="Palatino Linotype" w:eastAsia="Palatino Linotype" w:hAnsi="Palatino Linotype" w:cs="Palatino Linotype"/>
          <w:b/>
          <w:i/>
          <w:sz w:val="22"/>
          <w:szCs w:val="22"/>
        </w:rPr>
        <w:t>CRITERIO 0002-11</w:t>
      </w:r>
    </w:p>
    <w:p w14:paraId="0755DDC3" w14:textId="77777777" w:rsidR="00CF7DC1" w:rsidRPr="00A70BA6" w:rsidRDefault="008E39FE">
      <w:pPr>
        <w:ind w:left="567" w:right="560"/>
        <w:jc w:val="both"/>
        <w:rPr>
          <w:rFonts w:ascii="Palatino Linotype" w:eastAsia="Palatino Linotype" w:hAnsi="Palatino Linotype" w:cs="Palatino Linotype"/>
          <w:i/>
          <w:sz w:val="22"/>
          <w:szCs w:val="22"/>
        </w:rPr>
      </w:pPr>
      <w:r w:rsidRPr="00A70BA6">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A70BA6">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4294069" w14:textId="77777777" w:rsidR="00CF7DC1" w:rsidRPr="00A70BA6" w:rsidRDefault="008E39FE">
      <w:pPr>
        <w:ind w:left="567" w:right="560"/>
        <w:jc w:val="both"/>
        <w:rPr>
          <w:rFonts w:ascii="Palatino Linotype" w:eastAsia="Palatino Linotype" w:hAnsi="Palatino Linotype" w:cs="Palatino Linotype"/>
          <w:i/>
          <w:sz w:val="22"/>
          <w:szCs w:val="22"/>
        </w:rPr>
      </w:pPr>
      <w:r w:rsidRPr="00A70BA6">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D98A2F5" w14:textId="77777777" w:rsidR="00CF7DC1" w:rsidRPr="00A70BA6" w:rsidRDefault="008E39FE">
      <w:pPr>
        <w:ind w:left="567" w:right="560"/>
        <w:jc w:val="both"/>
        <w:rPr>
          <w:rFonts w:ascii="Palatino Linotype" w:eastAsia="Palatino Linotype" w:hAnsi="Palatino Linotype" w:cs="Palatino Linotype"/>
          <w:i/>
          <w:sz w:val="22"/>
          <w:szCs w:val="22"/>
        </w:rPr>
      </w:pPr>
      <w:r w:rsidRPr="00A70BA6">
        <w:rPr>
          <w:rFonts w:ascii="Palatino Linotype" w:eastAsia="Palatino Linotype" w:hAnsi="Palatino Linotype" w:cs="Palatino Linotype"/>
          <w:i/>
          <w:sz w:val="22"/>
          <w:szCs w:val="22"/>
        </w:rPr>
        <w:lastRenderedPageBreak/>
        <w:t>1)</w:t>
      </w:r>
      <w:r w:rsidRPr="00A70BA6">
        <w:rPr>
          <w:rFonts w:ascii="Palatino Linotype" w:eastAsia="Palatino Linotype" w:hAnsi="Palatino Linotype" w:cs="Palatino Linotype"/>
          <w:i/>
          <w:sz w:val="22"/>
          <w:szCs w:val="22"/>
        </w:rPr>
        <w:tab/>
        <w:t>Que se trate de información registrada en cualquier soporte documental, que en ejercicio de las atribuciones conferidas, sea generada por los Sujetos Obligados;</w:t>
      </w:r>
    </w:p>
    <w:p w14:paraId="23B06E4B" w14:textId="77777777" w:rsidR="00CF7DC1" w:rsidRPr="00A70BA6" w:rsidRDefault="008E39FE">
      <w:pPr>
        <w:ind w:left="567" w:right="560"/>
        <w:jc w:val="both"/>
        <w:rPr>
          <w:rFonts w:ascii="Palatino Linotype" w:eastAsia="Palatino Linotype" w:hAnsi="Palatino Linotype" w:cs="Palatino Linotype"/>
          <w:i/>
          <w:sz w:val="22"/>
          <w:szCs w:val="22"/>
        </w:rPr>
      </w:pPr>
      <w:r w:rsidRPr="00A70BA6">
        <w:rPr>
          <w:rFonts w:ascii="Palatino Linotype" w:eastAsia="Palatino Linotype" w:hAnsi="Palatino Linotype" w:cs="Palatino Linotype"/>
          <w:i/>
          <w:sz w:val="22"/>
          <w:szCs w:val="22"/>
        </w:rPr>
        <w:t>2)</w:t>
      </w:r>
      <w:r w:rsidRPr="00A70BA6">
        <w:rPr>
          <w:rFonts w:ascii="Palatino Linotype" w:eastAsia="Palatino Linotype" w:hAnsi="Palatino Linotype" w:cs="Palatino Linotype"/>
          <w:i/>
          <w:sz w:val="22"/>
          <w:szCs w:val="22"/>
        </w:rPr>
        <w:tab/>
        <w:t>Que se trate de información registrada en cualquier soporte documental, que en ejercicio de las atribuciones conferidas, sea administrada por los Sujetos Obligados, y</w:t>
      </w:r>
    </w:p>
    <w:p w14:paraId="4283EC31" w14:textId="77777777" w:rsidR="00CF7DC1" w:rsidRPr="00A70BA6" w:rsidRDefault="008E39FE">
      <w:pPr>
        <w:ind w:left="567" w:right="560"/>
        <w:jc w:val="both"/>
        <w:rPr>
          <w:rFonts w:ascii="Palatino Linotype" w:eastAsia="Palatino Linotype" w:hAnsi="Palatino Linotype" w:cs="Palatino Linotype"/>
          <w:i/>
          <w:sz w:val="22"/>
          <w:szCs w:val="22"/>
        </w:rPr>
      </w:pPr>
      <w:r w:rsidRPr="00A70BA6">
        <w:rPr>
          <w:rFonts w:ascii="Palatino Linotype" w:eastAsia="Palatino Linotype" w:hAnsi="Palatino Linotype" w:cs="Palatino Linotype"/>
          <w:i/>
          <w:sz w:val="22"/>
          <w:szCs w:val="22"/>
        </w:rPr>
        <w:t xml:space="preserve">3) Que se trate de información registrada en cualquier soporte documental, que en ejercicio de las atribuciones conferidas, se encuentre en posesión de los Sujetos Obligados.” </w:t>
      </w:r>
    </w:p>
    <w:p w14:paraId="5A08EF70" w14:textId="77777777" w:rsidR="00CF7DC1" w:rsidRPr="00A70BA6" w:rsidRDefault="00CF7DC1">
      <w:pPr>
        <w:spacing w:line="360" w:lineRule="auto"/>
        <w:ind w:right="49"/>
        <w:jc w:val="both"/>
        <w:rPr>
          <w:rFonts w:ascii="Palatino Linotype" w:eastAsia="Palatino Linotype" w:hAnsi="Palatino Linotype" w:cs="Palatino Linotype"/>
          <w:sz w:val="22"/>
          <w:szCs w:val="22"/>
        </w:rPr>
      </w:pPr>
    </w:p>
    <w:p w14:paraId="23D67B26" w14:textId="36B3F23B" w:rsidR="00CF7DC1" w:rsidRPr="00A70BA6" w:rsidRDefault="008E39FE">
      <w:pPr>
        <w:spacing w:line="360" w:lineRule="auto"/>
        <w:ind w:right="49"/>
        <w:jc w:val="both"/>
        <w:rPr>
          <w:rFonts w:ascii="Palatino Linotype" w:eastAsia="Palatino Linotype" w:hAnsi="Palatino Linotype" w:cs="Palatino Linotype"/>
          <w:sz w:val="22"/>
          <w:szCs w:val="22"/>
        </w:rPr>
      </w:pPr>
      <w:r w:rsidRPr="00A70BA6">
        <w:rPr>
          <w:rFonts w:ascii="Palatino Linotype" w:eastAsia="Palatino Linotype" w:hAnsi="Palatino Linotype" w:cs="Palatino Linotype"/>
          <w:sz w:val="22"/>
          <w:szCs w:val="22"/>
        </w:rPr>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w:t>
      </w:r>
      <w:r w:rsidR="00DA618B" w:rsidRPr="00A70BA6">
        <w:rPr>
          <w:rFonts w:ascii="Palatino Linotype" w:eastAsia="Palatino Linotype" w:hAnsi="Palatino Linotype" w:cs="Palatino Linotype"/>
          <w:sz w:val="22"/>
          <w:szCs w:val="22"/>
        </w:rPr>
        <w:t>an a cabo los Sujetos Obligados</w:t>
      </w:r>
      <w:r w:rsidRPr="00A70BA6">
        <w:rPr>
          <w:rFonts w:ascii="Palatino Linotype" w:eastAsia="Palatino Linotype" w:hAnsi="Palatino Linotype" w:cs="Palatino Linotype"/>
          <w:sz w:val="22"/>
          <w:szCs w:val="22"/>
        </w:rPr>
        <w:t>.</w:t>
      </w:r>
    </w:p>
    <w:p w14:paraId="763F2403" w14:textId="77777777" w:rsidR="00CF7DC1" w:rsidRPr="00A70BA6" w:rsidRDefault="00CF7DC1">
      <w:pPr>
        <w:spacing w:line="360" w:lineRule="auto"/>
        <w:ind w:right="49"/>
        <w:jc w:val="both"/>
        <w:rPr>
          <w:rFonts w:ascii="Palatino Linotype" w:eastAsia="Palatino Linotype" w:hAnsi="Palatino Linotype" w:cs="Palatino Linotype"/>
          <w:sz w:val="22"/>
          <w:szCs w:val="22"/>
        </w:rPr>
      </w:pPr>
    </w:p>
    <w:p w14:paraId="6F5584AB" w14:textId="0CEA26AF" w:rsidR="00CF7DC1" w:rsidRPr="00A70BA6" w:rsidRDefault="008E39FE">
      <w:pPr>
        <w:spacing w:line="360" w:lineRule="auto"/>
        <w:ind w:right="49"/>
        <w:jc w:val="both"/>
        <w:rPr>
          <w:rFonts w:ascii="Palatino Linotype" w:eastAsia="Palatino Linotype" w:hAnsi="Palatino Linotype" w:cs="Palatino Linotype"/>
          <w:sz w:val="22"/>
          <w:szCs w:val="22"/>
        </w:rPr>
      </w:pPr>
      <w:r w:rsidRPr="00A70BA6">
        <w:rPr>
          <w:rFonts w:ascii="Palatino Linotype" w:eastAsia="Palatino Linotype" w:hAnsi="Palatino Linotype" w:cs="Palatino Linotype"/>
          <w:sz w:val="22"/>
          <w:szCs w:val="22"/>
        </w:rPr>
        <w:t xml:space="preserve">De las actuaciones que integran el expediente electrónico, se procede al análisis de los agravios hechos valer por la parte Recurrente, relativos a la </w:t>
      </w:r>
      <w:r w:rsidR="00263A8D" w:rsidRPr="00A70BA6">
        <w:rPr>
          <w:rFonts w:ascii="Palatino Linotype" w:eastAsia="Palatino Linotype" w:hAnsi="Palatino Linotype" w:cs="Palatino Linotype"/>
          <w:sz w:val="22"/>
          <w:szCs w:val="22"/>
        </w:rPr>
        <w:t xml:space="preserve">entrega </w:t>
      </w:r>
      <w:r w:rsidR="00DA618B" w:rsidRPr="00A70BA6">
        <w:rPr>
          <w:rFonts w:ascii="Palatino Linotype" w:eastAsia="Palatino Linotype" w:hAnsi="Palatino Linotype" w:cs="Palatino Linotype"/>
          <w:sz w:val="22"/>
          <w:szCs w:val="22"/>
        </w:rPr>
        <w:t xml:space="preserve">negativa de la información contemplada en la fracción I </w:t>
      </w:r>
      <w:r w:rsidRPr="00A70BA6">
        <w:rPr>
          <w:rFonts w:ascii="Palatino Linotype" w:eastAsia="Palatino Linotype" w:hAnsi="Palatino Linotype" w:cs="Palatino Linotype"/>
          <w:sz w:val="22"/>
          <w:szCs w:val="22"/>
        </w:rPr>
        <w:t>del artículo 179 de la Ley de Transparencia y Acceso a la Información Pública del Estado de México y Municipios.</w:t>
      </w:r>
    </w:p>
    <w:p w14:paraId="3ECF7E72" w14:textId="77777777" w:rsidR="00CF7DC1" w:rsidRPr="00A70BA6" w:rsidRDefault="00CF7DC1">
      <w:pPr>
        <w:spacing w:line="276" w:lineRule="auto"/>
        <w:ind w:left="851" w:right="616"/>
        <w:jc w:val="both"/>
        <w:rPr>
          <w:rFonts w:ascii="Palatino Linotype" w:eastAsia="Palatino Linotype" w:hAnsi="Palatino Linotype" w:cs="Palatino Linotype"/>
          <w:b/>
          <w:i/>
          <w:sz w:val="22"/>
          <w:szCs w:val="22"/>
        </w:rPr>
      </w:pPr>
    </w:p>
    <w:p w14:paraId="3D3B1F6D" w14:textId="77777777" w:rsidR="007A0898" w:rsidRPr="00A70BA6" w:rsidRDefault="008E39FE" w:rsidP="00E5693D">
      <w:pPr>
        <w:spacing w:line="360" w:lineRule="auto"/>
        <w:ind w:right="49"/>
        <w:jc w:val="both"/>
        <w:rPr>
          <w:rFonts w:ascii="Palatino Linotype" w:eastAsia="Palatino Linotype" w:hAnsi="Palatino Linotype" w:cs="Palatino Linotype"/>
          <w:sz w:val="22"/>
          <w:szCs w:val="22"/>
        </w:rPr>
      </w:pPr>
      <w:r w:rsidRPr="00A70BA6">
        <w:rPr>
          <w:rFonts w:ascii="Palatino Linotype" w:eastAsia="Palatino Linotype" w:hAnsi="Palatino Linotype" w:cs="Palatino Linotype"/>
          <w:sz w:val="22"/>
          <w:szCs w:val="22"/>
        </w:rPr>
        <w:t xml:space="preserve">Dicho lo anterior, es de recordar que la pretensión de la parte Recurrente es obtener </w:t>
      </w:r>
      <w:r w:rsidR="007A0898" w:rsidRPr="00A70BA6">
        <w:rPr>
          <w:rFonts w:ascii="Palatino Linotype" w:eastAsia="Palatino Linotype" w:hAnsi="Palatino Linotype" w:cs="Palatino Linotype"/>
          <w:sz w:val="22"/>
          <w:szCs w:val="22"/>
        </w:rPr>
        <w:t>acceso a la siguiente información:</w:t>
      </w:r>
    </w:p>
    <w:p w14:paraId="261F4BEB" w14:textId="77777777" w:rsidR="007A0898" w:rsidRPr="00A70BA6" w:rsidRDefault="007A0898" w:rsidP="00E5693D">
      <w:pPr>
        <w:spacing w:line="360" w:lineRule="auto"/>
        <w:ind w:right="49"/>
        <w:jc w:val="both"/>
        <w:rPr>
          <w:rFonts w:ascii="Palatino Linotype" w:eastAsia="Palatino Linotype" w:hAnsi="Palatino Linotype" w:cs="Palatino Linotype"/>
          <w:sz w:val="22"/>
          <w:szCs w:val="22"/>
        </w:rPr>
      </w:pPr>
    </w:p>
    <w:p w14:paraId="19B04426" w14:textId="179C49A5" w:rsidR="007A0898" w:rsidRPr="00A70BA6" w:rsidRDefault="007A0898" w:rsidP="007A0898">
      <w:pPr>
        <w:pStyle w:val="Prrafodelista"/>
        <w:numPr>
          <w:ilvl w:val="0"/>
          <w:numId w:val="11"/>
        </w:numPr>
        <w:spacing w:line="360" w:lineRule="auto"/>
        <w:ind w:right="49"/>
        <w:jc w:val="both"/>
        <w:rPr>
          <w:rFonts w:ascii="Palatino Linotype" w:eastAsia="Palatino Linotype" w:hAnsi="Palatino Linotype" w:cs="Palatino Linotype"/>
        </w:rPr>
      </w:pPr>
      <w:r w:rsidRPr="00A70BA6">
        <w:rPr>
          <w:rFonts w:ascii="Palatino Linotype" w:eastAsia="Palatino Linotype" w:hAnsi="Palatino Linotype" w:cs="Palatino Linotype"/>
        </w:rPr>
        <w:t>Informes sobre la gestión y destino de recursos destinados a programas de salud pública, incluyendo auditorías, evaluaciones de eficacia y resultados obtenidos.</w:t>
      </w:r>
    </w:p>
    <w:p w14:paraId="635142E9" w14:textId="3B30D95F" w:rsidR="00A312EA" w:rsidRPr="00A70BA6" w:rsidRDefault="00507F03">
      <w:pPr>
        <w:spacing w:line="360" w:lineRule="auto"/>
        <w:jc w:val="both"/>
        <w:rPr>
          <w:rFonts w:ascii="Palatino Linotype" w:eastAsia="Palatino Linotype" w:hAnsi="Palatino Linotype" w:cs="Palatino Linotype"/>
          <w:sz w:val="22"/>
          <w:szCs w:val="22"/>
        </w:rPr>
      </w:pPr>
      <w:r w:rsidRPr="00A70BA6">
        <w:rPr>
          <w:rFonts w:ascii="Palatino Linotype" w:eastAsia="Palatino Linotype" w:hAnsi="Palatino Linotype" w:cs="Palatino Linotype"/>
          <w:sz w:val="22"/>
          <w:szCs w:val="22"/>
        </w:rPr>
        <w:lastRenderedPageBreak/>
        <w:t>En su respuesta, el Sujeto Obligado dio respuesta adjuntando el siguiente documento electrónico siguiente:</w:t>
      </w:r>
    </w:p>
    <w:p w14:paraId="5C0FD5B2" w14:textId="77777777" w:rsidR="00507F03" w:rsidRPr="00A70BA6" w:rsidRDefault="00507F03">
      <w:pPr>
        <w:spacing w:line="360" w:lineRule="auto"/>
        <w:jc w:val="both"/>
        <w:rPr>
          <w:rFonts w:ascii="Palatino Linotype" w:eastAsia="Palatino Linotype" w:hAnsi="Palatino Linotype" w:cs="Palatino Linotype"/>
          <w:sz w:val="22"/>
          <w:szCs w:val="22"/>
        </w:rPr>
      </w:pPr>
    </w:p>
    <w:p w14:paraId="6685F2BE" w14:textId="32BB1E08" w:rsidR="00507F03" w:rsidRPr="00A70BA6" w:rsidRDefault="00507F03" w:rsidP="00241FB2">
      <w:pPr>
        <w:pStyle w:val="Prrafodelista"/>
        <w:numPr>
          <w:ilvl w:val="0"/>
          <w:numId w:val="11"/>
        </w:numPr>
        <w:spacing w:line="360" w:lineRule="auto"/>
        <w:jc w:val="both"/>
        <w:rPr>
          <w:rFonts w:ascii="Palatino Linotype" w:eastAsia="Palatino Linotype" w:hAnsi="Palatino Linotype" w:cs="Palatino Linotype"/>
        </w:rPr>
      </w:pPr>
      <w:r w:rsidRPr="00A70BA6">
        <w:rPr>
          <w:rFonts w:ascii="Palatino Linotype" w:eastAsia="Palatino Linotype" w:hAnsi="Palatino Linotype" w:cs="Palatino Linotype"/>
          <w:b/>
        </w:rPr>
        <w:t>RESPUESTA SOLICITUD 262.pdf:</w:t>
      </w:r>
      <w:r w:rsidRPr="00A70BA6">
        <w:rPr>
          <w:rFonts w:ascii="Palatino Linotype" w:eastAsia="Palatino Linotype" w:hAnsi="Palatino Linotype" w:cs="Palatino Linotype"/>
        </w:rPr>
        <w:t xml:space="preserve"> Documento sin número de oficio suscrito por el Titular de la Unidad de Transparencia mediante el cual refiere que </w:t>
      </w:r>
      <w:r w:rsidR="00241FB2" w:rsidRPr="00A70BA6">
        <w:rPr>
          <w:rFonts w:ascii="Palatino Linotype" w:eastAsia="Palatino Linotype" w:hAnsi="Palatino Linotype" w:cs="Palatino Linotype"/>
        </w:rPr>
        <w:t>la información se encuentra en posesión del Sujeto Obligado denominado Sistema Municipal para el Desarrollo integral de la Familia de Zinacantepec, toda vez que dicho Sujeto Obligado cuenta con la Coordinación de Salud, prevención y bienestar familiar que es la encargada de atender de desarrollar acciones de prevención y promoción de la salud a través de programas socializados. Por lo que se invita dirigir su solicitud al DIF de Zinacantepec, ya que es un Sujeto Obligado diverso.</w:t>
      </w:r>
    </w:p>
    <w:p w14:paraId="375EBE1B" w14:textId="77777777" w:rsidR="00507F03" w:rsidRPr="00A70BA6" w:rsidRDefault="00507F03">
      <w:pPr>
        <w:spacing w:line="360" w:lineRule="auto"/>
        <w:jc w:val="both"/>
        <w:rPr>
          <w:rFonts w:ascii="Palatino Linotype" w:eastAsia="Palatino Linotype" w:hAnsi="Palatino Linotype" w:cs="Palatino Linotype"/>
          <w:sz w:val="22"/>
          <w:szCs w:val="22"/>
        </w:rPr>
      </w:pPr>
    </w:p>
    <w:p w14:paraId="4180E317" w14:textId="77777777" w:rsidR="00241FB2" w:rsidRPr="00A70BA6" w:rsidRDefault="00241FB2">
      <w:pPr>
        <w:spacing w:line="360" w:lineRule="auto"/>
        <w:jc w:val="both"/>
        <w:rPr>
          <w:rFonts w:ascii="Palatino Linotype" w:eastAsia="Palatino Linotype" w:hAnsi="Palatino Linotype" w:cs="Palatino Linotype"/>
          <w:sz w:val="22"/>
          <w:szCs w:val="22"/>
        </w:rPr>
      </w:pPr>
      <w:r w:rsidRPr="00A70BA6">
        <w:rPr>
          <w:rFonts w:ascii="Palatino Linotype" w:eastAsia="Palatino Linotype" w:hAnsi="Palatino Linotype" w:cs="Palatino Linotype"/>
          <w:sz w:val="22"/>
          <w:szCs w:val="22"/>
        </w:rPr>
        <w:t>Por su parte, el Recurrente se inconformó por la negativa de la información.</w:t>
      </w:r>
    </w:p>
    <w:p w14:paraId="69D5AFDF" w14:textId="77777777" w:rsidR="00241FB2" w:rsidRPr="00A70BA6" w:rsidRDefault="00241FB2">
      <w:pPr>
        <w:spacing w:line="360" w:lineRule="auto"/>
        <w:jc w:val="both"/>
        <w:rPr>
          <w:rFonts w:ascii="Palatino Linotype" w:eastAsia="Palatino Linotype" w:hAnsi="Palatino Linotype" w:cs="Palatino Linotype"/>
          <w:sz w:val="22"/>
          <w:szCs w:val="22"/>
        </w:rPr>
      </w:pPr>
    </w:p>
    <w:p w14:paraId="45C8F167" w14:textId="3A8DF2EC" w:rsidR="00241FB2" w:rsidRPr="00A70BA6" w:rsidRDefault="00241FB2">
      <w:pPr>
        <w:spacing w:line="360" w:lineRule="auto"/>
        <w:jc w:val="both"/>
        <w:rPr>
          <w:rFonts w:ascii="Palatino Linotype" w:eastAsia="Palatino Linotype" w:hAnsi="Palatino Linotype" w:cs="Palatino Linotype"/>
          <w:sz w:val="22"/>
          <w:szCs w:val="22"/>
        </w:rPr>
      </w:pPr>
      <w:r w:rsidRPr="00A70BA6">
        <w:rPr>
          <w:rFonts w:ascii="Palatino Linotype" w:eastAsia="Palatino Linotype" w:hAnsi="Palatino Linotype" w:cs="Palatino Linotype"/>
          <w:sz w:val="22"/>
          <w:szCs w:val="22"/>
        </w:rPr>
        <w:t>El Sujeto Obligado a través del informe justificado remitió la siguiente información:</w:t>
      </w:r>
    </w:p>
    <w:p w14:paraId="76F395D0" w14:textId="77777777" w:rsidR="00241FB2" w:rsidRPr="00A70BA6" w:rsidRDefault="00241FB2">
      <w:pPr>
        <w:spacing w:line="360" w:lineRule="auto"/>
        <w:jc w:val="both"/>
        <w:rPr>
          <w:rFonts w:ascii="Palatino Linotype" w:eastAsia="Palatino Linotype" w:hAnsi="Palatino Linotype" w:cs="Palatino Linotype"/>
          <w:sz w:val="22"/>
          <w:szCs w:val="22"/>
        </w:rPr>
      </w:pPr>
    </w:p>
    <w:p w14:paraId="182D74E2" w14:textId="4E885231" w:rsidR="00241FB2" w:rsidRPr="00A70BA6" w:rsidRDefault="00241FB2" w:rsidP="00241FB2">
      <w:pPr>
        <w:pStyle w:val="Prrafodelista"/>
        <w:numPr>
          <w:ilvl w:val="0"/>
          <w:numId w:val="11"/>
        </w:numPr>
        <w:spacing w:line="360" w:lineRule="auto"/>
        <w:jc w:val="both"/>
        <w:rPr>
          <w:rFonts w:ascii="Palatino Linotype" w:eastAsia="Palatino Linotype" w:hAnsi="Palatino Linotype" w:cs="Palatino Linotype"/>
          <w:b/>
        </w:rPr>
      </w:pPr>
      <w:r w:rsidRPr="00A70BA6">
        <w:rPr>
          <w:rFonts w:ascii="Palatino Linotype" w:eastAsia="Palatino Linotype" w:hAnsi="Palatino Linotype" w:cs="Palatino Linotype"/>
          <w:b/>
        </w:rPr>
        <w:t xml:space="preserve">IJ 5154 </w:t>
      </w:r>
      <w:proofErr w:type="gramStart"/>
      <w:r w:rsidRPr="00A70BA6">
        <w:rPr>
          <w:rFonts w:ascii="Palatino Linotype" w:eastAsia="Palatino Linotype" w:hAnsi="Palatino Linotype" w:cs="Palatino Linotype"/>
          <w:b/>
        </w:rPr>
        <w:t>2025..</w:t>
      </w:r>
      <w:proofErr w:type="gramEnd"/>
      <w:r w:rsidRPr="00A70BA6">
        <w:rPr>
          <w:rFonts w:ascii="Palatino Linotype" w:eastAsia="Palatino Linotype" w:hAnsi="Palatino Linotype" w:cs="Palatino Linotype"/>
          <w:b/>
        </w:rPr>
        <w:t xml:space="preserve">pdf: </w:t>
      </w:r>
      <w:r w:rsidRPr="00A70BA6">
        <w:rPr>
          <w:rFonts w:ascii="Palatino Linotype" w:eastAsia="Palatino Linotype" w:hAnsi="Palatino Linotype" w:cs="Palatino Linotype"/>
        </w:rPr>
        <w:t>Documento sin número de oficio mediante el cual hace referencia al acuerdo CT/S08/EXT7AC06/2026 se aprobó la inexistencia de la información, ya que es información que no es de su competencia, como se refirió en respuesta.</w:t>
      </w:r>
      <w:r w:rsidRPr="00A70BA6">
        <w:rPr>
          <w:rFonts w:ascii="Palatino Linotype" w:eastAsia="Palatino Linotype" w:hAnsi="Palatino Linotype" w:cs="Palatino Linotype"/>
        </w:rPr>
        <w:tab/>
      </w:r>
    </w:p>
    <w:p w14:paraId="79C74412" w14:textId="3D091B30" w:rsidR="00241FB2" w:rsidRPr="00A70BA6" w:rsidRDefault="00241FB2" w:rsidP="00241FB2">
      <w:pPr>
        <w:pStyle w:val="Prrafodelista"/>
        <w:numPr>
          <w:ilvl w:val="0"/>
          <w:numId w:val="11"/>
        </w:numPr>
        <w:spacing w:line="360" w:lineRule="auto"/>
        <w:jc w:val="both"/>
        <w:rPr>
          <w:rFonts w:ascii="Palatino Linotype" w:eastAsia="Palatino Linotype" w:hAnsi="Palatino Linotype" w:cs="Palatino Linotype"/>
          <w:b/>
        </w:rPr>
      </w:pPr>
      <w:r w:rsidRPr="00A70BA6">
        <w:rPr>
          <w:rFonts w:ascii="Palatino Linotype" w:eastAsia="Palatino Linotype" w:hAnsi="Palatino Linotype" w:cs="Palatino Linotype"/>
          <w:b/>
        </w:rPr>
        <w:t>SECT ZINA 08 2025.pdf:</w:t>
      </w:r>
      <w:r w:rsidR="005D7FD2" w:rsidRPr="00A70BA6">
        <w:rPr>
          <w:rFonts w:ascii="Palatino Linotype" w:eastAsia="Palatino Linotype" w:hAnsi="Palatino Linotype" w:cs="Palatino Linotype"/>
          <w:b/>
        </w:rPr>
        <w:t xml:space="preserve"> </w:t>
      </w:r>
      <w:r w:rsidR="005D7FD2" w:rsidRPr="00A70BA6">
        <w:rPr>
          <w:rFonts w:ascii="Palatino Linotype" w:eastAsia="Palatino Linotype" w:hAnsi="Palatino Linotype" w:cs="Palatino Linotype"/>
        </w:rPr>
        <w:t xml:space="preserve">Acta de la Octava Sesión Extraordinaria del Comité de Transparencia de Zinacantepec </w:t>
      </w:r>
      <w:r w:rsidR="00B45DE7" w:rsidRPr="00A70BA6">
        <w:rPr>
          <w:rFonts w:ascii="Palatino Linotype" w:eastAsia="Palatino Linotype" w:hAnsi="Palatino Linotype" w:cs="Palatino Linotype"/>
        </w:rPr>
        <w:t xml:space="preserve">con el acuerdo CT/ZIN/EXT/0008/2025 en el que se enlista como punto 7 del orden del día la </w:t>
      </w:r>
      <w:r w:rsidR="00B45DE7" w:rsidRPr="00A70BA6">
        <w:rPr>
          <w:rFonts w:ascii="Palatino Linotype" w:eastAsia="Palatino Linotype" w:hAnsi="Palatino Linotype" w:cs="Palatino Linotype"/>
          <w:b/>
        </w:rPr>
        <w:t>aprobación de la declaración de incompetencia total.</w:t>
      </w:r>
    </w:p>
    <w:p w14:paraId="570EA793" w14:textId="77777777" w:rsidR="00B45DE7" w:rsidRPr="00A70BA6" w:rsidRDefault="00B45DE7" w:rsidP="00B45DE7">
      <w:pPr>
        <w:spacing w:line="360" w:lineRule="auto"/>
        <w:jc w:val="both"/>
        <w:rPr>
          <w:rFonts w:ascii="Palatino Linotype" w:eastAsia="Palatino Linotype" w:hAnsi="Palatino Linotype" w:cs="Palatino Linotype"/>
          <w:b/>
          <w:sz w:val="22"/>
          <w:szCs w:val="22"/>
        </w:rPr>
      </w:pPr>
    </w:p>
    <w:p w14:paraId="5463D4AB" w14:textId="77777777" w:rsidR="00B45DE7" w:rsidRPr="00A70BA6" w:rsidRDefault="00B45DE7" w:rsidP="00B45DE7">
      <w:pPr>
        <w:spacing w:line="360" w:lineRule="auto"/>
        <w:jc w:val="both"/>
        <w:rPr>
          <w:rFonts w:ascii="Palatino Linotype" w:eastAsia="Palatino Linotype" w:hAnsi="Palatino Linotype" w:cs="Palatino Linotype"/>
          <w:b/>
          <w:sz w:val="22"/>
          <w:szCs w:val="22"/>
        </w:rPr>
      </w:pPr>
    </w:p>
    <w:p w14:paraId="0C2DA332" w14:textId="538F878C" w:rsidR="007A10D7" w:rsidRPr="00A70BA6" w:rsidRDefault="007A10D7">
      <w:pPr>
        <w:spacing w:line="360" w:lineRule="auto"/>
        <w:jc w:val="both"/>
        <w:rPr>
          <w:rFonts w:ascii="Palatino Linotype" w:eastAsia="Palatino Linotype" w:hAnsi="Palatino Linotype" w:cs="Palatino Linotype"/>
          <w:sz w:val="22"/>
          <w:szCs w:val="22"/>
        </w:rPr>
      </w:pPr>
      <w:r w:rsidRPr="00A70BA6">
        <w:rPr>
          <w:rFonts w:ascii="Palatino Linotype" w:eastAsia="Palatino Linotype" w:hAnsi="Palatino Linotype" w:cs="Palatino Linotype"/>
          <w:sz w:val="22"/>
          <w:szCs w:val="22"/>
        </w:rPr>
        <w:lastRenderedPageBreak/>
        <w:t xml:space="preserve">Ahora bien, derivado de la naturaleza de la información pública, la cual se relaciona con programas de salud pública, es necesario </w:t>
      </w:r>
      <w:r w:rsidR="00467A6C" w:rsidRPr="00A70BA6">
        <w:rPr>
          <w:rFonts w:ascii="Palatino Linotype" w:eastAsia="Palatino Linotype" w:hAnsi="Palatino Linotype" w:cs="Palatino Linotype"/>
          <w:sz w:val="22"/>
          <w:szCs w:val="22"/>
        </w:rPr>
        <w:t xml:space="preserve">traer a contexto el Bando Municipal del Ayuntamiento de Zinacantepec, </w:t>
      </w:r>
    </w:p>
    <w:p w14:paraId="6C8B5BF3" w14:textId="4DDA6BA3" w:rsidR="00241FB2" w:rsidRPr="00A70BA6" w:rsidRDefault="007A10D7">
      <w:pPr>
        <w:spacing w:line="360" w:lineRule="auto"/>
        <w:jc w:val="both"/>
        <w:rPr>
          <w:rFonts w:ascii="Palatino Linotype" w:eastAsia="Palatino Linotype" w:hAnsi="Palatino Linotype" w:cs="Palatino Linotype"/>
          <w:sz w:val="22"/>
          <w:szCs w:val="22"/>
        </w:rPr>
      </w:pPr>
      <w:r w:rsidRPr="00A70BA6">
        <w:rPr>
          <w:rFonts w:ascii="Palatino Linotype" w:eastAsia="Palatino Linotype" w:hAnsi="Palatino Linotype" w:cs="Palatino Linotype"/>
          <w:sz w:val="22"/>
          <w:szCs w:val="22"/>
        </w:rPr>
        <w:t xml:space="preserve"> </w:t>
      </w:r>
    </w:p>
    <w:p w14:paraId="0D38B695" w14:textId="641B8A9D" w:rsidR="007A10D7" w:rsidRPr="00A70BA6" w:rsidRDefault="00FE2677" w:rsidP="00FE2677">
      <w:pPr>
        <w:spacing w:line="360" w:lineRule="auto"/>
        <w:ind w:left="567" w:right="616"/>
        <w:jc w:val="both"/>
        <w:rPr>
          <w:rFonts w:ascii="Palatino Linotype" w:eastAsia="Palatino Linotype" w:hAnsi="Palatino Linotype" w:cs="Palatino Linotype"/>
          <w:i/>
          <w:sz w:val="22"/>
          <w:szCs w:val="22"/>
        </w:rPr>
      </w:pPr>
      <w:r w:rsidRPr="00A70BA6">
        <w:rPr>
          <w:rFonts w:ascii="Palatino Linotype" w:hAnsi="Palatino Linotype"/>
          <w:i/>
          <w:sz w:val="22"/>
          <w:szCs w:val="22"/>
        </w:rPr>
        <w:t xml:space="preserve">Artículo 13. </w:t>
      </w:r>
      <w:r w:rsidRPr="00A70BA6">
        <w:rPr>
          <w:rFonts w:ascii="Palatino Linotype" w:hAnsi="Palatino Linotype"/>
          <w:b/>
          <w:i/>
          <w:sz w:val="22"/>
          <w:szCs w:val="22"/>
        </w:rPr>
        <w:t>En el municipio de Zinacantepec, se garantizará</w:t>
      </w:r>
      <w:r w:rsidRPr="00A70BA6">
        <w:rPr>
          <w:rFonts w:ascii="Palatino Linotype" w:hAnsi="Palatino Linotype"/>
          <w:i/>
          <w:sz w:val="22"/>
          <w:szCs w:val="22"/>
        </w:rPr>
        <w:t xml:space="preserve"> la vigencia del principio de igualdad, combatiendo toda clase de discriminación motivada por origen étnico, nacionalidad, género, edad, discapacidad, condición social, </w:t>
      </w:r>
      <w:r w:rsidRPr="00A70BA6">
        <w:rPr>
          <w:rFonts w:ascii="Palatino Linotype" w:hAnsi="Palatino Linotype"/>
          <w:b/>
          <w:i/>
          <w:sz w:val="22"/>
          <w:szCs w:val="22"/>
        </w:rPr>
        <w:t>condiciones de salud</w:t>
      </w:r>
      <w:r w:rsidRPr="00A70BA6">
        <w:rPr>
          <w:rFonts w:ascii="Palatino Linotype" w:hAnsi="Palatino Linotype"/>
          <w:i/>
          <w:sz w:val="22"/>
          <w:szCs w:val="22"/>
        </w:rPr>
        <w:t>, religión, opiniones, preferencias, estado civil o cualquier otra que atente contra la dignidad humana y tenga por objeto anular o menoscabar los derechos y libertades de las personas.</w:t>
      </w:r>
    </w:p>
    <w:p w14:paraId="53C13198" w14:textId="77777777" w:rsidR="007A10D7" w:rsidRPr="00A70BA6" w:rsidRDefault="007A10D7" w:rsidP="00FE2677">
      <w:pPr>
        <w:spacing w:line="360" w:lineRule="auto"/>
        <w:ind w:left="567" w:right="616"/>
        <w:jc w:val="both"/>
        <w:rPr>
          <w:rFonts w:ascii="Palatino Linotype" w:eastAsia="Palatino Linotype" w:hAnsi="Palatino Linotype" w:cs="Palatino Linotype"/>
          <w:i/>
          <w:sz w:val="22"/>
          <w:szCs w:val="22"/>
        </w:rPr>
      </w:pPr>
    </w:p>
    <w:p w14:paraId="0FA183A1" w14:textId="52123A6E" w:rsidR="00FE2677" w:rsidRPr="00A70BA6" w:rsidRDefault="00FE2677" w:rsidP="00FE2677">
      <w:pPr>
        <w:spacing w:line="360" w:lineRule="auto"/>
        <w:ind w:left="567" w:right="616"/>
        <w:jc w:val="both"/>
        <w:rPr>
          <w:rFonts w:ascii="Palatino Linotype" w:hAnsi="Palatino Linotype"/>
          <w:i/>
          <w:sz w:val="22"/>
          <w:szCs w:val="22"/>
        </w:rPr>
      </w:pPr>
      <w:r w:rsidRPr="00A70BA6">
        <w:rPr>
          <w:rFonts w:ascii="Palatino Linotype" w:hAnsi="Palatino Linotype"/>
          <w:i/>
          <w:sz w:val="22"/>
          <w:szCs w:val="22"/>
        </w:rPr>
        <w:t>Artículo 79. El Municipio tiene a su cargo la planeación, prestación, administración, ejecución, conservación y evaluación de los servicios públicos municipales, de los cuales se consideran de manera enunciativa y no limitativa los siguientes:</w:t>
      </w:r>
    </w:p>
    <w:p w14:paraId="20586CAC" w14:textId="144B4A5D" w:rsidR="00FE2677" w:rsidRPr="00A70BA6" w:rsidRDefault="00FE2677" w:rsidP="00FE2677">
      <w:pPr>
        <w:spacing w:line="360" w:lineRule="auto"/>
        <w:ind w:left="567" w:right="616"/>
        <w:jc w:val="both"/>
        <w:rPr>
          <w:rFonts w:ascii="Palatino Linotype" w:hAnsi="Palatino Linotype"/>
          <w:i/>
          <w:sz w:val="22"/>
          <w:szCs w:val="22"/>
        </w:rPr>
      </w:pPr>
      <w:r w:rsidRPr="00A70BA6">
        <w:rPr>
          <w:rFonts w:ascii="Palatino Linotype" w:hAnsi="Palatino Linotype"/>
          <w:i/>
          <w:sz w:val="22"/>
          <w:szCs w:val="22"/>
        </w:rPr>
        <w:t>…</w:t>
      </w:r>
    </w:p>
    <w:p w14:paraId="27708F9A" w14:textId="223E004B" w:rsidR="00FE2677" w:rsidRPr="00A70BA6" w:rsidRDefault="00FE2677" w:rsidP="00FE2677">
      <w:pPr>
        <w:spacing w:line="360" w:lineRule="auto"/>
        <w:ind w:left="567" w:right="616"/>
        <w:jc w:val="both"/>
        <w:rPr>
          <w:rFonts w:ascii="Palatino Linotype" w:hAnsi="Palatino Linotype"/>
          <w:i/>
          <w:sz w:val="22"/>
          <w:szCs w:val="22"/>
        </w:rPr>
      </w:pPr>
      <w:r w:rsidRPr="00A70BA6">
        <w:rPr>
          <w:rFonts w:ascii="Palatino Linotype" w:hAnsi="Palatino Linotype"/>
          <w:i/>
          <w:sz w:val="22"/>
          <w:szCs w:val="22"/>
        </w:rPr>
        <w:t>XII. Salud pública.</w:t>
      </w:r>
    </w:p>
    <w:p w14:paraId="3F9DFBD0" w14:textId="31385A81" w:rsidR="00FE2677" w:rsidRPr="00A70BA6" w:rsidRDefault="00FE2677" w:rsidP="00FE2677">
      <w:pPr>
        <w:spacing w:line="360" w:lineRule="auto"/>
        <w:ind w:left="567" w:right="616"/>
        <w:jc w:val="both"/>
        <w:rPr>
          <w:rFonts w:ascii="Palatino Linotype" w:hAnsi="Palatino Linotype"/>
          <w:i/>
          <w:sz w:val="22"/>
          <w:szCs w:val="22"/>
        </w:rPr>
      </w:pPr>
      <w:r w:rsidRPr="00A70BA6">
        <w:rPr>
          <w:rFonts w:ascii="Palatino Linotype" w:hAnsi="Palatino Linotype"/>
          <w:i/>
          <w:sz w:val="22"/>
          <w:szCs w:val="22"/>
        </w:rPr>
        <w:t>…</w:t>
      </w:r>
    </w:p>
    <w:p w14:paraId="59F4D10B" w14:textId="77777777" w:rsidR="00FE2677" w:rsidRPr="00A70BA6" w:rsidRDefault="00FE2677" w:rsidP="00FE2677">
      <w:pPr>
        <w:spacing w:line="360" w:lineRule="auto"/>
        <w:ind w:left="567" w:right="616"/>
        <w:jc w:val="both"/>
        <w:rPr>
          <w:rFonts w:ascii="Palatino Linotype" w:hAnsi="Palatino Linotype"/>
          <w:i/>
          <w:sz w:val="22"/>
          <w:szCs w:val="22"/>
        </w:rPr>
      </w:pPr>
    </w:p>
    <w:p w14:paraId="7FB14D68" w14:textId="77777777" w:rsidR="00FE2677" w:rsidRPr="00A70BA6" w:rsidRDefault="00FE2677" w:rsidP="00FE2677">
      <w:pPr>
        <w:spacing w:line="360" w:lineRule="auto"/>
        <w:ind w:left="567" w:right="616"/>
        <w:jc w:val="both"/>
        <w:rPr>
          <w:rFonts w:ascii="Palatino Linotype" w:hAnsi="Palatino Linotype"/>
          <w:i/>
          <w:sz w:val="22"/>
          <w:szCs w:val="22"/>
        </w:rPr>
      </w:pPr>
      <w:r w:rsidRPr="00A70BA6">
        <w:rPr>
          <w:rFonts w:ascii="Palatino Linotype" w:hAnsi="Palatino Linotype"/>
          <w:i/>
          <w:sz w:val="22"/>
          <w:szCs w:val="22"/>
        </w:rPr>
        <w:t xml:space="preserve">SECCIÓN II </w:t>
      </w:r>
    </w:p>
    <w:p w14:paraId="4B2C090A" w14:textId="77777777" w:rsidR="00FE2677" w:rsidRPr="00A70BA6" w:rsidRDefault="00FE2677" w:rsidP="00FE2677">
      <w:pPr>
        <w:spacing w:line="360" w:lineRule="auto"/>
        <w:ind w:left="567" w:right="616"/>
        <w:jc w:val="both"/>
        <w:rPr>
          <w:rFonts w:ascii="Palatino Linotype" w:hAnsi="Palatino Linotype"/>
          <w:i/>
          <w:sz w:val="22"/>
          <w:szCs w:val="22"/>
        </w:rPr>
      </w:pPr>
      <w:r w:rsidRPr="00A70BA6">
        <w:rPr>
          <w:rFonts w:ascii="Palatino Linotype" w:hAnsi="Palatino Linotype"/>
          <w:i/>
          <w:sz w:val="22"/>
          <w:szCs w:val="22"/>
        </w:rPr>
        <w:t xml:space="preserve">DE SALUD </w:t>
      </w:r>
    </w:p>
    <w:p w14:paraId="20046618" w14:textId="736399C0" w:rsidR="00FE2677" w:rsidRPr="00A70BA6" w:rsidRDefault="00FE2677" w:rsidP="00FE2677">
      <w:pPr>
        <w:spacing w:line="360" w:lineRule="auto"/>
        <w:ind w:left="567" w:right="616"/>
        <w:jc w:val="both"/>
        <w:rPr>
          <w:rFonts w:ascii="Palatino Linotype" w:eastAsia="Palatino Linotype" w:hAnsi="Palatino Linotype" w:cs="Palatino Linotype"/>
          <w:i/>
          <w:sz w:val="22"/>
          <w:szCs w:val="22"/>
        </w:rPr>
      </w:pPr>
      <w:r w:rsidRPr="00A70BA6">
        <w:rPr>
          <w:rFonts w:ascii="Palatino Linotype" w:hAnsi="Palatino Linotype"/>
          <w:i/>
          <w:sz w:val="22"/>
          <w:szCs w:val="22"/>
        </w:rPr>
        <w:t xml:space="preserve">Artículo 109. </w:t>
      </w:r>
      <w:r w:rsidRPr="00A70BA6">
        <w:rPr>
          <w:rFonts w:ascii="Palatino Linotype" w:hAnsi="Palatino Linotype"/>
          <w:b/>
          <w:i/>
          <w:sz w:val="22"/>
          <w:szCs w:val="22"/>
        </w:rPr>
        <w:t>El Sistema Municipal para el Desarrollo Integral de la Familia de Zinacantepec promoverá y coadyuvará en la asistencia médica de las personas que así lo requieran</w:t>
      </w:r>
      <w:r w:rsidRPr="00A70BA6">
        <w:rPr>
          <w:rFonts w:ascii="Palatino Linotype" w:hAnsi="Palatino Linotype"/>
          <w:i/>
          <w:sz w:val="22"/>
          <w:szCs w:val="22"/>
        </w:rPr>
        <w:t xml:space="preserve">, principalmente a los grupos vulnerables, mediante </w:t>
      </w:r>
      <w:r w:rsidRPr="00A70BA6">
        <w:rPr>
          <w:rFonts w:ascii="Palatino Linotype" w:hAnsi="Palatino Linotype"/>
          <w:b/>
          <w:i/>
          <w:sz w:val="22"/>
          <w:szCs w:val="22"/>
        </w:rPr>
        <w:t xml:space="preserve">jornadas médico-asistenciales y </w:t>
      </w:r>
      <w:r w:rsidRPr="00A70BA6">
        <w:rPr>
          <w:rFonts w:ascii="Palatino Linotype" w:hAnsi="Palatino Linotype"/>
          <w:b/>
          <w:i/>
          <w:sz w:val="22"/>
          <w:szCs w:val="22"/>
          <w:u w:val="single"/>
        </w:rPr>
        <w:t>programas</w:t>
      </w:r>
      <w:r w:rsidRPr="00A70BA6">
        <w:rPr>
          <w:rFonts w:ascii="Palatino Linotype" w:hAnsi="Palatino Linotype"/>
          <w:b/>
          <w:i/>
          <w:sz w:val="22"/>
          <w:szCs w:val="22"/>
        </w:rPr>
        <w:t xml:space="preserve"> integrales en la materia</w:t>
      </w:r>
      <w:r w:rsidRPr="00A70BA6">
        <w:rPr>
          <w:rFonts w:ascii="Palatino Linotype" w:hAnsi="Palatino Linotype"/>
          <w:i/>
          <w:sz w:val="22"/>
          <w:szCs w:val="22"/>
        </w:rPr>
        <w:t xml:space="preserve">, haciendo especial énfasis en la prevención y educación para la salud, a través de acciones sociales y educativas que incrementen la conciencia pública sobre la salud, propicien estilos de </w:t>
      </w:r>
      <w:r w:rsidRPr="00A70BA6">
        <w:rPr>
          <w:rFonts w:ascii="Palatino Linotype" w:hAnsi="Palatino Linotype"/>
          <w:i/>
          <w:sz w:val="22"/>
          <w:szCs w:val="22"/>
        </w:rPr>
        <w:lastRenderedPageBreak/>
        <w:t xml:space="preserve">vida saludables y estimulen la acción comunitaria y la participación social a favor de una mejor calidad de vida de los </w:t>
      </w:r>
      <w:proofErr w:type="spellStart"/>
      <w:r w:rsidRPr="00A70BA6">
        <w:rPr>
          <w:rFonts w:ascii="Palatino Linotype" w:hAnsi="Palatino Linotype"/>
          <w:i/>
          <w:sz w:val="22"/>
          <w:szCs w:val="22"/>
        </w:rPr>
        <w:t>zinacantepequenses</w:t>
      </w:r>
      <w:proofErr w:type="spellEnd"/>
      <w:r w:rsidRPr="00A70BA6">
        <w:rPr>
          <w:rFonts w:ascii="Palatino Linotype" w:hAnsi="Palatino Linotype"/>
          <w:i/>
          <w:sz w:val="22"/>
          <w:szCs w:val="22"/>
        </w:rPr>
        <w:t>, en coordinación con las dependencias en la materia, en los ámbitos de los tres órdenes de gobierno, así como con los sectores público, privado y social, con los que se vinculará a la asistencia social a través del Comité Municipal de Salud y del Sistema Municipal para el Desarrollo Integral de la Familia de Zinacantepec.</w:t>
      </w:r>
    </w:p>
    <w:p w14:paraId="45FE5FAA" w14:textId="77777777" w:rsidR="007A10D7" w:rsidRPr="00A70BA6" w:rsidRDefault="007A10D7" w:rsidP="00FE2677">
      <w:pPr>
        <w:spacing w:line="360" w:lineRule="auto"/>
        <w:ind w:left="567" w:right="616"/>
        <w:jc w:val="both"/>
        <w:rPr>
          <w:rFonts w:ascii="Palatino Linotype" w:eastAsia="Palatino Linotype" w:hAnsi="Palatino Linotype" w:cs="Palatino Linotype"/>
          <w:i/>
          <w:sz w:val="22"/>
          <w:szCs w:val="22"/>
        </w:rPr>
      </w:pPr>
    </w:p>
    <w:p w14:paraId="4F0E41C7" w14:textId="77777777" w:rsidR="00FE2677" w:rsidRPr="00A70BA6" w:rsidRDefault="00FE2677" w:rsidP="00FE2677">
      <w:pPr>
        <w:spacing w:line="360" w:lineRule="auto"/>
        <w:ind w:left="567" w:right="616"/>
        <w:jc w:val="both"/>
        <w:rPr>
          <w:rFonts w:ascii="Palatino Linotype" w:eastAsia="Palatino Linotype" w:hAnsi="Palatino Linotype" w:cs="Palatino Linotype"/>
          <w:i/>
          <w:sz w:val="22"/>
          <w:szCs w:val="22"/>
        </w:rPr>
      </w:pPr>
    </w:p>
    <w:p w14:paraId="42F40B64" w14:textId="77777777" w:rsidR="00FE2677" w:rsidRPr="00A70BA6" w:rsidRDefault="00FE2677" w:rsidP="00FE2677">
      <w:pPr>
        <w:spacing w:line="360" w:lineRule="auto"/>
        <w:ind w:left="567" w:right="616"/>
        <w:jc w:val="both"/>
        <w:rPr>
          <w:rFonts w:ascii="Palatino Linotype" w:hAnsi="Palatino Linotype"/>
          <w:i/>
          <w:sz w:val="22"/>
          <w:szCs w:val="22"/>
        </w:rPr>
      </w:pPr>
      <w:r w:rsidRPr="00A70BA6">
        <w:rPr>
          <w:rFonts w:ascii="Palatino Linotype" w:hAnsi="Palatino Linotype"/>
          <w:i/>
          <w:sz w:val="22"/>
          <w:szCs w:val="22"/>
        </w:rPr>
        <w:t xml:space="preserve">Artículo 113. La cobertura de los servicios de salud, otorgados por el Ayuntamiento, priorizará la atención de primer nivel en beneficio de la población que carece de seguridad social. </w:t>
      </w:r>
    </w:p>
    <w:p w14:paraId="093C7DF6" w14:textId="77777777" w:rsidR="00FE2677" w:rsidRPr="00A70BA6" w:rsidRDefault="00FE2677" w:rsidP="00FE2677">
      <w:pPr>
        <w:spacing w:line="360" w:lineRule="auto"/>
        <w:ind w:left="567" w:right="616"/>
        <w:jc w:val="both"/>
        <w:rPr>
          <w:rFonts w:ascii="Palatino Linotype" w:hAnsi="Palatino Linotype"/>
          <w:i/>
          <w:sz w:val="22"/>
          <w:szCs w:val="22"/>
        </w:rPr>
      </w:pPr>
    </w:p>
    <w:p w14:paraId="70B8EF47" w14:textId="77777777" w:rsidR="00FE2677" w:rsidRPr="00A70BA6" w:rsidRDefault="00FE2677" w:rsidP="00FE2677">
      <w:pPr>
        <w:spacing w:line="360" w:lineRule="auto"/>
        <w:ind w:left="567" w:right="616"/>
        <w:jc w:val="both"/>
        <w:rPr>
          <w:rFonts w:ascii="Palatino Linotype" w:hAnsi="Palatino Linotype"/>
          <w:i/>
          <w:sz w:val="22"/>
          <w:szCs w:val="22"/>
        </w:rPr>
      </w:pPr>
      <w:r w:rsidRPr="00A70BA6">
        <w:rPr>
          <w:rFonts w:ascii="Palatino Linotype" w:hAnsi="Palatino Linotype"/>
          <w:i/>
          <w:sz w:val="22"/>
          <w:szCs w:val="22"/>
        </w:rPr>
        <w:t xml:space="preserve">Artículo 114. El Ayuntamiento, a través del Sistema Municipal para el Desarrollo Integral de la Familia de Zinacantepec, realizará las siguientes actividades: </w:t>
      </w:r>
    </w:p>
    <w:p w14:paraId="4AE4DCF5" w14:textId="77777777" w:rsidR="00FE2677" w:rsidRPr="00A70BA6" w:rsidRDefault="00FE2677" w:rsidP="00FE2677">
      <w:pPr>
        <w:spacing w:line="360" w:lineRule="auto"/>
        <w:ind w:left="567" w:right="616"/>
        <w:jc w:val="both"/>
        <w:rPr>
          <w:rFonts w:ascii="Palatino Linotype" w:hAnsi="Palatino Linotype"/>
          <w:i/>
          <w:sz w:val="22"/>
          <w:szCs w:val="22"/>
        </w:rPr>
      </w:pPr>
      <w:r w:rsidRPr="00A70BA6">
        <w:rPr>
          <w:rFonts w:ascii="Palatino Linotype" w:hAnsi="Palatino Linotype"/>
          <w:b/>
          <w:i/>
          <w:sz w:val="22"/>
          <w:szCs w:val="22"/>
        </w:rPr>
        <w:t>I. Instrumentar programas municipales de promoción de la salud</w:t>
      </w:r>
      <w:r w:rsidRPr="00A70BA6">
        <w:rPr>
          <w:rFonts w:ascii="Palatino Linotype" w:hAnsi="Palatino Linotype"/>
          <w:i/>
          <w:sz w:val="22"/>
          <w:szCs w:val="22"/>
        </w:rPr>
        <w:t xml:space="preserve">, que faciliten la implementación de proyectos, la participación de la sociedad y los sectores en atención de las prioridades locales y regionales. </w:t>
      </w:r>
    </w:p>
    <w:p w14:paraId="6C8D5535" w14:textId="77777777" w:rsidR="00FE2677" w:rsidRPr="00A70BA6" w:rsidRDefault="00FE2677" w:rsidP="00FE2677">
      <w:pPr>
        <w:spacing w:line="360" w:lineRule="auto"/>
        <w:ind w:left="567" w:right="616"/>
        <w:jc w:val="both"/>
        <w:rPr>
          <w:rFonts w:ascii="Palatino Linotype" w:hAnsi="Palatino Linotype"/>
          <w:i/>
          <w:sz w:val="22"/>
          <w:szCs w:val="22"/>
        </w:rPr>
      </w:pPr>
      <w:r w:rsidRPr="00A70BA6">
        <w:rPr>
          <w:rFonts w:ascii="Palatino Linotype" w:hAnsi="Palatino Linotype"/>
          <w:i/>
          <w:sz w:val="22"/>
          <w:szCs w:val="22"/>
        </w:rPr>
        <w:t xml:space="preserve">II. Proporcionar los servicios de atención médica, odontológica, de optometría y psicología, así como realizar campañas de salud, para la población en general e instituciones educativas del municipio. </w:t>
      </w:r>
    </w:p>
    <w:p w14:paraId="0A8C2C04" w14:textId="77777777" w:rsidR="00FE2677" w:rsidRPr="00A70BA6" w:rsidRDefault="00FE2677" w:rsidP="00FE2677">
      <w:pPr>
        <w:spacing w:line="360" w:lineRule="auto"/>
        <w:ind w:left="567" w:right="616"/>
        <w:jc w:val="both"/>
        <w:rPr>
          <w:rFonts w:ascii="Palatino Linotype" w:hAnsi="Palatino Linotype"/>
          <w:i/>
          <w:sz w:val="22"/>
          <w:szCs w:val="22"/>
        </w:rPr>
      </w:pPr>
      <w:r w:rsidRPr="00A70BA6">
        <w:rPr>
          <w:rFonts w:ascii="Palatino Linotype" w:hAnsi="Palatino Linotype"/>
          <w:i/>
          <w:sz w:val="22"/>
          <w:szCs w:val="22"/>
        </w:rPr>
        <w:t xml:space="preserve">III. Participar en las semanas nacionales de salud y campañas permanentes. </w:t>
      </w:r>
    </w:p>
    <w:p w14:paraId="79DD371F" w14:textId="77777777" w:rsidR="00FE2677" w:rsidRPr="00A70BA6" w:rsidRDefault="00FE2677" w:rsidP="00FE2677">
      <w:pPr>
        <w:spacing w:line="360" w:lineRule="auto"/>
        <w:ind w:left="567" w:right="616"/>
        <w:jc w:val="both"/>
        <w:rPr>
          <w:rFonts w:ascii="Palatino Linotype" w:hAnsi="Palatino Linotype"/>
          <w:i/>
          <w:sz w:val="22"/>
          <w:szCs w:val="22"/>
        </w:rPr>
      </w:pPr>
      <w:r w:rsidRPr="00A70BA6">
        <w:rPr>
          <w:rFonts w:ascii="Palatino Linotype" w:hAnsi="Palatino Linotype"/>
          <w:i/>
          <w:sz w:val="22"/>
          <w:szCs w:val="22"/>
        </w:rPr>
        <w:t xml:space="preserve">IV. Desarrollar programas de prevención sobre el alcoholismo, farmacodependencia, tabaquismo y orientación a la población en materia de enfermedades infectocontagiosas, crónico degenerativas, de planificación familiar, nutrición y educación sexual, promoviendo la cultura de autocuidado de la salud; y </w:t>
      </w:r>
    </w:p>
    <w:p w14:paraId="70FE3FD7" w14:textId="16C418D4" w:rsidR="00FE2677" w:rsidRPr="00A70BA6" w:rsidRDefault="00FE2677" w:rsidP="00FE2677">
      <w:pPr>
        <w:spacing w:line="360" w:lineRule="auto"/>
        <w:ind w:left="567" w:right="616"/>
        <w:jc w:val="both"/>
        <w:rPr>
          <w:rFonts w:ascii="Palatino Linotype" w:eastAsia="Palatino Linotype" w:hAnsi="Palatino Linotype" w:cs="Palatino Linotype"/>
          <w:i/>
          <w:sz w:val="22"/>
          <w:szCs w:val="22"/>
        </w:rPr>
      </w:pPr>
      <w:r w:rsidRPr="00A70BA6">
        <w:rPr>
          <w:rFonts w:ascii="Palatino Linotype" w:hAnsi="Palatino Linotype"/>
          <w:i/>
          <w:sz w:val="22"/>
          <w:szCs w:val="22"/>
        </w:rPr>
        <w:t>V. Las demás acciones que propicien el mejoramiento de la salud.</w:t>
      </w:r>
    </w:p>
    <w:p w14:paraId="4AA8DC97" w14:textId="77777777" w:rsidR="007A10D7" w:rsidRPr="00A70BA6" w:rsidRDefault="007A10D7">
      <w:pPr>
        <w:spacing w:line="360" w:lineRule="auto"/>
        <w:jc w:val="both"/>
        <w:rPr>
          <w:rFonts w:ascii="Palatino Linotype" w:eastAsia="Palatino Linotype" w:hAnsi="Palatino Linotype" w:cs="Palatino Linotype"/>
          <w:sz w:val="22"/>
          <w:szCs w:val="22"/>
        </w:rPr>
      </w:pPr>
    </w:p>
    <w:p w14:paraId="5D024B67" w14:textId="2E719593" w:rsidR="007839D2" w:rsidRPr="00A70BA6" w:rsidRDefault="007839D2" w:rsidP="007839D2">
      <w:pPr>
        <w:spacing w:line="360" w:lineRule="auto"/>
        <w:jc w:val="both"/>
        <w:rPr>
          <w:rFonts w:ascii="Palatino Linotype" w:eastAsia="Palatino Linotype" w:hAnsi="Palatino Linotype" w:cs="Palatino Linotype"/>
          <w:b/>
          <w:sz w:val="22"/>
          <w:szCs w:val="22"/>
          <w:u w:val="single"/>
        </w:rPr>
      </w:pPr>
      <w:r w:rsidRPr="00A70BA6">
        <w:rPr>
          <w:rFonts w:ascii="Palatino Linotype" w:eastAsia="Palatino Linotype" w:hAnsi="Palatino Linotype" w:cs="Palatino Linotype"/>
          <w:sz w:val="22"/>
          <w:szCs w:val="22"/>
        </w:rPr>
        <w:t xml:space="preserve">Con base en lo establecido en el Bando Municipal en los artículos citados, se concluye que el Sistema Municipal para el Desarrollo Integral de la Familia de Zinacantepec es la instancia facultada y responsable de implementar, promover y coordinar los </w:t>
      </w:r>
      <w:r w:rsidRPr="00A70BA6">
        <w:rPr>
          <w:rFonts w:ascii="Palatino Linotype" w:eastAsia="Palatino Linotype" w:hAnsi="Palatino Linotype" w:cs="Palatino Linotype"/>
          <w:b/>
          <w:sz w:val="22"/>
          <w:szCs w:val="22"/>
          <w:u w:val="single"/>
        </w:rPr>
        <w:t>programas de salud pública en el municipio.</w:t>
      </w:r>
    </w:p>
    <w:p w14:paraId="3C13A208" w14:textId="77777777" w:rsidR="007839D2" w:rsidRPr="00A70BA6" w:rsidRDefault="007839D2" w:rsidP="007839D2">
      <w:pPr>
        <w:spacing w:line="360" w:lineRule="auto"/>
        <w:jc w:val="both"/>
        <w:rPr>
          <w:rFonts w:ascii="Palatino Linotype" w:eastAsia="Palatino Linotype" w:hAnsi="Palatino Linotype" w:cs="Palatino Linotype"/>
          <w:sz w:val="22"/>
          <w:szCs w:val="22"/>
        </w:rPr>
      </w:pPr>
    </w:p>
    <w:p w14:paraId="5D0D8618" w14:textId="7BC779EB" w:rsidR="007839D2" w:rsidRPr="00A70BA6" w:rsidRDefault="007839D2" w:rsidP="007839D2">
      <w:pPr>
        <w:spacing w:line="360" w:lineRule="auto"/>
        <w:jc w:val="both"/>
        <w:rPr>
          <w:rFonts w:ascii="Palatino Linotype" w:eastAsia="Palatino Linotype" w:hAnsi="Palatino Linotype" w:cs="Palatino Linotype"/>
          <w:sz w:val="22"/>
          <w:szCs w:val="22"/>
        </w:rPr>
      </w:pPr>
      <w:r w:rsidRPr="00A70BA6">
        <w:rPr>
          <w:rFonts w:ascii="Palatino Linotype" w:eastAsia="Palatino Linotype" w:hAnsi="Palatino Linotype" w:cs="Palatino Linotype"/>
          <w:sz w:val="22"/>
          <w:szCs w:val="22"/>
        </w:rPr>
        <w:t>Por tanto, se determina que el DIF de Zinacantepec es el órgano con atribuciones directas para contar con, diseñar e implementar programas de salud pública, en cumplimiento con su función asistencial y preventiva a nivel municipal.</w:t>
      </w:r>
    </w:p>
    <w:p w14:paraId="6ADE3B4E" w14:textId="77777777" w:rsidR="007839D2" w:rsidRPr="00A70BA6" w:rsidRDefault="007839D2">
      <w:pPr>
        <w:spacing w:line="360" w:lineRule="auto"/>
        <w:jc w:val="both"/>
        <w:rPr>
          <w:rFonts w:ascii="Palatino Linotype" w:eastAsia="Palatino Linotype" w:hAnsi="Palatino Linotype" w:cs="Palatino Linotype"/>
          <w:sz w:val="22"/>
          <w:szCs w:val="22"/>
        </w:rPr>
      </w:pPr>
    </w:p>
    <w:p w14:paraId="29FC1742" w14:textId="37310BE2" w:rsidR="007A10D7" w:rsidRPr="00A70BA6" w:rsidRDefault="007839D2" w:rsidP="007A10D7">
      <w:pPr>
        <w:spacing w:line="360" w:lineRule="auto"/>
        <w:ind w:right="49"/>
        <w:jc w:val="both"/>
        <w:rPr>
          <w:rFonts w:ascii="Palatino Linotype" w:eastAsia="Palatino Linotype" w:hAnsi="Palatino Linotype" w:cs="Palatino Linotype"/>
          <w:sz w:val="22"/>
          <w:szCs w:val="22"/>
        </w:rPr>
      </w:pPr>
      <w:r w:rsidRPr="00A70BA6">
        <w:rPr>
          <w:rFonts w:ascii="Palatino Linotype" w:eastAsia="Palatino Linotype" w:hAnsi="Palatino Linotype" w:cs="Palatino Linotype"/>
          <w:sz w:val="22"/>
          <w:szCs w:val="22"/>
        </w:rPr>
        <w:t xml:space="preserve">Entonces, resulta necesario traer a contexto lo manifestado por el Sujeto Obligado tanto en respuesta como en informe justificado, ya que señaló que no es de su competencia por corresponder al DIF. </w:t>
      </w:r>
    </w:p>
    <w:p w14:paraId="471504CF" w14:textId="77777777" w:rsidR="007A10D7" w:rsidRPr="00A70BA6" w:rsidRDefault="007A10D7" w:rsidP="007A10D7">
      <w:pPr>
        <w:spacing w:line="360" w:lineRule="auto"/>
        <w:ind w:right="49"/>
        <w:jc w:val="both"/>
        <w:rPr>
          <w:rFonts w:ascii="Palatino Linotype" w:eastAsia="Palatino Linotype" w:hAnsi="Palatino Linotype" w:cs="Palatino Linotype"/>
          <w:sz w:val="22"/>
          <w:szCs w:val="22"/>
        </w:rPr>
      </w:pPr>
    </w:p>
    <w:p w14:paraId="0C665E22" w14:textId="77777777" w:rsidR="007A10D7" w:rsidRPr="00A70BA6" w:rsidRDefault="007A10D7" w:rsidP="007A10D7">
      <w:pPr>
        <w:spacing w:line="360" w:lineRule="auto"/>
        <w:ind w:right="49"/>
        <w:jc w:val="both"/>
        <w:rPr>
          <w:rFonts w:ascii="Palatino Linotype" w:eastAsia="Palatino Linotype" w:hAnsi="Palatino Linotype" w:cs="Palatino Linotype"/>
          <w:sz w:val="22"/>
          <w:szCs w:val="22"/>
        </w:rPr>
      </w:pPr>
      <w:r w:rsidRPr="00A70BA6">
        <w:rPr>
          <w:rFonts w:ascii="Palatino Linotype" w:eastAsia="Palatino Linotype" w:hAnsi="Palatino Linotype" w:cs="Palatino Linotype"/>
          <w:sz w:val="22"/>
          <w:szCs w:val="22"/>
        </w:rPr>
        <w:t xml:space="preserve">De acuerdo con, Cabanellas, Guillermo (1993), en el </w:t>
      </w:r>
      <w:r w:rsidRPr="00A70BA6">
        <w:rPr>
          <w:rFonts w:ascii="Palatino Linotype" w:eastAsia="Palatino Linotype" w:hAnsi="Palatino Linotype" w:cs="Palatino Linotype"/>
          <w:i/>
          <w:sz w:val="22"/>
          <w:szCs w:val="22"/>
        </w:rPr>
        <w:t>“Diccionario Jurídico Elemental”</w:t>
      </w:r>
      <w:r w:rsidRPr="00A70BA6">
        <w:rPr>
          <w:rFonts w:ascii="Palatino Linotype" w:eastAsia="Palatino Linotype" w:hAnsi="Palatino Linotype" w:cs="Palatino Linotype"/>
          <w:sz w:val="22"/>
          <w:szCs w:val="22"/>
        </w:rPr>
        <w:t xml:space="preserve"> (p. 32 y 161) la competencia o bien, la incompetencia se refiere a:  </w:t>
      </w:r>
    </w:p>
    <w:p w14:paraId="4E35E52A" w14:textId="77777777" w:rsidR="007A10D7" w:rsidRPr="00A70BA6" w:rsidRDefault="007A10D7" w:rsidP="007A10D7">
      <w:pPr>
        <w:spacing w:line="360" w:lineRule="auto"/>
        <w:ind w:right="49"/>
        <w:jc w:val="both"/>
        <w:rPr>
          <w:rFonts w:ascii="Palatino Linotype" w:eastAsia="Palatino Linotype" w:hAnsi="Palatino Linotype" w:cs="Palatino Linotype"/>
          <w:sz w:val="22"/>
          <w:szCs w:val="22"/>
        </w:rPr>
      </w:pPr>
    </w:p>
    <w:p w14:paraId="04A5598C" w14:textId="77777777" w:rsidR="007A10D7" w:rsidRPr="00A70BA6" w:rsidRDefault="007A10D7" w:rsidP="007A10D7">
      <w:pPr>
        <w:numPr>
          <w:ilvl w:val="0"/>
          <w:numId w:val="12"/>
        </w:numPr>
        <w:spacing w:line="360" w:lineRule="auto"/>
        <w:ind w:right="49"/>
        <w:jc w:val="both"/>
        <w:rPr>
          <w:rFonts w:ascii="Palatino Linotype" w:eastAsia="Palatino Linotype" w:hAnsi="Palatino Linotype" w:cs="Palatino Linotype"/>
          <w:sz w:val="22"/>
          <w:szCs w:val="22"/>
        </w:rPr>
      </w:pPr>
      <w:r w:rsidRPr="00A70BA6">
        <w:rPr>
          <w:rFonts w:ascii="Palatino Linotype" w:eastAsia="Palatino Linotype" w:hAnsi="Palatino Linotype" w:cs="Palatino Linotype"/>
          <w:b/>
          <w:sz w:val="22"/>
          <w:szCs w:val="22"/>
        </w:rPr>
        <w:t xml:space="preserve">Competencia: </w:t>
      </w:r>
      <w:r w:rsidRPr="00A70BA6">
        <w:rPr>
          <w:rFonts w:ascii="Palatino Linotype" w:eastAsia="Palatino Linotype" w:hAnsi="Palatino Linotype" w:cs="Palatino Linotype"/>
          <w:sz w:val="22"/>
          <w:szCs w:val="22"/>
        </w:rPr>
        <w:t>La capacidad de una autoridad para conocer sobre una materia o asunto.</w:t>
      </w:r>
    </w:p>
    <w:p w14:paraId="566908CE" w14:textId="77777777" w:rsidR="007A10D7" w:rsidRPr="00A70BA6" w:rsidRDefault="007A10D7" w:rsidP="007A10D7">
      <w:pPr>
        <w:numPr>
          <w:ilvl w:val="0"/>
          <w:numId w:val="12"/>
        </w:numPr>
        <w:spacing w:line="360" w:lineRule="auto"/>
        <w:ind w:right="49"/>
        <w:jc w:val="both"/>
        <w:rPr>
          <w:rFonts w:ascii="Palatino Linotype" w:eastAsia="Palatino Linotype" w:hAnsi="Palatino Linotype" w:cs="Palatino Linotype"/>
          <w:sz w:val="22"/>
          <w:szCs w:val="22"/>
        </w:rPr>
      </w:pPr>
      <w:r w:rsidRPr="00A70BA6">
        <w:rPr>
          <w:rFonts w:ascii="Palatino Linotype" w:eastAsia="Palatino Linotype" w:hAnsi="Palatino Linotype" w:cs="Palatino Linotype"/>
          <w:b/>
          <w:sz w:val="22"/>
          <w:szCs w:val="22"/>
        </w:rPr>
        <w:t>Incompetencia:</w:t>
      </w:r>
      <w:r w:rsidRPr="00A70BA6">
        <w:rPr>
          <w:rFonts w:ascii="Palatino Linotype" w:eastAsia="Palatino Linotype" w:hAnsi="Palatino Linotype" w:cs="Palatino Linotype"/>
          <w:sz w:val="22"/>
          <w:szCs w:val="22"/>
        </w:rPr>
        <w:t xml:space="preserve"> Falta de Competencia.</w:t>
      </w:r>
    </w:p>
    <w:p w14:paraId="1683A27A" w14:textId="77777777" w:rsidR="007A10D7" w:rsidRPr="00A70BA6" w:rsidRDefault="007A10D7" w:rsidP="007A10D7">
      <w:pPr>
        <w:spacing w:line="360" w:lineRule="auto"/>
        <w:ind w:right="49"/>
        <w:jc w:val="both"/>
        <w:rPr>
          <w:rFonts w:ascii="Palatino Linotype" w:eastAsia="Palatino Linotype" w:hAnsi="Palatino Linotype" w:cs="Palatino Linotype"/>
          <w:sz w:val="22"/>
          <w:szCs w:val="22"/>
        </w:rPr>
      </w:pPr>
    </w:p>
    <w:p w14:paraId="52FCDB6A" w14:textId="77777777" w:rsidR="007A10D7" w:rsidRPr="00A70BA6" w:rsidRDefault="007A10D7" w:rsidP="007A10D7">
      <w:pPr>
        <w:spacing w:line="360" w:lineRule="auto"/>
        <w:ind w:right="49"/>
        <w:jc w:val="both"/>
        <w:rPr>
          <w:rFonts w:ascii="Palatino Linotype" w:eastAsia="Palatino Linotype" w:hAnsi="Palatino Linotype" w:cs="Palatino Linotype"/>
          <w:sz w:val="22"/>
          <w:szCs w:val="22"/>
        </w:rPr>
      </w:pPr>
      <w:r w:rsidRPr="00A70BA6">
        <w:rPr>
          <w:rFonts w:ascii="Palatino Linotype" w:eastAsia="Palatino Linotype" w:hAnsi="Palatino Linotype" w:cs="Palatino Linotype"/>
          <w:sz w:val="22"/>
          <w:szCs w:val="22"/>
        </w:rPr>
        <w:t xml:space="preserve">Por lo que, </w:t>
      </w:r>
      <w:r w:rsidRPr="00A70BA6">
        <w:rPr>
          <w:rFonts w:ascii="Palatino Linotype" w:eastAsia="Palatino Linotype" w:hAnsi="Palatino Linotype" w:cs="Palatino Linotype"/>
          <w:b/>
          <w:sz w:val="22"/>
          <w:szCs w:val="22"/>
        </w:rPr>
        <w:t>la incompetencia</w:t>
      </w:r>
      <w:r w:rsidRPr="00A70BA6">
        <w:rPr>
          <w:rFonts w:ascii="Palatino Linotype" w:eastAsia="Palatino Linotype" w:hAnsi="Palatino Linotype" w:cs="Palatino Linotype"/>
          <w:sz w:val="22"/>
          <w:szCs w:val="22"/>
        </w:rPr>
        <w:t xml:space="preserve">, radica en la incapacidad de una autoridad para conocer de un tema o asunto; en el mismo sentido, conviene traer a cuenta tesis aislada número III.2o.P.11 K, publicada en el Semanario Judicial de la Federación y su Gaceta, Novena Época, Tomo XV, Mayo de 2002, Pág. 1243, ya que precisa lo siguiente: </w:t>
      </w:r>
    </w:p>
    <w:p w14:paraId="497A5B15" w14:textId="77777777" w:rsidR="007A10D7" w:rsidRPr="00A70BA6" w:rsidRDefault="007A10D7" w:rsidP="007A10D7">
      <w:pPr>
        <w:spacing w:line="360" w:lineRule="auto"/>
        <w:ind w:right="49"/>
        <w:jc w:val="both"/>
        <w:rPr>
          <w:rFonts w:ascii="Palatino Linotype" w:eastAsia="Palatino Linotype" w:hAnsi="Palatino Linotype" w:cs="Palatino Linotype"/>
          <w:sz w:val="22"/>
          <w:szCs w:val="22"/>
        </w:rPr>
      </w:pPr>
    </w:p>
    <w:p w14:paraId="76050BD8" w14:textId="77777777" w:rsidR="007A10D7" w:rsidRPr="00A70BA6" w:rsidRDefault="007A10D7" w:rsidP="007839D2">
      <w:pPr>
        <w:ind w:left="567" w:right="49"/>
        <w:jc w:val="both"/>
        <w:rPr>
          <w:rFonts w:ascii="Palatino Linotype" w:eastAsia="Palatino Linotype" w:hAnsi="Palatino Linotype" w:cs="Palatino Linotype"/>
          <w:i/>
          <w:sz w:val="22"/>
          <w:szCs w:val="22"/>
        </w:rPr>
      </w:pPr>
      <w:r w:rsidRPr="00A70BA6">
        <w:rPr>
          <w:rFonts w:ascii="Palatino Linotype" w:eastAsia="Palatino Linotype" w:hAnsi="Palatino Linotype" w:cs="Palatino Linotype"/>
          <w:b/>
          <w:i/>
          <w:sz w:val="22"/>
          <w:szCs w:val="22"/>
        </w:rPr>
        <w:lastRenderedPageBreak/>
        <w:t xml:space="preserve">“LEGITIMACIÓN DE FUNCIONARIOS PÚBLICOS. LOS TRIBUNALES DE AMPARO, POR ESTAR VINCULADOS CON EL CONCEPTO DE COMPETENCIA A QUE SE REFIERE EL ARTÍCULO 16 CONSTITUCIONAL, NO PUEDEN CONOCER DE AQUÉLLA. </w:t>
      </w:r>
      <w:r w:rsidRPr="00A70BA6">
        <w:rPr>
          <w:rFonts w:ascii="Palatino Linotype" w:eastAsia="Palatino Linotype" w:hAnsi="Palatino Linotype" w:cs="Palatino Linotype"/>
          <w:i/>
          <w:sz w:val="22"/>
          <w:szCs w:val="22"/>
        </w:rPr>
        <w:t>El artículo </w:t>
      </w:r>
      <w:hyperlink r:id="rId9">
        <w:r w:rsidRPr="00A70BA6">
          <w:rPr>
            <w:rFonts w:ascii="Palatino Linotype" w:eastAsia="Palatino Linotype" w:hAnsi="Palatino Linotype" w:cs="Palatino Linotype"/>
            <w:i/>
            <w:sz w:val="22"/>
            <w:szCs w:val="22"/>
            <w:u w:val="single"/>
          </w:rPr>
          <w:t>16 constitucional</w:t>
        </w:r>
      </w:hyperlink>
      <w:r w:rsidRPr="00A70BA6">
        <w:rPr>
          <w:rFonts w:ascii="Palatino Linotype" w:eastAsia="Palatino Linotype" w:hAnsi="Palatino Linotype" w:cs="Palatino Linotype"/>
          <w:i/>
          <w:sz w:val="22"/>
          <w:szCs w:val="22"/>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3AA447CB" w14:textId="77777777" w:rsidR="007A10D7" w:rsidRPr="00A70BA6" w:rsidRDefault="007A10D7" w:rsidP="007A10D7">
      <w:pPr>
        <w:spacing w:line="360" w:lineRule="auto"/>
        <w:ind w:right="49"/>
        <w:jc w:val="both"/>
        <w:rPr>
          <w:rFonts w:ascii="Palatino Linotype" w:eastAsia="Palatino Linotype" w:hAnsi="Palatino Linotype" w:cs="Palatino Linotype"/>
          <w:sz w:val="22"/>
          <w:szCs w:val="22"/>
        </w:rPr>
      </w:pPr>
    </w:p>
    <w:p w14:paraId="4B6306FE" w14:textId="77777777" w:rsidR="007A10D7" w:rsidRPr="00A70BA6" w:rsidRDefault="007A10D7" w:rsidP="007A10D7">
      <w:pPr>
        <w:spacing w:line="360" w:lineRule="auto"/>
        <w:ind w:right="49"/>
        <w:jc w:val="both"/>
        <w:rPr>
          <w:rFonts w:ascii="Palatino Linotype" w:eastAsia="Palatino Linotype" w:hAnsi="Palatino Linotype" w:cs="Palatino Linotype"/>
          <w:sz w:val="22"/>
          <w:szCs w:val="22"/>
        </w:rPr>
      </w:pPr>
      <w:r w:rsidRPr="00A70BA6">
        <w:rPr>
          <w:rFonts w:ascii="Palatino Linotype" w:eastAsia="Palatino Linotype" w:hAnsi="Palatino Linotype" w:cs="Palatino Linotype"/>
          <w:sz w:val="22"/>
          <w:szCs w:val="22"/>
        </w:rPr>
        <w:t xml:space="preserve">De la misma manera, resulta necesario traer a colación, el Criterio 13/17, emitido por el entonces Instituto Nacional de Transparencia, Acceso a la Información y Protección de Datos Personales, que dispone lo siguiente: </w:t>
      </w:r>
    </w:p>
    <w:p w14:paraId="31102CB8" w14:textId="77777777" w:rsidR="007A10D7" w:rsidRPr="00A70BA6" w:rsidRDefault="007A10D7" w:rsidP="007A10D7">
      <w:pPr>
        <w:spacing w:line="360" w:lineRule="auto"/>
        <w:ind w:right="49"/>
        <w:jc w:val="both"/>
        <w:rPr>
          <w:rFonts w:ascii="Palatino Linotype" w:eastAsia="Palatino Linotype" w:hAnsi="Palatino Linotype" w:cs="Palatino Linotype"/>
          <w:sz w:val="22"/>
          <w:szCs w:val="22"/>
        </w:rPr>
      </w:pPr>
    </w:p>
    <w:p w14:paraId="54905EA4" w14:textId="77777777" w:rsidR="007A10D7" w:rsidRPr="00A70BA6" w:rsidRDefault="007A10D7" w:rsidP="007839D2">
      <w:pPr>
        <w:ind w:left="567" w:right="49"/>
        <w:jc w:val="both"/>
        <w:rPr>
          <w:rFonts w:ascii="Palatino Linotype" w:eastAsia="Palatino Linotype" w:hAnsi="Palatino Linotype" w:cs="Palatino Linotype"/>
          <w:i/>
          <w:sz w:val="22"/>
          <w:szCs w:val="22"/>
        </w:rPr>
      </w:pPr>
      <w:r w:rsidRPr="00A70BA6">
        <w:rPr>
          <w:rFonts w:ascii="Palatino Linotype" w:eastAsia="Palatino Linotype" w:hAnsi="Palatino Linotype" w:cs="Palatino Linotype"/>
          <w:i/>
          <w:sz w:val="22"/>
          <w:szCs w:val="22"/>
        </w:rPr>
        <w:t>“</w:t>
      </w:r>
      <w:r w:rsidRPr="00A70BA6">
        <w:rPr>
          <w:rFonts w:ascii="Palatino Linotype" w:eastAsia="Palatino Linotype" w:hAnsi="Palatino Linotype" w:cs="Palatino Linotype"/>
          <w:b/>
          <w:i/>
          <w:sz w:val="22"/>
          <w:szCs w:val="22"/>
        </w:rPr>
        <w:t xml:space="preserve">Incompetencia. </w:t>
      </w:r>
      <w:r w:rsidRPr="00A70BA6">
        <w:rPr>
          <w:rFonts w:ascii="Palatino Linotype" w:eastAsia="Palatino Linotype" w:hAnsi="Palatino Linotype" w:cs="Palatino Linotype"/>
          <w:i/>
          <w:sz w:val="22"/>
          <w:szCs w:val="22"/>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418BA493" w14:textId="77777777" w:rsidR="007A10D7" w:rsidRPr="00A70BA6" w:rsidRDefault="007A10D7" w:rsidP="007A10D7">
      <w:pPr>
        <w:spacing w:line="360" w:lineRule="auto"/>
        <w:ind w:right="49"/>
        <w:jc w:val="both"/>
        <w:rPr>
          <w:rFonts w:ascii="Palatino Linotype" w:eastAsia="Palatino Linotype" w:hAnsi="Palatino Linotype" w:cs="Palatino Linotype"/>
          <w:sz w:val="22"/>
          <w:szCs w:val="22"/>
        </w:rPr>
      </w:pPr>
    </w:p>
    <w:p w14:paraId="253583EE" w14:textId="77777777" w:rsidR="007A10D7" w:rsidRPr="00A70BA6" w:rsidRDefault="007A10D7" w:rsidP="007A10D7">
      <w:pPr>
        <w:spacing w:line="360" w:lineRule="auto"/>
        <w:ind w:right="49"/>
        <w:jc w:val="both"/>
        <w:rPr>
          <w:rFonts w:ascii="Palatino Linotype" w:eastAsia="Palatino Linotype" w:hAnsi="Palatino Linotype" w:cs="Palatino Linotype"/>
          <w:sz w:val="22"/>
          <w:szCs w:val="22"/>
        </w:rPr>
      </w:pPr>
      <w:r w:rsidRPr="00A70BA6">
        <w:rPr>
          <w:rFonts w:ascii="Palatino Linotype" w:eastAsia="Palatino Linotype" w:hAnsi="Palatino Linotype" w:cs="Palatino Linotype"/>
          <w:sz w:val="22"/>
          <w:szCs w:val="22"/>
        </w:rPr>
        <w:t xml:space="preserve">En tal virtud, la </w:t>
      </w:r>
      <w:r w:rsidRPr="00A70BA6">
        <w:rPr>
          <w:rFonts w:ascii="Palatino Linotype" w:eastAsia="Palatino Linotype" w:hAnsi="Palatino Linotype" w:cs="Palatino Linotype"/>
          <w:b/>
          <w:sz w:val="22"/>
          <w:szCs w:val="22"/>
        </w:rPr>
        <w:t xml:space="preserve">incompetencia </w:t>
      </w:r>
      <w:r w:rsidRPr="00A70BA6">
        <w:rPr>
          <w:rFonts w:ascii="Palatino Linotype" w:eastAsia="Palatino Linotype" w:hAnsi="Palatino Linotype" w:cs="Palatino Linotype"/>
          <w:sz w:val="22"/>
          <w:szCs w:val="22"/>
        </w:rPr>
        <w:t>implica que, de conformidad con las atribuciones conferidas al sujeto obligado, no habría razón por la cual este deba contar con la información solicitada, en cuyo caso, tendría que orientar al particular para que acuda a la instancia competente.</w:t>
      </w:r>
    </w:p>
    <w:p w14:paraId="111303DA" w14:textId="77777777" w:rsidR="007A10D7" w:rsidRPr="00A70BA6" w:rsidRDefault="007A10D7" w:rsidP="007A10D7">
      <w:pPr>
        <w:tabs>
          <w:tab w:val="left" w:pos="142"/>
          <w:tab w:val="left" w:pos="284"/>
        </w:tabs>
        <w:spacing w:line="360" w:lineRule="auto"/>
        <w:ind w:right="49"/>
        <w:jc w:val="both"/>
        <w:rPr>
          <w:rFonts w:ascii="Palatino Linotype" w:eastAsia="Palatino Linotype" w:hAnsi="Palatino Linotype" w:cs="Palatino Linotype"/>
          <w:sz w:val="22"/>
          <w:szCs w:val="22"/>
        </w:rPr>
      </w:pPr>
      <w:r w:rsidRPr="00A70BA6">
        <w:rPr>
          <w:rFonts w:ascii="Palatino Linotype" w:eastAsia="Palatino Linotype" w:hAnsi="Palatino Linotype" w:cs="Palatino Linotype"/>
          <w:sz w:val="22"/>
          <w:szCs w:val="22"/>
        </w:rPr>
        <w:t xml:space="preserve">Ahora bien, en cuanto hace a la Declaración de Incompetencia la Ley de Transparencia y Acceso a la Información Pública del Estado de México, establece, en los artículos 49, fracción II y 167, lo siguiente: </w:t>
      </w:r>
    </w:p>
    <w:p w14:paraId="21877320" w14:textId="77777777" w:rsidR="007A10D7" w:rsidRPr="00A70BA6" w:rsidRDefault="007A10D7" w:rsidP="007A10D7">
      <w:pPr>
        <w:tabs>
          <w:tab w:val="left" w:pos="142"/>
          <w:tab w:val="left" w:pos="284"/>
        </w:tabs>
        <w:spacing w:line="360" w:lineRule="auto"/>
        <w:ind w:left="851" w:right="49"/>
        <w:jc w:val="both"/>
        <w:rPr>
          <w:rFonts w:ascii="Palatino Linotype" w:eastAsia="Palatino Linotype" w:hAnsi="Palatino Linotype" w:cs="Palatino Linotype"/>
          <w:i/>
          <w:sz w:val="22"/>
          <w:szCs w:val="22"/>
        </w:rPr>
      </w:pPr>
    </w:p>
    <w:p w14:paraId="64585D8D" w14:textId="77777777" w:rsidR="007A10D7" w:rsidRPr="00A70BA6" w:rsidRDefault="007A10D7" w:rsidP="007839D2">
      <w:pPr>
        <w:tabs>
          <w:tab w:val="left" w:pos="142"/>
          <w:tab w:val="left" w:pos="284"/>
        </w:tabs>
        <w:ind w:left="567" w:right="49"/>
        <w:jc w:val="both"/>
        <w:rPr>
          <w:rFonts w:ascii="Palatino Linotype" w:eastAsia="Palatino Linotype" w:hAnsi="Palatino Linotype" w:cs="Palatino Linotype"/>
          <w:i/>
          <w:sz w:val="22"/>
          <w:szCs w:val="22"/>
        </w:rPr>
      </w:pPr>
      <w:r w:rsidRPr="00A70BA6">
        <w:rPr>
          <w:rFonts w:ascii="Palatino Linotype" w:eastAsia="Palatino Linotype" w:hAnsi="Palatino Linotype" w:cs="Palatino Linotype"/>
          <w:i/>
          <w:sz w:val="22"/>
          <w:szCs w:val="22"/>
        </w:rPr>
        <w:t>“</w:t>
      </w:r>
      <w:r w:rsidRPr="00A70BA6">
        <w:rPr>
          <w:rFonts w:ascii="Palatino Linotype" w:eastAsia="Palatino Linotype" w:hAnsi="Palatino Linotype" w:cs="Palatino Linotype"/>
          <w:b/>
          <w:i/>
          <w:sz w:val="22"/>
          <w:szCs w:val="22"/>
        </w:rPr>
        <w:t>Artículo 49.</w:t>
      </w:r>
      <w:r w:rsidRPr="00A70BA6">
        <w:rPr>
          <w:rFonts w:ascii="Palatino Linotype" w:eastAsia="Palatino Linotype" w:hAnsi="Palatino Linotype" w:cs="Palatino Linotype"/>
          <w:i/>
          <w:sz w:val="22"/>
          <w:szCs w:val="22"/>
        </w:rPr>
        <w:t xml:space="preserve"> </w:t>
      </w:r>
      <w:r w:rsidRPr="00A70BA6">
        <w:rPr>
          <w:rFonts w:ascii="Palatino Linotype" w:eastAsia="Palatino Linotype" w:hAnsi="Palatino Linotype" w:cs="Palatino Linotype"/>
          <w:b/>
          <w:i/>
          <w:sz w:val="22"/>
          <w:szCs w:val="22"/>
        </w:rPr>
        <w:t>Los Comités de Transparencia</w:t>
      </w:r>
      <w:r w:rsidRPr="00A70BA6">
        <w:rPr>
          <w:rFonts w:ascii="Palatino Linotype" w:eastAsia="Palatino Linotype" w:hAnsi="Palatino Linotype" w:cs="Palatino Linotype"/>
          <w:i/>
          <w:sz w:val="22"/>
          <w:szCs w:val="22"/>
        </w:rPr>
        <w:t xml:space="preserve"> tendrán las siguientes atribuciones:</w:t>
      </w:r>
    </w:p>
    <w:p w14:paraId="2D09DCA4" w14:textId="77777777" w:rsidR="007A10D7" w:rsidRPr="00A70BA6" w:rsidRDefault="007A10D7" w:rsidP="007839D2">
      <w:pPr>
        <w:tabs>
          <w:tab w:val="left" w:pos="142"/>
          <w:tab w:val="left" w:pos="284"/>
        </w:tabs>
        <w:ind w:left="567" w:right="49"/>
        <w:jc w:val="both"/>
        <w:rPr>
          <w:rFonts w:ascii="Palatino Linotype" w:eastAsia="Palatino Linotype" w:hAnsi="Palatino Linotype" w:cs="Palatino Linotype"/>
          <w:b/>
          <w:i/>
          <w:sz w:val="22"/>
          <w:szCs w:val="22"/>
        </w:rPr>
      </w:pPr>
      <w:r w:rsidRPr="00A70BA6">
        <w:rPr>
          <w:rFonts w:ascii="Palatino Linotype" w:eastAsia="Palatino Linotype" w:hAnsi="Palatino Linotype" w:cs="Palatino Linotype"/>
          <w:b/>
          <w:i/>
          <w:sz w:val="22"/>
          <w:szCs w:val="22"/>
        </w:rPr>
        <w:t>...</w:t>
      </w:r>
    </w:p>
    <w:p w14:paraId="6E624110" w14:textId="77777777" w:rsidR="007A10D7" w:rsidRPr="00A70BA6" w:rsidRDefault="007A10D7" w:rsidP="007839D2">
      <w:pPr>
        <w:tabs>
          <w:tab w:val="left" w:pos="142"/>
          <w:tab w:val="left" w:pos="284"/>
        </w:tabs>
        <w:ind w:left="567" w:right="49"/>
        <w:jc w:val="both"/>
        <w:rPr>
          <w:rFonts w:ascii="Palatino Linotype" w:eastAsia="Palatino Linotype" w:hAnsi="Palatino Linotype" w:cs="Palatino Linotype"/>
          <w:b/>
          <w:i/>
          <w:sz w:val="22"/>
          <w:szCs w:val="22"/>
          <w:u w:val="single"/>
        </w:rPr>
      </w:pPr>
      <w:r w:rsidRPr="00A70BA6">
        <w:rPr>
          <w:rFonts w:ascii="Palatino Linotype" w:eastAsia="Palatino Linotype" w:hAnsi="Palatino Linotype" w:cs="Palatino Linotype"/>
          <w:b/>
          <w:i/>
          <w:sz w:val="22"/>
          <w:szCs w:val="22"/>
        </w:rPr>
        <w:lastRenderedPageBreak/>
        <w:t>II.</w:t>
      </w:r>
      <w:r w:rsidRPr="00A70BA6">
        <w:rPr>
          <w:rFonts w:ascii="Palatino Linotype" w:hAnsi="Palatino Linotype"/>
          <w:sz w:val="22"/>
          <w:szCs w:val="22"/>
        </w:rPr>
        <w:t xml:space="preserve"> </w:t>
      </w:r>
      <w:r w:rsidRPr="00A70BA6">
        <w:rPr>
          <w:rFonts w:ascii="Palatino Linotype" w:eastAsia="Palatino Linotype" w:hAnsi="Palatino Linotype" w:cs="Palatino Linotype"/>
          <w:b/>
          <w:i/>
          <w:sz w:val="22"/>
          <w:szCs w:val="22"/>
        </w:rPr>
        <w:t>Confirmar, modificar o revocar</w:t>
      </w:r>
      <w:r w:rsidRPr="00A70BA6">
        <w:rPr>
          <w:rFonts w:ascii="Palatino Linotype" w:eastAsia="Palatino Linotype" w:hAnsi="Palatino Linotype" w:cs="Palatino Linotype"/>
          <w:i/>
          <w:sz w:val="22"/>
          <w:szCs w:val="22"/>
        </w:rPr>
        <w:t xml:space="preserve"> las determinaciones que en materia de ampliación del plazo de respuesta, clasificación de la información </w:t>
      </w:r>
      <w:r w:rsidRPr="00A70BA6">
        <w:rPr>
          <w:rFonts w:ascii="Palatino Linotype" w:eastAsia="Palatino Linotype" w:hAnsi="Palatino Linotype" w:cs="Palatino Linotype"/>
          <w:b/>
          <w:i/>
          <w:sz w:val="22"/>
          <w:szCs w:val="22"/>
        </w:rPr>
        <w:t>y declaración</w:t>
      </w:r>
      <w:r w:rsidRPr="00A70BA6">
        <w:rPr>
          <w:rFonts w:ascii="Palatino Linotype" w:eastAsia="Palatino Linotype" w:hAnsi="Palatino Linotype" w:cs="Palatino Linotype"/>
          <w:i/>
          <w:sz w:val="22"/>
          <w:szCs w:val="22"/>
        </w:rPr>
        <w:t xml:space="preserve"> de inexistencia o </w:t>
      </w:r>
      <w:r w:rsidRPr="00A70BA6">
        <w:rPr>
          <w:rFonts w:ascii="Palatino Linotype" w:eastAsia="Palatino Linotype" w:hAnsi="Palatino Linotype" w:cs="Palatino Linotype"/>
          <w:b/>
          <w:i/>
          <w:sz w:val="22"/>
          <w:szCs w:val="22"/>
        </w:rPr>
        <w:t>de incompetencia realicen los titulares de las áreas de los sujetos obligados;</w:t>
      </w:r>
    </w:p>
    <w:p w14:paraId="4A66F993" w14:textId="77777777" w:rsidR="007A10D7" w:rsidRPr="00A70BA6" w:rsidRDefault="007A10D7" w:rsidP="007839D2">
      <w:pPr>
        <w:tabs>
          <w:tab w:val="left" w:pos="142"/>
          <w:tab w:val="left" w:pos="284"/>
        </w:tabs>
        <w:ind w:left="567" w:right="49"/>
        <w:jc w:val="both"/>
        <w:rPr>
          <w:rFonts w:ascii="Palatino Linotype" w:eastAsia="Palatino Linotype" w:hAnsi="Palatino Linotype" w:cs="Palatino Linotype"/>
          <w:b/>
          <w:i/>
          <w:sz w:val="22"/>
          <w:szCs w:val="22"/>
        </w:rPr>
      </w:pPr>
      <w:r w:rsidRPr="00A70BA6">
        <w:rPr>
          <w:rFonts w:ascii="Palatino Linotype" w:eastAsia="Palatino Linotype" w:hAnsi="Palatino Linotype" w:cs="Palatino Linotype"/>
          <w:b/>
          <w:i/>
          <w:sz w:val="22"/>
          <w:szCs w:val="22"/>
        </w:rPr>
        <w:t>...</w:t>
      </w:r>
    </w:p>
    <w:p w14:paraId="6B81527E" w14:textId="77777777" w:rsidR="007A10D7" w:rsidRPr="00A70BA6" w:rsidRDefault="007A10D7" w:rsidP="007839D2">
      <w:pPr>
        <w:tabs>
          <w:tab w:val="left" w:pos="142"/>
          <w:tab w:val="left" w:pos="284"/>
        </w:tabs>
        <w:ind w:left="567" w:right="49"/>
        <w:jc w:val="both"/>
        <w:rPr>
          <w:rFonts w:ascii="Palatino Linotype" w:eastAsia="Palatino Linotype" w:hAnsi="Palatino Linotype" w:cs="Palatino Linotype"/>
          <w:b/>
          <w:i/>
          <w:sz w:val="22"/>
          <w:szCs w:val="22"/>
        </w:rPr>
      </w:pPr>
      <w:r w:rsidRPr="00A70BA6">
        <w:rPr>
          <w:rFonts w:ascii="Palatino Linotype" w:eastAsia="Palatino Linotype" w:hAnsi="Palatino Linotype" w:cs="Palatino Linotype"/>
          <w:b/>
          <w:i/>
          <w:sz w:val="22"/>
          <w:szCs w:val="22"/>
        </w:rPr>
        <w:t>Artículo 167</w:t>
      </w:r>
      <w:r w:rsidRPr="00A70BA6">
        <w:rPr>
          <w:rFonts w:ascii="Palatino Linotype" w:eastAsia="Palatino Linotype" w:hAnsi="Palatino Linotype" w:cs="Palatino Linotype"/>
          <w:i/>
          <w:sz w:val="22"/>
          <w:szCs w:val="22"/>
        </w:rPr>
        <w:t xml:space="preserve">. </w:t>
      </w:r>
      <w:r w:rsidRPr="00A70BA6">
        <w:rPr>
          <w:rFonts w:ascii="Palatino Linotype" w:eastAsia="Palatino Linotype" w:hAnsi="Palatino Linotype" w:cs="Palatino Linotype"/>
          <w:b/>
          <w:i/>
          <w:sz w:val="22"/>
          <w:szCs w:val="22"/>
        </w:rPr>
        <w:t>Cuando las unidades de transparencia determinen la notoria incompetencia</w:t>
      </w:r>
      <w:r w:rsidRPr="00A70BA6">
        <w:rPr>
          <w:rFonts w:ascii="Palatino Linotype" w:eastAsia="Palatino Linotype" w:hAnsi="Palatino Linotype" w:cs="Palatino Linotype"/>
          <w:i/>
          <w:sz w:val="22"/>
          <w:szCs w:val="22"/>
        </w:rPr>
        <w:t xml:space="preserve"> por parte de los sujetos obligados, dentro del ámbito de aplicación, para atender la solicitud de acceso a la información, </w:t>
      </w:r>
      <w:r w:rsidRPr="00A70BA6">
        <w:rPr>
          <w:rFonts w:ascii="Palatino Linotype" w:eastAsia="Palatino Linotype" w:hAnsi="Palatino Linotype" w:cs="Palatino Linotype"/>
          <w:b/>
          <w:i/>
          <w:sz w:val="22"/>
          <w:szCs w:val="22"/>
        </w:rPr>
        <w:t>deberán comunicarlo al solicitante, dentro de los tres días hábiles posteriores a la recepción de la solicitud</w:t>
      </w:r>
      <w:r w:rsidRPr="00A70BA6">
        <w:rPr>
          <w:rFonts w:ascii="Palatino Linotype" w:eastAsia="Palatino Linotype" w:hAnsi="Palatino Linotype" w:cs="Palatino Linotype"/>
          <w:i/>
          <w:sz w:val="22"/>
          <w:szCs w:val="22"/>
        </w:rPr>
        <w:t xml:space="preserve"> y, </w:t>
      </w:r>
      <w:r w:rsidRPr="00A70BA6">
        <w:rPr>
          <w:rFonts w:ascii="Palatino Linotype" w:eastAsia="Palatino Linotype" w:hAnsi="Palatino Linotype" w:cs="Palatino Linotype"/>
          <w:b/>
          <w:i/>
          <w:sz w:val="22"/>
          <w:szCs w:val="22"/>
        </w:rPr>
        <w:t>en su caso orientar al solicitante, el o los sujetos obligados competentes.</w:t>
      </w:r>
    </w:p>
    <w:p w14:paraId="5B46A0A9" w14:textId="77777777" w:rsidR="007A10D7" w:rsidRPr="00A70BA6" w:rsidRDefault="007A10D7" w:rsidP="007A10D7">
      <w:pPr>
        <w:spacing w:line="360" w:lineRule="auto"/>
        <w:ind w:left="851" w:right="49"/>
        <w:jc w:val="both"/>
        <w:rPr>
          <w:rFonts w:ascii="Palatino Linotype" w:eastAsia="Palatino Linotype" w:hAnsi="Palatino Linotype" w:cs="Palatino Linotype"/>
          <w:sz w:val="22"/>
          <w:szCs w:val="22"/>
        </w:rPr>
      </w:pPr>
    </w:p>
    <w:p w14:paraId="3F8E5B05" w14:textId="77777777" w:rsidR="007A10D7" w:rsidRPr="00A70BA6" w:rsidRDefault="007A10D7" w:rsidP="007A10D7">
      <w:pPr>
        <w:tabs>
          <w:tab w:val="left" w:pos="142"/>
          <w:tab w:val="left" w:pos="284"/>
        </w:tabs>
        <w:spacing w:line="360" w:lineRule="auto"/>
        <w:ind w:right="49"/>
        <w:jc w:val="both"/>
        <w:rPr>
          <w:rFonts w:ascii="Palatino Linotype" w:eastAsia="Palatino Linotype" w:hAnsi="Palatino Linotype" w:cs="Palatino Linotype"/>
          <w:sz w:val="22"/>
          <w:szCs w:val="22"/>
        </w:rPr>
      </w:pPr>
      <w:r w:rsidRPr="00A70BA6">
        <w:rPr>
          <w:rFonts w:ascii="Palatino Linotype" w:eastAsia="Palatino Linotype" w:hAnsi="Palatino Linotype" w:cs="Palatino Linotype"/>
          <w:sz w:val="22"/>
          <w:szCs w:val="22"/>
        </w:rPr>
        <w:t>De los preceptos citados se desprende que es atribución del Comité de Transparencia confirmar, modificar o revocar, en su caso, la declaración de incompetencia, en aquellos casos en los que</w:t>
      </w:r>
      <w:r w:rsidRPr="00A70BA6">
        <w:rPr>
          <w:rFonts w:ascii="Palatino Linotype" w:eastAsia="Palatino Linotype" w:hAnsi="Palatino Linotype" w:cs="Palatino Linotype"/>
          <w:b/>
          <w:sz w:val="22"/>
          <w:szCs w:val="22"/>
          <w:u w:val="single"/>
        </w:rPr>
        <w:t xml:space="preserve"> no se trate de una notoria incompetencia</w:t>
      </w:r>
      <w:r w:rsidRPr="00A70BA6">
        <w:rPr>
          <w:rFonts w:ascii="Palatino Linotype" w:eastAsia="Palatino Linotype" w:hAnsi="Palatino Linotype" w:cs="Palatino Linotype"/>
          <w:sz w:val="22"/>
          <w:szCs w:val="22"/>
        </w:rPr>
        <w:t xml:space="preserve">, para lo cual deberán comunicarlo dentro de los tres días hábiles posteriores a la recepción de la solicitud y, en su caso, orientar al solicitante respecto de los sujetos obligados competentes. </w:t>
      </w:r>
    </w:p>
    <w:p w14:paraId="5346B0AC" w14:textId="77777777" w:rsidR="007A10D7" w:rsidRPr="00A70BA6" w:rsidRDefault="007A10D7" w:rsidP="007A10D7">
      <w:pPr>
        <w:spacing w:line="360" w:lineRule="auto"/>
        <w:ind w:right="49"/>
        <w:jc w:val="both"/>
        <w:rPr>
          <w:rFonts w:ascii="Palatino Linotype" w:eastAsia="Palatino Linotype" w:hAnsi="Palatino Linotype" w:cs="Palatino Linotype"/>
          <w:i/>
          <w:sz w:val="22"/>
          <w:szCs w:val="22"/>
        </w:rPr>
      </w:pPr>
    </w:p>
    <w:p w14:paraId="59F498DD" w14:textId="0A0A61AD" w:rsidR="007A10D7" w:rsidRPr="00A70BA6" w:rsidRDefault="007A10D7" w:rsidP="007A10D7">
      <w:pPr>
        <w:spacing w:line="360" w:lineRule="auto"/>
        <w:ind w:right="49"/>
        <w:jc w:val="both"/>
        <w:rPr>
          <w:rFonts w:ascii="Palatino Linotype" w:eastAsia="Palatino Linotype" w:hAnsi="Palatino Linotype" w:cs="Palatino Linotype"/>
          <w:sz w:val="22"/>
          <w:szCs w:val="22"/>
        </w:rPr>
      </w:pPr>
      <w:r w:rsidRPr="00A70BA6">
        <w:rPr>
          <w:rFonts w:ascii="Palatino Linotype" w:eastAsia="Palatino Linotype" w:hAnsi="Palatino Linotype" w:cs="Palatino Linotype"/>
          <w:sz w:val="22"/>
          <w:szCs w:val="22"/>
        </w:rPr>
        <w:t xml:space="preserve">En ese entendido, se determina que el Sujeto Obligado declaró su incompetencia </w:t>
      </w:r>
      <w:r w:rsidR="007839D2" w:rsidRPr="00A70BA6">
        <w:rPr>
          <w:rFonts w:ascii="Palatino Linotype" w:eastAsia="Palatino Linotype" w:hAnsi="Palatino Linotype" w:cs="Palatino Linotype"/>
          <w:sz w:val="22"/>
          <w:szCs w:val="22"/>
        </w:rPr>
        <w:t>desde la respuesta a la solicitud y orientó al particular ante el Sujeto Obligado idóneo para atender sus requerimientos</w:t>
      </w:r>
      <w:r w:rsidRPr="00A70BA6">
        <w:rPr>
          <w:rFonts w:ascii="Palatino Linotype" w:eastAsia="Palatino Linotype" w:hAnsi="Palatino Linotype" w:cs="Palatino Linotype"/>
          <w:sz w:val="22"/>
          <w:szCs w:val="22"/>
        </w:rPr>
        <w:t xml:space="preserve">; </w:t>
      </w:r>
      <w:r w:rsidR="007839D2" w:rsidRPr="00A70BA6">
        <w:rPr>
          <w:rFonts w:ascii="Palatino Linotype" w:eastAsia="Palatino Linotype" w:hAnsi="Palatino Linotype" w:cs="Palatino Linotype"/>
          <w:sz w:val="22"/>
          <w:szCs w:val="22"/>
        </w:rPr>
        <w:t xml:space="preserve">por lo anteriormente expuesto, es que </w:t>
      </w:r>
      <w:r w:rsidRPr="00A70BA6">
        <w:rPr>
          <w:rFonts w:ascii="Palatino Linotype" w:eastAsia="Palatino Linotype" w:hAnsi="Palatino Linotype" w:cs="Palatino Linotype"/>
          <w:sz w:val="22"/>
          <w:szCs w:val="22"/>
        </w:rPr>
        <w:t xml:space="preserve">los agravios hechos valer por este devienen </w:t>
      </w:r>
      <w:r w:rsidRPr="00A70BA6">
        <w:rPr>
          <w:rFonts w:ascii="Palatino Linotype" w:eastAsia="Palatino Linotype" w:hAnsi="Palatino Linotype" w:cs="Palatino Linotype"/>
          <w:b/>
          <w:sz w:val="22"/>
          <w:szCs w:val="22"/>
        </w:rPr>
        <w:t xml:space="preserve">INFUNDADOS </w:t>
      </w:r>
      <w:r w:rsidRPr="00A70BA6">
        <w:rPr>
          <w:rFonts w:ascii="Palatino Linotype" w:eastAsia="Palatino Linotype" w:hAnsi="Palatino Linotype" w:cs="Palatino Linotype"/>
          <w:sz w:val="22"/>
          <w:szCs w:val="22"/>
        </w:rPr>
        <w:t xml:space="preserve">y, por lo tanto, resulta procedente </w:t>
      </w:r>
      <w:r w:rsidRPr="00A70BA6">
        <w:rPr>
          <w:rFonts w:ascii="Palatino Linotype" w:eastAsia="Palatino Linotype" w:hAnsi="Palatino Linotype" w:cs="Palatino Linotype"/>
          <w:b/>
          <w:sz w:val="22"/>
          <w:szCs w:val="22"/>
        </w:rPr>
        <w:t xml:space="preserve">CONFIRMAR </w:t>
      </w:r>
      <w:r w:rsidRPr="00A70BA6">
        <w:rPr>
          <w:rFonts w:ascii="Palatino Linotype" w:eastAsia="Palatino Linotype" w:hAnsi="Palatino Linotype" w:cs="Palatino Linotype"/>
          <w:sz w:val="22"/>
          <w:szCs w:val="22"/>
        </w:rPr>
        <w:t xml:space="preserve">las respuestas emitidas por el Sujeto Obligado, en términos de la fracción II del artículo 186 de la Ley de Transparencia y Acceso a la Información Pública del Estado de México y Municipios. </w:t>
      </w:r>
    </w:p>
    <w:p w14:paraId="17994315" w14:textId="77777777" w:rsidR="007A10D7" w:rsidRPr="00A70BA6" w:rsidRDefault="007A10D7" w:rsidP="007A10D7">
      <w:pPr>
        <w:spacing w:line="360" w:lineRule="auto"/>
        <w:ind w:right="49"/>
        <w:jc w:val="both"/>
        <w:rPr>
          <w:rFonts w:ascii="Palatino Linotype" w:eastAsia="Palatino Linotype" w:hAnsi="Palatino Linotype" w:cs="Palatino Linotype"/>
          <w:sz w:val="22"/>
          <w:szCs w:val="22"/>
        </w:rPr>
      </w:pPr>
    </w:p>
    <w:p w14:paraId="4B2372E8" w14:textId="0EF2E871" w:rsidR="007A10D7" w:rsidRPr="00A70BA6" w:rsidRDefault="007A10D7" w:rsidP="00760932">
      <w:pPr>
        <w:spacing w:line="360" w:lineRule="auto"/>
        <w:ind w:right="49"/>
        <w:jc w:val="both"/>
        <w:rPr>
          <w:rFonts w:ascii="Palatino Linotype" w:eastAsia="Palatino Linotype" w:hAnsi="Palatino Linotype" w:cs="Palatino Linotype"/>
          <w:sz w:val="22"/>
          <w:szCs w:val="22"/>
        </w:rPr>
      </w:pPr>
      <w:r w:rsidRPr="00A70BA6">
        <w:rPr>
          <w:rFonts w:ascii="Palatino Linotype" w:eastAsia="Palatino Linotype" w:hAnsi="Palatino Linotype" w:cs="Palatino Linotype"/>
          <w:sz w:val="22"/>
          <w:szCs w:val="22"/>
        </w:rPr>
        <w:t>No obstante, se dejan a salvo los derechos del particular para que, si así lo desea presente las solicitudes de acceso</w:t>
      </w:r>
      <w:r w:rsidR="007839D2" w:rsidRPr="00A70BA6">
        <w:rPr>
          <w:rFonts w:ascii="Palatino Linotype" w:eastAsia="Palatino Linotype" w:hAnsi="Palatino Linotype" w:cs="Palatino Linotype"/>
          <w:sz w:val="22"/>
          <w:szCs w:val="22"/>
        </w:rPr>
        <w:t xml:space="preserve"> a la información pública ante el</w:t>
      </w:r>
      <w:r w:rsidRPr="00A70BA6">
        <w:rPr>
          <w:rFonts w:ascii="Palatino Linotype" w:eastAsia="Palatino Linotype" w:hAnsi="Palatino Linotype" w:cs="Palatino Linotype"/>
          <w:sz w:val="22"/>
          <w:szCs w:val="22"/>
        </w:rPr>
        <w:t xml:space="preserve"> Sujetos Obligados</w:t>
      </w:r>
      <w:r w:rsidR="007839D2" w:rsidRPr="00A70BA6">
        <w:rPr>
          <w:rFonts w:ascii="Palatino Linotype" w:eastAsia="Palatino Linotype" w:hAnsi="Palatino Linotype" w:cs="Palatino Linotype"/>
          <w:sz w:val="22"/>
          <w:szCs w:val="22"/>
        </w:rPr>
        <w:t xml:space="preserve"> idóneo</w:t>
      </w:r>
      <w:r w:rsidRPr="00A70BA6">
        <w:rPr>
          <w:rFonts w:ascii="Palatino Linotype" w:eastAsia="Palatino Linotype" w:hAnsi="Palatino Linotype" w:cs="Palatino Linotype"/>
          <w:sz w:val="22"/>
          <w:szCs w:val="22"/>
        </w:rPr>
        <w:t xml:space="preserve">, como lo es el </w:t>
      </w:r>
      <w:r w:rsidR="007839D2" w:rsidRPr="00A70BA6">
        <w:rPr>
          <w:rFonts w:ascii="Palatino Linotype" w:eastAsia="Palatino Linotype" w:hAnsi="Palatino Linotype" w:cs="Palatino Linotype"/>
          <w:sz w:val="22"/>
          <w:szCs w:val="22"/>
        </w:rPr>
        <w:t xml:space="preserve">Sistema Municipal para </w:t>
      </w:r>
      <w:r w:rsidR="00760932" w:rsidRPr="00A70BA6">
        <w:rPr>
          <w:rFonts w:ascii="Palatino Linotype" w:eastAsia="Palatino Linotype" w:hAnsi="Palatino Linotype" w:cs="Palatino Linotype"/>
          <w:sz w:val="22"/>
          <w:szCs w:val="22"/>
        </w:rPr>
        <w:t>el Desarrollo Integral de la Familia de Zinacantepec.</w:t>
      </w:r>
    </w:p>
    <w:p w14:paraId="207D3BF5" w14:textId="77777777" w:rsidR="001A4934" w:rsidRPr="00A70BA6" w:rsidRDefault="001A4934">
      <w:pPr>
        <w:spacing w:line="360" w:lineRule="auto"/>
        <w:jc w:val="both"/>
        <w:rPr>
          <w:rFonts w:ascii="Palatino Linotype" w:eastAsia="Palatino Linotype" w:hAnsi="Palatino Linotype" w:cs="Palatino Linotype"/>
          <w:sz w:val="22"/>
          <w:szCs w:val="22"/>
        </w:rPr>
      </w:pPr>
    </w:p>
    <w:p w14:paraId="5D5B8BF6" w14:textId="77777777" w:rsidR="00CF7DC1" w:rsidRPr="00A70BA6" w:rsidRDefault="008E39FE">
      <w:pPr>
        <w:spacing w:line="360" w:lineRule="auto"/>
        <w:ind w:right="49"/>
        <w:jc w:val="both"/>
        <w:rPr>
          <w:rFonts w:ascii="Palatino Linotype" w:eastAsia="Palatino Linotype" w:hAnsi="Palatino Linotype" w:cs="Palatino Linotype"/>
          <w:sz w:val="22"/>
          <w:szCs w:val="22"/>
        </w:rPr>
      </w:pPr>
      <w:r w:rsidRPr="00A70BA6">
        <w:rPr>
          <w:rFonts w:ascii="Palatino Linotype" w:eastAsia="Palatino Linotype" w:hAnsi="Palatino Linotype" w:cs="Palatino Linotype"/>
          <w:sz w:val="22"/>
          <w:szCs w:val="22"/>
        </w:rPr>
        <w:lastRenderedPageBreak/>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41DD1546" w14:textId="77777777" w:rsidR="006B1CA3" w:rsidRPr="00A70BA6" w:rsidRDefault="006B1CA3">
      <w:pPr>
        <w:spacing w:line="360" w:lineRule="auto"/>
        <w:ind w:right="49"/>
        <w:jc w:val="both"/>
        <w:rPr>
          <w:rFonts w:ascii="Palatino Linotype" w:eastAsia="Palatino Linotype" w:hAnsi="Palatino Linotype" w:cs="Palatino Linotype"/>
          <w:sz w:val="22"/>
          <w:szCs w:val="22"/>
        </w:rPr>
      </w:pPr>
    </w:p>
    <w:p w14:paraId="778DA13D" w14:textId="77777777" w:rsidR="00CF7DC1" w:rsidRPr="00A70BA6" w:rsidRDefault="008E39FE">
      <w:pPr>
        <w:spacing w:line="360" w:lineRule="auto"/>
        <w:ind w:right="49"/>
        <w:jc w:val="center"/>
        <w:rPr>
          <w:rFonts w:ascii="Palatino Linotype" w:eastAsia="Palatino Linotype" w:hAnsi="Palatino Linotype" w:cs="Palatino Linotype"/>
          <w:b/>
          <w:sz w:val="22"/>
          <w:szCs w:val="22"/>
        </w:rPr>
      </w:pPr>
      <w:r w:rsidRPr="00A70BA6">
        <w:rPr>
          <w:rFonts w:ascii="Palatino Linotype" w:eastAsia="Palatino Linotype" w:hAnsi="Palatino Linotype" w:cs="Palatino Linotype"/>
          <w:b/>
          <w:sz w:val="22"/>
          <w:szCs w:val="22"/>
        </w:rPr>
        <w:t>III.</w:t>
      </w:r>
      <w:r w:rsidRPr="00A70BA6">
        <w:rPr>
          <w:rFonts w:ascii="Palatino Linotype" w:eastAsia="Palatino Linotype" w:hAnsi="Palatino Linotype" w:cs="Palatino Linotype"/>
          <w:b/>
          <w:sz w:val="22"/>
          <w:szCs w:val="22"/>
        </w:rPr>
        <w:tab/>
        <w:t>R E S U E L V E:</w:t>
      </w:r>
    </w:p>
    <w:p w14:paraId="5986048E" w14:textId="77777777" w:rsidR="006B1CA3" w:rsidRPr="00A70BA6" w:rsidRDefault="006B1CA3">
      <w:pPr>
        <w:spacing w:line="360" w:lineRule="auto"/>
        <w:ind w:right="49"/>
        <w:jc w:val="center"/>
        <w:rPr>
          <w:rFonts w:ascii="Palatino Linotype" w:eastAsia="Palatino Linotype" w:hAnsi="Palatino Linotype" w:cs="Palatino Linotype"/>
          <w:b/>
          <w:sz w:val="22"/>
          <w:szCs w:val="22"/>
        </w:rPr>
      </w:pPr>
    </w:p>
    <w:p w14:paraId="63EA1B7B" w14:textId="71642954" w:rsidR="00760932" w:rsidRPr="00A70BA6" w:rsidRDefault="00760932" w:rsidP="00760932">
      <w:pPr>
        <w:spacing w:before="240" w:after="240" w:line="360" w:lineRule="auto"/>
        <w:jc w:val="both"/>
        <w:rPr>
          <w:rFonts w:ascii="Palatino Linotype" w:hAnsi="Palatino Linotype"/>
        </w:rPr>
      </w:pPr>
      <w:r w:rsidRPr="00A70BA6">
        <w:rPr>
          <w:rFonts w:ascii="Palatino Linotype" w:hAnsi="Palatino Linotype"/>
          <w:b/>
          <w:bCs/>
        </w:rPr>
        <w:t xml:space="preserve">Primero. </w:t>
      </w:r>
      <w:r w:rsidRPr="00A70BA6">
        <w:rPr>
          <w:rFonts w:ascii="Palatino Linotype" w:hAnsi="Palatino Linotype"/>
        </w:rPr>
        <w:t xml:space="preserve">Resultan </w:t>
      </w:r>
      <w:r w:rsidRPr="00A70BA6">
        <w:rPr>
          <w:rFonts w:ascii="Palatino Linotype" w:hAnsi="Palatino Linotype"/>
          <w:b/>
          <w:bCs/>
        </w:rPr>
        <w:t>infundadas</w:t>
      </w:r>
      <w:r w:rsidRPr="00A70BA6">
        <w:rPr>
          <w:rFonts w:ascii="Palatino Linotype" w:hAnsi="Palatino Linotype"/>
        </w:rPr>
        <w:t xml:space="preserve"> las</w:t>
      </w:r>
      <w:r w:rsidRPr="00A70BA6">
        <w:rPr>
          <w:rFonts w:ascii="Palatino Linotype" w:hAnsi="Palatino Linotype"/>
          <w:b/>
          <w:bCs/>
        </w:rPr>
        <w:t xml:space="preserve"> </w:t>
      </w:r>
      <w:r w:rsidRPr="00A70BA6">
        <w:rPr>
          <w:rFonts w:ascii="Palatino Linotype" w:hAnsi="Palatino Linotype"/>
        </w:rPr>
        <w:t xml:space="preserve">razones o motivos de inconformidad hechos valer por la parte </w:t>
      </w:r>
      <w:r w:rsidRPr="00A70BA6">
        <w:rPr>
          <w:rFonts w:ascii="Palatino Linotype" w:hAnsi="Palatino Linotype"/>
          <w:b/>
          <w:bCs/>
        </w:rPr>
        <w:t>Recurrente</w:t>
      </w:r>
      <w:r w:rsidRPr="00A70BA6">
        <w:rPr>
          <w:rFonts w:ascii="Palatino Linotype" w:hAnsi="Palatino Linotype"/>
        </w:rPr>
        <w:t xml:space="preserve"> en el Recurso de Revisión </w:t>
      </w:r>
      <w:r w:rsidRPr="00A70BA6">
        <w:rPr>
          <w:rFonts w:ascii="Palatino Linotype" w:hAnsi="Palatino Linotype"/>
          <w:b/>
          <w:bCs/>
        </w:rPr>
        <w:t xml:space="preserve">05154/INFOEM/IP/RR/2025 </w:t>
      </w:r>
      <w:r w:rsidRPr="00A70BA6">
        <w:rPr>
          <w:rFonts w:ascii="Palatino Linotype" w:hAnsi="Palatino Linotype"/>
        </w:rPr>
        <w:t xml:space="preserve">por lo que, en términos del Considerando </w:t>
      </w:r>
      <w:r w:rsidRPr="00A70BA6">
        <w:rPr>
          <w:rFonts w:ascii="Palatino Linotype" w:hAnsi="Palatino Linotype"/>
          <w:b/>
          <w:bCs/>
        </w:rPr>
        <w:t>Cuarto</w:t>
      </w:r>
      <w:r w:rsidRPr="00A70BA6">
        <w:rPr>
          <w:rFonts w:ascii="Palatino Linotype" w:hAnsi="Palatino Linotype"/>
        </w:rPr>
        <w:t xml:space="preserve"> de la presente resolución se </w:t>
      </w:r>
      <w:r w:rsidRPr="00A70BA6">
        <w:rPr>
          <w:rFonts w:ascii="Palatino Linotype" w:hAnsi="Palatino Linotype"/>
          <w:b/>
          <w:bCs/>
        </w:rPr>
        <w:t xml:space="preserve">Confirma </w:t>
      </w:r>
      <w:r w:rsidRPr="00A70BA6">
        <w:rPr>
          <w:rFonts w:ascii="Palatino Linotype" w:hAnsi="Palatino Linotype"/>
        </w:rPr>
        <w:t xml:space="preserve">la respuesta emitida por el </w:t>
      </w:r>
      <w:r w:rsidRPr="00A70BA6">
        <w:rPr>
          <w:rFonts w:ascii="Palatino Linotype" w:hAnsi="Palatino Linotype"/>
          <w:b/>
          <w:bCs/>
        </w:rPr>
        <w:t>Sujeto Obligado. </w:t>
      </w:r>
    </w:p>
    <w:p w14:paraId="272D2456" w14:textId="77777777" w:rsidR="00760932" w:rsidRPr="00A70BA6" w:rsidRDefault="00760932" w:rsidP="00760932">
      <w:pPr>
        <w:spacing w:before="240" w:after="240" w:line="360" w:lineRule="auto"/>
        <w:ind w:right="51"/>
        <w:jc w:val="both"/>
        <w:rPr>
          <w:rFonts w:ascii="Palatino Linotype" w:hAnsi="Palatino Linotype"/>
        </w:rPr>
      </w:pPr>
      <w:r w:rsidRPr="00A70BA6">
        <w:rPr>
          <w:rFonts w:ascii="Palatino Linotype" w:hAnsi="Palatino Linotype"/>
          <w:b/>
          <w:bCs/>
        </w:rPr>
        <w:t>Segundo. Notifíquese vía SAIMEX</w:t>
      </w:r>
      <w:r w:rsidRPr="00A70BA6">
        <w:rPr>
          <w:rFonts w:ascii="Palatino Linotype" w:hAnsi="Palatino Linotype"/>
        </w:rPr>
        <w:t xml:space="preserve">, la presente resolución al Titular de la Unidad de Transparencia del </w:t>
      </w:r>
      <w:r w:rsidRPr="00A70BA6">
        <w:rPr>
          <w:rFonts w:ascii="Palatino Linotype" w:hAnsi="Palatino Linotype"/>
          <w:b/>
          <w:bCs/>
        </w:rPr>
        <w:t>Sujeto Obligado</w:t>
      </w:r>
      <w:r w:rsidRPr="00A70BA6">
        <w:rPr>
          <w:rFonts w:ascii="Palatino Linotype" w:hAnsi="Palatino Linotype"/>
        </w:rPr>
        <w:t>, para su conocimiento.</w:t>
      </w:r>
    </w:p>
    <w:p w14:paraId="6C017EE4" w14:textId="71CB4931" w:rsidR="00760932" w:rsidRPr="00A70BA6" w:rsidRDefault="00760932" w:rsidP="00760932">
      <w:pPr>
        <w:spacing w:before="240" w:after="240" w:line="360" w:lineRule="auto"/>
        <w:ind w:right="49"/>
        <w:jc w:val="both"/>
        <w:rPr>
          <w:rFonts w:ascii="Palatino Linotype" w:hAnsi="Palatino Linotype"/>
        </w:rPr>
      </w:pPr>
      <w:r w:rsidRPr="00A70BA6">
        <w:rPr>
          <w:rFonts w:ascii="Palatino Linotype" w:hAnsi="Palatino Linotype"/>
          <w:b/>
          <w:bCs/>
        </w:rPr>
        <w:t>Tercero. Notifíquese vía SAIMEX</w:t>
      </w:r>
      <w:r w:rsidRPr="00A70BA6">
        <w:rPr>
          <w:rFonts w:ascii="Palatino Linotype" w:hAnsi="Palatino Linotype"/>
        </w:rPr>
        <w:t>,</w:t>
      </w:r>
      <w:r w:rsidRPr="00A70BA6">
        <w:rPr>
          <w:rFonts w:ascii="Palatino Linotype" w:hAnsi="Palatino Linotype"/>
          <w:b/>
          <w:bCs/>
        </w:rPr>
        <w:t xml:space="preserve"> </w:t>
      </w:r>
      <w:r w:rsidRPr="00A70BA6">
        <w:rPr>
          <w:rFonts w:ascii="Palatino Linotype" w:hAnsi="Palatino Linotype"/>
        </w:rPr>
        <w:t xml:space="preserve">a la parte </w:t>
      </w:r>
      <w:r w:rsidRPr="00A70BA6">
        <w:rPr>
          <w:rFonts w:ascii="Palatino Linotype" w:hAnsi="Palatino Linotype"/>
          <w:b/>
          <w:bCs/>
        </w:rPr>
        <w:t>Recurrente</w:t>
      </w:r>
      <w:r w:rsidRPr="00A70BA6">
        <w:rPr>
          <w:rFonts w:ascii="Palatino Linotype" w:hAnsi="Palatino Linotype"/>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 </w:t>
      </w:r>
    </w:p>
    <w:p w14:paraId="46A1D473" w14:textId="6403BE52" w:rsidR="00CF7DC1" w:rsidRPr="006B1CA3" w:rsidRDefault="008E39FE">
      <w:pPr>
        <w:spacing w:line="360" w:lineRule="auto"/>
        <w:jc w:val="both"/>
        <w:rPr>
          <w:rFonts w:ascii="Palatino Linotype" w:eastAsia="Palatino Linotype" w:hAnsi="Palatino Linotype" w:cs="Palatino Linotype"/>
          <w:sz w:val="22"/>
          <w:szCs w:val="22"/>
        </w:rPr>
        <w:sectPr w:rsidR="00CF7DC1" w:rsidRPr="006B1CA3">
          <w:headerReference w:type="default" r:id="rId10"/>
          <w:footerReference w:type="default" r:id="rId11"/>
          <w:headerReference w:type="first" r:id="rId12"/>
          <w:footerReference w:type="first" r:id="rId13"/>
          <w:pgSz w:w="12240" w:h="15840"/>
          <w:pgMar w:top="2041" w:right="1701" w:bottom="1701" w:left="1701" w:header="709" w:footer="709" w:gutter="0"/>
          <w:pgNumType w:start="1"/>
          <w:cols w:space="720"/>
          <w:titlePg/>
        </w:sectPr>
      </w:pPr>
      <w:r w:rsidRPr="00A70BA6">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F60FAF" w:rsidRPr="00A70BA6">
        <w:rPr>
          <w:rFonts w:ascii="Palatino Linotype" w:eastAsia="Palatino Linotype" w:hAnsi="Palatino Linotype" w:cs="Palatino Linotype"/>
          <w:sz w:val="22"/>
          <w:szCs w:val="22"/>
        </w:rPr>
        <w:t xml:space="preserve"> (AUSENCIA JUSTIFICADA)</w:t>
      </w:r>
      <w:r w:rsidRPr="00A70BA6">
        <w:rPr>
          <w:rFonts w:ascii="Palatino Linotype" w:eastAsia="Palatino Linotype" w:hAnsi="Palatino Linotype" w:cs="Palatino Linotype"/>
          <w:sz w:val="22"/>
          <w:szCs w:val="22"/>
        </w:rPr>
        <w:t xml:space="preserve">, LUIS </w:t>
      </w:r>
      <w:r w:rsidRPr="00A70BA6">
        <w:rPr>
          <w:rFonts w:ascii="Palatino Linotype" w:eastAsia="Palatino Linotype" w:hAnsi="Palatino Linotype" w:cs="Palatino Linotype"/>
          <w:sz w:val="22"/>
          <w:szCs w:val="22"/>
        </w:rPr>
        <w:lastRenderedPageBreak/>
        <w:t xml:space="preserve">GUSTAVO PARRA NORIEGA Y GUADALUPE RAMÍREZ PEÑA; EN LA </w:t>
      </w:r>
      <w:r w:rsidR="000B0D90" w:rsidRPr="00A70BA6">
        <w:rPr>
          <w:rFonts w:ascii="Palatino Linotype" w:eastAsia="Palatino Linotype" w:hAnsi="Palatino Linotype" w:cs="Palatino Linotype"/>
          <w:sz w:val="22"/>
          <w:szCs w:val="22"/>
        </w:rPr>
        <w:t xml:space="preserve">TRIGÉSIMA </w:t>
      </w:r>
      <w:r w:rsidR="00A31790" w:rsidRPr="00A70BA6">
        <w:rPr>
          <w:rFonts w:ascii="Palatino Linotype" w:eastAsia="Palatino Linotype" w:hAnsi="Palatino Linotype" w:cs="Palatino Linotype"/>
          <w:sz w:val="22"/>
          <w:szCs w:val="22"/>
        </w:rPr>
        <w:t>TERCERA</w:t>
      </w:r>
      <w:r w:rsidR="000B0D90" w:rsidRPr="00A70BA6">
        <w:rPr>
          <w:rFonts w:ascii="Palatino Linotype" w:eastAsia="Palatino Linotype" w:hAnsi="Palatino Linotype" w:cs="Palatino Linotype"/>
          <w:sz w:val="22"/>
          <w:szCs w:val="22"/>
        </w:rPr>
        <w:t xml:space="preserve"> </w:t>
      </w:r>
      <w:r w:rsidRPr="00A70BA6">
        <w:rPr>
          <w:rFonts w:ascii="Palatino Linotype" w:eastAsia="Palatino Linotype" w:hAnsi="Palatino Linotype" w:cs="Palatino Linotype"/>
          <w:sz w:val="22"/>
          <w:szCs w:val="22"/>
        </w:rPr>
        <w:t xml:space="preserve">SESIÓN ORDINARIA CELEBRADA EL </w:t>
      </w:r>
      <w:r w:rsidR="00A31790" w:rsidRPr="00A70BA6">
        <w:rPr>
          <w:rFonts w:ascii="Palatino Linotype" w:eastAsia="Palatino Linotype" w:hAnsi="Palatino Linotype" w:cs="Palatino Linotype"/>
          <w:sz w:val="22"/>
          <w:szCs w:val="22"/>
        </w:rPr>
        <w:t>DIECIOCHO</w:t>
      </w:r>
      <w:r w:rsidR="006B5BC6" w:rsidRPr="00A70BA6">
        <w:rPr>
          <w:rFonts w:ascii="Palatino Linotype" w:eastAsia="Palatino Linotype" w:hAnsi="Palatino Linotype" w:cs="Palatino Linotype"/>
          <w:sz w:val="22"/>
          <w:szCs w:val="22"/>
        </w:rPr>
        <w:t xml:space="preserve"> DE </w:t>
      </w:r>
      <w:r w:rsidR="000B0D90" w:rsidRPr="00A70BA6">
        <w:rPr>
          <w:rFonts w:ascii="Palatino Linotype" w:eastAsia="Palatino Linotype" w:hAnsi="Palatino Linotype" w:cs="Palatino Linotype"/>
          <w:sz w:val="22"/>
          <w:szCs w:val="22"/>
        </w:rPr>
        <w:t>SEPTIEMBRE</w:t>
      </w:r>
      <w:r w:rsidRPr="00A70BA6">
        <w:rPr>
          <w:rFonts w:ascii="Palatino Linotype" w:eastAsia="Palatino Linotype" w:hAnsi="Palatino Linotype" w:cs="Palatino Linotype"/>
          <w:sz w:val="22"/>
          <w:szCs w:val="22"/>
        </w:rPr>
        <w:t xml:space="preserve"> DE DOS MIL VEINTICINCO, ANTE EL SECRETARIO TÉCNICO DEL PLENO ALEXIS TAPIA RAMÍREZ.</w:t>
      </w:r>
      <w:r w:rsidRPr="006B1CA3">
        <w:rPr>
          <w:rFonts w:ascii="Palatino Linotype" w:eastAsia="Palatino Linotype" w:hAnsi="Palatino Linotype" w:cs="Palatino Linotype"/>
          <w:sz w:val="22"/>
          <w:szCs w:val="22"/>
        </w:rPr>
        <w:t xml:space="preserve">                              </w:t>
      </w:r>
    </w:p>
    <w:p w14:paraId="496007B5" w14:textId="77777777" w:rsidR="00CF7DC1" w:rsidRPr="006B1CA3" w:rsidRDefault="00CF7DC1">
      <w:pPr>
        <w:spacing w:line="360" w:lineRule="auto"/>
        <w:jc w:val="both"/>
        <w:rPr>
          <w:rFonts w:ascii="Palatino Linotype" w:eastAsia="Palatino Linotype" w:hAnsi="Palatino Linotype" w:cs="Palatino Linotype"/>
          <w:sz w:val="22"/>
          <w:szCs w:val="22"/>
        </w:rPr>
      </w:pPr>
    </w:p>
    <w:sectPr w:rsidR="00CF7DC1" w:rsidRPr="006B1CA3">
      <w:headerReference w:type="first" r:id="rId14"/>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330E7" w14:textId="77777777" w:rsidR="00A8005F" w:rsidRDefault="00A8005F">
      <w:r>
        <w:separator/>
      </w:r>
    </w:p>
  </w:endnote>
  <w:endnote w:type="continuationSeparator" w:id="0">
    <w:p w14:paraId="06783EF9" w14:textId="77777777" w:rsidR="00A8005F" w:rsidRDefault="00A80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5A666" w14:textId="77777777" w:rsidR="00143136" w:rsidRDefault="00143136">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85DAF">
      <w:rPr>
        <w:rFonts w:ascii="Arial" w:eastAsia="Arial" w:hAnsi="Arial" w:cs="Arial"/>
        <w:b/>
        <w:noProof/>
        <w:color w:val="000000"/>
        <w:sz w:val="20"/>
        <w:szCs w:val="20"/>
      </w:rPr>
      <w:t>22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85DAF">
      <w:rPr>
        <w:rFonts w:ascii="Arial" w:eastAsia="Arial" w:hAnsi="Arial" w:cs="Arial"/>
        <w:b/>
        <w:noProof/>
        <w:color w:val="000000"/>
        <w:sz w:val="20"/>
        <w:szCs w:val="20"/>
      </w:rPr>
      <w:t>24</w:t>
    </w:r>
    <w:r>
      <w:rPr>
        <w:rFonts w:ascii="Arial" w:eastAsia="Arial" w:hAnsi="Arial" w:cs="Arial"/>
        <w:b/>
        <w:color w:val="000000"/>
        <w:sz w:val="20"/>
        <w:szCs w:val="20"/>
      </w:rPr>
      <w:fldChar w:fldCharType="end"/>
    </w:r>
  </w:p>
  <w:p w14:paraId="411D54CC" w14:textId="77777777" w:rsidR="00143136" w:rsidRDefault="00143136">
    <w:pPr>
      <w:pBdr>
        <w:top w:val="nil"/>
        <w:left w:val="nil"/>
        <w:bottom w:val="nil"/>
        <w:right w:val="nil"/>
        <w:between w:val="nil"/>
      </w:pBdr>
      <w:tabs>
        <w:tab w:val="center" w:pos="4252"/>
        <w:tab w:val="right" w:pos="8504"/>
      </w:tabs>
      <w:rPr>
        <w:color w:val="000000"/>
      </w:rPr>
    </w:pPr>
  </w:p>
  <w:p w14:paraId="1D4AE35D" w14:textId="77777777" w:rsidR="00143136" w:rsidRDefault="00143136">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27108" w14:textId="77777777" w:rsidR="00143136" w:rsidRDefault="00143136">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85DAF">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85DAF">
      <w:rPr>
        <w:rFonts w:ascii="Arial" w:eastAsia="Arial" w:hAnsi="Arial" w:cs="Arial"/>
        <w:b/>
        <w:noProof/>
        <w:color w:val="000000"/>
        <w:sz w:val="20"/>
        <w:szCs w:val="20"/>
      </w:rPr>
      <w:t>24</w:t>
    </w:r>
    <w:r>
      <w:rPr>
        <w:rFonts w:ascii="Arial" w:eastAsia="Arial" w:hAnsi="Arial" w:cs="Arial"/>
        <w:b/>
        <w:color w:val="000000"/>
        <w:sz w:val="20"/>
        <w:szCs w:val="20"/>
      </w:rPr>
      <w:fldChar w:fldCharType="end"/>
    </w:r>
  </w:p>
  <w:p w14:paraId="54E70105" w14:textId="77777777" w:rsidR="00143136" w:rsidRDefault="00143136">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0E74" w14:textId="77777777" w:rsidR="00A8005F" w:rsidRDefault="00A8005F">
      <w:r>
        <w:separator/>
      </w:r>
    </w:p>
  </w:footnote>
  <w:footnote w:type="continuationSeparator" w:id="0">
    <w:p w14:paraId="01A41C14" w14:textId="77777777" w:rsidR="00A8005F" w:rsidRDefault="00A80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8E67B" w14:textId="77777777" w:rsidR="00143136" w:rsidRDefault="00143136">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26CDE8CD" wp14:editId="4468BC57">
          <wp:simplePos x="0" y="0"/>
          <wp:positionH relativeFrom="column">
            <wp:posOffset>-638173</wp:posOffset>
          </wp:positionH>
          <wp:positionV relativeFrom="paragraph">
            <wp:posOffset>-450213</wp:posOffset>
          </wp:positionV>
          <wp:extent cx="7809876" cy="10165823"/>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3"/>
      <w:tblW w:w="5528" w:type="dxa"/>
      <w:tblInd w:w="3261" w:type="dxa"/>
      <w:tblLayout w:type="fixed"/>
      <w:tblLook w:val="0400" w:firstRow="0" w:lastRow="0" w:firstColumn="0" w:lastColumn="0" w:noHBand="0" w:noVBand="1"/>
    </w:tblPr>
    <w:tblGrid>
      <w:gridCol w:w="2551"/>
      <w:gridCol w:w="2977"/>
    </w:tblGrid>
    <w:tr w:rsidR="00143136" w14:paraId="15688AAE" w14:textId="77777777">
      <w:tc>
        <w:tcPr>
          <w:tcW w:w="2551" w:type="dxa"/>
          <w:vAlign w:val="center"/>
        </w:tcPr>
        <w:p w14:paraId="622ED360" w14:textId="77777777" w:rsidR="00143136" w:rsidRDefault="0014313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396FE9C9" w14:textId="50E4D753" w:rsidR="00143136" w:rsidRDefault="00143136">
          <w:pPr>
            <w:jc w:val="both"/>
            <w:rPr>
              <w:rFonts w:ascii="Palatino Linotype" w:eastAsia="Palatino Linotype" w:hAnsi="Palatino Linotype" w:cs="Palatino Linotype"/>
              <w:b/>
              <w:sz w:val="22"/>
              <w:szCs w:val="22"/>
            </w:rPr>
          </w:pPr>
          <w:r w:rsidRPr="00A13475">
            <w:rPr>
              <w:rFonts w:ascii="Palatino Linotype" w:eastAsia="Palatino Linotype" w:hAnsi="Palatino Linotype" w:cs="Palatino Linotype"/>
              <w:b/>
              <w:sz w:val="22"/>
              <w:szCs w:val="22"/>
            </w:rPr>
            <w:t>0</w:t>
          </w:r>
          <w:r>
            <w:rPr>
              <w:rFonts w:ascii="Palatino Linotype" w:eastAsia="Palatino Linotype" w:hAnsi="Palatino Linotype" w:cs="Palatino Linotype"/>
              <w:b/>
              <w:sz w:val="22"/>
              <w:szCs w:val="22"/>
            </w:rPr>
            <w:t>5154</w:t>
          </w:r>
          <w:r w:rsidRPr="00A13475">
            <w:rPr>
              <w:rFonts w:ascii="Palatino Linotype" w:eastAsia="Palatino Linotype" w:hAnsi="Palatino Linotype" w:cs="Palatino Linotype"/>
              <w:b/>
              <w:sz w:val="22"/>
              <w:szCs w:val="22"/>
            </w:rPr>
            <w:t>/INFOEM/IP/RR/2025</w:t>
          </w:r>
        </w:p>
      </w:tc>
    </w:tr>
    <w:tr w:rsidR="00143136" w14:paraId="1C8FFCFE" w14:textId="77777777">
      <w:trPr>
        <w:trHeight w:val="228"/>
      </w:trPr>
      <w:tc>
        <w:tcPr>
          <w:tcW w:w="2551" w:type="dxa"/>
          <w:vAlign w:val="center"/>
        </w:tcPr>
        <w:p w14:paraId="669CF3B3" w14:textId="77777777" w:rsidR="00143136" w:rsidRDefault="0014313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2E3E069A" w14:textId="75551251" w:rsidR="00143136" w:rsidRDefault="00143136" w:rsidP="00DA618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143136" w14:paraId="01D90B31" w14:textId="77777777">
      <w:tc>
        <w:tcPr>
          <w:tcW w:w="2551" w:type="dxa"/>
          <w:vAlign w:val="center"/>
        </w:tcPr>
        <w:p w14:paraId="5AE954D8" w14:textId="77777777" w:rsidR="00143136" w:rsidRDefault="0014313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4468C1A1" w14:textId="77777777" w:rsidR="00143136" w:rsidRDefault="00143136">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E8F1822" w14:textId="77777777" w:rsidR="00143136" w:rsidRDefault="00143136">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8DC0A" w14:textId="77777777" w:rsidR="00143136" w:rsidRDefault="00143136">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010E3478" wp14:editId="18FF916C">
          <wp:simplePos x="0" y="0"/>
          <wp:positionH relativeFrom="column">
            <wp:posOffset>-798191</wp:posOffset>
          </wp:positionH>
          <wp:positionV relativeFrom="paragraph">
            <wp:posOffset>-399411</wp:posOffset>
          </wp:positionV>
          <wp:extent cx="7809876" cy="10165823"/>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4"/>
      <w:tblW w:w="5953" w:type="dxa"/>
      <w:tblInd w:w="3119" w:type="dxa"/>
      <w:tblLayout w:type="fixed"/>
      <w:tblLook w:val="0400" w:firstRow="0" w:lastRow="0" w:firstColumn="0" w:lastColumn="0" w:noHBand="0" w:noVBand="1"/>
    </w:tblPr>
    <w:tblGrid>
      <w:gridCol w:w="2551"/>
      <w:gridCol w:w="3119"/>
      <w:gridCol w:w="283"/>
    </w:tblGrid>
    <w:tr w:rsidR="00143136" w14:paraId="4B00A4C3" w14:textId="77777777" w:rsidTr="0024638C">
      <w:trPr>
        <w:gridAfter w:val="1"/>
        <w:wAfter w:w="283" w:type="dxa"/>
      </w:trPr>
      <w:tc>
        <w:tcPr>
          <w:tcW w:w="2551" w:type="dxa"/>
          <w:vAlign w:val="center"/>
        </w:tcPr>
        <w:p w14:paraId="734E2147" w14:textId="77777777" w:rsidR="00143136" w:rsidRDefault="0014313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175FA319" w14:textId="13163C28" w:rsidR="00143136" w:rsidRDefault="00143136" w:rsidP="00DC0499">
          <w:pPr>
            <w:jc w:val="both"/>
            <w:rPr>
              <w:rFonts w:ascii="Palatino Linotype" w:eastAsia="Palatino Linotype" w:hAnsi="Palatino Linotype" w:cs="Palatino Linotype"/>
              <w:b/>
              <w:sz w:val="22"/>
              <w:szCs w:val="22"/>
            </w:rPr>
          </w:pPr>
          <w:r w:rsidRPr="00A13475">
            <w:rPr>
              <w:rFonts w:ascii="Palatino Linotype" w:eastAsia="Palatino Linotype" w:hAnsi="Palatino Linotype" w:cs="Palatino Linotype"/>
              <w:b/>
              <w:sz w:val="22"/>
              <w:szCs w:val="22"/>
            </w:rPr>
            <w:t>0</w:t>
          </w:r>
          <w:r>
            <w:rPr>
              <w:rFonts w:ascii="Palatino Linotype" w:eastAsia="Palatino Linotype" w:hAnsi="Palatino Linotype" w:cs="Palatino Linotype"/>
              <w:b/>
              <w:sz w:val="22"/>
              <w:szCs w:val="22"/>
            </w:rPr>
            <w:t>5154</w:t>
          </w:r>
          <w:r w:rsidRPr="00A13475">
            <w:rPr>
              <w:rFonts w:ascii="Palatino Linotype" w:eastAsia="Palatino Linotype" w:hAnsi="Palatino Linotype" w:cs="Palatino Linotype"/>
              <w:b/>
              <w:sz w:val="22"/>
              <w:szCs w:val="22"/>
            </w:rPr>
            <w:t>/INFOEM/IP/RR/2025</w:t>
          </w:r>
          <w:r>
            <w:rPr>
              <w:rFonts w:ascii="Palatino Linotype" w:eastAsia="Palatino Linotype" w:hAnsi="Palatino Linotype" w:cs="Palatino Linotype"/>
              <w:b/>
              <w:sz w:val="22"/>
              <w:szCs w:val="22"/>
            </w:rPr>
            <w:t xml:space="preserve"> </w:t>
          </w:r>
        </w:p>
      </w:tc>
    </w:tr>
    <w:tr w:rsidR="00143136" w14:paraId="7371367D" w14:textId="77777777" w:rsidTr="0024638C">
      <w:tc>
        <w:tcPr>
          <w:tcW w:w="2551" w:type="dxa"/>
          <w:vAlign w:val="center"/>
        </w:tcPr>
        <w:p w14:paraId="72BDACE5" w14:textId="77777777" w:rsidR="00143136" w:rsidRDefault="00143136">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02" w:type="dxa"/>
          <w:gridSpan w:val="2"/>
          <w:vAlign w:val="center"/>
        </w:tcPr>
        <w:p w14:paraId="719EC825" w14:textId="4F92D9A3" w:rsidR="00143136" w:rsidRDefault="00143136" w:rsidP="006A05C4">
          <w:pPr>
            <w:ind w:right="-533"/>
            <w:jc w:val="both"/>
            <w:rPr>
              <w:rFonts w:ascii="Palatino Linotype" w:eastAsia="Palatino Linotype" w:hAnsi="Palatino Linotype" w:cs="Palatino Linotype"/>
              <w:b/>
              <w:sz w:val="22"/>
              <w:szCs w:val="22"/>
            </w:rPr>
          </w:pPr>
        </w:p>
      </w:tc>
    </w:tr>
    <w:tr w:rsidR="00143136" w14:paraId="4058574A" w14:textId="77777777" w:rsidTr="0024638C">
      <w:trPr>
        <w:gridAfter w:val="1"/>
        <w:wAfter w:w="283" w:type="dxa"/>
        <w:trHeight w:val="228"/>
      </w:trPr>
      <w:tc>
        <w:tcPr>
          <w:tcW w:w="2551" w:type="dxa"/>
          <w:vAlign w:val="center"/>
        </w:tcPr>
        <w:p w14:paraId="59444DC6" w14:textId="77777777" w:rsidR="00143136" w:rsidRDefault="0014313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2C688238" w14:textId="4AA0529C" w:rsidR="00143136" w:rsidRDefault="00143136" w:rsidP="00A31790">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143136" w14:paraId="50ABC381" w14:textId="77777777" w:rsidTr="0024638C">
      <w:trPr>
        <w:gridAfter w:val="1"/>
        <w:wAfter w:w="283" w:type="dxa"/>
      </w:trPr>
      <w:tc>
        <w:tcPr>
          <w:tcW w:w="2551" w:type="dxa"/>
          <w:vAlign w:val="center"/>
        </w:tcPr>
        <w:p w14:paraId="18198D86" w14:textId="77777777" w:rsidR="00143136" w:rsidRDefault="0014313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275706C7" w14:textId="77777777" w:rsidR="00143136" w:rsidRDefault="00143136">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8780314" w14:textId="77777777" w:rsidR="00143136" w:rsidRDefault="00143136">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646EB" w14:textId="77777777" w:rsidR="00143136" w:rsidRDefault="00143136">
    <w:pPr>
      <w:pBdr>
        <w:top w:val="nil"/>
        <w:left w:val="nil"/>
        <w:bottom w:val="nil"/>
        <w:right w:val="nil"/>
        <w:between w:val="nil"/>
      </w:pBdr>
      <w:tabs>
        <w:tab w:val="center" w:pos="4252"/>
        <w:tab w:val="right" w:pos="8504"/>
      </w:tabs>
      <w:jc w:val="both"/>
      <w:rPr>
        <w:rFonts w:ascii="Calibri" w:eastAsia="Calibri" w:hAnsi="Calibri" w:cs="Calibri"/>
        <w:color w:val="000000"/>
      </w:rPr>
    </w:pPr>
  </w:p>
  <w:p w14:paraId="76DB916A" w14:textId="77777777" w:rsidR="00143136" w:rsidRDefault="00143136">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D020B"/>
    <w:multiLevelType w:val="hybridMultilevel"/>
    <w:tmpl w:val="367A60F6"/>
    <w:lvl w:ilvl="0" w:tplc="6E3C5F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25795B78"/>
    <w:multiLevelType w:val="multilevel"/>
    <w:tmpl w:val="A13E4DDA"/>
    <w:lvl w:ilvl="0">
      <w:numFmt w:val="bullet"/>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0B970C7"/>
    <w:multiLevelType w:val="multilevel"/>
    <w:tmpl w:val="A1E6A71E"/>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BC47D74"/>
    <w:multiLevelType w:val="multilevel"/>
    <w:tmpl w:val="29BC9558"/>
    <w:lvl w:ilvl="0">
      <w:numFmt w:val="bullet"/>
      <w:pStyle w:val="Listaconvietas3"/>
      <w:lvlText w:val="-"/>
      <w:lvlJc w:val="left"/>
      <w:pPr>
        <w:ind w:left="927" w:hanging="360"/>
      </w:pPr>
      <w:rPr>
        <w:rFonts w:ascii="Palatino Linotype" w:eastAsia="Palatino Linotype" w:hAnsi="Palatino Linotype" w:cs="Palatino Linotype"/>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4" w15:restartNumberingAfterBreak="0">
    <w:nsid w:val="3C2936D7"/>
    <w:multiLevelType w:val="multilevel"/>
    <w:tmpl w:val="37AC2A74"/>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E8A5385"/>
    <w:multiLevelType w:val="hybridMultilevel"/>
    <w:tmpl w:val="9CC8279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7" w15:restartNumberingAfterBreak="0">
    <w:nsid w:val="61C16B09"/>
    <w:multiLevelType w:val="hybridMultilevel"/>
    <w:tmpl w:val="93BE6E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2342745"/>
    <w:multiLevelType w:val="multilevel"/>
    <w:tmpl w:val="938CDD9A"/>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9" w15:restartNumberingAfterBreak="0">
    <w:nsid w:val="68B12D07"/>
    <w:multiLevelType w:val="multilevel"/>
    <w:tmpl w:val="1F72CCE8"/>
    <w:lvl w:ilvl="0">
      <w:start w:val="1"/>
      <w:numFmt w:val="decimal"/>
      <w:lvlText w:val="%1."/>
      <w:lvlJc w:val="left"/>
      <w:pPr>
        <w:ind w:left="720" w:hanging="360"/>
      </w:pPr>
      <w:rPr>
        <w:b/>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19D61E5"/>
    <w:multiLevelType w:val="multilevel"/>
    <w:tmpl w:val="75ACA6FC"/>
    <w:lvl w:ilvl="0">
      <w:start w:val="7"/>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4CB6518"/>
    <w:multiLevelType w:val="multilevel"/>
    <w:tmpl w:val="31445C2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250391132">
    <w:abstractNumId w:val="10"/>
  </w:num>
  <w:num w:numId="2" w16cid:durableId="879632508">
    <w:abstractNumId w:val="4"/>
  </w:num>
  <w:num w:numId="3" w16cid:durableId="6323984">
    <w:abstractNumId w:val="1"/>
  </w:num>
  <w:num w:numId="4" w16cid:durableId="1238052397">
    <w:abstractNumId w:val="3"/>
  </w:num>
  <w:num w:numId="5" w16cid:durableId="743453226">
    <w:abstractNumId w:val="9"/>
  </w:num>
  <w:num w:numId="6" w16cid:durableId="66271674">
    <w:abstractNumId w:val="11"/>
  </w:num>
  <w:num w:numId="7" w16cid:durableId="1644889943">
    <w:abstractNumId w:val="6"/>
  </w:num>
  <w:num w:numId="8" w16cid:durableId="1056853240">
    <w:abstractNumId w:val="2"/>
  </w:num>
  <w:num w:numId="9" w16cid:durableId="11392307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2269029">
    <w:abstractNumId w:val="0"/>
  </w:num>
  <w:num w:numId="11" w16cid:durableId="840042756">
    <w:abstractNumId w:val="7"/>
  </w:num>
  <w:num w:numId="12" w16cid:durableId="11988575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DC1"/>
    <w:rsid w:val="000166B7"/>
    <w:rsid w:val="00033BB1"/>
    <w:rsid w:val="000A16EE"/>
    <w:rsid w:val="000B0D90"/>
    <w:rsid w:val="000C038C"/>
    <w:rsid w:val="000C757F"/>
    <w:rsid w:val="000D73F9"/>
    <w:rsid w:val="000E5171"/>
    <w:rsid w:val="000E7F52"/>
    <w:rsid w:val="001315D2"/>
    <w:rsid w:val="00143136"/>
    <w:rsid w:val="00170181"/>
    <w:rsid w:val="0018593C"/>
    <w:rsid w:val="001A4934"/>
    <w:rsid w:val="00206A97"/>
    <w:rsid w:val="00241FB2"/>
    <w:rsid w:val="0024638C"/>
    <w:rsid w:val="00263A8D"/>
    <w:rsid w:val="00295EF4"/>
    <w:rsid w:val="002B3067"/>
    <w:rsid w:val="003071F0"/>
    <w:rsid w:val="00311627"/>
    <w:rsid w:val="003D57A2"/>
    <w:rsid w:val="00415886"/>
    <w:rsid w:val="00424300"/>
    <w:rsid w:val="004321AE"/>
    <w:rsid w:val="00434FDD"/>
    <w:rsid w:val="00435A13"/>
    <w:rsid w:val="004422A4"/>
    <w:rsid w:val="00461F8E"/>
    <w:rsid w:val="00467A6C"/>
    <w:rsid w:val="00494899"/>
    <w:rsid w:val="004965F7"/>
    <w:rsid w:val="004A2505"/>
    <w:rsid w:val="004C2A0A"/>
    <w:rsid w:val="00507F03"/>
    <w:rsid w:val="005679BD"/>
    <w:rsid w:val="005726F7"/>
    <w:rsid w:val="005A4D1B"/>
    <w:rsid w:val="005D7FD2"/>
    <w:rsid w:val="006078C9"/>
    <w:rsid w:val="00632837"/>
    <w:rsid w:val="00661E59"/>
    <w:rsid w:val="0066462E"/>
    <w:rsid w:val="0068447A"/>
    <w:rsid w:val="006A05C4"/>
    <w:rsid w:val="006A51E0"/>
    <w:rsid w:val="006B1CA3"/>
    <w:rsid w:val="006B5BC6"/>
    <w:rsid w:val="0071148D"/>
    <w:rsid w:val="00712929"/>
    <w:rsid w:val="007228A8"/>
    <w:rsid w:val="00760932"/>
    <w:rsid w:val="007627D2"/>
    <w:rsid w:val="007839D2"/>
    <w:rsid w:val="007A0898"/>
    <w:rsid w:val="007A10D7"/>
    <w:rsid w:val="008066E0"/>
    <w:rsid w:val="008366F9"/>
    <w:rsid w:val="00883406"/>
    <w:rsid w:val="008E39FE"/>
    <w:rsid w:val="008F091E"/>
    <w:rsid w:val="008F5668"/>
    <w:rsid w:val="0090297A"/>
    <w:rsid w:val="00931837"/>
    <w:rsid w:val="00942DCA"/>
    <w:rsid w:val="00971682"/>
    <w:rsid w:val="00A00B25"/>
    <w:rsid w:val="00A13475"/>
    <w:rsid w:val="00A2630E"/>
    <w:rsid w:val="00A312EA"/>
    <w:rsid w:val="00A31790"/>
    <w:rsid w:val="00A70BA6"/>
    <w:rsid w:val="00A74A33"/>
    <w:rsid w:val="00A8005F"/>
    <w:rsid w:val="00AA04E4"/>
    <w:rsid w:val="00AA2479"/>
    <w:rsid w:val="00AB7E07"/>
    <w:rsid w:val="00B00B2C"/>
    <w:rsid w:val="00B45DE7"/>
    <w:rsid w:val="00B87F31"/>
    <w:rsid w:val="00B96293"/>
    <w:rsid w:val="00C07F75"/>
    <w:rsid w:val="00C3177F"/>
    <w:rsid w:val="00C52A54"/>
    <w:rsid w:val="00C62B50"/>
    <w:rsid w:val="00C85DAF"/>
    <w:rsid w:val="00C96E97"/>
    <w:rsid w:val="00CB4FCB"/>
    <w:rsid w:val="00CD1825"/>
    <w:rsid w:val="00CD6297"/>
    <w:rsid w:val="00CF7DC1"/>
    <w:rsid w:val="00D60EE8"/>
    <w:rsid w:val="00D71A3A"/>
    <w:rsid w:val="00DA618B"/>
    <w:rsid w:val="00DC0499"/>
    <w:rsid w:val="00E5693D"/>
    <w:rsid w:val="00E71CDD"/>
    <w:rsid w:val="00E72A4D"/>
    <w:rsid w:val="00E94ABC"/>
    <w:rsid w:val="00EA143D"/>
    <w:rsid w:val="00EC5A17"/>
    <w:rsid w:val="00EE4522"/>
    <w:rsid w:val="00F043FE"/>
    <w:rsid w:val="00F21C94"/>
    <w:rsid w:val="00F30206"/>
    <w:rsid w:val="00F60FAF"/>
    <w:rsid w:val="00F815AA"/>
    <w:rsid w:val="00F867D8"/>
    <w:rsid w:val="00F97DB3"/>
    <w:rsid w:val="00FC4D37"/>
    <w:rsid w:val="00FE2677"/>
    <w:rsid w:val="00FE4D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7441EA"/>
  <w15:docId w15:val="{DE685569-6765-492A-B6E5-C3664556E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EE8"/>
    <w:rPr>
      <w:lang w:val="es-ES" w:eastAsia="es-ES_tradn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outlineLvl w:val="2"/>
    </w:pPr>
    <w:rPr>
      <w:b/>
      <w:sz w:val="27"/>
      <w:szCs w:val="27"/>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rPr>
  </w:style>
  <w:style w:type="character" w:customStyle="1" w:styleId="Ttulo3Car">
    <w:name w:val="Título 3 Car"/>
    <w:basedOn w:val="Fuentedeprrafopredeter"/>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Fundamentos"/>
    <w:link w:val="SinespaciadoCar"/>
    <w:uiPriority w:val="1"/>
    <w:qFormat/>
    <w:rsid w:val="00CE2CFE"/>
  </w:style>
  <w:style w:type="character" w:customStyle="1" w:styleId="SinespaciadoCar">
    <w:name w:val="Sin espaciado Car"/>
    <w:aliases w:val="Francesa Car,INAI Car,Fundamentos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a">
    <w:basedOn w:val="TableNormal4"/>
    <w:tblPr>
      <w:tblStyleRowBandSize w:val="1"/>
      <w:tblStyleColBandSize w:val="1"/>
      <w:tblCellMar>
        <w:left w:w="108" w:type="dxa"/>
        <w:right w:w="108"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4"/>
    <w:tblPr>
      <w:tblStyleRowBandSize w:val="1"/>
      <w:tblStyleColBandSize w:val="1"/>
      <w:tblCellMar>
        <w:left w:w="108" w:type="dxa"/>
        <w:right w:w="108" w:type="dxa"/>
      </w:tblCellMar>
    </w:tblPr>
  </w:style>
  <w:style w:type="table" w:customStyle="1" w:styleId="a3">
    <w:basedOn w:val="TableNormal4"/>
    <w:tblPr>
      <w:tblStyleRowBandSize w:val="1"/>
      <w:tblStyleColBandSize w:val="1"/>
      <w:tblCellMar>
        <w:left w:w="108" w:type="dxa"/>
        <w:right w:w="108" w:type="dxa"/>
      </w:tblCellMar>
    </w:tblPr>
  </w:style>
  <w:style w:type="table" w:customStyle="1" w:styleId="a4">
    <w:basedOn w:val="TableNormal4"/>
    <w:tblPr>
      <w:tblStyleRowBandSize w:val="1"/>
      <w:tblStyleColBandSize w:val="1"/>
      <w:tblCellMar>
        <w:left w:w="108" w:type="dxa"/>
        <w:right w:w="108" w:type="dxa"/>
      </w:tblCellMar>
    </w:tblPr>
  </w:style>
  <w:style w:type="table" w:customStyle="1" w:styleId="a5">
    <w:basedOn w:val="TableNormal4"/>
    <w:tblPr>
      <w:tblStyleRowBandSize w:val="1"/>
      <w:tblStyleColBandSize w:val="1"/>
      <w:tblCellMar>
        <w:left w:w="108" w:type="dxa"/>
        <w:right w:w="108" w:type="dxa"/>
      </w:tblCellMar>
    </w:tblPr>
  </w:style>
  <w:style w:type="table" w:customStyle="1" w:styleId="a6">
    <w:basedOn w:val="TableNormal4"/>
    <w:tblPr>
      <w:tblStyleRowBandSize w:val="1"/>
      <w:tblStyleColBandSize w:val="1"/>
      <w:tblCellMar>
        <w:left w:w="108" w:type="dxa"/>
        <w:right w:w="108" w:type="dxa"/>
      </w:tblCellMar>
    </w:tblPr>
  </w:style>
  <w:style w:type="table" w:customStyle="1" w:styleId="a7">
    <w:basedOn w:val="TableNormal4"/>
    <w:tblPr>
      <w:tblStyleRowBandSize w:val="1"/>
      <w:tblStyleColBandSize w:val="1"/>
      <w:tblCellMar>
        <w:left w:w="108" w:type="dxa"/>
        <w:right w:w="108" w:type="dxa"/>
      </w:tblCellMar>
    </w:tblPr>
  </w:style>
  <w:style w:type="table" w:customStyle="1" w:styleId="a8">
    <w:basedOn w:val="TableNormal4"/>
    <w:tblPr>
      <w:tblStyleRowBandSize w:val="1"/>
      <w:tblStyleColBandSize w:val="1"/>
      <w:tblCellMar>
        <w:left w:w="108" w:type="dxa"/>
        <w:right w:w="108" w:type="dxa"/>
      </w:tblCellMar>
    </w:tblPr>
  </w:style>
  <w:style w:type="table" w:customStyle="1" w:styleId="a9">
    <w:basedOn w:val="TableNormal4"/>
    <w:tblPr>
      <w:tblStyleRowBandSize w:val="1"/>
      <w:tblStyleColBandSize w:val="1"/>
      <w:tblCellMar>
        <w:left w:w="115" w:type="dxa"/>
        <w:right w:w="115" w:type="dxa"/>
      </w:tblCellMar>
    </w:tblPr>
  </w:style>
  <w:style w:type="table" w:customStyle="1" w:styleId="aa">
    <w:basedOn w:val="TableNormal4"/>
    <w:tblPr>
      <w:tblStyleRowBandSize w:val="1"/>
      <w:tblStyleColBandSize w:val="1"/>
      <w:tblCellMar>
        <w:left w:w="115" w:type="dxa"/>
        <w:right w:w="115" w:type="dxa"/>
      </w:tblCellMar>
    </w:tblPr>
  </w:style>
  <w:style w:type="table" w:customStyle="1" w:styleId="ab">
    <w:basedOn w:val="TableNormal4"/>
    <w:tblPr>
      <w:tblStyleRowBandSize w:val="1"/>
      <w:tblStyleColBandSize w:val="1"/>
      <w:tblCellMar>
        <w:left w:w="115" w:type="dxa"/>
        <w:right w:w="115" w:type="dxa"/>
      </w:tblCellMar>
    </w:tblPr>
  </w:style>
  <w:style w:type="table" w:customStyle="1" w:styleId="ac">
    <w:basedOn w:val="TableNormal3"/>
    <w:tblPr>
      <w:tblStyleRowBandSize w:val="1"/>
      <w:tblStyleColBandSize w:val="1"/>
      <w:tblCellMar>
        <w:left w:w="115" w:type="dxa"/>
        <w:right w:w="115" w:type="dxa"/>
      </w:tblCellMar>
    </w:tblPr>
  </w:style>
  <w:style w:type="table" w:customStyle="1" w:styleId="ad">
    <w:basedOn w:val="TableNormal3"/>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4"/>
      </w:numPr>
      <w:contextualSpacing/>
    </w:pPr>
    <w:rPr>
      <w:lang w:val="es-MX"/>
    </w:rPr>
  </w:style>
  <w:style w:type="paragraph" w:styleId="Listaconvietas">
    <w:name w:val="List Bullet"/>
    <w:basedOn w:val="Normal"/>
    <w:uiPriority w:val="99"/>
    <w:unhideWhenUsed/>
    <w:rsid w:val="00E6231A"/>
    <w:pPr>
      <w:tabs>
        <w:tab w:val="num" w:pos="720"/>
      </w:tabs>
      <w:ind w:left="720" w:hanging="720"/>
      <w:contextualSpacing/>
    </w:pPr>
    <w:rPr>
      <w:lang w:val="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8063">
      <w:bodyDiv w:val="1"/>
      <w:marLeft w:val="0"/>
      <w:marRight w:val="0"/>
      <w:marTop w:val="0"/>
      <w:marBottom w:val="0"/>
      <w:divBdr>
        <w:top w:val="none" w:sz="0" w:space="0" w:color="auto"/>
        <w:left w:val="none" w:sz="0" w:space="0" w:color="auto"/>
        <w:bottom w:val="none" w:sz="0" w:space="0" w:color="auto"/>
        <w:right w:val="none" w:sz="0" w:space="0" w:color="auto"/>
      </w:divBdr>
    </w:div>
    <w:div w:id="76102107">
      <w:bodyDiv w:val="1"/>
      <w:marLeft w:val="0"/>
      <w:marRight w:val="0"/>
      <w:marTop w:val="0"/>
      <w:marBottom w:val="0"/>
      <w:divBdr>
        <w:top w:val="none" w:sz="0" w:space="0" w:color="auto"/>
        <w:left w:val="none" w:sz="0" w:space="0" w:color="auto"/>
        <w:bottom w:val="none" w:sz="0" w:space="0" w:color="auto"/>
        <w:right w:val="none" w:sz="0" w:space="0" w:color="auto"/>
      </w:divBdr>
    </w:div>
    <w:div w:id="83844331">
      <w:bodyDiv w:val="1"/>
      <w:marLeft w:val="0"/>
      <w:marRight w:val="0"/>
      <w:marTop w:val="0"/>
      <w:marBottom w:val="0"/>
      <w:divBdr>
        <w:top w:val="none" w:sz="0" w:space="0" w:color="auto"/>
        <w:left w:val="none" w:sz="0" w:space="0" w:color="auto"/>
        <w:bottom w:val="none" w:sz="0" w:space="0" w:color="auto"/>
        <w:right w:val="none" w:sz="0" w:space="0" w:color="auto"/>
      </w:divBdr>
    </w:div>
    <w:div w:id="174459290">
      <w:bodyDiv w:val="1"/>
      <w:marLeft w:val="0"/>
      <w:marRight w:val="0"/>
      <w:marTop w:val="0"/>
      <w:marBottom w:val="0"/>
      <w:divBdr>
        <w:top w:val="none" w:sz="0" w:space="0" w:color="auto"/>
        <w:left w:val="none" w:sz="0" w:space="0" w:color="auto"/>
        <w:bottom w:val="none" w:sz="0" w:space="0" w:color="auto"/>
        <w:right w:val="none" w:sz="0" w:space="0" w:color="auto"/>
      </w:divBdr>
    </w:div>
    <w:div w:id="423570617">
      <w:bodyDiv w:val="1"/>
      <w:marLeft w:val="0"/>
      <w:marRight w:val="0"/>
      <w:marTop w:val="0"/>
      <w:marBottom w:val="0"/>
      <w:divBdr>
        <w:top w:val="none" w:sz="0" w:space="0" w:color="auto"/>
        <w:left w:val="none" w:sz="0" w:space="0" w:color="auto"/>
        <w:bottom w:val="none" w:sz="0" w:space="0" w:color="auto"/>
        <w:right w:val="none" w:sz="0" w:space="0" w:color="auto"/>
      </w:divBdr>
    </w:div>
    <w:div w:id="493380859">
      <w:bodyDiv w:val="1"/>
      <w:marLeft w:val="0"/>
      <w:marRight w:val="0"/>
      <w:marTop w:val="0"/>
      <w:marBottom w:val="0"/>
      <w:divBdr>
        <w:top w:val="none" w:sz="0" w:space="0" w:color="auto"/>
        <w:left w:val="none" w:sz="0" w:space="0" w:color="auto"/>
        <w:bottom w:val="none" w:sz="0" w:space="0" w:color="auto"/>
        <w:right w:val="none" w:sz="0" w:space="0" w:color="auto"/>
      </w:divBdr>
    </w:div>
    <w:div w:id="921254318">
      <w:bodyDiv w:val="1"/>
      <w:marLeft w:val="0"/>
      <w:marRight w:val="0"/>
      <w:marTop w:val="0"/>
      <w:marBottom w:val="0"/>
      <w:divBdr>
        <w:top w:val="none" w:sz="0" w:space="0" w:color="auto"/>
        <w:left w:val="none" w:sz="0" w:space="0" w:color="auto"/>
        <w:bottom w:val="none" w:sz="0" w:space="0" w:color="auto"/>
        <w:right w:val="none" w:sz="0" w:space="0" w:color="auto"/>
      </w:divBdr>
    </w:div>
    <w:div w:id="1017921718">
      <w:bodyDiv w:val="1"/>
      <w:marLeft w:val="0"/>
      <w:marRight w:val="0"/>
      <w:marTop w:val="0"/>
      <w:marBottom w:val="0"/>
      <w:divBdr>
        <w:top w:val="none" w:sz="0" w:space="0" w:color="auto"/>
        <w:left w:val="none" w:sz="0" w:space="0" w:color="auto"/>
        <w:bottom w:val="none" w:sz="0" w:space="0" w:color="auto"/>
        <w:right w:val="none" w:sz="0" w:space="0" w:color="auto"/>
      </w:divBdr>
    </w:div>
    <w:div w:id="1074203602">
      <w:bodyDiv w:val="1"/>
      <w:marLeft w:val="0"/>
      <w:marRight w:val="0"/>
      <w:marTop w:val="0"/>
      <w:marBottom w:val="0"/>
      <w:divBdr>
        <w:top w:val="none" w:sz="0" w:space="0" w:color="auto"/>
        <w:left w:val="none" w:sz="0" w:space="0" w:color="auto"/>
        <w:bottom w:val="none" w:sz="0" w:space="0" w:color="auto"/>
        <w:right w:val="none" w:sz="0" w:space="0" w:color="auto"/>
      </w:divBdr>
    </w:div>
    <w:div w:id="1174757309">
      <w:bodyDiv w:val="1"/>
      <w:marLeft w:val="0"/>
      <w:marRight w:val="0"/>
      <w:marTop w:val="0"/>
      <w:marBottom w:val="0"/>
      <w:divBdr>
        <w:top w:val="none" w:sz="0" w:space="0" w:color="auto"/>
        <w:left w:val="none" w:sz="0" w:space="0" w:color="auto"/>
        <w:bottom w:val="none" w:sz="0" w:space="0" w:color="auto"/>
        <w:right w:val="none" w:sz="0" w:space="0" w:color="auto"/>
      </w:divBdr>
    </w:div>
    <w:div w:id="1318074971">
      <w:bodyDiv w:val="1"/>
      <w:marLeft w:val="0"/>
      <w:marRight w:val="0"/>
      <w:marTop w:val="0"/>
      <w:marBottom w:val="0"/>
      <w:divBdr>
        <w:top w:val="none" w:sz="0" w:space="0" w:color="auto"/>
        <w:left w:val="none" w:sz="0" w:space="0" w:color="auto"/>
        <w:bottom w:val="none" w:sz="0" w:space="0" w:color="auto"/>
        <w:right w:val="none" w:sz="0" w:space="0" w:color="auto"/>
      </w:divBdr>
    </w:div>
    <w:div w:id="1330673504">
      <w:bodyDiv w:val="1"/>
      <w:marLeft w:val="0"/>
      <w:marRight w:val="0"/>
      <w:marTop w:val="0"/>
      <w:marBottom w:val="0"/>
      <w:divBdr>
        <w:top w:val="none" w:sz="0" w:space="0" w:color="auto"/>
        <w:left w:val="none" w:sz="0" w:space="0" w:color="auto"/>
        <w:bottom w:val="none" w:sz="0" w:space="0" w:color="auto"/>
        <w:right w:val="none" w:sz="0" w:space="0" w:color="auto"/>
      </w:divBdr>
    </w:div>
    <w:div w:id="1336541485">
      <w:bodyDiv w:val="1"/>
      <w:marLeft w:val="0"/>
      <w:marRight w:val="0"/>
      <w:marTop w:val="0"/>
      <w:marBottom w:val="0"/>
      <w:divBdr>
        <w:top w:val="none" w:sz="0" w:space="0" w:color="auto"/>
        <w:left w:val="none" w:sz="0" w:space="0" w:color="auto"/>
        <w:bottom w:val="none" w:sz="0" w:space="0" w:color="auto"/>
        <w:right w:val="none" w:sz="0" w:space="0" w:color="auto"/>
      </w:divBdr>
    </w:div>
    <w:div w:id="1390492472">
      <w:bodyDiv w:val="1"/>
      <w:marLeft w:val="0"/>
      <w:marRight w:val="0"/>
      <w:marTop w:val="0"/>
      <w:marBottom w:val="0"/>
      <w:divBdr>
        <w:top w:val="none" w:sz="0" w:space="0" w:color="auto"/>
        <w:left w:val="none" w:sz="0" w:space="0" w:color="auto"/>
        <w:bottom w:val="none" w:sz="0" w:space="0" w:color="auto"/>
        <w:right w:val="none" w:sz="0" w:space="0" w:color="auto"/>
      </w:divBdr>
    </w:div>
    <w:div w:id="1442261829">
      <w:bodyDiv w:val="1"/>
      <w:marLeft w:val="0"/>
      <w:marRight w:val="0"/>
      <w:marTop w:val="0"/>
      <w:marBottom w:val="0"/>
      <w:divBdr>
        <w:top w:val="none" w:sz="0" w:space="0" w:color="auto"/>
        <w:left w:val="none" w:sz="0" w:space="0" w:color="auto"/>
        <w:bottom w:val="none" w:sz="0" w:space="0" w:color="auto"/>
        <w:right w:val="none" w:sz="0" w:space="0" w:color="auto"/>
      </w:divBdr>
    </w:div>
    <w:div w:id="1620602446">
      <w:bodyDiv w:val="1"/>
      <w:marLeft w:val="0"/>
      <w:marRight w:val="0"/>
      <w:marTop w:val="0"/>
      <w:marBottom w:val="0"/>
      <w:divBdr>
        <w:top w:val="none" w:sz="0" w:space="0" w:color="auto"/>
        <w:left w:val="none" w:sz="0" w:space="0" w:color="auto"/>
        <w:bottom w:val="none" w:sz="0" w:space="0" w:color="auto"/>
        <w:right w:val="none" w:sz="0" w:space="0" w:color="auto"/>
      </w:divBdr>
    </w:div>
    <w:div w:id="1746948739">
      <w:bodyDiv w:val="1"/>
      <w:marLeft w:val="0"/>
      <w:marRight w:val="0"/>
      <w:marTop w:val="0"/>
      <w:marBottom w:val="0"/>
      <w:divBdr>
        <w:top w:val="none" w:sz="0" w:space="0" w:color="auto"/>
        <w:left w:val="none" w:sz="0" w:space="0" w:color="auto"/>
        <w:bottom w:val="none" w:sz="0" w:space="0" w:color="auto"/>
        <w:right w:val="none" w:sz="0" w:space="0" w:color="auto"/>
      </w:divBdr>
    </w:div>
    <w:div w:id="20350337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fI36E9hbwXce8N43KqBCAwGS+Q==">CgMxLjAyCWguM3pueXNoNzIIaC5namRneHMyCWguMzBqMHpsbDIOaC50bThlbG5uNm5lNnMyDmgubjhwYW4xeDZsMHNjMg5oLnh0aDB3N3dpZXFhbDgAciExS0hMNEhJYXd4ZXZPTHZ4WElmX1BCZDVnc1BxWG9oUnM=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F0FC0CA-0F97-4808-9816-23BE6E19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6034</Words>
  <Characters>33192</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Maricela Villagómez Martínez</cp:lastModifiedBy>
  <cp:revision>2</cp:revision>
  <cp:lastPrinted>2025-09-19T17:47:00Z</cp:lastPrinted>
  <dcterms:created xsi:type="dcterms:W3CDTF">2025-10-06T20:19:00Z</dcterms:created>
  <dcterms:modified xsi:type="dcterms:W3CDTF">2025-10-06T20:19:00Z</dcterms:modified>
</cp:coreProperties>
</file>