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30352E81" w:rsidR="008D2539" w:rsidRPr="00FB5737"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FB573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FB5737">
        <w:rPr>
          <w:rFonts w:ascii="Palatino Linotype" w:eastAsia="Palatino Linotype" w:hAnsi="Palatino Linotype" w:cs="Palatino Linotype"/>
          <w:b/>
          <w:sz w:val="22"/>
          <w:szCs w:val="22"/>
        </w:rPr>
        <w:t>a</w:t>
      </w:r>
      <w:r w:rsidR="00A3044A" w:rsidRPr="00FB5737">
        <w:rPr>
          <w:rFonts w:ascii="Palatino Linotype" w:eastAsia="Palatino Linotype" w:hAnsi="Palatino Linotype" w:cs="Palatino Linotype"/>
          <w:b/>
          <w:sz w:val="22"/>
          <w:szCs w:val="22"/>
        </w:rPr>
        <w:t xml:space="preserve"> doce de noviembre </w:t>
      </w:r>
      <w:r w:rsidRPr="00FB5737">
        <w:rPr>
          <w:rFonts w:ascii="Palatino Linotype" w:eastAsia="Palatino Linotype" w:hAnsi="Palatino Linotype" w:cs="Palatino Linotype"/>
          <w:b/>
          <w:sz w:val="22"/>
          <w:szCs w:val="22"/>
        </w:rPr>
        <w:t>de dos mil veinticinco</w:t>
      </w:r>
      <w:r w:rsidRPr="00FB5737">
        <w:rPr>
          <w:rFonts w:ascii="Palatino Linotype" w:eastAsia="Palatino Linotype" w:hAnsi="Palatino Linotype" w:cs="Palatino Linotype"/>
          <w:sz w:val="22"/>
          <w:szCs w:val="22"/>
        </w:rPr>
        <w:t xml:space="preserve">. </w:t>
      </w:r>
    </w:p>
    <w:p w14:paraId="23131C29"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FB5737">
        <w:rPr>
          <w:rFonts w:ascii="Palatino Linotype" w:eastAsia="Palatino Linotype" w:hAnsi="Palatino Linotype" w:cs="Palatino Linotype"/>
          <w:b/>
          <w:sz w:val="22"/>
          <w:szCs w:val="22"/>
        </w:rPr>
        <w:t>Visto</w:t>
      </w:r>
      <w:r w:rsidRPr="00FB5737">
        <w:rPr>
          <w:rFonts w:ascii="Palatino Linotype" w:eastAsia="Palatino Linotype" w:hAnsi="Palatino Linotype" w:cs="Palatino Linotype"/>
          <w:sz w:val="22"/>
          <w:szCs w:val="22"/>
        </w:rPr>
        <w:t xml:space="preserve"> el expediente formado con motivo del recurso de revisión </w:t>
      </w:r>
      <w:r w:rsidRPr="00FB5737">
        <w:rPr>
          <w:rFonts w:ascii="Palatino Linotype" w:eastAsia="Palatino Linotype" w:hAnsi="Palatino Linotype" w:cs="Palatino Linotype"/>
          <w:b/>
          <w:sz w:val="22"/>
          <w:szCs w:val="22"/>
        </w:rPr>
        <w:t>10634/INFOEM/IP/RR/2025</w:t>
      </w:r>
      <w:r w:rsidRPr="00FB5737">
        <w:rPr>
          <w:rFonts w:ascii="Palatino Linotype" w:eastAsia="Palatino Linotype" w:hAnsi="Palatino Linotype" w:cs="Palatino Linotype"/>
          <w:sz w:val="22"/>
          <w:szCs w:val="22"/>
        </w:rPr>
        <w:t>, interpuesto por</w:t>
      </w:r>
      <w:r w:rsidRPr="00FB5737">
        <w:t xml:space="preserve"> </w:t>
      </w:r>
      <w:r w:rsidRPr="00FB5737">
        <w:rPr>
          <w:rFonts w:ascii="Palatino Linotype" w:eastAsia="Palatino Linotype" w:hAnsi="Palatino Linotype" w:cs="Palatino Linotype"/>
          <w:b/>
          <w:sz w:val="22"/>
          <w:szCs w:val="22"/>
        </w:rPr>
        <w:t>una persona usuaria del Sistema de Acceso a la Información Mexiquense que no proporcionó nombre,</w:t>
      </w:r>
      <w:r w:rsidRPr="00FB5737">
        <w:rPr>
          <w:rFonts w:ascii="Palatino Linotype" w:eastAsia="Palatino Linotype" w:hAnsi="Palatino Linotype" w:cs="Palatino Linotype"/>
          <w:sz w:val="22"/>
          <w:szCs w:val="22"/>
        </w:rPr>
        <w:t xml:space="preserve"> en lo sucesivo</w:t>
      </w:r>
      <w:r w:rsidRPr="00FB5737">
        <w:rPr>
          <w:rFonts w:ascii="Palatino Linotype" w:eastAsia="Palatino Linotype" w:hAnsi="Palatino Linotype" w:cs="Palatino Linotype"/>
          <w:b/>
          <w:sz w:val="22"/>
          <w:szCs w:val="22"/>
        </w:rPr>
        <w:t xml:space="preserve"> la parte</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Recurrente,</w:t>
      </w:r>
      <w:r w:rsidRPr="00FB5737">
        <w:rPr>
          <w:rFonts w:ascii="Palatino Linotype" w:eastAsia="Palatino Linotype" w:hAnsi="Palatino Linotype" w:cs="Palatino Linotype"/>
          <w:sz w:val="22"/>
          <w:szCs w:val="22"/>
        </w:rPr>
        <w:t xml:space="preserve"> en contra de la respuesta a su solicitud por parte del </w:t>
      </w:r>
      <w:r w:rsidRPr="00FB5737">
        <w:rPr>
          <w:rFonts w:ascii="Palatino Linotype" w:eastAsia="Palatino Linotype" w:hAnsi="Palatino Linotype" w:cs="Palatino Linotype"/>
          <w:b/>
          <w:sz w:val="22"/>
          <w:szCs w:val="22"/>
        </w:rPr>
        <w:t xml:space="preserve">Ayuntamiento de Toluca, </w:t>
      </w:r>
      <w:r w:rsidRPr="00FB5737">
        <w:rPr>
          <w:rFonts w:ascii="Palatino Linotype" w:eastAsia="Palatino Linotype" w:hAnsi="Palatino Linotype" w:cs="Palatino Linotype"/>
          <w:sz w:val="22"/>
          <w:szCs w:val="22"/>
        </w:rPr>
        <w:t xml:space="preserve">en lo sucesivo 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FB5737" w:rsidRDefault="0064634F">
      <w:pPr>
        <w:spacing w:before="240" w:after="240" w:line="360" w:lineRule="auto"/>
        <w:jc w:val="center"/>
        <w:rPr>
          <w:rFonts w:ascii="Palatino Linotype" w:eastAsia="Palatino Linotype" w:hAnsi="Palatino Linotype" w:cs="Palatino Linotype"/>
          <w:b/>
          <w:sz w:val="22"/>
          <w:szCs w:val="22"/>
        </w:rPr>
      </w:pPr>
      <w:r w:rsidRPr="00FB5737">
        <w:rPr>
          <w:rFonts w:ascii="Palatino Linotype" w:eastAsia="Palatino Linotype" w:hAnsi="Palatino Linotype" w:cs="Palatino Linotype"/>
          <w:b/>
          <w:sz w:val="22"/>
          <w:szCs w:val="22"/>
        </w:rPr>
        <w:t>I. A N T E C E D E N T E S</w:t>
      </w:r>
    </w:p>
    <w:p w14:paraId="47F55392"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1. Solicitud de acceso a la información.</w:t>
      </w:r>
      <w:r w:rsidRPr="00FB5737">
        <w:rPr>
          <w:rFonts w:ascii="Palatino Linotype" w:eastAsia="Palatino Linotype" w:hAnsi="Palatino Linotype" w:cs="Palatino Linotype"/>
          <w:sz w:val="22"/>
          <w:szCs w:val="22"/>
        </w:rPr>
        <w:t xml:space="preserve"> El </w:t>
      </w:r>
      <w:r w:rsidRPr="00FB5737">
        <w:rPr>
          <w:rFonts w:ascii="Palatino Linotype" w:eastAsia="Palatino Linotype" w:hAnsi="Palatino Linotype" w:cs="Palatino Linotype"/>
          <w:b/>
          <w:sz w:val="22"/>
          <w:szCs w:val="22"/>
        </w:rPr>
        <w:t>veinte de agosto de dos mil veinticinco,</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la parte</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 xml:space="preserve">Recurrente </w:t>
      </w:r>
      <w:r w:rsidRPr="00FB5737">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la solicitud de acceso a la información pública a la que se le asignó el número</w:t>
      </w:r>
      <w:r w:rsidRPr="00FB5737">
        <w:t xml:space="preserve"> </w:t>
      </w:r>
      <w:r w:rsidRPr="00FB5737">
        <w:rPr>
          <w:rFonts w:ascii="Palatino Linotype" w:eastAsia="Palatino Linotype" w:hAnsi="Palatino Linotype" w:cs="Palatino Linotype"/>
          <w:b/>
          <w:sz w:val="22"/>
          <w:szCs w:val="22"/>
        </w:rPr>
        <w:t>04288/TOLUCA/IP/2025;</w:t>
      </w:r>
      <w:r w:rsidRPr="00FB5737">
        <w:rPr>
          <w:rFonts w:ascii="Palatino Linotype" w:eastAsia="Palatino Linotype" w:hAnsi="Palatino Linotype" w:cs="Palatino Linotype"/>
          <w:sz w:val="22"/>
          <w:szCs w:val="22"/>
        </w:rPr>
        <w:t xml:space="preserve"> mediante la cual requirió la información siguiente: </w:t>
      </w:r>
    </w:p>
    <w:p w14:paraId="2993DC1C" w14:textId="77777777" w:rsidR="008D2539" w:rsidRPr="00FB5737" w:rsidRDefault="0064634F">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FB5737">
        <w:rPr>
          <w:rFonts w:ascii="Palatino Linotype" w:eastAsia="Palatino Linotype" w:hAnsi="Palatino Linotype" w:cs="Palatino Linotype"/>
          <w:i/>
          <w:sz w:val="22"/>
          <w:szCs w:val="22"/>
        </w:rPr>
        <w:t xml:space="preserve">“Quiero el CV en versión pública del Presidente Municipal Ricardo Moreno Bastida y saber quién es más inteligente, si el Presidente municipal o los baches inteligentes.” (Sic) </w:t>
      </w:r>
    </w:p>
    <w:p w14:paraId="286FF05F" w14:textId="77777777" w:rsidR="008D2539" w:rsidRPr="00FB5737" w:rsidRDefault="0064634F">
      <w:pPr>
        <w:spacing w:before="240" w:after="240"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Modalidad de Entrega:</w:t>
      </w:r>
      <w:r w:rsidRPr="00FB5737">
        <w:rPr>
          <w:rFonts w:ascii="Palatino Linotype" w:eastAsia="Palatino Linotype" w:hAnsi="Palatino Linotype" w:cs="Palatino Linotype"/>
          <w:sz w:val="22"/>
          <w:szCs w:val="22"/>
        </w:rPr>
        <w:t xml:space="preserve"> a través del Sistema de Acceso a la Información Mexiquense (SAIMEX).</w:t>
      </w:r>
    </w:p>
    <w:p w14:paraId="696529F3" w14:textId="77777777" w:rsidR="008D2539" w:rsidRPr="00FB5737" w:rsidRDefault="0064634F">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4" w:name="_heading=h.3dy6vkm" w:colFirst="0" w:colLast="0"/>
      <w:bookmarkEnd w:id="4"/>
      <w:r w:rsidRPr="00FB5737">
        <w:rPr>
          <w:rFonts w:ascii="Palatino Linotype" w:eastAsia="Palatino Linotype" w:hAnsi="Palatino Linotype" w:cs="Palatino Linotype"/>
          <w:b/>
          <w:sz w:val="22"/>
          <w:szCs w:val="22"/>
        </w:rPr>
        <w:t>2.</w:t>
      </w:r>
      <w:r w:rsidRPr="00FB5737">
        <w:t xml:space="preserve"> </w:t>
      </w:r>
      <w:r w:rsidRPr="00FB5737">
        <w:rPr>
          <w:rFonts w:ascii="Palatino Linotype" w:eastAsia="Palatino Linotype" w:hAnsi="Palatino Linotype" w:cs="Palatino Linotype"/>
          <w:b/>
          <w:sz w:val="22"/>
          <w:szCs w:val="22"/>
        </w:rPr>
        <w:t xml:space="preserve">Respuesta. </w:t>
      </w:r>
      <w:r w:rsidRPr="00FB5737">
        <w:rPr>
          <w:rFonts w:ascii="Palatino Linotype" w:eastAsia="Palatino Linotype" w:hAnsi="Palatino Linotype" w:cs="Palatino Linotype"/>
          <w:sz w:val="22"/>
          <w:szCs w:val="22"/>
        </w:rPr>
        <w:t xml:space="preserve">El </w:t>
      </w:r>
      <w:r w:rsidRPr="00FB5737">
        <w:rPr>
          <w:rFonts w:ascii="Palatino Linotype" w:eastAsia="Palatino Linotype" w:hAnsi="Palatino Linotype" w:cs="Palatino Linotype"/>
          <w:b/>
          <w:sz w:val="22"/>
          <w:szCs w:val="22"/>
        </w:rPr>
        <w:t>nueve de septiembre de dos mil veinticinco</w:t>
      </w:r>
      <w:r w:rsidRPr="00FB5737">
        <w:rPr>
          <w:rFonts w:ascii="Palatino Linotype" w:eastAsia="Palatino Linotype" w:hAnsi="Palatino Linotype" w:cs="Palatino Linotype"/>
          <w:sz w:val="22"/>
          <w:szCs w:val="22"/>
        </w:rPr>
        <w:t xml:space="preserve">, 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77777777" w:rsidR="008D2539" w:rsidRPr="00FB5737" w:rsidRDefault="0064634F">
      <w:pPr>
        <w:spacing w:before="240" w:after="240"/>
        <w:ind w:left="567"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lastRenderedPageBreak/>
        <w:t>“En atención a la solicitud con folio 04288/TOLUCA/IP/2025, me permito adjuntar al presente la respuesta correspondiente, Sin más por el momento, reciba un saludo.” (Sic)</w:t>
      </w:r>
    </w:p>
    <w:p w14:paraId="583076FA" w14:textId="77777777" w:rsidR="008D2539" w:rsidRPr="00FB5737"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Adjunto a la respuesta, 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hizo entrega de la siguiente información:</w:t>
      </w:r>
    </w:p>
    <w:p w14:paraId="56512E82" w14:textId="77777777" w:rsidR="008D2539" w:rsidRPr="00FB5737"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3721B54" w14:textId="77777777" w:rsidR="008D2539" w:rsidRPr="00FB5737" w:rsidRDefault="0064634F">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Oficio de 21 de agosto de 2025, por medio del cual el Titular de la Unidad Transparencia señaló que con relación al requerimiento relativo a “…</w:t>
      </w:r>
      <w:r w:rsidRPr="00FB5737">
        <w:rPr>
          <w:rFonts w:ascii="Palatino Linotype" w:eastAsia="Palatino Linotype" w:hAnsi="Palatino Linotype" w:cs="Palatino Linotype"/>
          <w:i/>
          <w:sz w:val="22"/>
          <w:szCs w:val="22"/>
        </w:rPr>
        <w:t>y saber quién es más inteligente, si el Presidente municipal o los baches inteligentes</w:t>
      </w:r>
      <w:r w:rsidRPr="00FB5737">
        <w:rPr>
          <w:rFonts w:ascii="Palatino Linotype" w:eastAsia="Palatino Linotype" w:hAnsi="Palatino Linotype" w:cs="Palatino Linotype"/>
          <w:sz w:val="22"/>
          <w:szCs w:val="22"/>
        </w:rPr>
        <w:t>…” constituye un derecho de petición, aunado a que dichas manifestaciones difaman el honor de las personas servidoras públicas.</w:t>
      </w:r>
    </w:p>
    <w:p w14:paraId="4B8F20C9" w14:textId="77777777" w:rsidR="008D2539" w:rsidRPr="00FB5737"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CE98C7F" w14:textId="77777777" w:rsidR="008D2539" w:rsidRPr="00FB5737" w:rsidRDefault="0064634F">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Oficio del 02 de septiembre de 2025, mediante el cual la Titular de la Dirección de Administración remitió la respuesta de la Dirección de Recursos Humanos.</w:t>
      </w:r>
    </w:p>
    <w:p w14:paraId="36BFB6EF" w14:textId="77777777" w:rsidR="008D2539" w:rsidRPr="00FB5737" w:rsidRDefault="008D2539">
      <w:pPr>
        <w:pBdr>
          <w:top w:val="nil"/>
          <w:left w:val="nil"/>
          <w:bottom w:val="nil"/>
          <w:right w:val="nil"/>
          <w:between w:val="nil"/>
        </w:pBdr>
        <w:ind w:left="720"/>
        <w:rPr>
          <w:rFonts w:ascii="Palatino Linotype" w:eastAsia="Palatino Linotype" w:hAnsi="Palatino Linotype" w:cs="Palatino Linotype"/>
          <w:sz w:val="22"/>
          <w:szCs w:val="22"/>
        </w:rPr>
      </w:pPr>
    </w:p>
    <w:p w14:paraId="73D9BDA5" w14:textId="77777777" w:rsidR="008D2539" w:rsidRPr="00FB5737" w:rsidRDefault="0064634F">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Oficio del 02 de septiembre de 2025, mediante el cual la Directora de Recursos Humanos dependiente de la Dirección de Administración remitió un link de ipomex en formato cerrado donde se podría consultar la información curricular del Presidente Municipal, a saber:</w:t>
      </w:r>
    </w:p>
    <w:p w14:paraId="034D6672" w14:textId="77777777" w:rsidR="008D2539" w:rsidRPr="00FB5737" w:rsidRDefault="008D2539">
      <w:pPr>
        <w:pBdr>
          <w:top w:val="nil"/>
          <w:left w:val="nil"/>
          <w:bottom w:val="nil"/>
          <w:right w:val="nil"/>
          <w:between w:val="nil"/>
        </w:pBdr>
        <w:ind w:left="720"/>
        <w:rPr>
          <w:rFonts w:ascii="Palatino Linotype" w:eastAsia="Palatino Linotype" w:hAnsi="Palatino Linotype" w:cs="Palatino Linotype"/>
          <w:sz w:val="22"/>
          <w:szCs w:val="22"/>
        </w:rPr>
      </w:pPr>
    </w:p>
    <w:p w14:paraId="4B5FCE7F" w14:textId="77777777" w:rsidR="008D2539" w:rsidRPr="00FB5737" w:rsidRDefault="0064634F">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noProof/>
          <w:sz w:val="22"/>
          <w:szCs w:val="22"/>
        </w:rPr>
        <w:drawing>
          <wp:inline distT="0" distB="0" distL="0" distR="0" wp14:anchorId="48AB6AB6" wp14:editId="7329B223">
            <wp:extent cx="5286375" cy="35179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286375" cy="351790"/>
                    </a:xfrm>
                    <a:prstGeom prst="rect">
                      <a:avLst/>
                    </a:prstGeom>
                    <a:ln/>
                  </pic:spPr>
                </pic:pic>
              </a:graphicData>
            </a:graphic>
          </wp:inline>
        </w:drawing>
      </w:r>
    </w:p>
    <w:p w14:paraId="3581C8FD" w14:textId="77777777" w:rsidR="008D2539" w:rsidRPr="00FB5737"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77777777" w:rsidR="008D2539" w:rsidRPr="00FB5737"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b/>
          <w:sz w:val="22"/>
          <w:szCs w:val="22"/>
        </w:rPr>
        <w:t xml:space="preserve">3. Interposición del recurso de revisión. </w:t>
      </w:r>
      <w:r w:rsidRPr="00FB5737">
        <w:rPr>
          <w:rFonts w:ascii="Palatino Linotype" w:eastAsia="Palatino Linotype" w:hAnsi="Palatino Linotype" w:cs="Palatino Linotype"/>
          <w:sz w:val="22"/>
          <w:szCs w:val="22"/>
        </w:rPr>
        <w:t xml:space="preserve">Inconforme con los términos de la respuesta emitida por parte del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el</w:t>
      </w:r>
      <w:r w:rsidRPr="00FB5737">
        <w:rPr>
          <w:rFonts w:ascii="Palatino Linotype" w:eastAsia="Palatino Linotype" w:hAnsi="Palatino Linotype" w:cs="Palatino Linotype"/>
          <w:b/>
          <w:sz w:val="22"/>
          <w:szCs w:val="22"/>
        </w:rPr>
        <w:t xml:space="preserve"> nueve de septiembre de dos mil veinticinco,</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la parte</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Recurrente</w:t>
      </w:r>
      <w:r w:rsidRPr="00FB5737">
        <w:rPr>
          <w:rFonts w:ascii="Palatino Linotype" w:eastAsia="Palatino Linotype" w:hAnsi="Palatino Linotype" w:cs="Palatino Linotype"/>
          <w:sz w:val="22"/>
          <w:szCs w:val="22"/>
        </w:rPr>
        <w:t xml:space="preserve"> interpuso el recurso de revisión a través de </w:t>
      </w:r>
      <w:r w:rsidRPr="00FB5737">
        <w:rPr>
          <w:rFonts w:ascii="Palatino Linotype" w:eastAsia="Palatino Linotype" w:hAnsi="Palatino Linotype" w:cs="Palatino Linotype"/>
          <w:b/>
          <w:sz w:val="22"/>
          <w:szCs w:val="22"/>
        </w:rPr>
        <w:t xml:space="preserve">SAIMEX; </w:t>
      </w:r>
      <w:r w:rsidRPr="00FB5737">
        <w:rPr>
          <w:rFonts w:ascii="Palatino Linotype" w:eastAsia="Palatino Linotype" w:hAnsi="Palatino Linotype" w:cs="Palatino Linotype"/>
          <w:sz w:val="22"/>
          <w:szCs w:val="22"/>
        </w:rPr>
        <w:t>en donde se manifestó de la siguiente manera:</w:t>
      </w:r>
    </w:p>
    <w:p w14:paraId="0EE9EFA5" w14:textId="77777777" w:rsidR="008D2539" w:rsidRPr="00FB5737"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b/>
          <w:sz w:val="22"/>
          <w:szCs w:val="22"/>
        </w:rPr>
        <w:t xml:space="preserve">a) Acto impugnado: </w:t>
      </w:r>
      <w:r w:rsidRPr="00FB5737">
        <w:rPr>
          <w:rFonts w:ascii="Palatino Linotype" w:eastAsia="Palatino Linotype" w:hAnsi="Palatino Linotype" w:cs="Palatino Linotype"/>
          <w:i/>
          <w:sz w:val="22"/>
          <w:szCs w:val="22"/>
        </w:rPr>
        <w:t>“La liga que mencionan que tiene la información no está actualizada, deberían hacer una verificación de sus portales ya que no los tienen actualizados” (Sic)</w:t>
      </w:r>
    </w:p>
    <w:p w14:paraId="3F9B3DF2" w14:textId="0345DD37" w:rsidR="008D2539" w:rsidRPr="00FB5737"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FB5737">
        <w:rPr>
          <w:rFonts w:ascii="Palatino Linotype" w:eastAsia="Palatino Linotype" w:hAnsi="Palatino Linotype" w:cs="Palatino Linotype"/>
          <w:b/>
          <w:sz w:val="22"/>
          <w:szCs w:val="22"/>
        </w:rPr>
        <w:lastRenderedPageBreak/>
        <w:t>b) Razones o motivos de inconformidad</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i/>
          <w:sz w:val="22"/>
          <w:szCs w:val="22"/>
        </w:rPr>
        <w:t>“La liga que mencionan que tiene la información no está actualizada, deberían hacer una verificación de sus portales ya que no los tienen actualizados” (Sic)</w:t>
      </w:r>
    </w:p>
    <w:p w14:paraId="2A442BFF" w14:textId="1458A524" w:rsidR="00A3044A" w:rsidRPr="00FB5737" w:rsidRDefault="00A3044A">
      <w:pPr>
        <w:spacing w:line="276" w:lineRule="auto"/>
        <w:ind w:left="567" w:right="900"/>
        <w:jc w:val="both"/>
        <w:rPr>
          <w:rFonts w:ascii="Palatino Linotype" w:eastAsia="Palatino Linotype" w:hAnsi="Palatino Linotype" w:cs="Palatino Linotype"/>
          <w:i/>
          <w:sz w:val="22"/>
          <w:szCs w:val="22"/>
        </w:rPr>
      </w:pPr>
    </w:p>
    <w:p w14:paraId="27C415D8" w14:textId="03BCCBAB" w:rsidR="00A3044A" w:rsidRPr="00FB5737" w:rsidRDefault="0035506E" w:rsidP="0035506E">
      <w:pPr>
        <w:spacing w:line="276" w:lineRule="auto"/>
        <w:ind w:left="567" w:right="90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A lo anterior, es de indicar que el </w:t>
      </w:r>
      <w:r w:rsidR="00A3044A" w:rsidRPr="00FB5737">
        <w:rPr>
          <w:rFonts w:ascii="Palatino Linotype" w:eastAsia="Palatino Linotype" w:hAnsi="Palatino Linotype" w:cs="Palatino Linotype"/>
          <w:sz w:val="22"/>
          <w:szCs w:val="22"/>
        </w:rPr>
        <w:t xml:space="preserve">particular adjuntó un archivo, </w:t>
      </w:r>
      <w:r w:rsidRPr="00FB5737">
        <w:rPr>
          <w:rFonts w:ascii="Palatino Linotype" w:eastAsia="Palatino Linotype" w:hAnsi="Palatino Linotype" w:cs="Palatino Linotype"/>
          <w:sz w:val="22"/>
          <w:szCs w:val="22"/>
        </w:rPr>
        <w:t>que contiene la captura de pantalla de la búsqueda realizada de dicho servidor público en la liga electrónica del ipomex entregada.</w:t>
      </w:r>
    </w:p>
    <w:p w14:paraId="41A43ED0" w14:textId="77777777" w:rsidR="008D2539" w:rsidRPr="00FB5737" w:rsidRDefault="008D2539">
      <w:pPr>
        <w:spacing w:line="276" w:lineRule="auto"/>
        <w:ind w:left="567" w:right="900"/>
        <w:jc w:val="both"/>
        <w:rPr>
          <w:rFonts w:ascii="Palatino Linotype" w:eastAsia="Palatino Linotype" w:hAnsi="Palatino Linotype" w:cs="Palatino Linotype"/>
          <w:i/>
          <w:sz w:val="22"/>
          <w:szCs w:val="22"/>
        </w:rPr>
      </w:pPr>
    </w:p>
    <w:p w14:paraId="550A797E" w14:textId="77777777" w:rsidR="008D2539" w:rsidRPr="00FB5737" w:rsidRDefault="0064634F">
      <w:pPr>
        <w:spacing w:line="360" w:lineRule="auto"/>
        <w:ind w:right="51"/>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 xml:space="preserve">4. Turno. </w:t>
      </w:r>
      <w:r w:rsidRPr="00FB573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B5737">
        <w:rPr>
          <w:rFonts w:ascii="Palatino Linotype" w:eastAsia="Palatino Linotype" w:hAnsi="Palatino Linotype" w:cs="Palatino Linotype"/>
          <w:b/>
          <w:sz w:val="22"/>
          <w:szCs w:val="22"/>
        </w:rPr>
        <w:t xml:space="preserve">Guadalupe Ramírez Peña, </w:t>
      </w:r>
      <w:r w:rsidRPr="00FB5737">
        <w:rPr>
          <w:rFonts w:ascii="Palatino Linotype" w:eastAsia="Palatino Linotype" w:hAnsi="Palatino Linotype" w:cs="Palatino Linotype"/>
          <w:sz w:val="22"/>
          <w:szCs w:val="22"/>
        </w:rPr>
        <w:t>a efecto de que analizara sobre su admisión o su desechamiento.</w:t>
      </w:r>
    </w:p>
    <w:p w14:paraId="0DE3BF01" w14:textId="77777777" w:rsidR="008D2539" w:rsidRPr="00FB5737" w:rsidRDefault="008D2539">
      <w:pPr>
        <w:spacing w:line="360" w:lineRule="auto"/>
        <w:ind w:right="51"/>
        <w:jc w:val="both"/>
        <w:rPr>
          <w:rFonts w:ascii="Palatino Linotype" w:eastAsia="Palatino Linotype" w:hAnsi="Palatino Linotype" w:cs="Palatino Linotype"/>
          <w:sz w:val="22"/>
          <w:szCs w:val="22"/>
        </w:rPr>
      </w:pPr>
    </w:p>
    <w:p w14:paraId="75232FE0"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5. Admisión del Recurso de revisión.</w:t>
      </w:r>
      <w:r w:rsidRPr="00FB5737">
        <w:rPr>
          <w:rFonts w:ascii="Palatino Linotype" w:eastAsia="Palatino Linotype" w:hAnsi="Palatino Linotype" w:cs="Palatino Linotype"/>
          <w:sz w:val="22"/>
          <w:szCs w:val="22"/>
        </w:rPr>
        <w:t xml:space="preserve"> El </w:t>
      </w:r>
      <w:r w:rsidRPr="00FB5737">
        <w:rPr>
          <w:rFonts w:ascii="Palatino Linotype" w:eastAsia="Palatino Linotype" w:hAnsi="Palatino Linotype" w:cs="Palatino Linotype"/>
          <w:b/>
          <w:sz w:val="22"/>
          <w:szCs w:val="22"/>
        </w:rPr>
        <w:t xml:space="preserve">doce de septiembre de dos mil veinticinco, </w:t>
      </w:r>
      <w:r w:rsidRPr="00FB573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presentara su informe justificado.</w:t>
      </w:r>
    </w:p>
    <w:p w14:paraId="61F08C26"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643D7DAC" w14:textId="77777777" w:rsidR="008D2539" w:rsidRPr="00FB5737"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FB5737">
        <w:rPr>
          <w:rFonts w:ascii="Palatino Linotype" w:eastAsia="Palatino Linotype" w:hAnsi="Palatino Linotype" w:cs="Palatino Linotype"/>
          <w:b/>
          <w:sz w:val="22"/>
          <w:szCs w:val="22"/>
        </w:rPr>
        <w:t>6. Manifestaciones</w:t>
      </w:r>
      <w:r w:rsidRPr="00FB5737">
        <w:rPr>
          <w:rFonts w:ascii="Palatino Linotype" w:eastAsia="Palatino Linotype" w:hAnsi="Palatino Linotype" w:cs="Palatino Linotype"/>
          <w:sz w:val="22"/>
          <w:szCs w:val="22"/>
        </w:rPr>
        <w:t xml:space="preserve">. De las constancias que integran el expediente en que se actúa se advierte que 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el veinticuatro de septiembre de dos mil veinticinco a través del archivo electrónico denominado “</w:t>
      </w:r>
      <w:r w:rsidRPr="00FB5737">
        <w:rPr>
          <w:rFonts w:ascii="Palatino Linotype" w:eastAsia="Palatino Linotype" w:hAnsi="Palatino Linotype" w:cs="Palatino Linotype"/>
          <w:b/>
          <w:i/>
          <w:sz w:val="22"/>
          <w:szCs w:val="22"/>
        </w:rPr>
        <w:t>Ratificación 10634.pdf</w:t>
      </w:r>
      <w:r w:rsidRPr="00FB5737">
        <w:rPr>
          <w:rFonts w:ascii="Palatino Linotype" w:eastAsia="Palatino Linotype" w:hAnsi="Palatino Linotype" w:cs="Palatino Linotype"/>
          <w:sz w:val="22"/>
          <w:szCs w:val="22"/>
        </w:rPr>
        <w:t>” rindió su informe justificado, en el que medularmente ratificó su respuesta inicial.</w:t>
      </w:r>
    </w:p>
    <w:p w14:paraId="260B1098" w14:textId="77777777" w:rsidR="008D2539" w:rsidRPr="00FB5737" w:rsidRDefault="008D253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00A5E5"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Por su lado, la parte </w:t>
      </w:r>
      <w:r w:rsidRPr="00FB5737">
        <w:rPr>
          <w:rFonts w:ascii="Palatino Linotype" w:eastAsia="Palatino Linotype" w:hAnsi="Palatino Linotype" w:cs="Palatino Linotype"/>
          <w:b/>
          <w:sz w:val="22"/>
          <w:szCs w:val="22"/>
        </w:rPr>
        <w:t xml:space="preserve">Recurrente </w:t>
      </w:r>
      <w:r w:rsidRPr="00FB5737">
        <w:rPr>
          <w:rFonts w:ascii="Palatino Linotype" w:eastAsia="Palatino Linotype" w:hAnsi="Palatino Linotype" w:cs="Palatino Linotype"/>
          <w:sz w:val="22"/>
          <w:szCs w:val="22"/>
        </w:rPr>
        <w:t>rindió manifestaciones señalando en lo medular que la liga entregada no se localizó la información solicitada del Presidente Municipal, adjuntando para tal efecto la captura de pantalla de la búsqueda realizada de dicho servidor público en la liga electrónica del ipomex entregada.</w:t>
      </w:r>
    </w:p>
    <w:p w14:paraId="0895E4C6" w14:textId="77777777" w:rsidR="008D2539" w:rsidRPr="00FB5737" w:rsidRDefault="008D253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1922DD34" w:rsidR="008D2539" w:rsidRPr="00FB5737" w:rsidRDefault="0064634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 xml:space="preserve">7. Cierre de instrucción. </w:t>
      </w:r>
      <w:r w:rsidRPr="00FB5737">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0C3A11" w:rsidRPr="00FB5737">
        <w:rPr>
          <w:rFonts w:ascii="Palatino Linotype" w:eastAsia="Palatino Linotype" w:hAnsi="Palatino Linotype" w:cs="Palatino Linotype"/>
          <w:b/>
          <w:sz w:val="22"/>
          <w:szCs w:val="22"/>
        </w:rPr>
        <w:t>seis de noviembre</w:t>
      </w:r>
      <w:r w:rsidRPr="00FB5737">
        <w:rPr>
          <w:rFonts w:ascii="Palatino Linotype" w:eastAsia="Palatino Linotype" w:hAnsi="Palatino Linotype" w:cs="Palatino Linotype"/>
          <w:b/>
          <w:sz w:val="22"/>
          <w:szCs w:val="22"/>
        </w:rPr>
        <w:t xml:space="preserve"> de dos mil veinticinco,</w:t>
      </w:r>
      <w:r w:rsidRPr="00FB5737">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462913C1" w14:textId="13934035" w:rsidR="008D2539" w:rsidRPr="00FB5737" w:rsidRDefault="008D253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79B688ED" w14:textId="3FCFCAC2" w:rsidR="000C3A11" w:rsidRPr="00FB5737" w:rsidRDefault="000C3A11">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8. </w:t>
      </w:r>
      <w:r w:rsidRPr="00FB5737">
        <w:rPr>
          <w:rFonts w:ascii="Palatino Linotype" w:eastAsia="Palatino Linotype" w:hAnsi="Palatino Linotype" w:cs="Palatino Linotype"/>
          <w:b/>
          <w:sz w:val="22"/>
          <w:szCs w:val="22"/>
        </w:rPr>
        <w:t>Ampliación del término para resolver</w:t>
      </w:r>
      <w:r w:rsidRPr="00FB5737">
        <w:rPr>
          <w:rFonts w:ascii="Palatino Linotype" w:eastAsia="Palatino Linotype" w:hAnsi="Palatino Linotype" w:cs="Palatino Linotype"/>
          <w:sz w:val="22"/>
          <w:szCs w:val="22"/>
        </w:rPr>
        <w:t xml:space="preserve">. Mediante acuerdo del </w:t>
      </w:r>
      <w:r w:rsidRPr="00FB5737">
        <w:rPr>
          <w:rFonts w:ascii="Palatino Linotype" w:eastAsia="Palatino Linotype" w:hAnsi="Palatino Linotype" w:cs="Palatino Linotype"/>
          <w:b/>
          <w:sz w:val="22"/>
          <w:szCs w:val="22"/>
        </w:rPr>
        <w:t>seis de noviembre de dos mil veinticinco</w:t>
      </w:r>
      <w:r w:rsidRPr="00FB5737">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1FB93E51" w14:textId="77777777" w:rsidR="00717D13" w:rsidRPr="00FB5737"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FB5737"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FB5737" w:rsidRDefault="0064634F">
      <w:pPr>
        <w:widowControl w:val="0"/>
        <w:spacing w:before="240" w:after="240" w:line="360" w:lineRule="auto"/>
        <w:jc w:val="center"/>
        <w:rPr>
          <w:rFonts w:ascii="Palatino Linotype" w:eastAsia="Palatino Linotype" w:hAnsi="Palatino Linotype" w:cs="Palatino Linotype"/>
          <w:b/>
          <w:sz w:val="22"/>
          <w:szCs w:val="22"/>
        </w:rPr>
      </w:pPr>
      <w:r w:rsidRPr="00FB5737">
        <w:rPr>
          <w:rFonts w:ascii="Palatino Linotype" w:eastAsia="Palatino Linotype" w:hAnsi="Palatino Linotype" w:cs="Palatino Linotype"/>
          <w:b/>
          <w:sz w:val="22"/>
          <w:szCs w:val="22"/>
        </w:rPr>
        <w:t>II. C O N S I D E R A N D O S</w:t>
      </w:r>
    </w:p>
    <w:p w14:paraId="18070A5E" w14:textId="600D6E58"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Primero. Competencia.</w:t>
      </w:r>
      <w:r w:rsidRPr="00FB573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0C3A11" w:rsidRPr="00FB5737">
        <w:rPr>
          <w:rFonts w:ascii="Palatino Linotype" w:eastAsia="Palatino Linotype" w:hAnsi="Palatino Linotype" w:cs="Palatino Linotype"/>
          <w:sz w:val="22"/>
          <w:szCs w:val="22"/>
        </w:rPr>
        <w:t xml:space="preserve">5 párrafos cuadragésimo cuarto, cuadragésimo quinto, cuadragésimo sexto, fracciones IV y V de la Constitución Política del Estado Libre y Soberano de México; Transitorio Cuarto, párrafo segundo del Decreto número 198 de la “LXII” Legislatura del Estado de México; </w:t>
      </w:r>
      <w:r w:rsidRPr="00FB5737">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FB5737"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FB5737">
        <w:rPr>
          <w:rFonts w:ascii="Palatino Linotype" w:eastAsia="Palatino Linotype" w:hAnsi="Palatino Linotype" w:cs="Palatino Linotype"/>
          <w:b/>
          <w:sz w:val="22"/>
          <w:szCs w:val="22"/>
        </w:rPr>
        <w:t>Segundo. Oportunidad y Procedibilidad del Recurso de Revisión</w:t>
      </w:r>
      <w:r w:rsidRPr="00FB5737">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181CCB47"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remitió la respuesta a la solicitud de información el</w:t>
      </w:r>
      <w:r w:rsidRPr="00FB5737">
        <w:t xml:space="preserve"> </w:t>
      </w:r>
      <w:r w:rsidRPr="00FB5737">
        <w:rPr>
          <w:rFonts w:ascii="Palatino Linotype" w:eastAsia="Palatino Linotype" w:hAnsi="Palatino Linotype" w:cs="Palatino Linotype"/>
          <w:b/>
          <w:sz w:val="22"/>
          <w:szCs w:val="22"/>
        </w:rPr>
        <w:t xml:space="preserve">nueve de septiembre de dos mil veinticinco, </w:t>
      </w:r>
      <w:r w:rsidRPr="00FB5737">
        <w:rPr>
          <w:rFonts w:ascii="Palatino Linotype" w:eastAsia="Palatino Linotype" w:hAnsi="Palatino Linotype" w:cs="Palatino Linotype"/>
          <w:sz w:val="22"/>
          <w:szCs w:val="22"/>
        </w:rPr>
        <w:t xml:space="preserve">mientras que el recurso de revisión interpuesto por </w:t>
      </w:r>
      <w:r w:rsidRPr="00FB5737">
        <w:rPr>
          <w:rFonts w:ascii="Palatino Linotype" w:eastAsia="Palatino Linotype" w:hAnsi="Palatino Linotype" w:cs="Palatino Linotype"/>
          <w:b/>
          <w:sz w:val="22"/>
          <w:szCs w:val="22"/>
        </w:rPr>
        <w:t>la parte</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Recurrente</w:t>
      </w:r>
      <w:r w:rsidRPr="00FB5737">
        <w:rPr>
          <w:rFonts w:ascii="Palatino Linotype" w:eastAsia="Palatino Linotype" w:hAnsi="Palatino Linotype" w:cs="Palatino Linotype"/>
          <w:sz w:val="22"/>
          <w:szCs w:val="22"/>
        </w:rPr>
        <w:t xml:space="preserve">, se tuvo por presentado el </w:t>
      </w:r>
      <w:r w:rsidRPr="00FB5737">
        <w:rPr>
          <w:rFonts w:ascii="Palatino Linotype" w:eastAsia="Palatino Linotype" w:hAnsi="Palatino Linotype" w:cs="Palatino Linotype"/>
          <w:b/>
          <w:sz w:val="22"/>
          <w:szCs w:val="22"/>
        </w:rPr>
        <w:t>nueve de septiembre de dos mil veinticinco</w:t>
      </w:r>
      <w:r w:rsidRPr="00FB5737">
        <w:rPr>
          <w:rFonts w:ascii="Palatino Linotype" w:eastAsia="Palatino Linotype" w:hAnsi="Palatino Linotype" w:cs="Palatino Linotype"/>
          <w:sz w:val="22"/>
          <w:szCs w:val="22"/>
        </w:rPr>
        <w:t xml:space="preserve"> esto es, el mismo día en que </w:t>
      </w:r>
      <w:r w:rsidRPr="00FB5737">
        <w:rPr>
          <w:rFonts w:ascii="Palatino Linotype" w:eastAsia="Palatino Linotype" w:hAnsi="Palatino Linotype" w:cs="Palatino Linotype"/>
          <w:b/>
          <w:sz w:val="22"/>
          <w:szCs w:val="22"/>
        </w:rPr>
        <w:t>se tuvo conocimiento de la respuesta impugnada</w:t>
      </w:r>
      <w:r w:rsidRPr="00FB5737">
        <w:rPr>
          <w:rFonts w:ascii="Palatino Linotype" w:eastAsia="Palatino Linotype" w:hAnsi="Palatino Linotype" w:cs="Palatino Linotype"/>
          <w:sz w:val="22"/>
          <w:szCs w:val="22"/>
        </w:rPr>
        <w:t xml:space="preserve">. </w:t>
      </w:r>
    </w:p>
    <w:p w14:paraId="23AF1BE4"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60391227" w14:textId="77777777" w:rsidR="008D2539" w:rsidRPr="00FB5737" w:rsidRDefault="0064634F">
      <w:pPr>
        <w:spacing w:line="360" w:lineRule="auto"/>
        <w:jc w:val="both"/>
        <w:rPr>
          <w:rFonts w:ascii="Palatino Linotype" w:eastAsia="Palatino Linotype" w:hAnsi="Palatino Linotype" w:cs="Palatino Linotype"/>
          <w:sz w:val="20"/>
          <w:szCs w:val="20"/>
        </w:rPr>
      </w:pPr>
      <w:r w:rsidRPr="00FB5737">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87A58B5" w14:textId="77777777" w:rsidR="008D2539" w:rsidRPr="00FB5737" w:rsidRDefault="0064634F">
      <w:pPr>
        <w:pBdr>
          <w:top w:val="nil"/>
          <w:left w:val="nil"/>
          <w:bottom w:val="nil"/>
          <w:right w:val="nil"/>
          <w:between w:val="nil"/>
        </w:pBdr>
        <w:spacing w:before="120" w:after="120"/>
        <w:ind w:left="860" w:right="900"/>
        <w:jc w:val="both"/>
      </w:pPr>
      <w:r w:rsidRPr="00FB5737">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FB5737">
        <w:rPr>
          <w:rFonts w:ascii="Palatino Linotype" w:eastAsia="Palatino Linotype" w:hAnsi="Palatino Linotype" w:cs="Palatino Linotype"/>
          <w:i/>
          <w:sz w:val="22"/>
          <w:szCs w:val="22"/>
        </w:rPr>
        <w:t>.</w:t>
      </w:r>
    </w:p>
    <w:p w14:paraId="58A9D8DE" w14:textId="77777777" w:rsidR="008D2539" w:rsidRPr="00FB5737" w:rsidRDefault="0064634F">
      <w:pPr>
        <w:pBdr>
          <w:top w:val="nil"/>
          <w:left w:val="nil"/>
          <w:bottom w:val="nil"/>
          <w:right w:val="nil"/>
          <w:between w:val="nil"/>
        </w:pBdr>
        <w:spacing w:before="120" w:after="120"/>
        <w:ind w:left="860" w:right="900"/>
        <w:jc w:val="both"/>
      </w:pPr>
      <w:r w:rsidRPr="00FB5737">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6F19092"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FB5737" w:rsidRDefault="0064634F">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FB5737">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FB5737" w:rsidRDefault="008D2539">
      <w:pPr>
        <w:tabs>
          <w:tab w:val="left" w:pos="7938"/>
        </w:tabs>
        <w:spacing w:line="360" w:lineRule="auto"/>
        <w:jc w:val="both"/>
        <w:rPr>
          <w:rFonts w:ascii="Palatino Linotype" w:eastAsia="Palatino Linotype" w:hAnsi="Palatino Linotype" w:cs="Palatino Linotype"/>
          <w:sz w:val="22"/>
          <w:szCs w:val="22"/>
        </w:rPr>
      </w:pPr>
    </w:p>
    <w:p w14:paraId="16F1142D"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Por otro lado, es de suma importancia mencionar que, si bien la parte</w:t>
      </w:r>
      <w:r w:rsidRPr="00FB5737">
        <w:rPr>
          <w:rFonts w:ascii="Palatino Linotype" w:eastAsia="Palatino Linotype" w:hAnsi="Palatino Linotype" w:cs="Palatino Linotype"/>
          <w:b/>
          <w:sz w:val="22"/>
          <w:szCs w:val="22"/>
        </w:rPr>
        <w:t xml:space="preserve"> Recurrente</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no</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proporcionó nombre,</w:t>
      </w:r>
      <w:r w:rsidRPr="00FB5737">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9FBF57"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407C40E6" w14:textId="77777777" w:rsidR="008D2539" w:rsidRPr="00FB5737" w:rsidRDefault="0064634F">
      <w:pPr>
        <w:spacing w:line="276" w:lineRule="auto"/>
        <w:ind w:left="851" w:right="902"/>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rPr>
        <w:t>Las solicitudes anónimas,</w:t>
      </w:r>
      <w:r w:rsidRPr="00FB5737">
        <w:rPr>
          <w:rFonts w:ascii="Palatino Linotype" w:eastAsia="Palatino Linotype" w:hAnsi="Palatino Linotype" w:cs="Palatino Linotype"/>
          <w:i/>
          <w:sz w:val="22"/>
          <w:szCs w:val="22"/>
        </w:rPr>
        <w:t xml:space="preserve"> con nombre incompleto o seudónimo </w:t>
      </w:r>
      <w:r w:rsidRPr="00FB5737">
        <w:rPr>
          <w:rFonts w:ascii="Palatino Linotype" w:eastAsia="Palatino Linotype" w:hAnsi="Palatino Linotype" w:cs="Palatino Linotype"/>
          <w:b/>
          <w:i/>
          <w:sz w:val="22"/>
          <w:szCs w:val="22"/>
        </w:rPr>
        <w:t>serán procedentes para su trámite por parte del sujeto obligado ante quien se presente</w:t>
      </w:r>
      <w:r w:rsidRPr="00FB5737">
        <w:rPr>
          <w:rFonts w:ascii="Palatino Linotype" w:eastAsia="Palatino Linotype" w:hAnsi="Palatino Linotype" w:cs="Palatino Linotype"/>
          <w:i/>
          <w:sz w:val="22"/>
          <w:szCs w:val="22"/>
        </w:rPr>
        <w:t>. No podrá requerirse información adicional con motivo del nombre proporcionado por el solicitante."</w:t>
      </w:r>
    </w:p>
    <w:p w14:paraId="79D29EA7" w14:textId="77777777" w:rsidR="008D2539" w:rsidRPr="00FB5737"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Finalmente, se advierte que resulta procedente la interposición del recurso, según lo manifestado por </w:t>
      </w:r>
      <w:r w:rsidRPr="00FB5737">
        <w:rPr>
          <w:rFonts w:ascii="Palatino Linotype" w:eastAsia="Palatino Linotype" w:hAnsi="Palatino Linotype" w:cs="Palatino Linotype"/>
          <w:b/>
          <w:sz w:val="22"/>
          <w:szCs w:val="22"/>
        </w:rPr>
        <w:t>la parte</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Recurrente</w:t>
      </w:r>
      <w:r w:rsidRPr="00FB5737">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238A7CE6"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FB5737" w:rsidRDefault="0064634F">
      <w:pPr>
        <w:ind w:left="567"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rPr>
        <w:t>Artículo 179.</w:t>
      </w:r>
      <w:r w:rsidRPr="00FB573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857F75C" w14:textId="77777777" w:rsidR="008D2539" w:rsidRPr="00FB5737" w:rsidRDefault="0064634F">
      <w:pPr>
        <w:ind w:left="567" w:right="902"/>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I. La negativa a la información solicitada;</w:t>
      </w:r>
    </w:p>
    <w:p w14:paraId="51B94E27" w14:textId="77777777" w:rsidR="008D2539" w:rsidRPr="00FB5737" w:rsidRDefault="0064634F">
      <w:pPr>
        <w:ind w:left="567"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 […]”</w:t>
      </w:r>
    </w:p>
    <w:p w14:paraId="4CF7FDD1" w14:textId="77777777" w:rsidR="008D2539" w:rsidRPr="00FB5737" w:rsidRDefault="008D2539">
      <w:pPr>
        <w:ind w:left="567"/>
        <w:rPr>
          <w:rFonts w:ascii="Palatino Linotype" w:eastAsia="Palatino Linotype" w:hAnsi="Palatino Linotype" w:cs="Palatino Linotype"/>
          <w:b/>
          <w:i/>
          <w:sz w:val="22"/>
          <w:szCs w:val="22"/>
        </w:rPr>
      </w:pPr>
    </w:p>
    <w:p w14:paraId="60D117FC" w14:textId="77777777" w:rsidR="008D2539" w:rsidRPr="00FB5737" w:rsidRDefault="0064634F">
      <w:pPr>
        <w:ind w:left="567" w:right="900"/>
        <w:jc w:val="right"/>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 xml:space="preserve"> </w:t>
      </w:r>
      <w:r w:rsidRPr="00FB5737">
        <w:rPr>
          <w:rFonts w:ascii="Palatino Linotype" w:eastAsia="Palatino Linotype" w:hAnsi="Palatino Linotype" w:cs="Palatino Linotype"/>
          <w:i/>
          <w:sz w:val="22"/>
          <w:szCs w:val="22"/>
        </w:rPr>
        <w:t>(Énfasis añadido)</w:t>
      </w:r>
    </w:p>
    <w:p w14:paraId="50920F50" w14:textId="77777777" w:rsidR="008D2539" w:rsidRPr="00FB5737"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FB5737" w:rsidRDefault="0064634F">
      <w:pPr>
        <w:spacing w:line="360" w:lineRule="auto"/>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b/>
          <w:sz w:val="22"/>
          <w:szCs w:val="22"/>
        </w:rPr>
        <w:t xml:space="preserve">Tercero. Materia de la revisión. </w:t>
      </w:r>
      <w:r w:rsidRPr="00FB5737">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B5737">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FB5737">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 xml:space="preserve">Cuarto. Estudio del asunto. </w:t>
      </w:r>
      <w:r w:rsidRPr="00FB5737">
        <w:rPr>
          <w:rFonts w:ascii="Palatino Linotype" w:eastAsia="Palatino Linotype" w:hAnsi="Palatino Linotype" w:cs="Palatino Linotype"/>
          <w:sz w:val="22"/>
          <w:szCs w:val="22"/>
        </w:rPr>
        <w:t xml:space="preserve">Antes de entrar al análisis de los pronunciamientos del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FB5737" w:rsidRDefault="0064634F">
      <w:pPr>
        <w:spacing w:line="276" w:lineRule="auto"/>
        <w:ind w:left="851" w:right="85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B573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FB5737" w:rsidRDefault="0064634F">
      <w:pPr>
        <w:spacing w:line="276" w:lineRule="auto"/>
        <w:ind w:left="851" w:right="85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FB5737" w:rsidRDefault="0064634F">
      <w:pPr>
        <w:spacing w:line="276" w:lineRule="auto"/>
        <w:ind w:left="851" w:right="85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B573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FB5737" w:rsidRDefault="0064634F">
      <w:pPr>
        <w:spacing w:line="276" w:lineRule="auto"/>
        <w:ind w:left="851" w:right="85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i/>
          <w:sz w:val="22"/>
          <w:szCs w:val="22"/>
        </w:rPr>
        <w:t>[…]</w:t>
      </w:r>
    </w:p>
    <w:p w14:paraId="1FE7544E" w14:textId="77777777" w:rsidR="008D2539" w:rsidRPr="00FB5737" w:rsidRDefault="0064634F">
      <w:pPr>
        <w:spacing w:line="276" w:lineRule="auto"/>
        <w:ind w:left="851" w:right="901"/>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i/>
          <w:sz w:val="22"/>
          <w:szCs w:val="22"/>
        </w:rPr>
        <w:t>“Artículo 6o.</w:t>
      </w:r>
    </w:p>
    <w:p w14:paraId="089A08A2" w14:textId="77777777" w:rsidR="008D2539" w:rsidRPr="00FB5737" w:rsidRDefault="0064634F">
      <w:pPr>
        <w:spacing w:line="276" w:lineRule="auto"/>
        <w:ind w:left="851" w:right="901"/>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i/>
          <w:sz w:val="22"/>
          <w:szCs w:val="22"/>
        </w:rPr>
        <w:t>[...]</w:t>
      </w:r>
    </w:p>
    <w:p w14:paraId="1849EF98" w14:textId="77777777" w:rsidR="008D2539" w:rsidRPr="00FB5737"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 xml:space="preserve">A. Para el ejercicio del derecho de acceso a la información, la Federación y </w:t>
      </w:r>
      <w:r w:rsidRPr="00FB5737">
        <w:rPr>
          <w:rFonts w:ascii="Palatino Linotype" w:eastAsia="Palatino Linotype" w:hAnsi="Palatino Linotype" w:cs="Palatino Linotype"/>
          <w:b/>
          <w:i/>
          <w:sz w:val="22"/>
          <w:szCs w:val="22"/>
          <w:u w:val="single"/>
        </w:rPr>
        <w:t>las entidades federativas</w:t>
      </w:r>
      <w:r w:rsidRPr="00FB5737">
        <w:rPr>
          <w:rFonts w:ascii="Palatino Linotype" w:eastAsia="Palatino Linotype" w:hAnsi="Palatino Linotype" w:cs="Palatino Linotype"/>
          <w:b/>
          <w:i/>
          <w:sz w:val="22"/>
          <w:szCs w:val="22"/>
        </w:rPr>
        <w:t>,</w:t>
      </w:r>
      <w:r w:rsidRPr="00FB5737">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FB5737"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w:t>
      </w:r>
      <w:r w:rsidRPr="00FB5737">
        <w:rPr>
          <w:rFonts w:ascii="Palatino Linotype" w:eastAsia="Palatino Linotype" w:hAnsi="Palatino Linotype" w:cs="Palatino Linotype"/>
          <w:b/>
          <w:i/>
          <w:sz w:val="22"/>
          <w:szCs w:val="22"/>
        </w:rPr>
        <w:t xml:space="preserve">I. </w:t>
      </w:r>
      <w:r w:rsidRPr="00FB573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B5737">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FB5737">
        <w:rPr>
          <w:rFonts w:ascii="Palatino Linotype" w:eastAsia="Palatino Linotype" w:hAnsi="Palatino Linotype" w:cs="Palatino Linotype"/>
          <w:b/>
          <w:i/>
          <w:sz w:val="22"/>
          <w:szCs w:val="22"/>
        </w:rPr>
        <w:t>es pública y sólo podrá ser reservada temporalmente por razones de interés público y seguridad nacional,</w:t>
      </w:r>
      <w:r w:rsidRPr="00FB573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FB5737"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FB5737"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w:t>
      </w:r>
      <w:r w:rsidRPr="00FB5737">
        <w:rPr>
          <w:rFonts w:ascii="Palatino Linotype" w:eastAsia="Palatino Linotype" w:hAnsi="Palatino Linotype" w:cs="Palatino Linotype"/>
          <w:b/>
          <w:i/>
          <w:sz w:val="22"/>
          <w:szCs w:val="22"/>
        </w:rPr>
        <w:t xml:space="preserve">III. </w:t>
      </w:r>
      <w:r w:rsidRPr="00FB573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B5737">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FB5737" w:rsidRDefault="0064634F">
      <w:pPr>
        <w:pBdr>
          <w:top w:val="nil"/>
          <w:left w:val="nil"/>
          <w:bottom w:val="nil"/>
          <w:right w:val="nil"/>
          <w:between w:val="nil"/>
        </w:pBdr>
        <w:spacing w:before="240" w:after="240"/>
        <w:ind w:left="851" w:right="851"/>
        <w:jc w:val="both"/>
      </w:pPr>
      <w:r w:rsidRPr="00FB5737">
        <w:rPr>
          <w:rFonts w:ascii="Palatino Linotype" w:eastAsia="Palatino Linotype" w:hAnsi="Palatino Linotype" w:cs="Palatino Linotype"/>
          <w:b/>
          <w:i/>
          <w:sz w:val="22"/>
          <w:szCs w:val="22"/>
        </w:rPr>
        <w:t>…</w:t>
      </w:r>
    </w:p>
    <w:p w14:paraId="53C46F36" w14:textId="77777777" w:rsidR="008D2539" w:rsidRPr="00FB5737"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IV.</w:t>
      </w:r>
      <w:r w:rsidRPr="00FB5737">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FB5737" w:rsidRDefault="0064634F">
      <w:pPr>
        <w:pBdr>
          <w:top w:val="nil"/>
          <w:left w:val="nil"/>
          <w:bottom w:val="nil"/>
          <w:right w:val="nil"/>
          <w:between w:val="nil"/>
        </w:pBdr>
        <w:spacing w:before="240" w:after="240"/>
        <w:ind w:left="851" w:right="851"/>
        <w:jc w:val="both"/>
      </w:pPr>
      <w:r w:rsidRPr="00FB5737">
        <w:rPr>
          <w:rFonts w:ascii="Palatino Linotype" w:eastAsia="Palatino Linotype" w:hAnsi="Palatino Linotype" w:cs="Palatino Linotype"/>
          <w:b/>
          <w:i/>
          <w:sz w:val="22"/>
          <w:szCs w:val="22"/>
        </w:rPr>
        <w:t xml:space="preserve">V. </w:t>
      </w:r>
      <w:r w:rsidRPr="00FB573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FB5737" w:rsidRDefault="0064634F">
      <w:pPr>
        <w:pBdr>
          <w:top w:val="nil"/>
          <w:left w:val="nil"/>
          <w:bottom w:val="nil"/>
          <w:right w:val="nil"/>
          <w:between w:val="nil"/>
        </w:pBdr>
        <w:spacing w:before="240" w:after="240"/>
        <w:ind w:left="851" w:right="851"/>
        <w:jc w:val="both"/>
      </w:pPr>
      <w:r w:rsidRPr="00FB5737">
        <w:rPr>
          <w:rFonts w:ascii="Palatino Linotype" w:eastAsia="Palatino Linotype" w:hAnsi="Palatino Linotype" w:cs="Palatino Linotype"/>
          <w:i/>
          <w:sz w:val="22"/>
          <w:szCs w:val="22"/>
        </w:rPr>
        <w:t> </w:t>
      </w:r>
      <w:r w:rsidRPr="00FB5737">
        <w:rPr>
          <w:rFonts w:ascii="Palatino Linotype" w:eastAsia="Palatino Linotype" w:hAnsi="Palatino Linotype" w:cs="Palatino Linotype"/>
          <w:b/>
          <w:i/>
          <w:sz w:val="22"/>
          <w:szCs w:val="22"/>
        </w:rPr>
        <w:t xml:space="preserve">VI. </w:t>
      </w:r>
      <w:r w:rsidRPr="00FB573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FB5737" w:rsidRDefault="0064634F">
      <w:pPr>
        <w:pBdr>
          <w:top w:val="nil"/>
          <w:left w:val="nil"/>
          <w:bottom w:val="nil"/>
          <w:right w:val="nil"/>
          <w:between w:val="nil"/>
        </w:pBdr>
        <w:spacing w:before="240" w:after="240"/>
        <w:ind w:left="851" w:right="851"/>
        <w:jc w:val="both"/>
      </w:pPr>
      <w:r w:rsidRPr="00FB5737">
        <w:rPr>
          <w:rFonts w:ascii="Palatino Linotype" w:eastAsia="Palatino Linotype" w:hAnsi="Palatino Linotype" w:cs="Palatino Linotype"/>
          <w:i/>
          <w:sz w:val="22"/>
          <w:szCs w:val="22"/>
        </w:rPr>
        <w:t> </w:t>
      </w:r>
      <w:r w:rsidRPr="00FB5737">
        <w:rPr>
          <w:rFonts w:ascii="Palatino Linotype" w:eastAsia="Palatino Linotype" w:hAnsi="Palatino Linotype" w:cs="Palatino Linotype"/>
          <w:b/>
          <w:i/>
          <w:sz w:val="22"/>
          <w:szCs w:val="22"/>
        </w:rPr>
        <w:t xml:space="preserve">VII. </w:t>
      </w:r>
      <w:r w:rsidRPr="00FB573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FB5737"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FB5737" w:rsidRDefault="0064634F">
      <w:pP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rPr>
        <w:t>Artículo 4</w:t>
      </w:r>
      <w:r w:rsidRPr="00FB573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FB5737"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FB5737" w:rsidRDefault="0064634F">
      <w:pP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B573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FB5737"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FB5737" w:rsidRDefault="0064634F">
      <w:pP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B5737">
        <w:rPr>
          <w:rFonts w:ascii="Palatino Linotype" w:eastAsia="Palatino Linotype" w:hAnsi="Palatino Linotype" w:cs="Palatino Linotype"/>
          <w:i/>
          <w:sz w:val="22"/>
          <w:szCs w:val="22"/>
        </w:rPr>
        <w:t>.”</w:t>
      </w:r>
    </w:p>
    <w:p w14:paraId="35A2AC4D"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FB5737" w:rsidRDefault="0064634F">
      <w:pP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“Artículo 12.-</w:t>
      </w:r>
      <w:r w:rsidRPr="00FB573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FB5737"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FB5737" w:rsidRDefault="0064634F">
      <w:pPr>
        <w:spacing w:line="276" w:lineRule="auto"/>
        <w:ind w:left="567" w:right="616"/>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B5737">
        <w:rPr>
          <w:rFonts w:ascii="Palatino Linotype" w:eastAsia="Palatino Linotype" w:hAnsi="Palatino Linotype" w:cs="Palatino Linotype"/>
          <w:i/>
          <w:sz w:val="22"/>
          <w:szCs w:val="22"/>
        </w:rPr>
        <w:t xml:space="preserve">. </w:t>
      </w:r>
      <w:r w:rsidRPr="00FB573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FB5737"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FB5737" w:rsidRDefault="0064634F">
      <w:pPr>
        <w:spacing w:line="360" w:lineRule="auto"/>
        <w:ind w:right="-93"/>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FB5737"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FB5737" w:rsidRDefault="0064634F">
      <w:pPr>
        <w:spacing w:line="360" w:lineRule="auto"/>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FB5737">
        <w:rPr>
          <w:rFonts w:ascii="Palatino Linotype" w:eastAsia="Palatino Linotype" w:hAnsi="Palatino Linotype" w:cs="Palatino Linotype"/>
          <w:b/>
          <w:sz w:val="22"/>
          <w:szCs w:val="22"/>
        </w:rPr>
        <w:t xml:space="preserve"> </w:t>
      </w:r>
    </w:p>
    <w:p w14:paraId="4117F23D" w14:textId="77777777" w:rsidR="008D2539" w:rsidRPr="00FB5737" w:rsidRDefault="0064634F">
      <w:pP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rPr>
        <w:t>No existe obligación de elaborar documentos ad hoc para atender las solicitudes de acceso a la información.</w:t>
      </w:r>
      <w:r w:rsidRPr="00FB573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FB5737"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FB5737" w:rsidRDefault="0064634F">
      <w:pPr>
        <w:spacing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FB5737"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FB5737"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FB5737" w:rsidRDefault="0064634F">
      <w:pP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rPr>
        <w:t xml:space="preserve">Artículo 3. </w:t>
      </w:r>
      <w:r w:rsidRPr="00FB5737">
        <w:rPr>
          <w:rFonts w:ascii="Palatino Linotype" w:eastAsia="Palatino Linotype" w:hAnsi="Palatino Linotype" w:cs="Palatino Linotype"/>
          <w:i/>
          <w:sz w:val="22"/>
          <w:szCs w:val="22"/>
        </w:rPr>
        <w:t>Para los efectos de la presente Ley se entenderá por:</w:t>
      </w:r>
    </w:p>
    <w:p w14:paraId="7CD9010D" w14:textId="77777777" w:rsidR="008D2539" w:rsidRPr="00FB5737" w:rsidRDefault="0064634F">
      <w:pP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p>
    <w:p w14:paraId="2C0A3A7F" w14:textId="77777777" w:rsidR="008D2539" w:rsidRPr="00FB5737" w:rsidRDefault="0064634F">
      <w:pP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XI. Documento:</w:t>
      </w:r>
      <w:r w:rsidRPr="00FB5737">
        <w:rPr>
          <w:rFonts w:ascii="Palatino Linotype" w:eastAsia="Palatino Linotype" w:hAnsi="Palatino Linotype" w:cs="Palatino Linotype"/>
          <w:i/>
          <w:sz w:val="22"/>
          <w:szCs w:val="22"/>
        </w:rPr>
        <w:t xml:space="preserve"> Los expedientes, reportes, estudios, actas</w:t>
      </w:r>
      <w:r w:rsidRPr="00FB5737">
        <w:rPr>
          <w:rFonts w:ascii="Palatino Linotype" w:eastAsia="Palatino Linotype" w:hAnsi="Palatino Linotype" w:cs="Palatino Linotype"/>
          <w:b/>
          <w:i/>
          <w:sz w:val="22"/>
          <w:szCs w:val="22"/>
        </w:rPr>
        <w:t>,</w:t>
      </w:r>
      <w:r w:rsidRPr="00FB573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FB5737"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FB5737" w:rsidRDefault="0064634F">
      <w:pPr>
        <w:spacing w:line="276" w:lineRule="auto"/>
        <w:ind w:left="567" w:right="616"/>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sz w:val="22"/>
          <w:szCs w:val="22"/>
        </w:rPr>
        <w:t>“</w:t>
      </w:r>
      <w:r w:rsidRPr="00FB5737">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FB573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FB5737" w:rsidRDefault="0064634F">
      <w:pP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FB5737" w:rsidRDefault="0064634F">
      <w:pP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FB5737" w:rsidRDefault="0064634F">
      <w:pPr>
        <w:spacing w:line="276" w:lineRule="auto"/>
        <w:ind w:left="567" w:right="616"/>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FB5737" w:rsidRDefault="0064634F">
      <w:pPr>
        <w:spacing w:line="276" w:lineRule="auto"/>
        <w:ind w:left="567" w:right="616"/>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FB5737"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 ahí que 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B5737">
        <w:rPr>
          <w:rFonts w:ascii="Palatino Linotype" w:eastAsia="Palatino Linotype" w:hAnsi="Palatino Linotype" w:cs="Palatino Linotype"/>
          <w:sz w:val="22"/>
          <w:szCs w:val="22"/>
          <w:vertAlign w:val="superscript"/>
        </w:rPr>
        <w:footnoteReference w:id="1"/>
      </w:r>
      <w:r w:rsidRPr="00FB5737">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B5737">
        <w:rPr>
          <w:rFonts w:ascii="Palatino Linotype" w:eastAsia="Palatino Linotype" w:hAnsi="Palatino Linotype" w:cs="Palatino Linotype"/>
          <w:sz w:val="22"/>
          <w:szCs w:val="22"/>
          <w:vertAlign w:val="superscript"/>
        </w:rPr>
        <w:footnoteReference w:id="2"/>
      </w:r>
      <w:r w:rsidRPr="00FB5737">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FB5737"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77777777" w:rsidR="008D2539" w:rsidRPr="00FB5737"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FB5737">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lo siguiente:</w:t>
      </w:r>
    </w:p>
    <w:p w14:paraId="75077991" w14:textId="77777777" w:rsidR="008D2539" w:rsidRPr="00FB5737" w:rsidRDefault="0064634F">
      <w:pPr>
        <w:numPr>
          <w:ilvl w:val="0"/>
          <w:numId w:val="3"/>
        </w:numPr>
        <w:pBdr>
          <w:top w:val="nil"/>
          <w:left w:val="nil"/>
          <w:bottom w:val="nil"/>
          <w:right w:val="nil"/>
          <w:between w:val="nil"/>
        </w:pBdr>
        <w:spacing w:before="240" w:line="276" w:lineRule="auto"/>
        <w:ind w:right="49"/>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sz w:val="22"/>
          <w:szCs w:val="22"/>
        </w:rPr>
        <w:t>El curriculum vitae del Presidente Municipal actual; y</w:t>
      </w:r>
    </w:p>
    <w:p w14:paraId="3ACFB533" w14:textId="77777777" w:rsidR="008D2539" w:rsidRPr="00FB5737"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4D673361" w14:textId="77777777" w:rsidR="008D2539" w:rsidRPr="00FB5737" w:rsidRDefault="0064634F">
      <w:pPr>
        <w:numPr>
          <w:ilvl w:val="0"/>
          <w:numId w:val="3"/>
        </w:numPr>
        <w:pBdr>
          <w:top w:val="nil"/>
          <w:left w:val="nil"/>
          <w:bottom w:val="nil"/>
          <w:right w:val="nil"/>
          <w:between w:val="nil"/>
        </w:pBdr>
        <w:spacing w:after="240" w:line="276" w:lineRule="auto"/>
        <w:ind w:right="49"/>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sz w:val="22"/>
          <w:szCs w:val="22"/>
        </w:rPr>
        <w:t>Conocer quién es más inteligente, el Presidente Municipal o los baches inteligentes.</w:t>
      </w:r>
    </w:p>
    <w:p w14:paraId="0B2ADF84" w14:textId="77777777" w:rsidR="008D2539" w:rsidRPr="00FB5737"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6CD852D" w14:textId="62461706" w:rsidR="008D2539" w:rsidRPr="00FB5737" w:rsidRDefault="0064634F">
      <w:pPr>
        <w:spacing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Al respecto, se destaca que del análisis realizado a la solicitud de información, se advirtió que el segundo punto</w:t>
      </w:r>
      <w:r w:rsidR="00717D13" w:rsidRPr="00FB5737">
        <w:rPr>
          <w:rFonts w:ascii="Palatino Linotype" w:eastAsia="Palatino Linotype" w:hAnsi="Palatino Linotype" w:cs="Palatino Linotype"/>
          <w:sz w:val="22"/>
          <w:szCs w:val="22"/>
        </w:rPr>
        <w:t xml:space="preserve"> (son actos consentidos) y además </w:t>
      </w:r>
      <w:r w:rsidRPr="00FB5737">
        <w:rPr>
          <w:rFonts w:ascii="Palatino Linotype" w:eastAsia="Palatino Linotype" w:hAnsi="Palatino Linotype" w:cs="Palatino Linotype"/>
          <w:sz w:val="22"/>
          <w:szCs w:val="22"/>
        </w:rPr>
        <w:t>versa en un requerimiento que no puede ser atendido a través de la vía del Derecho de Acceso a la Información Pública, debido a que se trata de un ejercicio del derecho de petición.</w:t>
      </w:r>
    </w:p>
    <w:p w14:paraId="157AC7FF" w14:textId="77777777" w:rsidR="008D2539" w:rsidRPr="00FB5737"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2574167" w14:textId="77777777" w:rsidR="008D2539" w:rsidRPr="00FB5737" w:rsidRDefault="0064634F">
      <w:pPr>
        <w:spacing w:line="360" w:lineRule="auto"/>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sz w:val="22"/>
          <w:szCs w:val="22"/>
        </w:rPr>
        <w:t xml:space="preserve">A efecto de sustentar lo anterior, es preciso mencionar que David Cienfuegos Salgado, concibe al derecho de petición como </w:t>
      </w: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u w:val="single"/>
        </w:rPr>
        <w:t>el derecho de toda persona a ser escuchado por quienes ejercen el poder público</w:t>
      </w:r>
      <w:r w:rsidRPr="00FB5737">
        <w:rPr>
          <w:rFonts w:ascii="Palatino Linotype" w:eastAsia="Palatino Linotype" w:hAnsi="Palatino Linotype" w:cs="Palatino Linotype"/>
          <w:i/>
          <w:sz w:val="22"/>
          <w:szCs w:val="22"/>
        </w:rPr>
        <w:t xml:space="preserve">”  </w:t>
      </w:r>
    </w:p>
    <w:p w14:paraId="0874D600" w14:textId="77777777" w:rsidR="008D2539" w:rsidRPr="00FB5737" w:rsidRDefault="008D2539">
      <w:pPr>
        <w:spacing w:line="360" w:lineRule="auto"/>
        <w:jc w:val="both"/>
        <w:rPr>
          <w:rFonts w:ascii="Palatino Linotype" w:eastAsia="Palatino Linotype" w:hAnsi="Palatino Linotype" w:cs="Palatino Linotype"/>
          <w:i/>
          <w:sz w:val="22"/>
          <w:szCs w:val="22"/>
        </w:rPr>
      </w:pPr>
    </w:p>
    <w:p w14:paraId="05427FB7"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 la misma manera, Miguel Carbonell en su libro </w:t>
      </w:r>
      <w:r w:rsidRPr="00FB5737">
        <w:rPr>
          <w:rFonts w:ascii="Palatino Linotype" w:eastAsia="Palatino Linotype" w:hAnsi="Palatino Linotype" w:cs="Palatino Linotype"/>
          <w:i/>
          <w:sz w:val="22"/>
          <w:szCs w:val="22"/>
        </w:rPr>
        <w:t xml:space="preserve">“Los derechos fundamentales” </w:t>
      </w:r>
      <w:r w:rsidRPr="00FB5737">
        <w:rPr>
          <w:rFonts w:ascii="Palatino Linotype" w:eastAsia="Palatino Linotype" w:hAnsi="Palatino Linotype" w:cs="Palatino Linotype"/>
          <w:sz w:val="22"/>
          <w:szCs w:val="22"/>
        </w:rPr>
        <w:t xml:space="preserve">refiere que el derecho de petición se ha entendido de dos distintitas maneras, a saber: como un derecho fundamental de participación política ya que permite a los particulares trasladar a las autoridades sus </w:t>
      </w:r>
      <w:r w:rsidRPr="00FB5737">
        <w:rPr>
          <w:rFonts w:ascii="Palatino Linotype" w:eastAsia="Palatino Linotype" w:hAnsi="Palatino Linotype" w:cs="Palatino Linotype"/>
          <w:b/>
          <w:sz w:val="22"/>
          <w:szCs w:val="22"/>
        </w:rPr>
        <w:t>inquietudes, quejas</w:t>
      </w:r>
      <w:r w:rsidRPr="00FB5737">
        <w:rPr>
          <w:rFonts w:ascii="Palatino Linotype" w:eastAsia="Palatino Linotype" w:hAnsi="Palatino Linotype" w:cs="Palatino Linotype"/>
          <w:sz w:val="22"/>
          <w:szCs w:val="22"/>
        </w:rPr>
        <w:t xml:space="preserve">, sugerencias y requerimientos en cualquier materia o asunto; y como una </w:t>
      </w:r>
      <w:r w:rsidRPr="00FB5737">
        <w:rPr>
          <w:rFonts w:ascii="Palatino Linotype" w:eastAsia="Palatino Linotype" w:hAnsi="Palatino Linotype" w:cs="Palatino Linotype"/>
          <w:b/>
          <w:sz w:val="22"/>
          <w:szCs w:val="22"/>
        </w:rPr>
        <w:t>forma específica de la libertad de expresión</w:t>
      </w:r>
      <w:r w:rsidRPr="00FB5737">
        <w:rPr>
          <w:rFonts w:ascii="Palatino Linotype" w:eastAsia="Palatino Linotype" w:hAnsi="Palatino Linotype" w:cs="Palatino Linotype"/>
          <w:sz w:val="22"/>
          <w:szCs w:val="22"/>
        </w:rPr>
        <w:t xml:space="preserve">, en tanto que permite expresarse frente a las autoridades. </w:t>
      </w:r>
    </w:p>
    <w:p w14:paraId="632A4E6B"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690F4EE3"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0B524983" w14:textId="77777777" w:rsidR="008D2539" w:rsidRPr="00FB5737" w:rsidRDefault="008D2539">
      <w:pPr>
        <w:spacing w:line="360" w:lineRule="auto"/>
        <w:jc w:val="both"/>
        <w:rPr>
          <w:rFonts w:ascii="Palatino Linotype" w:eastAsia="Palatino Linotype" w:hAnsi="Palatino Linotype" w:cs="Palatino Linotype"/>
          <w:sz w:val="22"/>
          <w:szCs w:val="22"/>
          <w:vertAlign w:val="superscript"/>
        </w:rPr>
      </w:pPr>
    </w:p>
    <w:p w14:paraId="6EDAE168"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Por otro lado, el autor anteriormente citado, indica que el </w:t>
      </w:r>
      <w:r w:rsidRPr="00FB5737">
        <w:rPr>
          <w:rFonts w:ascii="Palatino Linotype" w:eastAsia="Palatino Linotype" w:hAnsi="Palatino Linotype" w:cs="Palatino Linotype"/>
          <w:b/>
          <w:sz w:val="22"/>
          <w:szCs w:val="22"/>
        </w:rPr>
        <w:t>derecho de acceso a la información pública</w:t>
      </w:r>
      <w:r w:rsidRPr="00FB5737">
        <w:rPr>
          <w:rFonts w:ascii="Palatino Linotype" w:eastAsia="Palatino Linotype" w:hAnsi="Palatino Linotype" w:cs="Palatino Linotype"/>
          <w:sz w:val="22"/>
          <w:szCs w:val="22"/>
        </w:rPr>
        <w:t xml:space="preserve">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5E06432C"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314BDA82"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460A79CE"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1AEF9FBE" w14:textId="77777777" w:rsidR="008D2539" w:rsidRPr="00FB5737" w:rsidRDefault="0064634F">
      <w:pPr>
        <w:spacing w:line="360" w:lineRule="auto"/>
        <w:ind w:right="9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 lo anterior se puede concluir que la distinción entre el </w:t>
      </w:r>
      <w:r w:rsidRPr="00FB5737">
        <w:rPr>
          <w:rFonts w:ascii="Palatino Linotype" w:eastAsia="Palatino Linotype" w:hAnsi="Palatino Linotype" w:cs="Palatino Linotype"/>
          <w:b/>
          <w:sz w:val="22"/>
          <w:szCs w:val="22"/>
        </w:rPr>
        <w:t>derecho de petición</w:t>
      </w:r>
      <w:r w:rsidRPr="00FB5737">
        <w:rPr>
          <w:rFonts w:ascii="Palatino Linotype" w:eastAsia="Palatino Linotype" w:hAnsi="Palatino Linotype" w:cs="Palatino Linotype"/>
          <w:sz w:val="22"/>
          <w:szCs w:val="22"/>
        </w:rPr>
        <w:t xml:space="preserve">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75CFEF92" w14:textId="77777777" w:rsidR="008D2539" w:rsidRPr="00FB5737" w:rsidRDefault="008D2539">
      <w:pPr>
        <w:spacing w:line="360" w:lineRule="auto"/>
        <w:ind w:right="99"/>
        <w:jc w:val="both"/>
        <w:rPr>
          <w:rFonts w:ascii="Palatino Linotype" w:eastAsia="Palatino Linotype" w:hAnsi="Palatino Linotype" w:cs="Palatino Linotype"/>
          <w:sz w:val="22"/>
          <w:szCs w:val="22"/>
        </w:rPr>
      </w:pPr>
    </w:p>
    <w:p w14:paraId="4526B30B"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Ante ello, de conformidad con lo que establece el artículo 12 de la Ley de Transparencia y Acceso a la Información Pública del Estado de México y Municipios, los sujetos obligados no se encuentran constreñidos a entregar información que no obra en sus archivos o generarla conforme al interés de los solicitantes.</w:t>
      </w:r>
    </w:p>
    <w:p w14:paraId="78AF8256"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0028192E" w14:textId="77777777" w:rsidR="008D2539" w:rsidRPr="00FB5737" w:rsidRDefault="0064634F">
      <w:pPr>
        <w:spacing w:line="360" w:lineRule="auto"/>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b/>
          <w:sz w:val="22"/>
          <w:szCs w:val="22"/>
        </w:rPr>
        <w:t>En ese sentido, se tiene que, el segundo punto de la solicitud de información se relaciona con el ejercicio del derecho de petición, por lo que este no puede atenderse vía acceso a la información pública; y por tanto, este Órgano Garante únicamente se pronunciará respecto al siguiente requerimiento de información:</w:t>
      </w:r>
    </w:p>
    <w:p w14:paraId="1D5A979C" w14:textId="77777777" w:rsidR="008D2539" w:rsidRPr="00FB5737" w:rsidRDefault="008D2539">
      <w:pPr>
        <w:spacing w:line="360" w:lineRule="auto"/>
        <w:jc w:val="both"/>
        <w:rPr>
          <w:rFonts w:ascii="Palatino Linotype" w:eastAsia="Palatino Linotype" w:hAnsi="Palatino Linotype" w:cs="Palatino Linotype"/>
          <w:b/>
          <w:sz w:val="22"/>
          <w:szCs w:val="22"/>
        </w:rPr>
      </w:pPr>
    </w:p>
    <w:p w14:paraId="3777015C" w14:textId="77777777" w:rsidR="008D2539" w:rsidRPr="00FB5737" w:rsidRDefault="0064634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b/>
          <w:sz w:val="22"/>
          <w:szCs w:val="22"/>
        </w:rPr>
        <w:t>El curriculum vitae del Presidente Municipal actual.</w:t>
      </w:r>
    </w:p>
    <w:p w14:paraId="6B7BE56F" w14:textId="77777777" w:rsidR="008D2539" w:rsidRPr="00FB5737"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B1DCA50" w14:textId="77777777" w:rsidR="008D2539" w:rsidRPr="00FB5737" w:rsidRDefault="0064634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Al respecto, 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por conducto de la Dirección de Recursos Humanos de la Dirección General de Administración remitió un link de ipomex en formato cerrado donde se podría consultar la información curricular del Presidente Municipal.</w:t>
      </w:r>
    </w:p>
    <w:p w14:paraId="10E723A0" w14:textId="77777777" w:rsidR="008D2539" w:rsidRPr="00FB5737"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E4E6C52" w14:textId="77777777" w:rsidR="008D2539" w:rsidRPr="00FB5737" w:rsidRDefault="0064634F">
      <w:pPr>
        <w:spacing w:line="360" w:lineRule="auto"/>
        <w:ind w:right="49"/>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sz w:val="22"/>
          <w:szCs w:val="22"/>
        </w:rPr>
        <w:t xml:space="preserve">Inconforme con la respuesta, la parte </w:t>
      </w:r>
      <w:r w:rsidRPr="00FB5737">
        <w:rPr>
          <w:rFonts w:ascii="Palatino Linotype" w:eastAsia="Palatino Linotype" w:hAnsi="Palatino Linotype" w:cs="Palatino Linotype"/>
          <w:b/>
          <w:sz w:val="22"/>
          <w:szCs w:val="22"/>
        </w:rPr>
        <w:t xml:space="preserve">Recurrente </w:t>
      </w:r>
      <w:r w:rsidRPr="00FB5737">
        <w:rPr>
          <w:rFonts w:ascii="Palatino Linotype" w:eastAsia="Palatino Linotype" w:hAnsi="Palatino Linotype" w:cs="Palatino Linotype"/>
          <w:sz w:val="22"/>
          <w:szCs w:val="22"/>
        </w:rPr>
        <w:t xml:space="preserve">promovió el presente recurso de revisión en el que a manera de motivos de inconformidad </w:t>
      </w:r>
      <w:r w:rsidRPr="00FB5737">
        <w:rPr>
          <w:rFonts w:ascii="Palatino Linotype" w:eastAsia="Palatino Linotype" w:hAnsi="Palatino Linotype" w:cs="Palatino Linotype"/>
          <w:b/>
          <w:sz w:val="22"/>
          <w:szCs w:val="22"/>
        </w:rPr>
        <w:t>se adolece medularmente de que la liga entregada no tiene la información actualizada solicitando realizar una verificación de los portales del ente obligado al no estar actualizados.</w:t>
      </w:r>
    </w:p>
    <w:p w14:paraId="719E4C4B" w14:textId="77777777" w:rsidR="008D2539" w:rsidRPr="00FB5737" w:rsidRDefault="008D2539">
      <w:pPr>
        <w:spacing w:line="360" w:lineRule="auto"/>
        <w:ind w:right="49"/>
        <w:jc w:val="both"/>
        <w:rPr>
          <w:rFonts w:ascii="Palatino Linotype" w:eastAsia="Palatino Linotype" w:hAnsi="Palatino Linotype" w:cs="Palatino Linotype"/>
          <w:sz w:val="22"/>
          <w:szCs w:val="22"/>
        </w:rPr>
      </w:pPr>
    </w:p>
    <w:p w14:paraId="60E1D686"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Admitido el presente recurso de revisión, en términos del artículo 185 fracción II</w:t>
      </w:r>
      <w:r w:rsidRPr="00FB5737">
        <w:rPr>
          <w:rFonts w:ascii="Palatino Linotype" w:eastAsia="Palatino Linotype" w:hAnsi="Palatino Linotype" w:cs="Palatino Linotype"/>
          <w:sz w:val="22"/>
          <w:szCs w:val="22"/>
          <w:vertAlign w:val="superscript"/>
        </w:rPr>
        <w:footnoteReference w:id="3"/>
      </w:r>
      <w:r w:rsidRPr="00FB5737">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2EFC77E"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53C50D6E"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Cabe resaltar que, de las constancias que obran en el expediente electrónico en que se actúa, se advierte que 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rindió su informe justificado en el que medularmente ratificó su respuesta inicial.</w:t>
      </w:r>
    </w:p>
    <w:p w14:paraId="49A11AF0"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44934B32"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Por su lado, la parte </w:t>
      </w:r>
      <w:r w:rsidRPr="00FB5737">
        <w:rPr>
          <w:rFonts w:ascii="Palatino Linotype" w:eastAsia="Palatino Linotype" w:hAnsi="Palatino Linotype" w:cs="Palatino Linotype"/>
          <w:b/>
          <w:sz w:val="22"/>
          <w:szCs w:val="22"/>
        </w:rPr>
        <w:t xml:space="preserve">Recurrente </w:t>
      </w:r>
      <w:r w:rsidRPr="00FB5737">
        <w:rPr>
          <w:rFonts w:ascii="Palatino Linotype" w:eastAsia="Palatino Linotype" w:hAnsi="Palatino Linotype" w:cs="Palatino Linotype"/>
          <w:sz w:val="22"/>
          <w:szCs w:val="22"/>
        </w:rPr>
        <w:t>rindió manifestaciones señalando en lo medular que la liga entregada no se localizó la información solicitada del Presidente Municipal, adjuntando para tal efecto la captura de pantalla de la búsqueda realizada de dicho servidor público en la liga electrónica del ipomex entregada.</w:t>
      </w:r>
    </w:p>
    <w:p w14:paraId="61B8871E"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7F246E73"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Una vez establecidas las posturas de las partes, resulta importante señalar que en el presente asunto, se advierte que 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procedió a turnar la solicitud a la Dirección General de Administración, misma que conforme la fracción VI del artículo 92 del Bando Municipal del 2025, tiene las siguientes atribuciones:</w:t>
      </w:r>
    </w:p>
    <w:p w14:paraId="33AE28D7" w14:textId="77777777" w:rsidR="008D2539" w:rsidRPr="00FB5737" w:rsidRDefault="008D253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3B618BB5" w14:textId="77777777" w:rsidR="008D2539" w:rsidRPr="00FB5737" w:rsidRDefault="0064634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92. La administración pública municipal será 49 centralizada, descentralizada y autónoma. Para el ejercicio del poder público municipal, las personas titulares de las </w:t>
      </w:r>
      <w:r w:rsidRPr="00FB5737">
        <w:rPr>
          <w:rFonts w:ascii="Palatino Linotype" w:eastAsia="Palatino Linotype" w:hAnsi="Palatino Linotype" w:cs="Palatino Linotype"/>
          <w:b/>
          <w:i/>
          <w:sz w:val="22"/>
          <w:szCs w:val="22"/>
        </w:rPr>
        <w:t>Direcciones Generales</w:t>
      </w:r>
      <w:r w:rsidRPr="00FB5737">
        <w:rPr>
          <w:rFonts w:ascii="Palatino Linotype" w:eastAsia="Palatino Linotype" w:hAnsi="Palatino Linotype" w:cs="Palatino Linotype"/>
          <w:i/>
          <w:sz w:val="22"/>
          <w:szCs w:val="22"/>
        </w:rPr>
        <w:t>, los Organismos Descentralizados y el Órgano Autónomo tendrán las atribuciones y facultades que le otorguen las disposiciones legales aplicables a su campo de actuación y las que este Bando y el Código Reglamentario les confiera.</w:t>
      </w:r>
    </w:p>
    <w:p w14:paraId="28398329" w14:textId="77777777" w:rsidR="008D2539" w:rsidRPr="00FB5737" w:rsidRDefault="0064634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p>
    <w:p w14:paraId="41697EA8" w14:textId="77777777" w:rsidR="008D2539" w:rsidRPr="00FB5737" w:rsidRDefault="0064634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VI. </w:t>
      </w:r>
      <w:r w:rsidRPr="00FB5737">
        <w:rPr>
          <w:rFonts w:ascii="Palatino Linotype" w:eastAsia="Palatino Linotype" w:hAnsi="Palatino Linotype" w:cs="Palatino Linotype"/>
          <w:b/>
          <w:i/>
          <w:sz w:val="22"/>
          <w:szCs w:val="22"/>
        </w:rPr>
        <w:t>La persona titular de la Dirección General de Administración es responsable de la gestión integral del capital humano del Ayuntamiento, coordinando el reclutamiento, contratación, capacitación y desarrollo del personal,</w:t>
      </w:r>
      <w:r w:rsidRPr="00FB5737">
        <w:rPr>
          <w:rFonts w:ascii="Palatino Linotype" w:eastAsia="Palatino Linotype" w:hAnsi="Palatino Linotype" w:cs="Palatino Linotype"/>
          <w:i/>
          <w:sz w:val="22"/>
          <w:szCs w:val="22"/>
        </w:rPr>
        <w:t xml:space="preserve">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14:paraId="072CC6CE" w14:textId="77777777" w:rsidR="008D2539" w:rsidRPr="00FB5737" w:rsidRDefault="008D253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5BD38328" w14:textId="77777777" w:rsidR="008D2539" w:rsidRPr="00FB5737" w:rsidRDefault="0064634F">
      <w:pPr>
        <w:pBdr>
          <w:top w:val="nil"/>
          <w:left w:val="nil"/>
          <w:bottom w:val="nil"/>
          <w:right w:val="nil"/>
          <w:between w:val="nil"/>
        </w:pBdr>
        <w:spacing w:line="276" w:lineRule="auto"/>
        <w:ind w:left="567" w:right="616"/>
        <w:jc w:val="right"/>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(Énfasis añadido)</w:t>
      </w:r>
    </w:p>
    <w:p w14:paraId="5C5B89D2" w14:textId="77777777" w:rsidR="008D2539" w:rsidRPr="00FB5737"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EC31388" w14:textId="77777777" w:rsidR="008D2539" w:rsidRPr="00FB5737" w:rsidRDefault="0064634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10" w:name="_heading=h.b5mn16t33fs" w:colFirst="0" w:colLast="0"/>
      <w:bookmarkEnd w:id="10"/>
      <w:r w:rsidRPr="00FB5737">
        <w:rPr>
          <w:rFonts w:ascii="Palatino Linotype" w:eastAsia="Palatino Linotype" w:hAnsi="Palatino Linotype" w:cs="Palatino Linotype"/>
          <w:sz w:val="22"/>
          <w:szCs w:val="22"/>
        </w:rPr>
        <w:t>Como se desprende de lo anterior, la Dirección General de Administración es la responsable de la gestión integral del capital humano del Ayuntamiento, coordinando el reclutamiento, contratación, capacitación y desarrollo del personal, así como la aplicación de las disposiciones laborales; por lo tanto, es la unidad administrativa competente para conocer de la información relativa a la información curricular de los servidores públicos.</w:t>
      </w:r>
    </w:p>
    <w:p w14:paraId="5CD124DE" w14:textId="77777777" w:rsidR="008D2539" w:rsidRPr="00FB5737" w:rsidRDefault="0064634F">
      <w:pPr>
        <w:spacing w:before="240" w:after="240"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Asimismo, de conformidad con los artículos 3.41 y 3.42 del el Código Reglamentario Municipal, y el Manual de Organización de la Dirección General de Administración, la Dirección General de Administración se auxilia de la Dirección de Recursos Humanos, cuyo titular cuenta con las siguientes atribuciones en su parte conducente:</w:t>
      </w:r>
    </w:p>
    <w:p w14:paraId="5E803808" w14:textId="77777777" w:rsidR="008D2539" w:rsidRPr="00FB5737" w:rsidRDefault="0064634F">
      <w:pPr>
        <w:spacing w:before="240" w:after="240" w:line="360" w:lineRule="auto"/>
        <w:ind w:left="284"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Elaborar, operar y mejorar los procedimientos administrativos de control para la selección, reclutamiento, contratación, escalafón, capacitación, retiro, sanción, comisión y desarrollo del personal al servicio del Municipio;</w:t>
      </w:r>
    </w:p>
    <w:p w14:paraId="77F26D82" w14:textId="77777777" w:rsidR="008D2539" w:rsidRPr="00FB5737" w:rsidRDefault="0064634F">
      <w:pPr>
        <w:spacing w:before="240" w:after="240" w:line="360" w:lineRule="auto"/>
        <w:ind w:left="284"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Aplicar las disposiciones legales laborales que rigen al personal del Ayuntamiento;</w:t>
      </w:r>
    </w:p>
    <w:p w14:paraId="2A6015EE" w14:textId="77777777" w:rsidR="008D2539" w:rsidRPr="00FB5737" w:rsidRDefault="0064634F">
      <w:pPr>
        <w:tabs>
          <w:tab w:val="left" w:pos="3544"/>
        </w:tabs>
        <w:spacing w:before="240" w:after="240"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Cabe señalar, que de conformidad con el Manual de Procedimientos de la Dirección General de Administración, el Departamento de Administración de Personal de la Dirección tiene a su cargo los procedimientos de Alta de personal, Baja de personal, y Reporte de ausencias, los cuales consisten en lo siguiente:</w:t>
      </w:r>
    </w:p>
    <w:p w14:paraId="43360F1F" w14:textId="77777777" w:rsidR="008D2539" w:rsidRPr="00FB5737" w:rsidRDefault="0064634F">
      <w:pPr>
        <w:pBdr>
          <w:top w:val="nil"/>
          <w:left w:val="nil"/>
          <w:bottom w:val="nil"/>
          <w:right w:val="nil"/>
          <w:between w:val="nil"/>
        </w:pBdr>
        <w:spacing w:line="360" w:lineRule="auto"/>
        <w:ind w:right="-150"/>
        <w:jc w:val="both"/>
        <w:rPr>
          <w:rFonts w:ascii="Palatino Linotype" w:eastAsia="Palatino Linotype" w:hAnsi="Palatino Linotype" w:cs="Palatino Linotype"/>
          <w:sz w:val="20"/>
          <w:szCs w:val="20"/>
        </w:rPr>
      </w:pPr>
      <w:r w:rsidRPr="00FB5737">
        <w:rPr>
          <w:rFonts w:ascii="Palatino Linotype" w:eastAsia="Palatino Linotype" w:hAnsi="Palatino Linotype" w:cs="Palatino Linotype"/>
          <w:sz w:val="22"/>
          <w:szCs w:val="22"/>
        </w:rPr>
        <w:t xml:space="preserve">Atento a lo anterior, </w:t>
      </w:r>
      <w:r w:rsidRPr="00FB5737">
        <w:rPr>
          <w:rFonts w:ascii="Palatino Linotype" w:eastAsia="Palatino Linotype" w:hAnsi="Palatino Linotype" w:cs="Palatino Linotype"/>
          <w:b/>
          <w:sz w:val="22"/>
          <w:szCs w:val="22"/>
        </w:rPr>
        <w:t>se colige que la Dirección General de Administración cuenta con atribuciones para conocer de la información solicitada por la parte Recurrente, al tener a su cargo la Dirección de Recursos Humanos, siendo dicha unidad administrativa la responsable de mantener actualizados y debidamente integrados los expedientes de personal.</w:t>
      </w:r>
    </w:p>
    <w:p w14:paraId="0BEEF2EE" w14:textId="77777777" w:rsidR="008D2539" w:rsidRPr="00FB5737" w:rsidRDefault="008D2539">
      <w:pPr>
        <w:widowControl w:val="0"/>
        <w:spacing w:line="360" w:lineRule="auto"/>
        <w:ind w:right="49"/>
        <w:jc w:val="both"/>
        <w:rPr>
          <w:rFonts w:ascii="Palatino Linotype" w:eastAsia="Palatino Linotype" w:hAnsi="Palatino Linotype" w:cs="Palatino Linotype"/>
          <w:sz w:val="22"/>
          <w:szCs w:val="22"/>
        </w:rPr>
      </w:pPr>
    </w:p>
    <w:p w14:paraId="68EA3FB1" w14:textId="77777777" w:rsidR="008D2539" w:rsidRPr="00FB5737" w:rsidRDefault="0064634F">
      <w:pPr>
        <w:widowControl w:val="0"/>
        <w:spacing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En consecuencia, conforme lo expuesto, se pronunció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7D9A6215" w14:textId="77777777" w:rsidR="008D2539" w:rsidRPr="00FB5737" w:rsidRDefault="008D2539"/>
    <w:p w14:paraId="26B1B857" w14:textId="77777777" w:rsidR="008D2539" w:rsidRPr="00FB5737" w:rsidRDefault="0064634F">
      <w:pPr>
        <w:pBdr>
          <w:top w:val="nil"/>
          <w:left w:val="nil"/>
          <w:bottom w:val="nil"/>
          <w:right w:val="nil"/>
          <w:between w:val="nil"/>
        </w:pBdr>
        <w:ind w:left="864" w:right="864"/>
        <w:jc w:val="both"/>
      </w:pPr>
      <w:r w:rsidRPr="00FB5737">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AF9AD10" w14:textId="77777777" w:rsidR="008D2539" w:rsidRPr="00FB5737" w:rsidRDefault="008D2539"/>
    <w:p w14:paraId="2770EEEB" w14:textId="77777777" w:rsidR="008D2539" w:rsidRPr="00FB5737" w:rsidRDefault="0064634F">
      <w:pPr>
        <w:pBdr>
          <w:top w:val="nil"/>
          <w:left w:val="nil"/>
          <w:bottom w:val="nil"/>
          <w:right w:val="nil"/>
          <w:between w:val="nil"/>
        </w:pBdr>
        <w:shd w:val="clear" w:color="auto" w:fill="FFFFFF"/>
        <w:spacing w:line="360" w:lineRule="auto"/>
        <w:jc w:val="both"/>
        <w:rPr>
          <w:sz w:val="22"/>
          <w:szCs w:val="22"/>
        </w:rPr>
      </w:pPr>
      <w:r w:rsidRPr="00FB5737">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28A7860" w14:textId="77777777" w:rsidR="008D2539" w:rsidRPr="00FB5737" w:rsidRDefault="008D2539"/>
    <w:p w14:paraId="0538CDE6" w14:textId="77777777" w:rsidR="008D2539" w:rsidRPr="00FB5737" w:rsidRDefault="0064634F">
      <w:pPr>
        <w:pBdr>
          <w:top w:val="nil"/>
          <w:left w:val="nil"/>
          <w:bottom w:val="nil"/>
          <w:right w:val="nil"/>
          <w:between w:val="nil"/>
        </w:pBdr>
        <w:ind w:left="864" w:right="864"/>
        <w:jc w:val="both"/>
      </w:pPr>
      <w:r w:rsidRPr="00FB5737">
        <w:rPr>
          <w:rFonts w:ascii="Palatino Linotype" w:eastAsia="Palatino Linotype" w:hAnsi="Palatino Linotype" w:cs="Palatino Linotype"/>
          <w:i/>
          <w:sz w:val="22"/>
          <w:szCs w:val="22"/>
        </w:rPr>
        <w:t xml:space="preserve">“Artículo 162. Las unidades de transparencia deberán garantizar que las solicitudes </w:t>
      </w:r>
      <w:r w:rsidRPr="00FB5737">
        <w:rPr>
          <w:rFonts w:ascii="Palatino Linotype" w:eastAsia="Palatino Linotype" w:hAnsi="Palatino Linotype" w:cs="Palatino Linotype"/>
          <w:b/>
          <w:i/>
          <w:sz w:val="22"/>
          <w:szCs w:val="22"/>
        </w:rPr>
        <w:t xml:space="preserve">se turnen a todas las Áreas competentes </w:t>
      </w:r>
      <w:r w:rsidRPr="00FB5737">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6F3FADEB" w14:textId="77777777" w:rsidR="008D2539" w:rsidRPr="00FB5737" w:rsidRDefault="008D2539">
      <w:pPr>
        <w:widowControl w:val="0"/>
        <w:spacing w:line="360" w:lineRule="auto"/>
        <w:ind w:right="49"/>
        <w:jc w:val="both"/>
        <w:rPr>
          <w:rFonts w:ascii="Palatino Linotype" w:eastAsia="Palatino Linotype" w:hAnsi="Palatino Linotype" w:cs="Palatino Linotype"/>
          <w:sz w:val="22"/>
          <w:szCs w:val="22"/>
        </w:rPr>
      </w:pPr>
    </w:p>
    <w:p w14:paraId="79000781"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De esta manera, se tiene que en el caso se cumplió con el procedimiento de turnar la solicitud de información a la unidad administrativa que conforme sus atribuciones puede contar con la información requerida.</w:t>
      </w:r>
    </w:p>
    <w:p w14:paraId="112CD8E0"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0088CA58" w14:textId="77777777" w:rsidR="008D2539" w:rsidRPr="00FB5737" w:rsidRDefault="0064634F">
      <w:pPr>
        <w:spacing w:line="360" w:lineRule="auto"/>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sz w:val="22"/>
          <w:szCs w:val="22"/>
        </w:rPr>
        <w:t xml:space="preserve">Ahora, atendiendo la naturaleza de la información solicitada, debe precisarse en primer lugar, que el concepto “curriculum” corresponde a una locución latina cuyo significado es </w:t>
      </w:r>
      <w:r w:rsidRPr="00FB5737">
        <w:rPr>
          <w:rFonts w:ascii="Palatino Linotype" w:eastAsia="Palatino Linotype" w:hAnsi="Palatino Linotype" w:cs="Palatino Linotype"/>
          <w:i/>
          <w:sz w:val="22"/>
          <w:szCs w:val="22"/>
        </w:rPr>
        <w:t>“carrera de vida”, Se usa como locución nominal masculina para designar la relación de los datos personales, formación académica, actividad laboral y méritos de una persona.” (Sic)</w:t>
      </w:r>
    </w:p>
    <w:p w14:paraId="1AC73197" w14:textId="77777777" w:rsidR="008D2539" w:rsidRPr="00FB5737" w:rsidRDefault="008D2539">
      <w:pPr>
        <w:spacing w:line="360" w:lineRule="auto"/>
        <w:jc w:val="both"/>
        <w:rPr>
          <w:rFonts w:ascii="Palatino Linotype" w:eastAsia="Palatino Linotype" w:hAnsi="Palatino Linotype" w:cs="Palatino Linotype"/>
          <w:i/>
          <w:sz w:val="22"/>
          <w:szCs w:val="22"/>
        </w:rPr>
      </w:pPr>
    </w:p>
    <w:p w14:paraId="66C63A5B"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5DB9ABDB"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3702DD35" w14:textId="35EE33BF"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Por su lado, la Real Academia Española, lo define como a continuación se cita: </w:t>
      </w:r>
    </w:p>
    <w:p w14:paraId="0E43F5D0" w14:textId="77777777" w:rsidR="00717D13" w:rsidRPr="00FB5737" w:rsidRDefault="00717D13">
      <w:pPr>
        <w:spacing w:line="360" w:lineRule="auto"/>
        <w:jc w:val="both"/>
        <w:rPr>
          <w:rFonts w:ascii="Palatino Linotype" w:eastAsia="Palatino Linotype" w:hAnsi="Palatino Linotype" w:cs="Palatino Linotype"/>
          <w:sz w:val="22"/>
          <w:szCs w:val="22"/>
        </w:rPr>
      </w:pPr>
    </w:p>
    <w:p w14:paraId="03ECFC45" w14:textId="77777777" w:rsidR="008D2539" w:rsidRPr="00FB5737" w:rsidRDefault="0064634F">
      <w:pPr>
        <w:spacing w:line="360" w:lineRule="auto"/>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“Relación de los títulos, honores, cargos, trabajos realizados, datos biográficos, etc, que califican a una persona” (Sic)</w:t>
      </w:r>
    </w:p>
    <w:p w14:paraId="35969784"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6D3F827C"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 esta manera, el </w:t>
      </w:r>
      <w:r w:rsidRPr="00FB5737">
        <w:rPr>
          <w:rFonts w:ascii="Palatino Linotype" w:eastAsia="Palatino Linotype" w:hAnsi="Palatino Linotype" w:cs="Palatino Linotype"/>
          <w:i/>
          <w:sz w:val="22"/>
          <w:szCs w:val="22"/>
        </w:rPr>
        <w:t>curriculum vitae</w:t>
      </w:r>
      <w:r w:rsidRPr="00FB5737">
        <w:rPr>
          <w:rFonts w:ascii="Palatino Linotype" w:eastAsia="Palatino Linotype" w:hAnsi="Palatino Linotype" w:cs="Palatino Linotype"/>
          <w:sz w:val="22"/>
          <w:szCs w:val="22"/>
        </w:rPr>
        <w:t>, es el documento que las personas elaboran con los datos de identificación y contacto</w:t>
      </w:r>
      <w:r w:rsidRPr="00FB5737">
        <w:rPr>
          <w:rFonts w:ascii="Palatino Linotype" w:eastAsia="Palatino Linotype" w:hAnsi="Palatino Linotype" w:cs="Palatino Linotype"/>
          <w:sz w:val="22"/>
          <w:szCs w:val="22"/>
          <w:u w:val="single"/>
        </w:rPr>
        <w:t xml:space="preserve">, </w:t>
      </w:r>
      <w:r w:rsidRPr="00FB5737">
        <w:rPr>
          <w:rFonts w:ascii="Palatino Linotype" w:eastAsia="Palatino Linotype" w:hAnsi="Palatino Linotype" w:cs="Palatino Linotype"/>
          <w:b/>
          <w:sz w:val="22"/>
          <w:szCs w:val="22"/>
          <w:u w:val="single"/>
        </w:rPr>
        <w:t>preparación académica y experiencia profesion</w:t>
      </w:r>
      <w:r w:rsidRPr="00FB5737">
        <w:rPr>
          <w:rFonts w:ascii="Palatino Linotype" w:eastAsia="Palatino Linotype" w:hAnsi="Palatino Linotype" w:cs="Palatino Linotype"/>
          <w:b/>
          <w:sz w:val="22"/>
          <w:szCs w:val="22"/>
        </w:rPr>
        <w:t>al,</w:t>
      </w:r>
      <w:r w:rsidRPr="00FB5737">
        <w:rPr>
          <w:rFonts w:ascii="Palatino Linotype" w:eastAsia="Palatino Linotype" w:hAnsi="Palatino Linotype" w:cs="Palatino Linotype"/>
          <w:sz w:val="22"/>
          <w:szCs w:val="22"/>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r w:rsidRPr="00FB5737">
        <w:rPr>
          <w:rFonts w:ascii="Palatino Linotype" w:eastAsia="Palatino Linotype" w:hAnsi="Palatino Linotype" w:cs="Palatino Linotype"/>
          <w:i/>
          <w:sz w:val="22"/>
          <w:szCs w:val="22"/>
        </w:rPr>
        <w:t>curriculum vitae</w:t>
      </w:r>
      <w:r w:rsidRPr="00FB5737">
        <w:rPr>
          <w:rFonts w:ascii="Palatino Linotype" w:eastAsia="Palatino Linotype" w:hAnsi="Palatino Linotype" w:cs="Palatino Linotype"/>
          <w:b/>
          <w:sz w:val="22"/>
          <w:szCs w:val="22"/>
          <w:u w:val="single"/>
        </w:rPr>
        <w:t>, se le suma la experiencia laboral</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u w:val="single"/>
        </w:rPr>
        <w:t xml:space="preserve">pues permiten identificar el nivel y tipo de preparación de su titular y en su caso su perfil </w:t>
      </w:r>
      <w:r w:rsidRPr="00FB5737">
        <w:rPr>
          <w:rFonts w:ascii="Palatino Linotype" w:eastAsia="Palatino Linotype" w:hAnsi="Palatino Linotype" w:cs="Palatino Linotype"/>
          <w:b/>
          <w:sz w:val="22"/>
          <w:szCs w:val="22"/>
        </w:rPr>
        <w:t xml:space="preserve">profesional </w:t>
      </w:r>
      <w:r w:rsidRPr="00FB5737">
        <w:rPr>
          <w:rFonts w:ascii="Palatino Linotype" w:eastAsia="Palatino Linotype" w:hAnsi="Palatino Linotype" w:cs="Palatino Linotype"/>
          <w:b/>
          <w:sz w:val="22"/>
          <w:szCs w:val="22"/>
          <w:u w:val="single"/>
        </w:rPr>
        <w:t>o laboral.</w:t>
      </w:r>
    </w:p>
    <w:p w14:paraId="387DBF97"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4B2BD71A"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Desde esta perspectiva, a través del currículum vite la persona solicitante puede advertir los estudios realizados o bien el nivel académico, así como la experiencia laboral de los servidores públicos que se encuentran adscritos al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FB5737">
        <w:rPr>
          <w:rFonts w:ascii="Palatino Linotype" w:eastAsia="Palatino Linotype" w:hAnsi="Palatino Linotype" w:cs="Palatino Linotype"/>
          <w:b/>
          <w:sz w:val="22"/>
          <w:szCs w:val="22"/>
          <w:u w:val="single"/>
        </w:rPr>
        <w:t>es mediante la publicidad de ciertos datos contenidos en los currículos, o bien en las solicitudes de empleo,</w:t>
      </w:r>
      <w:r w:rsidRPr="00FB5737">
        <w:rPr>
          <w:rFonts w:ascii="Palatino Linotype" w:eastAsia="Palatino Linotype" w:hAnsi="Palatino Linotype" w:cs="Palatino Linotype"/>
          <w:sz w:val="22"/>
          <w:szCs w:val="22"/>
        </w:rPr>
        <w:t xml:space="preserve"> el cual, para mayor ilustración se transcribe a continuación:</w:t>
      </w:r>
    </w:p>
    <w:p w14:paraId="6BE7D2B7"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378BA141" w14:textId="77777777" w:rsidR="008D2539" w:rsidRPr="00FB5737" w:rsidRDefault="0064634F">
      <w:pPr>
        <w:ind w:left="567" w:right="612"/>
        <w:jc w:val="both"/>
        <w:rPr>
          <w:rFonts w:ascii="Palatino Linotype" w:eastAsia="Palatino Linotype" w:hAnsi="Palatino Linotype" w:cs="Palatino Linotype"/>
          <w:i/>
          <w:sz w:val="20"/>
          <w:szCs w:val="20"/>
        </w:rPr>
      </w:pPr>
      <w:r w:rsidRPr="00FB5737">
        <w:rPr>
          <w:rFonts w:ascii="Palatino Linotype" w:eastAsia="Palatino Linotype" w:hAnsi="Palatino Linotype" w:cs="Palatino Linotype"/>
          <w:i/>
          <w:sz w:val="22"/>
          <w:szCs w:val="22"/>
        </w:rPr>
        <w:t xml:space="preserve"> “</w:t>
      </w:r>
      <w:r w:rsidRPr="00FB5737">
        <w:rPr>
          <w:rFonts w:ascii="Palatino Linotype" w:eastAsia="Palatino Linotype" w:hAnsi="Palatino Linotype" w:cs="Palatino Linotype"/>
          <w:b/>
          <w:i/>
          <w:sz w:val="22"/>
          <w:szCs w:val="22"/>
        </w:rPr>
        <w:t>Curriculum Vitae de servidores públicos.</w:t>
      </w:r>
      <w:r w:rsidRPr="00FB5737">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02B60E50" w14:textId="77777777" w:rsidR="008D2539" w:rsidRPr="00FB5737" w:rsidRDefault="008D2539">
      <w:pPr>
        <w:spacing w:line="276" w:lineRule="auto"/>
        <w:jc w:val="both"/>
        <w:rPr>
          <w:rFonts w:ascii="Palatino Linotype" w:eastAsia="Palatino Linotype" w:hAnsi="Palatino Linotype" w:cs="Palatino Linotype"/>
          <w:i/>
          <w:sz w:val="22"/>
          <w:szCs w:val="22"/>
        </w:rPr>
      </w:pPr>
    </w:p>
    <w:p w14:paraId="1D4FC26B" w14:textId="77777777" w:rsidR="008D2539" w:rsidRPr="00FB5737" w:rsidRDefault="0064634F">
      <w:pPr>
        <w:spacing w:line="360" w:lineRule="auto"/>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FB5737">
        <w:rPr>
          <w:rFonts w:ascii="Palatino Linotype" w:eastAsia="Palatino Linotype" w:hAnsi="Palatino Linotype" w:cs="Palatino Linotype"/>
          <w:b/>
          <w:sz w:val="22"/>
          <w:szCs w:val="22"/>
        </w:rPr>
        <w:t>de acuerdo a su nivel profesional y laboral</w:t>
      </w:r>
      <w:r w:rsidRPr="00FB5737">
        <w:rPr>
          <w:rFonts w:ascii="Palatino Linotype" w:eastAsia="Palatino Linotype" w:hAnsi="Palatino Linotype" w:cs="Palatino Linotype"/>
          <w:sz w:val="22"/>
          <w:szCs w:val="22"/>
        </w:rPr>
        <w:t xml:space="preserve">, para el desempeño de sus funciones en el cargo que ostenten, razón que resulta suficiente para que sean de conocimiento público </w:t>
      </w:r>
      <w:r w:rsidRPr="00FB5737">
        <w:rPr>
          <w:rFonts w:ascii="Palatino Linotype" w:eastAsia="Palatino Linotype" w:hAnsi="Palatino Linotype" w:cs="Palatino Linotype"/>
          <w:sz w:val="22"/>
          <w:szCs w:val="22"/>
          <w:u w:val="single"/>
        </w:rPr>
        <w:t>y si bien es cierto que no existe disposición legal que ordene de manera expresa que el sujeto obligado, deba contar en sus archivos con un documento denominado “currículum vitae”</w:t>
      </w:r>
      <w:r w:rsidRPr="00FB5737">
        <w:rPr>
          <w:rFonts w:ascii="Palatino Linotype" w:eastAsia="Palatino Linotype" w:hAnsi="Palatino Linotype" w:cs="Palatino Linotype"/>
          <w:sz w:val="22"/>
          <w:szCs w:val="22"/>
        </w:rPr>
        <w:t xml:space="preserve"> de sus servidores públicos, </w:t>
      </w:r>
      <w:r w:rsidRPr="00FB5737">
        <w:rPr>
          <w:rFonts w:ascii="Palatino Linotype" w:eastAsia="Palatino Linotype" w:hAnsi="Palatino Linotype" w:cs="Palatino Linotype"/>
          <w:b/>
          <w:sz w:val="22"/>
          <w:szCs w:val="22"/>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17E254EC" w14:textId="77777777" w:rsidR="008D2539" w:rsidRPr="00FB5737" w:rsidRDefault="008D2539">
      <w:pPr>
        <w:spacing w:line="360" w:lineRule="auto"/>
        <w:jc w:val="both"/>
        <w:rPr>
          <w:rFonts w:ascii="Palatino Linotype" w:eastAsia="Palatino Linotype" w:hAnsi="Palatino Linotype" w:cs="Palatino Linotype"/>
          <w:b/>
          <w:sz w:val="22"/>
          <w:szCs w:val="22"/>
        </w:rPr>
      </w:pPr>
    </w:p>
    <w:p w14:paraId="60E0A83D" w14:textId="77777777" w:rsidR="008D2539" w:rsidRPr="00FB5737" w:rsidRDefault="0064634F">
      <w:pPr>
        <w:spacing w:line="276" w:lineRule="auto"/>
        <w:ind w:left="567" w:right="56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47. Para ingresar al servicio público se requiere: </w:t>
      </w:r>
    </w:p>
    <w:p w14:paraId="25A32971" w14:textId="77777777" w:rsidR="008D2539" w:rsidRPr="00FB5737" w:rsidRDefault="0064634F">
      <w:pPr>
        <w:spacing w:line="276" w:lineRule="auto"/>
        <w:ind w:left="567" w:right="56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I. Presentar una solicitud utilizando la forma oficial que se autorice por la institución pública o dependencia correspondiente, a la cual se le prohíbe incluir la fotografía de quien solicita el empleo;[…]”</w:t>
      </w:r>
    </w:p>
    <w:p w14:paraId="7F79A27F"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785BE928"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Por lo que es posible determinar que, el currículum vítae, ficha curricular, solicitud de empleo o documento análogo, contienen información relacionada con la trayectoria académica, profesional y laboral,</w:t>
      </w:r>
      <w:r w:rsidRPr="00FB5737">
        <w:rPr>
          <w:rFonts w:ascii="Palatino Linotype" w:eastAsia="Palatino Linotype" w:hAnsi="Palatino Linotype" w:cs="Palatino Linotype"/>
          <w:sz w:val="22"/>
          <w:szCs w:val="22"/>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790C89A8"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7109E20C"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FB5737">
        <w:rPr>
          <w:rFonts w:ascii="Palatino Linotype" w:eastAsia="Palatino Linotype" w:hAnsi="Palatino Linotype" w:cs="Palatino Linotype"/>
          <w:b/>
          <w:sz w:val="22"/>
          <w:szCs w:val="22"/>
        </w:rPr>
        <w:t>el Sujeto Obligado</w:t>
      </w:r>
      <w:r w:rsidRPr="00FB5737">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2331D57B"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49D7918C" w14:textId="77777777" w:rsidR="008D2539" w:rsidRPr="00FB5737" w:rsidRDefault="0064634F">
      <w:pPr>
        <w:ind w:left="567" w:right="612"/>
        <w:jc w:val="both"/>
        <w:rPr>
          <w:rFonts w:ascii="Palatino Linotype" w:eastAsia="Palatino Linotype" w:hAnsi="Palatino Linotype" w:cs="Palatino Linotype"/>
          <w:i/>
          <w:sz w:val="20"/>
          <w:szCs w:val="20"/>
        </w:rPr>
      </w:pPr>
      <w:r w:rsidRPr="00FB5737">
        <w:rPr>
          <w:rFonts w:ascii="Palatino Linotype" w:eastAsia="Palatino Linotype" w:hAnsi="Palatino Linotype" w:cs="Palatino Linotype"/>
          <w:i/>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DF774BC" w14:textId="77777777" w:rsidR="008D2539" w:rsidRPr="00FB5737" w:rsidRDefault="0064634F">
      <w:pPr>
        <w:ind w:left="567" w:right="612"/>
        <w:jc w:val="both"/>
        <w:rPr>
          <w:rFonts w:ascii="Palatino Linotype" w:eastAsia="Palatino Linotype" w:hAnsi="Palatino Linotype" w:cs="Palatino Linotype"/>
          <w:i/>
          <w:sz w:val="20"/>
          <w:szCs w:val="20"/>
        </w:rPr>
      </w:pPr>
      <w:r w:rsidRPr="00FB5737">
        <w:rPr>
          <w:rFonts w:ascii="Palatino Linotype" w:eastAsia="Palatino Linotype" w:hAnsi="Palatino Linotype" w:cs="Palatino Linotype"/>
          <w:i/>
          <w:sz w:val="22"/>
          <w:szCs w:val="22"/>
        </w:rPr>
        <w:t>...</w:t>
      </w:r>
    </w:p>
    <w:p w14:paraId="49463813" w14:textId="77777777" w:rsidR="008D2539" w:rsidRPr="00FB5737" w:rsidRDefault="0064634F">
      <w:pPr>
        <w:ind w:left="567" w:right="612"/>
        <w:jc w:val="both"/>
        <w:rPr>
          <w:rFonts w:ascii="Palatino Linotype" w:eastAsia="Palatino Linotype" w:hAnsi="Palatino Linotype" w:cs="Palatino Linotype"/>
          <w:i/>
          <w:sz w:val="20"/>
          <w:szCs w:val="20"/>
        </w:rPr>
      </w:pPr>
      <w:r w:rsidRPr="00FB5737">
        <w:rPr>
          <w:rFonts w:ascii="Palatino Linotype" w:eastAsia="Palatino Linotype" w:hAnsi="Palatino Linotype" w:cs="Palatino Linotype"/>
          <w:i/>
          <w:sz w:val="22"/>
          <w:szCs w:val="22"/>
        </w:rPr>
        <w:t>XXI. La información curricular, desde el nivel de jefe de departamento o equivalente, hasta el titular del sujeto obligado, así como, en su caso, las sanciones administrativas de que haya sido objeto;”</w:t>
      </w:r>
    </w:p>
    <w:p w14:paraId="25E1FA69" w14:textId="77777777" w:rsidR="008D2539" w:rsidRPr="00FB5737" w:rsidRDefault="008D2539">
      <w:pPr>
        <w:spacing w:line="360" w:lineRule="auto"/>
        <w:ind w:right="49"/>
        <w:jc w:val="both"/>
        <w:rPr>
          <w:rFonts w:ascii="Palatino Linotype" w:eastAsia="Palatino Linotype" w:hAnsi="Palatino Linotype" w:cs="Palatino Linotype"/>
          <w:sz w:val="22"/>
          <w:szCs w:val="22"/>
        </w:rPr>
      </w:pPr>
    </w:p>
    <w:p w14:paraId="695048E3" w14:textId="77777777" w:rsidR="008D2539" w:rsidRPr="00FB5737" w:rsidRDefault="0064634F">
      <w:pPr>
        <w:spacing w:line="360" w:lineRule="auto"/>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r w:rsidRPr="00FB5737">
        <w:rPr>
          <w:rFonts w:ascii="Palatino Linotype" w:eastAsia="Palatino Linotype" w:hAnsi="Palatino Linotype" w:cs="Palatino Linotype"/>
          <w:b/>
          <w:i/>
          <w:sz w:val="22"/>
          <w:szCs w:val="22"/>
        </w:rPr>
        <w:t>curriculum vitae</w:t>
      </w:r>
      <w:r w:rsidRPr="00FB5737">
        <w:rPr>
          <w:rFonts w:ascii="Palatino Linotype" w:eastAsia="Palatino Linotype" w:hAnsi="Palatino Linotype" w:cs="Palatino Linotype"/>
          <w:b/>
          <w:sz w:val="22"/>
          <w:szCs w:val="22"/>
        </w:rPr>
        <w:t xml:space="preserve"> </w:t>
      </w:r>
      <w:r w:rsidRPr="00FB5737">
        <w:rPr>
          <w:rFonts w:ascii="Palatino Linotype" w:eastAsia="Palatino Linotype" w:hAnsi="Palatino Linotype" w:cs="Palatino Linotype"/>
          <w:sz w:val="22"/>
          <w:szCs w:val="22"/>
        </w:rPr>
        <w:t>d</w:t>
      </w:r>
      <w:r w:rsidRPr="00FB5737">
        <w:rPr>
          <w:rFonts w:ascii="Palatino Linotype" w:eastAsia="Palatino Linotype" w:hAnsi="Palatino Linotype" w:cs="Palatino Linotype"/>
          <w:b/>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480915E4"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1F99951C"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De esta manera, con la entrega que se realice del curriculum vitae, ficha curricular, solicitud de empleo o documento análogo, se daría cuenta de lo requerido.</w:t>
      </w:r>
    </w:p>
    <w:p w14:paraId="61FA1F5F"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5392754C" w14:textId="5283D870"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Ahora, del análisis a la respuesta se advierte que 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 xml:space="preserve">proporcionó un link del portal del ipomex de la fracción XXI Información curricular del artículo 92 de la Ley de Transparencia Local para consultar la información requerida, no </w:t>
      </w:r>
      <w:r w:rsidR="00717D13" w:rsidRPr="00FB5737">
        <w:rPr>
          <w:rFonts w:ascii="Palatino Linotype" w:eastAsia="Palatino Linotype" w:hAnsi="Palatino Linotype" w:cs="Palatino Linotype"/>
          <w:sz w:val="22"/>
          <w:szCs w:val="22"/>
        </w:rPr>
        <w:t>obstante,</w:t>
      </w:r>
      <w:r w:rsidRPr="00FB5737">
        <w:rPr>
          <w:rFonts w:ascii="Palatino Linotype" w:eastAsia="Palatino Linotype" w:hAnsi="Palatino Linotype" w:cs="Palatino Linotype"/>
          <w:sz w:val="22"/>
          <w:szCs w:val="22"/>
        </w:rPr>
        <w:t xml:space="preserve"> el mismo se entregó en formato cerrado, sin </w:t>
      </w:r>
      <w:r w:rsidR="00717D13" w:rsidRPr="00FB5737">
        <w:rPr>
          <w:rFonts w:ascii="Palatino Linotype" w:eastAsia="Palatino Linotype" w:hAnsi="Palatino Linotype" w:cs="Palatino Linotype"/>
          <w:sz w:val="22"/>
          <w:szCs w:val="22"/>
        </w:rPr>
        <w:t>embargo,</w:t>
      </w:r>
      <w:r w:rsidRPr="00FB5737">
        <w:rPr>
          <w:rFonts w:ascii="Palatino Linotype" w:eastAsia="Palatino Linotype" w:hAnsi="Palatino Linotype" w:cs="Palatino Linotype"/>
          <w:sz w:val="22"/>
          <w:szCs w:val="22"/>
        </w:rPr>
        <w:t xml:space="preserve"> del análisis a los motivos de inconformidad, se advierte que el particular accedió a los mismos y determinó que en el link entregado no se localizó lo requerido. </w:t>
      </w:r>
    </w:p>
    <w:p w14:paraId="34AAD321"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18726FC2"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793625FD" w14:textId="77777777" w:rsidR="008D2539" w:rsidRPr="00FB5737" w:rsidRDefault="0064634F">
      <w:pPr>
        <w:spacing w:before="240" w:after="240"/>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D5C43D0" w14:textId="77777777" w:rsidR="008D2539" w:rsidRPr="00FB5737" w:rsidRDefault="0064634F">
      <w:pPr>
        <w:spacing w:before="240" w:after="240" w:line="360"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(Énfasis añadido)</w:t>
      </w:r>
    </w:p>
    <w:p w14:paraId="47A2416D" w14:textId="77777777" w:rsidR="008D2539" w:rsidRPr="00FB5737" w:rsidRDefault="0064634F">
      <w:pPr>
        <w:spacing w:before="240" w:after="240"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Es así que, toda aquella información que sea requerida por los particulares que, previamente se encuentre disponible en sitios electrónicos, como puede ser de manera enunciativa más no limitativa, el sitio oficial del Sujeto Obligado; el portal IPOMEX; y/o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14:paraId="36B4DBA6" w14:textId="77777777" w:rsidR="008D2539" w:rsidRPr="00FB5737" w:rsidRDefault="0064634F">
      <w:pPr>
        <w:spacing w:before="240" w:after="240" w:line="360" w:lineRule="auto"/>
        <w:ind w:left="284"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La dirección electrónica debe señalarse en un plazo no mayor a cinco días hábiles;</w:t>
      </w:r>
    </w:p>
    <w:p w14:paraId="535B3C1B" w14:textId="77777777" w:rsidR="008D2539" w:rsidRPr="00FB5737" w:rsidRDefault="0064634F">
      <w:pPr>
        <w:spacing w:before="240" w:after="240" w:line="360" w:lineRule="auto"/>
        <w:ind w:left="284"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La dirección electrónica debe ser precisa, de tal modo que no implique realizar una búsqueda en toda la información que ahí se encuentre; y,</w:t>
      </w:r>
    </w:p>
    <w:p w14:paraId="6E1DB89D"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La dirección electrónica debe ir acompañada del procedimiento a seguir, en caso de que la información se encuentre en distintos</w:t>
      </w:r>
    </w:p>
    <w:p w14:paraId="054052F4"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0FBB0E1F"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En ese contexto, el artículo 3°, fracciones VIII y XVI de la Ley de Transparencia y Acceso a la Información Pública del Estado de México y Municipios, precisan lo siguiente:</w:t>
      </w:r>
    </w:p>
    <w:p w14:paraId="16196693" w14:textId="77777777" w:rsidR="008D2539" w:rsidRPr="00FB5737" w:rsidRDefault="0064634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b/>
          <w:sz w:val="22"/>
          <w:szCs w:val="22"/>
        </w:rPr>
        <w:t xml:space="preserve">Dato abierto: </w:t>
      </w:r>
      <w:r w:rsidRPr="00FB5737">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780C86D" w14:textId="77777777" w:rsidR="008D2539" w:rsidRPr="00FB5737" w:rsidRDefault="0064634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b/>
          <w:sz w:val="22"/>
          <w:szCs w:val="22"/>
        </w:rPr>
        <w:t xml:space="preserve">Formato accesible: </w:t>
      </w:r>
      <w:r w:rsidRPr="00FB5737">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295F22F"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5D78E730" w14:textId="251ADAEB"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Ahora atendiendo </w:t>
      </w:r>
      <w:r w:rsidR="00717D13" w:rsidRPr="00FB5737">
        <w:rPr>
          <w:rFonts w:ascii="Palatino Linotype" w:eastAsia="Palatino Linotype" w:hAnsi="Palatino Linotype" w:cs="Palatino Linotype"/>
          <w:sz w:val="22"/>
          <w:szCs w:val="22"/>
        </w:rPr>
        <w:t>que,</w:t>
      </w:r>
      <w:r w:rsidRPr="00FB5737">
        <w:rPr>
          <w:rFonts w:ascii="Palatino Linotype" w:eastAsia="Palatino Linotype" w:hAnsi="Palatino Linotype" w:cs="Palatino Linotype"/>
          <w:sz w:val="22"/>
          <w:szCs w:val="22"/>
        </w:rPr>
        <w:t xml:space="preserve"> en el presente asunto, el Sujeto Obligado entregó una dirección electrónica, se procede al análisis del link entregado (https://ipomex.org.mx/ipomex/#/info-fraccion/28/197/12), del cual se obtiene que el mismo remite a la fracción XXI Información curricular del artículo 92 de la Ley de Transparencia Local, respecto de la información del tercer trimestre del ejercicio 2025, como se muestra:</w:t>
      </w:r>
    </w:p>
    <w:p w14:paraId="024A0EC8"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noProof/>
          <w:sz w:val="22"/>
          <w:szCs w:val="22"/>
        </w:rPr>
        <w:drawing>
          <wp:inline distT="0" distB="0" distL="0" distR="0" wp14:anchorId="21A3E9BE" wp14:editId="284AEFC6">
            <wp:extent cx="5612130" cy="382778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3827780"/>
                    </a:xfrm>
                    <a:prstGeom prst="rect">
                      <a:avLst/>
                    </a:prstGeom>
                    <a:ln/>
                  </pic:spPr>
                </pic:pic>
              </a:graphicData>
            </a:graphic>
          </wp:inline>
        </w:drawing>
      </w:r>
    </w:p>
    <w:p w14:paraId="6E25C92C"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3AA397DF" w14:textId="3355A2A2"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 lo anterior, se advierte que el link de nuestra atención dirige a la fracción XXI del artículo 92 de la Ley de Transparencia Local del IPOMEX del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relativa a la información curricular del tercer trimestre de dos mil veinticinco, si bien se advierte información curricular de servidores públicos adscritos al Sujeto Obligado; </w:t>
      </w:r>
      <w:r w:rsidR="00717D13" w:rsidRPr="00FB5737">
        <w:rPr>
          <w:rFonts w:ascii="Palatino Linotype" w:eastAsia="Palatino Linotype" w:hAnsi="Palatino Linotype" w:cs="Palatino Linotype"/>
          <w:sz w:val="22"/>
          <w:szCs w:val="22"/>
        </w:rPr>
        <w:t>también</w:t>
      </w:r>
      <w:r w:rsidRPr="00FB5737">
        <w:rPr>
          <w:rFonts w:ascii="Palatino Linotype" w:eastAsia="Palatino Linotype" w:hAnsi="Palatino Linotype" w:cs="Palatino Linotype"/>
          <w:sz w:val="22"/>
          <w:szCs w:val="22"/>
        </w:rPr>
        <w:t xml:space="preserve"> lo es que no se localizó la información requerida respecto del Presidente Municipal actual de Toluca el C. Ricardo Moreno Bastida, como se muestra:</w:t>
      </w:r>
    </w:p>
    <w:p w14:paraId="31060C5F"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5015617E"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noProof/>
          <w:sz w:val="22"/>
          <w:szCs w:val="22"/>
        </w:rPr>
        <w:drawing>
          <wp:inline distT="0" distB="0" distL="0" distR="0" wp14:anchorId="5DDD38EC" wp14:editId="0ADDA635">
            <wp:extent cx="5612130" cy="2262505"/>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2262505"/>
                    </a:xfrm>
                    <a:prstGeom prst="rect">
                      <a:avLst/>
                    </a:prstGeom>
                    <a:ln/>
                  </pic:spPr>
                </pic:pic>
              </a:graphicData>
            </a:graphic>
          </wp:inline>
        </w:drawing>
      </w:r>
    </w:p>
    <w:p w14:paraId="5F49F577"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335AB624"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De ahí que la respuesta no colma el derecho de acceso a la información del particular.</w:t>
      </w:r>
    </w:p>
    <w:p w14:paraId="3A0A49BC"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37BB9627"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Por tanto, se considera que los motivos de inconformidad hechos valer por la parte </w:t>
      </w:r>
      <w:r w:rsidRPr="00FB5737">
        <w:rPr>
          <w:rFonts w:ascii="Palatino Linotype" w:eastAsia="Palatino Linotype" w:hAnsi="Palatino Linotype" w:cs="Palatino Linotype"/>
          <w:b/>
          <w:sz w:val="22"/>
          <w:szCs w:val="22"/>
        </w:rPr>
        <w:t xml:space="preserve">Recurrente </w:t>
      </w:r>
      <w:r w:rsidRPr="00FB5737">
        <w:rPr>
          <w:rFonts w:ascii="Palatino Linotype" w:eastAsia="Palatino Linotype" w:hAnsi="Palatino Linotype" w:cs="Palatino Linotype"/>
          <w:sz w:val="22"/>
          <w:szCs w:val="22"/>
        </w:rPr>
        <w:t xml:space="preserve">resultan parcialmente fundados; siendo procedente ordenar </w:t>
      </w:r>
      <w:r w:rsidRPr="00FB5737">
        <w:rPr>
          <w:rFonts w:ascii="Palatino Linotype" w:eastAsia="Palatino Linotype" w:hAnsi="Palatino Linotype" w:cs="Palatino Linotype"/>
          <w:b/>
          <w:sz w:val="22"/>
          <w:szCs w:val="22"/>
        </w:rPr>
        <w:t xml:space="preserve">Modificar </w:t>
      </w:r>
      <w:r w:rsidRPr="00FB5737">
        <w:rPr>
          <w:rFonts w:ascii="Palatino Linotype" w:eastAsia="Palatino Linotype" w:hAnsi="Palatino Linotype" w:cs="Palatino Linotype"/>
          <w:sz w:val="22"/>
          <w:szCs w:val="22"/>
        </w:rPr>
        <w:t xml:space="preserve">la respuesta del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 xml:space="preserve">y ordenar que, en cumplimiento a la presente resolución, se haga entrega, previa búsqueda exhaustiva y razonable, de ser procedente en versión pública, el documento donde conste o se pueda advertir: </w:t>
      </w:r>
    </w:p>
    <w:p w14:paraId="327C1C60"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5E597048" w14:textId="6BD58BA0" w:rsidR="008D2539" w:rsidRPr="00FB5737" w:rsidRDefault="00717D1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u w:val="single"/>
        </w:rPr>
        <w:t xml:space="preserve">La información curricular </w:t>
      </w:r>
      <w:r w:rsidR="0064634F" w:rsidRPr="00FB5737">
        <w:rPr>
          <w:rFonts w:ascii="Palatino Linotype" w:eastAsia="Palatino Linotype" w:hAnsi="Palatino Linotype" w:cs="Palatino Linotype"/>
          <w:b/>
          <w:sz w:val="22"/>
          <w:szCs w:val="22"/>
          <w:u w:val="single"/>
        </w:rPr>
        <w:t xml:space="preserve">del Presidente Municipal </w:t>
      </w:r>
      <w:r w:rsidRPr="00FB5737">
        <w:rPr>
          <w:rFonts w:ascii="Palatino Linotype" w:eastAsia="Palatino Linotype" w:hAnsi="Palatino Linotype" w:cs="Palatino Linotype"/>
          <w:b/>
          <w:sz w:val="22"/>
          <w:szCs w:val="22"/>
          <w:u w:val="single"/>
        </w:rPr>
        <w:t>en funciones al veinte de agosto de dos mil veinticinco.</w:t>
      </w:r>
    </w:p>
    <w:p w14:paraId="28355918"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21A7A684"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Finalmente, respecto a los motivos de inconformidad relativos a “</w:t>
      </w:r>
      <w:r w:rsidRPr="00FB5737">
        <w:rPr>
          <w:rFonts w:ascii="Palatino Linotype" w:eastAsia="Palatino Linotype" w:hAnsi="Palatino Linotype" w:cs="Palatino Linotype"/>
          <w:i/>
          <w:sz w:val="22"/>
          <w:szCs w:val="22"/>
        </w:rPr>
        <w:t>deberían hacer una verificación de sus portales ya que no los tienen actualizados…</w:t>
      </w:r>
      <w:r w:rsidRPr="00FB5737">
        <w:rPr>
          <w:rFonts w:ascii="Palatino Linotype" w:eastAsia="Palatino Linotype" w:hAnsi="Palatino Linotype" w:cs="Palatino Linotype"/>
          <w:sz w:val="22"/>
          <w:szCs w:val="22"/>
        </w:rPr>
        <w:t>”, es de indicar lo siguiente:</w:t>
      </w:r>
    </w:p>
    <w:p w14:paraId="37ABE3A8"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5849655E"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El artículo 92 de la Ley de la materia, enlista y reconoce a toda la información que, dada por su naturaleza, los Sujetos Obligados estarán constreñidos a publicar y difundir de manera permanente a la ciudadanía. Por su parte, los artículos 94, 95, 96, 97, 98, 99, 100, 101, 102, 103, 104 y 105 enlistan y reconocen las obligaciones de transparencia específicas a las que estarán supeditados dependiendo de su naturaleza, competencia o atribuciones</w:t>
      </w:r>
    </w:p>
    <w:p w14:paraId="12C2AFFA"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51E5C1B7"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Respecto al incumplimiento de obligaciones de transparencia, la ley en la materia pone a disposición de los particulares mecanismos específicos para hacer del conocimiento de la autoridad competente dicha circunstancia, tal como se advierte a continuación: </w:t>
      </w:r>
    </w:p>
    <w:p w14:paraId="764576A6"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61E5B118" w14:textId="77777777" w:rsidR="008D2539" w:rsidRPr="00FB5737" w:rsidRDefault="0064634F">
      <w:pPr>
        <w:ind w:left="567" w:right="616"/>
        <w:jc w:val="center"/>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Capítulo VI</w:t>
      </w:r>
    </w:p>
    <w:p w14:paraId="43C7CA0C" w14:textId="77777777" w:rsidR="008D2539" w:rsidRPr="00FB5737" w:rsidRDefault="0064634F">
      <w:pPr>
        <w:ind w:left="567" w:right="616"/>
        <w:jc w:val="center"/>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Del Incumplimiento a las Obligaciones de Transparencia</w:t>
      </w:r>
    </w:p>
    <w:p w14:paraId="629F1083" w14:textId="77777777" w:rsidR="008D2539" w:rsidRPr="00FB5737" w:rsidRDefault="008D2539">
      <w:pPr>
        <w:ind w:left="567" w:right="616"/>
        <w:jc w:val="both"/>
        <w:rPr>
          <w:rFonts w:ascii="Palatino Linotype" w:eastAsia="Palatino Linotype" w:hAnsi="Palatino Linotype" w:cs="Palatino Linotype"/>
          <w:i/>
          <w:sz w:val="22"/>
          <w:szCs w:val="22"/>
        </w:rPr>
      </w:pPr>
    </w:p>
    <w:p w14:paraId="0B496FD9"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111. Cualquier persona podrá denunciar ante el Instituto la falta de publicación de las obligaciones de transparencia previstas en la presente Ley y demás disposiciones jurídicas aplicables, en sus respectivos ámbitos de competencia. Las denuncias presentadas por los particulares podrán realizarse en cualquier momento, de conformidad con el procedimiento señalado en la presente Ley. </w:t>
      </w:r>
    </w:p>
    <w:p w14:paraId="1B548DC8" w14:textId="77777777" w:rsidR="008D2539" w:rsidRPr="00FB5737" w:rsidRDefault="008D2539">
      <w:pPr>
        <w:ind w:left="567" w:right="616"/>
        <w:jc w:val="both"/>
        <w:rPr>
          <w:rFonts w:ascii="Palatino Linotype" w:eastAsia="Palatino Linotype" w:hAnsi="Palatino Linotype" w:cs="Palatino Linotype"/>
          <w:i/>
          <w:sz w:val="22"/>
          <w:szCs w:val="22"/>
        </w:rPr>
      </w:pPr>
    </w:p>
    <w:p w14:paraId="15D0031B"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112. El procedimiento de la denuncia se integra por las etapas siguientes: </w:t>
      </w:r>
    </w:p>
    <w:p w14:paraId="6813E74A" w14:textId="77777777" w:rsidR="008D2539" w:rsidRPr="00FB5737" w:rsidRDefault="008D2539">
      <w:pPr>
        <w:ind w:left="567" w:right="616"/>
        <w:jc w:val="both"/>
        <w:rPr>
          <w:rFonts w:ascii="Palatino Linotype" w:eastAsia="Palatino Linotype" w:hAnsi="Palatino Linotype" w:cs="Palatino Linotype"/>
          <w:i/>
          <w:sz w:val="22"/>
          <w:szCs w:val="22"/>
        </w:rPr>
      </w:pPr>
    </w:p>
    <w:p w14:paraId="5E9D02D5"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I. Presentación de la denuncia ante el Instituto; </w:t>
      </w:r>
    </w:p>
    <w:p w14:paraId="4882965F"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II. Solicitud por parte del Instituto de un informe al sujeto obligado; </w:t>
      </w:r>
    </w:p>
    <w:p w14:paraId="54CF910E"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III. Resolución de la denuncia; y </w:t>
      </w:r>
    </w:p>
    <w:p w14:paraId="39FC980F"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IV. Ejecución de la resolución de la denuncia. </w:t>
      </w:r>
    </w:p>
    <w:p w14:paraId="2A62465A" w14:textId="77777777" w:rsidR="008D2539" w:rsidRPr="00FB5737" w:rsidRDefault="008D2539">
      <w:pPr>
        <w:ind w:left="567" w:right="616"/>
        <w:jc w:val="both"/>
        <w:rPr>
          <w:rFonts w:ascii="Palatino Linotype" w:eastAsia="Palatino Linotype" w:hAnsi="Palatino Linotype" w:cs="Palatino Linotype"/>
          <w:i/>
          <w:sz w:val="22"/>
          <w:szCs w:val="22"/>
        </w:rPr>
      </w:pPr>
    </w:p>
    <w:p w14:paraId="1731A870"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113. La denuncia por incumplimiento a las obligaciones de transparencia deberá cumplir, al menos, los requisitos siguientes: </w:t>
      </w:r>
    </w:p>
    <w:p w14:paraId="67179DF0"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I. Nombre del sujeto obligado denunciado; </w:t>
      </w:r>
    </w:p>
    <w:p w14:paraId="1012E472"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II. Descripción clara y precisa del incumplimiento denunciado; </w:t>
      </w:r>
    </w:p>
    <w:p w14:paraId="3FD29E3D"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III. El denunciante podrá adjuntar los medios de prueba que estime necesarios para respaldar el incumplimiento denunciado; </w:t>
      </w:r>
    </w:p>
    <w:p w14:paraId="0E0D662D"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IV. En caso de que la denuncia se presente por escrito, el denunciante deberá señalar el domicilio en la jurisdicción que corresponda o la dirección de correo electrónico para recibir notificaciones. En caso de que la denuncia se presente por medios electrónicos, se entenderá que se acepta que las notificaciones se efectúen por el mismo medio. En caso de que no se señale domicilio o dirección de correo electrónico o se señale un domicilio fuera de la jurisdicción respectiva, las notificaciones, aún las de carácter personal, se practicarán a través de los estrados físicos del Instituto; y </w:t>
      </w:r>
    </w:p>
    <w:p w14:paraId="331581EC"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V. El nombre del denunciante y, opcionalmente su perfil, únicamente para propósitos estadísticos. Esta información será proporcionada por el denunciante de manera voluntaria. En ningún caso el dato sobre el nombre y el perfil podrán ser un requisito para la procedencia y trámite de la denuncia.</w:t>
      </w:r>
    </w:p>
    <w:p w14:paraId="5B260FB4" w14:textId="77777777" w:rsidR="008D2539" w:rsidRPr="00FB5737" w:rsidRDefault="008D2539">
      <w:pPr>
        <w:ind w:left="567" w:right="616"/>
        <w:jc w:val="both"/>
        <w:rPr>
          <w:rFonts w:ascii="Palatino Linotype" w:eastAsia="Palatino Linotype" w:hAnsi="Palatino Linotype" w:cs="Palatino Linotype"/>
          <w:i/>
          <w:sz w:val="22"/>
          <w:szCs w:val="22"/>
        </w:rPr>
      </w:pPr>
    </w:p>
    <w:p w14:paraId="5E35457B"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114. La denuncia podrá presentarse de la forma siguiente: </w:t>
      </w:r>
    </w:p>
    <w:p w14:paraId="3CB75866"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u w:val="single"/>
        </w:rPr>
        <w:t>I. Por medio electrónico</w:t>
      </w:r>
      <w:r w:rsidRPr="00FB5737">
        <w:rPr>
          <w:rFonts w:ascii="Palatino Linotype" w:eastAsia="Palatino Linotype" w:hAnsi="Palatino Linotype" w:cs="Palatino Linotype"/>
          <w:i/>
          <w:sz w:val="22"/>
          <w:szCs w:val="22"/>
        </w:rPr>
        <w:t>: A través del sitio o plataforma electrónica respectiva que se habilite, o por correo electrónico, dirigido a la dirección electrónica que al efecto se establezca; y</w:t>
      </w:r>
    </w:p>
    <w:p w14:paraId="60C71D4A" w14:textId="77777777" w:rsidR="008D2539" w:rsidRPr="00FB5737" w:rsidRDefault="0064634F">
      <w:pPr>
        <w:ind w:left="567" w:right="616"/>
        <w:jc w:val="both"/>
        <w:rPr>
          <w:rFonts w:ascii="Palatino Linotype" w:eastAsia="Palatino Linotype" w:hAnsi="Palatino Linotype" w:cs="Palatino Linotype"/>
          <w:b/>
          <w:i/>
          <w:sz w:val="22"/>
          <w:szCs w:val="22"/>
          <w:u w:val="single"/>
        </w:rPr>
      </w:pPr>
      <w:r w:rsidRPr="00FB5737">
        <w:rPr>
          <w:rFonts w:ascii="Palatino Linotype" w:eastAsia="Palatino Linotype" w:hAnsi="Palatino Linotype" w:cs="Palatino Linotype"/>
          <w:i/>
          <w:sz w:val="22"/>
          <w:szCs w:val="22"/>
        </w:rPr>
        <w:t xml:space="preserve"> </w:t>
      </w:r>
      <w:r w:rsidRPr="00FB5737">
        <w:rPr>
          <w:rFonts w:ascii="Palatino Linotype" w:eastAsia="Palatino Linotype" w:hAnsi="Palatino Linotype" w:cs="Palatino Linotype"/>
          <w:b/>
          <w:i/>
          <w:sz w:val="22"/>
          <w:szCs w:val="22"/>
          <w:u w:val="single"/>
        </w:rPr>
        <w:t xml:space="preserve">II. Por escrito: presentado físicamente, ante la Unidad de Transparencia del Instituto. </w:t>
      </w:r>
    </w:p>
    <w:p w14:paraId="51BB90B9" w14:textId="77777777" w:rsidR="008D2539" w:rsidRPr="00FB5737" w:rsidRDefault="008D2539">
      <w:pPr>
        <w:ind w:left="567" w:right="616"/>
        <w:jc w:val="both"/>
        <w:rPr>
          <w:rFonts w:ascii="Palatino Linotype" w:eastAsia="Palatino Linotype" w:hAnsi="Palatino Linotype" w:cs="Palatino Linotype"/>
          <w:i/>
          <w:sz w:val="22"/>
          <w:szCs w:val="22"/>
        </w:rPr>
      </w:pPr>
    </w:p>
    <w:p w14:paraId="23ABF82E"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115. El Instituto pondrá a disposición de los particulares el formato de denuncia correspondiente, a efecto de que estos, si así lo deciden, puedan utilizarlos. Asimismo, los particulares podrán optar por un escrito libre, conforme a lo previsto en esta Ley. </w:t>
      </w:r>
    </w:p>
    <w:p w14:paraId="175CB090" w14:textId="77777777" w:rsidR="008D2539" w:rsidRPr="00FB5737" w:rsidRDefault="008D2539">
      <w:pPr>
        <w:ind w:left="567" w:right="616"/>
        <w:jc w:val="both"/>
        <w:rPr>
          <w:rFonts w:ascii="Palatino Linotype" w:eastAsia="Palatino Linotype" w:hAnsi="Palatino Linotype" w:cs="Palatino Linotype"/>
          <w:i/>
          <w:sz w:val="22"/>
          <w:szCs w:val="22"/>
        </w:rPr>
      </w:pPr>
    </w:p>
    <w:p w14:paraId="59EE5276"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116. El Instituto, en el ámbito de su competencia, debe resolver sobre la admisión de la denuncia, dentro de los tres días hábiles siguientes a su recepción. El instituto, en el ámbito de su competencia, debe notificar al sujeto obligado la denuncia dentro de los tres días hábiles siguientes a su admisión. </w:t>
      </w:r>
    </w:p>
    <w:p w14:paraId="26DE6404" w14:textId="77777777" w:rsidR="008D2539" w:rsidRPr="00FB5737" w:rsidRDefault="008D2539">
      <w:pPr>
        <w:ind w:left="567" w:right="616"/>
        <w:jc w:val="both"/>
        <w:rPr>
          <w:rFonts w:ascii="Palatino Linotype" w:eastAsia="Palatino Linotype" w:hAnsi="Palatino Linotype" w:cs="Palatino Linotype"/>
          <w:i/>
          <w:sz w:val="22"/>
          <w:szCs w:val="22"/>
        </w:rPr>
      </w:pPr>
    </w:p>
    <w:p w14:paraId="3CAFBD8D"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117. El sujeto obligado debe enviar al Instituto, un informe con la justificación respecto de los hechos o motivos de la denuncia dentro de los tres días hábiles siguientes a la notificación anterior. </w:t>
      </w:r>
    </w:p>
    <w:p w14:paraId="3D07AABB" w14:textId="77777777" w:rsidR="008D2539" w:rsidRPr="00FB5737" w:rsidRDefault="008D2539">
      <w:pPr>
        <w:ind w:left="567" w:right="616"/>
        <w:jc w:val="both"/>
        <w:rPr>
          <w:rFonts w:ascii="Palatino Linotype" w:eastAsia="Palatino Linotype" w:hAnsi="Palatino Linotype" w:cs="Palatino Linotype"/>
          <w:i/>
          <w:sz w:val="22"/>
          <w:szCs w:val="22"/>
        </w:rPr>
      </w:pPr>
    </w:p>
    <w:p w14:paraId="6A2D9FF9"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El Instituto, en el ámbito de su competencia, puede realizar las verificaciones virtuales que procedan, así como solicitar los informes complementarios al sujeto obligado que requiera, para allegarse de los elementos de juicio que considere necesarios para resolver la denuncia. En el caso de los informes complementarios, el sujeto obligado deberá responder a los mismos, en el término de tres días hábiles siguientes a la notificación correspondiente. </w:t>
      </w:r>
    </w:p>
    <w:p w14:paraId="735EFDB4" w14:textId="77777777" w:rsidR="008D2539" w:rsidRPr="00FB5737" w:rsidRDefault="008D2539">
      <w:pPr>
        <w:ind w:left="567" w:right="616"/>
        <w:jc w:val="both"/>
        <w:rPr>
          <w:rFonts w:ascii="Palatino Linotype" w:eastAsia="Palatino Linotype" w:hAnsi="Palatino Linotype" w:cs="Palatino Linotype"/>
          <w:i/>
          <w:sz w:val="22"/>
          <w:szCs w:val="22"/>
        </w:rPr>
      </w:pPr>
    </w:p>
    <w:p w14:paraId="1E37D1F6"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118. El Instituto, en el ámbito de su competencia, debe resolver la denuncia dentro de los veinte días hábiles siguientes al término del plazo en que el sujeto obligado debe presentar su informe o, en su caso, los informes complementarios. La resolución debe ser fundada y motivada e invariablemente debe pronunciarse sobre el cumplimiento de la publicación de la información por parte del sujeto obligado. </w:t>
      </w:r>
    </w:p>
    <w:p w14:paraId="5E7E8FAD" w14:textId="77777777" w:rsidR="008D2539" w:rsidRPr="00FB5737" w:rsidRDefault="008D2539">
      <w:pPr>
        <w:ind w:left="567" w:right="616"/>
        <w:jc w:val="both"/>
        <w:rPr>
          <w:rFonts w:ascii="Palatino Linotype" w:eastAsia="Palatino Linotype" w:hAnsi="Palatino Linotype" w:cs="Palatino Linotype"/>
          <w:i/>
          <w:sz w:val="22"/>
          <w:szCs w:val="22"/>
        </w:rPr>
      </w:pPr>
    </w:p>
    <w:p w14:paraId="385ABA5D"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119. El Instituto, en el ámbito de su competencia, debe notificar la resolución al denunciante y al sujeto obligado, dentro de los tres días hábiles siguientes a su emisión. </w:t>
      </w:r>
    </w:p>
    <w:p w14:paraId="0BAC4573" w14:textId="77777777" w:rsidR="008D2539" w:rsidRPr="00FB5737" w:rsidRDefault="008D2539">
      <w:pPr>
        <w:ind w:left="567" w:right="616"/>
        <w:jc w:val="both"/>
        <w:rPr>
          <w:rFonts w:ascii="Palatino Linotype" w:eastAsia="Palatino Linotype" w:hAnsi="Palatino Linotype" w:cs="Palatino Linotype"/>
          <w:i/>
          <w:sz w:val="22"/>
          <w:szCs w:val="22"/>
        </w:rPr>
      </w:pPr>
    </w:p>
    <w:p w14:paraId="6AF10113"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Las resoluciones que emita el Instituto, a que se refiere este capítulo, son definitivas e inatacables para los sujetos obligados. El particular podrá impugnar la resolución por la vía del juicio de amparo que corresponda, en los términos de la legislación aplicable. </w:t>
      </w:r>
    </w:p>
    <w:p w14:paraId="3AC32DDD" w14:textId="77777777" w:rsidR="008D2539" w:rsidRPr="00FB5737" w:rsidRDefault="008D2539">
      <w:pPr>
        <w:ind w:left="567" w:right="616"/>
        <w:jc w:val="both"/>
        <w:rPr>
          <w:rFonts w:ascii="Palatino Linotype" w:eastAsia="Palatino Linotype" w:hAnsi="Palatino Linotype" w:cs="Palatino Linotype"/>
          <w:i/>
          <w:sz w:val="22"/>
          <w:szCs w:val="22"/>
        </w:rPr>
      </w:pPr>
    </w:p>
    <w:p w14:paraId="6CC349C7"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El sujeto obligado deberá cumplir con la resolución en el plazo de quince días hábiles, a partir del día siguiente al en que se le notifique la misma. </w:t>
      </w:r>
    </w:p>
    <w:p w14:paraId="1AF256F9" w14:textId="77777777" w:rsidR="008D2539" w:rsidRPr="00FB5737" w:rsidRDefault="008D2539">
      <w:pPr>
        <w:ind w:left="567" w:right="616"/>
        <w:jc w:val="both"/>
        <w:rPr>
          <w:rFonts w:ascii="Palatino Linotype" w:eastAsia="Palatino Linotype" w:hAnsi="Palatino Linotype" w:cs="Palatino Linotype"/>
          <w:i/>
          <w:sz w:val="22"/>
          <w:szCs w:val="22"/>
        </w:rPr>
      </w:pPr>
    </w:p>
    <w:p w14:paraId="5DFF55B6" w14:textId="77777777" w:rsidR="008D2539" w:rsidRPr="00FB5737" w:rsidRDefault="0064634F">
      <w:pPr>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Artículo 120. Transcurrido el plazo señalado en el artículo anterior, el sujeto obligado deberá informar al Instituto sobre el cumplimiento de la resolución. El Instituto verificará el cumplimiento a la resolución si considera que se dio cumplimiento a la resolución, se emitirá un acuerdo de cumplimiento y se ordenará el cierre del expediente. Cuando el Instituto considere que exista un incumplimiento total o parcial de la resolución, le notificarán por conducto de la Unidad de Transparencia del sujeto obligado, al superior jerárquico del servidor público responsable de dar cumplimiento, para el efecto que en un plazo no mayor a cinco días hábiles, se dé cumplimiento a la resolución. </w:t>
      </w:r>
    </w:p>
    <w:p w14:paraId="27881D5B" w14:textId="77777777" w:rsidR="008D2539" w:rsidRPr="00FB5737" w:rsidRDefault="008D2539">
      <w:pPr>
        <w:ind w:left="567" w:right="616"/>
        <w:jc w:val="both"/>
        <w:rPr>
          <w:rFonts w:ascii="Palatino Linotype" w:eastAsia="Palatino Linotype" w:hAnsi="Palatino Linotype" w:cs="Palatino Linotype"/>
          <w:i/>
          <w:sz w:val="22"/>
          <w:szCs w:val="22"/>
        </w:rPr>
      </w:pPr>
    </w:p>
    <w:p w14:paraId="2BDAF7AA" w14:textId="77777777" w:rsidR="008D2539" w:rsidRPr="00FB5737" w:rsidRDefault="0064634F">
      <w:pPr>
        <w:ind w:left="567" w:right="616"/>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i/>
          <w:sz w:val="22"/>
          <w:szCs w:val="22"/>
        </w:rPr>
        <w:t>Artículo 121. En caso de que el Instituto considere que subsiste el incumplimiento total o parcial de la resolución, en un plazo no mayor a cinco días hábiles posteriores al aviso de incumplimiento al superior jerárquico del servidor público responsable del mismo, se emitirá un acuerdo de incumplimiento y se informará al Pleno para que, en su caso, imponga las medidas de apremio o determinaciones que resulten procedentes</w:t>
      </w:r>
      <w:r w:rsidRPr="00FB5737">
        <w:rPr>
          <w:rFonts w:ascii="Palatino Linotype" w:eastAsia="Palatino Linotype" w:hAnsi="Palatino Linotype" w:cs="Palatino Linotype"/>
          <w:sz w:val="22"/>
          <w:szCs w:val="22"/>
        </w:rPr>
        <w:t>.</w:t>
      </w:r>
    </w:p>
    <w:p w14:paraId="0A5BF2CD"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047E653D"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 lo anterior se advierte que las denuncias por incumplimiento de obligaciones de transparencia si bien se hacen ante el instituto, dichas denuncias se hacen a través de un procedimiento especifico, el cual da inicio a través de la presentación de las mismas mediante la plataforma o correo electrónico, establecido para tales efectos o bien mediante escrito, el cual debe ser presentado físicamente ante la Unidad de Transparencia de este Instituto. </w:t>
      </w:r>
    </w:p>
    <w:p w14:paraId="7FFE8290"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61E3D15C"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Dichas denuncias deben cumplir los requisitos mínimos establecidos en el artículo 113 de la Ley en la materia, entre los que se encuentra la descripción clara y precisa del incumplimiento denunciado. Una vez recibida la denuncia, el instituto resolverá en los plazos establecidos en la propia Ley. </w:t>
      </w:r>
    </w:p>
    <w:p w14:paraId="7BE3AAC8"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681BBE3A"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Aunado a ello, es de mencionar que la Dirección Jurídica y de Verificación Interior del Instituto de Transparencia, Acceso a la Información Pública y Protección de Datos Personales del Estado de México y Municipios es la Unidad Administrativa competente de este Instituto para tramitar y resolver las denuncias que se promuevan por la falta de publicación de las obligaciones de transparencia, en los términos que establecen las Leyes de la Materia, lineamientos y demás disposiciones jurídicas aplicables, de acuerdo a lo establecido en la siguiente reglamentación:</w:t>
      </w:r>
    </w:p>
    <w:p w14:paraId="0B5DB5C7"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25134CB1" w14:textId="77777777" w:rsidR="008D2539" w:rsidRPr="00FB5737" w:rsidRDefault="0064634F">
      <w:pPr>
        <w:spacing w:line="276" w:lineRule="auto"/>
        <w:ind w:left="567" w:right="567"/>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rPr>
        <w:t>REGLAMENTO INTERIOR DEL INSTITUTO DE TRANSPARENCIA, ACCESO A LA INFORMACIÓN PÚBLICA Y PROTECCIÓN DE DATOS PERSONALES DEL ESTADO DE MÉXICO</w:t>
      </w:r>
    </w:p>
    <w:p w14:paraId="7071DB05" w14:textId="77777777" w:rsidR="008D2539" w:rsidRPr="00FB5737" w:rsidRDefault="008D2539">
      <w:pPr>
        <w:spacing w:line="276" w:lineRule="auto"/>
        <w:ind w:left="567" w:right="567"/>
        <w:jc w:val="both"/>
        <w:rPr>
          <w:rFonts w:ascii="Palatino Linotype" w:eastAsia="Palatino Linotype" w:hAnsi="Palatino Linotype" w:cs="Palatino Linotype"/>
          <w:i/>
          <w:sz w:val="22"/>
          <w:szCs w:val="22"/>
        </w:rPr>
      </w:pPr>
    </w:p>
    <w:p w14:paraId="5AEC3BE9" w14:textId="77777777" w:rsidR="008D2539" w:rsidRPr="00FB5737" w:rsidRDefault="0064634F">
      <w:pPr>
        <w:spacing w:line="276" w:lineRule="auto"/>
        <w:ind w:left="567" w:right="567"/>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Artículo 23.</w:t>
      </w:r>
      <w:r w:rsidRPr="00FB5737">
        <w:rPr>
          <w:rFonts w:ascii="Palatino Linotype" w:eastAsia="Palatino Linotype" w:hAnsi="Palatino Linotype" w:cs="Palatino Linotype"/>
          <w:i/>
          <w:sz w:val="22"/>
          <w:szCs w:val="22"/>
        </w:rPr>
        <w:t xml:space="preserve"> Corresponde a la Dirección Jurídica y de Verificación ejercer las atribuciones siguientes: </w:t>
      </w:r>
    </w:p>
    <w:p w14:paraId="33C34578" w14:textId="77777777" w:rsidR="008D2539" w:rsidRPr="00FB5737" w:rsidRDefault="0064634F">
      <w:pPr>
        <w:tabs>
          <w:tab w:val="left" w:pos="1515"/>
        </w:tabs>
        <w:spacing w:line="276" w:lineRule="auto"/>
        <w:ind w:left="567" w:right="567"/>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i/>
          <w:sz w:val="22"/>
          <w:szCs w:val="22"/>
        </w:rPr>
        <w:tab/>
      </w:r>
    </w:p>
    <w:p w14:paraId="654CCEAE" w14:textId="77777777" w:rsidR="008D2539" w:rsidRPr="00FB5737" w:rsidRDefault="0064634F">
      <w:pPr>
        <w:spacing w:line="276" w:lineRule="auto"/>
        <w:ind w:left="567" w:right="567"/>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XIX. Tramitar y resolver las denuncias que se promuevan por la falta de publicación de las obligaciones de transparencia, en los términos que establecen las Leyes de la Materia, lineamientos y demás disposiciones jurídicas aplicables; …”(Sic)</w:t>
      </w:r>
    </w:p>
    <w:p w14:paraId="4EA1CAFE"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2FF54DB0"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Aclarado lo anterior, resulta, conviene mencionar el desarrollo de la verificación virtual por denuncia:</w:t>
      </w:r>
    </w:p>
    <w:p w14:paraId="70B2237D"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7D086858" w14:textId="77777777" w:rsidR="008D2539" w:rsidRPr="00FB5737" w:rsidRDefault="0064634F">
      <w:pPr>
        <w:ind w:left="1080" w:right="918"/>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“LINEAMIENTOS PARA LA VERIFICACIÓN VIRTUAL OFICIOSA Y POR DENUNCIA A LOS PORTALES DE INTERNET DE LAS OBLIGACIONES DE TRANSPARENCIA DE LOS SUJETOS OBLIGADOS O DE LA PLATAFORMA NACIONAL DE TRANSPARENCIA</w:t>
      </w:r>
    </w:p>
    <w:p w14:paraId="4697F493" w14:textId="77777777" w:rsidR="008D2539" w:rsidRPr="00FB5737" w:rsidRDefault="008D2539">
      <w:pPr>
        <w:ind w:left="1080" w:right="918"/>
        <w:jc w:val="both"/>
        <w:rPr>
          <w:rFonts w:ascii="Palatino Linotype" w:eastAsia="Palatino Linotype" w:hAnsi="Palatino Linotype" w:cs="Palatino Linotype"/>
          <w:i/>
          <w:sz w:val="22"/>
          <w:szCs w:val="22"/>
        </w:rPr>
      </w:pPr>
    </w:p>
    <w:p w14:paraId="4E8E87F0"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SEGUNDO. Para efectos de estos lineamientos se entenderá por:</w:t>
      </w:r>
    </w:p>
    <w:p w14:paraId="4D01E88A"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VII. Denuncia: Acto mediante el cual se hace del conocimiento el probable incumplimiento a las obligaciones de transparencia establecidas en la Ley General o Ley de Transparencia Local.</w:t>
      </w:r>
    </w:p>
    <w:p w14:paraId="5D42D49E" w14:textId="77777777" w:rsidR="008D2539" w:rsidRPr="00FB5737" w:rsidRDefault="0064634F">
      <w:pPr>
        <w:tabs>
          <w:tab w:val="left" w:pos="426"/>
          <w:tab w:val="left" w:pos="7938"/>
        </w:tabs>
        <w:spacing w:before="240" w:line="276" w:lineRule="auto"/>
        <w:ind w:left="567" w:right="616"/>
        <w:jc w:val="center"/>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De la verificación virtual por denuncia</w:t>
      </w:r>
    </w:p>
    <w:p w14:paraId="67E38D1C"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VIGÉSIMO TERCERO. Cualquier persona podrá denunciar ante el Instituto la falta de publicación y/o actualización de la información de las obligaciones de transparencia previstas en la Ley de Transparencia Local y demás disposiciones aplicables. </w:t>
      </w:r>
    </w:p>
    <w:p w14:paraId="1FA9519A"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VIGÉSIMO CUARTO. La denuncia podrá presentarse de las formas siguientes: a) Vía electrónica: A través del sitio o plataforma electrónica respectiva o al correo electrónico: denunciaipo@itaipem.org.mx, y</w:t>
      </w:r>
    </w:p>
    <w:p w14:paraId="3DAC4009"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 b) Por escrito: Presentando en la Unidad de Transparencia del Instituto dentro del horario hábil, ya sea mediante escrito libre o a través del formato oficial anexo a los presentes Lineamientos. </w:t>
      </w:r>
    </w:p>
    <w:p w14:paraId="142170DD"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VIGÉSIMO QUINTO. La denuncia deberá cumplir con los siguientes requisitos mínimos: a) Nombre del Sujeto Obligado denunciado. </w:t>
      </w:r>
    </w:p>
    <w:p w14:paraId="61F38EB9"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b) Descripción clara y precisa del incumplimiento denunciado, señalando el artículo, fracción o inciso de la obligación de transparencia que será materia del procedimiento de denuncia, así como formato, ejercicio y periodo o periodos denunciados. </w:t>
      </w:r>
    </w:p>
    <w:p w14:paraId="57B73123"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Se considerará que no es claro ni preciso el incumplimiento denunciado cuando se señale que el Sujeto Obligado no publica ninguna información o señale de manera genérica la falta de publicación o actualización de las obligaciones de transparencia, lo que dará lugar a prevenir a la o el denunciante para que refiera de manera puntual el artículo, fracción o inciso de la obligación de transparencia que será materia del procedimiento de denuncia, el formato, ejercicio y periodo o periodos denunciados, así como los hechos o motivos en que sustente la denuncia; </w:t>
      </w:r>
    </w:p>
    <w:p w14:paraId="29E4F511" w14:textId="77777777" w:rsidR="008D2539" w:rsidRPr="00FB5737" w:rsidRDefault="008D2539">
      <w:pPr>
        <w:tabs>
          <w:tab w:val="left" w:pos="426"/>
          <w:tab w:val="left" w:pos="7938"/>
        </w:tabs>
        <w:spacing w:before="240" w:line="276" w:lineRule="auto"/>
        <w:ind w:left="567" w:right="616"/>
        <w:jc w:val="both"/>
        <w:rPr>
          <w:rFonts w:ascii="Palatino Linotype" w:eastAsia="Palatino Linotype" w:hAnsi="Palatino Linotype" w:cs="Palatino Linotype"/>
          <w:b/>
          <w:i/>
          <w:sz w:val="22"/>
          <w:szCs w:val="22"/>
        </w:rPr>
      </w:pPr>
    </w:p>
    <w:p w14:paraId="4F9A4F7D"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 xml:space="preserve">c) Domicilio o dirección de correo electrónico para recibir notificaciones. </w:t>
      </w:r>
    </w:p>
    <w:p w14:paraId="6DE83EBB"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 xml:space="preserve">d) La o el denunciante podrá adjuntar las pruebas que estime necesarias para respaldar su denuncia; y </w:t>
      </w:r>
    </w:p>
    <w:p w14:paraId="01BB815A" w14:textId="77777777" w:rsidR="008D2539" w:rsidRPr="00FB5737" w:rsidRDefault="0064634F">
      <w:pPr>
        <w:tabs>
          <w:tab w:val="left" w:pos="426"/>
          <w:tab w:val="left" w:pos="7938"/>
        </w:tabs>
        <w:spacing w:before="240" w:line="276" w:lineRule="auto"/>
        <w:ind w:left="567" w:right="616"/>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 xml:space="preserve">e) Opcionalmente nombre o perfil de la o el denunciante, ello con fines estadísticos. En ningún caso será requisito para la presentación, trámite y resolución de la denuncia. </w:t>
      </w:r>
    </w:p>
    <w:p w14:paraId="115DFF16" w14:textId="77777777" w:rsidR="008D2539" w:rsidRPr="00FB5737" w:rsidRDefault="008D2539">
      <w:pPr>
        <w:tabs>
          <w:tab w:val="left" w:pos="426"/>
        </w:tabs>
        <w:spacing w:line="360" w:lineRule="auto"/>
        <w:ind w:right="51"/>
        <w:jc w:val="both"/>
        <w:rPr>
          <w:rFonts w:ascii="Palatino Linotype" w:eastAsia="Palatino Linotype" w:hAnsi="Palatino Linotype" w:cs="Palatino Linotype"/>
          <w:sz w:val="22"/>
          <w:szCs w:val="22"/>
        </w:rPr>
      </w:pPr>
    </w:p>
    <w:p w14:paraId="5E0FBAF8"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VIGÉSIMO SEXTO. La verificación virtual por denuncia se integrará por las etapas contempladas en el artículo 112 de la Ley de Transparencia Local y conforme a lo siguiente:</w:t>
      </w:r>
    </w:p>
    <w:p w14:paraId="1C84B3FB"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29F96FA3"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I. Cuando se presente una denuncia física en la Unidad de Transparencia del Instituto, ésta deberá remitirla a la Dirección General Jurídica y de Verificación el mismo día de su recepción.</w:t>
      </w:r>
    </w:p>
    <w:p w14:paraId="613C96AE"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II. Cuando el escrito de denuncia no cumpla con los requisitos establecidos en el numeral VIGÉSIMO QUINTO, incisos a) y b) de los Lineamientos de Verificación y no se cuente con elementos para subsanarlos dentro de dicho escrito, se prevendrá por una sola ocasión a la o el denunciante, dentro de los tres días hábiles siguientes a su presentación, para que subsane los requisitos omitidos.</w:t>
      </w:r>
    </w:p>
    <w:p w14:paraId="6C6D8293"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40373AC9"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También se prevendrá a la o el denunciante para que exhiba el documento con el que acredite personalidad en caso de haber presentado la denuncia como representante de persona física o moral.</w:t>
      </w:r>
    </w:p>
    <w:p w14:paraId="21D714C0"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5343DA86"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El acuerdo de prevención se notificará a la o el denunciante, dentro de los tres días hábiles siguientes a su emisión.</w:t>
      </w:r>
    </w:p>
    <w:p w14:paraId="6D23192C"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7689ACA9"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La o el denunciante deberá subsanar las omisiones dentro de un plazo no mayor a tres días hábiles contados a partir del día hábil siguiente a su notificación, con el apercibimiento de que, en caso de no atender la prevención en sus términos, se desechará la denuncia.</w:t>
      </w:r>
    </w:p>
    <w:p w14:paraId="1AB1BD04"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2FAD1267"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El acuerdo de desechamiento se emitirá dentro de los tres días hábiles siguientes a que fenezca el plazo otorgado para cumplir la prevención y se le notificará dentro de los tres días hábiles siguientes a su emisión.</w:t>
      </w:r>
    </w:p>
    <w:p w14:paraId="1DA7CBFE"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49498931"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III. Si la denuncia cumple con los requisitos para su presentación o la persona denunciante atendió la prevención que se le realizó, se dictará acuerdo de admisión dentro de los tres días hábiles siguientes al que se tenga por presentada la denuncia o se haya cumplido la prevención, mismo que se notificará a la o el denunciante y al Sujeto Obligado, dentro de los tres días hábiles siguientes al día en que se emita.</w:t>
      </w:r>
    </w:p>
    <w:p w14:paraId="2521064D"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7EFB8838"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En dicho acuerdo se requerirá al Titular de la Unidad de Transparencia del Sujeto Obligado para que envíe al Instituto un informe con la justificación sobre los hechos o motivos de la denuncia, dentro los tres días hábiles siguientes a la notificación de la admisión, con el apercibimiento de que, de no remitirlo, se le impondrá una de las medidas de apremio previstas en la Ley de Transparencia Local.</w:t>
      </w:r>
    </w:p>
    <w:p w14:paraId="12A5BACB"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7AFBA754"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En caso de que el informe justificado sea enviado de manera extemporánea, la Dirección General Jurídica y de Verificación no estará obligada a atender la información remitida y las pruebas ofrecidas por el Sujeto Obligado</w:t>
      </w:r>
    </w:p>
    <w:p w14:paraId="234F3A74"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31822E36"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El Sujeto Obligado podrá enviar un alcance a su informe con justificación si se encuentra dentro del término de tres días hábiles que tiene para rendirlo.</w:t>
      </w:r>
    </w:p>
    <w:p w14:paraId="6A339EB0"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595BB44E"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No se tomarán en consideración las manifestaciones que el Sujeto Obligado exponga o los documentos que exhiba en su informe justificado, si no tienen relación con el incumplimiento denunciado.</w:t>
      </w:r>
    </w:p>
    <w:p w14:paraId="2E210388"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43914129"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IV. La o el denunciante podrá manifestar lo que considere oportuno hasta antes de que concluya el término para la emisión de la resolución. Se desecharán las promociones o peticiones notoriamente improcedentes o aquellas manifestaciones de la o el denunciante, por medio de las cuales pretenda interponer algún medio de defensa o ampliar el incumplimiento denunciado.</w:t>
      </w:r>
    </w:p>
    <w:p w14:paraId="367DAA0C"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0DF15445"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V. Se realizarán las verificaciones virtuales y requerimientos que sean necesarios con el fin de allegarse de los elementos suficientes para resolver la denuncia, misma que deberá resolverse dentro de los veinte días hábiles siguientes al término del plazo en que el Sujeto Obligado debe enviar su informe o, en su caso, atender los requerimientos o informes complementarios solicitados.</w:t>
      </w:r>
    </w:p>
    <w:p w14:paraId="7E3AA099"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2A2FFD01"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VI. La resolución deberá contener los elementos siguientes:</w:t>
      </w:r>
    </w:p>
    <w:p w14:paraId="0E09C6BD"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a) Nombre del Sujeto Obligado denunciado; </w:t>
      </w:r>
    </w:p>
    <w:p w14:paraId="2819FD0E"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b) Fecha de presentación y admisión de la denuncia; </w:t>
      </w:r>
    </w:p>
    <w:p w14:paraId="080DC500"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c) Presentación del informe con la justificación respecto de los hechos o motivos de la denuncia, de su presentación extemporánea o la omisión de su envío por parte del Sujeto Obligado; </w:t>
      </w:r>
    </w:p>
    <w:p w14:paraId="134B4C59"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d) Análisis y valoración de las pruebas ofrecidas por las partes o allegadas al expediente; </w:t>
      </w:r>
    </w:p>
    <w:p w14:paraId="4ABCA06A"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e) La fecha y hora de inicio y conclusión de la verificación virtual; </w:t>
      </w:r>
    </w:p>
    <w:p w14:paraId="4162D12F"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f) Precisión de la obligación u obligaciones de transparencia que serán objeto de resolución, así como el ejercicio y el periodo o periodos de conservación y actualización sobre los que se resuelva; </w:t>
      </w:r>
    </w:p>
    <w:p w14:paraId="06FFC747"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g) Fundamentos y motivos que sustenten la resolución; </w:t>
      </w:r>
    </w:p>
    <w:p w14:paraId="1D8CA20C"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h) Término otorgado al Sujeto Obligado para el cumplimiento de los requerimientos establecidos en la resolución; </w:t>
      </w:r>
    </w:p>
    <w:p w14:paraId="37316321"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i) Término para que el Sujeto Obligado informe el cumplimiento a la resolución; </w:t>
      </w:r>
    </w:p>
    <w:p w14:paraId="7CB4A860"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j) Apercibimiento al Titular de la Unidad de Transparencia del Sujeto Obligado de que, en caso de no cumplir con la resolución y de no informar sobre su cumplimiento, se le impondrá una de las medidas de apremio previstas en la Ley de Transparencia Local; y </w:t>
      </w:r>
    </w:p>
    <w:p w14:paraId="39AC5E57"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k) Firma autógrafa o electrónica de la o el titular de la Dirección General Jurídica y de Verificación o, en su caso, de quien lo supla.</w:t>
      </w:r>
    </w:p>
    <w:p w14:paraId="24AC0600"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VII. La resolución de la denuncia se notificará al Sujeto Obligado y a la o el denunciante dentro de los tres días hábiles siguientes a su emisión.</w:t>
      </w:r>
    </w:p>
    <w:p w14:paraId="766EF208"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El o la Titular de la Unidad de Transparencia del Sujeto Obligado deberá cumplir con la resolución en el plazo de quince días hábiles contados a partir del día hábil siguiente al que se le notifique.</w:t>
      </w:r>
    </w:p>
    <w:p w14:paraId="19481A6A"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Transcurrido el plazo señalado en el párrafo anterior, el sujeto obligado deberá enviar al Instituto un informe sobre su cumplimiento, en el que deberá proporcionar el nombre y cargo del servidor o servidores públicos habilitados responsables de publicar o actualizar la información requerida en la obligación de transparencia sobre la que se haya declarado fundada la denuncia, con el apercibimiento de que, en caso de no cumplir la resolución y/o de no atender los requerimientos sobre su cumplimiento se le impondrá alguna de las medidas de apremio previstas en la Ley de Transparencia Local. </w:t>
      </w:r>
    </w:p>
    <w:p w14:paraId="7E2A1192"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2EF10FAB"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VIII. Transcurrido el plazo para informar sobre el cumplimiento, con o sin informe, se procederá a verificar el cumplimiento o incumplimiento total o parcial a los requerimientos establecidos en la resolución.</w:t>
      </w:r>
    </w:p>
    <w:p w14:paraId="70F2CFE3"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La verificación de cumplimiento a la resolución se realizará dentro de los cinco días hábiles siguientes a que concluya el plazo en que el Sujeto Obligado debe informar sobre el cumplimiento.</w:t>
      </w:r>
    </w:p>
    <w:p w14:paraId="2E1E1D38"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5453BA98"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En caso de verificarse el cumplimiento total a la resolución, se emitirá acuerdo de cumplimiento dentro de los tres días hábiles siguientes a la verificación de cumplimiento, en el que se ordenará el cierre y archivo del expediente. Dicho acuerdo se notificará al denunciante y al Sujeto Obligado dentro de los tres días hábiles siguientes a su emisión.</w:t>
      </w:r>
    </w:p>
    <w:p w14:paraId="2B2A3D79"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0E852626"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IX. Cuando de la verificación se observe que existe incumplimiento total o parcial a la resolución, dentro de los tres días hábiles siguientes se emitirá un aviso de incumplimiento, que se notificará a la o el denunciante dentro de los tres días hábiles siguientes, y se remitirá al Titular de la Unidad de Transparencia del Sujeto Obligado para que, en el plazo de tres días hábiles, por su conducto lo notifique al superior jerárquico del responsable de cumplir la resolución, por lo que, al día hábil siguiente de que practique la notificación deberá enviar al Instituto el acuse correspondiente, que deberá contener fecha, hora, nombre, firma y cargo del notificado, con el apercibimiento de que, en caso de no enviar el acuse de la notificación requerida se le tendrá como único responsable del cumplimiento, independientemente de que se le imponga alguna de las medidas de apremio prevista en la Ley de Transparencia Local.</w:t>
      </w:r>
    </w:p>
    <w:p w14:paraId="25153575"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39B07F14"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En el aviso de incumplimiento se requerirá al superior jerárquico del servidor público responsable de cumplir la resolución para que, en un plazo no mayor a cinco días hábiles instruya se dé cumplimiento a la misma, con el apercibimiento de que en caso de no cumplirse la resolución se le impondrá alguna de las medidas de apremio establecidas en la Ley de Transparencia Local.</w:t>
      </w:r>
    </w:p>
    <w:p w14:paraId="4307F73C"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23A491E3"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Derivado del incumplimiento a la resolución de la denuncia, se procederá a realizar la calificación de la gravedad de la falta, para que se proponga al Pleno del Instituto la medida de apremio que se deba imponer al o los responsables del cumplimiento a la resolución y/o por la falta de atención a los requerimientos que se hayan realizado al tramitarse la denuncia. </w:t>
      </w:r>
    </w:p>
    <w:p w14:paraId="7B7D8A2D"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1A2AE2F3"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X. Transcurrido el plazo para que el superior jerárquico instruya a cumplir sin demora la resolución, dentro de los cinco días hábiles siguientes se verificará su cumplimiento, de encontrarse cumplida la resolución, se emitirá acuerdo de cumplimiento que se notificará a la o el denunciante y al Sujeto Obligado dentro de los tres días hábiles siguientes a su emisión, con lo que se dará por concluido el procedimiento, ordenándose el cierre y archivo del expediente.</w:t>
      </w:r>
    </w:p>
    <w:p w14:paraId="7A514ED4"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1C4A10F5"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En caso de subsistir el incumplimiento total o parcial de la resolución, se emitirá un acuerdo de incumplimiento, que se notificará a la o el denunciante y al Sujeto Obligado dentro de los tres días hábiles siguientes a su emisión. Con base en dicho acuerdo se calificará la gravedad de la falta, para que se proponga al Pleno del Instituto la medida de apremio que se deba imponer al superior jerárquico por la subsistencia del incumplimiento a la resolución de la denuncia.</w:t>
      </w:r>
    </w:p>
    <w:p w14:paraId="607936E2"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253B5891"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De la misma manera, se calificará la gravedad de la falta del Titular de la Unidad de Transparencia del Sujeto Obligado, en caso de no haber atendido el requerimiento de enviar al Instituto el acuse de notificación al superior jerárquico del aviso de incumplimiento. </w:t>
      </w:r>
    </w:p>
    <w:p w14:paraId="70C16BB2" w14:textId="77777777" w:rsidR="008D2539" w:rsidRPr="00FB5737" w:rsidRDefault="008D2539">
      <w:pPr>
        <w:tabs>
          <w:tab w:val="left" w:pos="426"/>
        </w:tabs>
        <w:spacing w:line="276" w:lineRule="auto"/>
        <w:ind w:left="426" w:right="616"/>
        <w:jc w:val="both"/>
        <w:rPr>
          <w:rFonts w:ascii="Palatino Linotype" w:eastAsia="Palatino Linotype" w:hAnsi="Palatino Linotype" w:cs="Palatino Linotype"/>
          <w:i/>
          <w:sz w:val="22"/>
          <w:szCs w:val="22"/>
        </w:rPr>
      </w:pPr>
    </w:p>
    <w:p w14:paraId="474D6E45" w14:textId="77777777" w:rsidR="008D2539" w:rsidRPr="00FB5737" w:rsidRDefault="0064634F">
      <w:pPr>
        <w:tabs>
          <w:tab w:val="left" w:pos="426"/>
        </w:tabs>
        <w:spacing w:line="276" w:lineRule="auto"/>
        <w:ind w:left="426" w:right="616"/>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Para la determinación de las sanciones que correspondan, al no haberse atendido los requerimientos y/o no acatarse la resolución de la denuncia, se remitirá al Órgano Interno de Control del Sujeto Obligado o a la autoridad que corresponda, en físico o en medio electrónico, copia certificada del expediente del procedimiento de la denuncia en que se contengan todos los elementos que sustenten la presunta responsabilidad administrativa para que se investigue y se determine el grado de responsabilidad de quienes hayan incumplido con las obligaciones establecidas en la Ley de Transparencia Local.</w:t>
      </w:r>
    </w:p>
    <w:p w14:paraId="008C2868" w14:textId="77777777" w:rsidR="008D2539" w:rsidRPr="00FB5737" w:rsidRDefault="008D2539">
      <w:pPr>
        <w:tabs>
          <w:tab w:val="left" w:pos="426"/>
        </w:tabs>
        <w:spacing w:line="360" w:lineRule="auto"/>
        <w:ind w:right="51"/>
        <w:jc w:val="both"/>
        <w:rPr>
          <w:rFonts w:ascii="Palatino Linotype" w:eastAsia="Palatino Linotype" w:hAnsi="Palatino Linotype" w:cs="Palatino Linotype"/>
          <w:sz w:val="22"/>
          <w:szCs w:val="22"/>
        </w:rPr>
      </w:pPr>
    </w:p>
    <w:p w14:paraId="1BF6E15E" w14:textId="77777777" w:rsidR="008D2539" w:rsidRPr="00FB5737" w:rsidRDefault="0064634F">
      <w:pPr>
        <w:tabs>
          <w:tab w:val="left" w:pos="426"/>
        </w:tabs>
        <w:spacing w:line="360" w:lineRule="auto"/>
        <w:ind w:right="51"/>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 lo anterior podemos concluir que a través de la denuncia se puede instruir al sujeto obligado a cumplir son sus obligaciones de transparencia y en caso de que exista incumplimiento total o parcial, se le podrán imponer en su caso las medidas de apremio previstas en la Ley. Lo cual se ajusta con la pretensión del particular a través del medio de impugnación que ahora se resuelve, es por ello que se determina que el recurso de revisión no es la vía para hacer del conocimiento el incumplimiento en la carga de obligaciones de transparencia, y tampoco para ordenar el cumplimiento de las mismas, en razón de que existen procedimientos e instancias encargadas de llevar a cabo la verificación de las obligaciones de transparencia. </w:t>
      </w:r>
    </w:p>
    <w:p w14:paraId="6930A6D8"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0A7D8DB1" w14:textId="77777777" w:rsidR="008D2539" w:rsidRPr="00FB5737" w:rsidRDefault="0064634F">
      <w:pPr>
        <w:spacing w:line="360" w:lineRule="auto"/>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sz w:val="22"/>
          <w:szCs w:val="22"/>
        </w:rPr>
        <w:t xml:space="preserve">Es así que, se dejan a salvo los derechos del particular por si desea presentar una denuncia en contra de un Sujeto Obligado por falta de publicación y/o actualización de la información de sus obligaciones de transparencia en el Sistema de Información Pública de Oficio Mexiquense (Ipomex), de la información señalada en la Ley de Transparencia y Acceso a la Información Pública del Estado de México y Municipios que debe publicar en Ipomex, podrá hacerlo a través del Sistema de Registro de Denuncias del Instituto, disponible en el siguiente vinculo electrónico </w:t>
      </w:r>
      <w:hyperlink r:id="rId11">
        <w:r w:rsidRPr="00FB5737">
          <w:rPr>
            <w:rFonts w:ascii="Palatino Linotype" w:eastAsia="Palatino Linotype" w:hAnsi="Palatino Linotype" w:cs="Palatino Linotype"/>
            <w:sz w:val="22"/>
            <w:szCs w:val="22"/>
            <w:u w:val="single"/>
          </w:rPr>
          <w:t>https://sistemas2.infoem.org.mx/denuncias/ip</w:t>
        </w:r>
      </w:hyperlink>
      <w:r w:rsidRPr="00FB5737">
        <w:rPr>
          <w:rFonts w:ascii="Palatino Linotype" w:eastAsia="Palatino Linotype" w:hAnsi="Palatino Linotype" w:cs="Palatino Linotype"/>
          <w:sz w:val="22"/>
          <w:szCs w:val="22"/>
          <w:u w:val="single"/>
        </w:rPr>
        <w:t xml:space="preserve"> o bien a través del correo electrónico </w:t>
      </w:r>
      <w:hyperlink r:id="rId12">
        <w:r w:rsidRPr="00FB5737">
          <w:rPr>
            <w:rFonts w:ascii="Palatino Linotype" w:eastAsia="Palatino Linotype" w:hAnsi="Palatino Linotype" w:cs="Palatino Linotype"/>
            <w:b/>
            <w:i/>
            <w:sz w:val="22"/>
            <w:szCs w:val="22"/>
            <w:u w:val="single"/>
          </w:rPr>
          <w:t>denunciaipo@itaipem.org.mx</w:t>
        </w:r>
      </w:hyperlink>
      <w:r w:rsidRPr="00FB5737">
        <w:rPr>
          <w:rFonts w:ascii="Palatino Linotype" w:eastAsia="Palatino Linotype" w:hAnsi="Palatino Linotype" w:cs="Palatino Linotype"/>
          <w:sz w:val="22"/>
          <w:szCs w:val="22"/>
        </w:rPr>
        <w:t xml:space="preserve">, o si lo prefiere por escrito presentando en la Unidad de Transparencia del Instituto dentro del horario hábil ya sea mediante escrito libre o a través del formato que se inserta a continuación: </w:t>
      </w:r>
    </w:p>
    <w:p w14:paraId="0DB17999" w14:textId="77777777" w:rsidR="008D2539" w:rsidRPr="00FB5737" w:rsidRDefault="008D2539">
      <w:pPr>
        <w:spacing w:line="360" w:lineRule="auto"/>
        <w:jc w:val="both"/>
        <w:rPr>
          <w:rFonts w:ascii="Palatino Linotype" w:eastAsia="Palatino Linotype" w:hAnsi="Palatino Linotype" w:cs="Palatino Linotype"/>
          <w:b/>
          <w:i/>
          <w:sz w:val="22"/>
          <w:szCs w:val="22"/>
        </w:rPr>
      </w:pPr>
    </w:p>
    <w:p w14:paraId="6C92A232"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noProof/>
          <w:sz w:val="22"/>
          <w:szCs w:val="22"/>
        </w:rPr>
        <w:drawing>
          <wp:inline distT="0" distB="0" distL="0" distR="0" wp14:anchorId="743DE504" wp14:editId="74FE7548">
            <wp:extent cx="5384800" cy="5194935"/>
            <wp:effectExtent l="19050" t="19050" r="25400" b="24765"/>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388774" cy="5198769"/>
                    </a:xfrm>
                    <a:prstGeom prst="rect">
                      <a:avLst/>
                    </a:prstGeom>
                    <a:ln>
                      <a:solidFill>
                        <a:schemeClr val="accent1"/>
                      </a:solidFill>
                    </a:ln>
                  </pic:spPr>
                </pic:pic>
              </a:graphicData>
            </a:graphic>
          </wp:inline>
        </w:drawing>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noProof/>
          <w:sz w:val="22"/>
          <w:szCs w:val="22"/>
        </w:rPr>
        <w:drawing>
          <wp:inline distT="0" distB="0" distL="0" distR="0" wp14:anchorId="42DB7EC8" wp14:editId="697BB859">
            <wp:extent cx="5397641" cy="1862667"/>
            <wp:effectExtent l="19050" t="19050" r="12700" b="23495"/>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405730" cy="1865458"/>
                    </a:xfrm>
                    <a:prstGeom prst="rect">
                      <a:avLst/>
                    </a:prstGeom>
                    <a:ln>
                      <a:solidFill>
                        <a:schemeClr val="accent1"/>
                      </a:solidFill>
                    </a:ln>
                  </pic:spPr>
                </pic:pic>
              </a:graphicData>
            </a:graphic>
          </wp:inline>
        </w:drawing>
      </w:r>
    </w:p>
    <w:p w14:paraId="4B5337FE" w14:textId="17B744FC" w:rsidR="00DD2259" w:rsidRPr="00FB5737" w:rsidRDefault="00DD2259" w:rsidP="00DD2259">
      <w:pPr>
        <w:spacing w:line="360" w:lineRule="auto"/>
        <w:jc w:val="both"/>
        <w:rPr>
          <w:rFonts w:ascii="Palatino Linotype" w:eastAsia="Palatino Linotype" w:hAnsi="Palatino Linotype" w:cs="Palatino Linotype"/>
          <w:sz w:val="22"/>
          <w:szCs w:val="22"/>
          <w:lang w:val="es-ES"/>
        </w:rPr>
      </w:pPr>
      <w:r w:rsidRPr="00FB5737">
        <w:rPr>
          <w:rFonts w:ascii="Palatino Linotype" w:eastAsia="Palatino Linotype" w:hAnsi="Palatino Linotype" w:cs="Palatino Linotype"/>
          <w:sz w:val="22"/>
          <w:szCs w:val="22"/>
        </w:rPr>
        <w:t xml:space="preserve">De esta manera, atendiendo que en respuesta el </w:t>
      </w:r>
      <w:r w:rsidRPr="00FB5737">
        <w:rPr>
          <w:rFonts w:ascii="Palatino Linotype" w:eastAsia="Palatino Linotype" w:hAnsi="Palatino Linotype" w:cs="Palatino Linotype"/>
          <w:b/>
          <w:sz w:val="22"/>
          <w:szCs w:val="22"/>
        </w:rPr>
        <w:t xml:space="preserve">Sujeto Obligado </w:t>
      </w:r>
      <w:r w:rsidRPr="00FB5737">
        <w:rPr>
          <w:rFonts w:ascii="Palatino Linotype" w:eastAsia="Palatino Linotype" w:hAnsi="Palatino Linotype" w:cs="Palatino Linotype"/>
          <w:sz w:val="22"/>
          <w:szCs w:val="22"/>
        </w:rPr>
        <w:t xml:space="preserve">remitió un link del IPOMEX donde se podría consultar la información curricular del servidor público en cuestión, y de su análisis se advirtió que no se encuentra publicada la información, aún y cuando por la naturaleza de la información esta </w:t>
      </w:r>
      <w:r w:rsidRPr="00FB5737">
        <w:rPr>
          <w:rFonts w:ascii="Palatino Linotype" w:eastAsia="Palatino Linotype" w:hAnsi="Palatino Linotype" w:cs="Palatino Linotype"/>
          <w:sz w:val="22"/>
          <w:szCs w:val="22"/>
          <w:lang w:val="es-ES"/>
        </w:rPr>
        <w:t>debe encontrarse pública a través del portal referido,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6CDE40C0" w14:textId="77777777" w:rsidR="00DD2259" w:rsidRPr="00FB5737" w:rsidRDefault="00DD2259" w:rsidP="00DD2259">
      <w:pPr>
        <w:spacing w:line="360" w:lineRule="auto"/>
        <w:jc w:val="both"/>
        <w:rPr>
          <w:rFonts w:ascii="Palatino Linotype" w:eastAsia="Palatino Linotype" w:hAnsi="Palatino Linotype" w:cs="Palatino Linotype"/>
          <w:sz w:val="22"/>
          <w:szCs w:val="22"/>
          <w:lang w:val="es-ES"/>
        </w:rPr>
      </w:pPr>
    </w:p>
    <w:p w14:paraId="5297E88F" w14:textId="77777777" w:rsidR="00DD2259" w:rsidRPr="00FB5737" w:rsidRDefault="00DD2259" w:rsidP="00DD2259">
      <w:pPr>
        <w:ind w:left="567" w:right="902"/>
        <w:jc w:val="both"/>
        <w:rPr>
          <w:rFonts w:ascii="Palatino Linotype" w:eastAsia="Palatino Linotype" w:hAnsi="Palatino Linotype" w:cs="Palatino Linotype"/>
          <w:i/>
          <w:sz w:val="22"/>
          <w:szCs w:val="22"/>
          <w:lang w:val="es-ES"/>
        </w:rPr>
      </w:pPr>
      <w:r w:rsidRPr="00FB5737">
        <w:rPr>
          <w:rFonts w:ascii="Palatino Linotype" w:eastAsia="Palatino Linotype" w:hAnsi="Palatino Linotype" w:cs="Palatino Linotype"/>
          <w:i/>
          <w:sz w:val="22"/>
          <w:szCs w:val="22"/>
          <w:lang w:val="es-ES"/>
        </w:rPr>
        <w:t>“</w:t>
      </w:r>
      <w:r w:rsidRPr="00FB5737">
        <w:rPr>
          <w:rFonts w:ascii="Palatino Linotype" w:eastAsia="Palatino Linotype" w:hAnsi="Palatino Linotype" w:cs="Palatino Linotype"/>
          <w:b/>
          <w:i/>
          <w:sz w:val="22"/>
          <w:szCs w:val="22"/>
          <w:lang w:val="es-ES"/>
        </w:rPr>
        <w:t>Artículo 18.</w:t>
      </w:r>
      <w:r w:rsidRPr="00FB5737">
        <w:rPr>
          <w:rFonts w:ascii="Palatino Linotype" w:eastAsia="Palatino Linotype" w:hAnsi="Palatino Linotype" w:cs="Palatino Linotype"/>
          <w:i/>
          <w:sz w:val="22"/>
          <w:szCs w:val="22"/>
          <w:lang w:val="es-ES"/>
        </w:rPr>
        <w:t xml:space="preserve"> Los sujetos obligados </w:t>
      </w:r>
      <w:r w:rsidRPr="00FB5737">
        <w:rPr>
          <w:rFonts w:ascii="Palatino Linotype" w:eastAsia="Palatino Linotype" w:hAnsi="Palatino Linotype" w:cs="Palatino Linotype"/>
          <w:b/>
          <w:i/>
          <w:sz w:val="22"/>
          <w:szCs w:val="22"/>
          <w:lang w:val="es-ES"/>
        </w:rPr>
        <w:t>deberán documentar todo acto</w:t>
      </w:r>
      <w:r w:rsidRPr="00FB5737">
        <w:rPr>
          <w:rFonts w:ascii="Palatino Linotype" w:eastAsia="Palatino Linotype" w:hAnsi="Palatino Linotype" w:cs="Palatino Linotype"/>
          <w:i/>
          <w:sz w:val="22"/>
          <w:szCs w:val="22"/>
          <w:lang w:val="es-ES"/>
        </w:rPr>
        <w:t xml:space="preserve"> </w:t>
      </w:r>
      <w:r w:rsidRPr="00FB5737">
        <w:rPr>
          <w:rFonts w:ascii="Palatino Linotype" w:eastAsia="Palatino Linotype" w:hAnsi="Palatino Linotype" w:cs="Palatino Linotype"/>
          <w:b/>
          <w:i/>
          <w:sz w:val="22"/>
          <w:szCs w:val="22"/>
          <w:lang w:val="es-ES"/>
        </w:rPr>
        <w:t>que derive del ejercicio de sus facultades, competencias o funciones</w:t>
      </w:r>
      <w:r w:rsidRPr="00FB5737">
        <w:rPr>
          <w:rFonts w:ascii="Palatino Linotype" w:eastAsia="Palatino Linotype" w:hAnsi="Palatino Linotype" w:cs="Palatino Linotype"/>
          <w:i/>
          <w:sz w:val="22"/>
          <w:szCs w:val="22"/>
          <w:lang w:val="es-ES"/>
        </w:rPr>
        <w:t>, considerando desde su origen la eventual publicidad y reutilización de la información que generen.</w:t>
      </w:r>
    </w:p>
    <w:p w14:paraId="28C19542" w14:textId="77777777" w:rsidR="00DD2259" w:rsidRPr="00FB5737" w:rsidRDefault="00DD2259" w:rsidP="00DD2259">
      <w:pPr>
        <w:ind w:left="567" w:right="902"/>
        <w:jc w:val="both"/>
        <w:rPr>
          <w:rFonts w:ascii="Palatino Linotype" w:eastAsia="Palatino Linotype" w:hAnsi="Palatino Linotype" w:cs="Palatino Linotype"/>
          <w:i/>
          <w:sz w:val="22"/>
          <w:szCs w:val="22"/>
          <w:lang w:val="es-ES"/>
        </w:rPr>
      </w:pPr>
      <w:r w:rsidRPr="00FB5737">
        <w:rPr>
          <w:rFonts w:ascii="Palatino Linotype" w:eastAsia="Palatino Linotype" w:hAnsi="Palatino Linotype" w:cs="Palatino Linotype"/>
          <w:i/>
          <w:sz w:val="22"/>
          <w:szCs w:val="22"/>
          <w:lang w:val="es-ES"/>
        </w:rPr>
        <w:t>(…)</w:t>
      </w:r>
    </w:p>
    <w:p w14:paraId="2587E09E" w14:textId="77777777" w:rsidR="00DD2259" w:rsidRPr="00FB5737" w:rsidRDefault="00DD2259" w:rsidP="00DD2259">
      <w:pPr>
        <w:ind w:left="567" w:right="902"/>
        <w:jc w:val="both"/>
        <w:rPr>
          <w:rFonts w:ascii="Palatino Linotype" w:eastAsia="Palatino Linotype" w:hAnsi="Palatino Linotype" w:cs="Palatino Linotype"/>
          <w:i/>
          <w:sz w:val="22"/>
          <w:szCs w:val="22"/>
          <w:lang w:val="es-ES"/>
        </w:rPr>
      </w:pPr>
      <w:r w:rsidRPr="00FB5737">
        <w:rPr>
          <w:rFonts w:ascii="Palatino Linotype" w:eastAsia="Palatino Linotype" w:hAnsi="Palatino Linotype" w:cs="Palatino Linotype"/>
          <w:b/>
          <w:i/>
          <w:sz w:val="22"/>
          <w:szCs w:val="22"/>
          <w:lang w:val="es-ES"/>
        </w:rPr>
        <w:t>Artículo 24.</w:t>
      </w:r>
      <w:r w:rsidRPr="00FB5737">
        <w:rPr>
          <w:rFonts w:ascii="Palatino Linotype" w:eastAsia="Palatino Linotype" w:hAnsi="Palatino Linotype" w:cs="Palatino Linotype"/>
          <w:i/>
          <w:sz w:val="22"/>
          <w:szCs w:val="22"/>
          <w:lang w:val="es-ES"/>
        </w:rPr>
        <w:t xml:space="preserve"> Para el cumplimiento de los objetivos de esta Ley</w:t>
      </w:r>
      <w:r w:rsidRPr="00FB5737">
        <w:rPr>
          <w:rFonts w:ascii="Palatino Linotype" w:eastAsia="Palatino Linotype" w:hAnsi="Palatino Linotype" w:cs="Palatino Linotype"/>
          <w:b/>
          <w:i/>
          <w:sz w:val="22"/>
          <w:szCs w:val="22"/>
          <w:lang w:val="es-ES"/>
        </w:rPr>
        <w:t>, los sujetos obligados deberán cumplir con las siguientes obligaciones</w:t>
      </w:r>
      <w:r w:rsidRPr="00FB5737">
        <w:rPr>
          <w:rFonts w:ascii="Palatino Linotype" w:eastAsia="Palatino Linotype" w:hAnsi="Palatino Linotype" w:cs="Palatino Linotype"/>
          <w:i/>
          <w:sz w:val="22"/>
          <w:szCs w:val="22"/>
          <w:lang w:val="es-ES"/>
        </w:rPr>
        <w:t>, según corresponda, de acuerdo a su naturaleza:</w:t>
      </w:r>
    </w:p>
    <w:p w14:paraId="68C0C67E" w14:textId="77777777" w:rsidR="00DD2259" w:rsidRPr="00FB5737" w:rsidRDefault="00DD2259" w:rsidP="00DD2259">
      <w:pPr>
        <w:ind w:left="567" w:right="902"/>
        <w:jc w:val="both"/>
        <w:rPr>
          <w:rFonts w:ascii="Palatino Linotype" w:eastAsia="Palatino Linotype" w:hAnsi="Palatino Linotype" w:cs="Palatino Linotype"/>
          <w:i/>
          <w:sz w:val="22"/>
          <w:szCs w:val="22"/>
          <w:lang w:val="es-ES"/>
        </w:rPr>
      </w:pPr>
      <w:r w:rsidRPr="00FB5737">
        <w:rPr>
          <w:rFonts w:ascii="Palatino Linotype" w:eastAsia="Palatino Linotype" w:hAnsi="Palatino Linotype" w:cs="Palatino Linotype"/>
          <w:i/>
          <w:sz w:val="22"/>
          <w:szCs w:val="22"/>
          <w:lang w:val="es-ES"/>
        </w:rPr>
        <w:t>(…)</w:t>
      </w:r>
    </w:p>
    <w:p w14:paraId="468BB959" w14:textId="77777777" w:rsidR="00DD2259" w:rsidRPr="00FB5737" w:rsidRDefault="00DD2259" w:rsidP="00DD2259">
      <w:pPr>
        <w:ind w:left="567" w:right="902"/>
        <w:jc w:val="both"/>
        <w:rPr>
          <w:rFonts w:ascii="Palatino Linotype" w:eastAsia="Palatino Linotype" w:hAnsi="Palatino Linotype" w:cs="Palatino Linotype"/>
          <w:i/>
          <w:sz w:val="22"/>
          <w:szCs w:val="22"/>
          <w:lang w:val="es-ES"/>
        </w:rPr>
      </w:pPr>
      <w:r w:rsidRPr="00FB5737">
        <w:rPr>
          <w:rFonts w:ascii="Palatino Linotype" w:eastAsia="Palatino Linotype" w:hAnsi="Palatino Linotype" w:cs="Palatino Linotype"/>
          <w:b/>
          <w:i/>
          <w:sz w:val="22"/>
          <w:szCs w:val="22"/>
          <w:lang w:val="es-ES"/>
        </w:rPr>
        <w:t>XXII.</w:t>
      </w:r>
      <w:r w:rsidRPr="00FB5737">
        <w:rPr>
          <w:rFonts w:ascii="Palatino Linotype" w:eastAsia="Palatino Linotype" w:hAnsi="Palatino Linotype" w:cs="Palatino Linotype"/>
          <w:i/>
          <w:sz w:val="22"/>
          <w:szCs w:val="22"/>
          <w:lang w:val="es-ES"/>
        </w:rPr>
        <w:t xml:space="preserve"> </w:t>
      </w:r>
      <w:r w:rsidRPr="00FB5737">
        <w:rPr>
          <w:rFonts w:ascii="Palatino Linotype" w:eastAsia="Palatino Linotype" w:hAnsi="Palatino Linotype" w:cs="Palatino Linotype"/>
          <w:b/>
          <w:i/>
          <w:sz w:val="22"/>
          <w:szCs w:val="22"/>
          <w:lang w:val="es-ES"/>
        </w:rPr>
        <w:t>Documentar todo acto que derive del ejercicio de sus facultades, competencias o funciones</w:t>
      </w:r>
      <w:r w:rsidRPr="00FB5737">
        <w:rPr>
          <w:rFonts w:ascii="Palatino Linotype" w:eastAsia="Palatino Linotype" w:hAnsi="Palatino Linotype" w:cs="Palatino Linotype"/>
          <w:i/>
          <w:sz w:val="22"/>
          <w:szCs w:val="22"/>
          <w:lang w:val="es-ES"/>
        </w:rPr>
        <w:t xml:space="preserve"> y abstenerse de destruirlos u ocultarlos, dentro de los que destacan los procesos deliberativos y de decisión definitiva;”</w:t>
      </w:r>
    </w:p>
    <w:p w14:paraId="27D49B04" w14:textId="77777777" w:rsidR="00DD2259" w:rsidRPr="00FB5737" w:rsidRDefault="00DD2259" w:rsidP="00DD2259">
      <w:pPr>
        <w:spacing w:line="360" w:lineRule="auto"/>
        <w:jc w:val="both"/>
        <w:rPr>
          <w:rFonts w:ascii="Palatino Linotype" w:eastAsia="Palatino Linotype" w:hAnsi="Palatino Linotype" w:cs="Palatino Linotype"/>
          <w:sz w:val="22"/>
          <w:szCs w:val="22"/>
        </w:rPr>
      </w:pPr>
    </w:p>
    <w:p w14:paraId="10DB5E6E" w14:textId="27873877" w:rsidR="00DD2259" w:rsidRPr="00FB5737" w:rsidRDefault="00DD2259" w:rsidP="00DD2259">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Con base en lo anterior, es procedente dar vista a la Dirección General Jurídica y de Verificación de este Instituto, de conformidad con el artículo 23, fracción XIV del Reglamento Interior del Instituto de Transparencia y Acceso a la Información Pública del Estado de México y Municipios a fin de que determine lo conducente.</w:t>
      </w:r>
    </w:p>
    <w:p w14:paraId="567573F0" w14:textId="77777777" w:rsidR="008D2539" w:rsidRPr="00FB5737" w:rsidRDefault="0064634F">
      <w:pPr>
        <w:spacing w:before="240" w:after="240" w:line="360" w:lineRule="auto"/>
        <w:ind w:right="51"/>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 xml:space="preserve">Quinto. Versión Pública. </w:t>
      </w:r>
      <w:r w:rsidRPr="00FB5737">
        <w:rPr>
          <w:rFonts w:ascii="Palatino Linotype" w:eastAsia="Palatino Linotype" w:hAnsi="Palatino Linotype" w:cs="Palatino Linotype"/>
          <w:sz w:val="22"/>
          <w:szCs w:val="22"/>
        </w:rPr>
        <w:t>Como fue debidamente apuntado, 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2EDA2BD" w14:textId="77777777" w:rsidR="008D2539" w:rsidRPr="00FB5737" w:rsidRDefault="0064634F">
      <w:pPr>
        <w:spacing w:before="240" w:after="240"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18923B9" w14:textId="77777777" w:rsidR="008D2539" w:rsidRPr="00FB5737" w:rsidRDefault="0064634F">
      <w:pPr>
        <w:spacing w:before="240" w:after="240"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52C3BD0" w14:textId="77777777" w:rsidR="008D2539" w:rsidRPr="00FB5737" w:rsidRDefault="0064634F">
      <w:pPr>
        <w:spacing w:before="240" w:after="240"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2CFF589B"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sz w:val="22"/>
          <w:szCs w:val="22"/>
        </w:rPr>
        <w:t> </w:t>
      </w: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rPr>
        <w:t>Artículo 3.</w:t>
      </w:r>
      <w:r w:rsidRPr="00FB5737">
        <w:rPr>
          <w:rFonts w:ascii="Palatino Linotype" w:eastAsia="Palatino Linotype" w:hAnsi="Palatino Linotype" w:cs="Palatino Linotype"/>
          <w:i/>
          <w:sz w:val="22"/>
          <w:szCs w:val="22"/>
        </w:rPr>
        <w:t xml:space="preserve"> Para los efectos de la presente Ley se entenderá por:</w:t>
      </w:r>
    </w:p>
    <w:p w14:paraId="5AF6F512" w14:textId="77777777" w:rsidR="008D2539" w:rsidRPr="00FB5737" w:rsidRDefault="0064634F">
      <w:pPr>
        <w:tabs>
          <w:tab w:val="left" w:pos="1276"/>
        </w:tabs>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p>
    <w:p w14:paraId="4F24874F" w14:textId="77777777" w:rsidR="008D2539" w:rsidRPr="00FB5737" w:rsidRDefault="0064634F">
      <w:pPr>
        <w:tabs>
          <w:tab w:val="left" w:pos="1276"/>
        </w:tabs>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IX. Datos personales</w:t>
      </w:r>
      <w:r w:rsidRPr="00FB5737">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767BE63" w14:textId="77777777" w:rsidR="008D2539" w:rsidRPr="00FB5737" w:rsidRDefault="0064634F">
      <w:pPr>
        <w:tabs>
          <w:tab w:val="left" w:pos="1276"/>
        </w:tabs>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p>
    <w:p w14:paraId="71FFA9E3" w14:textId="77777777" w:rsidR="008D2539" w:rsidRPr="00FB5737" w:rsidRDefault="0064634F">
      <w:pPr>
        <w:tabs>
          <w:tab w:val="left" w:pos="1276"/>
        </w:tabs>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XX. Información clasificada</w:t>
      </w:r>
      <w:r w:rsidRPr="00FB5737">
        <w:rPr>
          <w:rFonts w:ascii="Palatino Linotype" w:eastAsia="Palatino Linotype" w:hAnsi="Palatino Linotype" w:cs="Palatino Linotype"/>
          <w:i/>
          <w:sz w:val="22"/>
          <w:szCs w:val="22"/>
        </w:rPr>
        <w:t>: Aquella considerada por la presente Ley como reservada o confidencial;</w:t>
      </w:r>
    </w:p>
    <w:p w14:paraId="78256611" w14:textId="77777777" w:rsidR="008D2539" w:rsidRPr="00FB5737" w:rsidRDefault="0064634F">
      <w:pPr>
        <w:tabs>
          <w:tab w:val="left" w:pos="1276"/>
        </w:tabs>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XXI. Información confidencial</w:t>
      </w:r>
      <w:r w:rsidRPr="00FB5737">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C99D13" w14:textId="77777777" w:rsidR="008D2539" w:rsidRPr="00FB5737" w:rsidRDefault="0064634F">
      <w:pPr>
        <w:tabs>
          <w:tab w:val="left" w:pos="1276"/>
        </w:tabs>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p>
    <w:p w14:paraId="4A9BC854" w14:textId="77777777" w:rsidR="008D2539" w:rsidRPr="00FB5737" w:rsidRDefault="0064634F">
      <w:pPr>
        <w:tabs>
          <w:tab w:val="left" w:pos="1276"/>
        </w:tabs>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XXXII. Protección de Datos Personales</w:t>
      </w:r>
      <w:r w:rsidRPr="00FB5737">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556123F8" w14:textId="77777777" w:rsidR="008D2539" w:rsidRPr="00FB5737" w:rsidRDefault="0064634F">
      <w:pPr>
        <w:tabs>
          <w:tab w:val="left" w:pos="1276"/>
        </w:tabs>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p>
    <w:p w14:paraId="0AADB8B0" w14:textId="77777777" w:rsidR="008D2539" w:rsidRPr="00FB5737" w:rsidRDefault="0064634F">
      <w:pPr>
        <w:tabs>
          <w:tab w:val="left" w:pos="1276"/>
        </w:tabs>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XLV. Versión pública</w:t>
      </w:r>
      <w:r w:rsidRPr="00FB573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592F860"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 Artículo 6</w:t>
      </w:r>
      <w:r w:rsidRPr="00FB5737">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24F5CCF"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p>
    <w:p w14:paraId="29A83430"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Artículo 91.</w:t>
      </w:r>
      <w:r w:rsidRPr="00FB573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FB5737">
        <w:rPr>
          <w:rFonts w:ascii="Palatino Linotype" w:eastAsia="Palatino Linotype" w:hAnsi="Palatino Linotype" w:cs="Palatino Linotype"/>
          <w:i/>
          <w:sz w:val="22"/>
          <w:szCs w:val="22"/>
        </w:rPr>
        <w:br/>
        <w:t>…</w:t>
      </w:r>
    </w:p>
    <w:p w14:paraId="34E6D7C0"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Artículo 132.</w:t>
      </w:r>
      <w:r w:rsidRPr="00FB5737">
        <w:rPr>
          <w:rFonts w:ascii="Palatino Linotype" w:eastAsia="Palatino Linotype" w:hAnsi="Palatino Linotype" w:cs="Palatino Linotype"/>
          <w:i/>
          <w:sz w:val="22"/>
          <w:szCs w:val="22"/>
        </w:rPr>
        <w:t xml:space="preserve"> La clasificación de la información se llevará a cabo en el momento en que:</w:t>
      </w:r>
    </w:p>
    <w:p w14:paraId="16EFB113" w14:textId="77777777" w:rsidR="008D2539" w:rsidRPr="00FB5737" w:rsidRDefault="0064634F">
      <w:pP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w:t>
      </w:r>
      <w:r w:rsidRPr="00FB5737">
        <w:rPr>
          <w:rFonts w:ascii="Palatino Linotype" w:eastAsia="Palatino Linotype" w:hAnsi="Palatino Linotype" w:cs="Palatino Linotype"/>
          <w:i/>
          <w:sz w:val="22"/>
          <w:szCs w:val="22"/>
        </w:rPr>
        <w:t>. Se reciba una solicitud de acceso a la información;</w:t>
      </w:r>
    </w:p>
    <w:p w14:paraId="0468F4F5" w14:textId="77777777" w:rsidR="008D2539" w:rsidRPr="00FB5737" w:rsidRDefault="0064634F">
      <w:pP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II.</w:t>
      </w:r>
      <w:r w:rsidRPr="00FB5737">
        <w:rPr>
          <w:rFonts w:ascii="Palatino Linotype" w:eastAsia="Palatino Linotype" w:hAnsi="Palatino Linotype" w:cs="Palatino Linotype"/>
          <w:i/>
          <w:sz w:val="22"/>
          <w:szCs w:val="22"/>
        </w:rPr>
        <w:t xml:space="preserve"> Se determine mediante resolución de autoridad competente; o</w:t>
      </w:r>
    </w:p>
    <w:p w14:paraId="498A0051" w14:textId="77777777" w:rsidR="008D2539" w:rsidRPr="00FB5737" w:rsidRDefault="0064634F">
      <w:pP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III.</w:t>
      </w:r>
      <w:r w:rsidRPr="00FB573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E3B0ECC"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w:t>
      </w:r>
    </w:p>
    <w:p w14:paraId="4AB38D1D"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Artículo 137.</w:t>
      </w:r>
      <w:r w:rsidRPr="00FB573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53965AD"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 Artículo 143.</w:t>
      </w:r>
      <w:r w:rsidRPr="00FB5737">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65FE9D60" w14:textId="77777777" w:rsidR="008D2539" w:rsidRPr="00FB5737" w:rsidRDefault="0064634F">
      <w:pP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w:t>
      </w:r>
      <w:r w:rsidRPr="00FB573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3E84B8E" w14:textId="77777777" w:rsidR="008D2539" w:rsidRPr="00FB5737" w:rsidRDefault="0064634F">
      <w:pPr>
        <w:spacing w:before="240" w:after="240" w:line="360" w:lineRule="auto"/>
        <w:ind w:right="5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1A78511" w14:textId="77777777" w:rsidR="008D2539" w:rsidRPr="00FB5737" w:rsidRDefault="0064634F">
      <w:pPr>
        <w:spacing w:before="240" w:after="240" w:line="360" w:lineRule="auto"/>
        <w:ind w:right="5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2A8A809"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domicilio particular, teléfono particular, correo electrónico particular, número de empleado, entre otros.</w:t>
      </w:r>
    </w:p>
    <w:p w14:paraId="1B42FFFE" w14:textId="77777777" w:rsidR="008D2539" w:rsidRPr="00FB5737" w:rsidRDefault="0064634F">
      <w:pPr>
        <w:spacing w:before="240" w:after="240" w:line="360" w:lineRule="auto"/>
        <w:ind w:right="5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46378E2"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Por cuanto hace al </w:t>
      </w:r>
      <w:r w:rsidRPr="00FB5737">
        <w:rPr>
          <w:rFonts w:ascii="Palatino Linotype" w:eastAsia="Palatino Linotype" w:hAnsi="Palatino Linotype" w:cs="Palatino Linotype"/>
          <w:b/>
          <w:sz w:val="22"/>
          <w:szCs w:val="22"/>
        </w:rPr>
        <w:t>Registro Federal de Contribuyentes, RFC</w:t>
      </w:r>
      <w:r w:rsidRPr="00FB5737">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27215D21"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5FE8B89"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Lo anterior se apoya del criterio orientador con clave de control SO/019/2017, emitido por el entonces Instituto Nacional de Transparencia, Acceso a la Información y Protección de Datos Personales, INAI, el cual es del tenor literal siguiente:</w:t>
      </w:r>
    </w:p>
    <w:p w14:paraId="513BEAB9" w14:textId="77777777" w:rsidR="008D2539" w:rsidRPr="00FB5737" w:rsidRDefault="0064634F">
      <w:pPr>
        <w:ind w:left="851"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“Registro Federal de Contribuyentes (RFC) de personas físicas</w:t>
      </w:r>
      <w:r w:rsidRPr="00FB5737">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02A8A0E4"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A30EA9A"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1A4CA05"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Argumento se apoya del criterio orientador con Clave de control SO/018/2017, emitido por el entonces Instituto Nacional de Transparencia, Acceso a la Información y Protección de Datos Personales, INAI, el cual refiere:</w:t>
      </w:r>
    </w:p>
    <w:p w14:paraId="09E71BE1" w14:textId="77777777" w:rsidR="008D2539" w:rsidRPr="00FB5737" w:rsidRDefault="0064634F">
      <w:pPr>
        <w:ind w:left="851" w:right="851"/>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 xml:space="preserve">“Clave Única de Registro de Población (CURP). </w:t>
      </w:r>
      <w:r w:rsidRPr="00FB5737">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2253619"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689908C3" w14:textId="77777777" w:rsidR="008D2539" w:rsidRPr="00FB5737" w:rsidRDefault="0064634F">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bookmarkStart w:id="11" w:name="_heading=h.3j2qqm3" w:colFirst="0" w:colLast="0"/>
      <w:bookmarkEnd w:id="11"/>
      <w:r w:rsidRPr="00FB5737">
        <w:rPr>
          <w:rFonts w:ascii="Palatino Linotype" w:eastAsia="Palatino Linotype" w:hAnsi="Palatino Linotype" w:cs="Palatino Linotype"/>
          <w:sz w:val="22"/>
          <w:szCs w:val="22"/>
        </w:rPr>
        <w:t xml:space="preserve">El </w:t>
      </w:r>
      <w:r w:rsidRPr="00FB5737">
        <w:rPr>
          <w:rFonts w:ascii="Palatino Linotype" w:eastAsia="Palatino Linotype" w:hAnsi="Palatino Linotype" w:cs="Palatino Linotype"/>
          <w:b/>
          <w:sz w:val="22"/>
          <w:szCs w:val="22"/>
        </w:rPr>
        <w:t>domicilio particular</w:t>
      </w:r>
      <w:r w:rsidRPr="00FB5737">
        <w:rPr>
          <w:rFonts w:ascii="Palatino Linotype" w:eastAsia="Palatino Linotype" w:hAnsi="Palatino Linotype" w:cs="Palatino Linotype"/>
          <w:sz w:val="22"/>
          <w:szCs w:val="22"/>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1F21D13" w14:textId="77777777" w:rsidR="008D2539" w:rsidRPr="00FB5737" w:rsidRDefault="0064634F">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sz w:val="22"/>
          <w:szCs w:val="22"/>
        </w:rPr>
      </w:pPr>
      <w:r w:rsidRPr="00FB5737">
        <w:rPr>
          <w:rFonts w:ascii="Palatino Linotype" w:eastAsia="Palatino Linotype" w:hAnsi="Palatino Linotype" w:cs="Palatino Linotype"/>
          <w:sz w:val="22"/>
          <w:szCs w:val="22"/>
        </w:rPr>
        <w:t>De la misma manera, lo establece el artículo 29 del Código Civil Federal, al precisar que el domicilio de personas físicas</w:t>
      </w:r>
      <w:r w:rsidRPr="00FB5737">
        <w:rPr>
          <w:rFonts w:ascii="Palatino Linotype" w:eastAsia="Palatino Linotype" w:hAnsi="Palatino Linotype" w:cs="Palatino Linotype"/>
          <w:b/>
          <w:sz w:val="22"/>
          <w:szCs w:val="22"/>
        </w:rPr>
        <w:t xml:space="preserve">, </w:t>
      </w:r>
      <w:r w:rsidRPr="00FB5737">
        <w:rPr>
          <w:rFonts w:ascii="Palatino Linotype" w:eastAsia="Palatino Linotype" w:hAnsi="Palatino Linotype" w:cs="Palatino Linotype"/>
          <w:sz w:val="22"/>
          <w:szCs w:val="22"/>
        </w:rPr>
        <w:t>es el lugar donde residen habitualmente, el lugar del centro principal de sus negocios, donde residan o el lugar donde se encuentren.</w:t>
      </w:r>
    </w:p>
    <w:p w14:paraId="50523286" w14:textId="77777777" w:rsidR="008D2539" w:rsidRPr="00FB5737" w:rsidRDefault="0064634F">
      <w:pPr>
        <w:spacing w:before="240" w:after="240" w:line="360" w:lineRule="auto"/>
        <w:ind w:right="-93"/>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7C692999" w14:textId="77777777" w:rsidR="008D2539" w:rsidRPr="00FB5737" w:rsidRDefault="0064634F">
      <w:pPr>
        <w:spacing w:before="240" w:after="240" w:line="360" w:lineRule="auto"/>
        <w:ind w:right="-93"/>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Por lo tanto, se actualiza la clasificación del domicilio y su comprobante, de conformidad con la fracción I, del artículo 143 de la Ley de Transparencia y Acceso a la Información Pública del Estado de México y Municipios.</w:t>
      </w:r>
    </w:p>
    <w:p w14:paraId="696DDA80" w14:textId="77777777" w:rsidR="008D2539" w:rsidRPr="00FB5737" w:rsidRDefault="0064634F">
      <w:pPr>
        <w:spacing w:before="240" w:after="240" w:line="360" w:lineRule="auto"/>
        <w:ind w:right="-93"/>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El </w:t>
      </w:r>
      <w:r w:rsidRPr="00FB5737">
        <w:rPr>
          <w:rFonts w:ascii="Palatino Linotype" w:eastAsia="Palatino Linotype" w:hAnsi="Palatino Linotype" w:cs="Palatino Linotype"/>
          <w:b/>
          <w:sz w:val="22"/>
          <w:szCs w:val="22"/>
        </w:rPr>
        <w:t>teléfono particular</w:t>
      </w:r>
      <w:r w:rsidRPr="00FB5737">
        <w:rPr>
          <w:rFonts w:ascii="Palatino Linotype" w:eastAsia="Palatino Linotype" w:hAnsi="Palatino Linotype" w:cs="Palatino Linotype"/>
          <w:sz w:val="22"/>
          <w:szCs w:val="22"/>
        </w:rPr>
        <w:t>, debido a que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w:t>
      </w:r>
    </w:p>
    <w:p w14:paraId="36644D86"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Con relación al </w:t>
      </w:r>
      <w:r w:rsidRPr="00FB5737">
        <w:rPr>
          <w:rFonts w:ascii="Palatino Linotype" w:eastAsia="Palatino Linotype" w:hAnsi="Palatino Linotype" w:cs="Palatino Linotype"/>
          <w:b/>
          <w:sz w:val="22"/>
          <w:szCs w:val="22"/>
        </w:rPr>
        <w:t>número de empleado</w:t>
      </w:r>
      <w:r w:rsidRPr="00FB5737">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40FECC2C"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w:t>
      </w:r>
    </w:p>
    <w:p w14:paraId="09EB7A32"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El entonces Instituto Nacional de Transparencia, Acceso a la Información, y Protección de Datos Personales, INAI  se pronunció sobre la publicidad del número de empleado, a través del criterio orientador con clave de control SO/006/2019, que indica lo siguiente:</w:t>
      </w:r>
    </w:p>
    <w:p w14:paraId="29BB8B36" w14:textId="77777777" w:rsidR="008D2539" w:rsidRPr="00FB5737" w:rsidRDefault="0064634F">
      <w:pPr>
        <w:tabs>
          <w:tab w:val="left" w:pos="7655"/>
        </w:tabs>
        <w:spacing w:before="240" w:after="240"/>
        <w:ind w:left="993" w:right="99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 xml:space="preserve">“Número de empleado. </w:t>
      </w:r>
      <w:r w:rsidRPr="00FB5737">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AD84F31"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762C398" w14:textId="77777777" w:rsidR="008D2539" w:rsidRPr="00FB5737" w:rsidRDefault="0064634F">
      <w:pPr>
        <w:numPr>
          <w:ilvl w:val="0"/>
          <w:numId w:val="2"/>
        </w:numPr>
        <w:pBdr>
          <w:top w:val="nil"/>
          <w:left w:val="nil"/>
          <w:bottom w:val="nil"/>
          <w:right w:val="nil"/>
          <w:between w:val="nil"/>
        </w:pBdr>
        <w:tabs>
          <w:tab w:val="left" w:pos="280"/>
        </w:tabs>
        <w:spacing w:after="16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Fotografía de servidores públicos</w:t>
      </w:r>
      <w:r w:rsidRPr="00FB5737">
        <w:rPr>
          <w:rFonts w:ascii="Palatino Linotype" w:eastAsia="Palatino Linotype" w:hAnsi="Palatino Linotype" w:cs="Palatino Linotype"/>
          <w:sz w:val="22"/>
          <w:szCs w:val="22"/>
        </w:rPr>
        <w:t xml:space="preserve">: </w:t>
      </w:r>
    </w:p>
    <w:p w14:paraId="22F69249" w14:textId="77777777" w:rsidR="008D2539" w:rsidRPr="00FB5737" w:rsidRDefault="0064634F">
      <w:pPr>
        <w:tabs>
          <w:tab w:val="left" w:pos="280"/>
        </w:tabs>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856BBEE" w14:textId="77777777" w:rsidR="008D2539" w:rsidRPr="00FB5737" w:rsidRDefault="008D2539">
      <w:pPr>
        <w:tabs>
          <w:tab w:val="left" w:pos="280"/>
        </w:tabs>
        <w:spacing w:line="360" w:lineRule="auto"/>
        <w:jc w:val="both"/>
        <w:rPr>
          <w:rFonts w:ascii="Palatino Linotype" w:eastAsia="Palatino Linotype" w:hAnsi="Palatino Linotype" w:cs="Palatino Linotype"/>
          <w:sz w:val="22"/>
          <w:szCs w:val="22"/>
        </w:rPr>
      </w:pPr>
    </w:p>
    <w:p w14:paraId="62748941" w14:textId="77777777" w:rsidR="008D2539" w:rsidRPr="00FB5737" w:rsidRDefault="0064634F">
      <w:pPr>
        <w:tabs>
          <w:tab w:val="left" w:pos="280"/>
        </w:tabs>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BC25CC1" w14:textId="77777777" w:rsidR="008D2539" w:rsidRPr="00FB5737" w:rsidRDefault="008D2539">
      <w:pPr>
        <w:tabs>
          <w:tab w:val="left" w:pos="280"/>
        </w:tabs>
        <w:spacing w:line="360" w:lineRule="auto"/>
        <w:jc w:val="both"/>
        <w:rPr>
          <w:rFonts w:ascii="Palatino Linotype" w:eastAsia="Palatino Linotype" w:hAnsi="Palatino Linotype" w:cs="Palatino Linotype"/>
          <w:sz w:val="22"/>
          <w:szCs w:val="22"/>
        </w:rPr>
      </w:pPr>
    </w:p>
    <w:p w14:paraId="5A6D1F4B" w14:textId="77777777" w:rsidR="008D2539" w:rsidRPr="00FB5737" w:rsidRDefault="0064634F">
      <w:pPr>
        <w:tabs>
          <w:tab w:val="left" w:pos="280"/>
        </w:tabs>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FB5737">
        <w:rPr>
          <w:rFonts w:ascii="Palatino Linotype" w:eastAsia="Palatino Linotype" w:hAnsi="Palatino Linotype" w:cs="Palatino Linotype"/>
          <w:b/>
          <w:sz w:val="22"/>
          <w:szCs w:val="22"/>
        </w:rPr>
        <w:t>con excepción del personal operativo en materia de seguridad, respecto del cual el Pleno de este Instituto ya se ha pronunciado en el sentido de que la información que los haga identificados o identificables debe clasificarse como reservada</w:t>
      </w:r>
      <w:r w:rsidRPr="00FB5737">
        <w:rPr>
          <w:rFonts w:ascii="Palatino Linotype" w:eastAsia="Palatino Linotype" w:hAnsi="Palatino Linotype" w:cs="Palatino Linotype"/>
          <w:sz w:val="22"/>
          <w:szCs w:val="22"/>
        </w:rPr>
        <w:t>).</w:t>
      </w:r>
    </w:p>
    <w:p w14:paraId="27566F84" w14:textId="77777777" w:rsidR="008D2539" w:rsidRPr="00FB5737" w:rsidRDefault="008D2539">
      <w:pPr>
        <w:tabs>
          <w:tab w:val="left" w:pos="280"/>
        </w:tabs>
        <w:spacing w:line="360" w:lineRule="auto"/>
        <w:jc w:val="both"/>
        <w:rPr>
          <w:rFonts w:ascii="Palatino Linotype" w:eastAsia="Palatino Linotype" w:hAnsi="Palatino Linotype" w:cs="Palatino Linotype"/>
          <w:sz w:val="22"/>
          <w:szCs w:val="22"/>
        </w:rPr>
      </w:pPr>
    </w:p>
    <w:p w14:paraId="3A00EAAD" w14:textId="77777777" w:rsidR="008D2539" w:rsidRPr="00FB5737" w:rsidRDefault="0064634F">
      <w:pPr>
        <w:tabs>
          <w:tab w:val="left" w:pos="280"/>
        </w:tabs>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En este sentido, resultan aplicables por analogía, los Criterios orientadores SO/015/2017 y SO/001/2013 del entonces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037D2E0" w14:textId="77777777" w:rsidR="008D2539" w:rsidRPr="00FB5737" w:rsidRDefault="008D2539">
      <w:pPr>
        <w:tabs>
          <w:tab w:val="left" w:pos="280"/>
        </w:tabs>
        <w:spacing w:line="360" w:lineRule="auto"/>
        <w:jc w:val="both"/>
        <w:rPr>
          <w:rFonts w:ascii="Palatino Linotype" w:eastAsia="Palatino Linotype" w:hAnsi="Palatino Linotype" w:cs="Palatino Linotype"/>
          <w:sz w:val="22"/>
          <w:szCs w:val="22"/>
        </w:rPr>
      </w:pPr>
    </w:p>
    <w:p w14:paraId="08A1C806" w14:textId="77777777" w:rsidR="008D2539" w:rsidRPr="00FB5737" w:rsidRDefault="0064634F">
      <w:pPr>
        <w:tabs>
          <w:tab w:val="left" w:pos="280"/>
        </w:tabs>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1835031" w14:textId="77777777" w:rsidR="008D2539" w:rsidRPr="00FB5737" w:rsidRDefault="008D2539">
      <w:pPr>
        <w:tabs>
          <w:tab w:val="left" w:pos="280"/>
        </w:tabs>
        <w:spacing w:line="360" w:lineRule="auto"/>
        <w:jc w:val="both"/>
        <w:rPr>
          <w:rFonts w:ascii="Palatino Linotype" w:eastAsia="Palatino Linotype" w:hAnsi="Palatino Linotype" w:cs="Palatino Linotype"/>
          <w:sz w:val="22"/>
          <w:szCs w:val="22"/>
        </w:rPr>
      </w:pPr>
    </w:p>
    <w:p w14:paraId="65A8429D" w14:textId="77777777" w:rsidR="008D2539" w:rsidRPr="00FB5737" w:rsidRDefault="0064634F">
      <w:pPr>
        <w:tabs>
          <w:tab w:val="left" w:pos="280"/>
        </w:tabs>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3106093" w14:textId="77777777" w:rsidR="008D2539" w:rsidRPr="00FB5737" w:rsidRDefault="008D2539">
      <w:pPr>
        <w:tabs>
          <w:tab w:val="left" w:pos="280"/>
        </w:tabs>
        <w:spacing w:line="360" w:lineRule="auto"/>
        <w:jc w:val="both"/>
        <w:rPr>
          <w:rFonts w:ascii="Palatino Linotype" w:eastAsia="Palatino Linotype" w:hAnsi="Palatino Linotype" w:cs="Palatino Linotype"/>
          <w:sz w:val="22"/>
          <w:szCs w:val="22"/>
        </w:rPr>
      </w:pPr>
    </w:p>
    <w:p w14:paraId="26558B38" w14:textId="77777777" w:rsidR="008D2539" w:rsidRPr="00FB5737" w:rsidRDefault="0064634F">
      <w:pPr>
        <w:tabs>
          <w:tab w:val="left" w:pos="280"/>
        </w:tabs>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3ACAB671" w14:textId="77777777" w:rsidR="008D2539" w:rsidRPr="00FB5737" w:rsidRDefault="008D2539">
      <w:pPr>
        <w:tabs>
          <w:tab w:val="left" w:pos="280"/>
        </w:tabs>
        <w:spacing w:line="360" w:lineRule="auto"/>
        <w:jc w:val="both"/>
        <w:rPr>
          <w:rFonts w:ascii="Palatino Linotype" w:eastAsia="Palatino Linotype" w:hAnsi="Palatino Linotype" w:cs="Palatino Linotype"/>
          <w:sz w:val="22"/>
          <w:szCs w:val="22"/>
        </w:rPr>
      </w:pPr>
    </w:p>
    <w:p w14:paraId="0DC5E864" w14:textId="77777777" w:rsidR="008D2539" w:rsidRPr="00FB5737" w:rsidRDefault="0064634F">
      <w:pPr>
        <w:tabs>
          <w:tab w:val="left" w:pos="280"/>
        </w:tabs>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Conforme a lo anterior, las fotografías de servidores públicos sin importar el nivel o rango guardan la naturaleza de públicas (</w:t>
      </w:r>
      <w:r w:rsidRPr="00FB5737">
        <w:rPr>
          <w:rFonts w:ascii="Palatino Linotype" w:eastAsia="Palatino Linotype" w:hAnsi="Palatino Linotype" w:cs="Palatino Linotype"/>
          <w:b/>
          <w:sz w:val="22"/>
          <w:szCs w:val="22"/>
        </w:rPr>
        <w:t>con excepción del personal operativo en materia de seguridad</w:t>
      </w:r>
      <w:r w:rsidRPr="00FB5737">
        <w:rPr>
          <w:rFonts w:ascii="Palatino Linotype" w:eastAsia="Palatino Linotype" w:hAnsi="Palatino Linotype" w:cs="Palatino Linotype"/>
          <w:sz w:val="22"/>
          <w:szCs w:val="22"/>
        </w:rPr>
        <w:t>)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7C7107E9" w14:textId="77777777" w:rsidR="008D2539" w:rsidRPr="00FB5737" w:rsidRDefault="0064634F">
      <w:pPr>
        <w:spacing w:before="240" w:after="240" w:line="360" w:lineRule="auto"/>
        <w:ind w:right="5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7496FB5" w14:textId="77777777" w:rsidR="008D2539" w:rsidRPr="00FB5737" w:rsidRDefault="0064634F">
      <w:pPr>
        <w:spacing w:before="120" w:after="120"/>
        <w:ind w:left="851"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“Artículo 49.</w:t>
      </w:r>
      <w:r w:rsidRPr="00FB5737">
        <w:rPr>
          <w:rFonts w:ascii="Palatino Linotype" w:eastAsia="Palatino Linotype" w:hAnsi="Palatino Linotype" w:cs="Palatino Linotype"/>
          <w:i/>
          <w:sz w:val="22"/>
          <w:szCs w:val="22"/>
        </w:rPr>
        <w:t xml:space="preserve"> </w:t>
      </w:r>
      <w:r w:rsidRPr="00FB5737">
        <w:rPr>
          <w:rFonts w:ascii="Palatino Linotype" w:eastAsia="Palatino Linotype" w:hAnsi="Palatino Linotype" w:cs="Palatino Linotype"/>
          <w:b/>
          <w:i/>
          <w:sz w:val="22"/>
          <w:szCs w:val="22"/>
        </w:rPr>
        <w:t>Los Comités de Transparencia</w:t>
      </w:r>
      <w:r w:rsidRPr="00FB5737">
        <w:rPr>
          <w:rFonts w:ascii="Palatino Linotype" w:eastAsia="Palatino Linotype" w:hAnsi="Palatino Linotype" w:cs="Palatino Linotype"/>
          <w:i/>
          <w:sz w:val="22"/>
          <w:szCs w:val="22"/>
        </w:rPr>
        <w:t xml:space="preserve"> tendrán las siguientes atribuciones:</w:t>
      </w:r>
    </w:p>
    <w:p w14:paraId="774F222E" w14:textId="77777777" w:rsidR="008D2539" w:rsidRPr="00FB5737" w:rsidRDefault="0064634F">
      <w:pPr>
        <w:spacing w:before="120" w:after="120"/>
        <w:ind w:left="1134"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VIII. Aprobar, modificar o revocar la clasificación de la información</w:t>
      </w:r>
      <w:r w:rsidRPr="00FB5737">
        <w:rPr>
          <w:rFonts w:ascii="Palatino Linotype" w:eastAsia="Palatino Linotype" w:hAnsi="Palatino Linotype" w:cs="Palatino Linotype"/>
          <w:i/>
          <w:sz w:val="22"/>
          <w:szCs w:val="22"/>
        </w:rPr>
        <w:t>…”</w:t>
      </w:r>
    </w:p>
    <w:p w14:paraId="31DF3E17" w14:textId="77777777" w:rsidR="008D2539" w:rsidRPr="00FB5737" w:rsidRDefault="0064634F">
      <w:pPr>
        <w:spacing w:before="120" w:after="120"/>
        <w:ind w:left="851"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rPr>
        <w:t>Artículo 53.</w:t>
      </w:r>
      <w:r w:rsidRPr="00FB5737">
        <w:rPr>
          <w:rFonts w:ascii="Palatino Linotype" w:eastAsia="Palatino Linotype" w:hAnsi="Palatino Linotype" w:cs="Palatino Linotype"/>
          <w:i/>
          <w:sz w:val="22"/>
          <w:szCs w:val="22"/>
        </w:rPr>
        <w:t xml:space="preserve"> Las </w:t>
      </w:r>
      <w:r w:rsidRPr="00FB5737">
        <w:rPr>
          <w:rFonts w:ascii="Palatino Linotype" w:eastAsia="Palatino Linotype" w:hAnsi="Palatino Linotype" w:cs="Palatino Linotype"/>
          <w:b/>
          <w:i/>
          <w:sz w:val="22"/>
          <w:szCs w:val="22"/>
        </w:rPr>
        <w:t>Unidades de Transparencia</w:t>
      </w:r>
      <w:r w:rsidRPr="00FB5737">
        <w:rPr>
          <w:rFonts w:ascii="Palatino Linotype" w:eastAsia="Palatino Linotype" w:hAnsi="Palatino Linotype" w:cs="Palatino Linotype"/>
          <w:i/>
          <w:sz w:val="22"/>
          <w:szCs w:val="22"/>
        </w:rPr>
        <w:t xml:space="preserve"> tendrán las siguientes </w:t>
      </w:r>
      <w:r w:rsidRPr="00FB5737">
        <w:rPr>
          <w:rFonts w:ascii="Palatino Linotype" w:eastAsia="Palatino Linotype" w:hAnsi="Palatino Linotype" w:cs="Palatino Linotype"/>
          <w:b/>
          <w:i/>
          <w:sz w:val="22"/>
          <w:szCs w:val="22"/>
        </w:rPr>
        <w:t>funciones</w:t>
      </w:r>
      <w:r w:rsidRPr="00FB5737">
        <w:rPr>
          <w:rFonts w:ascii="Palatino Linotype" w:eastAsia="Palatino Linotype" w:hAnsi="Palatino Linotype" w:cs="Palatino Linotype"/>
          <w:i/>
          <w:sz w:val="22"/>
          <w:szCs w:val="22"/>
        </w:rPr>
        <w:t>:</w:t>
      </w:r>
    </w:p>
    <w:p w14:paraId="5C5DCA1A" w14:textId="77777777" w:rsidR="008D2539" w:rsidRPr="00FB5737" w:rsidRDefault="0064634F">
      <w:pPr>
        <w:spacing w:before="120" w:after="120"/>
        <w:ind w:left="1134"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X. Presentar ante el Comité, el proyecto de clasificación de información</w:t>
      </w:r>
      <w:r w:rsidRPr="00FB5737">
        <w:rPr>
          <w:rFonts w:ascii="Palatino Linotype" w:eastAsia="Palatino Linotype" w:hAnsi="Palatino Linotype" w:cs="Palatino Linotype"/>
          <w:i/>
          <w:sz w:val="22"/>
          <w:szCs w:val="22"/>
        </w:rPr>
        <w:t xml:space="preserve">…” </w:t>
      </w:r>
    </w:p>
    <w:p w14:paraId="151F27CE" w14:textId="77777777" w:rsidR="008D2539" w:rsidRPr="00FB5737" w:rsidRDefault="0064634F">
      <w:pPr>
        <w:spacing w:before="120" w:after="120"/>
        <w:ind w:left="851"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“Artículo 59.</w:t>
      </w:r>
      <w:r w:rsidRPr="00FB5737">
        <w:rPr>
          <w:rFonts w:ascii="Palatino Linotype" w:eastAsia="Palatino Linotype" w:hAnsi="Palatino Linotype" w:cs="Palatino Linotype"/>
          <w:i/>
          <w:sz w:val="22"/>
          <w:szCs w:val="22"/>
        </w:rPr>
        <w:t xml:space="preserve"> Los </w:t>
      </w:r>
      <w:r w:rsidRPr="00FB5737">
        <w:rPr>
          <w:rFonts w:ascii="Palatino Linotype" w:eastAsia="Palatino Linotype" w:hAnsi="Palatino Linotype" w:cs="Palatino Linotype"/>
          <w:b/>
          <w:i/>
          <w:sz w:val="22"/>
          <w:szCs w:val="22"/>
        </w:rPr>
        <w:t>servidores públicos habilitados</w:t>
      </w:r>
      <w:r w:rsidRPr="00FB5737">
        <w:rPr>
          <w:rFonts w:ascii="Palatino Linotype" w:eastAsia="Palatino Linotype" w:hAnsi="Palatino Linotype" w:cs="Palatino Linotype"/>
          <w:i/>
          <w:sz w:val="22"/>
          <w:szCs w:val="22"/>
        </w:rPr>
        <w:t xml:space="preserve"> tendrán las </w:t>
      </w:r>
      <w:r w:rsidRPr="00FB5737">
        <w:rPr>
          <w:rFonts w:ascii="Palatino Linotype" w:eastAsia="Palatino Linotype" w:hAnsi="Palatino Linotype" w:cs="Palatino Linotype"/>
          <w:b/>
          <w:i/>
          <w:sz w:val="22"/>
          <w:szCs w:val="22"/>
        </w:rPr>
        <w:t>funciones</w:t>
      </w:r>
      <w:r w:rsidRPr="00FB5737">
        <w:rPr>
          <w:rFonts w:ascii="Palatino Linotype" w:eastAsia="Palatino Linotype" w:hAnsi="Palatino Linotype" w:cs="Palatino Linotype"/>
          <w:i/>
          <w:sz w:val="22"/>
          <w:szCs w:val="22"/>
        </w:rPr>
        <w:t xml:space="preserve"> siguientes:</w:t>
      </w:r>
    </w:p>
    <w:p w14:paraId="6746D3F0" w14:textId="77777777" w:rsidR="008D2539" w:rsidRPr="00FB5737" w:rsidRDefault="0064634F">
      <w:pPr>
        <w:spacing w:before="120" w:after="120"/>
        <w:ind w:left="1134"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B5737">
        <w:rPr>
          <w:rFonts w:ascii="Palatino Linotype" w:eastAsia="Palatino Linotype" w:hAnsi="Palatino Linotype" w:cs="Palatino Linotype"/>
          <w:i/>
          <w:sz w:val="22"/>
          <w:szCs w:val="22"/>
        </w:rPr>
        <w:t>, la cual tendrá los fundamentos y argumentos en que se basa dicha propuesta…”</w:t>
      </w:r>
    </w:p>
    <w:p w14:paraId="233D90AE"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BE42BAC"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B6C0B66"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rPr>
        <w:t>Artículo 149.</w:t>
      </w:r>
      <w:r w:rsidRPr="00FB5737">
        <w:rPr>
          <w:rFonts w:ascii="Palatino Linotype" w:eastAsia="Palatino Linotype" w:hAnsi="Palatino Linotype" w:cs="Palatino Linotype"/>
          <w:i/>
          <w:sz w:val="22"/>
          <w:szCs w:val="22"/>
        </w:rPr>
        <w:t xml:space="preserve"> El </w:t>
      </w:r>
      <w:r w:rsidRPr="00FB5737">
        <w:rPr>
          <w:rFonts w:ascii="Palatino Linotype" w:eastAsia="Palatino Linotype" w:hAnsi="Palatino Linotype" w:cs="Palatino Linotype"/>
          <w:b/>
          <w:i/>
          <w:sz w:val="22"/>
          <w:szCs w:val="22"/>
        </w:rPr>
        <w:t>acuerdo que clasifique la información como confidencial</w:t>
      </w:r>
      <w:r w:rsidRPr="00FB573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0AFE1E73" w14:textId="77777777" w:rsidR="008D2539" w:rsidRPr="00FB5737" w:rsidRDefault="0064634F">
      <w:pPr>
        <w:spacing w:before="240" w:after="240" w:line="360" w:lineRule="auto"/>
        <w:ind w:right="51"/>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Es decir, 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51E2E5D0" w14:textId="77777777" w:rsidR="008D2539" w:rsidRPr="00FB5737" w:rsidRDefault="0064634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089733B5"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 xml:space="preserve"> “Quincuagésimo. </w:t>
      </w:r>
      <w:r w:rsidRPr="00FB5737">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BA763BF" w14:textId="77777777" w:rsidR="008D2539" w:rsidRPr="00FB5737" w:rsidRDefault="0064634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 xml:space="preserve">Quincuagésimo primero. </w:t>
      </w:r>
      <w:r w:rsidRPr="00FB5737">
        <w:rPr>
          <w:rFonts w:ascii="Palatino Linotype" w:eastAsia="Palatino Linotype" w:hAnsi="Palatino Linotype" w:cs="Palatino Linotype"/>
          <w:i/>
          <w:sz w:val="22"/>
          <w:szCs w:val="22"/>
        </w:rPr>
        <w:t xml:space="preserve">Toda acta del Comité de Transparencia deberá contener: </w:t>
      </w:r>
    </w:p>
    <w:p w14:paraId="4FAA6AAE" w14:textId="77777777" w:rsidR="008D2539" w:rsidRPr="00FB5737" w:rsidRDefault="0064634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w:t>
      </w:r>
      <w:r w:rsidRPr="00FB5737">
        <w:rPr>
          <w:rFonts w:ascii="Palatino Linotype" w:eastAsia="Palatino Linotype" w:hAnsi="Palatino Linotype" w:cs="Palatino Linotype"/>
          <w:i/>
          <w:sz w:val="22"/>
          <w:szCs w:val="22"/>
        </w:rPr>
        <w:t xml:space="preserve"> El número de sesión y fecha; </w:t>
      </w:r>
    </w:p>
    <w:p w14:paraId="57CB7C50" w14:textId="77777777" w:rsidR="008D2539" w:rsidRPr="00FB5737" w:rsidRDefault="0064634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II</w:t>
      </w:r>
      <w:r w:rsidRPr="00FB5737">
        <w:rPr>
          <w:rFonts w:ascii="Palatino Linotype" w:eastAsia="Palatino Linotype" w:hAnsi="Palatino Linotype" w:cs="Palatino Linotype"/>
          <w:i/>
          <w:sz w:val="22"/>
          <w:szCs w:val="22"/>
        </w:rPr>
        <w:t xml:space="preserve">. El nombre del área que solicitó la clasificación de información; </w:t>
      </w:r>
    </w:p>
    <w:p w14:paraId="346CE081" w14:textId="77777777" w:rsidR="008D2539" w:rsidRPr="00FB5737" w:rsidRDefault="0064634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III</w:t>
      </w:r>
      <w:r w:rsidRPr="00FB5737">
        <w:rPr>
          <w:rFonts w:ascii="Palatino Linotype" w:eastAsia="Palatino Linotype" w:hAnsi="Palatino Linotype" w:cs="Palatino Linotype"/>
          <w:i/>
          <w:sz w:val="22"/>
          <w:szCs w:val="22"/>
        </w:rPr>
        <w:t xml:space="preserve">. La fundamentación legal y motivación correspondiente; </w:t>
      </w:r>
    </w:p>
    <w:p w14:paraId="4FED8DBA" w14:textId="77777777" w:rsidR="008D2539" w:rsidRPr="00FB5737" w:rsidRDefault="0064634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IV</w:t>
      </w:r>
      <w:r w:rsidRPr="00FB5737">
        <w:rPr>
          <w:rFonts w:ascii="Palatino Linotype" w:eastAsia="Palatino Linotype" w:hAnsi="Palatino Linotype" w:cs="Palatino Linotype"/>
          <w:i/>
          <w:sz w:val="22"/>
          <w:szCs w:val="22"/>
        </w:rPr>
        <w:t xml:space="preserve">. La resolución o resoluciones aprobadas; y </w:t>
      </w:r>
    </w:p>
    <w:p w14:paraId="676302BE" w14:textId="77777777" w:rsidR="008D2539" w:rsidRPr="00FB5737" w:rsidRDefault="0064634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V</w:t>
      </w:r>
      <w:r w:rsidRPr="00FB5737">
        <w:rPr>
          <w:rFonts w:ascii="Palatino Linotype" w:eastAsia="Palatino Linotype" w:hAnsi="Palatino Linotype" w:cs="Palatino Linotype"/>
          <w:i/>
          <w:sz w:val="22"/>
          <w:szCs w:val="22"/>
        </w:rPr>
        <w:t xml:space="preserve">. La rúbrica o firma digital de cada integrante del Comité de Transparencia. </w:t>
      </w:r>
    </w:p>
    <w:p w14:paraId="5C6D1B9F" w14:textId="77777777" w:rsidR="008D2539" w:rsidRPr="00FB5737" w:rsidRDefault="0064634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0C9927A" w14:textId="77777777" w:rsidR="008D2539" w:rsidRPr="00FB5737" w:rsidRDefault="0064634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w:t>
      </w:r>
      <w:r w:rsidRPr="00FB5737">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0054BDB" w14:textId="77777777" w:rsidR="008D2539" w:rsidRPr="00FB5737" w:rsidRDefault="0064634F">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II</w:t>
      </w:r>
      <w:r w:rsidRPr="00FB5737">
        <w:rPr>
          <w:rFonts w:ascii="Palatino Linotype" w:eastAsia="Palatino Linotype" w:hAnsi="Palatino Linotype" w:cs="Palatino Linotype"/>
          <w:i/>
          <w:sz w:val="22"/>
          <w:szCs w:val="22"/>
        </w:rPr>
        <w:t>. Descripción de las partes o secciones reservadas, en caso de clasificación parcial</w:t>
      </w:r>
      <w:r w:rsidRPr="00FB5737">
        <w:rPr>
          <w:rFonts w:ascii="Palatino Linotype" w:eastAsia="Palatino Linotype" w:hAnsi="Palatino Linotype" w:cs="Palatino Linotype"/>
          <w:b/>
          <w:i/>
          <w:sz w:val="22"/>
          <w:szCs w:val="22"/>
        </w:rPr>
        <w:t xml:space="preserve">; </w:t>
      </w:r>
    </w:p>
    <w:p w14:paraId="563BDBDC" w14:textId="77777777" w:rsidR="008D2539" w:rsidRPr="00FB5737" w:rsidRDefault="0064634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III.</w:t>
      </w:r>
      <w:r w:rsidRPr="00FB5737">
        <w:rPr>
          <w:rFonts w:ascii="Palatino Linotype" w:eastAsia="Palatino Linotype" w:hAnsi="Palatino Linotype" w:cs="Palatino Linotype"/>
          <w:i/>
          <w:sz w:val="22"/>
          <w:szCs w:val="22"/>
        </w:rPr>
        <w:t xml:space="preserve"> El periodo por el que mantendrá su clasificación y fecha de expiración; y </w:t>
      </w:r>
    </w:p>
    <w:p w14:paraId="516E75D1" w14:textId="77777777" w:rsidR="008D2539" w:rsidRPr="00FB5737" w:rsidRDefault="0064634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IV.</w:t>
      </w:r>
      <w:r w:rsidRPr="00FB5737">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15AAA62D" w14:textId="77777777" w:rsidR="008D2539" w:rsidRPr="00FB5737" w:rsidRDefault="0064634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EB5B841" w14:textId="77777777" w:rsidR="008D2539" w:rsidRPr="00FB5737" w:rsidRDefault="0064634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C6A8063" w14:textId="77777777" w:rsidR="008D2539" w:rsidRPr="00FB5737" w:rsidRDefault="0064634F">
      <w:pPr>
        <w:spacing w:before="240" w:after="240"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0CCC2997" w14:textId="77777777" w:rsidR="008D2539" w:rsidRPr="00FB5737" w:rsidRDefault="0064634F">
      <w:pPr>
        <w:spacing w:before="120" w:after="120"/>
        <w:ind w:left="851"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r w:rsidRPr="00FB5737">
        <w:rPr>
          <w:rFonts w:ascii="Palatino Linotype" w:eastAsia="Palatino Linotype" w:hAnsi="Palatino Linotype" w:cs="Palatino Linotype"/>
          <w:b/>
          <w:i/>
          <w:sz w:val="22"/>
          <w:szCs w:val="22"/>
        </w:rPr>
        <w:t>Quincuagésimo segundo</w:t>
      </w:r>
      <w:r w:rsidRPr="00FB5737">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F642E3F" w14:textId="77777777" w:rsidR="008D2539" w:rsidRPr="00FB5737" w:rsidRDefault="0064634F">
      <w:pPr>
        <w:spacing w:before="120" w:after="120"/>
        <w:ind w:left="851"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14ED6B2" w14:textId="77777777" w:rsidR="008D2539" w:rsidRPr="00FB5737" w:rsidRDefault="0064634F">
      <w:pPr>
        <w:spacing w:before="120" w:after="120"/>
        <w:ind w:left="1134"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w:t>
      </w:r>
      <w:r w:rsidRPr="00FB5737">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88F19CC" w14:textId="77777777" w:rsidR="008D2539" w:rsidRPr="00FB5737" w:rsidRDefault="0064634F">
      <w:pPr>
        <w:spacing w:before="120" w:after="120"/>
        <w:ind w:left="1134"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II.</w:t>
      </w:r>
      <w:r w:rsidRPr="00FB5737">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4DD6440" w14:textId="77777777" w:rsidR="008D2539" w:rsidRPr="00FB5737" w:rsidRDefault="0064634F">
      <w:pPr>
        <w:spacing w:before="120" w:after="120"/>
        <w:ind w:left="1134"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III.</w:t>
      </w:r>
      <w:r w:rsidRPr="00FB5737">
        <w:rPr>
          <w:rFonts w:ascii="Palatino Linotype" w:eastAsia="Palatino Linotype" w:hAnsi="Palatino Linotype" w:cs="Palatino Linotype"/>
          <w:i/>
          <w:sz w:val="22"/>
          <w:szCs w:val="22"/>
        </w:rPr>
        <w:t xml:space="preserve"> Señalar las personas o instancias autorizadas a acceder a la información clasificada.</w:t>
      </w:r>
    </w:p>
    <w:p w14:paraId="7C5BCD7A" w14:textId="77777777" w:rsidR="008D2539" w:rsidRPr="00FB5737" w:rsidRDefault="0064634F">
      <w:pPr>
        <w:spacing w:before="120" w:after="120"/>
        <w:ind w:left="851"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8E6C68A" w14:textId="77777777" w:rsidR="008D2539" w:rsidRPr="00FB5737" w:rsidRDefault="0064634F">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w:t>
      </w:r>
    </w:p>
    <w:p w14:paraId="785B9AD5" w14:textId="77777777" w:rsidR="008D2539" w:rsidRPr="00FB5737" w:rsidRDefault="0064634F">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 xml:space="preserve">Quincuagésimo cuarto. </w:t>
      </w:r>
      <w:r w:rsidRPr="00FB5737">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B5737">
        <w:rPr>
          <w:rFonts w:ascii="Palatino Linotype" w:eastAsia="Palatino Linotype" w:hAnsi="Palatino Linotype" w:cs="Palatino Linotype"/>
          <w:b/>
          <w:i/>
          <w:sz w:val="22"/>
          <w:szCs w:val="22"/>
        </w:rPr>
        <w:t xml:space="preserve"> </w:t>
      </w:r>
    </w:p>
    <w:p w14:paraId="6D4FE380"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 xml:space="preserve">Quincuagésimo quinto. </w:t>
      </w:r>
      <w:r w:rsidRPr="00FB5737">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CD784BC" w14:textId="77777777" w:rsidR="008D2539" w:rsidRPr="00FB5737" w:rsidRDefault="0064634F">
      <w:pPr>
        <w:spacing w:before="120" w:after="120"/>
        <w:ind w:left="851" w:right="902"/>
        <w:jc w:val="both"/>
        <w:rPr>
          <w:rFonts w:ascii="Palatino Linotype" w:eastAsia="Palatino Linotype" w:hAnsi="Palatino Linotype" w:cs="Palatino Linotype"/>
          <w:b/>
          <w:i/>
          <w:sz w:val="22"/>
          <w:szCs w:val="22"/>
        </w:rPr>
      </w:pPr>
      <w:r w:rsidRPr="00FB5737">
        <w:rPr>
          <w:rFonts w:ascii="Palatino Linotype" w:eastAsia="Palatino Linotype" w:hAnsi="Palatino Linotype" w:cs="Palatino Linotype"/>
          <w:b/>
          <w:i/>
          <w:sz w:val="22"/>
          <w:szCs w:val="22"/>
        </w:rPr>
        <w:t>...</w:t>
      </w:r>
    </w:p>
    <w:p w14:paraId="630BF50A"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Quincuagésimo séptimo</w:t>
      </w:r>
      <w:r w:rsidRPr="00FB573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CC46B2E" w14:textId="77777777" w:rsidR="008D2539" w:rsidRPr="00FB5737" w:rsidRDefault="0064634F">
      <w:pP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w:t>
      </w:r>
      <w:r w:rsidRPr="00FB573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650A8C9" w14:textId="77777777" w:rsidR="008D2539" w:rsidRPr="00FB5737" w:rsidRDefault="0064634F">
      <w:pP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II.</w:t>
      </w:r>
      <w:r w:rsidRPr="00FB5737">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F682880" w14:textId="77777777" w:rsidR="008D2539" w:rsidRPr="00FB5737" w:rsidRDefault="0064634F">
      <w:pPr>
        <w:spacing w:before="120" w:after="120"/>
        <w:ind w:left="1134"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III</w:t>
      </w:r>
      <w:r w:rsidRPr="00FB573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9E6652F"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06C475C6" w14:textId="77777777" w:rsidR="008D2539" w:rsidRPr="00FB5737" w:rsidRDefault="0064634F">
      <w:pPr>
        <w:spacing w:before="120" w:after="120"/>
        <w:ind w:left="851" w:right="902"/>
        <w:jc w:val="both"/>
        <w:rPr>
          <w:rFonts w:ascii="Palatino Linotype" w:eastAsia="Palatino Linotype" w:hAnsi="Palatino Linotype" w:cs="Palatino Linotype"/>
          <w:i/>
          <w:sz w:val="22"/>
          <w:szCs w:val="22"/>
        </w:rPr>
      </w:pPr>
      <w:r w:rsidRPr="00FB5737">
        <w:rPr>
          <w:rFonts w:ascii="Palatino Linotype" w:eastAsia="Palatino Linotype" w:hAnsi="Palatino Linotype" w:cs="Palatino Linotype"/>
          <w:b/>
          <w:i/>
          <w:sz w:val="22"/>
          <w:szCs w:val="22"/>
        </w:rPr>
        <w:t>Quincuagésimo octavo</w:t>
      </w:r>
      <w:r w:rsidRPr="00FB5737">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9E6DB29"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68729081"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E1E9230"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45DAEF70" w14:textId="483A3BA2" w:rsidR="008D2539" w:rsidRPr="00FB5737"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Así, con fundamento en lo prescrito en los artículos </w:t>
      </w:r>
      <w:r w:rsidR="000C3A11" w:rsidRPr="00FB5737">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FB5737">
        <w:rPr>
          <w:rFonts w:ascii="Palatino Linotype" w:eastAsia="Palatino Linotype" w:hAnsi="Palatino Linotype" w:cs="Palatino Linotype"/>
          <w:sz w:val="22"/>
          <w:szCs w:val="22"/>
        </w:rPr>
        <w:t xml:space="preserve"> 2, fracción II; 29, 36 fracciones I y II; 176, 178, 181, 185, fracción I, 186, fracción III, así como 188 de la Ley de Transparencia y Acceso a la Información Pública del Estado de México y Municipios, este Pleno:</w:t>
      </w:r>
    </w:p>
    <w:p w14:paraId="7B2077C5" w14:textId="77777777" w:rsidR="008D2539" w:rsidRPr="00FB5737"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FB5737"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2" w:name="_heading=h.ijv98pntcd5s" w:colFirst="0" w:colLast="0"/>
      <w:bookmarkEnd w:id="12"/>
      <w:r w:rsidRPr="00FB5737">
        <w:rPr>
          <w:rFonts w:ascii="Palatino Linotype" w:eastAsia="Palatino Linotype" w:hAnsi="Palatino Linotype" w:cs="Palatino Linotype"/>
          <w:b/>
          <w:sz w:val="22"/>
          <w:szCs w:val="22"/>
        </w:rPr>
        <w:t>III. R E S U E L V E</w:t>
      </w:r>
    </w:p>
    <w:p w14:paraId="380EE797" w14:textId="77777777" w:rsidR="008D2539" w:rsidRPr="00FB5737" w:rsidRDefault="008D2539">
      <w:pPr>
        <w:spacing w:line="360" w:lineRule="auto"/>
        <w:jc w:val="both"/>
        <w:rPr>
          <w:rFonts w:ascii="Palatino Linotype" w:eastAsia="Palatino Linotype" w:hAnsi="Palatino Linotype" w:cs="Palatino Linotype"/>
          <w:b/>
          <w:sz w:val="22"/>
          <w:szCs w:val="22"/>
        </w:rPr>
      </w:pPr>
      <w:bookmarkStart w:id="13" w:name="_heading=h.26in1rg" w:colFirst="0" w:colLast="0"/>
      <w:bookmarkEnd w:id="13"/>
    </w:p>
    <w:p w14:paraId="2ED76552" w14:textId="77777777" w:rsidR="008D2539" w:rsidRPr="00FB5737" w:rsidRDefault="0064634F">
      <w:pPr>
        <w:spacing w:line="360" w:lineRule="auto"/>
        <w:jc w:val="both"/>
        <w:rPr>
          <w:rFonts w:ascii="Palatino Linotype" w:eastAsia="Palatino Linotype" w:hAnsi="Palatino Linotype" w:cs="Palatino Linotype"/>
          <w:b/>
          <w:sz w:val="22"/>
          <w:szCs w:val="22"/>
        </w:rPr>
      </w:pPr>
      <w:bookmarkStart w:id="14" w:name="_heading=h.h7nzb79wlra" w:colFirst="0" w:colLast="0"/>
      <w:bookmarkEnd w:id="14"/>
      <w:r w:rsidRPr="00FB5737">
        <w:rPr>
          <w:rFonts w:ascii="Palatino Linotype" w:eastAsia="Palatino Linotype" w:hAnsi="Palatino Linotype" w:cs="Palatino Linotype"/>
          <w:b/>
          <w:sz w:val="22"/>
          <w:szCs w:val="22"/>
        </w:rPr>
        <w:t xml:space="preserve">Primero. </w:t>
      </w:r>
      <w:r w:rsidRPr="00FB5737">
        <w:rPr>
          <w:rFonts w:ascii="Palatino Linotype" w:eastAsia="Palatino Linotype" w:hAnsi="Palatino Linotype" w:cs="Palatino Linotype"/>
          <w:sz w:val="22"/>
          <w:szCs w:val="22"/>
        </w:rPr>
        <w:t xml:space="preserve">Resultan </w:t>
      </w:r>
      <w:r w:rsidRPr="00FB5737">
        <w:rPr>
          <w:rFonts w:ascii="Palatino Linotype" w:eastAsia="Palatino Linotype" w:hAnsi="Palatino Linotype" w:cs="Palatino Linotype"/>
          <w:b/>
          <w:sz w:val="22"/>
          <w:szCs w:val="22"/>
        </w:rPr>
        <w:t>parcialmente fundadas</w:t>
      </w:r>
      <w:r w:rsidRPr="00FB5737">
        <w:rPr>
          <w:rFonts w:ascii="Palatino Linotype" w:eastAsia="Palatino Linotype" w:hAnsi="Palatino Linotype" w:cs="Palatino Linotype"/>
          <w:sz w:val="22"/>
          <w:szCs w:val="22"/>
        </w:rPr>
        <w:t xml:space="preserve"> las razones o motivos de inconformidad hechos valer por la parte</w:t>
      </w:r>
      <w:r w:rsidRPr="00FB5737">
        <w:rPr>
          <w:rFonts w:ascii="Palatino Linotype" w:eastAsia="Palatino Linotype" w:hAnsi="Palatino Linotype" w:cs="Palatino Linotype"/>
          <w:b/>
          <w:sz w:val="22"/>
          <w:szCs w:val="22"/>
        </w:rPr>
        <w:t xml:space="preserve"> Recurrente</w:t>
      </w:r>
      <w:r w:rsidRPr="00FB5737">
        <w:rPr>
          <w:rFonts w:ascii="Palatino Linotype" w:eastAsia="Palatino Linotype" w:hAnsi="Palatino Linotype" w:cs="Palatino Linotype"/>
          <w:sz w:val="22"/>
          <w:szCs w:val="22"/>
        </w:rPr>
        <w:t xml:space="preserve"> en el recurso de revisión </w:t>
      </w:r>
      <w:r w:rsidRPr="00FB5737">
        <w:rPr>
          <w:rFonts w:ascii="Palatino Linotype" w:eastAsia="Palatino Linotype" w:hAnsi="Palatino Linotype" w:cs="Palatino Linotype"/>
          <w:b/>
          <w:sz w:val="22"/>
          <w:szCs w:val="22"/>
        </w:rPr>
        <w:t>10634/INFOEM/IP/RR/2025</w:t>
      </w:r>
      <w:r w:rsidRPr="00FB5737">
        <w:rPr>
          <w:rFonts w:ascii="Palatino Linotype" w:eastAsia="Palatino Linotype" w:hAnsi="Palatino Linotype" w:cs="Palatino Linotype"/>
          <w:sz w:val="22"/>
          <w:szCs w:val="22"/>
        </w:rPr>
        <w:t xml:space="preserve">; por lo que, en términos del </w:t>
      </w:r>
      <w:r w:rsidRPr="00FB5737">
        <w:rPr>
          <w:rFonts w:ascii="Palatino Linotype" w:eastAsia="Palatino Linotype" w:hAnsi="Palatino Linotype" w:cs="Palatino Linotype"/>
          <w:b/>
          <w:sz w:val="22"/>
          <w:szCs w:val="22"/>
        </w:rPr>
        <w:t>Considerando</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 xml:space="preserve">Cuarto </w:t>
      </w:r>
      <w:r w:rsidRPr="00FB5737">
        <w:rPr>
          <w:rFonts w:ascii="Palatino Linotype" w:eastAsia="Palatino Linotype" w:hAnsi="Palatino Linotype" w:cs="Palatino Linotype"/>
          <w:sz w:val="22"/>
          <w:szCs w:val="22"/>
        </w:rPr>
        <w:t xml:space="preserve">de esta resolución, se </w:t>
      </w:r>
      <w:r w:rsidRPr="00FB5737">
        <w:rPr>
          <w:rFonts w:ascii="Palatino Linotype" w:eastAsia="Palatino Linotype" w:hAnsi="Palatino Linotype" w:cs="Palatino Linotype"/>
          <w:b/>
          <w:sz w:val="22"/>
          <w:szCs w:val="22"/>
        </w:rPr>
        <w:t xml:space="preserve">Modifica </w:t>
      </w:r>
      <w:r w:rsidRPr="00FB5737">
        <w:rPr>
          <w:rFonts w:ascii="Palatino Linotype" w:eastAsia="Palatino Linotype" w:hAnsi="Palatino Linotype" w:cs="Palatino Linotype"/>
          <w:sz w:val="22"/>
          <w:szCs w:val="22"/>
        </w:rPr>
        <w:t xml:space="preserve">la respuesta emitida por el </w:t>
      </w:r>
      <w:r w:rsidRPr="00FB5737">
        <w:rPr>
          <w:rFonts w:ascii="Palatino Linotype" w:eastAsia="Palatino Linotype" w:hAnsi="Palatino Linotype" w:cs="Palatino Linotype"/>
          <w:b/>
          <w:sz w:val="22"/>
          <w:szCs w:val="22"/>
        </w:rPr>
        <w:t>Sujeto Obligado.</w:t>
      </w:r>
    </w:p>
    <w:p w14:paraId="1856CFFC" w14:textId="77777777" w:rsidR="008D2539" w:rsidRPr="00FB5737" w:rsidRDefault="008D2539">
      <w:pPr>
        <w:spacing w:line="360" w:lineRule="auto"/>
        <w:jc w:val="both"/>
        <w:rPr>
          <w:rFonts w:ascii="Palatino Linotype" w:eastAsia="Palatino Linotype" w:hAnsi="Palatino Linotype" w:cs="Palatino Linotype"/>
          <w:b/>
          <w:sz w:val="22"/>
          <w:szCs w:val="22"/>
        </w:rPr>
      </w:pPr>
    </w:p>
    <w:p w14:paraId="5575BE2D" w14:textId="6D55CFE4" w:rsidR="008D2539" w:rsidRPr="00FB5737" w:rsidRDefault="0064634F">
      <w:pPr>
        <w:spacing w:line="360" w:lineRule="auto"/>
        <w:jc w:val="both"/>
        <w:rPr>
          <w:rFonts w:ascii="Palatino Linotype" w:eastAsia="Palatino Linotype" w:hAnsi="Palatino Linotype" w:cs="Palatino Linotype"/>
          <w:sz w:val="22"/>
          <w:szCs w:val="22"/>
        </w:rPr>
      </w:pPr>
      <w:bookmarkStart w:id="15" w:name="_heading=h.2et92p0" w:colFirst="0" w:colLast="0"/>
      <w:bookmarkEnd w:id="15"/>
      <w:r w:rsidRPr="00FB5737">
        <w:rPr>
          <w:rFonts w:ascii="Palatino Linotype" w:eastAsia="Palatino Linotype" w:hAnsi="Palatino Linotype" w:cs="Palatino Linotype"/>
          <w:b/>
          <w:sz w:val="22"/>
          <w:szCs w:val="22"/>
        </w:rPr>
        <w:t xml:space="preserve">Segundo. </w:t>
      </w:r>
      <w:r w:rsidRPr="00FB5737">
        <w:rPr>
          <w:rFonts w:ascii="Palatino Linotype" w:eastAsia="Palatino Linotype" w:hAnsi="Palatino Linotype" w:cs="Palatino Linotype"/>
          <w:sz w:val="22"/>
          <w:szCs w:val="22"/>
        </w:rPr>
        <w:t xml:space="preserve">Se </w:t>
      </w:r>
      <w:r w:rsidRPr="00FB5737">
        <w:rPr>
          <w:rFonts w:ascii="Palatino Linotype" w:eastAsia="Palatino Linotype" w:hAnsi="Palatino Linotype" w:cs="Palatino Linotype"/>
          <w:b/>
          <w:sz w:val="22"/>
          <w:szCs w:val="22"/>
        </w:rPr>
        <w:t>Ordena</w:t>
      </w:r>
      <w:r w:rsidRPr="00FB5737">
        <w:rPr>
          <w:rFonts w:ascii="Palatino Linotype" w:eastAsia="Palatino Linotype" w:hAnsi="Palatino Linotype" w:cs="Palatino Linotype"/>
          <w:sz w:val="22"/>
          <w:szCs w:val="22"/>
        </w:rPr>
        <w:t xml:space="preserve"> al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en términos de los considerandos </w:t>
      </w:r>
      <w:r w:rsidRPr="00FB5737">
        <w:rPr>
          <w:rFonts w:ascii="Palatino Linotype" w:eastAsia="Palatino Linotype" w:hAnsi="Palatino Linotype" w:cs="Palatino Linotype"/>
          <w:b/>
          <w:sz w:val="22"/>
          <w:szCs w:val="22"/>
        </w:rPr>
        <w:t xml:space="preserve">Cuarto y Quinto </w:t>
      </w:r>
      <w:r w:rsidRPr="00FB5737">
        <w:rPr>
          <w:rFonts w:ascii="Palatino Linotype" w:eastAsia="Palatino Linotype" w:hAnsi="Palatino Linotype" w:cs="Palatino Linotype"/>
          <w:sz w:val="22"/>
          <w:szCs w:val="22"/>
        </w:rPr>
        <w:t xml:space="preserve">de esta resolución, </w:t>
      </w:r>
      <w:r w:rsidRPr="00FB5737">
        <w:rPr>
          <w:rFonts w:ascii="Palatino Linotype" w:eastAsia="Palatino Linotype" w:hAnsi="Palatino Linotype" w:cs="Palatino Linotype"/>
          <w:b/>
          <w:sz w:val="22"/>
          <w:szCs w:val="22"/>
        </w:rPr>
        <w:t>haga entrega vía Sistema de Acceso a la Información Mexiquense (SAIMEX)</w:t>
      </w:r>
      <w:r w:rsidRPr="00FB5737">
        <w:rPr>
          <w:rFonts w:ascii="Palatino Linotype" w:eastAsia="Palatino Linotype" w:hAnsi="Palatino Linotype" w:cs="Palatino Linotype"/>
          <w:b/>
          <w:sz w:val="22"/>
          <w:szCs w:val="22"/>
          <w:u w:val="single"/>
        </w:rPr>
        <w:t xml:space="preserve">, previa búsqueda exhaustiva y razonable, de ser procedente en versión pública, </w:t>
      </w:r>
      <w:r w:rsidR="00A356EE" w:rsidRPr="00FB5737">
        <w:rPr>
          <w:rFonts w:ascii="Palatino Linotype" w:eastAsia="Palatino Linotype" w:hAnsi="Palatino Linotype" w:cs="Palatino Linotype"/>
          <w:b/>
          <w:sz w:val="22"/>
          <w:szCs w:val="22"/>
          <w:u w:val="single"/>
        </w:rPr>
        <w:t xml:space="preserve">de </w:t>
      </w:r>
      <w:r w:rsidRPr="00FB5737">
        <w:rPr>
          <w:rFonts w:ascii="Palatino Linotype" w:eastAsia="Palatino Linotype" w:hAnsi="Palatino Linotype" w:cs="Palatino Linotype"/>
          <w:b/>
          <w:sz w:val="22"/>
          <w:szCs w:val="22"/>
          <w:u w:val="single"/>
        </w:rPr>
        <w:t>lo siguiente</w:t>
      </w:r>
      <w:r w:rsidRPr="00FB5737">
        <w:rPr>
          <w:rFonts w:ascii="Palatino Linotype" w:eastAsia="Palatino Linotype" w:hAnsi="Palatino Linotype" w:cs="Palatino Linotype"/>
          <w:sz w:val="22"/>
          <w:szCs w:val="22"/>
        </w:rPr>
        <w:t>:</w:t>
      </w:r>
    </w:p>
    <w:p w14:paraId="210DB711"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2634BE2D" w14:textId="3C28E23D" w:rsidR="008D2539" w:rsidRPr="00FB5737" w:rsidRDefault="0064634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6" w:name="_heading=h.59npxyxpomjd" w:colFirst="0" w:colLast="0"/>
      <w:bookmarkEnd w:id="16"/>
      <w:r w:rsidRPr="00FB5737">
        <w:rPr>
          <w:rFonts w:ascii="Palatino Linotype" w:eastAsia="Palatino Linotype" w:hAnsi="Palatino Linotype" w:cs="Palatino Linotype"/>
          <w:b/>
          <w:sz w:val="22"/>
          <w:szCs w:val="22"/>
          <w:u w:val="single"/>
        </w:rPr>
        <w:t>Curriculum vitae, ficha curricular</w:t>
      </w:r>
      <w:r w:rsidR="00A356EE" w:rsidRPr="00FB5737">
        <w:rPr>
          <w:rFonts w:ascii="Palatino Linotype" w:eastAsia="Palatino Linotype" w:hAnsi="Palatino Linotype" w:cs="Palatino Linotype"/>
          <w:b/>
          <w:sz w:val="22"/>
          <w:szCs w:val="22"/>
          <w:u w:val="single"/>
        </w:rPr>
        <w:t xml:space="preserve"> o </w:t>
      </w:r>
      <w:r w:rsidRPr="00FB5737">
        <w:rPr>
          <w:rFonts w:ascii="Palatino Linotype" w:eastAsia="Palatino Linotype" w:hAnsi="Palatino Linotype" w:cs="Palatino Linotype"/>
          <w:b/>
          <w:sz w:val="22"/>
          <w:szCs w:val="22"/>
          <w:u w:val="single"/>
        </w:rPr>
        <w:t xml:space="preserve">documento análogo del Presidente Municipal </w:t>
      </w:r>
      <w:r w:rsidR="00A356EE" w:rsidRPr="00FB5737">
        <w:rPr>
          <w:rFonts w:ascii="Palatino Linotype" w:eastAsia="Palatino Linotype" w:hAnsi="Palatino Linotype" w:cs="Palatino Linotype"/>
          <w:b/>
          <w:sz w:val="22"/>
          <w:szCs w:val="22"/>
          <w:u w:val="single"/>
        </w:rPr>
        <w:t>en funciones al veinte de agosto de dos mil veinticinco.</w:t>
      </w:r>
    </w:p>
    <w:p w14:paraId="50708443" w14:textId="77777777" w:rsidR="008D2539" w:rsidRPr="00FB5737" w:rsidRDefault="008D2539">
      <w:pPr>
        <w:spacing w:line="360" w:lineRule="auto"/>
        <w:jc w:val="both"/>
        <w:rPr>
          <w:rFonts w:ascii="Palatino Linotype" w:eastAsia="Palatino Linotype" w:hAnsi="Palatino Linotype" w:cs="Palatino Linotype"/>
          <w:b/>
          <w:sz w:val="22"/>
          <w:szCs w:val="22"/>
        </w:rPr>
      </w:pPr>
    </w:p>
    <w:p w14:paraId="078ED5DC" w14:textId="77777777" w:rsidR="008D2539" w:rsidRPr="00FB5737" w:rsidRDefault="0064634F">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FB5737">
        <w:rPr>
          <w:rFonts w:ascii="Palatino Linotype" w:eastAsia="Palatino Linotype" w:hAnsi="Palatino Linotype" w:cs="Palatino Linotype"/>
          <w:b/>
          <w:i/>
          <w:sz w:val="22"/>
          <w:szCs w:val="22"/>
        </w:rPr>
        <w:t>Recurrente</w:t>
      </w:r>
      <w:r w:rsidRPr="00FB5737">
        <w:rPr>
          <w:rFonts w:ascii="Palatino Linotype" w:eastAsia="Palatino Linotype" w:hAnsi="Palatino Linotype" w:cs="Palatino Linotype"/>
          <w:i/>
          <w:sz w:val="22"/>
          <w:szCs w:val="22"/>
        </w:rPr>
        <w:t>, mismo que igualmente hará de su conocimiento.</w:t>
      </w:r>
      <w:r w:rsidRPr="00FB5737">
        <w:rPr>
          <w:rFonts w:ascii="Palatino Linotype" w:eastAsia="Palatino Linotype" w:hAnsi="Palatino Linotype" w:cs="Palatino Linotype"/>
          <w:sz w:val="22"/>
          <w:szCs w:val="22"/>
        </w:rPr>
        <w:t xml:space="preserve"> </w:t>
      </w:r>
    </w:p>
    <w:p w14:paraId="0DAF1265" w14:textId="77777777" w:rsidR="008D2539" w:rsidRPr="00FB5737" w:rsidRDefault="008D2539">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10616C62" w14:textId="77777777" w:rsidR="008D2539" w:rsidRPr="00FB5737"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 xml:space="preserve">Tercero. Notifíquese, </w:t>
      </w:r>
      <w:r w:rsidRPr="00FB5737">
        <w:rPr>
          <w:rFonts w:ascii="Palatino Linotype" w:eastAsia="Palatino Linotype" w:hAnsi="Palatino Linotype" w:cs="Palatino Linotype"/>
          <w:sz w:val="22"/>
          <w:szCs w:val="22"/>
        </w:rPr>
        <w:t xml:space="preserve">vía </w:t>
      </w:r>
      <w:r w:rsidRPr="00FB5737">
        <w:rPr>
          <w:rFonts w:ascii="Palatino Linotype" w:eastAsia="Palatino Linotype" w:hAnsi="Palatino Linotype" w:cs="Palatino Linotype"/>
          <w:b/>
          <w:sz w:val="22"/>
          <w:szCs w:val="22"/>
        </w:rPr>
        <w:t>SAIMEX</w:t>
      </w:r>
      <w:r w:rsidRPr="00FB5737">
        <w:rPr>
          <w:rFonts w:ascii="Palatino Linotype" w:eastAsia="Palatino Linotype" w:hAnsi="Palatino Linotype" w:cs="Palatino Linotype"/>
          <w:sz w:val="22"/>
          <w:szCs w:val="22"/>
        </w:rPr>
        <w:t xml:space="preserve">, al Titular de la Unidad de Transparencia del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87AE37" w14:textId="77777777" w:rsidR="008D2539" w:rsidRPr="00FB5737" w:rsidRDefault="008D2539">
      <w:pPr>
        <w:spacing w:line="360" w:lineRule="auto"/>
        <w:jc w:val="both"/>
        <w:rPr>
          <w:rFonts w:ascii="Palatino Linotype" w:eastAsia="Palatino Linotype" w:hAnsi="Palatino Linotype" w:cs="Palatino Linotype"/>
          <w:sz w:val="22"/>
          <w:szCs w:val="22"/>
        </w:rPr>
      </w:pPr>
    </w:p>
    <w:p w14:paraId="643339D0" w14:textId="77777777" w:rsidR="008D2539" w:rsidRPr="00FB5737" w:rsidRDefault="0064634F">
      <w:pPr>
        <w:spacing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Cuarto.</w:t>
      </w:r>
      <w:r w:rsidRPr="00FB5737">
        <w:rPr>
          <w:rFonts w:ascii="Palatino Linotype" w:eastAsia="Palatino Linotype" w:hAnsi="Palatino Linotype" w:cs="Palatino Linotype"/>
          <w:sz w:val="22"/>
          <w:szCs w:val="22"/>
        </w:rPr>
        <w:t xml:space="preserve"> </w:t>
      </w:r>
      <w:r w:rsidRPr="00FB5737">
        <w:rPr>
          <w:rFonts w:ascii="Palatino Linotype" w:eastAsia="Palatino Linotype" w:hAnsi="Palatino Linotype" w:cs="Palatino Linotype"/>
          <w:b/>
          <w:sz w:val="22"/>
          <w:szCs w:val="22"/>
        </w:rPr>
        <w:t xml:space="preserve">Notifíquese, </w:t>
      </w:r>
      <w:r w:rsidRPr="00FB5737">
        <w:rPr>
          <w:rFonts w:ascii="Palatino Linotype" w:eastAsia="Palatino Linotype" w:hAnsi="Palatino Linotype" w:cs="Palatino Linotype"/>
          <w:sz w:val="22"/>
          <w:szCs w:val="22"/>
        </w:rPr>
        <w:t xml:space="preserve">vía </w:t>
      </w:r>
      <w:r w:rsidRPr="00FB5737">
        <w:rPr>
          <w:rFonts w:ascii="Palatino Linotype" w:eastAsia="Palatino Linotype" w:hAnsi="Palatino Linotype" w:cs="Palatino Linotype"/>
          <w:b/>
          <w:sz w:val="22"/>
          <w:szCs w:val="22"/>
        </w:rPr>
        <w:t>SAIMEX</w:t>
      </w:r>
      <w:r w:rsidRPr="00FB5737">
        <w:rPr>
          <w:rFonts w:ascii="Palatino Linotype" w:eastAsia="Palatino Linotype" w:hAnsi="Palatino Linotype" w:cs="Palatino Linotype"/>
          <w:sz w:val="22"/>
          <w:szCs w:val="22"/>
        </w:rPr>
        <w:t xml:space="preserve">, al Titular de la Unidad de Transparencia del </w:t>
      </w:r>
      <w:r w:rsidRPr="00FB5737">
        <w:rPr>
          <w:rFonts w:ascii="Palatino Linotype" w:eastAsia="Palatino Linotype" w:hAnsi="Palatino Linotype" w:cs="Palatino Linotype"/>
          <w:b/>
          <w:sz w:val="22"/>
          <w:szCs w:val="22"/>
        </w:rPr>
        <w:t>Sujeto Obligado,</w:t>
      </w:r>
      <w:r w:rsidRPr="00FB5737">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C3DC57E" w14:textId="77777777" w:rsidR="008D2539" w:rsidRPr="00FB5737" w:rsidRDefault="008D2539">
      <w:pPr>
        <w:spacing w:line="360" w:lineRule="auto"/>
        <w:ind w:right="49"/>
        <w:jc w:val="both"/>
        <w:rPr>
          <w:rFonts w:ascii="Palatino Linotype" w:eastAsia="Palatino Linotype" w:hAnsi="Palatino Linotype" w:cs="Palatino Linotype"/>
          <w:sz w:val="22"/>
          <w:szCs w:val="22"/>
        </w:rPr>
      </w:pPr>
    </w:p>
    <w:p w14:paraId="08CE3FF4" w14:textId="10155F9B" w:rsidR="008D2539" w:rsidRPr="00FB5737" w:rsidRDefault="0064634F">
      <w:pPr>
        <w:spacing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 xml:space="preserve">Quinto. Notifíquese vía SAIMEX, </w:t>
      </w:r>
      <w:r w:rsidRPr="00FB5737">
        <w:rPr>
          <w:rFonts w:ascii="Palatino Linotype" w:eastAsia="Palatino Linotype" w:hAnsi="Palatino Linotype" w:cs="Palatino Linotype"/>
          <w:sz w:val="22"/>
          <w:szCs w:val="22"/>
        </w:rPr>
        <w:t xml:space="preserve">la presente resolución a la parte </w:t>
      </w:r>
      <w:r w:rsidRPr="00FB5737">
        <w:rPr>
          <w:rFonts w:ascii="Palatino Linotype" w:eastAsia="Palatino Linotype" w:hAnsi="Palatino Linotype" w:cs="Palatino Linotype"/>
          <w:b/>
          <w:sz w:val="22"/>
          <w:szCs w:val="22"/>
        </w:rPr>
        <w:t>Recurrente</w:t>
      </w:r>
      <w:r w:rsidRPr="00FB5737">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0187DD" w14:textId="18C5F8DD" w:rsidR="00A356EE" w:rsidRPr="00FB5737" w:rsidRDefault="00A356EE">
      <w:pPr>
        <w:spacing w:line="360" w:lineRule="auto"/>
        <w:ind w:right="49"/>
        <w:jc w:val="both"/>
        <w:rPr>
          <w:rFonts w:ascii="Palatino Linotype" w:eastAsia="Palatino Linotype" w:hAnsi="Palatino Linotype" w:cs="Palatino Linotype"/>
          <w:sz w:val="22"/>
          <w:szCs w:val="22"/>
        </w:rPr>
      </w:pPr>
    </w:p>
    <w:p w14:paraId="6B782A90" w14:textId="68B3541F" w:rsidR="008D2539" w:rsidRPr="00FB5737" w:rsidRDefault="00B30BD4">
      <w:pPr>
        <w:spacing w:line="360" w:lineRule="auto"/>
        <w:ind w:right="49"/>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b/>
          <w:sz w:val="22"/>
          <w:szCs w:val="22"/>
        </w:rPr>
        <w:t>Sexto. Gírese,</w:t>
      </w:r>
      <w:r w:rsidRPr="00FB5737">
        <w:rPr>
          <w:rFonts w:ascii="Palatino Linotype" w:eastAsia="Palatino Linotype" w:hAnsi="Palatino Linotype" w:cs="Palatino Linotype"/>
          <w:sz w:val="22"/>
          <w:szCs w:val="22"/>
        </w:rPr>
        <w:t xml:space="preserve"> oficio al Titular de la Dirección General Jurídica y de Verificación, de conformidad con el artículo 23, fracción XIV del Reglamento Interior del Instituto de Transparencia y Acceso a la Información Pública del Estado de México y Municipios a fin de que determine lo conducente, en términos del Considerando Cuarto de la presente resolución.</w:t>
      </w:r>
    </w:p>
    <w:p w14:paraId="42AF2724" w14:textId="77777777" w:rsidR="00B30BD4" w:rsidRPr="00FB5737" w:rsidRDefault="00B30BD4">
      <w:pPr>
        <w:spacing w:line="360" w:lineRule="auto"/>
        <w:ind w:right="49"/>
        <w:jc w:val="both"/>
        <w:rPr>
          <w:rFonts w:ascii="Palatino Linotype" w:eastAsia="Palatino Linotype" w:hAnsi="Palatino Linotype" w:cs="Palatino Linotype"/>
          <w:sz w:val="22"/>
          <w:szCs w:val="22"/>
        </w:rPr>
      </w:pPr>
    </w:p>
    <w:p w14:paraId="7C05B59E" w14:textId="5FF9A711" w:rsidR="008D2539" w:rsidRPr="002F71EB" w:rsidRDefault="0064634F">
      <w:pPr>
        <w:spacing w:line="360" w:lineRule="auto"/>
        <w:jc w:val="both"/>
        <w:rPr>
          <w:rFonts w:ascii="Palatino Linotype" w:eastAsia="Palatino Linotype" w:hAnsi="Palatino Linotype" w:cs="Palatino Linotype"/>
          <w:sz w:val="22"/>
          <w:szCs w:val="22"/>
        </w:rPr>
      </w:pPr>
      <w:r w:rsidRPr="00FB5737">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FB5737">
        <w:rPr>
          <w:rFonts w:ascii="Palatino Linotype" w:eastAsia="Palatino Linotype" w:hAnsi="Palatino Linotype" w:cs="Palatino Linotype"/>
          <w:sz w:val="22"/>
          <w:szCs w:val="22"/>
        </w:rPr>
        <w:t>CUADRAGÉSIMA</w:t>
      </w:r>
      <w:r w:rsidRPr="00FB5737">
        <w:rPr>
          <w:rFonts w:ascii="Palatino Linotype" w:eastAsia="Palatino Linotype" w:hAnsi="Palatino Linotype" w:cs="Palatino Linotype"/>
          <w:sz w:val="22"/>
          <w:szCs w:val="22"/>
        </w:rPr>
        <w:t xml:space="preserve"> SESIÓN ORDINARIA, CELEBRADA EL </w:t>
      </w:r>
      <w:r w:rsidR="00EE1477" w:rsidRPr="00FB5737">
        <w:rPr>
          <w:rFonts w:ascii="Palatino Linotype" w:eastAsia="Palatino Linotype" w:hAnsi="Palatino Linotype" w:cs="Palatino Linotype"/>
          <w:sz w:val="22"/>
          <w:szCs w:val="22"/>
        </w:rPr>
        <w:t>DOCE DE NOVIEMBRE</w:t>
      </w:r>
      <w:r w:rsidRPr="00FB5737">
        <w:rPr>
          <w:rFonts w:ascii="Palatino Linotype" w:eastAsia="Palatino Linotype" w:hAnsi="Palatino Linotype" w:cs="Palatino Linotype"/>
          <w:sz w:val="22"/>
          <w:szCs w:val="22"/>
        </w:rPr>
        <w:t xml:space="preserve"> DE DOS MIL VEINTICINCO, ANTE EL SECRETARIO TÉCNICO DEL PLENO ALEXIS TAPIA RAMÍREZ.</w:t>
      </w:r>
      <w:r w:rsidRPr="002F71EB">
        <w:rPr>
          <w:rFonts w:ascii="Palatino Linotype" w:eastAsia="Palatino Linotype" w:hAnsi="Palatino Linotype" w:cs="Palatino Linotype"/>
          <w:sz w:val="22"/>
          <w:szCs w:val="22"/>
        </w:rPr>
        <w:t xml:space="preserve"> </w:t>
      </w:r>
    </w:p>
    <w:p w14:paraId="02157067"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2F71EB" w:rsidRDefault="008D2539">
      <w:pPr>
        <w:rPr>
          <w:rFonts w:ascii="Palatino Linotype" w:eastAsia="Palatino Linotype" w:hAnsi="Palatino Linotype" w:cs="Palatino Linotype"/>
          <w:sz w:val="22"/>
          <w:szCs w:val="22"/>
        </w:rPr>
      </w:pPr>
      <w:bookmarkStart w:id="17" w:name="_heading=h.17dp8vu" w:colFirst="0" w:colLast="0"/>
      <w:bookmarkEnd w:id="17"/>
    </w:p>
    <w:p w14:paraId="28D2E30A" w14:textId="77777777" w:rsidR="008D2539" w:rsidRPr="002F71EB" w:rsidRDefault="008D2539">
      <w:pPr>
        <w:rPr>
          <w:rFonts w:ascii="Palatino Linotype" w:eastAsia="Palatino Linotype" w:hAnsi="Palatino Linotype" w:cs="Palatino Linotype"/>
          <w:sz w:val="22"/>
          <w:szCs w:val="22"/>
        </w:rPr>
      </w:pPr>
    </w:p>
    <w:p w14:paraId="3D5CBA5C" w14:textId="77777777" w:rsidR="008D2539" w:rsidRPr="002F71EB" w:rsidRDefault="008D2539">
      <w:pPr>
        <w:spacing w:line="360" w:lineRule="auto"/>
        <w:jc w:val="both"/>
        <w:rPr>
          <w:rFonts w:ascii="Palatino Linotype" w:eastAsia="Palatino Linotype" w:hAnsi="Palatino Linotype" w:cs="Palatino Linotype"/>
          <w:sz w:val="22"/>
          <w:szCs w:val="22"/>
        </w:rPr>
      </w:pPr>
      <w:bookmarkStart w:id="18" w:name="_heading=h.3rdcrjn" w:colFirst="0" w:colLast="0"/>
      <w:bookmarkEnd w:id="18"/>
    </w:p>
    <w:p w14:paraId="29662DCF"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2F71EB" w:rsidRDefault="008D2539">
      <w:pPr>
        <w:spacing w:line="360" w:lineRule="auto"/>
        <w:jc w:val="both"/>
        <w:rPr>
          <w:rFonts w:ascii="Palatino Linotype" w:eastAsia="Palatino Linotype" w:hAnsi="Palatino Linotype" w:cs="Palatino Linotype"/>
          <w:sz w:val="22"/>
          <w:szCs w:val="22"/>
        </w:rPr>
      </w:pPr>
      <w:bookmarkStart w:id="19" w:name="_heading=h.1t3h5sf" w:colFirst="0" w:colLast="0"/>
      <w:bookmarkEnd w:id="19"/>
    </w:p>
    <w:p w14:paraId="49B53CCA"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2F71EB"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2F71EB" w:rsidRDefault="008D2539">
      <w:pPr>
        <w:spacing w:line="360" w:lineRule="auto"/>
        <w:jc w:val="both"/>
        <w:rPr>
          <w:rFonts w:ascii="Palatino Linotype" w:eastAsia="Palatino Linotype" w:hAnsi="Palatino Linotype" w:cs="Palatino Linotype"/>
          <w:sz w:val="22"/>
          <w:szCs w:val="22"/>
        </w:rPr>
      </w:pPr>
    </w:p>
    <w:sectPr w:rsidR="008D2539" w:rsidRPr="002F71EB">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9CB65" w14:textId="77777777" w:rsidR="0050583E" w:rsidRDefault="0050583E">
      <w:r>
        <w:separator/>
      </w:r>
    </w:p>
  </w:endnote>
  <w:endnote w:type="continuationSeparator" w:id="0">
    <w:p w14:paraId="7D95BB7B" w14:textId="77777777" w:rsidR="0050583E" w:rsidRDefault="00505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1FD9D46-A27C-4320-B0B2-9263A7702CF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463F93F-92B8-4196-902E-7BE0EBBBD0E4}"/>
    <w:embedBold r:id="rId3" w:fontKey="{6E8CBCA4-6506-4059-97F9-3DCC94B5B36F}"/>
    <w:embedItalic r:id="rId4" w:fontKey="{8477DA86-7366-4B46-8E55-00ED7F60B850}"/>
    <w:embedBoldItalic r:id="rId5" w:fontKey="{DF9DD730-9078-4107-AE81-980E9E77D0E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04796A9-9445-4BD9-885E-9D53DBEA7D8B}"/>
    <w:embedBold r:id="rId7" w:fontKey="{6B9014A7-6794-4B2C-9ADA-1AB295BBCC3F}"/>
  </w:font>
  <w:font w:name="Cambria">
    <w:panose1 w:val="02040503050406030204"/>
    <w:charset w:val="00"/>
    <w:family w:val="roman"/>
    <w:pitch w:val="variable"/>
    <w:sig w:usb0="E00006FF" w:usb1="420024FF" w:usb2="02000000" w:usb3="00000000" w:csb0="0000019F" w:csb1="00000000"/>
    <w:embedRegular r:id="rId8" w:fontKey="{661D9BF2-A80C-4AE4-9062-EE29C688F78C}"/>
    <w:embedBold r:id="rId9" w:fontKey="{E38E3208-AD8A-45C1-82C8-E20176393705}"/>
    <w:embedBoldItalic r:id="rId10" w:fontKey="{7322287A-6CAE-40A1-A3AE-2C8CC4BB880F}"/>
  </w:font>
  <w:font w:name="Segoe UI">
    <w:panose1 w:val="020B0502040204020203"/>
    <w:charset w:val="00"/>
    <w:family w:val="swiss"/>
    <w:pitch w:val="variable"/>
    <w:sig w:usb0="E4002EFF" w:usb1="C000E47F" w:usb2="00000009" w:usb3="00000000" w:csb0="000001FF" w:csb1="00000000"/>
    <w:embedRegular r:id="rId11" w:fontKey="{1C6C0073-4AD8-42B4-A1EF-82CEE35E125A}"/>
  </w:font>
  <w:font w:name="Georgia">
    <w:panose1 w:val="02040502050405020303"/>
    <w:charset w:val="00"/>
    <w:family w:val="roman"/>
    <w:pitch w:val="variable"/>
    <w:sig w:usb0="00000287" w:usb1="00000000" w:usb2="00000000" w:usb3="00000000" w:csb0="0000009F" w:csb1="00000000"/>
    <w:embedRegular r:id="rId12" w:fontKey="{42A0A0DB-CDE0-4D41-9F80-40FFE5A14A6A}"/>
    <w:embedItalic r:id="rId13" w:fontKey="{1DE8C0FC-91EA-41DC-ABAF-6AE08F917B9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21C1AA91" w:rsidR="0035506E" w:rsidRDefault="0035506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2544">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2544">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40531802" w14:textId="77777777" w:rsidR="0035506E" w:rsidRDefault="0035506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683D3AF1" w:rsidR="0035506E" w:rsidRDefault="0035506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254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2544">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5F4A5043" w14:textId="77777777" w:rsidR="0035506E" w:rsidRDefault="0035506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EB77F" w14:textId="77777777" w:rsidR="0050583E" w:rsidRDefault="0050583E">
      <w:r>
        <w:separator/>
      </w:r>
    </w:p>
  </w:footnote>
  <w:footnote w:type="continuationSeparator" w:id="0">
    <w:p w14:paraId="232AFE02" w14:textId="77777777" w:rsidR="0050583E" w:rsidRDefault="0050583E">
      <w:r>
        <w:continuationSeparator/>
      </w:r>
    </w:p>
  </w:footnote>
  <w:footnote w:id="1">
    <w:p w14:paraId="4144D9C3" w14:textId="77777777" w:rsidR="0035506E" w:rsidRDefault="0035506E">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35506E" w:rsidRDefault="0035506E">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F87909B" w14:textId="77777777" w:rsidR="0035506E" w:rsidRDefault="0035506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EC34426" w14:textId="77777777" w:rsidR="0035506E" w:rsidRDefault="0035506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35506E" w:rsidRDefault="0035506E">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35506E" w14:paraId="5D801E11" w14:textId="77777777">
      <w:tc>
        <w:tcPr>
          <w:tcW w:w="2489" w:type="dxa"/>
          <w:shd w:val="clear" w:color="auto" w:fill="auto"/>
        </w:tcPr>
        <w:p w14:paraId="0E6A80E3" w14:textId="77777777" w:rsidR="0035506E" w:rsidRDefault="003550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77777777" w:rsidR="0035506E" w:rsidRDefault="0035506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10634/INFOEM/IP/RR/2025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35506E" w14:paraId="29C20624" w14:textId="77777777">
      <w:trPr>
        <w:trHeight w:val="228"/>
      </w:trPr>
      <w:tc>
        <w:tcPr>
          <w:tcW w:w="2489" w:type="dxa"/>
          <w:shd w:val="clear" w:color="auto" w:fill="auto"/>
          <w:vAlign w:val="center"/>
        </w:tcPr>
        <w:p w14:paraId="170E47D2" w14:textId="77777777" w:rsidR="0035506E" w:rsidRDefault="003550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77777777" w:rsidR="0035506E" w:rsidRDefault="0035506E">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35506E" w14:paraId="0DC4A1F3" w14:textId="77777777">
      <w:tc>
        <w:tcPr>
          <w:tcW w:w="2489" w:type="dxa"/>
          <w:shd w:val="clear" w:color="auto" w:fill="auto"/>
          <w:vAlign w:val="center"/>
        </w:tcPr>
        <w:p w14:paraId="13724C54" w14:textId="77777777" w:rsidR="0035506E" w:rsidRDefault="0035506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35506E" w:rsidRDefault="0035506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35506E" w:rsidRDefault="0035506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35506E" w:rsidRDefault="0035506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35506E" w14:paraId="3733654E" w14:textId="77777777">
      <w:tc>
        <w:tcPr>
          <w:tcW w:w="2551" w:type="dxa"/>
          <w:shd w:val="clear" w:color="auto" w:fill="auto"/>
          <w:vAlign w:val="center"/>
        </w:tcPr>
        <w:p w14:paraId="6085989E" w14:textId="77777777" w:rsidR="0035506E" w:rsidRDefault="003550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77777777" w:rsidR="0035506E" w:rsidRDefault="0035506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10634/INFOEM/IP/RR/2025</w:t>
          </w:r>
        </w:p>
      </w:tc>
    </w:tr>
    <w:tr w:rsidR="0035506E" w14:paraId="6C04EA62" w14:textId="77777777">
      <w:trPr>
        <w:trHeight w:val="130"/>
      </w:trPr>
      <w:tc>
        <w:tcPr>
          <w:tcW w:w="2551" w:type="dxa"/>
          <w:shd w:val="clear" w:color="auto" w:fill="auto"/>
          <w:vAlign w:val="center"/>
        </w:tcPr>
        <w:p w14:paraId="49C23242" w14:textId="77777777" w:rsidR="0035506E" w:rsidRDefault="003550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77777777" w:rsidR="0035506E" w:rsidRDefault="0035506E">
          <w:pPr>
            <w:ind w:left="-45" w:right="1444"/>
            <w:jc w:val="both"/>
            <w:rPr>
              <w:rFonts w:ascii="Palatino Linotype" w:eastAsia="Palatino Linotype" w:hAnsi="Palatino Linotype" w:cs="Palatino Linotype"/>
              <w:b/>
              <w:sz w:val="22"/>
              <w:szCs w:val="22"/>
            </w:rPr>
          </w:pPr>
        </w:p>
      </w:tc>
    </w:tr>
    <w:tr w:rsidR="0035506E" w14:paraId="40531684" w14:textId="77777777">
      <w:trPr>
        <w:trHeight w:val="228"/>
      </w:trPr>
      <w:tc>
        <w:tcPr>
          <w:tcW w:w="2551" w:type="dxa"/>
          <w:shd w:val="clear" w:color="auto" w:fill="auto"/>
          <w:vAlign w:val="center"/>
        </w:tcPr>
        <w:p w14:paraId="13A0AE5C" w14:textId="77777777" w:rsidR="0035506E" w:rsidRDefault="003550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77777777" w:rsidR="0035506E" w:rsidRDefault="0035506E">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35506E" w14:paraId="37F8AA64" w14:textId="77777777">
      <w:tc>
        <w:tcPr>
          <w:tcW w:w="2551" w:type="dxa"/>
          <w:shd w:val="clear" w:color="auto" w:fill="auto"/>
          <w:vAlign w:val="center"/>
        </w:tcPr>
        <w:p w14:paraId="4E93A530" w14:textId="77777777" w:rsidR="0035506E" w:rsidRDefault="003550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35506E" w:rsidRDefault="0035506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35506E" w:rsidRDefault="0035506E">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35506E" w:rsidRDefault="0035506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3095A"/>
    <w:rsid w:val="00034884"/>
    <w:rsid w:val="000C3A11"/>
    <w:rsid w:val="001E1513"/>
    <w:rsid w:val="002F71EB"/>
    <w:rsid w:val="0035506E"/>
    <w:rsid w:val="0050583E"/>
    <w:rsid w:val="0064634F"/>
    <w:rsid w:val="00717D13"/>
    <w:rsid w:val="00832346"/>
    <w:rsid w:val="008D2539"/>
    <w:rsid w:val="0091151D"/>
    <w:rsid w:val="00A3044A"/>
    <w:rsid w:val="00A356EE"/>
    <w:rsid w:val="00B30BD4"/>
    <w:rsid w:val="00D02544"/>
    <w:rsid w:val="00DD2259"/>
    <w:rsid w:val="00E00C7C"/>
    <w:rsid w:val="00E301E4"/>
    <w:rsid w:val="00EE1477"/>
    <w:rsid w:val="00FB57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nunciaipo@itaipem.org.m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stemas2.infoem.org.mx/denuncias/i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16034</Words>
  <Characters>88190</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2025-11-14T19:14:00Z</cp:lastPrinted>
  <dcterms:created xsi:type="dcterms:W3CDTF">2025-12-11T16:45:00Z</dcterms:created>
  <dcterms:modified xsi:type="dcterms:W3CDTF">2025-12-11T16:45:00Z</dcterms:modified>
</cp:coreProperties>
</file>