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3DA" w:rsidRDefault="00D243DA">
      <w:pPr>
        <w:widowControl w:val="0"/>
        <w:pBdr>
          <w:top w:val="nil"/>
          <w:left w:val="nil"/>
          <w:bottom w:val="nil"/>
          <w:right w:val="nil"/>
          <w:between w:val="nil"/>
        </w:pBdr>
        <w:spacing w:line="276" w:lineRule="auto"/>
      </w:pPr>
    </w:p>
    <w:p w:rsidR="00D243DA" w:rsidRPr="004A2A91" w:rsidRDefault="00AB038D">
      <w:pPr>
        <w:spacing w:line="360" w:lineRule="auto"/>
        <w:ind w:right="-592"/>
        <w:jc w:val="both"/>
        <w:rPr>
          <w:rFonts w:ascii="Palatino Linotype" w:eastAsia="Palatino Linotype" w:hAnsi="Palatino Linotype" w:cs="Palatino Linotype"/>
        </w:rPr>
      </w:pPr>
      <w:r w:rsidRPr="004A2A9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seis (06) de marzo de dos mil veinticinco. </w:t>
      </w:r>
    </w:p>
    <w:p w:rsidR="00D243DA" w:rsidRPr="004A2A91" w:rsidRDefault="00D243DA">
      <w:pPr>
        <w:spacing w:line="360" w:lineRule="auto"/>
        <w:ind w:right="-592"/>
        <w:jc w:val="both"/>
        <w:rPr>
          <w:rFonts w:ascii="Palatino Linotype" w:eastAsia="Palatino Linotype" w:hAnsi="Palatino Linotype" w:cs="Palatino Linotype"/>
        </w:rPr>
      </w:pPr>
    </w:p>
    <w:p w:rsidR="00D243DA" w:rsidRPr="004A2A91" w:rsidRDefault="00AB038D">
      <w:pPr>
        <w:spacing w:line="360" w:lineRule="auto"/>
        <w:ind w:right="-592"/>
        <w:jc w:val="both"/>
        <w:rPr>
          <w:rFonts w:ascii="Palatino Linotype" w:eastAsia="Palatino Linotype" w:hAnsi="Palatino Linotype" w:cs="Palatino Linotype"/>
        </w:rPr>
      </w:pPr>
      <w:r w:rsidRPr="004A2A91">
        <w:rPr>
          <w:rFonts w:ascii="Palatino Linotype" w:eastAsia="Palatino Linotype" w:hAnsi="Palatino Linotype" w:cs="Palatino Linotype"/>
          <w:b/>
        </w:rPr>
        <w:t>VISTO</w:t>
      </w:r>
      <w:r w:rsidRPr="004A2A91">
        <w:rPr>
          <w:rFonts w:ascii="Palatino Linotype" w:eastAsia="Palatino Linotype" w:hAnsi="Palatino Linotype" w:cs="Palatino Linotype"/>
        </w:rPr>
        <w:t xml:space="preserve"> el expediente electrónico formado con motivo del recurso de revisión </w:t>
      </w:r>
      <w:r w:rsidR="0036684F" w:rsidRPr="004A2A91">
        <w:rPr>
          <w:rFonts w:ascii="Palatino Linotype" w:eastAsia="Palatino Linotype" w:hAnsi="Palatino Linotype" w:cs="Palatino Linotype"/>
          <w:b/>
        </w:rPr>
        <w:t>04018</w:t>
      </w:r>
      <w:r w:rsidRPr="004A2A91">
        <w:rPr>
          <w:rFonts w:ascii="Palatino Linotype" w:eastAsia="Palatino Linotype" w:hAnsi="Palatino Linotype" w:cs="Palatino Linotype"/>
          <w:b/>
        </w:rPr>
        <w:t xml:space="preserve">/INFOEM/IP/RR/2024, </w:t>
      </w:r>
      <w:r w:rsidRPr="004A2A91">
        <w:rPr>
          <w:rFonts w:ascii="Palatino Linotype" w:eastAsia="Palatino Linotype" w:hAnsi="Palatino Linotype" w:cs="Palatino Linotype"/>
        </w:rPr>
        <w:t xml:space="preserve">promovido por </w:t>
      </w:r>
      <w:r w:rsidR="00E77F23">
        <w:rPr>
          <w:rFonts w:ascii="Palatino Linotype" w:eastAsia="Palatino Linotype" w:hAnsi="Palatino Linotype" w:cs="Palatino Linotype"/>
          <w:b/>
        </w:rPr>
        <w:t>XXXX</w:t>
      </w:r>
      <w:r w:rsidRPr="004A2A91">
        <w:rPr>
          <w:rFonts w:ascii="Palatino Linotype" w:eastAsia="Palatino Linotype" w:hAnsi="Palatino Linotype" w:cs="Palatino Linotype"/>
          <w:b/>
        </w:rPr>
        <w:t>,</w:t>
      </w:r>
      <w:r w:rsidRPr="004A2A91">
        <w:rPr>
          <w:rFonts w:ascii="Palatino Linotype" w:eastAsia="Palatino Linotype" w:hAnsi="Palatino Linotype" w:cs="Palatino Linotype"/>
        </w:rPr>
        <w:t xml:space="preserve"> quien en lo sucesivo se identificará como </w:t>
      </w:r>
      <w:r w:rsidRPr="004A2A91">
        <w:rPr>
          <w:rFonts w:ascii="Palatino Linotype" w:eastAsia="Palatino Linotype" w:hAnsi="Palatino Linotype" w:cs="Palatino Linotype"/>
          <w:b/>
        </w:rPr>
        <w:t>EL RECURRENTE</w:t>
      </w:r>
      <w:r w:rsidRPr="004A2A91">
        <w:rPr>
          <w:rFonts w:ascii="Palatino Linotype" w:eastAsia="Palatino Linotype" w:hAnsi="Palatino Linotype" w:cs="Palatino Linotype"/>
        </w:rPr>
        <w:t xml:space="preserve">, en contra de la respuesta del </w:t>
      </w:r>
      <w:r w:rsidRPr="004A2A91">
        <w:rPr>
          <w:rFonts w:ascii="Palatino Linotype" w:eastAsia="Palatino Linotype" w:hAnsi="Palatino Linotype" w:cs="Palatino Linotype"/>
          <w:b/>
        </w:rPr>
        <w:t xml:space="preserve">Instituto Electoral del Estado de México, </w:t>
      </w:r>
      <w:r w:rsidRPr="004A2A91">
        <w:rPr>
          <w:rFonts w:ascii="Palatino Linotype" w:eastAsia="Palatino Linotype" w:hAnsi="Palatino Linotype" w:cs="Palatino Linotype"/>
        </w:rPr>
        <w:t>en adelante el</w:t>
      </w:r>
      <w:r w:rsidRPr="004A2A91">
        <w:rPr>
          <w:rFonts w:ascii="Palatino Linotype" w:eastAsia="Palatino Linotype" w:hAnsi="Palatino Linotype" w:cs="Palatino Linotype"/>
          <w:b/>
        </w:rPr>
        <w:t xml:space="preserve"> SUJETO OBLIGADO</w:t>
      </w:r>
      <w:r w:rsidRPr="004A2A91">
        <w:rPr>
          <w:rFonts w:ascii="Palatino Linotype" w:eastAsia="Palatino Linotype" w:hAnsi="Palatino Linotype" w:cs="Palatino Linotype"/>
        </w:rPr>
        <w:t>, por lo que se procede a dictar la presente resolución, con base en los siguientes:</w:t>
      </w:r>
    </w:p>
    <w:p w:rsidR="00D243DA" w:rsidRPr="004A2A91" w:rsidRDefault="00D243DA">
      <w:pPr>
        <w:spacing w:line="360" w:lineRule="auto"/>
        <w:ind w:right="-592"/>
        <w:jc w:val="both"/>
        <w:rPr>
          <w:rFonts w:ascii="Palatino Linotype" w:eastAsia="Palatino Linotype" w:hAnsi="Palatino Linotype" w:cs="Palatino Linotype"/>
          <w:b/>
        </w:rPr>
      </w:pPr>
    </w:p>
    <w:p w:rsidR="00D243DA" w:rsidRPr="004A2A91" w:rsidRDefault="00AB038D">
      <w:pPr>
        <w:keepNext/>
        <w:keepLines/>
        <w:spacing w:line="360" w:lineRule="auto"/>
        <w:ind w:right="-592"/>
        <w:jc w:val="center"/>
        <w:rPr>
          <w:rFonts w:ascii="Palatino Linotype" w:eastAsia="Palatino Linotype" w:hAnsi="Palatino Linotype" w:cs="Palatino Linotype"/>
          <w:b/>
        </w:rPr>
      </w:pPr>
      <w:bookmarkStart w:id="0" w:name="_heading=h.gjdgxs" w:colFirst="0" w:colLast="0"/>
      <w:bookmarkEnd w:id="0"/>
      <w:r w:rsidRPr="004A2A91">
        <w:rPr>
          <w:rFonts w:ascii="Palatino Linotype" w:eastAsia="Palatino Linotype" w:hAnsi="Palatino Linotype" w:cs="Palatino Linotype"/>
          <w:b/>
        </w:rPr>
        <w:t>A N T E C E D E N T E S</w:t>
      </w:r>
    </w:p>
    <w:p w:rsidR="00D243DA" w:rsidRPr="004A2A91" w:rsidRDefault="00D243DA">
      <w:pPr>
        <w:spacing w:line="360" w:lineRule="auto"/>
        <w:ind w:right="-592"/>
        <w:rPr>
          <w:rFonts w:ascii="Palatino Linotype" w:eastAsia="Palatino Linotype" w:hAnsi="Palatino Linotype" w:cs="Palatino Linotype"/>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El </w:t>
      </w:r>
      <w:r w:rsidRPr="004A2A91">
        <w:rPr>
          <w:rFonts w:ascii="Palatino Linotype" w:eastAsia="Palatino Linotype" w:hAnsi="Palatino Linotype" w:cs="Palatino Linotype"/>
          <w:b/>
          <w:color w:val="000000"/>
        </w:rPr>
        <w:t>diez de junio de dos mil veinticuatro</w:t>
      </w:r>
      <w:r w:rsidRPr="004A2A91">
        <w:rPr>
          <w:rFonts w:ascii="Palatino Linotype" w:eastAsia="Palatino Linotype" w:hAnsi="Palatino Linotype" w:cs="Palatino Linotype"/>
          <w:color w:val="000000"/>
        </w:rPr>
        <w:t xml:space="preserve">, </w:t>
      </w:r>
      <w:r w:rsidRPr="004A2A91">
        <w:rPr>
          <w:rFonts w:ascii="Palatino Linotype" w:eastAsia="Palatino Linotype" w:hAnsi="Palatino Linotype" w:cs="Palatino Linotype"/>
          <w:b/>
          <w:color w:val="000000"/>
        </w:rPr>
        <w:t>EL RECURRENTE,</w:t>
      </w:r>
      <w:r w:rsidRPr="004A2A91">
        <w:rPr>
          <w:rFonts w:ascii="Palatino Linotype" w:eastAsia="Palatino Linotype" w:hAnsi="Palatino Linotype" w:cs="Palatino Linotype"/>
          <w:color w:val="000000"/>
        </w:rPr>
        <w:t xml:space="preserve"> ante el </w:t>
      </w:r>
      <w:r w:rsidRPr="004A2A91">
        <w:rPr>
          <w:rFonts w:ascii="Palatino Linotype" w:eastAsia="Palatino Linotype" w:hAnsi="Palatino Linotype" w:cs="Palatino Linotype"/>
          <w:b/>
          <w:color w:val="000000"/>
        </w:rPr>
        <w:t>SUJETO OBLIGADO</w:t>
      </w:r>
      <w:r w:rsidRPr="004A2A91">
        <w:rPr>
          <w:rFonts w:ascii="Palatino Linotype" w:eastAsia="Palatino Linotype" w:hAnsi="Palatino Linotype" w:cs="Palatino Linotype"/>
          <w:color w:val="000000"/>
        </w:rPr>
        <w:t xml:space="preserve"> a través del Sistema de Acceso a la Información Mexiquense (SAIMEX), presentó una solicitud de información registrada con el número </w:t>
      </w:r>
      <w:r w:rsidRPr="004A2A91">
        <w:rPr>
          <w:rFonts w:ascii="Palatino Linotype" w:eastAsia="Palatino Linotype" w:hAnsi="Palatino Linotype" w:cs="Palatino Linotype"/>
          <w:b/>
          <w:color w:val="000000"/>
        </w:rPr>
        <w:t xml:space="preserve">02187/IEEM/IP/2024, </w:t>
      </w:r>
      <w:r w:rsidRPr="004A2A91">
        <w:rPr>
          <w:rFonts w:ascii="Palatino Linotype" w:eastAsia="Palatino Linotype" w:hAnsi="Palatino Linotype" w:cs="Palatino Linotype"/>
        </w:rPr>
        <w:t xml:space="preserve">en la que se </w:t>
      </w:r>
      <w:r w:rsidRPr="004A2A91">
        <w:rPr>
          <w:rFonts w:ascii="Palatino Linotype" w:eastAsia="Palatino Linotype" w:hAnsi="Palatino Linotype" w:cs="Palatino Linotype"/>
          <w:color w:val="000000"/>
        </w:rPr>
        <w:t>solicitó lo siguiente:</w:t>
      </w:r>
    </w:p>
    <w:p w:rsidR="00D243DA" w:rsidRPr="004A2A91" w:rsidRDefault="00D243D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D243DA" w:rsidRPr="004A2A91" w:rsidRDefault="00AB038D">
      <w:pPr>
        <w:pBdr>
          <w:top w:val="nil"/>
          <w:left w:val="nil"/>
          <w:bottom w:val="nil"/>
          <w:right w:val="nil"/>
          <w:between w:val="nil"/>
        </w:pBdr>
        <w:spacing w:line="360" w:lineRule="auto"/>
        <w:ind w:left="720" w:right="-592"/>
        <w:jc w:val="both"/>
        <w:rPr>
          <w:rFonts w:ascii="Palatino Linotype" w:eastAsia="Palatino Linotype" w:hAnsi="Palatino Linotype" w:cs="Palatino Linotype"/>
          <w:i/>
          <w:color w:val="000000"/>
        </w:rPr>
      </w:pPr>
      <w:r w:rsidRPr="004A2A91">
        <w:rPr>
          <w:rFonts w:ascii="Palatino Linotype" w:eastAsia="Palatino Linotype" w:hAnsi="Palatino Linotype" w:cs="Palatino Linotype"/>
          <w:i/>
          <w:color w:val="000000"/>
        </w:rPr>
        <w:t xml:space="preserve">“Solicito en formato excel el resultado de los computos municipales y distitales locales por casilla del proceso electoral del año 2024, adicionalmente la informacion estadistica en formato excel de los representantes de todos los partidos politicos que estuvieron presentes en la jornada electoral” (Sic) </w:t>
      </w:r>
    </w:p>
    <w:p w:rsidR="00D243DA" w:rsidRPr="004A2A91" w:rsidRDefault="00D243DA">
      <w:pPr>
        <w:pBdr>
          <w:top w:val="nil"/>
          <w:left w:val="nil"/>
          <w:bottom w:val="nil"/>
          <w:right w:val="nil"/>
          <w:between w:val="nil"/>
        </w:pBdr>
        <w:spacing w:line="360" w:lineRule="auto"/>
        <w:ind w:left="720" w:right="-592"/>
        <w:jc w:val="both"/>
        <w:rPr>
          <w:rFonts w:ascii="Palatino Linotype" w:eastAsia="Palatino Linotype" w:hAnsi="Palatino Linotype" w:cs="Palatino Linotype"/>
          <w:i/>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Se señaló como modalidad de entrega a través de SAIMEX.</w:t>
      </w: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lastRenderedPageBreak/>
        <w:t xml:space="preserve">El </w:t>
      </w:r>
      <w:r w:rsidRPr="004A2A91">
        <w:rPr>
          <w:rFonts w:ascii="Palatino Linotype" w:eastAsia="Palatino Linotype" w:hAnsi="Palatino Linotype" w:cs="Palatino Linotype"/>
          <w:b/>
          <w:color w:val="000000"/>
        </w:rPr>
        <w:t>once de junio de dos mil veinticuatro</w:t>
      </w:r>
      <w:r w:rsidRPr="004A2A91">
        <w:rPr>
          <w:rFonts w:ascii="Palatino Linotype" w:eastAsia="Palatino Linotype" w:hAnsi="Palatino Linotype" w:cs="Palatino Linotype"/>
          <w:color w:val="000000"/>
        </w:rPr>
        <w:t xml:space="preserve">, se realizó un requerimiento al servidor público habilitado. </w:t>
      </w:r>
    </w:p>
    <w:p w:rsidR="00D243DA" w:rsidRPr="004A2A91" w:rsidRDefault="00D243D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El </w:t>
      </w:r>
      <w:r w:rsidRPr="004A2A91">
        <w:rPr>
          <w:rFonts w:ascii="Palatino Linotype" w:eastAsia="Palatino Linotype" w:hAnsi="Palatino Linotype" w:cs="Palatino Linotype"/>
          <w:b/>
          <w:color w:val="000000"/>
        </w:rPr>
        <w:t>primero de julio de dos mil veinticuatro</w:t>
      </w:r>
      <w:r w:rsidRPr="004A2A91">
        <w:rPr>
          <w:rFonts w:ascii="Palatino Linotype" w:eastAsia="Palatino Linotype" w:hAnsi="Palatino Linotype" w:cs="Palatino Linotype"/>
          <w:color w:val="000000"/>
        </w:rPr>
        <w:t>, El Sujeto Obligado dio respuesta a la solicitud de información en los siguientes términos:</w:t>
      </w:r>
    </w:p>
    <w:p w:rsidR="00D243DA" w:rsidRPr="004A2A91" w:rsidRDefault="00D243D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tbl>
      <w:tblPr>
        <w:tblStyle w:val="a"/>
        <w:tblW w:w="8670" w:type="dxa"/>
        <w:jc w:val="center"/>
        <w:tblInd w:w="0" w:type="dxa"/>
        <w:tblLayout w:type="fixed"/>
        <w:tblLook w:val="0400" w:firstRow="0" w:lastRow="0" w:firstColumn="0" w:lastColumn="0" w:noHBand="0" w:noVBand="1"/>
      </w:tblPr>
      <w:tblGrid>
        <w:gridCol w:w="8670"/>
      </w:tblGrid>
      <w:tr w:rsidR="00D243DA" w:rsidRPr="004A2A91">
        <w:trPr>
          <w:trHeight w:val="300"/>
          <w:jc w:val="center"/>
        </w:trPr>
        <w:tc>
          <w:tcPr>
            <w:tcW w:w="8670" w:type="dxa"/>
            <w:vAlign w:val="center"/>
          </w:tcPr>
          <w:p w:rsidR="00D243DA" w:rsidRPr="004A2A91" w:rsidRDefault="00AB038D">
            <w:pPr>
              <w:ind w:right="307"/>
              <w:jc w:val="right"/>
              <w:rPr>
                <w:rFonts w:ascii="Palatino Linotype" w:eastAsia="Palatino Linotype" w:hAnsi="Palatino Linotype" w:cs="Palatino Linotype"/>
                <w:i/>
              </w:rPr>
            </w:pPr>
            <w:r w:rsidRPr="004A2A91">
              <w:rPr>
                <w:rFonts w:ascii="Palatino Linotype" w:eastAsia="Palatino Linotype" w:hAnsi="Palatino Linotype" w:cs="Palatino Linotype"/>
                <w:i/>
              </w:rPr>
              <w:t>Metepec, México a 01 de Julio de 2024</w:t>
            </w:r>
          </w:p>
        </w:tc>
      </w:tr>
      <w:tr w:rsidR="00D243DA" w:rsidRPr="004A2A91">
        <w:trPr>
          <w:trHeight w:val="300"/>
          <w:jc w:val="center"/>
        </w:trPr>
        <w:tc>
          <w:tcPr>
            <w:tcW w:w="8670" w:type="dxa"/>
            <w:vAlign w:val="center"/>
          </w:tcPr>
          <w:p w:rsidR="00D243DA" w:rsidRPr="004A2A91" w:rsidRDefault="00AB038D">
            <w:pPr>
              <w:ind w:right="307"/>
              <w:jc w:val="right"/>
              <w:rPr>
                <w:rFonts w:ascii="Palatino Linotype" w:eastAsia="Palatino Linotype" w:hAnsi="Palatino Linotype" w:cs="Palatino Linotype"/>
                <w:i/>
              </w:rPr>
            </w:pPr>
            <w:r w:rsidRPr="004A2A91">
              <w:rPr>
                <w:rFonts w:ascii="Palatino Linotype" w:eastAsia="Palatino Linotype" w:hAnsi="Palatino Linotype" w:cs="Palatino Linotype"/>
                <w:i/>
              </w:rPr>
              <w:t>Nombre del solicitante: C. Solicitante</w:t>
            </w:r>
          </w:p>
        </w:tc>
      </w:tr>
      <w:tr w:rsidR="00D243DA" w:rsidRPr="004A2A91">
        <w:trPr>
          <w:trHeight w:val="300"/>
          <w:jc w:val="center"/>
        </w:trPr>
        <w:tc>
          <w:tcPr>
            <w:tcW w:w="8670" w:type="dxa"/>
            <w:vAlign w:val="center"/>
          </w:tcPr>
          <w:p w:rsidR="00D243DA" w:rsidRPr="004A2A91" w:rsidRDefault="00AB038D">
            <w:pPr>
              <w:ind w:right="307"/>
              <w:jc w:val="right"/>
              <w:rPr>
                <w:rFonts w:ascii="Palatino Linotype" w:eastAsia="Palatino Linotype" w:hAnsi="Palatino Linotype" w:cs="Palatino Linotype"/>
                <w:i/>
              </w:rPr>
            </w:pPr>
            <w:r w:rsidRPr="004A2A91">
              <w:rPr>
                <w:rFonts w:ascii="Palatino Linotype" w:eastAsia="Palatino Linotype" w:hAnsi="Palatino Linotype" w:cs="Palatino Linotype"/>
                <w:i/>
              </w:rPr>
              <w:t>Folio de la solicitud: 02187/IEEM/IP/2024</w:t>
            </w:r>
          </w:p>
        </w:tc>
      </w:tr>
      <w:tr w:rsidR="00D243DA" w:rsidRPr="004A2A91">
        <w:trPr>
          <w:trHeight w:val="450"/>
          <w:jc w:val="center"/>
        </w:trPr>
        <w:tc>
          <w:tcPr>
            <w:tcW w:w="8670" w:type="dxa"/>
            <w:vAlign w:val="center"/>
          </w:tcPr>
          <w:p w:rsidR="00D243DA" w:rsidRPr="004A2A91" w:rsidRDefault="00D243DA">
            <w:pPr>
              <w:ind w:right="307"/>
              <w:jc w:val="right"/>
              <w:rPr>
                <w:rFonts w:ascii="Palatino Linotype" w:eastAsia="Palatino Linotype" w:hAnsi="Palatino Linotype" w:cs="Palatino Linotype"/>
                <w:i/>
              </w:rPr>
            </w:pPr>
          </w:p>
        </w:tc>
      </w:tr>
      <w:tr w:rsidR="00D243DA" w:rsidRPr="004A2A91">
        <w:trPr>
          <w:trHeight w:val="150"/>
          <w:jc w:val="center"/>
        </w:trPr>
        <w:tc>
          <w:tcPr>
            <w:tcW w:w="8670" w:type="dxa"/>
            <w:vAlign w:val="center"/>
          </w:tcPr>
          <w:p w:rsidR="00D243DA" w:rsidRPr="004A2A91" w:rsidRDefault="00AB038D">
            <w:pPr>
              <w:ind w:right="307"/>
              <w:rPr>
                <w:rFonts w:ascii="Palatino Linotype" w:eastAsia="Palatino Linotype" w:hAnsi="Palatino Linotype" w:cs="Palatino Linotype"/>
                <w:i/>
              </w:rPr>
            </w:pPr>
            <w:r w:rsidRPr="004A2A91">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D243DA" w:rsidRPr="004A2A91">
        <w:trPr>
          <w:trHeight w:val="375"/>
          <w:jc w:val="center"/>
        </w:trPr>
        <w:tc>
          <w:tcPr>
            <w:tcW w:w="8670" w:type="dxa"/>
            <w:vAlign w:val="center"/>
          </w:tcPr>
          <w:p w:rsidR="00D243DA" w:rsidRPr="004A2A91" w:rsidRDefault="00D243DA">
            <w:pPr>
              <w:ind w:right="307"/>
              <w:rPr>
                <w:rFonts w:ascii="Palatino Linotype" w:eastAsia="Palatino Linotype" w:hAnsi="Palatino Linotype" w:cs="Palatino Linotype"/>
                <w:i/>
              </w:rPr>
            </w:pPr>
          </w:p>
        </w:tc>
      </w:tr>
      <w:tr w:rsidR="00D243DA" w:rsidRPr="004A2A91">
        <w:trPr>
          <w:trHeight w:val="150"/>
          <w:jc w:val="center"/>
        </w:trPr>
        <w:tc>
          <w:tcPr>
            <w:tcW w:w="8670" w:type="dxa"/>
            <w:vAlign w:val="center"/>
          </w:tcPr>
          <w:p w:rsidR="00D243DA" w:rsidRPr="004A2A91" w:rsidRDefault="00AB038D">
            <w:pPr>
              <w:ind w:right="307"/>
              <w:rPr>
                <w:rFonts w:ascii="Palatino Linotype" w:eastAsia="Palatino Linotype" w:hAnsi="Palatino Linotype" w:cs="Palatino Linotype"/>
                <w:i/>
              </w:rPr>
            </w:pPr>
            <w:r w:rsidRPr="004A2A91">
              <w:rPr>
                <w:rFonts w:ascii="Palatino Linotype" w:eastAsia="Palatino Linotype" w:hAnsi="Palatino Linotype" w:cs="Palatino Linotype"/>
                <w:i/>
              </w:rPr>
              <w:t>Se adjunta respuesta a su solicitud de información.</w:t>
            </w:r>
          </w:p>
        </w:tc>
      </w:tr>
      <w:tr w:rsidR="00D243DA" w:rsidRPr="004A2A91">
        <w:trPr>
          <w:trHeight w:val="375"/>
          <w:jc w:val="center"/>
        </w:trPr>
        <w:tc>
          <w:tcPr>
            <w:tcW w:w="8670" w:type="dxa"/>
            <w:vAlign w:val="center"/>
          </w:tcPr>
          <w:p w:rsidR="00D243DA" w:rsidRPr="004A2A91" w:rsidRDefault="00D243DA">
            <w:pPr>
              <w:ind w:right="307"/>
              <w:rPr>
                <w:rFonts w:ascii="Palatino Linotype" w:eastAsia="Palatino Linotype" w:hAnsi="Palatino Linotype" w:cs="Palatino Linotype"/>
                <w:i/>
              </w:rPr>
            </w:pPr>
          </w:p>
        </w:tc>
      </w:tr>
      <w:tr w:rsidR="00D243DA" w:rsidRPr="004A2A91">
        <w:trPr>
          <w:trHeight w:val="150"/>
          <w:jc w:val="center"/>
        </w:trPr>
        <w:tc>
          <w:tcPr>
            <w:tcW w:w="8670" w:type="dxa"/>
            <w:vAlign w:val="center"/>
          </w:tcPr>
          <w:p w:rsidR="00D243DA" w:rsidRPr="004A2A91" w:rsidRDefault="00D243DA">
            <w:pPr>
              <w:ind w:right="307"/>
              <w:jc w:val="center"/>
              <w:rPr>
                <w:rFonts w:ascii="Palatino Linotype" w:eastAsia="Palatino Linotype" w:hAnsi="Palatino Linotype" w:cs="Palatino Linotype"/>
                <w:i/>
              </w:rPr>
            </w:pPr>
          </w:p>
        </w:tc>
      </w:tr>
      <w:tr w:rsidR="00D243DA" w:rsidRPr="004A2A91">
        <w:trPr>
          <w:trHeight w:val="150"/>
          <w:jc w:val="center"/>
        </w:trPr>
        <w:tc>
          <w:tcPr>
            <w:tcW w:w="8670" w:type="dxa"/>
            <w:vAlign w:val="center"/>
          </w:tcPr>
          <w:p w:rsidR="00D243DA" w:rsidRPr="004A2A91" w:rsidRDefault="00D243DA">
            <w:pPr>
              <w:ind w:right="307"/>
              <w:rPr>
                <w:rFonts w:ascii="Palatino Linotype" w:eastAsia="Palatino Linotype" w:hAnsi="Palatino Linotype" w:cs="Palatino Linotype"/>
                <w:i/>
              </w:rPr>
            </w:pPr>
          </w:p>
        </w:tc>
      </w:tr>
      <w:tr w:rsidR="00D243DA" w:rsidRPr="004A2A91">
        <w:trPr>
          <w:trHeight w:val="150"/>
          <w:jc w:val="center"/>
        </w:trPr>
        <w:tc>
          <w:tcPr>
            <w:tcW w:w="8670" w:type="dxa"/>
            <w:vAlign w:val="center"/>
          </w:tcPr>
          <w:p w:rsidR="00D243DA" w:rsidRPr="004A2A91" w:rsidRDefault="00AB038D">
            <w:pPr>
              <w:ind w:right="307"/>
              <w:rPr>
                <w:rFonts w:ascii="Palatino Linotype" w:eastAsia="Palatino Linotype" w:hAnsi="Palatino Linotype" w:cs="Palatino Linotype"/>
                <w:i/>
              </w:rPr>
            </w:pPr>
            <w:r w:rsidRPr="004A2A91">
              <w:rPr>
                <w:rFonts w:ascii="Palatino Linotype" w:eastAsia="Palatino Linotype" w:hAnsi="Palatino Linotype" w:cs="Palatino Linotype"/>
                <w:i/>
              </w:rPr>
              <w:t>ATENTAMENTE</w:t>
            </w:r>
          </w:p>
        </w:tc>
      </w:tr>
      <w:tr w:rsidR="00D243DA" w:rsidRPr="004A2A91">
        <w:trPr>
          <w:trHeight w:val="225"/>
          <w:jc w:val="center"/>
        </w:trPr>
        <w:tc>
          <w:tcPr>
            <w:tcW w:w="8670" w:type="dxa"/>
            <w:vAlign w:val="center"/>
          </w:tcPr>
          <w:p w:rsidR="00D243DA" w:rsidRPr="004A2A91" w:rsidRDefault="00D243DA">
            <w:pPr>
              <w:ind w:right="307"/>
              <w:rPr>
                <w:rFonts w:ascii="Palatino Linotype" w:eastAsia="Palatino Linotype" w:hAnsi="Palatino Linotype" w:cs="Palatino Linotype"/>
                <w:i/>
              </w:rPr>
            </w:pPr>
          </w:p>
        </w:tc>
      </w:tr>
      <w:tr w:rsidR="00D243DA" w:rsidRPr="004A2A91">
        <w:trPr>
          <w:trHeight w:val="150"/>
          <w:jc w:val="center"/>
        </w:trPr>
        <w:tc>
          <w:tcPr>
            <w:tcW w:w="8670" w:type="dxa"/>
            <w:vAlign w:val="center"/>
          </w:tcPr>
          <w:p w:rsidR="00D243DA" w:rsidRPr="004A2A91" w:rsidRDefault="00AB038D">
            <w:pPr>
              <w:ind w:right="307"/>
              <w:rPr>
                <w:rFonts w:ascii="Palatino Linotype" w:eastAsia="Palatino Linotype" w:hAnsi="Palatino Linotype" w:cs="Palatino Linotype"/>
                <w:i/>
              </w:rPr>
            </w:pPr>
            <w:r w:rsidRPr="004A2A91">
              <w:rPr>
                <w:rFonts w:ascii="Palatino Linotype" w:eastAsia="Palatino Linotype" w:hAnsi="Palatino Linotype" w:cs="Palatino Linotype"/>
                <w:i/>
              </w:rPr>
              <w:t>MAESTRA LILIBETH ÁLVAREZ RODRÍGUEZ</w:t>
            </w:r>
          </w:p>
        </w:tc>
      </w:tr>
    </w:tbl>
    <w:p w:rsidR="00D243DA" w:rsidRPr="004A2A91" w:rsidRDefault="00D243DA">
      <w:pPr>
        <w:spacing w:line="360" w:lineRule="auto"/>
        <w:ind w:right="-592"/>
        <w:jc w:val="both"/>
        <w:rPr>
          <w:rFonts w:ascii="Palatino Linotype" w:eastAsia="Palatino Linotype" w:hAnsi="Palatino Linotype" w:cs="Palatino Linotype"/>
        </w:rPr>
      </w:pPr>
    </w:p>
    <w:p w:rsidR="00D243DA" w:rsidRPr="004A2A91" w:rsidRDefault="00AB038D">
      <w:pPr>
        <w:numPr>
          <w:ilvl w:val="0"/>
          <w:numId w:val="9"/>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r w:rsidRPr="004A2A91">
        <w:rPr>
          <w:rFonts w:ascii="Palatino Linotype" w:eastAsia="Palatino Linotype" w:hAnsi="Palatino Linotype" w:cs="Palatino Linotype"/>
          <w:color w:val="000000"/>
          <w:sz w:val="22"/>
          <w:szCs w:val="22"/>
        </w:rPr>
        <w:t xml:space="preserve">A la respuesta se </w:t>
      </w:r>
      <w:r w:rsidRPr="004A2A91">
        <w:rPr>
          <w:rFonts w:ascii="Palatino Linotype" w:eastAsia="Palatino Linotype" w:hAnsi="Palatino Linotype" w:cs="Palatino Linotype"/>
          <w:sz w:val="22"/>
          <w:szCs w:val="22"/>
        </w:rPr>
        <w:t>adjuntan</w:t>
      </w:r>
      <w:r w:rsidRPr="004A2A91">
        <w:rPr>
          <w:rFonts w:ascii="Palatino Linotype" w:eastAsia="Palatino Linotype" w:hAnsi="Palatino Linotype" w:cs="Palatino Linotype"/>
          <w:color w:val="000000"/>
          <w:sz w:val="22"/>
          <w:szCs w:val="22"/>
        </w:rPr>
        <w:t xml:space="preserve"> los archivos que se describen enseguida:</w:t>
      </w:r>
    </w:p>
    <w:p w:rsidR="00D243DA" w:rsidRPr="004A2A91" w:rsidRDefault="00D243DA">
      <w:pPr>
        <w:spacing w:line="360" w:lineRule="auto"/>
        <w:ind w:right="115"/>
        <w:jc w:val="both"/>
        <w:rPr>
          <w:rFonts w:ascii="Palatino Linotype" w:eastAsia="Palatino Linotype" w:hAnsi="Palatino Linotype" w:cs="Palatino Linotype"/>
          <w:b/>
          <w:sz w:val="22"/>
          <w:szCs w:val="22"/>
        </w:rPr>
      </w:pPr>
    </w:p>
    <w:p w:rsidR="00D243DA" w:rsidRPr="004A2A91" w:rsidRDefault="00C227DC">
      <w:pPr>
        <w:numPr>
          <w:ilvl w:val="0"/>
          <w:numId w:val="11"/>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hyperlink r:id="rId8">
        <w:r w:rsidR="00AB038D" w:rsidRPr="004A2A91">
          <w:rPr>
            <w:rFonts w:ascii="Palatino Linotype" w:eastAsia="Palatino Linotype" w:hAnsi="Palatino Linotype" w:cs="Palatino Linotype"/>
            <w:b/>
            <w:color w:val="000000"/>
            <w:sz w:val="22"/>
            <w:szCs w:val="22"/>
            <w:u w:val="single"/>
          </w:rPr>
          <w:t>OFICIO RESPUESTA DO.pdf</w:t>
        </w:r>
      </w:hyperlink>
      <w:r w:rsidR="00AB038D" w:rsidRPr="004A2A91">
        <w:rPr>
          <w:rFonts w:ascii="Palatino Linotype" w:eastAsia="Palatino Linotype" w:hAnsi="Palatino Linotype" w:cs="Palatino Linotype"/>
          <w:color w:val="000000"/>
          <w:sz w:val="22"/>
          <w:szCs w:val="22"/>
        </w:rPr>
        <w:t xml:space="preserve">: oficio número IEEM/DO/6463/2024 de fecha catorce de junio de dos mil veinticuatro, suscrito por el Director de Organización a través del cual señaló, </w:t>
      </w:r>
      <w:r w:rsidR="00AB038D" w:rsidRPr="004A2A91">
        <w:rPr>
          <w:rFonts w:ascii="Palatino Linotype" w:eastAsia="Palatino Linotype" w:hAnsi="Palatino Linotype" w:cs="Palatino Linotype"/>
          <w:sz w:val="22"/>
          <w:szCs w:val="22"/>
        </w:rPr>
        <w:t>de forma</w:t>
      </w:r>
      <w:r w:rsidR="00AB038D" w:rsidRPr="004A2A91">
        <w:rPr>
          <w:rFonts w:ascii="Palatino Linotype" w:eastAsia="Palatino Linotype" w:hAnsi="Palatino Linotype" w:cs="Palatino Linotype"/>
          <w:color w:val="000000"/>
          <w:sz w:val="22"/>
          <w:szCs w:val="22"/>
        </w:rPr>
        <w:t xml:space="preserve"> medular, su imposibilidad técnica, administrativa y humana </w:t>
      </w:r>
      <w:r w:rsidR="00AB038D" w:rsidRPr="004A2A91">
        <w:rPr>
          <w:rFonts w:ascii="Palatino Linotype" w:eastAsia="Palatino Linotype" w:hAnsi="Palatino Linotype" w:cs="Palatino Linotype"/>
          <w:color w:val="000000"/>
          <w:sz w:val="22"/>
          <w:szCs w:val="22"/>
        </w:rPr>
        <w:lastRenderedPageBreak/>
        <w:t xml:space="preserve">para dar respuesta por lo que solicitó el cambio de modalidad en la entrega de la información a consulta directa. </w:t>
      </w:r>
    </w:p>
    <w:p w:rsidR="00D243DA" w:rsidRPr="004A2A91" w:rsidRDefault="00D243DA">
      <w:pPr>
        <w:spacing w:line="360" w:lineRule="auto"/>
        <w:ind w:right="115"/>
        <w:jc w:val="both"/>
        <w:rPr>
          <w:rFonts w:ascii="Palatino Linotype" w:eastAsia="Palatino Linotype" w:hAnsi="Palatino Linotype" w:cs="Palatino Linotype"/>
          <w:b/>
          <w:sz w:val="22"/>
          <w:szCs w:val="22"/>
        </w:rPr>
      </w:pPr>
    </w:p>
    <w:p w:rsidR="00D243DA" w:rsidRPr="004A2A91" w:rsidRDefault="00C227DC">
      <w:pPr>
        <w:numPr>
          <w:ilvl w:val="0"/>
          <w:numId w:val="11"/>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hyperlink r:id="rId9">
        <w:r w:rsidR="00AB038D" w:rsidRPr="004A2A91">
          <w:rPr>
            <w:rFonts w:ascii="Palatino Linotype" w:eastAsia="Palatino Linotype" w:hAnsi="Palatino Linotype" w:cs="Palatino Linotype"/>
            <w:b/>
            <w:color w:val="000000"/>
            <w:sz w:val="22"/>
            <w:szCs w:val="22"/>
            <w:u w:val="single"/>
          </w:rPr>
          <w:t>OFICIO RESPUESTA 2161 Y ACUMULADAS-2024 UT.pdf</w:t>
        </w:r>
      </w:hyperlink>
      <w:r w:rsidR="00AB038D" w:rsidRPr="004A2A91">
        <w:rPr>
          <w:rFonts w:ascii="Palatino Linotype" w:eastAsia="Palatino Linotype" w:hAnsi="Palatino Linotype" w:cs="Palatino Linotype"/>
          <w:color w:val="000000"/>
          <w:sz w:val="22"/>
          <w:szCs w:val="22"/>
        </w:rPr>
        <w:t xml:space="preserve">: oficio número IEEM/UT/1948/2024 de fecha veintisiete de junio de dos mil veinticuatro, suscrito por la jefa de la Unidad de Transparencia en el que señaló que se adjuntan oficios de respuesta emitidos por la servidora pública. </w:t>
      </w:r>
    </w:p>
    <w:p w:rsidR="00D243DA" w:rsidRPr="004A2A91" w:rsidRDefault="00C227DC">
      <w:pPr>
        <w:numPr>
          <w:ilvl w:val="0"/>
          <w:numId w:val="11"/>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hyperlink r:id="rId10">
        <w:r w:rsidR="00AB038D" w:rsidRPr="004A2A91">
          <w:rPr>
            <w:rFonts w:ascii="Palatino Linotype" w:eastAsia="Palatino Linotype" w:hAnsi="Palatino Linotype" w:cs="Palatino Linotype"/>
            <w:b/>
            <w:color w:val="000000"/>
            <w:sz w:val="22"/>
            <w:szCs w:val="22"/>
            <w:u w:val="single"/>
          </w:rPr>
          <w:t>Acuerdo IEEM-CT-161-2024.pdf</w:t>
        </w:r>
      </w:hyperlink>
      <w:r w:rsidR="00AB038D" w:rsidRPr="004A2A91">
        <w:rPr>
          <w:rFonts w:ascii="Palatino Linotype" w:eastAsia="Palatino Linotype" w:hAnsi="Palatino Linotype" w:cs="Palatino Linotype"/>
          <w:color w:val="000000"/>
          <w:sz w:val="22"/>
          <w:szCs w:val="22"/>
        </w:rPr>
        <w:t xml:space="preserve">: Acuerdo número IEEM/CT/161/2024 emitido por el Comité de Transparencia en el que se aprobó la acumulación de solicitudes, entre las que se encuentra la </w:t>
      </w:r>
      <w:r w:rsidR="00AB038D" w:rsidRPr="004A2A91">
        <w:rPr>
          <w:rFonts w:ascii="Palatino Linotype" w:eastAsia="Palatino Linotype" w:hAnsi="Palatino Linotype" w:cs="Palatino Linotype"/>
          <w:b/>
          <w:color w:val="000000"/>
          <w:sz w:val="22"/>
          <w:szCs w:val="22"/>
        </w:rPr>
        <w:t>02187/IEEM/IP/2024</w:t>
      </w:r>
      <w:r w:rsidR="00AB038D" w:rsidRPr="004A2A91">
        <w:rPr>
          <w:rFonts w:ascii="Palatino Linotype" w:eastAsia="Palatino Linotype" w:hAnsi="Palatino Linotype" w:cs="Palatino Linotype"/>
          <w:color w:val="000000"/>
          <w:sz w:val="22"/>
          <w:szCs w:val="22"/>
        </w:rPr>
        <w:t xml:space="preserve">, asimismo, se aprobó el cambio de modalidad a consulta directa para dar respuesta a la solicitud de información. </w:t>
      </w:r>
    </w:p>
    <w:p w:rsidR="00D243DA" w:rsidRPr="004A2A91" w:rsidRDefault="00C227DC">
      <w:pPr>
        <w:numPr>
          <w:ilvl w:val="0"/>
          <w:numId w:val="11"/>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hyperlink r:id="rId11">
        <w:r w:rsidR="00AB038D" w:rsidRPr="004A2A91">
          <w:rPr>
            <w:rFonts w:ascii="Palatino Linotype" w:eastAsia="Palatino Linotype" w:hAnsi="Palatino Linotype" w:cs="Palatino Linotype"/>
            <w:b/>
            <w:color w:val="000000"/>
            <w:sz w:val="22"/>
            <w:szCs w:val="22"/>
            <w:u w:val="single"/>
          </w:rPr>
          <w:t>Procedimiento.pdf</w:t>
        </w:r>
      </w:hyperlink>
      <w:r w:rsidR="00AB038D" w:rsidRPr="004A2A91">
        <w:rPr>
          <w:rFonts w:ascii="Palatino Linotype" w:eastAsia="Palatino Linotype" w:hAnsi="Palatino Linotype" w:cs="Palatino Linotype"/>
          <w:color w:val="000000"/>
          <w:sz w:val="22"/>
          <w:szCs w:val="22"/>
        </w:rPr>
        <w:t>:  docum</w:t>
      </w:r>
      <w:bookmarkStart w:id="1" w:name="_GoBack"/>
      <w:bookmarkEnd w:id="1"/>
      <w:r w:rsidR="00AB038D" w:rsidRPr="004A2A91">
        <w:rPr>
          <w:rFonts w:ascii="Palatino Linotype" w:eastAsia="Palatino Linotype" w:hAnsi="Palatino Linotype" w:cs="Palatino Linotype"/>
          <w:color w:val="000000"/>
          <w:sz w:val="22"/>
          <w:szCs w:val="22"/>
        </w:rPr>
        <w:t>ento que consta de dos fojas con el procedimiento para la recepción de los  recursos derivados del cobro por concepto de reproducción.</w:t>
      </w:r>
    </w:p>
    <w:p w:rsidR="00D243DA" w:rsidRPr="004A2A91" w:rsidRDefault="00C227DC">
      <w:pPr>
        <w:numPr>
          <w:ilvl w:val="0"/>
          <w:numId w:val="11"/>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hyperlink r:id="rId12">
        <w:r w:rsidR="00AB038D" w:rsidRPr="004A2A91">
          <w:rPr>
            <w:rFonts w:ascii="Palatino Linotype" w:eastAsia="Palatino Linotype" w:hAnsi="Palatino Linotype" w:cs="Palatino Linotype"/>
            <w:b/>
            <w:color w:val="000000"/>
            <w:sz w:val="22"/>
            <w:szCs w:val="22"/>
            <w:u w:val="single"/>
          </w:rPr>
          <w:t>CALENDARIO CAMBIO DE MODALIDAD Solicitud 02161 a 02202 DO.pdf</w:t>
        </w:r>
      </w:hyperlink>
      <w:r w:rsidR="00AB038D" w:rsidRPr="004A2A91">
        <w:rPr>
          <w:rFonts w:ascii="Palatino Linotype" w:eastAsia="Palatino Linotype" w:hAnsi="Palatino Linotype" w:cs="Palatino Linotype"/>
          <w:color w:val="000000"/>
          <w:sz w:val="22"/>
          <w:szCs w:val="22"/>
        </w:rPr>
        <w:t xml:space="preserve">: documento que consta de tres fojas con el calendario para la atención de la solicitudes de información a través de consulta directa. </w:t>
      </w:r>
    </w:p>
    <w:p w:rsidR="00D243DA" w:rsidRPr="004A2A91" w:rsidRDefault="00C227DC">
      <w:pPr>
        <w:numPr>
          <w:ilvl w:val="0"/>
          <w:numId w:val="11"/>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hyperlink r:id="rId13">
        <w:r w:rsidR="00AB038D" w:rsidRPr="004A2A91">
          <w:rPr>
            <w:rFonts w:ascii="Palatino Linotype" w:eastAsia="Palatino Linotype" w:hAnsi="Palatino Linotype" w:cs="Palatino Linotype"/>
            <w:b/>
            <w:color w:val="000000"/>
            <w:sz w:val="22"/>
            <w:szCs w:val="22"/>
            <w:u w:val="single"/>
          </w:rPr>
          <w:t>Domicilios de Juntas Distritales y Municipales 07052024.pdf</w:t>
        </w:r>
      </w:hyperlink>
      <w:r w:rsidR="00AB038D" w:rsidRPr="004A2A91">
        <w:rPr>
          <w:rFonts w:ascii="Palatino Linotype" w:eastAsia="Palatino Linotype" w:hAnsi="Palatino Linotype" w:cs="Palatino Linotype"/>
          <w:color w:val="000000"/>
          <w:sz w:val="22"/>
          <w:szCs w:val="22"/>
        </w:rPr>
        <w:t xml:space="preserve">: documentos que consta de cuatro fojas con la dirección de las Juntas Distritales y Municipales de 2024. </w:t>
      </w:r>
    </w:p>
    <w:p w:rsidR="00D243DA" w:rsidRPr="004A2A91" w:rsidRDefault="00C227DC">
      <w:pPr>
        <w:numPr>
          <w:ilvl w:val="0"/>
          <w:numId w:val="11"/>
        </w:numPr>
        <w:pBdr>
          <w:top w:val="nil"/>
          <w:left w:val="nil"/>
          <w:bottom w:val="nil"/>
          <w:right w:val="nil"/>
          <w:between w:val="nil"/>
        </w:pBdr>
        <w:spacing w:line="360" w:lineRule="auto"/>
        <w:ind w:right="115"/>
        <w:jc w:val="both"/>
        <w:rPr>
          <w:rFonts w:ascii="Palatino Linotype" w:eastAsia="Palatino Linotype" w:hAnsi="Palatino Linotype" w:cs="Palatino Linotype"/>
          <w:b/>
          <w:color w:val="000000"/>
          <w:sz w:val="22"/>
          <w:szCs w:val="22"/>
        </w:rPr>
      </w:pPr>
      <w:hyperlink r:id="rId14">
        <w:r w:rsidR="00AB038D" w:rsidRPr="004A2A91">
          <w:rPr>
            <w:rFonts w:ascii="Palatino Linotype" w:eastAsia="Palatino Linotype" w:hAnsi="Palatino Linotype" w:cs="Palatino Linotype"/>
            <w:b/>
            <w:color w:val="000000"/>
            <w:sz w:val="22"/>
            <w:szCs w:val="22"/>
            <w:u w:val="single"/>
          </w:rPr>
          <w:t>Acuerdo IEEM-CT-163-2024.pdf</w:t>
        </w:r>
      </w:hyperlink>
      <w:r w:rsidR="00AB038D" w:rsidRPr="004A2A91">
        <w:rPr>
          <w:rFonts w:ascii="Palatino Linotype" w:eastAsia="Palatino Linotype" w:hAnsi="Palatino Linotype" w:cs="Palatino Linotype"/>
          <w:color w:val="000000"/>
          <w:sz w:val="22"/>
          <w:szCs w:val="22"/>
        </w:rPr>
        <w:t>: Acuerdo número IEEM/CT/163/2024 emitido por el Comité de Transparencia a través del cual se aprueba la clasificación de diversos datos personales.</w:t>
      </w:r>
    </w:p>
    <w:p w:rsidR="00D243DA" w:rsidRPr="004A2A91" w:rsidRDefault="00D243DA">
      <w:pPr>
        <w:pBdr>
          <w:top w:val="nil"/>
          <w:left w:val="nil"/>
          <w:bottom w:val="nil"/>
          <w:right w:val="nil"/>
          <w:between w:val="nil"/>
        </w:pBdr>
        <w:spacing w:line="360" w:lineRule="auto"/>
        <w:ind w:right="115"/>
        <w:jc w:val="both"/>
        <w:rPr>
          <w:rFonts w:ascii="Palatino Linotype" w:eastAsia="Palatino Linotype" w:hAnsi="Palatino Linotype" w:cs="Palatino Linotype"/>
          <w:sz w:val="22"/>
          <w:szCs w:val="22"/>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El </w:t>
      </w:r>
      <w:r w:rsidRPr="004A2A91">
        <w:rPr>
          <w:rFonts w:ascii="Palatino Linotype" w:eastAsia="Palatino Linotype" w:hAnsi="Palatino Linotype" w:cs="Palatino Linotype"/>
          <w:b/>
          <w:color w:val="000000"/>
        </w:rPr>
        <w:t>dos de julio de dos mil veinticuatro</w:t>
      </w:r>
      <w:r w:rsidRPr="004A2A91">
        <w:rPr>
          <w:rFonts w:ascii="Palatino Linotype" w:eastAsia="Palatino Linotype" w:hAnsi="Palatino Linotype" w:cs="Palatino Linotype"/>
          <w:color w:val="000000"/>
        </w:rPr>
        <w:t xml:space="preserve">, </w:t>
      </w:r>
      <w:r w:rsidRPr="004A2A91">
        <w:rPr>
          <w:rFonts w:ascii="Palatino Linotype" w:eastAsia="Palatino Linotype" w:hAnsi="Palatino Linotype" w:cs="Palatino Linotype"/>
          <w:b/>
          <w:color w:val="000000"/>
        </w:rPr>
        <w:t>EL RECURRENTE</w:t>
      </w:r>
      <w:r w:rsidRPr="004A2A91">
        <w:rPr>
          <w:rFonts w:ascii="Palatino Linotype" w:eastAsia="Palatino Linotype" w:hAnsi="Palatino Linotype" w:cs="Palatino Linotype"/>
          <w:color w:val="000000"/>
        </w:rPr>
        <w:t xml:space="preserve"> interpuso el recurso de revisión, en contra de la respuesta, señalando como:</w:t>
      </w:r>
    </w:p>
    <w:p w:rsidR="00D243DA" w:rsidRPr="004A2A91" w:rsidRDefault="00AB038D">
      <w:pPr>
        <w:numPr>
          <w:ilvl w:val="0"/>
          <w:numId w:val="12"/>
        </w:numPr>
        <w:spacing w:line="360" w:lineRule="auto"/>
        <w:ind w:right="-25"/>
        <w:jc w:val="both"/>
        <w:rPr>
          <w:rFonts w:ascii="Palatino Linotype" w:eastAsia="Palatino Linotype" w:hAnsi="Palatino Linotype" w:cs="Palatino Linotype"/>
          <w:sz w:val="22"/>
          <w:szCs w:val="22"/>
        </w:rPr>
      </w:pPr>
      <w:r w:rsidRPr="004A2A91">
        <w:rPr>
          <w:rFonts w:ascii="Palatino Linotype" w:eastAsia="Palatino Linotype" w:hAnsi="Palatino Linotype" w:cs="Palatino Linotype"/>
          <w:b/>
          <w:sz w:val="22"/>
          <w:szCs w:val="22"/>
        </w:rPr>
        <w:t>Acto impugnado</w:t>
      </w:r>
      <w:r w:rsidRPr="004A2A91">
        <w:rPr>
          <w:rFonts w:ascii="Palatino Linotype" w:eastAsia="Palatino Linotype" w:hAnsi="Palatino Linotype" w:cs="Palatino Linotype"/>
          <w:b/>
          <w:i/>
          <w:sz w:val="22"/>
          <w:szCs w:val="22"/>
        </w:rPr>
        <w:t>:</w:t>
      </w:r>
      <w:r w:rsidRPr="004A2A91">
        <w:rPr>
          <w:rFonts w:ascii="Palatino Linotype" w:eastAsia="Palatino Linotype" w:hAnsi="Palatino Linotype" w:cs="Palatino Linotype"/>
          <w:i/>
          <w:color w:val="000000"/>
          <w:sz w:val="22"/>
          <w:szCs w:val="22"/>
        </w:rPr>
        <w:t xml:space="preserve"> “El oficio de contestacion No. IEEM/UT/1948/2024 y demas anexos acomulados, de fecha 27 de junio de 2024 signados por la C. Lilibeth Alvarez Rodriguez, Jefa de </w:t>
      </w:r>
      <w:r w:rsidRPr="004A2A91">
        <w:rPr>
          <w:rFonts w:ascii="Palatino Linotype" w:eastAsia="Palatino Linotype" w:hAnsi="Palatino Linotype" w:cs="Palatino Linotype"/>
          <w:i/>
          <w:color w:val="000000"/>
          <w:sz w:val="22"/>
          <w:szCs w:val="22"/>
        </w:rPr>
        <w:lastRenderedPageBreak/>
        <w:t>la Unidad de Transparincia del IEEM, asi como, el acta de la Decima Cuarta Sesion Extraordinaria del Comite de Transparencia del IEEM (IEEM/CT/161/2024), mediante el cual acomulan mi peticion 02187/IEEM/IP/2024." (Sic)</w:t>
      </w:r>
    </w:p>
    <w:p w:rsidR="00D243DA" w:rsidRPr="004A2A91" w:rsidRDefault="00D243DA">
      <w:pPr>
        <w:spacing w:line="360" w:lineRule="auto"/>
        <w:ind w:left="567" w:right="-25"/>
        <w:jc w:val="both"/>
        <w:rPr>
          <w:rFonts w:ascii="Palatino Linotype" w:eastAsia="Palatino Linotype" w:hAnsi="Palatino Linotype" w:cs="Palatino Linotype"/>
          <w:sz w:val="22"/>
          <w:szCs w:val="22"/>
        </w:rPr>
      </w:pPr>
    </w:p>
    <w:p w:rsidR="00D243DA" w:rsidRPr="004A2A91" w:rsidRDefault="00AB038D">
      <w:pPr>
        <w:numPr>
          <w:ilvl w:val="0"/>
          <w:numId w:val="1"/>
        </w:numPr>
        <w:spacing w:line="360" w:lineRule="auto"/>
        <w:ind w:right="-25"/>
        <w:jc w:val="both"/>
        <w:rPr>
          <w:sz w:val="22"/>
          <w:szCs w:val="22"/>
        </w:rPr>
      </w:pPr>
      <w:r w:rsidRPr="004A2A91">
        <w:rPr>
          <w:rFonts w:ascii="Palatino Linotype" w:eastAsia="Palatino Linotype" w:hAnsi="Palatino Linotype" w:cs="Palatino Linotype"/>
          <w:b/>
          <w:sz w:val="22"/>
          <w:szCs w:val="22"/>
        </w:rPr>
        <w:t xml:space="preserve">Razones o Motivos de inconformidad: </w:t>
      </w:r>
      <w:r w:rsidRPr="004A2A91">
        <w:rPr>
          <w:rFonts w:ascii="Palatino Linotype" w:eastAsia="Palatino Linotype" w:hAnsi="Palatino Linotype" w:cs="Palatino Linotype"/>
          <w:i/>
          <w:sz w:val="22"/>
          <w:szCs w:val="22"/>
        </w:rPr>
        <w:t>"</w:t>
      </w:r>
      <w:r w:rsidRPr="004A2A91">
        <w:rPr>
          <w:rFonts w:ascii="Verdana" w:eastAsia="Verdana" w:hAnsi="Verdana" w:cs="Verdana"/>
          <w:color w:val="000000"/>
          <w:sz w:val="22"/>
          <w:szCs w:val="22"/>
        </w:rPr>
        <w:t xml:space="preserve"> </w:t>
      </w:r>
      <w:r w:rsidRPr="004A2A91">
        <w:rPr>
          <w:rFonts w:ascii="Palatino Linotype" w:eastAsia="Palatino Linotype" w:hAnsi="Palatino Linotype" w:cs="Palatino Linotype"/>
          <w:i/>
          <w:sz w:val="22"/>
          <w:szCs w:val="22"/>
        </w:rPr>
        <w:t>Una vez revisados todos los anexos que mandan en su respuesta, en ninguno se puede verificar alguna respuesta clara o comprensible a mi solicitud de informacion 02187/IEEM/IP/2024, ya que solo solicito informacion estadistica de los computos municipales y distritales del proceso electoral 2024 y los datos estadisticos de los representates de los partidos politicos que acudieron, en un formato especifico (excel), en el cual su modalidad de entrega no rabasa los limetes de capacidad tecnica y/o humana, derivado aque los resultados electorales no constituyen un hecho que sobrepase al propio instituto derivado aque ya se dieron las declariones de validez de las elecciones y mi peticion es simplemente estadistica, por lo cual solicito se reconsidere mi peticion original y se me entrega la informacion solicitada en el formato señalada ya que no requiero nombres o datos personales, solo la estadistica." (Sic)</w:t>
      </w:r>
    </w:p>
    <w:p w:rsidR="00D243DA" w:rsidRPr="004A2A91" w:rsidRDefault="00D243DA">
      <w:pPr>
        <w:spacing w:line="360" w:lineRule="auto"/>
        <w:ind w:right="-592"/>
        <w:jc w:val="both"/>
        <w:rPr>
          <w:rFonts w:ascii="Palatino Linotype" w:eastAsia="Palatino Linotype" w:hAnsi="Palatino Linotype" w:cs="Palatino Linotype"/>
        </w:rPr>
      </w:pPr>
    </w:p>
    <w:p w:rsidR="00D243DA" w:rsidRPr="004A2A91" w:rsidRDefault="00AB038D">
      <w:pPr>
        <w:numPr>
          <w:ilvl w:val="0"/>
          <w:numId w:val="9"/>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 xml:space="preserve">A la solicitud de información se adjuntaron los archivos </w:t>
      </w:r>
      <w:hyperlink r:id="rId15">
        <w:r w:rsidRPr="004A2A91">
          <w:rPr>
            <w:rFonts w:ascii="Palatino Linotype" w:eastAsia="Palatino Linotype" w:hAnsi="Palatino Linotype" w:cs="Palatino Linotype"/>
            <w:b/>
            <w:color w:val="000000"/>
            <w:sz w:val="22"/>
            <w:szCs w:val="22"/>
            <w:u w:val="single"/>
          </w:rPr>
          <w:t>OFICIO RESPUESTA 2161 Y ACUMULADAS-2024 UT.pdf</w:t>
        </w:r>
      </w:hyperlink>
      <w:r w:rsidRPr="004A2A91">
        <w:rPr>
          <w:rFonts w:ascii="Palatino Linotype" w:eastAsia="Palatino Linotype" w:hAnsi="Palatino Linotype" w:cs="Palatino Linotype"/>
          <w:color w:val="000000"/>
          <w:sz w:val="22"/>
          <w:szCs w:val="22"/>
        </w:rPr>
        <w:t xml:space="preserve"> y </w:t>
      </w:r>
      <w:hyperlink r:id="rId16">
        <w:r w:rsidRPr="004A2A91">
          <w:rPr>
            <w:rFonts w:ascii="Palatino Linotype" w:eastAsia="Palatino Linotype" w:hAnsi="Palatino Linotype" w:cs="Palatino Linotype"/>
            <w:b/>
            <w:color w:val="000000"/>
            <w:sz w:val="22"/>
            <w:szCs w:val="22"/>
            <w:u w:val="single"/>
          </w:rPr>
          <w:t>Acuerdo IEEM-CT-161-20242.pdf</w:t>
        </w:r>
      </w:hyperlink>
      <w:r w:rsidRPr="004A2A91">
        <w:rPr>
          <w:rFonts w:ascii="Palatino Linotype" w:eastAsia="Palatino Linotype" w:hAnsi="Palatino Linotype" w:cs="Palatino Linotype"/>
          <w:color w:val="000000"/>
          <w:sz w:val="22"/>
          <w:szCs w:val="22"/>
        </w:rPr>
        <w:t>, mismos que fueron remitidos en respuesta a la solicitud de información.</w:t>
      </w:r>
    </w:p>
    <w:p w:rsidR="00D243DA" w:rsidRPr="004A2A91" w:rsidRDefault="00D243DA">
      <w:pPr>
        <w:spacing w:line="360" w:lineRule="auto"/>
        <w:ind w:right="-592"/>
        <w:jc w:val="both"/>
        <w:rPr>
          <w:rFonts w:ascii="Palatino Linotype" w:eastAsia="Palatino Linotype" w:hAnsi="Palatino Linotype" w:cs="Palatino Linotype"/>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w:t>
      </w:r>
      <w:r w:rsidRPr="004A2A91">
        <w:rPr>
          <w:rFonts w:ascii="Palatino Linotype" w:eastAsia="Palatino Linotype" w:hAnsi="Palatino Linotype" w:cs="Palatino Linotype"/>
          <w:b/>
          <w:color w:val="000000"/>
        </w:rPr>
        <w:t xml:space="preserve">Ley de Transparencia y Acceso a la Información Pública del Estado de México y Municipios </w:t>
      </w:r>
      <w:r w:rsidRPr="004A2A91">
        <w:rPr>
          <w:rFonts w:ascii="Palatino Linotype" w:eastAsia="Palatino Linotype" w:hAnsi="Palatino Linotype" w:cs="Palatino Linotype"/>
          <w:color w:val="000000"/>
        </w:rPr>
        <w:t xml:space="preserve">se </w:t>
      </w:r>
      <w:r w:rsidRPr="004A2A91">
        <w:rPr>
          <w:rFonts w:ascii="Palatino Linotype" w:eastAsia="Palatino Linotype" w:hAnsi="Palatino Linotype" w:cs="Palatino Linotype"/>
        </w:rPr>
        <w:t>turna</w:t>
      </w:r>
      <w:r w:rsidRPr="004A2A91">
        <w:rPr>
          <w:rFonts w:ascii="Palatino Linotype" w:eastAsia="Palatino Linotype" w:hAnsi="Palatino Linotype" w:cs="Palatino Linotype"/>
          <w:color w:val="000000"/>
        </w:rPr>
        <w:t xml:space="preserve"> a la </w:t>
      </w:r>
      <w:r w:rsidRPr="004A2A91">
        <w:rPr>
          <w:rFonts w:ascii="Palatino Linotype" w:eastAsia="Palatino Linotype" w:hAnsi="Palatino Linotype" w:cs="Palatino Linotype"/>
          <w:b/>
          <w:color w:val="000000"/>
        </w:rPr>
        <w:t xml:space="preserve">Comisionada María del Rosario Mejía Ayala, </w:t>
      </w:r>
      <w:r w:rsidRPr="004A2A91">
        <w:rPr>
          <w:rFonts w:ascii="Palatino Linotype" w:eastAsia="Palatino Linotype" w:hAnsi="Palatino Linotype" w:cs="Palatino Linotype"/>
        </w:rPr>
        <w:t>para</w:t>
      </w:r>
      <w:r w:rsidRPr="004A2A91">
        <w:rPr>
          <w:rFonts w:ascii="Palatino Linotype" w:eastAsia="Palatino Linotype" w:hAnsi="Palatino Linotype" w:cs="Palatino Linotype"/>
          <w:color w:val="000000"/>
        </w:rPr>
        <w:t xml:space="preserve"> su análisis. </w:t>
      </w:r>
    </w:p>
    <w:p w:rsidR="00D243DA" w:rsidRPr="004A2A91" w:rsidRDefault="00D243D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lastRenderedPageBreak/>
        <w:t xml:space="preserve">El Comisionado Ponente con fundamento en lo dispuesto por el artículo 185 fracción II de la ley de la materia, a través del acuerdo de admisión del </w:t>
      </w:r>
      <w:r w:rsidRPr="004A2A91">
        <w:rPr>
          <w:rFonts w:ascii="Palatino Linotype" w:eastAsia="Palatino Linotype" w:hAnsi="Palatino Linotype" w:cs="Palatino Linotype"/>
          <w:b/>
          <w:color w:val="000000"/>
        </w:rPr>
        <w:t>nueve de julio de dos mil veinticuatro</w:t>
      </w:r>
      <w:r w:rsidRPr="004A2A91">
        <w:rPr>
          <w:rFonts w:ascii="Palatino Linotype" w:eastAsia="Palatino Linotype" w:hAnsi="Palatino Linotype" w:cs="Palatino Linotype"/>
          <w:color w:val="000000"/>
        </w:rPr>
        <w:t xml:space="preserve">, puso a disposición de las partes el expediente electrónico vía </w:t>
      </w:r>
      <w:r w:rsidRPr="004A2A91">
        <w:rPr>
          <w:rFonts w:ascii="Palatino Linotype" w:eastAsia="Palatino Linotype" w:hAnsi="Palatino Linotype" w:cs="Palatino Linotype"/>
          <w:b/>
          <w:color w:val="000000"/>
        </w:rPr>
        <w:t xml:space="preserve">SAIMEX </w:t>
      </w:r>
      <w:r w:rsidRPr="004A2A91">
        <w:rPr>
          <w:rFonts w:ascii="Palatino Linotype" w:eastAsia="Palatino Linotype" w:hAnsi="Palatino Linotype" w:cs="Palatino Linotype"/>
          <w:color w:val="000000"/>
        </w:rPr>
        <w:t xml:space="preserve">a efecto de que en un plazo máximo de siete días </w:t>
      </w:r>
      <w:r w:rsidRPr="004A2A91">
        <w:rPr>
          <w:rFonts w:ascii="Palatino Linotype" w:eastAsia="Palatino Linotype" w:hAnsi="Palatino Linotype" w:cs="Palatino Linotype"/>
        </w:rPr>
        <w:t>manifestara</w:t>
      </w:r>
      <w:r w:rsidRPr="004A2A91">
        <w:rPr>
          <w:rFonts w:ascii="Palatino Linotype" w:eastAsia="Palatino Linotype" w:hAnsi="Palatino Linotype" w:cs="Palatino Linotype"/>
          <w:color w:val="000000"/>
        </w:rPr>
        <w:t xml:space="preserve"> lo que a derecho </w:t>
      </w:r>
      <w:r w:rsidRPr="004A2A91">
        <w:rPr>
          <w:rFonts w:ascii="Palatino Linotype" w:eastAsia="Palatino Linotype" w:hAnsi="Palatino Linotype" w:cs="Palatino Linotype"/>
        </w:rPr>
        <w:t>conviniera</w:t>
      </w:r>
      <w:r w:rsidRPr="004A2A91">
        <w:rPr>
          <w:rFonts w:ascii="Palatino Linotype" w:eastAsia="Palatino Linotype" w:hAnsi="Palatino Linotype" w:cs="Palatino Linotype"/>
          <w:color w:val="000000"/>
        </w:rPr>
        <w:t xml:space="preserve">, </w:t>
      </w:r>
      <w:r w:rsidRPr="004A2A91">
        <w:rPr>
          <w:rFonts w:ascii="Palatino Linotype" w:eastAsia="Palatino Linotype" w:hAnsi="Palatino Linotype" w:cs="Palatino Linotype"/>
        </w:rPr>
        <w:t>ofreciera</w:t>
      </w:r>
      <w:r w:rsidRPr="004A2A91">
        <w:rPr>
          <w:rFonts w:ascii="Palatino Linotype" w:eastAsia="Palatino Linotype" w:hAnsi="Palatino Linotype" w:cs="Palatino Linotype"/>
          <w:color w:val="000000"/>
        </w:rPr>
        <w:t xml:space="preserve"> pruebas y alegatos según corresponda al caso concreto, de esta forma para que el </w:t>
      </w:r>
      <w:r w:rsidRPr="004A2A91">
        <w:rPr>
          <w:rFonts w:ascii="Palatino Linotype" w:eastAsia="Palatino Linotype" w:hAnsi="Palatino Linotype" w:cs="Palatino Linotype"/>
          <w:b/>
          <w:color w:val="000000"/>
        </w:rPr>
        <w:t>SUJETO OBLIGADO</w:t>
      </w:r>
      <w:r w:rsidRPr="004A2A91">
        <w:rPr>
          <w:rFonts w:ascii="Palatino Linotype" w:eastAsia="Palatino Linotype" w:hAnsi="Palatino Linotype" w:cs="Palatino Linotype"/>
          <w:color w:val="000000"/>
        </w:rPr>
        <w:t xml:space="preserve"> </w:t>
      </w:r>
      <w:r w:rsidRPr="004A2A91">
        <w:rPr>
          <w:rFonts w:ascii="Palatino Linotype" w:eastAsia="Palatino Linotype" w:hAnsi="Palatino Linotype" w:cs="Palatino Linotype"/>
        </w:rPr>
        <w:t>presentará</w:t>
      </w:r>
      <w:r w:rsidRPr="004A2A91">
        <w:rPr>
          <w:rFonts w:ascii="Palatino Linotype" w:eastAsia="Palatino Linotype" w:hAnsi="Palatino Linotype" w:cs="Palatino Linotype"/>
          <w:color w:val="000000"/>
        </w:rPr>
        <w:t xml:space="preserve"> el informe justificado procedente. </w:t>
      </w:r>
    </w:p>
    <w:p w:rsidR="00D243DA" w:rsidRPr="004A2A91" w:rsidRDefault="00D243DA">
      <w:pPr>
        <w:pBdr>
          <w:top w:val="nil"/>
          <w:left w:val="nil"/>
          <w:bottom w:val="nil"/>
          <w:right w:val="nil"/>
          <w:between w:val="nil"/>
        </w:pBdr>
        <w:ind w:left="720" w:right="-592"/>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De las constancias del expediente electrónico SAIMEX se advierte que el Recurrente no realizó manifestaciones; por su parte, el Sujeto Obligado entregó informe justificado el </w:t>
      </w:r>
      <w:r w:rsidRPr="004A2A91">
        <w:rPr>
          <w:rFonts w:ascii="Palatino Linotype" w:eastAsia="Palatino Linotype" w:hAnsi="Palatino Linotype" w:cs="Palatino Linotype"/>
          <w:b/>
          <w:color w:val="000000"/>
        </w:rPr>
        <w:t>once de julio de dos mil veinticuatro</w:t>
      </w:r>
      <w:r w:rsidRPr="004A2A91">
        <w:rPr>
          <w:rFonts w:ascii="Palatino Linotype" w:eastAsia="Palatino Linotype" w:hAnsi="Palatino Linotype" w:cs="Palatino Linotype"/>
          <w:color w:val="000000"/>
        </w:rPr>
        <w:t xml:space="preserve">, y  se puso a la vista del Recurrente el </w:t>
      </w:r>
      <w:r w:rsidRPr="004A2A91">
        <w:rPr>
          <w:rFonts w:ascii="Palatino Linotype" w:eastAsia="Palatino Linotype" w:hAnsi="Palatino Linotype" w:cs="Palatino Linotype"/>
          <w:b/>
          <w:color w:val="000000"/>
        </w:rPr>
        <w:t>veinticinco de febrero de dos mil veinticinco,</w:t>
      </w:r>
      <w:r w:rsidRPr="004A2A91">
        <w:rPr>
          <w:rFonts w:ascii="Palatino Linotype" w:eastAsia="Palatino Linotype" w:hAnsi="Palatino Linotype" w:cs="Palatino Linotype"/>
          <w:color w:val="000000"/>
        </w:rPr>
        <w:t xml:space="preserve"> a través de los archivos que se describen enseguida:</w:t>
      </w:r>
    </w:p>
    <w:p w:rsidR="00D243DA" w:rsidRPr="004A2A91" w:rsidRDefault="00D243DA">
      <w:pPr>
        <w:pBdr>
          <w:top w:val="nil"/>
          <w:left w:val="nil"/>
          <w:bottom w:val="nil"/>
          <w:right w:val="nil"/>
          <w:between w:val="nil"/>
        </w:pBdr>
        <w:ind w:left="720" w:right="-592"/>
        <w:rPr>
          <w:rFonts w:ascii="Palatino Linotype" w:eastAsia="Palatino Linotype" w:hAnsi="Palatino Linotype" w:cs="Palatino Linotype"/>
          <w:color w:val="000000"/>
        </w:rPr>
      </w:pPr>
    </w:p>
    <w:p w:rsidR="00D243DA" w:rsidRPr="004A2A91" w:rsidRDefault="00C227DC">
      <w:pPr>
        <w:numPr>
          <w:ilvl w:val="0"/>
          <w:numId w:val="10"/>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hyperlink r:id="rId17">
        <w:r w:rsidR="00AB038D" w:rsidRPr="004A2A91">
          <w:rPr>
            <w:rFonts w:ascii="Palatino Linotype" w:eastAsia="Palatino Linotype" w:hAnsi="Palatino Linotype" w:cs="Palatino Linotype"/>
            <w:b/>
            <w:color w:val="000000"/>
            <w:sz w:val="22"/>
            <w:szCs w:val="22"/>
            <w:u w:val="single"/>
          </w:rPr>
          <w:t>ANEXOS.rar</w:t>
        </w:r>
      </w:hyperlink>
      <w:r w:rsidR="00AB038D" w:rsidRPr="004A2A91">
        <w:rPr>
          <w:rFonts w:ascii="Palatino Linotype" w:eastAsia="Palatino Linotype" w:hAnsi="Palatino Linotype" w:cs="Palatino Linotype"/>
          <w:color w:val="000000"/>
          <w:sz w:val="22"/>
          <w:szCs w:val="22"/>
        </w:rPr>
        <w:t>,  archivo que contiene las seis carpetas que se describen enseguida:</w:t>
      </w:r>
    </w:p>
    <w:p w:rsidR="00D243DA" w:rsidRPr="004A2A91" w:rsidRDefault="00AB038D">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 xml:space="preserve">RESULTADOS COMPUTOS CASILLA AYUNTAMIENTO.csv: Resultados de los cómputos por casilla de la Elección de Ayuntamientos 2024. </w:t>
      </w:r>
    </w:p>
    <w:p w:rsidR="00D243DA" w:rsidRPr="004A2A91" w:rsidRDefault="00AB038D">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 xml:space="preserve">RESULTADOS COMPUTOS CASILLA AYUNTAMIENTO.xlsx: Resultados de los cómputos por casilla de la Elección de Ayuntamientos 2024. </w:t>
      </w:r>
    </w:p>
    <w:p w:rsidR="00D243DA" w:rsidRPr="004A2A91" w:rsidRDefault="00AB038D">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RESULTADOS COMPUTOS CASILLA DISTRITAL.csv: Resultados de los cómputos por casilla de la Elección de Diputados Locales 2024.</w:t>
      </w:r>
    </w:p>
    <w:p w:rsidR="00D243DA" w:rsidRPr="004A2A91" w:rsidRDefault="00AB038D">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RESULTADOS COMPUTOS CASILLA DISTRITAL.xlsx: Resultados de los cómputos por casilla de la Elección de Diputados Locales 2024.</w:t>
      </w:r>
    </w:p>
    <w:p w:rsidR="00D243DA" w:rsidRPr="004A2A91" w:rsidRDefault="00AB038D">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 xml:space="preserve">SIJE_24_EDL5_AsistenciaRepr2dorep_México.csv: reporte de Asistencia de representantes de Partidos Políticos y Candidaturas Independientes por distrito local. </w:t>
      </w:r>
    </w:p>
    <w:p w:rsidR="00D243DA" w:rsidRPr="004A2A91" w:rsidRDefault="00AB038D">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lastRenderedPageBreak/>
        <w:t xml:space="preserve">SIJE_24_EDL5_AsistenciaRepr2dorep_México.xlsx reporte de Asistencia de representantes de Partidos Políticos y Candidaturas Independientes, por distrito local. </w:t>
      </w:r>
    </w:p>
    <w:p w:rsidR="00D243DA" w:rsidRPr="004A2A91" w:rsidRDefault="00AB038D">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 xml:space="preserve">SIJE_24_EM5_AsistenciaRepr2dorep_México.csv: reporte de Asistencia de representantes de Partidos Políticos y Candidaturas Independientes por municipio. </w:t>
      </w:r>
    </w:p>
    <w:p w:rsidR="00D243DA" w:rsidRPr="004A2A91" w:rsidRDefault="00AB038D">
      <w:pPr>
        <w:numPr>
          <w:ilvl w:val="0"/>
          <w:numId w:val="3"/>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 xml:space="preserve">SIJE_24_EM5_AsistenciaRepr2dorep_México.xlsx: reporte de Asistencia de representantes de Partidos Políticos y Candidaturas Independientes por municipio. </w:t>
      </w:r>
    </w:p>
    <w:p w:rsidR="00D243DA" w:rsidRPr="004A2A91" w:rsidRDefault="00D243DA">
      <w:pPr>
        <w:spacing w:line="360" w:lineRule="auto"/>
        <w:ind w:right="-592"/>
        <w:jc w:val="both"/>
        <w:rPr>
          <w:rFonts w:ascii="Palatino Linotype" w:eastAsia="Palatino Linotype" w:hAnsi="Palatino Linotype" w:cs="Palatino Linotype"/>
        </w:rPr>
      </w:pPr>
    </w:p>
    <w:p w:rsidR="00D243DA" w:rsidRPr="004A2A91" w:rsidRDefault="00C227DC">
      <w:pPr>
        <w:numPr>
          <w:ilvl w:val="0"/>
          <w:numId w:val="10"/>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hyperlink r:id="rId18">
        <w:r w:rsidR="00AB038D" w:rsidRPr="004A2A91">
          <w:rPr>
            <w:rFonts w:ascii="Palatino Linotype" w:eastAsia="Palatino Linotype" w:hAnsi="Palatino Linotype" w:cs="Palatino Linotype"/>
            <w:b/>
            <w:color w:val="000000"/>
            <w:sz w:val="22"/>
            <w:szCs w:val="22"/>
            <w:u w:val="single"/>
          </w:rPr>
          <w:t>IEEM-DO-6898-2024 INFORME JUSTIFICADO RR 4018-2024 DO.pdf</w:t>
        </w:r>
      </w:hyperlink>
      <w:r w:rsidR="00AB038D" w:rsidRPr="004A2A91">
        <w:rPr>
          <w:rFonts w:ascii="Palatino Linotype" w:eastAsia="Palatino Linotype" w:hAnsi="Palatino Linotype" w:cs="Palatino Linotype"/>
          <w:color w:val="000000"/>
          <w:sz w:val="22"/>
          <w:szCs w:val="22"/>
        </w:rPr>
        <w:t>: oficio número IEEM/DO/6898/2024 de fecha nueve de julio de dos mil veinticuatro, suscrito por el Director de Organización, en el que señaló:</w:t>
      </w:r>
    </w:p>
    <w:p w:rsidR="00D243DA" w:rsidRPr="004A2A91" w:rsidRDefault="00AB038D">
      <w:pPr>
        <w:pBdr>
          <w:top w:val="nil"/>
          <w:left w:val="nil"/>
          <w:bottom w:val="nil"/>
          <w:right w:val="nil"/>
          <w:between w:val="nil"/>
        </w:pBdr>
        <w:spacing w:line="360" w:lineRule="auto"/>
        <w:ind w:left="720" w:right="-25"/>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 xml:space="preserve">“…al referirse la solicitud 02187/IEMM/IP/2024, a información estadística que obra en los archivos de esta Dirección de Organización de la cual no se deriva algún supuesto de clasificación, atendiendo al principio de máxima publicidad, se remite anexa al presente, la siguiente información: </w:t>
      </w:r>
    </w:p>
    <w:p w:rsidR="00D243DA" w:rsidRPr="004A2A91" w:rsidRDefault="00AB038D">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 xml:space="preserve">2 archivos en formato Excel y 2 archivos en formato. CSV, que contienen los resultados de los cómputos distritales y municipales desagregados por casilla, de la elección de Diputaciones Locales y Ayuntamientos 2024. </w:t>
      </w:r>
    </w:p>
    <w:p w:rsidR="00D243DA" w:rsidRPr="004A2A91" w:rsidRDefault="00AB038D">
      <w:pPr>
        <w:numPr>
          <w:ilvl w:val="0"/>
          <w:numId w:val="4"/>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2 archivos en formato Excel y 2 archivos en formato. CSV, que contienen el número de representantes (propietarios, suplentes y generales), por distrito local y por municipio, que estuvieron presentes el día de la jornada electoral en las casillas, desagregado por partido político y/o candidatura independiente, de conformidad con lo reportado en el Sistema de Información de la Jornada Electoral (SIJE)”</w:t>
      </w:r>
    </w:p>
    <w:p w:rsidR="00D243DA" w:rsidRPr="004A2A91" w:rsidRDefault="00D243DA">
      <w:pPr>
        <w:pBdr>
          <w:top w:val="nil"/>
          <w:left w:val="nil"/>
          <w:bottom w:val="nil"/>
          <w:right w:val="nil"/>
          <w:between w:val="nil"/>
        </w:pBdr>
        <w:spacing w:line="360" w:lineRule="auto"/>
        <w:ind w:left="1080" w:right="-25"/>
        <w:jc w:val="both"/>
        <w:rPr>
          <w:rFonts w:ascii="Palatino Linotype" w:eastAsia="Palatino Linotype" w:hAnsi="Palatino Linotype" w:cs="Palatino Linotype"/>
          <w:color w:val="000000"/>
          <w:sz w:val="22"/>
          <w:szCs w:val="22"/>
        </w:rPr>
      </w:pPr>
    </w:p>
    <w:p w:rsidR="00D243DA" w:rsidRPr="004A2A91" w:rsidRDefault="00C227DC">
      <w:pPr>
        <w:numPr>
          <w:ilvl w:val="0"/>
          <w:numId w:val="10"/>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hyperlink r:id="rId19">
        <w:r w:rsidR="00AB038D" w:rsidRPr="004A2A91">
          <w:rPr>
            <w:rFonts w:ascii="Palatino Linotype" w:eastAsia="Palatino Linotype" w:hAnsi="Palatino Linotype" w:cs="Palatino Linotype"/>
            <w:b/>
            <w:color w:val="000000"/>
            <w:sz w:val="22"/>
            <w:szCs w:val="22"/>
            <w:u w:val="single"/>
          </w:rPr>
          <w:t>IEEM-UT-1996-2024.pdf</w:t>
        </w:r>
      </w:hyperlink>
      <w:r w:rsidR="00AB038D" w:rsidRPr="004A2A91">
        <w:rPr>
          <w:rFonts w:ascii="Palatino Linotype" w:eastAsia="Palatino Linotype" w:hAnsi="Palatino Linotype" w:cs="Palatino Linotype"/>
          <w:b/>
          <w:color w:val="000000"/>
          <w:sz w:val="22"/>
          <w:szCs w:val="22"/>
          <w:u w:val="single"/>
        </w:rPr>
        <w:t>:</w:t>
      </w:r>
      <w:r w:rsidR="00AB038D" w:rsidRPr="004A2A91">
        <w:rPr>
          <w:rFonts w:ascii="Palatino Linotype" w:eastAsia="Palatino Linotype" w:hAnsi="Palatino Linotype" w:cs="Palatino Linotype"/>
          <w:b/>
          <w:color w:val="000000"/>
          <w:sz w:val="22"/>
          <w:szCs w:val="22"/>
        </w:rPr>
        <w:t xml:space="preserve"> </w:t>
      </w:r>
      <w:r w:rsidR="00AB038D" w:rsidRPr="004A2A91">
        <w:rPr>
          <w:rFonts w:ascii="Palatino Linotype" w:eastAsia="Palatino Linotype" w:hAnsi="Palatino Linotype" w:cs="Palatino Linotype"/>
          <w:color w:val="000000"/>
          <w:sz w:val="22"/>
          <w:szCs w:val="22"/>
        </w:rPr>
        <w:t xml:space="preserve">oficio número IEEM/UT/1996/2024 de fecha dos de julio de dos mil veinticuatro, suscrito por la Jefa de la Unidad de Transparencia y dirigido al Director de Organización, para que rinda su informe justificado. </w:t>
      </w:r>
    </w:p>
    <w:p w:rsidR="00D243DA" w:rsidRPr="004A2A91" w:rsidRDefault="00C227DC">
      <w:pPr>
        <w:numPr>
          <w:ilvl w:val="0"/>
          <w:numId w:val="10"/>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hyperlink r:id="rId20">
        <w:r w:rsidR="00AB038D" w:rsidRPr="004A2A91">
          <w:rPr>
            <w:rFonts w:ascii="Palatino Linotype" w:eastAsia="Palatino Linotype" w:hAnsi="Palatino Linotype" w:cs="Palatino Linotype"/>
            <w:b/>
            <w:color w:val="000000"/>
            <w:sz w:val="22"/>
            <w:szCs w:val="22"/>
            <w:u w:val="single"/>
          </w:rPr>
          <w:t>INFORME JUSTIFICADO RR 4018-2024 UT.pdf</w:t>
        </w:r>
      </w:hyperlink>
      <w:r w:rsidR="00AB038D" w:rsidRPr="004A2A91">
        <w:rPr>
          <w:rFonts w:ascii="Palatino Linotype" w:eastAsia="Palatino Linotype" w:hAnsi="Palatino Linotype" w:cs="Palatino Linotype"/>
          <w:color w:val="000000"/>
          <w:sz w:val="22"/>
          <w:szCs w:val="22"/>
        </w:rPr>
        <w:t xml:space="preserve">: Informe justificado rendido por la Titular de la Unidad de Transparencia, en el que, de forma medular, señaló que se adjunta la información entregada por el Director de Organización y solicitó el Sobreseimiento del Recurso de Revisión por modificar la respuesta. </w:t>
      </w:r>
    </w:p>
    <w:p w:rsidR="00D243DA" w:rsidRPr="004A2A91" w:rsidRDefault="00D243DA">
      <w:pPr>
        <w:spacing w:line="360" w:lineRule="auto"/>
        <w:ind w:right="-592"/>
        <w:jc w:val="both"/>
        <w:rPr>
          <w:rFonts w:ascii="Palatino Linotype" w:eastAsia="Palatino Linotype" w:hAnsi="Palatino Linotype" w:cs="Palatino Linotype"/>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El </w:t>
      </w:r>
      <w:r w:rsidRPr="004A2A91">
        <w:rPr>
          <w:rFonts w:ascii="Palatino Linotype" w:eastAsia="Palatino Linotype" w:hAnsi="Palatino Linotype" w:cs="Palatino Linotype"/>
          <w:b/>
          <w:color w:val="000000"/>
        </w:rPr>
        <w:t>cinco de septiembre de dos mil veinticuatro</w:t>
      </w:r>
      <w:r w:rsidRPr="004A2A91">
        <w:rPr>
          <w:rFonts w:ascii="Palatino Linotype" w:eastAsia="Palatino Linotype" w:hAnsi="Palatino Linotype" w:cs="Palatino Linotype"/>
          <w:color w:val="000000"/>
        </w:rPr>
        <w:t>, se notificó el acuerdo a través del cual se aprobó la ampliación de plazo para emitir resolución.</w:t>
      </w:r>
    </w:p>
    <w:p w:rsidR="00D243DA" w:rsidRPr="004A2A91" w:rsidRDefault="00D243D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el cual  se ha incrementado, circunstancia atípica que ha rebasado las capacidades técnicas y humanas del personal encargado de la proyección de las resoluciones a dichos medios de impugnación.</w:t>
      </w:r>
    </w:p>
    <w:p w:rsidR="00D243DA" w:rsidRPr="004A2A91" w:rsidRDefault="00D243DA">
      <w:pPr>
        <w:pBdr>
          <w:top w:val="nil"/>
          <w:left w:val="nil"/>
          <w:bottom w:val="nil"/>
          <w:right w:val="nil"/>
          <w:between w:val="nil"/>
        </w:pBdr>
        <w:ind w:left="720" w:right="-592"/>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D243DA" w:rsidRPr="004A2A91" w:rsidRDefault="00D243DA">
      <w:pPr>
        <w:pBdr>
          <w:top w:val="nil"/>
          <w:left w:val="nil"/>
          <w:bottom w:val="nil"/>
          <w:right w:val="nil"/>
          <w:between w:val="nil"/>
        </w:pBdr>
        <w:ind w:left="720" w:right="-592"/>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D243DA" w:rsidRPr="004A2A91" w:rsidRDefault="00D243DA">
      <w:pPr>
        <w:pBdr>
          <w:top w:val="nil"/>
          <w:left w:val="nil"/>
          <w:bottom w:val="nil"/>
          <w:right w:val="nil"/>
          <w:between w:val="nil"/>
        </w:pBdr>
        <w:ind w:left="720" w:right="-592"/>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Century Gothic" w:eastAsia="Century Gothic" w:hAnsi="Century Gothic" w:cs="Century Gothic"/>
          <w:color w:val="000000"/>
        </w:rPr>
      </w:pPr>
      <w:r w:rsidRPr="004A2A91">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D243DA" w:rsidRPr="004A2A91" w:rsidRDefault="00D243DA">
      <w:pPr>
        <w:pBdr>
          <w:top w:val="nil"/>
          <w:left w:val="nil"/>
          <w:bottom w:val="nil"/>
          <w:right w:val="nil"/>
          <w:between w:val="nil"/>
        </w:pBdr>
        <w:ind w:left="720" w:right="-592"/>
        <w:rPr>
          <w:rFonts w:ascii="Palatino Linotype" w:eastAsia="Palatino Linotype" w:hAnsi="Palatino Linotype" w:cs="Palatino Linotype"/>
          <w:color w:val="000000"/>
        </w:rPr>
      </w:pPr>
    </w:p>
    <w:p w:rsidR="00D243DA" w:rsidRPr="004A2A91" w:rsidRDefault="00AB038D">
      <w:pPr>
        <w:numPr>
          <w:ilvl w:val="0"/>
          <w:numId w:val="2"/>
        </w:numPr>
        <w:spacing w:line="360" w:lineRule="auto"/>
        <w:ind w:left="0" w:right="-592" w:firstLine="0"/>
        <w:jc w:val="both"/>
      </w:pPr>
      <w:r w:rsidRPr="004A2A91">
        <w:rPr>
          <w:rFonts w:ascii="Palatino Linotype" w:eastAsia="Palatino Linotype" w:hAnsi="Palatino Linotype" w:cs="Palatino Linotype"/>
        </w:rPr>
        <w:t xml:space="preserve">Por ello, excepcionalmente, si un asunto es resuelto con posterioridad a los plazos señalados por la norma debe analizarse la razonabilidad de dicha dilación atendiendo a los siguientes criterios:   </w:t>
      </w:r>
    </w:p>
    <w:p w:rsidR="00D243DA" w:rsidRPr="004A2A91" w:rsidRDefault="00AB038D">
      <w:pPr>
        <w:numPr>
          <w:ilvl w:val="0"/>
          <w:numId w:val="5"/>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 xml:space="preserve">Complejidad del </w:t>
      </w:r>
      <w:r w:rsidRPr="004A2A91">
        <w:rPr>
          <w:rFonts w:ascii="Palatino Linotype" w:eastAsia="Palatino Linotype" w:hAnsi="Palatino Linotype" w:cs="Palatino Linotype"/>
          <w:sz w:val="22"/>
          <w:szCs w:val="22"/>
        </w:rPr>
        <w:t>asunto</w:t>
      </w:r>
      <w:r w:rsidRPr="004A2A91">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D243DA" w:rsidRPr="004A2A91" w:rsidRDefault="00AB038D">
      <w:pPr>
        <w:numPr>
          <w:ilvl w:val="0"/>
          <w:numId w:val="5"/>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Actividad Procesal del interesado. Acciones u omisiones del interesado.</w:t>
      </w:r>
    </w:p>
    <w:p w:rsidR="00D243DA" w:rsidRPr="004A2A91" w:rsidRDefault="00AB038D">
      <w:pPr>
        <w:numPr>
          <w:ilvl w:val="0"/>
          <w:numId w:val="5"/>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D243DA" w:rsidRPr="004A2A91" w:rsidRDefault="00AB038D">
      <w:pPr>
        <w:spacing w:line="360" w:lineRule="auto"/>
        <w:ind w:left="567" w:right="-25"/>
        <w:jc w:val="both"/>
        <w:rPr>
          <w:rFonts w:ascii="Palatino Linotype" w:eastAsia="Palatino Linotype" w:hAnsi="Palatino Linotype" w:cs="Palatino Linotype"/>
          <w:sz w:val="22"/>
          <w:szCs w:val="22"/>
        </w:rPr>
      </w:pPr>
      <w:r w:rsidRPr="004A2A91">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D243DA" w:rsidRPr="004A2A91" w:rsidRDefault="00D243DA">
      <w:pPr>
        <w:spacing w:line="360" w:lineRule="auto"/>
        <w:ind w:right="-592"/>
        <w:rPr>
          <w:rFonts w:ascii="Palatino Linotype" w:eastAsia="Palatino Linotype" w:hAnsi="Palatino Linotype" w:cs="Palatino Linotype"/>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rPr>
      </w:pPr>
      <w:r w:rsidRPr="004A2A91">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cuasi jurisdiccional respectivo supere notoriamente al que podría considerarse </w:t>
      </w:r>
      <w:r w:rsidRPr="004A2A91">
        <w:rPr>
          <w:rFonts w:ascii="Palatino Linotype" w:eastAsia="Palatino Linotype" w:hAnsi="Palatino Linotype" w:cs="Palatino Linotype"/>
          <w:color w:val="000000"/>
        </w:rPr>
        <w:lastRenderedPageBreak/>
        <w:t>normal, debe concluirse que es una excluyente de responsabilidad en relación con la actuación del funcionario, como ha acontecido en el caso que nos ocupa.</w:t>
      </w:r>
    </w:p>
    <w:p w:rsidR="00D243DA" w:rsidRPr="004A2A91" w:rsidRDefault="00D243DA">
      <w:pPr>
        <w:spacing w:line="360" w:lineRule="auto"/>
        <w:ind w:right="-592"/>
        <w:jc w:val="both"/>
        <w:rPr>
          <w:rFonts w:ascii="Palatino Linotype" w:eastAsia="Palatino Linotype" w:hAnsi="Palatino Linotype" w:cs="Palatino Linotype"/>
          <w:b/>
        </w:rPr>
      </w:pPr>
    </w:p>
    <w:p w:rsidR="00D243DA" w:rsidRPr="004A2A91" w:rsidRDefault="00AB038D">
      <w:pPr>
        <w:numPr>
          <w:ilvl w:val="0"/>
          <w:numId w:val="2"/>
        </w:numPr>
        <w:spacing w:line="360" w:lineRule="auto"/>
        <w:ind w:left="0" w:right="-592" w:firstLine="0"/>
        <w:jc w:val="both"/>
        <w:rPr>
          <w:rFonts w:ascii="Palatino Linotype" w:eastAsia="Palatino Linotype" w:hAnsi="Palatino Linotype" w:cs="Palatino Linotype"/>
          <w:b/>
        </w:rPr>
      </w:pPr>
      <w:r w:rsidRPr="004A2A91">
        <w:rPr>
          <w:rFonts w:ascii="Palatino Linotype" w:eastAsia="Palatino Linotype" w:hAnsi="Palatino Linotype" w:cs="Palatino Linotype"/>
        </w:rPr>
        <w:t xml:space="preserve">Argumento que encuentra sustento en la jurisprudencia P./J. 32/92 emitida por el Pleno de la Suprema Corte de Justicia de la Nación del rubro </w:t>
      </w:r>
      <w:r w:rsidRPr="004A2A91">
        <w:rPr>
          <w:rFonts w:ascii="Palatino Linotype" w:eastAsia="Palatino Linotype" w:hAnsi="Palatino Linotype" w:cs="Palatino Linotype"/>
          <w:i/>
        </w:rPr>
        <w:t>“TÉRMINOS PROCESALES. PARA DETERMINAR SI UN FUNCIONARIO JUDICIAL ACTUÓ INDEBIDAMENTE POR NO RESPETARLOS SE DEBE ATENDER AL PRESUPUESTO QUE CONSIDERÓ EL LEGISLADOR AL FIJARLOS Y LAS CARACTERÍSTICAS DEL CASO.”</w:t>
      </w:r>
      <w:r w:rsidRPr="004A2A91">
        <w:rPr>
          <w:rFonts w:ascii="Palatino Linotype" w:eastAsia="Palatino Linotype" w:hAnsi="Palatino Linotype" w:cs="Palatino Linotype"/>
        </w:rPr>
        <w:t>, visible en la Gaceta del Semanario Judicial de la Federación con el registro digital 205635.</w:t>
      </w:r>
    </w:p>
    <w:p w:rsidR="00D243DA" w:rsidRPr="004A2A91" w:rsidRDefault="00D243DA">
      <w:pPr>
        <w:spacing w:line="360" w:lineRule="auto"/>
        <w:ind w:right="-592"/>
        <w:rPr>
          <w:rFonts w:ascii="Palatino Linotype" w:eastAsia="Palatino Linotype" w:hAnsi="Palatino Linotype" w:cs="Palatino Linotype"/>
        </w:rPr>
      </w:pPr>
    </w:p>
    <w:p w:rsidR="00D243DA" w:rsidRPr="004A2A91" w:rsidRDefault="00AB038D">
      <w:pPr>
        <w:numPr>
          <w:ilvl w:val="0"/>
          <w:numId w:val="2"/>
        </w:numPr>
        <w:spacing w:line="360" w:lineRule="auto"/>
        <w:ind w:left="0" w:right="-592" w:firstLine="0"/>
        <w:jc w:val="both"/>
        <w:rPr>
          <w:rFonts w:ascii="Palatino Linotype" w:eastAsia="Palatino Linotype" w:hAnsi="Palatino Linotype" w:cs="Palatino Linotype"/>
          <w:b/>
        </w:rPr>
      </w:pPr>
      <w:r w:rsidRPr="004A2A91">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D243DA" w:rsidRPr="004A2A91" w:rsidRDefault="00D243DA">
      <w:pPr>
        <w:spacing w:line="360" w:lineRule="auto"/>
        <w:ind w:right="-592"/>
        <w:rPr>
          <w:rFonts w:ascii="Palatino Linotype" w:eastAsia="Palatino Linotype" w:hAnsi="Palatino Linotype" w:cs="Palatino Linotype"/>
        </w:rPr>
      </w:pPr>
    </w:p>
    <w:p w:rsidR="00D243DA" w:rsidRPr="004A2A91" w:rsidRDefault="00AB038D">
      <w:pPr>
        <w:numPr>
          <w:ilvl w:val="0"/>
          <w:numId w:val="2"/>
        </w:numPr>
        <w:spacing w:line="360" w:lineRule="auto"/>
        <w:ind w:left="0" w:right="-592" w:firstLine="0"/>
        <w:jc w:val="both"/>
        <w:rPr>
          <w:rFonts w:ascii="Palatino Linotype" w:eastAsia="Palatino Linotype" w:hAnsi="Palatino Linotype" w:cs="Palatino Linotype"/>
          <w:b/>
        </w:rPr>
      </w:pPr>
      <w:r w:rsidRPr="004A2A91">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D243DA" w:rsidRPr="004A2A91" w:rsidRDefault="00D243DA">
      <w:pPr>
        <w:spacing w:line="360" w:lineRule="auto"/>
        <w:ind w:right="-592"/>
        <w:rPr>
          <w:rFonts w:ascii="Palatino Linotype" w:eastAsia="Palatino Linotype" w:hAnsi="Palatino Linotype" w:cs="Palatino Linotype"/>
        </w:rPr>
      </w:pPr>
    </w:p>
    <w:p w:rsidR="00D243DA" w:rsidRPr="004A2A91" w:rsidRDefault="00AB038D">
      <w:pPr>
        <w:numPr>
          <w:ilvl w:val="0"/>
          <w:numId w:val="2"/>
        </w:numPr>
        <w:spacing w:line="360" w:lineRule="auto"/>
        <w:ind w:left="0" w:right="-592" w:firstLine="0"/>
        <w:jc w:val="both"/>
        <w:rPr>
          <w:rFonts w:ascii="Palatino Linotype" w:eastAsia="Palatino Linotype" w:hAnsi="Palatino Linotype" w:cs="Palatino Linotype"/>
          <w:b/>
        </w:rPr>
      </w:pPr>
      <w:r w:rsidRPr="004A2A91">
        <w:rPr>
          <w:rFonts w:ascii="Palatino Linotype" w:eastAsia="Palatino Linotype" w:hAnsi="Palatino Linotype" w:cs="Palatino Linotype"/>
        </w:rPr>
        <w:lastRenderedPageBreak/>
        <w:t>Al respecto, también son de considerar los criterios sostenidos por el Cuarto Tribunal Colegiado en Materia Administrativa del Primer Circuito, cuyos rubros y datos de identificación son los siguientes:</w:t>
      </w:r>
    </w:p>
    <w:p w:rsidR="00D243DA" w:rsidRPr="004A2A91" w:rsidRDefault="00AB038D">
      <w:pPr>
        <w:spacing w:line="360" w:lineRule="auto"/>
        <w:ind w:left="851" w:right="-25"/>
        <w:jc w:val="both"/>
        <w:rPr>
          <w:rFonts w:ascii="Palatino Linotype" w:eastAsia="Palatino Linotype" w:hAnsi="Palatino Linotype" w:cs="Palatino Linotype"/>
          <w:sz w:val="22"/>
          <w:szCs w:val="22"/>
        </w:rPr>
      </w:pPr>
      <w:r w:rsidRPr="004A2A91">
        <w:rPr>
          <w:rFonts w:ascii="Palatino Linotype" w:eastAsia="Palatino Linotype" w:hAnsi="Palatino Linotype" w:cs="Palatino Linotype"/>
          <w:sz w:val="22"/>
          <w:szCs w:val="22"/>
        </w:rPr>
        <w:t xml:space="preserve"> </w:t>
      </w:r>
      <w:r w:rsidRPr="004A2A91">
        <w:rPr>
          <w:rFonts w:ascii="Palatino Linotype" w:eastAsia="Palatino Linotype" w:hAnsi="Palatino Linotype" w:cs="Palatino Linotype"/>
          <w:i/>
          <w:sz w:val="22"/>
          <w:szCs w:val="22"/>
        </w:rPr>
        <w:t>“PLAZO RAZONABLE PARA RESOLVER. DIMENSIÓN Y EFECTOS DE ESTE CONCEPTO CUANDO SE ADUCE EXCESIVA CARGA DE TRABAJO.”</w:t>
      </w:r>
      <w:r w:rsidRPr="004A2A91">
        <w:rPr>
          <w:rFonts w:ascii="Palatino Linotype" w:eastAsia="Palatino Linotype" w:hAnsi="Palatino Linotype" w:cs="Palatino Linotype"/>
          <w:sz w:val="22"/>
          <w:szCs w:val="22"/>
        </w:rPr>
        <w:t xml:space="preserve"> consultable en el Semanario Judicial de la Federación y su gaceta, con el registro digital 2002351.</w:t>
      </w:r>
    </w:p>
    <w:p w:rsidR="00D243DA" w:rsidRPr="004A2A91" w:rsidRDefault="00D243DA">
      <w:pPr>
        <w:spacing w:line="360" w:lineRule="auto"/>
        <w:ind w:left="851" w:right="-25"/>
        <w:jc w:val="both"/>
        <w:rPr>
          <w:rFonts w:ascii="Palatino Linotype" w:eastAsia="Palatino Linotype" w:hAnsi="Palatino Linotype" w:cs="Palatino Linotype"/>
          <w:b/>
          <w:sz w:val="22"/>
          <w:szCs w:val="22"/>
        </w:rPr>
      </w:pPr>
    </w:p>
    <w:p w:rsidR="00D243DA" w:rsidRPr="004A2A91" w:rsidRDefault="00AB038D">
      <w:pPr>
        <w:spacing w:line="360" w:lineRule="auto"/>
        <w:ind w:left="851" w:right="-25"/>
        <w:jc w:val="both"/>
        <w:rPr>
          <w:rFonts w:ascii="Palatino Linotype" w:eastAsia="Palatino Linotype" w:hAnsi="Palatino Linotype" w:cs="Palatino Linotype"/>
          <w:sz w:val="22"/>
          <w:szCs w:val="22"/>
        </w:rPr>
      </w:pPr>
      <w:r w:rsidRPr="004A2A91">
        <w:rPr>
          <w:rFonts w:ascii="Palatino Linotype" w:eastAsia="Palatino Linotype" w:hAnsi="Palatino Linotype" w:cs="Palatino Linotype"/>
          <w:i/>
          <w:sz w:val="22"/>
          <w:szCs w:val="22"/>
        </w:rPr>
        <w:t>“PLAZO RAZONABLE PARA RESOLVER. CONCEPTO Y ELEMENTOS QUE LO INTEGRAN A LA LUZ DEL DERECHO INTERNACIONAL DE LOS DERECHOS HUMANOS.”</w:t>
      </w:r>
      <w:r w:rsidRPr="004A2A91">
        <w:rPr>
          <w:rFonts w:ascii="Palatino Linotype" w:eastAsia="Palatino Linotype" w:hAnsi="Palatino Linotype" w:cs="Palatino Linotype"/>
          <w:sz w:val="22"/>
          <w:szCs w:val="22"/>
        </w:rPr>
        <w:t>, visible en el Semanario Judicial de la Federación y su gaceta, con el registro digital 2002350.</w:t>
      </w:r>
    </w:p>
    <w:p w:rsidR="00D243DA" w:rsidRPr="004A2A91" w:rsidRDefault="00D243DA">
      <w:pPr>
        <w:spacing w:line="360" w:lineRule="auto"/>
        <w:ind w:right="-592"/>
        <w:jc w:val="both"/>
        <w:rPr>
          <w:rFonts w:ascii="Palatino Linotype" w:eastAsia="Palatino Linotype" w:hAnsi="Palatino Linotype" w:cs="Palatino Linotype"/>
          <w:i/>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color w:val="000000"/>
        </w:rPr>
      </w:pPr>
      <w:r w:rsidRPr="004A2A91">
        <w:rPr>
          <w:rFonts w:ascii="Palatino Linotype" w:eastAsia="Palatino Linotype" w:hAnsi="Palatino Linotype" w:cs="Palatino Linotype"/>
          <w:color w:val="000000"/>
        </w:rPr>
        <w:t xml:space="preserve">Por ello, este Organismo Garante comprometido con la tutela de los derechos humanos confiados, señala que este exceso de plazo legal para resolver el presente asunto, resulta de carácter excepcional. </w:t>
      </w:r>
    </w:p>
    <w:p w:rsidR="00D243DA" w:rsidRPr="004A2A91" w:rsidRDefault="00D243D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La Comisionada Ponente decretó el cierre de instrucción mediante el acuerdo del </w:t>
      </w:r>
      <w:r w:rsidRPr="004A2A91">
        <w:rPr>
          <w:rFonts w:ascii="Palatino Linotype" w:eastAsia="Palatino Linotype" w:hAnsi="Palatino Linotype" w:cs="Palatino Linotype"/>
          <w:b/>
          <w:color w:val="000000"/>
        </w:rPr>
        <w:t>cuatro de marzo de dos mil veinticinco</w:t>
      </w:r>
      <w:r w:rsidRPr="004A2A91">
        <w:rPr>
          <w:rFonts w:ascii="Palatino Linotype" w:eastAsia="Palatino Linotype" w:hAnsi="Palatino Linotype" w:cs="Palatino Linotype"/>
          <w:color w:val="000000"/>
        </w:rPr>
        <w:t xml:space="preserve">. </w:t>
      </w:r>
      <w:r w:rsidRPr="004A2A91">
        <w:rPr>
          <w:rFonts w:ascii="Palatino Linotype" w:eastAsia="Palatino Linotype" w:hAnsi="Palatino Linotype" w:cs="Palatino Linotype"/>
        </w:rPr>
        <w:t>—---------------------------------------------------------------</w:t>
      </w:r>
    </w:p>
    <w:p w:rsidR="00D243DA" w:rsidRPr="004A2A91" w:rsidRDefault="00D243DA">
      <w:pPr>
        <w:pBdr>
          <w:top w:val="nil"/>
          <w:left w:val="nil"/>
          <w:bottom w:val="nil"/>
          <w:right w:val="nil"/>
          <w:between w:val="nil"/>
        </w:pBdr>
        <w:spacing w:line="360" w:lineRule="auto"/>
        <w:ind w:right="-592"/>
        <w:jc w:val="both"/>
        <w:rPr>
          <w:rFonts w:ascii="Palatino Linotype" w:eastAsia="Palatino Linotype" w:hAnsi="Palatino Linotype" w:cs="Palatino Linotype"/>
        </w:rPr>
      </w:pPr>
    </w:p>
    <w:p w:rsidR="00D243DA" w:rsidRPr="004A2A91" w:rsidRDefault="00D243DA">
      <w:pPr>
        <w:spacing w:line="360" w:lineRule="auto"/>
        <w:ind w:right="-592"/>
        <w:rPr>
          <w:rFonts w:ascii="Palatino Linotype" w:eastAsia="Palatino Linotype" w:hAnsi="Palatino Linotype" w:cs="Palatino Linotype"/>
        </w:rPr>
      </w:pPr>
    </w:p>
    <w:p w:rsidR="00D243DA" w:rsidRPr="004A2A91" w:rsidRDefault="00AB038D">
      <w:pPr>
        <w:spacing w:line="360" w:lineRule="auto"/>
        <w:ind w:right="-592"/>
        <w:jc w:val="center"/>
        <w:rPr>
          <w:rFonts w:ascii="Palatino Linotype" w:eastAsia="Palatino Linotype" w:hAnsi="Palatino Linotype" w:cs="Palatino Linotype"/>
        </w:rPr>
      </w:pPr>
      <w:bookmarkStart w:id="2" w:name="_heading=h.30j0zll" w:colFirst="0" w:colLast="0"/>
      <w:bookmarkEnd w:id="2"/>
      <w:r w:rsidRPr="004A2A91">
        <w:rPr>
          <w:rFonts w:ascii="Palatino Linotype" w:eastAsia="Palatino Linotype" w:hAnsi="Palatino Linotype" w:cs="Palatino Linotype"/>
          <w:b/>
        </w:rPr>
        <w:t>C O N S I D E R A N D O</w:t>
      </w:r>
    </w:p>
    <w:p w:rsidR="00D243DA" w:rsidRPr="004A2A91" w:rsidRDefault="00D243DA">
      <w:pPr>
        <w:spacing w:line="360" w:lineRule="auto"/>
        <w:ind w:right="-592"/>
        <w:jc w:val="center"/>
        <w:rPr>
          <w:rFonts w:ascii="Palatino Linotype" w:eastAsia="Palatino Linotype" w:hAnsi="Palatino Linotype" w:cs="Palatino Linotype"/>
        </w:rPr>
      </w:pPr>
    </w:p>
    <w:p w:rsidR="00D243DA" w:rsidRPr="004A2A91" w:rsidRDefault="00AB038D">
      <w:pPr>
        <w:spacing w:line="360" w:lineRule="auto"/>
        <w:ind w:right="-592"/>
        <w:jc w:val="both"/>
        <w:rPr>
          <w:rFonts w:ascii="Palatino Linotype" w:eastAsia="Palatino Linotype" w:hAnsi="Palatino Linotype" w:cs="Palatino Linotype"/>
          <w:b/>
        </w:rPr>
      </w:pPr>
      <w:bookmarkStart w:id="3" w:name="_heading=h.1fob9te" w:colFirst="0" w:colLast="0"/>
      <w:bookmarkEnd w:id="3"/>
      <w:r w:rsidRPr="004A2A91">
        <w:rPr>
          <w:rFonts w:ascii="Palatino Linotype" w:eastAsia="Palatino Linotype" w:hAnsi="Palatino Linotype" w:cs="Palatino Linotype"/>
          <w:b/>
        </w:rPr>
        <w:t>PRIMERO. De la competencia</w:t>
      </w:r>
    </w:p>
    <w:p w:rsidR="00D243DA" w:rsidRPr="004A2A91" w:rsidRDefault="00AB038D">
      <w:pPr>
        <w:numPr>
          <w:ilvl w:val="0"/>
          <w:numId w:val="2"/>
        </w:numPr>
        <w:pBdr>
          <w:top w:val="nil"/>
          <w:left w:val="nil"/>
          <w:bottom w:val="nil"/>
          <w:right w:val="nil"/>
          <w:between w:val="nil"/>
        </w:pBdr>
        <w:spacing w:before="240"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lastRenderedPageBreak/>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D243DA" w:rsidRPr="004A2A91" w:rsidRDefault="00D243D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D243DA" w:rsidRPr="004A2A91" w:rsidRDefault="00AB038D">
      <w:pPr>
        <w:keepNext/>
        <w:keepLines/>
        <w:spacing w:line="360" w:lineRule="auto"/>
        <w:ind w:right="-592"/>
        <w:rPr>
          <w:rFonts w:ascii="Palatino Linotype" w:eastAsia="Palatino Linotype" w:hAnsi="Palatino Linotype" w:cs="Palatino Linotype"/>
          <w:b/>
        </w:rPr>
      </w:pPr>
      <w:bookmarkStart w:id="4" w:name="_heading=h.3znysh7" w:colFirst="0" w:colLast="0"/>
      <w:bookmarkEnd w:id="4"/>
      <w:r w:rsidRPr="004A2A91">
        <w:rPr>
          <w:rFonts w:ascii="Palatino Linotype" w:eastAsia="Palatino Linotype" w:hAnsi="Palatino Linotype" w:cs="Palatino Linotype"/>
          <w:b/>
        </w:rPr>
        <w:t>SEGUNDO. De la oportunidad y procedencia.</w:t>
      </w: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El medio de impugnación fue presentado a través del </w:t>
      </w:r>
      <w:r w:rsidRPr="004A2A91">
        <w:rPr>
          <w:rFonts w:ascii="Palatino Linotype" w:eastAsia="Palatino Linotype" w:hAnsi="Palatino Linotype" w:cs="Palatino Linotype"/>
          <w:b/>
          <w:color w:val="000000"/>
        </w:rPr>
        <w:t>SAIMEX,</w:t>
      </w:r>
      <w:r w:rsidRPr="004A2A91">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4A2A91">
        <w:rPr>
          <w:rFonts w:ascii="Palatino Linotype" w:eastAsia="Palatino Linotype" w:hAnsi="Palatino Linotype" w:cs="Palatino Linotype"/>
          <w:b/>
          <w:color w:val="000000"/>
        </w:rPr>
        <w:t>SUJETO OBLIGADO</w:t>
      </w:r>
      <w:r w:rsidRPr="004A2A91">
        <w:rPr>
          <w:rFonts w:ascii="Palatino Linotype" w:eastAsia="Palatino Linotype" w:hAnsi="Palatino Linotype" w:cs="Palatino Linotype"/>
          <w:color w:val="000000"/>
        </w:rPr>
        <w:t xml:space="preserve"> entregó respuesta a la solicitud el día </w:t>
      </w:r>
      <w:r w:rsidRPr="004A2A91">
        <w:rPr>
          <w:rFonts w:ascii="Palatino Linotype" w:eastAsia="Palatino Linotype" w:hAnsi="Palatino Linotype" w:cs="Palatino Linotype"/>
          <w:b/>
        </w:rPr>
        <w:t>primero</w:t>
      </w:r>
      <w:r w:rsidRPr="004A2A91">
        <w:rPr>
          <w:rFonts w:ascii="Palatino Linotype" w:eastAsia="Palatino Linotype" w:hAnsi="Palatino Linotype" w:cs="Palatino Linotype"/>
          <w:b/>
          <w:color w:val="000000"/>
        </w:rPr>
        <w:t xml:space="preserve"> de julio de dos mil veinticuatro</w:t>
      </w:r>
      <w:r w:rsidRPr="004A2A91">
        <w:rPr>
          <w:rFonts w:ascii="Palatino Linotype" w:eastAsia="Palatino Linotype" w:hAnsi="Palatino Linotype" w:cs="Palatino Linotype"/>
          <w:color w:val="000000"/>
        </w:rPr>
        <w:t xml:space="preserve">, de tal forma que el plazo para interponer el recurso de revisión transcurrió del </w:t>
      </w:r>
      <w:r w:rsidRPr="004A2A91">
        <w:rPr>
          <w:rFonts w:ascii="Palatino Linotype" w:eastAsia="Palatino Linotype" w:hAnsi="Palatino Linotype" w:cs="Palatino Linotype"/>
          <w:b/>
          <w:color w:val="000000"/>
        </w:rPr>
        <w:t>dos de julio al cinco de agosto de dos mil veinticuatro</w:t>
      </w:r>
      <w:r w:rsidRPr="004A2A91">
        <w:rPr>
          <w:rFonts w:ascii="Palatino Linotype" w:eastAsia="Palatino Linotype" w:hAnsi="Palatino Linotype" w:cs="Palatino Linotype"/>
          <w:color w:val="000000"/>
        </w:rPr>
        <w:t xml:space="preserve">; en consecuencia, presentó su inconformidad el </w:t>
      </w:r>
      <w:r w:rsidRPr="004A2A91">
        <w:rPr>
          <w:rFonts w:ascii="Palatino Linotype" w:eastAsia="Palatino Linotype" w:hAnsi="Palatino Linotype" w:cs="Palatino Linotype"/>
          <w:b/>
          <w:color w:val="000000"/>
        </w:rPr>
        <w:t>dos de julio de dos mil veinticuatro</w:t>
      </w:r>
      <w:r w:rsidRPr="004A2A91">
        <w:rPr>
          <w:rFonts w:ascii="Palatino Linotype" w:eastAsia="Palatino Linotype" w:hAnsi="Palatino Linotype" w:cs="Palatino Linotype"/>
          <w:color w:val="000000"/>
        </w:rPr>
        <w:t xml:space="preserve">, por lo que se encuentra dentro de los márgenes temporales previstos en el artículo 178 de la </w:t>
      </w:r>
      <w:r w:rsidRPr="004A2A91">
        <w:rPr>
          <w:rFonts w:ascii="Palatino Linotype" w:eastAsia="Palatino Linotype" w:hAnsi="Palatino Linotype" w:cs="Palatino Linotype"/>
          <w:b/>
          <w:color w:val="000000"/>
        </w:rPr>
        <w:t xml:space="preserve">Ley de Transparencia y Acceso a la Información Pública del Estado de México y Municipios </w:t>
      </w:r>
      <w:r w:rsidRPr="004A2A91">
        <w:rPr>
          <w:rFonts w:ascii="Palatino Linotype" w:eastAsia="Palatino Linotype" w:hAnsi="Palatino Linotype" w:cs="Palatino Linotype"/>
          <w:color w:val="000000"/>
        </w:rPr>
        <w:t>vigente</w:t>
      </w:r>
    </w:p>
    <w:p w:rsidR="00D243DA" w:rsidRPr="004A2A91" w:rsidRDefault="00D243DA">
      <w:pPr>
        <w:pBdr>
          <w:top w:val="nil"/>
          <w:left w:val="nil"/>
          <w:bottom w:val="nil"/>
          <w:right w:val="nil"/>
          <w:between w:val="nil"/>
        </w:pBdr>
        <w:spacing w:line="360" w:lineRule="auto"/>
        <w:ind w:right="-592"/>
        <w:jc w:val="both"/>
        <w:rPr>
          <w:rFonts w:ascii="Palatino Linotype" w:eastAsia="Palatino Linotype" w:hAnsi="Palatino Linotype" w:cs="Palatino Linotype"/>
          <w:i/>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Por otro lado, el escrito contiene las formalidades previstas por el artículo 180 último párrafo de la Ley de la materia actual, por lo que es procedente que este Instituto de </w:t>
      </w:r>
      <w:r w:rsidRPr="004A2A91">
        <w:rPr>
          <w:rFonts w:ascii="Palatino Linotype" w:eastAsia="Palatino Linotype" w:hAnsi="Palatino Linotype" w:cs="Palatino Linotype"/>
          <w:color w:val="000000"/>
        </w:rPr>
        <w:lastRenderedPageBreak/>
        <w:t>Transparencia, Acceso a la Información Pública y Protección de Datos Personales del Estado de México y Municipios, conozca y resuelva el presente recurso.</w:t>
      </w:r>
    </w:p>
    <w:p w:rsidR="00D243DA" w:rsidRPr="004A2A91" w:rsidRDefault="00D243DA">
      <w:pPr>
        <w:pBdr>
          <w:top w:val="nil"/>
          <w:left w:val="nil"/>
          <w:bottom w:val="nil"/>
          <w:right w:val="nil"/>
          <w:between w:val="nil"/>
        </w:pBdr>
        <w:ind w:left="720" w:right="-592"/>
        <w:rPr>
          <w:rFonts w:ascii="Palatino Linotype" w:eastAsia="Palatino Linotype" w:hAnsi="Palatino Linotype" w:cs="Palatino Linotype"/>
          <w:color w:val="000000"/>
        </w:rPr>
      </w:pPr>
    </w:p>
    <w:p w:rsidR="00D243DA" w:rsidRPr="004A2A91" w:rsidRDefault="00AB038D">
      <w:pPr>
        <w:pStyle w:val="Ttulo2"/>
        <w:tabs>
          <w:tab w:val="left" w:pos="0"/>
        </w:tabs>
        <w:spacing w:before="0" w:line="360" w:lineRule="auto"/>
        <w:ind w:right="-592"/>
        <w:rPr>
          <w:rFonts w:ascii="Palatino Linotype" w:eastAsia="Palatino Linotype" w:hAnsi="Palatino Linotype" w:cs="Palatino Linotype"/>
          <w:b/>
          <w:color w:val="000000"/>
          <w:sz w:val="24"/>
          <w:szCs w:val="24"/>
        </w:rPr>
      </w:pPr>
      <w:r w:rsidRPr="004A2A91">
        <w:rPr>
          <w:rFonts w:ascii="Palatino Linotype" w:eastAsia="Palatino Linotype" w:hAnsi="Palatino Linotype" w:cs="Palatino Linotype"/>
          <w:b/>
          <w:color w:val="000000"/>
          <w:sz w:val="24"/>
          <w:szCs w:val="24"/>
        </w:rPr>
        <w:t xml:space="preserve">TERCERO. De las causales de sobreseimiento </w:t>
      </w:r>
    </w:p>
    <w:p w:rsidR="00D243DA" w:rsidRPr="004A2A91" w:rsidRDefault="00AB038D">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El recurso de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4A2A91">
        <w:rPr>
          <w:rFonts w:ascii="Palatino Linotype" w:eastAsia="Palatino Linotype" w:hAnsi="Palatino Linotype" w:cs="Palatino Linotype"/>
          <w:b/>
          <w:color w:val="000000"/>
          <w:u w:val="single"/>
        </w:rPr>
        <w:t>sobreseimiento</w:t>
      </w:r>
      <w:r w:rsidRPr="004A2A91">
        <w:rPr>
          <w:rFonts w:ascii="Palatino Linotype" w:eastAsia="Palatino Linotype" w:hAnsi="Palatino Linotype" w:cs="Palatino Linotype"/>
          <w:color w:val="000000"/>
        </w:rPr>
        <w:t xml:space="preserve">; y en su caso ordenar la entrega de la información con respecto a la respuesta emitida por el </w:t>
      </w:r>
      <w:r w:rsidRPr="004A2A91">
        <w:rPr>
          <w:rFonts w:ascii="Palatino Linotype" w:eastAsia="Palatino Linotype" w:hAnsi="Palatino Linotype" w:cs="Palatino Linotype"/>
          <w:b/>
          <w:color w:val="000000"/>
        </w:rPr>
        <w:t>SUJETO</w:t>
      </w:r>
      <w:r w:rsidRPr="004A2A91">
        <w:rPr>
          <w:rFonts w:ascii="Palatino Linotype" w:eastAsia="Palatino Linotype" w:hAnsi="Palatino Linotype" w:cs="Palatino Linotype"/>
          <w:color w:val="000000"/>
        </w:rPr>
        <w:t xml:space="preserve"> </w:t>
      </w:r>
      <w:r w:rsidRPr="004A2A91">
        <w:rPr>
          <w:rFonts w:ascii="Palatino Linotype" w:eastAsia="Palatino Linotype" w:hAnsi="Palatino Linotype" w:cs="Palatino Linotype"/>
          <w:b/>
          <w:color w:val="000000"/>
        </w:rPr>
        <w:t>OBLIGADO</w:t>
      </w:r>
      <w:r w:rsidRPr="004A2A91">
        <w:rPr>
          <w:rFonts w:ascii="Palatino Linotype" w:eastAsia="Palatino Linotype" w:hAnsi="Palatino Linotype" w:cs="Palatino Linotype"/>
          <w:color w:val="000000"/>
        </w:rPr>
        <w:t>.</w:t>
      </w:r>
    </w:p>
    <w:p w:rsidR="00D243DA" w:rsidRPr="004A2A91" w:rsidRDefault="00D243DA">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De acuerdo al precepto legal contenido en la fracción III del artículo 192 de la </w:t>
      </w:r>
      <w:r w:rsidRPr="004A2A91">
        <w:rPr>
          <w:rFonts w:ascii="Palatino Linotype" w:eastAsia="Palatino Linotype" w:hAnsi="Palatino Linotype" w:cs="Palatino Linotype"/>
          <w:b/>
          <w:color w:val="000000"/>
        </w:rPr>
        <w:t>Ley de Transparencia y Acceso a la Información Pública del Estado de México y Municipios</w:t>
      </w:r>
      <w:r w:rsidRPr="004A2A91">
        <w:rPr>
          <w:rFonts w:ascii="Palatino Linotype" w:eastAsia="Palatino Linotype" w:hAnsi="Palatino Linotype" w:cs="Palatino Linotype"/>
          <w:color w:val="000000"/>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rsidR="00D243DA" w:rsidRPr="004A2A91" w:rsidRDefault="00D243DA">
      <w:pPr>
        <w:pBdr>
          <w:top w:val="nil"/>
          <w:left w:val="nil"/>
          <w:bottom w:val="nil"/>
          <w:right w:val="nil"/>
          <w:between w:val="nil"/>
        </w:pBdr>
        <w:ind w:right="-592"/>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Para los efectos de esta resolución, es oportuno precisar los alcances jurídicos de la fracción III de la disposición legal transcrita. Así, procede el sobreseimiento del recurso de revisión cuando el </w:t>
      </w:r>
      <w:r w:rsidRPr="004A2A91">
        <w:rPr>
          <w:rFonts w:ascii="Palatino Linotype" w:eastAsia="Palatino Linotype" w:hAnsi="Palatino Linotype" w:cs="Palatino Linotype"/>
          <w:b/>
          <w:color w:val="000000"/>
        </w:rPr>
        <w:t>SUJETO OBLIGADO</w:t>
      </w:r>
      <w:r w:rsidRPr="004A2A91">
        <w:rPr>
          <w:rFonts w:ascii="Palatino Linotype" w:eastAsia="Palatino Linotype" w:hAnsi="Palatino Linotype" w:cs="Palatino Linotype"/>
          <w:color w:val="000000"/>
        </w:rPr>
        <w:t>:</w:t>
      </w:r>
    </w:p>
    <w:p w:rsidR="00D243DA" w:rsidRPr="004A2A91" w:rsidRDefault="00AB038D">
      <w:pPr>
        <w:numPr>
          <w:ilvl w:val="0"/>
          <w:numId w:val="7"/>
        </w:numPr>
        <w:spacing w:line="360" w:lineRule="auto"/>
        <w:ind w:left="567" w:right="-25" w:firstLine="0"/>
        <w:jc w:val="both"/>
        <w:rPr>
          <w:rFonts w:ascii="Palatino Linotype" w:eastAsia="Palatino Linotype" w:hAnsi="Palatino Linotype" w:cs="Palatino Linotype"/>
          <w:sz w:val="22"/>
          <w:szCs w:val="22"/>
        </w:rPr>
      </w:pPr>
      <w:r w:rsidRPr="004A2A91">
        <w:rPr>
          <w:rFonts w:ascii="Palatino Linotype" w:eastAsia="Palatino Linotype" w:hAnsi="Palatino Linotype" w:cs="Palatino Linotype"/>
          <w:b/>
          <w:sz w:val="22"/>
          <w:szCs w:val="22"/>
        </w:rPr>
        <w:t>Modifique el acto impugnado:</w:t>
      </w:r>
      <w:r w:rsidRPr="004A2A91">
        <w:rPr>
          <w:rFonts w:ascii="Palatino Linotype" w:eastAsia="Palatino Linotype" w:hAnsi="Palatino Linotype" w:cs="Palatino Linotype"/>
          <w:sz w:val="22"/>
          <w:szCs w:val="22"/>
        </w:rPr>
        <w:t xml:space="preserve"> Se actualiza cuando el </w:t>
      </w:r>
      <w:r w:rsidRPr="004A2A91">
        <w:rPr>
          <w:rFonts w:ascii="Palatino Linotype" w:eastAsia="Palatino Linotype" w:hAnsi="Palatino Linotype" w:cs="Palatino Linotype"/>
          <w:b/>
          <w:sz w:val="22"/>
          <w:szCs w:val="22"/>
        </w:rPr>
        <w:t>SUJETO OBLIGADO</w:t>
      </w:r>
      <w:r w:rsidRPr="004A2A91">
        <w:rPr>
          <w:rFonts w:ascii="Palatino Linotype" w:eastAsia="Palatino Linotype" w:hAnsi="Palatino Linotype" w:cs="Palatino Linotype"/>
          <w:sz w:val="22"/>
          <w:szCs w:val="22"/>
        </w:rPr>
        <w:t xml:space="preserve"> después de haber otorgado una respuesta y hasta antes de dictada la resolución del recurso de revisión, emite una diversa en la que subsane las deficiencias que hubiera tenido.</w:t>
      </w:r>
    </w:p>
    <w:p w:rsidR="00D243DA" w:rsidRPr="004A2A91" w:rsidRDefault="00AB038D">
      <w:pPr>
        <w:numPr>
          <w:ilvl w:val="0"/>
          <w:numId w:val="7"/>
        </w:numPr>
        <w:spacing w:line="360" w:lineRule="auto"/>
        <w:ind w:left="567" w:right="-25" w:firstLine="0"/>
        <w:jc w:val="both"/>
        <w:rPr>
          <w:rFonts w:ascii="Palatino Linotype" w:eastAsia="Palatino Linotype" w:hAnsi="Palatino Linotype" w:cs="Palatino Linotype"/>
          <w:sz w:val="22"/>
          <w:szCs w:val="22"/>
        </w:rPr>
      </w:pPr>
      <w:r w:rsidRPr="004A2A91">
        <w:rPr>
          <w:rFonts w:ascii="Palatino Linotype" w:eastAsia="Palatino Linotype" w:hAnsi="Palatino Linotype" w:cs="Palatino Linotype"/>
          <w:b/>
          <w:sz w:val="22"/>
          <w:szCs w:val="22"/>
        </w:rPr>
        <w:lastRenderedPageBreak/>
        <w:t>Revoque el acto impugnado:</w:t>
      </w:r>
      <w:r w:rsidRPr="004A2A91">
        <w:rPr>
          <w:rFonts w:ascii="Palatino Linotype" w:eastAsia="Palatino Linotype" w:hAnsi="Palatino Linotype" w:cs="Palatino Linotype"/>
          <w:sz w:val="22"/>
          <w:szCs w:val="22"/>
        </w:rPr>
        <w:t xml:space="preserve"> En este supuesto, el </w:t>
      </w:r>
      <w:r w:rsidRPr="004A2A91">
        <w:rPr>
          <w:rFonts w:ascii="Palatino Linotype" w:eastAsia="Palatino Linotype" w:hAnsi="Palatino Linotype" w:cs="Palatino Linotype"/>
          <w:b/>
          <w:sz w:val="22"/>
          <w:szCs w:val="22"/>
        </w:rPr>
        <w:t>SUJETO OBLIGADO</w:t>
      </w:r>
      <w:r w:rsidRPr="004A2A91">
        <w:rPr>
          <w:rFonts w:ascii="Palatino Linotype" w:eastAsia="Palatino Linotype" w:hAnsi="Palatino Linotype" w:cs="Palatino Linotype"/>
          <w:sz w:val="22"/>
          <w:szCs w:val="22"/>
        </w:rPr>
        <w:t xml:space="preserve"> deja sin efectos la primera respuesta y en su lugar emite otra que satisfaga lo solicitado por el Particular en un primer momento.</w:t>
      </w:r>
    </w:p>
    <w:p w:rsidR="00D243DA" w:rsidRPr="004A2A91" w:rsidRDefault="00D243DA">
      <w:pPr>
        <w:spacing w:line="360" w:lineRule="auto"/>
        <w:ind w:right="-592"/>
        <w:jc w:val="both"/>
        <w:rPr>
          <w:rFonts w:ascii="Palatino Linotype" w:eastAsia="Palatino Linotype" w:hAnsi="Palatino Linotype" w:cs="Palatino Linotype"/>
        </w:rPr>
      </w:pPr>
    </w:p>
    <w:p w:rsidR="00D243DA" w:rsidRPr="004A2A91" w:rsidRDefault="00AB038D">
      <w:pPr>
        <w:numPr>
          <w:ilvl w:val="0"/>
          <w:numId w:val="2"/>
        </w:numPr>
        <w:pBdr>
          <w:top w:val="nil"/>
          <w:left w:val="nil"/>
          <w:bottom w:val="nil"/>
          <w:right w:val="nil"/>
          <w:between w:val="nil"/>
        </w:pBdr>
        <w:tabs>
          <w:tab w:val="left" w:pos="284"/>
          <w:tab w:val="left" w:pos="567"/>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D243DA" w:rsidRPr="004A2A91" w:rsidRDefault="00D243DA">
      <w:pPr>
        <w:pBdr>
          <w:top w:val="nil"/>
          <w:left w:val="nil"/>
          <w:bottom w:val="nil"/>
          <w:right w:val="nil"/>
          <w:between w:val="nil"/>
        </w:pBdr>
        <w:tabs>
          <w:tab w:val="left" w:pos="284"/>
          <w:tab w:val="left" w:pos="567"/>
        </w:tabs>
        <w:spacing w:line="360" w:lineRule="auto"/>
        <w:ind w:right="-592"/>
        <w:jc w:val="both"/>
        <w:rPr>
          <w:rFonts w:ascii="Palatino Linotype" w:eastAsia="Palatino Linotype" w:hAnsi="Palatino Linotype" w:cs="Palatino Linotype"/>
          <w:b/>
          <w:color w:val="000000"/>
        </w:rPr>
      </w:pPr>
    </w:p>
    <w:p w:rsidR="00D243DA" w:rsidRPr="004A2A91" w:rsidRDefault="00AB038D">
      <w:pPr>
        <w:numPr>
          <w:ilvl w:val="0"/>
          <w:numId w:val="2"/>
        </w:numPr>
        <w:pBdr>
          <w:top w:val="nil"/>
          <w:left w:val="nil"/>
          <w:bottom w:val="nil"/>
          <w:right w:val="nil"/>
          <w:between w:val="nil"/>
        </w:pBdr>
        <w:tabs>
          <w:tab w:val="left" w:pos="284"/>
          <w:tab w:val="left" w:pos="567"/>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Para efectos de estudio se inserta el siguiente cuadro con la solicitud de información, la respuesta e informe justificado:</w:t>
      </w:r>
    </w:p>
    <w:p w:rsidR="00D243DA" w:rsidRPr="004A2A91" w:rsidRDefault="00D243DA">
      <w:pPr>
        <w:pBdr>
          <w:top w:val="nil"/>
          <w:left w:val="nil"/>
          <w:bottom w:val="nil"/>
          <w:right w:val="nil"/>
          <w:between w:val="nil"/>
        </w:pBdr>
        <w:ind w:left="720" w:right="-592"/>
        <w:rPr>
          <w:rFonts w:ascii="Palatino Linotype" w:eastAsia="Palatino Linotype" w:hAnsi="Palatino Linotype" w:cs="Palatino Linotype"/>
          <w:color w:val="000000"/>
        </w:rPr>
      </w:pPr>
    </w:p>
    <w:tbl>
      <w:tblPr>
        <w:tblStyle w:val="a0"/>
        <w:tblW w:w="9675" w:type="dxa"/>
        <w:jc w:val="cente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45"/>
        <w:gridCol w:w="1755"/>
        <w:gridCol w:w="3690"/>
        <w:gridCol w:w="2085"/>
      </w:tblGrid>
      <w:tr w:rsidR="00D243DA" w:rsidRPr="004A2A91" w:rsidTr="00D243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5" w:type="dxa"/>
          </w:tcPr>
          <w:p w:rsidR="00D243DA" w:rsidRPr="004A2A91" w:rsidRDefault="00AB038D">
            <w:pPr>
              <w:pBdr>
                <w:top w:val="nil"/>
                <w:left w:val="nil"/>
                <w:bottom w:val="nil"/>
                <w:right w:val="nil"/>
                <w:between w:val="nil"/>
              </w:pBdr>
              <w:tabs>
                <w:tab w:val="left" w:pos="284"/>
                <w:tab w:val="left" w:pos="567"/>
              </w:tabs>
              <w:ind w:right="-42"/>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b w:val="0"/>
                <w:color w:val="000000"/>
                <w:sz w:val="22"/>
                <w:szCs w:val="22"/>
              </w:rPr>
              <w:t>SOLICITUD</w:t>
            </w:r>
          </w:p>
        </w:tc>
        <w:tc>
          <w:tcPr>
            <w:tcW w:w="1755" w:type="dxa"/>
          </w:tcPr>
          <w:p w:rsidR="00D243DA" w:rsidRPr="004A2A91" w:rsidRDefault="00AB038D">
            <w:pPr>
              <w:pBdr>
                <w:top w:val="nil"/>
                <w:left w:val="nil"/>
                <w:bottom w:val="nil"/>
                <w:right w:val="nil"/>
                <w:between w:val="nil"/>
              </w:pBdr>
              <w:tabs>
                <w:tab w:val="left" w:pos="284"/>
                <w:tab w:val="left" w:pos="567"/>
              </w:tabs>
              <w:ind w:right="-4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b w:val="0"/>
                <w:color w:val="000000"/>
                <w:sz w:val="22"/>
                <w:szCs w:val="22"/>
              </w:rPr>
              <w:t>RESPUESTA</w:t>
            </w:r>
          </w:p>
        </w:tc>
        <w:tc>
          <w:tcPr>
            <w:tcW w:w="3690" w:type="dxa"/>
          </w:tcPr>
          <w:p w:rsidR="00D243DA" w:rsidRPr="004A2A91" w:rsidRDefault="00AB038D">
            <w:pPr>
              <w:pBdr>
                <w:top w:val="nil"/>
                <w:left w:val="nil"/>
                <w:bottom w:val="nil"/>
                <w:right w:val="nil"/>
                <w:between w:val="nil"/>
              </w:pBdr>
              <w:tabs>
                <w:tab w:val="left" w:pos="284"/>
                <w:tab w:val="left" w:pos="567"/>
              </w:tabs>
              <w:ind w:right="-4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b w:val="0"/>
                <w:color w:val="000000"/>
                <w:sz w:val="22"/>
                <w:szCs w:val="22"/>
              </w:rPr>
              <w:t>INFORME JUSTIFICADO</w:t>
            </w:r>
          </w:p>
        </w:tc>
        <w:tc>
          <w:tcPr>
            <w:tcW w:w="2085" w:type="dxa"/>
          </w:tcPr>
          <w:p w:rsidR="00D243DA" w:rsidRPr="004A2A91" w:rsidRDefault="00AB038D">
            <w:pPr>
              <w:pBdr>
                <w:top w:val="nil"/>
                <w:left w:val="nil"/>
                <w:bottom w:val="nil"/>
                <w:right w:val="nil"/>
                <w:between w:val="nil"/>
              </w:pBdr>
              <w:tabs>
                <w:tab w:val="left" w:pos="284"/>
                <w:tab w:val="left" w:pos="567"/>
              </w:tabs>
              <w:ind w:right="-42"/>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b w:val="0"/>
                <w:color w:val="000000"/>
                <w:sz w:val="22"/>
                <w:szCs w:val="22"/>
              </w:rPr>
              <w:t>COLMA</w:t>
            </w:r>
          </w:p>
        </w:tc>
      </w:tr>
      <w:tr w:rsidR="00D243DA" w:rsidRPr="004A2A91" w:rsidTr="00D243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5" w:type="dxa"/>
          </w:tcPr>
          <w:p w:rsidR="00D243DA" w:rsidRPr="004A2A91" w:rsidRDefault="00D243DA">
            <w:pPr>
              <w:pBdr>
                <w:top w:val="nil"/>
                <w:left w:val="nil"/>
                <w:bottom w:val="nil"/>
                <w:right w:val="nil"/>
                <w:between w:val="nil"/>
              </w:pBdr>
              <w:tabs>
                <w:tab w:val="left" w:pos="284"/>
                <w:tab w:val="left" w:pos="567"/>
              </w:tabs>
              <w:ind w:right="-42"/>
              <w:jc w:val="both"/>
              <w:rPr>
                <w:rFonts w:ascii="Palatino Linotype" w:eastAsia="Palatino Linotype" w:hAnsi="Palatino Linotype" w:cs="Palatino Linotype"/>
                <w:color w:val="000000"/>
                <w:sz w:val="22"/>
                <w:szCs w:val="22"/>
              </w:rPr>
            </w:pPr>
          </w:p>
          <w:p w:rsidR="00D243DA" w:rsidRPr="004A2A91" w:rsidRDefault="00AB038D">
            <w:pPr>
              <w:numPr>
                <w:ilvl w:val="0"/>
                <w:numId w:val="6"/>
              </w:numPr>
              <w:pBdr>
                <w:top w:val="nil"/>
                <w:left w:val="nil"/>
                <w:bottom w:val="nil"/>
                <w:right w:val="nil"/>
                <w:between w:val="nil"/>
              </w:pBdr>
              <w:tabs>
                <w:tab w:val="left" w:pos="284"/>
                <w:tab w:val="left" w:pos="360"/>
              </w:tabs>
              <w:ind w:left="29" w:right="-42" w:firstLine="0"/>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b w:val="0"/>
                <w:color w:val="000000"/>
                <w:sz w:val="22"/>
                <w:szCs w:val="22"/>
              </w:rPr>
              <w:t>En formato Excel el resultado de los cómputos municipales y distritales locales por casilla del proceso electoral del año 2024;</w:t>
            </w:r>
          </w:p>
          <w:p w:rsidR="00D243DA" w:rsidRPr="004A2A91" w:rsidRDefault="00D243DA">
            <w:pPr>
              <w:pBdr>
                <w:top w:val="nil"/>
                <w:left w:val="nil"/>
                <w:bottom w:val="nil"/>
                <w:right w:val="nil"/>
                <w:between w:val="nil"/>
              </w:pBdr>
              <w:tabs>
                <w:tab w:val="left" w:pos="284"/>
                <w:tab w:val="left" w:pos="360"/>
              </w:tabs>
              <w:ind w:left="29" w:right="-42"/>
              <w:jc w:val="both"/>
              <w:rPr>
                <w:rFonts w:ascii="Palatino Linotype" w:eastAsia="Palatino Linotype" w:hAnsi="Palatino Linotype" w:cs="Palatino Linotype"/>
                <w:color w:val="000000"/>
                <w:sz w:val="22"/>
                <w:szCs w:val="22"/>
              </w:rPr>
            </w:pPr>
          </w:p>
          <w:p w:rsidR="00D243DA" w:rsidRPr="004A2A91" w:rsidRDefault="00D243DA">
            <w:pPr>
              <w:pBdr>
                <w:top w:val="nil"/>
                <w:left w:val="nil"/>
                <w:bottom w:val="nil"/>
                <w:right w:val="nil"/>
                <w:between w:val="nil"/>
              </w:pBdr>
              <w:tabs>
                <w:tab w:val="left" w:pos="284"/>
                <w:tab w:val="left" w:pos="360"/>
              </w:tabs>
              <w:ind w:left="29" w:right="-42"/>
              <w:jc w:val="both"/>
              <w:rPr>
                <w:rFonts w:ascii="Palatino Linotype" w:eastAsia="Palatino Linotype" w:hAnsi="Palatino Linotype" w:cs="Palatino Linotype"/>
                <w:color w:val="000000"/>
                <w:sz w:val="22"/>
                <w:szCs w:val="22"/>
              </w:rPr>
            </w:pPr>
          </w:p>
          <w:p w:rsidR="00D243DA" w:rsidRPr="004A2A91" w:rsidRDefault="00D243DA">
            <w:pPr>
              <w:tabs>
                <w:tab w:val="left" w:pos="284"/>
                <w:tab w:val="left" w:pos="360"/>
              </w:tabs>
              <w:ind w:right="-42"/>
              <w:jc w:val="both"/>
              <w:rPr>
                <w:rFonts w:ascii="Palatino Linotype" w:eastAsia="Palatino Linotype" w:hAnsi="Palatino Linotype" w:cs="Palatino Linotype"/>
                <w:color w:val="000000"/>
                <w:sz w:val="22"/>
                <w:szCs w:val="22"/>
              </w:rPr>
            </w:pPr>
          </w:p>
        </w:tc>
        <w:tc>
          <w:tcPr>
            <w:tcW w:w="1755" w:type="dxa"/>
          </w:tcPr>
          <w:p w:rsidR="00D243DA" w:rsidRPr="004A2A91" w:rsidRDefault="00AB038D">
            <w:pPr>
              <w:pBdr>
                <w:top w:val="nil"/>
                <w:left w:val="nil"/>
                <w:bottom w:val="nil"/>
                <w:right w:val="nil"/>
                <w:between w:val="nil"/>
              </w:pBdr>
              <w:tabs>
                <w:tab w:val="left" w:pos="284"/>
                <w:tab w:val="left" w:pos="567"/>
              </w:tabs>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Cambio de modalidad en la entrega de la información a consulta directa.</w:t>
            </w:r>
          </w:p>
        </w:tc>
        <w:tc>
          <w:tcPr>
            <w:tcW w:w="3690" w:type="dxa"/>
          </w:tcPr>
          <w:p w:rsidR="00D243DA" w:rsidRPr="004A2A91" w:rsidRDefault="00D243DA">
            <w:pPr>
              <w:pBdr>
                <w:top w:val="nil"/>
                <w:left w:val="nil"/>
                <w:bottom w:val="nil"/>
                <w:right w:val="nil"/>
                <w:between w:val="nil"/>
              </w:pBdr>
              <w:tabs>
                <w:tab w:val="left" w:pos="284"/>
                <w:tab w:val="left" w:pos="567"/>
              </w:tabs>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p w:rsidR="00D243DA" w:rsidRPr="004A2A91" w:rsidRDefault="00AB038D">
            <w:pPr>
              <w:pBdr>
                <w:top w:val="nil"/>
                <w:left w:val="nil"/>
                <w:bottom w:val="nil"/>
                <w:right w:val="nil"/>
                <w:between w:val="nil"/>
              </w:pBdr>
              <w:tabs>
                <w:tab w:val="left" w:pos="284"/>
                <w:tab w:val="left" w:pos="567"/>
              </w:tabs>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 xml:space="preserve">Se </w:t>
            </w:r>
            <w:r w:rsidRPr="004A2A91">
              <w:rPr>
                <w:rFonts w:ascii="Palatino Linotype" w:eastAsia="Palatino Linotype" w:hAnsi="Palatino Linotype" w:cs="Palatino Linotype"/>
                <w:sz w:val="22"/>
                <w:szCs w:val="22"/>
              </w:rPr>
              <w:t>adjuntan</w:t>
            </w:r>
            <w:r w:rsidRPr="004A2A91">
              <w:rPr>
                <w:rFonts w:ascii="Palatino Linotype" w:eastAsia="Palatino Linotype" w:hAnsi="Palatino Linotype" w:cs="Palatino Linotype"/>
                <w:color w:val="000000"/>
                <w:sz w:val="22"/>
                <w:szCs w:val="22"/>
              </w:rPr>
              <w:t xml:space="preserve"> 2 archivos en formato Excel y 2 archivos en formato CSV, que contienen los resultados de los cómputos distritales y municipales desagregados por casilla, de la elección de Diputaciones Locales y Ayuntamientos 2024.</w:t>
            </w:r>
          </w:p>
        </w:tc>
        <w:tc>
          <w:tcPr>
            <w:tcW w:w="2085" w:type="dxa"/>
          </w:tcPr>
          <w:p w:rsidR="00D243DA" w:rsidRPr="004A2A91" w:rsidRDefault="00AB038D">
            <w:pPr>
              <w:pBdr>
                <w:top w:val="nil"/>
                <w:left w:val="nil"/>
                <w:bottom w:val="nil"/>
                <w:right w:val="nil"/>
                <w:between w:val="nil"/>
              </w:pBdr>
              <w:tabs>
                <w:tab w:val="left" w:pos="284"/>
                <w:tab w:val="left" w:pos="567"/>
              </w:tabs>
              <w:ind w:right="-42"/>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SI</w:t>
            </w:r>
          </w:p>
          <w:p w:rsidR="00D243DA" w:rsidRPr="004A2A91" w:rsidRDefault="00D243DA">
            <w:pPr>
              <w:pBdr>
                <w:top w:val="nil"/>
                <w:left w:val="nil"/>
                <w:bottom w:val="nil"/>
                <w:right w:val="nil"/>
                <w:between w:val="nil"/>
              </w:pBdr>
              <w:tabs>
                <w:tab w:val="left" w:pos="284"/>
                <w:tab w:val="left" w:pos="567"/>
              </w:tabs>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p>
          <w:p w:rsidR="00D243DA" w:rsidRPr="004A2A91" w:rsidRDefault="00AB038D">
            <w:pPr>
              <w:pBdr>
                <w:top w:val="nil"/>
                <w:left w:val="nil"/>
                <w:bottom w:val="nil"/>
                <w:right w:val="nil"/>
                <w:between w:val="nil"/>
              </w:pBdr>
              <w:tabs>
                <w:tab w:val="left" w:pos="284"/>
                <w:tab w:val="left" w:pos="567"/>
              </w:tabs>
              <w:ind w:right="-42"/>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El informe justificado modifica la respuesta.</w:t>
            </w:r>
          </w:p>
        </w:tc>
      </w:tr>
      <w:tr w:rsidR="00D243DA" w:rsidRPr="004A2A91" w:rsidTr="00D243DA">
        <w:trPr>
          <w:jc w:val="center"/>
        </w:trPr>
        <w:tc>
          <w:tcPr>
            <w:cnfStyle w:val="001000000000" w:firstRow="0" w:lastRow="0" w:firstColumn="1" w:lastColumn="0" w:oddVBand="0" w:evenVBand="0" w:oddHBand="0" w:evenHBand="0" w:firstRowFirstColumn="0" w:firstRowLastColumn="0" w:lastRowFirstColumn="0" w:lastRowLastColumn="0"/>
            <w:tcW w:w="2145" w:type="dxa"/>
          </w:tcPr>
          <w:p w:rsidR="00D243DA" w:rsidRPr="004A2A91" w:rsidRDefault="00AB038D">
            <w:pPr>
              <w:numPr>
                <w:ilvl w:val="0"/>
                <w:numId w:val="6"/>
              </w:numPr>
              <w:pBdr>
                <w:top w:val="nil"/>
                <w:left w:val="nil"/>
                <w:bottom w:val="nil"/>
                <w:right w:val="nil"/>
                <w:between w:val="nil"/>
              </w:pBdr>
              <w:tabs>
                <w:tab w:val="left" w:pos="284"/>
                <w:tab w:val="left" w:pos="360"/>
              </w:tabs>
              <w:ind w:left="29" w:right="-42" w:firstLine="0"/>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b w:val="0"/>
                <w:color w:val="000000"/>
                <w:sz w:val="22"/>
                <w:szCs w:val="22"/>
              </w:rPr>
              <w:t xml:space="preserve">Información estadística en formato Excel de los representantes de todos los partidos políticos que </w:t>
            </w:r>
            <w:r w:rsidRPr="004A2A91">
              <w:rPr>
                <w:rFonts w:ascii="Palatino Linotype" w:eastAsia="Palatino Linotype" w:hAnsi="Palatino Linotype" w:cs="Palatino Linotype"/>
                <w:b w:val="0"/>
                <w:color w:val="000000"/>
                <w:sz w:val="22"/>
                <w:szCs w:val="22"/>
              </w:rPr>
              <w:lastRenderedPageBreak/>
              <w:t>estuvieron presentes en la jornada electoral 2024.</w:t>
            </w:r>
          </w:p>
        </w:tc>
        <w:tc>
          <w:tcPr>
            <w:tcW w:w="1755" w:type="dxa"/>
          </w:tcPr>
          <w:p w:rsidR="00D243DA" w:rsidRPr="004A2A91" w:rsidRDefault="00AB038D">
            <w:pPr>
              <w:pBdr>
                <w:top w:val="nil"/>
                <w:left w:val="nil"/>
                <w:bottom w:val="nil"/>
                <w:right w:val="nil"/>
                <w:between w:val="nil"/>
              </w:pBdr>
              <w:tabs>
                <w:tab w:val="left" w:pos="284"/>
                <w:tab w:val="left" w:pos="567"/>
              </w:tabs>
              <w:ind w:right="-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lastRenderedPageBreak/>
              <w:t>Cambio de modalidad en la entrega de la información a consulta directa.</w:t>
            </w:r>
          </w:p>
        </w:tc>
        <w:tc>
          <w:tcPr>
            <w:tcW w:w="3690" w:type="dxa"/>
          </w:tcPr>
          <w:p w:rsidR="00D243DA" w:rsidRPr="004A2A91" w:rsidRDefault="00AB038D">
            <w:pPr>
              <w:pBdr>
                <w:top w:val="nil"/>
                <w:left w:val="nil"/>
                <w:bottom w:val="nil"/>
                <w:right w:val="nil"/>
                <w:between w:val="nil"/>
              </w:pBdr>
              <w:tabs>
                <w:tab w:val="left" w:pos="284"/>
                <w:tab w:val="left" w:pos="567"/>
              </w:tabs>
              <w:ind w:right="-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 xml:space="preserve">Se </w:t>
            </w:r>
            <w:r w:rsidRPr="004A2A91">
              <w:rPr>
                <w:rFonts w:ascii="Palatino Linotype" w:eastAsia="Palatino Linotype" w:hAnsi="Palatino Linotype" w:cs="Palatino Linotype"/>
                <w:sz w:val="22"/>
                <w:szCs w:val="22"/>
              </w:rPr>
              <w:t>adjuntan</w:t>
            </w:r>
            <w:r w:rsidRPr="004A2A91">
              <w:rPr>
                <w:rFonts w:ascii="Palatino Linotype" w:eastAsia="Palatino Linotype" w:hAnsi="Palatino Linotype" w:cs="Palatino Linotype"/>
                <w:color w:val="000000"/>
                <w:sz w:val="22"/>
                <w:szCs w:val="22"/>
              </w:rPr>
              <w:t xml:space="preserve"> 2 archivos en formato Excel y 2 archivos en formato.CSV, que contienen el número de representantes (propietarios, suplentes y generales), por distrito local y por municipio, que </w:t>
            </w:r>
            <w:r w:rsidRPr="004A2A91">
              <w:rPr>
                <w:rFonts w:ascii="Palatino Linotype" w:eastAsia="Palatino Linotype" w:hAnsi="Palatino Linotype" w:cs="Palatino Linotype"/>
                <w:color w:val="000000"/>
                <w:sz w:val="22"/>
                <w:szCs w:val="22"/>
              </w:rPr>
              <w:lastRenderedPageBreak/>
              <w:t>estuvieron presentes el día de la jornada electoral en las casillas, desagregado por partido político y/o candidatura independiente, de conformidad con lo reportado en el Sistema de Información de la Jornada Electoral (SIJE).</w:t>
            </w:r>
          </w:p>
        </w:tc>
        <w:tc>
          <w:tcPr>
            <w:tcW w:w="2085" w:type="dxa"/>
          </w:tcPr>
          <w:p w:rsidR="00D243DA" w:rsidRPr="004A2A91" w:rsidRDefault="00AB038D">
            <w:pPr>
              <w:pBdr>
                <w:top w:val="nil"/>
                <w:left w:val="nil"/>
                <w:bottom w:val="nil"/>
                <w:right w:val="nil"/>
                <w:between w:val="nil"/>
              </w:pBdr>
              <w:tabs>
                <w:tab w:val="left" w:pos="284"/>
                <w:tab w:val="left" w:pos="567"/>
              </w:tabs>
              <w:ind w:right="-42"/>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lastRenderedPageBreak/>
              <w:t>SI</w:t>
            </w:r>
          </w:p>
          <w:p w:rsidR="00D243DA" w:rsidRPr="004A2A91" w:rsidRDefault="00D243DA">
            <w:pPr>
              <w:pBdr>
                <w:top w:val="nil"/>
                <w:left w:val="nil"/>
                <w:bottom w:val="nil"/>
                <w:right w:val="nil"/>
                <w:between w:val="nil"/>
              </w:pBdr>
              <w:tabs>
                <w:tab w:val="left" w:pos="284"/>
                <w:tab w:val="left" w:pos="567"/>
              </w:tabs>
              <w:ind w:right="-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p>
          <w:p w:rsidR="00D243DA" w:rsidRPr="004A2A91" w:rsidRDefault="00AB038D">
            <w:pPr>
              <w:pBdr>
                <w:top w:val="nil"/>
                <w:left w:val="nil"/>
                <w:bottom w:val="nil"/>
                <w:right w:val="nil"/>
                <w:between w:val="nil"/>
              </w:pBdr>
              <w:tabs>
                <w:tab w:val="left" w:pos="284"/>
                <w:tab w:val="left" w:pos="567"/>
              </w:tabs>
              <w:ind w:right="-42"/>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color w:val="000000"/>
                <w:sz w:val="22"/>
                <w:szCs w:val="22"/>
              </w:rPr>
              <w:t>El informe justificado modifica la respuesta.</w:t>
            </w:r>
          </w:p>
        </w:tc>
      </w:tr>
    </w:tbl>
    <w:p w:rsidR="00D243DA" w:rsidRPr="004A2A91" w:rsidRDefault="00D243DA">
      <w:pPr>
        <w:pBdr>
          <w:top w:val="nil"/>
          <w:left w:val="nil"/>
          <w:bottom w:val="nil"/>
          <w:right w:val="nil"/>
          <w:between w:val="nil"/>
        </w:pBdr>
        <w:tabs>
          <w:tab w:val="left" w:pos="284"/>
          <w:tab w:val="left" w:pos="567"/>
        </w:tabs>
        <w:spacing w:line="360" w:lineRule="auto"/>
        <w:ind w:right="-592"/>
        <w:jc w:val="both"/>
        <w:rPr>
          <w:rFonts w:ascii="Palatino Linotype" w:eastAsia="Palatino Linotype" w:hAnsi="Palatino Linotype" w:cs="Palatino Linotype"/>
          <w:color w:val="000000"/>
        </w:rPr>
      </w:pPr>
    </w:p>
    <w:p w:rsidR="00D243DA" w:rsidRPr="004A2A91" w:rsidRDefault="00D243D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En ese contexto, debemos mencionar que el acceso a la información es un derecho humano constitucional y convencionalmente reconocido y para tal efecto el párrafo tercero del artículo primero de la Constitución Política de los Estados Unidos Mexicanos establece que el deber de todas las autoridades, </w:t>
      </w:r>
      <w:r w:rsidRPr="004A2A91">
        <w:rPr>
          <w:rFonts w:ascii="Palatino Linotype" w:eastAsia="Palatino Linotype" w:hAnsi="Palatino Linotype" w:cs="Palatino Linotype"/>
          <w:i/>
          <w:color w:val="000000"/>
        </w:rPr>
        <w:t xml:space="preserve">en el ámbito de sus atribuciones, de promover, respetar, proteger y </w:t>
      </w:r>
      <w:r w:rsidRPr="004A2A91">
        <w:rPr>
          <w:rFonts w:ascii="Palatino Linotype" w:eastAsia="Palatino Linotype" w:hAnsi="Palatino Linotype" w:cs="Palatino Linotype"/>
          <w:b/>
          <w:i/>
          <w:color w:val="000000"/>
        </w:rPr>
        <w:t>garantizar</w:t>
      </w:r>
      <w:r w:rsidRPr="004A2A91">
        <w:rPr>
          <w:rFonts w:ascii="Palatino Linotype" w:eastAsia="Palatino Linotype" w:hAnsi="Palatino Linotype" w:cs="Palatino Linotype"/>
          <w:i/>
          <w:color w:val="000000"/>
        </w:rPr>
        <w:t xml:space="preserve"> los derechos humanos. </w:t>
      </w:r>
      <w:r w:rsidRPr="004A2A91">
        <w:rPr>
          <w:rFonts w:ascii="Palatino Linotype" w:eastAsia="Palatino Linotype" w:hAnsi="Palatino Linotype" w:cs="Palatino Linotype"/>
          <w:b/>
          <w:i/>
          <w:color w:val="000000"/>
        </w:rPr>
        <w:t>En cuanto al derecho de acceso a la información, la Ley de Transparencia y Acceso a la Información Pública del Estado de México y Municipios prevé establece que e</w:t>
      </w:r>
      <w:r w:rsidRPr="004A2A91">
        <w:rPr>
          <w:rFonts w:ascii="Palatino Linotype" w:eastAsia="Palatino Linotype" w:hAnsi="Palatino Linotype" w:cs="Palatino Linotype"/>
          <w:i/>
          <w:color w:val="000000"/>
        </w:rPr>
        <w:t>l procedimiento de acceso a la información es la garantía primaria del derecho en cuestión y se rige por los principios de simplicidad, rapidez y gratuidad del procedimiento, auxilio y orientación a los particulares</w:t>
      </w:r>
      <w:r w:rsidRPr="004A2A91">
        <w:rPr>
          <w:rFonts w:ascii="Palatino Linotype" w:eastAsia="Palatino Linotype" w:hAnsi="Palatino Linotype" w:cs="Palatino Linotype"/>
          <w:i/>
          <w:color w:val="000000"/>
          <w:vertAlign w:val="superscript"/>
        </w:rPr>
        <w:footnoteReference w:id="1"/>
      </w:r>
      <w:r w:rsidRPr="004A2A91">
        <w:rPr>
          <w:rFonts w:ascii="Palatino Linotype" w:eastAsia="Palatino Linotype" w:hAnsi="Palatino Linotype" w:cs="Palatino Linotype"/>
          <w:i/>
          <w:color w:val="000000"/>
        </w:rPr>
        <w:t xml:space="preserve">, </w:t>
      </w:r>
      <w:r w:rsidRPr="004A2A91">
        <w:rPr>
          <w:rFonts w:ascii="Palatino Linotype" w:eastAsia="Palatino Linotype" w:hAnsi="Palatino Linotype" w:cs="Palatino Linotype"/>
          <w:color w:val="000000"/>
        </w:rPr>
        <w:t>asimismo establece</w:t>
      </w:r>
      <w:r w:rsidRPr="004A2A91">
        <w:rPr>
          <w:rFonts w:ascii="Palatino Linotype" w:eastAsia="Palatino Linotype" w:hAnsi="Palatino Linotype" w:cs="Palatino Linotype"/>
          <w:i/>
          <w:color w:val="000000"/>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D243DA" w:rsidRPr="004A2A91" w:rsidRDefault="00D243DA">
      <w:pPr>
        <w:pBdr>
          <w:top w:val="nil"/>
          <w:left w:val="nil"/>
          <w:bottom w:val="nil"/>
          <w:right w:val="nil"/>
          <w:between w:val="nil"/>
        </w:pBdr>
        <w:ind w:right="-592"/>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Por lo que, las actuaciones diligentes que lleven a cabo en un primer momento las Unidades de Transparencia y posteriormente  cada servidor público en su área es fundamental para la correcta tutela y el eficaz cumplimiento al derecho de acceso a la </w:t>
      </w:r>
      <w:r w:rsidRPr="004A2A91">
        <w:rPr>
          <w:rFonts w:ascii="Palatino Linotype" w:eastAsia="Palatino Linotype" w:hAnsi="Palatino Linotype" w:cs="Palatino Linotype"/>
          <w:color w:val="000000"/>
        </w:rPr>
        <w:lastRenderedPageBreak/>
        <w:t xml:space="preserve">información, pues los primeros son el vínculo entre los particulares y los servidores públicos que generan, </w:t>
      </w:r>
      <w:r w:rsidRPr="004A2A91">
        <w:rPr>
          <w:rFonts w:ascii="Palatino Linotype" w:eastAsia="Palatino Linotype" w:hAnsi="Palatino Linotype" w:cs="Palatino Linotype"/>
        </w:rPr>
        <w:t>administran</w:t>
      </w:r>
      <w:r w:rsidRPr="004A2A91">
        <w:rPr>
          <w:rFonts w:ascii="Palatino Linotype" w:eastAsia="Palatino Linotype" w:hAnsi="Palatino Linotype" w:cs="Palatino Linotype"/>
          <w:color w:val="000000"/>
        </w:rPr>
        <w:t xml:space="preserve">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D243DA" w:rsidRPr="004A2A91" w:rsidRDefault="00D243DA">
      <w:pPr>
        <w:pBdr>
          <w:top w:val="nil"/>
          <w:left w:val="nil"/>
          <w:bottom w:val="nil"/>
          <w:right w:val="nil"/>
          <w:between w:val="nil"/>
        </w:pBdr>
        <w:ind w:right="-592"/>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Es así que, su obligación es </w:t>
      </w:r>
      <w:r w:rsidRPr="004A2A91">
        <w:rPr>
          <w:rFonts w:ascii="Palatino Linotype" w:eastAsia="Palatino Linotype" w:hAnsi="Palatino Linotype" w:cs="Palatino Linotype"/>
          <w:i/>
          <w:color w:val="000000"/>
        </w:rPr>
        <w:t>realizar, con efectividad, los trámites internos necesarios para la atención de las solicitudes de información</w:t>
      </w:r>
      <w:r w:rsidRPr="004A2A91">
        <w:rPr>
          <w:rFonts w:ascii="Palatino Linotype" w:eastAsia="Palatino Linotype" w:hAnsi="Palatino Linotype" w:cs="Palatino Linotype"/>
          <w:color w:val="000000"/>
          <w:vertAlign w:val="superscript"/>
        </w:rPr>
        <w:footnoteReference w:id="2"/>
      </w:r>
      <w:r w:rsidRPr="004A2A91">
        <w:rPr>
          <w:rFonts w:ascii="Palatino Linotype" w:eastAsia="Palatino Linotype" w:hAnsi="Palatino Linotype" w:cs="Palatino Linotype"/>
          <w:color w:val="000000"/>
        </w:rPr>
        <w:t>, es decir, deben otorgar respuestas concisas, contundentes y sobre todo que den la certeza de los actos que realizan.</w:t>
      </w:r>
    </w:p>
    <w:p w:rsidR="00D243DA" w:rsidRPr="004A2A91" w:rsidRDefault="00D243DA">
      <w:pPr>
        <w:pBdr>
          <w:top w:val="nil"/>
          <w:left w:val="nil"/>
          <w:bottom w:val="nil"/>
          <w:right w:val="nil"/>
          <w:between w:val="nil"/>
        </w:pBdr>
        <w:ind w:right="-592"/>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Al respecto, es menester hacer referencia a lo establecido en los artículos 50, 53 fracciones II, IV y V, 58, 59 fracciones I y II, y 162 de la Ley de Transparencia y Acceso a la Información del Estado de México y Municipios, que a la letra estipulan lo siguiente:</w:t>
      </w:r>
    </w:p>
    <w:p w:rsidR="00D243DA" w:rsidRPr="004A2A91" w:rsidRDefault="00AB038D">
      <w:pPr>
        <w:spacing w:line="360" w:lineRule="auto"/>
        <w:ind w:left="851" w:right="-25"/>
        <w:jc w:val="both"/>
        <w:rPr>
          <w:rFonts w:ascii="Palatino Linotype" w:eastAsia="Palatino Linotype" w:hAnsi="Palatino Linotype" w:cs="Palatino Linotype"/>
          <w:i/>
          <w:sz w:val="22"/>
          <w:szCs w:val="22"/>
        </w:rPr>
      </w:pPr>
      <w:r w:rsidRPr="004A2A91">
        <w:rPr>
          <w:rFonts w:ascii="Palatino Linotype" w:eastAsia="Palatino Linotype" w:hAnsi="Palatino Linotype" w:cs="Palatino Linotype"/>
          <w:b/>
          <w:i/>
          <w:sz w:val="22"/>
          <w:szCs w:val="22"/>
        </w:rPr>
        <w:t xml:space="preserve">Artículo 50. </w:t>
      </w:r>
      <w:r w:rsidRPr="004A2A91">
        <w:rPr>
          <w:rFonts w:ascii="Palatino Linotype" w:eastAsia="Palatino Linotype" w:hAnsi="Palatino Linotype" w:cs="Palatino Linotype"/>
          <w:i/>
          <w:sz w:val="22"/>
          <w:szCs w:val="22"/>
        </w:rPr>
        <w:t>Los sujetos obligados contarán con un área responsable para la atención de las solicitudes de información, a la que se le denominará Unidad de Transparencia.</w:t>
      </w:r>
    </w:p>
    <w:p w:rsidR="00D243DA" w:rsidRPr="004A2A91" w:rsidRDefault="00D243DA">
      <w:pPr>
        <w:spacing w:line="360" w:lineRule="auto"/>
        <w:ind w:left="851" w:right="-25"/>
        <w:jc w:val="both"/>
        <w:rPr>
          <w:rFonts w:ascii="Palatino Linotype" w:eastAsia="Palatino Linotype" w:hAnsi="Palatino Linotype" w:cs="Palatino Linotype"/>
          <w:i/>
          <w:sz w:val="22"/>
          <w:szCs w:val="22"/>
        </w:rPr>
      </w:pPr>
    </w:p>
    <w:p w:rsidR="00D243DA" w:rsidRPr="004A2A91" w:rsidRDefault="00AB038D">
      <w:pPr>
        <w:spacing w:line="360" w:lineRule="auto"/>
        <w:ind w:left="851" w:right="-25"/>
        <w:jc w:val="both"/>
        <w:rPr>
          <w:rFonts w:ascii="Palatino Linotype" w:eastAsia="Palatino Linotype" w:hAnsi="Palatino Linotype" w:cs="Palatino Linotype"/>
          <w:i/>
          <w:sz w:val="22"/>
          <w:szCs w:val="22"/>
        </w:rPr>
      </w:pPr>
      <w:r w:rsidRPr="004A2A91">
        <w:rPr>
          <w:rFonts w:ascii="Palatino Linotype" w:eastAsia="Palatino Linotype" w:hAnsi="Palatino Linotype" w:cs="Palatino Linotype"/>
          <w:b/>
          <w:i/>
          <w:sz w:val="22"/>
          <w:szCs w:val="22"/>
        </w:rPr>
        <w:t xml:space="preserve">Artículo 53. </w:t>
      </w:r>
      <w:r w:rsidRPr="004A2A91">
        <w:rPr>
          <w:rFonts w:ascii="Palatino Linotype" w:eastAsia="Palatino Linotype" w:hAnsi="Palatino Linotype" w:cs="Palatino Linotype"/>
          <w:i/>
          <w:sz w:val="22"/>
          <w:szCs w:val="22"/>
        </w:rPr>
        <w:t>Las Unidades de Transparencia tendrán las siguientes funciones:</w:t>
      </w:r>
    </w:p>
    <w:p w:rsidR="00D243DA" w:rsidRPr="004A2A91" w:rsidRDefault="00AB038D">
      <w:pPr>
        <w:spacing w:line="360" w:lineRule="auto"/>
        <w:ind w:left="851" w:right="-25"/>
        <w:jc w:val="both"/>
        <w:rPr>
          <w:rFonts w:ascii="Palatino Linotype" w:eastAsia="Palatino Linotype" w:hAnsi="Palatino Linotype" w:cs="Palatino Linotype"/>
          <w:i/>
          <w:sz w:val="22"/>
          <w:szCs w:val="22"/>
        </w:rPr>
      </w:pPr>
      <w:r w:rsidRPr="004A2A91">
        <w:rPr>
          <w:rFonts w:ascii="Palatino Linotype" w:eastAsia="Palatino Linotype" w:hAnsi="Palatino Linotype" w:cs="Palatino Linotype"/>
          <w:i/>
          <w:sz w:val="22"/>
          <w:szCs w:val="22"/>
        </w:rPr>
        <w:t>(…)</w:t>
      </w:r>
    </w:p>
    <w:p w:rsidR="00D243DA" w:rsidRPr="004A2A91" w:rsidRDefault="00AB038D">
      <w:pPr>
        <w:spacing w:line="360" w:lineRule="auto"/>
        <w:ind w:left="851" w:right="-25"/>
        <w:jc w:val="both"/>
        <w:rPr>
          <w:rFonts w:ascii="Palatino Linotype" w:eastAsia="Palatino Linotype" w:hAnsi="Palatino Linotype" w:cs="Palatino Linotype"/>
          <w:i/>
          <w:sz w:val="22"/>
          <w:szCs w:val="22"/>
        </w:rPr>
      </w:pPr>
      <w:r w:rsidRPr="004A2A91">
        <w:rPr>
          <w:rFonts w:ascii="Palatino Linotype" w:eastAsia="Palatino Linotype" w:hAnsi="Palatino Linotype" w:cs="Palatino Linotype"/>
          <w:b/>
          <w:i/>
          <w:sz w:val="22"/>
          <w:szCs w:val="22"/>
        </w:rPr>
        <w:t>II.</w:t>
      </w:r>
      <w:r w:rsidRPr="004A2A91">
        <w:rPr>
          <w:rFonts w:ascii="Palatino Linotype" w:eastAsia="Palatino Linotype" w:hAnsi="Palatino Linotype" w:cs="Palatino Linotype"/>
          <w:i/>
          <w:sz w:val="22"/>
          <w:szCs w:val="22"/>
        </w:rPr>
        <w:t xml:space="preserve"> Recibir, tramitar y dar respuesta a las solicitudes de acceso a la información;</w:t>
      </w:r>
    </w:p>
    <w:p w:rsidR="00D243DA" w:rsidRPr="004A2A91" w:rsidRDefault="00AB038D">
      <w:pPr>
        <w:spacing w:line="360" w:lineRule="auto"/>
        <w:ind w:left="851" w:right="-25"/>
        <w:jc w:val="both"/>
        <w:rPr>
          <w:rFonts w:ascii="Palatino Linotype" w:eastAsia="Palatino Linotype" w:hAnsi="Palatino Linotype" w:cs="Palatino Linotype"/>
          <w:i/>
          <w:sz w:val="22"/>
          <w:szCs w:val="22"/>
        </w:rPr>
      </w:pPr>
      <w:r w:rsidRPr="004A2A91">
        <w:rPr>
          <w:rFonts w:ascii="Palatino Linotype" w:eastAsia="Palatino Linotype" w:hAnsi="Palatino Linotype" w:cs="Palatino Linotype"/>
          <w:i/>
          <w:sz w:val="22"/>
          <w:szCs w:val="22"/>
        </w:rPr>
        <w:t>(…)</w:t>
      </w:r>
    </w:p>
    <w:p w:rsidR="00D243DA" w:rsidRPr="004A2A91" w:rsidRDefault="00AB038D">
      <w:pPr>
        <w:spacing w:line="360" w:lineRule="auto"/>
        <w:ind w:left="851" w:right="-25"/>
        <w:jc w:val="both"/>
        <w:rPr>
          <w:rFonts w:ascii="Palatino Linotype" w:eastAsia="Palatino Linotype" w:hAnsi="Palatino Linotype" w:cs="Palatino Linotype"/>
          <w:i/>
          <w:sz w:val="22"/>
          <w:szCs w:val="22"/>
        </w:rPr>
      </w:pPr>
      <w:r w:rsidRPr="004A2A91">
        <w:rPr>
          <w:rFonts w:ascii="Palatino Linotype" w:eastAsia="Palatino Linotype" w:hAnsi="Palatino Linotype" w:cs="Palatino Linotype"/>
          <w:b/>
          <w:i/>
          <w:sz w:val="22"/>
          <w:szCs w:val="22"/>
        </w:rPr>
        <w:t>IV.</w:t>
      </w:r>
      <w:r w:rsidRPr="004A2A91">
        <w:rPr>
          <w:rFonts w:ascii="Palatino Linotype" w:eastAsia="Palatino Linotype" w:hAnsi="Palatino Linotype" w:cs="Palatino Linotype"/>
          <w:i/>
          <w:sz w:val="22"/>
          <w:szCs w:val="22"/>
        </w:rPr>
        <w:t xml:space="preserve"> Realizar, con efectividad, los trámites internos necesarios para la atención de las solicitudes de acceso a la información;</w:t>
      </w:r>
    </w:p>
    <w:p w:rsidR="00D243DA" w:rsidRPr="004A2A91" w:rsidRDefault="00AB038D">
      <w:pPr>
        <w:spacing w:line="360" w:lineRule="auto"/>
        <w:ind w:left="851" w:right="-25"/>
        <w:jc w:val="both"/>
        <w:rPr>
          <w:rFonts w:ascii="Palatino Linotype" w:eastAsia="Palatino Linotype" w:hAnsi="Palatino Linotype" w:cs="Palatino Linotype"/>
          <w:i/>
          <w:sz w:val="22"/>
          <w:szCs w:val="22"/>
        </w:rPr>
      </w:pPr>
      <w:r w:rsidRPr="004A2A91">
        <w:rPr>
          <w:rFonts w:ascii="Palatino Linotype" w:eastAsia="Palatino Linotype" w:hAnsi="Palatino Linotype" w:cs="Palatino Linotype"/>
          <w:b/>
          <w:i/>
          <w:sz w:val="22"/>
          <w:szCs w:val="22"/>
        </w:rPr>
        <w:t>V.</w:t>
      </w:r>
      <w:r w:rsidRPr="004A2A91">
        <w:rPr>
          <w:rFonts w:ascii="Palatino Linotype" w:eastAsia="Palatino Linotype" w:hAnsi="Palatino Linotype" w:cs="Palatino Linotype"/>
          <w:i/>
          <w:sz w:val="22"/>
          <w:szCs w:val="22"/>
        </w:rPr>
        <w:t xml:space="preserve"> Entregar, en su caso, a los particulares la información solicitada;</w:t>
      </w:r>
    </w:p>
    <w:p w:rsidR="00D243DA" w:rsidRPr="004A2A91" w:rsidRDefault="00AB038D">
      <w:pPr>
        <w:spacing w:line="360" w:lineRule="auto"/>
        <w:ind w:left="851" w:right="-25"/>
        <w:jc w:val="both"/>
        <w:rPr>
          <w:rFonts w:ascii="Palatino Linotype" w:eastAsia="Palatino Linotype" w:hAnsi="Palatino Linotype" w:cs="Palatino Linotype"/>
          <w:i/>
          <w:sz w:val="22"/>
          <w:szCs w:val="22"/>
        </w:rPr>
      </w:pPr>
      <w:r w:rsidRPr="004A2A91">
        <w:rPr>
          <w:rFonts w:ascii="Palatino Linotype" w:eastAsia="Palatino Linotype" w:hAnsi="Palatino Linotype" w:cs="Palatino Linotype"/>
          <w:i/>
          <w:sz w:val="22"/>
          <w:szCs w:val="22"/>
        </w:rPr>
        <w:t>(…)</w:t>
      </w:r>
    </w:p>
    <w:p w:rsidR="00D243DA" w:rsidRPr="004A2A91" w:rsidRDefault="00D243DA">
      <w:pPr>
        <w:spacing w:line="360" w:lineRule="auto"/>
        <w:ind w:left="851" w:right="-25"/>
        <w:jc w:val="both"/>
        <w:rPr>
          <w:rFonts w:ascii="Palatino Linotype" w:eastAsia="Palatino Linotype" w:hAnsi="Palatino Linotype" w:cs="Palatino Linotype"/>
          <w:i/>
          <w:sz w:val="22"/>
          <w:szCs w:val="22"/>
        </w:rPr>
      </w:pPr>
    </w:p>
    <w:p w:rsidR="00D243DA" w:rsidRPr="004A2A91" w:rsidRDefault="00AB038D">
      <w:pPr>
        <w:spacing w:line="360" w:lineRule="auto"/>
        <w:ind w:left="851" w:right="-25"/>
        <w:jc w:val="both"/>
        <w:rPr>
          <w:rFonts w:ascii="Palatino Linotype" w:eastAsia="Palatino Linotype" w:hAnsi="Palatino Linotype" w:cs="Palatino Linotype"/>
          <w:i/>
          <w:sz w:val="22"/>
          <w:szCs w:val="22"/>
        </w:rPr>
      </w:pPr>
      <w:r w:rsidRPr="004A2A91">
        <w:rPr>
          <w:rFonts w:ascii="Palatino Linotype" w:eastAsia="Palatino Linotype" w:hAnsi="Palatino Linotype" w:cs="Palatino Linotype"/>
          <w:b/>
          <w:i/>
          <w:sz w:val="22"/>
          <w:szCs w:val="22"/>
        </w:rPr>
        <w:t xml:space="preserve">Artículo 58. </w:t>
      </w:r>
      <w:r w:rsidRPr="004A2A91">
        <w:rPr>
          <w:rFonts w:ascii="Palatino Linotype" w:eastAsia="Palatino Linotype" w:hAnsi="Palatino Linotype" w:cs="Palatino Linotype"/>
          <w:i/>
          <w:sz w:val="22"/>
          <w:szCs w:val="22"/>
        </w:rPr>
        <w:t>Los servidores públicos habilitados serán designados por el titular del sujeto obligado a propuesta del responsable de la Unidad de Transparencia.</w:t>
      </w:r>
    </w:p>
    <w:p w:rsidR="00D243DA" w:rsidRPr="004A2A91" w:rsidRDefault="00D243DA">
      <w:pPr>
        <w:spacing w:line="360" w:lineRule="auto"/>
        <w:ind w:left="851" w:right="-25"/>
        <w:jc w:val="both"/>
        <w:rPr>
          <w:rFonts w:ascii="Palatino Linotype" w:eastAsia="Palatino Linotype" w:hAnsi="Palatino Linotype" w:cs="Palatino Linotype"/>
          <w:i/>
          <w:sz w:val="22"/>
          <w:szCs w:val="22"/>
        </w:rPr>
      </w:pPr>
    </w:p>
    <w:p w:rsidR="00D243DA" w:rsidRPr="004A2A91" w:rsidRDefault="00AB038D">
      <w:pPr>
        <w:spacing w:line="360" w:lineRule="auto"/>
        <w:ind w:left="851" w:right="-25"/>
        <w:jc w:val="both"/>
        <w:rPr>
          <w:rFonts w:ascii="Palatino Linotype" w:eastAsia="Palatino Linotype" w:hAnsi="Palatino Linotype" w:cs="Palatino Linotype"/>
          <w:i/>
          <w:sz w:val="22"/>
          <w:szCs w:val="22"/>
        </w:rPr>
      </w:pPr>
      <w:r w:rsidRPr="004A2A91">
        <w:rPr>
          <w:rFonts w:ascii="Palatino Linotype" w:eastAsia="Palatino Linotype" w:hAnsi="Palatino Linotype" w:cs="Palatino Linotype"/>
          <w:b/>
          <w:i/>
          <w:sz w:val="22"/>
          <w:szCs w:val="22"/>
        </w:rPr>
        <w:t xml:space="preserve">Artículo 59. </w:t>
      </w:r>
      <w:r w:rsidRPr="004A2A91">
        <w:rPr>
          <w:rFonts w:ascii="Palatino Linotype" w:eastAsia="Palatino Linotype" w:hAnsi="Palatino Linotype" w:cs="Palatino Linotype"/>
          <w:i/>
          <w:sz w:val="22"/>
          <w:szCs w:val="22"/>
        </w:rPr>
        <w:t>Los servidores públicos habilitados tendrán las funciones siguientes:</w:t>
      </w:r>
    </w:p>
    <w:p w:rsidR="00D243DA" w:rsidRPr="004A2A91" w:rsidRDefault="00D243DA">
      <w:pPr>
        <w:spacing w:line="360" w:lineRule="auto"/>
        <w:ind w:left="851" w:right="-25"/>
        <w:jc w:val="both"/>
        <w:rPr>
          <w:rFonts w:ascii="Palatino Linotype" w:eastAsia="Palatino Linotype" w:hAnsi="Palatino Linotype" w:cs="Palatino Linotype"/>
          <w:i/>
          <w:sz w:val="22"/>
          <w:szCs w:val="22"/>
        </w:rPr>
      </w:pPr>
    </w:p>
    <w:p w:rsidR="00D243DA" w:rsidRPr="004A2A91" w:rsidRDefault="00AB038D">
      <w:pPr>
        <w:spacing w:line="360" w:lineRule="auto"/>
        <w:ind w:left="851" w:right="-25"/>
        <w:jc w:val="both"/>
        <w:rPr>
          <w:rFonts w:ascii="Palatino Linotype" w:eastAsia="Palatino Linotype" w:hAnsi="Palatino Linotype" w:cs="Palatino Linotype"/>
          <w:i/>
          <w:sz w:val="22"/>
          <w:szCs w:val="22"/>
        </w:rPr>
      </w:pPr>
      <w:r w:rsidRPr="004A2A91">
        <w:rPr>
          <w:rFonts w:ascii="Palatino Linotype" w:eastAsia="Palatino Linotype" w:hAnsi="Palatino Linotype" w:cs="Palatino Linotype"/>
          <w:b/>
          <w:i/>
          <w:sz w:val="22"/>
          <w:szCs w:val="22"/>
        </w:rPr>
        <w:t>I.</w:t>
      </w:r>
      <w:r w:rsidRPr="004A2A91">
        <w:rPr>
          <w:rFonts w:ascii="Palatino Linotype" w:eastAsia="Palatino Linotype" w:hAnsi="Palatino Linotype" w:cs="Palatino Linotype"/>
          <w:i/>
          <w:sz w:val="22"/>
          <w:szCs w:val="22"/>
        </w:rPr>
        <w:t xml:space="preserve"> Localizar la información que le solicite la Unidad de Transparencia;</w:t>
      </w:r>
    </w:p>
    <w:p w:rsidR="00D243DA" w:rsidRPr="004A2A91" w:rsidRDefault="00AB038D">
      <w:pPr>
        <w:spacing w:line="360" w:lineRule="auto"/>
        <w:ind w:left="851" w:right="-25"/>
        <w:jc w:val="both"/>
        <w:rPr>
          <w:rFonts w:ascii="Palatino Linotype" w:eastAsia="Palatino Linotype" w:hAnsi="Palatino Linotype" w:cs="Palatino Linotype"/>
          <w:i/>
          <w:sz w:val="22"/>
          <w:szCs w:val="22"/>
        </w:rPr>
      </w:pPr>
      <w:r w:rsidRPr="004A2A91">
        <w:rPr>
          <w:rFonts w:ascii="Palatino Linotype" w:eastAsia="Palatino Linotype" w:hAnsi="Palatino Linotype" w:cs="Palatino Linotype"/>
          <w:b/>
          <w:i/>
          <w:sz w:val="22"/>
          <w:szCs w:val="22"/>
        </w:rPr>
        <w:t>II.</w:t>
      </w:r>
      <w:r w:rsidRPr="004A2A91">
        <w:rPr>
          <w:rFonts w:ascii="Palatino Linotype" w:eastAsia="Palatino Linotype" w:hAnsi="Palatino Linotype" w:cs="Palatino Linotype"/>
          <w:i/>
          <w:sz w:val="22"/>
          <w:szCs w:val="22"/>
        </w:rPr>
        <w:t xml:space="preserve"> Proporcionar la información que obre en los archivos y que le sea solicitada por la Unidad de Transparencia;</w:t>
      </w:r>
    </w:p>
    <w:p w:rsidR="00D243DA" w:rsidRPr="004A2A91" w:rsidRDefault="00AB038D">
      <w:pPr>
        <w:spacing w:line="360" w:lineRule="auto"/>
        <w:ind w:left="851" w:right="-25"/>
        <w:jc w:val="both"/>
        <w:rPr>
          <w:rFonts w:ascii="Palatino Linotype" w:eastAsia="Palatino Linotype" w:hAnsi="Palatino Linotype" w:cs="Palatino Linotype"/>
          <w:i/>
          <w:sz w:val="22"/>
          <w:szCs w:val="22"/>
        </w:rPr>
      </w:pPr>
      <w:r w:rsidRPr="004A2A91">
        <w:rPr>
          <w:rFonts w:ascii="Palatino Linotype" w:eastAsia="Palatino Linotype" w:hAnsi="Palatino Linotype" w:cs="Palatino Linotype"/>
          <w:i/>
          <w:sz w:val="22"/>
          <w:szCs w:val="22"/>
        </w:rPr>
        <w:t>(...)</w:t>
      </w:r>
    </w:p>
    <w:p w:rsidR="00D243DA" w:rsidRPr="004A2A91" w:rsidRDefault="00D243DA">
      <w:pPr>
        <w:spacing w:line="360" w:lineRule="auto"/>
        <w:ind w:left="851" w:right="-25"/>
        <w:jc w:val="both"/>
        <w:rPr>
          <w:rFonts w:ascii="Palatino Linotype" w:eastAsia="Palatino Linotype" w:hAnsi="Palatino Linotype" w:cs="Palatino Linotype"/>
          <w:i/>
          <w:sz w:val="22"/>
          <w:szCs w:val="22"/>
        </w:rPr>
      </w:pPr>
    </w:p>
    <w:p w:rsidR="00D243DA" w:rsidRPr="004A2A91" w:rsidRDefault="00AB038D">
      <w:pPr>
        <w:spacing w:line="360" w:lineRule="auto"/>
        <w:ind w:left="851" w:right="-25"/>
        <w:jc w:val="both"/>
        <w:rPr>
          <w:rFonts w:ascii="Palatino Linotype" w:eastAsia="Palatino Linotype" w:hAnsi="Palatino Linotype" w:cs="Palatino Linotype"/>
          <w:i/>
          <w:sz w:val="22"/>
          <w:szCs w:val="22"/>
        </w:rPr>
      </w:pPr>
      <w:r w:rsidRPr="004A2A91">
        <w:rPr>
          <w:rFonts w:ascii="Palatino Linotype" w:eastAsia="Palatino Linotype" w:hAnsi="Palatino Linotype" w:cs="Palatino Linotype"/>
          <w:b/>
          <w:i/>
          <w:sz w:val="22"/>
          <w:szCs w:val="22"/>
        </w:rPr>
        <w:t xml:space="preserve">Artículo 162. </w:t>
      </w:r>
      <w:r w:rsidRPr="004A2A91">
        <w:rPr>
          <w:rFonts w:ascii="Palatino Linotype" w:eastAsia="Palatino Linotype" w:hAnsi="Palatino Linotype" w:cs="Palatino Linotype"/>
          <w:i/>
          <w:sz w:val="22"/>
          <w:szCs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D243DA" w:rsidRPr="004A2A91" w:rsidRDefault="00D243DA">
      <w:pPr>
        <w:spacing w:line="360" w:lineRule="auto"/>
        <w:ind w:right="-592"/>
        <w:jc w:val="both"/>
        <w:rPr>
          <w:rFonts w:ascii="Palatino Linotype" w:eastAsia="Palatino Linotype" w:hAnsi="Palatino Linotype" w:cs="Palatino Linotype"/>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De los artículos citados se desprende que las Unidades de Transparencia de los sujetos obligados son las encargadas de tramitar internamente 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w:t>
      </w:r>
      <w:r w:rsidRPr="004A2A91">
        <w:rPr>
          <w:rFonts w:ascii="Palatino Linotype" w:eastAsia="Palatino Linotype" w:hAnsi="Palatino Linotype" w:cs="Palatino Linotype"/>
        </w:rPr>
        <w:t>auxiliará</w:t>
      </w:r>
      <w:r w:rsidRPr="004A2A91">
        <w:rPr>
          <w:rFonts w:ascii="Palatino Linotype" w:eastAsia="Palatino Linotype" w:hAnsi="Palatino Linotype" w:cs="Palatino Linotype"/>
          <w:color w:val="000000"/>
        </w:rPr>
        <w:t xml:space="preserve"> a las Unidades de Transparencia localizando la información solicitada y proporcionando la misma que obre en sus archivos. Asimismo, es una obligación de las Unidades de Transparencia turnar a todas las áreas que se consideren competentes para que </w:t>
      </w:r>
      <w:r w:rsidRPr="004A2A91">
        <w:rPr>
          <w:rFonts w:ascii="Palatino Linotype" w:eastAsia="Palatino Linotype" w:hAnsi="Palatino Linotype" w:cs="Palatino Linotype"/>
          <w:color w:val="000000"/>
        </w:rPr>
        <w:lastRenderedPageBreak/>
        <w:t>realicen una búsqueda exhaustiva y razonable de la información solicitada a fin de que ésta sea entregada a los solicitantes.</w:t>
      </w:r>
    </w:p>
    <w:p w:rsidR="00D243DA" w:rsidRPr="004A2A91" w:rsidRDefault="00D243D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D243DA" w:rsidRPr="004A2A91" w:rsidRDefault="00D243D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Ahora bien, en ese entendido debemos precisar que la respuesta, como el informe justificado, fueron remitidos por la Dirección de Organización, quien de acuerdo al Manual de Organización del Instituto Electoral del Estado de México, tiene como objetivo  planear, organizar, dirigir y coordinar las actividades inherentes a la preparación, organización y desarrollo de los procesos electorales en coordinación con el INE; aplicando los procedimientos para el diseño, impresión, producción, resguardo y distribución de la documentación y material electorales; auxiliando en la integración, instalación y funcionamiento de los órganos desconcentrados, así como en la recopilación, sistematización, análisis y resguardo de la información y estadística electoral, conforme a las actividades encomendadas por el Consejo General; y atender lo relativo a la recepción y trámite de solicitudes de Observadoras y Observadores Electorales en los términos que determine el INE.</w:t>
      </w:r>
    </w:p>
    <w:p w:rsidR="00D243DA" w:rsidRPr="004A2A91" w:rsidRDefault="00D243DA">
      <w:pPr>
        <w:pBdr>
          <w:top w:val="nil"/>
          <w:left w:val="nil"/>
          <w:bottom w:val="nil"/>
          <w:right w:val="nil"/>
          <w:between w:val="nil"/>
        </w:pBdr>
        <w:ind w:left="720" w:right="-592"/>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En ese sentido, podemos advertir que la información que fue remitida por el área que de acuerdo a sus  facultades genera, posee y administra la información solicitada, es decir, </w:t>
      </w:r>
      <w:r w:rsidRPr="004A2A91">
        <w:rPr>
          <w:rFonts w:ascii="Palatino Linotype" w:eastAsia="Palatino Linotype" w:hAnsi="Palatino Linotype" w:cs="Palatino Linotype"/>
          <w:color w:val="000000"/>
        </w:rPr>
        <w:lastRenderedPageBreak/>
        <w:t xml:space="preserve">que el Sujeto Obligado dio cumplimiento al proceso de búsqueda señalado en párrafos anteriores. </w:t>
      </w:r>
    </w:p>
    <w:p w:rsidR="00D243DA" w:rsidRPr="004A2A91" w:rsidRDefault="00D243D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Por otro lado, recordemos que el Sujeto Obligado en respuesta señaló el cambio de modalidad en la entrega de la información a consulta directa, posteriormente, a través de informe justificado, el Director de Organización entregó la información solicitada a través de diversos archivos en formato Excel y CSV como se advierte en las siguientes imágenes que se insertan a modo de ejemplo:</w:t>
      </w:r>
    </w:p>
    <w:p w:rsidR="00D243DA" w:rsidRPr="004A2A91" w:rsidRDefault="00D243DA">
      <w:pPr>
        <w:pBdr>
          <w:top w:val="nil"/>
          <w:left w:val="nil"/>
          <w:bottom w:val="nil"/>
          <w:right w:val="nil"/>
          <w:between w:val="nil"/>
        </w:pBdr>
        <w:ind w:left="720" w:right="-592"/>
        <w:rPr>
          <w:rFonts w:ascii="Palatino Linotype" w:eastAsia="Palatino Linotype" w:hAnsi="Palatino Linotype" w:cs="Palatino Linotype"/>
          <w:color w:val="000000"/>
        </w:rPr>
      </w:pPr>
    </w:p>
    <w:p w:rsidR="00D243DA" w:rsidRPr="004A2A91" w:rsidRDefault="00AB038D">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noProof/>
          <w:color w:val="000000"/>
        </w:rPr>
        <w:drawing>
          <wp:inline distT="0" distB="0" distL="0" distR="0">
            <wp:extent cx="5742940" cy="142684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5742940" cy="1426845"/>
                    </a:xfrm>
                    <a:prstGeom prst="rect">
                      <a:avLst/>
                    </a:prstGeom>
                    <a:ln/>
                  </pic:spPr>
                </pic:pic>
              </a:graphicData>
            </a:graphic>
          </wp:inline>
        </w:drawing>
      </w:r>
    </w:p>
    <w:p w:rsidR="00D243DA" w:rsidRPr="004A2A91" w:rsidRDefault="00D243DA">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rPr>
      </w:pPr>
    </w:p>
    <w:p w:rsidR="00D243DA" w:rsidRPr="004A2A91" w:rsidRDefault="00AB038D">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noProof/>
          <w:color w:val="000000"/>
        </w:rPr>
        <w:drawing>
          <wp:inline distT="0" distB="0" distL="0" distR="0">
            <wp:extent cx="5742940" cy="151003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5742940" cy="1510030"/>
                    </a:xfrm>
                    <a:prstGeom prst="rect">
                      <a:avLst/>
                    </a:prstGeom>
                    <a:ln/>
                  </pic:spPr>
                </pic:pic>
              </a:graphicData>
            </a:graphic>
          </wp:inline>
        </w:drawing>
      </w:r>
    </w:p>
    <w:p w:rsidR="00D243DA" w:rsidRPr="004A2A91" w:rsidRDefault="00D243DA">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rPr>
      </w:pPr>
    </w:p>
    <w:p w:rsidR="00D243DA" w:rsidRPr="004A2A91" w:rsidRDefault="00AB038D">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noProof/>
          <w:color w:val="000000"/>
        </w:rPr>
        <w:lastRenderedPageBreak/>
        <w:drawing>
          <wp:inline distT="0" distB="0" distL="0" distR="0">
            <wp:extent cx="5742940" cy="105537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5742940" cy="1055370"/>
                    </a:xfrm>
                    <a:prstGeom prst="rect">
                      <a:avLst/>
                    </a:prstGeom>
                    <a:ln/>
                  </pic:spPr>
                </pic:pic>
              </a:graphicData>
            </a:graphic>
          </wp:inline>
        </w:drawing>
      </w:r>
    </w:p>
    <w:p w:rsidR="00D243DA" w:rsidRPr="004A2A91" w:rsidRDefault="00AB038D">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noProof/>
          <w:color w:val="000000"/>
        </w:rPr>
        <w:drawing>
          <wp:inline distT="0" distB="0" distL="0" distR="0">
            <wp:extent cx="5742940" cy="141478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742940" cy="1414780"/>
                    </a:xfrm>
                    <a:prstGeom prst="rect">
                      <a:avLst/>
                    </a:prstGeom>
                    <a:ln/>
                  </pic:spPr>
                </pic:pic>
              </a:graphicData>
            </a:graphic>
          </wp:inline>
        </w:drawing>
      </w:r>
    </w:p>
    <w:p w:rsidR="00D243DA" w:rsidRPr="004A2A91" w:rsidRDefault="00D243DA">
      <w:pPr>
        <w:pBdr>
          <w:top w:val="nil"/>
          <w:left w:val="nil"/>
          <w:bottom w:val="nil"/>
          <w:right w:val="nil"/>
          <w:between w:val="nil"/>
        </w:pBdr>
        <w:ind w:left="720" w:right="-592"/>
        <w:rPr>
          <w:rFonts w:ascii="Palatino Linotype" w:eastAsia="Palatino Linotype" w:hAnsi="Palatino Linotype" w:cs="Palatino Linotype"/>
          <w:color w:val="000000"/>
        </w:rPr>
      </w:pPr>
    </w:p>
    <w:p w:rsidR="00D243DA" w:rsidRPr="004A2A91" w:rsidRDefault="00D243DA">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En ese sentido, conviene señalar el artículo 12 de la Ley de Transparencia Local que establece:</w:t>
      </w:r>
    </w:p>
    <w:p w:rsidR="00D243DA" w:rsidRPr="004A2A91" w:rsidRDefault="00AB038D">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r w:rsidRPr="004A2A91">
        <w:rPr>
          <w:rFonts w:ascii="Palatino Linotype" w:eastAsia="Palatino Linotype" w:hAnsi="Palatino Linotype" w:cs="Palatino Linotype"/>
          <w:b/>
          <w:i/>
          <w:color w:val="000000"/>
          <w:sz w:val="22"/>
          <w:szCs w:val="22"/>
        </w:rPr>
        <w:t xml:space="preserve">“Artículo 12. </w:t>
      </w:r>
      <w:r w:rsidRPr="004A2A91">
        <w:rPr>
          <w:rFonts w:ascii="Palatino Linotype" w:eastAsia="Palatino Linotype" w:hAnsi="Palatino Linotype" w:cs="Palatino Linotype"/>
          <w:i/>
          <w:color w:val="000000"/>
          <w:sz w:val="22"/>
          <w:szCs w:val="22"/>
        </w:rPr>
        <w:t>Quienes generen, recopilen, administren, manejen, procesen, archiven o conserven información pública serán responsables de la misma en los términos de las disposiciones jurídicas aplicables.</w:t>
      </w:r>
    </w:p>
    <w:p w:rsidR="00D243DA" w:rsidRPr="004A2A91" w:rsidRDefault="00D243DA">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p>
    <w:p w:rsidR="00D243DA" w:rsidRPr="004A2A91" w:rsidRDefault="00AB038D">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r w:rsidRPr="004A2A91">
        <w:rPr>
          <w:rFonts w:ascii="Palatino Linotype" w:eastAsia="Palatino Linotype" w:hAnsi="Palatino Linotype" w:cs="Palatino Linotype"/>
          <w:i/>
          <w:color w:val="000000"/>
          <w:sz w:val="22"/>
          <w:szCs w:val="22"/>
        </w:rPr>
        <w:t xml:space="preserve">Los sujetos obligados </w:t>
      </w:r>
      <w:r w:rsidRPr="004A2A91">
        <w:rPr>
          <w:rFonts w:ascii="Palatino Linotype" w:eastAsia="Palatino Linotype" w:hAnsi="Palatino Linotype" w:cs="Palatino Linotype"/>
          <w:b/>
          <w:i/>
          <w:color w:val="000000"/>
          <w:sz w:val="22"/>
          <w:szCs w:val="22"/>
        </w:rPr>
        <w:t>sólo proporcionarán la información pública que se les requiera y que obre en sus archivos</w:t>
      </w:r>
      <w:r w:rsidRPr="004A2A91">
        <w:rPr>
          <w:rFonts w:ascii="Palatino Linotype" w:eastAsia="Palatino Linotype" w:hAnsi="Palatino Linotype" w:cs="Palatino Linotype"/>
          <w:i/>
          <w:color w:val="000000"/>
          <w:sz w:val="22"/>
          <w:szCs w:val="22"/>
        </w:rPr>
        <w:t xml:space="preserve"> </w:t>
      </w:r>
      <w:r w:rsidRPr="004A2A91">
        <w:rPr>
          <w:rFonts w:ascii="Palatino Linotype" w:eastAsia="Palatino Linotype" w:hAnsi="Palatino Linotype" w:cs="Palatino Linotype"/>
          <w:b/>
          <w:i/>
          <w:color w:val="000000"/>
          <w:sz w:val="22"/>
          <w:szCs w:val="22"/>
        </w:rPr>
        <w:t xml:space="preserve">y en el </w:t>
      </w:r>
      <w:r w:rsidRPr="004A2A91">
        <w:rPr>
          <w:rFonts w:ascii="Palatino Linotype" w:eastAsia="Palatino Linotype" w:hAnsi="Palatino Linotype" w:cs="Palatino Linotype"/>
          <w:b/>
          <w:i/>
          <w:color w:val="000000"/>
          <w:sz w:val="22"/>
          <w:szCs w:val="22"/>
          <w:u w:val="single"/>
        </w:rPr>
        <w:t>estado en que ésta se encuentre.</w:t>
      </w:r>
      <w:r w:rsidRPr="004A2A91">
        <w:rPr>
          <w:rFonts w:ascii="Palatino Linotype" w:eastAsia="Palatino Linotype" w:hAnsi="Palatino Linotype" w:cs="Palatino Linotype"/>
          <w:i/>
          <w:color w:val="000000"/>
          <w:sz w:val="22"/>
          <w:szCs w:val="22"/>
        </w:rPr>
        <w:t xml:space="preserve"> La obligación de proporcionar información </w:t>
      </w:r>
      <w:r w:rsidRPr="004A2A91">
        <w:rPr>
          <w:rFonts w:ascii="Palatino Linotype" w:eastAsia="Palatino Linotype" w:hAnsi="Palatino Linotype" w:cs="Palatino Linotype"/>
          <w:b/>
          <w:i/>
          <w:color w:val="000000"/>
          <w:sz w:val="22"/>
          <w:szCs w:val="22"/>
        </w:rPr>
        <w:t>no comprende</w:t>
      </w:r>
      <w:r w:rsidRPr="004A2A91">
        <w:rPr>
          <w:rFonts w:ascii="Palatino Linotype" w:eastAsia="Palatino Linotype" w:hAnsi="Palatino Linotype" w:cs="Palatino Linotype"/>
          <w:i/>
          <w:color w:val="000000"/>
          <w:sz w:val="22"/>
          <w:szCs w:val="22"/>
        </w:rPr>
        <w:t xml:space="preserve"> el procesamiento de la misma, ni el presentarla conforme al interés del solicitante; no estarán obligados a generarla, resumirla, efectuar cálculos o práctica investigaciones.</w:t>
      </w:r>
    </w:p>
    <w:p w:rsidR="00D243DA" w:rsidRPr="004A2A91" w:rsidRDefault="00D243DA">
      <w:pPr>
        <w:spacing w:line="360" w:lineRule="auto"/>
        <w:ind w:right="-592"/>
        <w:jc w:val="both"/>
        <w:rPr>
          <w:rFonts w:ascii="Palatino Linotype" w:eastAsia="Palatino Linotype" w:hAnsi="Palatino Linotype" w:cs="Palatino Linotype"/>
        </w:rPr>
      </w:pPr>
    </w:p>
    <w:p w:rsidR="00D243DA" w:rsidRPr="004A2A91" w:rsidRDefault="00AB038D">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Se señala que no están obligados a procesar, ni presentarla conforme al interés del solicitante, </w:t>
      </w:r>
      <w:r w:rsidRPr="004A2A91">
        <w:rPr>
          <w:rFonts w:ascii="Palatino Linotype" w:eastAsia="Palatino Linotype" w:hAnsi="Palatino Linotype" w:cs="Palatino Linotype"/>
        </w:rPr>
        <w:t>resumir</w:t>
      </w:r>
      <w:r w:rsidRPr="004A2A91">
        <w:rPr>
          <w:rFonts w:ascii="Palatino Linotype" w:eastAsia="Palatino Linotype" w:hAnsi="Palatino Linotype" w:cs="Palatino Linotype"/>
          <w:color w:val="000000"/>
        </w:rPr>
        <w:t xml:space="preserve">, efectuar cálculos o generar nuevos documentos para atender una </w:t>
      </w:r>
      <w:r w:rsidRPr="004A2A91">
        <w:rPr>
          <w:rFonts w:ascii="Palatino Linotype" w:eastAsia="Palatino Linotype" w:hAnsi="Palatino Linotype" w:cs="Palatino Linotype"/>
          <w:color w:val="000000"/>
        </w:rPr>
        <w:lastRenderedPageBreak/>
        <w:t xml:space="preserve">solicitud, la ley tampoco lo prohíbe, es decir, los </w:t>
      </w:r>
      <w:r w:rsidRPr="004A2A91">
        <w:rPr>
          <w:rFonts w:ascii="Palatino Linotype" w:eastAsia="Palatino Linotype" w:hAnsi="Palatino Linotype" w:cs="Palatino Linotype"/>
          <w:b/>
          <w:color w:val="000000"/>
        </w:rPr>
        <w:t>SUJETOS OBLIGADOS</w:t>
      </w:r>
      <w:r w:rsidRPr="004A2A91">
        <w:rPr>
          <w:rFonts w:ascii="Palatino Linotype" w:eastAsia="Palatino Linotype" w:hAnsi="Palatino Linotype" w:cs="Palatino Linotype"/>
          <w:color w:val="000000"/>
        </w:rPr>
        <w:t xml:space="preserve"> pueden adoptar como buena práctica para atender las solicitudes de acceso a información pública la elaboración de documentos que satisfagan el derecho, dicho de otro modo, pueden proporcionar la información que atienda las solicitudes, proporcionando aquella información que atienda de manera  exacta, concreta y completa dado que no están impedidos y no es una prohibición que la ley contemple, por ello, la generación de documentos </w:t>
      </w:r>
      <w:r w:rsidRPr="004A2A91">
        <w:rPr>
          <w:rFonts w:ascii="Palatino Linotype" w:eastAsia="Palatino Linotype" w:hAnsi="Palatino Linotype" w:cs="Palatino Linotype"/>
          <w:b/>
          <w:color w:val="000000"/>
        </w:rPr>
        <w:t>ad hoc</w:t>
      </w:r>
      <w:r w:rsidRPr="004A2A91">
        <w:rPr>
          <w:rFonts w:ascii="Palatino Linotype" w:eastAsia="Palatino Linotype" w:hAnsi="Palatino Linotype" w:cs="Palatino Linotype"/>
          <w:color w:val="000000"/>
        </w:rPr>
        <w:t>, puede llevar a cabo siempre y cuando se haga garantice el derecho.</w:t>
      </w:r>
    </w:p>
    <w:p w:rsidR="00D243DA" w:rsidRPr="004A2A91" w:rsidRDefault="00D243DA">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Aunado a ello, bajo esa óptica, este Órgano Garante no es facultado para dudar de la veracidad de la información entregada por el Sujeto Obligado, en ese sentido, la </w:t>
      </w:r>
      <w:r w:rsidRPr="004A2A91">
        <w:rPr>
          <w:rFonts w:ascii="Palatino Linotype" w:eastAsia="Palatino Linotype" w:hAnsi="Palatino Linotype" w:cs="Palatino Linotype"/>
          <w:b/>
          <w:color w:val="000000"/>
        </w:rPr>
        <w:t>Ley de Transparencia y Acceso a la Información Pública del Estado de México y Municipios</w:t>
      </w:r>
      <w:r w:rsidRPr="004A2A91">
        <w:rPr>
          <w:rFonts w:ascii="Palatino Linotype" w:eastAsia="Palatino Linotype" w:hAnsi="Palatino Linotype" w:cs="Palatino Linotype"/>
          <w:color w:val="000000"/>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D243DA" w:rsidRPr="004A2A91" w:rsidRDefault="00AB038D">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r w:rsidRPr="004A2A91">
        <w:rPr>
          <w:rFonts w:ascii="Palatino Linotype" w:eastAsia="Palatino Linotype" w:hAnsi="Palatino Linotype" w:cs="Palatino Linotype"/>
          <w:i/>
          <w:color w:val="000000"/>
          <w:sz w:val="22"/>
          <w:szCs w:val="22"/>
        </w:rPr>
        <w:t xml:space="preserve">“Artículo 4.- </w:t>
      </w:r>
    </w:p>
    <w:p w:rsidR="00D243DA" w:rsidRPr="004A2A91" w:rsidRDefault="00AB038D">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r w:rsidRPr="004A2A91">
        <w:rPr>
          <w:rFonts w:ascii="Palatino Linotype" w:eastAsia="Palatino Linotype" w:hAnsi="Palatino Linotype" w:cs="Palatino Linotype"/>
          <w:i/>
          <w:color w:val="000000"/>
          <w:sz w:val="22"/>
          <w:szCs w:val="22"/>
        </w:rPr>
        <w:t>..</w:t>
      </w:r>
    </w:p>
    <w:p w:rsidR="00D243DA" w:rsidRPr="004A2A91" w:rsidRDefault="00AB038D">
      <w:pPr>
        <w:pBdr>
          <w:top w:val="nil"/>
          <w:left w:val="nil"/>
          <w:bottom w:val="nil"/>
          <w:right w:val="nil"/>
          <w:between w:val="nil"/>
        </w:pBdr>
        <w:spacing w:line="360" w:lineRule="auto"/>
        <w:ind w:left="720" w:right="-25"/>
        <w:jc w:val="both"/>
        <w:rPr>
          <w:rFonts w:ascii="Palatino Linotype" w:eastAsia="Palatino Linotype" w:hAnsi="Palatino Linotype" w:cs="Palatino Linotype"/>
          <w:i/>
          <w:color w:val="000000"/>
          <w:sz w:val="22"/>
          <w:szCs w:val="22"/>
        </w:rPr>
      </w:pPr>
      <w:r w:rsidRPr="004A2A91">
        <w:rPr>
          <w:rFonts w:ascii="Palatino Linotype" w:eastAsia="Palatino Linotype" w:hAnsi="Palatino Linotype" w:cs="Palatino Linotype"/>
          <w:i/>
          <w:color w:val="000000"/>
          <w:sz w:val="22"/>
          <w:szCs w:val="22"/>
        </w:rPr>
        <w:t>Los sujetos obligados deben poner en práctica, políticas y programas de acceso a la información que se apeguen a criterios de publicidad, veracidad, oportunidad, precisión y suficiencia en beneficio de los solicitantes.</w:t>
      </w:r>
    </w:p>
    <w:p w:rsidR="00D243DA" w:rsidRPr="004A2A91" w:rsidRDefault="00AB038D">
      <w:pPr>
        <w:pBdr>
          <w:top w:val="nil"/>
          <w:left w:val="nil"/>
          <w:bottom w:val="nil"/>
          <w:right w:val="nil"/>
          <w:between w:val="nil"/>
        </w:pBdr>
        <w:spacing w:line="360" w:lineRule="auto"/>
        <w:ind w:left="720" w:right="-25"/>
        <w:jc w:val="both"/>
        <w:rPr>
          <w:rFonts w:ascii="Palatino Linotype" w:eastAsia="Palatino Linotype" w:hAnsi="Palatino Linotype" w:cs="Palatino Linotype"/>
          <w:b/>
          <w:i/>
          <w:color w:val="000000"/>
          <w:sz w:val="22"/>
          <w:szCs w:val="22"/>
        </w:rPr>
      </w:pPr>
      <w:r w:rsidRPr="004A2A91">
        <w:rPr>
          <w:rFonts w:ascii="Palatino Linotype" w:eastAsia="Palatino Linotype" w:hAnsi="Palatino Linotype" w:cs="Palatino Linotype"/>
          <w:i/>
          <w:color w:val="000000"/>
          <w:sz w:val="22"/>
          <w:szCs w:val="22"/>
        </w:rPr>
        <w:t>…”</w:t>
      </w:r>
    </w:p>
    <w:p w:rsidR="00D243DA" w:rsidRPr="004A2A91" w:rsidRDefault="00D243DA">
      <w:pPr>
        <w:pBdr>
          <w:top w:val="nil"/>
          <w:left w:val="nil"/>
          <w:bottom w:val="nil"/>
          <w:right w:val="nil"/>
          <w:between w:val="nil"/>
        </w:pBdr>
        <w:tabs>
          <w:tab w:val="left" w:pos="709"/>
        </w:tabs>
        <w:spacing w:line="360" w:lineRule="auto"/>
        <w:ind w:left="720"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tabs>
          <w:tab w:val="left" w:pos="0"/>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lastRenderedPageBreak/>
        <w:t xml:space="preserve">Numerales que compelen al </w:t>
      </w:r>
      <w:r w:rsidRPr="004A2A91">
        <w:rPr>
          <w:rFonts w:ascii="Palatino Linotype" w:eastAsia="Palatino Linotype" w:hAnsi="Palatino Linotype" w:cs="Palatino Linotype"/>
          <w:b/>
          <w:color w:val="000000"/>
        </w:rPr>
        <w:t>SUJETO OBLIGADO</w:t>
      </w:r>
      <w:r w:rsidRPr="004A2A91">
        <w:rPr>
          <w:rFonts w:ascii="Palatino Linotype" w:eastAsia="Palatino Linotype" w:hAnsi="Palatino Linotype" w:cs="Palatino Linotype"/>
          <w:color w:val="000000"/>
        </w:rPr>
        <w:t xml:space="preserve"> a apegarse en todo momento a los criterios ya expuestos, </w:t>
      </w:r>
      <w:r w:rsidRPr="004A2A91">
        <w:rPr>
          <w:rFonts w:ascii="Palatino Linotype" w:eastAsia="Palatino Linotype" w:hAnsi="Palatino Linotype" w:cs="Palatino Linotype"/>
        </w:rPr>
        <w:t>impidiendo</w:t>
      </w:r>
      <w:r w:rsidRPr="004A2A91">
        <w:rPr>
          <w:rFonts w:ascii="Palatino Linotype" w:eastAsia="Palatino Linotype" w:hAnsi="Palatino Linotype" w:cs="Palatino Linotype"/>
          <w:color w:val="000000"/>
        </w:rPr>
        <w:t xml:space="preserve"> a este Órgano Colegiado cuestionar la veracidad de la información.</w:t>
      </w:r>
    </w:p>
    <w:p w:rsidR="00D243DA" w:rsidRPr="004A2A91" w:rsidRDefault="00D243DA">
      <w:pPr>
        <w:pBdr>
          <w:top w:val="nil"/>
          <w:left w:val="nil"/>
          <w:bottom w:val="nil"/>
          <w:right w:val="nil"/>
          <w:between w:val="nil"/>
        </w:pBdr>
        <w:tabs>
          <w:tab w:val="left" w:pos="0"/>
        </w:tabs>
        <w:spacing w:line="360" w:lineRule="auto"/>
        <w:ind w:left="720" w:right="-592"/>
        <w:jc w:val="both"/>
        <w:rPr>
          <w:rFonts w:ascii="Palatino Linotype" w:eastAsia="Palatino Linotype" w:hAnsi="Palatino Linotype" w:cs="Palatino Linotype"/>
        </w:rPr>
      </w:pPr>
    </w:p>
    <w:p w:rsidR="00D243DA" w:rsidRPr="004A2A91" w:rsidRDefault="00AB038D">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Así, este Pleno advierte que el </w:t>
      </w:r>
      <w:r w:rsidRPr="004A2A91">
        <w:rPr>
          <w:rFonts w:ascii="Palatino Linotype" w:eastAsia="Palatino Linotype" w:hAnsi="Palatino Linotype" w:cs="Palatino Linotype"/>
          <w:b/>
          <w:color w:val="000000"/>
        </w:rPr>
        <w:t>SUJETO OBLIGADO</w:t>
      </w:r>
      <w:r w:rsidRPr="004A2A91">
        <w:rPr>
          <w:rFonts w:ascii="Palatino Linotype" w:eastAsia="Palatino Linotype" w:hAnsi="Palatino Linotype" w:cs="Palatino Linotype"/>
          <w:color w:val="000000"/>
        </w:rPr>
        <w:t xml:space="preserve"> </w:t>
      </w:r>
      <w:r w:rsidRPr="004A2A91">
        <w:rPr>
          <w:rFonts w:ascii="Palatino Linotype" w:eastAsia="Palatino Linotype" w:hAnsi="Palatino Linotype" w:cs="Palatino Linotype"/>
          <w:b/>
          <w:color w:val="000000"/>
        </w:rPr>
        <w:t xml:space="preserve">modificó </w:t>
      </w:r>
      <w:r w:rsidRPr="004A2A91">
        <w:rPr>
          <w:rFonts w:ascii="Palatino Linotype" w:eastAsia="Palatino Linotype" w:hAnsi="Palatino Linotype" w:cs="Palatino Linotype"/>
          <w:color w:val="000000"/>
        </w:rPr>
        <w:t>el acto que le dio origen a los recursos de revisión y que, aunado a ello, la información fue remitida por el servidor público habilitado, lo que trae como consecuencia que el mismo quede sin materia, actualizándose de este modo, la hipótesis jurídica contenida en la fracción III del artículo 192 de la Ley de Transparencia Local.</w:t>
      </w:r>
    </w:p>
    <w:p w:rsidR="00D243DA" w:rsidRPr="004A2A91" w:rsidRDefault="00D243DA">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Ahora bien,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4A2A91">
        <w:rPr>
          <w:rFonts w:ascii="Palatino Linotype" w:eastAsia="Palatino Linotype" w:hAnsi="Palatino Linotype" w:cs="Palatino Linotype"/>
          <w:b/>
          <w:color w:val="000000"/>
        </w:rPr>
        <w:t>SUJETOS OBLIGADOS</w:t>
      </w:r>
      <w:r w:rsidRPr="004A2A91">
        <w:rPr>
          <w:rFonts w:ascii="Palatino Linotype" w:eastAsia="Palatino Linotype" w:hAnsi="Palatino Linotype" w:cs="Palatino Linotype"/>
          <w:color w:val="000000"/>
        </w:rPr>
        <w:t xml:space="preserve"> o la negativa de entrega de esta, derivada de la solicitud de información pública.</w:t>
      </w:r>
    </w:p>
    <w:p w:rsidR="00D243DA" w:rsidRPr="004A2A91" w:rsidRDefault="00D243DA">
      <w:pPr>
        <w:pBdr>
          <w:top w:val="nil"/>
          <w:left w:val="nil"/>
          <w:bottom w:val="nil"/>
          <w:right w:val="nil"/>
          <w:between w:val="nil"/>
        </w:pBdr>
        <w:ind w:left="720" w:right="-592"/>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De este modo, cuando el </w:t>
      </w:r>
      <w:r w:rsidRPr="004A2A91">
        <w:rPr>
          <w:rFonts w:ascii="Palatino Linotype" w:eastAsia="Palatino Linotype" w:hAnsi="Palatino Linotype" w:cs="Palatino Linotype"/>
          <w:b/>
          <w:color w:val="000000"/>
        </w:rPr>
        <w:t xml:space="preserve">SUJETO OBLIGADO, </w:t>
      </w:r>
      <w:r w:rsidRPr="004A2A91">
        <w:rPr>
          <w:rFonts w:ascii="Palatino Linotype" w:eastAsia="Palatino Linotype" w:hAnsi="Palatino Linotype" w:cs="Palatino Linotype"/>
          <w:color w:val="000000"/>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4A2A91">
        <w:rPr>
          <w:rFonts w:ascii="Palatino Linotype" w:eastAsia="Palatino Linotype" w:hAnsi="Palatino Linotype" w:cs="Palatino Linotype"/>
          <w:i/>
          <w:color w:val="000000"/>
        </w:rPr>
        <w:t>litis</w:t>
      </w:r>
      <w:r w:rsidRPr="004A2A91">
        <w:rPr>
          <w:rFonts w:ascii="Palatino Linotype" w:eastAsia="Palatino Linotype" w:hAnsi="Palatino Linotype" w:cs="Palatino Linotype"/>
          <w:color w:val="000000"/>
        </w:rPr>
        <w:t xml:space="preserve"> planteada, debido a que la afectación en su esfera de derechos fue restituida por la propia autoridad que emitió el acto motivo de impugnación.</w:t>
      </w:r>
    </w:p>
    <w:p w:rsidR="00D243DA" w:rsidRPr="004A2A91" w:rsidRDefault="00D243DA">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tabs>
          <w:tab w:val="left" w:pos="426"/>
          <w:tab w:val="left" w:pos="567"/>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lastRenderedPageBreak/>
        <w:t>Sirve de sustento a lo anterior la siguiente jurisprudencia por contradicción, cuyo rubro, texto y datos de identificación son los siguientes:</w:t>
      </w:r>
    </w:p>
    <w:p w:rsidR="00D243DA" w:rsidRPr="004A2A91" w:rsidRDefault="00D243DA">
      <w:pPr>
        <w:ind w:right="-592"/>
        <w:rPr>
          <w:rFonts w:ascii="Palatino Linotype" w:eastAsia="Palatino Linotype" w:hAnsi="Palatino Linotype" w:cs="Palatino Linotype"/>
          <w:color w:val="000000"/>
        </w:rPr>
      </w:pPr>
    </w:p>
    <w:p w:rsidR="00D243DA" w:rsidRPr="004A2A91" w:rsidRDefault="00AB038D">
      <w:pPr>
        <w:pBdr>
          <w:top w:val="nil"/>
          <w:left w:val="nil"/>
          <w:bottom w:val="nil"/>
          <w:right w:val="nil"/>
          <w:between w:val="nil"/>
        </w:pBdr>
        <w:tabs>
          <w:tab w:val="left" w:pos="709"/>
          <w:tab w:val="left" w:pos="851"/>
        </w:tabs>
        <w:spacing w:line="360" w:lineRule="auto"/>
        <w:ind w:left="566" w:right="-25"/>
        <w:jc w:val="both"/>
        <w:rPr>
          <w:rFonts w:ascii="Palatino Linotype" w:eastAsia="Palatino Linotype" w:hAnsi="Palatino Linotype" w:cs="Palatino Linotype"/>
          <w:color w:val="000000"/>
          <w:sz w:val="22"/>
          <w:szCs w:val="22"/>
        </w:rPr>
      </w:pPr>
      <w:r w:rsidRPr="004A2A91">
        <w:rPr>
          <w:rFonts w:ascii="Palatino Linotype" w:eastAsia="Palatino Linotype" w:hAnsi="Palatino Linotype" w:cs="Palatino Linotype"/>
          <w:b/>
          <w:i/>
          <w:color w:val="000000"/>
          <w:sz w:val="22"/>
          <w:szCs w:val="22"/>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4A2A91">
        <w:rPr>
          <w:rFonts w:ascii="Palatino Linotype" w:eastAsia="Palatino Linotype" w:hAnsi="Palatino Linotype" w:cs="Palatino Linotype"/>
          <w:i/>
          <w:color w:val="000000"/>
          <w:sz w:val="22"/>
          <w:szCs w:val="22"/>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D243DA" w:rsidRPr="004A2A91" w:rsidRDefault="00D243DA">
      <w:pPr>
        <w:ind w:right="-592"/>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tabs>
          <w:tab w:val="left" w:pos="284"/>
          <w:tab w:val="left" w:pos="567"/>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La anterior jurisprudencia resulta aplicable al presente asunto, en dos aspectos: </w:t>
      </w:r>
    </w:p>
    <w:p w:rsidR="00D243DA" w:rsidRPr="004A2A91" w:rsidRDefault="00AB038D">
      <w:pPr>
        <w:numPr>
          <w:ilvl w:val="0"/>
          <w:numId w:val="8"/>
        </w:numPr>
        <w:spacing w:line="360" w:lineRule="auto"/>
        <w:ind w:left="567" w:right="-25" w:firstLine="0"/>
        <w:jc w:val="both"/>
        <w:rPr>
          <w:rFonts w:ascii="Palatino Linotype" w:eastAsia="Palatino Linotype" w:hAnsi="Palatino Linotype" w:cs="Palatino Linotype"/>
          <w:sz w:val="22"/>
          <w:szCs w:val="22"/>
        </w:rPr>
      </w:pPr>
      <w:r w:rsidRPr="004A2A91">
        <w:rPr>
          <w:rFonts w:ascii="Palatino Linotype" w:eastAsia="Palatino Linotype" w:hAnsi="Palatino Linotype" w:cs="Palatino Linotype"/>
          <w:b/>
          <w:sz w:val="22"/>
          <w:szCs w:val="22"/>
        </w:rPr>
        <w:t>La cesación de los efectos perniciosos del acto de autoridad:</w:t>
      </w:r>
      <w:r w:rsidRPr="004A2A91">
        <w:rPr>
          <w:rFonts w:ascii="Palatino Linotype" w:eastAsia="Palatino Linotype" w:hAnsi="Palatino Linotype" w:cs="Palatino Linotype"/>
          <w:sz w:val="22"/>
          <w:szCs w:val="22"/>
        </w:rPr>
        <w:t xml:space="preserve"> Al respecto, la Ley de Transparencia contempla la figura jurídica del sobreseimiento cuando el </w:t>
      </w:r>
      <w:r w:rsidRPr="004A2A91">
        <w:rPr>
          <w:rFonts w:ascii="Palatino Linotype" w:eastAsia="Palatino Linotype" w:hAnsi="Palatino Linotype" w:cs="Palatino Linotype"/>
          <w:b/>
          <w:sz w:val="22"/>
          <w:szCs w:val="22"/>
        </w:rPr>
        <w:t xml:space="preserve">SUJETO </w:t>
      </w:r>
      <w:r w:rsidRPr="004A2A91">
        <w:rPr>
          <w:rFonts w:ascii="Palatino Linotype" w:eastAsia="Palatino Linotype" w:hAnsi="Palatino Linotype" w:cs="Palatino Linotype"/>
          <w:b/>
          <w:sz w:val="22"/>
          <w:szCs w:val="22"/>
        </w:rPr>
        <w:lastRenderedPageBreak/>
        <w:t>OBLIGADO</w:t>
      </w:r>
      <w:r w:rsidRPr="004A2A91">
        <w:rPr>
          <w:rFonts w:ascii="Palatino Linotype" w:eastAsia="Palatino Linotype" w:hAnsi="Palatino Linotype" w:cs="Palatino Linotype"/>
          <w:sz w:val="22"/>
          <w:szCs w:val="22"/>
        </w:rPr>
        <w:t xml:space="preserve"> de </w:t>
      </w:r>
      <w:r w:rsidRPr="004A2A91">
        <w:rPr>
          <w:rFonts w:ascii="Palatino Linotype" w:eastAsia="Palatino Linotype" w:hAnsi="Palatino Linotype" w:cs="Palatino Linotype"/>
          <w:i/>
          <w:sz w:val="22"/>
          <w:szCs w:val="22"/>
        </w:rPr>
        <w:t>motu proprio</w:t>
      </w:r>
      <w:r w:rsidRPr="004A2A91">
        <w:rPr>
          <w:rFonts w:ascii="Palatino Linotype" w:eastAsia="Palatino Linotype" w:hAnsi="Palatino Linotype" w:cs="Palatino Linotype"/>
          <w:sz w:val="22"/>
          <w:szCs w:val="22"/>
        </w:rPr>
        <w:t xml:space="preserve"> modifica o revoca de tal manera el acto motivo de la impugnación que lo deja sin materia; es decir, cesan los efectos de éste y el derecho de acceso a la información pública se encuentra satisfecho.</w:t>
      </w:r>
    </w:p>
    <w:p w:rsidR="00D243DA" w:rsidRPr="004A2A91" w:rsidRDefault="00D243DA">
      <w:pPr>
        <w:spacing w:line="360" w:lineRule="auto"/>
        <w:ind w:left="567" w:right="-25"/>
        <w:rPr>
          <w:rFonts w:ascii="Palatino Linotype" w:eastAsia="Palatino Linotype" w:hAnsi="Palatino Linotype" w:cs="Palatino Linotype"/>
          <w:sz w:val="22"/>
          <w:szCs w:val="22"/>
        </w:rPr>
      </w:pPr>
    </w:p>
    <w:p w:rsidR="00D243DA" w:rsidRPr="004A2A91" w:rsidRDefault="00AB038D">
      <w:pPr>
        <w:numPr>
          <w:ilvl w:val="0"/>
          <w:numId w:val="8"/>
        </w:numPr>
        <w:spacing w:line="360" w:lineRule="auto"/>
        <w:ind w:left="567" w:right="-25" w:firstLine="0"/>
        <w:jc w:val="both"/>
        <w:rPr>
          <w:rFonts w:ascii="Palatino Linotype" w:eastAsia="Palatino Linotype" w:hAnsi="Palatino Linotype" w:cs="Palatino Linotype"/>
          <w:sz w:val="22"/>
          <w:szCs w:val="22"/>
        </w:rPr>
      </w:pPr>
      <w:r w:rsidRPr="004A2A91">
        <w:rPr>
          <w:rFonts w:ascii="Palatino Linotype" w:eastAsia="Palatino Linotype" w:hAnsi="Palatino Linotype" w:cs="Palatino Linotype"/>
          <w:b/>
          <w:sz w:val="22"/>
          <w:szCs w:val="22"/>
        </w:rPr>
        <w:t>El momento procesal para modificar el acto impugnado:</w:t>
      </w:r>
      <w:r w:rsidRPr="004A2A91">
        <w:rPr>
          <w:rFonts w:ascii="Palatino Linotype" w:eastAsia="Palatino Linotype" w:hAnsi="Palatino Linotype" w:cs="Palatino Linotype"/>
          <w:sz w:val="22"/>
          <w:szCs w:val="22"/>
        </w:rPr>
        <w:t xml:space="preserve"> Para que se actualice el sobreseimiento de un recurso de revisión, el </w:t>
      </w:r>
      <w:r w:rsidRPr="004A2A91">
        <w:rPr>
          <w:rFonts w:ascii="Palatino Linotype" w:eastAsia="Palatino Linotype" w:hAnsi="Palatino Linotype" w:cs="Palatino Linotype"/>
          <w:b/>
          <w:sz w:val="22"/>
          <w:szCs w:val="22"/>
        </w:rPr>
        <w:t>SUJETO OBLIGADO</w:t>
      </w:r>
      <w:r w:rsidRPr="004A2A91">
        <w:rPr>
          <w:rFonts w:ascii="Palatino Linotype" w:eastAsia="Palatino Linotype" w:hAnsi="Palatino Linotype" w:cs="Palatino Linotype"/>
          <w:sz w:val="22"/>
          <w:szCs w:val="22"/>
        </w:rPr>
        <w:t xml:space="preserve"> puede entregar o completar la información al momento de rendir su informe de justificación o </w:t>
      </w:r>
      <w:r w:rsidRPr="004A2A91">
        <w:rPr>
          <w:rFonts w:ascii="Palatino Linotype" w:eastAsia="Palatino Linotype" w:hAnsi="Palatino Linotype" w:cs="Palatino Linotype"/>
          <w:b/>
          <w:sz w:val="22"/>
          <w:szCs w:val="22"/>
          <w:u w:val="single"/>
        </w:rPr>
        <w:t>posteriormente</w:t>
      </w:r>
      <w:r w:rsidRPr="004A2A91">
        <w:rPr>
          <w:rFonts w:ascii="Palatino Linotype" w:eastAsia="Palatino Linotype" w:hAnsi="Palatino Linotype" w:cs="Palatino Linotype"/>
          <w:sz w:val="22"/>
          <w:szCs w:val="22"/>
        </w:rPr>
        <w:t xml:space="preserve"> a éste, siempre y cuando el Pleno del Instituto no haya dictado resolución definitiva.</w:t>
      </w:r>
    </w:p>
    <w:p w:rsidR="00D243DA" w:rsidRPr="004A2A91" w:rsidRDefault="00D243DA">
      <w:pPr>
        <w:pBdr>
          <w:top w:val="nil"/>
          <w:left w:val="nil"/>
          <w:bottom w:val="nil"/>
          <w:right w:val="nil"/>
          <w:between w:val="nil"/>
        </w:pBdr>
        <w:tabs>
          <w:tab w:val="left" w:pos="426"/>
          <w:tab w:val="left" w:pos="567"/>
        </w:tabs>
        <w:spacing w:line="360" w:lineRule="auto"/>
        <w:ind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tabs>
          <w:tab w:val="left" w:pos="284"/>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Eduardo Pallares, en su artículo </w:t>
      </w:r>
      <w:r w:rsidRPr="004A2A91">
        <w:rPr>
          <w:rFonts w:ascii="Palatino Linotype" w:eastAsia="Palatino Linotype" w:hAnsi="Palatino Linotype" w:cs="Palatino Linotype"/>
          <w:i/>
          <w:color w:val="000000"/>
        </w:rPr>
        <w:t>“La caducidad y el sobreseimiento en el amparo”</w:t>
      </w:r>
      <w:r w:rsidRPr="004A2A91">
        <w:rPr>
          <w:rFonts w:ascii="Palatino Linotype" w:eastAsia="Palatino Linotype" w:hAnsi="Palatino Linotype" w:cs="Palatino Linotype"/>
          <w:color w:val="000000"/>
        </w:rPr>
        <w:t xml:space="preserve">, cita la definición de Aguilera Paz, aduciendo que se </w:t>
      </w:r>
      <w:r w:rsidRPr="004A2A91">
        <w:rPr>
          <w:rFonts w:ascii="Palatino Linotype" w:eastAsia="Palatino Linotype" w:hAnsi="Palatino Linotype" w:cs="Palatino Linotype"/>
          <w:i/>
          <w:color w:val="000000"/>
        </w:rPr>
        <w:t>“...entiende por sobreseimiento en el tecnicismo forense, el hecho de cesar en el procedimiento o curso de la causa, por no existir méritos bastantes para entrar en un juicio o para entablar la contienda judicial que debe ser objeto del mismo...”</w:t>
      </w:r>
      <w:r w:rsidRPr="004A2A91">
        <w:rPr>
          <w:rFonts w:ascii="Palatino Linotype" w:eastAsia="Palatino Linotype" w:hAnsi="Palatino Linotype" w:cs="Palatino Linotype"/>
          <w:color w:val="000000"/>
        </w:rPr>
        <w:t>. Asimismo, señala que existe el sobreseimiento provisional y el definitivo</w:t>
      </w:r>
      <w:r w:rsidRPr="004A2A91">
        <w:rPr>
          <w:rFonts w:ascii="Palatino Linotype" w:eastAsia="Palatino Linotype" w:hAnsi="Palatino Linotype" w:cs="Palatino Linotype"/>
          <w:i/>
          <w:color w:val="000000"/>
        </w:rPr>
        <w:t>: “...el definitivo es una verdadera sentencia que pone fin al juicio, y que una vez dictada, produce cosa juzgada, mientras que el provisorio tiene por efectos suspender la prosecución de la causa...”</w:t>
      </w:r>
    </w:p>
    <w:p w:rsidR="00D243DA" w:rsidRPr="004A2A91" w:rsidRDefault="00AB038D">
      <w:pPr>
        <w:numPr>
          <w:ilvl w:val="0"/>
          <w:numId w:val="2"/>
        </w:numPr>
        <w:pBdr>
          <w:top w:val="nil"/>
          <w:left w:val="nil"/>
          <w:bottom w:val="nil"/>
          <w:right w:val="nil"/>
          <w:between w:val="nil"/>
        </w:pBdr>
        <w:tabs>
          <w:tab w:val="left" w:pos="284"/>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Así, para la doctrina el sobreseimiento provoca que un procedimiento se suspenda o se resuelva en definitiva </w:t>
      </w:r>
      <w:r w:rsidRPr="004A2A91">
        <w:rPr>
          <w:rFonts w:ascii="Palatino Linotype" w:eastAsia="Palatino Linotype" w:hAnsi="Palatino Linotype" w:cs="Palatino Linotype"/>
          <w:b/>
          <w:color w:val="000000"/>
          <w:u w:val="single"/>
        </w:rPr>
        <w:t xml:space="preserve">sin que se entre al estudio de los agravios o motivos de inconformidad. </w:t>
      </w:r>
      <w:r w:rsidRPr="004A2A91">
        <w:rPr>
          <w:rFonts w:ascii="Palatino Linotype" w:eastAsia="Palatino Linotype" w:hAnsi="Palatino Linotype" w:cs="Palatino Linotype"/>
          <w:color w:val="000000"/>
        </w:rPr>
        <w:t>Este mismo criterio es compartido por el más alto tribunal del país en múltiples jurisprudencias, por lo que a continuación se agrega una de ellas que sirve como orientador en esta resolución:</w:t>
      </w:r>
    </w:p>
    <w:p w:rsidR="00D243DA" w:rsidRPr="004A2A91" w:rsidRDefault="00AB038D">
      <w:pPr>
        <w:spacing w:line="360" w:lineRule="auto"/>
        <w:ind w:left="851" w:right="-25"/>
        <w:jc w:val="both"/>
        <w:rPr>
          <w:rFonts w:ascii="Palatino Linotype" w:eastAsia="Palatino Linotype" w:hAnsi="Palatino Linotype" w:cs="Palatino Linotype"/>
          <w:i/>
          <w:sz w:val="22"/>
          <w:szCs w:val="22"/>
        </w:rPr>
      </w:pPr>
      <w:r w:rsidRPr="004A2A91">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 El sobreseimiento</w:t>
      </w:r>
      <w:r w:rsidRPr="004A2A91">
        <w:rPr>
          <w:rFonts w:ascii="Palatino Linotype" w:eastAsia="Palatino Linotype" w:hAnsi="Palatino Linotype" w:cs="Palatino Linotype"/>
          <w:i/>
          <w:sz w:val="22"/>
          <w:szCs w:val="22"/>
        </w:rPr>
        <w:t xml:space="preserve"> en el juicio de amparo directo </w:t>
      </w:r>
      <w:r w:rsidRPr="004A2A91">
        <w:rPr>
          <w:rFonts w:ascii="Palatino Linotype" w:eastAsia="Palatino Linotype" w:hAnsi="Palatino Linotype" w:cs="Palatino Linotype"/>
          <w:b/>
          <w:i/>
          <w:sz w:val="22"/>
          <w:szCs w:val="22"/>
        </w:rPr>
        <w:t xml:space="preserve">provoca la terminación </w:t>
      </w:r>
      <w:r w:rsidRPr="004A2A91">
        <w:rPr>
          <w:rFonts w:ascii="Palatino Linotype" w:eastAsia="Palatino Linotype" w:hAnsi="Palatino Linotype" w:cs="Palatino Linotype"/>
          <w:b/>
          <w:i/>
          <w:sz w:val="22"/>
          <w:szCs w:val="22"/>
        </w:rPr>
        <w:lastRenderedPageBreak/>
        <w:t>de la controversia planteada</w:t>
      </w:r>
      <w:r w:rsidRPr="004A2A91">
        <w:rPr>
          <w:rFonts w:ascii="Palatino Linotype" w:eastAsia="Palatino Linotype" w:hAnsi="Palatino Linotype" w:cs="Palatino Linotype"/>
          <w:i/>
          <w:sz w:val="22"/>
          <w:szCs w:val="22"/>
        </w:rPr>
        <w:t xml:space="preserve"> por el quejoso en la demanda de amparo</w:t>
      </w:r>
      <w:r w:rsidRPr="004A2A91">
        <w:rPr>
          <w:rFonts w:ascii="Palatino Linotype" w:eastAsia="Palatino Linotype" w:hAnsi="Palatino Linotype" w:cs="Palatino Linotype"/>
          <w:b/>
          <w:i/>
          <w:sz w:val="22"/>
          <w:szCs w:val="22"/>
        </w:rPr>
        <w:t>, sin hacer un pronunciamiento de fondo sobre la legalidad o ilegalidad de la sentencia reclamada</w:t>
      </w:r>
      <w:r w:rsidRPr="004A2A91">
        <w:rPr>
          <w:rFonts w:ascii="Palatino Linotype" w:eastAsia="Palatino Linotype" w:hAnsi="Palatino Linotype" w:cs="Palatino Linotype"/>
          <w:i/>
          <w:sz w:val="22"/>
          <w:szCs w:val="22"/>
        </w:rPr>
        <w:t xml:space="preserve">. </w:t>
      </w:r>
      <w:r w:rsidRPr="004A2A91">
        <w:rPr>
          <w:rFonts w:ascii="Palatino Linotype" w:eastAsia="Palatino Linotype" w:hAnsi="Palatino Linotype" w:cs="Palatino Linotype"/>
          <w:b/>
          <w:i/>
          <w:sz w:val="22"/>
          <w:szCs w:val="22"/>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4A2A91">
        <w:rPr>
          <w:rFonts w:ascii="Palatino Linotype" w:eastAsia="Palatino Linotype" w:hAnsi="Palatino Linotype" w:cs="Palatino Linotype"/>
          <w:i/>
          <w:sz w:val="22"/>
          <w:szCs w:val="22"/>
        </w:rPr>
        <w:t>.</w:t>
      </w:r>
    </w:p>
    <w:p w:rsidR="00D243DA" w:rsidRPr="004A2A91" w:rsidRDefault="00AB038D">
      <w:pPr>
        <w:spacing w:line="360" w:lineRule="auto"/>
        <w:ind w:left="851" w:right="-25"/>
        <w:jc w:val="both"/>
        <w:rPr>
          <w:rFonts w:ascii="Palatino Linotype" w:eastAsia="Palatino Linotype" w:hAnsi="Palatino Linotype" w:cs="Palatino Linotype"/>
          <w:i/>
          <w:sz w:val="22"/>
          <w:szCs w:val="22"/>
        </w:rPr>
      </w:pPr>
      <w:r w:rsidRPr="004A2A91">
        <w:rPr>
          <w:rFonts w:ascii="Palatino Linotype" w:eastAsia="Palatino Linotype" w:hAnsi="Palatino Linotype" w:cs="Palatino Linotype"/>
          <w:i/>
          <w:sz w:val="22"/>
          <w:szCs w:val="22"/>
        </w:rPr>
        <w:t>SÉPTIMO TRIBUNAL COLEGIADO EN MATERIA CIVIL DEL PRIMER CIRCUITO.</w:t>
      </w:r>
    </w:p>
    <w:p w:rsidR="00D243DA" w:rsidRPr="004A2A91" w:rsidRDefault="00AB038D">
      <w:pPr>
        <w:spacing w:line="360" w:lineRule="auto"/>
        <w:ind w:left="851" w:right="-25"/>
        <w:jc w:val="both"/>
        <w:rPr>
          <w:rFonts w:ascii="Palatino Linotype" w:eastAsia="Palatino Linotype" w:hAnsi="Palatino Linotype" w:cs="Palatino Linotype"/>
          <w:b/>
          <w:i/>
          <w:sz w:val="22"/>
          <w:szCs w:val="22"/>
        </w:rPr>
      </w:pPr>
      <w:r w:rsidRPr="004A2A91">
        <w:rPr>
          <w:rFonts w:ascii="Palatino Linotype" w:eastAsia="Palatino Linotype" w:hAnsi="Palatino Linotype" w:cs="Palatino Linotype"/>
          <w:i/>
          <w:sz w:val="22"/>
          <w:szCs w:val="22"/>
        </w:rPr>
        <w:t>Amparo directo 699/2008. Mariana Leticia González Steele. 13 de noviembre de 2008. Unanimidad de votos. Ponente: Sara Judith Montalvo Trejo. Secretario: Arnulfo Mateos García.</w:t>
      </w:r>
    </w:p>
    <w:p w:rsidR="00D243DA" w:rsidRPr="004A2A91" w:rsidRDefault="00D243DA">
      <w:pPr>
        <w:spacing w:line="360" w:lineRule="auto"/>
        <w:ind w:right="-592"/>
        <w:jc w:val="both"/>
        <w:rPr>
          <w:rFonts w:ascii="Palatino Linotype" w:eastAsia="Palatino Linotype" w:hAnsi="Palatino Linotype" w:cs="Palatino Linotype"/>
          <w:b/>
          <w:i/>
        </w:rPr>
      </w:pPr>
    </w:p>
    <w:p w:rsidR="00D243DA" w:rsidRPr="004A2A91" w:rsidRDefault="00AB038D">
      <w:pPr>
        <w:numPr>
          <w:ilvl w:val="0"/>
          <w:numId w:val="2"/>
        </w:numPr>
        <w:pBdr>
          <w:top w:val="nil"/>
          <w:left w:val="nil"/>
          <w:bottom w:val="nil"/>
          <w:right w:val="nil"/>
          <w:between w:val="nil"/>
        </w:pBdr>
        <w:tabs>
          <w:tab w:val="left" w:pos="284"/>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Consecuentemente, por lo que hace a los motivos de inconformidad, los mismos devienen inatendibles por actualizarse la figura del sobreseimiento, misma que impide el estudio de los agravios planteados, máxime que se ha dado cumplimiento al derecho de acceso a la información.</w:t>
      </w:r>
    </w:p>
    <w:p w:rsidR="00D243DA" w:rsidRPr="004A2A91" w:rsidRDefault="00D243DA">
      <w:pPr>
        <w:pBdr>
          <w:top w:val="nil"/>
          <w:left w:val="nil"/>
          <w:bottom w:val="nil"/>
          <w:right w:val="nil"/>
          <w:between w:val="nil"/>
        </w:pBdr>
        <w:tabs>
          <w:tab w:val="left" w:pos="284"/>
        </w:tabs>
        <w:spacing w:line="360" w:lineRule="auto"/>
        <w:ind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tabs>
          <w:tab w:val="left" w:pos="284"/>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Bajo ese tenor y en términos del artículo 186 fracción I este Pleno determina el </w:t>
      </w:r>
      <w:r w:rsidRPr="004A2A91">
        <w:rPr>
          <w:rFonts w:ascii="Palatino Linotype" w:eastAsia="Palatino Linotype" w:hAnsi="Palatino Linotype" w:cs="Palatino Linotype"/>
          <w:b/>
          <w:color w:val="000000"/>
        </w:rPr>
        <w:t xml:space="preserve">SOBRESEIMIENTO </w:t>
      </w:r>
      <w:r w:rsidRPr="004A2A91">
        <w:rPr>
          <w:rFonts w:ascii="Palatino Linotype" w:eastAsia="Palatino Linotype" w:hAnsi="Palatino Linotype" w:cs="Palatino Linotype"/>
          <w:color w:val="000000"/>
        </w:rPr>
        <w:t xml:space="preserve">del recurso de revisión </w:t>
      </w:r>
      <w:r w:rsidRPr="004A2A91">
        <w:rPr>
          <w:rFonts w:ascii="Palatino Linotype" w:eastAsia="Palatino Linotype" w:hAnsi="Palatino Linotype" w:cs="Palatino Linotype"/>
          <w:b/>
          <w:color w:val="000000"/>
        </w:rPr>
        <w:t>04018/INFOEM/IP/RR/2024</w:t>
      </w:r>
      <w:r w:rsidRPr="004A2A91">
        <w:rPr>
          <w:rFonts w:ascii="Palatino Linotype" w:eastAsia="Palatino Linotype" w:hAnsi="Palatino Linotype" w:cs="Palatino Linotype"/>
          <w:color w:val="000000"/>
        </w:rPr>
        <w:t>, toda vez que la afectación al derecho de acceso a la información pública establecido constitucionalmente a favor del Particular ha sido resarcida.</w:t>
      </w:r>
    </w:p>
    <w:p w:rsidR="00D243DA" w:rsidRPr="004A2A91" w:rsidRDefault="00D243DA">
      <w:pPr>
        <w:pBdr>
          <w:top w:val="nil"/>
          <w:left w:val="nil"/>
          <w:bottom w:val="nil"/>
          <w:right w:val="nil"/>
          <w:between w:val="nil"/>
        </w:pBdr>
        <w:shd w:val="clear" w:color="auto" w:fill="FFFFFF"/>
        <w:tabs>
          <w:tab w:val="left" w:pos="284"/>
        </w:tabs>
        <w:spacing w:line="360" w:lineRule="auto"/>
        <w:ind w:right="-592"/>
        <w:jc w:val="both"/>
        <w:rPr>
          <w:rFonts w:ascii="Palatino Linotype" w:eastAsia="Palatino Linotype" w:hAnsi="Palatino Linotype" w:cs="Palatino Linotype"/>
          <w:color w:val="000000"/>
        </w:rPr>
      </w:pPr>
    </w:p>
    <w:p w:rsidR="00D243DA" w:rsidRPr="004A2A91" w:rsidRDefault="00AB038D">
      <w:pPr>
        <w:numPr>
          <w:ilvl w:val="0"/>
          <w:numId w:val="2"/>
        </w:numPr>
        <w:pBdr>
          <w:top w:val="nil"/>
          <w:left w:val="nil"/>
          <w:bottom w:val="nil"/>
          <w:right w:val="nil"/>
          <w:between w:val="nil"/>
        </w:pBdr>
        <w:tabs>
          <w:tab w:val="left" w:pos="284"/>
        </w:tabs>
        <w:spacing w:line="360" w:lineRule="auto"/>
        <w:ind w:left="0" w:right="-592" w:firstLine="0"/>
        <w:jc w:val="both"/>
        <w:rPr>
          <w:rFonts w:ascii="Palatino Linotype" w:eastAsia="Palatino Linotype" w:hAnsi="Palatino Linotype" w:cs="Palatino Linotype"/>
          <w:color w:val="000000"/>
        </w:rPr>
      </w:pPr>
      <w:r w:rsidRPr="004A2A91">
        <w:rPr>
          <w:rFonts w:ascii="Palatino Linotype" w:eastAsia="Palatino Linotype" w:hAnsi="Palatino Linotype" w:cs="Palatino Linotype"/>
          <w:color w:val="000000"/>
        </w:rPr>
        <w:t xml:space="preserve">Por lo anteriormente expuesto y fundado, este </w:t>
      </w:r>
      <w:r w:rsidRPr="004A2A91">
        <w:rPr>
          <w:rFonts w:ascii="Palatino Linotype" w:eastAsia="Palatino Linotype" w:hAnsi="Palatino Linotype" w:cs="Palatino Linotype"/>
          <w:b/>
          <w:color w:val="000000"/>
        </w:rPr>
        <w:t>ÓRGANO GARANTE</w:t>
      </w:r>
      <w:r w:rsidRPr="004A2A91">
        <w:rPr>
          <w:rFonts w:ascii="Palatino Linotype" w:eastAsia="Palatino Linotype" w:hAnsi="Palatino Linotype" w:cs="Palatino Linotype"/>
          <w:color w:val="000000"/>
        </w:rPr>
        <w:t xml:space="preserve"> emite los siguientes:</w:t>
      </w:r>
    </w:p>
    <w:p w:rsidR="00D243DA" w:rsidRPr="004A2A91" w:rsidRDefault="00D243DA">
      <w:pPr>
        <w:pBdr>
          <w:top w:val="nil"/>
          <w:left w:val="nil"/>
          <w:bottom w:val="nil"/>
          <w:right w:val="nil"/>
          <w:between w:val="nil"/>
        </w:pBdr>
        <w:tabs>
          <w:tab w:val="left" w:pos="284"/>
        </w:tabs>
        <w:spacing w:line="360" w:lineRule="auto"/>
        <w:ind w:right="-592"/>
        <w:jc w:val="both"/>
        <w:rPr>
          <w:rFonts w:ascii="Palatino Linotype" w:eastAsia="Palatino Linotype" w:hAnsi="Palatino Linotype" w:cs="Palatino Linotype"/>
          <w:color w:val="000000"/>
        </w:rPr>
      </w:pPr>
    </w:p>
    <w:p w:rsidR="00D243DA" w:rsidRPr="004A2A91" w:rsidRDefault="00AB038D">
      <w:pPr>
        <w:spacing w:line="360" w:lineRule="auto"/>
        <w:ind w:right="-592"/>
        <w:jc w:val="center"/>
        <w:rPr>
          <w:rFonts w:ascii="Palatino Linotype" w:eastAsia="Palatino Linotype" w:hAnsi="Palatino Linotype" w:cs="Palatino Linotype"/>
          <w:b/>
        </w:rPr>
      </w:pPr>
      <w:r w:rsidRPr="004A2A91">
        <w:rPr>
          <w:rFonts w:ascii="Palatino Linotype" w:eastAsia="Palatino Linotype" w:hAnsi="Palatino Linotype" w:cs="Palatino Linotype"/>
          <w:b/>
        </w:rPr>
        <w:lastRenderedPageBreak/>
        <w:t>R E S O L U T I V O S</w:t>
      </w:r>
    </w:p>
    <w:p w:rsidR="00D243DA" w:rsidRPr="004A2A91" w:rsidRDefault="00D243DA">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D243DA" w:rsidRPr="004A2A91" w:rsidRDefault="00AB038D">
      <w:pPr>
        <w:spacing w:line="360" w:lineRule="auto"/>
        <w:ind w:right="-592"/>
        <w:jc w:val="both"/>
        <w:rPr>
          <w:rFonts w:ascii="Palatino Linotype" w:eastAsia="Palatino Linotype" w:hAnsi="Palatino Linotype" w:cs="Palatino Linotype"/>
        </w:rPr>
      </w:pPr>
      <w:r w:rsidRPr="004A2A91">
        <w:rPr>
          <w:rFonts w:ascii="Palatino Linotype" w:eastAsia="Palatino Linotype" w:hAnsi="Palatino Linotype" w:cs="Palatino Linotype"/>
          <w:b/>
        </w:rPr>
        <w:t xml:space="preserve">PRIMERO. </w:t>
      </w:r>
      <w:r w:rsidRPr="004A2A91">
        <w:rPr>
          <w:rFonts w:ascii="Palatino Linotype" w:eastAsia="Palatino Linotype" w:hAnsi="Palatino Linotype" w:cs="Palatino Linotype"/>
        </w:rPr>
        <w:t xml:space="preserve">Se </w:t>
      </w:r>
      <w:r w:rsidRPr="004A2A91">
        <w:rPr>
          <w:rFonts w:ascii="Palatino Linotype" w:eastAsia="Palatino Linotype" w:hAnsi="Palatino Linotype" w:cs="Palatino Linotype"/>
          <w:b/>
        </w:rPr>
        <w:t>SOBRESEE</w:t>
      </w:r>
      <w:r w:rsidRPr="004A2A91">
        <w:rPr>
          <w:rFonts w:ascii="Palatino Linotype" w:eastAsia="Palatino Linotype" w:hAnsi="Palatino Linotype" w:cs="Palatino Linotype"/>
        </w:rPr>
        <w:t xml:space="preserve"> el recurso de revisión número </w:t>
      </w:r>
      <w:r w:rsidRPr="004A2A91">
        <w:rPr>
          <w:rFonts w:ascii="Palatino Linotype" w:eastAsia="Palatino Linotype" w:hAnsi="Palatino Linotype" w:cs="Palatino Linotype"/>
          <w:b/>
        </w:rPr>
        <w:t xml:space="preserve">04018/INFOEM/IP/RR/2024 </w:t>
      </w:r>
      <w:r w:rsidRPr="004A2A91">
        <w:rPr>
          <w:rFonts w:ascii="Palatino Linotype" w:eastAsia="Palatino Linotype" w:hAnsi="Palatino Linotype" w:cs="Palatino Linotype"/>
        </w:rPr>
        <w:t>conforme al artículo 192</w:t>
      </w:r>
      <w:r w:rsidR="0036684F" w:rsidRPr="004A2A91">
        <w:rPr>
          <w:rFonts w:ascii="Palatino Linotype" w:eastAsia="Palatino Linotype" w:hAnsi="Palatino Linotype" w:cs="Palatino Linotype"/>
        </w:rPr>
        <w:t>,</w:t>
      </w:r>
      <w:r w:rsidRPr="004A2A91">
        <w:rPr>
          <w:rFonts w:ascii="Palatino Linotype" w:eastAsia="Palatino Linotype" w:hAnsi="Palatino Linotype" w:cs="Palatino Linotype"/>
        </w:rPr>
        <w:t xml:space="preserve"> fracción III</w:t>
      </w:r>
      <w:r w:rsidR="0036684F" w:rsidRPr="004A2A91">
        <w:rPr>
          <w:rFonts w:ascii="Palatino Linotype" w:eastAsia="Palatino Linotype" w:hAnsi="Palatino Linotype" w:cs="Palatino Linotype"/>
        </w:rPr>
        <w:t>,</w:t>
      </w:r>
      <w:r w:rsidRPr="004A2A91">
        <w:rPr>
          <w:rFonts w:ascii="Palatino Linotype" w:eastAsia="Palatino Linotype" w:hAnsi="Palatino Linotype" w:cs="Palatino Linotype"/>
        </w:rPr>
        <w:t xml:space="preserve"> de la Ley de Transparencia y Acceso a la Información Pública del Estado de México y Municipios, porque al </w:t>
      </w:r>
      <w:r w:rsidRPr="004A2A91">
        <w:rPr>
          <w:rFonts w:ascii="Palatino Linotype" w:eastAsia="Palatino Linotype" w:hAnsi="Palatino Linotype" w:cs="Palatino Linotype"/>
          <w:b/>
        </w:rPr>
        <w:t>modificar la respuesta a través del informe justificado y atender lo solicitado</w:t>
      </w:r>
      <w:r w:rsidRPr="004A2A91">
        <w:rPr>
          <w:rFonts w:ascii="Palatino Linotype" w:eastAsia="Palatino Linotype" w:hAnsi="Palatino Linotype" w:cs="Palatino Linotype"/>
        </w:rPr>
        <w:t xml:space="preserve">, el recurso de revisión quedó sin materia en términos del Considerando </w:t>
      </w:r>
      <w:r w:rsidRPr="004A2A91">
        <w:rPr>
          <w:rFonts w:ascii="Palatino Linotype" w:eastAsia="Palatino Linotype" w:hAnsi="Palatino Linotype" w:cs="Palatino Linotype"/>
          <w:b/>
        </w:rPr>
        <w:t>TERCERO</w:t>
      </w:r>
      <w:r w:rsidRPr="004A2A91">
        <w:rPr>
          <w:rFonts w:ascii="Palatino Linotype" w:eastAsia="Palatino Linotype" w:hAnsi="Palatino Linotype" w:cs="Palatino Linotype"/>
        </w:rPr>
        <w:t xml:space="preserve"> de la presente resolución.</w:t>
      </w:r>
    </w:p>
    <w:p w:rsidR="00D243DA" w:rsidRPr="004A2A91" w:rsidRDefault="00D243DA">
      <w:pPr>
        <w:spacing w:line="360" w:lineRule="auto"/>
        <w:ind w:right="-592"/>
        <w:jc w:val="both"/>
        <w:rPr>
          <w:rFonts w:ascii="Palatino Linotype" w:eastAsia="Palatino Linotype" w:hAnsi="Palatino Linotype" w:cs="Palatino Linotype"/>
        </w:rPr>
      </w:pPr>
    </w:p>
    <w:p w:rsidR="00D243DA" w:rsidRPr="004A2A91" w:rsidRDefault="0036684F">
      <w:pPr>
        <w:spacing w:line="360" w:lineRule="auto"/>
        <w:ind w:right="-592"/>
        <w:jc w:val="both"/>
        <w:rPr>
          <w:rFonts w:ascii="Palatino Linotype" w:eastAsia="Palatino Linotype" w:hAnsi="Palatino Linotype" w:cs="Palatino Linotype"/>
          <w:b/>
        </w:rPr>
      </w:pPr>
      <w:bookmarkStart w:id="5" w:name="_heading=h.tyjcwt" w:colFirst="0" w:colLast="0"/>
      <w:bookmarkEnd w:id="5"/>
      <w:r w:rsidRPr="004A2A91">
        <w:rPr>
          <w:rFonts w:ascii="Palatino Linotype" w:eastAsia="Palatino Linotype" w:hAnsi="Palatino Linotype" w:cs="Palatino Linotype"/>
          <w:b/>
        </w:rPr>
        <w:t>SEGUNDO. Notifíquese</w:t>
      </w:r>
      <w:r w:rsidR="00AB038D" w:rsidRPr="004A2A91">
        <w:rPr>
          <w:rFonts w:ascii="Palatino Linotype" w:eastAsia="Palatino Linotype" w:hAnsi="Palatino Linotype" w:cs="Palatino Linotype"/>
          <w:b/>
        </w:rPr>
        <w:t xml:space="preserve"> </w:t>
      </w:r>
      <w:r w:rsidR="00AB038D" w:rsidRPr="004A2A91">
        <w:rPr>
          <w:rFonts w:ascii="Palatino Linotype" w:eastAsia="Palatino Linotype" w:hAnsi="Palatino Linotype" w:cs="Palatino Linotype"/>
        </w:rPr>
        <w:t xml:space="preserve">a través del Sistema de Acceso a la Información Mexiquense </w:t>
      </w:r>
      <w:r w:rsidR="00AB038D" w:rsidRPr="004A2A91">
        <w:rPr>
          <w:rFonts w:ascii="Palatino Linotype" w:eastAsia="Palatino Linotype" w:hAnsi="Palatino Linotype" w:cs="Palatino Linotype"/>
          <w:b/>
        </w:rPr>
        <w:t xml:space="preserve">(SAIMEX) </w:t>
      </w:r>
      <w:r w:rsidR="00AB038D" w:rsidRPr="004A2A91">
        <w:rPr>
          <w:rFonts w:ascii="Palatino Linotype" w:eastAsia="Palatino Linotype" w:hAnsi="Palatino Linotype" w:cs="Palatino Linotype"/>
        </w:rPr>
        <w:t>la presente resolución al Titular de la Unidad de Transparencia del</w:t>
      </w:r>
      <w:r w:rsidR="00AB038D" w:rsidRPr="004A2A91">
        <w:rPr>
          <w:rFonts w:ascii="Palatino Linotype" w:eastAsia="Palatino Linotype" w:hAnsi="Palatino Linotype" w:cs="Palatino Linotype"/>
          <w:b/>
        </w:rPr>
        <w:t xml:space="preserve"> SUJETO OBLIGADO. </w:t>
      </w:r>
    </w:p>
    <w:p w:rsidR="00D243DA" w:rsidRPr="004A2A91" w:rsidRDefault="00AB038D">
      <w:pPr>
        <w:tabs>
          <w:tab w:val="left" w:pos="3263"/>
        </w:tabs>
        <w:spacing w:line="360" w:lineRule="auto"/>
        <w:ind w:right="-592"/>
        <w:jc w:val="both"/>
        <w:rPr>
          <w:rFonts w:ascii="Palatino Linotype" w:eastAsia="Palatino Linotype" w:hAnsi="Palatino Linotype" w:cs="Palatino Linotype"/>
          <w:b/>
        </w:rPr>
      </w:pPr>
      <w:r w:rsidRPr="004A2A91">
        <w:rPr>
          <w:rFonts w:ascii="Palatino Linotype" w:eastAsia="Palatino Linotype" w:hAnsi="Palatino Linotype" w:cs="Palatino Linotype"/>
          <w:b/>
        </w:rPr>
        <w:tab/>
      </w:r>
    </w:p>
    <w:p w:rsidR="00D243DA" w:rsidRPr="004A2A91" w:rsidRDefault="00AB038D">
      <w:pPr>
        <w:spacing w:line="360" w:lineRule="auto"/>
        <w:ind w:right="-592"/>
        <w:jc w:val="both"/>
        <w:rPr>
          <w:rFonts w:ascii="Palatino Linotype" w:eastAsia="Palatino Linotype" w:hAnsi="Palatino Linotype" w:cs="Palatino Linotype"/>
          <w:color w:val="222222"/>
        </w:rPr>
      </w:pPr>
      <w:r w:rsidRPr="004A2A91">
        <w:rPr>
          <w:rFonts w:ascii="Palatino Linotype" w:eastAsia="Palatino Linotype" w:hAnsi="Palatino Linotype" w:cs="Palatino Linotype"/>
          <w:b/>
        </w:rPr>
        <w:t xml:space="preserve">TERCERO. Notifíquese </w:t>
      </w:r>
      <w:r w:rsidRPr="004A2A91">
        <w:rPr>
          <w:rFonts w:ascii="Palatino Linotype" w:eastAsia="Palatino Linotype" w:hAnsi="Palatino Linotype" w:cs="Palatino Linotype"/>
        </w:rPr>
        <w:t xml:space="preserve">al </w:t>
      </w:r>
      <w:r w:rsidRPr="004A2A91">
        <w:rPr>
          <w:rFonts w:ascii="Palatino Linotype" w:eastAsia="Palatino Linotype" w:hAnsi="Palatino Linotype" w:cs="Palatino Linotype"/>
          <w:b/>
        </w:rPr>
        <w:t>RECURRENTE</w:t>
      </w:r>
      <w:r w:rsidRPr="004A2A91">
        <w:rPr>
          <w:rFonts w:ascii="Palatino Linotype" w:eastAsia="Palatino Linotype" w:hAnsi="Palatino Linotype" w:cs="Palatino Linotype"/>
        </w:rPr>
        <w:t xml:space="preserve"> la presente resolución vía SAIMEX.</w:t>
      </w:r>
    </w:p>
    <w:p w:rsidR="00D243DA" w:rsidRPr="004A2A91" w:rsidRDefault="00D243DA">
      <w:pPr>
        <w:spacing w:line="360" w:lineRule="auto"/>
        <w:ind w:right="-592"/>
        <w:jc w:val="both"/>
        <w:rPr>
          <w:rFonts w:ascii="Palatino Linotype" w:eastAsia="Palatino Linotype" w:hAnsi="Palatino Linotype" w:cs="Palatino Linotype"/>
          <w:color w:val="222222"/>
        </w:rPr>
      </w:pPr>
    </w:p>
    <w:p w:rsidR="00D243DA" w:rsidRPr="004A2A91" w:rsidRDefault="00AB038D">
      <w:pPr>
        <w:spacing w:line="360" w:lineRule="auto"/>
        <w:ind w:right="-592"/>
        <w:jc w:val="both"/>
        <w:rPr>
          <w:rFonts w:ascii="Palatino Linotype" w:eastAsia="Palatino Linotype" w:hAnsi="Palatino Linotype" w:cs="Palatino Linotype"/>
        </w:rPr>
      </w:pPr>
      <w:r w:rsidRPr="004A2A91">
        <w:rPr>
          <w:rFonts w:ascii="Palatino Linotype" w:eastAsia="Palatino Linotype" w:hAnsi="Palatino Linotype" w:cs="Palatino Linotype"/>
          <w:b/>
        </w:rPr>
        <w:t>CUARTO.</w:t>
      </w:r>
      <w:r w:rsidRPr="004A2A91">
        <w:rPr>
          <w:rFonts w:ascii="Palatino Linotype" w:eastAsia="Palatino Linotype" w:hAnsi="Palatino Linotype" w:cs="Palatino Linotype"/>
        </w:rPr>
        <w:t xml:space="preserve"> Se hace del conocimiento del </w:t>
      </w:r>
      <w:r w:rsidRPr="004A2A91">
        <w:rPr>
          <w:rFonts w:ascii="Palatino Linotype" w:eastAsia="Palatino Linotype" w:hAnsi="Palatino Linotype" w:cs="Palatino Linotype"/>
          <w:b/>
        </w:rPr>
        <w:t>RECURRENTE</w:t>
      </w:r>
      <w:r w:rsidRPr="004A2A91">
        <w:rPr>
          <w:rFonts w:ascii="Palatino Linotype" w:eastAsia="Palatino Linotype" w:hAnsi="Palatino Linotype" w:cs="Palatino Linotype"/>
        </w:rPr>
        <w:t xml:space="preserve"> que, de conformidad con lo establecido en el artículo 196</w:t>
      </w:r>
      <w:r w:rsidR="0036684F" w:rsidRPr="004A2A91">
        <w:rPr>
          <w:rFonts w:ascii="Palatino Linotype" w:eastAsia="Palatino Linotype" w:hAnsi="Palatino Linotype" w:cs="Palatino Linotype"/>
        </w:rPr>
        <w:t>,</w:t>
      </w:r>
      <w:r w:rsidRPr="004A2A91">
        <w:rPr>
          <w:rFonts w:ascii="Palatino Linotype" w:eastAsia="Palatino Linotype" w:hAnsi="Palatino Linotype" w:cs="Palatino Linotype"/>
        </w:rPr>
        <w:t xml:space="preserve"> de la Ley de Transparencia y Acceso a la Información Pública del Estado de México y Municipios, en caso de que considere que la resolución le cause algún perjuicio podrá impugnar vía juicio de amparo en los términos de las leyes aplicables.</w:t>
      </w:r>
    </w:p>
    <w:p w:rsidR="00D243DA" w:rsidRPr="004A2A91" w:rsidRDefault="00D243DA">
      <w:pPr>
        <w:spacing w:line="360" w:lineRule="auto"/>
        <w:ind w:right="-592"/>
        <w:jc w:val="both"/>
        <w:rPr>
          <w:rFonts w:ascii="Palatino Linotype" w:eastAsia="Palatino Linotype" w:hAnsi="Palatino Linotype" w:cs="Palatino Linotype"/>
        </w:rPr>
      </w:pPr>
    </w:p>
    <w:p w:rsidR="0036684F" w:rsidRPr="003C7186" w:rsidRDefault="0036684F" w:rsidP="0036684F">
      <w:pPr>
        <w:spacing w:line="360" w:lineRule="auto"/>
        <w:ind w:right="-454" w:firstLine="1"/>
        <w:jc w:val="both"/>
        <w:rPr>
          <w:rFonts w:ascii="Palatino Linotype" w:hAnsi="Palatino Linotype"/>
        </w:rPr>
      </w:pPr>
      <w:r w:rsidRPr="004A2A91">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w:t>
      </w:r>
      <w:r w:rsidRPr="004A2A91">
        <w:rPr>
          <w:rFonts w:ascii="Palatino Linotype" w:hAnsi="Palatino Linotype"/>
        </w:rPr>
        <w:lastRenderedPageBreak/>
        <w:t>NORIEGA Y GUADALUPE RAMÍREZ PEÑA; EN LA OCTAVA SESIÓN ORDINARIA CELEBRADA EL SEIS (06) DE MARZO DE DOS MIL VEINTICINCO, ANTE EL SECRETARIO TÉCNICO DEL PLENO ALEXIS TAPIA RAMÍREZ.</w:t>
      </w:r>
      <w:r w:rsidRPr="003C7186">
        <w:rPr>
          <w:rFonts w:ascii="Palatino Linotype" w:hAnsi="Palatino Linotype"/>
        </w:rPr>
        <w:t xml:space="preserve"> </w:t>
      </w:r>
    </w:p>
    <w:p w:rsidR="00D243DA" w:rsidRDefault="00D243DA">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p w:rsidR="004A2A91" w:rsidRDefault="004A2A91">
      <w:pPr>
        <w:ind w:right="-592"/>
      </w:pPr>
    </w:p>
    <w:sectPr w:rsidR="004A2A91">
      <w:headerReference w:type="even" r:id="rId25"/>
      <w:headerReference w:type="default" r:id="rId26"/>
      <w:footerReference w:type="default" r:id="rId27"/>
      <w:headerReference w:type="first" r:id="rId28"/>
      <w:footerReference w:type="first" r:id="rId29"/>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7DC" w:rsidRDefault="00C227DC">
      <w:r>
        <w:separator/>
      </w:r>
    </w:p>
  </w:endnote>
  <w:endnote w:type="continuationSeparator" w:id="0">
    <w:p w:rsidR="00C227DC" w:rsidRDefault="00C2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3DA" w:rsidRDefault="00AB038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77F23">
      <w:rPr>
        <w:b/>
        <w:noProof/>
        <w:color w:val="000000"/>
      </w:rPr>
      <w:t>6</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77F23">
      <w:rPr>
        <w:b/>
        <w:noProof/>
        <w:color w:val="000000"/>
      </w:rPr>
      <w:t>27</w:t>
    </w:r>
    <w:r>
      <w:rPr>
        <w:b/>
        <w:color w:val="000000"/>
      </w:rPr>
      <w:fldChar w:fldCharType="end"/>
    </w:r>
  </w:p>
  <w:p w:rsidR="00D243DA" w:rsidRDefault="00D243D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3DA" w:rsidRDefault="00AB038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E77F23">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E77F23">
      <w:rPr>
        <w:b/>
        <w:noProof/>
        <w:color w:val="000000"/>
      </w:rPr>
      <w:t>27</w:t>
    </w:r>
    <w:r>
      <w:rPr>
        <w:b/>
        <w:color w:val="000000"/>
      </w:rPr>
      <w:fldChar w:fldCharType="end"/>
    </w:r>
  </w:p>
  <w:p w:rsidR="00D243DA" w:rsidRDefault="00D243D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7DC" w:rsidRDefault="00C227DC">
      <w:r>
        <w:separator/>
      </w:r>
    </w:p>
  </w:footnote>
  <w:footnote w:type="continuationSeparator" w:id="0">
    <w:p w:rsidR="00C227DC" w:rsidRDefault="00C227DC">
      <w:r>
        <w:continuationSeparator/>
      </w:r>
    </w:p>
  </w:footnote>
  <w:footnote w:id="1">
    <w:p w:rsidR="00D243DA" w:rsidRDefault="00AB038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Ley de Transparencia y Acceso a la Información Pública del Estado de México y Municipios.</w:t>
      </w:r>
    </w:p>
    <w:p w:rsidR="00D243DA" w:rsidRDefault="00AB038D">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Artículo 151. Ibídem.</w:t>
      </w:r>
    </w:p>
  </w:footnote>
  <w:footnote w:id="2">
    <w:p w:rsidR="00D243DA" w:rsidRDefault="00AB038D">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Fracción IV. Artículo 53.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3DA" w:rsidRDefault="00C227DC">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3DA" w:rsidRDefault="00D243DA">
    <w:pPr>
      <w:widowControl w:val="0"/>
      <w:pBdr>
        <w:top w:val="nil"/>
        <w:left w:val="nil"/>
        <w:bottom w:val="nil"/>
        <w:right w:val="nil"/>
        <w:between w:val="nil"/>
      </w:pBdr>
      <w:spacing w:line="276" w:lineRule="auto"/>
      <w:rPr>
        <w:color w:val="000000"/>
      </w:rPr>
    </w:pPr>
  </w:p>
  <w:tbl>
    <w:tblPr>
      <w:tblStyle w:val="a1"/>
      <w:tblW w:w="9214" w:type="dxa"/>
      <w:tblInd w:w="0" w:type="dxa"/>
      <w:tblLayout w:type="fixed"/>
      <w:tblLook w:val="0400" w:firstRow="0" w:lastRow="0" w:firstColumn="0" w:lastColumn="0" w:noHBand="0" w:noVBand="1"/>
    </w:tblPr>
    <w:tblGrid>
      <w:gridCol w:w="2268"/>
      <w:gridCol w:w="6946"/>
    </w:tblGrid>
    <w:tr w:rsidR="00D243DA">
      <w:trPr>
        <w:trHeight w:val="1435"/>
      </w:trPr>
      <w:tc>
        <w:tcPr>
          <w:tcW w:w="2268" w:type="dxa"/>
          <w:shd w:val="clear" w:color="auto" w:fill="auto"/>
        </w:tcPr>
        <w:p w:rsidR="00D243DA" w:rsidRDefault="00D243DA">
          <w:pPr>
            <w:tabs>
              <w:tab w:val="right" w:pos="4273"/>
            </w:tabs>
            <w:rPr>
              <w:rFonts w:ascii="Garamond" w:eastAsia="Garamond" w:hAnsi="Garamond" w:cs="Garamond"/>
              <w:sz w:val="16"/>
              <w:szCs w:val="16"/>
            </w:rPr>
          </w:pPr>
        </w:p>
      </w:tc>
      <w:tc>
        <w:tcPr>
          <w:tcW w:w="6946" w:type="dxa"/>
          <w:shd w:val="clear" w:color="auto" w:fill="auto"/>
        </w:tcPr>
        <w:p w:rsidR="00D243DA" w:rsidRDefault="00D243DA"/>
        <w:tbl>
          <w:tblPr>
            <w:tblStyle w:val="a2"/>
            <w:tblW w:w="6662" w:type="dxa"/>
            <w:tblInd w:w="40" w:type="dxa"/>
            <w:tblLayout w:type="fixed"/>
            <w:tblLook w:val="0400" w:firstRow="0" w:lastRow="0" w:firstColumn="0" w:lastColumn="0" w:noHBand="0" w:noVBand="1"/>
          </w:tblPr>
          <w:tblGrid>
            <w:gridCol w:w="2551"/>
            <w:gridCol w:w="4111"/>
          </w:tblGrid>
          <w:tr w:rsidR="00D243DA">
            <w:trPr>
              <w:trHeight w:val="150"/>
            </w:trPr>
            <w:tc>
              <w:tcPr>
                <w:tcW w:w="2551" w:type="dxa"/>
                <w:shd w:val="clear" w:color="auto" w:fill="auto"/>
              </w:tcPr>
              <w:p w:rsidR="00D243DA" w:rsidRDefault="00AB038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11" w:type="dxa"/>
                <w:shd w:val="clear" w:color="auto" w:fill="auto"/>
              </w:tcPr>
              <w:p w:rsidR="00D243DA" w:rsidRDefault="00AB038D">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04018/INFOEM/IP/RR/2024</w:t>
                </w:r>
              </w:p>
            </w:tc>
          </w:tr>
          <w:tr w:rsidR="00D243DA">
            <w:trPr>
              <w:trHeight w:val="295"/>
            </w:trPr>
            <w:tc>
              <w:tcPr>
                <w:tcW w:w="2551" w:type="dxa"/>
                <w:shd w:val="clear" w:color="auto" w:fill="auto"/>
              </w:tcPr>
              <w:p w:rsidR="00D243DA" w:rsidRDefault="00AB038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11" w:type="dxa"/>
                <w:shd w:val="clear" w:color="auto" w:fill="auto"/>
              </w:tcPr>
              <w:p w:rsidR="00D243DA" w:rsidRDefault="00AB038D">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Electoral del Estado de México</w:t>
                </w:r>
              </w:p>
            </w:tc>
          </w:tr>
          <w:tr w:rsidR="00D243DA">
            <w:trPr>
              <w:trHeight w:val="295"/>
            </w:trPr>
            <w:tc>
              <w:tcPr>
                <w:tcW w:w="2551" w:type="dxa"/>
                <w:shd w:val="clear" w:color="auto" w:fill="auto"/>
              </w:tcPr>
              <w:p w:rsidR="00D243DA" w:rsidRDefault="00AB038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11" w:type="dxa"/>
                <w:shd w:val="clear" w:color="auto" w:fill="auto"/>
              </w:tcPr>
              <w:p w:rsidR="00D243DA" w:rsidRDefault="00AB038D">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D243DA" w:rsidRDefault="00D243DA">
                <w:pPr>
                  <w:tabs>
                    <w:tab w:val="right" w:pos="8838"/>
                  </w:tabs>
                  <w:ind w:left="-108" w:right="171"/>
                  <w:jc w:val="both"/>
                  <w:rPr>
                    <w:rFonts w:ascii="Palatino Linotype" w:eastAsia="Palatino Linotype" w:hAnsi="Palatino Linotype" w:cs="Palatino Linotype"/>
                    <w:b/>
                    <w:sz w:val="22"/>
                    <w:szCs w:val="22"/>
                  </w:rPr>
                </w:pPr>
              </w:p>
            </w:tc>
          </w:tr>
        </w:tbl>
        <w:p w:rsidR="00D243DA" w:rsidRDefault="00D243DA">
          <w:pPr>
            <w:tabs>
              <w:tab w:val="right" w:pos="8838"/>
            </w:tabs>
            <w:ind w:left="-28"/>
            <w:jc w:val="both"/>
            <w:rPr>
              <w:rFonts w:ascii="Arial" w:eastAsia="Arial" w:hAnsi="Arial" w:cs="Arial"/>
              <w:b/>
              <w:sz w:val="22"/>
              <w:szCs w:val="22"/>
            </w:rPr>
          </w:pPr>
        </w:p>
      </w:tc>
    </w:tr>
  </w:tbl>
  <w:p w:rsidR="00D243DA" w:rsidRDefault="00C227DC">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3DA" w:rsidRDefault="00D243DA">
    <w:pPr>
      <w:widowControl w:val="0"/>
      <w:pBdr>
        <w:top w:val="nil"/>
        <w:left w:val="nil"/>
        <w:bottom w:val="nil"/>
        <w:right w:val="nil"/>
        <w:between w:val="nil"/>
      </w:pBdr>
      <w:spacing w:line="276" w:lineRule="auto"/>
      <w:rPr>
        <w:color w:val="000000"/>
        <w:sz w:val="14"/>
        <w:szCs w:val="14"/>
      </w:rPr>
    </w:pPr>
  </w:p>
  <w:tbl>
    <w:tblPr>
      <w:tblStyle w:val="a3"/>
      <w:tblW w:w="9072" w:type="dxa"/>
      <w:tblInd w:w="0" w:type="dxa"/>
      <w:tblLayout w:type="fixed"/>
      <w:tblLook w:val="0400" w:firstRow="0" w:lastRow="0" w:firstColumn="0" w:lastColumn="0" w:noHBand="0" w:noVBand="1"/>
    </w:tblPr>
    <w:tblGrid>
      <w:gridCol w:w="2268"/>
      <w:gridCol w:w="6804"/>
    </w:tblGrid>
    <w:tr w:rsidR="00D243DA">
      <w:trPr>
        <w:trHeight w:val="1435"/>
      </w:trPr>
      <w:tc>
        <w:tcPr>
          <w:tcW w:w="2268" w:type="dxa"/>
          <w:shd w:val="clear" w:color="auto" w:fill="auto"/>
        </w:tcPr>
        <w:p w:rsidR="00D243DA" w:rsidRDefault="00D243DA">
          <w:pPr>
            <w:tabs>
              <w:tab w:val="right" w:pos="4273"/>
            </w:tabs>
            <w:rPr>
              <w:rFonts w:ascii="Garamond" w:eastAsia="Garamond" w:hAnsi="Garamond" w:cs="Garamond"/>
              <w:sz w:val="22"/>
              <w:szCs w:val="22"/>
            </w:rPr>
          </w:pPr>
        </w:p>
      </w:tc>
      <w:tc>
        <w:tcPr>
          <w:tcW w:w="6804" w:type="dxa"/>
          <w:shd w:val="clear" w:color="auto" w:fill="auto"/>
        </w:tcPr>
        <w:p w:rsidR="00D243DA" w:rsidRDefault="00D243DA">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4"/>
            <w:tblW w:w="6662" w:type="dxa"/>
            <w:tblInd w:w="40" w:type="dxa"/>
            <w:tblLayout w:type="fixed"/>
            <w:tblLook w:val="0400" w:firstRow="0" w:lastRow="0" w:firstColumn="0" w:lastColumn="0" w:noHBand="0" w:noVBand="1"/>
          </w:tblPr>
          <w:tblGrid>
            <w:gridCol w:w="2444"/>
            <w:gridCol w:w="4218"/>
          </w:tblGrid>
          <w:tr w:rsidR="00D243DA">
            <w:trPr>
              <w:trHeight w:val="144"/>
            </w:trPr>
            <w:tc>
              <w:tcPr>
                <w:tcW w:w="2444" w:type="dxa"/>
                <w:shd w:val="clear" w:color="auto" w:fill="auto"/>
              </w:tcPr>
              <w:p w:rsidR="00D243DA" w:rsidRDefault="00AB038D">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8" w:type="dxa"/>
                <w:shd w:val="clear" w:color="auto" w:fill="auto"/>
              </w:tcPr>
              <w:p w:rsidR="00D243DA" w:rsidRDefault="00AB038D">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04018/INFOEM/IP/RR/2024</w:t>
                </w:r>
              </w:p>
            </w:tc>
          </w:tr>
          <w:tr w:rsidR="00D243DA">
            <w:trPr>
              <w:trHeight w:val="144"/>
            </w:trPr>
            <w:tc>
              <w:tcPr>
                <w:tcW w:w="2444" w:type="dxa"/>
                <w:shd w:val="clear" w:color="auto" w:fill="auto"/>
              </w:tcPr>
              <w:p w:rsidR="00D243DA" w:rsidRDefault="00AB038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218" w:type="dxa"/>
                <w:shd w:val="clear" w:color="auto" w:fill="auto"/>
              </w:tcPr>
              <w:p w:rsidR="00D243DA" w:rsidRDefault="00AB038D" w:rsidP="00E77F23">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w:t>
                </w:r>
                <w:r w:rsidR="00E77F23">
                  <w:rPr>
                    <w:rFonts w:ascii="Palatino Linotype" w:eastAsia="Palatino Linotype" w:hAnsi="Palatino Linotype" w:cs="Palatino Linotype"/>
                    <w:sz w:val="22"/>
                    <w:szCs w:val="22"/>
                  </w:rPr>
                  <w:t>XXXX</w:t>
                </w:r>
              </w:p>
            </w:tc>
          </w:tr>
          <w:tr w:rsidR="00D243DA">
            <w:trPr>
              <w:trHeight w:val="283"/>
            </w:trPr>
            <w:tc>
              <w:tcPr>
                <w:tcW w:w="2444" w:type="dxa"/>
                <w:shd w:val="clear" w:color="auto" w:fill="auto"/>
              </w:tcPr>
              <w:p w:rsidR="00D243DA" w:rsidRDefault="00AB038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8" w:type="dxa"/>
                <w:shd w:val="clear" w:color="auto" w:fill="auto"/>
              </w:tcPr>
              <w:p w:rsidR="00D243DA" w:rsidRDefault="00AB038D">
                <w:pPr>
                  <w:tabs>
                    <w:tab w:val="left" w:pos="2834"/>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Instituto Electoral del Estado de México</w:t>
                </w:r>
              </w:p>
            </w:tc>
          </w:tr>
          <w:tr w:rsidR="00D243DA">
            <w:trPr>
              <w:trHeight w:val="283"/>
            </w:trPr>
            <w:tc>
              <w:tcPr>
                <w:tcW w:w="2444" w:type="dxa"/>
                <w:shd w:val="clear" w:color="auto" w:fill="auto"/>
              </w:tcPr>
              <w:p w:rsidR="00D243DA" w:rsidRDefault="00AB038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218" w:type="dxa"/>
                <w:shd w:val="clear" w:color="auto" w:fill="auto"/>
              </w:tcPr>
              <w:p w:rsidR="00D243DA" w:rsidRDefault="00AB038D">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D243DA" w:rsidRDefault="00D243DA">
                <w:pPr>
                  <w:tabs>
                    <w:tab w:val="right" w:pos="8838"/>
                  </w:tabs>
                  <w:ind w:left="-74" w:right="-105"/>
                  <w:jc w:val="both"/>
                  <w:rPr>
                    <w:rFonts w:ascii="Palatino Linotype" w:eastAsia="Palatino Linotype" w:hAnsi="Palatino Linotype" w:cs="Palatino Linotype"/>
                    <w:b/>
                    <w:sz w:val="22"/>
                    <w:szCs w:val="22"/>
                  </w:rPr>
                </w:pPr>
              </w:p>
            </w:tc>
          </w:tr>
        </w:tbl>
        <w:p w:rsidR="00D243DA" w:rsidRDefault="00D243DA">
          <w:pPr>
            <w:tabs>
              <w:tab w:val="right" w:pos="8838"/>
            </w:tabs>
            <w:ind w:left="-28"/>
            <w:jc w:val="both"/>
            <w:rPr>
              <w:rFonts w:ascii="Arial" w:eastAsia="Arial" w:hAnsi="Arial" w:cs="Arial"/>
              <w:b/>
              <w:sz w:val="22"/>
              <w:szCs w:val="22"/>
            </w:rPr>
          </w:pPr>
        </w:p>
      </w:tc>
    </w:tr>
  </w:tbl>
  <w:p w:rsidR="00D243DA" w:rsidRDefault="00C227DC">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082"/>
    <w:multiLevelType w:val="multilevel"/>
    <w:tmpl w:val="8DA0C376"/>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1" w15:restartNumberingAfterBreak="0">
    <w:nsid w:val="04776E7D"/>
    <w:multiLevelType w:val="multilevel"/>
    <w:tmpl w:val="DE8678AA"/>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AB45E2"/>
    <w:multiLevelType w:val="multilevel"/>
    <w:tmpl w:val="657A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39245C"/>
    <w:multiLevelType w:val="multilevel"/>
    <w:tmpl w:val="344EFD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045490"/>
    <w:multiLevelType w:val="multilevel"/>
    <w:tmpl w:val="BD4219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C077A1"/>
    <w:multiLevelType w:val="multilevel"/>
    <w:tmpl w:val="5B82D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AA5DC7"/>
    <w:multiLevelType w:val="multilevel"/>
    <w:tmpl w:val="E8B4056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54123A6"/>
    <w:multiLevelType w:val="multilevel"/>
    <w:tmpl w:val="83A03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C62F8F"/>
    <w:multiLevelType w:val="multilevel"/>
    <w:tmpl w:val="654202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52235E01"/>
    <w:multiLevelType w:val="multilevel"/>
    <w:tmpl w:val="3DECD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785F41"/>
    <w:multiLevelType w:val="multilevel"/>
    <w:tmpl w:val="12CA3DD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7D283AC1"/>
    <w:multiLevelType w:val="multilevel"/>
    <w:tmpl w:val="6D3E514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7"/>
  </w:num>
  <w:num w:numId="2">
    <w:abstractNumId w:val="1"/>
  </w:num>
  <w:num w:numId="3">
    <w:abstractNumId w:val="8"/>
  </w:num>
  <w:num w:numId="4">
    <w:abstractNumId w:val="6"/>
  </w:num>
  <w:num w:numId="5">
    <w:abstractNumId w:val="10"/>
  </w:num>
  <w:num w:numId="6">
    <w:abstractNumId w:val="4"/>
  </w:num>
  <w:num w:numId="7">
    <w:abstractNumId w:val="0"/>
  </w:num>
  <w:num w:numId="8">
    <w:abstractNumId w:val="11"/>
  </w:num>
  <w:num w:numId="9">
    <w:abstractNumId w:val="9"/>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DA"/>
    <w:rsid w:val="0036684F"/>
    <w:rsid w:val="004A2A91"/>
    <w:rsid w:val="009978E7"/>
    <w:rsid w:val="00AB038D"/>
    <w:rsid w:val="00C227DC"/>
    <w:rsid w:val="00D243DA"/>
    <w:rsid w:val="00E77F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9A5DA9C-7090-4718-B6F6-F898F0A5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0A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B40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semiHidden/>
    <w:rsid w:val="000B40A3"/>
    <w:rPr>
      <w:rFonts w:asciiTheme="majorHAnsi" w:eastAsiaTheme="majorEastAsia" w:hAnsiTheme="majorHAnsi" w:cstheme="majorBidi"/>
      <w:color w:val="2E74B5" w:themeColor="accent1" w:themeShade="BF"/>
      <w:sz w:val="26"/>
      <w:szCs w:val="26"/>
      <w:lang w:eastAsia="es-MX"/>
    </w:rPr>
  </w:style>
  <w:style w:type="paragraph" w:styleId="Encabezado">
    <w:name w:val="header"/>
    <w:basedOn w:val="Normal"/>
    <w:link w:val="EncabezadoCar"/>
    <w:uiPriority w:val="99"/>
    <w:unhideWhenUsed/>
    <w:rsid w:val="000B40A3"/>
    <w:pPr>
      <w:tabs>
        <w:tab w:val="center" w:pos="4419"/>
        <w:tab w:val="right" w:pos="8838"/>
      </w:tabs>
    </w:pPr>
  </w:style>
  <w:style w:type="character" w:customStyle="1" w:styleId="EncabezadoCar">
    <w:name w:val="Encabezado Car"/>
    <w:basedOn w:val="Fuentedeprrafopredeter"/>
    <w:link w:val="Encabezado"/>
    <w:uiPriority w:val="99"/>
    <w:rsid w:val="000B40A3"/>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0B40A3"/>
    <w:pPr>
      <w:tabs>
        <w:tab w:val="center" w:pos="4419"/>
        <w:tab w:val="right" w:pos="8838"/>
      </w:tabs>
    </w:pPr>
  </w:style>
  <w:style w:type="character" w:customStyle="1" w:styleId="PiedepginaCar">
    <w:name w:val="Pie de página Car"/>
    <w:basedOn w:val="Fuentedeprrafopredeter"/>
    <w:link w:val="Piedepgina"/>
    <w:uiPriority w:val="99"/>
    <w:rsid w:val="000B40A3"/>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40A3"/>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0B40A3"/>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0B40A3"/>
    <w:rPr>
      <w:color w:val="0563C1"/>
      <w:u w:val="single"/>
    </w:rPr>
  </w:style>
  <w:style w:type="paragraph" w:styleId="Sinespaciado">
    <w:name w:val="No Spacing"/>
    <w:aliases w:val="Francesa,INAI"/>
    <w:link w:val="SinespaciadoCar"/>
    <w:uiPriority w:val="1"/>
    <w:qFormat/>
    <w:rsid w:val="000B40A3"/>
    <w:rPr>
      <w:lang w:eastAsia="es-ES"/>
    </w:rPr>
  </w:style>
  <w:style w:type="character" w:customStyle="1" w:styleId="SinespaciadoCar">
    <w:name w:val="Sin espaciado Car"/>
    <w:aliases w:val="Francesa Car,INAI Car"/>
    <w:link w:val="Sinespaciado"/>
    <w:uiPriority w:val="1"/>
    <w:locked/>
    <w:rsid w:val="000B40A3"/>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40A3"/>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40A3"/>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0B40A3"/>
    <w:rPr>
      <w:vertAlign w:val="superscript"/>
    </w:rPr>
  </w:style>
  <w:style w:type="table" w:styleId="Tabladecuadrcula4-nfasis3">
    <w:name w:val="Grid Table 4 Accent 3"/>
    <w:basedOn w:val="Tablanormal"/>
    <w:uiPriority w:val="49"/>
    <w:rsid w:val="000B40A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AA5C3B"/>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54560.page" TargetMode="External"/><Relationship Id="rId13" Type="http://schemas.openxmlformats.org/officeDocument/2006/relationships/hyperlink" Target="https://saimex.org.mx/saimex/solicitud/downloadAttach/2154565.page" TargetMode="External"/><Relationship Id="rId18" Type="http://schemas.openxmlformats.org/officeDocument/2006/relationships/hyperlink" Target="https://saimex.org.mx/saimex/solicitud/downloadAttach/2165217.pag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saimex.org.mx/saimex/solicitud/downloadAttach/2154564.page" TargetMode="External"/><Relationship Id="rId17" Type="http://schemas.openxmlformats.org/officeDocument/2006/relationships/hyperlink" Target="https://saimex.org.mx/saimex/solicitud/downloadAttach/2233719.pag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aimex.org.mx/saimex/solicitud/downloadAttach/2156422.page" TargetMode="External"/><Relationship Id="rId20" Type="http://schemas.openxmlformats.org/officeDocument/2006/relationships/hyperlink" Target="https://saimex.org.mx/saimex/solicitud/downloadAttach/2165219.pag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54563.page"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aimex.org.mx/saimex/solicitud/downloadAttach/2156421.page" TargetMode="External"/><Relationship Id="rId23" Type="http://schemas.openxmlformats.org/officeDocument/2006/relationships/image" Target="media/image3.png"/><Relationship Id="rId28" Type="http://schemas.openxmlformats.org/officeDocument/2006/relationships/header" Target="header3.xml"/><Relationship Id="rId10" Type="http://schemas.openxmlformats.org/officeDocument/2006/relationships/hyperlink" Target="https://saimex.org.mx/saimex/solicitud/downloadAttach/2154562.page" TargetMode="External"/><Relationship Id="rId19" Type="http://schemas.openxmlformats.org/officeDocument/2006/relationships/hyperlink" Target="https://saimex.org.mx/saimex/solicitud/downloadAttach/2165218.pag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2154561.page" TargetMode="External"/><Relationship Id="rId14" Type="http://schemas.openxmlformats.org/officeDocument/2006/relationships/hyperlink" Target="https://saimex.org.mx/saimex/solicitud/downloadAttach/2154682.page" TargetMode="External"/><Relationship Id="rId22" Type="http://schemas.openxmlformats.org/officeDocument/2006/relationships/image" Target="media/image2.pn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FvOoXPC32fFRjDWKc3D/snwe/A==">CgMxLjAyCGguZ2pkZ3hzMgloLjMwajB6bGwyCWguMWZvYjl0ZTIJaC4zem55c2g3MghoLnR5amN3dDgAciExSE5HTjQ1OE9jNExJT0dEdmVnVFFnX3JyWExLLVVTTVM=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5865</Words>
  <Characters>32260</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Cuenta Microsoft</cp:lastModifiedBy>
  <cp:revision>4</cp:revision>
  <cp:lastPrinted>2025-03-07T19:59:00Z</cp:lastPrinted>
  <dcterms:created xsi:type="dcterms:W3CDTF">2025-02-25T20:46:00Z</dcterms:created>
  <dcterms:modified xsi:type="dcterms:W3CDTF">2025-03-31T19:31:00Z</dcterms:modified>
</cp:coreProperties>
</file>