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2C0C" w14:textId="38C1DFF0"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9C6974">
        <w:t>veintisiete</w:t>
      </w:r>
      <w:r w:rsidR="000C2A3F">
        <w:t xml:space="preserve"> de agosto</w:t>
      </w:r>
      <w:r w:rsidR="00FF3E42">
        <w:t xml:space="preserve"> de dos mil veinticinco</w:t>
      </w:r>
      <w:r w:rsidR="0011108B">
        <w:t>.</w:t>
      </w:r>
    </w:p>
    <w:p w14:paraId="60399B74"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1F4D25E6"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140087">
        <w:rPr>
          <w:rFonts w:eastAsia="Palatino Linotype" w:cs="Palatino Linotype"/>
          <w:b/>
          <w:bCs/>
          <w:color w:val="000000" w:themeColor="text1"/>
          <w:lang w:val="es-ES"/>
        </w:rPr>
        <w:t>04985/</w:t>
      </w:r>
      <w:proofErr w:type="spellStart"/>
      <w:r w:rsidR="00140087">
        <w:rPr>
          <w:rFonts w:eastAsia="Palatino Linotype" w:cs="Palatino Linotype"/>
          <w:b/>
          <w:bCs/>
          <w:color w:val="000000" w:themeColor="text1"/>
          <w:lang w:val="es-ES"/>
        </w:rPr>
        <w:t>INFOEM</w:t>
      </w:r>
      <w:proofErr w:type="spellEnd"/>
      <w:r w:rsidR="00140087">
        <w:rPr>
          <w:rFonts w:eastAsia="Palatino Linotype" w:cs="Palatino Linotype"/>
          <w:b/>
          <w:bCs/>
          <w:color w:val="000000" w:themeColor="text1"/>
          <w:lang w:val="es-ES"/>
        </w:rPr>
        <w:t>/IP/</w:t>
      </w:r>
      <w:proofErr w:type="spellStart"/>
      <w:r w:rsidR="00140087">
        <w:rPr>
          <w:rFonts w:eastAsia="Palatino Linotype" w:cs="Palatino Linotype"/>
          <w:b/>
          <w:bCs/>
          <w:color w:val="000000" w:themeColor="text1"/>
          <w:lang w:val="es-ES"/>
        </w:rPr>
        <w:t>RR</w:t>
      </w:r>
      <w:proofErr w:type="spellEnd"/>
      <w:r w:rsidR="00140087">
        <w:rPr>
          <w:rFonts w:eastAsia="Palatino Linotype" w:cs="Palatino Linotype"/>
          <w:b/>
          <w:bCs/>
          <w:color w:val="000000" w:themeColor="text1"/>
          <w:lang w:val="es-ES"/>
        </w:rPr>
        <w:t>/2025</w:t>
      </w:r>
      <w:r w:rsidRPr="70652167">
        <w:rPr>
          <w:rFonts w:eastAsia="Palatino Linotype" w:cs="Palatino Linotype"/>
          <w:color w:val="000000" w:themeColor="text1"/>
          <w:lang w:val="es-ES"/>
        </w:rPr>
        <w:t xml:space="preserve">, interpuesto por </w:t>
      </w:r>
      <w:r w:rsidR="007926DC">
        <w:rPr>
          <w:rFonts w:eastAsia="Palatino Linotype" w:cs="Palatino Linotype"/>
          <w:b/>
          <w:bCs/>
          <w:color w:val="000000" w:themeColor="text1"/>
          <w:lang w:val="es-ES"/>
        </w:rPr>
        <w:t>una persona de manera anónima</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E24F0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B23A5E">
        <w:rPr>
          <w:rFonts w:eastAsia="Palatino Linotype" w:cs="Palatino Linotype"/>
          <w:b/>
          <w:bCs/>
          <w:color w:val="000000" w:themeColor="text1"/>
          <w:lang w:val="es-ES"/>
        </w:rPr>
        <w:t>Ayuntamiento de Toluca</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0B723417"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140087">
        <w:rPr>
          <w:rFonts w:eastAsia="Palatino Linotype" w:cs="Palatino Linotype"/>
          <w:color w:val="000000"/>
          <w:szCs w:val="24"/>
        </w:rPr>
        <w:t>veintisiete de febrero</w:t>
      </w:r>
      <w:r w:rsidR="00AC4CAF">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w:t>
      </w:r>
      <w:proofErr w:type="spellStart"/>
      <w:r w:rsidR="00A970D5" w:rsidRPr="006922F5">
        <w:rPr>
          <w:rFonts w:eastAsia="Palatino Linotype" w:cs="Palatino Linotype"/>
          <w:color w:val="000000"/>
          <w:szCs w:val="24"/>
        </w:rPr>
        <w:t>SAIMEX</w:t>
      </w:r>
      <w:proofErr w:type="spellEnd"/>
      <w:r w:rsidR="00A970D5" w:rsidRPr="006922F5">
        <w:rPr>
          <w:rFonts w:eastAsia="Palatino Linotype" w:cs="Palatino Linotype"/>
          <w:color w:val="000000"/>
          <w:szCs w:val="24"/>
        </w:rPr>
        <w:t>) con el número</w:t>
      </w:r>
      <w:r w:rsidR="00642669">
        <w:rPr>
          <w:rFonts w:eastAsia="Palatino Linotype" w:cs="Palatino Linotype"/>
          <w:b/>
          <w:bCs/>
          <w:color w:val="000000"/>
          <w:szCs w:val="24"/>
        </w:rPr>
        <w:t xml:space="preserve"> </w:t>
      </w:r>
      <w:r w:rsidR="00140087">
        <w:rPr>
          <w:rFonts w:eastAsia="Palatino Linotype" w:cs="Palatino Linotype"/>
          <w:b/>
          <w:bCs/>
          <w:color w:val="000000"/>
          <w:szCs w:val="24"/>
        </w:rPr>
        <w:t>01189/TOLUCA/IP/2025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6FB7D78E" w:rsidR="00A970D5" w:rsidRPr="006922F5" w:rsidRDefault="70652167" w:rsidP="009950AD">
      <w:pPr>
        <w:pStyle w:val="Fundamentos"/>
      </w:pPr>
      <w:r w:rsidRPr="70652167">
        <w:rPr>
          <w:lang w:val="es-ES"/>
        </w:rPr>
        <w:t>«</w:t>
      </w:r>
      <w:r w:rsidR="00140087" w:rsidRPr="00140087">
        <w:rPr>
          <w:lang w:val="es-ES"/>
        </w:rPr>
        <w:t xml:space="preserve">Se nos haga llegar las actas del </w:t>
      </w:r>
      <w:proofErr w:type="spellStart"/>
      <w:r w:rsidR="00140087" w:rsidRPr="00140087">
        <w:rPr>
          <w:lang w:val="es-ES"/>
        </w:rPr>
        <w:t>comite</w:t>
      </w:r>
      <w:proofErr w:type="spellEnd"/>
      <w:r w:rsidR="00140087" w:rsidRPr="00140087">
        <w:rPr>
          <w:lang w:val="es-ES"/>
        </w:rPr>
        <w:t xml:space="preserve"> de transparencia del 1 de octubre al 27 de febrero de 2025, con su </w:t>
      </w:r>
      <w:proofErr w:type="spellStart"/>
      <w:r w:rsidR="00140087" w:rsidRPr="00140087">
        <w:rPr>
          <w:lang w:val="es-ES"/>
        </w:rPr>
        <w:t>fotografias</w:t>
      </w:r>
      <w:proofErr w:type="spellEnd"/>
      <w:r w:rsidR="00140087" w:rsidRPr="00140087">
        <w:rPr>
          <w:lang w:val="es-ES"/>
        </w:rPr>
        <w:t xml:space="preserve"> de las sesiones, listas de asistencia, orden del día y citatorios firmados por los convocados</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 xml:space="preserve">A través del </w:t>
      </w:r>
      <w:proofErr w:type="spellStart"/>
      <w:r w:rsidR="004A6F01">
        <w:rPr>
          <w:rFonts w:eastAsia="Palatino Linotype" w:cs="Palatino Linotype"/>
          <w:b/>
          <w:color w:val="000000"/>
          <w:szCs w:val="24"/>
        </w:rPr>
        <w:t>SAIMEX</w:t>
      </w:r>
      <w:proofErr w:type="spellEnd"/>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483560B2" w14:textId="5E5DAD54" w:rsidR="00140087" w:rsidRPr="006922F5" w:rsidRDefault="00140087" w:rsidP="00140087">
      <w:pPr>
        <w:pStyle w:val="Ttulo2"/>
        <w:rPr>
          <w:rFonts w:eastAsia="Palatino Linotype"/>
        </w:rPr>
      </w:pPr>
      <w:r>
        <w:rPr>
          <w:rFonts w:eastAsia="Palatino Linotype"/>
        </w:rPr>
        <w:t>SEGUNDO</w:t>
      </w:r>
      <w:r w:rsidRPr="006922F5">
        <w:rPr>
          <w:rFonts w:eastAsia="Palatino Linotype"/>
        </w:rPr>
        <w:t xml:space="preserve">. De la </w:t>
      </w:r>
      <w:r>
        <w:rPr>
          <w:rFonts w:eastAsia="Palatino Linotype"/>
        </w:rPr>
        <w:t>prórroga para dar atención a la solicitud de información</w:t>
      </w:r>
      <w:r w:rsidRPr="006922F5">
        <w:rPr>
          <w:rFonts w:eastAsia="Palatino Linotype"/>
        </w:rPr>
        <w:t>.</w:t>
      </w:r>
    </w:p>
    <w:p w14:paraId="42CB78C9" w14:textId="7337790E" w:rsidR="00140087" w:rsidRPr="006922F5" w:rsidRDefault="00140087" w:rsidP="00140087">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El veintiocho de marzo de dos mil veinticinco</w:t>
      </w:r>
      <w:r w:rsidRPr="006922F5">
        <w:rPr>
          <w:rFonts w:eastAsia="Palatino Linotype" w:cs="Palatino Linotype"/>
          <w:color w:val="000000"/>
          <w:szCs w:val="24"/>
        </w:rPr>
        <w:t xml:space="preserve">, el Sujeto Obligado </w:t>
      </w:r>
      <w:r>
        <w:rPr>
          <w:rFonts w:eastAsia="Palatino Linotype" w:cs="Palatino Linotype"/>
          <w:color w:val="000000"/>
          <w:szCs w:val="24"/>
        </w:rPr>
        <w:t xml:space="preserve">informó al Recurrente que el plazo para atender la solicitud se había ampliado por siete días adicionales, lo cual fue </w:t>
      </w:r>
      <w:r>
        <w:rPr>
          <w:rFonts w:eastAsia="Palatino Linotype" w:cs="Palatino Linotype"/>
          <w:color w:val="000000"/>
          <w:szCs w:val="24"/>
        </w:rPr>
        <w:lastRenderedPageBreak/>
        <w:t xml:space="preserve">aprobado por el Comité de Transparencia mediante el acuerdo </w:t>
      </w:r>
      <w:proofErr w:type="spellStart"/>
      <w:r w:rsidRPr="00140087">
        <w:rPr>
          <w:rFonts w:eastAsia="Palatino Linotype" w:cs="Palatino Linotype"/>
          <w:color w:val="000000"/>
          <w:szCs w:val="24"/>
        </w:rPr>
        <w:t>CT</w:t>
      </w:r>
      <w:proofErr w:type="spellEnd"/>
      <w:r w:rsidRPr="00140087">
        <w:rPr>
          <w:rFonts w:eastAsia="Palatino Linotype" w:cs="Palatino Linotype"/>
          <w:color w:val="000000"/>
          <w:szCs w:val="24"/>
        </w:rPr>
        <w:t>/SE/299 /2025</w:t>
      </w:r>
      <w:r>
        <w:rPr>
          <w:rFonts w:eastAsia="Palatino Linotype" w:cs="Palatino Linotype"/>
          <w:color w:val="000000"/>
          <w:szCs w:val="24"/>
        </w:rPr>
        <w:t xml:space="preserve">, emitido en la </w:t>
      </w:r>
      <w:r w:rsidRPr="00140087">
        <w:rPr>
          <w:rFonts w:eastAsia="Palatino Linotype" w:cs="Palatino Linotype"/>
          <w:color w:val="000000"/>
          <w:szCs w:val="24"/>
        </w:rPr>
        <w:t>Ducentésima Nonagésima Novena Sesión Extraordinaria</w:t>
      </w:r>
      <w:r>
        <w:rPr>
          <w:rFonts w:eastAsia="Palatino Linotype" w:cs="Palatino Linotype"/>
          <w:color w:val="000000"/>
          <w:szCs w:val="24"/>
        </w:rPr>
        <w:t xml:space="preserve"> celebrada el veinti</w:t>
      </w:r>
      <w:r w:rsidR="005019EE">
        <w:rPr>
          <w:rFonts w:eastAsia="Palatino Linotype" w:cs="Palatino Linotype"/>
          <w:color w:val="000000"/>
          <w:szCs w:val="24"/>
        </w:rPr>
        <w:t>ocho</w:t>
      </w:r>
      <w:r>
        <w:rPr>
          <w:rFonts w:eastAsia="Palatino Linotype" w:cs="Palatino Linotype"/>
          <w:color w:val="000000"/>
          <w:szCs w:val="24"/>
        </w:rPr>
        <w:t xml:space="preserve"> de marzo del año en curso, anexando el acta conforme lo dispone el artículo 163 de la Ley de Transparencia estatal.</w:t>
      </w:r>
    </w:p>
    <w:p w14:paraId="72307640" w14:textId="77777777" w:rsidR="00140087" w:rsidRDefault="00140087" w:rsidP="006922F5">
      <w:pPr>
        <w:pBdr>
          <w:top w:val="nil"/>
          <w:left w:val="nil"/>
          <w:bottom w:val="nil"/>
          <w:right w:val="nil"/>
          <w:between w:val="nil"/>
        </w:pBdr>
        <w:contextualSpacing/>
        <w:rPr>
          <w:rFonts w:eastAsia="Palatino Linotype" w:cs="Palatino Linotype"/>
          <w:color w:val="000000"/>
          <w:szCs w:val="24"/>
        </w:rPr>
      </w:pPr>
    </w:p>
    <w:p w14:paraId="1AEDC68E" w14:textId="1564D146" w:rsidR="00A970D5" w:rsidRPr="006922F5" w:rsidRDefault="005019EE" w:rsidP="006922F5">
      <w:pPr>
        <w:pStyle w:val="Ttulo2"/>
        <w:rPr>
          <w:rFonts w:eastAsia="Palatino Linotype"/>
        </w:rPr>
      </w:pPr>
      <w:r>
        <w:rPr>
          <w:rFonts w:eastAsia="Palatino Linotype"/>
        </w:rPr>
        <w:t>TERCERO</w:t>
      </w:r>
      <w:r w:rsidR="00A970D5" w:rsidRPr="006922F5">
        <w:rPr>
          <w:rFonts w:eastAsia="Palatino Linotype"/>
        </w:rPr>
        <w:t>. De la respuesta del Sujeto Obligado.</w:t>
      </w:r>
    </w:p>
    <w:p w14:paraId="2EE6F294" w14:textId="28DD514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5019EE">
        <w:rPr>
          <w:rFonts w:eastAsia="Palatino Linotype" w:cs="Palatino Linotype"/>
          <w:color w:val="000000"/>
          <w:szCs w:val="24"/>
        </w:rPr>
        <w:t>dos de abril</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7465202B" w14:textId="3A700074" w:rsidR="005019EE" w:rsidRDefault="23740614" w:rsidP="005019EE">
      <w:pPr>
        <w:pStyle w:val="Fundamentos"/>
        <w:rPr>
          <w:lang w:val="es-ES"/>
        </w:rPr>
      </w:pPr>
      <w:r w:rsidRPr="23740614">
        <w:rPr>
          <w:lang w:val="es-ES"/>
        </w:rPr>
        <w:t>«</w:t>
      </w:r>
      <w:r w:rsidR="005019EE" w:rsidRPr="005019EE">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87A3BB" w14:textId="77777777" w:rsidR="005019EE" w:rsidRPr="005019EE" w:rsidRDefault="005019EE" w:rsidP="005019EE">
      <w:pPr>
        <w:pStyle w:val="Fundamentos"/>
        <w:rPr>
          <w:lang w:val="es-ES"/>
        </w:rPr>
      </w:pPr>
    </w:p>
    <w:p w14:paraId="3FE4A9EF" w14:textId="4436C2BC" w:rsidR="00A970D5" w:rsidRPr="00404754" w:rsidRDefault="005019EE" w:rsidP="005019EE">
      <w:pPr>
        <w:pStyle w:val="Fundamentos"/>
        <w:rPr>
          <w:lang w:val="es-MX"/>
        </w:rPr>
      </w:pPr>
      <w:r w:rsidRPr="005019EE">
        <w:rPr>
          <w:lang w:val="es-ES"/>
        </w:rPr>
        <w:t>En atención a la solicitud con folio 01189/TOLUCA/IP/2025, me permito adjuntar al presente la respuesta correspondiente. Sin más por el momento, reciba un saludo.</w:t>
      </w:r>
      <w:r w:rsidR="00311EF3" w:rsidRPr="00311EF3">
        <w:rPr>
          <w:lang w:val="es-ES"/>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3B334F25" w:rsidR="00F16DFC" w:rsidRDefault="00F16DFC"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 xml:space="preserve">El Sujeto Obligado adjuntó a su respuesta </w:t>
      </w:r>
      <w:r w:rsidR="005019EE">
        <w:rPr>
          <w:rFonts w:eastAsia="Palatino Linotype" w:cs="Palatino Linotype"/>
          <w:color w:val="000000"/>
          <w:szCs w:val="24"/>
          <w:lang w:val="es-MX"/>
        </w:rPr>
        <w:t>los</w:t>
      </w:r>
      <w:r w:rsidR="00042641">
        <w:rPr>
          <w:rFonts w:eastAsia="Palatino Linotype" w:cs="Palatino Linotype"/>
          <w:color w:val="000000"/>
          <w:szCs w:val="24"/>
          <w:lang w:val="es-MX"/>
        </w:rPr>
        <w:t xml:space="preserve"> </w:t>
      </w:r>
      <w:r>
        <w:rPr>
          <w:rFonts w:eastAsia="Palatino Linotype" w:cs="Palatino Linotype"/>
          <w:color w:val="000000"/>
          <w:szCs w:val="24"/>
          <w:lang w:val="es-MX"/>
        </w:rPr>
        <w:t>documento</w:t>
      </w:r>
      <w:r w:rsidR="005019EE">
        <w:rPr>
          <w:rFonts w:eastAsia="Palatino Linotype" w:cs="Palatino Linotype"/>
          <w:color w:val="000000"/>
          <w:szCs w:val="24"/>
          <w:lang w:val="es-MX"/>
        </w:rPr>
        <w:t>s</w:t>
      </w:r>
      <w:r>
        <w:rPr>
          <w:rFonts w:eastAsia="Palatino Linotype" w:cs="Palatino Linotype"/>
          <w:color w:val="000000"/>
          <w:szCs w:val="24"/>
          <w:lang w:val="es-MX"/>
        </w:rPr>
        <w:t xml:space="preserve"> denominado</w:t>
      </w:r>
      <w:r w:rsidR="005019EE">
        <w:rPr>
          <w:rFonts w:eastAsia="Palatino Linotype" w:cs="Palatino Linotype"/>
          <w:color w:val="000000"/>
          <w:szCs w:val="24"/>
          <w:lang w:val="es-MX"/>
        </w:rPr>
        <w:t>s</w:t>
      </w:r>
      <w:r w:rsidR="00042641">
        <w:rPr>
          <w:rFonts w:eastAsia="Palatino Linotype" w:cs="Palatino Linotype"/>
          <w:color w:val="000000"/>
          <w:szCs w:val="24"/>
          <w:lang w:val="es-MX"/>
        </w:rPr>
        <w:t xml:space="preserve"> </w:t>
      </w:r>
      <w:r w:rsidR="00042641" w:rsidRPr="00635456">
        <w:rPr>
          <w:rFonts w:eastAsia="Palatino Linotype" w:cs="Palatino Linotype"/>
          <w:b/>
          <w:bCs/>
          <w:color w:val="000000"/>
          <w:szCs w:val="24"/>
          <w:lang w:val="es-MX"/>
        </w:rPr>
        <w:t>«</w:t>
      </w:r>
      <w:r w:rsidR="005019EE" w:rsidRPr="005019EE">
        <w:rPr>
          <w:rFonts w:eastAsia="Palatino Linotype" w:cs="Palatino Linotype"/>
          <w:b/>
          <w:bCs/>
          <w:color w:val="000000"/>
          <w:szCs w:val="24"/>
          <w:lang w:val="es-MX"/>
        </w:rPr>
        <w:t>R. 01189_25.pdf</w:t>
      </w:r>
      <w:r w:rsidR="00635456" w:rsidRPr="00635456">
        <w:rPr>
          <w:rFonts w:eastAsia="Palatino Linotype" w:cs="Palatino Linotype"/>
          <w:b/>
          <w:bCs/>
          <w:color w:val="000000"/>
          <w:szCs w:val="24"/>
          <w:lang w:val="es-MX"/>
        </w:rPr>
        <w:t>»</w:t>
      </w:r>
      <w:r w:rsidR="00635456">
        <w:rPr>
          <w:rFonts w:eastAsia="Palatino Linotype" w:cs="Palatino Linotype"/>
          <w:color w:val="000000"/>
          <w:szCs w:val="24"/>
          <w:lang w:val="es-MX"/>
        </w:rPr>
        <w:t xml:space="preserve">, </w:t>
      </w:r>
      <w:r w:rsidR="005019EE" w:rsidRPr="00635456">
        <w:rPr>
          <w:rFonts w:eastAsia="Palatino Linotype" w:cs="Palatino Linotype"/>
          <w:b/>
          <w:bCs/>
          <w:color w:val="000000"/>
          <w:szCs w:val="24"/>
          <w:lang w:val="es-MX"/>
        </w:rPr>
        <w:t>«</w:t>
      </w:r>
      <w:r w:rsidR="005019EE" w:rsidRPr="005019EE">
        <w:rPr>
          <w:rFonts w:eastAsia="Palatino Linotype" w:cs="Palatino Linotype"/>
          <w:b/>
          <w:bCs/>
          <w:color w:val="000000"/>
          <w:szCs w:val="24"/>
          <w:lang w:val="es-MX"/>
        </w:rPr>
        <w:t xml:space="preserve">Liga </w:t>
      </w:r>
      <w:proofErr w:type="spellStart"/>
      <w:r w:rsidR="005019EE" w:rsidRPr="005019EE">
        <w:rPr>
          <w:rFonts w:eastAsia="Palatino Linotype" w:cs="Palatino Linotype"/>
          <w:b/>
          <w:bCs/>
          <w:color w:val="000000"/>
          <w:szCs w:val="24"/>
          <w:lang w:val="es-MX"/>
        </w:rPr>
        <w:t>IPOMEX</w:t>
      </w:r>
      <w:proofErr w:type="spellEnd"/>
      <w:r w:rsidR="005019EE" w:rsidRPr="005019EE">
        <w:rPr>
          <w:rFonts w:eastAsia="Palatino Linotype" w:cs="Palatino Linotype"/>
          <w:b/>
          <w:bCs/>
          <w:color w:val="000000"/>
          <w:szCs w:val="24"/>
          <w:lang w:val="es-MX"/>
        </w:rPr>
        <w:t>_ F. XLIII A.docx</w:t>
      </w:r>
      <w:r w:rsidR="005019EE" w:rsidRPr="00635456">
        <w:rPr>
          <w:rFonts w:eastAsia="Palatino Linotype" w:cs="Palatino Linotype"/>
          <w:b/>
          <w:bCs/>
          <w:color w:val="000000"/>
          <w:szCs w:val="24"/>
          <w:lang w:val="es-MX"/>
        </w:rPr>
        <w:t>»</w:t>
      </w:r>
      <w:r w:rsidR="005019EE">
        <w:rPr>
          <w:rFonts w:eastAsia="Palatino Linotype" w:cs="Palatino Linotype"/>
          <w:color w:val="000000"/>
          <w:szCs w:val="24"/>
          <w:lang w:val="es-MX"/>
        </w:rPr>
        <w:t xml:space="preserve">, </w:t>
      </w:r>
      <w:r w:rsidR="005019EE" w:rsidRPr="00635456">
        <w:rPr>
          <w:rFonts w:eastAsia="Palatino Linotype" w:cs="Palatino Linotype"/>
          <w:b/>
          <w:bCs/>
          <w:color w:val="000000"/>
          <w:szCs w:val="24"/>
          <w:lang w:val="es-MX"/>
        </w:rPr>
        <w:t>«</w:t>
      </w:r>
      <w:r w:rsidR="005019EE">
        <w:rPr>
          <w:rFonts w:eastAsia="Palatino Linotype" w:cs="Palatino Linotype"/>
          <w:b/>
          <w:bCs/>
          <w:color w:val="000000"/>
          <w:szCs w:val="24"/>
          <w:lang w:val="es-MX"/>
        </w:rPr>
        <w:t>Anexo_1</w:t>
      </w:r>
      <w:r w:rsidR="005019EE" w:rsidRPr="005019EE">
        <w:rPr>
          <w:rFonts w:eastAsia="Palatino Linotype" w:cs="Palatino Linotype"/>
          <w:b/>
          <w:bCs/>
          <w:color w:val="000000"/>
          <w:szCs w:val="24"/>
          <w:lang w:val="es-MX"/>
        </w:rPr>
        <w:t>.zip</w:t>
      </w:r>
      <w:r w:rsidR="005019EE" w:rsidRPr="00635456">
        <w:rPr>
          <w:rFonts w:eastAsia="Palatino Linotype" w:cs="Palatino Linotype"/>
          <w:b/>
          <w:bCs/>
          <w:color w:val="000000"/>
          <w:szCs w:val="24"/>
          <w:lang w:val="es-MX"/>
        </w:rPr>
        <w:t>»</w:t>
      </w:r>
      <w:r w:rsidR="005019EE">
        <w:rPr>
          <w:rFonts w:eastAsia="Palatino Linotype" w:cs="Palatino Linotype"/>
          <w:color w:val="000000"/>
          <w:szCs w:val="24"/>
          <w:lang w:val="es-MX"/>
        </w:rPr>
        <w:t xml:space="preserve">, </w:t>
      </w:r>
      <w:r w:rsidR="005019EE" w:rsidRPr="00635456">
        <w:rPr>
          <w:rFonts w:eastAsia="Palatino Linotype" w:cs="Palatino Linotype"/>
          <w:b/>
          <w:bCs/>
          <w:color w:val="000000"/>
          <w:szCs w:val="24"/>
          <w:lang w:val="es-MX"/>
        </w:rPr>
        <w:t>«</w:t>
      </w:r>
      <w:r w:rsidR="005019EE">
        <w:rPr>
          <w:rFonts w:eastAsia="Palatino Linotype" w:cs="Palatino Linotype"/>
          <w:b/>
          <w:bCs/>
          <w:color w:val="000000"/>
          <w:szCs w:val="24"/>
          <w:lang w:val="es-MX"/>
        </w:rPr>
        <w:t>Anexo_2</w:t>
      </w:r>
      <w:r w:rsidR="005019EE" w:rsidRPr="005019EE">
        <w:rPr>
          <w:rFonts w:eastAsia="Palatino Linotype" w:cs="Palatino Linotype"/>
          <w:b/>
          <w:bCs/>
          <w:color w:val="000000"/>
          <w:szCs w:val="24"/>
          <w:lang w:val="es-MX"/>
        </w:rPr>
        <w:t>.zip</w:t>
      </w:r>
      <w:r w:rsidR="005019EE" w:rsidRPr="00635456">
        <w:rPr>
          <w:rFonts w:eastAsia="Palatino Linotype" w:cs="Palatino Linotype"/>
          <w:b/>
          <w:bCs/>
          <w:color w:val="000000"/>
          <w:szCs w:val="24"/>
          <w:lang w:val="es-MX"/>
        </w:rPr>
        <w:t>»</w:t>
      </w:r>
      <w:r w:rsidR="005019EE">
        <w:rPr>
          <w:rFonts w:eastAsia="Palatino Linotype" w:cs="Palatino Linotype"/>
          <w:color w:val="000000"/>
          <w:szCs w:val="24"/>
          <w:lang w:val="es-MX"/>
        </w:rPr>
        <w:t xml:space="preserve">, </w:t>
      </w:r>
      <w:r w:rsidR="005019EE" w:rsidRPr="00635456">
        <w:rPr>
          <w:rFonts w:eastAsia="Palatino Linotype" w:cs="Palatino Linotype"/>
          <w:b/>
          <w:bCs/>
          <w:color w:val="000000"/>
          <w:szCs w:val="24"/>
          <w:lang w:val="es-MX"/>
        </w:rPr>
        <w:t>«</w:t>
      </w:r>
      <w:r w:rsidR="005019EE">
        <w:rPr>
          <w:rFonts w:eastAsia="Palatino Linotype" w:cs="Palatino Linotype"/>
          <w:b/>
          <w:bCs/>
          <w:color w:val="000000"/>
          <w:szCs w:val="24"/>
          <w:lang w:val="es-MX"/>
        </w:rPr>
        <w:t>Anexo_3</w:t>
      </w:r>
      <w:r w:rsidR="005019EE" w:rsidRPr="005019EE">
        <w:rPr>
          <w:rFonts w:eastAsia="Palatino Linotype" w:cs="Palatino Linotype"/>
          <w:b/>
          <w:bCs/>
          <w:color w:val="000000"/>
          <w:szCs w:val="24"/>
          <w:lang w:val="es-MX"/>
        </w:rPr>
        <w:t>.zip</w:t>
      </w:r>
      <w:r w:rsidR="005019EE" w:rsidRPr="00635456">
        <w:rPr>
          <w:rFonts w:eastAsia="Palatino Linotype" w:cs="Palatino Linotype"/>
          <w:b/>
          <w:bCs/>
          <w:color w:val="000000"/>
          <w:szCs w:val="24"/>
          <w:lang w:val="es-MX"/>
        </w:rPr>
        <w:t>»</w:t>
      </w:r>
      <w:r w:rsidR="005019EE">
        <w:rPr>
          <w:rFonts w:eastAsia="Palatino Linotype" w:cs="Palatino Linotype"/>
          <w:color w:val="000000"/>
          <w:szCs w:val="24"/>
          <w:lang w:val="es-MX"/>
        </w:rPr>
        <w:t xml:space="preserve">, </w:t>
      </w:r>
      <w:r w:rsidR="005019EE" w:rsidRPr="00635456">
        <w:rPr>
          <w:rFonts w:eastAsia="Palatino Linotype" w:cs="Palatino Linotype"/>
          <w:b/>
          <w:bCs/>
          <w:color w:val="000000"/>
          <w:szCs w:val="24"/>
          <w:lang w:val="es-MX"/>
        </w:rPr>
        <w:t>«</w:t>
      </w:r>
      <w:r w:rsidR="005019EE">
        <w:rPr>
          <w:rFonts w:eastAsia="Palatino Linotype" w:cs="Palatino Linotype"/>
          <w:b/>
          <w:bCs/>
          <w:color w:val="000000"/>
          <w:szCs w:val="24"/>
          <w:lang w:val="es-MX"/>
        </w:rPr>
        <w:t>Anexo_4</w:t>
      </w:r>
      <w:r w:rsidR="005019EE" w:rsidRPr="005019EE">
        <w:rPr>
          <w:rFonts w:eastAsia="Palatino Linotype" w:cs="Palatino Linotype"/>
          <w:b/>
          <w:bCs/>
          <w:color w:val="000000"/>
          <w:szCs w:val="24"/>
          <w:lang w:val="es-MX"/>
        </w:rPr>
        <w:t>.zip</w:t>
      </w:r>
      <w:r w:rsidR="005019EE" w:rsidRPr="00635456">
        <w:rPr>
          <w:rFonts w:eastAsia="Palatino Linotype" w:cs="Palatino Linotype"/>
          <w:b/>
          <w:bCs/>
          <w:color w:val="000000"/>
          <w:szCs w:val="24"/>
          <w:lang w:val="es-MX"/>
        </w:rPr>
        <w:t>»</w:t>
      </w:r>
      <w:r w:rsidR="005019EE">
        <w:rPr>
          <w:rFonts w:eastAsia="Palatino Linotype" w:cs="Palatino Linotype"/>
          <w:color w:val="000000"/>
          <w:szCs w:val="24"/>
          <w:lang w:val="es-MX"/>
        </w:rPr>
        <w:t xml:space="preserve"> y </w:t>
      </w:r>
      <w:r w:rsidR="005019EE" w:rsidRPr="00635456">
        <w:rPr>
          <w:rFonts w:eastAsia="Palatino Linotype" w:cs="Palatino Linotype"/>
          <w:b/>
          <w:bCs/>
          <w:color w:val="000000"/>
          <w:szCs w:val="24"/>
          <w:lang w:val="es-MX"/>
        </w:rPr>
        <w:t>«</w:t>
      </w:r>
      <w:r w:rsidR="005019EE">
        <w:rPr>
          <w:rFonts w:eastAsia="Palatino Linotype" w:cs="Palatino Linotype"/>
          <w:b/>
          <w:bCs/>
          <w:color w:val="000000"/>
          <w:szCs w:val="24"/>
          <w:lang w:val="es-MX"/>
        </w:rPr>
        <w:t>Anexo_5</w:t>
      </w:r>
      <w:r w:rsidR="005019EE" w:rsidRPr="005019EE">
        <w:rPr>
          <w:rFonts w:eastAsia="Palatino Linotype" w:cs="Palatino Linotype"/>
          <w:b/>
          <w:bCs/>
          <w:color w:val="000000"/>
          <w:szCs w:val="24"/>
          <w:lang w:val="es-MX"/>
        </w:rPr>
        <w:t>.zip</w:t>
      </w:r>
      <w:r w:rsidR="005019EE" w:rsidRPr="00635456">
        <w:rPr>
          <w:rFonts w:eastAsia="Palatino Linotype" w:cs="Palatino Linotype"/>
          <w:b/>
          <w:bCs/>
          <w:color w:val="000000"/>
          <w:szCs w:val="24"/>
          <w:lang w:val="es-MX"/>
        </w:rPr>
        <w:t>»</w:t>
      </w:r>
      <w:r w:rsidR="005019EE">
        <w:rPr>
          <w:rFonts w:eastAsia="Palatino Linotype" w:cs="Palatino Linotype"/>
          <w:color w:val="000000"/>
          <w:szCs w:val="24"/>
          <w:lang w:val="es-MX"/>
        </w:rPr>
        <w:t xml:space="preserve">, </w:t>
      </w:r>
      <w:r w:rsidR="00635456">
        <w:rPr>
          <w:rFonts w:eastAsia="Palatino Linotype" w:cs="Palatino Linotype"/>
          <w:color w:val="000000"/>
          <w:szCs w:val="24"/>
          <w:lang w:val="es-MX"/>
        </w:rPr>
        <w:t>cuyo contenido no se reproduce por ser del conocimiento de las partes; no obstante, será objeto de análisis en el estudio correspondiente.</w:t>
      </w:r>
    </w:p>
    <w:p w14:paraId="57DED6B8" w14:textId="77777777" w:rsidR="00F16DFC" w:rsidRPr="00404754"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0D044DCC" w:rsidR="00A970D5" w:rsidRPr="006922F5" w:rsidRDefault="005019EE" w:rsidP="006922F5">
      <w:pPr>
        <w:pStyle w:val="Ttulo2"/>
        <w:rPr>
          <w:rFonts w:eastAsia="Palatino Linotype"/>
        </w:rPr>
      </w:pPr>
      <w:r>
        <w:rPr>
          <w:rFonts w:eastAsia="Palatino Linotype"/>
        </w:rPr>
        <w:t>CUART</w:t>
      </w:r>
      <w:r w:rsidR="00E21393">
        <w:rPr>
          <w:rFonts w:eastAsia="Palatino Linotype"/>
        </w:rPr>
        <w:t>O</w:t>
      </w:r>
      <w:r w:rsidR="00A970D5" w:rsidRPr="006922F5">
        <w:rPr>
          <w:rFonts w:eastAsia="Palatino Linotype"/>
        </w:rPr>
        <w:t>. Del recurso de revisión.</w:t>
      </w:r>
    </w:p>
    <w:p w14:paraId="0C8C3A2F" w14:textId="2847E82D"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 </w:t>
      </w:r>
      <w:r w:rsidR="005019EE">
        <w:rPr>
          <w:rFonts w:eastAsia="Palatino Linotype" w:cs="Palatino Linotype"/>
          <w:color w:val="000000"/>
          <w:szCs w:val="24"/>
        </w:rPr>
        <w:t>treinta</w:t>
      </w:r>
      <w:r w:rsidR="003B2F7E">
        <w:rPr>
          <w:rFonts w:eastAsia="Palatino Linotype" w:cs="Palatino Linotype"/>
          <w:color w:val="000000"/>
          <w:szCs w:val="24"/>
        </w:rPr>
        <w:t xml:space="preserve"> de abril</w:t>
      </w:r>
      <w:r w:rsidR="00177F35">
        <w:rPr>
          <w:rFonts w:eastAsia="Palatino Linotype" w:cs="Palatino Linotype"/>
          <w:color w:val="000000"/>
          <w:szCs w:val="24"/>
        </w:rPr>
        <w:t xml:space="preserve"> </w:t>
      </w:r>
      <w:r w:rsidR="00DE2889">
        <w:rPr>
          <w:rFonts w:eastAsia="Palatino Linotype" w:cs="Palatino Linotype"/>
          <w:color w:val="000000"/>
          <w:szCs w:val="24"/>
        </w:rPr>
        <w:t>de dos mil veinticinco</w:t>
      </w:r>
      <w:r w:rsidRPr="0090115A">
        <w:rPr>
          <w:rFonts w:eastAsia="Palatino Linotype" w:cs="Palatino Linotype"/>
          <w:color w:val="000000"/>
          <w:szCs w:val="24"/>
        </w:rPr>
        <w:t xml:space="preserve">, el cual se registró en el </w:t>
      </w:r>
      <w:proofErr w:type="spellStart"/>
      <w:r w:rsidRPr="0090115A">
        <w:rPr>
          <w:rFonts w:eastAsia="Palatino Linotype" w:cs="Palatino Linotype"/>
          <w:color w:val="000000"/>
          <w:szCs w:val="24"/>
        </w:rPr>
        <w:t>SAIMEX</w:t>
      </w:r>
      <w:proofErr w:type="spellEnd"/>
      <w:r w:rsidRPr="0090115A">
        <w:rPr>
          <w:rFonts w:eastAsia="Palatino Linotype" w:cs="Palatino Linotype"/>
          <w:color w:val="000000"/>
          <w:szCs w:val="24"/>
        </w:rPr>
        <w:t xml:space="preserve"> con el expediente número</w:t>
      </w:r>
      <w:r w:rsidR="00A970D5" w:rsidRPr="006922F5">
        <w:rPr>
          <w:rFonts w:eastAsia="Palatino Linotype" w:cs="Palatino Linotype"/>
          <w:color w:val="000000"/>
          <w:szCs w:val="24"/>
        </w:rPr>
        <w:t xml:space="preserve"> </w:t>
      </w:r>
      <w:r w:rsidR="00140087">
        <w:rPr>
          <w:rFonts w:eastAsia="Palatino Linotype" w:cs="Palatino Linotype"/>
          <w:b/>
          <w:color w:val="000000"/>
          <w:szCs w:val="24"/>
        </w:rPr>
        <w:t>04985/</w:t>
      </w:r>
      <w:proofErr w:type="spellStart"/>
      <w:r w:rsidR="00140087">
        <w:rPr>
          <w:rFonts w:eastAsia="Palatino Linotype" w:cs="Palatino Linotype"/>
          <w:b/>
          <w:color w:val="000000"/>
          <w:szCs w:val="24"/>
        </w:rPr>
        <w:t>INFOEM</w:t>
      </w:r>
      <w:proofErr w:type="spellEnd"/>
      <w:r w:rsidR="00140087">
        <w:rPr>
          <w:rFonts w:eastAsia="Palatino Linotype" w:cs="Palatino Linotype"/>
          <w:b/>
          <w:color w:val="000000"/>
          <w:szCs w:val="24"/>
        </w:rPr>
        <w:t>/IP/</w:t>
      </w:r>
      <w:proofErr w:type="spellStart"/>
      <w:r w:rsidR="00140087">
        <w:rPr>
          <w:rFonts w:eastAsia="Palatino Linotype" w:cs="Palatino Linotype"/>
          <w:b/>
          <w:color w:val="000000"/>
          <w:szCs w:val="24"/>
        </w:rPr>
        <w:t>RR</w:t>
      </w:r>
      <w:proofErr w:type="spellEnd"/>
      <w:r w:rsidR="00140087">
        <w:rPr>
          <w:rFonts w:eastAsia="Palatino Linotype" w:cs="Palatino Linotype"/>
          <w:b/>
          <w:color w:val="000000"/>
          <w:szCs w:val="24"/>
        </w:rPr>
        <w:t>/2025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2BC481A7" w:rsidR="00A970D5" w:rsidRPr="006922F5" w:rsidRDefault="5C35490E" w:rsidP="5C35490E">
      <w:pPr>
        <w:pStyle w:val="Fundamentos"/>
        <w:rPr>
          <w:b/>
          <w:bCs/>
          <w:lang w:val="es-ES"/>
        </w:rPr>
      </w:pPr>
      <w:r w:rsidRPr="5C35490E">
        <w:rPr>
          <w:lang w:val="es-ES"/>
        </w:rPr>
        <w:t>«</w:t>
      </w:r>
      <w:r w:rsidR="005019EE" w:rsidRPr="005019EE">
        <w:rPr>
          <w:lang w:val="es-ES"/>
        </w:rPr>
        <w:t>La Unidad de transparencia oculta la información es opaca y dolosa</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331F3B22" w:rsidR="00300EA0" w:rsidRPr="006922F5" w:rsidRDefault="00300EA0" w:rsidP="00300EA0">
      <w:pPr>
        <w:pStyle w:val="Fundamentos"/>
        <w:rPr>
          <w:b/>
          <w:bCs/>
          <w:lang w:val="es-ES"/>
        </w:rPr>
      </w:pPr>
      <w:r w:rsidRPr="5C35490E">
        <w:rPr>
          <w:lang w:val="es-ES"/>
        </w:rPr>
        <w:t>«</w:t>
      </w:r>
      <w:r w:rsidR="005019EE" w:rsidRPr="005019EE">
        <w:rPr>
          <w:lang w:val="es-ES"/>
        </w:rPr>
        <w:t xml:space="preserve">No entrega toda la. Información solicitada faltan información según </w:t>
      </w:r>
      <w:proofErr w:type="spellStart"/>
      <w:r w:rsidR="005019EE" w:rsidRPr="005019EE">
        <w:rPr>
          <w:lang w:val="es-ES"/>
        </w:rPr>
        <w:t>el</w:t>
      </w:r>
      <w:proofErr w:type="spellEnd"/>
      <w:r w:rsidR="005019EE" w:rsidRPr="005019EE">
        <w:rPr>
          <w:lang w:val="es-ES"/>
        </w:rPr>
        <w:t xml:space="preserve">. </w:t>
      </w:r>
      <w:proofErr w:type="spellStart"/>
      <w:r w:rsidR="005019EE" w:rsidRPr="005019EE">
        <w:rPr>
          <w:lang w:val="es-ES"/>
        </w:rPr>
        <w:t>Saimex</w:t>
      </w:r>
      <w:proofErr w:type="spellEnd"/>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68DDAD2F" w:rsidR="00A970D5" w:rsidRPr="006922F5" w:rsidRDefault="005019EE" w:rsidP="006922F5">
      <w:pPr>
        <w:pStyle w:val="Ttulo2"/>
        <w:rPr>
          <w:rFonts w:eastAsia="Palatino Linotype"/>
        </w:rPr>
      </w:pPr>
      <w:r>
        <w:rPr>
          <w:rFonts w:eastAsia="Palatino Linotype"/>
        </w:rPr>
        <w:t>QUIN</w:t>
      </w:r>
      <w:r w:rsidR="007A1154">
        <w:rPr>
          <w:rFonts w:eastAsia="Palatino Linotype"/>
        </w:rPr>
        <w:t>TO</w:t>
      </w:r>
      <w:r w:rsidR="00A970D5" w:rsidRPr="006922F5">
        <w:rPr>
          <w:rFonts w:eastAsia="Palatino Linotype"/>
        </w:rPr>
        <w:t>. Del turno y admisión del recurso de revisión.</w:t>
      </w:r>
    </w:p>
    <w:p w14:paraId="2459DEBA" w14:textId="3CB79B8B"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 xml:space="preserve">Comisionado </w:t>
      </w:r>
      <w:proofErr w:type="gramStart"/>
      <w:r w:rsidRPr="70652167">
        <w:rPr>
          <w:rFonts w:eastAsia="Palatino Linotype" w:cs="Palatino Linotype"/>
          <w:b/>
          <w:bCs/>
          <w:color w:val="000000" w:themeColor="text1"/>
          <w:lang w:val="es-ES"/>
        </w:rPr>
        <w:t>Presidente</w:t>
      </w:r>
      <w:proofErr w:type="gramEnd"/>
      <w:r w:rsidRPr="70652167">
        <w:rPr>
          <w:rFonts w:eastAsia="Palatino Linotype" w:cs="Palatino Linotype"/>
          <w:b/>
          <w:bCs/>
          <w:color w:val="000000" w:themeColor="text1"/>
          <w:lang w:val="es-ES"/>
        </w:rPr>
        <w:t xml:space="preserv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5019EE">
        <w:rPr>
          <w:rFonts w:eastAsia="Palatino Linotype" w:cs="Palatino Linotype"/>
          <w:color w:val="000000" w:themeColor="text1"/>
          <w:lang w:val="es-ES"/>
        </w:rPr>
        <w:t>seis de mayo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FC2173"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340E26DA" w:rsidR="00A970D5" w:rsidRPr="004941FA" w:rsidRDefault="005019EE" w:rsidP="006922F5">
      <w:pPr>
        <w:pStyle w:val="Ttulo2"/>
        <w:rPr>
          <w:rFonts w:eastAsia="Palatino Linotype"/>
        </w:rPr>
      </w:pPr>
      <w:r>
        <w:rPr>
          <w:rFonts w:eastAsia="Palatino Linotype"/>
        </w:rPr>
        <w:t>SEX</w:t>
      </w:r>
      <w:r w:rsidR="00E21393">
        <w:rPr>
          <w:rFonts w:eastAsia="Palatino Linotype"/>
        </w:rPr>
        <w:t>T</w:t>
      </w:r>
      <w:r w:rsidR="007D2A1A">
        <w:rPr>
          <w:rFonts w:eastAsia="Palatino Linotype"/>
        </w:rPr>
        <w:t>O</w:t>
      </w:r>
      <w:r w:rsidR="00A970D5" w:rsidRPr="004941FA">
        <w:rPr>
          <w:rFonts w:eastAsia="Palatino Linotype"/>
        </w:rPr>
        <w:t>. De la etapa de instrucción.</w:t>
      </w:r>
    </w:p>
    <w:p w14:paraId="4ECFAB7D" w14:textId="77777777" w:rsidR="005019EE" w:rsidRPr="009D62BC" w:rsidRDefault="005019EE" w:rsidP="005019EE">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S</w:t>
      </w:r>
      <w:r w:rsidRPr="1B94458F">
        <w:rPr>
          <w:rFonts w:eastAsia="Palatino Linotype" w:cs="Palatino Linotype"/>
          <w:color w:val="000000" w:themeColor="text1"/>
        </w:rPr>
        <w:t>e observa que el Sujeto Obligado omitió rendir el Informe Justificado</w:t>
      </w:r>
      <w:r>
        <w:rPr>
          <w:rFonts w:eastAsia="Palatino Linotype" w:cs="Palatino Linotype"/>
          <w:color w:val="000000" w:themeColor="text1"/>
        </w:rPr>
        <w:t xml:space="preserve"> durante la etapa de instrucción</w:t>
      </w:r>
      <w:r w:rsidRPr="1B94458F">
        <w:rPr>
          <w:rFonts w:eastAsia="Palatino Linotype" w:cs="Palatino Linotype"/>
          <w:color w:val="000000" w:themeColor="text1"/>
        </w:rPr>
        <w:t xml:space="preserve">. Por su parte, </w:t>
      </w:r>
      <w:r>
        <w:rPr>
          <w:rFonts w:eastAsia="Palatino Linotype" w:cs="Palatino Linotype"/>
          <w:color w:val="000000" w:themeColor="text1"/>
        </w:rPr>
        <w:t>el</w:t>
      </w:r>
      <w:r w:rsidRPr="1B94458F">
        <w:rPr>
          <w:rFonts w:eastAsia="Palatino Linotype" w:cs="Palatino Linotype"/>
          <w:color w:val="000000" w:themeColor="text1"/>
        </w:rPr>
        <w:t xml:space="preserve"> Recurrente no realizó manifestaciones, vertió alegatos ni presentó pruebas que a su derecho convinieran.</w:t>
      </w:r>
    </w:p>
    <w:p w14:paraId="5B536618" w14:textId="7ED50870" w:rsidR="00C02596" w:rsidRPr="00FC2173"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00D25464" w:rsidR="00A970D5" w:rsidRPr="006922F5" w:rsidRDefault="007A1154" w:rsidP="006922F5">
      <w:pPr>
        <w:pStyle w:val="Ttulo2"/>
        <w:rPr>
          <w:rFonts w:eastAsia="Palatino Linotype"/>
        </w:rPr>
      </w:pPr>
      <w:r>
        <w:rPr>
          <w:rFonts w:eastAsia="Palatino Linotype"/>
        </w:rPr>
        <w:t>S</w:t>
      </w:r>
      <w:r w:rsidR="005019EE">
        <w:rPr>
          <w:rFonts w:eastAsia="Palatino Linotype"/>
        </w:rPr>
        <w:t>ÉPTIM</w:t>
      </w:r>
      <w:r w:rsidR="00E21393">
        <w:rPr>
          <w:rFonts w:eastAsia="Palatino Linotype"/>
        </w:rPr>
        <w:t>O</w:t>
      </w:r>
      <w:r w:rsidR="00A970D5" w:rsidRPr="006922F5">
        <w:rPr>
          <w:rFonts w:eastAsia="Palatino Linotype"/>
        </w:rPr>
        <w:t>. Del cierre de instrucción.</w:t>
      </w:r>
    </w:p>
    <w:p w14:paraId="2456F4BD" w14:textId="2EA2440B"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3F0898">
        <w:rPr>
          <w:rFonts w:eastAsia="Palatino Linotype" w:cs="Palatino Linotype"/>
          <w:color w:val="000000"/>
          <w:szCs w:val="24"/>
        </w:rPr>
        <w:t>dieciséis</w:t>
      </w:r>
      <w:r w:rsidR="000336D2">
        <w:rPr>
          <w:rFonts w:eastAsia="Palatino Linotype" w:cs="Palatino Linotype"/>
          <w:color w:val="000000"/>
          <w:szCs w:val="24"/>
        </w:rPr>
        <w:t xml:space="preserve"> de mayo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3F5AF4FC" w:rsidR="00EB1CF4" w:rsidRPr="006054AA" w:rsidRDefault="005019EE" w:rsidP="00EB1CF4">
      <w:pPr>
        <w:pStyle w:val="Ttulo2"/>
        <w:rPr>
          <w:rFonts w:eastAsiaTheme="minorHAnsi"/>
          <w:lang w:eastAsia="en-US"/>
        </w:rPr>
      </w:pPr>
      <w:r>
        <w:rPr>
          <w:rFonts w:eastAsiaTheme="minorHAnsi"/>
          <w:lang w:eastAsia="en-US"/>
        </w:rPr>
        <w:t>OCTAVO</w:t>
      </w:r>
      <w:r w:rsidR="00EB1CF4" w:rsidRPr="006054AA">
        <w:rPr>
          <w:rFonts w:eastAsiaTheme="minorHAnsi"/>
          <w:lang w:eastAsia="en-US"/>
        </w:rPr>
        <w:t>. De la ampliación del término para resolver.</w:t>
      </w:r>
    </w:p>
    <w:p w14:paraId="3D8F26C7" w14:textId="6E30E484" w:rsidR="00EB1CF4" w:rsidRPr="00546575" w:rsidRDefault="00EB1CF4" w:rsidP="00EB1CF4">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3F0898">
        <w:rPr>
          <w:rFonts w:eastAsiaTheme="minorHAnsi" w:cstheme="minorBidi"/>
          <w:szCs w:val="24"/>
          <w:lang w:eastAsia="en-US"/>
        </w:rPr>
        <w:t>dieciocho</w:t>
      </w:r>
      <w:r w:rsidR="000336D2">
        <w:rPr>
          <w:rFonts w:eastAsiaTheme="minorHAnsi" w:cstheme="minorBidi"/>
          <w:szCs w:val="24"/>
          <w:lang w:eastAsia="en-US"/>
        </w:rPr>
        <w:t xml:space="preserve"> de junio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15C5B79" w14:textId="250B5F55" w:rsidR="00E63F1C" w:rsidRDefault="00E63F1C" w:rsidP="00E63F1C">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277F0F">
        <w:rPr>
          <w:rFonts w:eastAsia="Palatino Linotype" w:cs="Palatino Linotype"/>
          <w:color w:val="000000"/>
          <w:szCs w:val="24"/>
        </w:rPr>
        <w:t>trigésimo 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lastRenderedPageBreak/>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684A29E7" w14:textId="77777777" w:rsidR="00DA0841" w:rsidRPr="00F34F85" w:rsidRDefault="00DA0841" w:rsidP="00DA0841">
      <w:pPr>
        <w:pStyle w:val="Ttulo2"/>
      </w:pPr>
      <w:r w:rsidRPr="00F34F85">
        <w:t xml:space="preserve">TERCERO. Cuestiones de previo y especial pronunciamiento. </w:t>
      </w:r>
    </w:p>
    <w:p w14:paraId="0036689A" w14:textId="77777777" w:rsidR="00DA0841" w:rsidRPr="00F34F85" w:rsidRDefault="00DA0841" w:rsidP="00DA0841">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2577BB7" w14:textId="77777777" w:rsidR="00DA0841" w:rsidRPr="00F34F85" w:rsidRDefault="00DA0841" w:rsidP="00DA0841">
      <w:pPr>
        <w:rPr>
          <w:rFonts w:eastAsia="Palatino Linotype" w:cs="Palatino Linotype"/>
        </w:rPr>
      </w:pPr>
    </w:p>
    <w:p w14:paraId="3131F5EC"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64B429D0"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6EB4EA8D"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2D9702D5"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15547687"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6453E804"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01F8CC8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40CB202C"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4B9E1C9D"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0BBCA1B5" w14:textId="77777777" w:rsidR="00DA0841" w:rsidRPr="00F34F85" w:rsidRDefault="00DA0841" w:rsidP="00DA0841">
      <w:pPr>
        <w:spacing w:line="240" w:lineRule="auto"/>
        <w:ind w:left="567" w:right="567"/>
        <w:rPr>
          <w:rFonts w:eastAsia="Palatino Linotype" w:cs="Palatino Linotype"/>
          <w:i/>
          <w:sz w:val="22"/>
        </w:rPr>
      </w:pPr>
    </w:p>
    <w:p w14:paraId="5E945B1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7C77865A" w14:textId="77777777" w:rsidR="00DA0841" w:rsidRPr="00F34F85" w:rsidRDefault="00DA0841" w:rsidP="00DA0841">
      <w:pPr>
        <w:spacing w:line="240" w:lineRule="auto"/>
        <w:ind w:left="567" w:right="567"/>
        <w:rPr>
          <w:rFonts w:eastAsia="Palatino Linotype" w:cs="Palatino Linotype"/>
          <w:i/>
          <w:sz w:val="22"/>
        </w:rPr>
      </w:pPr>
    </w:p>
    <w:p w14:paraId="106A1459"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509B524E" w14:textId="77777777" w:rsidR="00DA0841" w:rsidRPr="00F34F85" w:rsidRDefault="00DA0841" w:rsidP="00DA0841">
      <w:pPr>
        <w:spacing w:line="240" w:lineRule="auto"/>
        <w:ind w:left="567" w:right="567"/>
        <w:rPr>
          <w:rFonts w:eastAsia="Palatino Linotype" w:cs="Palatino Linotype"/>
          <w:i/>
          <w:sz w:val="22"/>
        </w:rPr>
      </w:pPr>
    </w:p>
    <w:p w14:paraId="71B1481C" w14:textId="77777777" w:rsidR="00DA0841" w:rsidRPr="00F34F85" w:rsidRDefault="00DA0841" w:rsidP="00DA0841">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392848D7" w14:textId="77777777" w:rsidR="00DA0841" w:rsidRPr="00F34F85" w:rsidRDefault="00DA0841" w:rsidP="00DA0841">
      <w:pPr>
        <w:rPr>
          <w:rFonts w:eastAsia="Palatino Linotype" w:cs="Palatino Linotype"/>
          <w:b/>
          <w:i/>
        </w:rPr>
      </w:pPr>
    </w:p>
    <w:p w14:paraId="597F44E2" w14:textId="77777777" w:rsidR="00DA0841" w:rsidRPr="00F34F85" w:rsidRDefault="00DA0841" w:rsidP="00DA0841">
      <w:pPr>
        <w:rPr>
          <w:rFonts w:eastAsia="Palatino Linotype" w:cs="Palatino Linotype"/>
          <w:lang w:val="es-ES"/>
        </w:rPr>
      </w:pPr>
      <w:r w:rsidRPr="218401C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28277B5" w14:textId="77777777" w:rsidR="00DA0841" w:rsidRPr="00F34F85" w:rsidRDefault="00DA0841" w:rsidP="00DA0841">
      <w:pPr>
        <w:rPr>
          <w:rFonts w:eastAsia="Palatino Linotype" w:cs="Palatino Linotype"/>
        </w:rPr>
      </w:pPr>
    </w:p>
    <w:p w14:paraId="623719EB"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76EA2AEE" w14:textId="77777777" w:rsidR="00DA0841" w:rsidRPr="00F34F85" w:rsidRDefault="00DA0841" w:rsidP="00DA0841">
      <w:pPr>
        <w:spacing w:line="240" w:lineRule="auto"/>
        <w:ind w:left="567" w:right="567"/>
        <w:rPr>
          <w:rFonts w:eastAsia="Palatino Linotype" w:cs="Palatino Linotype"/>
          <w:i/>
          <w:sz w:val="22"/>
        </w:rPr>
      </w:pPr>
    </w:p>
    <w:p w14:paraId="107DE626"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8F2F2AE"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2B54E3DD" w14:textId="77777777" w:rsidR="00DA0841" w:rsidRPr="00F34F85" w:rsidRDefault="00DA0841" w:rsidP="00DA0841">
      <w:pPr>
        <w:rPr>
          <w:rFonts w:eastAsia="Palatino Linotype" w:cs="Palatino Linotype"/>
        </w:rPr>
      </w:pPr>
    </w:p>
    <w:p w14:paraId="72B66947" w14:textId="5C29BDA7" w:rsidR="00DA0841" w:rsidRPr="00F34F85" w:rsidRDefault="00DA0841" w:rsidP="00DA0841">
      <w:pPr>
        <w:rPr>
          <w:rFonts w:eastAsia="Palatino Linotype" w:cs="Palatino Linotype"/>
        </w:rPr>
      </w:pPr>
      <w:r w:rsidRPr="00F34F85">
        <w:rPr>
          <w:rFonts w:eastAsia="Palatino Linotype" w:cs="Palatino Linotype"/>
        </w:rPr>
        <w:t xml:space="preserve">Robusteciendo lo anterior se encuentra lo dispuesto en </w:t>
      </w:r>
      <w:r>
        <w:rPr>
          <w:rFonts w:eastAsia="Palatino Linotype" w:cs="Palatino Linotype"/>
        </w:rPr>
        <w:t xml:space="preserve">el artículo </w:t>
      </w:r>
      <w:r w:rsidRPr="00F34F85">
        <w:rPr>
          <w:rFonts w:eastAsia="Palatino Linotype" w:cs="Palatino Linotype"/>
        </w:rPr>
        <w:t xml:space="preserve">5 párrafos </w:t>
      </w:r>
      <w:r w:rsidR="00277F0F">
        <w:rPr>
          <w:rFonts w:eastAsia="Palatino Linotype" w:cs="Palatino Linotype"/>
          <w:color w:val="000000"/>
          <w:szCs w:val="24"/>
        </w:rPr>
        <w:t>trigésimo noveno, cuadragésimo y cuadragésimo primero</w:t>
      </w:r>
      <w:r w:rsidRPr="00F34F85">
        <w:rPr>
          <w:rFonts w:eastAsia="Palatino Linotype" w:cs="Palatino Linotype"/>
        </w:rPr>
        <w:t>, de la Constitución Política del Estado Libre y Soberano de México, se establece lo siguiente:</w:t>
      </w:r>
    </w:p>
    <w:p w14:paraId="5AF1BA62" w14:textId="77777777" w:rsidR="00DA0841" w:rsidRPr="00F34F85" w:rsidRDefault="00DA0841" w:rsidP="00DA0841">
      <w:pPr>
        <w:rPr>
          <w:rFonts w:eastAsia="Palatino Linotype" w:cs="Palatino Linotype"/>
        </w:rPr>
      </w:pPr>
    </w:p>
    <w:p w14:paraId="0688298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0ADF769"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1CF9490B" w14:textId="77777777" w:rsidR="00DA0841" w:rsidRPr="00F34F85" w:rsidRDefault="00DA0841" w:rsidP="00DA0841">
      <w:pPr>
        <w:spacing w:line="240" w:lineRule="auto"/>
        <w:ind w:left="567" w:right="567"/>
        <w:rPr>
          <w:rFonts w:eastAsia="Palatino Linotype" w:cs="Palatino Linotype"/>
          <w:i/>
          <w:iCs/>
          <w:sz w:val="22"/>
          <w:lang w:val="es-ES"/>
        </w:rPr>
      </w:pPr>
      <w:r w:rsidRPr="7BECC908">
        <w:rPr>
          <w:rFonts w:eastAsia="Palatino Linotype" w:cs="Palatino Linotype"/>
          <w:i/>
          <w:iCs/>
          <w:sz w:val="22"/>
          <w:lang w:val="es-ES"/>
        </w:rPr>
        <w:t xml:space="preserve">Toda persona en el Estado de </w:t>
      </w:r>
      <w:proofErr w:type="gramStart"/>
      <w:r w:rsidRPr="7BECC908">
        <w:rPr>
          <w:rFonts w:eastAsia="Palatino Linotype" w:cs="Palatino Linotype"/>
          <w:i/>
          <w:iCs/>
          <w:sz w:val="22"/>
          <w:lang w:val="es-ES"/>
        </w:rPr>
        <w:t>México,</w:t>
      </w:r>
      <w:proofErr w:type="gramEnd"/>
      <w:r w:rsidRPr="7BECC908">
        <w:rPr>
          <w:rFonts w:eastAsia="Palatino Linotype" w:cs="Palatino Linotype"/>
          <w:i/>
          <w:iCs/>
          <w:sz w:val="22"/>
          <w:lang w:val="es-ES"/>
        </w:rPr>
        <w:t xml:space="preserve"> tiene derecho al libre acceso a la información plural y oportuna, así como a buscar recibir y difundir información e ideas de toda índole por cualquier medio de expresión.</w:t>
      </w:r>
    </w:p>
    <w:p w14:paraId="2273F2EE"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lastRenderedPageBreak/>
        <w:t>[…]</w:t>
      </w:r>
    </w:p>
    <w:p w14:paraId="553B5652"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6B7B07" w14:textId="77777777" w:rsidR="00DA0841" w:rsidRPr="00F34F85" w:rsidRDefault="00DA0841" w:rsidP="00DA0841">
      <w:pPr>
        <w:spacing w:line="240" w:lineRule="auto"/>
        <w:ind w:left="567" w:right="567"/>
        <w:rPr>
          <w:rFonts w:eastAsia="Palatino Linotype" w:cs="Palatino Linotype"/>
          <w:i/>
          <w:sz w:val="22"/>
        </w:rPr>
      </w:pPr>
    </w:p>
    <w:p w14:paraId="165BA352" w14:textId="77777777" w:rsidR="00DA0841" w:rsidRPr="00F34F85" w:rsidRDefault="00DA0841" w:rsidP="00DA0841">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4954A38" w14:textId="77777777" w:rsidR="00DA0841" w:rsidRPr="00F34F85" w:rsidRDefault="00DA0841" w:rsidP="00DA0841">
      <w:pPr>
        <w:spacing w:line="240" w:lineRule="auto"/>
        <w:ind w:left="567" w:right="567"/>
        <w:rPr>
          <w:rFonts w:eastAsia="Palatino Linotype" w:cs="Palatino Linotype"/>
          <w:i/>
          <w:sz w:val="22"/>
        </w:rPr>
      </w:pPr>
    </w:p>
    <w:p w14:paraId="7E4D207B"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6FE3FC3A"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18502C7E"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56C79525"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1B18F32"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53CF5A70"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4CD5C65"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655E6322" w14:textId="77777777" w:rsidR="00DA0841" w:rsidRPr="00F34F85" w:rsidRDefault="00DA0841" w:rsidP="00DA0841">
      <w:pPr>
        <w:ind w:left="567" w:right="567"/>
        <w:rPr>
          <w:rFonts w:eastAsia="Palatino Linotype" w:cs="Palatino Linotype"/>
        </w:rPr>
      </w:pPr>
    </w:p>
    <w:p w14:paraId="710E0463" w14:textId="77777777" w:rsidR="00DA0841" w:rsidRPr="00F34F85" w:rsidRDefault="00DA0841" w:rsidP="00DA0841">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41CB3F87" w14:textId="77777777" w:rsidR="00DA0841" w:rsidRPr="00F34F85" w:rsidRDefault="00DA0841" w:rsidP="00DA0841">
      <w:pPr>
        <w:spacing w:line="240" w:lineRule="auto"/>
        <w:ind w:left="567" w:right="567"/>
        <w:rPr>
          <w:rFonts w:eastAsia="Palatino Linotype" w:cs="Palatino Linotype"/>
        </w:rPr>
      </w:pPr>
    </w:p>
    <w:p w14:paraId="2D50F7BC"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 xml:space="preserve">Artículo </w:t>
      </w:r>
      <w:proofErr w:type="spellStart"/>
      <w:r w:rsidRPr="00F34F85">
        <w:rPr>
          <w:rFonts w:eastAsia="Palatino Linotype" w:cs="Palatino Linotype"/>
          <w:b/>
          <w:i/>
          <w:sz w:val="22"/>
        </w:rPr>
        <w:t>1o</w:t>
      </w:r>
      <w:proofErr w:type="spellEnd"/>
      <w:r w:rsidRPr="00F34F8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3CAB09" w14:textId="77777777" w:rsidR="00DA0841" w:rsidRPr="00F34F85" w:rsidRDefault="00DA0841" w:rsidP="00DA0841">
      <w:pPr>
        <w:spacing w:line="240" w:lineRule="auto"/>
        <w:ind w:left="567" w:right="567"/>
        <w:rPr>
          <w:rFonts w:eastAsia="Palatino Linotype" w:cs="Palatino Linotype"/>
          <w:i/>
          <w:sz w:val="22"/>
        </w:rPr>
      </w:pPr>
    </w:p>
    <w:p w14:paraId="307A338A"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5B18029B" w14:textId="77777777" w:rsidR="00DA0841" w:rsidRPr="00F34F85" w:rsidRDefault="00DA0841" w:rsidP="00DA0841">
      <w:pPr>
        <w:spacing w:line="240" w:lineRule="auto"/>
        <w:ind w:left="567" w:right="567"/>
        <w:rPr>
          <w:rFonts w:eastAsia="Palatino Linotype" w:cs="Palatino Linotype"/>
          <w:i/>
          <w:sz w:val="22"/>
        </w:rPr>
      </w:pPr>
    </w:p>
    <w:p w14:paraId="4328ED7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42AE36C" w14:textId="77777777" w:rsidR="00DA0841" w:rsidRPr="00F34F85" w:rsidRDefault="00DA0841" w:rsidP="00DA0841">
      <w:pPr>
        <w:ind w:left="567" w:right="567"/>
        <w:rPr>
          <w:rFonts w:eastAsia="Palatino Linotype" w:cs="Palatino Linotype"/>
        </w:rPr>
      </w:pPr>
    </w:p>
    <w:p w14:paraId="4C635D02" w14:textId="77777777" w:rsidR="00DA0841" w:rsidRPr="00F34F85" w:rsidRDefault="00DA0841" w:rsidP="00DA0841">
      <w:pPr>
        <w:rPr>
          <w:rFonts w:eastAsia="Palatino Linotype" w:cs="Palatino Linotype"/>
        </w:rPr>
      </w:pPr>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AF3E71A" w14:textId="77777777" w:rsidR="00DA0841" w:rsidRPr="00F34F85" w:rsidRDefault="00DA0841" w:rsidP="00DA0841">
      <w:pPr>
        <w:rPr>
          <w:rFonts w:eastAsia="Palatino Linotype" w:cs="Palatino Linotype"/>
        </w:rPr>
      </w:pPr>
    </w:p>
    <w:p w14:paraId="19F58DF7" w14:textId="77777777" w:rsidR="00DA0841" w:rsidRPr="00F34F85" w:rsidRDefault="00DA0841" w:rsidP="00DA0841">
      <w:r w:rsidRPr="00F34F85">
        <w:t>En conclusión, se cubrieron los requisitos de procedencia y procedibilidad, conforme a las constancias que obran en el expediente.</w:t>
      </w:r>
    </w:p>
    <w:p w14:paraId="716FC7A0" w14:textId="77777777" w:rsidR="00DA0841" w:rsidRDefault="00DA0841" w:rsidP="006922F5"/>
    <w:p w14:paraId="7E828C31" w14:textId="2DDA13D4" w:rsidR="00454915" w:rsidRPr="006922F5" w:rsidRDefault="00DA0841" w:rsidP="00454915">
      <w:pPr>
        <w:pStyle w:val="Ttulo2"/>
        <w:rPr>
          <w:rFonts w:eastAsia="Palatino Linotype"/>
        </w:rPr>
      </w:pPr>
      <w:r>
        <w:rPr>
          <w:rFonts w:eastAsia="Palatino Linotype"/>
        </w:rPr>
        <w:t>CUARTO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del Estado </w:t>
      </w:r>
      <w:r w:rsidRPr="006922F5">
        <w:rPr>
          <w:rFonts w:eastAsia="Palatino Linotype" w:cs="Palatino Linotype"/>
          <w:color w:val="000000"/>
          <w:szCs w:val="24"/>
        </w:rPr>
        <w:lastRenderedPageBreak/>
        <w:t>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3985E7" w:rsidR="00454915" w:rsidRPr="006922F5" w:rsidRDefault="00DA0841" w:rsidP="00454915">
      <w:pPr>
        <w:pStyle w:val="Ttulo2"/>
        <w:rPr>
          <w:rFonts w:eastAsia="Palatino Linotype"/>
        </w:rPr>
      </w:pPr>
      <w:r>
        <w:rPr>
          <w:rFonts w:eastAsia="Palatino Linotype"/>
        </w:rPr>
        <w:t>QUIN</w:t>
      </w:r>
      <w:r w:rsidR="00F45971">
        <w:rPr>
          <w:rFonts w:eastAsia="Palatino Linotype"/>
        </w:rPr>
        <w:t>TO</w:t>
      </w:r>
      <w:r w:rsidR="00454915" w:rsidRPr="006922F5">
        <w:rPr>
          <w:rFonts w:eastAsia="Palatino Linotype"/>
        </w:rPr>
        <w:t>. Estudio y resolución del asunto.</w:t>
      </w:r>
    </w:p>
    <w:p w14:paraId="78A9F94F"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13154" w:rsidRDefault="004A3367" w:rsidP="004A3367">
      <w:pPr>
        <w:rPr>
          <w:rFonts w:eastAsiaTheme="minorHAnsi" w:cstheme="minorBidi"/>
          <w:sz w:val="22"/>
          <w:lang w:eastAsia="en-US"/>
        </w:rPr>
      </w:pPr>
    </w:p>
    <w:p w14:paraId="7D2308BC" w14:textId="264A380F" w:rsidR="00E34A9B" w:rsidRPr="00E34A9B" w:rsidRDefault="0EE28084" w:rsidP="003F0898">
      <w:pPr>
        <w:rPr>
          <w:rFonts w:eastAsiaTheme="minorEastAsia" w:cstheme="minorBidi"/>
          <w:lang w:eastAsia="en-US"/>
        </w:rPr>
      </w:pPr>
      <w:r w:rsidRPr="0EE28084">
        <w:rPr>
          <w:rFonts w:eastAsiaTheme="minorEastAsia" w:cstheme="minorBidi"/>
          <w:lang w:val="es-ES" w:eastAsia="en-US"/>
        </w:rPr>
        <w:t xml:space="preserve">En virtud de lo anterior, es conveniente recordar que el </w:t>
      </w:r>
      <w:r w:rsidR="00DA0841">
        <w:rPr>
          <w:rFonts w:eastAsiaTheme="minorEastAsia" w:cstheme="minorBidi"/>
          <w:lang w:val="es-ES" w:eastAsia="en-US"/>
        </w:rPr>
        <w:t xml:space="preserve">hoy </w:t>
      </w:r>
      <w:r w:rsidRPr="0EE28084">
        <w:rPr>
          <w:rFonts w:eastAsiaTheme="minorEastAsia" w:cstheme="minorBidi"/>
          <w:lang w:val="es-ES" w:eastAsia="en-US"/>
        </w:rPr>
        <w:t>Recurrente</w:t>
      </w:r>
      <w:r w:rsidR="00DA0841">
        <w:rPr>
          <w:rFonts w:eastAsiaTheme="minorEastAsia" w:cstheme="minorBidi"/>
          <w:lang w:val="es-ES" w:eastAsia="en-US"/>
        </w:rPr>
        <w:t xml:space="preserve"> </w:t>
      </w:r>
      <w:r w:rsidR="0084615A">
        <w:rPr>
          <w:rFonts w:eastAsiaTheme="minorEastAsia" w:cstheme="minorBidi"/>
          <w:lang w:val="es-ES" w:eastAsia="en-US"/>
        </w:rPr>
        <w:t xml:space="preserve">requirió </w:t>
      </w:r>
      <w:r w:rsidR="00D4457F">
        <w:rPr>
          <w:rFonts w:eastAsiaTheme="minorEastAsia" w:cstheme="minorBidi"/>
          <w:lang w:val="es-ES" w:eastAsia="en-US"/>
        </w:rPr>
        <w:t xml:space="preserve">que </w:t>
      </w:r>
      <w:r w:rsidR="003F0898">
        <w:rPr>
          <w:rFonts w:eastAsiaTheme="minorEastAsia" w:cstheme="minorBidi"/>
          <w:lang w:val="es-ES" w:eastAsia="en-US"/>
        </w:rPr>
        <w:t xml:space="preserve">se le proporcionaran las actas del Comité de Transparencia correspondientes del primero de octubre de dos mil veinticuatro al veintisiete de febrero de dos mil veinticinco, agregando las fotografías de las sesiones, lista de asistencia, orden del día y citatorios firmados por los convocados. </w:t>
      </w:r>
    </w:p>
    <w:p w14:paraId="50217705" w14:textId="77777777" w:rsidR="0048549E" w:rsidRDefault="0048549E" w:rsidP="00D31CA9">
      <w:pPr>
        <w:rPr>
          <w:rFonts w:eastAsiaTheme="minorEastAsia" w:cstheme="minorBidi"/>
          <w:lang w:val="es-ES" w:eastAsia="en-US"/>
        </w:rPr>
      </w:pPr>
    </w:p>
    <w:p w14:paraId="1A124E8B" w14:textId="66FBD69C" w:rsidR="00444413" w:rsidRDefault="00A970D5" w:rsidP="001B63A6">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respondió</w:t>
      </w:r>
      <w:r w:rsidR="001B63A6">
        <w:rPr>
          <w:rFonts w:eastAsia="Palatino Linotype" w:cs="Palatino Linotype"/>
          <w:color w:val="000000"/>
          <w:szCs w:val="24"/>
        </w:rPr>
        <w:t xml:space="preserve"> </w:t>
      </w:r>
      <w:r w:rsidR="00444413">
        <w:rPr>
          <w:rFonts w:eastAsia="Palatino Linotype" w:cs="Palatino Linotype"/>
          <w:color w:val="000000"/>
          <w:szCs w:val="24"/>
        </w:rPr>
        <w:t>mediante</w:t>
      </w:r>
      <w:r w:rsidR="0008143A">
        <w:rPr>
          <w:rFonts w:eastAsia="Palatino Linotype" w:cs="Palatino Linotype"/>
          <w:color w:val="000000"/>
          <w:szCs w:val="24"/>
        </w:rPr>
        <w:t xml:space="preserve"> la entrega de</w:t>
      </w:r>
      <w:r w:rsidR="003F0898">
        <w:rPr>
          <w:rFonts w:eastAsia="Palatino Linotype" w:cs="Palatino Linotype"/>
          <w:color w:val="000000"/>
          <w:szCs w:val="24"/>
        </w:rPr>
        <w:t xml:space="preserve"> </w:t>
      </w:r>
      <w:r w:rsidR="00E34A9B">
        <w:rPr>
          <w:rFonts w:eastAsia="Palatino Linotype" w:cs="Palatino Linotype"/>
          <w:color w:val="000000"/>
          <w:szCs w:val="24"/>
        </w:rPr>
        <w:t>l</w:t>
      </w:r>
      <w:r w:rsidR="003F0898">
        <w:rPr>
          <w:rFonts w:eastAsia="Palatino Linotype" w:cs="Palatino Linotype"/>
          <w:color w:val="000000"/>
          <w:szCs w:val="24"/>
        </w:rPr>
        <w:t>os siguientes documentos y carpetas ele</w:t>
      </w:r>
      <w:r w:rsidR="0022191F">
        <w:rPr>
          <w:rFonts w:eastAsia="Palatino Linotype" w:cs="Palatino Linotype"/>
          <w:color w:val="000000"/>
          <w:szCs w:val="24"/>
        </w:rPr>
        <w:t>c</w:t>
      </w:r>
      <w:r w:rsidR="003F0898">
        <w:rPr>
          <w:rFonts w:eastAsia="Palatino Linotype" w:cs="Palatino Linotype"/>
          <w:color w:val="000000"/>
          <w:szCs w:val="24"/>
        </w:rPr>
        <w:t>trónicas:</w:t>
      </w:r>
    </w:p>
    <w:p w14:paraId="07CFE453" w14:textId="77777777" w:rsidR="00AC447B" w:rsidRDefault="00AC447B" w:rsidP="001B63A6">
      <w:pPr>
        <w:pBdr>
          <w:top w:val="nil"/>
          <w:left w:val="nil"/>
          <w:bottom w:val="nil"/>
          <w:right w:val="nil"/>
          <w:between w:val="nil"/>
        </w:pBdr>
        <w:contextualSpacing/>
        <w:rPr>
          <w:rFonts w:eastAsia="Palatino Linotype" w:cs="Palatino Linotype"/>
          <w:color w:val="000000"/>
          <w:szCs w:val="24"/>
        </w:rPr>
      </w:pPr>
    </w:p>
    <w:p w14:paraId="1AE84152" w14:textId="0AAA9B1A" w:rsidR="003F0898" w:rsidRPr="003F0898" w:rsidRDefault="003F0898" w:rsidP="003F0898">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5019EE">
        <w:rPr>
          <w:rFonts w:eastAsia="Palatino Linotype" w:cs="Palatino Linotype"/>
          <w:b/>
          <w:bCs/>
          <w:color w:val="000000"/>
          <w:lang w:val="es-MX"/>
        </w:rPr>
        <w:t>R. 01189_25.pdf</w:t>
      </w:r>
      <w:r w:rsidR="0022191F">
        <w:rPr>
          <w:rFonts w:eastAsia="Palatino Linotype" w:cs="Palatino Linotype"/>
          <w:bCs/>
          <w:color w:val="000000"/>
          <w:lang w:val="es-MX"/>
        </w:rPr>
        <w:t xml:space="preserve">. Escrito de respuesta signado por el Titular de la Unidad de Transparencia, mediante el cual se informó que se hacía entrega de las actas del </w:t>
      </w:r>
      <w:r w:rsidR="0022191F">
        <w:rPr>
          <w:rFonts w:eastAsia="Palatino Linotype" w:cs="Palatino Linotype"/>
          <w:bCs/>
          <w:color w:val="000000"/>
          <w:lang w:val="es-MX"/>
        </w:rPr>
        <w:lastRenderedPageBreak/>
        <w:t>Comité de Transparencia generadas de enero a febrero de dos mil veinticinco y se señaló que las actas que comprenden del periodo de octubre a diciembre de dos mil veinticuatro pueden ser consultadas en la fracción XLIII A del artículo 92 en el portal de Información Pública de Oficio Mexiquense</w:t>
      </w:r>
      <w:r w:rsidR="009333CB">
        <w:rPr>
          <w:rFonts w:eastAsia="Palatino Linotype" w:cs="Palatino Linotype"/>
          <w:bCs/>
          <w:color w:val="000000"/>
          <w:lang w:val="es-MX"/>
        </w:rPr>
        <w:t xml:space="preserve"> (</w:t>
      </w:r>
      <w:proofErr w:type="spellStart"/>
      <w:r w:rsidR="009333CB">
        <w:rPr>
          <w:rFonts w:eastAsia="Palatino Linotype" w:cs="Palatino Linotype"/>
          <w:bCs/>
          <w:color w:val="000000"/>
          <w:lang w:val="es-MX"/>
        </w:rPr>
        <w:t>IPOMEX</w:t>
      </w:r>
      <w:proofErr w:type="spellEnd"/>
      <w:r w:rsidR="009333CB">
        <w:rPr>
          <w:rFonts w:eastAsia="Palatino Linotype" w:cs="Palatino Linotype"/>
          <w:bCs/>
          <w:color w:val="000000"/>
          <w:lang w:val="es-MX"/>
        </w:rPr>
        <w:t>)</w:t>
      </w:r>
      <w:r w:rsidR="0022191F">
        <w:rPr>
          <w:rFonts w:eastAsia="Palatino Linotype" w:cs="Palatino Linotype"/>
          <w:bCs/>
          <w:color w:val="000000"/>
          <w:lang w:val="es-MX"/>
        </w:rPr>
        <w:t>, proporcionando la liga en formato cerrado.</w:t>
      </w:r>
    </w:p>
    <w:p w14:paraId="7962D2CD" w14:textId="066D70C5" w:rsidR="003F0898" w:rsidRPr="009333CB" w:rsidRDefault="003F0898" w:rsidP="00BA5B32">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9333CB">
        <w:rPr>
          <w:rFonts w:eastAsia="Palatino Linotype" w:cs="Palatino Linotype"/>
          <w:b/>
          <w:bCs/>
          <w:color w:val="000000"/>
          <w:lang w:val="es-MX"/>
        </w:rPr>
        <w:t xml:space="preserve">Liga </w:t>
      </w:r>
      <w:proofErr w:type="spellStart"/>
      <w:r w:rsidRPr="009333CB">
        <w:rPr>
          <w:rFonts w:eastAsia="Palatino Linotype" w:cs="Palatino Linotype"/>
          <w:b/>
          <w:bCs/>
          <w:color w:val="000000"/>
          <w:lang w:val="es-MX"/>
        </w:rPr>
        <w:t>IPOMEX</w:t>
      </w:r>
      <w:proofErr w:type="spellEnd"/>
      <w:r w:rsidRPr="009333CB">
        <w:rPr>
          <w:rFonts w:eastAsia="Palatino Linotype" w:cs="Palatino Linotype"/>
          <w:b/>
          <w:bCs/>
          <w:color w:val="000000"/>
          <w:lang w:val="es-MX"/>
        </w:rPr>
        <w:t>_ F. XLIII A.docx</w:t>
      </w:r>
      <w:r w:rsidR="0022191F" w:rsidRPr="009333CB">
        <w:rPr>
          <w:rFonts w:eastAsia="Palatino Linotype" w:cs="Palatino Linotype"/>
          <w:bCs/>
          <w:color w:val="000000"/>
          <w:lang w:val="es-MX"/>
        </w:rPr>
        <w:t>.</w:t>
      </w:r>
      <w:r w:rsidR="00B116C5" w:rsidRPr="009333CB">
        <w:rPr>
          <w:rFonts w:eastAsia="Palatino Linotype" w:cs="Palatino Linotype"/>
          <w:bCs/>
          <w:color w:val="000000"/>
          <w:lang w:val="es-MX"/>
        </w:rPr>
        <w:t xml:space="preserve"> Documento en formato Word con la liga </w:t>
      </w:r>
      <w:r w:rsidR="009333CB" w:rsidRPr="009333CB">
        <w:rPr>
          <w:rFonts w:eastAsia="Palatino Linotype" w:cs="Palatino Linotype"/>
          <w:bCs/>
          <w:color w:val="000000"/>
          <w:lang w:val="es-MX"/>
        </w:rPr>
        <w:t xml:space="preserve">electrónica </w:t>
      </w:r>
      <w:hyperlink r:id="rId8" w:anchor="/info-fraccion/67/197/1" w:history="1">
        <w:r w:rsidR="009333CB" w:rsidRPr="00485BB2">
          <w:rPr>
            <w:rStyle w:val="Hipervnculo"/>
            <w:rFonts w:eastAsia="Palatino Linotype" w:cs="Palatino Linotype"/>
            <w:bCs/>
            <w:lang w:val="es-MX"/>
          </w:rPr>
          <w:t>https://infoem2.ipomex.org.mx/ipomex/#/info-fraccion/67/197/1</w:t>
        </w:r>
      </w:hyperlink>
      <w:r w:rsidR="009333CB">
        <w:rPr>
          <w:rFonts w:eastAsia="Palatino Linotype" w:cs="Palatino Linotype"/>
          <w:bCs/>
          <w:color w:val="000000"/>
          <w:lang w:val="es-MX"/>
        </w:rPr>
        <w:t xml:space="preserve"> en formato abierto para consulta de la información en el </w:t>
      </w:r>
      <w:proofErr w:type="spellStart"/>
      <w:r w:rsidR="009333CB">
        <w:rPr>
          <w:rFonts w:eastAsia="Palatino Linotype" w:cs="Palatino Linotype"/>
          <w:bCs/>
          <w:color w:val="000000"/>
          <w:lang w:val="es-MX"/>
        </w:rPr>
        <w:t>IPOMEX</w:t>
      </w:r>
      <w:proofErr w:type="spellEnd"/>
      <w:r w:rsidR="009333CB">
        <w:rPr>
          <w:rFonts w:eastAsia="Palatino Linotype" w:cs="Palatino Linotype"/>
          <w:bCs/>
          <w:color w:val="000000"/>
          <w:lang w:val="es-MX"/>
        </w:rPr>
        <w:t>.</w:t>
      </w:r>
    </w:p>
    <w:p w14:paraId="4CE5D81D" w14:textId="6E8C0B2A" w:rsidR="003F0898" w:rsidRPr="003F0898" w:rsidRDefault="003F0898" w:rsidP="003F0898">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b/>
          <w:bCs/>
          <w:color w:val="000000"/>
          <w:lang w:val="es-MX"/>
        </w:rPr>
        <w:t>Anexo_1</w:t>
      </w:r>
      <w:r w:rsidRPr="005019EE">
        <w:rPr>
          <w:rFonts w:eastAsia="Palatino Linotype" w:cs="Palatino Linotype"/>
          <w:b/>
          <w:bCs/>
          <w:color w:val="000000"/>
          <w:lang w:val="es-MX"/>
        </w:rPr>
        <w:t>.zip</w:t>
      </w:r>
      <w:r w:rsidR="0022191F">
        <w:rPr>
          <w:rFonts w:eastAsia="Palatino Linotype" w:cs="Palatino Linotype"/>
          <w:bCs/>
          <w:color w:val="000000"/>
          <w:lang w:val="es-MX"/>
        </w:rPr>
        <w:t>.</w:t>
      </w:r>
      <w:r w:rsidR="009333CB">
        <w:rPr>
          <w:rFonts w:eastAsia="Palatino Linotype" w:cs="Palatino Linotype"/>
          <w:bCs/>
          <w:color w:val="000000"/>
          <w:lang w:val="es-MX"/>
        </w:rPr>
        <w:t xml:space="preserve"> Carpeta electrónica que contiene las actas de las sesiones extraordinarias de la primera a la vigésima quinta, vigésima quinta Bis y de la vigésima sexta a la trigésima.</w:t>
      </w:r>
    </w:p>
    <w:p w14:paraId="4A856EF0" w14:textId="2A2F9B88" w:rsidR="003F0898" w:rsidRPr="00BA5B32" w:rsidRDefault="003F0898" w:rsidP="00BA5B32">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BA5B32">
        <w:rPr>
          <w:rFonts w:eastAsia="Palatino Linotype" w:cs="Palatino Linotype"/>
          <w:b/>
          <w:bCs/>
          <w:color w:val="000000"/>
          <w:lang w:val="es-MX"/>
        </w:rPr>
        <w:t>Anexo_2.zip</w:t>
      </w:r>
      <w:r w:rsidR="0022191F" w:rsidRPr="00BA5B32">
        <w:rPr>
          <w:rFonts w:eastAsia="Palatino Linotype" w:cs="Palatino Linotype"/>
          <w:bCs/>
          <w:color w:val="000000"/>
          <w:lang w:val="es-MX"/>
        </w:rPr>
        <w:t>.</w:t>
      </w:r>
      <w:r w:rsidR="00BA5B32" w:rsidRPr="00BA5B32">
        <w:rPr>
          <w:rFonts w:eastAsia="Palatino Linotype" w:cs="Palatino Linotype"/>
          <w:bCs/>
          <w:color w:val="000000"/>
          <w:lang w:val="es-MX"/>
        </w:rPr>
        <w:t xml:space="preserve"> Carpeta electrónica que contiene las actas de las sesiones extraordinarias de la </w:t>
      </w:r>
      <w:r w:rsidR="00BA5B32">
        <w:rPr>
          <w:rFonts w:eastAsia="Palatino Linotype" w:cs="Palatino Linotype"/>
          <w:bCs/>
          <w:color w:val="000000"/>
          <w:lang w:val="es-MX"/>
        </w:rPr>
        <w:t xml:space="preserve">trigésima </w:t>
      </w:r>
      <w:r w:rsidR="00BA5B32" w:rsidRPr="00BA5B32">
        <w:rPr>
          <w:rFonts w:eastAsia="Palatino Linotype" w:cs="Palatino Linotype"/>
          <w:bCs/>
          <w:color w:val="000000"/>
          <w:lang w:val="es-MX"/>
        </w:rPr>
        <w:t xml:space="preserve">primera a la </w:t>
      </w:r>
      <w:r w:rsidR="00BA5B32">
        <w:rPr>
          <w:rFonts w:eastAsia="Palatino Linotype" w:cs="Palatino Linotype"/>
          <w:bCs/>
          <w:color w:val="000000"/>
          <w:lang w:val="es-MX"/>
        </w:rPr>
        <w:t>quincuagésima</w:t>
      </w:r>
      <w:r w:rsidR="00BA5B32" w:rsidRPr="00BA5B32">
        <w:rPr>
          <w:rFonts w:eastAsia="Palatino Linotype" w:cs="Palatino Linotype"/>
          <w:bCs/>
          <w:color w:val="000000"/>
          <w:lang w:val="es-MX"/>
        </w:rPr>
        <w:t xml:space="preserve">, </w:t>
      </w:r>
      <w:r w:rsidR="00BA5B32">
        <w:rPr>
          <w:rFonts w:eastAsia="Palatino Linotype" w:cs="Palatino Linotype"/>
          <w:bCs/>
          <w:color w:val="000000"/>
          <w:lang w:val="es-MX"/>
        </w:rPr>
        <w:t>quincuagésima</w:t>
      </w:r>
      <w:r w:rsidR="00BA5B32" w:rsidRPr="00BA5B32">
        <w:rPr>
          <w:rFonts w:eastAsia="Palatino Linotype" w:cs="Palatino Linotype"/>
          <w:bCs/>
          <w:color w:val="000000"/>
          <w:lang w:val="es-MX"/>
        </w:rPr>
        <w:t xml:space="preserve"> Bis y de la </w:t>
      </w:r>
      <w:r w:rsidR="00BA5B32">
        <w:rPr>
          <w:rFonts w:eastAsia="Palatino Linotype" w:cs="Palatino Linotype"/>
          <w:bCs/>
          <w:color w:val="000000"/>
          <w:lang w:val="es-MX"/>
        </w:rPr>
        <w:t>quincuagésima primera</w:t>
      </w:r>
      <w:r w:rsidR="00BA5B32" w:rsidRPr="00BA5B32">
        <w:rPr>
          <w:rFonts w:eastAsia="Palatino Linotype" w:cs="Palatino Linotype"/>
          <w:bCs/>
          <w:color w:val="000000"/>
          <w:lang w:val="es-MX"/>
        </w:rPr>
        <w:t xml:space="preserve"> a la </w:t>
      </w:r>
      <w:r w:rsidR="00BA5B32">
        <w:rPr>
          <w:rFonts w:eastAsia="Palatino Linotype" w:cs="Palatino Linotype"/>
          <w:bCs/>
          <w:color w:val="000000"/>
          <w:lang w:val="es-MX"/>
        </w:rPr>
        <w:t>sexa</w:t>
      </w:r>
      <w:r w:rsidR="00BA5B32" w:rsidRPr="00BA5B32">
        <w:rPr>
          <w:rFonts w:eastAsia="Palatino Linotype" w:cs="Palatino Linotype"/>
          <w:bCs/>
          <w:color w:val="000000"/>
          <w:lang w:val="es-MX"/>
        </w:rPr>
        <w:t>gésima.</w:t>
      </w:r>
    </w:p>
    <w:p w14:paraId="2134C453" w14:textId="3CD42876" w:rsidR="003F0898" w:rsidRPr="003F0898" w:rsidRDefault="003F0898" w:rsidP="003F0898">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b/>
          <w:bCs/>
          <w:color w:val="000000"/>
          <w:lang w:val="es-MX"/>
        </w:rPr>
        <w:t>Anexo_3</w:t>
      </w:r>
      <w:r w:rsidRPr="005019EE">
        <w:rPr>
          <w:rFonts w:eastAsia="Palatino Linotype" w:cs="Palatino Linotype"/>
          <w:b/>
          <w:bCs/>
          <w:color w:val="000000"/>
          <w:lang w:val="es-MX"/>
        </w:rPr>
        <w:t>.zip</w:t>
      </w:r>
      <w:r w:rsidR="0022191F">
        <w:rPr>
          <w:rFonts w:eastAsia="Palatino Linotype" w:cs="Palatino Linotype"/>
          <w:bCs/>
          <w:color w:val="000000"/>
          <w:lang w:val="es-MX"/>
        </w:rPr>
        <w:t>.</w:t>
      </w:r>
      <w:r w:rsidR="00BA5B32">
        <w:rPr>
          <w:rFonts w:eastAsia="Palatino Linotype" w:cs="Palatino Linotype"/>
          <w:bCs/>
          <w:color w:val="000000"/>
          <w:lang w:val="es-MX"/>
        </w:rPr>
        <w:t xml:space="preserve"> </w:t>
      </w:r>
      <w:r w:rsidR="00BA5B32" w:rsidRPr="00BA5B32">
        <w:rPr>
          <w:rFonts w:eastAsia="Palatino Linotype" w:cs="Palatino Linotype"/>
          <w:bCs/>
          <w:color w:val="000000"/>
          <w:lang w:val="es-MX"/>
        </w:rPr>
        <w:t xml:space="preserve">Carpeta electrónica que contiene las actas de las sesiones extraordinarias de la </w:t>
      </w:r>
      <w:r w:rsidR="00BA5B32">
        <w:rPr>
          <w:rFonts w:eastAsia="Palatino Linotype" w:cs="Palatino Linotype"/>
          <w:bCs/>
          <w:color w:val="000000"/>
          <w:lang w:val="es-MX"/>
        </w:rPr>
        <w:t xml:space="preserve">sexagésima </w:t>
      </w:r>
      <w:r w:rsidR="00BA5B32" w:rsidRPr="00BA5B32">
        <w:rPr>
          <w:rFonts w:eastAsia="Palatino Linotype" w:cs="Palatino Linotype"/>
          <w:bCs/>
          <w:color w:val="000000"/>
          <w:lang w:val="es-MX"/>
        </w:rPr>
        <w:t xml:space="preserve">primera a la </w:t>
      </w:r>
      <w:r w:rsidR="00BA5B32">
        <w:rPr>
          <w:rFonts w:eastAsia="Palatino Linotype" w:cs="Palatino Linotype"/>
          <w:bCs/>
          <w:color w:val="000000"/>
          <w:lang w:val="es-MX"/>
        </w:rPr>
        <w:t>septuagésima</w:t>
      </w:r>
      <w:r w:rsidR="00BA5B32" w:rsidRPr="00BA5B32">
        <w:rPr>
          <w:rFonts w:eastAsia="Palatino Linotype" w:cs="Palatino Linotype"/>
          <w:bCs/>
          <w:color w:val="000000"/>
          <w:lang w:val="es-MX"/>
        </w:rPr>
        <w:t xml:space="preserve">, </w:t>
      </w:r>
      <w:r w:rsidR="00BA5B32">
        <w:rPr>
          <w:rFonts w:eastAsia="Palatino Linotype" w:cs="Palatino Linotype"/>
          <w:bCs/>
          <w:color w:val="000000"/>
          <w:lang w:val="es-MX"/>
        </w:rPr>
        <w:t>septuagésima</w:t>
      </w:r>
      <w:r w:rsidR="00BA5B32" w:rsidRPr="00BA5B32">
        <w:rPr>
          <w:rFonts w:eastAsia="Palatino Linotype" w:cs="Palatino Linotype"/>
          <w:bCs/>
          <w:color w:val="000000"/>
          <w:lang w:val="es-MX"/>
        </w:rPr>
        <w:t xml:space="preserve"> Bis</w:t>
      </w:r>
      <w:r w:rsidR="00BA5B32">
        <w:rPr>
          <w:rFonts w:eastAsia="Palatino Linotype" w:cs="Palatino Linotype"/>
          <w:bCs/>
          <w:color w:val="000000"/>
          <w:lang w:val="es-MX"/>
        </w:rPr>
        <w:t xml:space="preserve">, </w:t>
      </w:r>
      <w:r w:rsidR="00615AFC">
        <w:rPr>
          <w:rFonts w:eastAsia="Palatino Linotype" w:cs="Palatino Linotype"/>
          <w:bCs/>
          <w:color w:val="000000"/>
          <w:lang w:val="es-MX"/>
        </w:rPr>
        <w:t>septuagésima primera a la septuagésima octava, septuagésima octava Bis, septuagésima novena a la nonagésima tercera; sin que se observen las actas de las sesiones extraordinarias septuagésima tercera, septuagésima cuarta y octogésima séptima.</w:t>
      </w:r>
    </w:p>
    <w:p w14:paraId="157C6DDC" w14:textId="1D7C9B33" w:rsidR="003F0898" w:rsidRPr="00615AFC" w:rsidRDefault="003F0898" w:rsidP="004F14CA">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615AFC">
        <w:rPr>
          <w:rFonts w:eastAsia="Palatino Linotype" w:cs="Palatino Linotype"/>
          <w:b/>
          <w:bCs/>
          <w:color w:val="000000"/>
          <w:lang w:val="es-MX"/>
        </w:rPr>
        <w:t>Anexo_4.zip</w:t>
      </w:r>
      <w:r w:rsidR="0022191F" w:rsidRPr="00615AFC">
        <w:rPr>
          <w:rFonts w:eastAsia="Palatino Linotype" w:cs="Palatino Linotype"/>
          <w:bCs/>
          <w:color w:val="000000"/>
          <w:lang w:val="es-MX"/>
        </w:rPr>
        <w:t>.</w:t>
      </w:r>
      <w:r w:rsidR="00615AFC" w:rsidRPr="00615AFC">
        <w:rPr>
          <w:rFonts w:eastAsia="Palatino Linotype" w:cs="Palatino Linotype"/>
          <w:bCs/>
          <w:color w:val="000000"/>
          <w:lang w:val="es-MX"/>
        </w:rPr>
        <w:t xml:space="preserve"> Carpeta electrónica que contiene las actas de las sesiones extraordinarias de la nonagésima tercera a la </w:t>
      </w:r>
      <w:r w:rsidR="00615AFC">
        <w:rPr>
          <w:rFonts w:eastAsia="Palatino Linotype" w:cs="Palatino Linotype"/>
          <w:bCs/>
          <w:color w:val="000000"/>
          <w:lang w:val="es-MX"/>
        </w:rPr>
        <w:t xml:space="preserve">centésima vigésima novena; </w:t>
      </w:r>
      <w:r w:rsidR="00615AFC" w:rsidRPr="00615AFC">
        <w:rPr>
          <w:rFonts w:eastAsia="Palatino Linotype" w:cs="Palatino Linotype"/>
          <w:bCs/>
          <w:color w:val="000000"/>
          <w:lang w:val="es-MX"/>
        </w:rPr>
        <w:t>sin que se observe</w:t>
      </w:r>
      <w:r w:rsidR="00615AFC">
        <w:rPr>
          <w:rFonts w:eastAsia="Palatino Linotype" w:cs="Palatino Linotype"/>
          <w:bCs/>
          <w:color w:val="000000"/>
          <w:lang w:val="es-MX"/>
        </w:rPr>
        <w:t xml:space="preserve"> el</w:t>
      </w:r>
      <w:r w:rsidR="00615AFC" w:rsidRPr="00615AFC">
        <w:rPr>
          <w:rFonts w:eastAsia="Palatino Linotype" w:cs="Palatino Linotype"/>
          <w:bCs/>
          <w:color w:val="000000"/>
          <w:lang w:val="es-MX"/>
        </w:rPr>
        <w:t xml:space="preserve"> acta de la sesi</w:t>
      </w:r>
      <w:r w:rsidR="00615AFC">
        <w:rPr>
          <w:rFonts w:eastAsia="Palatino Linotype" w:cs="Palatino Linotype"/>
          <w:bCs/>
          <w:color w:val="000000"/>
          <w:lang w:val="es-MX"/>
        </w:rPr>
        <w:t>ón</w:t>
      </w:r>
      <w:r w:rsidR="00615AFC" w:rsidRPr="00615AFC">
        <w:rPr>
          <w:rFonts w:eastAsia="Palatino Linotype" w:cs="Palatino Linotype"/>
          <w:bCs/>
          <w:color w:val="000000"/>
          <w:lang w:val="es-MX"/>
        </w:rPr>
        <w:t xml:space="preserve"> extraordinaria</w:t>
      </w:r>
      <w:r w:rsidR="00615AFC">
        <w:rPr>
          <w:rFonts w:eastAsia="Palatino Linotype" w:cs="Palatino Linotype"/>
          <w:bCs/>
          <w:color w:val="000000"/>
          <w:lang w:val="es-MX"/>
        </w:rPr>
        <w:t xml:space="preserve"> centésima tercera</w:t>
      </w:r>
      <w:r w:rsidR="00615AFC" w:rsidRPr="00615AFC">
        <w:rPr>
          <w:rFonts w:eastAsia="Palatino Linotype" w:cs="Palatino Linotype"/>
          <w:bCs/>
          <w:color w:val="000000"/>
          <w:lang w:val="es-MX"/>
        </w:rPr>
        <w:t>.</w:t>
      </w:r>
    </w:p>
    <w:p w14:paraId="69655D61" w14:textId="2F5C721E" w:rsidR="00AC447B" w:rsidRPr="00175E59" w:rsidRDefault="003F0898" w:rsidP="004F14CA">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175E59">
        <w:rPr>
          <w:rFonts w:eastAsia="Palatino Linotype" w:cs="Palatino Linotype"/>
          <w:b/>
          <w:bCs/>
          <w:color w:val="000000"/>
          <w:lang w:val="es-MX"/>
        </w:rPr>
        <w:lastRenderedPageBreak/>
        <w:t>Anexo_5.zip</w:t>
      </w:r>
      <w:r w:rsidR="0022191F" w:rsidRPr="00175E59">
        <w:rPr>
          <w:rFonts w:eastAsia="Palatino Linotype" w:cs="Palatino Linotype"/>
          <w:bCs/>
          <w:color w:val="000000"/>
          <w:lang w:val="es-MX"/>
        </w:rPr>
        <w:t>.</w:t>
      </w:r>
      <w:r w:rsidR="00175E59" w:rsidRPr="00175E59">
        <w:rPr>
          <w:rFonts w:eastAsia="Palatino Linotype" w:cs="Palatino Linotype"/>
          <w:bCs/>
          <w:color w:val="000000"/>
          <w:lang w:val="es-MX"/>
        </w:rPr>
        <w:t xml:space="preserve"> Carpeta electrónica que contiene las actas de las sesiones extraordinarias de la centésima t</w:t>
      </w:r>
      <w:r w:rsidR="00175E59">
        <w:rPr>
          <w:rFonts w:eastAsia="Palatino Linotype" w:cs="Palatino Linotype"/>
          <w:bCs/>
          <w:color w:val="000000"/>
          <w:lang w:val="es-MX"/>
        </w:rPr>
        <w:t>rigésima</w:t>
      </w:r>
      <w:r w:rsidR="00175E59" w:rsidRPr="00175E59">
        <w:rPr>
          <w:rFonts w:eastAsia="Palatino Linotype" w:cs="Palatino Linotype"/>
          <w:bCs/>
          <w:color w:val="000000"/>
          <w:lang w:val="es-MX"/>
        </w:rPr>
        <w:t xml:space="preserve"> a la centésima </w:t>
      </w:r>
      <w:r w:rsidR="00175E59">
        <w:rPr>
          <w:rFonts w:eastAsia="Palatino Linotype" w:cs="Palatino Linotype"/>
          <w:bCs/>
          <w:color w:val="000000"/>
          <w:lang w:val="es-MX"/>
        </w:rPr>
        <w:t>sexagésima segunda</w:t>
      </w:r>
      <w:r w:rsidR="00175E59" w:rsidRPr="00175E59">
        <w:rPr>
          <w:rFonts w:eastAsia="Palatino Linotype" w:cs="Palatino Linotype"/>
          <w:bCs/>
          <w:color w:val="000000"/>
          <w:lang w:val="es-MX"/>
        </w:rPr>
        <w:t xml:space="preserve">; sin que se </w:t>
      </w:r>
      <w:r w:rsidR="00175E59">
        <w:rPr>
          <w:rFonts w:eastAsia="Palatino Linotype" w:cs="Palatino Linotype"/>
          <w:bCs/>
          <w:color w:val="000000"/>
          <w:lang w:val="es-MX"/>
        </w:rPr>
        <w:t>observen las actas de las sesiones extraordinarias</w:t>
      </w:r>
      <w:r w:rsidR="00175E59" w:rsidRPr="00175E59">
        <w:rPr>
          <w:rFonts w:eastAsia="Palatino Linotype" w:cs="Palatino Linotype"/>
          <w:bCs/>
          <w:color w:val="000000"/>
          <w:lang w:val="es-MX"/>
        </w:rPr>
        <w:t xml:space="preserve"> centésima t</w:t>
      </w:r>
      <w:r w:rsidR="00175E59">
        <w:rPr>
          <w:rFonts w:eastAsia="Palatino Linotype" w:cs="Palatino Linotype"/>
          <w:bCs/>
          <w:color w:val="000000"/>
          <w:lang w:val="es-MX"/>
        </w:rPr>
        <w:t xml:space="preserve">rigésima quinta y </w:t>
      </w:r>
      <w:r w:rsidR="00175E59" w:rsidRPr="00175E59">
        <w:rPr>
          <w:rFonts w:eastAsia="Palatino Linotype" w:cs="Palatino Linotype"/>
          <w:bCs/>
          <w:color w:val="000000"/>
          <w:lang w:val="es-MX"/>
        </w:rPr>
        <w:t>centésima t</w:t>
      </w:r>
      <w:r w:rsidR="00175E59">
        <w:rPr>
          <w:rFonts w:eastAsia="Palatino Linotype" w:cs="Palatino Linotype"/>
          <w:bCs/>
          <w:color w:val="000000"/>
          <w:lang w:val="es-MX"/>
        </w:rPr>
        <w:t>rigésima sexta</w:t>
      </w:r>
      <w:r w:rsidR="00175E59" w:rsidRPr="00175E59">
        <w:rPr>
          <w:rFonts w:eastAsia="Palatino Linotype" w:cs="Palatino Linotype"/>
          <w:bCs/>
          <w:color w:val="000000"/>
          <w:lang w:val="es-MX"/>
        </w:rPr>
        <w:t>.</w:t>
      </w:r>
    </w:p>
    <w:p w14:paraId="36F153D5" w14:textId="77777777" w:rsidR="003F0898" w:rsidRDefault="003F0898"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51180EA6" w:rsidR="00A970D5" w:rsidRPr="00A71944" w:rsidRDefault="44E9108F"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sidR="002623AA">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021AB4">
        <w:rPr>
          <w:rFonts w:eastAsia="Palatino Linotype" w:cs="Palatino Linotype"/>
          <w:color w:val="000000" w:themeColor="text1"/>
          <w:lang w:val="es-ES"/>
        </w:rPr>
        <w:t xml:space="preserve"> que la respuesta está incompleta y que no atiende la solicitud completa; dando como</w:t>
      </w:r>
      <w:r w:rsidR="00885E47">
        <w:rPr>
          <w:rFonts w:eastAsia="Palatino Linotype" w:cs="Palatino Linotype"/>
          <w:color w:val="000000" w:themeColor="text1"/>
          <w:lang w:val="es-ES"/>
        </w:rPr>
        <w:t xml:space="preserve"> </w:t>
      </w:r>
      <w:r w:rsidR="001B63A6">
        <w:rPr>
          <w:rFonts w:eastAsia="Palatino Linotype" w:cs="Palatino Linotype"/>
          <w:color w:val="000000" w:themeColor="text1"/>
          <w:lang w:val="es-ES"/>
        </w:rPr>
        <w:t xml:space="preserve">razones o motivos de inconformidad que </w:t>
      </w:r>
      <w:r w:rsidR="00021AB4">
        <w:rPr>
          <w:rFonts w:eastAsia="Palatino Linotype" w:cs="Palatino Linotype"/>
          <w:color w:val="000000" w:themeColor="text1"/>
          <w:lang w:val="es-ES"/>
        </w:rPr>
        <w:t>falta información y que no se atiende la solicitud.</w:t>
      </w:r>
    </w:p>
    <w:p w14:paraId="4A6500B8" w14:textId="77777777" w:rsidR="008F50E6" w:rsidRDefault="008F50E6" w:rsidP="00A04222"/>
    <w:p w14:paraId="25287B86" w14:textId="77777777" w:rsidR="003F0898" w:rsidRPr="00A06672" w:rsidRDefault="003F0898" w:rsidP="003F0898">
      <w:r w:rsidRPr="00757365">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w:t>
      </w:r>
      <w:r>
        <w:t>Instituto</w:t>
      </w:r>
      <w:r w:rsidRPr="00757365">
        <w:t xml:space="preserve"> conozca y resuelva el recurso de revisión.</w:t>
      </w:r>
    </w:p>
    <w:p w14:paraId="39AC33CC" w14:textId="77777777" w:rsidR="005B4288"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7AF7731E"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En este sentido, es pertinente enfatizar lo que, respecto al derecho de acceso a la información pública, refiere el artículo </w:t>
      </w:r>
      <w:r w:rsidR="00E00EC1">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sidR="00E00EC1">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sidR="00E00EC1">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5DA101F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Default="006100FC" w:rsidP="006100FC">
      <w:pPr>
        <w:pStyle w:val="Fundamentos"/>
      </w:pPr>
      <w:r w:rsidRPr="006922F5">
        <w:rPr>
          <w:b/>
          <w:bCs/>
        </w:rPr>
        <w:t>Artículo 5.</w:t>
      </w:r>
      <w:r w:rsidRPr="006922F5">
        <w:t xml:space="preserve"> </w:t>
      </w:r>
      <w:r>
        <w:t>[</w:t>
      </w:r>
      <w:r w:rsidRPr="006922F5">
        <w:t>…</w:t>
      </w:r>
      <w:r>
        <w:t>]</w:t>
      </w:r>
    </w:p>
    <w:p w14:paraId="1839D29E" w14:textId="77777777" w:rsidR="006100FC" w:rsidRPr="006922F5" w:rsidRDefault="006100FC" w:rsidP="006100FC">
      <w:pPr>
        <w:pStyle w:val="Fundamentos"/>
      </w:pPr>
    </w:p>
    <w:p w14:paraId="7D51A6D3" w14:textId="77777777" w:rsidR="006100FC" w:rsidRPr="006922F5" w:rsidRDefault="006100FC" w:rsidP="006100FC">
      <w:pPr>
        <w:pStyle w:val="Fundamentos"/>
      </w:pPr>
      <w:r w:rsidRPr="006922F5">
        <w:t xml:space="preserve">El derecho a la información será garantizado por el Estado. La ley establecerá las previsiones que permitan asegurar la protección, el respeto y la difusión de este derecho. </w:t>
      </w:r>
    </w:p>
    <w:p w14:paraId="4079EC08" w14:textId="77777777" w:rsidR="006100FC" w:rsidRPr="006922F5" w:rsidRDefault="006100FC" w:rsidP="006100FC">
      <w:pPr>
        <w:pStyle w:val="Fundamentos"/>
      </w:pPr>
    </w:p>
    <w:p w14:paraId="2060C0A8" w14:textId="77777777" w:rsidR="006100FC" w:rsidRPr="006922F5" w:rsidRDefault="006100FC" w:rsidP="006100FC">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922F5" w:rsidRDefault="006100FC" w:rsidP="006100FC">
      <w:pPr>
        <w:pStyle w:val="Fundamentos"/>
      </w:pPr>
    </w:p>
    <w:p w14:paraId="31D381A6" w14:textId="77777777" w:rsidR="006100FC" w:rsidRPr="006922F5" w:rsidRDefault="006100FC" w:rsidP="006100FC">
      <w:pPr>
        <w:pStyle w:val="Fundamentos"/>
      </w:pPr>
      <w:r w:rsidRPr="006922F5">
        <w:t>Este derecho se regirá por los principios y bases siguientes:</w:t>
      </w:r>
    </w:p>
    <w:p w14:paraId="1A21896F" w14:textId="77777777" w:rsidR="006100FC" w:rsidRPr="006922F5" w:rsidRDefault="006100FC" w:rsidP="006100FC">
      <w:pPr>
        <w:pStyle w:val="Fundamentos"/>
      </w:pPr>
    </w:p>
    <w:p w14:paraId="13A22FC8" w14:textId="77777777" w:rsidR="006100FC" w:rsidRPr="006922F5" w:rsidRDefault="006100FC" w:rsidP="006100FC">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922F5" w:rsidRDefault="006100FC" w:rsidP="006100FC">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922F5" w:rsidRDefault="006100FC" w:rsidP="006100FC">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922F5" w:rsidRDefault="006100FC" w:rsidP="006100FC">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922F5" w:rsidRDefault="006100FC" w:rsidP="006100FC">
      <w:pPr>
        <w:pStyle w:val="Fundamentos"/>
      </w:pPr>
      <w:r w:rsidRPr="006922F5">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922F5" w:rsidRDefault="006100FC" w:rsidP="006100FC">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922F5" w:rsidRDefault="006100FC" w:rsidP="006100FC">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6922F5" w:rsidRDefault="006100FC" w:rsidP="006100FC">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w:t>
      </w:r>
      <w:r w:rsidR="001B63A6">
        <w:rPr>
          <w:rFonts w:eastAsia="Palatino Linotype" w:cs="Palatino Linotype"/>
          <w:szCs w:val="24"/>
        </w:rPr>
        <w:t>icipios, prevé en su artículo 23</w:t>
      </w:r>
      <w:r w:rsidRPr="006922F5">
        <w:rPr>
          <w:rFonts w:eastAsia="Palatino Linotype" w:cs="Palatino Linotype"/>
          <w:szCs w:val="24"/>
        </w:rPr>
        <w:t xml:space="preserve"> fracción I</w:t>
      </w:r>
      <w:r w:rsidR="0021631C">
        <w:rPr>
          <w:rFonts w:eastAsia="Palatino Linotype" w:cs="Palatino Linotype"/>
          <w:szCs w:val="24"/>
        </w:rPr>
        <w:t>V</w:t>
      </w:r>
      <w:r w:rsidRPr="006922F5">
        <w:rPr>
          <w:rFonts w:eastAsia="Palatino Linotype" w:cs="Palatino Linotype"/>
          <w:szCs w:val="24"/>
        </w:rPr>
        <w:t>, lo siguiente:</w:t>
      </w:r>
    </w:p>
    <w:p w14:paraId="2225C7E4" w14:textId="77777777" w:rsidR="006100FC" w:rsidRPr="00027FFC" w:rsidRDefault="006100FC" w:rsidP="006100FC">
      <w:pPr>
        <w:rPr>
          <w:rFonts w:eastAsia="Palatino Linotype" w:cs="Palatino Linotype"/>
          <w:szCs w:val="24"/>
        </w:rPr>
      </w:pPr>
    </w:p>
    <w:p w14:paraId="1E7239A4" w14:textId="77777777" w:rsidR="006100FC" w:rsidRPr="006922F5" w:rsidRDefault="006100FC" w:rsidP="006100FC">
      <w:pPr>
        <w:pStyle w:val="Fundamentos"/>
      </w:pPr>
      <w:r w:rsidRPr="006922F5">
        <w:rPr>
          <w:b/>
        </w:rPr>
        <w:t>Artículo 23.</w:t>
      </w:r>
      <w:r w:rsidRPr="006922F5">
        <w:t xml:space="preserve"> Son sujetos obligados a transparentar y permitir el acceso a su información y proteger los datos personales que obren en su poder:</w:t>
      </w:r>
    </w:p>
    <w:p w14:paraId="1F1A0AD1" w14:textId="527CCDE8" w:rsidR="006100FC" w:rsidRPr="006922F5" w:rsidRDefault="005E625F" w:rsidP="006100FC">
      <w:pPr>
        <w:pStyle w:val="Fundamentos"/>
      </w:pPr>
      <w:r>
        <w:t>[…]</w:t>
      </w:r>
    </w:p>
    <w:p w14:paraId="451DBD48" w14:textId="7234E42F" w:rsidR="006100FC" w:rsidRPr="006922F5" w:rsidRDefault="00456D44" w:rsidP="006100FC">
      <w:pPr>
        <w:pStyle w:val="Fundamentos"/>
      </w:pPr>
      <w:r>
        <w:rPr>
          <w:b/>
          <w:bCs/>
        </w:rPr>
        <w:t>I</w:t>
      </w:r>
      <w:r w:rsidR="0021631C">
        <w:rPr>
          <w:b/>
          <w:bCs/>
        </w:rPr>
        <w:t>V</w:t>
      </w:r>
      <w:r w:rsidR="006100FC" w:rsidRPr="006922F5">
        <w:rPr>
          <w:b/>
          <w:bCs/>
        </w:rPr>
        <w:t>.</w:t>
      </w:r>
      <w:r w:rsidR="006100FC">
        <w:rPr>
          <w:b/>
          <w:bCs/>
        </w:rPr>
        <w:t xml:space="preserve"> </w:t>
      </w:r>
      <w:r w:rsidRPr="00456D44">
        <w:t xml:space="preserve">Los </w:t>
      </w:r>
      <w:r w:rsidR="00206600" w:rsidRPr="00206600">
        <w:t>ayuntamientos y las dependencias, organismos, órganos y entidades de la administración municipal</w:t>
      </w:r>
      <w:r w:rsidR="006100FC" w:rsidRPr="006922F5">
        <w:t>;</w:t>
      </w:r>
    </w:p>
    <w:p w14:paraId="20F34654" w14:textId="77777777" w:rsidR="006100FC" w:rsidRPr="006922F5" w:rsidRDefault="006100FC" w:rsidP="006100FC">
      <w:pPr>
        <w:pStyle w:val="Fundamentos"/>
      </w:pPr>
      <w:r>
        <w:t>[…]</w:t>
      </w:r>
    </w:p>
    <w:p w14:paraId="2FDDCFD2"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Default="006100FC" w:rsidP="006100FC">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Default="00737EBC" w:rsidP="006100FC"/>
    <w:p w14:paraId="2171541A" w14:textId="0A551FC7" w:rsidR="00737EBC" w:rsidRDefault="00737EBC" w:rsidP="006100FC">
      <w:r>
        <w:t xml:space="preserve">Asimismo, </w:t>
      </w:r>
      <w:r w:rsidR="00726486">
        <w:t>de</w:t>
      </w:r>
      <w:r w:rsidR="00942EC6">
        <w:t xml:space="preserve"> </w:t>
      </w:r>
      <w:r>
        <w:t>l</w:t>
      </w:r>
      <w:r w:rsidR="00526368">
        <w:t>a interpretación de los</w:t>
      </w:r>
      <w:r>
        <w:t xml:space="preserve"> motivos de inconformidad expresados por </w:t>
      </w:r>
      <w:r w:rsidR="00942EC6">
        <w:t>el</w:t>
      </w:r>
      <w:r>
        <w:t xml:space="preserve"> Recurrente, se </w:t>
      </w:r>
      <w:r w:rsidR="00027FFC">
        <w:t>desprende</w:t>
      </w:r>
      <w:r>
        <w:t xml:space="preserve"> que en el presente caso se actualizó la causal de procedencia del </w:t>
      </w:r>
      <w:r>
        <w:lastRenderedPageBreak/>
        <w:t>recurso de revisión</w:t>
      </w:r>
      <w:r w:rsidR="00392DAC">
        <w:t xml:space="preserve"> prevista en la fracci</w:t>
      </w:r>
      <w:r w:rsidR="00942EC6">
        <w:t>ón</w:t>
      </w:r>
      <w:r w:rsidR="00392DAC">
        <w:t xml:space="preserve"> </w:t>
      </w:r>
      <w:r w:rsidR="00526368">
        <w:t>V</w:t>
      </w:r>
      <w:r w:rsidR="006E1158">
        <w:t xml:space="preserve"> del artículo 179 de la Ley de Transparencia local, que a la letra es</w:t>
      </w:r>
      <w:r w:rsidR="0090120A">
        <w:t>tipula lo siguiente:</w:t>
      </w:r>
    </w:p>
    <w:p w14:paraId="5EC36975" w14:textId="77777777" w:rsidR="0090120A" w:rsidRDefault="0090120A" w:rsidP="006100FC"/>
    <w:p w14:paraId="24B98DEE" w14:textId="77777777" w:rsidR="009A41B1" w:rsidRPr="009A41B1" w:rsidRDefault="009A41B1" w:rsidP="007A5010">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7C233B4F" w14:textId="5F60B584" w:rsidR="0090120A" w:rsidRPr="009A41B1" w:rsidRDefault="005617E6" w:rsidP="007A5010">
      <w:pPr>
        <w:pStyle w:val="Fundamentos"/>
        <w:rPr>
          <w:lang w:val="es-MX"/>
        </w:rPr>
      </w:pPr>
      <w:r>
        <w:rPr>
          <w:lang w:val="es-MX"/>
        </w:rPr>
        <w:t>[…]</w:t>
      </w:r>
    </w:p>
    <w:p w14:paraId="5C4DD805" w14:textId="53791142" w:rsidR="009A41B1" w:rsidRDefault="005617E6" w:rsidP="00392DAC">
      <w:pPr>
        <w:pStyle w:val="Fundamentos"/>
      </w:pPr>
      <w:r>
        <w:rPr>
          <w:b/>
          <w:lang w:val="es-ES"/>
        </w:rPr>
        <w:t>V</w:t>
      </w:r>
      <w:r w:rsidR="00392DAC" w:rsidRPr="00392DAC">
        <w:rPr>
          <w:b/>
          <w:lang w:val="es-ES"/>
        </w:rPr>
        <w:t>.</w:t>
      </w:r>
      <w:r w:rsidR="00392DAC">
        <w:rPr>
          <w:lang w:val="es-ES"/>
        </w:rPr>
        <w:t xml:space="preserve"> </w:t>
      </w:r>
      <w:r w:rsidR="44E9108F" w:rsidRPr="44E9108F">
        <w:rPr>
          <w:lang w:val="es-ES"/>
        </w:rPr>
        <w:t xml:space="preserve">La </w:t>
      </w:r>
      <w:r w:rsidRPr="005617E6">
        <w:rPr>
          <w:lang w:val="es-ES"/>
        </w:rPr>
        <w:t>entrega de información incompleta</w:t>
      </w:r>
      <w:r w:rsidR="44E9108F" w:rsidRPr="44E9108F">
        <w:rPr>
          <w:lang w:val="es-ES"/>
        </w:rPr>
        <w:t>;</w:t>
      </w:r>
    </w:p>
    <w:p w14:paraId="7DA613D5" w14:textId="0F80D5F5" w:rsidR="00392DAC" w:rsidRDefault="007A5010" w:rsidP="00291F65">
      <w:pPr>
        <w:pStyle w:val="Fundamentos"/>
      </w:pPr>
      <w:r>
        <w:t>[…]</w:t>
      </w:r>
    </w:p>
    <w:p w14:paraId="34F693E7" w14:textId="77777777" w:rsidR="009A41B1" w:rsidRDefault="009A41B1" w:rsidP="006100FC"/>
    <w:p w14:paraId="6F9C58E5" w14:textId="4D77B3EA" w:rsidR="00861D29" w:rsidRDefault="006100FC" w:rsidP="00861D29">
      <w:pPr>
        <w:ind w:left="-20" w:right="-20"/>
      </w:pPr>
      <w:r>
        <w:t xml:space="preserve">En segundo término, </w:t>
      </w:r>
      <w:r w:rsidR="00861D29" w:rsidRPr="2CE7142E">
        <w:rPr>
          <w:rFonts w:eastAsia="Palatino Linotype" w:cs="Palatino Linotype"/>
          <w:lang w:val="es-ES"/>
        </w:rPr>
        <w:t>se debe enfatizar que el Sujeto Obligado no negó contar con la información solicitada; po</w:t>
      </w:r>
      <w:r w:rsidR="00861D29">
        <w:rPr>
          <w:rFonts w:eastAsia="Palatino Linotype" w:cs="Palatino Linotype"/>
          <w:lang w:val="es-ES"/>
        </w:rPr>
        <w:t xml:space="preserve">r el contrario, remitió diversas actas de las sesiones extraordinarias del Comité de Transparencia, además de que </w:t>
      </w:r>
      <w:r w:rsidR="004F14CA">
        <w:rPr>
          <w:rFonts w:eastAsia="Palatino Linotype" w:cs="Palatino Linotype"/>
          <w:lang w:val="es-ES"/>
        </w:rPr>
        <w:t xml:space="preserve">refirió que parte de la información podía ser consultada en el portal </w:t>
      </w:r>
      <w:proofErr w:type="spellStart"/>
      <w:r w:rsidR="004F14CA">
        <w:rPr>
          <w:rFonts w:eastAsia="Palatino Linotype" w:cs="Palatino Linotype"/>
          <w:lang w:val="es-ES"/>
        </w:rPr>
        <w:t>IPOMEX</w:t>
      </w:r>
      <w:proofErr w:type="spellEnd"/>
      <w:r w:rsidR="004F14CA">
        <w:rPr>
          <w:rFonts w:eastAsia="Palatino Linotype" w:cs="Palatino Linotype"/>
          <w:lang w:val="es-ES"/>
        </w:rPr>
        <w:t>, proporcionando para ello la liga electrónica correspondiente</w:t>
      </w:r>
      <w:r w:rsidR="00861D29" w:rsidRPr="2CE7142E">
        <w:rPr>
          <w:rFonts w:eastAsia="Palatino Linotype" w:cs="Palatino Linotype"/>
          <w:lang w:val="es-ES"/>
        </w:rPr>
        <w:t>. 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5C0B2E6B" w14:textId="043E03D5" w:rsidR="00861D29" w:rsidRDefault="00861D29" w:rsidP="00861D29">
      <w:pPr>
        <w:ind w:left="-20" w:right="-20"/>
      </w:pPr>
    </w:p>
    <w:p w14:paraId="3400A7FF" w14:textId="77777777" w:rsidR="00861D29" w:rsidRDefault="00861D29" w:rsidP="00861D29">
      <w:pPr>
        <w:ind w:left="-20" w:right="-20"/>
      </w:pPr>
      <w:r w:rsidRPr="2CE7142E">
        <w:rPr>
          <w:rFonts w:eastAsia="Palatino Linotype" w:cs="Palatino Linotype"/>
          <w:lang w:val="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447A2BB0" w14:textId="77777777" w:rsidR="00861D29" w:rsidRDefault="00861D29" w:rsidP="00E542CF">
      <w:pPr>
        <w:ind w:left="-20" w:right="-20"/>
      </w:pPr>
    </w:p>
    <w:p w14:paraId="5A25C477" w14:textId="643486C8" w:rsidR="004F14CA" w:rsidRDefault="004F14CA" w:rsidP="00E542CF">
      <w:pPr>
        <w:ind w:left="-20" w:right="-20"/>
      </w:pPr>
      <w:r>
        <w:lastRenderedPageBreak/>
        <w:t>Ahora bien, respecto de las sesiones del Comité de Transparencia correspondientes al periodo del primero de octubre al treinta y uno de diciembre de dos mil veinticuatro, el Sujeto Obligado proporcionó la liga para su consulta, en la que se observa lo siguiente</w:t>
      </w:r>
      <w:r>
        <w:rPr>
          <w:rStyle w:val="Refdenotaalpie"/>
        </w:rPr>
        <w:footnoteReference w:id="3"/>
      </w:r>
      <w:r>
        <w:t>:</w:t>
      </w:r>
    </w:p>
    <w:p w14:paraId="243C87EB" w14:textId="01D5052F" w:rsidR="004F14CA" w:rsidRDefault="004F14CA" w:rsidP="004F14CA">
      <w:pPr>
        <w:ind w:left="-20" w:right="-20"/>
        <w:jc w:val="center"/>
      </w:pPr>
      <w:r>
        <w:rPr>
          <w:noProof/>
          <w:lang w:val="es-MX"/>
        </w:rPr>
        <w:drawing>
          <wp:inline distT="0" distB="0" distL="0" distR="0" wp14:anchorId="7C059F7B" wp14:editId="5E230DCB">
            <wp:extent cx="6115050" cy="5676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5676900"/>
                    </a:xfrm>
                    <a:prstGeom prst="rect">
                      <a:avLst/>
                    </a:prstGeom>
                    <a:noFill/>
                    <a:ln>
                      <a:noFill/>
                    </a:ln>
                  </pic:spPr>
                </pic:pic>
              </a:graphicData>
            </a:graphic>
          </wp:inline>
        </w:drawing>
      </w:r>
    </w:p>
    <w:p w14:paraId="53F5CE33" w14:textId="77777777" w:rsidR="00861D29" w:rsidRDefault="00861D29" w:rsidP="00E542CF">
      <w:pPr>
        <w:ind w:left="-20" w:right="-20"/>
      </w:pPr>
    </w:p>
    <w:p w14:paraId="17F4598A" w14:textId="14976280" w:rsidR="00861D29" w:rsidRDefault="0076797B" w:rsidP="00E542CF">
      <w:pPr>
        <w:ind w:left="-20" w:right="-20"/>
      </w:pPr>
      <w:r>
        <w:t xml:space="preserve">Como se observa, la liga proporcionada dirige automáticamente al portal </w:t>
      </w:r>
      <w:proofErr w:type="spellStart"/>
      <w:r>
        <w:t>IPOMEX</w:t>
      </w:r>
      <w:proofErr w:type="spellEnd"/>
      <w:r>
        <w:t xml:space="preserve"> del Sujeto Obligado, en concreto a la correspondiente al artículo 92 fracción XLIII A «Informe de sesiones del comité de transparencia»; sin embargo, la información que se observa corresponde al segundo trimestre del año dos mil veinticinco</w:t>
      </w:r>
      <w:r w:rsidR="005B54B4">
        <w:t>.</w:t>
      </w:r>
    </w:p>
    <w:p w14:paraId="0EAA881E" w14:textId="77777777" w:rsidR="005B54B4" w:rsidRDefault="005B54B4" w:rsidP="00E542CF">
      <w:pPr>
        <w:ind w:left="-20" w:right="-20"/>
      </w:pPr>
    </w:p>
    <w:p w14:paraId="3F34A28B" w14:textId="6AFA2D20" w:rsidR="005B54B4" w:rsidRDefault="005B54B4" w:rsidP="00E542CF">
      <w:pPr>
        <w:ind w:left="-20" w:right="-20"/>
      </w:pPr>
      <w:r>
        <w:t>Así, dado que el Sujeto Obligado manifestó que en el enlace proporcionado el Recurrente podía consultar las actas del Comité de Transparencia generadas de octubre a diciembre de dos mil veinticuatro, se tiene que la contenida en el enlace no corresponde a la requerida por el particular. Empero, en la página referida se observa que se puede realizar la consulta de periodos anteriores.</w:t>
      </w:r>
    </w:p>
    <w:p w14:paraId="1AA22401" w14:textId="77777777" w:rsidR="005B54B4" w:rsidRDefault="005B54B4" w:rsidP="00E542CF">
      <w:pPr>
        <w:ind w:left="-20" w:right="-20"/>
      </w:pPr>
    </w:p>
    <w:p w14:paraId="3A4CEF27" w14:textId="7163A1DD" w:rsidR="004E6D0C" w:rsidRDefault="004E6D0C" w:rsidP="004E6D0C">
      <w:pPr>
        <w:contextualSpacing/>
        <w:rPr>
          <w:rFonts w:eastAsia="Palatino Linotype" w:cs="Palatino Linotype"/>
          <w:szCs w:val="24"/>
        </w:rPr>
      </w:pPr>
      <w:r>
        <w:rPr>
          <w:rFonts w:eastAsia="Palatino Linotype" w:cs="Palatino Linotype"/>
          <w:bCs/>
          <w:color w:val="000000" w:themeColor="text1"/>
        </w:rPr>
        <w:t>Por tanto, la página a la que dirige el enlace proporcionado</w:t>
      </w:r>
      <w:r>
        <w:t xml:space="preserve"> contiene un cúmulo de información relativa a las sesiones del Comité de Transparencia del año dos mil veinticinco, sin que la información solicitada pueda ser consultada </w:t>
      </w:r>
      <w:r>
        <w:rPr>
          <w:rFonts w:eastAsia="Palatino Linotype" w:cs="Palatino Linotype"/>
          <w:szCs w:val="24"/>
        </w:rPr>
        <w:t xml:space="preserve">de manera directa, sino que se encuentra inmersa en diversos apartados que contienen otros datos que no fueron requeridos por el particular al momento de realizar su solicitud de información. </w:t>
      </w:r>
    </w:p>
    <w:p w14:paraId="347F7E90" w14:textId="77777777" w:rsidR="004E6D0C" w:rsidRDefault="004E6D0C" w:rsidP="004E6D0C">
      <w:pPr>
        <w:contextualSpacing/>
        <w:rPr>
          <w:rFonts w:eastAsia="Times New Roman" w:cs="Times New Roman"/>
          <w:szCs w:val="24"/>
          <w:lang w:val="es-MX" w:eastAsia="es-ES"/>
        </w:rPr>
      </w:pPr>
    </w:p>
    <w:p w14:paraId="1A273A86" w14:textId="58989E84" w:rsidR="004E6D0C" w:rsidRPr="003B63CA" w:rsidRDefault="004E6D0C" w:rsidP="004E6D0C">
      <w:pPr>
        <w:rPr>
          <w:rFonts w:cs="Arial"/>
        </w:rPr>
      </w:pPr>
      <w:r>
        <w:rPr>
          <w:szCs w:val="24"/>
          <w:lang w:val="es-MX"/>
        </w:rPr>
        <w:t>Por lo</w:t>
      </w:r>
      <w:r>
        <w:rPr>
          <w:szCs w:val="24"/>
        </w:rPr>
        <w:t xml:space="preserve"> anterior, se estima que </w:t>
      </w:r>
      <w:r>
        <w:rPr>
          <w:rFonts w:cs="Arial"/>
        </w:rPr>
        <w:t xml:space="preserve">el Sujeto Obligado </w:t>
      </w:r>
      <w:r w:rsidRPr="003B63CA">
        <w:rPr>
          <w:rFonts w:cs="Arial"/>
        </w:rPr>
        <w:t xml:space="preserve">dejó de observar lo estipulado en los artículos 11 y 161 de la Ley de Transparencia estatal, en los que se señalan las características que debe tener toda información entregada por los sujetos obligados desde el momento de su generación, publicación y entrega, así como la forma en que se deberá consultar la información, señalando una fuente precisa y concreta, </w:t>
      </w:r>
      <w:r>
        <w:rPr>
          <w:rFonts w:cs="Arial"/>
        </w:rPr>
        <w:t>como se establece a continuación</w:t>
      </w:r>
      <w:r w:rsidRPr="003B63CA">
        <w:rPr>
          <w:rFonts w:cs="Arial"/>
        </w:rPr>
        <w:t>:</w:t>
      </w:r>
    </w:p>
    <w:p w14:paraId="6DFCE2D8" w14:textId="77777777" w:rsidR="004E6D0C" w:rsidRPr="003B63CA" w:rsidRDefault="004E6D0C" w:rsidP="004E6D0C">
      <w:pPr>
        <w:rPr>
          <w:rFonts w:cs="Arial"/>
        </w:rPr>
      </w:pPr>
    </w:p>
    <w:p w14:paraId="19977334" w14:textId="77777777" w:rsidR="004E6D0C" w:rsidRPr="003B63CA" w:rsidRDefault="004E6D0C" w:rsidP="004E6D0C">
      <w:pPr>
        <w:spacing w:line="240" w:lineRule="auto"/>
        <w:ind w:left="567" w:right="567"/>
        <w:rPr>
          <w:rFonts w:eastAsia="Times New Roman" w:cs="Times New Roman"/>
          <w:i/>
          <w:sz w:val="22"/>
          <w:szCs w:val="24"/>
          <w:lang w:eastAsia="es-ES"/>
        </w:rPr>
      </w:pPr>
      <w:r w:rsidRPr="003B63CA">
        <w:rPr>
          <w:rFonts w:eastAsia="Times New Roman" w:cs="Times New Roman"/>
          <w:b/>
          <w:bCs/>
          <w:i/>
          <w:sz w:val="22"/>
          <w:szCs w:val="24"/>
          <w:lang w:eastAsia="es-ES"/>
        </w:rPr>
        <w:lastRenderedPageBreak/>
        <w:t>Artículo 11.</w:t>
      </w:r>
      <w:r w:rsidRPr="003B63CA">
        <w:rPr>
          <w:rFonts w:eastAsia="Times New Roman" w:cs="Times New Roman"/>
          <w:i/>
          <w:sz w:val="22"/>
          <w:szCs w:val="24"/>
          <w:lang w:eastAsia="es-ES"/>
        </w:rPr>
        <w:t xml:space="preserve"> </w:t>
      </w:r>
      <w:r w:rsidRPr="003B63CA">
        <w:rPr>
          <w:rFonts w:eastAsia="Times New Roman" w:cs="Times New Roman"/>
          <w:b/>
          <w:i/>
          <w:sz w:val="22"/>
          <w:szCs w:val="24"/>
          <w:u w:val="single"/>
          <w:lang w:eastAsia="es-ES"/>
        </w:rPr>
        <w:t>En la generación, publicación y entrega de información se deberá garantizar que ésta sea accesible</w:t>
      </w:r>
      <w:r w:rsidRPr="003B63CA">
        <w:rPr>
          <w:rFonts w:eastAsia="Times New Roman" w:cs="Times New Roman"/>
          <w:i/>
          <w:sz w:val="22"/>
          <w:szCs w:val="24"/>
          <w:lang w:eastAsia="es-ES"/>
        </w:rPr>
        <w:t>,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622B59BF" w14:textId="77777777" w:rsidR="004E6D0C" w:rsidRPr="003B63CA" w:rsidRDefault="004E6D0C" w:rsidP="004E6D0C">
      <w:pPr>
        <w:spacing w:line="240" w:lineRule="auto"/>
        <w:ind w:left="567" w:right="567"/>
        <w:rPr>
          <w:rFonts w:eastAsia="Times New Roman" w:cs="Times New Roman"/>
          <w:i/>
          <w:sz w:val="22"/>
          <w:szCs w:val="24"/>
          <w:lang w:eastAsia="es-ES"/>
        </w:rPr>
      </w:pPr>
      <w:r>
        <w:rPr>
          <w:rFonts w:eastAsia="Times New Roman" w:cs="Times New Roman"/>
          <w:i/>
          <w:sz w:val="22"/>
          <w:szCs w:val="24"/>
          <w:lang w:eastAsia="es-ES"/>
        </w:rPr>
        <w:t>[…]</w:t>
      </w:r>
    </w:p>
    <w:p w14:paraId="341ED5A5" w14:textId="77777777" w:rsidR="004E6D0C" w:rsidRPr="003B63CA" w:rsidRDefault="004E6D0C" w:rsidP="004E6D0C">
      <w:pPr>
        <w:spacing w:line="240" w:lineRule="auto"/>
        <w:ind w:left="567" w:right="567"/>
        <w:rPr>
          <w:rFonts w:eastAsia="Times New Roman" w:cs="Times New Roman"/>
          <w:i/>
          <w:sz w:val="22"/>
          <w:szCs w:val="24"/>
          <w:lang w:eastAsia="es-ES"/>
        </w:rPr>
      </w:pPr>
    </w:p>
    <w:p w14:paraId="1DF6EBF1" w14:textId="77777777" w:rsidR="004E6D0C" w:rsidRPr="003B63CA" w:rsidRDefault="004E6D0C" w:rsidP="004E6D0C">
      <w:pPr>
        <w:spacing w:line="240" w:lineRule="auto"/>
        <w:ind w:left="567" w:right="567"/>
        <w:rPr>
          <w:rFonts w:eastAsia="Times New Roman" w:cs="Times New Roman"/>
          <w:i/>
          <w:iCs/>
          <w:sz w:val="22"/>
          <w:lang w:val="es-ES" w:eastAsia="es-ES"/>
        </w:rPr>
      </w:pPr>
      <w:r w:rsidRPr="191C1B50">
        <w:rPr>
          <w:rFonts w:eastAsia="Times New Roman" w:cs="Times New Roman"/>
          <w:b/>
          <w:bCs/>
          <w:i/>
          <w:iCs/>
          <w:sz w:val="22"/>
          <w:lang w:val="es-ES" w:eastAsia="es-ES"/>
        </w:rPr>
        <w:t>Artículo 161.</w:t>
      </w:r>
      <w:r w:rsidRPr="191C1B50">
        <w:rPr>
          <w:rFonts w:eastAsia="Times New Roman" w:cs="Times New Roman"/>
          <w:i/>
          <w:iCs/>
          <w:sz w:val="22"/>
          <w:lang w:val="es-ES" w:eastAsia="es-ES"/>
        </w:rPr>
        <w:t xml:space="preserve"> </w:t>
      </w:r>
      <w:r w:rsidRPr="191C1B50">
        <w:rPr>
          <w:rFonts w:eastAsia="Times New Roman" w:cs="Times New Roman"/>
          <w:b/>
          <w:bCs/>
          <w:i/>
          <w:iCs/>
          <w:sz w:val="22"/>
          <w:u w:val="single"/>
          <w:lang w:val="es-ES" w:eastAsia="es-ES"/>
        </w:rPr>
        <w:t>Cuando la información requerida por el solicitante ya esté</w:t>
      </w:r>
      <w:r w:rsidRPr="191C1B50">
        <w:rPr>
          <w:rFonts w:eastAsia="Times New Roman" w:cs="Times New Roman"/>
          <w:i/>
          <w:iCs/>
          <w:sz w:val="22"/>
          <w:lang w:val="es-ES" w:eastAsia="es-ES"/>
        </w:rPr>
        <w:t xml:space="preserve"> disponible al público en medios impresos, tales como libros, compendios, trípticos, registros públicos, en formatos electrónicos </w:t>
      </w:r>
      <w:r w:rsidRPr="191C1B50">
        <w:rPr>
          <w:rFonts w:eastAsia="Times New Roman" w:cs="Times New Roman"/>
          <w:b/>
          <w:bCs/>
          <w:i/>
          <w:iCs/>
          <w:sz w:val="22"/>
          <w:u w:val="single"/>
          <w:lang w:val="es-ES" w:eastAsia="es-ES"/>
        </w:rPr>
        <w:t>disponibles en Internet</w:t>
      </w:r>
      <w:r w:rsidRPr="191C1B50">
        <w:rPr>
          <w:rFonts w:eastAsia="Times New Roman" w:cs="Times New Roman"/>
          <w:i/>
          <w:iCs/>
          <w:sz w:val="22"/>
          <w:lang w:val="es-ES" w:eastAsia="es-ES"/>
        </w:rPr>
        <w:t xml:space="preserve"> o en cualquier otro medio, </w:t>
      </w:r>
      <w:r w:rsidRPr="191C1B50">
        <w:rPr>
          <w:rFonts w:eastAsia="Times New Roman" w:cs="Times New Roman"/>
          <w:b/>
          <w:bCs/>
          <w:i/>
          <w:iCs/>
          <w:sz w:val="22"/>
          <w:u w:val="single"/>
          <w:lang w:val="es-ES" w:eastAsia="es-ES"/>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4C63D97" w14:textId="77777777" w:rsidR="004E6D0C" w:rsidRPr="003B63CA" w:rsidRDefault="004E6D0C" w:rsidP="004E6D0C">
      <w:pPr>
        <w:rPr>
          <w:rFonts w:cs="Arial"/>
        </w:rPr>
      </w:pPr>
    </w:p>
    <w:p w14:paraId="643596CE" w14:textId="77777777" w:rsidR="004E6D0C" w:rsidRPr="003B63CA" w:rsidRDefault="004E6D0C" w:rsidP="004E6D0C">
      <w:pPr>
        <w:rPr>
          <w:rFonts w:cs="Arial"/>
        </w:rPr>
      </w:pPr>
      <w:r w:rsidRPr="003B63CA">
        <w:rPr>
          <w:rFonts w:cs="Arial"/>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76E74B94" w14:textId="77777777" w:rsidR="004E6D0C" w:rsidRPr="003B63CA" w:rsidRDefault="004E6D0C" w:rsidP="004E6D0C">
      <w:pPr>
        <w:rPr>
          <w:rFonts w:cs="Arial"/>
        </w:rPr>
      </w:pPr>
    </w:p>
    <w:p w14:paraId="224B5871" w14:textId="77777777" w:rsidR="004E6D0C" w:rsidRPr="003B63CA" w:rsidRDefault="004E6D0C" w:rsidP="004E6D0C">
      <w:pPr>
        <w:numPr>
          <w:ilvl w:val="0"/>
          <w:numId w:val="23"/>
        </w:numPr>
        <w:rPr>
          <w:rFonts w:eastAsia="Times New Roman" w:cs="Arial"/>
          <w:szCs w:val="24"/>
          <w:lang w:eastAsia="es-ES"/>
        </w:rPr>
      </w:pPr>
      <w:r w:rsidRPr="003B63CA">
        <w:rPr>
          <w:rFonts w:eastAsia="Times New Roman" w:cs="Arial"/>
          <w:szCs w:val="24"/>
          <w:lang w:eastAsia="es-ES"/>
        </w:rPr>
        <w:t>La fuente,</w:t>
      </w:r>
    </w:p>
    <w:p w14:paraId="3F8C9B47" w14:textId="77777777" w:rsidR="004E6D0C" w:rsidRPr="003B63CA" w:rsidRDefault="004E6D0C" w:rsidP="004E6D0C">
      <w:pPr>
        <w:numPr>
          <w:ilvl w:val="0"/>
          <w:numId w:val="23"/>
        </w:numPr>
        <w:rPr>
          <w:rFonts w:eastAsia="Times New Roman" w:cs="Arial"/>
          <w:szCs w:val="24"/>
          <w:lang w:eastAsia="es-ES"/>
        </w:rPr>
      </w:pPr>
      <w:r w:rsidRPr="003B63CA">
        <w:rPr>
          <w:rFonts w:eastAsia="Times New Roman" w:cs="Arial"/>
          <w:szCs w:val="24"/>
          <w:lang w:eastAsia="es-ES"/>
        </w:rPr>
        <w:t>El lugar, y</w:t>
      </w:r>
    </w:p>
    <w:p w14:paraId="102DBD6D" w14:textId="77777777" w:rsidR="004E6D0C" w:rsidRPr="003B63CA" w:rsidRDefault="004E6D0C" w:rsidP="004E6D0C">
      <w:pPr>
        <w:numPr>
          <w:ilvl w:val="0"/>
          <w:numId w:val="23"/>
        </w:numPr>
        <w:rPr>
          <w:rFonts w:eastAsia="Times New Roman" w:cs="Arial"/>
          <w:szCs w:val="24"/>
          <w:lang w:eastAsia="es-ES"/>
        </w:rPr>
      </w:pPr>
      <w:r w:rsidRPr="003B63CA">
        <w:rPr>
          <w:rFonts w:eastAsia="Times New Roman" w:cs="Arial"/>
          <w:szCs w:val="24"/>
          <w:lang w:eastAsia="es-ES"/>
        </w:rPr>
        <w:t xml:space="preserve">La forma. </w:t>
      </w:r>
    </w:p>
    <w:p w14:paraId="45C8AEC7" w14:textId="77777777" w:rsidR="004E6D0C" w:rsidRPr="003B63CA" w:rsidRDefault="004E6D0C" w:rsidP="004E6D0C">
      <w:pPr>
        <w:rPr>
          <w:rFonts w:cs="Arial"/>
        </w:rPr>
      </w:pPr>
    </w:p>
    <w:p w14:paraId="3EE5DA44" w14:textId="77777777" w:rsidR="004E6D0C" w:rsidRPr="003B63CA" w:rsidRDefault="004E6D0C" w:rsidP="004E6D0C">
      <w:pPr>
        <w:rPr>
          <w:rFonts w:cs="Arial"/>
        </w:rPr>
      </w:pPr>
      <w:r w:rsidRPr="003B63CA">
        <w:rPr>
          <w:rFonts w:cs="Arial"/>
        </w:rPr>
        <w:t>Asimismo, se establece que la fuente de la información deberá ser:</w:t>
      </w:r>
    </w:p>
    <w:p w14:paraId="12F3319B" w14:textId="77777777" w:rsidR="004E6D0C" w:rsidRPr="003B63CA" w:rsidRDefault="004E6D0C" w:rsidP="004E6D0C">
      <w:pPr>
        <w:rPr>
          <w:rFonts w:cs="Arial"/>
        </w:rPr>
      </w:pPr>
    </w:p>
    <w:p w14:paraId="16C2C50D" w14:textId="77777777" w:rsidR="004E6D0C" w:rsidRPr="003B63CA" w:rsidRDefault="004E6D0C" w:rsidP="004E6D0C">
      <w:pPr>
        <w:numPr>
          <w:ilvl w:val="0"/>
          <w:numId w:val="24"/>
        </w:numPr>
        <w:rPr>
          <w:rFonts w:eastAsia="Times New Roman" w:cs="Arial"/>
          <w:szCs w:val="24"/>
          <w:lang w:eastAsia="es-ES"/>
        </w:rPr>
      </w:pPr>
      <w:r w:rsidRPr="003B63CA">
        <w:rPr>
          <w:rFonts w:eastAsia="Times New Roman" w:cs="Arial"/>
          <w:szCs w:val="24"/>
          <w:lang w:eastAsia="es-ES"/>
        </w:rPr>
        <w:t>Precisa,</w:t>
      </w:r>
    </w:p>
    <w:p w14:paraId="490E50F9" w14:textId="77777777" w:rsidR="004E6D0C" w:rsidRPr="003B63CA" w:rsidRDefault="004E6D0C" w:rsidP="004E6D0C">
      <w:pPr>
        <w:numPr>
          <w:ilvl w:val="0"/>
          <w:numId w:val="24"/>
        </w:numPr>
        <w:rPr>
          <w:rFonts w:eastAsia="Times New Roman" w:cs="Arial"/>
          <w:szCs w:val="24"/>
          <w:lang w:eastAsia="es-ES"/>
        </w:rPr>
      </w:pPr>
      <w:r w:rsidRPr="003B63CA">
        <w:rPr>
          <w:rFonts w:eastAsia="Times New Roman" w:cs="Arial"/>
          <w:szCs w:val="24"/>
          <w:lang w:eastAsia="es-ES"/>
        </w:rPr>
        <w:lastRenderedPageBreak/>
        <w:t>Concreta,</w:t>
      </w:r>
    </w:p>
    <w:p w14:paraId="454544B6" w14:textId="77777777" w:rsidR="004E6D0C" w:rsidRPr="003B63CA" w:rsidRDefault="004E6D0C" w:rsidP="004E6D0C">
      <w:pPr>
        <w:numPr>
          <w:ilvl w:val="0"/>
          <w:numId w:val="24"/>
        </w:numPr>
        <w:rPr>
          <w:rFonts w:eastAsia="Times New Roman" w:cs="Arial"/>
          <w:szCs w:val="24"/>
          <w:lang w:eastAsia="es-ES"/>
        </w:rPr>
      </w:pPr>
      <w:r w:rsidRPr="003B63CA">
        <w:rPr>
          <w:rFonts w:eastAsia="Times New Roman" w:cs="Arial"/>
          <w:szCs w:val="24"/>
          <w:lang w:eastAsia="es-ES"/>
        </w:rPr>
        <w:t>Y no debe implicar que el solicitante realice una búsqueda en toda la información que se encuentre disponible.</w:t>
      </w:r>
    </w:p>
    <w:p w14:paraId="0D69D54F" w14:textId="77777777" w:rsidR="004E6D0C" w:rsidRPr="003B63CA" w:rsidRDefault="004E6D0C" w:rsidP="004E6D0C">
      <w:pPr>
        <w:rPr>
          <w:rFonts w:cs="Arial"/>
        </w:rPr>
      </w:pPr>
    </w:p>
    <w:p w14:paraId="3028ED59" w14:textId="77777777" w:rsidR="004E6D0C" w:rsidRPr="00C84070" w:rsidRDefault="004E6D0C" w:rsidP="004E6D0C">
      <w:pPr>
        <w:rPr>
          <w:rFonts w:cs="Arial"/>
          <w:lang w:val="es-ES"/>
        </w:rPr>
      </w:pPr>
      <w:r w:rsidRPr="191C1B50">
        <w:rPr>
          <w:rFonts w:cs="Arial"/>
          <w:lang w:val="es-ES"/>
        </w:rPr>
        <w:t>Imperativos legales que establecen el procedimiento que debe seguir el Sujeto Obligado para que pueda tomarse como válida su orientación sobre la forma en que puede consultar la información requerida, y que, en el caso en concreto, no acontece; ello porque el Sujeto Obligado no hizo del conocimiento del Recurrente la fuente de la información dentro del término establecido, así como únicamente se limitó a indicar la dirección electrónica en la que manifestó que consta lo solicitado, sin que señalara puntualmente el procedimiento que el particular debe seguir para acceder a la información requerida, lo que implica que la fuente no sea precisa; asimismo, no se estima que sea concreta debido a que ésta resulta abstracta y genera incertidumbre entre el cúmulo de información que se observa en el contenido de las carpetas referidas; y por último, la fuente implica que el solicitante realice una búsqueda en toda la información que se encuentra disponible, lo que a todas luces transgrede el numeral citado; y por ende, no se puede considerar que lo manifestado por el Sujeto Obligado colme la pretensión del Recurrente.</w:t>
      </w:r>
    </w:p>
    <w:p w14:paraId="594C0C1C" w14:textId="77777777" w:rsidR="005B54B4" w:rsidRDefault="005B54B4" w:rsidP="00E542CF">
      <w:pPr>
        <w:ind w:left="-20" w:right="-20"/>
      </w:pPr>
    </w:p>
    <w:p w14:paraId="141BC2E6" w14:textId="694EB775" w:rsidR="00861D29" w:rsidRDefault="004E6D0C" w:rsidP="00E542CF">
      <w:pPr>
        <w:ind w:left="-20" w:right="-20"/>
        <w:rPr>
          <w:rFonts w:eastAsia="Palatino Linotype" w:cs="Palatino Linotype"/>
          <w:bCs/>
          <w:color w:val="000000"/>
          <w:lang w:val="es-MX"/>
        </w:rPr>
      </w:pPr>
      <w:r>
        <w:t xml:space="preserve">Ahora bien, respecto de las sesiones generadas del primero de enero al veintisiete de febrero de dos mil veinticinco, se tiene que el Sujeto Obligado remitió </w:t>
      </w:r>
      <w:r w:rsidR="00E968B3">
        <w:t xml:space="preserve">cinco carpetas electrónicas que contienen las actas de las sesiones extraordinarias de la primera a la </w:t>
      </w:r>
      <w:r w:rsidR="00E968B3" w:rsidRPr="00175E59">
        <w:rPr>
          <w:rFonts w:eastAsia="Palatino Linotype" w:cs="Palatino Linotype"/>
          <w:bCs/>
          <w:color w:val="000000"/>
          <w:lang w:val="es-MX"/>
        </w:rPr>
        <w:t xml:space="preserve">centésima </w:t>
      </w:r>
      <w:r w:rsidR="00E968B3">
        <w:rPr>
          <w:rFonts w:eastAsia="Palatino Linotype" w:cs="Palatino Linotype"/>
          <w:bCs/>
          <w:color w:val="000000"/>
          <w:lang w:val="es-MX"/>
        </w:rPr>
        <w:t>sexagésima segunda</w:t>
      </w:r>
      <w:r w:rsidR="008B6FCE">
        <w:rPr>
          <w:rFonts w:eastAsia="Palatino Linotype" w:cs="Palatino Linotype"/>
          <w:bCs/>
          <w:color w:val="000000"/>
          <w:lang w:val="es-MX"/>
        </w:rPr>
        <w:t xml:space="preserve">; </w:t>
      </w:r>
      <w:r w:rsidR="00E968B3">
        <w:rPr>
          <w:rFonts w:eastAsia="Palatino Linotype" w:cs="Palatino Linotype"/>
          <w:bCs/>
          <w:color w:val="000000"/>
          <w:lang w:val="es-MX"/>
        </w:rPr>
        <w:t xml:space="preserve">empero, no se remitieron las actas de las sesiones extraordinarias septuagésima tercera, septuagésima cuarta, octogésima séptima, centésima tercera, </w:t>
      </w:r>
      <w:r w:rsidR="00E968B3" w:rsidRPr="00175E59">
        <w:rPr>
          <w:rFonts w:eastAsia="Palatino Linotype" w:cs="Palatino Linotype"/>
          <w:bCs/>
          <w:color w:val="000000"/>
          <w:lang w:val="es-MX"/>
        </w:rPr>
        <w:t>centésima t</w:t>
      </w:r>
      <w:r w:rsidR="00E968B3">
        <w:rPr>
          <w:rFonts w:eastAsia="Palatino Linotype" w:cs="Palatino Linotype"/>
          <w:bCs/>
          <w:color w:val="000000"/>
          <w:lang w:val="es-MX"/>
        </w:rPr>
        <w:t xml:space="preserve">rigésima quinta y </w:t>
      </w:r>
      <w:r w:rsidR="00E968B3" w:rsidRPr="00175E59">
        <w:rPr>
          <w:rFonts w:eastAsia="Palatino Linotype" w:cs="Palatino Linotype"/>
          <w:bCs/>
          <w:color w:val="000000"/>
          <w:lang w:val="es-MX"/>
        </w:rPr>
        <w:t>centésima t</w:t>
      </w:r>
      <w:r w:rsidR="00E968B3">
        <w:rPr>
          <w:rFonts w:eastAsia="Palatino Linotype" w:cs="Palatino Linotype"/>
          <w:bCs/>
          <w:color w:val="000000"/>
          <w:lang w:val="es-MX"/>
        </w:rPr>
        <w:t xml:space="preserve">rigésima sexta, así como tampoco se observa que se </w:t>
      </w:r>
      <w:r w:rsidR="00E968B3">
        <w:rPr>
          <w:rFonts w:eastAsia="Palatino Linotype" w:cs="Palatino Linotype"/>
          <w:bCs/>
          <w:color w:val="000000"/>
          <w:lang w:val="es-MX"/>
        </w:rPr>
        <w:lastRenderedPageBreak/>
        <w:t>haya emitido pronunciamiento respecto de las sesiones ordinarias del Comité de Transparencia.</w:t>
      </w:r>
    </w:p>
    <w:p w14:paraId="1FADB50B" w14:textId="77777777" w:rsidR="00E968B3" w:rsidRDefault="00E968B3" w:rsidP="00E542CF">
      <w:pPr>
        <w:ind w:left="-20" w:right="-20"/>
        <w:rPr>
          <w:rFonts w:eastAsia="Palatino Linotype" w:cs="Palatino Linotype"/>
          <w:bCs/>
          <w:color w:val="000000"/>
          <w:lang w:val="es-MX"/>
        </w:rPr>
      </w:pPr>
    </w:p>
    <w:p w14:paraId="66072CAD" w14:textId="621F5794" w:rsidR="00E968B3" w:rsidRDefault="00E968B3" w:rsidP="00E542CF">
      <w:pPr>
        <w:ind w:left="-20" w:right="-20"/>
        <w:rPr>
          <w:rFonts w:eastAsia="Palatino Linotype" w:cs="Palatino Linotype"/>
          <w:bCs/>
          <w:color w:val="000000"/>
          <w:lang w:val="es-MX"/>
        </w:rPr>
      </w:pPr>
      <w:r>
        <w:rPr>
          <w:rFonts w:eastAsia="Palatino Linotype" w:cs="Palatino Linotype"/>
          <w:bCs/>
          <w:color w:val="000000"/>
          <w:lang w:val="es-MX"/>
        </w:rPr>
        <w:t xml:space="preserve">Por tanto, es dable referir </w:t>
      </w:r>
      <w:r w:rsidR="0096473B">
        <w:rPr>
          <w:rFonts w:eastAsia="Palatino Linotype" w:cs="Palatino Linotype"/>
          <w:bCs/>
          <w:color w:val="000000"/>
          <w:lang w:val="es-MX"/>
        </w:rPr>
        <w:t>lo dispuesto en el artículo 47 de la Ley de Transparencia estatal, en el que se establece lo siguiente:</w:t>
      </w:r>
    </w:p>
    <w:p w14:paraId="676FC3DF" w14:textId="77777777" w:rsidR="0096473B" w:rsidRDefault="0096473B" w:rsidP="00E542CF">
      <w:pPr>
        <w:ind w:left="-20" w:right="-20"/>
        <w:rPr>
          <w:rFonts w:eastAsia="Palatino Linotype" w:cs="Palatino Linotype"/>
          <w:bCs/>
          <w:color w:val="000000"/>
          <w:lang w:val="es-MX"/>
        </w:rPr>
      </w:pPr>
    </w:p>
    <w:p w14:paraId="5593A9FD" w14:textId="77777777" w:rsidR="0096473B" w:rsidRPr="0096473B" w:rsidRDefault="0096473B" w:rsidP="0096473B">
      <w:pPr>
        <w:pStyle w:val="Fundamentos"/>
        <w:rPr>
          <w:lang w:val="es-MX"/>
        </w:rPr>
      </w:pPr>
      <w:r w:rsidRPr="0096473B">
        <w:rPr>
          <w:b/>
          <w:lang w:val="es-MX"/>
        </w:rPr>
        <w:t xml:space="preserve">Artículo 47. </w:t>
      </w:r>
      <w:r w:rsidRPr="0096473B">
        <w:rPr>
          <w:lang w:val="es-MX"/>
        </w:rPr>
        <w:t>El Comité de Transparencia será la autoridad máxima al interior del sujeto obligado en materia del derecho de acceso a la información.</w:t>
      </w:r>
    </w:p>
    <w:p w14:paraId="1CED212F" w14:textId="77777777" w:rsidR="0096473B" w:rsidRPr="0096473B" w:rsidRDefault="0096473B" w:rsidP="0096473B">
      <w:pPr>
        <w:pStyle w:val="Fundamentos"/>
        <w:rPr>
          <w:lang w:val="es-MX"/>
        </w:rPr>
      </w:pPr>
    </w:p>
    <w:p w14:paraId="501ECC7C" w14:textId="77777777" w:rsidR="0096473B" w:rsidRPr="0096473B" w:rsidRDefault="0096473B" w:rsidP="0096473B">
      <w:pPr>
        <w:pStyle w:val="Fundamentos"/>
        <w:rPr>
          <w:lang w:val="es-MX"/>
        </w:rPr>
      </w:pPr>
      <w:r w:rsidRPr="0096473B">
        <w:rPr>
          <w:lang w:val="es-MX"/>
        </w:rPr>
        <w:t xml:space="preserve">El Comité de Transparencia adoptará sus resoluciones por mayoría de votos. En caso de empate, la o el </w:t>
      </w:r>
      <w:proofErr w:type="gramStart"/>
      <w:r w:rsidRPr="0096473B">
        <w:rPr>
          <w:lang w:val="es-MX"/>
        </w:rPr>
        <w:t>Presidente</w:t>
      </w:r>
      <w:proofErr w:type="gramEnd"/>
      <w:r w:rsidRPr="0096473B">
        <w:rPr>
          <w:lang w:val="es-MX"/>
        </w:rPr>
        <w:t xml:space="preserve"> tendrá voto de calidad. A sus sesiones podrán asistir como invitados aquellos que sus integrantes consideren necesarios, quienes tendrán </w:t>
      </w:r>
      <w:proofErr w:type="gramStart"/>
      <w:r w:rsidRPr="0096473B">
        <w:rPr>
          <w:lang w:val="es-MX"/>
        </w:rPr>
        <w:t>voz</w:t>
      </w:r>
      <w:proofErr w:type="gramEnd"/>
      <w:r w:rsidRPr="0096473B">
        <w:rPr>
          <w:lang w:val="es-MX"/>
        </w:rPr>
        <w:t xml:space="preserve"> pero no voto.</w:t>
      </w:r>
    </w:p>
    <w:p w14:paraId="489784AB" w14:textId="77777777" w:rsidR="0096473B" w:rsidRPr="0096473B" w:rsidRDefault="0096473B" w:rsidP="0096473B">
      <w:pPr>
        <w:pStyle w:val="Fundamentos"/>
        <w:rPr>
          <w:lang w:val="es-MX"/>
        </w:rPr>
      </w:pPr>
    </w:p>
    <w:p w14:paraId="77C962DE" w14:textId="77777777" w:rsidR="0096473B" w:rsidRPr="0096473B" w:rsidRDefault="0096473B" w:rsidP="0096473B">
      <w:pPr>
        <w:pStyle w:val="Fundamentos"/>
        <w:rPr>
          <w:b/>
          <w:u w:val="single"/>
          <w:lang w:val="es-MX"/>
        </w:rPr>
      </w:pPr>
      <w:r w:rsidRPr="0096473B">
        <w:rPr>
          <w:b/>
          <w:u w:val="single"/>
          <w:lang w:val="es-MX"/>
        </w:rPr>
        <w:t>El Comité se reunirá en sesión ordinaria o extraordinaria las veces que estime necesario. El tipo de sesión se precisará en la convocatoria emitida.</w:t>
      </w:r>
    </w:p>
    <w:p w14:paraId="03E2DB2F" w14:textId="77777777" w:rsidR="0096473B" w:rsidRPr="0096473B" w:rsidRDefault="0096473B" w:rsidP="0096473B">
      <w:pPr>
        <w:pStyle w:val="Fundamentos"/>
        <w:rPr>
          <w:lang w:val="es-MX"/>
        </w:rPr>
      </w:pPr>
    </w:p>
    <w:p w14:paraId="30FF495B" w14:textId="77777777" w:rsidR="0096473B" w:rsidRPr="0096473B" w:rsidRDefault="0096473B" w:rsidP="0096473B">
      <w:pPr>
        <w:pStyle w:val="Fundamentos"/>
        <w:rPr>
          <w:lang w:val="es-MX"/>
        </w:rPr>
      </w:pPr>
      <w:r w:rsidRPr="0096473B">
        <w:rPr>
          <w:lang w:val="es-MX"/>
        </w:rPr>
        <w:t>Los integrantes del Comité de Transparencia tendrán acceso a la información para determinar su clasificación, conforme a la normatividad aplicable previamente establecida por los sujetos obligados para el resguardo o salvaguarda de la información.</w:t>
      </w:r>
    </w:p>
    <w:p w14:paraId="4CADF323" w14:textId="77777777" w:rsidR="0096473B" w:rsidRPr="0096473B" w:rsidRDefault="0096473B" w:rsidP="0096473B">
      <w:pPr>
        <w:pStyle w:val="Fundamentos"/>
        <w:rPr>
          <w:lang w:val="es-MX"/>
        </w:rPr>
      </w:pPr>
    </w:p>
    <w:p w14:paraId="48555FB4" w14:textId="77777777" w:rsidR="0096473B" w:rsidRPr="0096473B" w:rsidRDefault="0096473B" w:rsidP="0096473B">
      <w:pPr>
        <w:pStyle w:val="Fundamentos"/>
        <w:rPr>
          <w:lang w:val="es-MX"/>
        </w:rPr>
      </w:pPr>
      <w:r w:rsidRPr="0096473B">
        <w:rPr>
          <w:lang w:val="es-MX"/>
        </w:rPr>
        <w:t>En las sesiones y trabajos del Comité, podrán participar como invitados permanentes, los representantes de las áreas que decida el Comité, y contará con derecho de voz, pero no voto.</w:t>
      </w:r>
    </w:p>
    <w:p w14:paraId="0E455C01" w14:textId="77777777" w:rsidR="0096473B" w:rsidRPr="0096473B" w:rsidRDefault="0096473B" w:rsidP="0096473B">
      <w:pPr>
        <w:pStyle w:val="Fundamentos"/>
        <w:rPr>
          <w:lang w:val="es-MX"/>
        </w:rPr>
      </w:pPr>
    </w:p>
    <w:p w14:paraId="15E73D26" w14:textId="77777777" w:rsidR="0096473B" w:rsidRPr="0096473B" w:rsidRDefault="0096473B" w:rsidP="0096473B">
      <w:pPr>
        <w:pStyle w:val="Fundamentos"/>
        <w:rPr>
          <w:lang w:val="es-MX"/>
        </w:rPr>
      </w:pPr>
      <w:r w:rsidRPr="0096473B">
        <w:rPr>
          <w:lang w:val="es-MX"/>
        </w:rPr>
        <w:t>Los titulares de las unidades administrativas que propongan la reserva, confidencialidad o declaren la inexistencia de información, acudirán a las sesiones de dicho Comité donde se discuta la propuesta correspondiente.</w:t>
      </w:r>
    </w:p>
    <w:p w14:paraId="45BA2C8F" w14:textId="77777777" w:rsidR="0096473B" w:rsidRDefault="0096473B" w:rsidP="00E542CF">
      <w:pPr>
        <w:ind w:left="-20" w:right="-20"/>
      </w:pPr>
    </w:p>
    <w:p w14:paraId="0810BB23" w14:textId="418CF80A" w:rsidR="00861D29" w:rsidRDefault="0096473B" w:rsidP="00E542CF">
      <w:pPr>
        <w:ind w:left="-20" w:right="-20"/>
      </w:pPr>
      <w:r>
        <w:t xml:space="preserve">Del precepto en cita, se desprende que los Comités de Transparencia también celebran sesiones ordinarias las veces que estime necesarias. Así, </w:t>
      </w:r>
      <w:r w:rsidR="008B6FCE">
        <w:t xml:space="preserve">se debe considerar que las actas remitidas colman parcialmente la pretensión del Recurrente respecto del periodo del primero de enero al veintisiete de febrero de dos mil veinticinco. </w:t>
      </w:r>
    </w:p>
    <w:p w14:paraId="04E7EF6E" w14:textId="77777777" w:rsidR="00861D29" w:rsidRDefault="00861D29" w:rsidP="00E542CF">
      <w:pPr>
        <w:ind w:left="-20" w:right="-20"/>
      </w:pPr>
    </w:p>
    <w:p w14:paraId="50D90DE6" w14:textId="3378A40B" w:rsidR="00861D29" w:rsidRDefault="00734E04" w:rsidP="00E542CF">
      <w:pPr>
        <w:ind w:left="-20" w:right="-20"/>
      </w:pPr>
      <w:r>
        <w:lastRenderedPageBreak/>
        <w:t xml:space="preserve">En ese sentido, para colmar plenamente el derecho de acceso a la información del Recurrente, es necesario que se haga entrega de las actas de sesiones del Comité de Transparencia ordinarias y extraordinarias celebradas del primero de octubre al treinta y uno de diciembre de dos mil veinticuatro, las actas de sesiones ordinarias del Comité de Transparencia celebradas del primero de enero al veintisiete de febrero de dos mil veinticinco y las actas de las sesiones extraordinarias </w:t>
      </w:r>
      <w:r>
        <w:rPr>
          <w:rFonts w:eastAsia="Palatino Linotype" w:cs="Palatino Linotype"/>
          <w:bCs/>
          <w:color w:val="000000"/>
          <w:lang w:val="es-MX"/>
        </w:rPr>
        <w:t xml:space="preserve">septuagésima tercera, septuagésima cuarta, octogésima séptima, centésima tercera, </w:t>
      </w:r>
      <w:r w:rsidRPr="00175E59">
        <w:rPr>
          <w:rFonts w:eastAsia="Palatino Linotype" w:cs="Palatino Linotype"/>
          <w:bCs/>
          <w:color w:val="000000"/>
          <w:lang w:val="es-MX"/>
        </w:rPr>
        <w:t>centésima t</w:t>
      </w:r>
      <w:r>
        <w:rPr>
          <w:rFonts w:eastAsia="Palatino Linotype" w:cs="Palatino Linotype"/>
          <w:bCs/>
          <w:color w:val="000000"/>
          <w:lang w:val="es-MX"/>
        </w:rPr>
        <w:t xml:space="preserve">rigésima quinta y </w:t>
      </w:r>
      <w:r w:rsidRPr="00175E59">
        <w:rPr>
          <w:rFonts w:eastAsia="Palatino Linotype" w:cs="Palatino Linotype"/>
          <w:bCs/>
          <w:color w:val="000000"/>
          <w:lang w:val="es-MX"/>
        </w:rPr>
        <w:t>centésima t</w:t>
      </w:r>
      <w:r>
        <w:rPr>
          <w:rFonts w:eastAsia="Palatino Linotype" w:cs="Palatino Linotype"/>
          <w:bCs/>
          <w:color w:val="000000"/>
          <w:lang w:val="es-MX"/>
        </w:rPr>
        <w:t>rigésima sexta.</w:t>
      </w:r>
    </w:p>
    <w:p w14:paraId="31F72093" w14:textId="77777777" w:rsidR="00861D29" w:rsidRDefault="00861D29" w:rsidP="00E542CF">
      <w:pPr>
        <w:ind w:left="-20" w:right="-20"/>
      </w:pPr>
    </w:p>
    <w:p w14:paraId="26EC032D" w14:textId="7BEE8AE6" w:rsidR="00734E04" w:rsidRDefault="00734E04" w:rsidP="00E542CF">
      <w:pPr>
        <w:ind w:left="-20" w:right="-20"/>
        <w:rPr>
          <w:rFonts w:eastAsiaTheme="minorEastAsia" w:cstheme="minorBidi"/>
          <w:lang w:val="es-ES" w:eastAsia="en-US"/>
        </w:rPr>
      </w:pPr>
      <w:r>
        <w:t xml:space="preserve">En este punto conviene recordar que el Recurrente también requirió que se le proporcionaran </w:t>
      </w:r>
      <w:r>
        <w:rPr>
          <w:rFonts w:eastAsiaTheme="minorEastAsia" w:cstheme="minorBidi"/>
          <w:lang w:val="es-ES" w:eastAsia="en-US"/>
        </w:rPr>
        <w:t>las fotografías de las sesiones, lista de asistencia, orden del día y citatorios firmados por los convocados relacionadas con las actas requeridas. De tal forma que conviene referir que no existe fuente obligacional que constriña a los sujetos obligados a generar fotografías de las sesio</w:t>
      </w:r>
      <w:r w:rsidR="0055016D">
        <w:rPr>
          <w:rFonts w:eastAsiaTheme="minorEastAsia" w:cstheme="minorBidi"/>
          <w:lang w:val="es-ES" w:eastAsia="en-US"/>
        </w:rPr>
        <w:t>nes del Comité de Transparencia; sin embargo, el Sujeto Obligado no emitió pronunciamiento alguno respecto a este punto de la solicitud, lo que genera incertidumbre respecto de la posible generación de las fotografías solicitadas por el Recurrente.</w:t>
      </w:r>
    </w:p>
    <w:p w14:paraId="7D2A93FF" w14:textId="77777777" w:rsidR="00734E04" w:rsidRDefault="00734E04" w:rsidP="00E542CF">
      <w:pPr>
        <w:ind w:left="-20" w:right="-20"/>
        <w:rPr>
          <w:rFonts w:eastAsiaTheme="minorEastAsia" w:cstheme="minorBidi"/>
          <w:lang w:val="es-ES" w:eastAsia="en-US"/>
        </w:rPr>
      </w:pPr>
    </w:p>
    <w:p w14:paraId="657C8D47" w14:textId="330DF0BC" w:rsidR="00734E04" w:rsidRDefault="00734E04" w:rsidP="00E542CF">
      <w:pPr>
        <w:ind w:left="-20" w:right="-20"/>
        <w:rPr>
          <w:rFonts w:eastAsiaTheme="minorEastAsia" w:cstheme="minorBidi"/>
          <w:lang w:val="es-ES" w:eastAsia="en-US"/>
        </w:rPr>
      </w:pPr>
      <w:r>
        <w:rPr>
          <w:rFonts w:eastAsiaTheme="minorEastAsia" w:cstheme="minorBidi"/>
          <w:lang w:val="es-ES" w:eastAsia="en-US"/>
        </w:rPr>
        <w:t>Asimismo, respecto de la lista de asistencia y el orden del día</w:t>
      </w:r>
      <w:r w:rsidR="0055016D">
        <w:rPr>
          <w:rFonts w:eastAsiaTheme="minorEastAsia" w:cstheme="minorBidi"/>
          <w:lang w:val="es-ES" w:eastAsia="en-US"/>
        </w:rPr>
        <w:t xml:space="preserve"> de las actas de sesión</w:t>
      </w:r>
      <w:r>
        <w:rPr>
          <w:rFonts w:eastAsiaTheme="minorEastAsia" w:cstheme="minorBidi"/>
          <w:lang w:val="es-ES" w:eastAsia="en-US"/>
        </w:rPr>
        <w:t>, estos puntos se observan en cada una de las actas que se remitieron en respuesta, como se observa, a modo de ejemplo, en la siguiente imagen correspondiente a la primera sesión extraordinaria</w:t>
      </w:r>
      <w:r w:rsidR="0055016D">
        <w:rPr>
          <w:rFonts w:eastAsiaTheme="minorEastAsia" w:cstheme="minorBidi"/>
          <w:lang w:val="es-ES" w:eastAsia="en-US"/>
        </w:rPr>
        <w:t xml:space="preserve"> celebrada el trece de enero de dos mil veinticinco</w:t>
      </w:r>
      <w:r>
        <w:rPr>
          <w:rFonts w:eastAsiaTheme="minorEastAsia" w:cstheme="minorBidi"/>
          <w:lang w:val="es-ES" w:eastAsia="en-US"/>
        </w:rPr>
        <w:t>:</w:t>
      </w:r>
    </w:p>
    <w:p w14:paraId="6F697242" w14:textId="77777777" w:rsidR="0055016D" w:rsidRDefault="0055016D" w:rsidP="00E542CF">
      <w:pPr>
        <w:ind w:left="-20" w:right="-20"/>
        <w:rPr>
          <w:rFonts w:eastAsiaTheme="minorEastAsia" w:cstheme="minorBidi"/>
          <w:lang w:val="es-ES" w:eastAsia="en-US"/>
        </w:rPr>
      </w:pPr>
    </w:p>
    <w:p w14:paraId="7327D8DA" w14:textId="448E7BCE" w:rsidR="00734E04" w:rsidRDefault="00734E04" w:rsidP="00734E04">
      <w:pPr>
        <w:ind w:left="-20" w:right="-20"/>
        <w:jc w:val="center"/>
        <w:rPr>
          <w:rFonts w:eastAsiaTheme="minorEastAsia" w:cstheme="minorBidi"/>
          <w:lang w:val="es-ES" w:eastAsia="en-US"/>
        </w:rPr>
      </w:pPr>
      <w:r w:rsidRPr="00734E04">
        <w:rPr>
          <w:rFonts w:eastAsiaTheme="minorEastAsia" w:cstheme="minorBidi"/>
          <w:noProof/>
          <w:lang w:val="es-MX"/>
        </w:rPr>
        <w:lastRenderedPageBreak/>
        <w:drawing>
          <wp:inline distT="0" distB="0" distL="0" distR="0" wp14:anchorId="2930704B" wp14:editId="057EE024">
            <wp:extent cx="4983749" cy="26289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52370" cy="2665097"/>
                    </a:xfrm>
                    <a:prstGeom prst="rect">
                      <a:avLst/>
                    </a:prstGeom>
                  </pic:spPr>
                </pic:pic>
              </a:graphicData>
            </a:graphic>
          </wp:inline>
        </w:drawing>
      </w:r>
    </w:p>
    <w:p w14:paraId="5AB716A9" w14:textId="77777777" w:rsidR="00734E04" w:rsidRDefault="00734E04" w:rsidP="00E542CF">
      <w:pPr>
        <w:ind w:left="-20" w:right="-20"/>
        <w:rPr>
          <w:rFonts w:eastAsiaTheme="minorEastAsia" w:cstheme="minorBidi"/>
          <w:lang w:val="es-ES" w:eastAsia="en-US"/>
        </w:rPr>
      </w:pPr>
    </w:p>
    <w:p w14:paraId="17D61A3C" w14:textId="0BB93C9A" w:rsidR="00734E04" w:rsidRDefault="00734E04" w:rsidP="00734E04">
      <w:pPr>
        <w:ind w:left="-20" w:right="-20"/>
        <w:rPr>
          <w:rFonts w:eastAsiaTheme="minorEastAsia" w:cstheme="minorBidi"/>
          <w:lang w:val="es-ES" w:eastAsia="en-US"/>
        </w:rPr>
      </w:pPr>
      <w:r>
        <w:rPr>
          <w:rFonts w:eastAsiaTheme="minorEastAsia" w:cstheme="minorBidi"/>
          <w:lang w:val="es-ES" w:eastAsia="en-US"/>
        </w:rPr>
        <w:t>Por lo que los puntos de la lista de asistencia y orden del día constan en las propias actas de sesión del Comité de Transparencia.</w:t>
      </w:r>
    </w:p>
    <w:p w14:paraId="69CD8080" w14:textId="77777777" w:rsidR="0055016D" w:rsidRDefault="0055016D" w:rsidP="00734E04">
      <w:pPr>
        <w:ind w:left="-20" w:right="-20"/>
        <w:rPr>
          <w:rFonts w:eastAsiaTheme="minorEastAsia" w:cstheme="minorBidi"/>
          <w:lang w:val="es-ES" w:eastAsia="en-US"/>
        </w:rPr>
      </w:pPr>
    </w:p>
    <w:p w14:paraId="70A97015" w14:textId="39345D22" w:rsidR="00861D29" w:rsidRDefault="0055016D" w:rsidP="00E542CF">
      <w:pPr>
        <w:ind w:left="-20" w:right="-20"/>
        <w:rPr>
          <w:rFonts w:eastAsiaTheme="minorEastAsia" w:cstheme="minorBidi"/>
          <w:lang w:val="es-ES" w:eastAsia="en-US"/>
        </w:rPr>
      </w:pPr>
      <w:r>
        <w:rPr>
          <w:rFonts w:eastAsiaTheme="minorEastAsia" w:cstheme="minorBidi"/>
          <w:lang w:val="es-ES" w:eastAsia="en-US"/>
        </w:rPr>
        <w:t xml:space="preserve">Por cuanto hace a los citatorios firmados por los convocados, </w:t>
      </w:r>
      <w:r w:rsidR="00734E04">
        <w:rPr>
          <w:rFonts w:eastAsiaTheme="minorEastAsia" w:cstheme="minorBidi"/>
          <w:lang w:val="es-ES" w:eastAsia="en-US"/>
        </w:rPr>
        <w:t>conviene señalar que el artículo 47 de la ley de la materia citado anteriormente, establece que se emite una convocatoria para realizar las sesiones del Comité de Transparencia en la que se establece el tipo de sesión que habrá de realizarse.</w:t>
      </w:r>
    </w:p>
    <w:p w14:paraId="0F310126" w14:textId="77777777" w:rsidR="00734E04" w:rsidRDefault="00734E04" w:rsidP="00E542CF">
      <w:pPr>
        <w:ind w:left="-20" w:right="-20"/>
        <w:rPr>
          <w:rFonts w:eastAsiaTheme="minorEastAsia" w:cstheme="minorBidi"/>
          <w:lang w:val="es-ES" w:eastAsia="en-US"/>
        </w:rPr>
      </w:pPr>
    </w:p>
    <w:p w14:paraId="3B46668B" w14:textId="2428AB0B" w:rsidR="0055016D" w:rsidRDefault="00734E04" w:rsidP="0055016D">
      <w:pPr>
        <w:rPr>
          <w:rFonts w:eastAsia="Palatino Linotype" w:cs="Palatino Linotype"/>
          <w:color w:val="000000"/>
        </w:rPr>
      </w:pPr>
      <w:r>
        <w:rPr>
          <w:rFonts w:eastAsiaTheme="minorEastAsia" w:cstheme="minorBidi"/>
          <w:lang w:val="es-ES" w:eastAsia="en-US"/>
        </w:rPr>
        <w:t xml:space="preserve">De lo anterior, se desprende que, si bien es cierto que </w:t>
      </w:r>
      <w:r w:rsidR="0055016D">
        <w:rPr>
          <w:rFonts w:eastAsiaTheme="minorEastAsia" w:cstheme="minorBidi"/>
          <w:lang w:val="es-ES" w:eastAsia="en-US"/>
        </w:rPr>
        <w:t xml:space="preserve">se generara una convocatoria para celebrar las sesione del Comité de Transparencia, también lo es que no se establece que se genere un citatorio firmado por los convocados a participar en </w:t>
      </w:r>
      <w:proofErr w:type="gramStart"/>
      <w:r w:rsidR="0055016D">
        <w:rPr>
          <w:rFonts w:eastAsiaTheme="minorEastAsia" w:cstheme="minorBidi"/>
          <w:lang w:val="es-ES" w:eastAsia="en-US"/>
        </w:rPr>
        <w:t>las sesión correspondiente</w:t>
      </w:r>
      <w:proofErr w:type="gramEnd"/>
      <w:r w:rsidR="0055016D">
        <w:rPr>
          <w:rFonts w:eastAsiaTheme="minorEastAsia" w:cstheme="minorBidi"/>
          <w:lang w:val="es-ES" w:eastAsia="en-US"/>
        </w:rPr>
        <w:t>; empero, tampoco se observa un pronunciamiento por parte del Sujeto Obligado al respecto. Así, la omisión del pronunciamiento respecto de las fotografías y citatorios firmados requeridos en la solicitud de información</w:t>
      </w:r>
      <w:r w:rsidR="0055016D">
        <w:t xml:space="preserve"> implica que el Sujeto Obligado dejó </w:t>
      </w:r>
      <w:r w:rsidR="0055016D">
        <w:rPr>
          <w:rFonts w:eastAsia="Palatino Linotype" w:cs="Palatino Linotype"/>
          <w:color w:val="000000"/>
        </w:rPr>
        <w:t xml:space="preserve">de observar </w:t>
      </w:r>
      <w:r w:rsidR="0055016D">
        <w:rPr>
          <w:rFonts w:eastAsia="Palatino Linotype" w:cs="Palatino Linotype"/>
          <w:color w:val="000000"/>
        </w:rPr>
        <w:lastRenderedPageBreak/>
        <w:t xml:space="preserve">los principios </w:t>
      </w:r>
      <w:r w:rsidR="0055016D" w:rsidRPr="006C0FA2">
        <w:rPr>
          <w:rFonts w:eastAsia="Palatino Linotype" w:cs="Palatino Linotype"/>
          <w:color w:val="000000"/>
        </w:rPr>
        <w:t xml:space="preserve">de congruencia y exhaustividad, </w:t>
      </w:r>
      <w:r w:rsidR="0055016D">
        <w:rPr>
          <w:rFonts w:eastAsia="Palatino Linotype" w:cs="Palatino Linotype"/>
          <w:color w:val="000000"/>
        </w:rPr>
        <w:t xml:space="preserve">conforme a lo estipulado </w:t>
      </w:r>
      <w:r w:rsidR="0055016D" w:rsidRPr="006C0FA2">
        <w:rPr>
          <w:rFonts w:eastAsia="Palatino Linotype" w:cs="Palatino Linotype"/>
          <w:color w:val="000000"/>
        </w:rPr>
        <w:t xml:space="preserve">el criterio 02/17 del </w:t>
      </w:r>
      <w:r w:rsidR="0055016D">
        <w:rPr>
          <w:rFonts w:eastAsia="Palatino Linotype" w:cs="Palatino Linotype"/>
          <w:color w:val="000000"/>
        </w:rPr>
        <w:t>INAI, que a la letra estipula lo siguiente:</w:t>
      </w:r>
      <w:r w:rsidR="0055016D" w:rsidRPr="006C0FA2">
        <w:rPr>
          <w:rFonts w:eastAsia="Palatino Linotype" w:cs="Palatino Linotype"/>
          <w:color w:val="000000"/>
        </w:rPr>
        <w:t xml:space="preserve"> </w:t>
      </w:r>
    </w:p>
    <w:p w14:paraId="16D8C88D" w14:textId="77777777" w:rsidR="0055016D" w:rsidRPr="006C0FA2" w:rsidRDefault="0055016D" w:rsidP="0055016D">
      <w:pPr>
        <w:rPr>
          <w:rFonts w:eastAsia="Palatino Linotype" w:cs="Palatino Linotype"/>
          <w:color w:val="000000"/>
        </w:rPr>
      </w:pPr>
    </w:p>
    <w:p w14:paraId="15928BD6" w14:textId="77777777" w:rsidR="0055016D" w:rsidRDefault="0055016D" w:rsidP="0055016D">
      <w:pPr>
        <w:pStyle w:val="Fundamentos"/>
        <w:rPr>
          <w:lang w:val="es-ES"/>
        </w:rPr>
      </w:pPr>
      <w:r w:rsidRPr="7ADB1E55">
        <w:rPr>
          <w:b/>
          <w:bCs/>
          <w:lang w:val="es-ES"/>
        </w:rPr>
        <w:t>CONGRUENCIA Y EXHAUSTIVIDAD. SUS ALCANCES PARA GARANTIZAR EL DERECHO DE ACCESO A LA INFORMACIÓN.</w:t>
      </w:r>
      <w:r w:rsidRPr="7ADB1E55">
        <w:rPr>
          <w:lang w:val="es-ES"/>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20B5694" w14:textId="77777777" w:rsidR="0055016D" w:rsidRPr="006C0FA2" w:rsidRDefault="0055016D" w:rsidP="0055016D">
      <w:pPr>
        <w:rPr>
          <w:rFonts w:eastAsia="Palatino Linotype" w:cs="Palatino Linotype"/>
          <w:color w:val="000000"/>
        </w:rPr>
      </w:pPr>
    </w:p>
    <w:p w14:paraId="6605B71D" w14:textId="010BD9C5" w:rsidR="00734E04" w:rsidRDefault="0055016D" w:rsidP="00E542CF">
      <w:pPr>
        <w:ind w:left="-20" w:right="-20"/>
      </w:pPr>
      <w:r>
        <w:t>Por lo que es necesario que, previa búsqueda exhaustiva y razonable, se haga entrega de las fotografías de las sesiones ordinarias y extraordinarias del Comité de Transparencia celebradas del primero de octubre de dos mil veinticuatro al veintisiete de febrero de dos mil veinticinco, así como los citatorios firmados por los</w:t>
      </w:r>
      <w:r w:rsidR="007B68A7">
        <w:t xml:space="preserve"> integrantes convocados a éstas.</w:t>
      </w:r>
      <w:r>
        <w:t xml:space="preserve"> </w:t>
      </w:r>
    </w:p>
    <w:p w14:paraId="284B2A4C" w14:textId="77777777" w:rsidR="0055016D" w:rsidRDefault="0055016D" w:rsidP="00E542CF">
      <w:pPr>
        <w:ind w:left="-20" w:right="-20"/>
      </w:pPr>
    </w:p>
    <w:p w14:paraId="50B01509" w14:textId="56C5F8BD" w:rsidR="007B68A7" w:rsidRDefault="00A63203" w:rsidP="00A63203">
      <w:pPr>
        <w:ind w:right="-20"/>
      </w:pPr>
      <w:r>
        <w:t>Por lo argumentado en párrafos anteriores</w:t>
      </w:r>
      <w:r w:rsidRPr="00637FE9">
        <w:t xml:space="preserve">, este Instituto estima que los motivos de inconformidad planteados por el Recurrente devienen fundados, por lo que es procedente </w:t>
      </w:r>
      <w:r>
        <w:t>modifi</w:t>
      </w:r>
      <w:r w:rsidRPr="00637FE9">
        <w:t>car la respuesta y ordenar al Sujeto Obligado que</w:t>
      </w:r>
      <w:r>
        <w:t xml:space="preserve"> </w:t>
      </w:r>
      <w:r w:rsidR="007B68A7">
        <w:t>haga entrega de lo siguiente, en versión pública de ser procedente:</w:t>
      </w:r>
    </w:p>
    <w:p w14:paraId="0DE39AFD" w14:textId="77777777" w:rsidR="007B68A7" w:rsidRDefault="007B68A7" w:rsidP="00A63203">
      <w:pPr>
        <w:ind w:right="-20"/>
      </w:pPr>
    </w:p>
    <w:p w14:paraId="306FE6AD" w14:textId="77777777" w:rsidR="007B68A7" w:rsidRDefault="007B68A7" w:rsidP="007B68A7">
      <w:pPr>
        <w:pStyle w:val="Prrafodelista"/>
        <w:numPr>
          <w:ilvl w:val="0"/>
          <w:numId w:val="68"/>
        </w:numPr>
        <w:ind w:right="-20"/>
      </w:pPr>
      <w:r>
        <w:t>L</w:t>
      </w:r>
      <w:r w:rsidRPr="007B68A7">
        <w:t>as actas de sesiones del Comité de Transparencia ordinarias y extraordinarias celebradas del primero de octubre al treinta y uno de dici</w:t>
      </w:r>
      <w:r>
        <w:t>embre de dos mil veinticuatro.</w:t>
      </w:r>
    </w:p>
    <w:p w14:paraId="4052AB9D" w14:textId="77777777" w:rsidR="007B68A7" w:rsidRDefault="007B68A7" w:rsidP="007B68A7">
      <w:pPr>
        <w:pStyle w:val="Prrafodelista"/>
        <w:numPr>
          <w:ilvl w:val="0"/>
          <w:numId w:val="68"/>
        </w:numPr>
        <w:ind w:right="-20"/>
      </w:pPr>
      <w:r>
        <w:lastRenderedPageBreak/>
        <w:t>L</w:t>
      </w:r>
      <w:r w:rsidRPr="007B68A7">
        <w:t>as actas de sesiones ordinarias del Comité de Transparencia celebradas del primero de enero al veintisiete de fe</w:t>
      </w:r>
      <w:r>
        <w:t>brero de dos mil veinticinco.</w:t>
      </w:r>
    </w:p>
    <w:p w14:paraId="558BE223" w14:textId="44BD1A79" w:rsidR="007B68A7" w:rsidRDefault="007B68A7" w:rsidP="007B68A7">
      <w:pPr>
        <w:pStyle w:val="Prrafodelista"/>
        <w:numPr>
          <w:ilvl w:val="0"/>
          <w:numId w:val="68"/>
        </w:numPr>
        <w:ind w:right="-20"/>
      </w:pPr>
      <w:r>
        <w:t>L</w:t>
      </w:r>
      <w:r w:rsidRPr="007B68A7">
        <w:t>as actas de las sesiones extraordinarias septuagésima tercera, septuagésima cuarta, octogésima séptima, centésima tercera, centésima trigésima qui</w:t>
      </w:r>
      <w:r w:rsidR="00420B61">
        <w:t>nta y centésima trigésima sexta, generadas en el año dos mil veinticinco.</w:t>
      </w:r>
    </w:p>
    <w:p w14:paraId="737BBA83" w14:textId="77D19299" w:rsidR="007B68A7" w:rsidRDefault="007B68A7" w:rsidP="007B68A7">
      <w:pPr>
        <w:pStyle w:val="Prrafodelista"/>
        <w:numPr>
          <w:ilvl w:val="0"/>
          <w:numId w:val="68"/>
        </w:numPr>
        <w:ind w:right="-20"/>
      </w:pPr>
      <w:r>
        <w:t>Previa búsqueda exhaustiva y razonable, las fotografías de las sesiones ordinarias y extraordinarias del Comité de Transparencia celebradas del primero de octubre de dos mil veinticuatro al veintisiete de febrero de dos mil veinticinco, así como los citatorios firmados por los convocados a participar en dichas sesiones.</w:t>
      </w:r>
    </w:p>
    <w:p w14:paraId="6FBD8B0A" w14:textId="77777777" w:rsidR="007B68A7" w:rsidRDefault="007B68A7" w:rsidP="00A63203">
      <w:pPr>
        <w:ind w:right="-20"/>
      </w:pPr>
    </w:p>
    <w:p w14:paraId="4911E922" w14:textId="11DCAAA8" w:rsidR="00A63203" w:rsidRDefault="007B68A7" w:rsidP="00CA2383">
      <w:pPr>
        <w:ind w:right="-20"/>
        <w:rPr>
          <w:rFonts w:eastAsia="Palatino Linotype" w:cs="Palatino Linotype"/>
          <w:color w:val="000000"/>
          <w:lang w:val="es-MX"/>
        </w:rPr>
      </w:pPr>
      <w:r>
        <w:rPr>
          <w:rFonts w:eastAsia="Palatino Linotype" w:cs="Palatino Linotype"/>
          <w:color w:val="000000"/>
          <w:lang w:val="es-MX"/>
        </w:rPr>
        <w:t>Respecto de las fotografías y citatorios ordenados, e</w:t>
      </w:r>
      <w:r w:rsidR="00A63203">
        <w:rPr>
          <w:rFonts w:eastAsia="Palatino Linotype" w:cs="Palatino Linotype"/>
          <w:color w:val="000000"/>
          <w:lang w:val="es-MX"/>
        </w:rPr>
        <w:t xml:space="preserve">n el supuesto de que, una vez realizada la búsqueda exhaustiva y razonable en los archivos de las áreas competentes, el Sujeto Obligado determine que la información no obra en los archivos debido a que no se </w:t>
      </w:r>
      <w:r>
        <w:rPr>
          <w:rFonts w:eastAsia="Palatino Linotype" w:cs="Palatino Linotype"/>
          <w:color w:val="000000"/>
          <w:lang w:val="es-MX"/>
        </w:rPr>
        <w:t xml:space="preserve">generó, poseyó o administró dicha información, </w:t>
      </w:r>
      <w:r w:rsidR="00A63203">
        <w:rPr>
          <w:rFonts w:eastAsia="Palatino Linotype" w:cs="Palatino Linotype"/>
          <w:color w:val="000000"/>
          <w:lang w:val="es-MX"/>
        </w:rPr>
        <w:t>bastará con que así lo haga del conocimiento del Recurrente en términos del segundo párrafo del artículo 19 de</w:t>
      </w:r>
      <w:r>
        <w:rPr>
          <w:rFonts w:eastAsia="Palatino Linotype" w:cs="Palatino Linotype"/>
          <w:color w:val="000000"/>
          <w:lang w:val="es-MX"/>
        </w:rPr>
        <w:t xml:space="preserve"> la Ley de Transparencia local</w:t>
      </w:r>
      <w:r w:rsidR="00A63203">
        <w:rPr>
          <w:rFonts w:eastAsia="Palatino Linotype" w:cs="Palatino Linotype"/>
          <w:color w:val="000000"/>
          <w:lang w:val="es-MX"/>
        </w:rPr>
        <w:t>, que a la letra dispone lo siguiente:</w:t>
      </w:r>
    </w:p>
    <w:p w14:paraId="72C209EC" w14:textId="77777777" w:rsidR="00A63203" w:rsidRDefault="00A63203" w:rsidP="00CA2383">
      <w:pPr>
        <w:ind w:right="-20"/>
        <w:rPr>
          <w:rFonts w:eastAsia="Palatino Linotype" w:cs="Palatino Linotype"/>
          <w:color w:val="000000"/>
          <w:lang w:val="es-MX"/>
        </w:rPr>
      </w:pPr>
    </w:p>
    <w:p w14:paraId="701381D7" w14:textId="77777777" w:rsidR="00A63203" w:rsidRPr="00A63203" w:rsidRDefault="00A63203" w:rsidP="00A63203">
      <w:pPr>
        <w:pStyle w:val="Fundamentos"/>
        <w:rPr>
          <w:lang w:val="es-MX"/>
        </w:rPr>
      </w:pPr>
      <w:r w:rsidRPr="00A63203">
        <w:rPr>
          <w:b/>
          <w:lang w:val="es-MX"/>
        </w:rPr>
        <w:t xml:space="preserve">Artículo 19. </w:t>
      </w:r>
      <w:r w:rsidRPr="00A63203">
        <w:rPr>
          <w:lang w:val="es-MX"/>
        </w:rPr>
        <w:t>Se presume que la información debe existir si se refiere a las facultades, competencias y funciones que los ordenamientos jurídicos aplicables otorgan a los sujetos obligados.</w:t>
      </w:r>
    </w:p>
    <w:p w14:paraId="3768FF0E" w14:textId="77777777" w:rsidR="00A63203" w:rsidRPr="00A63203" w:rsidRDefault="00A63203" w:rsidP="00A63203">
      <w:pPr>
        <w:pStyle w:val="Fundamentos"/>
        <w:rPr>
          <w:lang w:val="es-MX"/>
        </w:rPr>
      </w:pPr>
    </w:p>
    <w:p w14:paraId="520D8FEE" w14:textId="77777777" w:rsidR="00A63203" w:rsidRPr="00A63203" w:rsidRDefault="00A63203" w:rsidP="00A63203">
      <w:pPr>
        <w:pStyle w:val="Fundamentos"/>
        <w:rPr>
          <w:b/>
          <w:u w:val="single"/>
          <w:lang w:val="es-MX"/>
        </w:rPr>
      </w:pPr>
      <w:r w:rsidRPr="00A63203">
        <w:rPr>
          <w:b/>
          <w:u w:val="single"/>
          <w:lang w:val="es-MX"/>
        </w:rPr>
        <w:t>En los casos en que ciertas facultades, competencias o funciones no se hayan ejercido, se debe motivar la respuesta en función de las causas que motiven tal circunstancia.</w:t>
      </w:r>
    </w:p>
    <w:p w14:paraId="6D57811D" w14:textId="77777777" w:rsidR="00A63203" w:rsidRPr="00A63203" w:rsidRDefault="00A63203" w:rsidP="00A63203">
      <w:pPr>
        <w:pStyle w:val="Fundamentos"/>
        <w:rPr>
          <w:lang w:val="es-MX"/>
        </w:rPr>
      </w:pPr>
    </w:p>
    <w:p w14:paraId="510125B4" w14:textId="77777777" w:rsidR="00A63203" w:rsidRPr="00A63203" w:rsidRDefault="00A63203" w:rsidP="00A63203">
      <w:pPr>
        <w:pStyle w:val="Fundamentos"/>
        <w:rPr>
          <w:lang w:val="es-MX"/>
        </w:rPr>
      </w:pPr>
      <w:r w:rsidRPr="00A63203">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903A3D7" w14:textId="77777777" w:rsidR="00A63203" w:rsidRDefault="00A63203" w:rsidP="00CA2383">
      <w:pPr>
        <w:ind w:right="-20"/>
        <w:rPr>
          <w:rFonts w:eastAsia="Palatino Linotype" w:cs="Palatino Linotype"/>
          <w:color w:val="000000"/>
          <w:lang w:val="es-MX"/>
        </w:rPr>
      </w:pPr>
    </w:p>
    <w:p w14:paraId="139237D3" w14:textId="77777777" w:rsidR="001F4164" w:rsidRPr="008F3C6D" w:rsidRDefault="001F4164" w:rsidP="001F4164">
      <w:pPr>
        <w:pStyle w:val="Ttulo3"/>
        <w:rPr>
          <w:rFonts w:eastAsia="Times New Roman"/>
        </w:rPr>
      </w:pPr>
      <w:r w:rsidRPr="008F3C6D">
        <w:rPr>
          <w:rFonts w:eastAsia="Times New Roman"/>
        </w:rPr>
        <w:lastRenderedPageBreak/>
        <w:t>DE LA VERSIÓN PÚBLICA</w:t>
      </w:r>
    </w:p>
    <w:p w14:paraId="6B744FAC" w14:textId="77777777" w:rsidR="001F4164" w:rsidRPr="006A7396" w:rsidRDefault="001F4164" w:rsidP="001F4164">
      <w:pPr>
        <w:rPr>
          <w:rFonts w:eastAsia="Palatino Linotype" w:cs="Palatino Linotype"/>
          <w:szCs w:val="24"/>
        </w:rPr>
      </w:pPr>
      <w:r w:rsidRPr="006A739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68217843" w14:textId="77777777" w:rsidR="001F4164" w:rsidRPr="006A7396" w:rsidRDefault="001F4164" w:rsidP="001F4164">
      <w:pPr>
        <w:rPr>
          <w:rFonts w:eastAsia="Palatino Linotype" w:cs="Palatino Linotype"/>
          <w:szCs w:val="24"/>
        </w:rPr>
      </w:pPr>
    </w:p>
    <w:p w14:paraId="670F8911"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3.</w:t>
      </w:r>
      <w:r w:rsidRPr="006A7396">
        <w:rPr>
          <w:rFonts w:eastAsia="Palatino Linotype" w:cs="Palatino Linotype"/>
          <w:i/>
          <w:color w:val="000000"/>
          <w:sz w:val="22"/>
          <w:szCs w:val="24"/>
        </w:rPr>
        <w:t xml:space="preserve"> Para los efectos de la presente Ley se entenderá por:</w:t>
      </w:r>
    </w:p>
    <w:p w14:paraId="5A0A2C23"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534C282F"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IX. Datos personales:</w:t>
      </w:r>
      <w:r w:rsidRPr="006A739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2BAE7B60"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clasificada:</w:t>
      </w:r>
      <w:r w:rsidRPr="006A7396">
        <w:rPr>
          <w:rFonts w:eastAsia="Palatino Linotype" w:cs="Palatino Linotype"/>
          <w:i/>
          <w:color w:val="000000"/>
          <w:sz w:val="22"/>
          <w:szCs w:val="24"/>
        </w:rPr>
        <w:t xml:space="preserve"> Aquella considerada por la presente Ley como reservada o confidencial;</w:t>
      </w:r>
    </w:p>
    <w:p w14:paraId="5FBFE5B8"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XXI.</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confidencial:</w:t>
      </w:r>
      <w:r w:rsidRPr="006A739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FDCA77F" w14:textId="77777777" w:rsidR="001F4164" w:rsidRPr="00787121"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121">
        <w:rPr>
          <w:rFonts w:eastAsia="Palatino Linotype" w:cs="Palatino Linotype"/>
          <w:i/>
          <w:color w:val="000000"/>
          <w:sz w:val="22"/>
          <w:szCs w:val="24"/>
        </w:rPr>
        <w:t>[…]</w:t>
      </w:r>
    </w:p>
    <w:p w14:paraId="2F12A34E"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XLV.</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Versión pública:</w:t>
      </w:r>
      <w:r w:rsidRPr="006A739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790FBDF3"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6BF71294"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090A8FD"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 xml:space="preserve">Artículo 91. </w:t>
      </w:r>
      <w:r w:rsidRPr="006A7396">
        <w:rPr>
          <w:rFonts w:eastAsia="Palatino Linotype" w:cs="Palatino Linotype"/>
          <w:i/>
          <w:color w:val="000000"/>
          <w:sz w:val="22"/>
          <w:szCs w:val="24"/>
        </w:rPr>
        <w:t>El acceso a la información pública será restringido excepcionalmente, cuando ésta sea clasificada como reservada o confidencial.</w:t>
      </w:r>
    </w:p>
    <w:p w14:paraId="48AF90B5"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24F3C56"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132.</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La clasificación de la información se llevará a cabo en el momento en que</w:t>
      </w:r>
      <w:r w:rsidRPr="006A7396">
        <w:rPr>
          <w:rFonts w:eastAsia="Palatino Linotype" w:cs="Palatino Linotype"/>
          <w:i/>
          <w:color w:val="000000"/>
          <w:sz w:val="22"/>
          <w:szCs w:val="24"/>
        </w:rPr>
        <w:t>:</w:t>
      </w:r>
    </w:p>
    <w:p w14:paraId="04CA6040"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w:t>
      </w:r>
      <w:r w:rsidRPr="006A7396">
        <w:rPr>
          <w:rFonts w:eastAsia="Palatino Linotype" w:cs="Palatino Linotype"/>
          <w:i/>
          <w:color w:val="000000"/>
          <w:sz w:val="22"/>
          <w:szCs w:val="24"/>
        </w:rPr>
        <w:t xml:space="preserve"> Se reciba una solicitud de acceso a la información;</w:t>
      </w:r>
    </w:p>
    <w:p w14:paraId="62DB22C8"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determine mediante resolución de autoridad competente; o</w:t>
      </w:r>
    </w:p>
    <w:p w14:paraId="0BD240F4"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A7396">
        <w:rPr>
          <w:rFonts w:eastAsia="Palatino Linotype" w:cs="Palatino Linotype"/>
          <w:b/>
          <w:i/>
          <w:color w:val="000000"/>
          <w:sz w:val="22"/>
          <w:szCs w:val="24"/>
        </w:rPr>
        <w:t>III.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generen versiones públicas para dar cumplimiento a las obligaciones de transparencia previstas en esta Ley.</w:t>
      </w:r>
    </w:p>
    <w:p w14:paraId="1C129281"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0F8B2BBE" w14:textId="77777777" w:rsidR="001F4164" w:rsidRPr="006A7396" w:rsidRDefault="001F4164" w:rsidP="001F4164">
      <w:pPr>
        <w:rPr>
          <w:rFonts w:eastAsia="Palatino Linotype" w:cs="Palatino Linotype"/>
          <w:i/>
          <w:szCs w:val="24"/>
        </w:rPr>
      </w:pPr>
    </w:p>
    <w:p w14:paraId="6919D96F" w14:textId="77777777" w:rsidR="001F4164" w:rsidRPr="006A7396" w:rsidRDefault="001F4164" w:rsidP="001F4164">
      <w:pPr>
        <w:rPr>
          <w:rFonts w:eastAsia="Palatino Linotype" w:cs="Palatino Linotype"/>
          <w:lang w:val="es-ES"/>
        </w:rPr>
      </w:pPr>
      <w:r w:rsidRPr="006A7396">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FB7671F" w14:textId="77777777" w:rsidR="001F4164" w:rsidRPr="006A7396" w:rsidRDefault="001F4164" w:rsidP="001F4164">
      <w:pPr>
        <w:rPr>
          <w:rFonts w:eastAsia="Palatino Linotype" w:cs="Palatino Linotype"/>
          <w:szCs w:val="24"/>
        </w:rPr>
      </w:pPr>
    </w:p>
    <w:p w14:paraId="59FBC409" w14:textId="77777777" w:rsidR="001F4164" w:rsidRPr="006A7396" w:rsidRDefault="001F4164" w:rsidP="001F4164">
      <w:pPr>
        <w:rPr>
          <w:rFonts w:eastAsia="Palatino Linotype" w:cs="Palatino Linotype"/>
          <w:szCs w:val="24"/>
        </w:rPr>
      </w:pPr>
      <w:r w:rsidRPr="006A7396">
        <w:rPr>
          <w:rFonts w:eastAsia="Palatino Linotype" w:cs="Palatino Linotype"/>
          <w:szCs w:val="24"/>
        </w:rPr>
        <w:t xml:space="preserve">Por otro lado, los </w:t>
      </w:r>
      <w:r w:rsidRPr="006A7396">
        <w:rPr>
          <w:rFonts w:eastAsia="Palatino Linotype" w:cs="Palatino Linotype"/>
          <w:i/>
          <w:szCs w:val="24"/>
        </w:rPr>
        <w:t>Lineamientos Generales en Materia de Clasificación y Desclasificación de la Información, así como para la elaboración de Versiones Públicas</w:t>
      </w:r>
      <w:r w:rsidRPr="006A7396">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A9C7AD1" w14:textId="77777777" w:rsidR="001F4164" w:rsidRPr="006A7396" w:rsidRDefault="001F4164" w:rsidP="001F4164">
      <w:pPr>
        <w:rPr>
          <w:rFonts w:eastAsia="Palatino Linotype" w:cs="Palatino Linotype"/>
          <w:szCs w:val="24"/>
        </w:rPr>
      </w:pPr>
    </w:p>
    <w:p w14:paraId="50206CD5" w14:textId="77777777" w:rsidR="001F4164" w:rsidRPr="006A7396" w:rsidRDefault="001F4164" w:rsidP="001F4164">
      <w:pPr>
        <w:rPr>
          <w:rFonts w:eastAsia="Palatino Linotype" w:cs="Palatino Linotype"/>
          <w:szCs w:val="24"/>
        </w:rPr>
      </w:pPr>
      <w:r w:rsidRPr="006A7396">
        <w:rPr>
          <w:rFonts w:eastAsia="Palatino Linotype" w:cs="Palatino Linotype"/>
          <w:szCs w:val="24"/>
        </w:rPr>
        <w:t>Asimismo, los Lineamientos Quincuagésimo sexto, Quincuagésimo séptimo y Quincuagésimo octavo, establecen lo siguiente:</w:t>
      </w:r>
    </w:p>
    <w:p w14:paraId="06FBF71B" w14:textId="77777777" w:rsidR="001F4164" w:rsidRPr="006A7396" w:rsidRDefault="001F4164" w:rsidP="001F4164">
      <w:pPr>
        <w:rPr>
          <w:rFonts w:eastAsia="Palatino Linotype" w:cs="Palatino Linotype"/>
        </w:rPr>
      </w:pPr>
    </w:p>
    <w:p w14:paraId="0B43847A"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A7396">
        <w:rPr>
          <w:rFonts w:eastAsia="Palatino Linotype" w:cs="Palatino Linotype"/>
          <w:b/>
          <w:i/>
          <w:color w:val="000000"/>
          <w:sz w:val="22"/>
          <w:szCs w:val="24"/>
        </w:rPr>
        <w:t>Quincuagésimo sexto.</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lang w:val="es-MX"/>
        </w:rPr>
        <w:t xml:space="preserve">Cuando la elaboración de la versión pública del documento o expediente que contenga partes o secciones reservadas o </w:t>
      </w:r>
      <w:proofErr w:type="gramStart"/>
      <w:r w:rsidRPr="006A7396">
        <w:rPr>
          <w:rFonts w:eastAsia="Palatino Linotype" w:cs="Palatino Linotype"/>
          <w:i/>
          <w:color w:val="000000"/>
          <w:sz w:val="22"/>
          <w:szCs w:val="24"/>
          <w:lang w:val="es-MX"/>
        </w:rPr>
        <w:t>confidenciales,</w:t>
      </w:r>
      <w:proofErr w:type="gramEnd"/>
      <w:r w:rsidRPr="006A7396">
        <w:rPr>
          <w:rFonts w:eastAsia="Palatino Linotype" w:cs="Palatino Linotype"/>
          <w:i/>
          <w:color w:val="000000"/>
          <w:sz w:val="22"/>
          <w:szCs w:val="24"/>
          <w:lang w:val="es-MX"/>
        </w:rPr>
        <w:t xml:space="preserve"> genere costos por reproducción por derivar de una solicitud de información o determinación de una autoridad competente, ésta será elaborada hasta que se haya acreditado el pago correspondiente.</w:t>
      </w:r>
    </w:p>
    <w:p w14:paraId="383E029B"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DF6B652"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Quincuagésimo séptimo.</w:t>
      </w:r>
      <w:r w:rsidRPr="006A7396">
        <w:rPr>
          <w:rFonts w:eastAsia="Palatino Linotype" w:cs="Palatino Linotype"/>
          <w:i/>
          <w:color w:val="000000"/>
          <w:sz w:val="22"/>
          <w:szCs w:val="24"/>
        </w:rPr>
        <w:t xml:space="preserve"> Se considera, en principio, como información pública y no podrá omitirse de las versiones públicas la siguiente:</w:t>
      </w:r>
    </w:p>
    <w:p w14:paraId="3CBD429A"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3B0ED7B"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759351DC"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2FB85E62"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A739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6A7396">
        <w:rPr>
          <w:rFonts w:eastAsia="Palatino Linotype" w:cs="Palatino Linotype"/>
          <w:i/>
          <w:iCs/>
          <w:color w:val="000000" w:themeColor="text1"/>
          <w:sz w:val="22"/>
          <w:lang w:val="es-ES"/>
        </w:rPr>
        <w:t>los mismos</w:t>
      </w:r>
      <w:proofErr w:type="gramEnd"/>
      <w:r w:rsidRPr="006A7396">
        <w:rPr>
          <w:rFonts w:eastAsia="Palatino Linotype" w:cs="Palatino Linotype"/>
          <w:i/>
          <w:iCs/>
          <w:color w:val="000000" w:themeColor="text1"/>
          <w:sz w:val="22"/>
          <w:lang w:val="es-ES"/>
        </w:rPr>
        <w:t xml:space="preserve">. </w:t>
      </w:r>
    </w:p>
    <w:p w14:paraId="4F099A03"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E6638B6"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lastRenderedPageBreak/>
        <w:t xml:space="preserve">Lo anterior, siempre y cuando no se acredite alguna causal de clasificación, prevista en las leyes o en los tratados internacionales suscritos por el Estado mexicano. </w:t>
      </w:r>
    </w:p>
    <w:p w14:paraId="729A6CDD"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4F56D1" w14:textId="77777777" w:rsidR="001F4164" w:rsidRPr="006A7396" w:rsidRDefault="001F4164" w:rsidP="001F4164">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5A438623">
        <w:rPr>
          <w:rFonts w:eastAsia="Palatino Linotype" w:cs="Palatino Linotype"/>
          <w:b/>
          <w:bCs/>
          <w:i/>
          <w:iCs/>
          <w:color w:val="000000" w:themeColor="text1"/>
          <w:sz w:val="22"/>
          <w:lang w:val="es-ES"/>
        </w:rPr>
        <w:t>Quincuagésimo octavo.</w:t>
      </w:r>
      <w:r w:rsidRPr="5A43862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w:t>
      </w:r>
      <w:proofErr w:type="gramStart"/>
      <w:r w:rsidRPr="5A438623">
        <w:rPr>
          <w:rFonts w:eastAsia="Palatino Linotype" w:cs="Palatino Linotype"/>
          <w:i/>
          <w:iCs/>
          <w:color w:val="000000" w:themeColor="text1"/>
          <w:sz w:val="22"/>
          <w:lang w:val="es-ES"/>
        </w:rPr>
        <w:t>la misma</w:t>
      </w:r>
      <w:proofErr w:type="gramEnd"/>
      <w:r w:rsidRPr="5A438623">
        <w:rPr>
          <w:rFonts w:eastAsia="Palatino Linotype" w:cs="Palatino Linotype"/>
          <w:i/>
          <w:iCs/>
          <w:color w:val="000000" w:themeColor="text1"/>
          <w:sz w:val="22"/>
          <w:lang w:val="es-ES"/>
        </w:rPr>
        <w:t>.</w:t>
      </w:r>
    </w:p>
    <w:p w14:paraId="63C26591" w14:textId="77777777" w:rsidR="001F4164" w:rsidRPr="006A7396" w:rsidRDefault="001F4164" w:rsidP="001F4164">
      <w:pPr>
        <w:rPr>
          <w:rFonts w:eastAsia="Palatino Linotype" w:cs="Palatino Linotype"/>
          <w:i/>
          <w:szCs w:val="24"/>
        </w:rPr>
      </w:pPr>
    </w:p>
    <w:p w14:paraId="33BF5D1E" w14:textId="77777777" w:rsidR="001F4164" w:rsidRDefault="001F4164" w:rsidP="001F4164">
      <w:pPr>
        <w:rPr>
          <w:rFonts w:eastAsia="Palatino Linotype" w:cs="Palatino Linotype"/>
          <w:lang w:val="es-ES"/>
        </w:rPr>
      </w:pPr>
      <w:r w:rsidRPr="006A7396">
        <w:rPr>
          <w:rFonts w:eastAsia="Palatino Linotype" w:cs="Palatino Linotype"/>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Pr>
          <w:rFonts w:eastAsia="Palatino Linotype" w:cs="Palatino Linotype"/>
          <w:lang w:val="es-ES"/>
        </w:rPr>
        <w:t xml:space="preserve"> </w:t>
      </w:r>
    </w:p>
    <w:p w14:paraId="4F6421E3" w14:textId="77777777" w:rsidR="001F4164" w:rsidRDefault="001F4164" w:rsidP="001F4164">
      <w:pPr>
        <w:rPr>
          <w:rFonts w:eastAsia="Palatino Linotype" w:cs="Palatino Linotype"/>
          <w:lang w:val="es-ES"/>
        </w:rPr>
      </w:pPr>
    </w:p>
    <w:p w14:paraId="4F74E113" w14:textId="77777777" w:rsidR="001F4164" w:rsidRPr="006A7396" w:rsidRDefault="001F4164" w:rsidP="001F4164">
      <w:pPr>
        <w:rPr>
          <w:rFonts w:eastAsia="Palatino Linotype" w:cs="Palatino Linotype"/>
          <w:lang w:val="es-ES"/>
        </w:rPr>
      </w:pPr>
      <w:r w:rsidRPr="006A7396">
        <w:rPr>
          <w:rFonts w:eastAsia="Palatino Linotype" w:cs="Palatino Linotype"/>
          <w:lang w:val="es-ES"/>
        </w:rPr>
        <w:t xml:space="preserve">Por lo que respecta al Acuerdo del Comité de Transparencia que sustente la versión pública de la documentación a entregar, deberá ser notificado mediante el </w:t>
      </w:r>
      <w:proofErr w:type="spellStart"/>
      <w:r w:rsidRPr="006A7396">
        <w:rPr>
          <w:rFonts w:eastAsia="Palatino Linotype" w:cs="Palatino Linotype"/>
          <w:lang w:val="es-ES"/>
        </w:rPr>
        <w:t>SAIMEX</w:t>
      </w:r>
      <w:proofErr w:type="spellEnd"/>
      <w:r w:rsidRPr="006A7396">
        <w:rPr>
          <w:rFonts w:eastAsia="Palatino Linotype" w:cs="Palatino Linotype"/>
          <w:lang w:val="es-ES"/>
        </w:rPr>
        <w:t>.</w:t>
      </w:r>
    </w:p>
    <w:p w14:paraId="51EB670D" w14:textId="77777777" w:rsidR="001F4164" w:rsidRPr="006A7396" w:rsidRDefault="001F4164" w:rsidP="001F4164">
      <w:pPr>
        <w:rPr>
          <w:rFonts w:eastAsia="Palatino Linotype" w:cs="Palatino Linotype"/>
          <w:szCs w:val="24"/>
        </w:rPr>
      </w:pPr>
    </w:p>
    <w:p w14:paraId="4EDD2CB2" w14:textId="77777777" w:rsidR="001F4164" w:rsidRPr="006A7396" w:rsidRDefault="001F4164" w:rsidP="001F4164">
      <w:pPr>
        <w:pBdr>
          <w:top w:val="nil"/>
          <w:left w:val="nil"/>
          <w:bottom w:val="nil"/>
          <w:right w:val="nil"/>
          <w:between w:val="nil"/>
        </w:pBdr>
        <w:rPr>
          <w:rFonts w:eastAsia="Palatino Linotype" w:cs="Palatino Linotype"/>
          <w:color w:val="000000"/>
          <w:szCs w:val="24"/>
        </w:rPr>
      </w:pPr>
      <w:r w:rsidRPr="006A739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l Recurrente</w:t>
      </w:r>
      <w:r w:rsidRPr="006A7396">
        <w:rPr>
          <w:rFonts w:eastAsia="Palatino Linotype" w:cs="Palatino Linotype"/>
          <w:color w:val="000000"/>
          <w:szCs w:val="24"/>
        </w:rPr>
        <w:t>.</w:t>
      </w:r>
    </w:p>
    <w:p w14:paraId="160893BD" w14:textId="77777777" w:rsidR="001F4164" w:rsidRDefault="001F4164" w:rsidP="001F4164"/>
    <w:p w14:paraId="621882CA" w14:textId="78ECDFF6" w:rsidR="001F4164" w:rsidRPr="006F2304" w:rsidRDefault="001F4164" w:rsidP="001F4164">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con fundamento en la segunda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Pr>
          <w:rFonts w:eastAsia="Palatino Linotype" w:cs="Palatino Linotype"/>
          <w:b/>
          <w:bCs/>
          <w:color w:val="000000" w:themeColor="text1"/>
        </w:rPr>
        <w:t>MODIFI</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sidR="00140087">
        <w:rPr>
          <w:rFonts w:eastAsia="Palatino Linotype" w:cs="Palatino Linotype"/>
          <w:b/>
          <w:bCs/>
          <w:color w:val="000000"/>
          <w:szCs w:val="24"/>
        </w:rPr>
        <w:t>01189/TOLUCA/IP/2025</w:t>
      </w:r>
      <w:r w:rsidRPr="0CEC3CE0">
        <w:rPr>
          <w:rFonts w:eastAsia="Palatino Linotype" w:cs="Palatino Linotype"/>
          <w:color w:val="000000" w:themeColor="text1"/>
        </w:rPr>
        <w:t>, que ha sido materia del presente estudio.</w:t>
      </w:r>
    </w:p>
    <w:p w14:paraId="615E6403" w14:textId="77777777" w:rsidR="001F4164" w:rsidRDefault="001F4164" w:rsidP="001F4164"/>
    <w:p w14:paraId="7D2F9EC1" w14:textId="77777777" w:rsidR="001F4164" w:rsidRPr="00BB7F90" w:rsidRDefault="001F4164" w:rsidP="001F4164">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26EA3FE3" w14:textId="77777777" w:rsidR="001F4164" w:rsidRDefault="001F4164" w:rsidP="001F4164"/>
    <w:p w14:paraId="03A19EFE" w14:textId="77777777" w:rsidR="001F4164" w:rsidRPr="00BB7F90" w:rsidRDefault="001F4164" w:rsidP="001F4164">
      <w:pPr>
        <w:pStyle w:val="Ttulo1"/>
        <w:rPr>
          <w:rFonts w:eastAsia="Palatino Linotype"/>
        </w:rPr>
      </w:pPr>
      <w:r w:rsidRPr="00BB7F90">
        <w:rPr>
          <w:rFonts w:eastAsia="Palatino Linotype"/>
        </w:rPr>
        <w:t>S E    R E S U E L V E</w:t>
      </w:r>
    </w:p>
    <w:p w14:paraId="6A5D1A3D" w14:textId="77777777" w:rsidR="001F4164" w:rsidRPr="00BB7F90" w:rsidRDefault="001F4164" w:rsidP="001F4164">
      <w:pPr>
        <w:pBdr>
          <w:top w:val="nil"/>
          <w:left w:val="nil"/>
          <w:bottom w:val="nil"/>
          <w:right w:val="nil"/>
          <w:between w:val="nil"/>
        </w:pBdr>
        <w:rPr>
          <w:rFonts w:eastAsia="Palatino Linotype" w:cs="Palatino Linotype"/>
          <w:b/>
          <w:color w:val="000000"/>
          <w:szCs w:val="24"/>
        </w:rPr>
      </w:pPr>
    </w:p>
    <w:p w14:paraId="10C47732" w14:textId="180DA2F5" w:rsidR="001F4164" w:rsidRPr="00BB7F90" w:rsidRDefault="001F4164" w:rsidP="001F4164">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sidR="00140087">
        <w:rPr>
          <w:rFonts w:eastAsia="Palatino Linotype" w:cs="Palatino Linotype"/>
          <w:b/>
          <w:bCs/>
          <w:color w:val="000000"/>
          <w:szCs w:val="24"/>
        </w:rPr>
        <w:t>01189/TOLUCA/IP/2025</w:t>
      </w:r>
      <w:r>
        <w:rPr>
          <w:rFonts w:eastAsia="Palatino Linotype" w:cs="Palatino Linotype"/>
          <w:color w:val="000000" w:themeColor="text1"/>
        </w:rPr>
        <w:t xml:space="preserve">, al resultar </w:t>
      </w:r>
      <w:r w:rsidRPr="00BB7F90">
        <w:rPr>
          <w:rFonts w:eastAsia="Palatino Linotype" w:cs="Palatino Linotype"/>
          <w:color w:val="000000" w:themeColor="text1"/>
        </w:rPr>
        <w:t xml:space="preserve">fundados los motivos de inconformidad argüidos por </w:t>
      </w:r>
      <w:r>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QUIN</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5C1D7541" w14:textId="77777777" w:rsidR="001F4164" w:rsidRPr="00BB7F90" w:rsidRDefault="001F4164" w:rsidP="001F4164">
      <w:pPr>
        <w:pBdr>
          <w:top w:val="nil"/>
          <w:left w:val="nil"/>
          <w:bottom w:val="nil"/>
          <w:right w:val="nil"/>
          <w:between w:val="nil"/>
        </w:pBdr>
        <w:rPr>
          <w:rFonts w:eastAsia="Palatino Linotype" w:cs="Palatino Linotype"/>
          <w:color w:val="000000"/>
          <w:szCs w:val="24"/>
        </w:rPr>
      </w:pPr>
    </w:p>
    <w:p w14:paraId="71283260" w14:textId="700C5565" w:rsidR="001F4164" w:rsidRPr="00BB7F90" w:rsidRDefault="001F4164" w:rsidP="001F4164">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al Sujeto Obligado que</w:t>
      </w:r>
      <w:r>
        <w:rPr>
          <w:rFonts w:eastAsia="Palatino Linotype" w:cs="Palatino Linotype"/>
          <w:color w:val="000000"/>
          <w:szCs w:val="24"/>
        </w:rPr>
        <w:t xml:space="preserve"> </w:t>
      </w:r>
      <w:r w:rsidR="007B68A7">
        <w:rPr>
          <w:rFonts w:eastAsia="Palatino Linotype" w:cs="Palatino Linotype"/>
          <w:color w:val="000000"/>
          <w:szCs w:val="24"/>
        </w:rPr>
        <w:t xml:space="preserve">haga </w:t>
      </w:r>
      <w:r w:rsidRPr="003F3F63">
        <w:rPr>
          <w:rFonts w:eastAsia="Palatino Linotype" w:cs="Palatino Linotype"/>
          <w:color w:val="000000"/>
          <w:szCs w:val="24"/>
        </w:rPr>
        <w:t>entrega a</w:t>
      </w:r>
      <w:r>
        <w:rPr>
          <w:rFonts w:eastAsia="Palatino Linotype" w:cs="Palatino Linotype"/>
          <w:color w:val="000000"/>
          <w:szCs w:val="24"/>
        </w:rPr>
        <w:t>l</w:t>
      </w:r>
      <w:r w:rsidRPr="003F3F63">
        <w:rPr>
          <w:rFonts w:eastAsia="Palatino Linotype" w:cs="Palatino Linotype"/>
          <w:color w:val="000000"/>
          <w:szCs w:val="24"/>
        </w:rPr>
        <w:t xml:space="preserve"> Recurrente mediante el Sistema de Acceso a la Información Mexiquense (</w:t>
      </w:r>
      <w:proofErr w:type="spellStart"/>
      <w:r w:rsidRPr="003F3F63">
        <w:rPr>
          <w:rFonts w:eastAsia="Palatino Linotype" w:cs="Palatino Linotype"/>
          <w:color w:val="000000"/>
          <w:szCs w:val="24"/>
        </w:rPr>
        <w:t>SAIMEX</w:t>
      </w:r>
      <w:proofErr w:type="spellEnd"/>
      <w:r w:rsidRPr="003F3F63">
        <w:rPr>
          <w:rFonts w:eastAsia="Palatino Linotype" w:cs="Palatino Linotype"/>
          <w:color w:val="000000"/>
          <w:szCs w:val="24"/>
        </w:rPr>
        <w:t>)</w:t>
      </w:r>
      <w:r>
        <w:rPr>
          <w:rFonts w:eastAsia="Palatino Linotype" w:cs="Palatino Linotype"/>
          <w:color w:val="000000"/>
          <w:szCs w:val="24"/>
        </w:rPr>
        <w:t xml:space="preserve">, en versión pública de ser procedente y </w:t>
      </w:r>
      <w:r w:rsidRPr="003F3F63">
        <w:rPr>
          <w:rFonts w:eastAsia="Palatino Linotype" w:cs="Palatino Linotype"/>
          <w:color w:val="000000"/>
          <w:szCs w:val="24"/>
        </w:rPr>
        <w:t xml:space="preserve">en términos del </w:t>
      </w:r>
      <w:r>
        <w:rPr>
          <w:rFonts w:eastAsia="Palatino Linotype" w:cs="Palatino Linotype"/>
          <w:b/>
          <w:color w:val="000000"/>
          <w:szCs w:val="24"/>
        </w:rPr>
        <w:t>Considerando QUIN</w:t>
      </w:r>
      <w:r w:rsidRPr="003F3F63">
        <w:rPr>
          <w:rFonts w:eastAsia="Palatino Linotype" w:cs="Palatino Linotype"/>
          <w:b/>
          <w:color w:val="000000"/>
          <w:szCs w:val="24"/>
        </w:rPr>
        <w:t>TO</w:t>
      </w:r>
      <w:r>
        <w:rPr>
          <w:rFonts w:eastAsia="Palatino Linotype" w:cs="Palatino Linotype"/>
          <w:color w:val="000000"/>
          <w:szCs w:val="24"/>
        </w:rPr>
        <w:t>, de lo</w:t>
      </w:r>
      <w:r w:rsidR="007B68A7">
        <w:rPr>
          <w:rFonts w:eastAsia="Palatino Linotype" w:cs="Palatino Linotype"/>
          <w:color w:val="000000"/>
          <w:szCs w:val="24"/>
        </w:rPr>
        <w:t xml:space="preserve"> siguiente: </w:t>
      </w:r>
    </w:p>
    <w:p w14:paraId="2E217F11" w14:textId="77777777" w:rsidR="001F4164" w:rsidRDefault="001F4164" w:rsidP="001F4164">
      <w:pPr>
        <w:pBdr>
          <w:top w:val="nil"/>
          <w:left w:val="nil"/>
          <w:bottom w:val="nil"/>
          <w:right w:val="nil"/>
          <w:between w:val="nil"/>
        </w:pBdr>
        <w:rPr>
          <w:rFonts w:eastAsia="Palatino Linotype" w:cs="Palatino Linotype"/>
          <w:color w:val="000000"/>
          <w:szCs w:val="24"/>
        </w:rPr>
      </w:pPr>
    </w:p>
    <w:p w14:paraId="664FB62E" w14:textId="77777777" w:rsidR="007B68A7" w:rsidRPr="007B68A7" w:rsidRDefault="007B68A7" w:rsidP="007B68A7">
      <w:pPr>
        <w:pStyle w:val="Prrafodelista"/>
        <w:numPr>
          <w:ilvl w:val="0"/>
          <w:numId w:val="69"/>
        </w:numPr>
        <w:spacing w:line="240" w:lineRule="auto"/>
        <w:ind w:right="-20"/>
        <w:rPr>
          <w:i/>
        </w:rPr>
      </w:pPr>
      <w:r w:rsidRPr="007B68A7">
        <w:rPr>
          <w:i/>
        </w:rPr>
        <w:t>Las actas de sesiones del Comité de Transparencia ordinarias y extraordinarias celebradas del primero de octubre al treinta y uno de diciembre de dos mil veinticuatro.</w:t>
      </w:r>
    </w:p>
    <w:p w14:paraId="1B0CF6B4" w14:textId="77777777" w:rsidR="007B68A7" w:rsidRPr="007B68A7" w:rsidRDefault="007B68A7" w:rsidP="007B68A7">
      <w:pPr>
        <w:pStyle w:val="Prrafodelista"/>
        <w:numPr>
          <w:ilvl w:val="0"/>
          <w:numId w:val="69"/>
        </w:numPr>
        <w:spacing w:line="240" w:lineRule="auto"/>
        <w:ind w:right="-20"/>
        <w:rPr>
          <w:i/>
        </w:rPr>
      </w:pPr>
      <w:r w:rsidRPr="007B68A7">
        <w:rPr>
          <w:i/>
        </w:rPr>
        <w:t>Las actas de sesiones ordinarias del Comité de Transparencia celebradas del primero de enero al veintisiete de febrero de dos mil veinticinco.</w:t>
      </w:r>
    </w:p>
    <w:p w14:paraId="5B6111C2" w14:textId="6F6A1E44" w:rsidR="007B68A7" w:rsidRPr="007B68A7" w:rsidRDefault="007B68A7" w:rsidP="007B68A7">
      <w:pPr>
        <w:pStyle w:val="Prrafodelista"/>
        <w:numPr>
          <w:ilvl w:val="0"/>
          <w:numId w:val="69"/>
        </w:numPr>
        <w:spacing w:line="240" w:lineRule="auto"/>
        <w:ind w:right="-20"/>
        <w:rPr>
          <w:i/>
        </w:rPr>
      </w:pPr>
      <w:r w:rsidRPr="007B68A7">
        <w:rPr>
          <w:i/>
        </w:rPr>
        <w:lastRenderedPageBreak/>
        <w:t>Las actas de las sesiones extraordinarias septuagésima tercera, septuagésima cuarta, octogésima séptima, centésima tercera, centésima trigésima qui</w:t>
      </w:r>
      <w:r w:rsidR="004D77C1">
        <w:rPr>
          <w:i/>
        </w:rPr>
        <w:t xml:space="preserve">nta y centésima trigésima sexta del Comité de Transparencia, celebradas en el </w:t>
      </w:r>
      <w:r w:rsidR="00420B61">
        <w:rPr>
          <w:i/>
        </w:rPr>
        <w:t>añ</w:t>
      </w:r>
      <w:r w:rsidR="004D77C1">
        <w:rPr>
          <w:i/>
        </w:rPr>
        <w:t>o dos mil veinticinco.</w:t>
      </w:r>
    </w:p>
    <w:p w14:paraId="35F32C6C" w14:textId="77777777" w:rsidR="007B68A7" w:rsidRPr="007B68A7" w:rsidRDefault="007B68A7" w:rsidP="007B68A7">
      <w:pPr>
        <w:pStyle w:val="Prrafodelista"/>
        <w:numPr>
          <w:ilvl w:val="0"/>
          <w:numId w:val="69"/>
        </w:numPr>
        <w:spacing w:line="240" w:lineRule="auto"/>
        <w:ind w:right="-20"/>
        <w:rPr>
          <w:i/>
        </w:rPr>
      </w:pPr>
      <w:r w:rsidRPr="007B68A7">
        <w:rPr>
          <w:i/>
        </w:rPr>
        <w:t>Previa búsqueda exhaustiva y razonable, las fotografías de las sesiones ordinarias y extraordinarias del Comité de Transparencia celebradas del primero de octubre de dos mil veinticuatro al veintisiete de febrero de dos mil veinticinco, así como los citatorios firmados por los convocados a participar en dichas sesiones.</w:t>
      </w:r>
    </w:p>
    <w:p w14:paraId="2C34EEA5" w14:textId="77777777" w:rsidR="007B68A7" w:rsidRDefault="007B68A7" w:rsidP="001F4164">
      <w:pPr>
        <w:pBdr>
          <w:top w:val="nil"/>
          <w:left w:val="nil"/>
          <w:bottom w:val="nil"/>
          <w:right w:val="nil"/>
          <w:between w:val="nil"/>
        </w:pBdr>
        <w:rPr>
          <w:rFonts w:eastAsia="Palatino Linotype" w:cs="Palatino Linotype"/>
          <w:color w:val="000000"/>
          <w:szCs w:val="24"/>
        </w:rPr>
      </w:pPr>
    </w:p>
    <w:p w14:paraId="41CA0713" w14:textId="77777777" w:rsidR="001F4164" w:rsidRDefault="001F4164" w:rsidP="001F4164">
      <w:pPr>
        <w:pStyle w:val="NormalINFOEM"/>
        <w:rPr>
          <w:szCs w:val="24"/>
        </w:rPr>
      </w:pPr>
      <w:r>
        <w:rPr>
          <w:szCs w:val="24"/>
        </w:rPr>
        <w:t>C</w:t>
      </w:r>
      <w:r w:rsidRPr="00B837B8">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w:t>
      </w:r>
      <w:r>
        <w:rPr>
          <w:szCs w:val="24"/>
        </w:rPr>
        <w:t>ga a disposición del Recurrente.</w:t>
      </w:r>
    </w:p>
    <w:p w14:paraId="456761ED" w14:textId="77777777" w:rsidR="001F4164" w:rsidRDefault="001F4164" w:rsidP="001F4164">
      <w:pPr>
        <w:pStyle w:val="NormalINFOEM"/>
        <w:rPr>
          <w:szCs w:val="24"/>
        </w:rPr>
      </w:pPr>
    </w:p>
    <w:p w14:paraId="2A24A98D" w14:textId="031AD163" w:rsidR="001F4164" w:rsidRPr="006A7396" w:rsidRDefault="004D77C1" w:rsidP="001F4164">
      <w:pPr>
        <w:pStyle w:val="NormalINFOEM"/>
        <w:rPr>
          <w:szCs w:val="24"/>
        </w:rPr>
      </w:pPr>
      <w:r>
        <w:rPr>
          <w:szCs w:val="24"/>
        </w:rPr>
        <w:t>Respecto de la información descrita en el punto 4, e</w:t>
      </w:r>
      <w:r w:rsidR="001F4164">
        <w:rPr>
          <w:szCs w:val="24"/>
        </w:rPr>
        <w:t xml:space="preserve">n caso de que una vez realizada la búsqueda exhaustiva y razonable el Sujeto Obligado determine que la información no obra en sus archivos en virtud de que </w:t>
      </w:r>
      <w:r>
        <w:rPr>
          <w:szCs w:val="24"/>
        </w:rPr>
        <w:t xml:space="preserve">no se generó, poseyó o administró, </w:t>
      </w:r>
      <w:r w:rsidR="001F4164">
        <w:rPr>
          <w:rFonts w:eastAsia="Palatino Linotype" w:cs="Palatino Linotype"/>
          <w:color w:val="000000"/>
          <w:lang w:val="es-MX"/>
        </w:rPr>
        <w:t xml:space="preserve">bastará con que así lo haga del conocimiento del Recurrente en términos del segundo párrafo del artículo 19 de la Ley de Transparencia </w:t>
      </w:r>
      <w:r w:rsidR="001F4164" w:rsidRPr="00325BCB">
        <w:rPr>
          <w:rFonts w:eastAsia="Palatino Linotype" w:cs="Palatino Linotype"/>
          <w:color w:val="000000"/>
          <w:szCs w:val="24"/>
        </w:rPr>
        <w:t>y Acceso a la Información Pública del Estado de México y Municipios</w:t>
      </w:r>
    </w:p>
    <w:p w14:paraId="7E7E3618" w14:textId="77777777" w:rsidR="001F4164" w:rsidRDefault="001F4164" w:rsidP="001F4164">
      <w:pPr>
        <w:pStyle w:val="NormalINFOEM"/>
        <w:rPr>
          <w:szCs w:val="24"/>
        </w:rPr>
      </w:pPr>
    </w:p>
    <w:p w14:paraId="4AEE40E3" w14:textId="77777777" w:rsidR="001F4164" w:rsidRPr="00325BCB" w:rsidRDefault="001F4164" w:rsidP="001F4164">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w:t>
      </w:r>
      <w:proofErr w:type="spellStart"/>
      <w:r w:rsidRPr="00325BCB">
        <w:rPr>
          <w:rFonts w:eastAsia="Palatino Linotype" w:cs="Palatino Linotype"/>
          <w:color w:val="000000"/>
          <w:szCs w:val="24"/>
        </w:rPr>
        <w:t>SAIMEX</w:t>
      </w:r>
      <w:proofErr w:type="spellEnd"/>
      <w:r w:rsidRPr="00325BCB">
        <w:rPr>
          <w:rFonts w:eastAsia="Palatino Linotype" w:cs="Palatino Linotype"/>
          <w:color w:val="000000"/>
          <w:szCs w:val="24"/>
        </w:rPr>
        <w:t>)</w:t>
      </w:r>
      <w:r>
        <w:rPr>
          <w:rFonts w:eastAsia="Palatino Linotype" w:cs="Palatino Linotype"/>
          <w:color w:val="000000"/>
          <w:szCs w:val="24"/>
        </w:rPr>
        <w:t xml:space="preserve">, </w:t>
      </w:r>
      <w:r w:rsidRPr="00325BCB">
        <w:rPr>
          <w:rFonts w:eastAsia="Palatino Linotype" w:cs="Palatino Linotype"/>
          <w:color w:val="000000"/>
          <w:szCs w:val="24"/>
        </w:rPr>
        <w:t xml:space="preserve">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325BCB">
        <w:rPr>
          <w:rFonts w:eastAsia="Palatino Linotype" w:cs="Palatino Linotype"/>
          <w:color w:val="000000"/>
          <w:szCs w:val="24"/>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13C1C35" w14:textId="77777777" w:rsidR="001F4164" w:rsidRPr="00325BCB" w:rsidRDefault="001F4164" w:rsidP="001F4164">
      <w:pPr>
        <w:pBdr>
          <w:top w:val="nil"/>
          <w:left w:val="nil"/>
          <w:bottom w:val="nil"/>
          <w:right w:val="nil"/>
          <w:between w:val="nil"/>
        </w:pBdr>
        <w:rPr>
          <w:rFonts w:eastAsia="Palatino Linotype" w:cs="Palatino Linotype"/>
          <w:color w:val="000000"/>
          <w:szCs w:val="24"/>
        </w:rPr>
      </w:pPr>
    </w:p>
    <w:p w14:paraId="6A12EBA0" w14:textId="77777777" w:rsidR="001F4164" w:rsidRPr="00325BCB" w:rsidRDefault="001F4164" w:rsidP="001F4164">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2E6592D" w14:textId="77777777" w:rsidR="001F4164" w:rsidRPr="00BA5315" w:rsidRDefault="001F4164" w:rsidP="001F4164">
      <w:pPr>
        <w:pBdr>
          <w:top w:val="nil"/>
          <w:left w:val="nil"/>
          <w:bottom w:val="nil"/>
          <w:right w:val="nil"/>
          <w:between w:val="nil"/>
        </w:pBdr>
        <w:rPr>
          <w:rFonts w:eastAsia="Palatino Linotype" w:cs="Palatino Linotype"/>
          <w:color w:val="000000"/>
          <w:szCs w:val="24"/>
        </w:rPr>
      </w:pPr>
    </w:p>
    <w:p w14:paraId="09F7FD73" w14:textId="77777777" w:rsidR="001F4164" w:rsidRPr="00BA5315" w:rsidRDefault="001F4164" w:rsidP="001F4164">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al Recurrente mediante el Sistema de Acceso a la Información Mexiquense (</w:t>
      </w:r>
      <w:proofErr w:type="spellStart"/>
      <w:r w:rsidRPr="00BA5315">
        <w:rPr>
          <w:rFonts w:eastAsia="Palatino Linotype" w:cs="Palatino Linotype"/>
          <w:color w:val="000000"/>
          <w:szCs w:val="24"/>
        </w:rPr>
        <w:t>SAIMEX</w:t>
      </w:r>
      <w:proofErr w:type="spellEnd"/>
      <w:r w:rsidRPr="00BA5315">
        <w:rPr>
          <w:rFonts w:eastAsia="Palatino Linotype" w:cs="Palatino Linotype"/>
          <w:color w:val="000000"/>
          <w:szCs w:val="24"/>
        </w:rPr>
        <w:t>),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8CD35B6" w14:textId="77777777" w:rsidR="001F4164" w:rsidRDefault="001F4164" w:rsidP="00CA2383">
      <w:pPr>
        <w:ind w:right="-20"/>
        <w:rPr>
          <w:rFonts w:eastAsia="Palatino Linotype" w:cs="Palatino Linotype"/>
          <w:color w:val="000000"/>
          <w:lang w:val="es-MX"/>
        </w:rPr>
      </w:pPr>
    </w:p>
    <w:p w14:paraId="20573BFF" w14:textId="40D6DB4C" w:rsidR="00A970D5" w:rsidRPr="006922F5" w:rsidRDefault="005A45B1" w:rsidP="004D77C1">
      <w:pPr>
        <w:pBdr>
          <w:top w:val="nil"/>
          <w:left w:val="nil"/>
          <w:bottom w:val="nil"/>
          <w:right w:val="nil"/>
          <w:between w:val="nil"/>
        </w:pBdr>
        <w:spacing w:line="276" w:lineRule="auto"/>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w:t>
      </w:r>
      <w:r w:rsidR="009E3D7A">
        <w:rPr>
          <w:rFonts w:eastAsia="Palatino Linotype" w:cs="Palatino Linotype"/>
          <w:color w:val="000000"/>
          <w:szCs w:val="24"/>
        </w:rPr>
        <w:t>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9C6974">
        <w:rPr>
          <w:rFonts w:eastAsia="Palatino Linotype" w:cs="Palatino Linotype"/>
          <w:color w:val="000000"/>
          <w:szCs w:val="24"/>
        </w:rPr>
        <w:t>TRIGÉSIMA</w:t>
      </w:r>
      <w:r w:rsidR="0075725A">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9C6974">
        <w:rPr>
          <w:rFonts w:eastAsia="Palatino Linotype" w:cs="Palatino Linotype"/>
          <w:color w:val="000000"/>
          <w:szCs w:val="24"/>
        </w:rPr>
        <w:t>VEINTISIETE</w:t>
      </w:r>
      <w:r w:rsidR="000C2A3F">
        <w:rPr>
          <w:rFonts w:eastAsia="Palatino Linotype" w:cs="Palatino Linotype"/>
          <w:color w:val="000000"/>
          <w:szCs w:val="24"/>
        </w:rPr>
        <w:t xml:space="preserve"> DE AGOSTO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4D77C1">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proofErr w:type="spellStart"/>
      <w:r w:rsidRPr="44E9108F">
        <w:rPr>
          <w:rFonts w:eastAsia="Palatino Linotype" w:cs="Palatino Linotype"/>
          <w:color w:val="000000" w:themeColor="text1"/>
          <w:sz w:val="20"/>
          <w:szCs w:val="20"/>
          <w:lang w:val="es-ES"/>
        </w:rPr>
        <w:t>JMV</w:t>
      </w:r>
      <w:proofErr w:type="spellEnd"/>
      <w:r w:rsidRPr="44E9108F">
        <w:rPr>
          <w:rFonts w:eastAsia="Palatino Linotype" w:cs="Palatino Linotype"/>
          <w:color w:val="000000" w:themeColor="text1"/>
          <w:sz w:val="20"/>
          <w:szCs w:val="20"/>
          <w:lang w:val="es-ES"/>
        </w:rPr>
        <w:t>/</w:t>
      </w:r>
      <w:proofErr w:type="spellStart"/>
      <w:r w:rsidRPr="44E9108F">
        <w:rPr>
          <w:rFonts w:eastAsia="Palatino Linotype" w:cs="Palatino Linotype"/>
          <w:color w:val="000000" w:themeColor="text1"/>
          <w:sz w:val="20"/>
          <w:szCs w:val="20"/>
          <w:lang w:val="es-ES"/>
        </w:rPr>
        <w:t>CCR</w:t>
      </w:r>
      <w:proofErr w:type="spellEnd"/>
      <w:r w:rsidRPr="44E9108F">
        <w:rPr>
          <w:rFonts w:eastAsia="Palatino Linotype" w:cs="Palatino Linotype"/>
          <w:color w:val="000000" w:themeColor="text1"/>
          <w:sz w:val="20"/>
          <w:szCs w:val="20"/>
          <w:lang w:val="es-ES"/>
        </w:rPr>
        <w:t>/</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721123">
      <w:headerReference w:type="even" r:id="rId11"/>
      <w:headerReference w:type="default" r:id="rId12"/>
      <w:footerReference w:type="default" r:id="rId13"/>
      <w:headerReference w:type="first" r:id="rId14"/>
      <w:footerReference w:type="first" r:id="rId15"/>
      <w:pgSz w:w="12240" w:h="15840" w:code="1"/>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A16E" w14:textId="77777777" w:rsidR="00F76930" w:rsidRDefault="00F76930" w:rsidP="00F2498E">
      <w:pPr>
        <w:spacing w:line="240" w:lineRule="auto"/>
      </w:pPr>
      <w:r>
        <w:separator/>
      </w:r>
    </w:p>
  </w:endnote>
  <w:endnote w:type="continuationSeparator" w:id="0">
    <w:p w14:paraId="302C801E" w14:textId="77777777" w:rsidR="00F76930" w:rsidRDefault="00F76930" w:rsidP="00F2498E">
      <w:pPr>
        <w:spacing w:line="240" w:lineRule="auto"/>
      </w:pPr>
      <w:r>
        <w:continuationSeparator/>
      </w:r>
    </w:p>
  </w:endnote>
  <w:endnote w:type="continuationNotice" w:id="1">
    <w:p w14:paraId="2E27FCAA" w14:textId="77777777" w:rsidR="00F76930" w:rsidRDefault="00F769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C4E6" w14:textId="0E505436" w:rsidR="0055016D" w:rsidRPr="00871A91" w:rsidRDefault="0055016D"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137A6">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137A6">
      <w:rPr>
        <w:rFonts w:ascii="Palatino Linotype" w:hAnsi="Palatino Linotype"/>
        <w:b/>
        <w:bCs/>
        <w:noProof/>
        <w:sz w:val="20"/>
      </w:rPr>
      <w:t>31</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2FE6" w14:textId="78E8995C" w:rsidR="0055016D" w:rsidRPr="00871A91" w:rsidRDefault="0055016D"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137A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137A6">
      <w:rPr>
        <w:rFonts w:ascii="Palatino Linotype" w:hAnsi="Palatino Linotype"/>
        <w:b/>
        <w:bCs/>
        <w:noProof/>
        <w:sz w:val="20"/>
      </w:rPr>
      <w:t>31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1E8E4" w14:textId="77777777" w:rsidR="00F76930" w:rsidRDefault="00F76930" w:rsidP="00F2498E">
      <w:pPr>
        <w:spacing w:line="240" w:lineRule="auto"/>
      </w:pPr>
      <w:r>
        <w:separator/>
      </w:r>
    </w:p>
  </w:footnote>
  <w:footnote w:type="continuationSeparator" w:id="0">
    <w:p w14:paraId="29647FB7" w14:textId="77777777" w:rsidR="00F76930" w:rsidRDefault="00F76930" w:rsidP="00F2498E">
      <w:pPr>
        <w:spacing w:line="240" w:lineRule="auto"/>
      </w:pPr>
      <w:r>
        <w:continuationSeparator/>
      </w:r>
    </w:p>
  </w:footnote>
  <w:footnote w:type="continuationNotice" w:id="1">
    <w:p w14:paraId="62A464AC" w14:textId="77777777" w:rsidR="00F76930" w:rsidRDefault="00F76930">
      <w:pPr>
        <w:spacing w:line="240" w:lineRule="auto"/>
      </w:pPr>
    </w:p>
  </w:footnote>
  <w:footnote w:id="2">
    <w:p w14:paraId="2BCE50A0" w14:textId="77777777" w:rsidR="0055016D" w:rsidRPr="0031280C" w:rsidRDefault="0055016D"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55016D" w:rsidRPr="0031280C" w:rsidRDefault="0055016D"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55016D" w:rsidRPr="0031280C" w:rsidRDefault="0055016D"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55016D" w:rsidRPr="0031280C" w:rsidRDefault="0055016D"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4E239507" w14:textId="772B31E4" w:rsidR="0055016D" w:rsidRPr="004F14CA" w:rsidRDefault="0055016D">
      <w:pPr>
        <w:pStyle w:val="Textonotapie"/>
        <w:rPr>
          <w:lang w:val="es-MX"/>
        </w:rPr>
      </w:pPr>
      <w:r>
        <w:rPr>
          <w:rStyle w:val="Refdenotaalpie"/>
        </w:rPr>
        <w:footnoteRef/>
      </w:r>
      <w:r>
        <w:t xml:space="preserve"> </w:t>
      </w:r>
      <w:r>
        <w:rPr>
          <w:lang w:val="es-MX"/>
        </w:rPr>
        <w:t xml:space="preserve">Consultado el doce de agosto de dos mil veinticinco en la página </w:t>
      </w:r>
      <w:hyperlink r:id="rId3" w:anchor="/info-fraccion/67/197/1" w:history="1">
        <w:r w:rsidRPr="00485BB2">
          <w:rPr>
            <w:rStyle w:val="Hipervnculo"/>
            <w:lang w:val="es-MX"/>
          </w:rPr>
          <w:t>https://ipomex.org.mx/ipomex/#/info-fraccion/67/197/1</w:t>
        </w:r>
      </w:hyperlink>
      <w:r>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7F37" w14:textId="093ED20F" w:rsidR="0055016D" w:rsidRDefault="00C305C5">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55016D" w:rsidRPr="00B17577" w14:paraId="37B9EBDE" w14:textId="77777777" w:rsidTr="00A15F47">
      <w:trPr>
        <w:trHeight w:val="227"/>
      </w:trPr>
      <w:tc>
        <w:tcPr>
          <w:tcW w:w="5670" w:type="dxa"/>
          <w:hideMark/>
        </w:tcPr>
        <w:p w14:paraId="4964FBC5" w14:textId="54CDA645" w:rsidR="0055016D" w:rsidRPr="00096248" w:rsidRDefault="0055016D"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60F2B157" w:rsidR="0055016D" w:rsidRPr="00096248" w:rsidRDefault="0055016D" w:rsidP="00011C4D">
          <w:pPr>
            <w:spacing w:after="120" w:line="240" w:lineRule="auto"/>
            <w:ind w:right="71"/>
            <w:jc w:val="right"/>
            <w:rPr>
              <w:rFonts w:cs="Arial"/>
              <w:b/>
              <w:szCs w:val="24"/>
            </w:rPr>
          </w:pPr>
          <w:r>
            <w:rPr>
              <w:rFonts w:cs="Arial"/>
              <w:b/>
              <w:bCs/>
              <w:szCs w:val="24"/>
            </w:rPr>
            <w:t>04985/</w:t>
          </w:r>
          <w:proofErr w:type="spellStart"/>
          <w:r>
            <w:rPr>
              <w:rFonts w:cs="Arial"/>
              <w:b/>
              <w:bCs/>
              <w:szCs w:val="24"/>
            </w:rPr>
            <w:t>INFOEM</w:t>
          </w:r>
          <w:proofErr w:type="spellEnd"/>
          <w:r>
            <w:rPr>
              <w:rFonts w:cs="Arial"/>
              <w:b/>
              <w:bCs/>
              <w:szCs w:val="24"/>
            </w:rPr>
            <w:t>/IP/</w:t>
          </w:r>
          <w:proofErr w:type="spellStart"/>
          <w:r>
            <w:rPr>
              <w:rFonts w:cs="Arial"/>
              <w:b/>
              <w:bCs/>
              <w:szCs w:val="24"/>
            </w:rPr>
            <w:t>RR</w:t>
          </w:r>
          <w:proofErr w:type="spellEnd"/>
          <w:r>
            <w:rPr>
              <w:rFonts w:cs="Arial"/>
              <w:b/>
              <w:bCs/>
              <w:szCs w:val="24"/>
            </w:rPr>
            <w:t>/2025</w:t>
          </w:r>
        </w:p>
      </w:tc>
    </w:tr>
    <w:tr w:rsidR="0055016D" w14:paraId="7591D3C9" w14:textId="77777777" w:rsidTr="00A15F47">
      <w:trPr>
        <w:trHeight w:val="242"/>
      </w:trPr>
      <w:tc>
        <w:tcPr>
          <w:tcW w:w="5670" w:type="dxa"/>
          <w:hideMark/>
        </w:tcPr>
        <w:p w14:paraId="729A65A8" w14:textId="77777777" w:rsidR="0055016D" w:rsidRPr="00096248" w:rsidRDefault="0055016D"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32E44908" w:rsidR="0055016D" w:rsidRPr="00096248" w:rsidRDefault="0055016D" w:rsidP="00011C4D">
          <w:pPr>
            <w:spacing w:after="120" w:line="240" w:lineRule="auto"/>
            <w:ind w:left="-81" w:right="71"/>
            <w:jc w:val="right"/>
            <w:rPr>
              <w:rFonts w:cs="Arial"/>
              <w:szCs w:val="24"/>
            </w:rPr>
          </w:pPr>
          <w:r>
            <w:rPr>
              <w:rFonts w:cs="Arial"/>
              <w:szCs w:val="24"/>
            </w:rPr>
            <w:t>Ayuntamiento de Toluca</w:t>
          </w:r>
        </w:p>
      </w:tc>
    </w:tr>
    <w:tr w:rsidR="0055016D" w:rsidRPr="00F63239" w14:paraId="037E914D" w14:textId="77777777" w:rsidTr="00A15F47">
      <w:trPr>
        <w:trHeight w:val="342"/>
      </w:trPr>
      <w:tc>
        <w:tcPr>
          <w:tcW w:w="5670" w:type="dxa"/>
          <w:hideMark/>
        </w:tcPr>
        <w:p w14:paraId="7676B68F" w14:textId="64D69EAF" w:rsidR="0055016D" w:rsidRPr="00096248" w:rsidRDefault="0055016D"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5016D" w:rsidRDefault="0055016D"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5016D" w:rsidRPr="00711916" w:rsidRDefault="0055016D" w:rsidP="00011C4D">
          <w:pPr>
            <w:spacing w:after="120" w:line="240" w:lineRule="auto"/>
            <w:ind w:left="-486" w:right="71" w:firstLine="567"/>
            <w:jc w:val="right"/>
            <w:rPr>
              <w:rFonts w:cs="Arial"/>
              <w:sz w:val="2"/>
              <w:szCs w:val="2"/>
            </w:rPr>
          </w:pPr>
        </w:p>
      </w:tc>
    </w:tr>
  </w:tbl>
  <w:p w14:paraId="2998DBFD" w14:textId="25A9F426" w:rsidR="0055016D" w:rsidRPr="00871A91" w:rsidRDefault="00C305C5">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5016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55016D" w14:paraId="0F9FE9B6" w14:textId="77777777" w:rsidTr="00A15F47">
      <w:trPr>
        <w:trHeight w:val="227"/>
      </w:trPr>
      <w:tc>
        <w:tcPr>
          <w:tcW w:w="5670" w:type="dxa"/>
          <w:hideMark/>
        </w:tcPr>
        <w:p w14:paraId="6D1D9D71" w14:textId="11150E5A" w:rsidR="0055016D" w:rsidRPr="00663A37" w:rsidRDefault="0055016D"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27937E84" w:rsidR="0055016D" w:rsidRPr="00C81ECD" w:rsidRDefault="0055016D" w:rsidP="00011C4D">
          <w:pPr>
            <w:spacing w:after="120" w:line="240" w:lineRule="auto"/>
            <w:ind w:left="-486" w:right="68" w:firstLine="558"/>
            <w:jc w:val="right"/>
            <w:rPr>
              <w:rFonts w:cs="Arial"/>
              <w:b/>
              <w:szCs w:val="24"/>
            </w:rPr>
          </w:pPr>
          <w:r>
            <w:rPr>
              <w:rFonts w:cs="Arial"/>
              <w:b/>
              <w:bCs/>
              <w:szCs w:val="24"/>
            </w:rPr>
            <w:t>04985/</w:t>
          </w:r>
          <w:proofErr w:type="spellStart"/>
          <w:r>
            <w:rPr>
              <w:rFonts w:cs="Arial"/>
              <w:b/>
              <w:bCs/>
              <w:szCs w:val="24"/>
            </w:rPr>
            <w:t>INFOEM</w:t>
          </w:r>
          <w:proofErr w:type="spellEnd"/>
          <w:r>
            <w:rPr>
              <w:rFonts w:cs="Arial"/>
              <w:b/>
              <w:bCs/>
              <w:szCs w:val="24"/>
            </w:rPr>
            <w:t>/IP/</w:t>
          </w:r>
          <w:proofErr w:type="spellStart"/>
          <w:r>
            <w:rPr>
              <w:rFonts w:cs="Arial"/>
              <w:b/>
              <w:bCs/>
              <w:szCs w:val="24"/>
            </w:rPr>
            <w:t>RR</w:t>
          </w:r>
          <w:proofErr w:type="spellEnd"/>
          <w:r>
            <w:rPr>
              <w:rFonts w:cs="Arial"/>
              <w:b/>
              <w:bCs/>
              <w:szCs w:val="24"/>
            </w:rPr>
            <w:t>/2025</w:t>
          </w:r>
        </w:p>
      </w:tc>
    </w:tr>
    <w:tr w:rsidR="0055016D" w:rsidRPr="001F57CD" w14:paraId="1377D264" w14:textId="77777777" w:rsidTr="00A15F47">
      <w:trPr>
        <w:trHeight w:val="196"/>
      </w:trPr>
      <w:tc>
        <w:tcPr>
          <w:tcW w:w="5670" w:type="dxa"/>
          <w:hideMark/>
        </w:tcPr>
        <w:p w14:paraId="04D597A1" w14:textId="77777777" w:rsidR="0055016D" w:rsidRPr="00663A37" w:rsidRDefault="0055016D"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7A8DFCF9" w:rsidR="0055016D" w:rsidRPr="00663A37" w:rsidRDefault="00C305C5" w:rsidP="70652167">
          <w:pPr>
            <w:spacing w:after="120" w:line="240" w:lineRule="auto"/>
            <w:ind w:right="68"/>
            <w:jc w:val="right"/>
            <w:rPr>
              <w:rFonts w:cs="Arial"/>
              <w:lang w:val="es-ES"/>
            </w:rPr>
          </w:pPr>
          <w:proofErr w:type="spellStart"/>
          <w:r>
            <w:rPr>
              <w:rFonts w:cs="Arial"/>
              <w:lang w:val="es-ES"/>
            </w:rPr>
            <w:t>XXXX</w:t>
          </w:r>
          <w:proofErr w:type="spellEnd"/>
        </w:p>
      </w:tc>
    </w:tr>
    <w:tr w:rsidR="0055016D" w14:paraId="4DC11993" w14:textId="77777777" w:rsidTr="00A15F47">
      <w:trPr>
        <w:trHeight w:val="242"/>
      </w:trPr>
      <w:tc>
        <w:tcPr>
          <w:tcW w:w="5670" w:type="dxa"/>
          <w:hideMark/>
        </w:tcPr>
        <w:p w14:paraId="76CEF1B5" w14:textId="77777777" w:rsidR="0055016D" w:rsidRPr="00663A37" w:rsidRDefault="0055016D"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776E14C0" w:rsidR="0055016D" w:rsidRPr="00663A37" w:rsidRDefault="0055016D" w:rsidP="00771E23">
          <w:pPr>
            <w:spacing w:after="120" w:line="240" w:lineRule="auto"/>
            <w:ind w:left="-70" w:right="68"/>
            <w:jc w:val="right"/>
            <w:rPr>
              <w:rFonts w:cs="Arial"/>
              <w:szCs w:val="24"/>
            </w:rPr>
          </w:pPr>
          <w:r>
            <w:rPr>
              <w:rFonts w:cs="Arial"/>
              <w:szCs w:val="24"/>
            </w:rPr>
            <w:t>Ayuntamiento de Toluca</w:t>
          </w:r>
        </w:p>
      </w:tc>
    </w:tr>
    <w:tr w:rsidR="0055016D" w14:paraId="5C2B511D" w14:textId="77777777" w:rsidTr="00A15F47">
      <w:trPr>
        <w:trHeight w:val="342"/>
      </w:trPr>
      <w:tc>
        <w:tcPr>
          <w:tcW w:w="5670" w:type="dxa"/>
          <w:hideMark/>
        </w:tcPr>
        <w:p w14:paraId="03FEF68C" w14:textId="45E91CF4" w:rsidR="0055016D" w:rsidRPr="00663A37" w:rsidRDefault="0055016D"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5016D" w:rsidRPr="00663A37" w:rsidRDefault="0055016D"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55016D" w:rsidRPr="00871A91" w:rsidRDefault="00C305C5">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55016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1DA02FD"/>
    <w:multiLevelType w:val="hybridMultilevel"/>
    <w:tmpl w:val="DA6E6152"/>
    <w:lvl w:ilvl="0" w:tplc="5162819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5"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CFB7BF5"/>
    <w:multiLevelType w:val="hybridMultilevel"/>
    <w:tmpl w:val="EADA4892"/>
    <w:lvl w:ilvl="0" w:tplc="19C056A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5"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9"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4" w15:restartNumberingAfterBreak="0">
    <w:nsid w:val="726E3034"/>
    <w:multiLevelType w:val="hybridMultilevel"/>
    <w:tmpl w:val="EADA4892"/>
    <w:lvl w:ilvl="0" w:tplc="19C056A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B634DD0"/>
    <w:multiLevelType w:val="hybridMultilevel"/>
    <w:tmpl w:val="D1E835F2"/>
    <w:lvl w:ilvl="0" w:tplc="9F48F5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7114945">
    <w:abstractNumId w:val="43"/>
  </w:num>
  <w:num w:numId="2" w16cid:durableId="1225527990">
    <w:abstractNumId w:val="49"/>
  </w:num>
  <w:num w:numId="3" w16cid:durableId="715855237">
    <w:abstractNumId w:val="19"/>
  </w:num>
  <w:num w:numId="4" w16cid:durableId="1351108639">
    <w:abstractNumId w:val="59"/>
  </w:num>
  <w:num w:numId="5" w16cid:durableId="384766372">
    <w:abstractNumId w:val="7"/>
  </w:num>
  <w:num w:numId="6" w16cid:durableId="1969585738">
    <w:abstractNumId w:val="52"/>
  </w:num>
  <w:num w:numId="7" w16cid:durableId="542447147">
    <w:abstractNumId w:val="16"/>
  </w:num>
  <w:num w:numId="8" w16cid:durableId="1437477679">
    <w:abstractNumId w:val="5"/>
  </w:num>
  <w:num w:numId="9" w16cid:durableId="373191520">
    <w:abstractNumId w:val="27"/>
  </w:num>
  <w:num w:numId="10" w16cid:durableId="2126078607">
    <w:abstractNumId w:val="28"/>
  </w:num>
  <w:num w:numId="11" w16cid:durableId="882206797">
    <w:abstractNumId w:val="65"/>
  </w:num>
  <w:num w:numId="12" w16cid:durableId="975646902">
    <w:abstractNumId w:val="57"/>
  </w:num>
  <w:num w:numId="13" w16cid:durableId="215242927">
    <w:abstractNumId w:val="39"/>
  </w:num>
  <w:num w:numId="14" w16cid:durableId="117335370">
    <w:abstractNumId w:val="48"/>
  </w:num>
  <w:num w:numId="15" w16cid:durableId="645164122">
    <w:abstractNumId w:val="24"/>
  </w:num>
  <w:num w:numId="16" w16cid:durableId="297490662">
    <w:abstractNumId w:val="37"/>
  </w:num>
  <w:num w:numId="17" w16cid:durableId="1999993320">
    <w:abstractNumId w:val="22"/>
  </w:num>
  <w:num w:numId="18" w16cid:durableId="67923874">
    <w:abstractNumId w:val="10"/>
  </w:num>
  <w:num w:numId="19" w16cid:durableId="84885888">
    <w:abstractNumId w:val="11"/>
  </w:num>
  <w:num w:numId="20" w16cid:durableId="25494053">
    <w:abstractNumId w:val="20"/>
  </w:num>
  <w:num w:numId="21" w16cid:durableId="1771974567">
    <w:abstractNumId w:val="32"/>
  </w:num>
  <w:num w:numId="22" w16cid:durableId="1653677116">
    <w:abstractNumId w:val="3"/>
  </w:num>
  <w:num w:numId="23" w16cid:durableId="1784877953">
    <w:abstractNumId w:val="44"/>
  </w:num>
  <w:num w:numId="24" w16cid:durableId="1285887975">
    <w:abstractNumId w:val="51"/>
  </w:num>
  <w:num w:numId="25" w16cid:durableId="800463277">
    <w:abstractNumId w:val="58"/>
  </w:num>
  <w:num w:numId="26" w16cid:durableId="860511978">
    <w:abstractNumId w:val="26"/>
  </w:num>
  <w:num w:numId="27" w16cid:durableId="769356896">
    <w:abstractNumId w:val="54"/>
  </w:num>
  <w:num w:numId="28" w16cid:durableId="581837823">
    <w:abstractNumId w:val="35"/>
  </w:num>
  <w:num w:numId="29" w16cid:durableId="310641336">
    <w:abstractNumId w:val="30"/>
  </w:num>
  <w:num w:numId="30" w16cid:durableId="1681352308">
    <w:abstractNumId w:val="23"/>
  </w:num>
  <w:num w:numId="31" w16cid:durableId="890921402">
    <w:abstractNumId w:val="46"/>
  </w:num>
  <w:num w:numId="32" w16cid:durableId="1042825859">
    <w:abstractNumId w:val="50"/>
  </w:num>
  <w:num w:numId="33" w16cid:durableId="1228884157">
    <w:abstractNumId w:val="9"/>
  </w:num>
  <w:num w:numId="34" w16cid:durableId="1184057251">
    <w:abstractNumId w:val="61"/>
  </w:num>
  <w:num w:numId="35" w16cid:durableId="1389064428">
    <w:abstractNumId w:val="66"/>
  </w:num>
  <w:num w:numId="36" w16cid:durableId="891428124">
    <w:abstractNumId w:val="56"/>
  </w:num>
  <w:num w:numId="37" w16cid:durableId="1825855726">
    <w:abstractNumId w:val="12"/>
  </w:num>
  <w:num w:numId="38" w16cid:durableId="769664965">
    <w:abstractNumId w:val="55"/>
  </w:num>
  <w:num w:numId="39" w16cid:durableId="2043440026">
    <w:abstractNumId w:val="13"/>
  </w:num>
  <w:num w:numId="40" w16cid:durableId="807549750">
    <w:abstractNumId w:val="53"/>
  </w:num>
  <w:num w:numId="41" w16cid:durableId="1017656902">
    <w:abstractNumId w:val="60"/>
  </w:num>
  <w:num w:numId="42" w16cid:durableId="710882050">
    <w:abstractNumId w:val="0"/>
  </w:num>
  <w:num w:numId="43" w16cid:durableId="1006053409">
    <w:abstractNumId w:val="2"/>
  </w:num>
  <w:num w:numId="44" w16cid:durableId="842933153">
    <w:abstractNumId w:val="36"/>
  </w:num>
  <w:num w:numId="45" w16cid:durableId="521165673">
    <w:abstractNumId w:val="25"/>
  </w:num>
  <w:num w:numId="46" w16cid:durableId="1277446039">
    <w:abstractNumId w:val="62"/>
  </w:num>
  <w:num w:numId="47" w16cid:durableId="407196814">
    <w:abstractNumId w:val="33"/>
  </w:num>
  <w:num w:numId="48" w16cid:durableId="379593852">
    <w:abstractNumId w:val="68"/>
  </w:num>
  <w:num w:numId="49" w16cid:durableId="1956208931">
    <w:abstractNumId w:val="15"/>
  </w:num>
  <w:num w:numId="50" w16cid:durableId="651955377">
    <w:abstractNumId w:val="47"/>
  </w:num>
  <w:num w:numId="51" w16cid:durableId="1459253034">
    <w:abstractNumId w:val="45"/>
  </w:num>
  <w:num w:numId="52" w16cid:durableId="1468819662">
    <w:abstractNumId w:val="8"/>
  </w:num>
  <w:num w:numId="53" w16cid:durableId="764572331">
    <w:abstractNumId w:val="6"/>
  </w:num>
  <w:num w:numId="54" w16cid:durableId="398404789">
    <w:abstractNumId w:val="42"/>
  </w:num>
  <w:num w:numId="55" w16cid:durableId="961419737">
    <w:abstractNumId w:val="18"/>
  </w:num>
  <w:num w:numId="56" w16cid:durableId="434442707">
    <w:abstractNumId w:val="21"/>
  </w:num>
  <w:num w:numId="57" w16cid:durableId="1609779000">
    <w:abstractNumId w:val="41"/>
  </w:num>
  <w:num w:numId="58" w16cid:durableId="1178809427">
    <w:abstractNumId w:val="34"/>
  </w:num>
  <w:num w:numId="59" w16cid:durableId="1562404042">
    <w:abstractNumId w:val="31"/>
  </w:num>
  <w:num w:numId="60" w16cid:durableId="1246064176">
    <w:abstractNumId w:val="63"/>
  </w:num>
  <w:num w:numId="61" w16cid:durableId="1366369070">
    <w:abstractNumId w:val="29"/>
  </w:num>
  <w:num w:numId="62" w16cid:durableId="1524899405">
    <w:abstractNumId w:val="40"/>
  </w:num>
  <w:num w:numId="63" w16cid:durableId="637295607">
    <w:abstractNumId w:val="67"/>
  </w:num>
  <w:num w:numId="64" w16cid:durableId="55470070">
    <w:abstractNumId w:val="14"/>
  </w:num>
  <w:num w:numId="65" w16cid:durableId="1829325422">
    <w:abstractNumId w:val="4"/>
  </w:num>
  <w:num w:numId="66" w16cid:durableId="1401100477">
    <w:abstractNumId w:val="17"/>
  </w:num>
  <w:num w:numId="67" w16cid:durableId="1777022025">
    <w:abstractNumId w:val="1"/>
  </w:num>
  <w:num w:numId="68" w16cid:durableId="921380123">
    <w:abstractNumId w:val="64"/>
  </w:num>
  <w:num w:numId="69" w16cid:durableId="1900019836">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104E"/>
    <w:rsid w:val="000024F0"/>
    <w:rsid w:val="00002C6A"/>
    <w:rsid w:val="00003412"/>
    <w:rsid w:val="000034AA"/>
    <w:rsid w:val="000037B8"/>
    <w:rsid w:val="00003F45"/>
    <w:rsid w:val="00004014"/>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1AB4"/>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107B"/>
    <w:rsid w:val="00071159"/>
    <w:rsid w:val="00072987"/>
    <w:rsid w:val="00072FF9"/>
    <w:rsid w:val="000739AF"/>
    <w:rsid w:val="00074118"/>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34BD"/>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3CBD"/>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A3F"/>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A94"/>
    <w:rsid w:val="00137807"/>
    <w:rsid w:val="0013783C"/>
    <w:rsid w:val="00140087"/>
    <w:rsid w:val="00140181"/>
    <w:rsid w:val="0014092A"/>
    <w:rsid w:val="00140A63"/>
    <w:rsid w:val="00140B8D"/>
    <w:rsid w:val="00141359"/>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E63"/>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5E59"/>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5693"/>
    <w:rsid w:val="001B587B"/>
    <w:rsid w:val="001B5959"/>
    <w:rsid w:val="001B61B3"/>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164"/>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91F"/>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DD"/>
    <w:rsid w:val="002A5FDF"/>
    <w:rsid w:val="002A613A"/>
    <w:rsid w:val="002A629C"/>
    <w:rsid w:val="002A6FCE"/>
    <w:rsid w:val="002A7172"/>
    <w:rsid w:val="002A7501"/>
    <w:rsid w:val="002B042B"/>
    <w:rsid w:val="002B0EA1"/>
    <w:rsid w:val="002B1027"/>
    <w:rsid w:val="002B1DAC"/>
    <w:rsid w:val="002B317E"/>
    <w:rsid w:val="002B33D8"/>
    <w:rsid w:val="002B3983"/>
    <w:rsid w:val="002B39FE"/>
    <w:rsid w:val="002B3CE2"/>
    <w:rsid w:val="002B3EA9"/>
    <w:rsid w:val="002B40FF"/>
    <w:rsid w:val="002B44C4"/>
    <w:rsid w:val="002B5565"/>
    <w:rsid w:val="002B5BDF"/>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6B68"/>
    <w:rsid w:val="002E72F0"/>
    <w:rsid w:val="002E7D14"/>
    <w:rsid w:val="002E7F0E"/>
    <w:rsid w:val="002F031D"/>
    <w:rsid w:val="002F054A"/>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491A"/>
    <w:rsid w:val="00334F21"/>
    <w:rsid w:val="00335A61"/>
    <w:rsid w:val="003365B8"/>
    <w:rsid w:val="0033687B"/>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898"/>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CF1"/>
    <w:rsid w:val="00415D16"/>
    <w:rsid w:val="00415ED8"/>
    <w:rsid w:val="004161DA"/>
    <w:rsid w:val="004167AE"/>
    <w:rsid w:val="00417379"/>
    <w:rsid w:val="004176BF"/>
    <w:rsid w:val="00417831"/>
    <w:rsid w:val="00417D6D"/>
    <w:rsid w:val="004201B5"/>
    <w:rsid w:val="004204D0"/>
    <w:rsid w:val="00420AC4"/>
    <w:rsid w:val="00420B61"/>
    <w:rsid w:val="00421B87"/>
    <w:rsid w:val="00421DD1"/>
    <w:rsid w:val="004232C6"/>
    <w:rsid w:val="00423696"/>
    <w:rsid w:val="004236B2"/>
    <w:rsid w:val="004239F6"/>
    <w:rsid w:val="00423E0C"/>
    <w:rsid w:val="0042456A"/>
    <w:rsid w:val="00424B41"/>
    <w:rsid w:val="00426124"/>
    <w:rsid w:val="00426222"/>
    <w:rsid w:val="00426F24"/>
    <w:rsid w:val="004300F9"/>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54B"/>
    <w:rsid w:val="00453687"/>
    <w:rsid w:val="004536F3"/>
    <w:rsid w:val="00453BC4"/>
    <w:rsid w:val="00454915"/>
    <w:rsid w:val="00455885"/>
    <w:rsid w:val="004558BD"/>
    <w:rsid w:val="00455AD8"/>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854"/>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4C0"/>
    <w:rsid w:val="004D66AD"/>
    <w:rsid w:val="004D6995"/>
    <w:rsid w:val="004D69DF"/>
    <w:rsid w:val="004D77C1"/>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D0C"/>
    <w:rsid w:val="004E6E5F"/>
    <w:rsid w:val="004E77E1"/>
    <w:rsid w:val="004E7898"/>
    <w:rsid w:val="004E7C8B"/>
    <w:rsid w:val="004F0AB7"/>
    <w:rsid w:val="004F119E"/>
    <w:rsid w:val="004F14CA"/>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9EE"/>
    <w:rsid w:val="00501E92"/>
    <w:rsid w:val="005025C7"/>
    <w:rsid w:val="005039C0"/>
    <w:rsid w:val="00504B42"/>
    <w:rsid w:val="0050566F"/>
    <w:rsid w:val="0050677F"/>
    <w:rsid w:val="00506DB2"/>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56E"/>
    <w:rsid w:val="005449D0"/>
    <w:rsid w:val="00544F4D"/>
    <w:rsid w:val="005450E4"/>
    <w:rsid w:val="00545B97"/>
    <w:rsid w:val="00546575"/>
    <w:rsid w:val="0054675F"/>
    <w:rsid w:val="0054712E"/>
    <w:rsid w:val="005475D9"/>
    <w:rsid w:val="00547F03"/>
    <w:rsid w:val="0055016D"/>
    <w:rsid w:val="0055043F"/>
    <w:rsid w:val="00550ECE"/>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993"/>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32C9"/>
    <w:rsid w:val="005B3971"/>
    <w:rsid w:val="005B4288"/>
    <w:rsid w:val="005B4CD9"/>
    <w:rsid w:val="005B4E14"/>
    <w:rsid w:val="005B52A0"/>
    <w:rsid w:val="005B538B"/>
    <w:rsid w:val="005B5434"/>
    <w:rsid w:val="005B54B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AFC"/>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D0C"/>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C24"/>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123"/>
    <w:rsid w:val="0072149D"/>
    <w:rsid w:val="007214D9"/>
    <w:rsid w:val="007218F7"/>
    <w:rsid w:val="0072232C"/>
    <w:rsid w:val="007229F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E04"/>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6797B"/>
    <w:rsid w:val="0077047B"/>
    <w:rsid w:val="00770501"/>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490"/>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8A7"/>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29"/>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EFD"/>
    <w:rsid w:val="008B4FFE"/>
    <w:rsid w:val="008B507B"/>
    <w:rsid w:val="008B60D9"/>
    <w:rsid w:val="008B646D"/>
    <w:rsid w:val="008B6842"/>
    <w:rsid w:val="008B6FCE"/>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47DC"/>
    <w:rsid w:val="008F50E6"/>
    <w:rsid w:val="008F52B5"/>
    <w:rsid w:val="008F635E"/>
    <w:rsid w:val="008F69A1"/>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3CB"/>
    <w:rsid w:val="00933540"/>
    <w:rsid w:val="0093396C"/>
    <w:rsid w:val="00933E6E"/>
    <w:rsid w:val="0093425F"/>
    <w:rsid w:val="00934877"/>
    <w:rsid w:val="009348BC"/>
    <w:rsid w:val="00934BC5"/>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73B"/>
    <w:rsid w:val="00964945"/>
    <w:rsid w:val="00965586"/>
    <w:rsid w:val="00965CC4"/>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974"/>
    <w:rsid w:val="009C6A9B"/>
    <w:rsid w:val="009C6B84"/>
    <w:rsid w:val="009C6EE8"/>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47"/>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58D"/>
    <w:rsid w:val="00A54A95"/>
    <w:rsid w:val="00A54F19"/>
    <w:rsid w:val="00A55395"/>
    <w:rsid w:val="00A55724"/>
    <w:rsid w:val="00A55ABE"/>
    <w:rsid w:val="00A55F8B"/>
    <w:rsid w:val="00A60841"/>
    <w:rsid w:val="00A61A4E"/>
    <w:rsid w:val="00A63203"/>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18FA"/>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47B"/>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45EC"/>
    <w:rsid w:val="00B04DA9"/>
    <w:rsid w:val="00B04F50"/>
    <w:rsid w:val="00B05943"/>
    <w:rsid w:val="00B05AE4"/>
    <w:rsid w:val="00B05CA6"/>
    <w:rsid w:val="00B07742"/>
    <w:rsid w:val="00B10224"/>
    <w:rsid w:val="00B1073D"/>
    <w:rsid w:val="00B1129B"/>
    <w:rsid w:val="00B116C5"/>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027"/>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509"/>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20DB"/>
    <w:rsid w:val="00B72B77"/>
    <w:rsid w:val="00B75226"/>
    <w:rsid w:val="00B75683"/>
    <w:rsid w:val="00B75985"/>
    <w:rsid w:val="00B76050"/>
    <w:rsid w:val="00B7667D"/>
    <w:rsid w:val="00B76ACC"/>
    <w:rsid w:val="00B80785"/>
    <w:rsid w:val="00B80876"/>
    <w:rsid w:val="00B8179C"/>
    <w:rsid w:val="00B81D3B"/>
    <w:rsid w:val="00B822DB"/>
    <w:rsid w:val="00B82D4E"/>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52C"/>
    <w:rsid w:val="00BA21B2"/>
    <w:rsid w:val="00BA2861"/>
    <w:rsid w:val="00BA3873"/>
    <w:rsid w:val="00BA441E"/>
    <w:rsid w:val="00BA5315"/>
    <w:rsid w:val="00BA5B32"/>
    <w:rsid w:val="00BA636A"/>
    <w:rsid w:val="00BA6707"/>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05C5"/>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383"/>
    <w:rsid w:val="00CA2CFC"/>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C098F"/>
    <w:rsid w:val="00DC0C9F"/>
    <w:rsid w:val="00DC1727"/>
    <w:rsid w:val="00DC1843"/>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0BC"/>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A9B"/>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68B3"/>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BF0"/>
    <w:rsid w:val="00F05E89"/>
    <w:rsid w:val="00F05F02"/>
    <w:rsid w:val="00F10169"/>
    <w:rsid w:val="00F1092B"/>
    <w:rsid w:val="00F10A38"/>
    <w:rsid w:val="00F1176A"/>
    <w:rsid w:val="00F11FF3"/>
    <w:rsid w:val="00F129F7"/>
    <w:rsid w:val="00F12B51"/>
    <w:rsid w:val="00F12BF1"/>
    <w:rsid w:val="00F12F4D"/>
    <w:rsid w:val="00F12FB0"/>
    <w:rsid w:val="00F137A6"/>
    <w:rsid w:val="00F13A10"/>
    <w:rsid w:val="00F13C4C"/>
    <w:rsid w:val="00F1523B"/>
    <w:rsid w:val="00F16039"/>
    <w:rsid w:val="00F1603A"/>
    <w:rsid w:val="00F163AC"/>
    <w:rsid w:val="00F16DFC"/>
    <w:rsid w:val="00F16E57"/>
    <w:rsid w:val="00F17165"/>
    <w:rsid w:val="00F20491"/>
    <w:rsid w:val="00F206DE"/>
    <w:rsid w:val="00F20903"/>
    <w:rsid w:val="00F20DCF"/>
    <w:rsid w:val="00F20E1B"/>
    <w:rsid w:val="00F21A77"/>
    <w:rsid w:val="00F23331"/>
    <w:rsid w:val="00F238F5"/>
    <w:rsid w:val="00F23CF2"/>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474D"/>
    <w:rsid w:val="00F74A3D"/>
    <w:rsid w:val="00F74A8F"/>
    <w:rsid w:val="00F74FB9"/>
    <w:rsid w:val="00F76130"/>
    <w:rsid w:val="00F764E0"/>
    <w:rsid w:val="00F7693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em2.ipomex.org.mx/ipom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ipomex.org.mx/ipomex/"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419E6-559A-440A-8E1A-6ABD40B6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31</Pages>
  <Words>7534</Words>
  <Characters>41439</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13</cp:revision>
  <cp:lastPrinted>2025-08-28T22:45:00Z</cp:lastPrinted>
  <dcterms:created xsi:type="dcterms:W3CDTF">2025-06-25T19:57:00Z</dcterms:created>
  <dcterms:modified xsi:type="dcterms:W3CDTF">2025-09-15T21:28:00Z</dcterms:modified>
</cp:coreProperties>
</file>