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34AB" w14:textId="5C841A6B"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606D42" w:rsidRPr="00AC3697">
        <w:rPr>
          <w:rFonts w:ascii="Palatino Linotype" w:eastAsia="Palatino Linotype" w:hAnsi="Palatino Linotype" w:cs="Palatino Linotype"/>
        </w:rPr>
        <w:t>dos de abril</w:t>
      </w:r>
      <w:r w:rsidR="005A5FFF" w:rsidRPr="00AC3697">
        <w:rPr>
          <w:rFonts w:ascii="Palatino Linotype" w:eastAsia="Palatino Linotype" w:hAnsi="Palatino Linotype" w:cs="Palatino Linotype"/>
        </w:rPr>
        <w:t xml:space="preserve"> de dos mil veinticinco</w:t>
      </w:r>
      <w:r w:rsidRPr="00AC3697">
        <w:rPr>
          <w:rFonts w:ascii="Palatino Linotype" w:eastAsia="Palatino Linotype" w:hAnsi="Palatino Linotype" w:cs="Palatino Linotype"/>
        </w:rPr>
        <w:t xml:space="preserve">. </w:t>
      </w:r>
    </w:p>
    <w:p w14:paraId="732E6F57" w14:textId="77777777" w:rsidR="009338B5" w:rsidRPr="00AC3697" w:rsidRDefault="009338B5" w:rsidP="003234CB">
      <w:pPr>
        <w:spacing w:after="0" w:line="360" w:lineRule="auto"/>
        <w:ind w:right="49"/>
        <w:jc w:val="center"/>
        <w:rPr>
          <w:rFonts w:ascii="Palatino Linotype" w:eastAsia="Palatino Linotype" w:hAnsi="Palatino Linotype" w:cs="Palatino Linotype"/>
        </w:rPr>
      </w:pPr>
    </w:p>
    <w:p w14:paraId="57725A1C" w14:textId="0C1E8368"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Visto el expediente relativo al recurso de revisión </w:t>
      </w:r>
      <w:r w:rsidR="00606D42" w:rsidRPr="00AC3697">
        <w:rPr>
          <w:rFonts w:ascii="Palatino Linotype" w:eastAsia="Palatino Linotype" w:hAnsi="Palatino Linotype" w:cs="Palatino Linotype"/>
          <w:b/>
        </w:rPr>
        <w:t>01419</w:t>
      </w:r>
      <w:r w:rsidR="005A5FFF" w:rsidRPr="00AC3697">
        <w:rPr>
          <w:rFonts w:ascii="Palatino Linotype" w:eastAsia="Palatino Linotype" w:hAnsi="Palatino Linotype" w:cs="Palatino Linotype"/>
          <w:b/>
        </w:rPr>
        <w:t>/INFOEM/IP/RR/2025</w:t>
      </w:r>
      <w:r w:rsidRPr="00AC3697">
        <w:rPr>
          <w:rFonts w:ascii="Palatino Linotype" w:eastAsia="Palatino Linotype" w:hAnsi="Palatino Linotype" w:cs="Palatino Linotype"/>
        </w:rPr>
        <w:t xml:space="preserve">, interpuesto por </w:t>
      </w:r>
      <w:r w:rsidR="00A63EF4" w:rsidRPr="00A63EF4">
        <w:rPr>
          <w:rFonts w:ascii="Palatino Linotype" w:eastAsia="Palatino Linotype" w:hAnsi="Palatino Linotype" w:cs="Palatino Linotype"/>
          <w:b/>
        </w:rPr>
        <w:t>XXXXXXX XXXXX XXXXXXXXXX</w:t>
      </w:r>
      <w:r w:rsidRPr="00AC3697">
        <w:rPr>
          <w:rFonts w:ascii="Palatino Linotype" w:eastAsia="Palatino Linotype" w:hAnsi="Palatino Linotype" w:cs="Palatino Linotype"/>
        </w:rPr>
        <w:t xml:space="preserve">, al cual en lo sucesivo se le denominará la parte </w:t>
      </w:r>
      <w:r w:rsidRPr="00AC3697">
        <w:rPr>
          <w:rFonts w:ascii="Palatino Linotype" w:eastAsia="Palatino Linotype" w:hAnsi="Palatino Linotype" w:cs="Palatino Linotype"/>
          <w:b/>
        </w:rPr>
        <w:t>RECURRENTE</w:t>
      </w:r>
      <w:r w:rsidRPr="00AC3697">
        <w:rPr>
          <w:rFonts w:ascii="Palatino Linotype" w:eastAsia="Palatino Linotype" w:hAnsi="Palatino Linotype" w:cs="Palatino Linotype"/>
        </w:rPr>
        <w:t xml:space="preserve">, en contra de la respuesta a su solicitud de información identificada con número de folio </w:t>
      </w:r>
      <w:r w:rsidR="00606D42" w:rsidRPr="00AC3697">
        <w:rPr>
          <w:rFonts w:ascii="Palatino Linotype" w:eastAsia="Palatino Linotype" w:hAnsi="Palatino Linotype" w:cs="Palatino Linotype"/>
          <w:b/>
        </w:rPr>
        <w:t>00109</w:t>
      </w:r>
      <w:r w:rsidRPr="00AC3697">
        <w:rPr>
          <w:rFonts w:ascii="Palatino Linotype" w:eastAsia="Palatino Linotype" w:hAnsi="Palatino Linotype" w:cs="Palatino Linotype"/>
          <w:b/>
        </w:rPr>
        <w:t>/</w:t>
      </w:r>
      <w:r w:rsidR="00606D42" w:rsidRPr="00AC3697">
        <w:rPr>
          <w:rFonts w:ascii="Palatino Linotype" w:eastAsia="Palatino Linotype" w:hAnsi="Palatino Linotype" w:cs="Palatino Linotype"/>
          <w:b/>
        </w:rPr>
        <w:t>NAUCALPA/IP/2025</w:t>
      </w:r>
      <w:r w:rsidR="00606D42" w:rsidRPr="00AC3697">
        <w:rPr>
          <w:rFonts w:ascii="Palatino Linotype" w:eastAsia="Palatino Linotype" w:hAnsi="Palatino Linotype" w:cs="Palatino Linotype"/>
        </w:rPr>
        <w:t xml:space="preserve"> proporcionada por parte del </w:t>
      </w:r>
      <w:r w:rsidR="00606D42" w:rsidRPr="00AC3697">
        <w:rPr>
          <w:rFonts w:ascii="Palatino Linotype" w:eastAsia="Palatino Linotype" w:hAnsi="Palatino Linotype" w:cs="Palatino Linotype"/>
          <w:b/>
        </w:rPr>
        <w:t>Ayuntamiento de Naucalpan de Juárez</w:t>
      </w:r>
      <w:r w:rsidRPr="00AC3697">
        <w:rPr>
          <w:rFonts w:ascii="Palatino Linotype" w:eastAsia="Palatino Linotype" w:hAnsi="Palatino Linotype" w:cs="Palatino Linotype"/>
        </w:rPr>
        <w:t xml:space="preserve">, en lo sucesivo el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 se procede a dictar la presente resolución, con base en los siguientes:</w:t>
      </w:r>
    </w:p>
    <w:p w14:paraId="58F7C79A"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34B13A36" w14:textId="77777777" w:rsidR="009338B5" w:rsidRPr="00AC3697" w:rsidRDefault="00E0628C" w:rsidP="003234CB">
      <w:pPr>
        <w:spacing w:after="0" w:line="360" w:lineRule="auto"/>
        <w:ind w:right="49"/>
        <w:jc w:val="center"/>
        <w:rPr>
          <w:rFonts w:ascii="Palatino Linotype" w:eastAsia="Palatino Linotype" w:hAnsi="Palatino Linotype" w:cs="Palatino Linotype"/>
          <w:b/>
        </w:rPr>
      </w:pPr>
      <w:r w:rsidRPr="00AC3697">
        <w:rPr>
          <w:rFonts w:ascii="Palatino Linotype" w:eastAsia="Palatino Linotype" w:hAnsi="Palatino Linotype" w:cs="Palatino Linotype"/>
          <w:b/>
        </w:rPr>
        <w:t>I.</w:t>
      </w:r>
      <w:r w:rsidRPr="00AC3697">
        <w:rPr>
          <w:rFonts w:ascii="Palatino Linotype" w:eastAsia="Palatino Linotype" w:hAnsi="Palatino Linotype" w:cs="Palatino Linotype"/>
          <w:b/>
        </w:rPr>
        <w:tab/>
        <w:t>A N T E C E D E N T E S</w:t>
      </w:r>
    </w:p>
    <w:p w14:paraId="0E12E63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0617639E" w14:textId="0A275006"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Solicitud de acceso a la información.</w:t>
      </w:r>
      <w:r w:rsidRPr="00AC3697">
        <w:rPr>
          <w:rFonts w:ascii="Palatino Linotype" w:eastAsia="Palatino Linotype" w:hAnsi="Palatino Linotype" w:cs="Palatino Linotype"/>
          <w:color w:val="000000"/>
        </w:rPr>
        <w:t xml:space="preserve"> Con fecha </w:t>
      </w:r>
      <w:r w:rsidR="00606D42" w:rsidRPr="00AC3697">
        <w:rPr>
          <w:rFonts w:ascii="Palatino Linotype" w:eastAsia="Palatino Linotype" w:hAnsi="Palatino Linotype" w:cs="Palatino Linotype"/>
          <w:b/>
          <w:color w:val="000000"/>
        </w:rPr>
        <w:t>veintidós de enero de dos mil veinticinco</w:t>
      </w:r>
      <w:r w:rsidRPr="00AC3697">
        <w:rPr>
          <w:rFonts w:ascii="Palatino Linotype" w:eastAsia="Palatino Linotype" w:hAnsi="Palatino Linotype" w:cs="Palatino Linotype"/>
          <w:color w:val="000000"/>
        </w:rPr>
        <w:t xml:space="preserve">, la parte </w:t>
      </w:r>
      <w:r w:rsidRPr="00AC3697">
        <w:rPr>
          <w:rFonts w:ascii="Palatino Linotype" w:eastAsia="Palatino Linotype" w:hAnsi="Palatino Linotype" w:cs="Palatino Linotype"/>
          <w:b/>
          <w:color w:val="000000"/>
        </w:rPr>
        <w:t>RECURRENTE</w:t>
      </w:r>
      <w:r w:rsidRPr="00AC3697">
        <w:rPr>
          <w:rFonts w:ascii="Palatino Linotype" w:eastAsia="Palatino Linotype" w:hAnsi="Palatino Linotype" w:cs="Palatino Linotype"/>
          <w:color w:val="000000"/>
        </w:rPr>
        <w:t xml:space="preserve"> formuló solicitud de acceso a información pública al</w:t>
      </w:r>
      <w:r w:rsidRPr="00AC3697">
        <w:rPr>
          <w:rFonts w:ascii="Palatino Linotype" w:eastAsia="Palatino Linotype" w:hAnsi="Palatino Linotype" w:cs="Palatino Linotype"/>
          <w:b/>
          <w:color w:val="000000"/>
        </w:rPr>
        <w:t xml:space="preserve"> SUJETO OBLIGADO</w:t>
      </w:r>
      <w:r w:rsidRPr="00AC3697">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4A555361" w14:textId="77777777" w:rsidR="009338B5" w:rsidRPr="00AC3697" w:rsidRDefault="009338B5"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66C85CE" w14:textId="3F3C4133" w:rsidR="009338B5" w:rsidRPr="00AC3697" w:rsidRDefault="005A5FFF" w:rsidP="003234CB">
      <w:pPr>
        <w:spacing w:after="0" w:line="360" w:lineRule="auto"/>
        <w:ind w:left="567" w:right="560"/>
        <w:jc w:val="both"/>
        <w:rPr>
          <w:rFonts w:ascii="Palatino Linotype" w:eastAsia="Palatino Linotype" w:hAnsi="Palatino Linotype" w:cs="Palatino Linotype"/>
          <w:i/>
        </w:rPr>
      </w:pPr>
      <w:bookmarkStart w:id="0" w:name="_heading=h.30j0zll" w:colFirst="0" w:colLast="0"/>
      <w:bookmarkEnd w:id="0"/>
      <w:r w:rsidRPr="00AC3697">
        <w:rPr>
          <w:rFonts w:ascii="Palatino Linotype" w:eastAsia="Palatino Linotype" w:hAnsi="Palatino Linotype" w:cs="Palatino Linotype"/>
          <w:i/>
        </w:rPr>
        <w:t>“</w:t>
      </w:r>
      <w:r w:rsidR="00606D42" w:rsidRPr="00AC3697">
        <w:rPr>
          <w:rFonts w:ascii="Palatino Linotype" w:eastAsia="Palatino Linotype" w:hAnsi="Palatino Linotype" w:cs="Palatino Linotype"/>
          <w:i/>
        </w:rPr>
        <w:t xml:space="preserve">Oficios firmados por la C. Rosalba </w:t>
      </w:r>
      <w:proofErr w:type="spellStart"/>
      <w:r w:rsidR="00606D42" w:rsidRPr="00AC3697">
        <w:rPr>
          <w:rFonts w:ascii="Palatino Linotype" w:eastAsia="Palatino Linotype" w:hAnsi="Palatino Linotype" w:cs="Palatino Linotype"/>
          <w:i/>
        </w:rPr>
        <w:t>Gualito</w:t>
      </w:r>
      <w:proofErr w:type="spellEnd"/>
      <w:r w:rsidR="00606D42" w:rsidRPr="00AC3697">
        <w:rPr>
          <w:rFonts w:ascii="Palatino Linotype" w:eastAsia="Palatino Linotype" w:hAnsi="Palatino Linotype" w:cs="Palatino Linotype"/>
          <w:i/>
        </w:rPr>
        <w:t xml:space="preserve"> Castañeda, dl 1 al 15 de enero de 2025</w:t>
      </w:r>
      <w:r w:rsidRPr="00AC3697">
        <w:rPr>
          <w:rFonts w:ascii="Palatino Linotype" w:eastAsia="Palatino Linotype" w:hAnsi="Palatino Linotype" w:cs="Palatino Linotype"/>
          <w:i/>
        </w:rPr>
        <w:t>.</w:t>
      </w:r>
      <w:r w:rsidR="00E0628C" w:rsidRPr="00AC3697">
        <w:rPr>
          <w:rFonts w:ascii="Palatino Linotype" w:eastAsia="Palatino Linotype" w:hAnsi="Palatino Linotype" w:cs="Palatino Linotype"/>
          <w:i/>
        </w:rPr>
        <w:t>”</w:t>
      </w:r>
    </w:p>
    <w:p w14:paraId="4C561A4F" w14:textId="77777777" w:rsidR="009338B5" w:rsidRPr="00AC3697" w:rsidRDefault="009338B5" w:rsidP="003234CB">
      <w:pPr>
        <w:spacing w:after="0" w:line="360" w:lineRule="auto"/>
        <w:ind w:left="567" w:right="560"/>
        <w:jc w:val="both"/>
        <w:rPr>
          <w:rFonts w:ascii="Palatino Linotype" w:eastAsia="Palatino Linotype" w:hAnsi="Palatino Linotype" w:cs="Palatino Linotype"/>
          <w:i/>
        </w:rPr>
      </w:pPr>
    </w:p>
    <w:p w14:paraId="1E3C26D0"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Modalidad elegida para la entrega de la información:</w:t>
      </w:r>
      <w:r w:rsidRPr="00AC3697">
        <w:rPr>
          <w:rFonts w:ascii="Palatino Linotype" w:eastAsia="Palatino Linotype" w:hAnsi="Palatino Linotype" w:cs="Palatino Linotype"/>
        </w:rPr>
        <w:t xml:space="preserve"> a través del Sistema de Acceso a la Información Mexiquense (SAIMEX). </w:t>
      </w:r>
    </w:p>
    <w:p w14:paraId="04A9B270" w14:textId="64794991"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lastRenderedPageBreak/>
        <w:t>Respuesta.</w:t>
      </w:r>
      <w:r w:rsidRPr="00AC3697">
        <w:rPr>
          <w:rFonts w:ascii="Palatino Linotype" w:eastAsia="Palatino Linotype" w:hAnsi="Palatino Linotype" w:cs="Palatino Linotype"/>
          <w:color w:val="000000"/>
        </w:rPr>
        <w:t xml:space="preserve"> Con fecha </w:t>
      </w:r>
      <w:r w:rsidR="00606D42" w:rsidRPr="00AC3697">
        <w:rPr>
          <w:rFonts w:ascii="Palatino Linotype" w:eastAsia="Palatino Linotype" w:hAnsi="Palatino Linotype" w:cs="Palatino Linotype"/>
          <w:b/>
          <w:color w:val="000000"/>
        </w:rPr>
        <w:t>once de febrero</w:t>
      </w:r>
      <w:r w:rsidR="005A5FFF" w:rsidRPr="00AC3697">
        <w:rPr>
          <w:rFonts w:ascii="Palatino Linotype" w:eastAsia="Palatino Linotype" w:hAnsi="Palatino Linotype" w:cs="Palatino Linotype"/>
          <w:b/>
          <w:color w:val="000000"/>
        </w:rPr>
        <w:t xml:space="preserve"> de dos mil veinticinco</w:t>
      </w:r>
      <w:r w:rsidRPr="00AC3697">
        <w:rPr>
          <w:rFonts w:ascii="Palatino Linotype" w:eastAsia="Palatino Linotype" w:hAnsi="Palatino Linotype" w:cs="Palatino Linotype"/>
          <w:color w:val="000000"/>
        </w:rPr>
        <w:t xml:space="preserve">, el </w:t>
      </w:r>
      <w:r w:rsidRPr="00AC3697">
        <w:rPr>
          <w:rFonts w:ascii="Palatino Linotype" w:eastAsia="Palatino Linotype" w:hAnsi="Palatino Linotype" w:cs="Palatino Linotype"/>
          <w:b/>
          <w:color w:val="000000"/>
        </w:rPr>
        <w:t>SUJETO OBLIGADO</w:t>
      </w:r>
      <w:r w:rsidRPr="00AC3697">
        <w:rPr>
          <w:rFonts w:ascii="Palatino Linotype" w:eastAsia="Palatino Linotype" w:hAnsi="Palatino Linotype" w:cs="Palatino Linotype"/>
          <w:color w:val="000000"/>
        </w:rPr>
        <w:t xml:space="preserve"> envió su respuesta a la solicitud de acceso a la información a través del SAIMEX, la cual versa como sigue:</w:t>
      </w:r>
    </w:p>
    <w:p w14:paraId="7D2F20F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0B8E378D" w14:textId="77777777" w:rsidR="00606D42" w:rsidRPr="00AC3697" w:rsidRDefault="00606D42"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61FB79" w14:textId="69F5D7CA" w:rsidR="009338B5" w:rsidRPr="00AC3697" w:rsidRDefault="00606D42" w:rsidP="003234CB">
      <w:pPr>
        <w:spacing w:after="0" w:line="276" w:lineRule="auto"/>
        <w:ind w:left="567" w:right="560"/>
        <w:jc w:val="both"/>
        <w:rPr>
          <w:rFonts w:ascii="Palatino Linotype" w:eastAsia="Palatino Linotype" w:hAnsi="Palatino Linotype" w:cs="Palatino Linotype"/>
        </w:rPr>
      </w:pPr>
      <w:r w:rsidRPr="00AC3697">
        <w:rPr>
          <w:rFonts w:ascii="Palatino Linotype" w:eastAsia="Palatino Linotype" w:hAnsi="Palatino Linotype" w:cs="Palatino Linotype"/>
          <w:i/>
        </w:rPr>
        <w:t xml:space="preserve">Se emite respuesta Con fundamento en los establecido en el Acuerdo: CT/NAU/ACTA-ORD-003/2025/34, donde se aprueba la generación de la versión pública de los documentos en cuestión, a efecto de que se ponga a disposición de la persona solicitante, se anexan oficios firmados por la maestra Rosalba </w:t>
      </w:r>
      <w:proofErr w:type="spellStart"/>
      <w:r w:rsidRPr="00AC3697">
        <w:rPr>
          <w:rFonts w:ascii="Palatino Linotype" w:eastAsia="Palatino Linotype" w:hAnsi="Palatino Linotype" w:cs="Palatino Linotype"/>
          <w:i/>
        </w:rPr>
        <w:t>Gualito</w:t>
      </w:r>
      <w:proofErr w:type="spellEnd"/>
      <w:r w:rsidRPr="00AC3697">
        <w:rPr>
          <w:rFonts w:ascii="Palatino Linotype" w:eastAsia="Palatino Linotype" w:hAnsi="Palatino Linotype" w:cs="Palatino Linotype"/>
          <w:i/>
        </w:rPr>
        <w:t xml:space="preserve"> Castañeda del 1 al 15 de enero de 2025, en versión </w:t>
      </w:r>
      <w:proofErr w:type="gramStart"/>
      <w:r w:rsidRPr="00AC3697">
        <w:rPr>
          <w:rFonts w:ascii="Palatino Linotype" w:eastAsia="Palatino Linotype" w:hAnsi="Palatino Linotype" w:cs="Palatino Linotype"/>
          <w:i/>
        </w:rPr>
        <w:t>PDF.</w:t>
      </w:r>
      <w:r w:rsidR="005A5FFF" w:rsidRPr="00AC3697">
        <w:rPr>
          <w:rFonts w:ascii="Palatino Linotype" w:eastAsia="Palatino Linotype" w:hAnsi="Palatino Linotype" w:cs="Palatino Linotype"/>
          <w:i/>
        </w:rPr>
        <w:t>.</w:t>
      </w:r>
      <w:proofErr w:type="gramEnd"/>
    </w:p>
    <w:p w14:paraId="26F90C4D" w14:textId="77777777" w:rsidR="005A5FFF" w:rsidRPr="00AC3697" w:rsidRDefault="005A5FFF" w:rsidP="003234CB">
      <w:pPr>
        <w:spacing w:after="0" w:line="360" w:lineRule="auto"/>
        <w:ind w:right="49"/>
        <w:jc w:val="both"/>
        <w:rPr>
          <w:rFonts w:ascii="Palatino Linotype" w:eastAsia="Palatino Linotype" w:hAnsi="Palatino Linotype" w:cs="Palatino Linotype"/>
        </w:rPr>
      </w:pPr>
    </w:p>
    <w:p w14:paraId="3B59BA6B"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El Sujeto Obligado a su respuesta adjuntó el documento que se describe a continuación:  </w:t>
      </w:r>
    </w:p>
    <w:p w14:paraId="7C51750B"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26F8FA59" w14:textId="327F4206" w:rsidR="009338B5" w:rsidRPr="00AC3697" w:rsidRDefault="005A5FFF" w:rsidP="00EB5955">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Oficio de fecha </w:t>
      </w:r>
      <w:r w:rsidR="00606D42" w:rsidRPr="00AC3697">
        <w:rPr>
          <w:rFonts w:ascii="Palatino Linotype" w:eastAsia="Palatino Linotype" w:hAnsi="Palatino Linotype" w:cs="Palatino Linotype"/>
          <w:color w:val="000000"/>
        </w:rPr>
        <w:t xml:space="preserve">veinticuatro de enero de dos mil veinticinco, firmado por la Directora de Gobierno mediante el cual precia que se remite la lista de oficios firmados por la servidora pública referida en la solicitud de información del uno de enero al quince de enero del dos mil veinticinco. </w:t>
      </w:r>
    </w:p>
    <w:p w14:paraId="5714ABB5" w14:textId="6357EA65" w:rsidR="00606D42" w:rsidRPr="00AC3697" w:rsidRDefault="00606D42" w:rsidP="00EB5955">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Listado de oficios. </w:t>
      </w:r>
    </w:p>
    <w:p w14:paraId="3EC82139" w14:textId="25DDA5F8" w:rsidR="00606D42" w:rsidRPr="00AC3697" w:rsidRDefault="00606D42" w:rsidP="00EB5955">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Catorce oficios signados por la servidora pública referida en la solicitud de información en versión pública. </w:t>
      </w:r>
    </w:p>
    <w:p w14:paraId="38A8E71F" w14:textId="77777777" w:rsidR="009338B5" w:rsidRPr="00AC3697" w:rsidRDefault="009338B5" w:rsidP="003234CB">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color w:val="000000"/>
        </w:rPr>
      </w:pPr>
    </w:p>
    <w:p w14:paraId="42B77258" w14:textId="3D447BAB"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 xml:space="preserve">Recurso de Revisión. </w:t>
      </w:r>
      <w:r w:rsidRPr="00AC3697">
        <w:rPr>
          <w:rFonts w:ascii="Palatino Linotype" w:eastAsia="Palatino Linotype" w:hAnsi="Palatino Linotype" w:cs="Palatino Linotype"/>
          <w:color w:val="000000"/>
        </w:rPr>
        <w:t xml:space="preserve">La persona solicitante, derivado de la respuesta del </w:t>
      </w:r>
      <w:r w:rsidRPr="00AC3697">
        <w:rPr>
          <w:rFonts w:ascii="Palatino Linotype" w:eastAsia="Palatino Linotype" w:hAnsi="Palatino Linotype" w:cs="Palatino Linotype"/>
          <w:b/>
          <w:color w:val="000000"/>
        </w:rPr>
        <w:t>SUJETO OBLIGADO</w:t>
      </w:r>
      <w:r w:rsidRPr="00AC3697">
        <w:rPr>
          <w:rFonts w:ascii="Palatino Linotype" w:eastAsia="Palatino Linotype" w:hAnsi="Palatino Linotype" w:cs="Palatino Linotype"/>
          <w:color w:val="000000"/>
        </w:rPr>
        <w:t xml:space="preserve"> interpuso Recurso de Revisión a través del </w:t>
      </w:r>
      <w:r w:rsidRPr="00AC3697">
        <w:rPr>
          <w:rFonts w:ascii="Palatino Linotype" w:eastAsia="Palatino Linotype" w:hAnsi="Palatino Linotype" w:cs="Palatino Linotype"/>
          <w:b/>
          <w:color w:val="000000"/>
        </w:rPr>
        <w:t>SAIMEX</w:t>
      </w:r>
      <w:r w:rsidRPr="00AC3697">
        <w:rPr>
          <w:rFonts w:ascii="Palatino Linotype" w:eastAsia="Palatino Linotype" w:hAnsi="Palatino Linotype" w:cs="Palatino Linotype"/>
          <w:color w:val="000000"/>
        </w:rPr>
        <w:t xml:space="preserve"> en fecha </w:t>
      </w:r>
      <w:r w:rsidR="00606D42" w:rsidRPr="00AC3697">
        <w:rPr>
          <w:rFonts w:ascii="Palatino Linotype" w:eastAsia="Palatino Linotype" w:hAnsi="Palatino Linotype" w:cs="Palatino Linotype"/>
          <w:b/>
          <w:color w:val="000000"/>
        </w:rPr>
        <w:t>catorce de febrero</w:t>
      </w:r>
      <w:r w:rsidR="005A5FFF" w:rsidRPr="00AC3697">
        <w:rPr>
          <w:rFonts w:ascii="Palatino Linotype" w:eastAsia="Palatino Linotype" w:hAnsi="Palatino Linotype" w:cs="Palatino Linotype"/>
          <w:b/>
          <w:color w:val="000000"/>
        </w:rPr>
        <w:t xml:space="preserve"> de dos mil veinticinco</w:t>
      </w:r>
      <w:r w:rsidRPr="00AC3697">
        <w:rPr>
          <w:rFonts w:ascii="Palatino Linotype" w:eastAsia="Palatino Linotype" w:hAnsi="Palatino Linotype" w:cs="Palatino Linotype"/>
          <w:color w:val="000000"/>
        </w:rPr>
        <w:t>, a través del cual expresó lo siguiente:</w:t>
      </w:r>
    </w:p>
    <w:p w14:paraId="12AA6AE5" w14:textId="77777777" w:rsidR="0004412B" w:rsidRPr="00AC3697" w:rsidRDefault="0004412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ED38D43" w14:textId="369C85FA" w:rsidR="009338B5" w:rsidRPr="00AC3697" w:rsidRDefault="00E0628C" w:rsidP="003234C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r w:rsidRPr="00AC3697">
        <w:rPr>
          <w:rFonts w:ascii="Palatino Linotype" w:eastAsia="Palatino Linotype" w:hAnsi="Palatino Linotype" w:cs="Palatino Linotype"/>
          <w:b/>
          <w:color w:val="000000"/>
        </w:rPr>
        <w:lastRenderedPageBreak/>
        <w:t xml:space="preserve">Acto impugnado. </w:t>
      </w:r>
      <w:r w:rsidRPr="00AC3697">
        <w:rPr>
          <w:rFonts w:ascii="Palatino Linotype" w:eastAsia="Palatino Linotype" w:hAnsi="Palatino Linotype" w:cs="Palatino Linotype"/>
          <w:i/>
          <w:color w:val="000000"/>
        </w:rPr>
        <w:t>“</w:t>
      </w:r>
      <w:r w:rsidR="00606D42" w:rsidRPr="00AC3697">
        <w:rPr>
          <w:rFonts w:ascii="Palatino Linotype" w:eastAsia="Palatino Linotype" w:hAnsi="Palatino Linotype" w:cs="Palatino Linotype"/>
          <w:i/>
          <w:color w:val="000000"/>
        </w:rPr>
        <w:t>El Sujeto Obligado omite poner a mi disposición en términos de lo señalado en la Constitución, las Leyes Federales y Locales que regulan mi derecho de acceder a la información que es obligación entregarme; adicional a lo anterior la leyenda anexa a la VERSIÓN PÚBLICA carece de fundamentación y motivación. La unidad de Transparencia actúa de forma dolosa, al no entregarme la totalidad de la documentación, junto con la determinación que aprueba la clasificación de la información.</w:t>
      </w:r>
      <w:r w:rsidRPr="00AC3697">
        <w:rPr>
          <w:rFonts w:ascii="Palatino Linotype" w:eastAsia="Palatino Linotype" w:hAnsi="Palatino Linotype" w:cs="Palatino Linotype"/>
          <w:i/>
          <w:color w:val="000000"/>
        </w:rPr>
        <w:t>”.</w:t>
      </w:r>
    </w:p>
    <w:p w14:paraId="04DF146B" w14:textId="77777777" w:rsidR="009338B5" w:rsidRPr="00AC3697" w:rsidRDefault="009338B5" w:rsidP="003234C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p>
    <w:p w14:paraId="7D1EEE83" w14:textId="12F34B9E" w:rsidR="009338B5" w:rsidRPr="00AC3697" w:rsidRDefault="00E0628C" w:rsidP="003234CB">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color w:val="000000"/>
        </w:rPr>
      </w:pPr>
      <w:r w:rsidRPr="00AC3697">
        <w:rPr>
          <w:rFonts w:ascii="Palatino Linotype" w:eastAsia="Palatino Linotype" w:hAnsi="Palatino Linotype" w:cs="Palatino Linotype"/>
          <w:b/>
          <w:color w:val="000000"/>
        </w:rPr>
        <w:t xml:space="preserve">Razones o motivos de la inconformidad: </w:t>
      </w:r>
      <w:r w:rsidR="00CC1F4E" w:rsidRPr="00AC3697">
        <w:rPr>
          <w:rFonts w:ascii="Palatino Linotype" w:eastAsia="Palatino Linotype" w:hAnsi="Palatino Linotype" w:cs="Palatino Linotype"/>
          <w:b/>
          <w:color w:val="000000"/>
        </w:rPr>
        <w:t>“</w:t>
      </w:r>
      <w:r w:rsidR="00CC1F4E" w:rsidRPr="00AC3697">
        <w:rPr>
          <w:rFonts w:ascii="Palatino Linotype" w:eastAsia="Palatino Linotype" w:hAnsi="Palatino Linotype" w:cs="Palatino Linotype"/>
          <w:i/>
          <w:color w:val="000000"/>
        </w:rPr>
        <w:t>El Sujeto Obligado omite poner a mi disposición en términos de lo señalado en la Constitución, las Leyes Federales y Locales que regulan mi derecho de acceder a la información que es obligación entregarme; adicional a lo anterior la leyenda anexa a la VERSIÓN PÚBLICA carece de fundamentación y motivación. La unidad de Transparencia actúa de forma dolosa, al no entregarme la totalidad de la documentación, junto con la determinación que aprueba la clasificación de la información.</w:t>
      </w:r>
      <w:r w:rsidRPr="00AC3697">
        <w:rPr>
          <w:rFonts w:ascii="Palatino Linotype" w:eastAsia="Palatino Linotype" w:hAnsi="Palatino Linotype" w:cs="Palatino Linotype"/>
          <w:i/>
          <w:color w:val="000000"/>
        </w:rPr>
        <w:t>”.</w:t>
      </w:r>
    </w:p>
    <w:p w14:paraId="26B106C9"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705E15C6" w14:textId="38F63AAE"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Turno.</w:t>
      </w:r>
      <w:r w:rsidRPr="00AC3697">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00CC1F4E" w:rsidRPr="00AC3697">
        <w:rPr>
          <w:rFonts w:ascii="Palatino Linotype" w:eastAsia="Palatino Linotype" w:hAnsi="Palatino Linotype" w:cs="Palatino Linotype"/>
          <w:b/>
          <w:color w:val="000000"/>
        </w:rPr>
        <w:t>01419</w:t>
      </w:r>
      <w:r w:rsidR="005A5FFF" w:rsidRPr="00AC3697">
        <w:rPr>
          <w:rFonts w:ascii="Palatino Linotype" w:eastAsia="Palatino Linotype" w:hAnsi="Palatino Linotype" w:cs="Palatino Linotype"/>
          <w:b/>
          <w:color w:val="000000"/>
        </w:rPr>
        <w:t>/INFOEM/IP/RR/2025</w:t>
      </w:r>
      <w:r w:rsidRPr="00AC3697">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4763514" w14:textId="77777777" w:rsidR="009338B5" w:rsidRPr="00AC3697" w:rsidRDefault="009338B5"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5DF2CB0" w14:textId="3A42022D"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Admisión del recurso de revisión</w:t>
      </w:r>
      <w:r w:rsidRPr="00AC3697">
        <w:rPr>
          <w:rFonts w:ascii="Palatino Linotype" w:eastAsia="Palatino Linotype" w:hAnsi="Palatino Linotype" w:cs="Palatino Linotype"/>
          <w:color w:val="000000"/>
        </w:rPr>
        <w:t xml:space="preserve">: En fecha </w:t>
      </w:r>
      <w:r w:rsidR="00CC1F4E" w:rsidRPr="00AC3697">
        <w:rPr>
          <w:rFonts w:ascii="Palatino Linotype" w:eastAsia="Palatino Linotype" w:hAnsi="Palatino Linotype" w:cs="Palatino Linotype"/>
          <w:b/>
          <w:color w:val="000000"/>
        </w:rPr>
        <w:t>diecinueve de febrero</w:t>
      </w:r>
      <w:r w:rsidR="005A5FFF" w:rsidRPr="00AC3697">
        <w:rPr>
          <w:rFonts w:ascii="Palatino Linotype" w:eastAsia="Palatino Linotype" w:hAnsi="Palatino Linotype" w:cs="Palatino Linotype"/>
          <w:b/>
          <w:color w:val="000000"/>
        </w:rPr>
        <w:t xml:space="preserve"> de dos mil veinticinco</w:t>
      </w:r>
      <w:r w:rsidRPr="00AC3697">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DC22F67" w14:textId="77777777" w:rsidR="005A5FFF" w:rsidRPr="00AC3697" w:rsidRDefault="005A5FFF"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DA18FF6" w14:textId="02F469B7" w:rsidR="00363513" w:rsidRPr="00AC3697" w:rsidRDefault="005A5FFF"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lastRenderedPageBreak/>
        <w:t>Manifestaciones</w:t>
      </w:r>
      <w:r w:rsidRPr="00AC3697">
        <w:rPr>
          <w:rFonts w:ascii="Palatino Linotype" w:eastAsia="Palatino Linotype" w:hAnsi="Palatino Linotype" w:cs="Palatino Linotype"/>
          <w:color w:val="000000"/>
        </w:rPr>
        <w:t xml:space="preserve">. </w:t>
      </w:r>
      <w:r w:rsidR="00363513" w:rsidRPr="00AC3697">
        <w:rPr>
          <w:rFonts w:ascii="Palatino Linotype" w:eastAsia="Palatino Linotype" w:hAnsi="Palatino Linotype" w:cs="Palatino Linotype"/>
          <w:color w:val="000000"/>
        </w:rPr>
        <w:t xml:space="preserve">En fecha </w:t>
      </w:r>
      <w:r w:rsidR="00CC1F4E" w:rsidRPr="00AC3697">
        <w:rPr>
          <w:rFonts w:ascii="Palatino Linotype" w:eastAsia="Palatino Linotype" w:hAnsi="Palatino Linotype" w:cs="Palatino Linotype"/>
          <w:b/>
          <w:color w:val="000000"/>
        </w:rPr>
        <w:t>diecinueve de febrero de dos mil veinticinco</w:t>
      </w:r>
      <w:r w:rsidR="00363513" w:rsidRPr="00AC3697">
        <w:rPr>
          <w:rFonts w:ascii="Palatino Linotype" w:eastAsia="Palatino Linotype" w:hAnsi="Palatino Linotype" w:cs="Palatino Linotype"/>
          <w:b/>
          <w:color w:val="000000"/>
        </w:rPr>
        <w:t xml:space="preserve"> </w:t>
      </w:r>
      <w:r w:rsidR="00363513" w:rsidRPr="00AC3697">
        <w:rPr>
          <w:rFonts w:ascii="Palatino Linotype" w:eastAsia="Palatino Linotype" w:hAnsi="Palatino Linotype" w:cs="Palatino Linotype"/>
          <w:color w:val="000000"/>
        </w:rPr>
        <w:t xml:space="preserve">el </w:t>
      </w:r>
      <w:r w:rsidR="00363513" w:rsidRPr="00AC3697">
        <w:rPr>
          <w:rFonts w:ascii="Palatino Linotype" w:eastAsia="Palatino Linotype" w:hAnsi="Palatino Linotype" w:cs="Palatino Linotype"/>
          <w:b/>
          <w:color w:val="000000"/>
        </w:rPr>
        <w:t xml:space="preserve">SUJETO OBLIGADO </w:t>
      </w:r>
      <w:r w:rsidR="00363513" w:rsidRPr="00AC3697">
        <w:rPr>
          <w:rFonts w:ascii="Palatino Linotype" w:eastAsia="Palatino Linotype" w:hAnsi="Palatino Linotype" w:cs="Palatino Linotype"/>
          <w:color w:val="000000"/>
        </w:rPr>
        <w:t>rindió su informe justificado al tenor de lo siguiente:</w:t>
      </w:r>
    </w:p>
    <w:p w14:paraId="5A1C887D" w14:textId="77777777" w:rsidR="00363513" w:rsidRPr="00AC3697" w:rsidRDefault="00363513"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EC42EB0" w14:textId="7482CAA7" w:rsidR="00363513" w:rsidRPr="00AC3697" w:rsidRDefault="00CC1F4E" w:rsidP="003234CB">
      <w:pPr>
        <w:pStyle w:val="Prrafodelista"/>
        <w:numPr>
          <w:ilvl w:val="0"/>
          <w:numId w:val="10"/>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Oficio signado por la Directora de Gobierno mediante el cual informa remite el "Acuerdo: CT/NAU/ACTA-ORD-003/2025/02 llevado a cabo en la Tercera Sesión Ordinaria, el día 5 de febrero del año en curso. </w:t>
      </w:r>
    </w:p>
    <w:p w14:paraId="67B17908" w14:textId="77777777" w:rsidR="00CC1F4E" w:rsidRPr="00AC3697" w:rsidRDefault="00CC1F4E" w:rsidP="003234CB">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73FFB63" w14:textId="486ACAEE" w:rsidR="00363513" w:rsidRPr="00AC3697" w:rsidRDefault="00363513"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r w:rsidRPr="00AC3697">
        <w:rPr>
          <w:rFonts w:ascii="Palatino Linotype" w:eastAsia="Palatino Linotype" w:hAnsi="Palatino Linotype" w:cs="Palatino Linotype"/>
          <w:color w:val="000000"/>
        </w:rPr>
        <w:t xml:space="preserve">Documento que se hizo del conocimiento de la parte Recurrente en fecha </w:t>
      </w:r>
      <w:r w:rsidR="00CC1F4E" w:rsidRPr="00AC3697">
        <w:rPr>
          <w:rFonts w:ascii="Palatino Linotype" w:eastAsia="Palatino Linotype" w:hAnsi="Palatino Linotype" w:cs="Palatino Linotype"/>
          <w:b/>
          <w:color w:val="000000"/>
        </w:rPr>
        <w:t>veinticinco de marzo de dos mil veinticinco.</w:t>
      </w:r>
    </w:p>
    <w:p w14:paraId="6C9C0311" w14:textId="77777777" w:rsidR="00363513" w:rsidRPr="00AC3697" w:rsidRDefault="00363513"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82E97FD" w14:textId="77777777" w:rsidR="009338B5" w:rsidRPr="00AC3697" w:rsidRDefault="00363513"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La parte Recurrente fue omisa en rendir manifestaciones.</w:t>
      </w:r>
      <w:r w:rsidR="005A5FFF" w:rsidRPr="00AC3697">
        <w:rPr>
          <w:rFonts w:ascii="Palatino Linotype" w:eastAsia="Palatino Linotype" w:hAnsi="Palatino Linotype" w:cs="Palatino Linotype"/>
          <w:color w:val="000000"/>
        </w:rPr>
        <w:t xml:space="preserve"> </w:t>
      </w:r>
    </w:p>
    <w:p w14:paraId="6E89A5A4" w14:textId="77777777" w:rsidR="005A5FFF" w:rsidRPr="00AC3697" w:rsidRDefault="005A5FFF"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1A47186" w14:textId="15B3CBCF" w:rsidR="009338B5" w:rsidRPr="00AC3697" w:rsidRDefault="00E0628C" w:rsidP="003234C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Cierre de instrucción</w:t>
      </w:r>
      <w:r w:rsidRPr="00AC3697">
        <w:rPr>
          <w:rFonts w:ascii="Palatino Linotype" w:eastAsia="Palatino Linotype" w:hAnsi="Palatino Linotype" w:cs="Palatino Linotype"/>
          <w:color w:val="000000"/>
        </w:rPr>
        <w:t xml:space="preserve">. En fecha </w:t>
      </w:r>
      <w:r w:rsidR="00CC1F4E" w:rsidRPr="00AC3697">
        <w:rPr>
          <w:rFonts w:ascii="Palatino Linotype" w:eastAsia="Palatino Linotype" w:hAnsi="Palatino Linotype" w:cs="Palatino Linotype"/>
          <w:b/>
        </w:rPr>
        <w:t>treinta y uno de marzo</w:t>
      </w:r>
      <w:r w:rsidR="006516C6" w:rsidRPr="00AC3697">
        <w:rPr>
          <w:rFonts w:ascii="Palatino Linotype" w:eastAsia="Palatino Linotype" w:hAnsi="Palatino Linotype" w:cs="Palatino Linotype"/>
          <w:b/>
        </w:rPr>
        <w:t xml:space="preserve"> </w:t>
      </w:r>
      <w:r w:rsidR="005A5FFF" w:rsidRPr="00AC3697">
        <w:rPr>
          <w:rFonts w:ascii="Palatino Linotype" w:eastAsia="Palatino Linotype" w:hAnsi="Palatino Linotype" w:cs="Palatino Linotype"/>
          <w:b/>
        </w:rPr>
        <w:t>de dos mil veinticinco</w:t>
      </w:r>
      <w:r w:rsidRPr="00AC3697">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0CA3FFB8" w14:textId="77777777" w:rsidR="005A5FFF" w:rsidRPr="00AC3697" w:rsidRDefault="005A5FFF"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A95E7C0"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3E8632E"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7531988D" w14:textId="77777777" w:rsidR="009338B5" w:rsidRPr="00AC3697" w:rsidRDefault="00E0628C" w:rsidP="003234CB">
      <w:pPr>
        <w:spacing w:after="0" w:line="360" w:lineRule="auto"/>
        <w:ind w:right="49"/>
        <w:jc w:val="center"/>
        <w:rPr>
          <w:rFonts w:ascii="Palatino Linotype" w:eastAsia="Palatino Linotype" w:hAnsi="Palatino Linotype" w:cs="Palatino Linotype"/>
          <w:b/>
        </w:rPr>
      </w:pPr>
      <w:r w:rsidRPr="00AC3697">
        <w:rPr>
          <w:rFonts w:ascii="Palatino Linotype" w:eastAsia="Palatino Linotype" w:hAnsi="Palatino Linotype" w:cs="Palatino Linotype"/>
          <w:b/>
        </w:rPr>
        <w:t>II.</w:t>
      </w:r>
      <w:r w:rsidRPr="00AC3697">
        <w:rPr>
          <w:rFonts w:ascii="Palatino Linotype" w:eastAsia="Palatino Linotype" w:hAnsi="Palatino Linotype" w:cs="Palatino Linotype"/>
          <w:b/>
        </w:rPr>
        <w:tab/>
        <w:t>C O N S I D E R A N D O:</w:t>
      </w:r>
    </w:p>
    <w:p w14:paraId="0AB645F2"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38D890C1" w14:textId="7DA8D319"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Primero. Competencia.</w:t>
      </w:r>
      <w:r w:rsidRPr="00AC3697">
        <w:rPr>
          <w:rFonts w:ascii="Palatino Linotype" w:eastAsia="Palatino Linotype" w:hAnsi="Palatino Linotype" w:cs="Palatino Linotype"/>
        </w:rPr>
        <w:t xml:space="preserve"> </w:t>
      </w:r>
      <w:r w:rsidR="003234CB" w:rsidRPr="00AC3697">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003234CB" w:rsidRPr="00AC3697">
        <w:rPr>
          <w:rFonts w:ascii="Palatino Linotype" w:eastAsia="Palatino Linotype" w:hAnsi="Palatino Linotype" w:cs="Palatino Linotype"/>
        </w:rPr>
        <w:lastRenderedPageBreak/>
        <w:t xml:space="preserve">conforme a lo dispuesto en los artículos 6, apartado A de la Constitución Política de los Estados Unidos Mexicanos; 5, párrafos trigésimo </w:t>
      </w:r>
      <w:r w:rsidR="002762FB" w:rsidRPr="00AC3697">
        <w:rPr>
          <w:rFonts w:ascii="Palatino Linotype" w:eastAsia="Palatino Linotype" w:hAnsi="Palatino Linotype" w:cs="Palatino Linotype"/>
        </w:rPr>
        <w:t>séptimo</w:t>
      </w:r>
      <w:r w:rsidR="003234CB" w:rsidRPr="00AC3697">
        <w:rPr>
          <w:rFonts w:ascii="Palatino Linotype" w:eastAsia="Palatino Linotype" w:hAnsi="Palatino Linotype" w:cs="Palatino Linotype"/>
        </w:rPr>
        <w:t xml:space="preserve">, trigésimo </w:t>
      </w:r>
      <w:r w:rsidR="002762FB" w:rsidRPr="00AC3697">
        <w:rPr>
          <w:rFonts w:ascii="Palatino Linotype" w:eastAsia="Palatino Linotype" w:hAnsi="Palatino Linotype" w:cs="Palatino Linotype"/>
        </w:rPr>
        <w:t>octavo</w:t>
      </w:r>
      <w:r w:rsidR="003234CB" w:rsidRPr="00AC3697">
        <w:rPr>
          <w:rFonts w:ascii="Palatino Linotype" w:eastAsia="Palatino Linotype" w:hAnsi="Palatino Linotype" w:cs="Palatino Linotype"/>
        </w:rPr>
        <w:t xml:space="preserve"> y trigésimo </w:t>
      </w:r>
      <w:r w:rsidR="002762FB" w:rsidRPr="00AC3697">
        <w:rPr>
          <w:rFonts w:ascii="Palatino Linotype" w:eastAsia="Palatino Linotype" w:hAnsi="Palatino Linotype" w:cs="Palatino Linotype"/>
        </w:rPr>
        <w:t>noveno</w:t>
      </w:r>
      <w:r w:rsidR="003234CB" w:rsidRPr="00AC3697">
        <w:rPr>
          <w:rFonts w:ascii="Palatino Linotype" w:eastAsia="Palatino Linotype" w:hAnsi="Palatino Linotype" w:cs="Palatino Linotype"/>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0F8AD81" w14:textId="77777777" w:rsidR="003234CB" w:rsidRPr="00AC3697" w:rsidRDefault="003234CB" w:rsidP="003234CB">
      <w:pPr>
        <w:spacing w:after="0" w:line="360" w:lineRule="auto"/>
        <w:ind w:right="49"/>
        <w:jc w:val="both"/>
        <w:rPr>
          <w:rFonts w:ascii="Palatino Linotype" w:eastAsia="Palatino Linotype" w:hAnsi="Palatino Linotype" w:cs="Palatino Linotype"/>
        </w:rPr>
      </w:pPr>
    </w:p>
    <w:p w14:paraId="673617E6"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Segundo. Oportunidad y Procedibilidad del Recurso de Revisión.</w:t>
      </w:r>
      <w:r w:rsidRPr="00AC3697">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213FBFF4" w14:textId="77777777" w:rsidR="006516C6" w:rsidRPr="00AC3697" w:rsidRDefault="006516C6" w:rsidP="003234CB">
      <w:pPr>
        <w:spacing w:after="0" w:line="360" w:lineRule="auto"/>
        <w:ind w:right="49"/>
        <w:jc w:val="both"/>
        <w:rPr>
          <w:rFonts w:ascii="Palatino Linotype" w:eastAsia="Palatino Linotype" w:hAnsi="Palatino Linotype" w:cs="Palatino Linotype"/>
        </w:rPr>
      </w:pPr>
    </w:p>
    <w:p w14:paraId="25B3AE9C" w14:textId="6738B366"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 xml:space="preserve"> remitió la respuesta a la solicitud de información el </w:t>
      </w:r>
      <w:r w:rsidR="00E20F39" w:rsidRPr="00AC3697">
        <w:rPr>
          <w:rFonts w:ascii="Palatino Linotype" w:eastAsia="Palatino Linotype" w:hAnsi="Palatino Linotype" w:cs="Palatino Linotype"/>
          <w:b/>
        </w:rPr>
        <w:t>once de febrero</w:t>
      </w:r>
      <w:r w:rsidR="005A5FFF" w:rsidRPr="00AC3697">
        <w:rPr>
          <w:rFonts w:ascii="Palatino Linotype" w:eastAsia="Palatino Linotype" w:hAnsi="Palatino Linotype" w:cs="Palatino Linotype"/>
          <w:b/>
        </w:rPr>
        <w:t xml:space="preserve"> de dos mil veinticinco</w:t>
      </w:r>
      <w:r w:rsidR="005A5FFF" w:rsidRPr="00AC3697">
        <w:rPr>
          <w:rFonts w:ascii="Palatino Linotype" w:eastAsia="Palatino Linotype" w:hAnsi="Palatino Linotype" w:cs="Palatino Linotype"/>
        </w:rPr>
        <w:t>,</w:t>
      </w:r>
      <w:r w:rsidRPr="00AC3697">
        <w:rPr>
          <w:rFonts w:ascii="Palatino Linotype" w:eastAsia="Palatino Linotype" w:hAnsi="Palatino Linotype" w:cs="Palatino Linotype"/>
        </w:rPr>
        <w:t xml:space="preserve"> mientras que el recurso de revisión interpuesto por la parte </w:t>
      </w:r>
      <w:r w:rsidRPr="00AC3697">
        <w:rPr>
          <w:rFonts w:ascii="Palatino Linotype" w:eastAsia="Palatino Linotype" w:hAnsi="Palatino Linotype" w:cs="Palatino Linotype"/>
          <w:b/>
        </w:rPr>
        <w:t xml:space="preserve">RECURRENTE </w:t>
      </w:r>
      <w:r w:rsidRPr="00AC3697">
        <w:rPr>
          <w:rFonts w:ascii="Palatino Linotype" w:eastAsia="Palatino Linotype" w:hAnsi="Palatino Linotype" w:cs="Palatino Linotype"/>
        </w:rPr>
        <w:t>se tuvo por presentado el</w:t>
      </w:r>
      <w:r w:rsidR="009A744D" w:rsidRPr="00AC3697">
        <w:rPr>
          <w:rFonts w:ascii="Palatino Linotype" w:eastAsia="Palatino Linotype" w:hAnsi="Palatino Linotype" w:cs="Palatino Linotype"/>
          <w:b/>
        </w:rPr>
        <w:t xml:space="preserve"> catorce de febrero de dos mil veinticinco</w:t>
      </w:r>
      <w:r w:rsidR="009A744D" w:rsidRPr="00AC3697">
        <w:rPr>
          <w:rFonts w:ascii="Palatino Linotype" w:eastAsia="Palatino Linotype" w:hAnsi="Palatino Linotype" w:cs="Palatino Linotype"/>
        </w:rPr>
        <w:t>, esto es al tercer</w:t>
      </w:r>
      <w:r w:rsidR="005A5FFF" w:rsidRPr="00AC3697">
        <w:rPr>
          <w:rFonts w:ascii="Palatino Linotype" w:eastAsia="Palatino Linotype" w:hAnsi="Palatino Linotype" w:cs="Palatino Linotype"/>
        </w:rPr>
        <w:t xml:space="preserve"> día en que</w:t>
      </w:r>
      <w:r w:rsidRPr="00AC3697">
        <w:rPr>
          <w:rFonts w:ascii="Palatino Linotype" w:eastAsia="Palatino Linotype" w:hAnsi="Palatino Linotype" w:cs="Palatino Linotype"/>
        </w:rPr>
        <w:t xml:space="preserve"> se tuvo conocimiento de la respuesta. </w:t>
      </w:r>
    </w:p>
    <w:p w14:paraId="793E6EA2" w14:textId="77777777" w:rsidR="006516C6" w:rsidRPr="00AC3697" w:rsidRDefault="006516C6" w:rsidP="003234CB">
      <w:pPr>
        <w:spacing w:after="0" w:line="360" w:lineRule="auto"/>
        <w:ind w:right="49"/>
        <w:jc w:val="both"/>
        <w:rPr>
          <w:rFonts w:ascii="Palatino Linotype" w:eastAsia="Palatino Linotype" w:hAnsi="Palatino Linotype" w:cs="Palatino Linotype"/>
        </w:rPr>
      </w:pPr>
    </w:p>
    <w:p w14:paraId="1B4BD8C0"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En este sentido, al considerar la fecha en que se formuló la solicitud y la fecha en que respondió a esta el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47C70C5A"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587E20A0" w14:textId="77777777" w:rsidR="00E538A4" w:rsidRPr="00AC3697" w:rsidRDefault="00E538A4" w:rsidP="003234CB">
      <w:pPr>
        <w:spacing w:after="0" w:line="360" w:lineRule="auto"/>
        <w:ind w:right="49"/>
        <w:jc w:val="both"/>
        <w:rPr>
          <w:rFonts w:ascii="Palatino Linotype" w:eastAsia="Palatino Linotype" w:hAnsi="Palatino Linotype" w:cs="Palatino Linotype"/>
        </w:rPr>
      </w:pPr>
    </w:p>
    <w:p w14:paraId="79B67BD4"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C3697">
        <w:rPr>
          <w:rFonts w:ascii="Palatino Linotype" w:eastAsia="Palatino Linotype" w:hAnsi="Palatino Linotype" w:cs="Palatino Linotype"/>
          <w:b/>
        </w:rPr>
        <w:t>SAIMEX</w:t>
      </w:r>
      <w:r w:rsidR="00E538A4" w:rsidRPr="00AC3697">
        <w:rPr>
          <w:rFonts w:ascii="Palatino Linotype" w:eastAsia="Palatino Linotype" w:hAnsi="Palatino Linotype" w:cs="Palatino Linotype"/>
        </w:rPr>
        <w:t xml:space="preserve">. </w:t>
      </w:r>
    </w:p>
    <w:p w14:paraId="68B96ED2" w14:textId="77777777" w:rsidR="0004412B" w:rsidRPr="00AC3697" w:rsidRDefault="0004412B" w:rsidP="003234CB">
      <w:pPr>
        <w:spacing w:after="0" w:line="360" w:lineRule="auto"/>
        <w:ind w:right="49"/>
        <w:jc w:val="both"/>
        <w:rPr>
          <w:rFonts w:ascii="Palatino Linotype" w:eastAsia="Palatino Linotype" w:hAnsi="Palatino Linotype" w:cs="Palatino Linotype"/>
        </w:rPr>
      </w:pPr>
    </w:p>
    <w:p w14:paraId="2CDD6367" w14:textId="1234DF96"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Finalmente, resulta procedente la interposición del recurso de revisión al rubro anotado, toda vez que se actualiza la hipótesis de procedencia prevista en el artículo 179, fracción </w:t>
      </w:r>
      <w:r w:rsidR="005A5FFF" w:rsidRPr="00AC3697">
        <w:rPr>
          <w:rFonts w:ascii="Palatino Linotype" w:eastAsia="Palatino Linotype" w:hAnsi="Palatino Linotype" w:cs="Palatino Linotype"/>
        </w:rPr>
        <w:t>I</w:t>
      </w:r>
      <w:r w:rsidR="009A744D" w:rsidRPr="00AC3697">
        <w:rPr>
          <w:rFonts w:ascii="Palatino Linotype" w:eastAsia="Palatino Linotype" w:hAnsi="Palatino Linotype" w:cs="Palatino Linotype"/>
        </w:rPr>
        <w:t>, II y V</w:t>
      </w:r>
      <w:r w:rsidR="005A5FFF" w:rsidRPr="00AC3697">
        <w:rPr>
          <w:rFonts w:ascii="Palatino Linotype" w:eastAsia="Palatino Linotype" w:hAnsi="Palatino Linotype" w:cs="Palatino Linotype"/>
        </w:rPr>
        <w:t xml:space="preserve"> </w:t>
      </w:r>
      <w:r w:rsidRPr="00AC3697">
        <w:rPr>
          <w:rFonts w:ascii="Palatino Linotype" w:eastAsia="Palatino Linotype" w:hAnsi="Palatino Linotype" w:cs="Palatino Linotype"/>
        </w:rPr>
        <w:t>de la Ley de la materia, que a la letra dice:</w:t>
      </w:r>
    </w:p>
    <w:p w14:paraId="443B3C96"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2F901BFD"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Artículo 179.</w:t>
      </w:r>
      <w:r w:rsidRPr="00AC369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68E760D"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6253B2F4" w14:textId="77777777" w:rsidR="009338B5" w:rsidRPr="00AC3697" w:rsidRDefault="005A5FFF"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I. La negativa de entrega de la información;</w:t>
      </w:r>
    </w:p>
    <w:p w14:paraId="11723E02" w14:textId="25CB70B6" w:rsidR="009A744D" w:rsidRPr="00AC3697" w:rsidRDefault="009A744D"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II. La clasificación de la información;</w:t>
      </w:r>
    </w:p>
    <w:p w14:paraId="08AFC219" w14:textId="40770D21" w:rsidR="009A744D" w:rsidRPr="00AC3697" w:rsidRDefault="009A744D"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323F8A99" w14:textId="5B6C12AE" w:rsidR="009A744D" w:rsidRPr="00AC3697" w:rsidRDefault="009A744D"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V. La entrega de información incompleta; </w:t>
      </w:r>
    </w:p>
    <w:p w14:paraId="40051980" w14:textId="77777777" w:rsidR="005A5FFF" w:rsidRPr="00AC3697" w:rsidRDefault="005A5FFF"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1EB01BB1"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6523271F" w14:textId="62673BAE"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Tercero. Materia de la revisión</w:t>
      </w:r>
      <w:r w:rsidRPr="00AC3697">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w:t>
      </w:r>
      <w:r w:rsidR="005A5FFF" w:rsidRPr="00AC3697">
        <w:rPr>
          <w:rFonts w:ascii="Palatino Linotype" w:eastAsia="Palatino Linotype" w:hAnsi="Palatino Linotype" w:cs="Palatino Linotype"/>
        </w:rPr>
        <w:t>I</w:t>
      </w:r>
      <w:r w:rsidR="009A744D" w:rsidRPr="00AC3697">
        <w:rPr>
          <w:rFonts w:ascii="Palatino Linotype" w:eastAsia="Palatino Linotype" w:hAnsi="Palatino Linotype" w:cs="Palatino Linotype"/>
        </w:rPr>
        <w:t>, II y V</w:t>
      </w:r>
      <w:r w:rsidRPr="00AC3697">
        <w:rPr>
          <w:rFonts w:ascii="Palatino Linotype" w:eastAsia="Palatino Linotype" w:hAnsi="Palatino Linotype" w:cs="Palatino Linotype"/>
        </w:rPr>
        <w:t xml:space="preserve"> del artículo 179 de la Ley en la materia. </w:t>
      </w:r>
    </w:p>
    <w:p w14:paraId="10A0B797"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00AFE1D8"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Cuarto.</w:t>
      </w:r>
      <w:r w:rsidRPr="00AC3697">
        <w:rPr>
          <w:rFonts w:ascii="Palatino Linotype" w:eastAsia="Palatino Linotype" w:hAnsi="Palatino Linotype" w:cs="Palatino Linotype"/>
        </w:rPr>
        <w:t xml:space="preserve"> </w:t>
      </w:r>
      <w:r w:rsidRPr="00AC3697">
        <w:rPr>
          <w:rFonts w:ascii="Palatino Linotype" w:eastAsia="Palatino Linotype" w:hAnsi="Palatino Linotype" w:cs="Palatino Linotype"/>
          <w:b/>
        </w:rPr>
        <w:t>Estudio de fondo del asunto.</w:t>
      </w:r>
      <w:r w:rsidRPr="00AC3697">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w:t>
      </w:r>
      <w:r w:rsidRPr="00AC3697">
        <w:rPr>
          <w:rFonts w:ascii="Palatino Linotype" w:eastAsia="Palatino Linotype" w:hAnsi="Palatino Linotype" w:cs="Palatino Linotype"/>
        </w:rPr>
        <w:lastRenderedPageBreak/>
        <w:t>instrumentos internacionales de los cuales el Estado Mexicano se ha adherido, sin oponer reserva alguna sobre lo que nos interesa, adoptando dichas disposiciones al Derecho Interno, específicamente a nivel Constitucional, tal y como lo prevén los arábigos 1 párrafos</w:t>
      </w:r>
      <w:r w:rsidR="006516C6" w:rsidRPr="00AC3697">
        <w:rPr>
          <w:rFonts w:ascii="Palatino Linotype" w:eastAsia="Palatino Linotype" w:hAnsi="Palatino Linotype" w:cs="Palatino Linotype"/>
        </w:rPr>
        <w:t xml:space="preserve"> primero, segundo y tercero y 6°. </w:t>
      </w:r>
    </w:p>
    <w:p w14:paraId="7677C19B" w14:textId="77777777" w:rsidR="006516C6" w:rsidRPr="00AC3697" w:rsidRDefault="006516C6" w:rsidP="003234CB">
      <w:pPr>
        <w:spacing w:after="0" w:line="360" w:lineRule="auto"/>
        <w:ind w:right="49"/>
        <w:jc w:val="both"/>
        <w:rPr>
          <w:rFonts w:ascii="Palatino Linotype" w:eastAsia="Palatino Linotype" w:hAnsi="Palatino Linotype" w:cs="Palatino Linotype"/>
        </w:rPr>
      </w:pPr>
    </w:p>
    <w:p w14:paraId="6B4B429B"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471DE2"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60523E64"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Artículo 4.</w:t>
      </w:r>
      <w:r w:rsidRPr="00AC369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30739F"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D066D1"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lastRenderedPageBreak/>
        <w:t>Los sujetos obligados deben poner en práctica, políticas y programas de acceso a la información que se apeguen a criterios de publicidad, veracidad, oportunidad, precisión y suficiencia en beneficio de los solicitantes.”</w:t>
      </w:r>
    </w:p>
    <w:p w14:paraId="5D052169" w14:textId="77777777" w:rsidR="009338B5" w:rsidRPr="00AC3697" w:rsidRDefault="009338B5" w:rsidP="003234CB">
      <w:pPr>
        <w:spacing w:after="0" w:line="360" w:lineRule="auto"/>
        <w:ind w:left="567" w:right="560"/>
        <w:jc w:val="both"/>
        <w:rPr>
          <w:rFonts w:ascii="Palatino Linotype" w:eastAsia="Palatino Linotype" w:hAnsi="Palatino Linotype" w:cs="Palatino Linotype"/>
          <w:i/>
        </w:rPr>
      </w:pPr>
    </w:p>
    <w:p w14:paraId="28DFAFE8"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86C2D4D" w14:textId="77777777" w:rsidR="0004412B" w:rsidRPr="00AC3697" w:rsidRDefault="0004412B" w:rsidP="003234CB">
      <w:pPr>
        <w:spacing w:after="0" w:line="360" w:lineRule="auto"/>
        <w:ind w:right="49"/>
        <w:jc w:val="both"/>
        <w:rPr>
          <w:rFonts w:ascii="Palatino Linotype" w:eastAsia="Palatino Linotype" w:hAnsi="Palatino Linotype" w:cs="Palatino Linotype"/>
        </w:rPr>
      </w:pPr>
    </w:p>
    <w:p w14:paraId="5912AA87"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Artículo 12.</w:t>
      </w:r>
      <w:r w:rsidRPr="00AC369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C24E8CA"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F036ED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71C0FA2F" w14:textId="10F3D24F"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w:t>
      </w:r>
      <w:r w:rsidR="000C4CDF" w:rsidRPr="00AC3697">
        <w:rPr>
          <w:rFonts w:ascii="Palatino Linotype" w:eastAsia="Palatino Linotype" w:hAnsi="Palatino Linotype" w:cs="Palatino Linotype"/>
        </w:rPr>
        <w:t xml:space="preserve"> </w:t>
      </w:r>
      <w:r w:rsidR="00ED74CA" w:rsidRPr="00AC3697">
        <w:rPr>
          <w:rFonts w:ascii="Palatino Linotype" w:eastAsia="Palatino Linotype" w:hAnsi="Palatino Linotype" w:cs="Palatino Linotype"/>
        </w:rPr>
        <w:t>entonces</w:t>
      </w:r>
      <w:r w:rsidRPr="00AC3697">
        <w:rPr>
          <w:rFonts w:ascii="Palatino Linotype" w:eastAsia="Palatino Linotype" w:hAnsi="Palatino Linotype" w:cs="Palatino Linotype"/>
        </w:rPr>
        <w:t xml:space="preserve"> Instituto Nacional de Transparencia, Acceso a la Información Pública y Protección de Datos Personales, el cual señala lo siguiente:</w:t>
      </w:r>
    </w:p>
    <w:p w14:paraId="134ADE7A"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3A45BC79"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b/>
          <w:i/>
        </w:rPr>
      </w:pPr>
      <w:r w:rsidRPr="00AC3697">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AC3697">
        <w:rPr>
          <w:rFonts w:ascii="Palatino Linotype" w:eastAsia="Palatino Linotype" w:hAnsi="Palatino Linotype" w:cs="Palatino Linotype"/>
          <w:i/>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05C32BE" w14:textId="77777777" w:rsidR="009338B5" w:rsidRPr="00AC3697" w:rsidRDefault="009338B5" w:rsidP="003234CB">
      <w:pPr>
        <w:spacing w:after="0" w:line="360" w:lineRule="auto"/>
        <w:ind w:left="567" w:right="560"/>
        <w:jc w:val="both"/>
        <w:rPr>
          <w:rFonts w:ascii="Palatino Linotype" w:eastAsia="Palatino Linotype" w:hAnsi="Palatino Linotype" w:cs="Palatino Linotype"/>
          <w:b/>
          <w:i/>
        </w:rPr>
      </w:pPr>
    </w:p>
    <w:p w14:paraId="0C137320"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344CC5"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2E71F99C"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81998E"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37ECCC28"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w:t>
      </w:r>
      <w:r w:rsidRPr="00AC3697">
        <w:rPr>
          <w:rFonts w:ascii="Palatino Linotype" w:eastAsia="Palatino Linotype" w:hAnsi="Palatino Linotype" w:cs="Palatino Linotype"/>
        </w:rPr>
        <w:lastRenderedPageBreak/>
        <w:t xml:space="preserve">de los Sujetos Obligados; los que, podrán estar en cualquier medio, sea escrito, impreso, sonoro, visual, electrónico, informático u holográfico de conformidad con el artículo 3, fracción XI de la Ley de la materia, el cual señala lo siguiente: </w:t>
      </w:r>
    </w:p>
    <w:p w14:paraId="1260DFC5" w14:textId="77777777" w:rsidR="009338B5" w:rsidRPr="00AC3697" w:rsidRDefault="009338B5" w:rsidP="003234CB">
      <w:pPr>
        <w:spacing w:after="0" w:line="360" w:lineRule="auto"/>
        <w:ind w:left="567" w:right="560"/>
        <w:jc w:val="both"/>
        <w:rPr>
          <w:rFonts w:ascii="Palatino Linotype" w:eastAsia="Palatino Linotype" w:hAnsi="Palatino Linotype" w:cs="Palatino Linotype"/>
          <w:i/>
        </w:rPr>
      </w:pPr>
    </w:p>
    <w:p w14:paraId="297535C0"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Artículo 3.</w:t>
      </w:r>
      <w:r w:rsidRPr="00AC3697">
        <w:rPr>
          <w:rFonts w:ascii="Palatino Linotype" w:eastAsia="Palatino Linotype" w:hAnsi="Palatino Linotype" w:cs="Palatino Linotype"/>
          <w:i/>
        </w:rPr>
        <w:t xml:space="preserve"> Para los efectos de la presente Ley se entenderá por:</w:t>
      </w:r>
    </w:p>
    <w:p w14:paraId="109BCE89"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444F11B2"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b/>
          <w:i/>
        </w:rPr>
        <w:t>XI. Documento:</w:t>
      </w:r>
      <w:r w:rsidRPr="00AC3697">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866AEC9" w14:textId="77777777" w:rsidR="009338B5" w:rsidRPr="00AC3697" w:rsidRDefault="009338B5" w:rsidP="003234CB">
      <w:pPr>
        <w:spacing w:after="0" w:line="360" w:lineRule="auto"/>
        <w:ind w:left="567" w:right="560"/>
        <w:jc w:val="both"/>
        <w:rPr>
          <w:rFonts w:ascii="Palatino Linotype" w:eastAsia="Palatino Linotype" w:hAnsi="Palatino Linotype" w:cs="Palatino Linotype"/>
          <w:i/>
        </w:rPr>
      </w:pPr>
    </w:p>
    <w:p w14:paraId="064C15B0"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FE8AB0C" w14:textId="77777777" w:rsidR="00363513" w:rsidRPr="00AC3697" w:rsidRDefault="00363513" w:rsidP="003234CB">
      <w:pPr>
        <w:spacing w:after="0" w:line="360" w:lineRule="auto"/>
        <w:ind w:right="49"/>
        <w:jc w:val="both"/>
        <w:rPr>
          <w:rFonts w:ascii="Palatino Linotype" w:eastAsia="Palatino Linotype" w:hAnsi="Palatino Linotype" w:cs="Palatino Linotype"/>
        </w:rPr>
      </w:pPr>
    </w:p>
    <w:p w14:paraId="0BF6C859"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b/>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AC369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70C1C5"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En consecuencia el acceso a la información se refiere a que se cumplan cualquiera de los siguientes tres supuestos:</w:t>
      </w:r>
    </w:p>
    <w:p w14:paraId="21C66854"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lastRenderedPageBreak/>
        <w:t>1)</w:t>
      </w:r>
      <w:r w:rsidRPr="00AC3697">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539D161D"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2)</w:t>
      </w:r>
      <w:r w:rsidRPr="00AC3697">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4C6627D5" w14:textId="77777777" w:rsidR="009338B5" w:rsidRPr="00AC3697" w:rsidRDefault="00E0628C" w:rsidP="003234CB">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612F34B" w14:textId="77777777" w:rsidR="006516C6" w:rsidRPr="00AC3697" w:rsidRDefault="006516C6" w:rsidP="003234CB">
      <w:pPr>
        <w:spacing w:after="0" w:line="360" w:lineRule="auto"/>
        <w:ind w:right="49"/>
        <w:jc w:val="both"/>
        <w:rPr>
          <w:rFonts w:ascii="Palatino Linotype" w:eastAsia="Palatino Linotype" w:hAnsi="Palatino Linotype" w:cs="Palatino Linotype"/>
        </w:rPr>
      </w:pPr>
    </w:p>
    <w:p w14:paraId="200C40B7" w14:textId="77777777"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111B765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65988501" w14:textId="47515CFF"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De las actuaciones que integran el expediente electrónico, se procede al análisis de los agravios hechos valer por la parte Recurrente, relativos a la</w:t>
      </w:r>
      <w:r w:rsidR="00117754" w:rsidRPr="00AC3697">
        <w:rPr>
          <w:rFonts w:ascii="Palatino Linotype" w:eastAsia="Palatino Linotype" w:hAnsi="Palatino Linotype" w:cs="Palatino Linotype"/>
        </w:rPr>
        <w:t xml:space="preserve"> negativa de</w:t>
      </w:r>
      <w:r w:rsidRPr="00AC3697">
        <w:rPr>
          <w:rFonts w:ascii="Palatino Linotype" w:eastAsia="Palatino Linotype" w:hAnsi="Palatino Linotype" w:cs="Palatino Linotype"/>
        </w:rPr>
        <w:t xml:space="preserve"> entrega de</w:t>
      </w:r>
      <w:r w:rsidR="00117754" w:rsidRPr="00AC3697">
        <w:rPr>
          <w:rFonts w:ascii="Palatino Linotype" w:eastAsia="Palatino Linotype" w:hAnsi="Palatino Linotype" w:cs="Palatino Linotype"/>
        </w:rPr>
        <w:t xml:space="preserve"> la</w:t>
      </w:r>
      <w:r w:rsidRPr="00AC3697">
        <w:rPr>
          <w:rFonts w:ascii="Palatino Linotype" w:eastAsia="Palatino Linotype" w:hAnsi="Palatino Linotype" w:cs="Palatino Linotype"/>
        </w:rPr>
        <w:t xml:space="preserve"> información,</w:t>
      </w:r>
      <w:r w:rsidR="003234CB" w:rsidRPr="00AC3697">
        <w:rPr>
          <w:rFonts w:ascii="Palatino Linotype" w:eastAsia="Palatino Linotype" w:hAnsi="Palatino Linotype" w:cs="Palatino Linotype"/>
        </w:rPr>
        <w:t xml:space="preserve"> la clasificación y la entrega de información incompleta</w:t>
      </w:r>
      <w:r w:rsidRPr="00AC3697">
        <w:rPr>
          <w:rFonts w:ascii="Palatino Linotype" w:eastAsia="Palatino Linotype" w:hAnsi="Palatino Linotype" w:cs="Palatino Linotype"/>
        </w:rPr>
        <w:t xml:space="preserve"> lo que actualiza la causal de procedencia prevista en la fracción </w:t>
      </w:r>
      <w:r w:rsidR="003234CB" w:rsidRPr="00AC3697">
        <w:rPr>
          <w:rFonts w:ascii="Palatino Linotype" w:eastAsia="Palatino Linotype" w:hAnsi="Palatino Linotype" w:cs="Palatino Linotype"/>
        </w:rPr>
        <w:t xml:space="preserve">I, </w:t>
      </w:r>
      <w:r w:rsidR="00E20F39" w:rsidRPr="00AC3697">
        <w:rPr>
          <w:rFonts w:ascii="Palatino Linotype" w:eastAsia="Palatino Linotype" w:hAnsi="Palatino Linotype" w:cs="Palatino Linotype"/>
        </w:rPr>
        <w:t>II y V</w:t>
      </w:r>
      <w:r w:rsidR="00117754" w:rsidRPr="00AC3697">
        <w:rPr>
          <w:rFonts w:ascii="Palatino Linotype" w:eastAsia="Palatino Linotype" w:hAnsi="Palatino Linotype" w:cs="Palatino Linotype"/>
        </w:rPr>
        <w:t xml:space="preserve"> </w:t>
      </w:r>
      <w:r w:rsidRPr="00AC3697">
        <w:rPr>
          <w:rFonts w:ascii="Palatino Linotype" w:eastAsia="Palatino Linotype" w:hAnsi="Palatino Linotype" w:cs="Palatino Linotype"/>
        </w:rPr>
        <w:t>del artículo 179 de la Ley de Transparencia y Acceso a la Información Pública del Estado de Méxi</w:t>
      </w:r>
      <w:r w:rsidR="0004412B" w:rsidRPr="00AC3697">
        <w:rPr>
          <w:rFonts w:ascii="Palatino Linotype" w:eastAsia="Palatino Linotype" w:hAnsi="Palatino Linotype" w:cs="Palatino Linotype"/>
        </w:rPr>
        <w:t>co y Municipios</w:t>
      </w:r>
      <w:r w:rsidR="006516C6" w:rsidRPr="00AC3697">
        <w:rPr>
          <w:rFonts w:ascii="Palatino Linotype" w:eastAsia="Palatino Linotype" w:hAnsi="Palatino Linotype" w:cs="Palatino Linotype"/>
        </w:rPr>
        <w:t xml:space="preserve">. </w:t>
      </w:r>
    </w:p>
    <w:p w14:paraId="1EBAAD62" w14:textId="77777777" w:rsidR="00E20F39" w:rsidRPr="00AC3697" w:rsidRDefault="00E20F39" w:rsidP="003234CB">
      <w:pPr>
        <w:spacing w:after="0" w:line="360" w:lineRule="auto"/>
        <w:ind w:right="49"/>
        <w:jc w:val="both"/>
        <w:rPr>
          <w:rFonts w:ascii="Palatino Linotype" w:eastAsia="Palatino Linotype" w:hAnsi="Palatino Linotype" w:cs="Palatino Linotype"/>
        </w:rPr>
      </w:pPr>
    </w:p>
    <w:p w14:paraId="7C5F0162" w14:textId="77777777" w:rsidR="009A744D" w:rsidRPr="00AC3697" w:rsidRDefault="00117754"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Para ello, es de recordar que la parte Recurrente, solicitó </w:t>
      </w:r>
      <w:r w:rsidR="009A744D" w:rsidRPr="00AC3697">
        <w:rPr>
          <w:rFonts w:ascii="Palatino Linotype" w:eastAsia="Palatino Linotype" w:hAnsi="Palatino Linotype" w:cs="Palatino Linotype"/>
        </w:rPr>
        <w:t>los oficios firmados por una servidora pública del uno al quince de enero de dos mil veinticinco.</w:t>
      </w:r>
    </w:p>
    <w:p w14:paraId="1ABC9ED3" w14:textId="77777777" w:rsidR="009A744D" w:rsidRPr="00AC3697" w:rsidRDefault="009A744D" w:rsidP="003234CB">
      <w:pPr>
        <w:spacing w:after="0" w:line="360" w:lineRule="auto"/>
        <w:ind w:right="49"/>
        <w:jc w:val="both"/>
        <w:rPr>
          <w:rFonts w:ascii="Palatino Linotype" w:eastAsia="Palatino Linotype" w:hAnsi="Palatino Linotype" w:cs="Palatino Linotype"/>
        </w:rPr>
      </w:pPr>
    </w:p>
    <w:p w14:paraId="204641F8" w14:textId="13E45A99" w:rsidR="009A744D" w:rsidRPr="00AC3697" w:rsidRDefault="00117754"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color w:val="000000"/>
        </w:rPr>
        <w:t>En respuesta, el Sujeto Obligado, a través de</w:t>
      </w:r>
      <w:r w:rsidR="009A744D" w:rsidRPr="00AC3697">
        <w:rPr>
          <w:rFonts w:ascii="Palatino Linotype" w:eastAsia="Palatino Linotype" w:hAnsi="Palatino Linotype" w:cs="Palatino Linotype"/>
          <w:color w:val="000000"/>
        </w:rPr>
        <w:t xml:space="preserve"> la Directora de Gobierno mediante el cual precia que se remitió una lista de oficios firmados por la servidora pública referida en la solicitud de información del uno de enero al quince de enero del dos mil veinticinco, asimismo, </w:t>
      </w:r>
      <w:r w:rsidR="009A744D" w:rsidRPr="00AC3697">
        <w:rPr>
          <w:rFonts w:ascii="Palatino Linotype" w:eastAsia="Palatino Linotype" w:hAnsi="Palatino Linotype" w:cs="Palatino Linotype"/>
          <w:color w:val="000000"/>
        </w:rPr>
        <w:lastRenderedPageBreak/>
        <w:t xml:space="preserve">proporcionó un listado de oficios y adjuntó catorce oficios signados por la servidora pública referida en la solicitud de información en versión pública. </w:t>
      </w:r>
    </w:p>
    <w:p w14:paraId="4B21DBFF" w14:textId="5765F1BA" w:rsidR="0004412B" w:rsidRPr="00AC3697" w:rsidRDefault="0004412B" w:rsidP="003234CB">
      <w:p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 </w:t>
      </w:r>
    </w:p>
    <w:p w14:paraId="6D01A518" w14:textId="385F547F" w:rsidR="0004412B" w:rsidRPr="00AC3697" w:rsidRDefault="00117754"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rPr>
        <w:t xml:space="preserve">Derivado de ello, la parte Recurrente se inconformó refiriendo medularmente que, </w:t>
      </w:r>
      <w:r w:rsidR="009A744D" w:rsidRPr="00AC3697">
        <w:rPr>
          <w:rFonts w:ascii="Palatino Linotype" w:eastAsia="Palatino Linotype" w:hAnsi="Palatino Linotype" w:cs="Palatino Linotype"/>
          <w:color w:val="000000"/>
        </w:rPr>
        <w:t xml:space="preserve">no se le había entregado la totalidad de la información y por la clasificación de la información. </w:t>
      </w:r>
    </w:p>
    <w:p w14:paraId="7327734A" w14:textId="77777777" w:rsidR="0004412B" w:rsidRPr="00AC3697" w:rsidRDefault="0004412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B7EDB8A" w14:textId="399E8FD9" w:rsidR="006516C6" w:rsidRPr="00AC3697" w:rsidRDefault="006516C6"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Es así que, mediante informe justificado el </w:t>
      </w:r>
      <w:r w:rsidR="009A744D" w:rsidRPr="00AC3697">
        <w:rPr>
          <w:rFonts w:ascii="Palatino Linotype" w:eastAsia="Palatino Linotype" w:hAnsi="Palatino Linotype" w:cs="Palatino Linotype"/>
          <w:color w:val="000000"/>
        </w:rPr>
        <w:t xml:space="preserve">Sujeto Obligado remitió un Acuerdo: </w:t>
      </w:r>
      <w:r w:rsidR="009A744D" w:rsidRPr="00AC3697">
        <w:rPr>
          <w:rFonts w:ascii="Palatino Linotype" w:eastAsia="Palatino Linotype" w:hAnsi="Palatino Linotype" w:cs="Palatino Linotype"/>
          <w:b/>
          <w:color w:val="000000"/>
        </w:rPr>
        <w:t>CT/NAU/ACTA-ORD-003/2025/02</w:t>
      </w:r>
      <w:r w:rsidR="009A744D" w:rsidRPr="00AC3697">
        <w:rPr>
          <w:rFonts w:ascii="Palatino Linotype" w:eastAsia="Palatino Linotype" w:hAnsi="Palatino Linotype" w:cs="Palatino Linotype"/>
          <w:color w:val="000000"/>
        </w:rPr>
        <w:t xml:space="preserve"> llevado a cabo en la Tercera Sesión Ordinaria, el día 5 de febrero del año en curso.</w:t>
      </w:r>
    </w:p>
    <w:p w14:paraId="5CB90822" w14:textId="77777777" w:rsidR="006516C6" w:rsidRPr="00AC3697" w:rsidRDefault="006516C6"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EF99167" w14:textId="49EA2FEE" w:rsidR="00271459" w:rsidRPr="00AC3697" w:rsidRDefault="008104EC"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En atención a ello, se procede a </w:t>
      </w:r>
      <w:r w:rsidR="00C04A8A" w:rsidRPr="00AC3697">
        <w:rPr>
          <w:rFonts w:ascii="Palatino Linotype" w:eastAsia="Palatino Linotype" w:hAnsi="Palatino Linotype" w:cs="Palatino Linotype"/>
          <w:color w:val="000000"/>
        </w:rPr>
        <w:t xml:space="preserve">contextualizar la información solicitada, </w:t>
      </w:r>
      <w:r w:rsidR="00271459" w:rsidRPr="00AC3697">
        <w:rPr>
          <w:rFonts w:ascii="Palatino Linotype" w:eastAsia="Palatino Linotype" w:hAnsi="Palatino Linotype" w:cs="Palatino Linotype"/>
          <w:color w:val="000000"/>
        </w:rPr>
        <w:t xml:space="preserve">para ello, es de mencionar que </w:t>
      </w:r>
      <w:r w:rsidR="00271459" w:rsidRPr="00AC3697">
        <w:rPr>
          <w:rFonts w:ascii="Palatino Linotype" w:eastAsia="Palatino Linotype" w:hAnsi="Palatino Linotype" w:cs="Palatino Linotype"/>
          <w:i/>
          <w:color w:val="000000"/>
        </w:rPr>
        <w:t>“ofi</w:t>
      </w:r>
      <w:r w:rsidR="00271459" w:rsidRPr="00AC3697">
        <w:rPr>
          <w:rFonts w:ascii="Palatino Linotype" w:eastAsia="Palatino Linotype" w:hAnsi="Palatino Linotype" w:cs="Palatino Linotype"/>
          <w:i/>
        </w:rPr>
        <w:t>cio”,</w:t>
      </w:r>
      <w:r w:rsidR="00271459" w:rsidRPr="00AC3697">
        <w:rPr>
          <w:rFonts w:ascii="Palatino Linotype" w:eastAsia="Palatino Linotype" w:hAnsi="Palatino Linotype" w:cs="Palatino Linotype"/>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774C1C3E" w14:textId="77777777" w:rsidR="00271459" w:rsidRPr="00AC3697" w:rsidRDefault="00271459" w:rsidP="003234CB">
      <w:pPr>
        <w:spacing w:after="0" w:line="360" w:lineRule="auto"/>
        <w:ind w:right="49"/>
        <w:jc w:val="both"/>
        <w:rPr>
          <w:rFonts w:ascii="Palatino Linotype" w:eastAsia="Palatino Linotype" w:hAnsi="Palatino Linotype" w:cs="Palatino Linotype"/>
        </w:rPr>
      </w:pPr>
    </w:p>
    <w:p w14:paraId="3DE4723B" w14:textId="77777777" w:rsidR="00271459" w:rsidRPr="00AC3697" w:rsidRDefault="00271459" w:rsidP="003234CB">
      <w:pPr>
        <w:spacing w:after="0"/>
        <w:ind w:left="567" w:right="843"/>
        <w:jc w:val="both"/>
        <w:rPr>
          <w:rFonts w:ascii="Palatino Linotype" w:eastAsia="Palatino Linotype" w:hAnsi="Palatino Linotype" w:cs="Palatino Linotype"/>
          <w:i/>
        </w:rPr>
      </w:pPr>
      <w:r w:rsidRPr="00AC3697">
        <w:rPr>
          <w:rFonts w:ascii="Palatino Linotype" w:eastAsia="Palatino Linotype" w:hAnsi="Palatino Linotype" w:cs="Palatino Linotype"/>
          <w:b/>
          <w:i/>
        </w:rPr>
        <w:t>Artículo 3.</w:t>
      </w:r>
      <w:r w:rsidRPr="00AC3697">
        <w:rPr>
          <w:rFonts w:ascii="Palatino Linotype" w:eastAsia="Palatino Linotype" w:hAnsi="Palatino Linotype" w:cs="Palatino Linotype"/>
          <w:i/>
        </w:rPr>
        <w:t xml:space="preserve"> Para los efectos de la presente Ley se entenderá por:</w:t>
      </w:r>
    </w:p>
    <w:p w14:paraId="7FFF1713" w14:textId="77777777" w:rsidR="00271459" w:rsidRPr="00AC3697" w:rsidRDefault="00271459" w:rsidP="003234CB">
      <w:pPr>
        <w:spacing w:after="0"/>
        <w:ind w:left="567" w:right="843"/>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78252557" w14:textId="77777777" w:rsidR="00271459" w:rsidRPr="00AC3697" w:rsidRDefault="00271459" w:rsidP="003234CB">
      <w:pPr>
        <w:spacing w:after="0"/>
        <w:ind w:left="567" w:right="843"/>
        <w:jc w:val="both"/>
        <w:rPr>
          <w:rFonts w:ascii="Palatino Linotype" w:eastAsia="Palatino Linotype" w:hAnsi="Palatino Linotype" w:cs="Palatino Linotype"/>
          <w:b/>
          <w:i/>
          <w:u w:val="single"/>
        </w:rPr>
      </w:pPr>
      <w:r w:rsidRPr="00AC3697">
        <w:rPr>
          <w:rFonts w:ascii="Palatino Linotype" w:eastAsia="Palatino Linotype" w:hAnsi="Palatino Linotype" w:cs="Palatino Linotype"/>
          <w:i/>
        </w:rPr>
        <w:t xml:space="preserve">XI. </w:t>
      </w:r>
      <w:r w:rsidRPr="00AC3697">
        <w:rPr>
          <w:rFonts w:ascii="Palatino Linotype" w:eastAsia="Palatino Linotype" w:hAnsi="Palatino Linotype" w:cs="Palatino Linotype"/>
          <w:b/>
          <w:i/>
        </w:rPr>
        <w:t>Documento:</w:t>
      </w:r>
      <w:r w:rsidRPr="00AC3697">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4167B1C" w14:textId="77777777" w:rsidR="00271459" w:rsidRPr="00AC3697" w:rsidRDefault="00271459" w:rsidP="003234CB">
      <w:pPr>
        <w:spacing w:after="0"/>
        <w:ind w:left="567" w:right="843"/>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2D7DA86E" w14:textId="77777777" w:rsidR="00271459" w:rsidRPr="00AC3697" w:rsidRDefault="00271459" w:rsidP="003234CB">
      <w:pPr>
        <w:spacing w:after="0"/>
        <w:ind w:left="567" w:right="843"/>
        <w:jc w:val="both"/>
        <w:rPr>
          <w:rFonts w:ascii="Palatino Linotype" w:eastAsia="Palatino Linotype" w:hAnsi="Palatino Linotype" w:cs="Palatino Linotype"/>
          <w:i/>
        </w:rPr>
      </w:pPr>
    </w:p>
    <w:p w14:paraId="48B353D6" w14:textId="383D8CD0" w:rsidR="00271459" w:rsidRPr="00AC3697" w:rsidRDefault="00271459" w:rsidP="003234CB">
      <w:pPr>
        <w:spacing w:after="0" w:line="360" w:lineRule="auto"/>
        <w:ind w:right="49"/>
        <w:jc w:val="both"/>
        <w:rPr>
          <w:rFonts w:ascii="Palatino Linotype" w:eastAsia="Palatino Linotype" w:hAnsi="Palatino Linotype" w:cs="Palatino Linotype"/>
          <w:b/>
          <w:u w:val="single"/>
        </w:rPr>
      </w:pPr>
      <w:r w:rsidRPr="00AC3697">
        <w:rPr>
          <w:rFonts w:ascii="Palatino Linotype" w:eastAsia="Palatino Linotype" w:hAnsi="Palatino Linotype" w:cs="Palatino Linotype"/>
          <w:b/>
          <w:u w:val="single"/>
        </w:rPr>
        <w:t xml:space="preserve">Es así que se entiende como documento a cualquier registro que precise el ejercicio de las facultades, funciones y competencias de los sujetos obligados, sus servidores públicos e </w:t>
      </w:r>
      <w:r w:rsidRPr="00AC3697">
        <w:rPr>
          <w:rFonts w:ascii="Palatino Linotype" w:eastAsia="Palatino Linotype" w:hAnsi="Palatino Linotype" w:cs="Palatino Linotype"/>
          <w:b/>
          <w:u w:val="single"/>
        </w:rPr>
        <w:lastRenderedPageBreak/>
        <w:t xml:space="preserve">integrantes, sin importar su fuente o fecha de elaboración, entre los cuales se encuentran los “oficios”. </w:t>
      </w:r>
    </w:p>
    <w:p w14:paraId="22A40459" w14:textId="77777777" w:rsidR="00271459" w:rsidRPr="00AC3697" w:rsidRDefault="00271459" w:rsidP="003234CB">
      <w:pPr>
        <w:spacing w:after="0" w:line="360" w:lineRule="auto"/>
        <w:ind w:right="49"/>
        <w:jc w:val="both"/>
        <w:rPr>
          <w:rFonts w:ascii="Palatino Linotype" w:eastAsia="Palatino Linotype" w:hAnsi="Palatino Linotype" w:cs="Palatino Linotype"/>
          <w:b/>
          <w:u w:val="single"/>
        </w:rPr>
      </w:pPr>
    </w:p>
    <w:p w14:paraId="09478860" w14:textId="77777777" w:rsidR="00271459" w:rsidRPr="00AC3697" w:rsidRDefault="00271459"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0BD548A4" w14:textId="77777777" w:rsidR="00271459" w:rsidRPr="00AC3697" w:rsidRDefault="00271459" w:rsidP="003234CB">
      <w:pPr>
        <w:spacing w:after="0" w:line="360" w:lineRule="auto"/>
        <w:ind w:right="49"/>
        <w:jc w:val="both"/>
        <w:rPr>
          <w:rFonts w:ascii="Palatino Linotype" w:eastAsia="Palatino Linotype" w:hAnsi="Palatino Linotype" w:cs="Palatino Linotype"/>
        </w:rPr>
      </w:pPr>
    </w:p>
    <w:p w14:paraId="10507BB8" w14:textId="46679FB2" w:rsidR="00271459" w:rsidRPr="00AC3697" w:rsidRDefault="00271459"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De lo anterior, se concluye que, el Ayuntamiento de Naucalpan de Juárez cuenta con facultades, atribuciones y competencia para generar, administrar y poseer la información solicitada por la parte Recurrente. </w:t>
      </w:r>
    </w:p>
    <w:p w14:paraId="18478DA4" w14:textId="77777777" w:rsidR="00271459" w:rsidRPr="00AC3697" w:rsidRDefault="00271459" w:rsidP="003234C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0C1179FD" w14:textId="43DA1EA3" w:rsidR="00271459" w:rsidRPr="00AC3697" w:rsidRDefault="00271459" w:rsidP="003234C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Ahora bien, en el asunto que ahora nos ocupa, es de mencionar que la parte Recurrente solicitó información de</w:t>
      </w:r>
      <w:r w:rsidR="00110EF9" w:rsidRPr="00AC3697">
        <w:rPr>
          <w:rFonts w:ascii="Palatino Linotype" w:eastAsia="Palatino Linotype" w:hAnsi="Palatino Linotype" w:cs="Palatino Linotype"/>
          <w:color w:val="000000"/>
        </w:rPr>
        <w:t xml:space="preserve"> la Directora de Gobierno</w:t>
      </w:r>
      <w:r w:rsidRPr="00AC3697">
        <w:rPr>
          <w:rFonts w:ascii="Palatino Linotype" w:eastAsia="Palatino Linotype" w:hAnsi="Palatino Linotype" w:cs="Palatino Linotype"/>
          <w:color w:val="000000"/>
        </w:rPr>
        <w:t>, en ese sentido, es necesario precisar que de las constancias que obran en el expediente se logra vislumbrar que el Sujeto Obligad</w:t>
      </w:r>
      <w:r w:rsidR="00110EF9" w:rsidRPr="00AC3697">
        <w:rPr>
          <w:rFonts w:ascii="Palatino Linotype" w:eastAsia="Palatino Linotype" w:hAnsi="Palatino Linotype" w:cs="Palatino Linotype"/>
          <w:color w:val="000000"/>
        </w:rPr>
        <w:t>o</w:t>
      </w:r>
      <w:r w:rsidRPr="00AC3697">
        <w:rPr>
          <w:rFonts w:ascii="Palatino Linotype" w:eastAsia="Palatino Linotype" w:hAnsi="Palatino Linotype" w:cs="Palatino Linotype"/>
          <w:color w:val="000000"/>
        </w:rPr>
        <w:t xml:space="preserve">, turnó la solicitud de información </w:t>
      </w:r>
      <w:r w:rsidR="00110EF9" w:rsidRPr="00AC3697">
        <w:rPr>
          <w:rFonts w:ascii="Palatino Linotype" w:eastAsia="Palatino Linotype" w:hAnsi="Palatino Linotype" w:cs="Palatino Linotype"/>
          <w:color w:val="000000"/>
        </w:rPr>
        <w:t>a la unidad administrativa competente</w:t>
      </w:r>
      <w:r w:rsidRPr="00AC3697">
        <w:rPr>
          <w:rFonts w:ascii="Palatino Linotype" w:eastAsia="Palatino Linotype" w:hAnsi="Palatino Linotype" w:cs="Palatino Linotype"/>
          <w:color w:val="000000"/>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581953C" w14:textId="77777777" w:rsidR="00271459" w:rsidRPr="00AC3697" w:rsidRDefault="00271459" w:rsidP="003234CB">
      <w:pPr>
        <w:spacing w:after="0" w:line="360" w:lineRule="auto"/>
        <w:ind w:right="560"/>
        <w:jc w:val="both"/>
        <w:rPr>
          <w:rFonts w:ascii="Palatino Linotype" w:eastAsia="Palatino Linotype" w:hAnsi="Palatino Linotype" w:cs="Palatino Linotype"/>
          <w:color w:val="000000"/>
        </w:rPr>
      </w:pPr>
    </w:p>
    <w:p w14:paraId="2746ECB9" w14:textId="77777777" w:rsidR="00271459" w:rsidRPr="00AC3697" w:rsidRDefault="00271459" w:rsidP="003234CB">
      <w:pPr>
        <w:numPr>
          <w:ilvl w:val="3"/>
          <w:numId w:val="12"/>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Las Unidades de Transparencia garantizarán que las solicitudes de acceso a la información se turnen a todas las áreas competentes que cuenten con la información o deban tenerla -de acuerdo a las facultades, competencias y </w:t>
      </w:r>
      <w:r w:rsidRPr="00AC3697">
        <w:rPr>
          <w:rFonts w:ascii="Palatino Linotype" w:eastAsia="Palatino Linotype" w:hAnsi="Palatino Linotype" w:cs="Palatino Linotype"/>
          <w:color w:val="000000"/>
        </w:rPr>
        <w:lastRenderedPageBreak/>
        <w:t>funciones-, con el objeto de que dichas áreas realicen una búsqueda exhaustiva y razonable de la información requerida, y</w:t>
      </w:r>
    </w:p>
    <w:p w14:paraId="66F44B73" w14:textId="77777777" w:rsidR="00271459" w:rsidRPr="00AC3697" w:rsidRDefault="00271459" w:rsidP="003234CB">
      <w:pPr>
        <w:spacing w:after="0" w:line="360" w:lineRule="auto"/>
        <w:ind w:left="567" w:right="560"/>
        <w:jc w:val="both"/>
        <w:rPr>
          <w:rFonts w:ascii="Palatino Linotype" w:eastAsia="Palatino Linotype" w:hAnsi="Palatino Linotype" w:cs="Palatino Linotype"/>
          <w:color w:val="000000"/>
        </w:rPr>
      </w:pPr>
    </w:p>
    <w:p w14:paraId="44FF573D" w14:textId="77777777" w:rsidR="00271459" w:rsidRPr="00AC3697" w:rsidRDefault="00271459" w:rsidP="003234CB">
      <w:pPr>
        <w:numPr>
          <w:ilvl w:val="3"/>
          <w:numId w:val="12"/>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Los sujetos obligados </w:t>
      </w:r>
      <w:r w:rsidRPr="00AC3697">
        <w:rPr>
          <w:rFonts w:ascii="Palatino Linotype" w:eastAsia="Palatino Linotype" w:hAnsi="Palatino Linotype" w:cs="Palatino Linotype"/>
        </w:rPr>
        <w:t>otorgarán</w:t>
      </w:r>
      <w:r w:rsidRPr="00AC3697">
        <w:rPr>
          <w:rFonts w:ascii="Palatino Linotype" w:eastAsia="Palatino Linotype" w:hAnsi="Palatino Linotype" w:cs="Palatino Linotype"/>
          <w:color w:val="000000"/>
        </w:rPr>
        <w:t xml:space="preserve"> acceso a los documentos que se encuentren en sus archivos o que estén obligados a documentar de acuerdo con sus facultades, competencias o funciones, en el formato en que la solicitante manifieste, de entre aquellos formatos existentes.</w:t>
      </w:r>
    </w:p>
    <w:p w14:paraId="12C29E8C" w14:textId="77777777" w:rsidR="00271459" w:rsidRPr="00AC3697" w:rsidRDefault="00271459" w:rsidP="003234CB">
      <w:pPr>
        <w:spacing w:after="0" w:line="360" w:lineRule="auto"/>
        <w:ind w:right="49"/>
        <w:jc w:val="both"/>
        <w:rPr>
          <w:rFonts w:ascii="Palatino Linotype" w:eastAsia="Palatino Linotype" w:hAnsi="Palatino Linotype" w:cs="Palatino Linotype"/>
          <w:color w:val="000000"/>
        </w:rPr>
      </w:pPr>
    </w:p>
    <w:p w14:paraId="5E04D561" w14:textId="21D61EBF" w:rsidR="009A744D" w:rsidRPr="00AC3697" w:rsidRDefault="00271459" w:rsidP="003234CB">
      <w:p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2E663C76" w14:textId="77777777" w:rsidR="00110EF9" w:rsidRPr="00AC3697" w:rsidRDefault="00110EF9" w:rsidP="003234CB">
      <w:pPr>
        <w:spacing w:after="0" w:line="360" w:lineRule="auto"/>
        <w:ind w:right="49"/>
        <w:jc w:val="both"/>
        <w:rPr>
          <w:rFonts w:ascii="Palatino Linotype" w:eastAsia="Palatino Linotype" w:hAnsi="Palatino Linotype" w:cs="Palatino Linotype"/>
          <w:color w:val="000000"/>
        </w:rPr>
      </w:pPr>
    </w:p>
    <w:p w14:paraId="51DC5073" w14:textId="77777777" w:rsidR="00F35DB1" w:rsidRPr="00AC3697" w:rsidRDefault="00110EF9" w:rsidP="003234CB">
      <w:p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Dicho lo anterior, se procede al análisis de los agravios hechos valer por</w:t>
      </w:r>
      <w:r w:rsidR="00F35DB1" w:rsidRPr="00AC3697">
        <w:rPr>
          <w:rFonts w:ascii="Palatino Linotype" w:eastAsia="Palatino Linotype" w:hAnsi="Palatino Linotype" w:cs="Palatino Linotype"/>
          <w:color w:val="000000"/>
        </w:rPr>
        <w:t xml:space="preserve"> la parte Recurrente, relacionada con la entrega de información incompleta, la clasificación de la información y la negativa de la misma. </w:t>
      </w:r>
    </w:p>
    <w:p w14:paraId="0788E39A" w14:textId="77777777" w:rsidR="00F35DB1" w:rsidRPr="00AC3697" w:rsidRDefault="00F35DB1" w:rsidP="003234CB">
      <w:pPr>
        <w:spacing w:after="0" w:line="360" w:lineRule="auto"/>
        <w:ind w:right="49"/>
        <w:jc w:val="both"/>
        <w:rPr>
          <w:rFonts w:ascii="Palatino Linotype" w:eastAsia="Palatino Linotype" w:hAnsi="Palatino Linotype" w:cs="Palatino Linotype"/>
          <w:color w:val="000000"/>
        </w:rPr>
      </w:pPr>
    </w:p>
    <w:p w14:paraId="0D04BDA0" w14:textId="17441D14" w:rsidR="00F35DB1" w:rsidRPr="00AC3697" w:rsidRDefault="00F35DB1" w:rsidP="003234CB">
      <w:p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Para ello, del análisis realizado a las documentales que obran en el expediente electrónico, es de mencionar que, se advierte lo siguiente:</w:t>
      </w:r>
    </w:p>
    <w:p w14:paraId="2B1C3A18" w14:textId="77777777" w:rsidR="00F35DB1" w:rsidRPr="00AC3697" w:rsidRDefault="00F35DB1" w:rsidP="003234CB">
      <w:pPr>
        <w:spacing w:after="0" w:line="360" w:lineRule="auto"/>
        <w:ind w:right="49"/>
        <w:jc w:val="both"/>
        <w:rPr>
          <w:rFonts w:ascii="Palatino Linotype" w:eastAsia="Palatino Linotype" w:hAnsi="Palatino Linotype" w:cs="Palatino Linotype"/>
          <w:color w:val="000000"/>
        </w:rPr>
      </w:pPr>
    </w:p>
    <w:p w14:paraId="74ED7C8A" w14:textId="41FAF6EA" w:rsidR="00F35DB1" w:rsidRPr="00AC3697" w:rsidRDefault="00F35DB1" w:rsidP="003234CB">
      <w:pPr>
        <w:pStyle w:val="Prrafodelista"/>
        <w:numPr>
          <w:ilvl w:val="0"/>
          <w:numId w:val="14"/>
        </w:num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Del cotejo del listado de los oficios y los oficios enviados en respuesta, el Sujeto Obligado </w:t>
      </w:r>
      <w:r w:rsidRPr="00AC3697">
        <w:rPr>
          <w:rFonts w:ascii="Palatino Linotype" w:eastAsia="Palatino Linotype" w:hAnsi="Palatino Linotype" w:cs="Palatino Linotype"/>
          <w:b/>
          <w:color w:val="000000"/>
          <w:u w:val="single"/>
        </w:rPr>
        <w:t>no proporcionó el oficio DG/010/2025</w:t>
      </w:r>
      <w:r w:rsidRPr="00AC3697">
        <w:rPr>
          <w:rFonts w:ascii="Palatino Linotype" w:eastAsia="Palatino Linotype" w:hAnsi="Palatino Linotype" w:cs="Palatino Linotype"/>
          <w:color w:val="000000"/>
        </w:rPr>
        <w:t xml:space="preserve"> y tampoco se pronunció respecto a la falta de este. </w:t>
      </w:r>
    </w:p>
    <w:p w14:paraId="46EFAD0C" w14:textId="1AB7F017" w:rsidR="00110EF9" w:rsidRPr="00AC3697" w:rsidRDefault="00F35DB1" w:rsidP="003234CB">
      <w:pPr>
        <w:pStyle w:val="Prrafodelista"/>
        <w:numPr>
          <w:ilvl w:val="0"/>
          <w:numId w:val="14"/>
        </w:numP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Se clasificó información relacionada con </w:t>
      </w:r>
      <w:r w:rsidR="00110EF9" w:rsidRPr="00AC3697">
        <w:rPr>
          <w:rFonts w:ascii="Palatino Linotype" w:eastAsia="Palatino Linotype" w:hAnsi="Palatino Linotype" w:cs="Palatino Linotype"/>
          <w:color w:val="000000"/>
        </w:rPr>
        <w:t>correos de particulares</w:t>
      </w:r>
      <w:r w:rsidRPr="00AC3697">
        <w:rPr>
          <w:rFonts w:ascii="Palatino Linotype" w:eastAsia="Palatino Linotype" w:hAnsi="Palatino Linotype" w:cs="Palatino Linotype"/>
          <w:color w:val="000000"/>
        </w:rPr>
        <w:t>, n</w:t>
      </w:r>
      <w:r w:rsidR="00110EF9" w:rsidRPr="00AC3697">
        <w:rPr>
          <w:rFonts w:ascii="Palatino Linotype" w:eastAsia="Palatino Linotype" w:hAnsi="Palatino Linotype" w:cs="Palatino Linotype"/>
          <w:color w:val="000000"/>
        </w:rPr>
        <w:t>ombre de particulares, teléfono</w:t>
      </w:r>
      <w:r w:rsidRPr="00AC3697">
        <w:rPr>
          <w:rFonts w:ascii="Palatino Linotype" w:eastAsia="Palatino Linotype" w:hAnsi="Palatino Linotype" w:cs="Palatino Linotype"/>
          <w:color w:val="000000"/>
        </w:rPr>
        <w:t xml:space="preserve"> y firma de </w:t>
      </w:r>
      <w:r w:rsidR="00110EF9" w:rsidRPr="00AC3697">
        <w:rPr>
          <w:rFonts w:ascii="Palatino Linotype" w:eastAsia="Palatino Linotype" w:hAnsi="Palatino Linotype" w:cs="Palatino Linotype"/>
          <w:color w:val="000000"/>
        </w:rPr>
        <w:t>particulares</w:t>
      </w:r>
      <w:r w:rsidRPr="00AC3697">
        <w:rPr>
          <w:rFonts w:ascii="Palatino Linotype" w:eastAsia="Palatino Linotype" w:hAnsi="Palatino Linotype" w:cs="Palatino Linotype"/>
          <w:color w:val="000000"/>
        </w:rPr>
        <w:t>.</w:t>
      </w:r>
    </w:p>
    <w:p w14:paraId="232A41C0" w14:textId="77777777" w:rsidR="00110EF9" w:rsidRPr="00AC3697" w:rsidRDefault="00110EF9" w:rsidP="003234CB">
      <w:pPr>
        <w:spacing w:after="0" w:line="360" w:lineRule="auto"/>
        <w:ind w:right="49"/>
        <w:jc w:val="both"/>
        <w:rPr>
          <w:rFonts w:ascii="Palatino Linotype" w:eastAsia="Palatino Linotype" w:hAnsi="Palatino Linotype" w:cs="Palatino Linotype"/>
          <w:color w:val="000000"/>
        </w:rPr>
      </w:pPr>
    </w:p>
    <w:p w14:paraId="7A7ACF03" w14:textId="5274B562" w:rsidR="009A744D" w:rsidRPr="00AC3697" w:rsidRDefault="00F35DB1"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lastRenderedPageBreak/>
        <w:t xml:space="preserve">En lo que respecta al inciso a), relacionado con el </w:t>
      </w:r>
      <w:r w:rsidRPr="00AC3697">
        <w:rPr>
          <w:rFonts w:ascii="Palatino Linotype" w:eastAsia="Palatino Linotype" w:hAnsi="Palatino Linotype" w:cs="Palatino Linotype"/>
          <w:b/>
          <w:u w:val="single"/>
        </w:rPr>
        <w:t>oficio faltante</w:t>
      </w:r>
      <w:r w:rsidRPr="00AC3697">
        <w:rPr>
          <w:rFonts w:ascii="Palatino Linotype" w:eastAsia="Palatino Linotype" w:hAnsi="Palatino Linotype" w:cs="Palatino Linotype"/>
        </w:rPr>
        <w:t xml:space="preserve">, es de mencionar que, el que el Sujeto Obligado no haya proporcionado un oficio del que precisó su existencia a través de una lista y, el no haberse pronunciado respecto de la existencia de este, deja en incertidumbre jurídica a la parte Recurrente. </w:t>
      </w:r>
    </w:p>
    <w:p w14:paraId="65D58272" w14:textId="77777777" w:rsidR="00F35DB1" w:rsidRPr="00AC3697" w:rsidRDefault="00F35DB1"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AFA33AB" w14:textId="61FDD576" w:rsidR="00F35DB1" w:rsidRPr="00AC3697" w:rsidRDefault="00F35DB1"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Por lo que, el Sujeto Obligado deberá realizar una nueva búsqueda exhaustiva y razonable con la finalidad de proporcionar el oficio faltante, de ser el caso en versión pública, siendo que, en el supuesto de que el Sujeto Obligado no cuente con este oficio porque hubiera sido cancelado,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4E602EE4" w14:textId="77777777" w:rsidR="00F35DB1" w:rsidRPr="00AC3697" w:rsidRDefault="00F35DB1"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AF3BD83" w14:textId="7987D170" w:rsidR="00F35DB1" w:rsidRPr="00AC3697" w:rsidRDefault="00F35DB1"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En lo que respecta al inciso b), relacionado con la versión pública de los documentos enviados en respuesta, resulta procedente analizar los datos que se advierte que fueron testados en cada uno de ellos, al tenor de lo siguiente: </w:t>
      </w:r>
    </w:p>
    <w:p w14:paraId="011876BB" w14:textId="77777777" w:rsidR="004B2415" w:rsidRPr="00AC3697" w:rsidRDefault="004B2415" w:rsidP="003234CB">
      <w:pPr>
        <w:pStyle w:val="NormalWeb"/>
        <w:spacing w:before="0" w:beforeAutospacing="0" w:after="0" w:afterAutospacing="0" w:line="360" w:lineRule="auto"/>
        <w:jc w:val="both"/>
        <w:rPr>
          <w:rFonts w:ascii="Palatino Linotype" w:hAnsi="Palatino Linotype"/>
          <w:color w:val="000000"/>
          <w:sz w:val="22"/>
          <w:szCs w:val="22"/>
        </w:rPr>
      </w:pPr>
    </w:p>
    <w:p w14:paraId="446189CA" w14:textId="77777777" w:rsidR="00F35DB1" w:rsidRPr="00AC3697" w:rsidRDefault="00F35DB1" w:rsidP="003234CB">
      <w:pPr>
        <w:numPr>
          <w:ilvl w:val="0"/>
          <w:numId w:val="1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Teléfono particular.</w:t>
      </w:r>
      <w:r w:rsidRPr="00AC3697">
        <w:rPr>
          <w:rFonts w:ascii="Palatino Linotype" w:eastAsia="Palatino Linotype" w:hAnsi="Palatino Linotype" w:cs="Palatino Linotype"/>
          <w:color w:val="000000"/>
        </w:rPr>
        <w:t xml:space="preserve"> El número asignado a un teléfono particular permite localizar a una persona física identificada o identificable, ya sea a través de un dispositivo móvil o bien, en un lugar como el domicilio. </w:t>
      </w:r>
    </w:p>
    <w:p w14:paraId="6CEFE6FE" w14:textId="77777777" w:rsidR="00F35DB1" w:rsidRPr="00AC3697" w:rsidRDefault="00F35DB1" w:rsidP="003234CB">
      <w:pPr>
        <w:spacing w:after="0" w:line="360" w:lineRule="auto"/>
        <w:jc w:val="both"/>
        <w:rPr>
          <w:rFonts w:ascii="Palatino Linotype" w:eastAsia="Palatino Linotype" w:hAnsi="Palatino Linotype" w:cs="Palatino Linotype"/>
        </w:rPr>
      </w:pPr>
    </w:p>
    <w:p w14:paraId="4A7D8B98" w14:textId="77777777" w:rsidR="00F35DB1" w:rsidRPr="00AC3697" w:rsidRDefault="00F35DB1"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En ese sentido, el número contacto, permite localizar de manera privada a las personas físicas o servidores públicos; por lo que, la titularidad corresponde a la persona física en su calidad de particular y no como servidor público.</w:t>
      </w:r>
    </w:p>
    <w:p w14:paraId="4D6120A8" w14:textId="77777777" w:rsidR="00F35DB1" w:rsidRPr="00AC3697" w:rsidRDefault="00F35DB1" w:rsidP="003234CB">
      <w:pPr>
        <w:spacing w:after="0" w:line="360" w:lineRule="auto"/>
        <w:jc w:val="both"/>
        <w:rPr>
          <w:rFonts w:ascii="Palatino Linotype" w:eastAsia="Palatino Linotype" w:hAnsi="Palatino Linotype" w:cs="Palatino Linotype"/>
        </w:rPr>
      </w:pPr>
    </w:p>
    <w:p w14:paraId="222EB017" w14:textId="77777777" w:rsidR="00F35DB1" w:rsidRPr="00AC3697" w:rsidRDefault="00F35DB1"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lastRenderedPageBreak/>
        <w:t>En tales consideraciones, dicho dato personal es susceptible de ser clasificado como confidencial, con fundamento en el artículo 143, fracción I de la Ley de Transparencia y Acceso a la Información Pública.</w:t>
      </w:r>
    </w:p>
    <w:p w14:paraId="0C127AEE" w14:textId="518B54AC" w:rsidR="006E5F09" w:rsidRPr="00AC3697" w:rsidRDefault="006E5F09" w:rsidP="003234CB">
      <w:pPr>
        <w:spacing w:after="0" w:line="360" w:lineRule="auto"/>
        <w:jc w:val="both"/>
        <w:rPr>
          <w:rFonts w:ascii="Palatino Linotype" w:eastAsia="Palatino Linotype" w:hAnsi="Palatino Linotype" w:cs="Palatino Linotype"/>
        </w:rPr>
      </w:pPr>
    </w:p>
    <w:p w14:paraId="5448E8A9" w14:textId="77777777" w:rsidR="006E5F09" w:rsidRPr="00AC3697" w:rsidRDefault="006E5F09" w:rsidP="003234CB">
      <w:pPr>
        <w:numPr>
          <w:ilvl w:val="0"/>
          <w:numId w:val="1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b/>
          <w:color w:val="000000"/>
        </w:rPr>
        <w:t xml:space="preserve">Firmas de particulares. </w:t>
      </w:r>
      <w:r w:rsidRPr="00AC3697">
        <w:rPr>
          <w:rFonts w:ascii="Palatino Linotype" w:eastAsia="Palatino Linotype" w:hAnsi="Palatino Linotype" w:cs="Palatino Linotype"/>
          <w:color w:val="000000"/>
        </w:rPr>
        <w:t>La firma es un conjunto de rasgos propios de su titular, un atributo de la personalidad de los individuos y busca que la misma no pueda ser reproducida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de la fracción I del numeral 143 de la Ley de Transparencia y Acceso a la Información Pública del Estado de México y Municipios.</w:t>
      </w:r>
    </w:p>
    <w:p w14:paraId="252695AE" w14:textId="77777777" w:rsidR="006E5F09" w:rsidRPr="00AC3697" w:rsidRDefault="006E5F09" w:rsidP="003234CB">
      <w:pPr>
        <w:spacing w:after="0" w:line="360" w:lineRule="auto"/>
        <w:jc w:val="both"/>
        <w:rPr>
          <w:rFonts w:ascii="Palatino Linotype" w:eastAsia="Palatino Linotype" w:hAnsi="Palatino Linotype" w:cs="Palatino Linotype"/>
        </w:rPr>
      </w:pPr>
    </w:p>
    <w:p w14:paraId="7FC2BB72" w14:textId="77777777" w:rsidR="006E5F09" w:rsidRPr="00AC3697" w:rsidRDefault="006E5F09" w:rsidP="003234CB">
      <w:pPr>
        <w:numPr>
          <w:ilvl w:val="0"/>
          <w:numId w:val="1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C3697">
        <w:rPr>
          <w:rFonts w:ascii="Palatino Linotype" w:eastAsia="Palatino Linotype" w:hAnsi="Palatino Linotype" w:cs="Palatino Linotype"/>
          <w:b/>
          <w:color w:val="000000"/>
        </w:rPr>
        <w:t>Nombres de particulares</w:t>
      </w:r>
      <w:r w:rsidRPr="00AC3697">
        <w:rPr>
          <w:rFonts w:ascii="Palatino Linotype" w:eastAsia="Palatino Linotype" w:hAnsi="Palatino Linotype" w:cs="Palatino Linotype"/>
          <w:b/>
          <w:color w:val="000000"/>
          <w:u w:val="single"/>
        </w:rPr>
        <w:t>.</w:t>
      </w:r>
      <w:r w:rsidRPr="00AC3697">
        <w:rPr>
          <w:rFonts w:ascii="Palatino Linotype" w:eastAsia="Palatino Linotype" w:hAnsi="Palatino Linotype" w:cs="Palatino Linotype"/>
          <w:color w:val="000000"/>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C3697">
        <w:rPr>
          <w:rFonts w:ascii="Palatino Linotype" w:eastAsia="Palatino Linotype" w:hAnsi="Palatino Linotype" w:cs="Palatino Linotype"/>
          <w:i/>
          <w:color w:val="000000"/>
        </w:rPr>
        <w:t>per se</w:t>
      </w:r>
      <w:r w:rsidRPr="00AC3697">
        <w:rPr>
          <w:rFonts w:ascii="Palatino Linotype" w:eastAsia="Palatino Linotype" w:hAnsi="Palatino Linotype" w:cs="Palatino Linotype"/>
          <w:color w:val="000000"/>
        </w:rPr>
        <w:t xml:space="preserve"> es un elemento que hace a una persona física identificada o identificable, por lo que, </w:t>
      </w:r>
      <w:r w:rsidRPr="00AC3697">
        <w:rPr>
          <w:rFonts w:ascii="Palatino Linotype" w:eastAsia="Palatino Linotype" w:hAnsi="Palatino Linotype" w:cs="Palatino Linotype"/>
          <w:b/>
          <w:color w:val="000000"/>
        </w:rPr>
        <w:t>se considera un dato personal.</w:t>
      </w:r>
    </w:p>
    <w:p w14:paraId="03A2C47B" w14:textId="77777777" w:rsidR="006E5F09" w:rsidRPr="00AC3697" w:rsidRDefault="006E5F09" w:rsidP="003234CB">
      <w:pPr>
        <w:pStyle w:val="Prrafodelista"/>
        <w:spacing w:after="0" w:line="360" w:lineRule="auto"/>
        <w:rPr>
          <w:rFonts w:ascii="Palatino Linotype" w:hAnsi="Palatino Linotype" w:cs="Tahoma"/>
          <w:b/>
        </w:rPr>
      </w:pPr>
    </w:p>
    <w:p w14:paraId="1FC70255" w14:textId="61EA7A5E" w:rsidR="006E5F09" w:rsidRPr="00AC3697" w:rsidRDefault="006E5F09" w:rsidP="003234CB">
      <w:pPr>
        <w:numPr>
          <w:ilvl w:val="0"/>
          <w:numId w:val="1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C3697">
        <w:rPr>
          <w:rFonts w:ascii="Palatino Linotype" w:hAnsi="Palatino Linotype" w:cs="Tahoma"/>
          <w:b/>
        </w:rPr>
        <w:t>Correo electrónico particular.</w:t>
      </w:r>
      <w:r w:rsidRPr="00AC3697">
        <w:rPr>
          <w:rFonts w:ascii="Palatino Linotype" w:eastAsia="Palatino Linotype" w:hAnsi="Palatino Linotype" w:cs="Palatino Linotype"/>
          <w:b/>
          <w:color w:val="000000"/>
        </w:rPr>
        <w:t xml:space="preserve"> </w:t>
      </w:r>
      <w:r w:rsidRPr="00AC3697">
        <w:rPr>
          <w:rFonts w:ascii="Palatino Linotype" w:hAnsi="Palatino Linotype" w:cs="Tahoma"/>
          <w:bCs/>
          <w:lang w:eastAsia="en-U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w:t>
      </w:r>
      <w:r w:rsidR="003234CB" w:rsidRPr="00AC3697">
        <w:rPr>
          <w:rFonts w:ascii="Palatino Linotype" w:hAnsi="Palatino Linotype" w:cs="Tahoma"/>
          <w:bCs/>
          <w:lang w:eastAsia="en-US"/>
        </w:rPr>
        <w:t xml:space="preserve">bre o bien, fecha de nacimiento; </w:t>
      </w:r>
      <w:r w:rsidRPr="00AC3697">
        <w:rPr>
          <w:rFonts w:ascii="Palatino Linotype" w:hAnsi="Palatino Linotype" w:cs="Tahoma"/>
          <w:bCs/>
          <w:lang w:eastAsia="en-US"/>
        </w:rPr>
        <w:t xml:space="preserve">por lo que corresponde a un dato personal que actualiza la causal de clasificación </w:t>
      </w:r>
      <w:r w:rsidRPr="00AC3697">
        <w:rPr>
          <w:rFonts w:ascii="Palatino Linotype" w:hAnsi="Palatino Linotype" w:cs="Tahoma"/>
          <w:bCs/>
          <w:lang w:eastAsia="en-US"/>
        </w:rPr>
        <w:lastRenderedPageBreak/>
        <w:t>establecida en el artículo 143, fracción I de la Ley de Transparencia y Acceso a la Información Pública del Estado de México y Municipios.</w:t>
      </w:r>
    </w:p>
    <w:p w14:paraId="0E867478" w14:textId="77777777" w:rsidR="00F35DB1" w:rsidRPr="00AC3697" w:rsidRDefault="00F35DB1" w:rsidP="003234CB">
      <w:pPr>
        <w:pStyle w:val="NormalWeb"/>
        <w:spacing w:before="0" w:beforeAutospacing="0" w:after="0" w:afterAutospacing="0" w:line="360" w:lineRule="auto"/>
        <w:jc w:val="both"/>
        <w:rPr>
          <w:rFonts w:ascii="Palatino Linotype" w:hAnsi="Palatino Linotype"/>
          <w:color w:val="000000"/>
          <w:sz w:val="22"/>
          <w:szCs w:val="22"/>
        </w:rPr>
      </w:pPr>
    </w:p>
    <w:p w14:paraId="3625CBE3" w14:textId="16218E1E" w:rsidR="00143DE0" w:rsidRPr="00AC3697" w:rsidRDefault="006E5F09" w:rsidP="003234CB">
      <w:pPr>
        <w:pStyle w:val="NormalWeb"/>
        <w:spacing w:before="0" w:beforeAutospacing="0" w:after="0" w:afterAutospacing="0" w:line="360" w:lineRule="auto"/>
        <w:jc w:val="both"/>
        <w:rPr>
          <w:rFonts w:ascii="Palatino Linotype" w:hAnsi="Palatino Linotype"/>
          <w:sz w:val="22"/>
          <w:szCs w:val="22"/>
        </w:rPr>
      </w:pPr>
      <w:r w:rsidRPr="00AC3697">
        <w:rPr>
          <w:rFonts w:ascii="Palatino Linotype" w:hAnsi="Palatino Linotype"/>
          <w:color w:val="000000"/>
          <w:sz w:val="22"/>
          <w:szCs w:val="22"/>
        </w:rPr>
        <w:t xml:space="preserve">Por otro lado, es de destacar que se advierte que se testó información de naturaleza pública como lo es el </w:t>
      </w:r>
      <w:r w:rsidRPr="00AC3697">
        <w:rPr>
          <w:rFonts w:ascii="Palatino Linotype" w:hAnsi="Palatino Linotype"/>
          <w:b/>
          <w:color w:val="000000"/>
          <w:sz w:val="22"/>
          <w:szCs w:val="22"/>
          <w:u w:val="single"/>
        </w:rPr>
        <w:t>nombre de la Tesorera del Comité de Participación Ciudadana</w:t>
      </w:r>
      <w:r w:rsidR="00143DE0" w:rsidRPr="00AC3697">
        <w:rPr>
          <w:rFonts w:ascii="Palatino Linotype" w:hAnsi="Palatino Linotype"/>
          <w:color w:val="000000"/>
          <w:sz w:val="22"/>
          <w:szCs w:val="22"/>
        </w:rPr>
        <w:t xml:space="preserve">, en ese sentido, </w:t>
      </w:r>
      <w:r w:rsidR="00143DE0" w:rsidRPr="00AC3697">
        <w:rPr>
          <w:rFonts w:ascii="Palatino Linotype" w:hAnsi="Palatino Linotype"/>
          <w:sz w:val="22"/>
          <w:szCs w:val="22"/>
        </w:rPr>
        <w:t>es de destacar que en términos del artículo 64 de la Ley Orgánica Municipal del Estado de México, se consideran como autoridades auxiliares a los Comités de Participación Ciudadana, asimismo, de conformidad con el artículo 74 de la Ley en cita, se precisa que estos tendrán las siguientes atribuciones:</w:t>
      </w:r>
    </w:p>
    <w:p w14:paraId="2055BF3C" w14:textId="77777777" w:rsidR="00143DE0" w:rsidRPr="00AC3697" w:rsidRDefault="00143DE0" w:rsidP="003234CB">
      <w:pPr>
        <w:pStyle w:val="NormalWeb"/>
        <w:spacing w:before="0" w:beforeAutospacing="0" w:after="0" w:afterAutospacing="0" w:line="360" w:lineRule="auto"/>
        <w:jc w:val="both"/>
        <w:rPr>
          <w:rFonts w:ascii="Palatino Linotype" w:hAnsi="Palatino Linotype"/>
          <w:sz w:val="22"/>
          <w:szCs w:val="22"/>
        </w:rPr>
      </w:pPr>
    </w:p>
    <w:p w14:paraId="3306A5E7" w14:textId="77777777"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b/>
          <w:i/>
          <w:sz w:val="22"/>
        </w:rPr>
        <w:t>Artículo 74.-</w:t>
      </w:r>
      <w:r w:rsidRPr="00AC3697">
        <w:rPr>
          <w:rFonts w:ascii="Palatino Linotype" w:hAnsi="Palatino Linotype"/>
          <w:i/>
          <w:sz w:val="22"/>
        </w:rPr>
        <w:t xml:space="preserve"> Los consejos de participación ciudadana, como órganos de comunicación y colaboración entre la comunidad y las autoridades, tendrán las siguientes atribuciones: </w:t>
      </w:r>
    </w:p>
    <w:p w14:paraId="19265725" w14:textId="77777777"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p>
    <w:p w14:paraId="056F60CB" w14:textId="77777777"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i/>
          <w:sz w:val="22"/>
        </w:rPr>
        <w:t xml:space="preserve">I. Promover la participación ciudadana en la realización de los programas municipales; </w:t>
      </w:r>
    </w:p>
    <w:p w14:paraId="6EE9DE7C" w14:textId="1CE1116F"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i/>
          <w:sz w:val="22"/>
        </w:rPr>
        <w:t xml:space="preserve">II. Coadyuvar para el cumplimiento eficaz de los planes y programas municipales aprobados; </w:t>
      </w:r>
    </w:p>
    <w:p w14:paraId="01667FF5" w14:textId="77777777"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i/>
          <w:sz w:val="22"/>
        </w:rPr>
        <w:t xml:space="preserve">III. Proponer al ayuntamiento las acciones tendientes a integrar o modificar los planes y programas municipales; </w:t>
      </w:r>
    </w:p>
    <w:p w14:paraId="019D6742" w14:textId="77777777"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i/>
          <w:sz w:val="22"/>
        </w:rPr>
        <w:t xml:space="preserve">IV. Participar en la supervisión de la prestación de los servicios públicos; </w:t>
      </w:r>
    </w:p>
    <w:p w14:paraId="5761E0FC" w14:textId="0E8EF39F"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i/>
          <w:sz w:val="22"/>
        </w:rPr>
        <w:t xml:space="preserve">V. Informar al menos una vez cada tres meses a sus representados y al ayuntamiento sobre sus proyectos, las actividades realizadas y, en su caso, el estado de cuenta de las aportaciones económicas que estén a su cargo. </w:t>
      </w:r>
    </w:p>
    <w:p w14:paraId="14962C54" w14:textId="6101155C" w:rsidR="00143DE0" w:rsidRPr="00AC3697" w:rsidRDefault="00143DE0" w:rsidP="003234CB">
      <w:pPr>
        <w:pStyle w:val="NormalWeb"/>
        <w:spacing w:before="0" w:beforeAutospacing="0" w:after="0" w:afterAutospacing="0" w:line="276" w:lineRule="auto"/>
        <w:ind w:left="567" w:right="560"/>
        <w:jc w:val="both"/>
        <w:rPr>
          <w:rFonts w:ascii="Palatino Linotype" w:hAnsi="Palatino Linotype"/>
          <w:i/>
          <w:color w:val="000000"/>
          <w:sz w:val="20"/>
          <w:szCs w:val="22"/>
        </w:rPr>
      </w:pPr>
      <w:r w:rsidRPr="00AC3697">
        <w:rPr>
          <w:rFonts w:ascii="Palatino Linotype" w:hAnsi="Palatino Linotype"/>
          <w:i/>
          <w:sz w:val="22"/>
        </w:rPr>
        <w:t>VI. Emitir opinión motivada no vinculante, respecto a la autorización de nuevos proyectos inmobiliarios, comerciales, habitacionales o industriales y respecto de la autorización de giros mercantiles.</w:t>
      </w:r>
    </w:p>
    <w:p w14:paraId="621AA5CA" w14:textId="77777777" w:rsidR="00154D54" w:rsidRPr="00AC3697" w:rsidRDefault="00154D54" w:rsidP="003234CB">
      <w:pPr>
        <w:pStyle w:val="NormalWeb"/>
        <w:spacing w:before="0" w:beforeAutospacing="0" w:after="0" w:afterAutospacing="0" w:line="360" w:lineRule="auto"/>
        <w:jc w:val="both"/>
        <w:rPr>
          <w:rFonts w:ascii="Palatino Linotype" w:hAnsi="Palatino Linotype"/>
          <w:color w:val="000000"/>
          <w:sz w:val="22"/>
          <w:szCs w:val="22"/>
        </w:rPr>
      </w:pPr>
    </w:p>
    <w:p w14:paraId="20D17FF3" w14:textId="1871D590" w:rsidR="0093066A" w:rsidRPr="00AC3697" w:rsidRDefault="00143DE0" w:rsidP="003234CB">
      <w:pPr>
        <w:pStyle w:val="NormalWeb"/>
        <w:spacing w:before="0" w:beforeAutospacing="0" w:after="0" w:afterAutospacing="0" w:line="360" w:lineRule="auto"/>
        <w:jc w:val="both"/>
        <w:rPr>
          <w:rFonts w:ascii="Palatino Linotype" w:hAnsi="Palatino Linotype"/>
          <w:color w:val="000000"/>
          <w:sz w:val="22"/>
          <w:szCs w:val="22"/>
        </w:rPr>
      </w:pPr>
      <w:r w:rsidRPr="00AC3697">
        <w:rPr>
          <w:rFonts w:ascii="Palatino Linotype" w:hAnsi="Palatino Linotype"/>
          <w:color w:val="000000"/>
          <w:sz w:val="22"/>
          <w:szCs w:val="22"/>
        </w:rPr>
        <w:t xml:space="preserve">De lo anterior, se advierte que sus atribuciones se traducen a actos de autoridad, por lo que, es de destacar que de conformidad con el artículo 27 de la Ley de Transparencia y Acceso a la Información Pública del Estado de México y Municipios, las personas físicas o jurídicos </w:t>
      </w:r>
      <w:r w:rsidRPr="00AC3697">
        <w:rPr>
          <w:rFonts w:ascii="Palatino Linotype" w:hAnsi="Palatino Linotype"/>
          <w:color w:val="000000"/>
          <w:sz w:val="22"/>
          <w:szCs w:val="22"/>
        </w:rPr>
        <w:lastRenderedPageBreak/>
        <w:t xml:space="preserve">colectivas estarán obligadas a entregar información cuando </w:t>
      </w:r>
      <w:r w:rsidR="002F7D55" w:rsidRPr="00AC3697">
        <w:rPr>
          <w:rFonts w:ascii="Palatino Linotype" w:hAnsi="Palatino Linotype"/>
          <w:b/>
          <w:color w:val="000000"/>
          <w:sz w:val="22"/>
          <w:szCs w:val="22"/>
        </w:rPr>
        <w:t>realicen actos de autoridad</w:t>
      </w:r>
      <w:r w:rsidR="002F7D55" w:rsidRPr="00AC3697">
        <w:rPr>
          <w:rFonts w:ascii="Palatino Linotype" w:hAnsi="Palatino Linotype"/>
          <w:color w:val="000000"/>
          <w:sz w:val="22"/>
          <w:szCs w:val="22"/>
        </w:rPr>
        <w:t xml:space="preserve">, tal como se advierte a continuación: </w:t>
      </w:r>
    </w:p>
    <w:p w14:paraId="2DF09C87" w14:textId="77777777" w:rsidR="00ED74CA" w:rsidRPr="00AC3697" w:rsidRDefault="00ED74CA" w:rsidP="003234CB">
      <w:pPr>
        <w:pStyle w:val="NormalWeb"/>
        <w:spacing w:before="0" w:beforeAutospacing="0" w:after="0" w:afterAutospacing="0" w:line="360" w:lineRule="auto"/>
        <w:jc w:val="both"/>
        <w:rPr>
          <w:rFonts w:ascii="Palatino Linotype" w:hAnsi="Palatino Linotype"/>
          <w:color w:val="000000"/>
          <w:sz w:val="22"/>
          <w:szCs w:val="22"/>
        </w:rPr>
      </w:pPr>
    </w:p>
    <w:p w14:paraId="49AE0EB0" w14:textId="265A2B6E" w:rsidR="002F7D55" w:rsidRPr="00AC3697" w:rsidRDefault="00143DE0" w:rsidP="003234CB">
      <w:pPr>
        <w:pStyle w:val="NormalWeb"/>
        <w:spacing w:before="0" w:beforeAutospacing="0" w:after="0" w:afterAutospacing="0" w:line="276" w:lineRule="auto"/>
        <w:ind w:left="567" w:right="560"/>
        <w:jc w:val="both"/>
        <w:rPr>
          <w:rFonts w:ascii="Palatino Linotype" w:hAnsi="Palatino Linotype"/>
          <w:i/>
          <w:sz w:val="22"/>
        </w:rPr>
      </w:pPr>
      <w:r w:rsidRPr="00AC3697">
        <w:rPr>
          <w:rFonts w:ascii="Palatino Linotype" w:hAnsi="Palatino Linotype"/>
          <w:b/>
          <w:i/>
          <w:sz w:val="22"/>
        </w:rPr>
        <w:t>Artículo 27.</w:t>
      </w:r>
      <w:r w:rsidRPr="00AC3697">
        <w:rPr>
          <w:rFonts w:ascii="Palatino Linotype" w:hAnsi="Palatino Linotype"/>
          <w:i/>
          <w:sz w:val="22"/>
        </w:rPr>
        <w:t xml:space="preserve"> Las personas físicas o jurídicas colectivas que, en el ejercicio de sus actividades, coadyuven en auxilio o colaboración de las entidades públicas,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14:paraId="17EA508F" w14:textId="77777777" w:rsidR="002F7D55" w:rsidRPr="00AC3697" w:rsidRDefault="002F7D55" w:rsidP="003234CB">
      <w:pPr>
        <w:pStyle w:val="NormalWeb"/>
        <w:spacing w:before="0" w:beforeAutospacing="0" w:after="0" w:afterAutospacing="0" w:line="360" w:lineRule="auto"/>
        <w:ind w:left="567" w:right="560"/>
        <w:jc w:val="both"/>
        <w:rPr>
          <w:rFonts w:ascii="Palatino Linotype" w:hAnsi="Palatino Linotype"/>
          <w:color w:val="000000"/>
          <w:sz w:val="20"/>
          <w:szCs w:val="22"/>
        </w:rPr>
      </w:pPr>
    </w:p>
    <w:p w14:paraId="7C7BEA28" w14:textId="0E6EECBE" w:rsidR="002F7D55" w:rsidRPr="00AC3697" w:rsidRDefault="002F7D55" w:rsidP="003234CB">
      <w:pPr>
        <w:pStyle w:val="NormalWeb"/>
        <w:spacing w:before="0" w:beforeAutospacing="0" w:after="0" w:afterAutospacing="0" w:line="360" w:lineRule="auto"/>
        <w:jc w:val="both"/>
        <w:rPr>
          <w:rFonts w:ascii="Palatino Linotype" w:hAnsi="Palatino Linotype"/>
          <w:color w:val="000000"/>
          <w:sz w:val="22"/>
          <w:szCs w:val="22"/>
        </w:rPr>
      </w:pPr>
      <w:r w:rsidRPr="00AC3697">
        <w:rPr>
          <w:rFonts w:ascii="Palatino Linotype" w:hAnsi="Palatino Linotype"/>
          <w:color w:val="000000"/>
          <w:sz w:val="22"/>
          <w:szCs w:val="22"/>
        </w:rPr>
        <w:t xml:space="preserve">En consecuencia, el nombre de la integrante del Comité de Participación Ciudadana es de interés público, debido a que, al ser una integrante de este órgano colegiado realiza actos de autoridad y por ende, su información es de naturaleza pública. </w:t>
      </w:r>
    </w:p>
    <w:p w14:paraId="12FA7F07" w14:textId="77777777" w:rsidR="002F7D55" w:rsidRPr="00AC3697" w:rsidRDefault="002F7D55" w:rsidP="003234CB">
      <w:pPr>
        <w:pStyle w:val="NormalWeb"/>
        <w:spacing w:before="0" w:beforeAutospacing="0" w:after="0" w:afterAutospacing="0" w:line="360" w:lineRule="auto"/>
        <w:jc w:val="both"/>
        <w:rPr>
          <w:rFonts w:ascii="Palatino Linotype" w:hAnsi="Palatino Linotype"/>
          <w:color w:val="000000"/>
          <w:sz w:val="22"/>
          <w:szCs w:val="22"/>
        </w:rPr>
      </w:pPr>
    </w:p>
    <w:p w14:paraId="1AD30EB1" w14:textId="77777777" w:rsidR="002F7D55" w:rsidRPr="00AC3697" w:rsidRDefault="00125890" w:rsidP="003234CB">
      <w:pPr>
        <w:pStyle w:val="NormalWeb"/>
        <w:spacing w:before="0" w:beforeAutospacing="0" w:after="0" w:afterAutospacing="0" w:line="360" w:lineRule="auto"/>
        <w:jc w:val="both"/>
        <w:rPr>
          <w:rFonts w:ascii="Palatino Linotype" w:hAnsi="Palatino Linotype"/>
          <w:bCs/>
          <w:color w:val="000000"/>
          <w:sz w:val="22"/>
          <w:szCs w:val="22"/>
        </w:rPr>
      </w:pPr>
      <w:r w:rsidRPr="00AC3697">
        <w:rPr>
          <w:rFonts w:ascii="Palatino Linotype" w:hAnsi="Palatino Linotype"/>
          <w:color w:val="000000"/>
          <w:sz w:val="22"/>
          <w:szCs w:val="22"/>
        </w:rPr>
        <w:t xml:space="preserve">En conclusión, se considera que, </w:t>
      </w:r>
      <w:r w:rsidR="008F63F2" w:rsidRPr="00AC3697">
        <w:rPr>
          <w:rFonts w:ascii="Palatino Linotype" w:hAnsi="Palatino Linotype"/>
          <w:color w:val="000000"/>
          <w:sz w:val="22"/>
          <w:szCs w:val="22"/>
        </w:rPr>
        <w:t xml:space="preserve">el </w:t>
      </w:r>
      <w:r w:rsidR="008F63F2" w:rsidRPr="00AC3697">
        <w:rPr>
          <w:rFonts w:ascii="Palatino Linotype" w:hAnsi="Palatino Linotype"/>
          <w:bCs/>
          <w:color w:val="000000"/>
          <w:sz w:val="22"/>
          <w:szCs w:val="22"/>
        </w:rPr>
        <w:t>Sujeto Obligado</w:t>
      </w:r>
      <w:r w:rsidR="002F7D55" w:rsidRPr="00AC3697">
        <w:rPr>
          <w:rFonts w:ascii="Palatino Linotype" w:hAnsi="Palatino Linotype"/>
          <w:bCs/>
          <w:color w:val="000000"/>
          <w:sz w:val="22"/>
          <w:szCs w:val="22"/>
        </w:rPr>
        <w:t xml:space="preserve"> hizo entrega de información incompleta y clasificó información susceptible de ser entregada.</w:t>
      </w:r>
    </w:p>
    <w:p w14:paraId="219B2C8C" w14:textId="77777777" w:rsidR="002F7D55" w:rsidRPr="00AC3697" w:rsidRDefault="002F7D55" w:rsidP="003234CB">
      <w:pPr>
        <w:pStyle w:val="NormalWeb"/>
        <w:spacing w:before="0" w:beforeAutospacing="0" w:after="0" w:afterAutospacing="0" w:line="360" w:lineRule="auto"/>
        <w:jc w:val="both"/>
        <w:rPr>
          <w:rFonts w:ascii="Palatino Linotype" w:hAnsi="Palatino Linotype"/>
          <w:bCs/>
          <w:color w:val="000000"/>
          <w:sz w:val="22"/>
          <w:szCs w:val="22"/>
        </w:rPr>
      </w:pPr>
    </w:p>
    <w:p w14:paraId="769FAC1F" w14:textId="657AF082" w:rsidR="00125890" w:rsidRPr="00AC3697" w:rsidRDefault="002F7D55" w:rsidP="003234CB">
      <w:pPr>
        <w:pStyle w:val="NormalWeb"/>
        <w:spacing w:before="0" w:beforeAutospacing="0" w:after="0" w:afterAutospacing="0" w:line="360" w:lineRule="auto"/>
        <w:jc w:val="both"/>
        <w:rPr>
          <w:rFonts w:ascii="Palatino Linotype" w:hAnsi="Palatino Linotype"/>
          <w:color w:val="000000"/>
          <w:sz w:val="22"/>
          <w:szCs w:val="22"/>
        </w:rPr>
      </w:pPr>
      <w:r w:rsidRPr="00AC3697">
        <w:rPr>
          <w:rFonts w:ascii="Palatino Linotype" w:hAnsi="Palatino Linotype"/>
          <w:color w:val="000000"/>
          <w:sz w:val="22"/>
          <w:szCs w:val="22"/>
        </w:rPr>
        <w:t>Por último, es de mencionar que el Acta CT/NAU/ACTA-ORF-003-2025/02</w:t>
      </w:r>
      <w:r w:rsidR="007A3325" w:rsidRPr="00AC3697">
        <w:rPr>
          <w:rFonts w:ascii="Palatino Linotype" w:hAnsi="Palatino Linotype"/>
          <w:color w:val="000000"/>
          <w:sz w:val="22"/>
          <w:szCs w:val="22"/>
        </w:rPr>
        <w:t xml:space="preserve"> se entregó de forma incompleta, ya que faltan más hojas que lo integran como se observa a continuación: </w:t>
      </w:r>
    </w:p>
    <w:p w14:paraId="42F5BA1B" w14:textId="77777777" w:rsidR="007A3325" w:rsidRPr="00AC3697" w:rsidRDefault="007A3325" w:rsidP="003234CB">
      <w:pPr>
        <w:pStyle w:val="NormalWeb"/>
        <w:spacing w:before="0" w:beforeAutospacing="0" w:after="0" w:afterAutospacing="0" w:line="360" w:lineRule="auto"/>
        <w:jc w:val="both"/>
        <w:rPr>
          <w:rFonts w:ascii="Palatino Linotype" w:hAnsi="Palatino Linotype"/>
          <w:color w:val="000000"/>
          <w:sz w:val="22"/>
          <w:szCs w:val="22"/>
        </w:rPr>
      </w:pPr>
    </w:p>
    <w:p w14:paraId="67F1838F" w14:textId="1D487053" w:rsidR="007A3325" w:rsidRPr="00AC3697" w:rsidRDefault="007A3325" w:rsidP="003234CB">
      <w:pPr>
        <w:pStyle w:val="NormalWeb"/>
        <w:spacing w:before="0" w:beforeAutospacing="0" w:after="0" w:afterAutospacing="0" w:line="360" w:lineRule="auto"/>
        <w:jc w:val="center"/>
        <w:rPr>
          <w:rFonts w:ascii="Palatino Linotype" w:hAnsi="Palatino Linotype"/>
          <w:color w:val="000000"/>
          <w:sz w:val="22"/>
          <w:szCs w:val="22"/>
        </w:rPr>
      </w:pPr>
      <w:r w:rsidRPr="00AC3697">
        <w:rPr>
          <w:rFonts w:ascii="Palatino Linotype" w:hAnsi="Palatino Linotype"/>
          <w:noProof/>
          <w:color w:val="000000"/>
          <w:sz w:val="22"/>
          <w:szCs w:val="22"/>
        </w:rPr>
        <w:drawing>
          <wp:inline distT="0" distB="0" distL="0" distR="0" wp14:anchorId="7F09DCEA" wp14:editId="150F6E56">
            <wp:extent cx="5076825" cy="12388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9662" cy="1244397"/>
                    </a:xfrm>
                    <a:prstGeom prst="rect">
                      <a:avLst/>
                    </a:prstGeom>
                  </pic:spPr>
                </pic:pic>
              </a:graphicData>
            </a:graphic>
          </wp:inline>
        </w:drawing>
      </w:r>
    </w:p>
    <w:p w14:paraId="7B654AFA" w14:textId="77777777" w:rsidR="003234CB" w:rsidRPr="00AC3697" w:rsidRDefault="003234CB" w:rsidP="003234CB">
      <w:pPr>
        <w:pStyle w:val="NormalWeb"/>
        <w:spacing w:before="0" w:beforeAutospacing="0" w:after="0" w:afterAutospacing="0" w:line="360" w:lineRule="auto"/>
        <w:rPr>
          <w:rFonts w:ascii="Palatino Linotype" w:hAnsi="Palatino Linotype"/>
          <w:color w:val="000000"/>
          <w:sz w:val="22"/>
          <w:szCs w:val="22"/>
        </w:rPr>
      </w:pPr>
    </w:p>
    <w:p w14:paraId="1C38CF63" w14:textId="24FECCAC"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hAnsi="Palatino Linotype"/>
          <w:color w:val="000000"/>
        </w:rPr>
        <w:lastRenderedPageBreak/>
        <w:t xml:space="preserve">Asimismo, </w:t>
      </w:r>
      <w:r w:rsidRPr="00AC3697">
        <w:rPr>
          <w:rFonts w:ascii="Palatino Linotype" w:eastAsia="Palatino Linotype" w:hAnsi="Palatino Linotype" w:cs="Palatino Linotype"/>
          <w:color w:val="000000"/>
        </w:rPr>
        <w:t xml:space="preserve">resulta dable analizarse el acuerdo emitido por el Comité de Transparencia, con el propósito de determinar si se realizó conforme a derecho, para esto se inserta el siguiente cuadro de análisis que contempla únicamente los </w:t>
      </w:r>
      <w:r w:rsidRPr="00AC3697">
        <w:rPr>
          <w:rFonts w:ascii="Palatino Linotype" w:eastAsia="Palatino Linotype" w:hAnsi="Palatino Linotype" w:cs="Palatino Linotype"/>
          <w:b/>
          <w:color w:val="000000"/>
        </w:rPr>
        <w:t>elementos de forma del acuerdo en comento</w:t>
      </w:r>
      <w:r w:rsidRPr="00AC3697">
        <w:rPr>
          <w:rFonts w:ascii="Palatino Linotype" w:eastAsia="Palatino Linotype" w:hAnsi="Palatino Linotype" w:cs="Palatino Linotype"/>
          <w:color w:val="00000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7"/>
        <w:gridCol w:w="6013"/>
        <w:gridCol w:w="1499"/>
      </w:tblGrid>
      <w:tr w:rsidR="003234CB" w:rsidRPr="00AC3697" w14:paraId="5A4872B1" w14:textId="77777777" w:rsidTr="007141EF">
        <w:trPr>
          <w:trHeight w:val="569"/>
        </w:trPr>
        <w:tc>
          <w:tcPr>
            <w:tcW w:w="1548" w:type="dxa"/>
            <w:shd w:val="clear" w:color="auto" w:fill="EEECE1"/>
          </w:tcPr>
          <w:p w14:paraId="4A78D46B" w14:textId="77777777" w:rsidR="003234CB" w:rsidRPr="00AC3697" w:rsidRDefault="003234CB" w:rsidP="003234CB">
            <w:pPr>
              <w:spacing w:after="0" w:line="276" w:lineRule="auto"/>
              <w:jc w:val="center"/>
              <w:rPr>
                <w:rFonts w:ascii="Palatino Linotype" w:eastAsia="Palatino Linotype" w:hAnsi="Palatino Linotype" w:cs="Palatino Linotype"/>
                <w:b/>
                <w:sz w:val="18"/>
                <w:szCs w:val="18"/>
              </w:rPr>
            </w:pPr>
            <w:r w:rsidRPr="00AC3697">
              <w:rPr>
                <w:rFonts w:ascii="Palatino Linotype" w:eastAsia="Palatino Linotype" w:hAnsi="Palatino Linotype" w:cs="Palatino Linotype"/>
                <w:b/>
                <w:sz w:val="18"/>
                <w:szCs w:val="18"/>
              </w:rPr>
              <w:t>Elementos del acuerdo de clasificación</w:t>
            </w:r>
          </w:p>
        </w:tc>
        <w:tc>
          <w:tcPr>
            <w:tcW w:w="6020" w:type="dxa"/>
            <w:gridSpan w:val="2"/>
            <w:shd w:val="clear" w:color="auto" w:fill="EEECE1"/>
          </w:tcPr>
          <w:p w14:paraId="1879E357" w14:textId="77777777" w:rsidR="003234CB" w:rsidRPr="00AC3697" w:rsidRDefault="003234CB" w:rsidP="003234CB">
            <w:pPr>
              <w:spacing w:after="0" w:line="276" w:lineRule="auto"/>
              <w:jc w:val="center"/>
              <w:rPr>
                <w:rFonts w:ascii="Palatino Linotype" w:eastAsia="Palatino Linotype" w:hAnsi="Palatino Linotype" w:cs="Palatino Linotype"/>
                <w:b/>
                <w:sz w:val="18"/>
                <w:szCs w:val="18"/>
              </w:rPr>
            </w:pPr>
            <w:r w:rsidRPr="00AC3697">
              <w:rPr>
                <w:rFonts w:ascii="Palatino Linotype" w:eastAsia="Palatino Linotype" w:hAnsi="Palatino Linotype" w:cs="Palatino Linotype"/>
                <w:b/>
                <w:sz w:val="18"/>
                <w:szCs w:val="18"/>
              </w:rPr>
              <w:t>Contenido</w:t>
            </w:r>
          </w:p>
        </w:tc>
        <w:tc>
          <w:tcPr>
            <w:tcW w:w="1499" w:type="dxa"/>
            <w:shd w:val="clear" w:color="auto" w:fill="EEECE1"/>
          </w:tcPr>
          <w:p w14:paraId="17134B9D" w14:textId="77777777" w:rsidR="003234CB" w:rsidRPr="00AC3697" w:rsidRDefault="003234CB" w:rsidP="003234CB">
            <w:pPr>
              <w:spacing w:after="0" w:line="276" w:lineRule="auto"/>
              <w:jc w:val="center"/>
              <w:rPr>
                <w:rFonts w:ascii="Palatino Linotype" w:eastAsia="Palatino Linotype" w:hAnsi="Palatino Linotype" w:cs="Palatino Linotype"/>
                <w:b/>
                <w:sz w:val="18"/>
                <w:szCs w:val="18"/>
              </w:rPr>
            </w:pPr>
            <w:r w:rsidRPr="00AC3697">
              <w:rPr>
                <w:rFonts w:ascii="Palatino Linotype" w:eastAsia="Palatino Linotype" w:hAnsi="Palatino Linotype" w:cs="Palatino Linotype"/>
                <w:b/>
                <w:sz w:val="18"/>
                <w:szCs w:val="18"/>
              </w:rPr>
              <w:t>¿Cumple?</w:t>
            </w:r>
          </w:p>
        </w:tc>
      </w:tr>
      <w:tr w:rsidR="003234CB" w:rsidRPr="00AC3697" w14:paraId="5D16A911" w14:textId="77777777" w:rsidTr="007141EF">
        <w:tc>
          <w:tcPr>
            <w:tcW w:w="1548" w:type="dxa"/>
          </w:tcPr>
          <w:p w14:paraId="2864D408" w14:textId="77777777" w:rsidR="003234CB" w:rsidRPr="00AC3697" w:rsidRDefault="003234CB" w:rsidP="003234CB">
            <w:pPr>
              <w:spacing w:after="0" w:line="276" w:lineRule="auto"/>
              <w:jc w:val="center"/>
              <w:rPr>
                <w:rFonts w:ascii="Palatino Linotype" w:eastAsia="Palatino Linotype" w:hAnsi="Palatino Linotype" w:cs="Palatino Linotype"/>
                <w:sz w:val="18"/>
                <w:szCs w:val="18"/>
              </w:rPr>
            </w:pPr>
            <w:r w:rsidRPr="00AC3697">
              <w:rPr>
                <w:rFonts w:ascii="Palatino Linotype" w:eastAsia="Palatino Linotype" w:hAnsi="Palatino Linotype" w:cs="Palatino Linotype"/>
                <w:b/>
                <w:sz w:val="18"/>
                <w:szCs w:val="18"/>
              </w:rPr>
              <w:t>Referencia de la información solicitada</w:t>
            </w:r>
          </w:p>
        </w:tc>
        <w:tc>
          <w:tcPr>
            <w:tcW w:w="6020" w:type="dxa"/>
            <w:gridSpan w:val="2"/>
          </w:tcPr>
          <w:p w14:paraId="3F2707AE" w14:textId="27C55A69" w:rsidR="003234CB" w:rsidRPr="00AC3697" w:rsidRDefault="003234CB" w:rsidP="003234CB">
            <w:pPr>
              <w:spacing w:after="0" w:line="276" w:lineRule="auto"/>
              <w:rPr>
                <w:rFonts w:ascii="Palatino Linotype" w:eastAsia="Palatino Linotype" w:hAnsi="Palatino Linotype" w:cs="Palatino Linotype"/>
              </w:rPr>
            </w:pPr>
            <w:r w:rsidRPr="00AC3697">
              <w:rPr>
                <w:rFonts w:ascii="Palatino Linotype" w:eastAsia="Palatino Linotype" w:hAnsi="Palatino Linotype" w:cs="Palatino Linotype"/>
                <w:noProof/>
              </w:rPr>
              <w:drawing>
                <wp:inline distT="0" distB="0" distL="0" distR="0" wp14:anchorId="592A310E" wp14:editId="42A8C7CB">
                  <wp:extent cx="3685540" cy="6394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5540" cy="639445"/>
                          </a:xfrm>
                          <a:prstGeom prst="rect">
                            <a:avLst/>
                          </a:prstGeom>
                        </pic:spPr>
                      </pic:pic>
                    </a:graphicData>
                  </a:graphic>
                </wp:inline>
              </w:drawing>
            </w:r>
          </w:p>
        </w:tc>
        <w:tc>
          <w:tcPr>
            <w:tcW w:w="1499" w:type="dxa"/>
          </w:tcPr>
          <w:p w14:paraId="575E70B5" w14:textId="77777777" w:rsidR="003234CB" w:rsidRPr="00AC3697" w:rsidRDefault="003234CB" w:rsidP="003234CB">
            <w:pPr>
              <w:spacing w:after="0" w:line="276" w:lineRule="auto"/>
              <w:jc w:val="center"/>
              <w:rPr>
                <w:rFonts w:ascii="Palatino Linotype" w:eastAsia="Palatino Linotype" w:hAnsi="Palatino Linotype" w:cs="Palatino Linotype"/>
                <w:b/>
              </w:rPr>
            </w:pPr>
            <w:r w:rsidRPr="00AC3697">
              <w:rPr>
                <w:rFonts w:ascii="Palatino Linotype" w:eastAsia="Palatino Linotype" w:hAnsi="Palatino Linotype" w:cs="Palatino Linotype"/>
                <w:b/>
              </w:rPr>
              <w:t>Sí</w:t>
            </w:r>
          </w:p>
        </w:tc>
      </w:tr>
      <w:tr w:rsidR="003234CB" w:rsidRPr="00AC3697" w14:paraId="4EAB0835" w14:textId="77777777" w:rsidTr="007141EF">
        <w:tc>
          <w:tcPr>
            <w:tcW w:w="1555" w:type="dxa"/>
            <w:gridSpan w:val="2"/>
            <w:shd w:val="clear" w:color="auto" w:fill="auto"/>
          </w:tcPr>
          <w:p w14:paraId="4960DECC" w14:textId="77777777" w:rsidR="003234CB" w:rsidRPr="00AC3697" w:rsidRDefault="003234CB" w:rsidP="003234CB">
            <w:pPr>
              <w:spacing w:after="0" w:line="276" w:lineRule="auto"/>
              <w:jc w:val="center"/>
              <w:rPr>
                <w:rFonts w:ascii="Palatino Linotype" w:eastAsia="Palatino Linotype" w:hAnsi="Palatino Linotype" w:cs="Palatino Linotype"/>
                <w:b/>
              </w:rPr>
            </w:pPr>
            <w:r w:rsidRPr="00AC3697">
              <w:rPr>
                <w:rFonts w:ascii="Palatino Linotype" w:eastAsia="Palatino Linotype" w:hAnsi="Palatino Linotype" w:cs="Palatino Linotype"/>
                <w:b/>
                <w:sz w:val="18"/>
                <w:szCs w:val="18"/>
              </w:rPr>
              <w:t>Firma de las autoridades competentes.</w:t>
            </w:r>
          </w:p>
        </w:tc>
        <w:tc>
          <w:tcPr>
            <w:tcW w:w="6013" w:type="dxa"/>
            <w:shd w:val="clear" w:color="auto" w:fill="auto"/>
          </w:tcPr>
          <w:p w14:paraId="245007FC" w14:textId="178EA152" w:rsidR="003234CB" w:rsidRPr="00AC3697" w:rsidRDefault="003234CB" w:rsidP="003234CB">
            <w:pPr>
              <w:spacing w:after="0" w:line="276" w:lineRule="auto"/>
              <w:rPr>
                <w:rFonts w:ascii="Cambria" w:eastAsia="Cambria" w:hAnsi="Cambria" w:cs="Cambria"/>
              </w:rPr>
            </w:pPr>
            <w:r w:rsidRPr="00AC3697">
              <w:rPr>
                <w:rFonts w:ascii="Cambria" w:eastAsia="Cambria" w:hAnsi="Cambria" w:cs="Cambria"/>
              </w:rPr>
              <w:t xml:space="preserve"> </w:t>
            </w:r>
            <w:r w:rsidRPr="00AC3697">
              <w:rPr>
                <w:rFonts w:ascii="Cambria" w:eastAsia="Cambria" w:hAnsi="Cambria" w:cs="Cambria"/>
                <w:noProof/>
              </w:rPr>
              <w:drawing>
                <wp:inline distT="0" distB="0" distL="0" distR="0" wp14:anchorId="55CF7BB0" wp14:editId="13C8F1EC">
                  <wp:extent cx="3681095"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1095" cy="3048000"/>
                          </a:xfrm>
                          <a:prstGeom prst="rect">
                            <a:avLst/>
                          </a:prstGeom>
                        </pic:spPr>
                      </pic:pic>
                    </a:graphicData>
                  </a:graphic>
                </wp:inline>
              </w:drawing>
            </w:r>
          </w:p>
        </w:tc>
        <w:tc>
          <w:tcPr>
            <w:tcW w:w="1499" w:type="dxa"/>
            <w:shd w:val="clear" w:color="auto" w:fill="auto"/>
          </w:tcPr>
          <w:p w14:paraId="2D4F1A27" w14:textId="77777777" w:rsidR="003234CB" w:rsidRPr="00AC3697" w:rsidRDefault="003234CB" w:rsidP="003234CB">
            <w:pPr>
              <w:spacing w:after="0" w:line="276" w:lineRule="auto"/>
              <w:jc w:val="center"/>
              <w:rPr>
                <w:rFonts w:ascii="Palatino Linotype" w:eastAsia="Palatino Linotype" w:hAnsi="Palatino Linotype" w:cs="Palatino Linotype"/>
                <w:b/>
              </w:rPr>
            </w:pPr>
            <w:r w:rsidRPr="00AC3697">
              <w:rPr>
                <w:rFonts w:ascii="Palatino Linotype" w:eastAsia="Palatino Linotype" w:hAnsi="Palatino Linotype" w:cs="Palatino Linotype"/>
                <w:b/>
                <w:sz w:val="18"/>
                <w:szCs w:val="18"/>
              </w:rPr>
              <w:t>Si</w:t>
            </w:r>
          </w:p>
        </w:tc>
      </w:tr>
    </w:tbl>
    <w:p w14:paraId="1266C262" w14:textId="61F302F5"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Como se desprende del cuadro previamente insertado, por cuanto hace a los elementos de forma, se aprecia que este hace referencia a la información solicitada y cuenta con las firmas de los integrantes del Comité de Transparencia, por lo tanto, es dable afirmar que estos elementos si los satisface el acuerdo en análisis.</w:t>
      </w:r>
    </w:p>
    <w:p w14:paraId="42C54AD8" w14:textId="77777777" w:rsidR="00EB4E3E" w:rsidRPr="00AC3697" w:rsidRDefault="00EB4E3E"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BE2BA72" w14:textId="25D51224"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lastRenderedPageBreak/>
        <w:t>Como se desprende del cuadro previamente insertado, por cuanto hace a los elementos de forma, se aprecia que este hace referencia a la información solicitada y cuenta con las firmas de los integrantes del Comité de Transparencia, por lo tanto, es dable afirmar que estos elementos si los satisface el acuerdo en análisis.</w:t>
      </w:r>
    </w:p>
    <w:p w14:paraId="7A25C877" w14:textId="77777777" w:rsidR="00EB4E3E" w:rsidRPr="00AC3697" w:rsidRDefault="00EB4E3E"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4179196" w14:textId="62EA41D3"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Ahora bien, respecto a los </w:t>
      </w:r>
      <w:r w:rsidRPr="00AC3697">
        <w:rPr>
          <w:rFonts w:ascii="Palatino Linotype" w:eastAsia="Palatino Linotype" w:hAnsi="Palatino Linotype" w:cs="Palatino Linotype"/>
          <w:b/>
          <w:color w:val="000000"/>
        </w:rPr>
        <w:t>elementos de fondo</w:t>
      </w:r>
      <w:r w:rsidRPr="00AC3697">
        <w:rPr>
          <w:rFonts w:ascii="Palatino Linotype" w:eastAsia="Palatino Linotype" w:hAnsi="Palatino Linotype" w:cs="Palatino Linotype"/>
          <w:color w:val="000000"/>
        </w:rPr>
        <w:t xml:space="preserve">, este Instituto advierte que dentro del acuerdo, se expresa el artículo, inciso, párrafo o numeral de la ley que le otorga el carácter de confidencial, al referir que los datos testados previamente analizados son confidenciales de conformidad con el artículo 143 fracción I de la Ley de Transparencia Local y 4, fracción XI de la Ley de Protección de Datos Local. </w:t>
      </w:r>
    </w:p>
    <w:p w14:paraId="4739102B" w14:textId="77777777"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32E1204" w14:textId="77777777"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color w:val="000000"/>
        </w:rPr>
        <w:t xml:space="preserve">Ahora bien, respecto a la </w:t>
      </w:r>
      <w:r w:rsidRPr="00AC3697">
        <w:rPr>
          <w:rFonts w:ascii="Palatino Linotype" w:eastAsia="Palatino Linotype" w:hAnsi="Palatino Linotype" w:cs="Palatino Linotype"/>
          <w:b/>
          <w:color w:val="000000"/>
        </w:rPr>
        <w:t>fundamentación y motivación</w:t>
      </w:r>
      <w:r w:rsidRPr="00AC3697">
        <w:rPr>
          <w:rFonts w:ascii="Palatino Linotype" w:eastAsia="Palatino Linotype" w:hAnsi="Palatino Linotype" w:cs="Palatino Linotype"/>
          <w:color w:val="000000"/>
        </w:rPr>
        <w:t>, tenemos que el</w:t>
      </w:r>
      <w:r w:rsidRPr="00AC3697">
        <w:rPr>
          <w:rFonts w:ascii="Palatino Linotype" w:eastAsia="Palatino Linotype" w:hAnsi="Palatino Linotype" w:cs="Palatino Linotype"/>
          <w:b/>
          <w:color w:val="000000"/>
        </w:rPr>
        <w:t xml:space="preserve"> Sujeto Obligado </w:t>
      </w:r>
      <w:r w:rsidRPr="00AC3697">
        <w:rPr>
          <w:rFonts w:ascii="Palatino Linotype" w:eastAsia="Palatino Linotype" w:hAnsi="Palatino Linotype" w:cs="Palatino Linotype"/>
          <w:color w:val="000000"/>
        </w:rPr>
        <w:t>aporta las razones por las que a los datos testados les reviste la calidad de confidenciales:</w:t>
      </w:r>
    </w:p>
    <w:p w14:paraId="49761FD5" w14:textId="4FEC2D18"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noProof/>
          <w:color w:val="000000"/>
        </w:rPr>
      </w:pPr>
    </w:p>
    <w:p w14:paraId="328ACBB5" w14:textId="3B183780" w:rsidR="003234CB" w:rsidRPr="00AC3697" w:rsidRDefault="003234CB" w:rsidP="003234CB">
      <w:pPr>
        <w:pBdr>
          <w:top w:val="nil"/>
          <w:left w:val="nil"/>
          <w:bottom w:val="nil"/>
          <w:right w:val="nil"/>
          <w:between w:val="nil"/>
        </w:pBdr>
        <w:spacing w:after="0" w:line="360" w:lineRule="auto"/>
        <w:ind w:right="49"/>
        <w:jc w:val="center"/>
        <w:rPr>
          <w:rFonts w:ascii="Palatino Linotype" w:eastAsia="Palatino Linotype" w:hAnsi="Palatino Linotype" w:cs="Palatino Linotype"/>
          <w:color w:val="000000"/>
        </w:rPr>
      </w:pPr>
      <w:r w:rsidRPr="00AC3697">
        <w:rPr>
          <w:rFonts w:ascii="Palatino Linotype" w:eastAsia="Palatino Linotype" w:hAnsi="Palatino Linotype" w:cs="Palatino Linotype"/>
          <w:noProof/>
          <w:color w:val="000000"/>
        </w:rPr>
        <w:lastRenderedPageBreak/>
        <w:drawing>
          <wp:inline distT="0" distB="0" distL="0" distR="0" wp14:anchorId="2B160EA8" wp14:editId="6AE190EA">
            <wp:extent cx="5467350" cy="3919725"/>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8350" cy="3927611"/>
                    </a:xfrm>
                    <a:prstGeom prst="rect">
                      <a:avLst/>
                    </a:prstGeom>
                  </pic:spPr>
                </pic:pic>
              </a:graphicData>
            </a:graphic>
          </wp:inline>
        </w:drawing>
      </w:r>
    </w:p>
    <w:p w14:paraId="4ADAFBCC" w14:textId="756B3BFF"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AC3697">
        <w:rPr>
          <w:rFonts w:ascii="Palatino Linotype" w:eastAsia="Palatino Linotype" w:hAnsi="Palatino Linotype" w:cs="Palatino Linotype"/>
          <w:noProof/>
          <w:color w:val="000000"/>
        </w:rPr>
        <w:drawing>
          <wp:inline distT="0" distB="0" distL="0" distR="0" wp14:anchorId="2DE9A7CA" wp14:editId="77D6B77D">
            <wp:extent cx="5734850" cy="287695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4850" cy="2876951"/>
                    </a:xfrm>
                    <a:prstGeom prst="rect">
                      <a:avLst/>
                    </a:prstGeom>
                  </pic:spPr>
                </pic:pic>
              </a:graphicData>
            </a:graphic>
          </wp:inline>
        </w:drawing>
      </w:r>
    </w:p>
    <w:p w14:paraId="53B01C4C" w14:textId="77777777" w:rsidR="003234CB"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F4756B3" w14:textId="6AE1A231" w:rsidR="007A3325" w:rsidRPr="00AC3697" w:rsidRDefault="003234CB" w:rsidP="003234C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lastRenderedPageBreak/>
        <w:t xml:space="preserve">Por ende, es que se determina que en cuanto a </w:t>
      </w:r>
      <w:r w:rsidRPr="00AC3697">
        <w:rPr>
          <w:rFonts w:ascii="Palatino Linotype" w:eastAsia="Palatino Linotype" w:hAnsi="Palatino Linotype" w:cs="Palatino Linotype"/>
          <w:b/>
        </w:rPr>
        <w:t>cuestiones de fondo</w:t>
      </w:r>
      <w:r w:rsidRPr="00AC3697">
        <w:rPr>
          <w:rFonts w:ascii="Palatino Linotype" w:eastAsia="Palatino Linotype" w:hAnsi="Palatino Linotype" w:cs="Palatino Linotype"/>
        </w:rPr>
        <w:t xml:space="preserve">, el acuerdo de clasificación si fue emitido con las formalidades de derecho, por lo que abordamos a la conclusión de que el acuerdo que da sustento a la versión pública, es correcto pues contiene los fundamentos y motivos por los que resulta pertinente clasificar la información, sin embargo, como se mencionó se entregó de manera incompleta, situación por la que resulta dable ordenar su entrega. </w:t>
      </w:r>
    </w:p>
    <w:p w14:paraId="0037EF87" w14:textId="77777777" w:rsidR="007A3325" w:rsidRPr="00AC3697" w:rsidRDefault="007A3325" w:rsidP="003234CB">
      <w:pPr>
        <w:pStyle w:val="NormalWeb"/>
        <w:spacing w:before="0" w:beforeAutospacing="0" w:after="0" w:afterAutospacing="0" w:line="360" w:lineRule="auto"/>
        <w:rPr>
          <w:rFonts w:ascii="Palatino Linotype" w:hAnsi="Palatino Linotype"/>
          <w:color w:val="000000"/>
          <w:sz w:val="22"/>
          <w:szCs w:val="22"/>
        </w:rPr>
      </w:pPr>
    </w:p>
    <w:p w14:paraId="669B12AA" w14:textId="0DE9923E" w:rsidR="00125890" w:rsidRPr="00AC3697" w:rsidRDefault="00125890"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En consecuencia, se determina que los agravios hechos valer por el Solicitante devienen </w:t>
      </w:r>
      <w:r w:rsidRPr="00AC3697">
        <w:rPr>
          <w:rFonts w:ascii="Palatino Linotype" w:eastAsia="Palatino Linotype" w:hAnsi="Palatino Linotype" w:cs="Palatino Linotype"/>
          <w:b/>
        </w:rPr>
        <w:t>FUNDADOS</w:t>
      </w:r>
      <w:r w:rsidRPr="00AC3697">
        <w:rPr>
          <w:rFonts w:ascii="Palatino Linotype" w:eastAsia="Palatino Linotype" w:hAnsi="Palatino Linotype" w:cs="Palatino Linotype"/>
        </w:rPr>
        <w:t xml:space="preserve"> y, en consecuencia, se </w:t>
      </w:r>
      <w:r w:rsidR="007A3325" w:rsidRPr="00AC3697">
        <w:rPr>
          <w:rFonts w:ascii="Palatino Linotype" w:eastAsia="Palatino Linotype" w:hAnsi="Palatino Linotype" w:cs="Palatino Linotype"/>
          <w:b/>
        </w:rPr>
        <w:t>MODIFICA</w:t>
      </w:r>
      <w:r w:rsidRPr="00AC3697">
        <w:rPr>
          <w:rFonts w:ascii="Palatino Linotype" w:eastAsia="Palatino Linotype" w:hAnsi="Palatino Linotype" w:cs="Palatino Linotype"/>
          <w:b/>
        </w:rPr>
        <w:t xml:space="preserve"> </w:t>
      </w:r>
      <w:r w:rsidRPr="00AC3697">
        <w:rPr>
          <w:rFonts w:ascii="Palatino Linotype" w:eastAsia="Palatino Linotype" w:hAnsi="Palatino Linotype" w:cs="Palatino Linotype"/>
        </w:rPr>
        <w:t xml:space="preserve">la respuesta otorgada por la parte Recurrente y, se le </w:t>
      </w:r>
      <w:r w:rsidRPr="00AC3697">
        <w:rPr>
          <w:rFonts w:ascii="Palatino Linotype" w:eastAsia="Palatino Linotype" w:hAnsi="Palatino Linotype" w:cs="Palatino Linotype"/>
          <w:b/>
        </w:rPr>
        <w:t xml:space="preserve">ORDENA </w:t>
      </w:r>
      <w:r w:rsidRPr="00AC3697">
        <w:rPr>
          <w:rFonts w:ascii="Palatino Linotype" w:eastAsia="Palatino Linotype" w:hAnsi="Palatino Linotype" w:cs="Palatino Linotype"/>
        </w:rPr>
        <w:t>haga entrega, vía Sistema de Acces</w:t>
      </w:r>
      <w:r w:rsidR="007A3325" w:rsidRPr="00AC3697">
        <w:rPr>
          <w:rFonts w:ascii="Palatino Linotype" w:eastAsia="Palatino Linotype" w:hAnsi="Palatino Linotype" w:cs="Palatino Linotype"/>
        </w:rPr>
        <w:t xml:space="preserve">o a la Información Mexiquense, </w:t>
      </w:r>
      <w:r w:rsidRPr="00AC3697">
        <w:rPr>
          <w:rFonts w:ascii="Palatino Linotype" w:eastAsia="Palatino Linotype" w:hAnsi="Palatino Linotype" w:cs="Palatino Linotype"/>
        </w:rPr>
        <w:t>la siguiente información:</w:t>
      </w:r>
    </w:p>
    <w:p w14:paraId="6627ED7B" w14:textId="77777777" w:rsidR="00125890" w:rsidRPr="00AC3697" w:rsidRDefault="00125890" w:rsidP="003234CB">
      <w:pPr>
        <w:pStyle w:val="NormalWeb"/>
        <w:spacing w:before="0" w:beforeAutospacing="0" w:after="0" w:afterAutospacing="0" w:line="360" w:lineRule="auto"/>
        <w:jc w:val="both"/>
        <w:rPr>
          <w:rFonts w:ascii="Palatino Linotype" w:hAnsi="Palatino Linotype"/>
          <w:color w:val="000000"/>
          <w:sz w:val="22"/>
          <w:szCs w:val="22"/>
        </w:rPr>
      </w:pPr>
    </w:p>
    <w:p w14:paraId="24CE6CD7" w14:textId="3991A2B1" w:rsidR="00125890" w:rsidRPr="00AC3697" w:rsidRDefault="009B13AB" w:rsidP="009B13AB">
      <w:pPr>
        <w:pStyle w:val="NormalWeb"/>
        <w:numPr>
          <w:ilvl w:val="0"/>
          <w:numId w:val="18"/>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En versión pública correcta, el o</w:t>
      </w:r>
      <w:r w:rsidR="007A3325" w:rsidRPr="00AC3697">
        <w:rPr>
          <w:rFonts w:ascii="Palatino Linotype" w:hAnsi="Palatino Linotype"/>
          <w:color w:val="000000"/>
          <w:sz w:val="22"/>
          <w:szCs w:val="22"/>
        </w:rPr>
        <w:t>ficio número DG/0003/2025 enviado en respuesta.</w:t>
      </w:r>
    </w:p>
    <w:p w14:paraId="231B3619" w14:textId="3A37F920" w:rsidR="009B13AB" w:rsidRPr="00AC3697" w:rsidRDefault="009B13AB" w:rsidP="009B13AB">
      <w:pPr>
        <w:pStyle w:val="NormalWeb"/>
        <w:numPr>
          <w:ilvl w:val="0"/>
          <w:numId w:val="18"/>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De ser procedente en versión pública el oficio número DG/010//2025</w:t>
      </w:r>
    </w:p>
    <w:p w14:paraId="105D1646" w14:textId="2A69D51F" w:rsidR="00EB4E3E" w:rsidRPr="00AC3697" w:rsidRDefault="00EB4E3E" w:rsidP="00EB4E3E">
      <w:pPr>
        <w:pStyle w:val="NormalWeb"/>
        <w:spacing w:before="0" w:beforeAutospacing="0" w:after="0" w:afterAutospacing="0" w:line="360" w:lineRule="auto"/>
        <w:ind w:left="720" w:right="560"/>
        <w:jc w:val="both"/>
        <w:rPr>
          <w:rFonts w:ascii="Palatino Linotype" w:hAnsi="Palatino Linotype"/>
          <w:color w:val="000000"/>
          <w:sz w:val="22"/>
          <w:szCs w:val="22"/>
        </w:rPr>
      </w:pPr>
    </w:p>
    <w:p w14:paraId="3921BD43" w14:textId="5C3F8757" w:rsidR="00EB4E3E" w:rsidRPr="00AC3697" w:rsidRDefault="00EB4E3E" w:rsidP="00EB4E3E">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C37FD95" w14:textId="5B0802F6" w:rsidR="00EB4E3E" w:rsidRPr="00AC3697" w:rsidRDefault="00EB4E3E" w:rsidP="00EB4E3E">
      <w:pPr>
        <w:spacing w:after="0" w:line="276" w:lineRule="auto"/>
        <w:ind w:left="567" w:right="560"/>
        <w:jc w:val="both"/>
        <w:rPr>
          <w:rFonts w:ascii="Palatino Linotype" w:eastAsia="Palatino Linotype" w:hAnsi="Palatino Linotype" w:cs="Palatino Linotype"/>
          <w:i/>
        </w:rPr>
      </w:pPr>
    </w:p>
    <w:p w14:paraId="3FBB3CC9" w14:textId="77777777" w:rsidR="00EB4E3E" w:rsidRPr="00AC3697" w:rsidRDefault="00EB4E3E" w:rsidP="00EB4E3E">
      <w:pPr>
        <w:tabs>
          <w:tab w:val="left" w:pos="4962"/>
        </w:tabs>
        <w:spacing w:line="276" w:lineRule="auto"/>
        <w:ind w:left="567" w:right="616"/>
        <w:jc w:val="both"/>
        <w:rPr>
          <w:rFonts w:ascii="Palatino Linotype" w:eastAsia="Palatino Linotype" w:hAnsi="Palatino Linotype" w:cs="Palatino Linotype"/>
          <w:i/>
          <w:color w:val="000000"/>
        </w:rPr>
      </w:pPr>
      <w:r w:rsidRPr="00AC3697">
        <w:rPr>
          <w:rFonts w:ascii="Palatino Linotype" w:eastAsia="Palatino Linotype" w:hAnsi="Palatino Linotype" w:cs="Palatino Linotype"/>
          <w:i/>
          <w:color w:val="000000"/>
        </w:rPr>
        <w:t xml:space="preserve">En el supuesto de que el Sujeto Obligado no cuente el oficio que se ordena en el inciso b), por haber sido cancelado,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5D667C4B" w14:textId="77777777" w:rsidR="00EB4E3E" w:rsidRPr="00AC3697" w:rsidRDefault="00EB4E3E" w:rsidP="00EB4E3E">
      <w:pPr>
        <w:spacing w:after="0" w:line="276" w:lineRule="auto"/>
        <w:ind w:left="567" w:right="560"/>
        <w:jc w:val="both"/>
        <w:rPr>
          <w:rFonts w:ascii="Palatino Linotype" w:eastAsia="Palatino Linotype" w:hAnsi="Palatino Linotype" w:cs="Palatino Linotype"/>
          <w:i/>
        </w:rPr>
      </w:pPr>
    </w:p>
    <w:p w14:paraId="3F903B5A" w14:textId="5EA47AFF" w:rsidR="007A3325" w:rsidRPr="00AC3697" w:rsidRDefault="003234CB" w:rsidP="009B13AB">
      <w:pPr>
        <w:pStyle w:val="NormalWeb"/>
        <w:numPr>
          <w:ilvl w:val="0"/>
          <w:numId w:val="18"/>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 xml:space="preserve">Acuerdo </w:t>
      </w:r>
      <w:r w:rsidRPr="00AC3697">
        <w:rPr>
          <w:rFonts w:ascii="Palatino Linotype" w:hAnsi="Palatino Linotype"/>
          <w:sz w:val="22"/>
          <w:szCs w:val="22"/>
        </w:rPr>
        <w:t xml:space="preserve">CT/NAU/ACTA-ORD-003/2025/02 enviado en informe justificado, de manera completa. </w:t>
      </w:r>
    </w:p>
    <w:p w14:paraId="03701CF0" w14:textId="77777777" w:rsidR="009338B5" w:rsidRPr="00AC3697" w:rsidRDefault="009338B5" w:rsidP="003234CB">
      <w:pPr>
        <w:spacing w:after="0" w:line="360" w:lineRule="auto"/>
        <w:ind w:right="49"/>
        <w:jc w:val="both"/>
      </w:pPr>
    </w:p>
    <w:p w14:paraId="7F12C5A7" w14:textId="77777777"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b/>
        </w:rPr>
        <w:t xml:space="preserve">Quinto. Versión Pública. </w:t>
      </w:r>
      <w:r w:rsidRPr="00AC3697">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0E3586CA" w14:textId="77777777" w:rsidR="009338B5" w:rsidRPr="00AC3697" w:rsidRDefault="009338B5" w:rsidP="003234CB">
      <w:pPr>
        <w:spacing w:after="0" w:line="360" w:lineRule="auto"/>
        <w:jc w:val="both"/>
        <w:rPr>
          <w:rFonts w:ascii="Palatino Linotype" w:eastAsia="Palatino Linotype" w:hAnsi="Palatino Linotype" w:cs="Palatino Linotype"/>
        </w:rPr>
      </w:pPr>
    </w:p>
    <w:p w14:paraId="3680B53F" w14:textId="77777777"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02B5FEC4" w14:textId="77777777" w:rsidR="00992852" w:rsidRPr="00AC3697" w:rsidRDefault="00992852" w:rsidP="003234CB">
      <w:pPr>
        <w:spacing w:after="0" w:line="360" w:lineRule="auto"/>
        <w:jc w:val="both"/>
        <w:rPr>
          <w:rFonts w:ascii="Palatino Linotype" w:eastAsia="Palatino Linotype" w:hAnsi="Palatino Linotype" w:cs="Palatino Linotype"/>
        </w:rPr>
      </w:pPr>
    </w:p>
    <w:p w14:paraId="1AFB669E" w14:textId="77777777" w:rsidR="009338B5" w:rsidRPr="00AC3697" w:rsidRDefault="00E0628C" w:rsidP="003234CB">
      <w:pPr>
        <w:spacing w:after="0" w:line="360" w:lineRule="auto"/>
        <w:ind w:right="50"/>
        <w:jc w:val="both"/>
        <w:rPr>
          <w:rFonts w:ascii="Palatino Linotype" w:eastAsia="Palatino Linotype" w:hAnsi="Palatino Linotype" w:cs="Palatino Linotype"/>
        </w:rPr>
      </w:pPr>
      <w:r w:rsidRPr="00AC3697">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99C84D5" w14:textId="77777777" w:rsidR="009338B5" w:rsidRPr="00AC3697" w:rsidRDefault="009338B5" w:rsidP="003234CB">
      <w:pPr>
        <w:spacing w:after="0" w:line="360" w:lineRule="auto"/>
        <w:ind w:right="50"/>
        <w:jc w:val="both"/>
        <w:rPr>
          <w:rFonts w:ascii="Palatino Linotype" w:eastAsia="Palatino Linotype" w:hAnsi="Palatino Linotype" w:cs="Palatino Linotype"/>
        </w:rPr>
      </w:pPr>
    </w:p>
    <w:p w14:paraId="44A0AA28"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Artículo 3.</w:t>
      </w:r>
      <w:r w:rsidRPr="00AC3697">
        <w:rPr>
          <w:rFonts w:ascii="Palatino Linotype" w:eastAsia="Palatino Linotype" w:hAnsi="Palatino Linotype" w:cs="Palatino Linotype"/>
          <w:i/>
        </w:rPr>
        <w:t xml:space="preserve"> Para los efectos de la presente Ley se entenderá por:</w:t>
      </w:r>
    </w:p>
    <w:p w14:paraId="62ACA502"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14432DD3"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7041A0EF"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XX. Información clasificada: Aquella considerada por la presente Ley como reservada o confidencial;</w:t>
      </w:r>
    </w:p>
    <w:p w14:paraId="20C7F440"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F205CE"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lastRenderedPageBreak/>
        <w:t>XLV. Versión pública: Documento en el que se elimine, suprime o borra la información clasificada como reservada o confidencial para permitir su acceso.</w:t>
      </w:r>
    </w:p>
    <w:p w14:paraId="2CD57F69"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1585B53D"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Artículo 91.</w:t>
      </w:r>
      <w:r w:rsidRPr="00AC369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586B3AF"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Artículo 132.</w:t>
      </w:r>
      <w:r w:rsidRPr="00AC3697">
        <w:rPr>
          <w:rFonts w:ascii="Palatino Linotype" w:eastAsia="Palatino Linotype" w:hAnsi="Palatino Linotype" w:cs="Palatino Linotype"/>
          <w:i/>
        </w:rPr>
        <w:t xml:space="preserve"> La clasificación de la información se llevará a cabo en el momento en que:</w:t>
      </w:r>
    </w:p>
    <w:p w14:paraId="5BA82833" w14:textId="77777777" w:rsidR="009338B5" w:rsidRPr="00AC3697" w:rsidRDefault="00E0628C" w:rsidP="003234CB">
      <w:pPr>
        <w:tabs>
          <w:tab w:val="left" w:pos="1134"/>
        </w:tabs>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 Se reciba una solicitud de acceso a la información;</w:t>
      </w:r>
    </w:p>
    <w:p w14:paraId="5D1B0E62" w14:textId="77777777" w:rsidR="009338B5" w:rsidRPr="00AC3697" w:rsidRDefault="00E0628C" w:rsidP="003234CB">
      <w:pPr>
        <w:tabs>
          <w:tab w:val="left" w:pos="1134"/>
        </w:tabs>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 Se determine mediante resolución de autoridad competente; o</w:t>
      </w:r>
    </w:p>
    <w:p w14:paraId="7203A7FB" w14:textId="77777777" w:rsidR="009338B5" w:rsidRPr="00AC3697" w:rsidRDefault="00E0628C" w:rsidP="003234CB">
      <w:pPr>
        <w:tabs>
          <w:tab w:val="left" w:pos="1134"/>
        </w:tabs>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III. Se generen versiones públicas para dar cumplimiento a las obligaciones de transparencia previstas en esta Ley.</w:t>
      </w:r>
    </w:p>
    <w:p w14:paraId="115034FC"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4D0D5122"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Artículo 143</w:t>
      </w:r>
      <w:r w:rsidRPr="00AC369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2EE57ED"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5CAFD904"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12557F3"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70ABFBE3"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0EB21EA"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780B798" w14:textId="77777777" w:rsidR="009338B5" w:rsidRPr="00AC3697" w:rsidRDefault="009338B5" w:rsidP="003234CB">
      <w:pPr>
        <w:spacing w:after="0"/>
        <w:ind w:left="567" w:right="616"/>
        <w:jc w:val="both"/>
        <w:rPr>
          <w:rFonts w:ascii="Palatino Linotype" w:eastAsia="Palatino Linotype" w:hAnsi="Palatino Linotype" w:cs="Palatino Linotype"/>
          <w:i/>
        </w:rPr>
      </w:pPr>
    </w:p>
    <w:p w14:paraId="101014CB" w14:textId="2180D50A"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Igualmente, </w:t>
      </w:r>
      <w:r w:rsidR="00ED74CA" w:rsidRPr="00AC3697">
        <w:rPr>
          <w:rFonts w:ascii="Palatino Linotype" w:eastAsia="Palatino Linotype" w:hAnsi="Palatino Linotype" w:cs="Palatino Linotype"/>
        </w:rPr>
        <w:t xml:space="preserve">los </w:t>
      </w:r>
      <w:r w:rsidRPr="00AC3697">
        <w:rPr>
          <w:rFonts w:ascii="Palatino Linotype" w:eastAsia="Palatino Linotype" w:hAnsi="Palatino Linotype" w:cs="Palatino Linotype"/>
        </w:rPr>
        <w:t>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r w:rsidR="00ED74CA" w:rsidRPr="00AC3697">
        <w:rPr>
          <w:rFonts w:ascii="Palatino Linotype" w:eastAsia="Palatino Linotype" w:hAnsi="Palatino Linotype" w:cs="Palatino Linotype"/>
        </w:rPr>
        <w:t xml:space="preserve"> vigentes a la fecha de la solicitud de información</w:t>
      </w:r>
      <w:r w:rsidRPr="00AC3697">
        <w:rPr>
          <w:rFonts w:ascii="Palatino Linotype" w:eastAsia="Palatino Linotype" w:hAnsi="Palatino Linotype" w:cs="Palatino Linotype"/>
        </w:rPr>
        <w:t xml:space="preserve"> tienen por objeto establecer los criterios con base en los cuales los sujetos obligados clasificarán como reservada </w:t>
      </w:r>
      <w:r w:rsidRPr="00AC3697">
        <w:rPr>
          <w:rFonts w:ascii="Palatino Linotype" w:eastAsia="Palatino Linotype" w:hAnsi="Palatino Linotype" w:cs="Palatino Linotype"/>
        </w:rPr>
        <w:lastRenderedPageBreak/>
        <w:t>o confidencial la información que posean, desclasificarán y generarán, en su caso, versiones públicas de expedientes o documentos que contengan partes o secciones clasificadas.</w:t>
      </w:r>
    </w:p>
    <w:p w14:paraId="53FA69AA" w14:textId="77777777" w:rsidR="009338B5" w:rsidRPr="00AC3697" w:rsidRDefault="009338B5" w:rsidP="003234CB">
      <w:pPr>
        <w:spacing w:after="0"/>
        <w:jc w:val="both"/>
        <w:rPr>
          <w:rFonts w:ascii="Palatino Linotype" w:eastAsia="Palatino Linotype" w:hAnsi="Palatino Linotype" w:cs="Palatino Linotype"/>
          <w:color w:val="000000"/>
        </w:rPr>
      </w:pPr>
    </w:p>
    <w:p w14:paraId="48B48842" w14:textId="45F3DD18"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w:t>
      </w:r>
      <w:r w:rsidR="00ED74CA" w:rsidRPr="00AC3697">
        <w:rPr>
          <w:rFonts w:ascii="Palatino Linotype" w:eastAsia="Palatino Linotype" w:hAnsi="Palatino Linotype" w:cs="Palatino Linotype"/>
        </w:rPr>
        <w:t xml:space="preserve"> vigentes a la fecha de la solicitud de información</w:t>
      </w:r>
      <w:r w:rsidRPr="00AC3697">
        <w:rPr>
          <w:rFonts w:ascii="Palatino Linotype" w:eastAsia="Palatino Linotype" w:hAnsi="Palatino Linotype" w:cs="Palatino Linotype"/>
        </w:rPr>
        <w:t xml:space="preserve"> señalan las formalidades que deberá llevar el acuerdo de clasificación que deberá emitir el Sujeto Obligado, siendo estas las siguientes:</w:t>
      </w:r>
    </w:p>
    <w:p w14:paraId="50DC1C39" w14:textId="77777777" w:rsidR="009338B5" w:rsidRPr="00AC3697" w:rsidRDefault="009338B5" w:rsidP="003234CB">
      <w:pPr>
        <w:spacing w:after="0" w:line="360" w:lineRule="auto"/>
        <w:jc w:val="both"/>
        <w:rPr>
          <w:rFonts w:ascii="Palatino Linotype" w:eastAsia="Palatino Linotype" w:hAnsi="Palatino Linotype" w:cs="Palatino Linotype"/>
        </w:rPr>
      </w:pPr>
    </w:p>
    <w:p w14:paraId="2733A527"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 “</w:t>
      </w:r>
      <w:r w:rsidRPr="00AC3697">
        <w:rPr>
          <w:rFonts w:ascii="Palatino Linotype" w:eastAsia="Palatino Linotype" w:hAnsi="Palatino Linotype" w:cs="Palatino Linotype"/>
          <w:b/>
          <w:i/>
        </w:rPr>
        <w:t>Quincuagésimo</w:t>
      </w:r>
      <w:r w:rsidRPr="00AC369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35398F8"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Quincuagésimo primero.</w:t>
      </w:r>
      <w:r w:rsidRPr="00AC3697">
        <w:rPr>
          <w:rFonts w:ascii="Palatino Linotype" w:eastAsia="Palatino Linotype" w:hAnsi="Palatino Linotype" w:cs="Palatino Linotype"/>
          <w:i/>
        </w:rPr>
        <w:t xml:space="preserve"> Toda acta del Comité de Transparencia deberá contener: </w:t>
      </w:r>
    </w:p>
    <w:p w14:paraId="392026BB"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 El número de sesión y fecha; </w:t>
      </w:r>
    </w:p>
    <w:p w14:paraId="217A961A"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II. El nombre del área que solicitó la clasificación de información; </w:t>
      </w:r>
    </w:p>
    <w:p w14:paraId="76DD1678"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III. La fundamentación legal y motivación correspondiente; </w:t>
      </w:r>
    </w:p>
    <w:p w14:paraId="1AB3EE2F"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IV. La resolución o resoluciones aprobadas; y </w:t>
      </w:r>
    </w:p>
    <w:p w14:paraId="03C54CD5"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V. La rúbrica o firma digital de cada integrante del Comité de Transparencia. </w:t>
      </w:r>
    </w:p>
    <w:p w14:paraId="43212CFE"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AC7ED27"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 Los motivos y razonamientos que sustenten la confirmación o modificación de la prueba de daño;</w:t>
      </w:r>
    </w:p>
    <w:p w14:paraId="12E1EC0E"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II. Descripción de las partes o secciones reservadas, en caso de clasificación parcial; </w:t>
      </w:r>
    </w:p>
    <w:p w14:paraId="0029845F"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III. El periodo por el que mantendrá su clasificación y fecha de expiración; y </w:t>
      </w:r>
    </w:p>
    <w:p w14:paraId="53C7D53A"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IV. El nombre del titular y área encargada de realizar la versión pública del documento, en su caso. </w:t>
      </w:r>
    </w:p>
    <w:p w14:paraId="344BEC10"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FABE971"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12786C4"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lastRenderedPageBreak/>
        <w:t>Quincuagésimo segundo.</w:t>
      </w:r>
      <w:r w:rsidRPr="00AC369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469EA90"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E587C97"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 Fijar la fecha en que se elaboró la versión pública y la fecha en la cual el Comité de Transparencia confirmó dicha versión;</w:t>
      </w:r>
    </w:p>
    <w:p w14:paraId="13B08460"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5D31058"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III. Señalar las personas o instancias autorizadas a acceder a la información clasificada.</w:t>
      </w:r>
    </w:p>
    <w:p w14:paraId="3D26E606"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85336F2" w14:textId="77777777" w:rsidR="009338B5" w:rsidRPr="00AC3697" w:rsidRDefault="009338B5" w:rsidP="003234CB">
      <w:pPr>
        <w:spacing w:after="0" w:line="360" w:lineRule="auto"/>
        <w:jc w:val="both"/>
        <w:rPr>
          <w:rFonts w:ascii="Palatino Linotype" w:eastAsia="Palatino Linotype" w:hAnsi="Palatino Linotype" w:cs="Palatino Linotype"/>
        </w:rPr>
      </w:pPr>
    </w:p>
    <w:p w14:paraId="4B6F8F52" w14:textId="77777777"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1DA197A" w14:textId="77777777" w:rsidR="00992852" w:rsidRPr="00AC3697" w:rsidRDefault="00992852" w:rsidP="003234CB">
      <w:pPr>
        <w:spacing w:after="0" w:line="360" w:lineRule="auto"/>
        <w:jc w:val="both"/>
        <w:rPr>
          <w:rFonts w:ascii="Palatino Linotype" w:eastAsia="Palatino Linotype" w:hAnsi="Palatino Linotype" w:cs="Palatino Linotype"/>
        </w:rPr>
      </w:pPr>
    </w:p>
    <w:p w14:paraId="77102B3E" w14:textId="77777777" w:rsidR="009338B5" w:rsidRPr="00AC3697" w:rsidRDefault="00E0628C" w:rsidP="003234C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r w:rsidRPr="00AC3697">
        <w:rPr>
          <w:rFonts w:ascii="Palatino Linotype" w:eastAsia="Palatino Linotype" w:hAnsi="Palatino Linotype" w:cs="Palatino Linotype"/>
          <w:b/>
          <w:i/>
        </w:rPr>
        <w:t>Quincuagésimo cuarto.</w:t>
      </w:r>
      <w:r w:rsidRPr="00AC369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257E621"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Quincuagésimo quinto.</w:t>
      </w:r>
      <w:r w:rsidRPr="00AC3697">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AC3697">
        <w:rPr>
          <w:rFonts w:ascii="Palatino Linotype" w:eastAsia="Palatino Linotype" w:hAnsi="Palatino Linotype" w:cs="Palatino Linotype"/>
          <w:i/>
        </w:rPr>
        <w:t>testado</w:t>
      </w:r>
      <w:proofErr w:type="spellEnd"/>
      <w:r w:rsidRPr="00AC3697">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1245C86"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w:t>
      </w:r>
    </w:p>
    <w:p w14:paraId="2AFE6709"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b/>
          <w:i/>
        </w:rPr>
        <w:t>Quincuagésimo séptimo.</w:t>
      </w:r>
      <w:r w:rsidRPr="00AC3697">
        <w:rPr>
          <w:rFonts w:ascii="Palatino Linotype" w:eastAsia="Palatino Linotype" w:hAnsi="Palatino Linotype" w:cs="Palatino Linotype"/>
          <w:i/>
        </w:rPr>
        <w:t xml:space="preserve"> Se considera, en principio, como información pública y no podrá omitirse de las versiones públicas la siguiente: </w:t>
      </w:r>
    </w:p>
    <w:p w14:paraId="7CC37C63"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lastRenderedPageBreak/>
        <w:t xml:space="preserve">I. La relativa a las Obligaciones de Transparencia que contempla el Título V de la Ley General y las demás disposiciones legales aplicables; </w:t>
      </w:r>
    </w:p>
    <w:p w14:paraId="7287E40A"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62443A0F"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E7436F9"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B6DF360" w14:textId="77777777" w:rsidR="009338B5" w:rsidRPr="00AC3697" w:rsidRDefault="00E0628C" w:rsidP="003234CB">
      <w:pPr>
        <w:spacing w:after="0"/>
        <w:ind w:left="567" w:right="616"/>
        <w:jc w:val="both"/>
        <w:rPr>
          <w:rFonts w:ascii="Palatino Linotype" w:eastAsia="Palatino Linotype" w:hAnsi="Palatino Linotype" w:cs="Palatino Linotype"/>
          <w:i/>
        </w:rPr>
      </w:pPr>
      <w:r w:rsidRPr="00AC3697">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441EB312" w14:textId="77777777" w:rsidR="009338B5" w:rsidRPr="00AC3697" w:rsidRDefault="009338B5" w:rsidP="003234CB">
      <w:pPr>
        <w:spacing w:after="0" w:line="360" w:lineRule="auto"/>
        <w:ind w:left="567" w:right="616"/>
        <w:jc w:val="both"/>
        <w:rPr>
          <w:rFonts w:ascii="Palatino Linotype" w:eastAsia="Palatino Linotype" w:hAnsi="Palatino Linotype" w:cs="Palatino Linotype"/>
          <w:i/>
        </w:rPr>
      </w:pPr>
    </w:p>
    <w:p w14:paraId="68C8837E" w14:textId="77777777"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F695D53" w14:textId="77777777" w:rsidR="009338B5" w:rsidRPr="00AC3697" w:rsidRDefault="009338B5" w:rsidP="003234CB">
      <w:pPr>
        <w:spacing w:after="0" w:line="360" w:lineRule="auto"/>
        <w:jc w:val="both"/>
        <w:rPr>
          <w:rFonts w:ascii="Palatino Linotype" w:eastAsia="Palatino Linotype" w:hAnsi="Palatino Linotype" w:cs="Palatino Linotype"/>
        </w:rPr>
      </w:pPr>
    </w:p>
    <w:p w14:paraId="382E3037" w14:textId="636E1C5F"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AC3697">
        <w:rPr>
          <w:rFonts w:ascii="Palatino Linotype" w:eastAsia="Palatino Linotype" w:hAnsi="Palatino Linotype" w:cs="Palatino Linotype"/>
          <w:b/>
        </w:rPr>
        <w:t>RECURRENTE</w:t>
      </w:r>
      <w:r w:rsidRPr="00AC3697">
        <w:rPr>
          <w:rFonts w:ascii="Palatino Linotype" w:eastAsia="Palatino Linotype" w:hAnsi="Palatino Linotype" w:cs="Palatino Linotype"/>
        </w:rPr>
        <w:t xml:space="preserve"> dentro del recurso de revisión </w:t>
      </w:r>
      <w:r w:rsidR="007A3325" w:rsidRPr="00AC3697">
        <w:rPr>
          <w:rFonts w:ascii="Palatino Linotype" w:eastAsia="Palatino Linotype" w:hAnsi="Palatino Linotype" w:cs="Palatino Linotype"/>
          <w:b/>
        </w:rPr>
        <w:t>01419</w:t>
      </w:r>
      <w:r w:rsidR="00125890" w:rsidRPr="00AC3697">
        <w:rPr>
          <w:rFonts w:ascii="Palatino Linotype" w:eastAsia="Palatino Linotype" w:hAnsi="Palatino Linotype" w:cs="Palatino Linotype"/>
          <w:b/>
        </w:rPr>
        <w:t>/INFOEM/IP/RR/2025</w:t>
      </w:r>
      <w:r w:rsidRPr="00AC3697">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w:t>
      </w:r>
      <w:r w:rsidRPr="00AC3697">
        <w:rPr>
          <w:rFonts w:ascii="Palatino Linotype" w:eastAsia="Palatino Linotype" w:hAnsi="Palatino Linotype" w:cs="Palatino Linotype"/>
        </w:rPr>
        <w:lastRenderedPageBreak/>
        <w:t xml:space="preserve">Municipios, por lo que se </w:t>
      </w:r>
      <w:r w:rsidR="007A3325" w:rsidRPr="00AC3697">
        <w:rPr>
          <w:rFonts w:ascii="Palatino Linotype" w:eastAsia="Palatino Linotype" w:hAnsi="Palatino Linotype" w:cs="Palatino Linotype"/>
          <w:b/>
        </w:rPr>
        <w:t>MODIFICA</w:t>
      </w:r>
      <w:r w:rsidRPr="00AC3697">
        <w:rPr>
          <w:rFonts w:ascii="Palatino Linotype" w:eastAsia="Palatino Linotype" w:hAnsi="Palatino Linotype" w:cs="Palatino Linotype"/>
          <w:b/>
        </w:rPr>
        <w:t xml:space="preserve"> </w:t>
      </w:r>
      <w:r w:rsidRPr="00AC3697">
        <w:rPr>
          <w:rFonts w:ascii="Palatino Linotype" w:eastAsia="Palatino Linotype" w:hAnsi="Palatino Linotype" w:cs="Palatino Linotype"/>
        </w:rPr>
        <w:t xml:space="preserve">la respuesta del </w:t>
      </w:r>
      <w:r w:rsidRPr="00AC3697">
        <w:rPr>
          <w:rFonts w:ascii="Palatino Linotype" w:eastAsia="Palatino Linotype" w:hAnsi="Palatino Linotype" w:cs="Palatino Linotype"/>
          <w:b/>
        </w:rPr>
        <w:t xml:space="preserve">SUJETO OBLIGADO </w:t>
      </w:r>
      <w:r w:rsidRPr="00AC3697">
        <w:rPr>
          <w:rFonts w:ascii="Palatino Linotype" w:eastAsia="Palatino Linotype" w:hAnsi="Palatino Linotype" w:cs="Palatino Linotype"/>
        </w:rPr>
        <w:t xml:space="preserve">a la solicitud de información </w:t>
      </w:r>
      <w:r w:rsidR="007A3325" w:rsidRPr="00AC3697">
        <w:rPr>
          <w:rFonts w:ascii="Palatino Linotype" w:eastAsia="Palatino Linotype" w:hAnsi="Palatino Linotype" w:cs="Palatino Linotype"/>
          <w:b/>
        </w:rPr>
        <w:t>00109</w:t>
      </w:r>
      <w:r w:rsidRPr="00AC3697">
        <w:rPr>
          <w:rFonts w:ascii="Palatino Linotype" w:eastAsia="Palatino Linotype" w:hAnsi="Palatino Linotype" w:cs="Palatino Linotype"/>
          <w:b/>
        </w:rPr>
        <w:t>/</w:t>
      </w:r>
      <w:r w:rsidR="007A3325" w:rsidRPr="00AC3697">
        <w:rPr>
          <w:rFonts w:ascii="Palatino Linotype" w:eastAsia="Palatino Linotype" w:hAnsi="Palatino Linotype" w:cs="Palatino Linotype"/>
          <w:b/>
        </w:rPr>
        <w:t>NAUCALPA</w:t>
      </w:r>
      <w:r w:rsidRPr="00AC3697">
        <w:rPr>
          <w:rFonts w:ascii="Palatino Linotype" w:eastAsia="Palatino Linotype" w:hAnsi="Palatino Linotype" w:cs="Palatino Linotype"/>
          <w:b/>
        </w:rPr>
        <w:t>/IP/202</w:t>
      </w:r>
      <w:r w:rsidR="007A3325" w:rsidRPr="00AC3697">
        <w:rPr>
          <w:rFonts w:ascii="Palatino Linotype" w:eastAsia="Palatino Linotype" w:hAnsi="Palatino Linotype" w:cs="Palatino Linotype"/>
          <w:b/>
        </w:rPr>
        <w:t>5</w:t>
      </w:r>
      <w:r w:rsidRPr="00AC3697">
        <w:rPr>
          <w:rFonts w:ascii="Palatino Linotype" w:eastAsia="Palatino Linotype" w:hAnsi="Palatino Linotype" w:cs="Palatino Linotype"/>
          <w:b/>
        </w:rPr>
        <w:t>.</w:t>
      </w:r>
      <w:r w:rsidRPr="00AC3697">
        <w:rPr>
          <w:rFonts w:ascii="Palatino Linotype" w:eastAsia="Palatino Linotype" w:hAnsi="Palatino Linotype" w:cs="Palatino Linotype"/>
        </w:rPr>
        <w:t xml:space="preserve">  </w:t>
      </w:r>
    </w:p>
    <w:p w14:paraId="5EFC7995" w14:textId="77777777" w:rsidR="006516C6" w:rsidRPr="00AC3697" w:rsidRDefault="006516C6" w:rsidP="003234CB">
      <w:pPr>
        <w:spacing w:after="0" w:line="360" w:lineRule="auto"/>
        <w:ind w:right="49"/>
        <w:jc w:val="both"/>
        <w:rPr>
          <w:rFonts w:ascii="Palatino Linotype" w:eastAsia="Palatino Linotype" w:hAnsi="Palatino Linotype" w:cs="Palatino Linotype"/>
          <w:b/>
        </w:rPr>
      </w:pPr>
    </w:p>
    <w:p w14:paraId="16D12D89" w14:textId="0513B00F"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Así, con fundamento en lo prescrito en los artículos 5 párrafos trigésimo </w:t>
      </w:r>
      <w:r w:rsidR="002762FB" w:rsidRPr="00AC3697">
        <w:rPr>
          <w:rFonts w:ascii="Palatino Linotype" w:eastAsia="Palatino Linotype" w:hAnsi="Palatino Linotype" w:cs="Palatino Linotype"/>
        </w:rPr>
        <w:t>séptimo</w:t>
      </w:r>
      <w:r w:rsidRPr="00AC3697">
        <w:rPr>
          <w:rFonts w:ascii="Palatino Linotype" w:eastAsia="Palatino Linotype" w:hAnsi="Palatino Linotype" w:cs="Palatino Linotype"/>
        </w:rPr>
        <w:t xml:space="preserve">, trigésimo </w:t>
      </w:r>
      <w:r w:rsidR="002762FB" w:rsidRPr="00AC3697">
        <w:rPr>
          <w:rFonts w:ascii="Palatino Linotype" w:eastAsia="Palatino Linotype" w:hAnsi="Palatino Linotype" w:cs="Palatino Linotype"/>
        </w:rPr>
        <w:t>octavo</w:t>
      </w:r>
      <w:r w:rsidRPr="00AC3697">
        <w:rPr>
          <w:rFonts w:ascii="Palatino Linotype" w:eastAsia="Palatino Linotype" w:hAnsi="Palatino Linotype" w:cs="Palatino Linotype"/>
        </w:rPr>
        <w:t xml:space="preserve"> y trigésimo </w:t>
      </w:r>
      <w:r w:rsidR="002762FB" w:rsidRPr="00AC3697">
        <w:rPr>
          <w:rFonts w:ascii="Palatino Linotype" w:eastAsia="Palatino Linotype" w:hAnsi="Palatino Linotype" w:cs="Palatino Linotype"/>
        </w:rPr>
        <w:t>noveno</w:t>
      </w:r>
      <w:r w:rsidRPr="00AC3697">
        <w:rPr>
          <w:rFonts w:ascii="Palatino Linotype" w:eastAsia="Palatino Linotype" w:hAnsi="Palatino Linotype" w:cs="Palatino Linotype"/>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1CCA387" w14:textId="77777777" w:rsidR="009338B5" w:rsidRPr="00AC3697" w:rsidRDefault="00E0628C" w:rsidP="003234CB">
      <w:pPr>
        <w:spacing w:after="0" w:line="360" w:lineRule="auto"/>
        <w:ind w:right="49"/>
        <w:jc w:val="center"/>
        <w:rPr>
          <w:rFonts w:ascii="Palatino Linotype" w:eastAsia="Palatino Linotype" w:hAnsi="Palatino Linotype" w:cs="Palatino Linotype"/>
          <w:b/>
        </w:rPr>
      </w:pPr>
      <w:r w:rsidRPr="00AC3697">
        <w:rPr>
          <w:rFonts w:ascii="Palatino Linotype" w:eastAsia="Palatino Linotype" w:hAnsi="Palatino Linotype" w:cs="Palatino Linotype"/>
          <w:b/>
        </w:rPr>
        <w:t>III.</w:t>
      </w:r>
      <w:r w:rsidRPr="00AC3697">
        <w:rPr>
          <w:rFonts w:ascii="Palatino Linotype" w:eastAsia="Palatino Linotype" w:hAnsi="Palatino Linotype" w:cs="Palatino Linotype"/>
          <w:b/>
        </w:rPr>
        <w:tab/>
        <w:t>R E S U E L V E:</w:t>
      </w:r>
    </w:p>
    <w:p w14:paraId="52AA6C2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6F04D72E" w14:textId="326A9E96" w:rsidR="009338B5" w:rsidRPr="00AC3697" w:rsidRDefault="00E0628C" w:rsidP="003234CB">
      <w:pPr>
        <w:spacing w:after="0" w:line="360" w:lineRule="auto"/>
        <w:ind w:right="49"/>
        <w:jc w:val="both"/>
        <w:rPr>
          <w:rFonts w:ascii="Palatino Linotype" w:eastAsia="Palatino Linotype" w:hAnsi="Palatino Linotype" w:cs="Palatino Linotype"/>
          <w:b/>
        </w:rPr>
      </w:pPr>
      <w:r w:rsidRPr="00AC3697">
        <w:rPr>
          <w:rFonts w:ascii="Palatino Linotype" w:eastAsia="Palatino Linotype" w:hAnsi="Palatino Linotype" w:cs="Palatino Linotype"/>
          <w:b/>
        </w:rPr>
        <w:t>Primero.</w:t>
      </w:r>
      <w:r w:rsidRPr="00AC3697">
        <w:rPr>
          <w:rFonts w:ascii="Palatino Linotype" w:eastAsia="Palatino Linotype" w:hAnsi="Palatino Linotype" w:cs="Palatino Linotype"/>
        </w:rPr>
        <w:t xml:space="preserve"> Resultan</w:t>
      </w:r>
      <w:r w:rsidRPr="00AC3697">
        <w:rPr>
          <w:rFonts w:ascii="Palatino Linotype" w:eastAsia="Palatino Linotype" w:hAnsi="Palatino Linotype" w:cs="Palatino Linotype"/>
          <w:b/>
        </w:rPr>
        <w:t xml:space="preserve"> FUNDADOS</w:t>
      </w:r>
      <w:r w:rsidRPr="00AC3697">
        <w:rPr>
          <w:rFonts w:ascii="Palatino Linotype" w:eastAsia="Palatino Linotype" w:hAnsi="Palatino Linotype" w:cs="Palatino Linotype"/>
        </w:rPr>
        <w:t xml:space="preserve"> los motivos de inconformidad hechos valer por la parte </w:t>
      </w:r>
      <w:r w:rsidRPr="00AC3697">
        <w:rPr>
          <w:rFonts w:ascii="Palatino Linotype" w:eastAsia="Palatino Linotype" w:hAnsi="Palatino Linotype" w:cs="Palatino Linotype"/>
          <w:b/>
        </w:rPr>
        <w:t>RECURRENTE</w:t>
      </w:r>
      <w:r w:rsidRPr="00AC3697">
        <w:rPr>
          <w:rFonts w:ascii="Palatino Linotype" w:eastAsia="Palatino Linotype" w:hAnsi="Palatino Linotype" w:cs="Palatino Linotype"/>
        </w:rPr>
        <w:t xml:space="preserve"> en el Recurso de Revisión </w:t>
      </w:r>
      <w:r w:rsidR="007A3325" w:rsidRPr="00AC3697">
        <w:rPr>
          <w:rFonts w:ascii="Palatino Linotype" w:eastAsia="Palatino Linotype" w:hAnsi="Palatino Linotype" w:cs="Palatino Linotype"/>
          <w:b/>
        </w:rPr>
        <w:t>01419</w:t>
      </w:r>
      <w:r w:rsidR="00125890" w:rsidRPr="00AC3697">
        <w:rPr>
          <w:rFonts w:ascii="Palatino Linotype" w:eastAsia="Palatino Linotype" w:hAnsi="Palatino Linotype" w:cs="Palatino Linotype"/>
          <w:b/>
        </w:rPr>
        <w:t>/INFOEM/IP/RR/2025</w:t>
      </w:r>
      <w:r w:rsidRPr="00AC3697">
        <w:rPr>
          <w:rFonts w:ascii="Palatino Linotype" w:eastAsia="Palatino Linotype" w:hAnsi="Palatino Linotype" w:cs="Palatino Linotype"/>
        </w:rPr>
        <w:t xml:space="preserve">, por lo que, en términos del </w:t>
      </w:r>
      <w:r w:rsidRPr="00AC3697">
        <w:rPr>
          <w:rFonts w:ascii="Palatino Linotype" w:eastAsia="Palatino Linotype" w:hAnsi="Palatino Linotype" w:cs="Palatino Linotype"/>
          <w:b/>
        </w:rPr>
        <w:t>Considerando Cuarto</w:t>
      </w:r>
      <w:r w:rsidRPr="00AC3697">
        <w:rPr>
          <w:rFonts w:ascii="Palatino Linotype" w:eastAsia="Palatino Linotype" w:hAnsi="Palatino Linotype" w:cs="Palatino Linotype"/>
        </w:rPr>
        <w:t xml:space="preserve"> de esta resolución, se </w:t>
      </w:r>
      <w:r w:rsidR="007A3325" w:rsidRPr="00AC3697">
        <w:rPr>
          <w:rFonts w:ascii="Palatino Linotype" w:eastAsia="Palatino Linotype" w:hAnsi="Palatino Linotype" w:cs="Palatino Linotype"/>
          <w:b/>
        </w:rPr>
        <w:t>MODIFICA</w:t>
      </w:r>
      <w:r w:rsidRPr="00AC3697">
        <w:rPr>
          <w:rFonts w:ascii="Palatino Linotype" w:eastAsia="Palatino Linotype" w:hAnsi="Palatino Linotype" w:cs="Palatino Linotype"/>
          <w:b/>
        </w:rPr>
        <w:t xml:space="preserve"> </w:t>
      </w:r>
      <w:r w:rsidRPr="00AC3697">
        <w:rPr>
          <w:rFonts w:ascii="Palatino Linotype" w:eastAsia="Palatino Linotype" w:hAnsi="Palatino Linotype" w:cs="Palatino Linotype"/>
        </w:rPr>
        <w:t xml:space="preserve">la respuesta emitida por el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w:t>
      </w:r>
    </w:p>
    <w:p w14:paraId="27C001F0"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0C172257" w14:textId="479F60FB" w:rsidR="009338B5" w:rsidRPr="00AC3697" w:rsidRDefault="00E0628C" w:rsidP="003234CB">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AC3697">
        <w:rPr>
          <w:rFonts w:ascii="Palatino Linotype" w:eastAsia="Palatino Linotype" w:hAnsi="Palatino Linotype" w:cs="Palatino Linotype"/>
          <w:b/>
        </w:rPr>
        <w:t>Segundo</w:t>
      </w:r>
      <w:r w:rsidRPr="00AC3697">
        <w:rPr>
          <w:rFonts w:ascii="Palatino Linotype" w:eastAsia="Palatino Linotype" w:hAnsi="Palatino Linotype" w:cs="Palatino Linotype"/>
        </w:rPr>
        <w:t xml:space="preserve">. Se </w:t>
      </w:r>
      <w:r w:rsidRPr="00AC3697">
        <w:rPr>
          <w:rFonts w:ascii="Palatino Linotype" w:eastAsia="Palatino Linotype" w:hAnsi="Palatino Linotype" w:cs="Palatino Linotype"/>
          <w:b/>
        </w:rPr>
        <w:t>ORDENA</w:t>
      </w:r>
      <w:r w:rsidRPr="00AC3697">
        <w:rPr>
          <w:rFonts w:ascii="Palatino Linotype" w:eastAsia="Palatino Linotype" w:hAnsi="Palatino Linotype" w:cs="Palatino Linotype"/>
        </w:rPr>
        <w:t xml:space="preserve"> al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 xml:space="preserve"> a que, en términos del Considerando Cuarto y Quinto, haga entrega, vía Sistema de Acceso a la Información Mexiquense, </w:t>
      </w:r>
      <w:r w:rsidRPr="00AC3697">
        <w:rPr>
          <w:rFonts w:ascii="Palatino Linotype" w:eastAsia="Palatino Linotype" w:hAnsi="Palatino Linotype" w:cs="Palatino Linotype"/>
          <w:color w:val="000000"/>
        </w:rPr>
        <w:t xml:space="preserve">de lo siguiente: </w:t>
      </w:r>
    </w:p>
    <w:p w14:paraId="6E8D2863" w14:textId="77777777" w:rsidR="009338B5" w:rsidRPr="00AC3697" w:rsidRDefault="009338B5" w:rsidP="003234C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rPr>
      </w:pPr>
    </w:p>
    <w:p w14:paraId="379491B5" w14:textId="77777777" w:rsidR="00EB4E3E" w:rsidRPr="00AC3697" w:rsidRDefault="00EB4E3E" w:rsidP="00EB4E3E">
      <w:pPr>
        <w:pStyle w:val="NormalWeb"/>
        <w:numPr>
          <w:ilvl w:val="0"/>
          <w:numId w:val="20"/>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En versión pública correcta, el oficio número DG/0003/2025 enviado en respuesta.</w:t>
      </w:r>
    </w:p>
    <w:p w14:paraId="59A6AF22" w14:textId="3775C899" w:rsidR="00EB4E3E" w:rsidRPr="00AC3697" w:rsidRDefault="00EB4E3E" w:rsidP="00EB4E3E">
      <w:pPr>
        <w:pStyle w:val="NormalWeb"/>
        <w:numPr>
          <w:ilvl w:val="0"/>
          <w:numId w:val="20"/>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De ser procedente en versión pública el oficio número DG/010//2025</w:t>
      </w:r>
      <w:r w:rsidR="00ED74CA" w:rsidRPr="00AC3697">
        <w:rPr>
          <w:rFonts w:ascii="Palatino Linotype" w:hAnsi="Palatino Linotype"/>
          <w:color w:val="000000"/>
          <w:sz w:val="22"/>
          <w:szCs w:val="22"/>
        </w:rPr>
        <w:t>.</w:t>
      </w:r>
    </w:p>
    <w:p w14:paraId="3C9D581E" w14:textId="77777777" w:rsidR="00ED74CA" w:rsidRPr="00AC3697" w:rsidRDefault="00ED74CA" w:rsidP="00ED74CA">
      <w:pPr>
        <w:pStyle w:val="NormalWeb"/>
        <w:spacing w:before="0" w:beforeAutospacing="0" w:after="0" w:afterAutospacing="0" w:line="360" w:lineRule="auto"/>
        <w:ind w:left="720" w:right="560"/>
        <w:jc w:val="both"/>
        <w:rPr>
          <w:rFonts w:ascii="Palatino Linotype" w:hAnsi="Palatino Linotype"/>
          <w:color w:val="000000"/>
          <w:sz w:val="22"/>
          <w:szCs w:val="22"/>
        </w:rPr>
      </w:pPr>
    </w:p>
    <w:p w14:paraId="216EB9C1" w14:textId="77777777" w:rsidR="00EB4E3E" w:rsidRPr="00AC3697" w:rsidRDefault="00EB4E3E" w:rsidP="00EB4E3E">
      <w:pPr>
        <w:spacing w:after="0" w:line="276" w:lineRule="auto"/>
        <w:ind w:left="567" w:right="560"/>
        <w:jc w:val="both"/>
        <w:rPr>
          <w:rFonts w:ascii="Palatino Linotype" w:eastAsia="Palatino Linotype" w:hAnsi="Palatino Linotype" w:cs="Palatino Linotype"/>
          <w:i/>
        </w:rPr>
      </w:pPr>
      <w:r w:rsidRPr="00AC3697">
        <w:rPr>
          <w:rFonts w:ascii="Palatino Linotype" w:eastAsia="Palatino Linotype" w:hAnsi="Palatino Linotype" w:cs="Palatino Linotype"/>
          <w:i/>
        </w:rPr>
        <w:t xml:space="preserve">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w:t>
      </w:r>
      <w:r w:rsidRPr="00AC3697">
        <w:rPr>
          <w:rFonts w:ascii="Palatino Linotype" w:eastAsia="Palatino Linotype" w:hAnsi="Palatino Linotype" w:cs="Palatino Linotype"/>
          <w:i/>
        </w:rPr>
        <w:lastRenderedPageBreak/>
        <w:t>pongan a disposición de la parte Recurrente, mismo que igualmente hará de su conocimiento.</w:t>
      </w:r>
    </w:p>
    <w:p w14:paraId="2FD8F3B0" w14:textId="77777777" w:rsidR="00EB4E3E" w:rsidRPr="00AC3697" w:rsidRDefault="00EB4E3E" w:rsidP="00EB4E3E">
      <w:pPr>
        <w:spacing w:after="0" w:line="276" w:lineRule="auto"/>
        <w:ind w:left="567" w:right="560"/>
        <w:jc w:val="both"/>
        <w:rPr>
          <w:rFonts w:ascii="Palatino Linotype" w:eastAsia="Palatino Linotype" w:hAnsi="Palatino Linotype" w:cs="Palatino Linotype"/>
          <w:i/>
        </w:rPr>
      </w:pPr>
    </w:p>
    <w:p w14:paraId="310960DC" w14:textId="77777777" w:rsidR="00EB4E3E" w:rsidRPr="00AC3697" w:rsidRDefault="00EB4E3E" w:rsidP="00EB4E3E">
      <w:pPr>
        <w:tabs>
          <w:tab w:val="left" w:pos="4962"/>
        </w:tabs>
        <w:spacing w:line="276" w:lineRule="auto"/>
        <w:ind w:left="567" w:right="616"/>
        <w:jc w:val="both"/>
        <w:rPr>
          <w:rFonts w:ascii="Palatino Linotype" w:eastAsia="Palatino Linotype" w:hAnsi="Palatino Linotype" w:cs="Palatino Linotype"/>
          <w:i/>
          <w:color w:val="000000"/>
        </w:rPr>
      </w:pPr>
      <w:r w:rsidRPr="00AC3697">
        <w:rPr>
          <w:rFonts w:ascii="Palatino Linotype" w:eastAsia="Palatino Linotype" w:hAnsi="Palatino Linotype" w:cs="Palatino Linotype"/>
          <w:i/>
          <w:color w:val="000000"/>
        </w:rPr>
        <w:t xml:space="preserve">En el supuesto de que el Sujeto Obligado no cuente el oficio que se ordena en el inciso b), por haber sido cancelado,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4FD59B0F" w14:textId="77777777" w:rsidR="00EB4E3E" w:rsidRPr="00AC3697" w:rsidRDefault="00EB4E3E" w:rsidP="00EB4E3E">
      <w:pPr>
        <w:spacing w:after="0" w:line="276" w:lineRule="auto"/>
        <w:ind w:left="567" w:right="560"/>
        <w:jc w:val="both"/>
        <w:rPr>
          <w:rFonts w:ascii="Palatino Linotype" w:eastAsia="Palatino Linotype" w:hAnsi="Palatino Linotype" w:cs="Palatino Linotype"/>
          <w:i/>
        </w:rPr>
      </w:pPr>
    </w:p>
    <w:p w14:paraId="50AA5EB2" w14:textId="77777777" w:rsidR="00EB4E3E" w:rsidRPr="00AC3697" w:rsidRDefault="00EB4E3E" w:rsidP="00EB4E3E">
      <w:pPr>
        <w:pStyle w:val="NormalWeb"/>
        <w:numPr>
          <w:ilvl w:val="0"/>
          <w:numId w:val="20"/>
        </w:numPr>
        <w:spacing w:before="0" w:beforeAutospacing="0" w:after="0" w:afterAutospacing="0" w:line="360" w:lineRule="auto"/>
        <w:ind w:right="560"/>
        <w:jc w:val="both"/>
        <w:rPr>
          <w:rFonts w:ascii="Palatino Linotype" w:hAnsi="Palatino Linotype"/>
          <w:color w:val="000000"/>
          <w:sz w:val="22"/>
          <w:szCs w:val="22"/>
        </w:rPr>
      </w:pPr>
      <w:r w:rsidRPr="00AC3697">
        <w:rPr>
          <w:rFonts w:ascii="Palatino Linotype" w:hAnsi="Palatino Linotype"/>
          <w:color w:val="000000"/>
          <w:sz w:val="22"/>
          <w:szCs w:val="22"/>
        </w:rPr>
        <w:t xml:space="preserve">Acuerdo </w:t>
      </w:r>
      <w:r w:rsidRPr="00AC3697">
        <w:rPr>
          <w:rFonts w:ascii="Palatino Linotype" w:hAnsi="Palatino Linotype"/>
          <w:sz w:val="22"/>
          <w:szCs w:val="22"/>
        </w:rPr>
        <w:t xml:space="preserve">CT/NAU/ACTA-ORD-003/2025/02 enviado en informe justificado, de manera completa. </w:t>
      </w:r>
    </w:p>
    <w:p w14:paraId="32FFC11C" w14:textId="77777777" w:rsidR="00EB4E3E" w:rsidRPr="00AC3697" w:rsidRDefault="00EB4E3E" w:rsidP="00EB4E3E">
      <w:pPr>
        <w:spacing w:after="0" w:line="276" w:lineRule="auto"/>
        <w:ind w:left="567" w:right="560"/>
        <w:jc w:val="both"/>
        <w:rPr>
          <w:rFonts w:ascii="Palatino Linotype" w:eastAsia="Palatino Linotype" w:hAnsi="Palatino Linotype" w:cs="Palatino Linotype"/>
          <w:i/>
        </w:rPr>
      </w:pPr>
    </w:p>
    <w:p w14:paraId="60B39903" w14:textId="77777777" w:rsidR="009338B5" w:rsidRPr="00AC3697" w:rsidRDefault="00E0628C" w:rsidP="00ED74CA">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t>Tercero.</w:t>
      </w:r>
      <w:r w:rsidRPr="00AC3697">
        <w:rPr>
          <w:rFonts w:ascii="Palatino Linotype" w:eastAsia="Palatino Linotype" w:hAnsi="Palatino Linotype" w:cs="Palatino Linotype"/>
        </w:rPr>
        <w:t xml:space="preserve"> </w:t>
      </w:r>
      <w:r w:rsidRPr="00AC3697">
        <w:rPr>
          <w:rFonts w:ascii="Palatino Linotype" w:eastAsia="Palatino Linotype" w:hAnsi="Palatino Linotype" w:cs="Palatino Linotype"/>
          <w:b/>
        </w:rPr>
        <w:t xml:space="preserve">Notifíquese vía SAIMEX </w:t>
      </w:r>
      <w:r w:rsidRPr="00AC3697">
        <w:rPr>
          <w:rFonts w:ascii="Palatino Linotype" w:eastAsia="Palatino Linotype" w:hAnsi="Palatino Linotype" w:cs="Palatino Linotype"/>
        </w:rPr>
        <w:t>la presente resolución al T</w:t>
      </w:r>
      <w:r w:rsidRPr="00AC3697">
        <w:rPr>
          <w:rFonts w:ascii="Palatino Linotype" w:eastAsia="Palatino Linotype" w:hAnsi="Palatino Linotype" w:cs="Palatino Linotype"/>
          <w:b/>
        </w:rPr>
        <w:t xml:space="preserve">itular de la Unidad de Transparencia </w:t>
      </w:r>
      <w:r w:rsidRPr="00AC3697">
        <w:rPr>
          <w:rFonts w:ascii="Palatino Linotype" w:eastAsia="Palatino Linotype" w:hAnsi="Palatino Linotype" w:cs="Palatino Linotype"/>
        </w:rPr>
        <w:t xml:space="preserve">del </w:t>
      </w:r>
      <w:r w:rsidRPr="00AC3697">
        <w:rPr>
          <w:rFonts w:ascii="Palatino Linotype" w:eastAsia="Palatino Linotype" w:hAnsi="Palatino Linotype" w:cs="Palatino Linotype"/>
          <w:b/>
        </w:rPr>
        <w:t>SUJETO OBLIGADO</w:t>
      </w:r>
      <w:r w:rsidRPr="00AC3697">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01EFDD"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165BE115" w14:textId="77777777" w:rsidR="009338B5" w:rsidRPr="00AC3697" w:rsidRDefault="00E0628C" w:rsidP="003234CB">
      <w:pPr>
        <w:spacing w:after="0" w:line="360" w:lineRule="auto"/>
        <w:jc w:val="both"/>
        <w:rPr>
          <w:rFonts w:ascii="Palatino Linotype" w:eastAsia="Palatino Linotype" w:hAnsi="Palatino Linotype" w:cs="Palatino Linotype"/>
        </w:rPr>
      </w:pPr>
      <w:r w:rsidRPr="00AC3697">
        <w:rPr>
          <w:rFonts w:ascii="Palatino Linotype" w:eastAsia="Palatino Linotype" w:hAnsi="Palatino Linotype" w:cs="Palatino Linotype"/>
          <w:b/>
        </w:rPr>
        <w:t xml:space="preserve">Cuarto. Notifíquese vía SAIMEX </w:t>
      </w:r>
      <w:r w:rsidRPr="00AC3697">
        <w:rPr>
          <w:rFonts w:ascii="Palatino Linotype" w:eastAsia="Palatino Linotype" w:hAnsi="Palatino Linotype" w:cs="Palatino Linotype"/>
        </w:rPr>
        <w:t xml:space="preserve">a la parte </w:t>
      </w:r>
      <w:r w:rsidRPr="00AC3697">
        <w:rPr>
          <w:rFonts w:ascii="Palatino Linotype" w:eastAsia="Palatino Linotype" w:hAnsi="Palatino Linotype" w:cs="Palatino Linotype"/>
          <w:b/>
        </w:rPr>
        <w:t xml:space="preserve">Recurrente </w:t>
      </w:r>
      <w:r w:rsidRPr="00AC3697">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DD69667" w14:textId="77777777" w:rsidR="009338B5" w:rsidRPr="00AC3697" w:rsidRDefault="009338B5" w:rsidP="003234CB">
      <w:pPr>
        <w:spacing w:after="0" w:line="360" w:lineRule="auto"/>
        <w:jc w:val="both"/>
        <w:rPr>
          <w:rFonts w:ascii="Palatino Linotype" w:eastAsia="Palatino Linotype" w:hAnsi="Palatino Linotype" w:cs="Palatino Linotype"/>
        </w:rPr>
      </w:pPr>
    </w:p>
    <w:p w14:paraId="0C54DAF7" w14:textId="49525ED6" w:rsidR="009338B5" w:rsidRPr="00AC3697"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b/>
        </w:rPr>
        <w:lastRenderedPageBreak/>
        <w:t>Quinto.</w:t>
      </w:r>
      <w:r w:rsidR="009B13AB" w:rsidRPr="00AC3697">
        <w:rPr>
          <w:rFonts w:ascii="Palatino Linotype" w:eastAsia="Palatino Linotype" w:hAnsi="Palatino Linotype" w:cs="Palatino Linotype"/>
          <w:b/>
        </w:rPr>
        <w:t xml:space="preserve"> Notifíquese vía SAIMEX </w:t>
      </w:r>
      <w:r w:rsidR="009B13AB" w:rsidRPr="00AC3697">
        <w:rPr>
          <w:rFonts w:ascii="Palatino Linotype" w:eastAsia="Palatino Linotype" w:hAnsi="Palatino Linotype" w:cs="Palatino Linotype"/>
        </w:rPr>
        <w:t>la presente resolución al T</w:t>
      </w:r>
      <w:r w:rsidR="009B13AB" w:rsidRPr="00AC3697">
        <w:rPr>
          <w:rFonts w:ascii="Palatino Linotype" w:eastAsia="Palatino Linotype" w:hAnsi="Palatino Linotype" w:cs="Palatino Linotype"/>
          <w:b/>
        </w:rPr>
        <w:t xml:space="preserve">itular de la Unidad de Transparencia </w:t>
      </w:r>
      <w:r w:rsidR="009B13AB" w:rsidRPr="00AC3697">
        <w:rPr>
          <w:rFonts w:ascii="Palatino Linotype" w:eastAsia="Palatino Linotype" w:hAnsi="Palatino Linotype" w:cs="Palatino Linotype"/>
        </w:rPr>
        <w:t xml:space="preserve">del </w:t>
      </w:r>
      <w:r w:rsidR="009B13AB" w:rsidRPr="00AC3697">
        <w:rPr>
          <w:rFonts w:ascii="Palatino Linotype" w:eastAsia="Palatino Linotype" w:hAnsi="Palatino Linotype" w:cs="Palatino Linotype"/>
          <w:b/>
        </w:rPr>
        <w:t xml:space="preserve">SUJETO OBLIGADO </w:t>
      </w:r>
      <w:r w:rsidR="009B13AB" w:rsidRPr="00AC3697">
        <w:rPr>
          <w:rFonts w:ascii="Palatino Linotype" w:eastAsia="Palatino Linotype" w:hAnsi="Palatino Linotype" w:cs="Palatino Linotype"/>
        </w:rPr>
        <w:t>que d</w:t>
      </w:r>
      <w:r w:rsidRPr="00AC3697">
        <w:rPr>
          <w:rFonts w:ascii="Palatino Linotype" w:eastAsia="Palatino Linotype" w:hAnsi="Palatino Linotype" w:cs="Palatino Linotype"/>
        </w:rPr>
        <w:t>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E60FEA3" w14:textId="77777777" w:rsidR="009338B5" w:rsidRPr="00AC3697" w:rsidRDefault="009338B5" w:rsidP="003234CB">
      <w:pPr>
        <w:spacing w:after="0" w:line="360" w:lineRule="auto"/>
        <w:ind w:right="49"/>
        <w:jc w:val="both"/>
        <w:rPr>
          <w:rFonts w:ascii="Palatino Linotype" w:eastAsia="Palatino Linotype" w:hAnsi="Palatino Linotype" w:cs="Palatino Linotype"/>
        </w:rPr>
      </w:pPr>
    </w:p>
    <w:p w14:paraId="5A1582F0" w14:textId="06B092C2" w:rsidR="009338B5" w:rsidRDefault="00E0628C" w:rsidP="003234CB">
      <w:pPr>
        <w:spacing w:after="0" w:line="360" w:lineRule="auto"/>
        <w:ind w:right="49"/>
        <w:jc w:val="both"/>
        <w:rPr>
          <w:rFonts w:ascii="Palatino Linotype" w:eastAsia="Palatino Linotype" w:hAnsi="Palatino Linotype" w:cs="Palatino Linotype"/>
        </w:rPr>
      </w:pPr>
      <w:r w:rsidRPr="00AC369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3325" w:rsidRPr="00AC3697">
        <w:rPr>
          <w:rFonts w:ascii="Palatino Linotype" w:eastAsia="Palatino Linotype" w:hAnsi="Palatino Linotype" w:cs="Palatino Linotype"/>
        </w:rPr>
        <w:t>DÉCIMA SEGUNDA</w:t>
      </w:r>
      <w:r w:rsidRPr="00AC3697">
        <w:rPr>
          <w:rFonts w:ascii="Palatino Linotype" w:eastAsia="Palatino Linotype" w:hAnsi="Palatino Linotype" w:cs="Palatino Linotype"/>
        </w:rPr>
        <w:t xml:space="preserve"> SESIÓN ORDINARIA CELEBRADA EL </w:t>
      </w:r>
      <w:r w:rsidR="007A3325" w:rsidRPr="00AC3697">
        <w:rPr>
          <w:rFonts w:ascii="Palatino Linotype" w:eastAsia="Palatino Linotype" w:hAnsi="Palatino Linotype" w:cs="Palatino Linotype"/>
        </w:rPr>
        <w:t>DOS DE ABRIL</w:t>
      </w:r>
      <w:r w:rsidR="00125890" w:rsidRPr="00AC3697">
        <w:rPr>
          <w:rFonts w:ascii="Palatino Linotype" w:eastAsia="Palatino Linotype" w:hAnsi="Palatino Linotype" w:cs="Palatino Linotype"/>
        </w:rPr>
        <w:t xml:space="preserve"> DE DOS MIL VEINTICINCO</w:t>
      </w:r>
      <w:r w:rsidRPr="00AC3697">
        <w:rPr>
          <w:rFonts w:ascii="Palatino Linotype" w:eastAsia="Palatino Linotype" w:hAnsi="Palatino Linotype" w:cs="Palatino Linotype"/>
        </w:rPr>
        <w:t>, ANTE EL SECRETARIO TÉCNICO DEL PLENO ALEXIS TAPIA RAMÍREZ.</w:t>
      </w:r>
      <w:r>
        <w:rPr>
          <w:rFonts w:ascii="Palatino Linotype" w:eastAsia="Palatino Linotype" w:hAnsi="Palatino Linotype" w:cs="Palatino Linotype"/>
        </w:rPr>
        <w:t xml:space="preserve"> </w:t>
      </w:r>
    </w:p>
    <w:p w14:paraId="317B889E" w14:textId="77777777" w:rsidR="002A339B" w:rsidRDefault="002A339B" w:rsidP="003234CB">
      <w:pPr>
        <w:spacing w:after="0" w:line="360" w:lineRule="auto"/>
        <w:ind w:right="49"/>
        <w:jc w:val="both"/>
        <w:rPr>
          <w:rFonts w:ascii="Palatino Linotype" w:eastAsia="Palatino Linotype" w:hAnsi="Palatino Linotype" w:cs="Palatino Linotype"/>
        </w:rPr>
      </w:pPr>
    </w:p>
    <w:p w14:paraId="6B34E472" w14:textId="77777777" w:rsidR="002A339B" w:rsidRDefault="002A339B" w:rsidP="003234CB">
      <w:pPr>
        <w:spacing w:after="0" w:line="360" w:lineRule="auto"/>
        <w:ind w:right="49"/>
        <w:jc w:val="both"/>
        <w:rPr>
          <w:rFonts w:ascii="Palatino Linotype" w:eastAsia="Palatino Linotype" w:hAnsi="Palatino Linotype" w:cs="Palatino Linotype"/>
        </w:rPr>
      </w:pPr>
    </w:p>
    <w:p w14:paraId="672CDB74" w14:textId="77777777" w:rsidR="002A339B" w:rsidRDefault="002A339B" w:rsidP="003234CB">
      <w:pPr>
        <w:spacing w:after="0" w:line="360" w:lineRule="auto"/>
        <w:ind w:right="49"/>
        <w:jc w:val="both"/>
        <w:rPr>
          <w:rFonts w:ascii="Palatino Linotype" w:eastAsia="Palatino Linotype" w:hAnsi="Palatino Linotype" w:cs="Palatino Linotype"/>
        </w:rPr>
      </w:pPr>
    </w:p>
    <w:p w14:paraId="3EEBDCAA" w14:textId="77777777" w:rsidR="002A339B" w:rsidRDefault="002A339B" w:rsidP="003234CB">
      <w:pPr>
        <w:spacing w:after="0" w:line="360" w:lineRule="auto"/>
        <w:ind w:right="49"/>
        <w:jc w:val="both"/>
        <w:rPr>
          <w:rFonts w:ascii="Palatino Linotype" w:eastAsia="Palatino Linotype" w:hAnsi="Palatino Linotype" w:cs="Palatino Linotype"/>
        </w:rPr>
      </w:pPr>
    </w:p>
    <w:p w14:paraId="797D3255" w14:textId="77777777" w:rsidR="002A339B" w:rsidRDefault="002A339B" w:rsidP="003234CB">
      <w:pPr>
        <w:spacing w:after="0" w:line="360" w:lineRule="auto"/>
        <w:ind w:right="49"/>
        <w:jc w:val="both"/>
        <w:rPr>
          <w:rFonts w:ascii="Palatino Linotype" w:eastAsia="Palatino Linotype" w:hAnsi="Palatino Linotype" w:cs="Palatino Linotype"/>
        </w:rPr>
      </w:pPr>
    </w:p>
    <w:p w14:paraId="5300D925" w14:textId="77777777" w:rsidR="002A339B" w:rsidRDefault="002A339B" w:rsidP="003234CB">
      <w:pPr>
        <w:spacing w:after="0" w:line="360" w:lineRule="auto"/>
        <w:ind w:right="49"/>
        <w:jc w:val="both"/>
        <w:rPr>
          <w:rFonts w:ascii="Palatino Linotype" w:eastAsia="Palatino Linotype" w:hAnsi="Palatino Linotype" w:cs="Palatino Linotype"/>
        </w:rPr>
      </w:pPr>
    </w:p>
    <w:p w14:paraId="62973A6E" w14:textId="77777777" w:rsidR="002A339B" w:rsidRDefault="002A339B" w:rsidP="003234CB">
      <w:pPr>
        <w:spacing w:after="0" w:line="360" w:lineRule="auto"/>
        <w:ind w:right="49"/>
        <w:jc w:val="both"/>
        <w:rPr>
          <w:rFonts w:ascii="Palatino Linotype" w:eastAsia="Palatino Linotype" w:hAnsi="Palatino Linotype" w:cs="Palatino Linotype"/>
        </w:rPr>
      </w:pPr>
    </w:p>
    <w:p w14:paraId="5EA96D91" w14:textId="77777777" w:rsidR="002A339B" w:rsidRDefault="002A339B" w:rsidP="003234CB">
      <w:pPr>
        <w:spacing w:after="0" w:line="360" w:lineRule="auto"/>
        <w:ind w:right="49"/>
        <w:jc w:val="both"/>
        <w:rPr>
          <w:rFonts w:ascii="Palatino Linotype" w:eastAsia="Palatino Linotype" w:hAnsi="Palatino Linotype" w:cs="Palatino Linotype"/>
        </w:rPr>
      </w:pPr>
    </w:p>
    <w:p w14:paraId="24DD4B30" w14:textId="77777777" w:rsidR="002A339B" w:rsidRDefault="002A339B" w:rsidP="003234CB">
      <w:pPr>
        <w:spacing w:after="0" w:line="360" w:lineRule="auto"/>
        <w:ind w:right="49"/>
        <w:jc w:val="both"/>
        <w:rPr>
          <w:rFonts w:ascii="Palatino Linotype" w:eastAsia="Palatino Linotype" w:hAnsi="Palatino Linotype" w:cs="Palatino Linotype"/>
        </w:rPr>
      </w:pPr>
    </w:p>
    <w:p w14:paraId="589A3F69" w14:textId="77777777" w:rsidR="002A339B" w:rsidRDefault="002A339B" w:rsidP="003234CB">
      <w:pPr>
        <w:spacing w:after="0" w:line="360" w:lineRule="auto"/>
        <w:ind w:right="49"/>
        <w:jc w:val="both"/>
        <w:rPr>
          <w:rFonts w:ascii="Palatino Linotype" w:eastAsia="Palatino Linotype" w:hAnsi="Palatino Linotype" w:cs="Palatino Linotype"/>
        </w:rPr>
      </w:pPr>
    </w:p>
    <w:p w14:paraId="307F8A38" w14:textId="77777777" w:rsidR="002A339B" w:rsidRDefault="002A339B" w:rsidP="003234CB">
      <w:pPr>
        <w:spacing w:after="0" w:line="360" w:lineRule="auto"/>
        <w:ind w:right="49"/>
        <w:jc w:val="both"/>
        <w:rPr>
          <w:rFonts w:ascii="Palatino Linotype" w:eastAsia="Palatino Linotype" w:hAnsi="Palatino Linotype" w:cs="Palatino Linotype"/>
        </w:rPr>
      </w:pPr>
    </w:p>
    <w:p w14:paraId="27E64F7A" w14:textId="77777777" w:rsidR="002A339B" w:rsidRDefault="002A339B" w:rsidP="003234CB">
      <w:pPr>
        <w:spacing w:after="0" w:line="360" w:lineRule="auto"/>
        <w:ind w:right="49"/>
        <w:jc w:val="both"/>
        <w:rPr>
          <w:rFonts w:ascii="Palatino Linotype" w:eastAsia="Palatino Linotype" w:hAnsi="Palatino Linotype" w:cs="Palatino Linotype"/>
        </w:rPr>
      </w:pPr>
    </w:p>
    <w:p w14:paraId="4983B996" w14:textId="77777777" w:rsidR="002A339B" w:rsidRDefault="002A339B" w:rsidP="003234CB">
      <w:pPr>
        <w:spacing w:after="0" w:line="360" w:lineRule="auto"/>
        <w:ind w:right="49"/>
        <w:jc w:val="both"/>
        <w:rPr>
          <w:rFonts w:ascii="Palatino Linotype" w:eastAsia="Palatino Linotype" w:hAnsi="Palatino Linotype" w:cs="Palatino Linotype"/>
        </w:rPr>
      </w:pPr>
    </w:p>
    <w:p w14:paraId="5D738728" w14:textId="77777777" w:rsidR="002A339B" w:rsidRDefault="002A339B" w:rsidP="003234CB">
      <w:pPr>
        <w:spacing w:after="0" w:line="360" w:lineRule="auto"/>
        <w:ind w:right="49"/>
        <w:jc w:val="both"/>
        <w:rPr>
          <w:rFonts w:ascii="Palatino Linotype" w:eastAsia="Palatino Linotype" w:hAnsi="Palatino Linotype" w:cs="Palatino Linotype"/>
        </w:rPr>
      </w:pPr>
    </w:p>
    <w:p w14:paraId="064D1538" w14:textId="77777777" w:rsidR="009338B5" w:rsidRDefault="009338B5" w:rsidP="003234CB">
      <w:pPr>
        <w:spacing w:after="0" w:line="360" w:lineRule="auto"/>
        <w:ind w:right="49"/>
        <w:jc w:val="both"/>
        <w:rPr>
          <w:rFonts w:ascii="Palatino Linotype" w:eastAsia="Palatino Linotype" w:hAnsi="Palatino Linotype" w:cs="Palatino Linotype"/>
        </w:rPr>
      </w:pPr>
    </w:p>
    <w:sectPr w:rsidR="009338B5">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39B4" w14:textId="77777777" w:rsidR="00266DCC" w:rsidRDefault="00266DCC">
      <w:pPr>
        <w:spacing w:after="0" w:line="240" w:lineRule="auto"/>
      </w:pPr>
      <w:r>
        <w:separator/>
      </w:r>
    </w:p>
  </w:endnote>
  <w:endnote w:type="continuationSeparator" w:id="0">
    <w:p w14:paraId="13E09CF3" w14:textId="77777777" w:rsidR="00266DCC" w:rsidRDefault="002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993E" w14:textId="77777777" w:rsidR="002F7D55" w:rsidRDefault="002F7D5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C3697">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3697">
      <w:rPr>
        <w:b/>
        <w:noProof/>
        <w:color w:val="000000"/>
        <w:sz w:val="24"/>
        <w:szCs w:val="24"/>
      </w:rPr>
      <w:t>31</w:t>
    </w:r>
    <w:r>
      <w:rPr>
        <w:b/>
        <w:color w:val="000000"/>
        <w:sz w:val="24"/>
        <w:szCs w:val="24"/>
      </w:rPr>
      <w:fldChar w:fldCharType="end"/>
    </w:r>
  </w:p>
  <w:p w14:paraId="085FA270" w14:textId="77777777" w:rsidR="002F7D55" w:rsidRDefault="002F7D5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7A1" w14:textId="77777777" w:rsidR="002F7D55" w:rsidRDefault="002F7D5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C369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3697">
      <w:rPr>
        <w:b/>
        <w:noProof/>
        <w:color w:val="000000"/>
        <w:sz w:val="24"/>
        <w:szCs w:val="24"/>
      </w:rPr>
      <w:t>31</w:t>
    </w:r>
    <w:r>
      <w:rPr>
        <w:b/>
        <w:color w:val="000000"/>
        <w:sz w:val="24"/>
        <w:szCs w:val="24"/>
      </w:rPr>
      <w:fldChar w:fldCharType="end"/>
    </w:r>
  </w:p>
  <w:p w14:paraId="65CF5E8C" w14:textId="77777777" w:rsidR="002F7D55" w:rsidRDefault="002F7D5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5BD5" w14:textId="77777777" w:rsidR="00266DCC" w:rsidRDefault="00266DCC">
      <w:pPr>
        <w:spacing w:after="0" w:line="240" w:lineRule="auto"/>
      </w:pPr>
      <w:r>
        <w:separator/>
      </w:r>
    </w:p>
  </w:footnote>
  <w:footnote w:type="continuationSeparator" w:id="0">
    <w:p w14:paraId="51207338" w14:textId="77777777" w:rsidR="00266DCC" w:rsidRDefault="0026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F80C" w14:textId="77777777" w:rsidR="002F7D55" w:rsidRDefault="002F7D5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080E89A" wp14:editId="0C68241B">
          <wp:simplePos x="0" y="0"/>
          <wp:positionH relativeFrom="column">
            <wp:posOffset>-774699</wp:posOffset>
          </wp:positionH>
          <wp:positionV relativeFrom="paragraph">
            <wp:posOffset>-345439</wp:posOffset>
          </wp:positionV>
          <wp:extent cx="7809876" cy="10165823"/>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2F7D55" w14:paraId="3E42C09E" w14:textId="77777777">
      <w:tc>
        <w:tcPr>
          <w:tcW w:w="2551" w:type="dxa"/>
          <w:vAlign w:val="center"/>
        </w:tcPr>
        <w:p w14:paraId="3294BAFA"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ED5E1C3" w14:textId="5BD7C338"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01419/INFOEM/IP/RR/2025</w:t>
          </w:r>
        </w:p>
      </w:tc>
    </w:tr>
    <w:tr w:rsidR="002F7D55" w14:paraId="0FB3790D" w14:textId="77777777">
      <w:trPr>
        <w:trHeight w:val="643"/>
      </w:trPr>
      <w:tc>
        <w:tcPr>
          <w:tcW w:w="2551" w:type="dxa"/>
          <w:vAlign w:val="center"/>
        </w:tcPr>
        <w:p w14:paraId="21E451E1"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D3A413D"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EE5C496" w14:textId="1DA6F446" w:rsidR="002F7D55" w:rsidRDefault="002F7D55">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Naucalpan de Juárez</w:t>
          </w:r>
        </w:p>
      </w:tc>
    </w:tr>
    <w:tr w:rsidR="002F7D55" w14:paraId="207063F9" w14:textId="77777777">
      <w:tc>
        <w:tcPr>
          <w:tcW w:w="2551" w:type="dxa"/>
          <w:vAlign w:val="center"/>
        </w:tcPr>
        <w:p w14:paraId="733790EE"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5BFF6EB"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2B80FB1" w14:textId="77777777" w:rsidR="002F7D55" w:rsidRDefault="002F7D5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2D59" w14:textId="4C3F3FF4" w:rsidR="002F7D55" w:rsidRDefault="002F7D5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23DD037" wp14:editId="4414F17D">
          <wp:simplePos x="0" y="0"/>
          <wp:positionH relativeFrom="column">
            <wp:posOffset>-761364</wp:posOffset>
          </wp:positionH>
          <wp:positionV relativeFrom="paragraph">
            <wp:posOffset>5080</wp:posOffset>
          </wp:positionV>
          <wp:extent cx="7809876" cy="10165823"/>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6"/>
      <w:tblW w:w="5603" w:type="dxa"/>
      <w:tblInd w:w="3611" w:type="dxa"/>
      <w:tblLayout w:type="fixed"/>
      <w:tblLook w:val="0400" w:firstRow="0" w:lastRow="0" w:firstColumn="0" w:lastColumn="0" w:noHBand="0" w:noVBand="1"/>
    </w:tblPr>
    <w:tblGrid>
      <w:gridCol w:w="2551"/>
      <w:gridCol w:w="3052"/>
    </w:tblGrid>
    <w:tr w:rsidR="002F7D55" w14:paraId="7A14E2CE" w14:textId="77777777">
      <w:tc>
        <w:tcPr>
          <w:tcW w:w="2551" w:type="dxa"/>
          <w:vAlign w:val="center"/>
        </w:tcPr>
        <w:p w14:paraId="7B4BA45E"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FED9FB7" w14:textId="6F581C2E"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01419/INFOEM/IP/RR/2025</w:t>
          </w:r>
        </w:p>
      </w:tc>
    </w:tr>
    <w:tr w:rsidR="002F7D55" w14:paraId="0F3B71FC" w14:textId="77777777">
      <w:tc>
        <w:tcPr>
          <w:tcW w:w="2551" w:type="dxa"/>
          <w:vAlign w:val="center"/>
        </w:tcPr>
        <w:p w14:paraId="0F094F93"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0E4DE2F0"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D07CC74" w14:textId="36417602" w:rsidR="002F7D55" w:rsidRDefault="00A63EF4">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 XXXXX XXXXXXXXXX </w:t>
          </w:r>
        </w:p>
      </w:tc>
    </w:tr>
    <w:tr w:rsidR="002F7D55" w14:paraId="361F6CE9" w14:textId="77777777">
      <w:trPr>
        <w:trHeight w:val="743"/>
      </w:trPr>
      <w:tc>
        <w:tcPr>
          <w:tcW w:w="2551" w:type="dxa"/>
          <w:vAlign w:val="center"/>
        </w:tcPr>
        <w:p w14:paraId="77A0E6EB"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F63C1DD" w14:textId="02043CE6"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1110CA8" w14:textId="25351F73" w:rsidR="002F7D55" w:rsidRDefault="002F7D55">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Naucalpan de Juárez</w:t>
          </w:r>
        </w:p>
      </w:tc>
    </w:tr>
    <w:tr w:rsidR="002F7D55" w14:paraId="040DC705" w14:textId="77777777">
      <w:tc>
        <w:tcPr>
          <w:tcW w:w="2551" w:type="dxa"/>
          <w:vAlign w:val="center"/>
        </w:tcPr>
        <w:p w14:paraId="6EA2056D"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8B71E2F" w14:textId="77777777" w:rsidR="002F7D55" w:rsidRDefault="002F7D5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F98CB68" w14:textId="77777777" w:rsidR="002F7D55" w:rsidRDefault="002F7D5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44"/>
    <w:multiLevelType w:val="hybridMultilevel"/>
    <w:tmpl w:val="7AB0182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82E8D"/>
    <w:multiLevelType w:val="multilevel"/>
    <w:tmpl w:val="25826F5E"/>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50771"/>
    <w:multiLevelType w:val="multilevel"/>
    <w:tmpl w:val="76B0C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52418"/>
    <w:multiLevelType w:val="multilevel"/>
    <w:tmpl w:val="CE10E8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A2690F"/>
    <w:multiLevelType w:val="hybridMultilevel"/>
    <w:tmpl w:val="7AB0182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DD1830"/>
    <w:multiLevelType w:val="multilevel"/>
    <w:tmpl w:val="1EB8004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A52F06"/>
    <w:multiLevelType w:val="hybridMultilevel"/>
    <w:tmpl w:val="502AD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BB7252"/>
    <w:multiLevelType w:val="multilevel"/>
    <w:tmpl w:val="E504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4F79F5"/>
    <w:multiLevelType w:val="multilevel"/>
    <w:tmpl w:val="2BFCECF6"/>
    <w:lvl w:ilvl="0">
      <w:start w:val="1"/>
      <w:numFmt w:val="lowerLetter"/>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295DE4"/>
    <w:multiLevelType w:val="multilevel"/>
    <w:tmpl w:val="7714BB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4D655448"/>
    <w:multiLevelType w:val="multilevel"/>
    <w:tmpl w:val="22C8A1F2"/>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EF5552"/>
    <w:multiLevelType w:val="hybridMultilevel"/>
    <w:tmpl w:val="3622170E"/>
    <w:lvl w:ilvl="0" w:tplc="A9F003C6">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9043D"/>
    <w:multiLevelType w:val="hybridMultilevel"/>
    <w:tmpl w:val="3B580322"/>
    <w:lvl w:ilvl="0" w:tplc="C98452BA">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DE3517"/>
    <w:multiLevelType w:val="hybridMultilevel"/>
    <w:tmpl w:val="502AD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F3548"/>
    <w:multiLevelType w:val="hybridMultilevel"/>
    <w:tmpl w:val="B68466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635BF6"/>
    <w:multiLevelType w:val="hybridMultilevel"/>
    <w:tmpl w:val="7AB0182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445913"/>
    <w:multiLevelType w:val="multilevel"/>
    <w:tmpl w:val="DB1E97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096272C"/>
    <w:multiLevelType w:val="multilevel"/>
    <w:tmpl w:val="E318BFC0"/>
    <w:lvl w:ilvl="0">
      <w:start w:val="1"/>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8"/>
  </w:num>
  <w:num w:numId="5">
    <w:abstractNumId w:val="17"/>
  </w:num>
  <w:num w:numId="6">
    <w:abstractNumId w:val="8"/>
  </w:num>
  <w:num w:numId="7">
    <w:abstractNumId w:val="1"/>
  </w:num>
  <w:num w:numId="8">
    <w:abstractNumId w:val="6"/>
  </w:num>
  <w:num w:numId="9">
    <w:abstractNumId w:val="13"/>
  </w:num>
  <w:num w:numId="10">
    <w:abstractNumId w:val="12"/>
  </w:num>
  <w:num w:numId="11">
    <w:abstractNumId w:val="19"/>
  </w:num>
  <w:num w:numId="12">
    <w:abstractNumId w:val="11"/>
  </w:num>
  <w:num w:numId="13">
    <w:abstractNumId w:val="15"/>
  </w:num>
  <w:num w:numId="14">
    <w:abstractNumId w:val="14"/>
  </w:num>
  <w:num w:numId="15">
    <w:abstractNumId w:val="2"/>
  </w:num>
  <w:num w:numId="16">
    <w:abstractNumId w:val="7"/>
  </w:num>
  <w:num w:numId="17">
    <w:abstractNumId w:val="3"/>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B5"/>
    <w:rsid w:val="0004412B"/>
    <w:rsid w:val="000C4CDF"/>
    <w:rsid w:val="00101268"/>
    <w:rsid w:val="00110EF9"/>
    <w:rsid w:val="00117754"/>
    <w:rsid w:val="00125890"/>
    <w:rsid w:val="00143DE0"/>
    <w:rsid w:val="00154D54"/>
    <w:rsid w:val="00266DCC"/>
    <w:rsid w:val="00271459"/>
    <w:rsid w:val="002762FB"/>
    <w:rsid w:val="00285A53"/>
    <w:rsid w:val="002A339B"/>
    <w:rsid w:val="002F7D55"/>
    <w:rsid w:val="003234CB"/>
    <w:rsid w:val="00363513"/>
    <w:rsid w:val="00382E46"/>
    <w:rsid w:val="00420B3D"/>
    <w:rsid w:val="0045466C"/>
    <w:rsid w:val="004B2415"/>
    <w:rsid w:val="005A5FFF"/>
    <w:rsid w:val="005C4F7F"/>
    <w:rsid w:val="005F1D08"/>
    <w:rsid w:val="00606D42"/>
    <w:rsid w:val="006516C6"/>
    <w:rsid w:val="006C6D42"/>
    <w:rsid w:val="006E5F09"/>
    <w:rsid w:val="00771DC0"/>
    <w:rsid w:val="00781BCE"/>
    <w:rsid w:val="007860B2"/>
    <w:rsid w:val="007A3325"/>
    <w:rsid w:val="007B5237"/>
    <w:rsid w:val="008104EC"/>
    <w:rsid w:val="00893D9C"/>
    <w:rsid w:val="008F63F2"/>
    <w:rsid w:val="0093066A"/>
    <w:rsid w:val="009338B5"/>
    <w:rsid w:val="00960B1A"/>
    <w:rsid w:val="00975B73"/>
    <w:rsid w:val="00992852"/>
    <w:rsid w:val="009A744D"/>
    <w:rsid w:val="009B13AB"/>
    <w:rsid w:val="009D4781"/>
    <w:rsid w:val="00A06D68"/>
    <w:rsid w:val="00A63EF4"/>
    <w:rsid w:val="00A70F3C"/>
    <w:rsid w:val="00A9252E"/>
    <w:rsid w:val="00AC3697"/>
    <w:rsid w:val="00AD339B"/>
    <w:rsid w:val="00C04A8A"/>
    <w:rsid w:val="00C82A23"/>
    <w:rsid w:val="00CC1F4E"/>
    <w:rsid w:val="00D10633"/>
    <w:rsid w:val="00D17401"/>
    <w:rsid w:val="00E0628C"/>
    <w:rsid w:val="00E20F39"/>
    <w:rsid w:val="00E538A4"/>
    <w:rsid w:val="00EB4E3E"/>
    <w:rsid w:val="00EB5955"/>
    <w:rsid w:val="00EB5E99"/>
    <w:rsid w:val="00ED74CA"/>
    <w:rsid w:val="00F231DC"/>
    <w:rsid w:val="00F302EA"/>
    <w:rsid w:val="00F35DB1"/>
    <w:rsid w:val="00F71A3C"/>
    <w:rsid w:val="00FF1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8BB7"/>
  <w15:docId w15:val="{D5A2C9A5-E988-4A10-A30F-51F0A656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143DE0"/>
    <w:pPr>
      <w:spacing w:after="120" w:line="264"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43DE0"/>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rsid w:val="00143DE0"/>
    <w:rPr>
      <w:vertAlign w:val="superscript"/>
    </w:rPr>
  </w:style>
  <w:style w:type="paragraph" w:customStyle="1" w:styleId="paragraph">
    <w:name w:val="paragraph"/>
    <w:basedOn w:val="Normal"/>
    <w:rsid w:val="00143DE0"/>
    <w:pPr>
      <w:spacing w:before="100" w:beforeAutospacing="1" w:after="100" w:afterAutospacing="1" w:line="264" w:lineRule="auto"/>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6375">
      <w:bodyDiv w:val="1"/>
      <w:marLeft w:val="0"/>
      <w:marRight w:val="0"/>
      <w:marTop w:val="0"/>
      <w:marBottom w:val="0"/>
      <w:divBdr>
        <w:top w:val="none" w:sz="0" w:space="0" w:color="auto"/>
        <w:left w:val="none" w:sz="0" w:space="0" w:color="auto"/>
        <w:bottom w:val="none" w:sz="0" w:space="0" w:color="auto"/>
        <w:right w:val="none" w:sz="0" w:space="0" w:color="auto"/>
      </w:divBdr>
    </w:div>
    <w:div w:id="500510826">
      <w:bodyDiv w:val="1"/>
      <w:marLeft w:val="0"/>
      <w:marRight w:val="0"/>
      <w:marTop w:val="0"/>
      <w:marBottom w:val="0"/>
      <w:divBdr>
        <w:top w:val="none" w:sz="0" w:space="0" w:color="auto"/>
        <w:left w:val="none" w:sz="0" w:space="0" w:color="auto"/>
        <w:bottom w:val="none" w:sz="0" w:space="0" w:color="auto"/>
        <w:right w:val="none" w:sz="0" w:space="0" w:color="auto"/>
      </w:divBdr>
    </w:div>
    <w:div w:id="632563563">
      <w:bodyDiv w:val="1"/>
      <w:marLeft w:val="0"/>
      <w:marRight w:val="0"/>
      <w:marTop w:val="0"/>
      <w:marBottom w:val="0"/>
      <w:divBdr>
        <w:top w:val="none" w:sz="0" w:space="0" w:color="auto"/>
        <w:left w:val="none" w:sz="0" w:space="0" w:color="auto"/>
        <w:bottom w:val="none" w:sz="0" w:space="0" w:color="auto"/>
        <w:right w:val="none" w:sz="0" w:space="0" w:color="auto"/>
      </w:divBdr>
    </w:div>
    <w:div w:id="676930448">
      <w:bodyDiv w:val="1"/>
      <w:marLeft w:val="0"/>
      <w:marRight w:val="0"/>
      <w:marTop w:val="0"/>
      <w:marBottom w:val="0"/>
      <w:divBdr>
        <w:top w:val="none" w:sz="0" w:space="0" w:color="auto"/>
        <w:left w:val="none" w:sz="0" w:space="0" w:color="auto"/>
        <w:bottom w:val="none" w:sz="0" w:space="0" w:color="auto"/>
        <w:right w:val="none" w:sz="0" w:space="0" w:color="auto"/>
      </w:divBdr>
    </w:div>
    <w:div w:id="792674451">
      <w:bodyDiv w:val="1"/>
      <w:marLeft w:val="0"/>
      <w:marRight w:val="0"/>
      <w:marTop w:val="0"/>
      <w:marBottom w:val="0"/>
      <w:divBdr>
        <w:top w:val="none" w:sz="0" w:space="0" w:color="auto"/>
        <w:left w:val="none" w:sz="0" w:space="0" w:color="auto"/>
        <w:bottom w:val="none" w:sz="0" w:space="0" w:color="auto"/>
        <w:right w:val="none" w:sz="0" w:space="0" w:color="auto"/>
      </w:divBdr>
    </w:div>
    <w:div w:id="914363394">
      <w:bodyDiv w:val="1"/>
      <w:marLeft w:val="0"/>
      <w:marRight w:val="0"/>
      <w:marTop w:val="0"/>
      <w:marBottom w:val="0"/>
      <w:divBdr>
        <w:top w:val="none" w:sz="0" w:space="0" w:color="auto"/>
        <w:left w:val="none" w:sz="0" w:space="0" w:color="auto"/>
        <w:bottom w:val="none" w:sz="0" w:space="0" w:color="auto"/>
        <w:right w:val="none" w:sz="0" w:space="0" w:color="auto"/>
      </w:divBdr>
    </w:div>
    <w:div w:id="1741713049">
      <w:bodyDiv w:val="1"/>
      <w:marLeft w:val="0"/>
      <w:marRight w:val="0"/>
      <w:marTop w:val="0"/>
      <w:marBottom w:val="0"/>
      <w:divBdr>
        <w:top w:val="none" w:sz="0" w:space="0" w:color="auto"/>
        <w:left w:val="none" w:sz="0" w:space="0" w:color="auto"/>
        <w:bottom w:val="none" w:sz="0" w:space="0" w:color="auto"/>
        <w:right w:val="none" w:sz="0" w:space="0" w:color="auto"/>
      </w:divBdr>
    </w:div>
    <w:div w:id="1776250587">
      <w:bodyDiv w:val="1"/>
      <w:marLeft w:val="0"/>
      <w:marRight w:val="0"/>
      <w:marTop w:val="0"/>
      <w:marBottom w:val="0"/>
      <w:divBdr>
        <w:top w:val="none" w:sz="0" w:space="0" w:color="auto"/>
        <w:left w:val="none" w:sz="0" w:space="0" w:color="auto"/>
        <w:bottom w:val="none" w:sz="0" w:space="0" w:color="auto"/>
        <w:right w:val="none" w:sz="0" w:space="0" w:color="auto"/>
      </w:divBdr>
    </w:div>
    <w:div w:id="1788549219">
      <w:bodyDiv w:val="1"/>
      <w:marLeft w:val="0"/>
      <w:marRight w:val="0"/>
      <w:marTop w:val="0"/>
      <w:marBottom w:val="0"/>
      <w:divBdr>
        <w:top w:val="none" w:sz="0" w:space="0" w:color="auto"/>
        <w:left w:val="none" w:sz="0" w:space="0" w:color="auto"/>
        <w:bottom w:val="none" w:sz="0" w:space="0" w:color="auto"/>
        <w:right w:val="none" w:sz="0" w:space="0" w:color="auto"/>
      </w:divBdr>
    </w:div>
    <w:div w:id="1886210095">
      <w:bodyDiv w:val="1"/>
      <w:marLeft w:val="0"/>
      <w:marRight w:val="0"/>
      <w:marTop w:val="0"/>
      <w:marBottom w:val="0"/>
      <w:divBdr>
        <w:top w:val="none" w:sz="0" w:space="0" w:color="auto"/>
        <w:left w:val="none" w:sz="0" w:space="0" w:color="auto"/>
        <w:bottom w:val="none" w:sz="0" w:space="0" w:color="auto"/>
        <w:right w:val="none" w:sz="0" w:space="0" w:color="auto"/>
      </w:divBdr>
    </w:div>
    <w:div w:id="210719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wJ17nQ1ZZtb5wc15PFi/Us2Q==">CgMxLjAyCWguMzBqMHpsbDIIaC5namRneHMyCWguMXQzaDVzZjIJaC4xZm9iOXRlOAByITFVQk02RWFrSGthYXpuR0wtcmx1U2tjaWxFcWdzSGNXMQ==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7549</Words>
  <Characters>41523</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2025-04-04T16:21:00Z</cp:lastPrinted>
  <dcterms:created xsi:type="dcterms:W3CDTF">2025-04-29T18:52:00Z</dcterms:created>
  <dcterms:modified xsi:type="dcterms:W3CDTF">2025-04-29T18:52:00Z</dcterms:modified>
</cp:coreProperties>
</file>