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FFB3" w14:textId="7E672C8D" w:rsidR="004D5666" w:rsidRPr="00137487" w:rsidRDefault="007F0576"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534ED" w:rsidRPr="00137487">
        <w:rPr>
          <w:rFonts w:ascii="Palatino Linotype" w:eastAsia="Palatino Linotype" w:hAnsi="Palatino Linotype" w:cs="Palatino Linotype"/>
          <w:b/>
        </w:rPr>
        <w:t>veintisiete de agosto</w:t>
      </w:r>
      <w:r w:rsidR="00C87462" w:rsidRPr="00137487">
        <w:rPr>
          <w:rFonts w:ascii="Palatino Linotype" w:eastAsia="Palatino Linotype" w:hAnsi="Palatino Linotype" w:cs="Palatino Linotype"/>
          <w:b/>
        </w:rPr>
        <w:t xml:space="preserve"> de dos mil veinticinco</w:t>
      </w:r>
      <w:r w:rsidRPr="00137487">
        <w:rPr>
          <w:rFonts w:ascii="Palatino Linotype" w:eastAsia="Palatino Linotype" w:hAnsi="Palatino Linotype" w:cs="Palatino Linotype"/>
        </w:rPr>
        <w:t>.</w:t>
      </w:r>
    </w:p>
    <w:p w14:paraId="0ECDC016" w14:textId="57DB436A" w:rsidR="004D5666" w:rsidRPr="00137487" w:rsidRDefault="007F0576" w:rsidP="001E0F0A">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137487">
        <w:rPr>
          <w:rFonts w:ascii="Palatino Linotype" w:eastAsia="Palatino Linotype" w:hAnsi="Palatino Linotype" w:cs="Palatino Linotype"/>
          <w:b/>
        </w:rPr>
        <w:t xml:space="preserve">VISTOS </w:t>
      </w:r>
      <w:r w:rsidRPr="00137487">
        <w:rPr>
          <w:rFonts w:ascii="Palatino Linotype" w:eastAsia="Palatino Linotype" w:hAnsi="Palatino Linotype" w:cs="Palatino Linotype"/>
        </w:rPr>
        <w:t xml:space="preserve">los expedientes relativos a los recursos de revisión </w:t>
      </w:r>
      <w:r w:rsidR="00C534ED" w:rsidRPr="00137487">
        <w:rPr>
          <w:rFonts w:ascii="Palatino Linotype" w:eastAsia="Palatino Linotype" w:hAnsi="Palatino Linotype" w:cs="Palatino Linotype"/>
          <w:b/>
        </w:rPr>
        <w:t>07</w:t>
      </w:r>
      <w:r w:rsidR="003672CC" w:rsidRPr="00137487">
        <w:rPr>
          <w:rFonts w:ascii="Palatino Linotype" w:eastAsia="Palatino Linotype" w:hAnsi="Palatino Linotype" w:cs="Palatino Linotype"/>
          <w:b/>
        </w:rPr>
        <w:t>494</w:t>
      </w:r>
      <w:r w:rsidR="00C534ED" w:rsidRPr="00137487">
        <w:rPr>
          <w:rFonts w:ascii="Palatino Linotype" w:eastAsia="Palatino Linotype" w:hAnsi="Palatino Linotype" w:cs="Palatino Linotype"/>
          <w:b/>
        </w:rPr>
        <w:t>/INFOEM/IP/RR/2025 y 07</w:t>
      </w:r>
      <w:r w:rsidR="003672CC" w:rsidRPr="00137487">
        <w:rPr>
          <w:rFonts w:ascii="Palatino Linotype" w:eastAsia="Palatino Linotype" w:hAnsi="Palatino Linotype" w:cs="Palatino Linotype"/>
          <w:b/>
        </w:rPr>
        <w:t>501</w:t>
      </w:r>
      <w:r w:rsidR="00C87462" w:rsidRPr="00137487">
        <w:rPr>
          <w:rFonts w:ascii="Palatino Linotype" w:eastAsia="Palatino Linotype" w:hAnsi="Palatino Linotype" w:cs="Palatino Linotype"/>
          <w:b/>
        </w:rPr>
        <w:t xml:space="preserve">/INFOEM/IP/RR/2025 </w:t>
      </w:r>
      <w:r w:rsidRPr="00137487">
        <w:rPr>
          <w:rFonts w:ascii="Palatino Linotype" w:eastAsia="Palatino Linotype" w:hAnsi="Palatino Linotype" w:cs="Palatino Linotype"/>
          <w:b/>
        </w:rPr>
        <w:t>acumulados,</w:t>
      </w:r>
      <w:r w:rsidRPr="00137487">
        <w:rPr>
          <w:rFonts w:ascii="Palatino Linotype" w:eastAsia="Palatino Linotype" w:hAnsi="Palatino Linotype" w:cs="Palatino Linotype"/>
        </w:rPr>
        <w:t xml:space="preserve"> interpuestos por</w:t>
      </w:r>
      <w:r w:rsidRPr="00137487">
        <w:rPr>
          <w:rFonts w:ascii="Palatino Linotype" w:eastAsia="Palatino Linotype" w:hAnsi="Palatino Linotype" w:cs="Palatino Linotype"/>
          <w:b/>
        </w:rPr>
        <w:t xml:space="preserve"> </w:t>
      </w:r>
      <w:r w:rsidR="00C534ED" w:rsidRPr="00137487">
        <w:rPr>
          <w:rFonts w:ascii="Palatino Linotype" w:eastAsia="Palatino Linotype" w:hAnsi="Palatino Linotype" w:cs="Palatino Linotype"/>
          <w:b/>
        </w:rPr>
        <w:t>un usuario del sistema de acceso a la información mexiquense, el cual no proporcionó nombre</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 xml:space="preserve">en lo sucesivo la parte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en contra de las respuesta a sus solicitudes de información con números de folio</w:t>
      </w:r>
      <w:r w:rsidR="00C87462" w:rsidRPr="00137487">
        <w:rPr>
          <w:rFonts w:ascii="Palatino Linotype" w:eastAsia="Palatino Linotype" w:hAnsi="Palatino Linotype" w:cs="Palatino Linotype"/>
          <w:b/>
        </w:rPr>
        <w:t xml:space="preserve">  </w:t>
      </w:r>
      <w:r w:rsidR="003672CC" w:rsidRPr="00137487">
        <w:rPr>
          <w:rFonts w:ascii="Palatino Linotype" w:eastAsia="Palatino Linotype" w:hAnsi="Palatino Linotype" w:cs="Palatino Linotype"/>
          <w:b/>
        </w:rPr>
        <w:t xml:space="preserve">03143/TOLUCA/IP/2025 </w:t>
      </w:r>
      <w:r w:rsidR="00C87462" w:rsidRPr="00137487">
        <w:rPr>
          <w:rFonts w:ascii="Palatino Linotype" w:eastAsia="Palatino Linotype" w:hAnsi="Palatino Linotype" w:cs="Palatino Linotype"/>
          <w:b/>
        </w:rPr>
        <w:t xml:space="preserve">y </w:t>
      </w:r>
      <w:r w:rsidR="00EA49DD" w:rsidRPr="00137487">
        <w:rPr>
          <w:rFonts w:ascii="Palatino Linotype" w:eastAsia="Palatino Linotype" w:hAnsi="Palatino Linotype" w:cs="Palatino Linotype"/>
          <w:b/>
        </w:rPr>
        <w:t>03142/TOLUCA/IP/2025</w:t>
      </w:r>
      <w:r w:rsidRPr="00137487">
        <w:rPr>
          <w:rFonts w:ascii="Palatino Linotype" w:eastAsia="Palatino Linotype" w:hAnsi="Palatino Linotype" w:cs="Palatino Linotype"/>
          <w:b/>
        </w:rPr>
        <w:t>,</w:t>
      </w:r>
      <w:r w:rsidRPr="00137487">
        <w:rPr>
          <w:rFonts w:ascii="Palatino Linotype" w:eastAsia="Palatino Linotype" w:hAnsi="Palatino Linotype" w:cs="Palatino Linotype"/>
        </w:rPr>
        <w:t xml:space="preserve"> respectivamente, por parte del</w:t>
      </w:r>
      <w:r w:rsidRPr="00137487">
        <w:rPr>
          <w:rFonts w:ascii="Palatino Linotype" w:hAnsi="Palatino Linotype"/>
        </w:rPr>
        <w:t xml:space="preserve"> </w:t>
      </w:r>
      <w:r w:rsidRPr="00137487">
        <w:rPr>
          <w:rFonts w:ascii="Palatino Linotype" w:eastAsia="Palatino Linotype" w:hAnsi="Palatino Linotype" w:cs="Palatino Linotype"/>
          <w:b/>
        </w:rPr>
        <w:t>Ayuntamiento de</w:t>
      </w:r>
      <w:r w:rsidR="003672CC" w:rsidRPr="00137487">
        <w:rPr>
          <w:rFonts w:ascii="Palatino Linotype" w:eastAsia="Palatino Linotype" w:hAnsi="Palatino Linotype" w:cs="Palatino Linotype"/>
          <w:b/>
        </w:rPr>
        <w:t xml:space="preserve">  Toluca</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 xml:space="preserve">en lo sucesivo el </w:t>
      </w:r>
      <w:r w:rsidRPr="00137487">
        <w:rPr>
          <w:rFonts w:ascii="Palatino Linotype" w:eastAsia="Palatino Linotype" w:hAnsi="Palatino Linotype" w:cs="Palatino Linotype"/>
          <w:b/>
        </w:rPr>
        <w:t xml:space="preserve">Sujeto Obligado; </w:t>
      </w:r>
      <w:r w:rsidRPr="00137487">
        <w:rPr>
          <w:rFonts w:ascii="Palatino Linotype" w:eastAsia="Palatino Linotype" w:hAnsi="Palatino Linotype" w:cs="Palatino Linotype"/>
        </w:rPr>
        <w:t xml:space="preserve">se procede a dictar la presente resolución, con base en lo siguiente. </w:t>
      </w:r>
    </w:p>
    <w:p w14:paraId="146AC369" w14:textId="77777777" w:rsidR="004D5666" w:rsidRPr="00137487" w:rsidRDefault="007F0576" w:rsidP="001E0F0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I. A N T E C E D E N T E S:</w:t>
      </w:r>
    </w:p>
    <w:p w14:paraId="03165AF0" w14:textId="11B60C3B" w:rsidR="004D5666" w:rsidRPr="00137487" w:rsidRDefault="007F0576"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1. Solicitudes de acceso a la información.</w:t>
      </w:r>
      <w:r w:rsidRPr="00137487">
        <w:rPr>
          <w:rFonts w:ascii="Palatino Linotype" w:eastAsia="Palatino Linotype" w:hAnsi="Palatino Linotype" w:cs="Palatino Linotype"/>
        </w:rPr>
        <w:t xml:space="preserve"> Con fecha </w:t>
      </w:r>
      <w:r w:rsidR="003672CC" w:rsidRPr="00137487">
        <w:rPr>
          <w:rFonts w:ascii="Palatino Linotype" w:eastAsia="Palatino Linotype" w:hAnsi="Palatino Linotype" w:cs="Palatino Linotype"/>
          <w:b/>
        </w:rPr>
        <w:t>veintinueve</w:t>
      </w:r>
      <w:r w:rsidR="00C534ED" w:rsidRPr="00137487">
        <w:rPr>
          <w:rFonts w:ascii="Palatino Linotype" w:eastAsia="Palatino Linotype" w:hAnsi="Palatino Linotype" w:cs="Palatino Linotype"/>
          <w:b/>
        </w:rPr>
        <w:t xml:space="preserve"> de mayo</w:t>
      </w:r>
      <w:r w:rsidR="00C87462" w:rsidRPr="00137487">
        <w:rPr>
          <w:rFonts w:ascii="Palatino Linotype" w:eastAsia="Palatino Linotype" w:hAnsi="Palatino Linotype" w:cs="Palatino Linotype"/>
          <w:b/>
        </w:rPr>
        <w:t xml:space="preserve"> de dos mil veinticinco</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la persona solicitante</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 xml:space="preserve">presentó, a través del Sistema de Acceso a la Información Mexiquense, en lo subsecuente </w:t>
      </w:r>
      <w:r w:rsidRPr="00137487">
        <w:rPr>
          <w:rFonts w:ascii="Palatino Linotype" w:eastAsia="Palatino Linotype" w:hAnsi="Palatino Linotype" w:cs="Palatino Linotype"/>
          <w:b/>
        </w:rPr>
        <w:t xml:space="preserve">SAIMEX, </w:t>
      </w:r>
      <w:r w:rsidRPr="00137487">
        <w:rPr>
          <w:rFonts w:ascii="Palatino Linotype" w:eastAsia="Palatino Linotype" w:hAnsi="Palatino Linotype" w:cs="Palatino Linotype"/>
        </w:rPr>
        <w:t xml:space="preserve">ante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las solicitudes de acceso a la información pública, mediante las cuales requirió la información siguiente:</w:t>
      </w:r>
    </w:p>
    <w:tbl>
      <w:tblPr>
        <w:tblStyle w:val="af0"/>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1"/>
      </w:tblGrid>
      <w:tr w:rsidR="00D34719" w:rsidRPr="00137487" w14:paraId="3DDE0DEA" w14:textId="77777777" w:rsidTr="00C534ED">
        <w:trPr>
          <w:jc w:val="center"/>
        </w:trPr>
        <w:tc>
          <w:tcPr>
            <w:tcW w:w="2978" w:type="dxa"/>
            <w:shd w:val="clear" w:color="auto" w:fill="A6A6A6"/>
          </w:tcPr>
          <w:p w14:paraId="4950A8F2" w14:textId="77777777" w:rsidR="004D5666" w:rsidRPr="00137487" w:rsidRDefault="007F0576"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Número de solicitud</w:t>
            </w:r>
          </w:p>
        </w:tc>
        <w:tc>
          <w:tcPr>
            <w:tcW w:w="6281" w:type="dxa"/>
            <w:shd w:val="clear" w:color="auto" w:fill="A6A6A6"/>
          </w:tcPr>
          <w:p w14:paraId="366E3B19" w14:textId="77777777" w:rsidR="004D5666" w:rsidRPr="00137487" w:rsidRDefault="007F0576"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Información solicitada</w:t>
            </w:r>
          </w:p>
        </w:tc>
      </w:tr>
      <w:tr w:rsidR="00D34719" w:rsidRPr="00137487" w14:paraId="20178302" w14:textId="77777777" w:rsidTr="00C534ED">
        <w:trPr>
          <w:jc w:val="center"/>
        </w:trPr>
        <w:tc>
          <w:tcPr>
            <w:tcW w:w="2978" w:type="dxa"/>
            <w:vAlign w:val="center"/>
          </w:tcPr>
          <w:p w14:paraId="1FEE72EB" w14:textId="77777777" w:rsidR="003672CC" w:rsidRPr="00137487" w:rsidRDefault="003672CC" w:rsidP="001E0F0A">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03143/TOLUCA/IP/2025</w:t>
            </w:r>
          </w:p>
          <w:p w14:paraId="2110D36F" w14:textId="742634F9" w:rsidR="004D5666" w:rsidRPr="00137487" w:rsidRDefault="00C534ED" w:rsidP="001E0F0A">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07</w:t>
            </w:r>
            <w:r w:rsidR="003672CC" w:rsidRPr="00137487">
              <w:rPr>
                <w:rFonts w:ascii="Palatino Linotype" w:eastAsia="Palatino Linotype" w:hAnsi="Palatino Linotype" w:cs="Palatino Linotype"/>
                <w:b/>
                <w:lang w:val="en-US"/>
              </w:rPr>
              <w:t>494</w:t>
            </w:r>
            <w:r w:rsidRPr="00137487">
              <w:rPr>
                <w:rFonts w:ascii="Palatino Linotype" w:eastAsia="Palatino Linotype" w:hAnsi="Palatino Linotype" w:cs="Palatino Linotype"/>
                <w:b/>
                <w:lang w:val="en-US"/>
              </w:rPr>
              <w:t>/INFOEM/IP/RR/2025</w:t>
            </w:r>
          </w:p>
        </w:tc>
        <w:tc>
          <w:tcPr>
            <w:tcW w:w="6281" w:type="dxa"/>
          </w:tcPr>
          <w:p w14:paraId="1D8C07E4" w14:textId="230B9F4E" w:rsidR="004D5666" w:rsidRPr="00137487" w:rsidRDefault="003672CC" w:rsidP="003672CC">
            <w:pPr>
              <w:spacing w:before="240" w:after="240" w:line="360"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LICENCIA DE CONSTRUCCIÓN NOMBRE DEL PROPIETARIO EMITIDAS PARA INMOBILIARIAS FECHA DE EXPEDICIÓN DELOS AÑOS 2022</w:t>
            </w:r>
          </w:p>
        </w:tc>
      </w:tr>
      <w:tr w:rsidR="00D34719" w:rsidRPr="00137487" w14:paraId="26655F20" w14:textId="77777777" w:rsidTr="00C534ED">
        <w:trPr>
          <w:jc w:val="center"/>
        </w:trPr>
        <w:tc>
          <w:tcPr>
            <w:tcW w:w="2978" w:type="dxa"/>
            <w:vAlign w:val="center"/>
          </w:tcPr>
          <w:p w14:paraId="14E7C680" w14:textId="3E2D5D49" w:rsidR="00EA49DD" w:rsidRPr="00137487" w:rsidRDefault="00EA49DD" w:rsidP="00EA49DD">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lastRenderedPageBreak/>
              <w:t>03142/TOLUCA/IP/2025</w:t>
            </w:r>
          </w:p>
          <w:p w14:paraId="1F70AFAD" w14:textId="70C37AA3" w:rsidR="004D5666" w:rsidRPr="00137487" w:rsidRDefault="00EA49DD" w:rsidP="00EA49DD">
            <w:pPr>
              <w:spacing w:before="240" w:after="240" w:line="360" w:lineRule="auto"/>
              <w:jc w:val="center"/>
              <w:rPr>
                <w:rFonts w:ascii="Palatino Linotype" w:eastAsia="Palatino Linotype" w:hAnsi="Palatino Linotype" w:cs="Palatino Linotype"/>
                <w:b/>
                <w:i/>
                <w:lang w:val="en-US"/>
              </w:rPr>
            </w:pPr>
            <w:r w:rsidRPr="00137487">
              <w:rPr>
                <w:rFonts w:ascii="Palatino Linotype" w:eastAsia="Palatino Linotype" w:hAnsi="Palatino Linotype" w:cs="Palatino Linotype"/>
                <w:b/>
                <w:lang w:val="en-US"/>
              </w:rPr>
              <w:t>07501/INFOEM/IP/RR/2025</w:t>
            </w:r>
          </w:p>
        </w:tc>
        <w:tc>
          <w:tcPr>
            <w:tcW w:w="6281" w:type="dxa"/>
          </w:tcPr>
          <w:p w14:paraId="411038F1" w14:textId="4984BDF8" w:rsidR="004D5666" w:rsidRPr="00137487" w:rsidRDefault="00EA49DD" w:rsidP="001E0F0A">
            <w:pPr>
              <w:spacing w:before="240" w:after="240" w:line="360"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LICENCIA DE CONSTRUCCIÓN NOMBRE DEL PROPIETARIO EMITIDAS PARA INMOBILIARIAS FECHA DE EXPEDICIÓN DELOS AÑOS 2021</w:t>
            </w:r>
          </w:p>
        </w:tc>
      </w:tr>
    </w:tbl>
    <w:p w14:paraId="6C5B936D" w14:textId="77777777" w:rsidR="004D5666" w:rsidRPr="00137487" w:rsidRDefault="007F0576" w:rsidP="001E0F0A">
      <w:pPr>
        <w:spacing w:before="240" w:after="240" w:line="360" w:lineRule="auto"/>
        <w:jc w:val="both"/>
        <w:rPr>
          <w:rFonts w:ascii="Palatino Linotype" w:eastAsia="Palatino Linotype" w:hAnsi="Palatino Linotype" w:cs="Palatino Linotype"/>
        </w:rPr>
      </w:pPr>
      <w:bookmarkStart w:id="1" w:name="_heading=h.2et92p0" w:colFirst="0" w:colLast="0"/>
      <w:bookmarkEnd w:id="1"/>
      <w:r w:rsidRPr="00137487">
        <w:rPr>
          <w:rFonts w:ascii="Palatino Linotype" w:eastAsia="Palatino Linotype" w:hAnsi="Palatino Linotype" w:cs="Palatino Linotype"/>
          <w:b/>
        </w:rPr>
        <w:t xml:space="preserve">Modalidad elegida para la entrega de la información: </w:t>
      </w:r>
      <w:r w:rsidRPr="00137487">
        <w:rPr>
          <w:rFonts w:ascii="Palatino Linotype" w:eastAsia="Palatino Linotype" w:hAnsi="Palatino Linotype" w:cs="Palatino Linotype"/>
        </w:rPr>
        <w:t>a través del SAIMEX.</w:t>
      </w:r>
    </w:p>
    <w:p w14:paraId="1033B323" w14:textId="04219C64" w:rsidR="004D5666" w:rsidRPr="00137487" w:rsidRDefault="00C87462"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2</w:t>
      </w:r>
      <w:r w:rsidR="007F0576" w:rsidRPr="00137487">
        <w:rPr>
          <w:rFonts w:ascii="Palatino Linotype" w:eastAsia="Palatino Linotype" w:hAnsi="Palatino Linotype" w:cs="Palatino Linotype"/>
          <w:b/>
        </w:rPr>
        <w:t xml:space="preserve">. Respuestas. </w:t>
      </w:r>
      <w:r w:rsidR="00C534ED" w:rsidRPr="00137487">
        <w:rPr>
          <w:rFonts w:ascii="Palatino Linotype" w:eastAsia="Palatino Linotype" w:hAnsi="Palatino Linotype" w:cs="Palatino Linotype"/>
        </w:rPr>
        <w:t xml:space="preserve">Con fecha </w:t>
      </w:r>
      <w:r w:rsidR="00C534ED" w:rsidRPr="00137487">
        <w:rPr>
          <w:rFonts w:ascii="Palatino Linotype" w:eastAsia="Palatino Linotype" w:hAnsi="Palatino Linotype" w:cs="Palatino Linotype"/>
          <w:b/>
        </w:rPr>
        <w:t>dieci</w:t>
      </w:r>
      <w:r w:rsidR="003672CC" w:rsidRPr="00137487">
        <w:rPr>
          <w:rFonts w:ascii="Palatino Linotype" w:eastAsia="Palatino Linotype" w:hAnsi="Palatino Linotype" w:cs="Palatino Linotype"/>
          <w:b/>
        </w:rPr>
        <w:t>nueve</w:t>
      </w:r>
      <w:r w:rsidR="00C534ED" w:rsidRPr="00137487">
        <w:rPr>
          <w:rFonts w:ascii="Palatino Linotype" w:eastAsia="Palatino Linotype" w:hAnsi="Palatino Linotype" w:cs="Palatino Linotype"/>
          <w:b/>
        </w:rPr>
        <w:t xml:space="preserve"> de junio</w:t>
      </w:r>
      <w:r w:rsidRPr="00137487">
        <w:rPr>
          <w:rFonts w:ascii="Palatino Linotype" w:eastAsia="Palatino Linotype" w:hAnsi="Palatino Linotype" w:cs="Palatino Linotype"/>
          <w:b/>
        </w:rPr>
        <w:t xml:space="preserve"> de dos mil veinticinco</w:t>
      </w:r>
      <w:r w:rsidR="007F0576" w:rsidRPr="00137487">
        <w:rPr>
          <w:rFonts w:ascii="Palatino Linotype" w:eastAsia="Palatino Linotype" w:hAnsi="Palatino Linotype" w:cs="Palatino Linotype"/>
        </w:rPr>
        <w:t xml:space="preserve">, el </w:t>
      </w:r>
      <w:r w:rsidR="007F0576" w:rsidRPr="00137487">
        <w:rPr>
          <w:rFonts w:ascii="Palatino Linotype" w:eastAsia="Palatino Linotype" w:hAnsi="Palatino Linotype" w:cs="Palatino Linotype"/>
          <w:b/>
        </w:rPr>
        <w:t xml:space="preserve">Sujeto Obligado </w:t>
      </w:r>
      <w:r w:rsidR="007F0576" w:rsidRPr="00137487">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0"/>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D34719" w:rsidRPr="00137487" w14:paraId="133406DF" w14:textId="77777777" w:rsidTr="001E0F0A">
        <w:trPr>
          <w:jc w:val="center"/>
        </w:trPr>
        <w:tc>
          <w:tcPr>
            <w:tcW w:w="3125" w:type="dxa"/>
            <w:shd w:val="clear" w:color="auto" w:fill="A6A6A6"/>
          </w:tcPr>
          <w:p w14:paraId="0D5486AE" w14:textId="77777777" w:rsidR="00C87462" w:rsidRPr="00137487" w:rsidRDefault="00C87462"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Número de solicitud</w:t>
            </w:r>
          </w:p>
        </w:tc>
        <w:tc>
          <w:tcPr>
            <w:tcW w:w="6281" w:type="dxa"/>
            <w:shd w:val="clear" w:color="auto" w:fill="A6A6A6"/>
          </w:tcPr>
          <w:p w14:paraId="7EBF7D3A" w14:textId="77777777" w:rsidR="00C87462" w:rsidRPr="00137487" w:rsidRDefault="00C87462"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Respuesta</w:t>
            </w:r>
          </w:p>
        </w:tc>
      </w:tr>
      <w:tr w:rsidR="00D34719" w:rsidRPr="00137487" w14:paraId="224AD9BA" w14:textId="77777777" w:rsidTr="001E0F0A">
        <w:trPr>
          <w:jc w:val="center"/>
        </w:trPr>
        <w:tc>
          <w:tcPr>
            <w:tcW w:w="3125" w:type="dxa"/>
            <w:vAlign w:val="center"/>
          </w:tcPr>
          <w:p w14:paraId="5B7A2840" w14:textId="77777777" w:rsidR="003672CC" w:rsidRPr="00137487" w:rsidRDefault="003672CC" w:rsidP="001E0F0A">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03143/TOLUCA/IP/2025</w:t>
            </w:r>
          </w:p>
          <w:p w14:paraId="04354A74" w14:textId="3F546CE7" w:rsidR="00C534ED" w:rsidRPr="00137487" w:rsidRDefault="00C534ED" w:rsidP="001E0F0A">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07</w:t>
            </w:r>
            <w:r w:rsidR="003672CC" w:rsidRPr="00137487">
              <w:rPr>
                <w:rFonts w:ascii="Palatino Linotype" w:eastAsia="Palatino Linotype" w:hAnsi="Palatino Linotype" w:cs="Palatino Linotype"/>
                <w:b/>
                <w:lang w:val="en-US"/>
              </w:rPr>
              <w:t>494</w:t>
            </w:r>
            <w:r w:rsidRPr="00137487">
              <w:rPr>
                <w:rFonts w:ascii="Palatino Linotype" w:eastAsia="Palatino Linotype" w:hAnsi="Palatino Linotype" w:cs="Palatino Linotype"/>
                <w:b/>
                <w:lang w:val="en-US"/>
              </w:rPr>
              <w:t>/INFOEM/IP/RR/2025</w:t>
            </w:r>
          </w:p>
        </w:tc>
        <w:tc>
          <w:tcPr>
            <w:tcW w:w="6281" w:type="dxa"/>
          </w:tcPr>
          <w:p w14:paraId="3E023516" w14:textId="77777777" w:rsidR="003672CC" w:rsidRPr="00137487" w:rsidRDefault="00C534ED" w:rsidP="003672CC">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003672CC" w:rsidRPr="00137487">
              <w:rPr>
                <w:rFonts w:ascii="Palatino Linotype" w:eastAsia="Palatino Linotype" w:hAnsi="Palatino Linotype" w:cs="Palatino Linotype"/>
                <w:i/>
              </w:rPr>
              <w:t>Folio de la solicitud: 03143/TOLUCA/IP/2025</w:t>
            </w:r>
          </w:p>
          <w:p w14:paraId="75BB6B53" w14:textId="77777777" w:rsidR="003672CC" w:rsidRPr="00137487" w:rsidRDefault="003672CC" w:rsidP="003672CC">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11434B" w14:textId="77777777" w:rsidR="003672CC" w:rsidRPr="00137487" w:rsidRDefault="003672CC" w:rsidP="003672CC">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En atención a la solicitud con folio 03143/TOLUCA/IP/2025, me permito adjuntar al presente la respuesta correspondiente de la Dirección General de Innovación, Planeación y Gestión Urbana, Sin más por el momento, reciba un saludo.</w:t>
            </w:r>
          </w:p>
          <w:p w14:paraId="5B4F5CB3" w14:textId="77777777" w:rsidR="003672CC" w:rsidRPr="00137487" w:rsidRDefault="003672CC" w:rsidP="003672CC">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ATENTAMENTE</w:t>
            </w:r>
          </w:p>
          <w:p w14:paraId="44878817" w14:textId="0EA431AC" w:rsidR="00C534ED" w:rsidRPr="00137487" w:rsidRDefault="003672CC" w:rsidP="003672CC">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Dr. Nahum Miguel Mendoza Morales</w:t>
            </w:r>
            <w:r w:rsidR="00C534ED" w:rsidRPr="00137487">
              <w:rPr>
                <w:rFonts w:ascii="Palatino Linotype" w:eastAsia="Palatino Linotype" w:hAnsi="Palatino Linotype" w:cs="Palatino Linotype"/>
                <w:i/>
              </w:rPr>
              <w:t>”</w:t>
            </w:r>
          </w:p>
          <w:p w14:paraId="55D68AED" w14:textId="77777777" w:rsidR="001E0F0A" w:rsidRPr="00137487" w:rsidRDefault="001E0F0A" w:rsidP="003672CC">
            <w:pPr>
              <w:pStyle w:val="Prrafodelista"/>
              <w:spacing w:before="240" w:after="240" w:line="276" w:lineRule="auto"/>
              <w:ind w:left="310"/>
              <w:jc w:val="both"/>
              <w:rPr>
                <w:rFonts w:ascii="Palatino Linotype" w:eastAsia="Palatino Linotype" w:hAnsi="Palatino Linotype" w:cs="Palatino Linotype"/>
              </w:rPr>
            </w:pPr>
          </w:p>
          <w:p w14:paraId="68695418" w14:textId="579BD249" w:rsidR="00C534ED" w:rsidRPr="00137487" w:rsidRDefault="00C534ED" w:rsidP="003672CC">
            <w:pPr>
              <w:pStyle w:val="Prrafodelista"/>
              <w:spacing w:before="240" w:after="240" w:line="276" w:lineRule="auto"/>
              <w:ind w:left="310"/>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El Sujeto Obligado adjuntó a su respuesta los siguientes documentos: </w:t>
            </w:r>
          </w:p>
          <w:p w14:paraId="16BC2301" w14:textId="0354830E" w:rsidR="003672CC" w:rsidRPr="00137487" w:rsidRDefault="00C534ED" w:rsidP="003672CC">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i/>
              </w:rPr>
              <w:t xml:space="preserve">- </w:t>
            </w:r>
            <w:r w:rsidR="003672CC" w:rsidRPr="00137487">
              <w:rPr>
                <w:rFonts w:ascii="Palatino Linotype" w:eastAsia="Palatino Linotype" w:hAnsi="Palatino Linotype" w:cs="Palatino Linotype"/>
                <w:b/>
                <w:i/>
              </w:rPr>
              <w:t>RESPUESTA SAIMEX 3143-2025.pdf</w:t>
            </w:r>
            <w:r w:rsidRPr="00137487">
              <w:rPr>
                <w:rFonts w:ascii="Palatino Linotype" w:eastAsia="Palatino Linotype" w:hAnsi="Palatino Linotype" w:cs="Palatino Linotype"/>
                <w:b/>
                <w:i/>
              </w:rPr>
              <w:t xml:space="preserve">. </w:t>
            </w:r>
            <w:r w:rsidRPr="00137487">
              <w:rPr>
                <w:rFonts w:ascii="Palatino Linotype" w:eastAsia="Palatino Linotype" w:hAnsi="Palatino Linotype" w:cs="Palatino Linotype"/>
              </w:rPr>
              <w:t xml:space="preserve">Oficio número </w:t>
            </w:r>
            <w:r w:rsidR="003672CC" w:rsidRPr="00137487">
              <w:rPr>
                <w:rFonts w:ascii="Palatino Linotype" w:eastAsia="Palatino Linotype" w:hAnsi="Palatino Linotype" w:cs="Palatino Linotype"/>
              </w:rPr>
              <w:t>209010000/2980/2025</w:t>
            </w:r>
            <w:r w:rsidRPr="00137487">
              <w:rPr>
                <w:rFonts w:ascii="Palatino Linotype" w:eastAsia="Palatino Linotype" w:hAnsi="Palatino Linotype" w:cs="Palatino Linotype"/>
              </w:rPr>
              <w:t xml:space="preserve">, signado por el </w:t>
            </w:r>
            <w:r w:rsidR="003672CC" w:rsidRPr="00137487">
              <w:rPr>
                <w:rFonts w:ascii="Palatino Linotype" w:eastAsia="Palatino Linotype" w:hAnsi="Palatino Linotype" w:cs="Palatino Linotype"/>
              </w:rPr>
              <w:t xml:space="preserve">Director General de Innovación, Planeación y Gestión Urbana, a través del cual </w:t>
            </w:r>
            <w:r w:rsidR="003672CC" w:rsidRPr="00137487">
              <w:rPr>
                <w:rFonts w:ascii="Palatino Linotype" w:eastAsia="Palatino Linotype" w:hAnsi="Palatino Linotype" w:cs="Palatino Linotype"/>
              </w:rPr>
              <w:lastRenderedPageBreak/>
              <w:t>refiere que  realizó una búsqueda exhaustiva y razonable de la información objeto de la solicitud en los archivos que se encuentran bajo resguardo y custodia de esa Dirección General, como resultado de la búsqueda se localizó información, la cual se adjunta en versión pública autorizada, en formato PDF, mediante el acuerdo CT/SE/744/04/2025 de la SEPTINGENTÉSIMA CUADRAGÉSIMA CUARTA SESIÓN EXTRAORDINARIA 2025 de fecha 13 de junio 2025, del Comité de Transparencia del Municipio de Toluca.</w:t>
            </w:r>
          </w:p>
          <w:p w14:paraId="6E53DCCF" w14:textId="25875B97" w:rsidR="00C534ED" w:rsidRPr="00137487" w:rsidRDefault="001E0F0A" w:rsidP="003672CC">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 </w:t>
            </w:r>
            <w:r w:rsidR="003672CC" w:rsidRPr="00137487">
              <w:rPr>
                <w:rFonts w:ascii="Palatino Linotype" w:eastAsia="Palatino Linotype" w:hAnsi="Palatino Linotype" w:cs="Palatino Linotype"/>
                <w:b/>
                <w:i/>
              </w:rPr>
              <w:t>ANEXO SAIMEX 3143, DG INNOVACIÓN.pdf</w:t>
            </w:r>
            <w:r w:rsidR="00C534ED" w:rsidRPr="00137487">
              <w:rPr>
                <w:rFonts w:ascii="Palatino Linotype" w:eastAsia="Palatino Linotype" w:hAnsi="Palatino Linotype" w:cs="Palatino Linotype"/>
                <w:b/>
                <w:i/>
              </w:rPr>
              <w:t xml:space="preserve">. </w:t>
            </w:r>
            <w:r w:rsidR="003672CC" w:rsidRPr="00137487">
              <w:rPr>
                <w:rFonts w:ascii="Palatino Linotype" w:eastAsia="Palatino Linotype" w:hAnsi="Palatino Linotype" w:cs="Palatino Linotype"/>
              </w:rPr>
              <w:t xml:space="preserve">Adjunta diversas licencias de construcción, emitidas en el año 2022, en versión pública, sin el acuerdo del Comité. </w:t>
            </w:r>
          </w:p>
        </w:tc>
      </w:tr>
      <w:tr w:rsidR="00D34719" w:rsidRPr="00137487" w14:paraId="42945D67" w14:textId="77777777" w:rsidTr="001E0F0A">
        <w:trPr>
          <w:jc w:val="center"/>
        </w:trPr>
        <w:tc>
          <w:tcPr>
            <w:tcW w:w="3125" w:type="dxa"/>
            <w:vAlign w:val="center"/>
          </w:tcPr>
          <w:p w14:paraId="4F31D7B0" w14:textId="6387BF09" w:rsidR="003672CC" w:rsidRPr="00137487" w:rsidRDefault="003672CC" w:rsidP="003672CC">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lastRenderedPageBreak/>
              <w:t>0314</w:t>
            </w:r>
            <w:r w:rsidR="00EA49DD" w:rsidRPr="00137487">
              <w:rPr>
                <w:rFonts w:ascii="Palatino Linotype" w:eastAsia="Palatino Linotype" w:hAnsi="Palatino Linotype" w:cs="Palatino Linotype"/>
                <w:b/>
                <w:lang w:val="en-US"/>
              </w:rPr>
              <w:t>2</w:t>
            </w:r>
            <w:r w:rsidRPr="00137487">
              <w:rPr>
                <w:rFonts w:ascii="Palatino Linotype" w:eastAsia="Palatino Linotype" w:hAnsi="Palatino Linotype" w:cs="Palatino Linotype"/>
                <w:b/>
                <w:lang w:val="en-US"/>
              </w:rPr>
              <w:t>/TOLUCA/IP/2025</w:t>
            </w:r>
          </w:p>
          <w:p w14:paraId="3634D46E" w14:textId="7DD80E4B" w:rsidR="003672CC" w:rsidRPr="00137487" w:rsidRDefault="003672CC" w:rsidP="003672CC">
            <w:pPr>
              <w:spacing w:before="240" w:after="240" w:line="360" w:lineRule="auto"/>
              <w:jc w:val="center"/>
              <w:rPr>
                <w:rFonts w:ascii="Palatino Linotype" w:eastAsia="Palatino Linotype" w:hAnsi="Palatino Linotype" w:cs="Palatino Linotype"/>
                <w:b/>
                <w:i/>
                <w:lang w:val="en-US"/>
              </w:rPr>
            </w:pPr>
            <w:r w:rsidRPr="00137487">
              <w:rPr>
                <w:rFonts w:ascii="Palatino Linotype" w:eastAsia="Palatino Linotype" w:hAnsi="Palatino Linotype" w:cs="Palatino Linotype"/>
                <w:b/>
                <w:lang w:val="en-US"/>
              </w:rPr>
              <w:t>07</w:t>
            </w:r>
            <w:r w:rsidR="00EA49DD" w:rsidRPr="00137487">
              <w:rPr>
                <w:rFonts w:ascii="Palatino Linotype" w:eastAsia="Palatino Linotype" w:hAnsi="Palatino Linotype" w:cs="Palatino Linotype"/>
                <w:b/>
                <w:lang w:val="en-US"/>
              </w:rPr>
              <w:t>501</w:t>
            </w:r>
            <w:r w:rsidRPr="00137487">
              <w:rPr>
                <w:rFonts w:ascii="Palatino Linotype" w:eastAsia="Palatino Linotype" w:hAnsi="Palatino Linotype" w:cs="Palatino Linotype"/>
                <w:b/>
                <w:lang w:val="en-US"/>
              </w:rPr>
              <w:t>/INFOEM/IP/RR/2025</w:t>
            </w:r>
          </w:p>
        </w:tc>
        <w:tc>
          <w:tcPr>
            <w:tcW w:w="6281" w:type="dxa"/>
          </w:tcPr>
          <w:p w14:paraId="676481FD" w14:textId="77777777" w:rsidR="00EA49DD" w:rsidRPr="00137487" w:rsidRDefault="003672CC" w:rsidP="00EA49DD">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00EA49DD" w:rsidRPr="00137487">
              <w:rPr>
                <w:rFonts w:ascii="Palatino Linotype" w:eastAsia="Palatino Linotype" w:hAnsi="Palatino Linotype" w:cs="Palatino Linotype"/>
                <w:i/>
              </w:rPr>
              <w:t>Folio de la solicitud: 03142/TOLUCA/IP/2025</w:t>
            </w:r>
          </w:p>
          <w:p w14:paraId="15DBBBA7" w14:textId="77777777" w:rsidR="00EA49DD" w:rsidRPr="00137487" w:rsidRDefault="00EA49DD" w:rsidP="00EA49DD">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BAA8FF" w14:textId="77777777" w:rsidR="00EA49DD" w:rsidRPr="00137487" w:rsidRDefault="00EA49DD" w:rsidP="00EA49DD">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En atención a la solicitud con folio 03142/TOLUCA/IP/2025, me permito adjuntar al presente la respuesta correspondiente de la Dirección General de Innovación, Planeación y Gestión Urbana, Sin más por el momento, reciba un saludo.</w:t>
            </w:r>
          </w:p>
          <w:p w14:paraId="78F2025E" w14:textId="77777777" w:rsidR="00EA49DD" w:rsidRPr="00137487" w:rsidRDefault="00EA49DD" w:rsidP="00EA49DD">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ATENTAMENTE</w:t>
            </w:r>
          </w:p>
          <w:p w14:paraId="13026CB4" w14:textId="7751D824" w:rsidR="003672CC" w:rsidRPr="00137487" w:rsidRDefault="00EA49DD" w:rsidP="00EA49DD">
            <w:pPr>
              <w:pStyle w:val="Prrafodelista"/>
              <w:spacing w:before="240" w:after="240" w:line="276" w:lineRule="auto"/>
              <w:ind w:left="310"/>
              <w:jc w:val="both"/>
              <w:rPr>
                <w:rFonts w:ascii="Palatino Linotype" w:eastAsia="Palatino Linotype" w:hAnsi="Palatino Linotype" w:cs="Palatino Linotype"/>
                <w:i/>
              </w:rPr>
            </w:pPr>
            <w:r w:rsidRPr="00137487">
              <w:rPr>
                <w:rFonts w:ascii="Palatino Linotype" w:eastAsia="Palatino Linotype" w:hAnsi="Palatino Linotype" w:cs="Palatino Linotype"/>
                <w:i/>
              </w:rPr>
              <w:t>Dr. Nahum Miguel Mendoza Morales</w:t>
            </w:r>
            <w:r w:rsidR="003672CC" w:rsidRPr="00137487">
              <w:rPr>
                <w:rFonts w:ascii="Palatino Linotype" w:eastAsia="Palatino Linotype" w:hAnsi="Palatino Linotype" w:cs="Palatino Linotype"/>
                <w:i/>
              </w:rPr>
              <w:t>”</w:t>
            </w:r>
          </w:p>
          <w:p w14:paraId="5F10FB39" w14:textId="77777777" w:rsidR="003672CC" w:rsidRPr="00137487" w:rsidRDefault="003672CC" w:rsidP="003672CC">
            <w:pPr>
              <w:pStyle w:val="Prrafodelista"/>
              <w:spacing w:before="240" w:after="240" w:line="276" w:lineRule="auto"/>
              <w:ind w:left="310"/>
              <w:jc w:val="both"/>
              <w:rPr>
                <w:rFonts w:ascii="Palatino Linotype" w:eastAsia="Palatino Linotype" w:hAnsi="Palatino Linotype" w:cs="Palatino Linotype"/>
              </w:rPr>
            </w:pPr>
          </w:p>
          <w:p w14:paraId="29829EA3" w14:textId="77777777" w:rsidR="003672CC" w:rsidRPr="00137487" w:rsidRDefault="003672CC" w:rsidP="003672CC">
            <w:pPr>
              <w:pStyle w:val="Prrafodelista"/>
              <w:spacing w:before="240" w:after="240" w:line="276" w:lineRule="auto"/>
              <w:ind w:left="310"/>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El Sujeto Obligado adjuntó a su respuesta los siguientes documentos: </w:t>
            </w:r>
          </w:p>
          <w:p w14:paraId="130CA065" w14:textId="44105C0A" w:rsidR="003672CC" w:rsidRPr="00137487" w:rsidRDefault="003672CC" w:rsidP="003672CC">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i/>
              </w:rPr>
              <w:t xml:space="preserve">- </w:t>
            </w:r>
            <w:r w:rsidR="00EA49DD" w:rsidRPr="00137487">
              <w:rPr>
                <w:rFonts w:ascii="Palatino Linotype" w:eastAsia="Palatino Linotype" w:hAnsi="Palatino Linotype" w:cs="Palatino Linotype"/>
                <w:b/>
                <w:i/>
              </w:rPr>
              <w:t>RESPUESTA SAIMEX 3142-2025.pdf</w:t>
            </w:r>
            <w:r w:rsidRPr="00137487">
              <w:rPr>
                <w:rFonts w:ascii="Palatino Linotype" w:eastAsia="Palatino Linotype" w:hAnsi="Palatino Linotype" w:cs="Palatino Linotype"/>
                <w:b/>
                <w:i/>
              </w:rPr>
              <w:t xml:space="preserve">. </w:t>
            </w:r>
            <w:r w:rsidRPr="00137487">
              <w:rPr>
                <w:rFonts w:ascii="Palatino Linotype" w:eastAsia="Palatino Linotype" w:hAnsi="Palatino Linotype" w:cs="Palatino Linotype"/>
              </w:rPr>
              <w:t>Oficio número 209010000/29</w:t>
            </w:r>
            <w:r w:rsidR="00EA49DD" w:rsidRPr="00137487">
              <w:rPr>
                <w:rFonts w:ascii="Palatino Linotype" w:eastAsia="Palatino Linotype" w:hAnsi="Palatino Linotype" w:cs="Palatino Linotype"/>
              </w:rPr>
              <w:t>79</w:t>
            </w:r>
            <w:r w:rsidRPr="00137487">
              <w:rPr>
                <w:rFonts w:ascii="Palatino Linotype" w:eastAsia="Palatino Linotype" w:hAnsi="Palatino Linotype" w:cs="Palatino Linotype"/>
              </w:rPr>
              <w:t xml:space="preserve">/2025, signado por el Director General de Innovación, Planeación y Gestión Urbana, a través del cual refiere que  realizó una búsqueda exhaustiva y razonable de la información objeto de la solicitud en los archivos que se </w:t>
            </w:r>
            <w:r w:rsidRPr="00137487">
              <w:rPr>
                <w:rFonts w:ascii="Palatino Linotype" w:eastAsia="Palatino Linotype" w:hAnsi="Palatino Linotype" w:cs="Palatino Linotype"/>
              </w:rPr>
              <w:lastRenderedPageBreak/>
              <w:t>encuentran bajo resguardo y custodia de esa Dirección General, como resultado de la búsqueda se localizó información, la cual se adjunta en versión pública autorizada, en formato PDF, mediante el acuerdo CT/SE/744/04/2025 de la SEPTINGENTÉSIMA CUADRAGÉSIMA CUARTA SESIÓN EXTRAORDINARIA 2025 de fecha 13 de junio 2025, del Comité de Transparencia del Municipio de Toluca.</w:t>
            </w:r>
          </w:p>
          <w:p w14:paraId="096D564C" w14:textId="5D5CFDE5" w:rsidR="003672CC" w:rsidRPr="00137487" w:rsidRDefault="003672CC" w:rsidP="003672CC">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 </w:t>
            </w:r>
            <w:r w:rsidR="00EA49DD" w:rsidRPr="00137487">
              <w:rPr>
                <w:rFonts w:ascii="Palatino Linotype" w:eastAsia="Palatino Linotype" w:hAnsi="Palatino Linotype" w:cs="Palatino Linotype"/>
                <w:b/>
                <w:i/>
              </w:rPr>
              <w:t>ANEXO SAIMEX 3142, DG INNOVACIÓN.pdf</w:t>
            </w:r>
            <w:r w:rsidRPr="00137487">
              <w:rPr>
                <w:rFonts w:ascii="Palatino Linotype" w:eastAsia="Palatino Linotype" w:hAnsi="Palatino Linotype" w:cs="Palatino Linotype"/>
                <w:b/>
                <w:i/>
              </w:rPr>
              <w:t xml:space="preserve">. </w:t>
            </w:r>
            <w:r w:rsidRPr="00137487">
              <w:rPr>
                <w:rFonts w:ascii="Palatino Linotype" w:eastAsia="Palatino Linotype" w:hAnsi="Palatino Linotype" w:cs="Palatino Linotype"/>
              </w:rPr>
              <w:t xml:space="preserve">Adjunta diversas licencias de construcción, emitidas en el año 2022, en versión pública, sin el acuerdo del Comité. </w:t>
            </w:r>
          </w:p>
        </w:tc>
      </w:tr>
    </w:tbl>
    <w:p w14:paraId="590E8302" w14:textId="7FCE11C1" w:rsidR="004D5666" w:rsidRPr="00137487" w:rsidRDefault="00376B6F"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lastRenderedPageBreak/>
        <w:t>3</w:t>
      </w:r>
      <w:r w:rsidR="007F0576" w:rsidRPr="00137487">
        <w:rPr>
          <w:rFonts w:ascii="Palatino Linotype" w:eastAsia="Palatino Linotype" w:hAnsi="Palatino Linotype" w:cs="Palatino Linotype"/>
          <w:b/>
        </w:rPr>
        <w:t xml:space="preserve">. Interposición de los recursos de revisión. </w:t>
      </w:r>
      <w:r w:rsidR="007F0576" w:rsidRPr="00137487">
        <w:rPr>
          <w:rFonts w:ascii="Palatino Linotype" w:eastAsia="Palatino Linotype" w:hAnsi="Palatino Linotype" w:cs="Palatino Linotype"/>
        </w:rPr>
        <w:t xml:space="preserve">Inconforme la persona solicitante con las respuestas emitidas por el </w:t>
      </w:r>
      <w:r w:rsidR="007F0576" w:rsidRPr="00137487">
        <w:rPr>
          <w:rFonts w:ascii="Palatino Linotype" w:eastAsia="Palatino Linotype" w:hAnsi="Palatino Linotype" w:cs="Palatino Linotype"/>
          <w:b/>
        </w:rPr>
        <w:t xml:space="preserve">Sujeto Obligado </w:t>
      </w:r>
      <w:r w:rsidR="007F0576" w:rsidRPr="00137487">
        <w:rPr>
          <w:rFonts w:ascii="Palatino Linotype" w:eastAsia="Palatino Linotype" w:hAnsi="Palatino Linotype" w:cs="Palatino Linotype"/>
        </w:rPr>
        <w:t xml:space="preserve">a sus solicitudes, en fecha </w:t>
      </w:r>
      <w:r w:rsidR="005A244B" w:rsidRPr="00137487">
        <w:rPr>
          <w:rFonts w:ascii="Palatino Linotype" w:eastAsia="Palatino Linotype" w:hAnsi="Palatino Linotype" w:cs="Palatino Linotype"/>
          <w:b/>
        </w:rPr>
        <w:t>d</w:t>
      </w:r>
      <w:r w:rsidR="003672CC" w:rsidRPr="00137487">
        <w:rPr>
          <w:rFonts w:ascii="Palatino Linotype" w:eastAsia="Palatino Linotype" w:hAnsi="Palatino Linotype" w:cs="Palatino Linotype"/>
          <w:b/>
        </w:rPr>
        <w:t>iecinueve</w:t>
      </w:r>
      <w:r w:rsidR="005A244B" w:rsidRPr="00137487">
        <w:rPr>
          <w:rFonts w:ascii="Palatino Linotype" w:eastAsia="Palatino Linotype" w:hAnsi="Palatino Linotype" w:cs="Palatino Linotype"/>
          <w:b/>
        </w:rPr>
        <w:t xml:space="preserve"> de junio</w:t>
      </w:r>
      <w:r w:rsidR="00472983" w:rsidRPr="00137487">
        <w:rPr>
          <w:rFonts w:ascii="Palatino Linotype" w:eastAsia="Palatino Linotype" w:hAnsi="Palatino Linotype" w:cs="Palatino Linotype"/>
          <w:b/>
        </w:rPr>
        <w:t xml:space="preserve"> de dos mil veinticinco</w:t>
      </w:r>
      <w:r w:rsidR="007F0576" w:rsidRPr="00137487">
        <w:rPr>
          <w:rFonts w:ascii="Palatino Linotype" w:eastAsia="Palatino Linotype" w:hAnsi="Palatino Linotype" w:cs="Palatino Linotype"/>
        </w:rPr>
        <w:t>, interpuso los recursos de revisión a través del SAIMEX, expresando lo siguiente en todos los casos:</w:t>
      </w:r>
    </w:p>
    <w:tbl>
      <w:tblPr>
        <w:tblStyle w:val="a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60"/>
      </w:tblGrid>
      <w:tr w:rsidR="00D34719" w:rsidRPr="00137487" w14:paraId="3328ECAD" w14:textId="77777777" w:rsidTr="007A7A00">
        <w:trPr>
          <w:jc w:val="center"/>
        </w:trPr>
        <w:tc>
          <w:tcPr>
            <w:tcW w:w="2972" w:type="dxa"/>
            <w:shd w:val="clear" w:color="auto" w:fill="A6A6A6"/>
          </w:tcPr>
          <w:p w14:paraId="4727019E" w14:textId="77777777" w:rsidR="00472983" w:rsidRPr="00137487" w:rsidRDefault="00472983"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Recurso de Revisión</w:t>
            </w:r>
          </w:p>
        </w:tc>
        <w:tc>
          <w:tcPr>
            <w:tcW w:w="2977" w:type="dxa"/>
            <w:shd w:val="clear" w:color="auto" w:fill="A6A6A6"/>
          </w:tcPr>
          <w:p w14:paraId="3E75E4FD" w14:textId="77777777" w:rsidR="00472983" w:rsidRPr="00137487" w:rsidRDefault="00472983"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Acto impugnado</w:t>
            </w:r>
          </w:p>
        </w:tc>
        <w:tc>
          <w:tcPr>
            <w:tcW w:w="3260" w:type="dxa"/>
            <w:shd w:val="clear" w:color="auto" w:fill="A6A6A6"/>
          </w:tcPr>
          <w:p w14:paraId="4BDE888A" w14:textId="77777777" w:rsidR="00472983" w:rsidRPr="00137487" w:rsidRDefault="00472983" w:rsidP="001E0F0A">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Motivos de inconformidad</w:t>
            </w:r>
          </w:p>
        </w:tc>
      </w:tr>
      <w:tr w:rsidR="00D34719" w:rsidRPr="00137487" w14:paraId="2D277AA4" w14:textId="77777777" w:rsidTr="007A7A00">
        <w:trPr>
          <w:jc w:val="center"/>
        </w:trPr>
        <w:tc>
          <w:tcPr>
            <w:tcW w:w="2972" w:type="dxa"/>
            <w:vAlign w:val="center"/>
          </w:tcPr>
          <w:p w14:paraId="440C7AD2" w14:textId="77777777" w:rsidR="00472983" w:rsidRPr="00137487" w:rsidRDefault="00472983" w:rsidP="001E0F0A">
            <w:pPr>
              <w:spacing w:before="240" w:after="240" w:line="276" w:lineRule="auto"/>
              <w:jc w:val="center"/>
              <w:rPr>
                <w:rFonts w:ascii="Palatino Linotype" w:eastAsia="Palatino Linotype" w:hAnsi="Palatino Linotype" w:cs="Palatino Linotype"/>
                <w:b/>
              </w:rPr>
            </w:pPr>
          </w:p>
          <w:p w14:paraId="2DD09931" w14:textId="348241E6" w:rsidR="00472983" w:rsidRPr="00137487" w:rsidRDefault="005A244B" w:rsidP="001E0F0A">
            <w:pPr>
              <w:spacing w:before="240" w:after="240" w:line="276"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07</w:t>
            </w:r>
            <w:r w:rsidR="003672CC" w:rsidRPr="00137487">
              <w:rPr>
                <w:rFonts w:ascii="Palatino Linotype" w:eastAsia="Palatino Linotype" w:hAnsi="Palatino Linotype" w:cs="Palatino Linotype"/>
                <w:b/>
              </w:rPr>
              <w:t>494</w:t>
            </w:r>
            <w:r w:rsidR="00472983" w:rsidRPr="00137487">
              <w:rPr>
                <w:rFonts w:ascii="Palatino Linotype" w:eastAsia="Palatino Linotype" w:hAnsi="Palatino Linotype" w:cs="Palatino Linotype"/>
                <w:b/>
              </w:rPr>
              <w:t>/INFOEM/IP/RR/2025</w:t>
            </w:r>
          </w:p>
        </w:tc>
        <w:tc>
          <w:tcPr>
            <w:tcW w:w="2977" w:type="dxa"/>
          </w:tcPr>
          <w:p w14:paraId="3691AA8B" w14:textId="43113E92" w:rsidR="00472983" w:rsidRPr="00137487" w:rsidRDefault="003672CC" w:rsidP="001E0F0A">
            <w:pPr>
              <w:spacing w:before="240" w:after="240" w:line="276"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No entrega la información en los terminos solicitados falta información</w:t>
            </w:r>
          </w:p>
        </w:tc>
        <w:tc>
          <w:tcPr>
            <w:tcW w:w="3260" w:type="dxa"/>
          </w:tcPr>
          <w:p w14:paraId="0D4863C0" w14:textId="54440C1E" w:rsidR="00472983" w:rsidRPr="00137487" w:rsidRDefault="008E222B" w:rsidP="001E0F0A">
            <w:pPr>
              <w:spacing w:before="240" w:after="240" w:line="276"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no esta la información solicitada falta información ni la licencia que tengo yo aparece en esta respuesta</w:t>
            </w:r>
          </w:p>
        </w:tc>
      </w:tr>
      <w:tr w:rsidR="00D34719" w:rsidRPr="00137487" w14:paraId="723BC6B1" w14:textId="77777777" w:rsidTr="007A7A00">
        <w:trPr>
          <w:jc w:val="center"/>
        </w:trPr>
        <w:tc>
          <w:tcPr>
            <w:tcW w:w="2972" w:type="dxa"/>
            <w:vAlign w:val="center"/>
          </w:tcPr>
          <w:p w14:paraId="5E98C0C4" w14:textId="77777777" w:rsidR="00472983" w:rsidRPr="00137487" w:rsidRDefault="00472983" w:rsidP="001E0F0A">
            <w:pPr>
              <w:spacing w:before="240" w:after="240" w:line="276" w:lineRule="auto"/>
              <w:jc w:val="center"/>
              <w:rPr>
                <w:rFonts w:ascii="Palatino Linotype" w:eastAsia="Palatino Linotype" w:hAnsi="Palatino Linotype" w:cs="Palatino Linotype"/>
                <w:b/>
              </w:rPr>
            </w:pPr>
          </w:p>
          <w:p w14:paraId="2527FB38" w14:textId="5765FC7E" w:rsidR="00472983" w:rsidRPr="00137487" w:rsidRDefault="005A244B" w:rsidP="001E0F0A">
            <w:pPr>
              <w:spacing w:before="240" w:after="240" w:line="276" w:lineRule="auto"/>
              <w:jc w:val="center"/>
              <w:rPr>
                <w:rFonts w:ascii="Palatino Linotype" w:eastAsia="Palatino Linotype" w:hAnsi="Palatino Linotype" w:cs="Palatino Linotype"/>
                <w:b/>
                <w:i/>
              </w:rPr>
            </w:pPr>
            <w:r w:rsidRPr="00137487">
              <w:rPr>
                <w:rFonts w:ascii="Palatino Linotype" w:eastAsia="Palatino Linotype" w:hAnsi="Palatino Linotype" w:cs="Palatino Linotype"/>
                <w:b/>
              </w:rPr>
              <w:t>07</w:t>
            </w:r>
            <w:r w:rsidR="008E222B" w:rsidRPr="00137487">
              <w:rPr>
                <w:rFonts w:ascii="Palatino Linotype" w:eastAsia="Palatino Linotype" w:hAnsi="Palatino Linotype" w:cs="Palatino Linotype"/>
                <w:b/>
              </w:rPr>
              <w:t>501</w:t>
            </w:r>
            <w:r w:rsidR="00472983" w:rsidRPr="00137487">
              <w:rPr>
                <w:rFonts w:ascii="Palatino Linotype" w:eastAsia="Palatino Linotype" w:hAnsi="Palatino Linotype" w:cs="Palatino Linotype"/>
                <w:b/>
              </w:rPr>
              <w:t xml:space="preserve">/INFOEM/IP/RR/2025  </w:t>
            </w:r>
          </w:p>
        </w:tc>
        <w:tc>
          <w:tcPr>
            <w:tcW w:w="2977" w:type="dxa"/>
          </w:tcPr>
          <w:p w14:paraId="09DD48EC" w14:textId="6B25A722" w:rsidR="00472983" w:rsidRPr="00137487" w:rsidRDefault="00EA49DD" w:rsidP="001E0F0A">
            <w:pPr>
              <w:spacing w:before="240" w:after="240" w:line="276"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EL SUJETO OBLIGADO ES OPACO Y NO ENTREGA LA INFORMACIÓN SOLICITADA</w:t>
            </w:r>
          </w:p>
        </w:tc>
        <w:tc>
          <w:tcPr>
            <w:tcW w:w="3260" w:type="dxa"/>
          </w:tcPr>
          <w:p w14:paraId="09433458" w14:textId="2934ECA9" w:rsidR="00472983" w:rsidRPr="00137487" w:rsidRDefault="00EA49DD" w:rsidP="001E0F0A">
            <w:pPr>
              <w:spacing w:before="240" w:after="240" w:line="276" w:lineRule="auto"/>
              <w:jc w:val="both"/>
              <w:rPr>
                <w:rFonts w:ascii="Palatino Linotype" w:eastAsia="Palatino Linotype" w:hAnsi="Palatino Linotype" w:cs="Palatino Linotype"/>
                <w:i/>
              </w:rPr>
            </w:pPr>
            <w:r w:rsidRPr="00137487">
              <w:rPr>
                <w:rFonts w:ascii="Palatino Linotype" w:eastAsia="Palatino Linotype" w:hAnsi="Palatino Linotype" w:cs="Palatino Linotype"/>
                <w:i/>
              </w:rPr>
              <w:t>FALTAN LICENCIAS ESTA OCULTANDO INFORMAICÓN</w:t>
            </w:r>
          </w:p>
        </w:tc>
      </w:tr>
    </w:tbl>
    <w:p w14:paraId="62512C79" w14:textId="5C68891B" w:rsidR="004D5666" w:rsidRPr="00137487" w:rsidRDefault="00376B6F" w:rsidP="001E0F0A">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37487">
        <w:rPr>
          <w:rFonts w:ascii="Palatino Linotype" w:eastAsia="Palatino Linotype" w:hAnsi="Palatino Linotype" w:cs="Palatino Linotype"/>
          <w:b/>
        </w:rPr>
        <w:lastRenderedPageBreak/>
        <w:t>4</w:t>
      </w:r>
      <w:r w:rsidR="007F0576" w:rsidRPr="00137487">
        <w:rPr>
          <w:rFonts w:ascii="Palatino Linotype" w:eastAsia="Palatino Linotype" w:hAnsi="Palatino Linotype" w:cs="Palatino Linotype"/>
          <w:b/>
        </w:rPr>
        <w:t>. Turno.</w:t>
      </w:r>
      <w:r w:rsidR="007F0576" w:rsidRPr="00137487">
        <w:rPr>
          <w:rFonts w:ascii="Palatino Linotype" w:eastAsia="Palatino Linotype" w:hAnsi="Palatino Linotype" w:cs="Palatino Linotype"/>
        </w:rPr>
        <w:t xml:space="preserve"> De conformidad con el artículo 185 fracción I de la Ley Transparencia y Acce</w:t>
      </w:r>
      <w:r w:rsidR="007A7A00" w:rsidRPr="00137487">
        <w:rPr>
          <w:rFonts w:ascii="Palatino Linotype" w:eastAsia="Palatino Linotype" w:hAnsi="Palatino Linotype" w:cs="Palatino Linotype"/>
        </w:rPr>
        <w:t>so a la Información Pública, el recurso</w:t>
      </w:r>
      <w:r w:rsidR="007F0576" w:rsidRPr="00137487">
        <w:rPr>
          <w:rFonts w:ascii="Palatino Linotype" w:eastAsia="Palatino Linotype" w:hAnsi="Palatino Linotype" w:cs="Palatino Linotype"/>
        </w:rPr>
        <w:t xml:space="preserve"> de revisión número </w:t>
      </w:r>
      <w:r w:rsidR="005A244B" w:rsidRPr="00137487">
        <w:rPr>
          <w:rFonts w:ascii="Palatino Linotype" w:eastAsia="Palatino Linotype" w:hAnsi="Palatino Linotype" w:cs="Palatino Linotype"/>
          <w:b/>
        </w:rPr>
        <w:t>07</w:t>
      </w:r>
      <w:r w:rsidR="008E222B" w:rsidRPr="00137487">
        <w:rPr>
          <w:rFonts w:ascii="Palatino Linotype" w:eastAsia="Palatino Linotype" w:hAnsi="Palatino Linotype" w:cs="Palatino Linotype"/>
          <w:b/>
        </w:rPr>
        <w:t>494</w:t>
      </w:r>
      <w:r w:rsidR="007A7A00" w:rsidRPr="00137487">
        <w:rPr>
          <w:rFonts w:ascii="Palatino Linotype" w:eastAsia="Palatino Linotype" w:hAnsi="Palatino Linotype" w:cs="Palatino Linotype"/>
          <w:b/>
        </w:rPr>
        <w:t xml:space="preserve">/INFOEM/IP/RR/2025 </w:t>
      </w:r>
      <w:r w:rsidR="007F0576" w:rsidRPr="00137487">
        <w:rPr>
          <w:rFonts w:ascii="Palatino Linotype" w:eastAsia="Palatino Linotype" w:hAnsi="Palatino Linotype" w:cs="Palatino Linotype"/>
        </w:rPr>
        <w:t>fu</w:t>
      </w:r>
      <w:r w:rsidR="007A7A00" w:rsidRPr="00137487">
        <w:rPr>
          <w:rFonts w:ascii="Palatino Linotype" w:eastAsia="Palatino Linotype" w:hAnsi="Palatino Linotype" w:cs="Palatino Linotype"/>
        </w:rPr>
        <w:t>e turnado</w:t>
      </w:r>
      <w:r w:rsidR="007F0576" w:rsidRPr="00137487">
        <w:rPr>
          <w:rFonts w:ascii="Palatino Linotype" w:eastAsia="Palatino Linotype" w:hAnsi="Palatino Linotype" w:cs="Palatino Linotype"/>
        </w:rPr>
        <w:t xml:space="preserve"> a la Comisionada Guadalupe Ramírez Peña; </w:t>
      </w:r>
      <w:r w:rsidR="007A7A00" w:rsidRPr="00137487">
        <w:rPr>
          <w:rFonts w:ascii="Palatino Linotype" w:eastAsia="Palatino Linotype" w:hAnsi="Palatino Linotype" w:cs="Palatino Linotype"/>
        </w:rPr>
        <w:t>el recurso</w:t>
      </w:r>
      <w:r w:rsidR="007F0576" w:rsidRPr="00137487">
        <w:rPr>
          <w:rFonts w:ascii="Palatino Linotype" w:eastAsia="Palatino Linotype" w:hAnsi="Palatino Linotype" w:cs="Palatino Linotype"/>
        </w:rPr>
        <w:t xml:space="preserve"> </w:t>
      </w:r>
      <w:r w:rsidR="005A244B" w:rsidRPr="00137487">
        <w:rPr>
          <w:rFonts w:ascii="Palatino Linotype" w:eastAsia="Palatino Linotype" w:hAnsi="Palatino Linotype" w:cs="Palatino Linotype"/>
          <w:b/>
        </w:rPr>
        <w:t>07</w:t>
      </w:r>
      <w:r w:rsidR="008E222B" w:rsidRPr="00137487">
        <w:rPr>
          <w:rFonts w:ascii="Palatino Linotype" w:eastAsia="Palatino Linotype" w:hAnsi="Palatino Linotype" w:cs="Palatino Linotype"/>
          <w:b/>
        </w:rPr>
        <w:t>501</w:t>
      </w:r>
      <w:r w:rsidR="007A7A00" w:rsidRPr="00137487">
        <w:rPr>
          <w:rFonts w:ascii="Palatino Linotype" w:eastAsia="Palatino Linotype" w:hAnsi="Palatino Linotype" w:cs="Palatino Linotype"/>
          <w:b/>
        </w:rPr>
        <w:t xml:space="preserve">/INFOEM/IP/RR/2025 </w:t>
      </w:r>
      <w:r w:rsidR="007A7A00" w:rsidRPr="00137487">
        <w:rPr>
          <w:rFonts w:ascii="Palatino Linotype" w:eastAsia="Palatino Linotype" w:hAnsi="Palatino Linotype" w:cs="Palatino Linotype"/>
        </w:rPr>
        <w:t>fue turnado</w:t>
      </w:r>
      <w:r w:rsidR="007F0576" w:rsidRPr="00137487">
        <w:rPr>
          <w:rFonts w:ascii="Palatino Linotype" w:eastAsia="Palatino Linotype" w:hAnsi="Palatino Linotype" w:cs="Palatino Linotype"/>
          <w:b/>
        </w:rPr>
        <w:t xml:space="preserve"> </w:t>
      </w:r>
      <w:r w:rsidR="005A244B" w:rsidRPr="00137487">
        <w:rPr>
          <w:rFonts w:ascii="Palatino Linotype" w:eastAsia="Palatino Linotype" w:hAnsi="Palatino Linotype" w:cs="Palatino Linotype"/>
        </w:rPr>
        <w:t>al Comisionado</w:t>
      </w:r>
      <w:r w:rsidR="007F0576" w:rsidRPr="00137487">
        <w:rPr>
          <w:rFonts w:ascii="Palatino Linotype" w:eastAsia="Palatino Linotype" w:hAnsi="Palatino Linotype" w:cs="Palatino Linotype"/>
        </w:rPr>
        <w:t xml:space="preserve"> </w:t>
      </w:r>
      <w:r w:rsidR="008E222B" w:rsidRPr="00137487">
        <w:rPr>
          <w:rFonts w:ascii="Palatino Linotype" w:eastAsia="Palatino Linotype" w:hAnsi="Palatino Linotype" w:cs="Palatino Linotype"/>
        </w:rPr>
        <w:t>Luis Gustavo Parra Noriega</w:t>
      </w:r>
      <w:r w:rsidR="007A7A00" w:rsidRPr="00137487">
        <w:rPr>
          <w:rFonts w:ascii="Palatino Linotype" w:eastAsia="Palatino Linotype" w:hAnsi="Palatino Linotype" w:cs="Palatino Linotype"/>
        </w:rPr>
        <w:t xml:space="preserve">. </w:t>
      </w:r>
      <w:r w:rsidR="007F0576" w:rsidRPr="00137487">
        <w:rPr>
          <w:rFonts w:ascii="Palatino Linotype" w:eastAsia="Palatino Linotype" w:hAnsi="Palatino Linotype" w:cs="Palatino Linotype"/>
        </w:rPr>
        <w:t xml:space="preserve"> </w:t>
      </w:r>
    </w:p>
    <w:p w14:paraId="055B76F4" w14:textId="1BDB734B" w:rsidR="004D5666" w:rsidRPr="00137487" w:rsidRDefault="00376B6F" w:rsidP="001E0F0A">
      <w:pPr>
        <w:spacing w:before="240" w:after="240" w:line="360" w:lineRule="auto"/>
        <w:ind w:right="51"/>
        <w:jc w:val="both"/>
        <w:rPr>
          <w:rFonts w:ascii="Palatino Linotype" w:eastAsia="Palatino Linotype" w:hAnsi="Palatino Linotype" w:cs="Palatino Linotype"/>
          <w:b/>
        </w:rPr>
      </w:pPr>
      <w:r w:rsidRPr="00137487">
        <w:rPr>
          <w:rFonts w:ascii="Palatino Linotype" w:eastAsia="Palatino Linotype" w:hAnsi="Palatino Linotype" w:cs="Palatino Linotype"/>
          <w:b/>
        </w:rPr>
        <w:t>5</w:t>
      </w:r>
      <w:r w:rsidR="007F0576" w:rsidRPr="00137487">
        <w:rPr>
          <w:rFonts w:ascii="Palatino Linotype" w:eastAsia="Palatino Linotype" w:hAnsi="Palatino Linotype" w:cs="Palatino Linotype"/>
          <w:b/>
        </w:rPr>
        <w:t xml:space="preserve">. Admisión de los Recursos de Revisión. </w:t>
      </w:r>
      <w:r w:rsidR="007F0576" w:rsidRPr="00137487">
        <w:rPr>
          <w:rFonts w:ascii="Palatino Linotype" w:eastAsia="Palatino Linotype" w:hAnsi="Palatino Linotype" w:cs="Palatino Linotype"/>
        </w:rPr>
        <w:t xml:space="preserve">En fecha </w:t>
      </w:r>
      <w:r w:rsidR="008E222B" w:rsidRPr="00137487">
        <w:rPr>
          <w:rFonts w:ascii="Palatino Linotype" w:eastAsia="Palatino Linotype" w:hAnsi="Palatino Linotype" w:cs="Palatino Linotype"/>
          <w:b/>
        </w:rPr>
        <w:t xml:space="preserve">veinticuatro </w:t>
      </w:r>
      <w:r w:rsidR="005A244B" w:rsidRPr="00137487">
        <w:rPr>
          <w:rFonts w:ascii="Palatino Linotype" w:eastAsia="Palatino Linotype" w:hAnsi="Palatino Linotype" w:cs="Palatino Linotype"/>
          <w:b/>
        </w:rPr>
        <w:t xml:space="preserve">de junio </w:t>
      </w:r>
      <w:r w:rsidR="007A7A00" w:rsidRPr="00137487">
        <w:rPr>
          <w:rFonts w:ascii="Palatino Linotype" w:eastAsia="Palatino Linotype" w:hAnsi="Palatino Linotype" w:cs="Palatino Linotype"/>
          <w:b/>
        </w:rPr>
        <w:t>de dos mil veinticinco</w:t>
      </w:r>
      <w:r w:rsidR="007F0576" w:rsidRPr="00137487">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5A244B" w:rsidRPr="00137487">
        <w:rPr>
          <w:rFonts w:ascii="Palatino Linotype" w:eastAsia="Palatino Linotype" w:hAnsi="Palatino Linotype" w:cs="Palatino Linotype"/>
          <w:b/>
        </w:rPr>
        <w:t>07</w:t>
      </w:r>
      <w:r w:rsidR="008E222B" w:rsidRPr="00137487">
        <w:rPr>
          <w:rFonts w:ascii="Palatino Linotype" w:eastAsia="Palatino Linotype" w:hAnsi="Palatino Linotype" w:cs="Palatino Linotype"/>
          <w:b/>
        </w:rPr>
        <w:t>494</w:t>
      </w:r>
      <w:r w:rsidR="007A7A00" w:rsidRPr="00137487">
        <w:rPr>
          <w:rFonts w:ascii="Palatino Linotype" w:eastAsia="Palatino Linotype" w:hAnsi="Palatino Linotype" w:cs="Palatino Linotype"/>
          <w:b/>
        </w:rPr>
        <w:t>/INFOEM/IP/RR/2025</w:t>
      </w:r>
      <w:r w:rsidR="007F0576" w:rsidRPr="00137487">
        <w:rPr>
          <w:rFonts w:ascii="Palatino Linotype" w:eastAsia="Palatino Linotype" w:hAnsi="Palatino Linotype" w:cs="Palatino Linotype"/>
          <w:b/>
        </w:rPr>
        <w:t xml:space="preserve"> y </w:t>
      </w:r>
      <w:r w:rsidR="005A244B" w:rsidRPr="00137487">
        <w:rPr>
          <w:rFonts w:ascii="Palatino Linotype" w:eastAsia="Palatino Linotype" w:hAnsi="Palatino Linotype" w:cs="Palatino Linotype"/>
          <w:b/>
        </w:rPr>
        <w:t>07</w:t>
      </w:r>
      <w:r w:rsidR="008E222B" w:rsidRPr="00137487">
        <w:rPr>
          <w:rFonts w:ascii="Palatino Linotype" w:eastAsia="Palatino Linotype" w:hAnsi="Palatino Linotype" w:cs="Palatino Linotype"/>
          <w:b/>
        </w:rPr>
        <w:t>501</w:t>
      </w:r>
      <w:r w:rsidR="007A7A00" w:rsidRPr="00137487">
        <w:rPr>
          <w:rFonts w:ascii="Palatino Linotype" w:eastAsia="Palatino Linotype" w:hAnsi="Palatino Linotype" w:cs="Palatino Linotype"/>
          <w:b/>
        </w:rPr>
        <w:t xml:space="preserve">/INFOEM/IP/RR/2025. </w:t>
      </w:r>
    </w:p>
    <w:p w14:paraId="15DC6BBA" w14:textId="14ADB988" w:rsidR="008E222B" w:rsidRPr="00137487" w:rsidRDefault="00376B6F"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6</w:t>
      </w:r>
      <w:r w:rsidR="007F0576" w:rsidRPr="00137487">
        <w:rPr>
          <w:rFonts w:ascii="Palatino Linotype" w:eastAsia="Palatino Linotype" w:hAnsi="Palatino Linotype" w:cs="Palatino Linotype"/>
          <w:b/>
        </w:rPr>
        <w:t>. Manifestaciones.</w:t>
      </w:r>
      <w:r w:rsidR="007F0576" w:rsidRPr="00137487">
        <w:rPr>
          <w:rFonts w:ascii="Palatino Linotype" w:eastAsia="Palatino Linotype" w:hAnsi="Palatino Linotype" w:cs="Palatino Linotype"/>
        </w:rPr>
        <w:t xml:space="preserve"> </w:t>
      </w:r>
      <w:r w:rsidR="007F0576" w:rsidRPr="00137487">
        <w:rPr>
          <w:rFonts w:ascii="Palatino Linotype" w:eastAsia="Palatino Linotype" w:hAnsi="Palatino Linotype" w:cs="Palatino Linotype"/>
          <w:b/>
        </w:rPr>
        <w:t xml:space="preserve">EL SUJETO OBLIGADO </w:t>
      </w:r>
      <w:r w:rsidR="008E222B" w:rsidRPr="00137487">
        <w:rPr>
          <w:rFonts w:ascii="Palatino Linotype" w:eastAsia="Palatino Linotype" w:hAnsi="Palatino Linotype" w:cs="Palatino Linotype"/>
        </w:rPr>
        <w:t>rindió</w:t>
      </w:r>
      <w:r w:rsidR="007F0576" w:rsidRPr="00137487">
        <w:rPr>
          <w:rFonts w:ascii="Palatino Linotype" w:eastAsia="Palatino Linotype" w:hAnsi="Palatino Linotype" w:cs="Palatino Linotype"/>
        </w:rPr>
        <w:t xml:space="preserve"> sus informes justificados</w:t>
      </w:r>
      <w:r w:rsidR="008E222B" w:rsidRPr="00137487">
        <w:rPr>
          <w:rFonts w:ascii="Palatino Linotype" w:eastAsia="Palatino Linotype" w:hAnsi="Palatino Linotype" w:cs="Palatino Linotype"/>
        </w:rPr>
        <w:t>, en fecha tres de julio de dos mil veinticinco, en los siguientes términos:</w:t>
      </w:r>
    </w:p>
    <w:tbl>
      <w:tblPr>
        <w:tblStyle w:val="af0"/>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D34719" w:rsidRPr="00137487" w14:paraId="044C8A76" w14:textId="77777777" w:rsidTr="00F679A5">
        <w:trPr>
          <w:jc w:val="center"/>
        </w:trPr>
        <w:tc>
          <w:tcPr>
            <w:tcW w:w="3125" w:type="dxa"/>
            <w:shd w:val="clear" w:color="auto" w:fill="A6A6A6"/>
          </w:tcPr>
          <w:p w14:paraId="68AB4703" w14:textId="77777777" w:rsidR="008E222B" w:rsidRPr="00137487" w:rsidRDefault="008E222B" w:rsidP="00F679A5">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Número de solicitud</w:t>
            </w:r>
          </w:p>
        </w:tc>
        <w:tc>
          <w:tcPr>
            <w:tcW w:w="6281" w:type="dxa"/>
            <w:shd w:val="clear" w:color="auto" w:fill="A6A6A6"/>
          </w:tcPr>
          <w:p w14:paraId="0DD01F46" w14:textId="77777777" w:rsidR="008E222B" w:rsidRPr="00137487" w:rsidRDefault="008E222B" w:rsidP="00F679A5">
            <w:pPr>
              <w:spacing w:before="240" w:after="240" w:line="360" w:lineRule="auto"/>
              <w:jc w:val="center"/>
              <w:rPr>
                <w:rFonts w:ascii="Palatino Linotype" w:eastAsia="Palatino Linotype" w:hAnsi="Palatino Linotype" w:cs="Palatino Linotype"/>
                <w:b/>
              </w:rPr>
            </w:pPr>
            <w:r w:rsidRPr="00137487">
              <w:rPr>
                <w:rFonts w:ascii="Palatino Linotype" w:eastAsia="Palatino Linotype" w:hAnsi="Palatino Linotype" w:cs="Palatino Linotype"/>
                <w:b/>
              </w:rPr>
              <w:t>Respuesta</w:t>
            </w:r>
          </w:p>
        </w:tc>
      </w:tr>
      <w:tr w:rsidR="00D34719" w:rsidRPr="00137487" w14:paraId="7C94F304" w14:textId="77777777" w:rsidTr="00F679A5">
        <w:trPr>
          <w:jc w:val="center"/>
        </w:trPr>
        <w:tc>
          <w:tcPr>
            <w:tcW w:w="3125" w:type="dxa"/>
            <w:vAlign w:val="center"/>
          </w:tcPr>
          <w:p w14:paraId="07689608" w14:textId="77777777" w:rsidR="008E222B" w:rsidRPr="00137487" w:rsidRDefault="008E222B" w:rsidP="00F679A5">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03143/TOLUCA/IP/2025</w:t>
            </w:r>
          </w:p>
          <w:p w14:paraId="5250571E" w14:textId="77777777" w:rsidR="008E222B" w:rsidRPr="00137487" w:rsidRDefault="008E222B" w:rsidP="00F679A5">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t>07494/INFOEM/IP/RR/2025</w:t>
            </w:r>
          </w:p>
        </w:tc>
        <w:tc>
          <w:tcPr>
            <w:tcW w:w="6281" w:type="dxa"/>
          </w:tcPr>
          <w:p w14:paraId="30C34A18" w14:textId="77777777" w:rsidR="008E222B" w:rsidRPr="00137487" w:rsidRDefault="008E222B" w:rsidP="008E222B">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i/>
              </w:rPr>
              <w:t xml:space="preserve">- MANIFESTACIONES 7494.pdf. </w:t>
            </w:r>
            <w:r w:rsidRPr="00137487">
              <w:rPr>
                <w:rFonts w:ascii="Palatino Linotype" w:eastAsia="Palatino Linotype" w:hAnsi="Palatino Linotype" w:cs="Palatino Linotype"/>
              </w:rPr>
              <w:t>Oficio número 209010000/3215/2025, signado por el Director General de Innovación, Planeación y Gestión Urbana, a través del cual refiere que se realizó nuevamente una búsqueda exhaustiva y razonable de la información objeto de la solicitud en archivos, bases de datos e información digital que se encuentran bajo resguardo y custodia de esta Dirección General a mi cargo, búsqueda en la que localizó información relativa a la petición, misma que se adjunta en formato PDF.</w:t>
            </w:r>
            <w:r w:rsidRPr="00137487">
              <w:rPr>
                <w:rFonts w:ascii="Palatino Linotype" w:eastAsia="Palatino Linotype" w:hAnsi="Palatino Linotype" w:cs="Palatino Linotype"/>
              </w:rPr>
              <w:cr/>
            </w:r>
          </w:p>
          <w:p w14:paraId="3BB72861" w14:textId="5437AF7C" w:rsidR="008E222B" w:rsidRPr="00137487" w:rsidRDefault="008E222B" w:rsidP="008E222B">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lastRenderedPageBreak/>
              <w:t xml:space="preserve">- </w:t>
            </w:r>
            <w:r w:rsidRPr="00137487">
              <w:rPr>
                <w:rFonts w:ascii="Palatino Linotype" w:eastAsia="Palatino Linotype" w:hAnsi="Palatino Linotype" w:cs="Palatino Linotype"/>
                <w:b/>
                <w:i/>
              </w:rPr>
              <w:t xml:space="preserve">ANEXO RR 7494.pdf. </w:t>
            </w:r>
            <w:r w:rsidRPr="00137487">
              <w:rPr>
                <w:rFonts w:ascii="Palatino Linotype" w:eastAsia="Palatino Linotype" w:hAnsi="Palatino Linotype" w:cs="Palatino Linotype"/>
              </w:rPr>
              <w:t xml:space="preserve">Adjunta diversas prórrogas a licencias de construcción y constancias de terminación de obra, emitidas en el año 2022, en versión pública, sin el acuerdo del Comité. </w:t>
            </w:r>
          </w:p>
        </w:tc>
      </w:tr>
      <w:tr w:rsidR="00D34719" w:rsidRPr="00137487" w14:paraId="0DE365AA" w14:textId="77777777" w:rsidTr="00F679A5">
        <w:trPr>
          <w:jc w:val="center"/>
        </w:trPr>
        <w:tc>
          <w:tcPr>
            <w:tcW w:w="3125" w:type="dxa"/>
            <w:vAlign w:val="center"/>
          </w:tcPr>
          <w:p w14:paraId="06F1782F" w14:textId="7CCB7C05" w:rsidR="00EA49DD" w:rsidRPr="00137487" w:rsidRDefault="00EA49DD" w:rsidP="00EA49DD">
            <w:pPr>
              <w:spacing w:before="240" w:after="240" w:line="360" w:lineRule="auto"/>
              <w:jc w:val="center"/>
              <w:rPr>
                <w:rFonts w:ascii="Palatino Linotype" w:eastAsia="Palatino Linotype" w:hAnsi="Palatino Linotype" w:cs="Palatino Linotype"/>
                <w:b/>
                <w:lang w:val="en-US"/>
              </w:rPr>
            </w:pPr>
            <w:r w:rsidRPr="00137487">
              <w:rPr>
                <w:rFonts w:ascii="Palatino Linotype" w:eastAsia="Palatino Linotype" w:hAnsi="Palatino Linotype" w:cs="Palatino Linotype"/>
                <w:b/>
                <w:lang w:val="en-US"/>
              </w:rPr>
              <w:lastRenderedPageBreak/>
              <w:t>03142/TOLUCA/IP/2025</w:t>
            </w:r>
          </w:p>
          <w:p w14:paraId="0962BBFE" w14:textId="2CBBB885" w:rsidR="00EA49DD" w:rsidRPr="00137487" w:rsidRDefault="00EA49DD" w:rsidP="00EA49DD">
            <w:pPr>
              <w:spacing w:before="240" w:after="240" w:line="360" w:lineRule="auto"/>
              <w:jc w:val="center"/>
              <w:rPr>
                <w:rFonts w:ascii="Palatino Linotype" w:eastAsia="Palatino Linotype" w:hAnsi="Palatino Linotype" w:cs="Palatino Linotype"/>
                <w:b/>
                <w:i/>
                <w:lang w:val="en-US"/>
              </w:rPr>
            </w:pPr>
            <w:r w:rsidRPr="00137487">
              <w:rPr>
                <w:rFonts w:ascii="Palatino Linotype" w:eastAsia="Palatino Linotype" w:hAnsi="Palatino Linotype" w:cs="Palatino Linotype"/>
                <w:b/>
                <w:lang w:val="en-US"/>
              </w:rPr>
              <w:t>07501/INFOEM/IP/RR/2025</w:t>
            </w:r>
          </w:p>
        </w:tc>
        <w:tc>
          <w:tcPr>
            <w:tcW w:w="6281" w:type="dxa"/>
          </w:tcPr>
          <w:p w14:paraId="06FD0110" w14:textId="77777777" w:rsidR="00EA49DD" w:rsidRPr="00137487" w:rsidRDefault="00EA49DD" w:rsidP="00EA49DD">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i/>
              </w:rPr>
              <w:t xml:space="preserve">- </w:t>
            </w:r>
            <w:r w:rsidRPr="00137487">
              <w:rPr>
                <w:rFonts w:ascii="Palatino Linotype" w:eastAsia="Palatino Linotype" w:hAnsi="Palatino Linotype" w:cs="Palatino Linotype"/>
                <w:b/>
                <w:i/>
              </w:rPr>
              <w:tab/>
              <w:t xml:space="preserve">ANEXOS 07501-2025.pdf. </w:t>
            </w:r>
            <w:r w:rsidRPr="00137487">
              <w:rPr>
                <w:rFonts w:ascii="Palatino Linotype" w:eastAsia="Palatino Linotype" w:hAnsi="Palatino Linotype" w:cs="Palatino Linotype"/>
              </w:rPr>
              <w:t>Oficio número 209010000/3218/2025, signado por el Director General de Innovación, Planeación y Gestión Urbana, a través del cual refiere que se realizó nuevamente una búsqueda exhaustiva y razonable de la información objeto de la solicitud en archivos, bases de datos e información digital que se encuentran bajo resguardo y custodia de esta Dirección General a mi cargo, búsqueda en la que localizó información relativa a la petición, misma que se adjunta en formato PDF.</w:t>
            </w:r>
            <w:r w:rsidRPr="00137487">
              <w:rPr>
                <w:rFonts w:ascii="Palatino Linotype" w:eastAsia="Palatino Linotype" w:hAnsi="Palatino Linotype" w:cs="Palatino Linotype"/>
              </w:rPr>
              <w:cr/>
            </w:r>
          </w:p>
          <w:p w14:paraId="37C7FA8B" w14:textId="2F2DB171" w:rsidR="00EA49DD" w:rsidRPr="00137487" w:rsidRDefault="00EA49DD" w:rsidP="00EA49DD">
            <w:pPr>
              <w:spacing w:before="240" w:after="240" w:line="276"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 </w:t>
            </w:r>
            <w:r w:rsidRPr="00137487">
              <w:rPr>
                <w:rFonts w:ascii="Palatino Linotype" w:eastAsia="Palatino Linotype" w:hAnsi="Palatino Linotype" w:cs="Palatino Linotype"/>
                <w:b/>
                <w:i/>
              </w:rPr>
              <w:tab/>
              <w:t xml:space="preserve">ANEXO RR 7501.pdf. </w:t>
            </w:r>
            <w:r w:rsidRPr="00137487">
              <w:rPr>
                <w:rFonts w:ascii="Palatino Linotype" w:eastAsia="Palatino Linotype" w:hAnsi="Palatino Linotype" w:cs="Palatino Linotype"/>
              </w:rPr>
              <w:t xml:space="preserve">Adjunta diversas prórrogas y licencias de construcción, emitidas en el año 2021, en versión pública, sin el acuerdo del Comité. </w:t>
            </w:r>
          </w:p>
        </w:tc>
      </w:tr>
    </w:tbl>
    <w:p w14:paraId="5F4D676E" w14:textId="37432774" w:rsidR="005A244B" w:rsidRPr="00137487" w:rsidRDefault="008E222B" w:rsidP="008E222B">
      <w:pPr>
        <w:spacing w:before="240" w:after="240" w:line="360" w:lineRule="auto"/>
        <w:jc w:val="both"/>
        <w:rPr>
          <w:rFonts w:ascii="Palatino Linotype" w:eastAsia="Palatino Linotype" w:hAnsi="Palatino Linotype" w:cs="Palatino Linotype"/>
          <w:b/>
        </w:rPr>
      </w:pPr>
      <w:r w:rsidRPr="00137487">
        <w:rPr>
          <w:rFonts w:ascii="Palatino Linotype" w:eastAsia="Palatino Linotype" w:hAnsi="Palatino Linotype" w:cs="Palatino Linotype"/>
        </w:rPr>
        <w:t>Dichos documentos se pusieron a la vista del particular</w:t>
      </w:r>
      <w:r w:rsidR="006D182B" w:rsidRPr="00137487">
        <w:rPr>
          <w:rFonts w:ascii="Palatino Linotype" w:eastAsia="Palatino Linotype" w:hAnsi="Palatino Linotype" w:cs="Palatino Linotype"/>
        </w:rPr>
        <w:t xml:space="preserve"> el veintiuno de agosto de dos mil veinticinco</w:t>
      </w:r>
      <w:r w:rsidRPr="00137487">
        <w:rPr>
          <w:rFonts w:ascii="Palatino Linotype" w:eastAsia="Palatino Linotype" w:hAnsi="Palatino Linotype" w:cs="Palatino Linotype"/>
        </w:rPr>
        <w:t xml:space="preserve">, sin embargo, </w:t>
      </w:r>
      <w:r w:rsidR="007F0576" w:rsidRPr="00137487">
        <w:rPr>
          <w:rFonts w:ascii="Palatino Linotype" w:eastAsia="Palatino Linotype" w:hAnsi="Palatino Linotype" w:cs="Palatino Linotype"/>
        </w:rPr>
        <w:t xml:space="preserve">la parte </w:t>
      </w:r>
      <w:r w:rsidR="007F0576" w:rsidRPr="00137487">
        <w:rPr>
          <w:rFonts w:ascii="Palatino Linotype" w:eastAsia="Palatino Linotype" w:hAnsi="Palatino Linotype" w:cs="Palatino Linotype"/>
          <w:b/>
        </w:rPr>
        <w:t>Recurrente</w:t>
      </w:r>
      <w:r w:rsidR="007F0576" w:rsidRPr="00137487">
        <w:rPr>
          <w:rFonts w:ascii="Palatino Linotype" w:eastAsia="Palatino Linotype" w:hAnsi="Palatino Linotype" w:cs="Palatino Linotype"/>
        </w:rPr>
        <w:t xml:space="preserve"> fue omisa en </w:t>
      </w:r>
      <w:r w:rsidR="005A244B" w:rsidRPr="00137487">
        <w:rPr>
          <w:rFonts w:ascii="Palatino Linotype" w:eastAsia="Palatino Linotype" w:hAnsi="Palatino Linotype" w:cs="Palatino Linotype"/>
        </w:rPr>
        <w:t>emitir manifestaciones</w:t>
      </w:r>
      <w:r w:rsidRPr="00137487">
        <w:rPr>
          <w:rFonts w:ascii="Palatino Linotype" w:eastAsia="Palatino Linotype" w:hAnsi="Palatino Linotype" w:cs="Palatino Linotype"/>
        </w:rPr>
        <w:t xml:space="preserve">. </w:t>
      </w:r>
    </w:p>
    <w:p w14:paraId="19792B97" w14:textId="35F40E84" w:rsidR="004D5666" w:rsidRPr="00137487" w:rsidRDefault="00376B6F"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7</w:t>
      </w:r>
      <w:r w:rsidR="007F0576" w:rsidRPr="00137487">
        <w:rPr>
          <w:rFonts w:ascii="Palatino Linotype" w:eastAsia="Palatino Linotype" w:hAnsi="Palatino Linotype" w:cs="Palatino Linotype"/>
          <w:b/>
        </w:rPr>
        <w:t xml:space="preserve">. Acumulación de los recursos de revisión. </w:t>
      </w:r>
      <w:r w:rsidR="007F0576" w:rsidRPr="00137487">
        <w:rPr>
          <w:rFonts w:ascii="Palatino Linotype" w:eastAsia="Palatino Linotype" w:hAnsi="Palatino Linotype" w:cs="Palatino Linotype"/>
        </w:rPr>
        <w:t xml:space="preserve">Al respecto cabe señalar, que el Pleno de este Instituto, </w:t>
      </w:r>
      <w:r w:rsidR="005A244B" w:rsidRPr="00137487">
        <w:rPr>
          <w:rFonts w:ascii="Palatino Linotype" w:eastAsia="Palatino Linotype" w:hAnsi="Palatino Linotype" w:cs="Palatino Linotype"/>
        </w:rPr>
        <w:t xml:space="preserve">mediante Acuerdo de fecha </w:t>
      </w:r>
      <w:r w:rsidR="008E222B" w:rsidRPr="00137487">
        <w:rPr>
          <w:rFonts w:ascii="Palatino Linotype" w:eastAsia="Palatino Linotype" w:hAnsi="Palatino Linotype" w:cs="Palatino Linotype"/>
          <w:b/>
        </w:rPr>
        <w:t>tres de julio</w:t>
      </w:r>
      <w:r w:rsidR="005A244B" w:rsidRPr="00137487">
        <w:rPr>
          <w:rFonts w:ascii="Palatino Linotype" w:eastAsia="Palatino Linotype" w:hAnsi="Palatino Linotype" w:cs="Palatino Linotype"/>
          <w:b/>
        </w:rPr>
        <w:t xml:space="preserve"> </w:t>
      </w:r>
      <w:r w:rsidR="007F0576" w:rsidRPr="00137487">
        <w:rPr>
          <w:rFonts w:ascii="Palatino Linotype" w:eastAsia="Palatino Linotype" w:hAnsi="Palatino Linotype" w:cs="Palatino Linotype"/>
          <w:b/>
        </w:rPr>
        <w:t xml:space="preserve">dos mil </w:t>
      </w:r>
      <w:r w:rsidRPr="00137487">
        <w:rPr>
          <w:rFonts w:ascii="Palatino Linotype" w:eastAsia="Palatino Linotype" w:hAnsi="Palatino Linotype" w:cs="Palatino Linotype"/>
          <w:b/>
        </w:rPr>
        <w:t>veinticinco</w:t>
      </w:r>
      <w:r w:rsidR="007F0576" w:rsidRPr="00137487">
        <w:rPr>
          <w:rFonts w:ascii="Palatino Linotype" w:eastAsia="Palatino Linotype" w:hAnsi="Palatino Linotype" w:cs="Palatino Linotype"/>
          <w:b/>
        </w:rPr>
        <w:t>,</w:t>
      </w:r>
      <w:r w:rsidR="007F0576" w:rsidRPr="00137487">
        <w:rPr>
          <w:rFonts w:ascii="Palatino Linotype" w:eastAsia="Palatino Linotype" w:hAnsi="Palatino Linotype" w:cs="Palatino Linotype"/>
        </w:rPr>
        <w:t xml:space="preserve"> ordenó la acumulación de los expedientes citados, a efecto de que la </w:t>
      </w:r>
      <w:r w:rsidR="007F0576" w:rsidRPr="00137487">
        <w:rPr>
          <w:rFonts w:ascii="Palatino Linotype" w:eastAsia="Palatino Linotype" w:hAnsi="Palatino Linotype" w:cs="Palatino Linotype"/>
          <w:b/>
        </w:rPr>
        <w:t xml:space="preserve">Comisionada Guadalupe Ramírez Peña </w:t>
      </w:r>
      <w:r w:rsidR="007F0576" w:rsidRPr="00137487">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27EF090" w14:textId="77777777" w:rsidR="004D5666" w:rsidRPr="00137487"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37487">
        <w:rPr>
          <w:rFonts w:ascii="Palatino Linotype" w:eastAsia="Palatino Linotype" w:hAnsi="Palatino Linotype" w:cs="Palatino Linotype"/>
          <w:b/>
          <w:i/>
        </w:rPr>
        <w:t>Código de Procedimientos Administrativos del Estado de México</w:t>
      </w:r>
    </w:p>
    <w:p w14:paraId="1ADFA858" w14:textId="77777777" w:rsidR="004D5666" w:rsidRPr="00137487"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37487">
        <w:rPr>
          <w:rFonts w:ascii="Palatino Linotype" w:eastAsia="Palatino Linotype" w:hAnsi="Palatino Linotype" w:cs="Palatino Linotype"/>
          <w:b/>
          <w:i/>
        </w:rPr>
        <w:lastRenderedPageBreak/>
        <w:t>“Artículo 18.-</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137487">
        <w:rPr>
          <w:rFonts w:ascii="Palatino Linotype" w:eastAsia="Palatino Linotype" w:hAnsi="Palatino Linotype" w:cs="Palatino Linotype"/>
          <w:i/>
        </w:rPr>
        <w:t xml:space="preserve"> o a petición de parte, </w:t>
      </w:r>
      <w:r w:rsidRPr="00137487">
        <w:rPr>
          <w:rFonts w:ascii="Palatino Linotype" w:eastAsia="Palatino Linotype" w:hAnsi="Palatino Linotype" w:cs="Palatino Linotype"/>
          <w:b/>
          <w:i/>
        </w:rPr>
        <w:t>cuando las partes</w:t>
      </w:r>
      <w:r w:rsidRPr="00137487">
        <w:rPr>
          <w:rFonts w:ascii="Palatino Linotype" w:eastAsia="Palatino Linotype" w:hAnsi="Palatino Linotype" w:cs="Palatino Linotype"/>
          <w:i/>
        </w:rPr>
        <w:t xml:space="preserve"> o los actos administrativos sean iguales, se trate de actos conexos o </w:t>
      </w:r>
      <w:r w:rsidRPr="00137487">
        <w:rPr>
          <w:rFonts w:ascii="Palatino Linotype" w:eastAsia="Palatino Linotype" w:hAnsi="Palatino Linotype" w:cs="Palatino Linotype"/>
          <w:b/>
          <w:i/>
        </w:rPr>
        <w:t>resulte conveniente el trámite unificado de los asuntos, para evitar la emisión de resoluciones contradictorias</w:t>
      </w:r>
      <w:r w:rsidRPr="00137487">
        <w:rPr>
          <w:rFonts w:ascii="Palatino Linotype" w:eastAsia="Palatino Linotype" w:hAnsi="Palatino Linotype" w:cs="Palatino Linotype"/>
          <w:i/>
        </w:rPr>
        <w:t>. La misma regla se aplicará, en lo conducente, para la separación de los expedientes.”</w:t>
      </w:r>
    </w:p>
    <w:p w14:paraId="1149FE41" w14:textId="77777777" w:rsidR="004D5666" w:rsidRPr="00137487"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37487">
        <w:rPr>
          <w:rFonts w:ascii="Palatino Linotype" w:eastAsia="Palatino Linotype" w:hAnsi="Palatino Linotype" w:cs="Palatino Linotype"/>
          <w:b/>
          <w:i/>
        </w:rPr>
        <w:t>Ley de Transparencia y Acceso a la Información Pública del Estado de México y Municipios</w:t>
      </w:r>
    </w:p>
    <w:p w14:paraId="5EABC5A0" w14:textId="77777777" w:rsidR="004D5666" w:rsidRPr="00137487"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37487">
        <w:rPr>
          <w:rFonts w:ascii="Palatino Linotype" w:eastAsia="Palatino Linotype" w:hAnsi="Palatino Linotype" w:cs="Palatino Linotype"/>
          <w:b/>
          <w:i/>
        </w:rPr>
        <w:t>“Artículo 195.-</w:t>
      </w:r>
      <w:r w:rsidRPr="00137487">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F5887B9" w14:textId="77777777" w:rsidR="004D5666" w:rsidRPr="00137487" w:rsidRDefault="007F0576" w:rsidP="001E0F0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xml:space="preserve"> ante el mismo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7E16F4FB" w14:textId="778550F7" w:rsidR="008E222B" w:rsidRPr="00137487" w:rsidRDefault="008E222B" w:rsidP="008E222B">
      <w:pPr>
        <w:spacing w:before="240" w:after="240" w:line="360" w:lineRule="auto"/>
        <w:jc w:val="both"/>
        <w:rPr>
          <w:rFonts w:ascii="Palatino Linotype" w:eastAsia="Palatino Linotype" w:hAnsi="Palatino Linotype" w:cs="Palatino Linotype"/>
          <w:b/>
        </w:rPr>
      </w:pPr>
      <w:r w:rsidRPr="00137487">
        <w:rPr>
          <w:rFonts w:ascii="Palatino Linotype" w:eastAsia="Palatino Linotype" w:hAnsi="Palatino Linotype" w:cs="Palatino Linotype"/>
        </w:rPr>
        <w:t xml:space="preserve">8. </w:t>
      </w:r>
      <w:r w:rsidRPr="00137487">
        <w:rPr>
          <w:rFonts w:ascii="Palatino Linotype" w:eastAsia="Palatino Linotype" w:hAnsi="Palatino Linotype" w:cs="Palatino Linotype"/>
          <w:b/>
        </w:rPr>
        <w:t>Ampliación del término para resolver</w:t>
      </w:r>
      <w:r w:rsidRPr="00137487">
        <w:rPr>
          <w:rFonts w:ascii="Palatino Linotype" w:eastAsia="Palatino Linotype" w:hAnsi="Palatino Linotype" w:cs="Palatino Linotype"/>
        </w:rPr>
        <w:t xml:space="preserve">. El </w:t>
      </w:r>
      <w:r w:rsidRPr="00137487">
        <w:rPr>
          <w:rFonts w:ascii="Palatino Linotype" w:eastAsia="Palatino Linotype" w:hAnsi="Palatino Linotype" w:cs="Palatino Linotype"/>
          <w:b/>
        </w:rPr>
        <w:t>veint</w:t>
      </w:r>
      <w:r w:rsidR="006D182B" w:rsidRPr="00137487">
        <w:rPr>
          <w:rFonts w:ascii="Palatino Linotype" w:eastAsia="Palatino Linotype" w:hAnsi="Palatino Linotype" w:cs="Palatino Linotype"/>
          <w:b/>
        </w:rPr>
        <w:t>iuno</w:t>
      </w:r>
      <w:r w:rsidRPr="00137487">
        <w:rPr>
          <w:rFonts w:ascii="Palatino Linotype" w:eastAsia="Palatino Linotype" w:hAnsi="Palatino Linotype" w:cs="Palatino Linotype"/>
          <w:b/>
        </w:rPr>
        <w:t xml:space="preserve"> de agosto de dos mil veinticinco</w:t>
      </w:r>
      <w:r w:rsidRPr="0013748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D751EEF" w14:textId="0AE99195" w:rsidR="004D5666" w:rsidRPr="00137487" w:rsidRDefault="008E222B" w:rsidP="001E0F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9</w:t>
      </w:r>
      <w:r w:rsidR="007F0576" w:rsidRPr="00137487">
        <w:rPr>
          <w:rFonts w:ascii="Palatino Linotype" w:eastAsia="Palatino Linotype" w:hAnsi="Palatino Linotype" w:cs="Palatino Linotype"/>
          <w:b/>
        </w:rPr>
        <w:t>. Cierre de instrucción</w:t>
      </w:r>
      <w:r w:rsidR="007F0576" w:rsidRPr="00137487">
        <w:rPr>
          <w:rFonts w:ascii="Palatino Linotype" w:eastAsia="Palatino Linotype" w:hAnsi="Palatino Linotype" w:cs="Palatino Linotype"/>
        </w:rPr>
        <w:t xml:space="preserve">. En fecha </w:t>
      </w:r>
      <w:r w:rsidRPr="00137487">
        <w:rPr>
          <w:rFonts w:ascii="Palatino Linotype" w:eastAsia="Palatino Linotype" w:hAnsi="Palatino Linotype" w:cs="Palatino Linotype"/>
          <w:b/>
        </w:rPr>
        <w:t>veinti</w:t>
      </w:r>
      <w:r w:rsidR="006D182B" w:rsidRPr="00137487">
        <w:rPr>
          <w:rFonts w:ascii="Palatino Linotype" w:eastAsia="Palatino Linotype" w:hAnsi="Palatino Linotype" w:cs="Palatino Linotype"/>
          <w:b/>
        </w:rPr>
        <w:t>siete</w:t>
      </w:r>
      <w:r w:rsidRPr="00137487">
        <w:rPr>
          <w:rFonts w:ascii="Palatino Linotype" w:eastAsia="Palatino Linotype" w:hAnsi="Palatino Linotype" w:cs="Palatino Linotype"/>
          <w:b/>
        </w:rPr>
        <w:t xml:space="preserve"> </w:t>
      </w:r>
      <w:r w:rsidR="002E678C" w:rsidRPr="00137487">
        <w:rPr>
          <w:rFonts w:ascii="Palatino Linotype" w:eastAsia="Palatino Linotype" w:hAnsi="Palatino Linotype" w:cs="Palatino Linotype"/>
          <w:b/>
        </w:rPr>
        <w:t>de agosto</w:t>
      </w:r>
      <w:r w:rsidR="00376B6F" w:rsidRPr="00137487">
        <w:rPr>
          <w:rFonts w:ascii="Palatino Linotype" w:eastAsia="Palatino Linotype" w:hAnsi="Palatino Linotype" w:cs="Palatino Linotype"/>
          <w:b/>
        </w:rPr>
        <w:t xml:space="preserve"> de dos mil veinticinco</w:t>
      </w:r>
      <w:r w:rsidR="007F0576" w:rsidRPr="0013748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476194F" w14:textId="77777777" w:rsidR="006D182B" w:rsidRPr="00137487" w:rsidRDefault="006D182B" w:rsidP="001E0F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2B5387A9" w14:textId="77777777" w:rsidR="004D5666" w:rsidRPr="00137487" w:rsidRDefault="007F0576" w:rsidP="001E0F0A">
      <w:pPr>
        <w:spacing w:before="240" w:after="240" w:line="360" w:lineRule="auto"/>
        <w:ind w:right="49"/>
        <w:jc w:val="center"/>
        <w:rPr>
          <w:rFonts w:ascii="Palatino Linotype" w:eastAsia="Palatino Linotype" w:hAnsi="Palatino Linotype" w:cs="Palatino Linotype"/>
          <w:b/>
        </w:rPr>
      </w:pPr>
      <w:r w:rsidRPr="00137487">
        <w:rPr>
          <w:rFonts w:ascii="Palatino Linotype" w:eastAsia="Palatino Linotype" w:hAnsi="Palatino Linotype" w:cs="Palatino Linotype"/>
          <w:b/>
        </w:rPr>
        <w:lastRenderedPageBreak/>
        <w:t>II.</w:t>
      </w:r>
      <w:r w:rsidRPr="00137487">
        <w:rPr>
          <w:rFonts w:ascii="Palatino Linotype" w:eastAsia="Palatino Linotype" w:hAnsi="Palatino Linotype" w:cs="Palatino Linotype"/>
          <w:b/>
        </w:rPr>
        <w:tab/>
        <w:t>C O N S I D E R A N D O:</w:t>
      </w:r>
    </w:p>
    <w:p w14:paraId="094FB994" w14:textId="6BFFE81F" w:rsidR="00376B6F" w:rsidRPr="00137487" w:rsidRDefault="007F0576"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 xml:space="preserve">Primero. Competencia. </w:t>
      </w:r>
      <w:r w:rsidR="00376B6F" w:rsidRPr="0013748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25B0A" w:rsidRPr="00137487">
        <w:rPr>
          <w:rFonts w:ascii="Palatino Linotype" w:hAnsi="Palatino Linotype"/>
        </w:rPr>
        <w:t xml:space="preserve">5 párrafos trigésimo noveno, cuadragésimo y cuadragésimo primero fracciones IV y V de la Constitución Política del Estado Libre y Soberano de México; </w:t>
      </w:r>
      <w:r w:rsidR="00376B6F" w:rsidRPr="00137487">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w:t>
      </w:r>
      <w:r w:rsidR="00C625C4" w:rsidRPr="00137487">
        <w:rPr>
          <w:rFonts w:ascii="Palatino Linotype" w:eastAsia="Palatino Linotype" w:hAnsi="Palatino Linotype" w:cs="Palatino Linotype"/>
        </w:rPr>
        <w:t xml:space="preserve">, </w:t>
      </w:r>
      <w:r w:rsidR="00376B6F" w:rsidRPr="00137487">
        <w:rPr>
          <w:rFonts w:ascii="Palatino Linotype" w:eastAsia="Palatino Linotype" w:hAnsi="Palatino Linotype" w:cs="Palatino Linotype"/>
        </w:rPr>
        <w:t>XXIII</w:t>
      </w:r>
      <w:r w:rsidR="00C625C4" w:rsidRPr="00137487">
        <w:rPr>
          <w:rFonts w:ascii="Palatino Linotype" w:eastAsia="Palatino Linotype" w:hAnsi="Palatino Linotype" w:cs="Palatino Linotype"/>
        </w:rPr>
        <w:t>, XXIV</w:t>
      </w:r>
      <w:r w:rsidR="00376B6F" w:rsidRPr="0013748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67D5862" w14:textId="77777777" w:rsidR="004D5666" w:rsidRPr="00137487" w:rsidRDefault="007F0576"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Segundo. Oportunidad y Procedibilidad del Recurso de Revisión.</w:t>
      </w:r>
      <w:r w:rsidRPr="00137487">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1B49406" w14:textId="77777777" w:rsidR="004D5666" w:rsidRPr="00137487" w:rsidRDefault="007F0576" w:rsidP="001E0F0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remitió las respuestas a las solicitudes de información y los recursos de revisión fueron interpuestos por la parte </w:t>
      </w:r>
      <w:r w:rsidRPr="00137487">
        <w:rPr>
          <w:rFonts w:ascii="Palatino Linotype" w:eastAsia="Palatino Linotype" w:hAnsi="Palatino Linotype" w:cs="Palatino Linotype"/>
          <w:b/>
        </w:rPr>
        <w:t xml:space="preserve">RECURRENTE </w:t>
      </w:r>
      <w:r w:rsidRPr="00137487">
        <w:rPr>
          <w:rFonts w:ascii="Palatino Linotype" w:eastAsia="Palatino Linotype" w:hAnsi="Palatino Linotype" w:cs="Palatino Linotype"/>
        </w:rPr>
        <w:t>en los siguientes días:</w:t>
      </w:r>
    </w:p>
    <w:p w14:paraId="2CA4307C" w14:textId="5E65AD19" w:rsidR="004D5666" w:rsidRPr="00137487" w:rsidRDefault="007F0576" w:rsidP="001E0F0A">
      <w:pPr>
        <w:numPr>
          <w:ilvl w:val="0"/>
          <w:numId w:val="8"/>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El Sujeto Obligado emitió respuestas el </w:t>
      </w:r>
      <w:r w:rsidR="00EA49DD" w:rsidRPr="00137487">
        <w:rPr>
          <w:rFonts w:ascii="Palatino Linotype" w:eastAsia="Palatino Linotype" w:hAnsi="Palatino Linotype" w:cs="Palatino Linotype"/>
          <w:b/>
        </w:rPr>
        <w:t>diecinueve</w:t>
      </w:r>
      <w:r w:rsidR="00825B0A" w:rsidRPr="00137487">
        <w:rPr>
          <w:rFonts w:ascii="Palatino Linotype" w:eastAsia="Palatino Linotype" w:hAnsi="Palatino Linotype" w:cs="Palatino Linotype"/>
          <w:b/>
        </w:rPr>
        <w:t xml:space="preserve"> de junio</w:t>
      </w:r>
      <w:r w:rsidR="00376B6F" w:rsidRPr="00137487">
        <w:rPr>
          <w:rFonts w:ascii="Palatino Linotype" w:eastAsia="Palatino Linotype" w:hAnsi="Palatino Linotype" w:cs="Palatino Linotype"/>
          <w:b/>
        </w:rPr>
        <w:t xml:space="preserve"> de dos mil veinticinco</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y la parte Recurrente interpuso su</w:t>
      </w:r>
      <w:r w:rsidR="004325BA" w:rsidRPr="00137487">
        <w:rPr>
          <w:rFonts w:ascii="Palatino Linotype" w:eastAsia="Palatino Linotype" w:hAnsi="Palatino Linotype" w:cs="Palatino Linotype"/>
        </w:rPr>
        <w:t>s</w:t>
      </w:r>
      <w:r w:rsidRPr="00137487">
        <w:rPr>
          <w:rFonts w:ascii="Palatino Linotype" w:eastAsia="Palatino Linotype" w:hAnsi="Palatino Linotype" w:cs="Palatino Linotype"/>
        </w:rPr>
        <w:t xml:space="preserve"> recurso</w:t>
      </w:r>
      <w:r w:rsidR="004325BA" w:rsidRPr="00137487">
        <w:rPr>
          <w:rFonts w:ascii="Palatino Linotype" w:eastAsia="Palatino Linotype" w:hAnsi="Palatino Linotype" w:cs="Palatino Linotype"/>
        </w:rPr>
        <w:t>s</w:t>
      </w:r>
      <w:r w:rsidRPr="00137487">
        <w:rPr>
          <w:rFonts w:ascii="Palatino Linotype" w:eastAsia="Palatino Linotype" w:hAnsi="Palatino Linotype" w:cs="Palatino Linotype"/>
        </w:rPr>
        <w:t xml:space="preserve"> de revisión el </w:t>
      </w:r>
      <w:r w:rsidR="00EA49DD" w:rsidRPr="00137487">
        <w:rPr>
          <w:rFonts w:ascii="Palatino Linotype" w:eastAsia="Palatino Linotype" w:hAnsi="Palatino Linotype" w:cs="Palatino Linotype"/>
          <w:b/>
        </w:rPr>
        <w:t>diecinueve</w:t>
      </w:r>
      <w:r w:rsidR="00825B0A" w:rsidRPr="00137487">
        <w:rPr>
          <w:rFonts w:ascii="Palatino Linotype" w:eastAsia="Palatino Linotype" w:hAnsi="Palatino Linotype" w:cs="Palatino Linotype"/>
          <w:b/>
        </w:rPr>
        <w:t xml:space="preserve"> de junio </w:t>
      </w:r>
      <w:r w:rsidR="00376B6F" w:rsidRPr="00137487">
        <w:rPr>
          <w:rFonts w:ascii="Palatino Linotype" w:eastAsia="Palatino Linotype" w:hAnsi="Palatino Linotype" w:cs="Palatino Linotype"/>
          <w:b/>
        </w:rPr>
        <w:t>de dos mil veinticinco</w:t>
      </w:r>
      <w:r w:rsidRPr="00137487">
        <w:rPr>
          <w:rFonts w:ascii="Palatino Linotype" w:eastAsia="Palatino Linotype" w:hAnsi="Palatino Linotype" w:cs="Palatino Linotype"/>
        </w:rPr>
        <w:t xml:space="preserve">, esto es </w:t>
      </w:r>
      <w:r w:rsidR="00825B0A" w:rsidRPr="00137487">
        <w:rPr>
          <w:rFonts w:ascii="Palatino Linotype" w:eastAsia="Palatino Linotype" w:hAnsi="Palatino Linotype" w:cs="Palatino Linotype"/>
        </w:rPr>
        <w:t>el mismo día hábil en</w:t>
      </w:r>
      <w:r w:rsidRPr="00137487">
        <w:rPr>
          <w:rFonts w:ascii="Palatino Linotype" w:eastAsia="Palatino Linotype" w:hAnsi="Palatino Linotype" w:cs="Palatino Linotype"/>
        </w:rPr>
        <w:t xml:space="preserve"> </w:t>
      </w:r>
      <w:r w:rsidR="00825B0A" w:rsidRPr="00137487">
        <w:rPr>
          <w:rFonts w:ascii="Palatino Linotype" w:eastAsia="Palatino Linotype" w:hAnsi="Palatino Linotype" w:cs="Palatino Linotype"/>
        </w:rPr>
        <w:t xml:space="preserve">el </w:t>
      </w:r>
      <w:r w:rsidRPr="00137487">
        <w:rPr>
          <w:rFonts w:ascii="Palatino Linotype" w:eastAsia="Palatino Linotype" w:hAnsi="Palatino Linotype" w:cs="Palatino Linotype"/>
        </w:rPr>
        <w:t xml:space="preserve">que tuvo conocimiento de la respuesta. </w:t>
      </w:r>
    </w:p>
    <w:p w14:paraId="7F3D7C69" w14:textId="77777777" w:rsidR="00825B0A" w:rsidRPr="00137487" w:rsidRDefault="00825B0A" w:rsidP="001E0F0A">
      <w:pPr>
        <w:spacing w:before="240" w:after="240" w:line="360" w:lineRule="auto"/>
        <w:jc w:val="both"/>
        <w:rPr>
          <w:rFonts w:ascii="Palatino Linotype" w:hAnsi="Palatino Linotype"/>
        </w:rPr>
      </w:pPr>
      <w:r w:rsidRPr="00137487">
        <w:rPr>
          <w:rFonts w:ascii="Palatino Linotype" w:hAnsi="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4DAD109" w14:textId="77777777" w:rsidR="00825B0A" w:rsidRPr="00137487" w:rsidRDefault="00825B0A" w:rsidP="001E0F0A">
      <w:pPr>
        <w:spacing w:before="240" w:after="240" w:line="276" w:lineRule="auto"/>
        <w:ind w:left="851" w:right="902"/>
        <w:jc w:val="both"/>
        <w:rPr>
          <w:rFonts w:ascii="Palatino Linotype" w:hAnsi="Palatino Linotype"/>
          <w:i/>
        </w:rPr>
      </w:pPr>
      <w:r w:rsidRPr="00137487">
        <w:rPr>
          <w:rFonts w:ascii="Palatino Linotype" w:hAnsi="Palatino Linotype"/>
          <w:b/>
          <w:i/>
        </w:rPr>
        <w:t>“RECURSO DE RECLAMACIÓN. SU INTERPOSICIÓN NO ES EXTEMPORÁNEA SI SE REALIZA ANTES DE QUE INICIE EL PLAZO PARA HACERLO</w:t>
      </w:r>
      <w:r w:rsidRPr="00137487">
        <w:rPr>
          <w:rFonts w:ascii="Palatino Linotype" w:hAnsi="Palatino Linotype"/>
          <w:i/>
        </w:rPr>
        <w:t>.</w:t>
      </w:r>
    </w:p>
    <w:p w14:paraId="09924115" w14:textId="77777777" w:rsidR="00825B0A" w:rsidRPr="00137487" w:rsidRDefault="00825B0A" w:rsidP="001E0F0A">
      <w:pPr>
        <w:spacing w:before="240" w:after="240" w:line="276" w:lineRule="auto"/>
        <w:ind w:left="851" w:right="902"/>
        <w:jc w:val="both"/>
        <w:rPr>
          <w:rFonts w:ascii="Palatino Linotype" w:hAnsi="Palatino Linotype"/>
          <w:i/>
        </w:rPr>
      </w:pPr>
      <w:r w:rsidRPr="00137487">
        <w:rPr>
          <w:rFonts w:ascii="Palatino Linotype" w:hAnsi="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AD76B04" w14:textId="77777777" w:rsidR="00825B0A" w:rsidRPr="00137487" w:rsidRDefault="00825B0A" w:rsidP="001E0F0A">
      <w:pPr>
        <w:tabs>
          <w:tab w:val="left" w:pos="7938"/>
        </w:tabs>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137487">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314E9F" w14:textId="77777777" w:rsidR="00825B0A" w:rsidRPr="00137487" w:rsidRDefault="00825B0A" w:rsidP="001E0F0A">
      <w:pPr>
        <w:spacing w:before="240" w:after="240" w:line="360" w:lineRule="auto"/>
        <w:ind w:right="40"/>
        <w:jc w:val="both"/>
        <w:rPr>
          <w:rFonts w:ascii="Palatino Linotype" w:eastAsia="Palatino Linotype" w:hAnsi="Palatino Linotype" w:cs="Palatino Linotype"/>
        </w:rPr>
      </w:pPr>
      <w:r w:rsidRPr="00137487">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137487">
        <w:rPr>
          <w:rFonts w:ascii="Palatino Linotype" w:eastAsia="Palatino Linotype" w:hAnsi="Palatino Linotype" w:cs="Palatino Linotype"/>
          <w:b/>
        </w:rPr>
        <w:t>la parte</w:t>
      </w:r>
      <w:r w:rsidRPr="00137487">
        <w:rPr>
          <w:rFonts w:ascii="Palatino Linotype" w:eastAsia="Palatino Linotype" w:hAnsi="Palatino Linotype" w:cs="Palatino Linotype"/>
        </w:rPr>
        <w:t xml:space="preserv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xml:space="preserve"> </w:t>
      </w:r>
      <w:r w:rsidRPr="00137487">
        <w:rPr>
          <w:rFonts w:ascii="Palatino Linotype" w:eastAsia="Palatino Linotype" w:hAnsi="Palatino Linotype" w:cs="Palatino Linotype"/>
          <w:b/>
          <w:u w:val="single"/>
        </w:rPr>
        <w:t>no proporcionó nombre o seudónimo</w:t>
      </w:r>
      <w:r w:rsidRPr="00137487">
        <w:rPr>
          <w:rFonts w:ascii="Palatino Linotype" w:eastAsia="Palatino Linotype" w:hAnsi="Palatino Linotype" w:cs="Palatino Linotype"/>
        </w:rPr>
        <w:t xml:space="preserve"> con el que desea que se le identifique</w:t>
      </w:r>
      <w:r w:rsidRPr="00137487">
        <w:rPr>
          <w:rFonts w:ascii="Palatino Linotype" w:eastAsia="Palatino Linotype" w:hAnsi="Palatino Linotype" w:cs="Palatino Linotype"/>
          <w:b/>
        </w:rPr>
        <w:t>,</w:t>
      </w:r>
      <w:r w:rsidRPr="00137487">
        <w:rPr>
          <w:rFonts w:ascii="Palatino Linotype" w:eastAsia="Palatino Linotype" w:hAnsi="Palatino Linotype" w:cs="Palatino Linotype"/>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A1FF42" w14:textId="77777777" w:rsidR="00825B0A" w:rsidRPr="00137487" w:rsidRDefault="00825B0A" w:rsidP="001E0F0A">
      <w:pPr>
        <w:spacing w:before="240" w:after="240" w:line="276" w:lineRule="auto"/>
        <w:ind w:left="860" w:right="900"/>
        <w:jc w:val="both"/>
        <w:rPr>
          <w:rFonts w:ascii="Palatino Linotype" w:eastAsia="Palatino Linotype" w:hAnsi="Palatino Linotype" w:cs="Palatino Linotype"/>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 xml:space="preserve">Las solicitudes </w:t>
      </w:r>
      <w:r w:rsidRPr="00137487">
        <w:rPr>
          <w:rFonts w:ascii="Palatino Linotype" w:eastAsia="Palatino Linotype" w:hAnsi="Palatino Linotype" w:cs="Palatino Linotype"/>
          <w:i/>
        </w:rPr>
        <w:t xml:space="preserve">anónimas, con </w:t>
      </w:r>
      <w:r w:rsidRPr="00137487">
        <w:rPr>
          <w:rFonts w:ascii="Palatino Linotype" w:eastAsia="Palatino Linotype" w:hAnsi="Palatino Linotype" w:cs="Palatino Linotype"/>
          <w:b/>
          <w:i/>
        </w:rPr>
        <w:t>nombre incompleto o seudónimo</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serán procedentes para su trámite por parte del sujeto obligado ante quien se presente</w:t>
      </w:r>
      <w:r w:rsidRPr="00137487">
        <w:rPr>
          <w:rFonts w:ascii="Palatino Linotype" w:eastAsia="Palatino Linotype" w:hAnsi="Palatino Linotype" w:cs="Palatino Linotype"/>
          <w:i/>
        </w:rPr>
        <w:t>. No podrá requerirse información adicional con motivo del nombre proporcionado por el solicitante."(Énfasis añadido)</w:t>
      </w:r>
    </w:p>
    <w:p w14:paraId="276EA297" w14:textId="77777777" w:rsidR="004D5666" w:rsidRPr="00137487" w:rsidRDefault="007F0576" w:rsidP="001E0F0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Finalmente, resulta procedente la interposición de los recursos de revisión al rubro anotado, toda vez que se actualizan las hipótesis de procedencia prevista</w:t>
      </w:r>
      <w:r w:rsidR="004325BA" w:rsidRPr="00137487">
        <w:rPr>
          <w:rFonts w:ascii="Palatino Linotype" w:eastAsia="Palatino Linotype" w:hAnsi="Palatino Linotype" w:cs="Palatino Linotype"/>
        </w:rPr>
        <w:t>s en el artículo 179, fracción</w:t>
      </w:r>
      <w:r w:rsidRPr="00137487">
        <w:rPr>
          <w:rFonts w:ascii="Palatino Linotype" w:eastAsia="Palatino Linotype" w:hAnsi="Palatino Linotype" w:cs="Palatino Linotype"/>
        </w:rPr>
        <w:t xml:space="preserve"> V de la Ley de la materia, que a la letra dice:</w:t>
      </w:r>
    </w:p>
    <w:p w14:paraId="37120239" w14:textId="77777777" w:rsidR="004D5666" w:rsidRPr="00137487" w:rsidRDefault="007F0576" w:rsidP="001E0F0A">
      <w:pPr>
        <w:spacing w:before="240" w:after="240" w:line="276" w:lineRule="auto"/>
        <w:ind w:left="567" w:right="560"/>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179.</w:t>
      </w:r>
      <w:r w:rsidRPr="0013748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8EC20A5" w14:textId="77777777" w:rsidR="004D5666" w:rsidRPr="00137487" w:rsidRDefault="007F0576" w:rsidP="001E0F0A">
      <w:pPr>
        <w:spacing w:before="240" w:after="240" w:line="276" w:lineRule="auto"/>
        <w:ind w:left="567" w:right="560"/>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p>
    <w:p w14:paraId="25AD2EE9" w14:textId="77777777" w:rsidR="004D5666" w:rsidRPr="00137487" w:rsidRDefault="007F0576" w:rsidP="001E0F0A">
      <w:pPr>
        <w:spacing w:before="240" w:after="240" w:line="276" w:lineRule="auto"/>
        <w:ind w:left="567" w:right="560"/>
        <w:jc w:val="both"/>
        <w:rPr>
          <w:rFonts w:ascii="Palatino Linotype" w:eastAsia="Palatino Linotype" w:hAnsi="Palatino Linotype" w:cs="Palatino Linotype"/>
          <w:i/>
        </w:rPr>
      </w:pPr>
      <w:r w:rsidRPr="00137487">
        <w:rPr>
          <w:rFonts w:ascii="Palatino Linotype" w:eastAsia="Palatino Linotype" w:hAnsi="Palatino Linotype" w:cs="Palatino Linotype"/>
          <w:i/>
        </w:rPr>
        <w:t>V. La entrega de información incompleta;</w:t>
      </w:r>
    </w:p>
    <w:p w14:paraId="7FED79BB" w14:textId="77777777" w:rsidR="004D5666" w:rsidRPr="00137487" w:rsidRDefault="007F0576" w:rsidP="001E0F0A">
      <w:pPr>
        <w:spacing w:before="240" w:after="240" w:line="276" w:lineRule="auto"/>
        <w:ind w:left="567" w:right="560"/>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p>
    <w:p w14:paraId="1A7B2154" w14:textId="1449412E" w:rsidR="004D5666" w:rsidRPr="00137487" w:rsidRDefault="007F0576" w:rsidP="001E0F0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b/>
        </w:rPr>
        <w:t>Tercero. Materia de la revisión</w:t>
      </w:r>
      <w:r w:rsidRPr="00137487">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actualiza la hipótesis prevista en la</w:t>
      </w:r>
      <w:r w:rsidR="004325BA" w:rsidRPr="00137487">
        <w:rPr>
          <w:rFonts w:ascii="Palatino Linotype" w:eastAsia="Palatino Linotype" w:hAnsi="Palatino Linotype" w:cs="Palatino Linotype"/>
        </w:rPr>
        <w:t xml:space="preserve"> fracción </w:t>
      </w:r>
      <w:r w:rsidRPr="00137487">
        <w:rPr>
          <w:rFonts w:ascii="Palatino Linotype" w:eastAsia="Palatino Linotype" w:hAnsi="Palatino Linotype" w:cs="Palatino Linotype"/>
        </w:rPr>
        <w:t xml:space="preserve">V el artículo 179 de la Ley en la materia. </w:t>
      </w:r>
    </w:p>
    <w:p w14:paraId="08B4C83F" w14:textId="77777777" w:rsidR="00E457DB" w:rsidRPr="00137487" w:rsidRDefault="007F0576"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lastRenderedPageBreak/>
        <w:t>Cuarto.</w:t>
      </w:r>
      <w:r w:rsidRPr="00137487">
        <w:rPr>
          <w:rFonts w:ascii="Palatino Linotype" w:eastAsia="Palatino Linotype" w:hAnsi="Palatino Linotype" w:cs="Palatino Linotype"/>
        </w:rPr>
        <w:t xml:space="preserve"> </w:t>
      </w:r>
      <w:r w:rsidRPr="00137487">
        <w:rPr>
          <w:rFonts w:ascii="Palatino Linotype" w:eastAsia="Palatino Linotype" w:hAnsi="Palatino Linotype" w:cs="Palatino Linotype"/>
          <w:b/>
        </w:rPr>
        <w:t>Estudio de fondo del asunto.</w:t>
      </w:r>
      <w:r w:rsidRPr="00137487">
        <w:rPr>
          <w:rFonts w:ascii="Palatino Linotype" w:eastAsia="Palatino Linotype" w:hAnsi="Palatino Linotype" w:cs="Palatino Linotype"/>
        </w:rPr>
        <w:t xml:space="preserve">  </w:t>
      </w:r>
      <w:r w:rsidR="00E457DB" w:rsidRPr="00137487">
        <w:rPr>
          <w:rFonts w:ascii="Palatino Linotype" w:eastAsia="Palatino Linotype" w:hAnsi="Palatino Linotype" w:cs="Palatino Linotype"/>
        </w:rPr>
        <w:t>Es conveniente analizar si la respuesta del Sujeto Obligado</w:t>
      </w:r>
      <w:r w:rsidR="00E457DB" w:rsidRPr="00137487">
        <w:rPr>
          <w:rFonts w:ascii="Palatino Linotype" w:eastAsia="Palatino Linotype" w:hAnsi="Palatino Linotype" w:cs="Palatino Linotype"/>
          <w:b/>
        </w:rPr>
        <w:t xml:space="preserve"> </w:t>
      </w:r>
      <w:r w:rsidR="00E457DB" w:rsidRPr="00137487">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254850" w14:textId="77777777" w:rsidR="00E457DB" w:rsidRPr="00137487"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4</w:t>
      </w:r>
      <w:r w:rsidRPr="0013748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53F87F" w14:textId="77777777" w:rsidR="00E457DB" w:rsidRPr="00137487"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3748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70F09D" w14:textId="77777777" w:rsidR="00E457DB" w:rsidRPr="00137487"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37487">
        <w:rPr>
          <w:rFonts w:ascii="Palatino Linotype" w:eastAsia="Palatino Linotype" w:hAnsi="Palatino Linotype" w:cs="Palatino Linotype"/>
          <w:i/>
        </w:rPr>
        <w:t>.”</w:t>
      </w:r>
    </w:p>
    <w:p w14:paraId="583AAFD4" w14:textId="77777777" w:rsidR="00E457DB" w:rsidRPr="00137487" w:rsidRDefault="00E457DB"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137487">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46DAD0AD" w14:textId="77777777" w:rsidR="00E457DB" w:rsidRPr="00137487" w:rsidRDefault="00E457DB" w:rsidP="001E0F0A">
      <w:pPr>
        <w:tabs>
          <w:tab w:val="left" w:pos="6804"/>
        </w:tabs>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12.-</w:t>
      </w:r>
      <w:r w:rsidRPr="0013748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3844E25" w14:textId="77777777" w:rsidR="00E457DB" w:rsidRPr="00137487" w:rsidRDefault="00E457DB" w:rsidP="001E0F0A">
      <w:pPr>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137487">
        <w:rPr>
          <w:rFonts w:ascii="Palatino Linotype" w:eastAsia="Palatino Linotype" w:hAnsi="Palatino Linotype" w:cs="Palatino Linotype"/>
          <w:i/>
        </w:rPr>
        <w:t xml:space="preserve">.” </w:t>
      </w:r>
    </w:p>
    <w:p w14:paraId="1EB16587" w14:textId="77777777" w:rsidR="00E457DB" w:rsidRPr="00137487" w:rsidRDefault="00E457DB" w:rsidP="001E0F0A">
      <w:pPr>
        <w:spacing w:before="240" w:after="240" w:line="360" w:lineRule="auto"/>
        <w:ind w:right="-93"/>
        <w:jc w:val="both"/>
        <w:rPr>
          <w:rFonts w:ascii="Palatino Linotype" w:eastAsia="Palatino Linotype" w:hAnsi="Palatino Linotype" w:cs="Palatino Linotype"/>
        </w:rPr>
      </w:pPr>
      <w:r w:rsidRPr="0013748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9FFC52" w14:textId="224B77A2" w:rsidR="00E457DB" w:rsidRPr="00137487" w:rsidRDefault="00E457DB" w:rsidP="001E0F0A">
      <w:pPr>
        <w:spacing w:before="240" w:after="240" w:line="360" w:lineRule="auto"/>
        <w:jc w:val="both"/>
        <w:rPr>
          <w:rFonts w:ascii="Palatino Linotype" w:eastAsia="Palatino Linotype" w:hAnsi="Palatino Linotype" w:cs="Palatino Linotype"/>
          <w:b/>
        </w:rPr>
      </w:pPr>
      <w:r w:rsidRPr="00137487">
        <w:rPr>
          <w:rFonts w:ascii="Palatino Linotype" w:eastAsia="Palatino Linotype" w:hAnsi="Palatino Linotype" w:cs="Palatino Linotype"/>
        </w:rPr>
        <w:t xml:space="preserve">Sirve de apoyo a lo anterior, el criterio </w:t>
      </w:r>
      <w:r w:rsidR="00825B0A" w:rsidRPr="00137487">
        <w:rPr>
          <w:rFonts w:ascii="Palatino Linotype" w:eastAsia="Palatino Linotype" w:hAnsi="Palatino Linotype" w:cs="Palatino Linotype"/>
        </w:rPr>
        <w:t xml:space="preserve">orientador </w:t>
      </w:r>
      <w:r w:rsidRPr="00137487">
        <w:rPr>
          <w:rFonts w:ascii="Palatino Linotype" w:eastAsia="Palatino Linotype" w:hAnsi="Palatino Linotype" w:cs="Palatino Linotype"/>
        </w:rPr>
        <w:t>03-17, expuesto por el</w:t>
      </w:r>
      <w:r w:rsidR="00825B0A" w:rsidRPr="00137487">
        <w:rPr>
          <w:rFonts w:ascii="Palatino Linotype" w:eastAsia="Palatino Linotype" w:hAnsi="Palatino Linotype" w:cs="Palatino Linotype"/>
        </w:rPr>
        <w:t xml:space="preserve"> entonces </w:t>
      </w:r>
      <w:r w:rsidRPr="00137487">
        <w:rPr>
          <w:rFonts w:ascii="Palatino Linotype" w:eastAsia="Palatino Linotype" w:hAnsi="Palatino Linotype" w:cs="Palatino Linotype"/>
        </w:rPr>
        <w:t>Instituto Nacional de Transparencia, Acceso a la Información y Protección de Datos Personales, que dice:</w:t>
      </w:r>
      <w:r w:rsidRPr="00137487">
        <w:rPr>
          <w:rFonts w:ascii="Palatino Linotype" w:eastAsia="Palatino Linotype" w:hAnsi="Palatino Linotype" w:cs="Palatino Linotype"/>
          <w:b/>
        </w:rPr>
        <w:t xml:space="preserve"> </w:t>
      </w:r>
    </w:p>
    <w:p w14:paraId="5460EDD3" w14:textId="77777777" w:rsidR="00E457DB" w:rsidRPr="00137487" w:rsidRDefault="00E457DB" w:rsidP="00174388">
      <w:pPr>
        <w:spacing w:before="240" w:after="240" w:line="276" w:lineRule="auto"/>
        <w:ind w:left="567"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No existe obligación de elaborar documentos ad hoc para atender las solicitudes de acceso a la información.</w:t>
      </w:r>
      <w:r w:rsidRPr="0013748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137487">
        <w:rPr>
          <w:rFonts w:ascii="Palatino Linotype" w:eastAsia="Palatino Linotype" w:hAnsi="Palatino Linotype" w:cs="Palatino Linotype"/>
          <w:i/>
        </w:rPr>
        <w:lastRenderedPageBreak/>
        <w:t xml:space="preserve">proporcionando la información con la que cuentan en el formato en que la misma obre en sus archivos; sin necesidad de elaborar documentos ad hoc para atender las solicitudes de información”. </w:t>
      </w:r>
    </w:p>
    <w:p w14:paraId="373B7429" w14:textId="77777777" w:rsidR="00E457DB" w:rsidRPr="00137487" w:rsidRDefault="00E457DB"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D64654" w14:textId="77777777" w:rsidR="00E457DB" w:rsidRPr="00137487" w:rsidRDefault="00E457DB" w:rsidP="001E0F0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A4E2A4" w14:textId="77777777" w:rsidR="00E457DB" w:rsidRPr="00137487" w:rsidRDefault="00E457DB"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CF7AA3"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 xml:space="preserve">Artículo 3. </w:t>
      </w:r>
      <w:r w:rsidRPr="00137487">
        <w:rPr>
          <w:rFonts w:ascii="Palatino Linotype" w:eastAsia="Palatino Linotype" w:hAnsi="Palatino Linotype" w:cs="Palatino Linotype"/>
          <w:i/>
        </w:rPr>
        <w:t>Para los efectos de la presente Ley se entenderá por:</w:t>
      </w:r>
    </w:p>
    <w:p w14:paraId="70A0B2D4"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p>
    <w:p w14:paraId="5FF95345"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i/>
        </w:rPr>
      </w:pPr>
      <w:r w:rsidRPr="00137487">
        <w:rPr>
          <w:rFonts w:ascii="Palatino Linotype" w:eastAsia="Palatino Linotype" w:hAnsi="Palatino Linotype" w:cs="Palatino Linotype"/>
          <w:b/>
          <w:i/>
        </w:rPr>
        <w:lastRenderedPageBreak/>
        <w:t>XI. Documento:</w:t>
      </w:r>
      <w:r w:rsidRPr="00137487">
        <w:rPr>
          <w:rFonts w:ascii="Palatino Linotype" w:eastAsia="Palatino Linotype" w:hAnsi="Palatino Linotype" w:cs="Palatino Linotype"/>
          <w:i/>
        </w:rPr>
        <w:t xml:space="preserve"> Los expedientes, reportes, estudios, actas</w:t>
      </w:r>
      <w:r w:rsidRPr="00137487">
        <w:rPr>
          <w:rFonts w:ascii="Palatino Linotype" w:eastAsia="Palatino Linotype" w:hAnsi="Palatino Linotype" w:cs="Palatino Linotype"/>
          <w:b/>
          <w:i/>
        </w:rPr>
        <w:t>,</w:t>
      </w:r>
      <w:r w:rsidRPr="0013748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FEAE5E" w14:textId="77777777" w:rsidR="00E457DB" w:rsidRPr="00137487" w:rsidRDefault="00E457DB"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FC36ED"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b/>
          <w:i/>
        </w:rPr>
      </w:pPr>
      <w:r w:rsidRPr="00137487">
        <w:rPr>
          <w:rFonts w:ascii="Palatino Linotype" w:eastAsia="Palatino Linotype" w:hAnsi="Palatino Linotype" w:cs="Palatino Linotype"/>
          <w:b/>
        </w:rPr>
        <w:t>“</w:t>
      </w:r>
      <w:r w:rsidRPr="00137487">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3748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D4126B"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i/>
        </w:rPr>
      </w:pPr>
      <w:r w:rsidRPr="00137487">
        <w:rPr>
          <w:rFonts w:ascii="Palatino Linotype" w:eastAsia="Palatino Linotype" w:hAnsi="Palatino Linotype" w:cs="Palatino Linotype"/>
          <w:i/>
        </w:rPr>
        <w:t>En consecuencia el acceso a la información se refiere a que se cumplan cualquiera de los siguientes tres supuestos:</w:t>
      </w:r>
    </w:p>
    <w:p w14:paraId="5FD35123"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i/>
        </w:rPr>
      </w:pPr>
      <w:r w:rsidRPr="0013748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8DC8361"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b/>
          <w:i/>
        </w:rPr>
      </w:pPr>
      <w:r w:rsidRPr="0013748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EA90E02" w14:textId="77777777" w:rsidR="00E457DB" w:rsidRPr="00137487" w:rsidRDefault="00E457DB" w:rsidP="00174388">
      <w:pPr>
        <w:spacing w:before="240" w:after="240" w:line="276" w:lineRule="auto"/>
        <w:ind w:left="567" w:right="899"/>
        <w:jc w:val="both"/>
        <w:rPr>
          <w:rFonts w:ascii="Palatino Linotype" w:eastAsia="Palatino Linotype" w:hAnsi="Palatino Linotype" w:cs="Palatino Linotype"/>
          <w:b/>
          <w:i/>
        </w:rPr>
      </w:pPr>
      <w:r w:rsidRPr="00137487">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3FDF922C" w14:textId="77777777" w:rsidR="0057442A" w:rsidRPr="00137487" w:rsidRDefault="0057442A" w:rsidP="0057442A">
      <w:pPr>
        <w:pBdr>
          <w:top w:val="nil"/>
          <w:left w:val="nil"/>
          <w:bottom w:val="nil"/>
          <w:right w:val="nil"/>
          <w:between w:val="nil"/>
        </w:pBdr>
        <w:spacing w:line="360" w:lineRule="auto"/>
        <w:jc w:val="both"/>
        <w:rPr>
          <w:rFonts w:ascii="Palatino Linotype" w:hAnsi="Palatino Linotype"/>
        </w:rPr>
      </w:pPr>
      <w:r w:rsidRPr="00137487">
        <w:rPr>
          <w:rFonts w:ascii="Palatino Linotype" w:eastAsia="Palatino Linotype" w:hAnsi="Palatino Linotype" w:cs="Palatino Linotype"/>
        </w:rPr>
        <w:t xml:space="preserve">De ahí que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90B0BAA" w14:textId="77777777" w:rsidR="0057442A" w:rsidRPr="00137487"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Ahora bien, para profundizar en el estudio del presente asunto, es conveniente recordar que la parte solicitante requirió al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le proporcionara lo siguiente:</w:t>
      </w:r>
    </w:p>
    <w:p w14:paraId="5321DEB3" w14:textId="7ED80451" w:rsidR="0057442A" w:rsidRPr="00137487" w:rsidRDefault="00BA09E0" w:rsidP="00BA09E0">
      <w:pPr>
        <w:pStyle w:val="Prrafodelista"/>
        <w:numPr>
          <w:ilvl w:val="0"/>
          <w:numId w:val="8"/>
        </w:numPr>
        <w:spacing w:line="360" w:lineRule="auto"/>
        <w:ind w:right="900"/>
        <w:jc w:val="both"/>
        <w:rPr>
          <w:rFonts w:ascii="Palatino Linotype" w:eastAsia="Palatino Linotype" w:hAnsi="Palatino Linotype" w:cs="Palatino Linotype"/>
        </w:rPr>
      </w:pPr>
      <w:r w:rsidRPr="00137487">
        <w:rPr>
          <w:rFonts w:ascii="Palatino Linotype" w:eastAsia="Palatino Linotype" w:hAnsi="Palatino Linotype" w:cs="Palatino Linotype"/>
          <w:b/>
          <w:bCs/>
        </w:rPr>
        <w:t xml:space="preserve">LICENCIA DE CONSTRUCCIÓN NOMBRE DEL PROPIETARIO EMITIDAS PARA INMOBILIARIAS FECHA DE EXPEDICIÓN DELOS AÑOS 2022. </w:t>
      </w:r>
    </w:p>
    <w:p w14:paraId="402AA69D" w14:textId="165C114A" w:rsidR="00BA09E0" w:rsidRPr="00137487" w:rsidRDefault="00BA09E0" w:rsidP="00BA09E0">
      <w:pPr>
        <w:pStyle w:val="Prrafodelista"/>
        <w:numPr>
          <w:ilvl w:val="0"/>
          <w:numId w:val="8"/>
        </w:numPr>
        <w:spacing w:line="360" w:lineRule="auto"/>
        <w:ind w:right="900"/>
        <w:jc w:val="both"/>
        <w:rPr>
          <w:rFonts w:ascii="Palatino Linotype" w:eastAsia="Palatino Linotype" w:hAnsi="Palatino Linotype" w:cs="Palatino Linotype"/>
        </w:rPr>
      </w:pPr>
      <w:r w:rsidRPr="00137487">
        <w:rPr>
          <w:rFonts w:ascii="Palatino Linotype" w:eastAsia="Palatino Linotype" w:hAnsi="Palatino Linotype" w:cs="Palatino Linotype"/>
          <w:i/>
        </w:rPr>
        <w:t>LICENCIA DE CONSTRUCCIÓN NOMBRE DEL PROPIETARIO EMITIDAS PARA INMOBILIARIAS FECHA DE EXPEDICIÓN DELOS AÑOS 2021.</w:t>
      </w:r>
    </w:p>
    <w:p w14:paraId="31C4E324" w14:textId="5B75B17A" w:rsidR="0057442A" w:rsidRPr="00137487" w:rsidRDefault="0057442A" w:rsidP="0057442A">
      <w:pPr>
        <w:spacing w:before="240" w:after="24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En respuesta el </w:t>
      </w:r>
      <w:r w:rsidRPr="00137487">
        <w:rPr>
          <w:rFonts w:ascii="Palatino Linotype" w:eastAsia="Palatino Linotype" w:hAnsi="Palatino Linotype" w:cs="Palatino Linotype"/>
          <w:b/>
        </w:rPr>
        <w:t xml:space="preserve">Sujeto Obligado </w:t>
      </w:r>
      <w:r w:rsidRPr="00137487">
        <w:rPr>
          <w:rFonts w:ascii="Palatino Linotype" w:eastAsia="Palatino Linotype" w:hAnsi="Palatino Linotype" w:cs="Palatino Linotype"/>
        </w:rPr>
        <w:t xml:space="preserve">a través de la Dirección General de Innovación, Planeación y Gestión Urbana, remitió diversas licencias de construcción emitidas en la temporalidad indicada por el particular, en aparente versión pública, sin acompañar el acuerdo de comité respectivo. </w:t>
      </w:r>
    </w:p>
    <w:p w14:paraId="306716A9" w14:textId="10BB6E40" w:rsidR="0057442A" w:rsidRPr="00137487" w:rsidRDefault="0057442A" w:rsidP="001E0F0A">
      <w:pPr>
        <w:spacing w:before="240" w:after="24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Una vez conocidas las respuestas emitidas por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w:t>
      </w:r>
      <w:r w:rsidRPr="00137487">
        <w:rPr>
          <w:rFonts w:ascii="Palatino Linotype" w:eastAsia="Palatino Linotype" w:hAnsi="Palatino Linotype" w:cs="Palatino Linotype"/>
          <w:bCs/>
        </w:rPr>
        <w:t>la parte</w:t>
      </w:r>
      <w:r w:rsidRPr="00137487">
        <w:rPr>
          <w:rFonts w:ascii="Palatino Linotype" w:eastAsia="Palatino Linotype" w:hAnsi="Palatino Linotype" w:cs="Palatino Linotype"/>
          <w:b/>
        </w:rPr>
        <w:t xml:space="preserve"> Recurrente</w:t>
      </w:r>
      <w:r w:rsidRPr="00137487">
        <w:rPr>
          <w:rFonts w:ascii="Palatino Linotype" w:eastAsia="Palatino Linotype" w:hAnsi="Palatino Linotype" w:cs="Palatino Linotype"/>
        </w:rPr>
        <w:t xml:space="preserve">, al no estar conforme con los términos de las mismas, interpuso los recursos de revisión que nos </w:t>
      </w:r>
      <w:r w:rsidRPr="00137487">
        <w:rPr>
          <w:rFonts w:ascii="Palatino Linotype" w:eastAsia="Palatino Linotype" w:hAnsi="Palatino Linotype" w:cs="Palatino Linotype"/>
        </w:rPr>
        <w:lastRenderedPageBreak/>
        <w:t xml:space="preserve">ocupan, inconformándose medularmente por considerar que la información remitida es incompleta. </w:t>
      </w:r>
    </w:p>
    <w:p w14:paraId="2CDE0E09" w14:textId="014D70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Así las cosas, durante la etapa de manifestaciones, se tiene que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señaló que realizó una nueva búsqueda y remite información adicional a la remitida en respuesta, asimismo por cuanto hace a</w:t>
      </w:r>
      <w:r w:rsidRPr="00137487">
        <w:rPr>
          <w:rFonts w:ascii="Palatino Linotype" w:eastAsia="Palatino Linotype" w:hAnsi="Palatino Linotype" w:cs="Palatino Linotype"/>
          <w:bCs/>
        </w:rPr>
        <w:t xml:space="preserve"> la parte</w:t>
      </w:r>
      <w:r w:rsidRPr="00137487">
        <w:rPr>
          <w:rFonts w:ascii="Palatino Linotype" w:eastAsia="Palatino Linotype" w:hAnsi="Palatino Linotype" w:cs="Palatino Linotype"/>
          <w:b/>
        </w:rPr>
        <w:t xml:space="preserve"> Recurrente</w:t>
      </w:r>
      <w:r w:rsidRPr="00137487">
        <w:rPr>
          <w:rFonts w:ascii="Palatino Linotype" w:eastAsia="Palatino Linotype" w:hAnsi="Palatino Linotype" w:cs="Palatino Linotype"/>
        </w:rPr>
        <w:t>, se tiene constancia que fue omisa en presentar sus alegatos, manifestaciones o cualquier manifestación que a su derecho conviniera, por lo que se tiene por precluido su derecho para tal efecto.</w:t>
      </w:r>
    </w:p>
    <w:p w14:paraId="3E0653C6"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Aclarado lo anterior se precede al análisis de la información a fin de determinar si el</w:t>
      </w:r>
      <w:r w:rsidRPr="00137487">
        <w:rPr>
          <w:rFonts w:ascii="Palatino Linotype" w:eastAsia="Palatino Linotype" w:hAnsi="Palatino Linotype" w:cs="Palatino Linotype"/>
          <w:b/>
        </w:rPr>
        <w:t xml:space="preserve"> Sujeto Obligado</w:t>
      </w:r>
      <w:r w:rsidRPr="00137487">
        <w:rPr>
          <w:rFonts w:ascii="Palatino Linotype" w:eastAsia="Palatino Linotype" w:hAnsi="Palatino Linotype" w:cs="Palatino Linotype"/>
        </w:rPr>
        <w:t xml:space="preserve"> es competente para generarla, poseerla o administrarla.</w:t>
      </w:r>
    </w:p>
    <w:p w14:paraId="13EAEB1A"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En primera instancia es de señalar que quien dio atención a la solicitud de información fue la Dirección General de Innovación, Planeación y Gestión Urbana, la cual conforme al artículo 3.38 del Código Reglamentario Municipal de Toluca, tiene dentro de sus atribuciones, la siguiente: </w:t>
      </w:r>
    </w:p>
    <w:p w14:paraId="364A0E1A" w14:textId="77777777" w:rsidR="0057442A" w:rsidRPr="00137487" w:rsidRDefault="0057442A" w:rsidP="0057442A">
      <w:pPr>
        <w:spacing w:line="276" w:lineRule="auto"/>
        <w:ind w:left="851" w:right="616"/>
        <w:jc w:val="both"/>
        <w:rPr>
          <w:rFonts w:ascii="Palatino Linotype" w:eastAsia="Palatino Linotype" w:hAnsi="Palatino Linotype" w:cs="Palatino Linotype"/>
          <w:b/>
          <w:i/>
        </w:rPr>
      </w:pPr>
    </w:p>
    <w:p w14:paraId="520BC420" w14:textId="77777777" w:rsidR="0057442A" w:rsidRPr="00137487" w:rsidRDefault="0057442A" w:rsidP="0057442A">
      <w:pPr>
        <w:spacing w:line="276" w:lineRule="auto"/>
        <w:ind w:left="851" w:right="616"/>
        <w:jc w:val="both"/>
        <w:rPr>
          <w:rFonts w:ascii="Palatino Linotype" w:eastAsia="Palatino Linotype" w:hAnsi="Palatino Linotype" w:cs="Palatino Linotype"/>
        </w:rPr>
      </w:pPr>
      <w:r w:rsidRPr="00137487">
        <w:rPr>
          <w:rFonts w:ascii="Palatino Linotype" w:eastAsia="Palatino Linotype" w:hAnsi="Palatino Linotype" w:cs="Palatino Linotype"/>
          <w:b/>
          <w:i/>
        </w:rPr>
        <w:t>“I. Organizar, dirigir, autorizar y vigilar el proceso de la emisión de licencias de construcción de obras nuevas y extemporáneas,</w:t>
      </w:r>
      <w:r w:rsidRPr="00137487">
        <w:rPr>
          <w:rFonts w:ascii="Palatino Linotype" w:eastAsia="Palatino Linotype" w:hAnsi="Palatino Linotype" w:cs="Palatino Linotype"/>
          <w:i/>
        </w:rPr>
        <w:t xml:space="preserve"> prorrogas y/o permisos de construcción, demoliciones y excavaciones, constancias de suspensión de obra, regularización de obra edificada, constancia de terminación de obra, permiso para obra en la infraestructura vial local, licencias de uso de suelo, dictámenes, opiniones técnicas y opiniones técnicamente justificadas,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w:t>
      </w:r>
      <w:r w:rsidRPr="00137487">
        <w:rPr>
          <w:rFonts w:ascii="Palatino Linotype" w:eastAsia="Palatino Linotype" w:hAnsi="Palatino Linotype" w:cs="Palatino Linotype"/>
        </w:rPr>
        <w:t>;…”</w:t>
      </w:r>
    </w:p>
    <w:p w14:paraId="286FE0CF" w14:textId="77777777" w:rsidR="0057442A" w:rsidRPr="00137487" w:rsidRDefault="0057442A" w:rsidP="0057442A">
      <w:pPr>
        <w:spacing w:line="276" w:lineRule="auto"/>
        <w:ind w:left="851" w:right="616"/>
        <w:jc w:val="both"/>
        <w:rPr>
          <w:rFonts w:ascii="Palatino Linotype" w:eastAsia="Palatino Linotype" w:hAnsi="Palatino Linotype" w:cs="Palatino Linotype"/>
        </w:rPr>
      </w:pPr>
    </w:p>
    <w:p w14:paraId="67102F3A"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lastRenderedPageBreak/>
        <w:t xml:space="preserve">En virtud de lo anterior, se tiene que en el caso concreto,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dio cabal cumplimiento con el requisito de turnar la solicitud de información al área competente que puede poseer, generar y/o administrar la información requerida.</w:t>
      </w:r>
    </w:p>
    <w:p w14:paraId="72F0AF97" w14:textId="77777777" w:rsidR="0057442A" w:rsidRPr="00137487" w:rsidRDefault="0057442A" w:rsidP="0057442A">
      <w:pPr>
        <w:widowControl w:val="0"/>
        <w:tabs>
          <w:tab w:val="left" w:pos="1701"/>
          <w:tab w:val="left" w:pos="1843"/>
        </w:tabs>
        <w:spacing w:line="360" w:lineRule="auto"/>
        <w:ind w:right="49"/>
        <w:jc w:val="both"/>
        <w:rPr>
          <w:rFonts w:ascii="Palatino Linotype" w:eastAsia="Palatino Linotype" w:hAnsi="Palatino Linotype" w:cs="Palatino Linotype"/>
        </w:rPr>
      </w:pPr>
    </w:p>
    <w:p w14:paraId="168D26CC" w14:textId="77777777" w:rsidR="0057442A" w:rsidRPr="00137487"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0162C29" w14:textId="77777777" w:rsidR="0057442A" w:rsidRPr="00137487" w:rsidRDefault="0057442A" w:rsidP="0057442A">
      <w:pPr>
        <w:pBdr>
          <w:top w:val="nil"/>
          <w:left w:val="nil"/>
          <w:bottom w:val="nil"/>
          <w:right w:val="nil"/>
          <w:between w:val="nil"/>
        </w:pBdr>
        <w:spacing w:line="360" w:lineRule="auto"/>
        <w:jc w:val="both"/>
        <w:rPr>
          <w:rFonts w:ascii="Palatino Linotype" w:hAnsi="Palatino Linotype"/>
        </w:rPr>
      </w:pPr>
    </w:p>
    <w:p w14:paraId="2DA908BF"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C157C9" w14:textId="77777777" w:rsidR="0057442A" w:rsidRPr="00137487" w:rsidRDefault="0057442A" w:rsidP="0057442A">
      <w:pPr>
        <w:pBdr>
          <w:top w:val="nil"/>
          <w:left w:val="nil"/>
          <w:bottom w:val="nil"/>
          <w:right w:val="nil"/>
          <w:between w:val="nil"/>
        </w:pBdr>
        <w:spacing w:line="360" w:lineRule="auto"/>
        <w:ind w:left="360"/>
        <w:jc w:val="both"/>
        <w:rPr>
          <w:rFonts w:ascii="Palatino Linotype" w:eastAsia="Palatino Linotype" w:hAnsi="Palatino Linotype" w:cs="Palatino Linotype"/>
        </w:rPr>
      </w:pPr>
    </w:p>
    <w:p w14:paraId="3C51900A"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00F9731" w14:textId="77777777" w:rsidR="0057442A" w:rsidRPr="00137487" w:rsidRDefault="0057442A" w:rsidP="0057442A">
      <w:pPr>
        <w:pBdr>
          <w:top w:val="nil"/>
          <w:left w:val="nil"/>
          <w:bottom w:val="nil"/>
          <w:right w:val="nil"/>
          <w:between w:val="nil"/>
        </w:pBdr>
        <w:ind w:left="720"/>
        <w:rPr>
          <w:rFonts w:ascii="Palatino Linotype" w:eastAsia="Palatino Linotype" w:hAnsi="Palatino Linotype" w:cs="Palatino Linotype"/>
        </w:rPr>
      </w:pPr>
    </w:p>
    <w:p w14:paraId="1127F830"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137487">
        <w:rPr>
          <w:rFonts w:ascii="Palatino Linotype" w:eastAsia="Palatino Linotype" w:hAnsi="Palatino Linotype" w:cs="Palatino Linotype"/>
          <w:b/>
        </w:rPr>
        <w:t>quince días, contados a partir del día siguiente a la presentación de ésta.</w:t>
      </w:r>
      <w:r w:rsidRPr="00137487">
        <w:rPr>
          <w:rFonts w:ascii="Palatino Linotype" w:eastAsia="Palatino Linotype" w:hAnsi="Palatino Linotype" w:cs="Palatino Linotype"/>
        </w:rPr>
        <w:t xml:space="preserve"> Excepcionalmente, el plazo referido podrá ampliarse </w:t>
      </w:r>
      <w:r w:rsidRPr="00137487">
        <w:rPr>
          <w:rFonts w:ascii="Palatino Linotype" w:eastAsia="Palatino Linotype" w:hAnsi="Palatino Linotype" w:cs="Palatino Linotype"/>
        </w:rPr>
        <w:lastRenderedPageBreak/>
        <w:t>por siete días hábiles más, cuando existan razones fundadas y motivadas, a través del Comité de Transparencia;</w:t>
      </w:r>
    </w:p>
    <w:p w14:paraId="4569048E" w14:textId="77777777" w:rsidR="0057442A" w:rsidRPr="00137487" w:rsidRDefault="0057442A" w:rsidP="0057442A">
      <w:pPr>
        <w:pBdr>
          <w:top w:val="nil"/>
          <w:left w:val="nil"/>
          <w:bottom w:val="nil"/>
          <w:right w:val="nil"/>
          <w:between w:val="nil"/>
        </w:pBdr>
        <w:ind w:left="720"/>
        <w:rPr>
          <w:rFonts w:ascii="Palatino Linotype" w:eastAsia="Palatino Linotype" w:hAnsi="Palatino Linotype" w:cs="Palatino Linotype"/>
        </w:rPr>
      </w:pPr>
    </w:p>
    <w:p w14:paraId="68E0A17C"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137487">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CA01374" w14:textId="77777777" w:rsidR="0057442A" w:rsidRPr="00137487" w:rsidRDefault="0057442A" w:rsidP="0057442A">
      <w:pPr>
        <w:pBdr>
          <w:top w:val="nil"/>
          <w:left w:val="nil"/>
          <w:bottom w:val="nil"/>
          <w:right w:val="nil"/>
          <w:between w:val="nil"/>
        </w:pBdr>
        <w:ind w:left="720"/>
        <w:rPr>
          <w:rFonts w:ascii="Palatino Linotype" w:eastAsia="Palatino Linotype" w:hAnsi="Palatino Linotype" w:cs="Palatino Linotype"/>
          <w:b/>
          <w:u w:val="single"/>
        </w:rPr>
      </w:pPr>
    </w:p>
    <w:p w14:paraId="7416F0DA"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137487">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F22BF60" w14:textId="77777777" w:rsidR="0057442A" w:rsidRPr="00137487" w:rsidRDefault="0057442A" w:rsidP="0057442A">
      <w:pPr>
        <w:pBdr>
          <w:top w:val="nil"/>
          <w:left w:val="nil"/>
          <w:bottom w:val="nil"/>
          <w:right w:val="nil"/>
          <w:between w:val="nil"/>
        </w:pBdr>
        <w:spacing w:line="360" w:lineRule="auto"/>
        <w:ind w:left="360"/>
        <w:jc w:val="both"/>
        <w:rPr>
          <w:rFonts w:ascii="Palatino Linotype" w:eastAsia="Palatino Linotype" w:hAnsi="Palatino Linotype" w:cs="Palatino Linotype"/>
          <w:b/>
        </w:rPr>
      </w:pPr>
    </w:p>
    <w:p w14:paraId="63149A2B" w14:textId="77777777" w:rsidR="0057442A" w:rsidRPr="00137487" w:rsidRDefault="0057442A" w:rsidP="0057442A">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137487">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371E72A6" w14:textId="77777777" w:rsidR="0057442A" w:rsidRPr="00137487" w:rsidRDefault="0057442A" w:rsidP="0057442A">
      <w:pPr>
        <w:pBdr>
          <w:top w:val="nil"/>
          <w:left w:val="nil"/>
          <w:bottom w:val="nil"/>
          <w:right w:val="nil"/>
          <w:between w:val="nil"/>
        </w:pBdr>
        <w:spacing w:line="360" w:lineRule="auto"/>
        <w:ind w:right="49"/>
        <w:jc w:val="both"/>
        <w:rPr>
          <w:rFonts w:ascii="Palatino Linotype" w:hAnsi="Palatino Linotype"/>
        </w:rPr>
      </w:pPr>
      <w:r w:rsidRPr="00137487">
        <w:rPr>
          <w:rFonts w:ascii="Palatino Linotype" w:eastAsia="Palatino Linotype" w:hAnsi="Palatino Linotype" w:cs="Palatino Linotype"/>
        </w:rPr>
        <w:t xml:space="preserve">En virtud de lo anterior, se tiene que, </w:t>
      </w:r>
      <w:r w:rsidRPr="00137487">
        <w:rPr>
          <w:rFonts w:ascii="Palatino Linotype" w:eastAsia="Palatino Linotype" w:hAnsi="Palatino Linotype" w:cs="Palatino Linotype"/>
          <w:b/>
          <w:u w:val="single"/>
        </w:rPr>
        <w:t>el procedimiento de búsqueda de la información se tiene por atendido. </w:t>
      </w:r>
    </w:p>
    <w:p w14:paraId="604F12CB"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 xml:space="preserve">Ahora bien respecto al fundamento legal para emitir dicha información –licencias de construcción-, es necesario remitirnos al contenido del artículo 115 fracciones I, II y V de la </w:t>
      </w:r>
      <w:r w:rsidRPr="00137487">
        <w:rPr>
          <w:rFonts w:ascii="Palatino Linotype" w:eastAsia="Palatino Linotype" w:hAnsi="Palatino Linotype" w:cs="Palatino Linotype"/>
        </w:rPr>
        <w:lastRenderedPageBreak/>
        <w:t>Constitución Política de los Estados Unidos Mexicanos que establece en lo que nos interesa, lo siguiente: </w:t>
      </w:r>
    </w:p>
    <w:p w14:paraId="5490DE58" w14:textId="77777777" w:rsidR="0057442A" w:rsidRPr="00137487" w:rsidRDefault="0057442A" w:rsidP="0057442A">
      <w:pPr>
        <w:rPr>
          <w:rFonts w:ascii="Palatino Linotype" w:eastAsia="Palatino Linotype" w:hAnsi="Palatino Linotype" w:cs="Palatino Linotype"/>
        </w:rPr>
      </w:pPr>
    </w:p>
    <w:p w14:paraId="54AEC5B0" w14:textId="77777777" w:rsidR="0057442A" w:rsidRPr="00137487" w:rsidRDefault="0057442A" w:rsidP="0057442A">
      <w:pPr>
        <w:ind w:left="851" w:right="567"/>
        <w:jc w:val="both"/>
        <w:rPr>
          <w:rFonts w:ascii="Palatino Linotype" w:eastAsia="Palatino Linotype" w:hAnsi="Palatino Linotype" w:cs="Palatino Linotype"/>
          <w:i/>
        </w:rPr>
      </w:pPr>
      <w:r w:rsidRPr="00137487">
        <w:rPr>
          <w:rFonts w:ascii="Palatino Linotype" w:eastAsia="Palatino Linotype" w:hAnsi="Palatino Linotype" w:cs="Palatino Linotype"/>
        </w:rPr>
        <w:t>“</w:t>
      </w:r>
      <w:r w:rsidRPr="00137487">
        <w:rPr>
          <w:rFonts w:ascii="Palatino Linotype" w:eastAsia="Palatino Linotype" w:hAnsi="Palatino Linotype" w:cs="Palatino Linotype"/>
          <w:b/>
          <w:i/>
        </w:rPr>
        <w:t>Artículo 115.</w:t>
      </w:r>
      <w:r w:rsidRPr="00137487">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FE2C41B" w14:textId="77777777" w:rsidR="0057442A" w:rsidRPr="00137487" w:rsidRDefault="0057442A" w:rsidP="0057442A">
      <w:pPr>
        <w:ind w:left="851" w:right="567"/>
        <w:jc w:val="both"/>
        <w:rPr>
          <w:rFonts w:ascii="Palatino Linotype" w:hAnsi="Palatino Linotype"/>
        </w:rPr>
      </w:pPr>
    </w:p>
    <w:p w14:paraId="498A3179"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5598DDDA"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w:t>
      </w:r>
    </w:p>
    <w:p w14:paraId="6483C770"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2E870C53"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 </w:t>
      </w:r>
    </w:p>
    <w:p w14:paraId="0DF09091"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V. Los Municipios, en los términos de las leyes federales y Estatales relativas, estarán facultados para: </w:t>
      </w:r>
    </w:p>
    <w:p w14:paraId="60E6B7EE"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i/>
        </w:rPr>
        <w:t xml:space="preserve"> (…)</w:t>
      </w:r>
    </w:p>
    <w:p w14:paraId="0E2B1A94" w14:textId="77777777" w:rsidR="0057442A" w:rsidRPr="00137487" w:rsidRDefault="0057442A" w:rsidP="0057442A">
      <w:pPr>
        <w:ind w:left="851" w:right="567"/>
        <w:jc w:val="both"/>
        <w:rPr>
          <w:rFonts w:ascii="Palatino Linotype" w:hAnsi="Palatino Linotype"/>
        </w:rPr>
      </w:pPr>
      <w:r w:rsidRPr="00137487">
        <w:rPr>
          <w:rFonts w:ascii="Palatino Linotype" w:eastAsia="Palatino Linotype" w:hAnsi="Palatino Linotype" w:cs="Palatino Linotype"/>
          <w:b/>
          <w:i/>
          <w:u w:val="single"/>
        </w:rPr>
        <w:t>f) Otorgar licencias y permisos para construcciones</w:t>
      </w:r>
      <w:r w:rsidRPr="00137487">
        <w:rPr>
          <w:rFonts w:ascii="Palatino Linotype" w:eastAsia="Palatino Linotype" w:hAnsi="Palatino Linotype" w:cs="Palatino Linotype"/>
          <w:i/>
        </w:rPr>
        <w:t>; (Sic)</w:t>
      </w:r>
    </w:p>
    <w:p w14:paraId="26A74F92" w14:textId="77777777" w:rsidR="0057442A" w:rsidRPr="00137487" w:rsidRDefault="0057442A" w:rsidP="0057442A">
      <w:pPr>
        <w:spacing w:line="360" w:lineRule="auto"/>
        <w:rPr>
          <w:rFonts w:ascii="Palatino Linotype" w:eastAsia="Palatino Linotype" w:hAnsi="Palatino Linotype" w:cs="Palatino Linotype"/>
        </w:rPr>
      </w:pPr>
    </w:p>
    <w:p w14:paraId="7BA46987"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lastRenderedPageBreak/>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reglamentos, circulares y disposiciones administrativas de observancia general dentro de su circunscripción.</w:t>
      </w:r>
    </w:p>
    <w:p w14:paraId="6D7169E9" w14:textId="77777777" w:rsidR="0057442A" w:rsidRPr="00137487" w:rsidRDefault="0057442A" w:rsidP="0057442A">
      <w:pPr>
        <w:spacing w:line="360" w:lineRule="auto"/>
        <w:rPr>
          <w:rFonts w:ascii="Palatino Linotype" w:hAnsi="Palatino Linotype"/>
        </w:rPr>
      </w:pPr>
    </w:p>
    <w:p w14:paraId="32F8F1E0"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 xml:space="preserve">Asimismo, </w:t>
      </w:r>
      <w:r w:rsidRPr="00137487">
        <w:rPr>
          <w:rFonts w:ascii="Palatino Linotype" w:eastAsia="Palatino Linotype" w:hAnsi="Palatino Linotype" w:cs="Palatino Linotype"/>
          <w:b/>
          <w:u w:val="single"/>
        </w:rPr>
        <w:t>están facultados para otorgar licencias y permisos para construcciones. </w:t>
      </w:r>
    </w:p>
    <w:p w14:paraId="1363FD50" w14:textId="77777777" w:rsidR="0057442A" w:rsidRPr="00137487" w:rsidRDefault="0057442A" w:rsidP="0057442A">
      <w:pPr>
        <w:spacing w:line="360" w:lineRule="auto"/>
        <w:rPr>
          <w:rFonts w:ascii="Palatino Linotype" w:hAnsi="Palatino Linotype"/>
        </w:rPr>
      </w:pPr>
    </w:p>
    <w:p w14:paraId="7DF99EDB"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Por su parte, la Ley Orgánica Municipal del Estado de México dispone lo siguiente:</w:t>
      </w:r>
    </w:p>
    <w:p w14:paraId="6C502B9F" w14:textId="77777777" w:rsidR="0057442A" w:rsidRPr="00137487" w:rsidRDefault="0057442A" w:rsidP="0057442A">
      <w:pPr>
        <w:ind w:right="567"/>
        <w:jc w:val="both"/>
        <w:rPr>
          <w:rFonts w:ascii="Palatino Linotype" w:hAnsi="Palatino Linotype"/>
        </w:rPr>
      </w:pPr>
    </w:p>
    <w:p w14:paraId="5AA65A89"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b/>
          <w:i/>
        </w:rPr>
        <w:t>Artículo 31.-</w:t>
      </w:r>
      <w:r w:rsidRPr="00137487">
        <w:rPr>
          <w:rFonts w:ascii="Palatino Linotype" w:eastAsia="Palatino Linotype" w:hAnsi="Palatino Linotype" w:cs="Palatino Linotype"/>
          <w:i/>
        </w:rPr>
        <w:t xml:space="preserve"> Son atribuciones de los ayuntamientos: </w:t>
      </w:r>
    </w:p>
    <w:p w14:paraId="3AEC29A3"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i/>
        </w:rPr>
        <w:t>(…) </w:t>
      </w:r>
    </w:p>
    <w:p w14:paraId="11063353"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i/>
        </w:rPr>
        <w:t>XXIV Quáter.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35EBBA37" w14:textId="77777777" w:rsidR="0057442A" w:rsidRPr="00137487" w:rsidRDefault="0057442A" w:rsidP="0057442A">
      <w:pPr>
        <w:ind w:left="567" w:right="567"/>
        <w:jc w:val="both"/>
        <w:rPr>
          <w:rFonts w:ascii="Palatino Linotype" w:eastAsia="Palatino Linotype" w:hAnsi="Palatino Linotype" w:cs="Palatino Linotype"/>
          <w:i/>
        </w:rPr>
      </w:pPr>
    </w:p>
    <w:p w14:paraId="2F539943"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b/>
          <w:i/>
        </w:rPr>
        <w:t>Artículo 96.</w:t>
      </w:r>
      <w:r w:rsidRPr="00137487">
        <w:rPr>
          <w:rFonts w:ascii="Palatino Linotype" w:eastAsia="Palatino Linotype" w:hAnsi="Palatino Linotype" w:cs="Palatino Linotype"/>
          <w:i/>
        </w:rPr>
        <w:t xml:space="preserve"> Sexies.- </w:t>
      </w:r>
      <w:r w:rsidRPr="00137487">
        <w:rPr>
          <w:rFonts w:ascii="Palatino Linotype" w:eastAsia="Palatino Linotype" w:hAnsi="Palatino Linotype" w:cs="Palatino Linotype"/>
          <w:b/>
          <w:i/>
          <w:u w:val="single"/>
        </w:rPr>
        <w:t>El Director de Desarrollo Urbano</w:t>
      </w:r>
      <w:r w:rsidRPr="00137487">
        <w:rPr>
          <w:rFonts w:ascii="Palatino Linotype" w:eastAsia="Palatino Linotype" w:hAnsi="Palatino Linotype" w:cs="Palatino Linotype"/>
          <w:i/>
        </w:rPr>
        <w:t xml:space="preserve"> o el Titular de la Unidad Administrativa equivalente, tiene las atribuciones siguientes: </w:t>
      </w:r>
    </w:p>
    <w:p w14:paraId="352B6B8B" w14:textId="77777777" w:rsidR="0057442A" w:rsidRPr="00137487" w:rsidRDefault="0057442A" w:rsidP="0057442A">
      <w:pPr>
        <w:ind w:left="567" w:right="567"/>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p>
    <w:p w14:paraId="5DC982EB"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i/>
        </w:rPr>
        <w:t xml:space="preserve"> VI. Analizar las cédulas informativas de zonificación, licencias de uso de suelo y </w:t>
      </w:r>
      <w:r w:rsidRPr="00137487">
        <w:rPr>
          <w:rFonts w:ascii="Palatino Linotype" w:eastAsia="Palatino Linotype" w:hAnsi="Palatino Linotype" w:cs="Palatino Linotype"/>
          <w:b/>
          <w:i/>
          <w:u w:val="single"/>
        </w:rPr>
        <w:t>licencias de construcción</w:t>
      </w:r>
      <w:r w:rsidRPr="00137487">
        <w:rPr>
          <w:rFonts w:ascii="Palatino Linotype" w:eastAsia="Palatino Linotype" w:hAnsi="Palatino Linotype" w:cs="Palatino Linotype"/>
          <w:i/>
        </w:rPr>
        <w:t>; </w:t>
      </w:r>
    </w:p>
    <w:p w14:paraId="16B05FE5" w14:textId="77777777" w:rsidR="0057442A" w:rsidRPr="00137487" w:rsidRDefault="0057442A" w:rsidP="0057442A">
      <w:pPr>
        <w:ind w:left="567" w:right="567"/>
        <w:jc w:val="both"/>
        <w:rPr>
          <w:rFonts w:ascii="Palatino Linotype" w:eastAsia="Palatino Linotype" w:hAnsi="Palatino Linotype" w:cs="Palatino Linotype"/>
          <w:i/>
        </w:rPr>
      </w:pPr>
      <w:r w:rsidRPr="00137487">
        <w:rPr>
          <w:rFonts w:ascii="Palatino Linotype" w:eastAsia="Palatino Linotype" w:hAnsi="Palatino Linotype" w:cs="Palatino Linotype"/>
          <w:i/>
        </w:rPr>
        <w:lastRenderedPageBreak/>
        <w:t>VII. Vigilar la utilización y aprovechamiento del suelo con fines urbanos, en su circunscripción territorial;</w:t>
      </w:r>
    </w:p>
    <w:p w14:paraId="075B8499" w14:textId="77777777" w:rsidR="0057442A" w:rsidRPr="00137487" w:rsidRDefault="0057442A" w:rsidP="0057442A">
      <w:pPr>
        <w:ind w:left="567" w:right="567"/>
        <w:jc w:val="both"/>
        <w:rPr>
          <w:rFonts w:ascii="Palatino Linotype" w:hAnsi="Palatino Linotype"/>
        </w:rPr>
      </w:pPr>
      <w:r w:rsidRPr="00137487">
        <w:rPr>
          <w:rFonts w:ascii="Palatino Linotype" w:eastAsia="Palatino Linotype" w:hAnsi="Palatino Linotype" w:cs="Palatino Linotype"/>
          <w:i/>
        </w:rPr>
        <w:t xml:space="preserve">…” </w:t>
      </w:r>
    </w:p>
    <w:p w14:paraId="5CFAA218" w14:textId="77777777" w:rsidR="0057442A" w:rsidRPr="00137487" w:rsidRDefault="0057442A" w:rsidP="0057442A">
      <w:pPr>
        <w:rPr>
          <w:rFonts w:ascii="Palatino Linotype" w:hAnsi="Palatino Linotype"/>
        </w:rPr>
      </w:pPr>
    </w:p>
    <w:p w14:paraId="16295B9F"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 xml:space="preserve">Luego entonces le corresponde al Ayuntamiento, el otorgar licencias de construcción a través del </w:t>
      </w:r>
      <w:r w:rsidRPr="00137487">
        <w:rPr>
          <w:rFonts w:ascii="Palatino Linotype" w:eastAsia="Palatino Linotype" w:hAnsi="Palatino Linotype" w:cs="Palatino Linotype"/>
          <w:b/>
        </w:rPr>
        <w:t>Director de Desarrollo Urbano</w:t>
      </w:r>
      <w:r w:rsidRPr="00137487">
        <w:rPr>
          <w:rFonts w:ascii="Palatino Linotype" w:eastAsia="Palatino Linotype" w:hAnsi="Palatino Linotype" w:cs="Palatino Linotype"/>
        </w:rPr>
        <w:t>. </w:t>
      </w:r>
    </w:p>
    <w:p w14:paraId="4BACA1A0" w14:textId="77777777" w:rsidR="0057442A" w:rsidRPr="00137487" w:rsidRDefault="0057442A" w:rsidP="0057442A">
      <w:pPr>
        <w:spacing w:line="360" w:lineRule="auto"/>
        <w:jc w:val="both"/>
        <w:rPr>
          <w:rFonts w:ascii="Palatino Linotype" w:eastAsia="Palatino Linotype" w:hAnsi="Palatino Linotype" w:cs="Palatino Linotype"/>
        </w:rPr>
      </w:pPr>
    </w:p>
    <w:p w14:paraId="38C1602D"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En armonía con lo señalado anteriormente, el artículo 18.6, fracción II del Código Administrativo del Estado de México, dispone que son atribuciones de los Municipios, expedir licencias, permisos y constancias en materia de construcción, de conformidad con lo dispuesto por este Libro Décimo, las Normas Técnicas, los planes municipales de desarrollo urbano y demás normatividad aplicable; así como vigilar que las construcciones en proceso, terminadas o en demolición, se ajusten a las disposiciones de previstas, a los planes municipales de desarrollo urbano, entre otras. </w:t>
      </w:r>
    </w:p>
    <w:p w14:paraId="6D936B26" w14:textId="77777777" w:rsidR="0057442A" w:rsidRPr="00137487" w:rsidRDefault="0057442A" w:rsidP="0057442A">
      <w:pPr>
        <w:spacing w:line="360" w:lineRule="auto"/>
        <w:rPr>
          <w:rFonts w:ascii="Palatino Linotype" w:hAnsi="Palatino Linotype"/>
        </w:rPr>
      </w:pPr>
    </w:p>
    <w:p w14:paraId="4B82719D"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664D6195" w14:textId="77777777" w:rsidR="0057442A" w:rsidRPr="00137487" w:rsidRDefault="0057442A" w:rsidP="0057442A">
      <w:pPr>
        <w:rPr>
          <w:rFonts w:ascii="Palatino Linotype" w:hAnsi="Palatino Linotype"/>
        </w:rPr>
      </w:pPr>
    </w:p>
    <w:p w14:paraId="41A59142"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“Artículo 18.3.- Toda construcción se sujetará a lo siguiente: </w:t>
      </w:r>
    </w:p>
    <w:p w14:paraId="07C25BAF"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 A las disposiciones de este Libro, del Libro Quinto del Código y su Reglamento, a las Normas Técnicas y a las demás disposiciones jurídicas aplicables; </w:t>
      </w:r>
    </w:p>
    <w:p w14:paraId="4643FFB9"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lastRenderedPageBreak/>
        <w:t>II. Requerirán para su ejecución de la correspondiente licencia de construcción, salvo los casos de excepción que se establecen en este Libro; </w:t>
      </w:r>
    </w:p>
    <w:p w14:paraId="39B62A0F"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III. Requerirán de la respectiva constancia de terminación de obra; </w:t>
      </w:r>
    </w:p>
    <w:p w14:paraId="1C7850BA"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IV. Observarán la normatividad de uso y aprovechamiento del suelo contenida en los planes de desarrollo urbano correspondientes; </w:t>
      </w:r>
    </w:p>
    <w:p w14:paraId="4EBDA9CA"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 Contarán con los cajones de estacionamiento que establezca el plan municipal de desarrollo urbano correspondiente, atendiendo lo que al respecto determine la normatividad aplicable; </w:t>
      </w:r>
    </w:p>
    <w:p w14:paraId="5D278964"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 Garantizarán su iluminación, ventilación y asoleamiento, la mitigación de efectos negativos que puedan causar a las construcciones vecinas; </w:t>
      </w:r>
    </w:p>
    <w:p w14:paraId="50CEA774"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VII. Cumplirán los requisitos de seguridad estructural que les permitan satisfacer los fines para los cuales fueron proyectadas; </w:t>
      </w:r>
    </w:p>
    <w:p w14:paraId="22FAFD16"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VIII. Estarán provistas de los servicios básicos de agua potable, desalojo de aguas residuales y energía eléctrica; </w:t>
      </w:r>
    </w:p>
    <w:p w14:paraId="11CBF6B5"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IX. Dispondrán de espacios y muebles sanitarios de bajo consumo de agua, en número suficiente para los usuarios y de conformidad a las normas oficiales mexicanas; </w:t>
      </w:r>
    </w:p>
    <w:p w14:paraId="58C43CB1"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X. Cumplirán con las previsiones correspondientes a protección civil, ingeniería sanitaria y personas con discapacidad; </w:t>
      </w:r>
    </w:p>
    <w:p w14:paraId="7B594251"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2A520C79"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XII. Las dedicadas a servicios de radiotelecomunicación o similares y anuncios publicitarios que requieran elementos estructurales, fomentarán su integración al contexto y se ajustarán a las disposiciones aplicables; y </w:t>
      </w:r>
    </w:p>
    <w:p w14:paraId="28B538ED"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XIII. Procurarán la utilización de tecnologías a efecto de lograr un aprovechamiento sustentable de los recursos naturales y el cuidado de la biosfera.”</w:t>
      </w:r>
    </w:p>
    <w:p w14:paraId="4B55B410" w14:textId="77777777" w:rsidR="0057442A" w:rsidRPr="00137487" w:rsidRDefault="0057442A" w:rsidP="0057442A">
      <w:pPr>
        <w:spacing w:line="360" w:lineRule="auto"/>
        <w:rPr>
          <w:rFonts w:ascii="Palatino Linotype" w:eastAsia="Palatino Linotype" w:hAnsi="Palatino Linotype" w:cs="Palatino Linotype"/>
        </w:rPr>
      </w:pPr>
    </w:p>
    <w:p w14:paraId="31E9AD18" w14:textId="77777777" w:rsidR="0057442A" w:rsidRPr="00137487" w:rsidRDefault="0057442A" w:rsidP="0057442A">
      <w:pPr>
        <w:spacing w:line="360" w:lineRule="auto"/>
        <w:jc w:val="both"/>
        <w:rPr>
          <w:rFonts w:ascii="Palatino Linotype" w:hAnsi="Palatino Linotype"/>
        </w:rPr>
      </w:pPr>
      <w:r w:rsidRPr="00137487">
        <w:rPr>
          <w:rFonts w:ascii="Palatino Linotype" w:eastAsia="Palatino Linotype" w:hAnsi="Palatino Linotype" w:cs="Palatino Linotype"/>
        </w:rPr>
        <w:lastRenderedPageBreak/>
        <w:t>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sólo surte efectos respecto del inmueble a que la 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6CA23F0B" w14:textId="77777777" w:rsidR="0057442A" w:rsidRPr="00137487" w:rsidRDefault="0057442A" w:rsidP="0057442A">
      <w:pPr>
        <w:rPr>
          <w:rFonts w:ascii="Palatino Linotype" w:eastAsia="Palatino Linotype" w:hAnsi="Palatino Linotype" w:cs="Palatino Linotype"/>
        </w:rPr>
      </w:pPr>
    </w:p>
    <w:p w14:paraId="27597438"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18.20.- La licencia de construcción</w:t>
      </w:r>
      <w:r w:rsidRPr="00137487">
        <w:rPr>
          <w:rFonts w:ascii="Palatino Linotype" w:eastAsia="Palatino Linotype" w:hAnsi="Palatino Linotype" w:cs="Palatino Linotype"/>
          <w:i/>
        </w:rPr>
        <w:t xml:space="preserve"> tiene por objeto autorizar: </w:t>
      </w:r>
    </w:p>
    <w:p w14:paraId="2DCC5F7D"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 Obra nueva; </w:t>
      </w:r>
    </w:p>
    <w:p w14:paraId="1477FB68"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II. Ampliación, modificación o reparación que afecte elementos estructurales de la obra existente; </w:t>
      </w:r>
    </w:p>
    <w:p w14:paraId="59F472B6"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III. Demolición parcial o total;</w:t>
      </w:r>
    </w:p>
    <w:p w14:paraId="11E19739"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IV. Excavación o relleno; </w:t>
      </w:r>
    </w:p>
    <w:p w14:paraId="167316CA"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 Construcción de bardas; </w:t>
      </w:r>
    </w:p>
    <w:p w14:paraId="583DF5E2"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 Obras de conexión a las redes de agua potable y drenaje; </w:t>
      </w:r>
    </w:p>
    <w:p w14:paraId="5C0EC946"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VII. Modificación del proyecto de una obra autorizada; </w:t>
      </w:r>
    </w:p>
    <w:p w14:paraId="3E4C6B08"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VIII. Construcción e instalación de estaciones repetidoras y antenas para radiotelecomunicaciones; </w:t>
      </w:r>
    </w:p>
    <w:p w14:paraId="14B2DB44"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IX. Anuncios publicitarios que requieran de elementos estructurales; y </w:t>
      </w:r>
    </w:p>
    <w:p w14:paraId="2C926C83"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lastRenderedPageBreak/>
        <w:t>X. Instalaciones o modificaciones de ascensores para personas, montacargas, escaleras mecánicas o cualquier otro mecanismo de transporte electromecánico. </w:t>
      </w:r>
    </w:p>
    <w:p w14:paraId="0859A8E6"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72B121B8"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10678975" w14:textId="77777777" w:rsidR="0057442A" w:rsidRPr="00137487" w:rsidRDefault="0057442A" w:rsidP="0057442A">
      <w:pPr>
        <w:spacing w:line="276" w:lineRule="auto"/>
        <w:ind w:left="851" w:right="567"/>
        <w:jc w:val="both"/>
        <w:rPr>
          <w:rFonts w:ascii="Palatino Linotype" w:hAnsi="Palatino Linotype"/>
        </w:rPr>
      </w:pPr>
      <w:r w:rsidRPr="00137487">
        <w:rPr>
          <w:rFonts w:ascii="Palatino Linotype" w:eastAsia="Palatino Linotype" w:hAnsi="Palatino Linotype" w:cs="Palatino Linotype"/>
          <w:i/>
        </w:rPr>
        <w:t xml:space="preserve">Quedan exceptuadas de obtener la licencia de construcción a que se refiere el presente artículo, las obras que se ejecuten en bienes inmuebles que sean propiedad o posesión del Gobierno del Estado de México y destinados a la prestación de servicios públicos.” </w:t>
      </w:r>
    </w:p>
    <w:p w14:paraId="6F10F97C" w14:textId="77777777" w:rsidR="0057442A" w:rsidRPr="00137487" w:rsidRDefault="0057442A" w:rsidP="0057442A">
      <w:pPr>
        <w:rPr>
          <w:rFonts w:ascii="Palatino Linotype" w:eastAsia="Palatino Linotype" w:hAnsi="Palatino Linotype" w:cs="Palatino Linotype"/>
        </w:rPr>
      </w:pPr>
    </w:p>
    <w:p w14:paraId="793FFBC9"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En ese sentido se comprende, que el</w:t>
      </w:r>
      <w:r w:rsidRPr="00137487">
        <w:rPr>
          <w:rFonts w:ascii="Palatino Linotype" w:eastAsia="Palatino Linotype" w:hAnsi="Palatino Linotype" w:cs="Palatino Linotype"/>
          <w:b/>
        </w:rPr>
        <w:t xml:space="preserve"> Sujeto Obligado </w:t>
      </w:r>
      <w:r w:rsidRPr="00137487">
        <w:rPr>
          <w:rFonts w:ascii="Palatino Linotype" w:eastAsia="Palatino Linotype" w:hAnsi="Palatino Linotype" w:cs="Palatino Linotype"/>
        </w:rPr>
        <w:t xml:space="preserve">es competente para atender las cuestiones de fondo del presente medio de impugnación. </w:t>
      </w:r>
    </w:p>
    <w:p w14:paraId="135DC40C"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Por otra parte, es de precisar que la información solicitada constituye una obligación de transparencia pues la fracción XXXII del artículo 92 de la Ley de la materia, prevé lo siguiente:</w:t>
      </w:r>
    </w:p>
    <w:p w14:paraId="0F36AB5F" w14:textId="77777777" w:rsidR="0057442A" w:rsidRPr="00137487" w:rsidRDefault="0057442A" w:rsidP="0057442A">
      <w:pPr>
        <w:spacing w:line="276" w:lineRule="auto"/>
        <w:ind w:left="851" w:right="616"/>
        <w:jc w:val="both"/>
        <w:rPr>
          <w:rFonts w:ascii="Palatino Linotype" w:hAnsi="Palatino Linotype"/>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92.</w:t>
      </w:r>
      <w:r w:rsidRPr="0013748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591907" w14:textId="77777777" w:rsidR="0057442A" w:rsidRPr="00137487" w:rsidRDefault="0057442A" w:rsidP="0057442A">
      <w:pPr>
        <w:spacing w:line="276" w:lineRule="auto"/>
        <w:ind w:left="851" w:right="616"/>
        <w:jc w:val="both"/>
        <w:rPr>
          <w:rFonts w:ascii="Palatino Linotype" w:hAnsi="Palatino Linotype"/>
        </w:rPr>
      </w:pPr>
      <w:r w:rsidRPr="00137487">
        <w:rPr>
          <w:rFonts w:ascii="Palatino Linotype" w:eastAsia="Palatino Linotype" w:hAnsi="Palatino Linotype" w:cs="Palatino Linotype"/>
          <w:b/>
          <w:i/>
        </w:rPr>
        <w:t>...</w:t>
      </w:r>
    </w:p>
    <w:p w14:paraId="58220040"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lastRenderedPageBreak/>
        <w:t>XXXII.</w:t>
      </w:r>
      <w:r w:rsidRPr="00137487">
        <w:rPr>
          <w:rFonts w:ascii="Palatino Linotype" w:eastAsia="Palatino Linotype" w:hAnsi="Palatino Linotype" w:cs="Palatino Linotype"/>
          <w:i/>
        </w:rPr>
        <w:t xml:space="preserve"> Las concesiones, contratos, convenios, permisos, </w:t>
      </w:r>
      <w:r w:rsidRPr="00137487">
        <w:rPr>
          <w:rFonts w:ascii="Palatino Linotype" w:eastAsia="Palatino Linotype" w:hAnsi="Palatino Linotype" w:cs="Palatino Linotype"/>
          <w:b/>
          <w:i/>
        </w:rPr>
        <w:t>licencias</w:t>
      </w:r>
      <w:r w:rsidRPr="00137487">
        <w:rPr>
          <w:rFonts w:ascii="Palatino Linotype" w:eastAsia="Palatino Linotype" w:hAnsi="Palatino Linotype" w:cs="Palatino Linotype"/>
          <w:i/>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45164EF" w14:textId="7A40084B" w:rsidR="00BA09E0" w:rsidRPr="00137487" w:rsidRDefault="00BA09E0" w:rsidP="00BA09E0">
      <w:pPr>
        <w:spacing w:after="0" w:line="360" w:lineRule="auto"/>
        <w:ind w:right="-787"/>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Ahora bien, del análisis a las constancias que integran los expedientes electrónicos de mérito, se advierte que si bien el Sujeto Obligado proporcionó en respuesta diversas licencias de construcción, prórrogas y conclusiones de obra, dichos documentos fueron proporcionadas en versión pública, sin acompañarse del Comité de Transparencia, que apruebe la clasificación de información confidencial de forma parcial. </w:t>
      </w:r>
    </w:p>
    <w:p w14:paraId="7E59E110" w14:textId="6180EAF8" w:rsidR="00A14788" w:rsidRPr="00137487" w:rsidRDefault="00BA09E0" w:rsidP="00A14788">
      <w:pPr>
        <w:spacing w:after="0"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Advirtiendo, además que </w:t>
      </w:r>
      <w:r w:rsidR="00A14788" w:rsidRPr="00137487">
        <w:rPr>
          <w:rFonts w:ascii="Palatino Linotype" w:eastAsia="Palatino Linotype" w:hAnsi="Palatino Linotype" w:cs="Palatino Linotype"/>
        </w:rPr>
        <w:t>licencias se encuentran en versión pública, sin embargo, testó información de carácter pública como lo es datos del predio, número oficial, lote, superficie, y omitió hacer entrega del acuerdo del Comité de Transparencia que sustentan las versiones públicas.</w:t>
      </w:r>
    </w:p>
    <w:p w14:paraId="36FFBBA7" w14:textId="591C0F88" w:rsidR="00A14788" w:rsidRPr="00137487" w:rsidRDefault="00A14788" w:rsidP="00A14788">
      <w:pPr>
        <w:spacing w:after="0" w:line="360" w:lineRule="auto"/>
        <w:jc w:val="both"/>
        <w:rPr>
          <w:rFonts w:ascii="Palatino Linotype" w:eastAsia="Palatino Linotype" w:hAnsi="Palatino Linotype" w:cs="Palatino Linotype"/>
        </w:rPr>
      </w:pPr>
    </w:p>
    <w:p w14:paraId="24B36090"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bCs/>
          <w:iCs/>
        </w:rPr>
        <w:t>por lo que se procede analizar dicha circunstancia, para lo cual e</w:t>
      </w:r>
      <w:r w:rsidRPr="00137487">
        <w:rPr>
          <w:rFonts w:ascii="Palatino Linotype" w:hAnsi="Palatino Linotype" w:cs="Tahoma"/>
          <w:bCs/>
        </w:rPr>
        <w:t xml:space="preserve"> artículo 143, fracción I, de la Ley previamente citada, establece que la información privada y los datos personales, concernientes a una persona física o jurídica colectiva identificada o identificable son confidenciales.</w:t>
      </w:r>
    </w:p>
    <w:p w14:paraId="108C2EE9" w14:textId="77777777" w:rsidR="00A14788" w:rsidRPr="00137487" w:rsidRDefault="00A14788" w:rsidP="00A14788">
      <w:pPr>
        <w:spacing w:line="360" w:lineRule="auto"/>
        <w:contextualSpacing/>
        <w:jc w:val="both"/>
        <w:rPr>
          <w:rFonts w:ascii="Palatino Linotype" w:hAnsi="Palatino Linotype" w:cs="Tahoma"/>
          <w:bCs/>
        </w:rPr>
      </w:pPr>
    </w:p>
    <w:p w14:paraId="6CF055C4"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137487">
        <w:rPr>
          <w:rFonts w:ascii="Palatino Linotype" w:hAnsi="Palatino Linotype" w:cs="Tahoma"/>
          <w:bCs/>
        </w:rPr>
        <w:lastRenderedPageBreak/>
        <w:t>terceros o cuando se transmita entre sujetos obligados en términos de los tratados y los acuerdos interinstitucionales.</w:t>
      </w:r>
    </w:p>
    <w:p w14:paraId="5B173816" w14:textId="77777777" w:rsidR="00A14788" w:rsidRPr="00137487" w:rsidRDefault="00A14788" w:rsidP="00A14788">
      <w:pPr>
        <w:spacing w:line="360" w:lineRule="auto"/>
        <w:contextualSpacing/>
        <w:jc w:val="both"/>
        <w:rPr>
          <w:rFonts w:ascii="Palatino Linotype" w:hAnsi="Palatino Linotype" w:cs="Tahoma"/>
          <w:bCs/>
        </w:rPr>
      </w:pPr>
    </w:p>
    <w:p w14:paraId="24CF95CF"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En términos de lo expuesto, la documentación y aquellos datos que se consideren confidenciales, serán una limitante del derecho de acceso a la información, siempre y cuando:</w:t>
      </w:r>
    </w:p>
    <w:p w14:paraId="4AB2FCAB" w14:textId="77777777" w:rsidR="00A14788" w:rsidRPr="00137487" w:rsidRDefault="00A14788" w:rsidP="00A14788">
      <w:pPr>
        <w:spacing w:line="360" w:lineRule="auto"/>
        <w:contextualSpacing/>
        <w:jc w:val="both"/>
        <w:rPr>
          <w:rFonts w:ascii="Palatino Linotype" w:hAnsi="Palatino Linotype" w:cs="Tahoma"/>
          <w:bCs/>
        </w:rPr>
      </w:pPr>
    </w:p>
    <w:p w14:paraId="4F93F720" w14:textId="77777777" w:rsidR="00A14788" w:rsidRPr="00137487" w:rsidRDefault="00A14788" w:rsidP="00A14788">
      <w:pPr>
        <w:numPr>
          <w:ilvl w:val="0"/>
          <w:numId w:val="33"/>
        </w:numPr>
        <w:spacing w:after="0" w:line="360" w:lineRule="auto"/>
        <w:contextualSpacing/>
        <w:jc w:val="both"/>
        <w:rPr>
          <w:rFonts w:ascii="Palatino Linotype" w:hAnsi="Palatino Linotype" w:cs="Tahoma"/>
          <w:bCs/>
        </w:rPr>
      </w:pPr>
      <w:r w:rsidRPr="00137487">
        <w:rPr>
          <w:rFonts w:ascii="Palatino Linotype" w:hAnsi="Palatino Linotype" w:cs="Tahoma"/>
          <w:bCs/>
        </w:rPr>
        <w:t xml:space="preserve">Se trate de datos personales o información privada; esto es, información concerniente a una persona física o jurídico colectiva y que esta sea identificada o identificable. </w:t>
      </w:r>
    </w:p>
    <w:p w14:paraId="7A7C59A4" w14:textId="77777777" w:rsidR="00A14788" w:rsidRPr="00137487" w:rsidRDefault="00A14788" w:rsidP="00A14788">
      <w:pPr>
        <w:spacing w:line="360" w:lineRule="auto"/>
        <w:contextualSpacing/>
        <w:jc w:val="both"/>
        <w:rPr>
          <w:rFonts w:ascii="Palatino Linotype" w:hAnsi="Palatino Linotype" w:cs="Tahoma"/>
          <w:bCs/>
        </w:rPr>
      </w:pPr>
    </w:p>
    <w:p w14:paraId="0F87F2AD" w14:textId="77777777" w:rsidR="00A14788" w:rsidRPr="00137487" w:rsidRDefault="00A14788" w:rsidP="00A14788">
      <w:pPr>
        <w:numPr>
          <w:ilvl w:val="0"/>
          <w:numId w:val="33"/>
        </w:numPr>
        <w:spacing w:after="0" w:line="360" w:lineRule="auto"/>
        <w:contextualSpacing/>
        <w:jc w:val="both"/>
        <w:rPr>
          <w:rFonts w:ascii="Palatino Linotype" w:hAnsi="Palatino Linotype" w:cs="Tahoma"/>
          <w:bCs/>
        </w:rPr>
      </w:pPr>
      <w:r w:rsidRPr="00137487">
        <w:rPr>
          <w:rFonts w:ascii="Palatino Linotype" w:hAnsi="Palatino Linotype" w:cs="Tahoma"/>
          <w:bCs/>
        </w:rPr>
        <w:t xml:space="preserve">Para la difusión de los datos, se requiera el consentimiento del titular. </w:t>
      </w:r>
    </w:p>
    <w:p w14:paraId="6D758154" w14:textId="77777777" w:rsidR="00A14788" w:rsidRPr="00137487" w:rsidRDefault="00A14788" w:rsidP="00A14788">
      <w:pPr>
        <w:spacing w:line="360" w:lineRule="auto"/>
        <w:contextualSpacing/>
        <w:jc w:val="both"/>
        <w:rPr>
          <w:rFonts w:ascii="Palatino Linotype" w:hAnsi="Palatino Linotype" w:cs="Tahoma"/>
          <w:bCs/>
        </w:rPr>
      </w:pPr>
    </w:p>
    <w:p w14:paraId="4FEF7358"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028CC50" w14:textId="77777777" w:rsidR="00A14788" w:rsidRPr="00137487" w:rsidRDefault="00A14788" w:rsidP="00A14788">
      <w:pPr>
        <w:spacing w:line="360" w:lineRule="auto"/>
        <w:contextualSpacing/>
        <w:jc w:val="both"/>
        <w:rPr>
          <w:rFonts w:ascii="Palatino Linotype" w:hAnsi="Palatino Linotype" w:cs="Tahoma"/>
          <w:bCs/>
        </w:rPr>
      </w:pPr>
    </w:p>
    <w:p w14:paraId="2832EEA2"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137487">
        <w:rPr>
          <w:rFonts w:ascii="Palatino Linotype" w:hAnsi="Palatino Linotype" w:cs="Tahoma"/>
          <w:bCs/>
        </w:rPr>
        <w:lastRenderedPageBreak/>
        <w:t>con el consentimiento de su titular, además de que debe estar justificado en ley (principio de finalidad).</w:t>
      </w:r>
    </w:p>
    <w:p w14:paraId="44F980F6" w14:textId="77777777" w:rsidR="00A14788" w:rsidRPr="00137487" w:rsidRDefault="00A14788" w:rsidP="00A14788">
      <w:pPr>
        <w:spacing w:line="360" w:lineRule="auto"/>
        <w:contextualSpacing/>
        <w:jc w:val="both"/>
        <w:rPr>
          <w:rFonts w:ascii="Palatino Linotype" w:hAnsi="Palatino Linotype" w:cs="Tahoma"/>
          <w:bCs/>
        </w:rPr>
      </w:pPr>
    </w:p>
    <w:p w14:paraId="32D53B7A"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3957968E" w14:textId="77777777" w:rsidR="00A14788" w:rsidRPr="00137487" w:rsidRDefault="00A14788" w:rsidP="00A14788">
      <w:pPr>
        <w:spacing w:line="360" w:lineRule="auto"/>
        <w:contextualSpacing/>
        <w:rPr>
          <w:rFonts w:cs="Tahoma"/>
          <w:bCs/>
        </w:rPr>
      </w:pPr>
    </w:p>
    <w:p w14:paraId="70379A41" w14:textId="77777777" w:rsidR="00A14788" w:rsidRPr="00137487" w:rsidRDefault="00A14788" w:rsidP="00A14788">
      <w:pPr>
        <w:numPr>
          <w:ilvl w:val="0"/>
          <w:numId w:val="26"/>
        </w:numPr>
        <w:spacing w:after="0" w:line="360" w:lineRule="auto"/>
        <w:contextualSpacing/>
        <w:jc w:val="both"/>
        <w:rPr>
          <w:rFonts w:ascii="Palatino Linotype" w:hAnsi="Palatino Linotype" w:cs="Tahoma"/>
          <w:b/>
        </w:rPr>
      </w:pPr>
      <w:r w:rsidRPr="00137487">
        <w:rPr>
          <w:rFonts w:ascii="Palatino Linotype" w:hAnsi="Palatino Linotype" w:cs="Tahoma"/>
          <w:b/>
        </w:rPr>
        <w:t>Nombre del propietario</w:t>
      </w:r>
    </w:p>
    <w:p w14:paraId="20259332" w14:textId="77777777" w:rsidR="00A14788" w:rsidRPr="00137487" w:rsidRDefault="00A14788" w:rsidP="00A14788">
      <w:pPr>
        <w:spacing w:line="360" w:lineRule="auto"/>
        <w:contextualSpacing/>
        <w:jc w:val="both"/>
        <w:rPr>
          <w:rFonts w:ascii="Palatino Linotype" w:hAnsi="Palatino Linotype" w:cs="Tahoma"/>
          <w:bCs/>
        </w:rPr>
      </w:pPr>
    </w:p>
    <w:p w14:paraId="5C8CA813" w14:textId="77777777" w:rsidR="00A14788" w:rsidRPr="00137487" w:rsidRDefault="00A14788" w:rsidP="00A14788">
      <w:pPr>
        <w:spacing w:line="360" w:lineRule="auto"/>
        <w:contextualSpacing/>
        <w:jc w:val="both"/>
        <w:rPr>
          <w:rFonts w:ascii="Palatino Linotype" w:hAnsi="Palatino Linotype" w:cs="Tahoma"/>
          <w:b/>
        </w:rPr>
      </w:pPr>
      <w:r w:rsidRPr="00137487">
        <w:rPr>
          <w:rFonts w:ascii="Palatino Linotype" w:hAnsi="Palatino Linotype" w:cs="Tahoma"/>
          <w:b/>
        </w:rPr>
        <w:t>Persona física</w:t>
      </w:r>
    </w:p>
    <w:p w14:paraId="1B18C29D" w14:textId="77777777" w:rsidR="00A14788" w:rsidRPr="00137487" w:rsidRDefault="00A14788" w:rsidP="00A14788">
      <w:pPr>
        <w:spacing w:line="360" w:lineRule="auto"/>
        <w:contextualSpacing/>
        <w:jc w:val="both"/>
        <w:rPr>
          <w:rFonts w:ascii="Palatino Linotype" w:hAnsi="Palatino Linotype" w:cs="Tahoma"/>
          <w:bCs/>
        </w:rPr>
      </w:pPr>
    </w:p>
    <w:p w14:paraId="1FEEAF1E" w14:textId="77777777" w:rsidR="00A14788" w:rsidRPr="00137487" w:rsidRDefault="00A14788" w:rsidP="00A14788">
      <w:pPr>
        <w:spacing w:line="360" w:lineRule="auto"/>
        <w:contextualSpacing/>
        <w:jc w:val="both"/>
        <w:rPr>
          <w:rFonts w:ascii="Palatino Linotype" w:hAnsi="Palatino Linotype" w:cs="Tahoma"/>
          <w:b/>
          <w:bCs/>
          <w:lang w:val="es-ES_tradnl"/>
        </w:rPr>
      </w:pPr>
      <w:r w:rsidRPr="00137487">
        <w:rPr>
          <w:rFonts w:ascii="Palatino Linotype" w:hAnsi="Palatino Linotype" w:cs="Tahoma"/>
          <w:bCs/>
        </w:rPr>
        <w:t xml:space="preserve">Al respecto, </w:t>
      </w:r>
      <w:r w:rsidRPr="00137487">
        <w:rPr>
          <w:rFonts w:ascii="Palatino Linotype" w:hAnsi="Palatino Linotype" w:cs="Tahoma"/>
          <w:bCs/>
          <w:lang w:val="es-ES"/>
        </w:rPr>
        <w:t xml:space="preserve">se considera que el nombre se integra </w:t>
      </w:r>
      <w:r w:rsidRPr="00137487">
        <w:rPr>
          <w:rFonts w:ascii="Palatino Linotype" w:hAnsi="Palatino Linotype"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37487">
        <w:rPr>
          <w:rFonts w:ascii="Palatino Linotype" w:hAnsi="Palatino Linotype" w:cs="Tahoma"/>
          <w:bCs/>
          <w:i/>
          <w:lang w:val="es-ES_tradnl"/>
        </w:rPr>
        <w:t>per se</w:t>
      </w:r>
      <w:r w:rsidRPr="00137487">
        <w:rPr>
          <w:rFonts w:ascii="Palatino Linotype" w:hAnsi="Palatino Linotype" w:cs="Tahoma"/>
          <w:bCs/>
          <w:lang w:val="es-ES_tradnl"/>
        </w:rPr>
        <w:t xml:space="preserve"> es un elemento que hace a una persona física identificada o identificable, por lo que, </w:t>
      </w:r>
      <w:r w:rsidRPr="00137487">
        <w:rPr>
          <w:rFonts w:ascii="Palatino Linotype" w:hAnsi="Palatino Linotype" w:cs="Tahoma"/>
          <w:b/>
          <w:bCs/>
          <w:lang w:val="es-ES_tradnl"/>
        </w:rPr>
        <w:t>se considera un dato personal.</w:t>
      </w:r>
    </w:p>
    <w:p w14:paraId="22C0E093" w14:textId="77777777" w:rsidR="00A14788" w:rsidRPr="00137487" w:rsidRDefault="00A14788" w:rsidP="00A14788">
      <w:pPr>
        <w:spacing w:line="360" w:lineRule="auto"/>
        <w:contextualSpacing/>
        <w:jc w:val="both"/>
        <w:rPr>
          <w:rFonts w:ascii="Palatino Linotype" w:hAnsi="Palatino Linotype" w:cs="Tahoma"/>
          <w:bCs/>
        </w:rPr>
      </w:pPr>
    </w:p>
    <w:p w14:paraId="5C74369A" w14:textId="77777777" w:rsidR="00A14788" w:rsidRPr="00137487" w:rsidRDefault="00A14788" w:rsidP="00A14788">
      <w:pPr>
        <w:spacing w:line="360" w:lineRule="auto"/>
        <w:contextualSpacing/>
        <w:jc w:val="both"/>
        <w:rPr>
          <w:rFonts w:ascii="Palatino Linotype" w:hAnsi="Palatino Linotype" w:cs="Tahoma"/>
          <w:bCs/>
          <w:lang w:val="es-ES_tradnl"/>
        </w:rPr>
      </w:pPr>
      <w:r w:rsidRPr="00137487">
        <w:rPr>
          <w:rFonts w:ascii="Palatino Linotype" w:hAnsi="Palatino Linotype" w:cs="Tahoma"/>
          <w:bCs/>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715F8B8F" w14:textId="77777777" w:rsidR="00A14788" w:rsidRPr="00137487" w:rsidRDefault="00A14788" w:rsidP="00A14788">
      <w:pPr>
        <w:spacing w:line="360" w:lineRule="auto"/>
        <w:contextualSpacing/>
        <w:jc w:val="both"/>
        <w:rPr>
          <w:rFonts w:ascii="Palatino Linotype" w:hAnsi="Palatino Linotype" w:cs="Tahoma"/>
          <w:bCs/>
          <w:lang w:val="es-ES_tradnl"/>
        </w:rPr>
      </w:pPr>
    </w:p>
    <w:p w14:paraId="7979D014" w14:textId="77777777" w:rsidR="00A14788" w:rsidRPr="00137487" w:rsidRDefault="00A14788" w:rsidP="007D01D2">
      <w:pPr>
        <w:spacing w:line="276" w:lineRule="auto"/>
        <w:ind w:left="567" w:right="567"/>
        <w:contextualSpacing/>
        <w:jc w:val="both"/>
        <w:rPr>
          <w:rFonts w:ascii="Palatino Linotype" w:hAnsi="Palatino Linotype" w:cs="Tahoma"/>
          <w:bCs/>
          <w:i/>
          <w:iCs/>
          <w:lang w:val="es-ES"/>
        </w:rPr>
      </w:pPr>
      <w:r w:rsidRPr="00137487">
        <w:rPr>
          <w:rFonts w:ascii="Palatino Linotype" w:hAnsi="Palatino Linotype" w:cs="Tahoma"/>
          <w:b/>
          <w:bCs/>
          <w:i/>
          <w:iCs/>
          <w:lang w:val="es-ES"/>
        </w:rPr>
        <w:t>“Nombre del titular de una licencia que no involucre el aprovechamiento de bienes, servicios y/o recursos públicos, constituye un dato personal susceptible de clasificar como confidencial.</w:t>
      </w:r>
      <w:r w:rsidRPr="00137487">
        <w:rPr>
          <w:rFonts w:ascii="Palatino Linotype" w:hAnsi="Palatino Linotype" w:cs="Tahoma"/>
          <w:bCs/>
          <w:i/>
          <w:iCs/>
          <w:lang w:val="es-ES"/>
        </w:rPr>
        <w:t xml:space="preserve"> El artículo 1, párrafo segundo de la Constitución Política de los Estados Unidos Mexicanos determina que las normas relativas a los derechos </w:t>
      </w:r>
      <w:r w:rsidRPr="00137487">
        <w:rPr>
          <w:rFonts w:ascii="Palatino Linotype" w:hAnsi="Palatino Linotype" w:cs="Tahoma"/>
          <w:bCs/>
          <w:i/>
          <w:iCs/>
          <w:lang w:val="es-ES"/>
        </w:rPr>
        <w:lastRenderedPageBreak/>
        <w:t>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1307518" w14:textId="77777777" w:rsidR="00A14788" w:rsidRPr="00137487" w:rsidRDefault="00A14788" w:rsidP="00A14788">
      <w:pPr>
        <w:spacing w:line="360" w:lineRule="auto"/>
        <w:contextualSpacing/>
        <w:jc w:val="both"/>
        <w:rPr>
          <w:rFonts w:ascii="Palatino Linotype" w:hAnsi="Palatino Linotype" w:cs="Tahoma"/>
          <w:bCs/>
          <w:lang w:val="es-ES"/>
        </w:rPr>
      </w:pPr>
    </w:p>
    <w:p w14:paraId="4B08EDDD"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09A1073" w14:textId="77777777" w:rsidR="00A14788" w:rsidRPr="00137487" w:rsidRDefault="00A14788" w:rsidP="00A14788">
      <w:pPr>
        <w:spacing w:line="360" w:lineRule="auto"/>
        <w:contextualSpacing/>
        <w:jc w:val="both"/>
        <w:rPr>
          <w:rFonts w:ascii="Palatino Linotype" w:hAnsi="Palatino Linotype" w:cs="Tahoma"/>
          <w:bCs/>
        </w:rPr>
      </w:pPr>
    </w:p>
    <w:p w14:paraId="2175EB77"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rPr>
        <w:lastRenderedPageBreak/>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137487">
        <w:rPr>
          <w:rFonts w:ascii="Palatino Linotype" w:hAnsi="Palatino Linotype" w:cs="Tahoma"/>
          <w:bCs/>
          <w:lang w:val="es-ES"/>
        </w:rPr>
        <w:t>6f LGT_Art_71_Fr_If (Licencias de Uso de Suelo) y 7f LGT_Art_71_Fr_If (Licencias de construcción), de los Lineamientos Generales, establecen lo siguiente:</w:t>
      </w:r>
    </w:p>
    <w:p w14:paraId="43D6E5FC" w14:textId="77777777" w:rsidR="00A14788" w:rsidRPr="00137487" w:rsidRDefault="00A14788" w:rsidP="00A14788">
      <w:pPr>
        <w:spacing w:line="360" w:lineRule="auto"/>
        <w:contextualSpacing/>
        <w:jc w:val="both"/>
        <w:rPr>
          <w:rFonts w:ascii="Palatino Linotype" w:hAnsi="Palatino Linotype" w:cs="Tahoma"/>
          <w:bCs/>
          <w:lang w:val="es-ES"/>
        </w:rPr>
      </w:pPr>
    </w:p>
    <w:p w14:paraId="2641BF67"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noProof/>
        </w:rPr>
        <w:drawing>
          <wp:inline distT="0" distB="0" distL="0" distR="0" wp14:anchorId="610F65BC" wp14:editId="26BECC44">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43589781"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noProof/>
        </w:rPr>
        <mc:AlternateContent>
          <mc:Choice Requires="wps">
            <w:drawing>
              <wp:anchor distT="0" distB="0" distL="114300" distR="114300" simplePos="0" relativeHeight="251661312" behindDoc="0" locked="0" layoutInCell="1" allowOverlap="1" wp14:anchorId="00AF26EC" wp14:editId="5A74D385">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74A568" id="Rectángulo 12" o:spid="_x0000_s1026" style="position:absolute;margin-left:252.1pt;margin-top:2.6pt;width:12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" filled="f" strokecolor="windowText" strokeweight="3pt"/>
            </w:pict>
          </mc:Fallback>
        </mc:AlternateContent>
      </w:r>
      <w:r w:rsidRPr="00137487">
        <w:rPr>
          <w:rFonts w:ascii="Palatino Linotype" w:hAnsi="Palatino Linotype" w:cs="Tahoma"/>
          <w:noProof/>
        </w:rPr>
        <w:drawing>
          <wp:inline distT="0" distB="0" distL="0" distR="0" wp14:anchorId="4EE38077" wp14:editId="08C430CC">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38B8F579" w14:textId="77777777" w:rsidR="00A14788" w:rsidRPr="00137487" w:rsidRDefault="00A14788" w:rsidP="00A14788">
      <w:pPr>
        <w:spacing w:line="360" w:lineRule="auto"/>
        <w:contextualSpacing/>
        <w:jc w:val="both"/>
        <w:rPr>
          <w:rFonts w:ascii="Palatino Linotype" w:hAnsi="Palatino Linotype" w:cs="Tahoma"/>
          <w:bCs/>
        </w:rPr>
      </w:pPr>
    </w:p>
    <w:p w14:paraId="2AADF2FB"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6E4F60B8" w14:textId="77777777" w:rsidR="00A14788" w:rsidRPr="00137487" w:rsidRDefault="00A14788" w:rsidP="00A14788">
      <w:pPr>
        <w:spacing w:line="360" w:lineRule="auto"/>
        <w:contextualSpacing/>
        <w:jc w:val="both"/>
        <w:rPr>
          <w:rFonts w:ascii="Palatino Linotype" w:hAnsi="Palatino Linotype" w:cs="Tahoma"/>
          <w:bCs/>
        </w:rPr>
      </w:pPr>
    </w:p>
    <w:p w14:paraId="763E755E"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5529812C" w14:textId="77777777" w:rsidR="00A14788" w:rsidRPr="00137487" w:rsidRDefault="00A14788" w:rsidP="00A14788">
      <w:pPr>
        <w:spacing w:line="360" w:lineRule="auto"/>
        <w:contextualSpacing/>
        <w:jc w:val="both"/>
        <w:rPr>
          <w:rFonts w:ascii="Palatino Linotype" w:hAnsi="Palatino Linotype" w:cs="Tahoma"/>
          <w:bCs/>
        </w:rPr>
      </w:pPr>
    </w:p>
    <w:p w14:paraId="344D4FB9"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rPr>
        <w:t xml:space="preserve">Además, </w:t>
      </w:r>
      <w:r w:rsidRPr="00137487">
        <w:rPr>
          <w:rFonts w:ascii="Palatino Linotype" w:hAnsi="Palatino Linotype" w:cs="Tahoma"/>
          <w:bCs/>
          <w:lang w:val="es-ES"/>
        </w:rPr>
        <w:t xml:space="preserve">el Dictamen de las Comisiones Unidas de Anticorrupción y Participación Ciudadana, de Gobernación y de Estudios Legislativos, segunda; se desprende que el Poder Legislativo consideró que una de las principales contribuciones, es el catálogo de las obligaciones de </w:t>
      </w:r>
      <w:r w:rsidRPr="00137487">
        <w:rPr>
          <w:rFonts w:ascii="Palatino Linotype" w:hAnsi="Palatino Linotype" w:cs="Tahoma"/>
          <w:bCs/>
          <w:lang w:val="es-ES"/>
        </w:rPr>
        <w:lastRenderedPageBreak/>
        <w:t>transparencia, a través de un listado amplio, completo, detallado y preciso para todos los sujetos obligados del país, que permitan garantizar, el efectivo ejercicio del derecho de acceso a la información.</w:t>
      </w:r>
    </w:p>
    <w:p w14:paraId="14F844C6" w14:textId="77777777" w:rsidR="00A14788" w:rsidRPr="00137487" w:rsidRDefault="00A14788" w:rsidP="00A14788">
      <w:pPr>
        <w:spacing w:line="360" w:lineRule="auto"/>
        <w:contextualSpacing/>
        <w:jc w:val="both"/>
        <w:rPr>
          <w:rFonts w:ascii="Palatino Linotype" w:hAnsi="Palatino Linotype" w:cs="Tahoma"/>
          <w:bCs/>
          <w:lang w:val="es-ES"/>
        </w:rPr>
      </w:pPr>
    </w:p>
    <w:p w14:paraId="13732E3C"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lang w:val="es-ES"/>
        </w:rPr>
        <w:t>Conforme a lo anterior, se puede advertir que la Ley de Transparencia y Acceso a la Información Pública del Estado de México y Municipios, contempla como información pública el nombre de personas físicas solicitantes de las multicitadas licencias.</w:t>
      </w:r>
    </w:p>
    <w:p w14:paraId="44C16028" w14:textId="77777777" w:rsidR="00A14788" w:rsidRPr="00137487" w:rsidRDefault="00A14788" w:rsidP="00A14788">
      <w:pPr>
        <w:spacing w:line="360" w:lineRule="auto"/>
        <w:contextualSpacing/>
        <w:jc w:val="both"/>
        <w:rPr>
          <w:rFonts w:ascii="Palatino Linotype" w:hAnsi="Palatino Linotype" w:cs="Tahoma"/>
          <w:bCs/>
        </w:rPr>
      </w:pPr>
    </w:p>
    <w:p w14:paraId="4992A663"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lang w:val="es-ES"/>
        </w:rPr>
        <w:t xml:space="preserve">Ante tales circunstancias, se desprende que, en el caso concreto, sobreviene una </w:t>
      </w:r>
      <w:r w:rsidRPr="00137487">
        <w:rPr>
          <w:rFonts w:ascii="Palatino Linotype" w:hAnsi="Palatino Linotype" w:cs="Tahoma"/>
          <w:b/>
          <w:bCs/>
          <w:lang w:val="es-ES"/>
        </w:rPr>
        <w:t>colisión de derechos fundamentales,</w:t>
      </w:r>
      <w:r w:rsidRPr="00137487">
        <w:rPr>
          <w:rFonts w:ascii="Palatino Linotype" w:hAnsi="Palatino Linotype" w:cs="Tahoma"/>
          <w:bCs/>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1A060539" w14:textId="77777777" w:rsidR="00A14788" w:rsidRPr="00137487" w:rsidRDefault="00A14788" w:rsidP="00A14788">
      <w:pPr>
        <w:spacing w:line="360" w:lineRule="auto"/>
        <w:contextualSpacing/>
        <w:jc w:val="both"/>
        <w:rPr>
          <w:rFonts w:ascii="Palatino Linotype" w:hAnsi="Palatino Linotype" w:cs="Tahoma"/>
          <w:bCs/>
        </w:rPr>
      </w:pPr>
    </w:p>
    <w:p w14:paraId="74032CB4"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38D6DCCB" w14:textId="77777777" w:rsidR="00A14788" w:rsidRPr="00137487" w:rsidRDefault="00A14788" w:rsidP="00A14788">
      <w:pPr>
        <w:spacing w:line="360" w:lineRule="auto"/>
        <w:contextualSpacing/>
        <w:jc w:val="both"/>
        <w:rPr>
          <w:rFonts w:ascii="Palatino Linotype" w:hAnsi="Palatino Linotype" w:cs="Tahoma"/>
          <w:bCs/>
        </w:rPr>
      </w:pPr>
    </w:p>
    <w:p w14:paraId="25E124B3"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Por cuanto hace a la colisión entre el derecho a la información y el derecho a la intimidad o a la vida privada, el Poder Judicial de la Federación ha sostenido la </w:t>
      </w:r>
      <w:r w:rsidRPr="00137487">
        <w:rPr>
          <w:rFonts w:ascii="Palatino Linotype"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w:t>
      </w:r>
      <w:r w:rsidRPr="00137487">
        <w:rPr>
          <w:rFonts w:ascii="Palatino Linotype" w:hAnsi="Palatino Linotype" w:cs="Tahoma"/>
          <w:b/>
          <w:bCs/>
        </w:rPr>
        <w:lastRenderedPageBreak/>
        <w:t xml:space="preserve">comunicar y recibir información, atendiendo a las circunstancias de cada caso en concreto, </w:t>
      </w:r>
      <w:r w:rsidRPr="00137487">
        <w:rPr>
          <w:rFonts w:ascii="Palatino Linotype"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949AF68" w14:textId="77777777" w:rsidR="00A14788" w:rsidRPr="00137487" w:rsidRDefault="00A14788" w:rsidP="00A14788">
      <w:pPr>
        <w:spacing w:line="360" w:lineRule="auto"/>
        <w:contextualSpacing/>
        <w:jc w:val="both"/>
        <w:rPr>
          <w:rFonts w:ascii="Palatino Linotype" w:hAnsi="Palatino Linotype" w:cs="Tahoma"/>
          <w:bCs/>
        </w:rPr>
      </w:pPr>
    </w:p>
    <w:p w14:paraId="2ADB1474"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rPr>
        <w:t>En ese mismo sentido y atendiendo a la naturaleza del derecho a la protección de datos personales, por analogía, este debe ceder cuando exista un interés público mayor de acuerdo a las circunstancias del caso.</w:t>
      </w:r>
      <w:r w:rsidRPr="00137487">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137487">
        <w:rPr>
          <w:rFonts w:ascii="Palatino Linotype" w:hAnsi="Palatino Linotype" w:cs="Tahoma"/>
          <w:bCs/>
        </w:rPr>
        <w:t>184 de la Ley de Transparencia y Acceso a la Información Pública del Estado de México y Municipios</w:t>
      </w:r>
      <w:r w:rsidRPr="00137487">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1AC80A8" w14:textId="77777777" w:rsidR="00A14788" w:rsidRPr="00137487" w:rsidRDefault="00A14788" w:rsidP="00A14788">
      <w:pPr>
        <w:spacing w:line="360" w:lineRule="auto"/>
        <w:contextualSpacing/>
        <w:jc w:val="both"/>
        <w:rPr>
          <w:rFonts w:ascii="Palatino Linotype" w:hAnsi="Palatino Linotype" w:cs="Tahoma"/>
          <w:bCs/>
          <w:iCs/>
        </w:rPr>
      </w:pPr>
    </w:p>
    <w:p w14:paraId="41D070B1" w14:textId="77777777" w:rsidR="00A14788" w:rsidRPr="00137487" w:rsidRDefault="00A14788" w:rsidP="00A14788">
      <w:pPr>
        <w:numPr>
          <w:ilvl w:val="0"/>
          <w:numId w:val="27"/>
        </w:numPr>
        <w:spacing w:after="0" w:line="360" w:lineRule="auto"/>
        <w:contextualSpacing/>
        <w:jc w:val="both"/>
        <w:rPr>
          <w:rFonts w:ascii="Palatino Linotype" w:hAnsi="Palatino Linotype" w:cs="Tahoma"/>
          <w:bCs/>
          <w:iCs/>
        </w:rPr>
      </w:pPr>
      <w:r w:rsidRPr="00137487">
        <w:rPr>
          <w:rFonts w:ascii="Palatino Linotype" w:hAnsi="Palatino Linotype" w:cs="Tahoma"/>
          <w:b/>
          <w:bCs/>
          <w:iCs/>
        </w:rPr>
        <w:t>Idoneidad:</w:t>
      </w:r>
      <w:r w:rsidRPr="00137487">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748010F6" w14:textId="77777777" w:rsidR="00A14788" w:rsidRPr="00137487" w:rsidRDefault="00A14788" w:rsidP="00A14788">
      <w:pPr>
        <w:numPr>
          <w:ilvl w:val="0"/>
          <w:numId w:val="27"/>
        </w:numPr>
        <w:spacing w:after="0" w:line="360" w:lineRule="auto"/>
        <w:contextualSpacing/>
        <w:jc w:val="both"/>
        <w:rPr>
          <w:rFonts w:ascii="Palatino Linotype" w:hAnsi="Palatino Linotype" w:cs="Tahoma"/>
          <w:bCs/>
          <w:iCs/>
        </w:rPr>
      </w:pPr>
      <w:r w:rsidRPr="00137487">
        <w:rPr>
          <w:rFonts w:ascii="Palatino Linotype" w:hAnsi="Palatino Linotype" w:cs="Tahoma"/>
          <w:b/>
          <w:bCs/>
          <w:iCs/>
        </w:rPr>
        <w:t>Necesidad:</w:t>
      </w:r>
      <w:r w:rsidRPr="00137487">
        <w:rPr>
          <w:rFonts w:ascii="Palatino Linotype" w:hAnsi="Palatino Linotype" w:cs="Tahoma"/>
          <w:bCs/>
          <w:iCs/>
        </w:rPr>
        <w:t xml:space="preserve"> La falta de un medio alternativo menos lesivo a la apertura de la información, para satisfacer el interés público, y</w:t>
      </w:r>
    </w:p>
    <w:p w14:paraId="7017A553" w14:textId="77777777" w:rsidR="00A14788" w:rsidRPr="00137487" w:rsidRDefault="00A14788" w:rsidP="00A14788">
      <w:pPr>
        <w:numPr>
          <w:ilvl w:val="0"/>
          <w:numId w:val="27"/>
        </w:numPr>
        <w:spacing w:after="0" w:line="360" w:lineRule="auto"/>
        <w:contextualSpacing/>
        <w:jc w:val="both"/>
        <w:rPr>
          <w:rFonts w:ascii="Palatino Linotype" w:hAnsi="Palatino Linotype" w:cs="Tahoma"/>
          <w:bCs/>
          <w:iCs/>
        </w:rPr>
      </w:pPr>
      <w:r w:rsidRPr="00137487">
        <w:rPr>
          <w:rFonts w:ascii="Palatino Linotype" w:hAnsi="Palatino Linotype" w:cs="Tahoma"/>
          <w:b/>
          <w:bCs/>
          <w:iCs/>
        </w:rPr>
        <w:t>Proporcionalidad:</w:t>
      </w:r>
      <w:r w:rsidRPr="00137487">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562E5A03" w14:textId="77777777" w:rsidR="00A14788" w:rsidRPr="00137487" w:rsidRDefault="00A14788" w:rsidP="00A14788">
      <w:pPr>
        <w:spacing w:line="360" w:lineRule="auto"/>
        <w:contextualSpacing/>
        <w:jc w:val="both"/>
        <w:rPr>
          <w:rFonts w:ascii="Palatino Linotype" w:hAnsi="Palatino Linotype" w:cs="Tahoma"/>
          <w:bCs/>
        </w:rPr>
      </w:pPr>
    </w:p>
    <w:p w14:paraId="4B3FFE7B"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En ese orden de ideas, resulta procedente analizar cada uno de los elementos referidos, bajo las consideraciones que se verterán a continuación.</w:t>
      </w:r>
    </w:p>
    <w:p w14:paraId="711282E8" w14:textId="77777777" w:rsidR="00A14788" w:rsidRPr="00137487" w:rsidRDefault="00A14788" w:rsidP="00A14788">
      <w:pPr>
        <w:spacing w:line="360" w:lineRule="auto"/>
        <w:contextualSpacing/>
        <w:jc w:val="both"/>
        <w:rPr>
          <w:rFonts w:ascii="Palatino Linotype" w:hAnsi="Palatino Linotype" w:cs="Tahoma"/>
          <w:bCs/>
        </w:rPr>
      </w:pPr>
    </w:p>
    <w:p w14:paraId="6E34F065" w14:textId="77777777" w:rsidR="00A14788" w:rsidRPr="00137487" w:rsidRDefault="00A14788" w:rsidP="00A14788">
      <w:pPr>
        <w:spacing w:line="360" w:lineRule="auto"/>
        <w:contextualSpacing/>
        <w:jc w:val="both"/>
        <w:rPr>
          <w:rFonts w:ascii="Palatino Linotype" w:hAnsi="Palatino Linotype" w:cs="Tahoma"/>
          <w:b/>
          <w:bCs/>
        </w:rPr>
      </w:pPr>
      <w:r w:rsidRPr="00137487">
        <w:rPr>
          <w:rFonts w:ascii="Palatino Linotype" w:hAnsi="Palatino Linotype" w:cs="Tahoma"/>
          <w:b/>
          <w:bCs/>
          <w:iCs/>
        </w:rPr>
        <w:lastRenderedPageBreak/>
        <w:t>a) Idoneidad</w:t>
      </w:r>
      <w:r w:rsidRPr="00137487">
        <w:rPr>
          <w:rFonts w:ascii="Palatino Linotype" w:hAnsi="Palatino Linotype" w:cs="Tahoma"/>
          <w:bCs/>
        </w:rPr>
        <w:t>. En cuanto al primer elemento de ponderación, se debe elegir el principio que será adoptado como preferente, buscando su justificación a partir de la valoración adecuada para satisfacer el fin constitucionalmente válido o pretendido.</w:t>
      </w:r>
    </w:p>
    <w:p w14:paraId="7FF7451A" w14:textId="77777777" w:rsidR="00A14788" w:rsidRPr="00137487" w:rsidRDefault="00A14788" w:rsidP="00A14788">
      <w:pPr>
        <w:spacing w:line="360" w:lineRule="auto"/>
        <w:contextualSpacing/>
        <w:jc w:val="both"/>
        <w:rPr>
          <w:rFonts w:ascii="Palatino Linotype" w:hAnsi="Palatino Linotype" w:cs="Tahoma"/>
          <w:b/>
          <w:bCs/>
        </w:rPr>
      </w:pPr>
    </w:p>
    <w:p w14:paraId="4C2304BC"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Toluca, o bien, de recursos públicos, pues en el presente caso, las Licencias de Construcción y Uso de Suelo, son para un proyecto privado para remodelar un establecimiento</w:t>
      </w:r>
      <w:r w:rsidRPr="00137487">
        <w:rPr>
          <w:rFonts w:ascii="Palatino Linotype" w:hAnsi="Palatino Linotype" w:cs="Tahoma"/>
          <w:bCs/>
          <w:iCs/>
          <w:lang w:val="es-ES"/>
        </w:rPr>
        <w:t>. Lo anterior, toda vez que se realizó una búsqueda de información pública y no se localizó que el Sujeto Obligado, tenga injerencia en dicha construcción.</w:t>
      </w:r>
    </w:p>
    <w:p w14:paraId="767977BC" w14:textId="77777777" w:rsidR="00A14788" w:rsidRPr="00137487" w:rsidRDefault="00A14788" w:rsidP="00A14788">
      <w:pPr>
        <w:spacing w:line="360" w:lineRule="auto"/>
        <w:contextualSpacing/>
        <w:jc w:val="both"/>
        <w:rPr>
          <w:rFonts w:ascii="Palatino Linotype" w:hAnsi="Palatino Linotype" w:cs="Tahoma"/>
          <w:b/>
          <w:bCs/>
        </w:rPr>
      </w:pPr>
    </w:p>
    <w:p w14:paraId="2CF36687" w14:textId="77777777" w:rsidR="00A14788" w:rsidRPr="00137487" w:rsidRDefault="00A14788" w:rsidP="00A14788">
      <w:pPr>
        <w:spacing w:line="360" w:lineRule="auto"/>
        <w:contextualSpacing/>
        <w:jc w:val="both"/>
        <w:rPr>
          <w:rFonts w:ascii="Palatino Linotype" w:hAnsi="Palatino Linotype" w:cs="Tahoma"/>
          <w:b/>
          <w:bCs/>
        </w:rPr>
      </w:pPr>
      <w:r w:rsidRPr="00137487">
        <w:rPr>
          <w:rFonts w:ascii="Palatino Linotype" w:hAnsi="Palatino Linotype" w:cs="Tahoma"/>
          <w:bCs/>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137487">
        <w:rPr>
          <w:rFonts w:ascii="Palatino Linotype" w:hAnsi="Palatino Linotype" w:cs="Tahoma"/>
          <w:b/>
          <w:bCs/>
        </w:rPr>
        <w:t>las actividades que realicen las personas, dentro del ámbito privado, o dentro de la esfera particular, es información que debe protegerse.</w:t>
      </w:r>
    </w:p>
    <w:p w14:paraId="10B10D02" w14:textId="77777777" w:rsidR="00A14788" w:rsidRPr="00137487" w:rsidRDefault="00A14788" w:rsidP="00A14788">
      <w:pPr>
        <w:spacing w:line="360" w:lineRule="auto"/>
        <w:contextualSpacing/>
        <w:jc w:val="both"/>
        <w:rPr>
          <w:rFonts w:ascii="Palatino Linotype" w:hAnsi="Palatino Linotype" w:cs="Tahoma"/>
          <w:b/>
          <w:bCs/>
        </w:rPr>
      </w:pPr>
    </w:p>
    <w:p w14:paraId="734CAF89"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5FF7023E" w14:textId="77777777" w:rsidR="00A14788" w:rsidRPr="00137487" w:rsidRDefault="00A14788" w:rsidP="00A14788">
      <w:pPr>
        <w:spacing w:line="360" w:lineRule="auto"/>
        <w:contextualSpacing/>
        <w:jc w:val="both"/>
        <w:rPr>
          <w:rFonts w:ascii="Palatino Linotype" w:hAnsi="Palatino Linotype" w:cs="Tahoma"/>
          <w:b/>
          <w:bCs/>
        </w:rPr>
      </w:pPr>
    </w:p>
    <w:p w14:paraId="221DFEE2"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lastRenderedPageBreak/>
        <w:t>Por otra parte, si bien las multicitadas licencias son emitidas por el Ayuntamiento de Toluca, en cumplimiento de sus obligaciones y,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14:paraId="73C7EF54" w14:textId="77777777" w:rsidR="00A14788" w:rsidRPr="00137487" w:rsidRDefault="00A14788" w:rsidP="00A14788">
      <w:pPr>
        <w:spacing w:line="360" w:lineRule="auto"/>
        <w:contextualSpacing/>
        <w:jc w:val="both"/>
        <w:rPr>
          <w:rFonts w:ascii="Palatino Linotype" w:hAnsi="Palatino Linotype" w:cs="Tahoma"/>
          <w:bCs/>
        </w:rPr>
      </w:pPr>
    </w:p>
    <w:p w14:paraId="58355171"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1082337F" w14:textId="77777777" w:rsidR="00A14788" w:rsidRPr="00137487" w:rsidRDefault="00A14788" w:rsidP="00A14788">
      <w:pPr>
        <w:spacing w:line="360" w:lineRule="auto"/>
        <w:contextualSpacing/>
        <w:jc w:val="both"/>
        <w:rPr>
          <w:rFonts w:ascii="Palatino Linotype" w:hAnsi="Palatino Linotype" w:cs="Tahoma"/>
          <w:bCs/>
        </w:rPr>
      </w:pPr>
    </w:p>
    <w:p w14:paraId="6DFE41A3"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4E28F463" w14:textId="77777777" w:rsidR="00A14788" w:rsidRPr="00137487" w:rsidRDefault="00A14788" w:rsidP="00A14788">
      <w:pPr>
        <w:spacing w:line="360" w:lineRule="auto"/>
        <w:contextualSpacing/>
        <w:jc w:val="both"/>
        <w:rPr>
          <w:rFonts w:ascii="Palatino Linotype" w:hAnsi="Palatino Linotype" w:cs="Tahoma"/>
          <w:bCs/>
        </w:rPr>
      </w:pPr>
    </w:p>
    <w:p w14:paraId="143462A5"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
          <w:bCs/>
          <w:lang w:val="es-ES"/>
        </w:rPr>
        <w:t>b) Necesidad.</w:t>
      </w:r>
      <w:r w:rsidRPr="00137487">
        <w:rPr>
          <w:rFonts w:ascii="Palatino Linotype" w:hAnsi="Palatino Linotype" w:cs="Tahoma"/>
          <w:bCs/>
          <w:lang w:val="es-E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14:paraId="38B8FDE7" w14:textId="77777777" w:rsidR="00A14788" w:rsidRPr="00137487" w:rsidRDefault="00A14788" w:rsidP="00A14788">
      <w:pPr>
        <w:spacing w:line="360" w:lineRule="auto"/>
        <w:contextualSpacing/>
        <w:jc w:val="both"/>
        <w:rPr>
          <w:rFonts w:ascii="Palatino Linotype" w:hAnsi="Palatino Linotype" w:cs="Tahoma"/>
          <w:bCs/>
          <w:lang w:val="es-ES"/>
        </w:rPr>
      </w:pPr>
    </w:p>
    <w:p w14:paraId="2BF155F8"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lang w:val="es-ES"/>
        </w:rPr>
        <w:t xml:space="preserve">Dicha situación, toma relevancia con el hecho de que vincular el nombre de la persona física, con las licencias, se estaría dando a conocer </w:t>
      </w:r>
      <w:r w:rsidRPr="00137487">
        <w:rPr>
          <w:rFonts w:ascii="Palatino Linotype" w:hAnsi="Palatino Linotype" w:cs="Tahoma"/>
          <w:b/>
          <w:bCs/>
          <w:lang w:val="es-ES"/>
        </w:rPr>
        <w:t>la decisión personal</w:t>
      </w:r>
      <w:r w:rsidRPr="00137487">
        <w:rPr>
          <w:rFonts w:ascii="Palatino Linotype" w:hAnsi="Palatino Linotype" w:cs="Tahoma"/>
          <w:bCs/>
          <w:lang w:val="es-ES"/>
        </w:rPr>
        <w:t xml:space="preserve"> de esta, en realizar o modificar un predio, situación que recae directamente en una cuestión </w:t>
      </w:r>
      <w:r w:rsidRPr="00137487">
        <w:rPr>
          <w:rFonts w:ascii="Palatino Linotype" w:hAnsi="Palatino Linotype" w:cs="Tahoma"/>
          <w:b/>
          <w:bCs/>
          <w:lang w:val="es-ES"/>
        </w:rPr>
        <w:t xml:space="preserve">de su vida privada, </w:t>
      </w:r>
      <w:r w:rsidRPr="00137487">
        <w:rPr>
          <w:rFonts w:ascii="Palatino Linotype" w:hAnsi="Palatino Linotype" w:cs="Tahoma"/>
          <w:bCs/>
          <w:lang w:val="es-ES"/>
        </w:rPr>
        <w:t>que se encuentra protegida por la Constitución Federal y Estatal, así como, las Leyes de Protección de Datos aplicables.</w:t>
      </w:r>
    </w:p>
    <w:p w14:paraId="647BD6C5" w14:textId="77777777" w:rsidR="00A14788" w:rsidRPr="00137487" w:rsidRDefault="00A14788" w:rsidP="00A14788">
      <w:pPr>
        <w:spacing w:line="360" w:lineRule="auto"/>
        <w:contextualSpacing/>
        <w:jc w:val="both"/>
        <w:rPr>
          <w:rFonts w:ascii="Palatino Linotype" w:hAnsi="Palatino Linotype" w:cs="Tahoma"/>
          <w:bCs/>
          <w:lang w:val="es-ES"/>
        </w:rPr>
      </w:pPr>
    </w:p>
    <w:p w14:paraId="7DEB2EEF"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14:paraId="42749231" w14:textId="77777777" w:rsidR="00A14788" w:rsidRPr="00137487" w:rsidRDefault="00A14788" w:rsidP="00A14788">
      <w:pPr>
        <w:spacing w:line="360" w:lineRule="auto"/>
        <w:contextualSpacing/>
        <w:jc w:val="both"/>
        <w:rPr>
          <w:rFonts w:ascii="Palatino Linotype" w:hAnsi="Palatino Linotype" w:cs="Tahoma"/>
          <w:b/>
          <w:bCs/>
        </w:rPr>
      </w:pPr>
    </w:p>
    <w:p w14:paraId="0D1935F3"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
          <w:bCs/>
          <w:lang w:val="es-ES"/>
        </w:rPr>
        <w:t>c) Proporcionalidad en sentido estricto</w:t>
      </w:r>
      <w:r w:rsidRPr="00137487">
        <w:rPr>
          <w:rFonts w:ascii="Palatino Linotype" w:hAnsi="Palatino Linotype" w:cs="Tahoma"/>
          <w:bCs/>
          <w:lang w:val="es-E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14:paraId="1B375E15" w14:textId="77777777" w:rsidR="00A14788" w:rsidRPr="00137487" w:rsidRDefault="00A14788" w:rsidP="00A14788">
      <w:pPr>
        <w:spacing w:line="360" w:lineRule="auto"/>
        <w:contextualSpacing/>
        <w:jc w:val="both"/>
        <w:rPr>
          <w:rFonts w:ascii="Palatino Linotype" w:hAnsi="Palatino Linotype" w:cs="Tahoma"/>
          <w:bCs/>
          <w:lang w:val="es-ES"/>
        </w:rPr>
      </w:pPr>
    </w:p>
    <w:p w14:paraId="362104F3"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lang w:val="es-ES"/>
        </w:rPr>
        <w:t>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la autorización para realizar una construcción.</w:t>
      </w:r>
    </w:p>
    <w:p w14:paraId="2BC7B665" w14:textId="77777777" w:rsidR="00A14788" w:rsidRPr="00137487" w:rsidRDefault="00A14788" w:rsidP="00A14788">
      <w:pPr>
        <w:spacing w:line="360" w:lineRule="auto"/>
        <w:contextualSpacing/>
        <w:jc w:val="both"/>
        <w:rPr>
          <w:rFonts w:ascii="Palatino Linotype" w:hAnsi="Palatino Linotype" w:cs="Tahoma"/>
          <w:bCs/>
          <w:iCs/>
        </w:rPr>
      </w:pPr>
    </w:p>
    <w:p w14:paraId="27AD0B8C"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Por todo lo expuesto, el nombre de la persona física particular propietaria, localizadas en las Licencias de Construcción y Uso de Suelo, actualizan la causal de clasificación prevista en el artículo 143, fracción I de la Ley de Transparencia y Acceso a la Información Pública del Estado de México y Municipios.</w:t>
      </w:r>
    </w:p>
    <w:p w14:paraId="34A0BEF2" w14:textId="77777777" w:rsidR="00A14788" w:rsidRPr="00137487" w:rsidRDefault="00A14788" w:rsidP="00A14788">
      <w:pPr>
        <w:spacing w:line="360" w:lineRule="auto"/>
        <w:contextualSpacing/>
        <w:jc w:val="both"/>
        <w:rPr>
          <w:rFonts w:ascii="Palatino Linotype" w:hAnsi="Palatino Linotype" w:cs="Tahoma"/>
          <w:bCs/>
          <w:iCs/>
        </w:rPr>
      </w:pPr>
    </w:p>
    <w:p w14:paraId="15CA0F86" w14:textId="77777777" w:rsidR="00A14788" w:rsidRPr="00137487" w:rsidRDefault="00A14788" w:rsidP="00A14788">
      <w:pPr>
        <w:spacing w:line="360" w:lineRule="auto"/>
        <w:contextualSpacing/>
        <w:jc w:val="both"/>
        <w:rPr>
          <w:rFonts w:ascii="Palatino Linotype" w:hAnsi="Palatino Linotype" w:cs="Tahoma"/>
          <w:b/>
          <w:bCs/>
          <w:iCs/>
        </w:rPr>
      </w:pPr>
      <w:r w:rsidRPr="00137487">
        <w:rPr>
          <w:rFonts w:ascii="Palatino Linotype" w:hAnsi="Palatino Linotype" w:cs="Tahoma"/>
          <w:b/>
          <w:bCs/>
          <w:iCs/>
        </w:rPr>
        <w:t>Denominación o razón social</w:t>
      </w:r>
    </w:p>
    <w:p w14:paraId="03C257B5"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 </w:t>
      </w:r>
    </w:p>
    <w:p w14:paraId="51AB6DEE"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 xml:space="preserve">Al respecto, se considera que la denominación o razón social de una persona moral, es pública, pues dichos datos se encuentran inscritos en el Registro Público del Comercio; lo anterior, </w:t>
      </w:r>
      <w:r w:rsidRPr="00137487">
        <w:rPr>
          <w:rFonts w:ascii="Palatino Linotype" w:hAnsi="Palatino Linotype" w:cs="Tahoma"/>
          <w:bCs/>
          <w:iCs/>
        </w:rPr>
        <w:lastRenderedPageBreak/>
        <w:t>toma sustento en el Criterio de Interpretación, de la Segunda Época, con número de registro SO/008/2019, emitido por el Instituto Nacional de Transparencia, Acceso a la Información y Protección de Datos Personales, que precisa lo siguiente:</w:t>
      </w:r>
    </w:p>
    <w:p w14:paraId="38A51FA0"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 </w:t>
      </w:r>
    </w:p>
    <w:p w14:paraId="31BB00A3" w14:textId="77777777" w:rsidR="00A14788" w:rsidRPr="00137487" w:rsidRDefault="00A14788" w:rsidP="00A14788">
      <w:pPr>
        <w:spacing w:line="360" w:lineRule="auto"/>
        <w:ind w:left="567" w:right="567"/>
        <w:contextualSpacing/>
        <w:jc w:val="both"/>
        <w:rPr>
          <w:rFonts w:ascii="Palatino Linotype" w:hAnsi="Palatino Linotype" w:cs="Tahoma"/>
          <w:bCs/>
          <w:i/>
          <w:iCs/>
        </w:rPr>
      </w:pPr>
      <w:r w:rsidRPr="00137487">
        <w:rPr>
          <w:rFonts w:ascii="Palatino Linotype" w:hAnsi="Palatino Linotype" w:cs="Tahoma"/>
          <w:b/>
          <w:bCs/>
          <w:i/>
          <w:iCs/>
        </w:rPr>
        <w:t>“Razón social y RFC de personas morales. </w:t>
      </w:r>
      <w:r w:rsidRPr="00137487">
        <w:rPr>
          <w:rFonts w:ascii="Palatino Linotype" w:hAnsi="Palatino Linotype" w:cs="Tahoma"/>
          <w:bCs/>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E1439F0"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 </w:t>
      </w:r>
    </w:p>
    <w:p w14:paraId="18FFAC64"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Lo anterior, se robustece con el hecho de que el Ente Recurrido tiene como obligación común de transparencia, poner a disposición del público las licencias de construcción, que incluya la razón social de las personas morales, de conformidad con los </w:t>
      </w:r>
      <w:r w:rsidRPr="00137487">
        <w:rPr>
          <w:rFonts w:ascii="Palatino Linotype" w:hAnsi="Palatino Linotype" w:cs="Tahoma"/>
          <w:bCs/>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así como,</w:t>
      </w:r>
      <w:r w:rsidRPr="00137487">
        <w:rPr>
          <w:rFonts w:ascii="Palatino Linotype" w:hAnsi="Palatino Linotype" w:cs="Tahoma"/>
          <w:bCs/>
          <w:iCs/>
        </w:rPr>
        <w:t xml:space="preserve"> en el </w:t>
      </w:r>
      <w:r w:rsidRPr="00137487">
        <w:rPr>
          <w:rFonts w:ascii="Palatino Linotype" w:hAnsi="Palatino Linotype" w:cs="Tahoma"/>
          <w:bCs/>
        </w:rPr>
        <w:t xml:space="preserve">artículo 94, fracción I, inciso f) de la Ley </w:t>
      </w:r>
      <w:r w:rsidRPr="00137487">
        <w:rPr>
          <w:rFonts w:ascii="Palatino Linotype" w:hAnsi="Palatino Linotype" w:cs="Tahoma"/>
          <w:bCs/>
          <w:iCs/>
        </w:rPr>
        <w:t>de Transparencia y Acceso a la Información Pública del Estado de México y Municipios.</w:t>
      </w:r>
    </w:p>
    <w:p w14:paraId="23854A14" w14:textId="77777777" w:rsidR="00A14788" w:rsidRPr="00137487" w:rsidRDefault="00A14788" w:rsidP="00A14788">
      <w:pPr>
        <w:spacing w:line="360" w:lineRule="auto"/>
        <w:contextualSpacing/>
        <w:jc w:val="both"/>
        <w:rPr>
          <w:rFonts w:ascii="Palatino Linotype" w:hAnsi="Palatino Linotype" w:cs="Tahoma"/>
          <w:bCs/>
          <w:iCs/>
        </w:rPr>
      </w:pPr>
    </w:p>
    <w:p w14:paraId="4B779B42"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Por lo tanto, no procede la clasificación de la denominación o razón social de personas morales, en términos del artículo 143, fracción I, de la Ley de Transparencia y Acceso a la Información Pública del Estado de México y Municipios.</w:t>
      </w:r>
    </w:p>
    <w:p w14:paraId="468C2372" w14:textId="77777777" w:rsidR="00A14788" w:rsidRPr="00137487" w:rsidRDefault="00A14788" w:rsidP="00A14788">
      <w:pPr>
        <w:spacing w:line="360" w:lineRule="auto"/>
        <w:contextualSpacing/>
        <w:jc w:val="both"/>
        <w:rPr>
          <w:rFonts w:ascii="Palatino Linotype" w:hAnsi="Palatino Linotype" w:cs="Tahoma"/>
          <w:bCs/>
          <w:iCs/>
        </w:rPr>
      </w:pPr>
      <w:r w:rsidRPr="00137487">
        <w:rPr>
          <w:rFonts w:ascii="Palatino Linotype" w:hAnsi="Palatino Linotype" w:cs="Tahoma"/>
          <w:bCs/>
          <w:iCs/>
        </w:rPr>
        <w:t> </w:t>
      </w:r>
    </w:p>
    <w:p w14:paraId="3B82B1DF" w14:textId="77777777" w:rsidR="00A14788" w:rsidRPr="00137487" w:rsidRDefault="00A14788" w:rsidP="00A14788">
      <w:pPr>
        <w:numPr>
          <w:ilvl w:val="0"/>
          <w:numId w:val="26"/>
        </w:numPr>
        <w:spacing w:after="0" w:line="360" w:lineRule="auto"/>
        <w:contextualSpacing/>
        <w:jc w:val="both"/>
        <w:rPr>
          <w:rFonts w:ascii="Palatino Linotype" w:hAnsi="Palatino Linotype" w:cs="Tahoma"/>
          <w:b/>
        </w:rPr>
      </w:pPr>
      <w:r w:rsidRPr="00137487">
        <w:rPr>
          <w:rFonts w:ascii="Palatino Linotype" w:hAnsi="Palatino Linotype" w:cs="Tahoma"/>
          <w:b/>
        </w:rPr>
        <w:t>Ubicación del predio donde se realiza la construcción</w:t>
      </w:r>
    </w:p>
    <w:p w14:paraId="1FEE948D" w14:textId="77777777" w:rsidR="00A14788" w:rsidRPr="00137487" w:rsidRDefault="00A14788" w:rsidP="00A14788">
      <w:pPr>
        <w:spacing w:line="360" w:lineRule="auto"/>
        <w:ind w:left="720"/>
        <w:contextualSpacing/>
        <w:jc w:val="both"/>
        <w:rPr>
          <w:rFonts w:ascii="Palatino Linotype" w:hAnsi="Palatino Linotype" w:cs="Tahoma"/>
          <w:b/>
        </w:rPr>
      </w:pPr>
    </w:p>
    <w:p w14:paraId="1EC5A537"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lastRenderedPageBreak/>
        <w:t>Sobre dicho dato, resulta necesario precisar que el domicilio establecido en las licencias y permisos, no corresponde al domicilio particular del titular de dichas autorizaciones, sino que corresponde a aquel donde se realiza una construcción.</w:t>
      </w:r>
    </w:p>
    <w:p w14:paraId="1F5FE71B" w14:textId="77777777" w:rsidR="00A14788" w:rsidRPr="00137487" w:rsidRDefault="00A14788" w:rsidP="00A14788">
      <w:pPr>
        <w:spacing w:line="360" w:lineRule="auto"/>
        <w:contextualSpacing/>
        <w:jc w:val="both"/>
        <w:rPr>
          <w:rFonts w:ascii="Palatino Linotype" w:hAnsi="Palatino Linotype" w:cs="Tahoma"/>
          <w:bCs/>
        </w:rPr>
      </w:pPr>
    </w:p>
    <w:p w14:paraId="3D31AC28" w14:textId="77777777" w:rsidR="00A14788" w:rsidRPr="00137487" w:rsidRDefault="00A14788" w:rsidP="00A14788">
      <w:pPr>
        <w:spacing w:line="360" w:lineRule="auto"/>
        <w:contextualSpacing/>
        <w:jc w:val="both"/>
        <w:rPr>
          <w:rFonts w:ascii="Palatino Linotype" w:hAnsi="Palatino Linotype" w:cs="Tahoma"/>
          <w:bCs/>
          <w:lang w:val="es-ES"/>
        </w:rPr>
      </w:pPr>
      <w:r w:rsidRPr="00137487">
        <w:rPr>
          <w:rFonts w:ascii="Palatino Linotype" w:hAnsi="Palatino Linotype" w:cs="Tahoma"/>
          <w:bCs/>
        </w:rPr>
        <w:t xml:space="preserve">Por lo cual, el dato en comento únicamente identifica la ubicación donde se realiza la actividad que la </w:t>
      </w:r>
      <w:r w:rsidRPr="00137487">
        <w:rPr>
          <w:rFonts w:ascii="Palatino Linotype" w:hAnsi="Palatino Linotype" w:cs="Tahoma"/>
        </w:rPr>
        <w:t>Dirección General de Innovación, Planeación y Gestión Urbana</w:t>
      </w:r>
      <w:r w:rsidRPr="00137487">
        <w:rPr>
          <w:rFonts w:ascii="Palatino Linotype" w:hAnsi="Palatino Linotype" w:cs="Tahoma"/>
          <w:bCs/>
        </w:rPr>
        <w:t xml:space="preserve"> autorizó realizar; además, </w:t>
      </w:r>
      <w:r w:rsidRPr="00137487">
        <w:rPr>
          <w:rFonts w:ascii="Palatino Linotype" w:hAnsi="Palatino Linotype" w:cs="Tahoma"/>
          <w:bCs/>
          <w:lang w:val="es-ES"/>
        </w:rPr>
        <w:t>permite acreditar que la ubicación del predio donde se hará una construcción o modificación, corresponde al registrado en el Municipio.</w:t>
      </w:r>
    </w:p>
    <w:p w14:paraId="35A660F6" w14:textId="77777777" w:rsidR="00A14788" w:rsidRPr="00137487" w:rsidRDefault="00A14788" w:rsidP="00A14788">
      <w:pPr>
        <w:spacing w:line="360" w:lineRule="auto"/>
        <w:contextualSpacing/>
        <w:jc w:val="both"/>
        <w:rPr>
          <w:rFonts w:ascii="Palatino Linotype" w:hAnsi="Palatino Linotype" w:cs="Tahoma"/>
          <w:bCs/>
          <w:lang w:val="es-ES"/>
        </w:rPr>
      </w:pPr>
    </w:p>
    <w:p w14:paraId="4AE27C75"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de Transparencia –Lineamientos Generales-, que deben de difundir los sujetos obligados en los portales de Internet, establece como datos a publicar, de dichas Licencias, los domicilios de donde se solicita la misma, tal como se muestra continuación:</w:t>
      </w:r>
    </w:p>
    <w:p w14:paraId="6DCD6C18" w14:textId="77777777" w:rsidR="00A14788" w:rsidRPr="00137487" w:rsidRDefault="00A14788" w:rsidP="00A14788">
      <w:pPr>
        <w:spacing w:line="360" w:lineRule="auto"/>
        <w:ind w:right="-93"/>
        <w:contextualSpacing/>
        <w:jc w:val="both"/>
        <w:rPr>
          <w:rFonts w:ascii="Palatino Linotype" w:hAnsi="Palatino Linotype" w:cs="Tahoma"/>
          <w:bCs/>
          <w:iCs/>
        </w:rPr>
      </w:pPr>
    </w:p>
    <w:p w14:paraId="7CB8BB84" w14:textId="77777777" w:rsidR="00A14788" w:rsidRPr="00137487" w:rsidRDefault="00A14788" w:rsidP="00A14788">
      <w:pPr>
        <w:spacing w:line="360" w:lineRule="auto"/>
        <w:ind w:right="-93"/>
        <w:contextualSpacing/>
        <w:jc w:val="both"/>
        <w:rPr>
          <w:rFonts w:ascii="Palatino Linotype" w:hAnsi="Palatino Linotype" w:cs="Tahoma"/>
          <w:bCs/>
          <w:lang w:val="es-ES"/>
        </w:rPr>
      </w:pPr>
      <w:r w:rsidRPr="00137487">
        <w:rPr>
          <w:rFonts w:ascii="Palatino Linotype" w:hAnsi="Palatino Linotype"/>
          <w:noProof/>
        </w:rPr>
        <mc:AlternateContent>
          <mc:Choice Requires="wps">
            <w:drawing>
              <wp:anchor distT="0" distB="0" distL="114300" distR="114300" simplePos="0" relativeHeight="251659264" behindDoc="0" locked="0" layoutInCell="1" allowOverlap="1" wp14:anchorId="6990B43C" wp14:editId="6F5F4F7D">
                <wp:simplePos x="0" y="0"/>
                <wp:positionH relativeFrom="margin">
                  <wp:posOffset>1623695</wp:posOffset>
                </wp:positionH>
                <wp:positionV relativeFrom="paragraph">
                  <wp:posOffset>28575</wp:posOffset>
                </wp:positionV>
                <wp:extent cx="2400300" cy="171450"/>
                <wp:effectExtent l="19050" t="19050" r="19050" b="19050"/>
                <wp:wrapNone/>
                <wp:docPr id="736009776" name="Rectángulo 9"/>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B20059" id="Rectángulo 9" o:spid="_x0000_s1026" style="position:absolute;margin-left:127.85pt;margin-top:2.25pt;width:18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" filled="f" strokecolor="windowText" strokeweight="2.25pt">
                <w10:wrap anchorx="margin"/>
              </v:rect>
            </w:pict>
          </mc:Fallback>
        </mc:AlternateContent>
      </w:r>
      <w:r w:rsidRPr="00137487">
        <w:rPr>
          <w:rFonts w:ascii="Palatino Linotype" w:hAnsi="Palatino Linotype"/>
          <w:noProof/>
        </w:rPr>
        <w:drawing>
          <wp:inline distT="0" distB="0" distL="0" distR="0" wp14:anchorId="36796B9E" wp14:editId="6B2253F4">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55FEBF3F" w14:textId="77777777" w:rsidR="00A14788" w:rsidRPr="00137487" w:rsidRDefault="00A14788" w:rsidP="00A14788">
      <w:pPr>
        <w:spacing w:line="360" w:lineRule="auto"/>
        <w:ind w:right="-93"/>
        <w:contextualSpacing/>
        <w:jc w:val="both"/>
        <w:rPr>
          <w:rFonts w:ascii="Palatino Linotype" w:hAnsi="Palatino Linotype" w:cs="Tahoma"/>
          <w:bCs/>
          <w:lang w:val="es-ES"/>
        </w:rPr>
      </w:pPr>
      <w:r w:rsidRPr="00137487">
        <w:rPr>
          <w:rFonts w:ascii="Palatino Linotype" w:hAnsi="Palatino Linotype"/>
          <w:noProof/>
        </w:rPr>
        <mc:AlternateContent>
          <mc:Choice Requires="wps">
            <w:drawing>
              <wp:anchor distT="0" distB="0" distL="114300" distR="114300" simplePos="0" relativeHeight="251660288" behindDoc="0" locked="0" layoutInCell="1" allowOverlap="1" wp14:anchorId="1EFBA364" wp14:editId="36B7EE99">
                <wp:simplePos x="0" y="0"/>
                <wp:positionH relativeFrom="margin">
                  <wp:posOffset>1601470</wp:posOffset>
                </wp:positionH>
                <wp:positionV relativeFrom="paragraph">
                  <wp:posOffset>93980</wp:posOffset>
                </wp:positionV>
                <wp:extent cx="2400300" cy="171450"/>
                <wp:effectExtent l="19050" t="19050" r="19050" b="19050"/>
                <wp:wrapNone/>
                <wp:docPr id="7" name="Rectángulo 8"/>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A05A03F" id="Rectángulo 8" o:spid="_x0000_s1026" style="position:absolute;margin-left:126.1pt;margin-top:7.4pt;width:189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" filled="f" strokecolor="windowText" strokeweight="2.25pt">
                <w10:wrap anchorx="margin"/>
              </v:rect>
            </w:pict>
          </mc:Fallback>
        </mc:AlternateContent>
      </w:r>
      <w:r w:rsidRPr="00137487">
        <w:rPr>
          <w:rFonts w:ascii="Palatino Linotype" w:hAnsi="Palatino Linotype"/>
          <w:noProof/>
        </w:rPr>
        <w:drawing>
          <wp:inline distT="0" distB="0" distL="0" distR="0" wp14:anchorId="4949310F" wp14:editId="17EBDF3F">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28FBBD50" w14:textId="77777777" w:rsidR="00A14788" w:rsidRPr="00137487" w:rsidRDefault="00A14788" w:rsidP="00A14788">
      <w:pPr>
        <w:spacing w:line="360" w:lineRule="auto"/>
        <w:contextualSpacing/>
        <w:jc w:val="both"/>
        <w:rPr>
          <w:rFonts w:ascii="Palatino Linotype" w:hAnsi="Palatino Linotype" w:cs="Tahoma"/>
          <w:bCs/>
        </w:rPr>
      </w:pPr>
    </w:p>
    <w:p w14:paraId="5C9A6F57"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w:t>
      </w:r>
      <w:r w:rsidRPr="00137487">
        <w:rPr>
          <w:rFonts w:ascii="Palatino Linotype" w:hAnsi="Palatino Linotype" w:cs="Tahoma"/>
          <w:bCs/>
        </w:rPr>
        <w:lastRenderedPageBreak/>
        <w:t>fracción I, de la Ley de Transparencia y Acceso a la Información Pública del Estado de México y Municipios.</w:t>
      </w:r>
    </w:p>
    <w:p w14:paraId="2BAE4F2C" w14:textId="77777777" w:rsidR="00A14788" w:rsidRPr="00137487" w:rsidRDefault="00A14788" w:rsidP="00A14788">
      <w:pPr>
        <w:spacing w:line="360" w:lineRule="auto"/>
        <w:contextualSpacing/>
        <w:jc w:val="both"/>
        <w:rPr>
          <w:rFonts w:ascii="Palatino Linotype" w:hAnsi="Palatino Linotype" w:cs="Tahoma"/>
          <w:bCs/>
        </w:rPr>
      </w:pPr>
    </w:p>
    <w:p w14:paraId="59201A68" w14:textId="77777777" w:rsidR="00A14788" w:rsidRPr="00137487" w:rsidRDefault="00A14788" w:rsidP="00A14788">
      <w:pPr>
        <w:numPr>
          <w:ilvl w:val="0"/>
          <w:numId w:val="26"/>
        </w:numPr>
        <w:spacing w:after="0" w:line="360" w:lineRule="auto"/>
        <w:contextualSpacing/>
        <w:jc w:val="both"/>
        <w:rPr>
          <w:rFonts w:ascii="Palatino Linotype" w:hAnsi="Palatino Linotype" w:cs="Tahoma"/>
          <w:b/>
        </w:rPr>
      </w:pPr>
      <w:r w:rsidRPr="00137487">
        <w:rPr>
          <w:rFonts w:ascii="Palatino Linotype" w:hAnsi="Palatino Linotype" w:cs="Tahoma"/>
          <w:b/>
        </w:rPr>
        <w:t>Domicilio Particular</w:t>
      </w:r>
    </w:p>
    <w:p w14:paraId="3FA1F64D" w14:textId="77777777" w:rsidR="00A14788" w:rsidRPr="00137487" w:rsidRDefault="00A14788" w:rsidP="00A14788">
      <w:pPr>
        <w:spacing w:line="360" w:lineRule="auto"/>
        <w:contextualSpacing/>
        <w:jc w:val="both"/>
        <w:rPr>
          <w:rFonts w:ascii="Palatino Linotype" w:hAnsi="Palatino Linotype" w:cs="Tahoma"/>
          <w:bCs/>
        </w:rPr>
      </w:pPr>
    </w:p>
    <w:p w14:paraId="4372BEBD" w14:textId="77777777" w:rsidR="00A14788" w:rsidRPr="00137487" w:rsidRDefault="00A14788" w:rsidP="00A14788">
      <w:pPr>
        <w:spacing w:line="360" w:lineRule="auto"/>
        <w:contextualSpacing/>
        <w:jc w:val="both"/>
        <w:rPr>
          <w:rFonts w:ascii="Palatino Linotype" w:hAnsi="Palatino Linotype" w:cs="Tahoma"/>
          <w:b/>
          <w:bCs/>
        </w:rPr>
      </w:pPr>
      <w:r w:rsidRPr="00137487">
        <w:rPr>
          <w:rFonts w:ascii="Palatino Linotype" w:hAnsi="Palatino Linotype" w:cs="Tahoma"/>
          <w:b/>
          <w:bCs/>
        </w:rPr>
        <w:t>Persona física</w:t>
      </w:r>
    </w:p>
    <w:p w14:paraId="240C3F8A" w14:textId="77777777" w:rsidR="00A14788" w:rsidRPr="00137487" w:rsidRDefault="00A14788" w:rsidP="00A14788">
      <w:pPr>
        <w:spacing w:line="360" w:lineRule="auto"/>
        <w:contextualSpacing/>
        <w:jc w:val="both"/>
        <w:rPr>
          <w:rFonts w:ascii="Palatino Linotype" w:hAnsi="Palatino Linotype" w:cs="Tahoma"/>
          <w:bCs/>
        </w:rPr>
      </w:pPr>
    </w:p>
    <w:p w14:paraId="04EE53AC"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60CAC59" w14:textId="77777777" w:rsidR="00A14788" w:rsidRPr="00137487" w:rsidRDefault="00A14788" w:rsidP="00A14788">
      <w:pPr>
        <w:spacing w:line="360" w:lineRule="auto"/>
        <w:contextualSpacing/>
        <w:jc w:val="both"/>
        <w:rPr>
          <w:rFonts w:ascii="Palatino Linotype" w:hAnsi="Palatino Linotype" w:cs="Tahoma"/>
          <w:bCs/>
        </w:rPr>
      </w:pPr>
    </w:p>
    <w:p w14:paraId="6F3CBB61"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07ED6B68" w14:textId="77777777" w:rsidR="00A14788" w:rsidRPr="00137487" w:rsidRDefault="00A14788" w:rsidP="00A14788">
      <w:pPr>
        <w:spacing w:line="360" w:lineRule="auto"/>
        <w:contextualSpacing/>
        <w:jc w:val="both"/>
        <w:rPr>
          <w:rFonts w:ascii="Palatino Linotype" w:hAnsi="Palatino Linotype" w:cs="Tahoma"/>
          <w:bCs/>
        </w:rPr>
      </w:pPr>
    </w:p>
    <w:p w14:paraId="3A3E2F4D"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7EA9717D" w14:textId="77777777" w:rsidR="00A14788" w:rsidRPr="00137487" w:rsidRDefault="00A14788" w:rsidP="00A14788">
      <w:pPr>
        <w:spacing w:line="360" w:lineRule="auto"/>
        <w:contextualSpacing/>
        <w:jc w:val="both"/>
        <w:rPr>
          <w:rFonts w:ascii="Palatino Linotype" w:hAnsi="Palatino Linotype" w:cs="Tahoma"/>
          <w:bCs/>
        </w:rPr>
      </w:pPr>
    </w:p>
    <w:p w14:paraId="4573C46B" w14:textId="77777777" w:rsidR="00A14788" w:rsidRPr="00137487" w:rsidRDefault="00A14788" w:rsidP="00A14788">
      <w:pPr>
        <w:spacing w:line="360" w:lineRule="auto"/>
        <w:contextualSpacing/>
        <w:jc w:val="both"/>
        <w:rPr>
          <w:rFonts w:ascii="Palatino Linotype" w:hAnsi="Palatino Linotype" w:cs="Tahoma"/>
          <w:b/>
          <w:bCs/>
        </w:rPr>
      </w:pPr>
      <w:r w:rsidRPr="00137487">
        <w:rPr>
          <w:rFonts w:ascii="Palatino Linotype" w:hAnsi="Palatino Linotype" w:cs="Tahoma"/>
          <w:b/>
          <w:bCs/>
        </w:rPr>
        <w:t>Persona Jurídico Colectiva</w:t>
      </w:r>
    </w:p>
    <w:p w14:paraId="05430807" w14:textId="77777777" w:rsidR="00A14788" w:rsidRPr="00137487" w:rsidRDefault="00A14788" w:rsidP="00A14788">
      <w:pPr>
        <w:spacing w:line="360" w:lineRule="auto"/>
        <w:contextualSpacing/>
        <w:jc w:val="both"/>
        <w:rPr>
          <w:rFonts w:ascii="Palatino Linotype" w:hAnsi="Palatino Linotype" w:cs="Tahoma"/>
          <w:b/>
          <w:bCs/>
        </w:rPr>
      </w:pPr>
    </w:p>
    <w:p w14:paraId="7797AF22"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1126AD35" w14:textId="77777777" w:rsidR="00A14788" w:rsidRPr="00137487" w:rsidRDefault="00A14788" w:rsidP="00A14788">
      <w:pPr>
        <w:spacing w:line="360" w:lineRule="auto"/>
        <w:contextualSpacing/>
        <w:jc w:val="both"/>
        <w:rPr>
          <w:rFonts w:ascii="Palatino Linotype" w:hAnsi="Palatino Linotype" w:cs="Tahoma"/>
          <w:bCs/>
        </w:rPr>
      </w:pPr>
    </w:p>
    <w:p w14:paraId="13CF757E"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18DB0ED6" w14:textId="77777777" w:rsidR="00A14788" w:rsidRPr="00137487" w:rsidRDefault="00A14788" w:rsidP="00A14788">
      <w:pPr>
        <w:spacing w:line="360" w:lineRule="auto"/>
        <w:contextualSpacing/>
        <w:jc w:val="both"/>
        <w:rPr>
          <w:rFonts w:ascii="Palatino Linotype" w:hAnsi="Palatino Linotype" w:cs="Tahoma"/>
          <w:bCs/>
        </w:rPr>
      </w:pPr>
    </w:p>
    <w:p w14:paraId="26D4D3BA"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4DCB51F3" w14:textId="77777777" w:rsidR="00A14788" w:rsidRPr="00137487" w:rsidRDefault="00A14788" w:rsidP="00A14788">
      <w:pPr>
        <w:spacing w:line="360" w:lineRule="auto"/>
        <w:contextualSpacing/>
        <w:jc w:val="both"/>
        <w:rPr>
          <w:rFonts w:ascii="Palatino Linotype" w:hAnsi="Palatino Linotype" w:cs="Tahoma"/>
          <w:bCs/>
        </w:rPr>
      </w:pPr>
    </w:p>
    <w:p w14:paraId="0C13A6C8" w14:textId="77777777" w:rsidR="00A14788" w:rsidRPr="00137487" w:rsidRDefault="00A14788" w:rsidP="00A14788">
      <w:pPr>
        <w:spacing w:line="360" w:lineRule="auto"/>
        <w:contextualSpacing/>
        <w:jc w:val="both"/>
        <w:rPr>
          <w:rFonts w:ascii="Palatino Linotype" w:hAnsi="Palatino Linotype" w:cs="Tahoma"/>
          <w:bCs/>
        </w:rPr>
      </w:pPr>
      <w:r w:rsidRPr="00137487">
        <w:rPr>
          <w:rFonts w:ascii="Palatino Linotype" w:hAnsi="Palatino Linotype" w:cs="Tahoma"/>
          <w:bCs/>
        </w:rPr>
        <w:t xml:space="preserve">De tales circunstancias, se considera que el domicilio de la persona jurídico colectiva es considero confidencial, por lo que, se actualiza la causal de clasificación establecida en el </w:t>
      </w:r>
      <w:r w:rsidRPr="00137487">
        <w:rPr>
          <w:rFonts w:ascii="Palatino Linotype" w:hAnsi="Palatino Linotype" w:cs="Tahoma"/>
          <w:bCs/>
        </w:rPr>
        <w:lastRenderedPageBreak/>
        <w:t>artículo 143, fracción I de la Ley de Transparencia y Acceso a la Información Pública del Estado de México y Municipios.</w:t>
      </w:r>
    </w:p>
    <w:p w14:paraId="68F1EF6A" w14:textId="77777777" w:rsidR="00A14788" w:rsidRPr="00137487" w:rsidRDefault="00A14788" w:rsidP="00A14788">
      <w:pPr>
        <w:spacing w:line="360" w:lineRule="auto"/>
        <w:contextualSpacing/>
        <w:jc w:val="both"/>
        <w:rPr>
          <w:rFonts w:ascii="Palatino Linotype" w:hAnsi="Palatino Linotype" w:cs="Tahoma"/>
          <w:bCs/>
        </w:rPr>
      </w:pPr>
    </w:p>
    <w:p w14:paraId="247AAE85" w14:textId="77777777" w:rsidR="00A14788" w:rsidRPr="00137487" w:rsidRDefault="00A14788" w:rsidP="00A14788">
      <w:pPr>
        <w:numPr>
          <w:ilvl w:val="0"/>
          <w:numId w:val="28"/>
        </w:numPr>
        <w:spacing w:after="0" w:line="360" w:lineRule="auto"/>
        <w:ind w:right="-93"/>
        <w:contextualSpacing/>
        <w:jc w:val="both"/>
        <w:rPr>
          <w:rFonts w:ascii="Palatino Linotype" w:hAnsi="Palatino Linotype"/>
          <w:b/>
          <w:lang w:val="es-ES_tradnl"/>
        </w:rPr>
      </w:pPr>
      <w:r w:rsidRPr="00137487">
        <w:rPr>
          <w:rFonts w:ascii="Palatino Linotype" w:hAnsi="Palatino Linotype"/>
          <w:b/>
          <w:lang w:val="es-ES_tradnl"/>
        </w:rPr>
        <w:t xml:space="preserve">Clave catastral </w:t>
      </w:r>
    </w:p>
    <w:p w14:paraId="1185E535" w14:textId="77777777" w:rsidR="00A14788" w:rsidRPr="00137487" w:rsidRDefault="00A14788" w:rsidP="00A14788">
      <w:pPr>
        <w:spacing w:line="360" w:lineRule="auto"/>
        <w:ind w:right="-93"/>
        <w:contextualSpacing/>
        <w:jc w:val="both"/>
        <w:rPr>
          <w:rFonts w:ascii="Palatino Linotype" w:hAnsi="Palatino Linotype"/>
          <w:b/>
        </w:rPr>
      </w:pPr>
    </w:p>
    <w:p w14:paraId="58B6E144" w14:textId="77777777" w:rsidR="00A14788" w:rsidRPr="00137487" w:rsidRDefault="00A14788" w:rsidP="00A14788">
      <w:pPr>
        <w:spacing w:line="360" w:lineRule="auto"/>
        <w:ind w:right="-93"/>
        <w:contextualSpacing/>
        <w:jc w:val="both"/>
        <w:rPr>
          <w:rFonts w:ascii="Palatino Linotype" w:hAnsi="Palatino Linotype" w:cs="Tahoma"/>
          <w:bCs/>
          <w:lang w:val="es-ES"/>
        </w:rPr>
      </w:pPr>
      <w:r w:rsidRPr="00137487">
        <w:rPr>
          <w:rFonts w:ascii="Palatino Linotype" w:hAnsi="Palatino Linotype" w:cs="Tahoma"/>
          <w:bCs/>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AECE4B0" w14:textId="77777777" w:rsidR="00A14788" w:rsidRPr="00137487" w:rsidRDefault="00A14788" w:rsidP="00A14788">
      <w:pPr>
        <w:spacing w:line="360" w:lineRule="auto"/>
        <w:ind w:right="-93"/>
        <w:contextualSpacing/>
        <w:jc w:val="both"/>
        <w:rPr>
          <w:rFonts w:ascii="Palatino Linotype" w:hAnsi="Palatino Linotype" w:cs="Tahoma"/>
          <w:bCs/>
          <w:lang w:val="es-ES"/>
        </w:rPr>
      </w:pPr>
    </w:p>
    <w:p w14:paraId="6D0E1EDC" w14:textId="77777777" w:rsidR="00A14788" w:rsidRPr="00137487" w:rsidRDefault="00A14788" w:rsidP="00A14788">
      <w:pPr>
        <w:spacing w:line="360" w:lineRule="auto"/>
        <w:ind w:right="-93"/>
        <w:contextualSpacing/>
        <w:jc w:val="both"/>
        <w:rPr>
          <w:rFonts w:ascii="Palatino Linotype" w:hAnsi="Palatino Linotype" w:cs="Tahoma"/>
          <w:bCs/>
          <w:lang w:val="es-ES"/>
        </w:rPr>
      </w:pPr>
      <w:r w:rsidRPr="00137487">
        <w:rPr>
          <w:rFonts w:ascii="Palatino Linotype" w:hAnsi="Palatino Linotype" w:cs="Tahoma"/>
          <w:bCs/>
          <w:lang w:val="es-ES"/>
        </w:rPr>
        <w:t>El diccionario de Datos catastrales Escala 1:1000 del Instituto Nacional de Estadística y Geografía (INEGI), contempla en su glosario la definición de clave catastral, la cual, es la siguiente:</w:t>
      </w:r>
    </w:p>
    <w:p w14:paraId="51C2BF8D" w14:textId="77777777" w:rsidR="00A14788" w:rsidRPr="00137487" w:rsidRDefault="00A14788" w:rsidP="00A14788">
      <w:pPr>
        <w:spacing w:line="360" w:lineRule="auto"/>
        <w:ind w:right="-93"/>
        <w:contextualSpacing/>
        <w:jc w:val="both"/>
        <w:rPr>
          <w:rFonts w:ascii="Palatino Linotype" w:hAnsi="Palatino Linotype" w:cs="Tahoma"/>
          <w:bCs/>
          <w:lang w:val="es-ES"/>
        </w:rPr>
      </w:pPr>
    </w:p>
    <w:p w14:paraId="373B7823" w14:textId="77777777" w:rsidR="00A14788" w:rsidRPr="00137487" w:rsidRDefault="00A14788" w:rsidP="00A14788">
      <w:pPr>
        <w:spacing w:line="360" w:lineRule="auto"/>
        <w:ind w:left="567" w:right="539"/>
        <w:contextualSpacing/>
        <w:jc w:val="both"/>
        <w:rPr>
          <w:rFonts w:ascii="Palatino Linotype" w:hAnsi="Palatino Linotype" w:cs="Tahoma"/>
          <w:bCs/>
          <w:i/>
          <w:lang w:val="es-ES"/>
        </w:rPr>
      </w:pPr>
      <w:r w:rsidRPr="00137487">
        <w:rPr>
          <w:rFonts w:ascii="Palatino Linotype" w:hAnsi="Palatino Linotype" w:cs="Tahoma"/>
          <w:bCs/>
          <w:i/>
          <w:lang w:val="es-ES"/>
        </w:rPr>
        <w:t>“</w:t>
      </w:r>
      <w:r w:rsidRPr="00137487">
        <w:rPr>
          <w:rFonts w:ascii="Palatino Linotype" w:hAnsi="Palatino Linotype" w:cs="Tahoma"/>
          <w:b/>
          <w:bCs/>
          <w:i/>
          <w:lang w:val="es-ES"/>
        </w:rPr>
        <w:t xml:space="preserve">Clave catastral: </w:t>
      </w:r>
      <w:r w:rsidRPr="00137487">
        <w:rPr>
          <w:rFonts w:ascii="Palatino Linotype" w:hAnsi="Palatino Linotype" w:cs="Tahoma"/>
          <w:bCs/>
          <w:i/>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7F7CB07A" w14:textId="77777777" w:rsidR="00A14788" w:rsidRPr="00137487" w:rsidRDefault="00A14788" w:rsidP="00A14788">
      <w:pPr>
        <w:spacing w:line="360" w:lineRule="auto"/>
        <w:ind w:right="-93"/>
        <w:contextualSpacing/>
        <w:jc w:val="both"/>
        <w:rPr>
          <w:rFonts w:ascii="Palatino Linotype" w:hAnsi="Palatino Linotype" w:cs="Tahoma"/>
          <w:bCs/>
          <w:lang w:val="es-ES"/>
        </w:rPr>
      </w:pPr>
    </w:p>
    <w:p w14:paraId="6D8B2962" w14:textId="77777777" w:rsidR="00A14788" w:rsidRPr="00137487" w:rsidRDefault="00A14788" w:rsidP="00A14788">
      <w:pPr>
        <w:spacing w:line="360" w:lineRule="auto"/>
        <w:ind w:right="-93"/>
        <w:contextualSpacing/>
        <w:jc w:val="both"/>
        <w:rPr>
          <w:rFonts w:ascii="Palatino Linotype" w:hAnsi="Palatino Linotype" w:cs="Tahoma"/>
          <w:bCs/>
          <w:lang w:val="es-ES"/>
        </w:rPr>
      </w:pPr>
      <w:r w:rsidRPr="00137487">
        <w:rPr>
          <w:rFonts w:ascii="Palatino Linotype" w:hAnsi="Palatino Linotype" w:cs="Tahoma"/>
          <w:bCs/>
          <w:lang w:val="es-ES"/>
        </w:rPr>
        <w:t>Así mismo, dicho diccionario estipula dos tipos de Claves catastrales, siendo estas la Estándar y la Original, cuyo diccionario de datos catastrales Escala 1:1000 del INEGI, las define como</w:t>
      </w:r>
    </w:p>
    <w:p w14:paraId="0EBF988E" w14:textId="77777777" w:rsidR="00A14788" w:rsidRPr="00137487" w:rsidRDefault="00A14788" w:rsidP="00A14788">
      <w:pPr>
        <w:spacing w:line="360" w:lineRule="auto"/>
        <w:ind w:right="-93"/>
        <w:contextualSpacing/>
        <w:jc w:val="both"/>
        <w:rPr>
          <w:rFonts w:ascii="Palatino Linotype" w:hAnsi="Palatino Linotype" w:cs="Tahoma"/>
          <w:bCs/>
          <w:lang w:val="es-ES"/>
        </w:rPr>
      </w:pPr>
    </w:p>
    <w:p w14:paraId="674C2E1D" w14:textId="77777777" w:rsidR="00A14788" w:rsidRPr="00137487" w:rsidRDefault="00A14788" w:rsidP="00A14788">
      <w:pPr>
        <w:spacing w:line="360" w:lineRule="auto"/>
        <w:ind w:left="567" w:right="539"/>
        <w:contextualSpacing/>
        <w:jc w:val="both"/>
        <w:rPr>
          <w:rFonts w:ascii="Palatino Linotype" w:hAnsi="Palatino Linotype" w:cs="Tahoma"/>
          <w:bCs/>
          <w:i/>
          <w:lang w:val="es-ES"/>
        </w:rPr>
      </w:pPr>
      <w:r w:rsidRPr="00137487">
        <w:rPr>
          <w:rFonts w:ascii="Palatino Linotype" w:hAnsi="Palatino Linotype" w:cs="Tahoma"/>
          <w:bCs/>
          <w:i/>
          <w:lang w:val="es-ES"/>
        </w:rPr>
        <w:t>“</w:t>
      </w:r>
      <w:r w:rsidRPr="00137487">
        <w:rPr>
          <w:rFonts w:ascii="Palatino Linotype" w:hAnsi="Palatino Linotype" w:cs="Tahoma"/>
          <w:b/>
          <w:bCs/>
          <w:i/>
          <w:lang w:val="es-ES"/>
        </w:rPr>
        <w:t xml:space="preserve">CLAVE CATASTRAL ESTÁNDAR: </w:t>
      </w:r>
      <w:r w:rsidRPr="00137487">
        <w:rPr>
          <w:rFonts w:ascii="Palatino Linotype" w:hAnsi="Palatino Linotype" w:cs="Tahoma"/>
          <w:bCs/>
          <w:i/>
          <w:lang w:val="es-ES"/>
        </w:rPr>
        <w:t xml:space="preserve">Código de 31 caracteres conformado por elementos administrativos y que identifica al objeto espacial en forma única para su localización, compuesto por: Estado (2) + Región Catastral (3) + Municipio (3) + Zona Catastral (2) + </w:t>
      </w:r>
      <w:r w:rsidRPr="00137487">
        <w:rPr>
          <w:rFonts w:ascii="Palatino Linotype" w:hAnsi="Palatino Linotype" w:cs="Tahoma"/>
          <w:bCs/>
          <w:i/>
          <w:lang w:val="es-ES"/>
        </w:rPr>
        <w:lastRenderedPageBreak/>
        <w:t xml:space="preserve">Localidad (4) + Sector Catastral (3) + </w:t>
      </w:r>
      <w:proofErr w:type="gramStart"/>
      <w:r w:rsidRPr="00137487">
        <w:rPr>
          <w:rFonts w:ascii="Palatino Linotype" w:hAnsi="Palatino Linotype" w:cs="Tahoma"/>
          <w:bCs/>
          <w:i/>
          <w:lang w:val="es-ES"/>
        </w:rPr>
        <w:t>Manzana(</w:t>
      </w:r>
      <w:proofErr w:type="gramEnd"/>
      <w:r w:rsidRPr="00137487">
        <w:rPr>
          <w:rFonts w:ascii="Palatino Linotype" w:hAnsi="Palatino Linotype" w:cs="Tahoma"/>
          <w:bCs/>
          <w:i/>
          <w:lang w:val="es-ES"/>
        </w:rPr>
        <w:t>3) + Predio (5) +  Condominio: edificio (2) y unidad (4).</w:t>
      </w:r>
    </w:p>
    <w:p w14:paraId="70920704" w14:textId="77777777" w:rsidR="00A14788" w:rsidRPr="00137487" w:rsidRDefault="00A14788" w:rsidP="00A14788">
      <w:pPr>
        <w:spacing w:line="360" w:lineRule="auto"/>
        <w:ind w:left="567" w:right="539"/>
        <w:contextualSpacing/>
        <w:jc w:val="both"/>
        <w:rPr>
          <w:rFonts w:ascii="Palatino Linotype" w:hAnsi="Palatino Linotype" w:cs="Tahoma"/>
          <w:bCs/>
          <w:i/>
          <w:lang w:val="es-ES"/>
        </w:rPr>
      </w:pPr>
    </w:p>
    <w:p w14:paraId="2D2427A7" w14:textId="77777777" w:rsidR="00A14788" w:rsidRPr="00137487" w:rsidRDefault="00A14788" w:rsidP="00A14788">
      <w:pPr>
        <w:spacing w:line="360" w:lineRule="auto"/>
        <w:ind w:left="567" w:right="539"/>
        <w:contextualSpacing/>
        <w:jc w:val="both"/>
        <w:rPr>
          <w:rFonts w:ascii="Palatino Linotype" w:hAnsi="Palatino Linotype" w:cs="Tahoma"/>
          <w:b/>
          <w:bCs/>
          <w:i/>
          <w:lang w:val="es-ES"/>
        </w:rPr>
      </w:pPr>
      <w:r w:rsidRPr="00137487">
        <w:rPr>
          <w:rFonts w:ascii="Palatino Linotype" w:hAnsi="Palatino Linotype" w:cs="Tahoma"/>
          <w:b/>
          <w:bCs/>
          <w:i/>
          <w:lang w:val="es-ES"/>
        </w:rPr>
        <w:t xml:space="preserve">CLAVE CATASTRAL ORIGINAL: </w:t>
      </w:r>
      <w:r w:rsidRPr="00137487">
        <w:rPr>
          <w:rFonts w:ascii="Palatino Linotype" w:hAnsi="Palatino Linotype" w:cs="Tahoma"/>
          <w:bCs/>
          <w:i/>
          <w:lang w:val="es-ES"/>
        </w:rPr>
        <w:t>Código que identifica al objeto espacial el cual es asignado, por el Catastro Estatal, Municipal o por el registro Agrario Nacional”</w:t>
      </w:r>
      <w:r w:rsidRPr="00137487">
        <w:rPr>
          <w:rFonts w:ascii="Palatino Linotype" w:hAnsi="Palatino Linotype" w:cs="Tahoma"/>
          <w:b/>
          <w:bCs/>
          <w:i/>
          <w:lang w:val="es-ES"/>
        </w:rPr>
        <w:t xml:space="preserve"> </w:t>
      </w:r>
    </w:p>
    <w:p w14:paraId="5F120D9A" w14:textId="77777777" w:rsidR="00A14788" w:rsidRPr="00137487" w:rsidRDefault="00A14788" w:rsidP="00A14788">
      <w:pPr>
        <w:spacing w:line="360" w:lineRule="auto"/>
        <w:ind w:right="-93"/>
        <w:contextualSpacing/>
        <w:jc w:val="both"/>
        <w:rPr>
          <w:rFonts w:ascii="Palatino Linotype" w:hAnsi="Palatino Linotype" w:cs="Tahoma"/>
          <w:bCs/>
          <w:lang w:val="es-ES"/>
        </w:rPr>
      </w:pPr>
    </w:p>
    <w:p w14:paraId="52A0C847" w14:textId="77777777" w:rsidR="00A14788" w:rsidRPr="00137487" w:rsidRDefault="00A14788" w:rsidP="00A14788">
      <w:pPr>
        <w:spacing w:line="360" w:lineRule="auto"/>
        <w:ind w:right="-93"/>
        <w:contextualSpacing/>
        <w:jc w:val="both"/>
        <w:rPr>
          <w:rFonts w:ascii="Palatino Linotype" w:hAnsi="Palatino Linotype" w:cs="Tahoma"/>
          <w:b/>
          <w:bCs/>
          <w:lang w:val="es-ES"/>
        </w:rPr>
      </w:pPr>
      <w:r w:rsidRPr="00137487">
        <w:rPr>
          <w:rFonts w:ascii="Palatino Linotype" w:hAnsi="Palatino Linotype" w:cs="Tahoma"/>
          <w:bCs/>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137487">
        <w:rPr>
          <w:rFonts w:ascii="Palatino Linotype" w:hAnsi="Palatino Linotype" w:cs="Tahoma"/>
          <w:b/>
          <w:bCs/>
          <w:lang w:val="es-ES"/>
        </w:rPr>
        <w:t>procede a clasificar dicho dato como confidencial.</w:t>
      </w:r>
    </w:p>
    <w:p w14:paraId="7D3024E1" w14:textId="5DF4CF75" w:rsidR="00A14788" w:rsidRPr="00137487" w:rsidRDefault="00A14788" w:rsidP="00A14788">
      <w:pPr>
        <w:spacing w:line="360" w:lineRule="auto"/>
        <w:ind w:right="-28"/>
        <w:contextualSpacing/>
        <w:jc w:val="both"/>
        <w:rPr>
          <w:rFonts w:ascii="Palatino Linotype" w:hAnsi="Palatino Linotype" w:cs="Tahoma"/>
          <w:bCs/>
          <w:iCs/>
        </w:rPr>
      </w:pPr>
    </w:p>
    <w:p w14:paraId="0DBA913D" w14:textId="77777777" w:rsidR="00F95518" w:rsidRPr="00137487" w:rsidRDefault="00F95518" w:rsidP="00F95518">
      <w:pPr>
        <w:spacing w:line="360" w:lineRule="auto"/>
        <w:contextualSpacing/>
        <w:jc w:val="both"/>
        <w:rPr>
          <w:rFonts w:ascii="Palatino Linotype" w:hAnsi="Palatino Linotype" w:cs="Tahoma"/>
          <w:b/>
          <w:iCs/>
        </w:rPr>
      </w:pPr>
      <w:r w:rsidRPr="00137487">
        <w:rPr>
          <w:rFonts w:ascii="Palatino Linotype" w:hAnsi="Palatino Linotype" w:cs="Tahoma"/>
          <w:b/>
          <w:iCs/>
        </w:rPr>
        <w:t>Datos del responsable de obra</w:t>
      </w:r>
    </w:p>
    <w:p w14:paraId="49627BA5" w14:textId="77777777" w:rsidR="00F95518" w:rsidRPr="00137487" w:rsidRDefault="00F95518" w:rsidP="00F95518">
      <w:pPr>
        <w:spacing w:line="360" w:lineRule="auto"/>
        <w:contextualSpacing/>
        <w:jc w:val="both"/>
        <w:rPr>
          <w:rFonts w:ascii="Palatino Linotype" w:hAnsi="Palatino Linotype" w:cs="Tahoma"/>
          <w:b/>
          <w:iCs/>
        </w:rPr>
      </w:pPr>
      <w:r w:rsidRPr="00137487">
        <w:rPr>
          <w:rFonts w:ascii="Palatino Linotype" w:hAnsi="Palatino Linotype" w:cs="Tahoma"/>
          <w:b/>
          <w:iCs/>
        </w:rPr>
        <w:t>•</w:t>
      </w:r>
      <w:r w:rsidRPr="00137487">
        <w:rPr>
          <w:rFonts w:ascii="Palatino Linotype" w:hAnsi="Palatino Linotype" w:cs="Tahoma"/>
          <w:b/>
          <w:iCs/>
        </w:rPr>
        <w:tab/>
        <w:t>Nombre</w:t>
      </w:r>
    </w:p>
    <w:p w14:paraId="67236118" w14:textId="77777777" w:rsidR="00F95518" w:rsidRPr="00137487" w:rsidRDefault="00F95518" w:rsidP="00F95518">
      <w:pPr>
        <w:spacing w:line="360" w:lineRule="auto"/>
        <w:contextualSpacing/>
        <w:jc w:val="both"/>
        <w:rPr>
          <w:rFonts w:ascii="Palatino Linotype" w:hAnsi="Palatino Linotype" w:cs="Tahoma"/>
          <w:bCs/>
          <w:iCs/>
        </w:rPr>
      </w:pPr>
    </w:p>
    <w:p w14:paraId="622E4267" w14:textId="2EAE1333"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Un dato personal es cualquier información que pueda hacer a una persona física identificada e identificable, como su nombre o imagen. En este sentido, cualquier información que por sí sola o relacionada con otra permita hacer identificable a una persona, es un dato personal, susceptible de ser clasificado.</w:t>
      </w:r>
    </w:p>
    <w:p w14:paraId="23B664FA" w14:textId="77777777" w:rsidR="00F95518" w:rsidRPr="00137487" w:rsidRDefault="00F95518" w:rsidP="00F95518">
      <w:pPr>
        <w:spacing w:line="360" w:lineRule="auto"/>
        <w:contextualSpacing/>
        <w:jc w:val="both"/>
        <w:rPr>
          <w:rFonts w:ascii="Palatino Linotype" w:hAnsi="Palatino Linotype" w:cs="Tahoma"/>
          <w:bCs/>
          <w:iCs/>
        </w:rPr>
      </w:pPr>
    </w:p>
    <w:p w14:paraId="274C9274" w14:textId="42F2EE68"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137487">
        <w:rPr>
          <w:rFonts w:ascii="Palatino Linotype" w:hAnsi="Palatino Linotype" w:cs="Tahoma"/>
          <w:bCs/>
          <w:iCs/>
        </w:rPr>
        <w:lastRenderedPageBreak/>
        <w:t>instituciones y es a partir de ahí, en donde las instituciones públicas deben determinar la publicidad de su información.</w:t>
      </w:r>
    </w:p>
    <w:p w14:paraId="3F9B387E" w14:textId="77777777" w:rsidR="00F95518" w:rsidRPr="00137487" w:rsidRDefault="00F95518" w:rsidP="00F95518">
      <w:pPr>
        <w:spacing w:line="360" w:lineRule="auto"/>
        <w:contextualSpacing/>
        <w:jc w:val="both"/>
        <w:rPr>
          <w:rFonts w:ascii="Palatino Linotype" w:hAnsi="Palatino Linotype" w:cs="Tahoma"/>
          <w:bCs/>
          <w:iCs/>
        </w:rPr>
      </w:pPr>
    </w:p>
    <w:p w14:paraId="40D31722" w14:textId="7CB0EF5C"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De tal suerte, las instituciones públicas tienen la doble responsabilidad, por un lado, de proteger los datos personales y por otro, darles publicidad cuando la relevancia de esos datos sea de interés público.</w:t>
      </w:r>
    </w:p>
    <w:p w14:paraId="7D2B59A0" w14:textId="77777777" w:rsidR="00F95518" w:rsidRPr="00137487" w:rsidRDefault="00F95518" w:rsidP="00F95518">
      <w:pPr>
        <w:spacing w:line="360" w:lineRule="auto"/>
        <w:contextualSpacing/>
        <w:jc w:val="both"/>
        <w:rPr>
          <w:rFonts w:ascii="Palatino Linotype" w:hAnsi="Palatino Linotype" w:cs="Tahoma"/>
          <w:bCs/>
          <w:iCs/>
        </w:rPr>
      </w:pPr>
    </w:p>
    <w:p w14:paraId="031A4D02" w14:textId="2ADB859F"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En este orden de ideas, toda la información que transparente la gestión pública, favorezca la rendición de cuentas, tal es el caso de la emisión de una licencia de construcción, el nombre del responsable de la obra es de naturaleza pública; información que necesariamente está vinculada con datos personales, que pierden la protección en beneficio del interés público.</w:t>
      </w:r>
    </w:p>
    <w:p w14:paraId="2308FF33" w14:textId="77777777" w:rsidR="00F95518" w:rsidRPr="00137487" w:rsidRDefault="00F95518" w:rsidP="00F95518">
      <w:pPr>
        <w:spacing w:line="360" w:lineRule="auto"/>
        <w:contextualSpacing/>
        <w:jc w:val="both"/>
        <w:rPr>
          <w:rFonts w:ascii="Palatino Linotype" w:hAnsi="Palatino Linotype" w:cs="Tahoma"/>
          <w:bCs/>
          <w:iCs/>
        </w:rPr>
      </w:pPr>
    </w:p>
    <w:p w14:paraId="2B330738" w14:textId="42A1FF80"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Número de cédula profesional.</w:t>
      </w:r>
    </w:p>
    <w:p w14:paraId="6AC1470A" w14:textId="77777777" w:rsidR="00F95518" w:rsidRPr="00137487" w:rsidRDefault="00F95518" w:rsidP="00F95518">
      <w:pPr>
        <w:spacing w:line="360" w:lineRule="auto"/>
        <w:contextualSpacing/>
        <w:jc w:val="both"/>
        <w:rPr>
          <w:rFonts w:ascii="Palatino Linotype" w:hAnsi="Palatino Linotype" w:cs="Tahoma"/>
          <w:bCs/>
          <w:iCs/>
        </w:rPr>
      </w:pPr>
    </w:p>
    <w:p w14:paraId="5FA8C8F5" w14:textId="62301C79"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http://consultatucedula.mx/).</w:t>
      </w:r>
    </w:p>
    <w:p w14:paraId="69324222" w14:textId="77777777" w:rsidR="00F95518" w:rsidRPr="00137487" w:rsidRDefault="00F95518" w:rsidP="00F95518">
      <w:pPr>
        <w:spacing w:line="360" w:lineRule="auto"/>
        <w:contextualSpacing/>
        <w:jc w:val="both"/>
        <w:rPr>
          <w:rFonts w:ascii="Palatino Linotype" w:hAnsi="Palatino Linotype" w:cs="Tahoma"/>
          <w:bCs/>
          <w:iCs/>
        </w:rPr>
      </w:pPr>
    </w:p>
    <w:p w14:paraId="481FF81B" w14:textId="13CF38DB" w:rsidR="00F9551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t>En ese contexto, el documento en cuestión da cuenta de la preparación para que su titular lo relacionen con el nivel de estudios con que cuenta, por lo que, se trata de un documento de naturaleza pública; además, que puede dar el grado máximo de estudios de la persona en cuestión.</w:t>
      </w:r>
    </w:p>
    <w:p w14:paraId="0D7DF0EA" w14:textId="77777777" w:rsidR="00F95518" w:rsidRPr="00137487" w:rsidRDefault="00F95518" w:rsidP="00F95518">
      <w:pPr>
        <w:spacing w:line="360" w:lineRule="auto"/>
        <w:contextualSpacing/>
        <w:jc w:val="both"/>
        <w:rPr>
          <w:rFonts w:ascii="Palatino Linotype" w:hAnsi="Palatino Linotype" w:cs="Tahoma"/>
          <w:bCs/>
          <w:iCs/>
        </w:rPr>
      </w:pPr>
    </w:p>
    <w:p w14:paraId="3B03CAD1" w14:textId="40BC9371" w:rsidR="00A14788" w:rsidRPr="00137487" w:rsidRDefault="00F95518" w:rsidP="00F95518">
      <w:pPr>
        <w:spacing w:line="360" w:lineRule="auto"/>
        <w:contextualSpacing/>
        <w:jc w:val="both"/>
        <w:rPr>
          <w:rFonts w:ascii="Palatino Linotype" w:hAnsi="Palatino Linotype" w:cs="Tahoma"/>
          <w:bCs/>
          <w:iCs/>
        </w:rPr>
      </w:pPr>
      <w:r w:rsidRPr="00137487">
        <w:rPr>
          <w:rFonts w:ascii="Palatino Linotype" w:hAnsi="Palatino Linotype" w:cs="Tahoma"/>
          <w:bCs/>
          <w:iCs/>
        </w:rPr>
        <w:lastRenderedPageBreak/>
        <w:t>Además, que dicho número forma parte del Registro Nacional de Profesionistas, y da cuenta de que algún profesionista, en el presente caso, tiene registrado su título, con efectos de patente; por lo que, se considera que el número de cédula profesional, al formar parte de un registro público, y toda vez que tal dato forma parte de la emisión de una licencia de construcción, la cédula profesional del responsable de la obra es de naturaleza pública; información que necesariamente está vinculada con datos personales, que pierden la protección en beneficio del interés público, por lo que no actualiza, la causal de clasificación prevista en el artículo 143, fracción I, de la Ley de Transparencia y Acceso a la Información Pública del Estado de México.</w:t>
      </w:r>
    </w:p>
    <w:p w14:paraId="0B869686" w14:textId="77777777" w:rsidR="00793B59" w:rsidRPr="00137487" w:rsidRDefault="00793B59" w:rsidP="00793B59">
      <w:pPr>
        <w:spacing w:line="360" w:lineRule="auto"/>
        <w:contextualSpacing/>
        <w:jc w:val="both"/>
        <w:rPr>
          <w:rFonts w:ascii="Palatino Linotype" w:hAnsi="Palatino Linotype" w:cs="Tahoma"/>
          <w:bCs/>
          <w:iCs/>
        </w:rPr>
      </w:pPr>
    </w:p>
    <w:p w14:paraId="453AA305" w14:textId="56E43308" w:rsidR="00793B59" w:rsidRPr="00137487" w:rsidRDefault="00793B59" w:rsidP="00793B59">
      <w:pPr>
        <w:spacing w:line="360" w:lineRule="auto"/>
        <w:contextualSpacing/>
        <w:jc w:val="both"/>
        <w:rPr>
          <w:rFonts w:ascii="Palatino Linotype" w:hAnsi="Palatino Linotype" w:cs="Tahoma"/>
          <w:b/>
          <w:iCs/>
        </w:rPr>
      </w:pPr>
      <w:r w:rsidRPr="00137487">
        <w:rPr>
          <w:rFonts w:ascii="Palatino Linotype" w:hAnsi="Palatino Linotype" w:cs="Tahoma"/>
          <w:b/>
          <w:iCs/>
        </w:rPr>
        <w:t>Nombre de particulares</w:t>
      </w:r>
    </w:p>
    <w:p w14:paraId="02141131" w14:textId="77777777" w:rsidR="00793B59" w:rsidRPr="00137487" w:rsidRDefault="00793B59" w:rsidP="00793B59">
      <w:pPr>
        <w:spacing w:line="360" w:lineRule="auto"/>
        <w:contextualSpacing/>
        <w:jc w:val="both"/>
        <w:rPr>
          <w:rFonts w:ascii="Palatino Linotype" w:hAnsi="Palatino Linotype" w:cs="Tahoma"/>
          <w:bCs/>
          <w:iCs/>
        </w:rPr>
      </w:pPr>
    </w:p>
    <w:p w14:paraId="1D71210E" w14:textId="57649D93" w:rsidR="00793B59" w:rsidRPr="00137487" w:rsidRDefault="00793B59" w:rsidP="00793B59">
      <w:pPr>
        <w:spacing w:line="360" w:lineRule="auto"/>
        <w:contextualSpacing/>
        <w:jc w:val="both"/>
        <w:rPr>
          <w:rFonts w:ascii="Palatino Linotype" w:hAnsi="Palatino Linotype" w:cs="Tahoma"/>
          <w:bCs/>
          <w:iCs/>
        </w:rPr>
      </w:pPr>
      <w:r w:rsidRPr="00137487">
        <w:rPr>
          <w:rFonts w:ascii="Palatino Linotype" w:hAnsi="Palatino Linotype" w:cs="Tahoma"/>
          <w:bCs/>
          <w:iCs/>
        </w:rPr>
        <w:t>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14:paraId="0D991214" w14:textId="49FDE49F" w:rsidR="00F95518" w:rsidRPr="00137487" w:rsidRDefault="00F95518" w:rsidP="00F95518">
      <w:pPr>
        <w:spacing w:line="360" w:lineRule="auto"/>
        <w:contextualSpacing/>
        <w:jc w:val="both"/>
        <w:rPr>
          <w:rFonts w:ascii="Palatino Linotype" w:hAnsi="Palatino Linotype" w:cs="Tahoma"/>
        </w:rPr>
      </w:pPr>
    </w:p>
    <w:p w14:paraId="5185186C" w14:textId="77777777" w:rsidR="00793B59" w:rsidRPr="00137487" w:rsidRDefault="00793B59" w:rsidP="00793B59">
      <w:pPr>
        <w:spacing w:line="360" w:lineRule="auto"/>
        <w:contextualSpacing/>
        <w:jc w:val="both"/>
        <w:rPr>
          <w:rFonts w:ascii="Palatino Linotype" w:hAnsi="Palatino Linotype" w:cs="Tahoma"/>
          <w:b/>
          <w:bCs/>
        </w:rPr>
      </w:pPr>
      <w:r w:rsidRPr="00137487">
        <w:rPr>
          <w:rFonts w:ascii="Palatino Linotype" w:hAnsi="Palatino Linotype" w:cs="Tahoma"/>
          <w:b/>
          <w:bCs/>
        </w:rPr>
        <w:t>Números telefónicos y correo electrónico particulares</w:t>
      </w:r>
    </w:p>
    <w:p w14:paraId="49A75201" w14:textId="77777777" w:rsidR="00793B59" w:rsidRPr="00137487" w:rsidRDefault="00793B59" w:rsidP="00793B59">
      <w:pPr>
        <w:spacing w:line="360" w:lineRule="auto"/>
        <w:contextualSpacing/>
        <w:jc w:val="both"/>
        <w:rPr>
          <w:rFonts w:ascii="Palatino Linotype" w:hAnsi="Palatino Linotype" w:cs="Tahoma"/>
        </w:rPr>
      </w:pPr>
    </w:p>
    <w:p w14:paraId="2C3887E5" w14:textId="070D6444" w:rsidR="00793B59" w:rsidRPr="00137487" w:rsidRDefault="00793B59" w:rsidP="00793B59">
      <w:pPr>
        <w:spacing w:line="360" w:lineRule="auto"/>
        <w:contextualSpacing/>
        <w:jc w:val="both"/>
        <w:rPr>
          <w:rFonts w:ascii="Palatino Linotype" w:hAnsi="Palatino Linotype" w:cs="Tahoma"/>
        </w:rPr>
      </w:pPr>
      <w:r w:rsidRPr="00137487">
        <w:rPr>
          <w:rFonts w:ascii="Palatino Linotype" w:hAnsi="Palatino Linotype" w:cs="Tahoma"/>
        </w:rPr>
        <w:t xml:space="preserve">Al igual que el correo electrónico, el número asignado a un teléfono particular o celular permite localizar a una persona física identificada o identificable, ya sea a través de un dispositivo móvil o bien, en un lugar como el domicilio; por lo que, la titularidad del mismo, </w:t>
      </w:r>
      <w:r w:rsidRPr="00137487">
        <w:rPr>
          <w:rFonts w:ascii="Palatino Linotype" w:hAnsi="Palatino Linotype" w:cs="Tahoma"/>
        </w:rPr>
        <w:lastRenderedPageBreak/>
        <w:t>al igual que el correo electrónico, corresponde a la persona física en su calidad de particular. En tales consideraciones, dicho dato personal es susceptible de ser clasificado como confidencial, con fundamento en el artículo 143, fracción I de la Ley de Transparencia y Acceso a la Información Pública.</w:t>
      </w:r>
    </w:p>
    <w:p w14:paraId="27CC35DC" w14:textId="603AF264" w:rsidR="00793B59" w:rsidRPr="00137487" w:rsidRDefault="00793B59" w:rsidP="00793B59">
      <w:pPr>
        <w:spacing w:line="360" w:lineRule="auto"/>
        <w:contextualSpacing/>
        <w:jc w:val="both"/>
        <w:rPr>
          <w:rFonts w:ascii="Palatino Linotype" w:hAnsi="Palatino Linotype" w:cs="Tahoma"/>
        </w:rPr>
      </w:pPr>
    </w:p>
    <w:p w14:paraId="35E2E134" w14:textId="77777777" w:rsidR="00793B59" w:rsidRPr="00137487" w:rsidRDefault="00793B59" w:rsidP="00793B59">
      <w:pPr>
        <w:spacing w:line="360" w:lineRule="auto"/>
        <w:contextualSpacing/>
        <w:jc w:val="both"/>
        <w:rPr>
          <w:rFonts w:ascii="Palatino Linotype" w:hAnsi="Palatino Linotype" w:cs="Tahoma"/>
          <w:b/>
          <w:bCs/>
        </w:rPr>
      </w:pPr>
      <w:r w:rsidRPr="00137487">
        <w:rPr>
          <w:rFonts w:ascii="Palatino Linotype" w:hAnsi="Palatino Linotype" w:cs="Tahoma"/>
          <w:b/>
          <w:bCs/>
        </w:rPr>
        <w:t>Nombre de servidor público</w:t>
      </w:r>
    </w:p>
    <w:p w14:paraId="10FB6F46" w14:textId="77777777" w:rsidR="00793B59" w:rsidRPr="00137487" w:rsidRDefault="00793B59" w:rsidP="00793B59">
      <w:pPr>
        <w:spacing w:line="360" w:lineRule="auto"/>
        <w:contextualSpacing/>
        <w:jc w:val="both"/>
        <w:rPr>
          <w:rFonts w:ascii="Palatino Linotype" w:hAnsi="Palatino Linotype" w:cs="Tahoma"/>
        </w:rPr>
      </w:pPr>
    </w:p>
    <w:p w14:paraId="4CC171BF" w14:textId="4109FD65" w:rsidR="00793B59" w:rsidRPr="00137487" w:rsidRDefault="00793B59" w:rsidP="00793B59">
      <w:pPr>
        <w:spacing w:line="360" w:lineRule="auto"/>
        <w:contextualSpacing/>
        <w:jc w:val="both"/>
        <w:rPr>
          <w:rFonts w:ascii="Palatino Linotype" w:hAnsi="Palatino Linotype" w:cs="Tahoma"/>
        </w:rPr>
      </w:pPr>
      <w:r w:rsidRPr="00137487">
        <w:rPr>
          <w:rFonts w:ascii="Palatino Linotype" w:hAnsi="Palatino Linotype" w:cs="Tahoma"/>
        </w:rPr>
        <w:t>Un dato personal es cualquier información que pueda hacer a una persona física identificada e identificable, como su nombre o imagen. En este sentido, cualquier información que por sí sola o relacionada con otra permita hacer identificable a una persona, es un dato personal, susceptible de ser clasificado.</w:t>
      </w:r>
    </w:p>
    <w:p w14:paraId="3435827B" w14:textId="77777777" w:rsidR="00793B59" w:rsidRPr="00137487" w:rsidRDefault="00793B59" w:rsidP="00793B59">
      <w:pPr>
        <w:spacing w:line="360" w:lineRule="auto"/>
        <w:contextualSpacing/>
        <w:jc w:val="both"/>
        <w:rPr>
          <w:rFonts w:ascii="Palatino Linotype" w:hAnsi="Palatino Linotype" w:cs="Tahoma"/>
        </w:rPr>
      </w:pPr>
    </w:p>
    <w:p w14:paraId="5071CC61" w14:textId="0AC39879" w:rsidR="00793B59" w:rsidRPr="00137487" w:rsidRDefault="00793B59" w:rsidP="00793B59">
      <w:pPr>
        <w:spacing w:line="360" w:lineRule="auto"/>
        <w:contextualSpacing/>
        <w:jc w:val="both"/>
        <w:rPr>
          <w:rFonts w:ascii="Palatino Linotype" w:hAnsi="Palatino Linotype" w:cs="Tahoma"/>
        </w:rPr>
      </w:pPr>
      <w:r w:rsidRPr="00137487">
        <w:rPr>
          <w:rFonts w:ascii="Palatino Linotype" w:hAnsi="Palatino Linotype" w:cs="Tahoma"/>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CBD1468" w14:textId="4CC480F8" w:rsidR="00793B59" w:rsidRPr="00137487" w:rsidRDefault="00793B59" w:rsidP="00793B59">
      <w:pPr>
        <w:spacing w:line="360" w:lineRule="auto"/>
        <w:contextualSpacing/>
        <w:jc w:val="both"/>
        <w:rPr>
          <w:rFonts w:ascii="Palatino Linotype" w:hAnsi="Palatino Linotype" w:cs="Tahoma"/>
        </w:rPr>
      </w:pPr>
    </w:p>
    <w:p w14:paraId="748064C2" w14:textId="2B8873FB" w:rsidR="00793B59" w:rsidRPr="00137487" w:rsidRDefault="00793B59" w:rsidP="00793B59">
      <w:pPr>
        <w:spacing w:line="360" w:lineRule="auto"/>
        <w:contextualSpacing/>
        <w:jc w:val="both"/>
        <w:rPr>
          <w:rFonts w:ascii="Palatino Linotype" w:hAnsi="Palatino Linotype" w:cs="Tahoma"/>
        </w:rPr>
      </w:pPr>
      <w:r w:rsidRPr="00137487">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14:paraId="2CD635A2" w14:textId="77777777" w:rsidR="00793B59" w:rsidRPr="00137487" w:rsidRDefault="00793B59" w:rsidP="00793B59">
      <w:pPr>
        <w:spacing w:line="360" w:lineRule="auto"/>
        <w:contextualSpacing/>
        <w:jc w:val="both"/>
        <w:rPr>
          <w:rFonts w:ascii="Palatino Linotype" w:hAnsi="Palatino Linotype" w:cs="Tahoma"/>
        </w:rPr>
      </w:pPr>
    </w:p>
    <w:p w14:paraId="299483DC" w14:textId="154D0492" w:rsidR="00793B59" w:rsidRPr="00137487" w:rsidRDefault="00793B59" w:rsidP="00793B59">
      <w:pPr>
        <w:spacing w:line="360" w:lineRule="auto"/>
        <w:contextualSpacing/>
        <w:jc w:val="both"/>
        <w:rPr>
          <w:rFonts w:ascii="Palatino Linotype" w:hAnsi="Palatino Linotype" w:cs="Tahoma"/>
        </w:rPr>
      </w:pPr>
      <w:r w:rsidRPr="00137487">
        <w:rPr>
          <w:rFonts w:ascii="Palatino Linotype" w:hAnsi="Palatino Linotype" w:cs="Tahoma"/>
        </w:rPr>
        <w:t xml:space="preserve">En este orden de ideas, toda la información que transparente la gestión pública, favorezca la rendición de cuentas y contribuya a la democratización del Estado Mexicano es, sin excepción, </w:t>
      </w:r>
      <w:r w:rsidRPr="00137487">
        <w:rPr>
          <w:rFonts w:ascii="Palatino Linotype" w:hAnsi="Palatino Linotype" w:cs="Tahoma"/>
        </w:rPr>
        <w:lastRenderedPageBreak/>
        <w:t>de naturaleza pública; tal es el caso del nombre de los servidores públicos; información que necesariamente está vinculada con datos personales, que pierden la protección en beneficio del interés público, por lo que no actualiza, la causal de clasificación prevista en el artículo 143, fracción I, de la Ley de Transparencia y Acceso a la Información Pública del Estado de México.</w:t>
      </w:r>
    </w:p>
    <w:p w14:paraId="60E28C8E" w14:textId="56D4133B" w:rsidR="00793B59" w:rsidRPr="00137487" w:rsidRDefault="00793B59" w:rsidP="00A14788">
      <w:pPr>
        <w:spacing w:line="360" w:lineRule="auto"/>
        <w:contextualSpacing/>
        <w:jc w:val="both"/>
        <w:rPr>
          <w:rFonts w:ascii="Palatino Linotype" w:hAnsi="Palatino Linotype"/>
          <w:bCs/>
          <w:iCs/>
        </w:rPr>
      </w:pPr>
    </w:p>
    <w:p w14:paraId="0293DE9D" w14:textId="13BB262C" w:rsidR="00793B59" w:rsidRPr="00137487" w:rsidRDefault="00793B59" w:rsidP="00793B59">
      <w:pPr>
        <w:spacing w:line="360" w:lineRule="auto"/>
        <w:contextualSpacing/>
        <w:jc w:val="both"/>
        <w:rPr>
          <w:rFonts w:ascii="Palatino Linotype" w:hAnsi="Palatino Linotype"/>
          <w:b/>
          <w:iCs/>
        </w:rPr>
      </w:pPr>
      <w:r w:rsidRPr="00137487">
        <w:rPr>
          <w:rFonts w:ascii="Palatino Linotype" w:hAnsi="Palatino Linotype"/>
          <w:b/>
          <w:iCs/>
        </w:rPr>
        <w:t>Firma de servidores públicos</w:t>
      </w:r>
    </w:p>
    <w:p w14:paraId="0DB423CE" w14:textId="77777777" w:rsidR="00793B59" w:rsidRPr="00137487" w:rsidRDefault="00793B59" w:rsidP="00793B59">
      <w:pPr>
        <w:spacing w:line="360" w:lineRule="auto"/>
        <w:contextualSpacing/>
        <w:jc w:val="both"/>
        <w:rPr>
          <w:rFonts w:ascii="Palatino Linotype" w:hAnsi="Palatino Linotype"/>
          <w:b/>
          <w:iCs/>
        </w:rPr>
      </w:pPr>
    </w:p>
    <w:p w14:paraId="64EADECF" w14:textId="47E437E3" w:rsidR="00793B59" w:rsidRPr="00137487" w:rsidRDefault="00793B59" w:rsidP="00793B59">
      <w:pPr>
        <w:spacing w:line="360" w:lineRule="auto"/>
        <w:contextualSpacing/>
        <w:jc w:val="both"/>
        <w:rPr>
          <w:rFonts w:ascii="Palatino Linotype" w:hAnsi="Palatino Linotype"/>
          <w:bCs/>
          <w:iCs/>
        </w:rPr>
      </w:pPr>
      <w:r w:rsidRPr="00137487">
        <w:rPr>
          <w:rFonts w:ascii="Palatino Linotype" w:hAnsi="Palatino Linotype"/>
          <w:bCs/>
          <w:iCs/>
        </w:rPr>
        <w:t xml:space="preserve"> La firma, por regla general, es un dato personal confidencial, también lo es, que da cuenta de las obligaciones del servidor público para ingresar al servicio público. Sobre esta situación, cabe señalar que la firma de servidores públicos, vinculada al ejercicio de la función pública es información de naturaleza pública, pues documenta y rinde cuentas sobre el debido ejercicio de sus atribuciones, lo cual acontece en el presente caso, pues, los documentos donde se testa la firma de servidores públicos, dan cuenta de la legalidad del documento que expide en ejercicio de sus funciones.</w:t>
      </w:r>
    </w:p>
    <w:p w14:paraId="21728AA9" w14:textId="77777777" w:rsidR="00793B59" w:rsidRPr="00137487" w:rsidRDefault="00793B59" w:rsidP="00793B59">
      <w:pPr>
        <w:spacing w:line="360" w:lineRule="auto"/>
        <w:contextualSpacing/>
        <w:jc w:val="both"/>
        <w:rPr>
          <w:rFonts w:ascii="Palatino Linotype" w:hAnsi="Palatino Linotype"/>
          <w:bCs/>
          <w:iCs/>
        </w:rPr>
      </w:pPr>
    </w:p>
    <w:p w14:paraId="20F2919B" w14:textId="4320C59D" w:rsidR="00793B59" w:rsidRPr="00137487" w:rsidRDefault="00793B59" w:rsidP="00793B59">
      <w:pPr>
        <w:spacing w:line="360" w:lineRule="auto"/>
        <w:contextualSpacing/>
        <w:jc w:val="both"/>
        <w:rPr>
          <w:rFonts w:ascii="Palatino Linotype" w:hAnsi="Palatino Linotype"/>
          <w:bCs/>
          <w:iCs/>
        </w:rPr>
      </w:pPr>
      <w:r w:rsidRPr="00137487">
        <w:rPr>
          <w:rFonts w:ascii="Palatino Linotype" w:hAnsi="Palatino Linotype"/>
          <w:bCs/>
          <w:iCs/>
        </w:rPr>
        <w:t>Situación que se robustece, con el Criterio Orientador, de Interpretación, de la Segunda Época, con número de registro SO/002/2019, emitido por el entonces Instituto Nacional de Transparencia, Acceso a la Información y Protección de Datos Personales, que establece lo siguiente:</w:t>
      </w:r>
    </w:p>
    <w:p w14:paraId="0C41A379" w14:textId="4D290AA3" w:rsidR="00793B59" w:rsidRPr="00137487" w:rsidRDefault="00793B59" w:rsidP="00793B59">
      <w:pPr>
        <w:spacing w:line="360" w:lineRule="auto"/>
        <w:contextualSpacing/>
        <w:jc w:val="both"/>
        <w:rPr>
          <w:rFonts w:ascii="Palatino Linotype" w:hAnsi="Palatino Linotype"/>
          <w:bCs/>
          <w:iCs/>
        </w:rPr>
      </w:pPr>
    </w:p>
    <w:p w14:paraId="3A89E0EF" w14:textId="137C3F08" w:rsidR="00793B59" w:rsidRPr="00137487" w:rsidRDefault="00793B59" w:rsidP="00793B59">
      <w:pPr>
        <w:spacing w:line="360" w:lineRule="auto"/>
        <w:ind w:left="567" w:right="560"/>
        <w:contextualSpacing/>
        <w:jc w:val="both"/>
        <w:rPr>
          <w:rFonts w:ascii="Palatino Linotype" w:hAnsi="Palatino Linotype"/>
          <w:bCs/>
          <w:i/>
        </w:rPr>
      </w:pPr>
      <w:r w:rsidRPr="00137487">
        <w:rPr>
          <w:rFonts w:ascii="Palatino Linotype" w:hAnsi="Palatino Linotype"/>
          <w:bCs/>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34E90F7A" w14:textId="6C038F03" w:rsidR="00793B59" w:rsidRPr="00137487" w:rsidRDefault="00793B59" w:rsidP="00793B59">
      <w:pPr>
        <w:spacing w:line="360" w:lineRule="auto"/>
        <w:contextualSpacing/>
        <w:jc w:val="both"/>
        <w:rPr>
          <w:rFonts w:ascii="Palatino Linotype" w:hAnsi="Palatino Linotype"/>
          <w:bCs/>
          <w:iCs/>
        </w:rPr>
      </w:pPr>
    </w:p>
    <w:p w14:paraId="5F92622B" w14:textId="0B7CDEF4" w:rsidR="00793B59" w:rsidRPr="00137487" w:rsidRDefault="00793B59" w:rsidP="00793B59">
      <w:pPr>
        <w:spacing w:line="360" w:lineRule="auto"/>
        <w:contextualSpacing/>
        <w:jc w:val="both"/>
        <w:rPr>
          <w:rFonts w:ascii="Palatino Linotype" w:hAnsi="Palatino Linotype"/>
          <w:bCs/>
          <w:iCs/>
        </w:rPr>
      </w:pPr>
      <w:r w:rsidRPr="00137487">
        <w:rPr>
          <w:rFonts w:ascii="Palatino Linotype" w:hAnsi="Palatino Linotype"/>
          <w:bCs/>
          <w:iCs/>
        </w:rPr>
        <w:lastRenderedPageBreak/>
        <w:t>Conforme a lo expuesto, no procede la clasificación,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 sus facultades y atribuciones.</w:t>
      </w:r>
    </w:p>
    <w:p w14:paraId="7404D90B" w14:textId="79077FFE" w:rsidR="00793B59" w:rsidRPr="00137487" w:rsidRDefault="00793B59" w:rsidP="00793B59">
      <w:pPr>
        <w:spacing w:line="360" w:lineRule="auto"/>
        <w:contextualSpacing/>
        <w:jc w:val="both"/>
        <w:rPr>
          <w:rFonts w:ascii="Palatino Linotype" w:hAnsi="Palatino Linotype"/>
          <w:bCs/>
          <w:iCs/>
        </w:rPr>
      </w:pPr>
    </w:p>
    <w:p w14:paraId="2FC61D00" w14:textId="0AF1B732" w:rsidR="00793B59" w:rsidRPr="00137487" w:rsidRDefault="00793B59" w:rsidP="00793B59">
      <w:pPr>
        <w:spacing w:line="360" w:lineRule="auto"/>
        <w:contextualSpacing/>
        <w:jc w:val="both"/>
        <w:rPr>
          <w:rFonts w:ascii="Palatino Linotype" w:hAnsi="Palatino Linotype"/>
          <w:bCs/>
          <w:iCs/>
        </w:rPr>
      </w:pPr>
      <w:r w:rsidRPr="00137487">
        <w:rPr>
          <w:rFonts w:ascii="Palatino Linotype" w:hAnsi="Palatino Linotype"/>
          <w:bCs/>
          <w:iCs/>
        </w:rPr>
        <w:t>En este sentido, de manera general, los datos que no contienen datos de carácter personal y están relacionados con el interés público, son aquellos contenidos dentro de las licencias de construcción adicionales a los ya referidos en párrafos anteriores, tales como, de manera enunciativa mas no limitativa: Número de folio, licencia y expediente; Tipo de licencia; Destino de la Obra; Datos del Predio: (calle, delegación, superficie prevista a construir, número, manzana, lote y unidad territorial básica), ya que se refiere a información que resulta de interés sociedad y no simplemente individual, cuya divulgación resulta útil para que el público comprenda las actividades que llevan a cabo los sujetos obligados, tal es el caso concreto, ya que dichos datos están estrictamente relacionados con a la naturaleza del trámite a realizar y abona en la rendición de cuentas.</w:t>
      </w:r>
    </w:p>
    <w:p w14:paraId="4FADB46D" w14:textId="77777777" w:rsidR="00793B59" w:rsidRPr="00137487" w:rsidRDefault="00793B59" w:rsidP="00A14788">
      <w:pPr>
        <w:spacing w:line="360" w:lineRule="auto"/>
        <w:contextualSpacing/>
        <w:jc w:val="both"/>
        <w:rPr>
          <w:rFonts w:ascii="Palatino Linotype" w:hAnsi="Palatino Linotype"/>
          <w:bCs/>
          <w:iCs/>
        </w:rPr>
      </w:pPr>
    </w:p>
    <w:p w14:paraId="1B88902A" w14:textId="10642B95" w:rsidR="00A14788" w:rsidRPr="00137487" w:rsidRDefault="00A14788" w:rsidP="00A14788">
      <w:pPr>
        <w:spacing w:line="360" w:lineRule="auto"/>
        <w:contextualSpacing/>
        <w:jc w:val="both"/>
        <w:rPr>
          <w:rFonts w:ascii="Palatino Linotype" w:hAnsi="Palatino Linotype" w:cs="Tahoma"/>
          <w:bCs/>
          <w:iCs/>
          <w:lang w:val="es-ES"/>
        </w:rPr>
      </w:pPr>
      <w:r w:rsidRPr="00137487">
        <w:rPr>
          <w:rFonts w:ascii="Palatino Linotype" w:hAnsi="Palatino Linotype"/>
          <w:bCs/>
          <w:iCs/>
        </w:rPr>
        <w:t xml:space="preserve"> </w:t>
      </w:r>
      <w:r w:rsidRPr="00137487">
        <w:rPr>
          <w:rFonts w:ascii="Palatino Linotype" w:hAnsi="Palatino Linotype" w:cs="Tahoma"/>
          <w:bCs/>
          <w:lang w:val="es-ES_tradnl"/>
        </w:rPr>
        <w:t>Conforme a lo expuesto, el Sujeto Obligado, deberá entregar las licencias requeridas, en su caso, en versión pública</w:t>
      </w:r>
      <w:r w:rsidR="00793B59" w:rsidRPr="00137487">
        <w:rPr>
          <w:rFonts w:ascii="Palatino Linotype" w:hAnsi="Palatino Linotype" w:cs="Tahoma"/>
          <w:bCs/>
          <w:lang w:val="es-ES_tradnl"/>
        </w:rPr>
        <w:t xml:space="preserve"> correcta</w:t>
      </w:r>
      <w:r w:rsidRPr="00137487">
        <w:rPr>
          <w:rFonts w:ascii="Palatino Linotype" w:hAnsi="Palatino Linotype" w:cs="Tahoma"/>
          <w:bCs/>
          <w:lang w:val="es-ES_tradnl"/>
        </w:rPr>
        <w:t xml:space="preserve">; lo anterior, de conformidad con el </w:t>
      </w:r>
      <w:r w:rsidRPr="00137487">
        <w:rPr>
          <w:rFonts w:ascii="Palatino Linotype" w:hAnsi="Palatino Linotype"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137487">
        <w:rPr>
          <w:rFonts w:ascii="Palatino Linotype" w:hAnsi="Palatino Linotype" w:cs="Tahoma"/>
          <w:bCs/>
          <w:iCs/>
          <w:lang w:val="es-ES"/>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w:t>
      </w:r>
      <w:r w:rsidRPr="00137487">
        <w:rPr>
          <w:rFonts w:ascii="Palatino Linotype" w:hAnsi="Palatino Linotype" w:cs="Tahoma"/>
          <w:bCs/>
          <w:iCs/>
          <w:lang w:val="es-ES"/>
        </w:rPr>
        <w:lastRenderedPageBreak/>
        <w:t>Transparencia, donde confirme la clasificación de los datos, fundando y motivando la clasificación</w:t>
      </w:r>
      <w:r w:rsidR="00793B59" w:rsidRPr="00137487">
        <w:rPr>
          <w:rFonts w:ascii="Palatino Linotype" w:hAnsi="Palatino Linotype" w:cs="Tahoma"/>
          <w:bCs/>
          <w:iCs/>
          <w:lang w:val="es-ES"/>
        </w:rPr>
        <w:t xml:space="preserve">, situación que tampoco aconteció, pues no fue adjuntado el acuerdo de comité correspondiente. </w:t>
      </w:r>
    </w:p>
    <w:p w14:paraId="36971B08" w14:textId="77777777" w:rsidR="00F95518" w:rsidRPr="00137487" w:rsidRDefault="00F95518" w:rsidP="00A14788">
      <w:pPr>
        <w:spacing w:line="360" w:lineRule="auto"/>
        <w:contextualSpacing/>
        <w:jc w:val="both"/>
        <w:rPr>
          <w:rFonts w:ascii="Palatino Linotype" w:hAnsi="Palatino Linotype" w:cs="Tahoma"/>
          <w:bCs/>
          <w:iCs/>
          <w:lang w:val="es-ES"/>
        </w:rPr>
      </w:pPr>
    </w:p>
    <w:p w14:paraId="4FD4C1A0" w14:textId="332E7084" w:rsidR="00A14788" w:rsidRPr="00137487" w:rsidRDefault="0057442A" w:rsidP="0057442A">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Por lo anterior, se ordena entregar las Licencias </w:t>
      </w:r>
      <w:r w:rsidR="00A14788" w:rsidRPr="00137487">
        <w:rPr>
          <w:rFonts w:ascii="Palatino Linotype" w:eastAsia="Palatino Linotype" w:hAnsi="Palatino Linotype" w:cs="Palatino Linotype"/>
        </w:rPr>
        <w:t>remitidas en repuesta</w:t>
      </w:r>
      <w:r w:rsidRPr="00137487">
        <w:rPr>
          <w:rFonts w:ascii="Palatino Linotype" w:eastAsia="Palatino Linotype" w:hAnsi="Palatino Linotype" w:cs="Palatino Linotype"/>
        </w:rPr>
        <w:t>, en correcta versión pública</w:t>
      </w:r>
      <w:r w:rsidR="00793B59" w:rsidRPr="00137487">
        <w:rPr>
          <w:rFonts w:ascii="Palatino Linotype" w:eastAsia="Palatino Linotype" w:hAnsi="Palatino Linotype" w:cs="Palatino Linotype"/>
        </w:rPr>
        <w:t xml:space="preserve">, acompañadas </w:t>
      </w:r>
      <w:r w:rsidR="00793B59" w:rsidRPr="00137487">
        <w:rPr>
          <w:rFonts w:ascii="Palatino Linotype" w:hAnsi="Palatino Linotype" w:cs="Tahoma"/>
          <w:bCs/>
          <w:iCs/>
          <w:lang w:val="es-ES"/>
        </w:rPr>
        <w:t xml:space="preserve">del Acuerdo, por parte del Comité de Transparencia en los términos expuestos en el siguiente considerando. </w:t>
      </w:r>
    </w:p>
    <w:p w14:paraId="7BCEF911" w14:textId="77777777" w:rsidR="0057442A" w:rsidRPr="00137487" w:rsidRDefault="0057442A" w:rsidP="0057442A">
      <w:pPr>
        <w:spacing w:line="360" w:lineRule="auto"/>
        <w:contextualSpacing/>
        <w:jc w:val="both"/>
        <w:rPr>
          <w:rFonts w:ascii="Palatino Linotype" w:hAnsi="Palatino Linotype" w:cs="Tahoma"/>
          <w:bCs/>
          <w:iCs/>
        </w:rPr>
      </w:pPr>
    </w:p>
    <w:p w14:paraId="4E35EE59" w14:textId="77777777" w:rsidR="0057442A" w:rsidRPr="00137487" w:rsidRDefault="0057442A" w:rsidP="0057442A">
      <w:pPr>
        <w:spacing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b/>
        </w:rPr>
        <w:t xml:space="preserve">Quinto. Versión Pública. </w:t>
      </w:r>
      <w:r w:rsidRPr="0013748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xml:space="preserve"> sin menoscabar el derecho a la protección de los datos personales de terceros.</w:t>
      </w:r>
    </w:p>
    <w:p w14:paraId="060598D6" w14:textId="77777777" w:rsidR="0057442A" w:rsidRPr="00137487" w:rsidRDefault="0057442A" w:rsidP="0057442A">
      <w:pPr>
        <w:spacing w:line="360" w:lineRule="auto"/>
        <w:ind w:right="49"/>
        <w:jc w:val="both"/>
        <w:rPr>
          <w:rFonts w:ascii="Palatino Linotype" w:eastAsia="Palatino Linotype" w:hAnsi="Palatino Linotype" w:cs="Palatino Linotype"/>
        </w:rPr>
      </w:pPr>
    </w:p>
    <w:p w14:paraId="1FC50EAE" w14:textId="77777777" w:rsidR="0057442A" w:rsidRPr="00137487" w:rsidRDefault="0057442A" w:rsidP="0057442A">
      <w:pPr>
        <w:spacing w:line="360" w:lineRule="auto"/>
        <w:ind w:right="50"/>
        <w:jc w:val="both"/>
        <w:rPr>
          <w:rFonts w:ascii="Palatino Linotype" w:eastAsia="Palatino Linotype" w:hAnsi="Palatino Linotype" w:cs="Palatino Linotype"/>
        </w:rPr>
      </w:pPr>
      <w:r w:rsidRPr="00137487">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5D0E0E1" w14:textId="77777777" w:rsidR="0057442A" w:rsidRPr="00137487" w:rsidRDefault="0057442A" w:rsidP="0057442A">
      <w:pPr>
        <w:spacing w:line="276" w:lineRule="auto"/>
        <w:ind w:left="851" w:right="616"/>
        <w:jc w:val="both"/>
        <w:rPr>
          <w:rFonts w:ascii="Palatino Linotype" w:eastAsia="Palatino Linotype" w:hAnsi="Palatino Linotype" w:cs="Palatino Linotype"/>
          <w:b/>
          <w:i/>
        </w:rPr>
      </w:pPr>
      <w:r w:rsidRPr="00137487">
        <w:rPr>
          <w:rFonts w:ascii="Palatino Linotype" w:eastAsia="Palatino Linotype" w:hAnsi="Palatino Linotype" w:cs="Palatino Linotype"/>
          <w:b/>
          <w:i/>
        </w:rPr>
        <w:t>“Artículo 3. Para los efectos de la presente Ley se entenderá por:</w:t>
      </w:r>
    </w:p>
    <w:p w14:paraId="1950165F"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IX. Datos personales:</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La información concerniente a una persona, identificada o identificable</w:t>
      </w:r>
      <w:r w:rsidRPr="00137487">
        <w:rPr>
          <w:rFonts w:ascii="Palatino Linotype" w:eastAsia="Palatino Linotype" w:hAnsi="Palatino Linotype" w:cs="Palatino Linotype"/>
          <w:i/>
        </w:rPr>
        <w:t xml:space="preserve"> según lo dispuesto por la Ley de Protección de Datos Personales del Estado de México;</w:t>
      </w:r>
    </w:p>
    <w:p w14:paraId="3076ECF1"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lastRenderedPageBreak/>
        <w:t>XX. Información clasificada:</w:t>
      </w:r>
      <w:r w:rsidRPr="00137487">
        <w:rPr>
          <w:rFonts w:ascii="Palatino Linotype" w:eastAsia="Palatino Linotype" w:hAnsi="Palatino Linotype" w:cs="Palatino Linotype"/>
          <w:i/>
        </w:rPr>
        <w:t xml:space="preserve"> Aquella considerada por la presente Ley como reservada o confidencial;</w:t>
      </w:r>
    </w:p>
    <w:p w14:paraId="5D6C9664"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XXXII. Protección de Datos Personales:</w:t>
      </w:r>
      <w:r w:rsidRPr="00137487">
        <w:rPr>
          <w:rFonts w:ascii="Palatino Linotype" w:eastAsia="Palatino Linotype" w:hAnsi="Palatino Linotype" w:cs="Palatino Linotype"/>
          <w:i/>
        </w:rPr>
        <w:t xml:space="preserve"> Derecho humano que tutela la privacidad de datos personales en poder de los sujetos obligados y sujetos particulares;</w:t>
      </w:r>
    </w:p>
    <w:p w14:paraId="29D2670D"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XLV. Versión pública</w:t>
      </w:r>
      <w:r w:rsidRPr="00137487">
        <w:rPr>
          <w:rFonts w:ascii="Palatino Linotype" w:eastAsia="Palatino Linotype" w:hAnsi="Palatino Linotype" w:cs="Palatino Linotype"/>
          <w:i/>
        </w:rPr>
        <w:t>: Documento en el que se elimine, suprime o borra la información clasificada como reservada o confidencial para permitir su acceso.”</w:t>
      </w:r>
    </w:p>
    <w:p w14:paraId="07C826B5"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p>
    <w:p w14:paraId="24819E16"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“Artículo 6.</w:t>
      </w:r>
      <w:r w:rsidRPr="00137487">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9A6B8A"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p>
    <w:p w14:paraId="0E1C53CB" w14:textId="77777777" w:rsidR="0057442A" w:rsidRPr="00137487" w:rsidRDefault="0057442A" w:rsidP="0057442A">
      <w:pPr>
        <w:spacing w:line="276" w:lineRule="auto"/>
        <w:ind w:left="851" w:right="616"/>
        <w:jc w:val="both"/>
        <w:rPr>
          <w:rFonts w:ascii="Palatino Linotype" w:eastAsia="Palatino Linotype" w:hAnsi="Palatino Linotype" w:cs="Palatino Linotype"/>
          <w:b/>
          <w:i/>
        </w:rPr>
      </w:pPr>
      <w:r w:rsidRPr="00137487">
        <w:rPr>
          <w:rFonts w:ascii="Palatino Linotype" w:eastAsia="Palatino Linotype" w:hAnsi="Palatino Linotype" w:cs="Palatino Linotype"/>
          <w:b/>
          <w:i/>
        </w:rPr>
        <w:t>“Artículo 137.</w:t>
      </w:r>
      <w:r w:rsidRPr="00137487">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C7513C" w14:textId="77777777" w:rsidR="0057442A" w:rsidRPr="00137487" w:rsidRDefault="0057442A" w:rsidP="0057442A">
      <w:pPr>
        <w:spacing w:line="276" w:lineRule="auto"/>
        <w:ind w:left="851" w:right="616"/>
        <w:jc w:val="both"/>
        <w:rPr>
          <w:rFonts w:ascii="Palatino Linotype" w:eastAsia="Palatino Linotype" w:hAnsi="Palatino Linotype" w:cs="Palatino Linotype"/>
          <w:b/>
          <w:i/>
        </w:rPr>
      </w:pPr>
    </w:p>
    <w:p w14:paraId="4C84575E"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“Artículo 143</w:t>
      </w:r>
      <w:r w:rsidRPr="0013748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C1892A2"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I.</w:t>
      </w:r>
      <w:r w:rsidRPr="00137487">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25BE1065"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787A75F"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lastRenderedPageBreak/>
        <w:t>III. La que presenten los particulares a los sujetos obligados, de conformidad con lo dispuesto por las leyes o los tratados internacionales.” (Sic)</w:t>
      </w:r>
    </w:p>
    <w:p w14:paraId="7A2C8F38" w14:textId="77777777" w:rsidR="0057442A" w:rsidRPr="00137487" w:rsidRDefault="0057442A" w:rsidP="0057442A">
      <w:pPr>
        <w:ind w:left="993" w:right="1041"/>
        <w:jc w:val="both"/>
        <w:rPr>
          <w:rFonts w:ascii="Palatino Linotype" w:eastAsia="Palatino Linotype" w:hAnsi="Palatino Linotype" w:cs="Palatino Linotype"/>
          <w:i/>
        </w:rPr>
      </w:pPr>
    </w:p>
    <w:p w14:paraId="1A7F61E4" w14:textId="77777777" w:rsidR="0057442A" w:rsidRPr="00137487" w:rsidRDefault="0057442A" w:rsidP="0057442A">
      <w:pPr>
        <w:spacing w:line="360" w:lineRule="auto"/>
        <w:ind w:right="51"/>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3DB15C3" w14:textId="77777777" w:rsidR="0057442A" w:rsidRPr="00137487" w:rsidRDefault="0057442A" w:rsidP="0057442A">
      <w:pPr>
        <w:spacing w:line="360" w:lineRule="auto"/>
        <w:ind w:right="51"/>
        <w:jc w:val="both"/>
        <w:rPr>
          <w:rFonts w:ascii="Palatino Linotype" w:eastAsia="Palatino Linotype" w:hAnsi="Palatino Linotype" w:cs="Palatino Linotype"/>
        </w:rPr>
      </w:pPr>
    </w:p>
    <w:p w14:paraId="26DE9A94" w14:textId="77777777" w:rsidR="0057442A" w:rsidRPr="00137487" w:rsidRDefault="0057442A" w:rsidP="0057442A">
      <w:pPr>
        <w:spacing w:line="360" w:lineRule="auto"/>
        <w:ind w:right="50"/>
        <w:jc w:val="both"/>
        <w:rPr>
          <w:rFonts w:ascii="Palatino Linotype" w:eastAsia="Palatino Linotype" w:hAnsi="Palatino Linotype" w:cs="Palatino Linotype"/>
        </w:rPr>
      </w:pPr>
      <w:r w:rsidRPr="0013748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04851E" w14:textId="77777777" w:rsidR="0057442A" w:rsidRPr="00137487" w:rsidRDefault="0057442A" w:rsidP="0057442A">
      <w:pPr>
        <w:spacing w:line="360" w:lineRule="auto"/>
        <w:ind w:right="51"/>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0473BA13" w14:textId="77777777" w:rsidR="0057442A" w:rsidRPr="00137487" w:rsidRDefault="0057442A" w:rsidP="0057442A">
      <w:pPr>
        <w:spacing w:line="360" w:lineRule="auto"/>
        <w:ind w:right="51"/>
        <w:jc w:val="both"/>
        <w:rPr>
          <w:rFonts w:ascii="Palatino Linotype" w:eastAsia="Palatino Linotype" w:hAnsi="Palatino Linotype" w:cs="Palatino Linotype"/>
        </w:rPr>
      </w:pPr>
    </w:p>
    <w:p w14:paraId="66B62D36"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lastRenderedPageBreak/>
        <w:t>“Artículo 49.</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Los Comités de Transparencia</w:t>
      </w:r>
      <w:r w:rsidRPr="00137487">
        <w:rPr>
          <w:rFonts w:ascii="Palatino Linotype" w:eastAsia="Palatino Linotype" w:hAnsi="Palatino Linotype" w:cs="Palatino Linotype"/>
          <w:i/>
        </w:rPr>
        <w:t xml:space="preserve"> tendrán las siguientes atribuciones:</w:t>
      </w:r>
    </w:p>
    <w:p w14:paraId="75F1674D"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VIII. Aprobar, modificar o revocar la clasificación de la información</w:t>
      </w:r>
      <w:r w:rsidRPr="00137487">
        <w:rPr>
          <w:rFonts w:ascii="Palatino Linotype" w:eastAsia="Palatino Linotype" w:hAnsi="Palatino Linotype" w:cs="Palatino Linotype"/>
          <w:i/>
        </w:rPr>
        <w:t>…”</w:t>
      </w:r>
    </w:p>
    <w:p w14:paraId="4914EA63"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53.</w:t>
      </w:r>
      <w:r w:rsidRPr="00137487">
        <w:rPr>
          <w:rFonts w:ascii="Palatino Linotype" w:eastAsia="Palatino Linotype" w:hAnsi="Palatino Linotype" w:cs="Palatino Linotype"/>
          <w:i/>
        </w:rPr>
        <w:t xml:space="preserve"> Las </w:t>
      </w:r>
      <w:r w:rsidRPr="00137487">
        <w:rPr>
          <w:rFonts w:ascii="Palatino Linotype" w:eastAsia="Palatino Linotype" w:hAnsi="Palatino Linotype" w:cs="Palatino Linotype"/>
          <w:b/>
          <w:i/>
        </w:rPr>
        <w:t>Unidades de Transparencia</w:t>
      </w:r>
      <w:r w:rsidRPr="00137487">
        <w:rPr>
          <w:rFonts w:ascii="Palatino Linotype" w:eastAsia="Palatino Linotype" w:hAnsi="Palatino Linotype" w:cs="Palatino Linotype"/>
          <w:i/>
        </w:rPr>
        <w:t xml:space="preserve"> tendrán las siguientes </w:t>
      </w:r>
      <w:r w:rsidRPr="00137487">
        <w:rPr>
          <w:rFonts w:ascii="Palatino Linotype" w:eastAsia="Palatino Linotype" w:hAnsi="Palatino Linotype" w:cs="Palatino Linotype"/>
          <w:b/>
          <w:i/>
        </w:rPr>
        <w:t>funciones</w:t>
      </w:r>
      <w:r w:rsidRPr="00137487">
        <w:rPr>
          <w:rFonts w:ascii="Palatino Linotype" w:eastAsia="Palatino Linotype" w:hAnsi="Palatino Linotype" w:cs="Palatino Linotype"/>
          <w:i/>
        </w:rPr>
        <w:t>:</w:t>
      </w:r>
    </w:p>
    <w:p w14:paraId="4270A3B8"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X. Presentar ante el Comité, el proyecto de clasificación de información</w:t>
      </w:r>
      <w:r w:rsidRPr="00137487">
        <w:rPr>
          <w:rFonts w:ascii="Palatino Linotype" w:eastAsia="Palatino Linotype" w:hAnsi="Palatino Linotype" w:cs="Palatino Linotype"/>
          <w:i/>
        </w:rPr>
        <w:t xml:space="preserve">…” </w:t>
      </w:r>
    </w:p>
    <w:p w14:paraId="764595D1"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“Artículo 59.</w:t>
      </w:r>
      <w:r w:rsidRPr="00137487">
        <w:rPr>
          <w:rFonts w:ascii="Palatino Linotype" w:eastAsia="Palatino Linotype" w:hAnsi="Palatino Linotype" w:cs="Palatino Linotype"/>
          <w:i/>
        </w:rPr>
        <w:t xml:space="preserve"> Los </w:t>
      </w:r>
      <w:r w:rsidRPr="00137487">
        <w:rPr>
          <w:rFonts w:ascii="Palatino Linotype" w:eastAsia="Palatino Linotype" w:hAnsi="Palatino Linotype" w:cs="Palatino Linotype"/>
          <w:b/>
          <w:i/>
        </w:rPr>
        <w:t>servidores públicos habilitados</w:t>
      </w:r>
      <w:r w:rsidRPr="00137487">
        <w:rPr>
          <w:rFonts w:ascii="Palatino Linotype" w:eastAsia="Palatino Linotype" w:hAnsi="Palatino Linotype" w:cs="Palatino Linotype"/>
          <w:i/>
        </w:rPr>
        <w:t xml:space="preserve"> tendrán las </w:t>
      </w:r>
      <w:r w:rsidRPr="00137487">
        <w:rPr>
          <w:rFonts w:ascii="Palatino Linotype" w:eastAsia="Palatino Linotype" w:hAnsi="Palatino Linotype" w:cs="Palatino Linotype"/>
          <w:b/>
          <w:i/>
        </w:rPr>
        <w:t>funciones</w:t>
      </w:r>
      <w:r w:rsidRPr="00137487">
        <w:rPr>
          <w:rFonts w:ascii="Palatino Linotype" w:eastAsia="Palatino Linotype" w:hAnsi="Palatino Linotype" w:cs="Palatino Linotype"/>
          <w:i/>
        </w:rPr>
        <w:t xml:space="preserve"> siguientes:</w:t>
      </w:r>
    </w:p>
    <w:p w14:paraId="66917A2B" w14:textId="77777777" w:rsidR="0057442A" w:rsidRPr="00137487" w:rsidRDefault="0057442A" w:rsidP="0057442A">
      <w:pPr>
        <w:spacing w:line="276" w:lineRule="auto"/>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b/>
          <w:i/>
        </w:rPr>
        <w:t>V. Integrar y presentar al responsable de la Unidad de Transparencia la propuesta de clasificación de información</w:t>
      </w:r>
      <w:r w:rsidRPr="00137487">
        <w:rPr>
          <w:rFonts w:ascii="Palatino Linotype" w:eastAsia="Palatino Linotype" w:hAnsi="Palatino Linotype" w:cs="Palatino Linotype"/>
          <w:i/>
        </w:rPr>
        <w:t>, la cual tendrá los fundamentos y argumentos en que se basa dicha propuesta…” (Sic)</w:t>
      </w:r>
    </w:p>
    <w:p w14:paraId="7608BE93" w14:textId="77777777" w:rsidR="0057442A" w:rsidRPr="00137487" w:rsidRDefault="0057442A" w:rsidP="0057442A">
      <w:pPr>
        <w:ind w:left="992" w:right="1043"/>
        <w:jc w:val="both"/>
        <w:rPr>
          <w:rFonts w:ascii="Palatino Linotype" w:eastAsia="Palatino Linotype" w:hAnsi="Palatino Linotype" w:cs="Palatino Linotype"/>
          <w:i/>
        </w:rPr>
      </w:pPr>
    </w:p>
    <w:p w14:paraId="48841060"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60F887"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02B2F21" w14:textId="77777777" w:rsidR="0057442A" w:rsidRPr="00137487" w:rsidRDefault="0057442A" w:rsidP="0057442A">
      <w:pPr>
        <w:ind w:left="851" w:right="616"/>
        <w:jc w:val="both"/>
        <w:rPr>
          <w:rFonts w:ascii="Palatino Linotype" w:eastAsia="Palatino Linotype" w:hAnsi="Palatino Linotype" w:cs="Palatino Linotype"/>
          <w:i/>
        </w:rPr>
      </w:pPr>
    </w:p>
    <w:p w14:paraId="73BBE7E4" w14:textId="77777777" w:rsidR="0057442A" w:rsidRPr="00137487" w:rsidRDefault="0057442A" w:rsidP="0057442A">
      <w:pPr>
        <w:ind w:left="851" w:right="616"/>
        <w:jc w:val="both"/>
        <w:rPr>
          <w:rFonts w:ascii="Palatino Linotype" w:eastAsia="Palatino Linotype" w:hAnsi="Palatino Linotype" w:cs="Palatino Linotype"/>
          <w:i/>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Artículo 149.</w:t>
      </w:r>
      <w:r w:rsidRPr="00137487">
        <w:rPr>
          <w:rFonts w:ascii="Palatino Linotype" w:eastAsia="Palatino Linotype" w:hAnsi="Palatino Linotype" w:cs="Palatino Linotype"/>
          <w:i/>
        </w:rPr>
        <w:t xml:space="preserve"> El </w:t>
      </w:r>
      <w:r w:rsidRPr="00137487">
        <w:rPr>
          <w:rFonts w:ascii="Palatino Linotype" w:eastAsia="Palatino Linotype" w:hAnsi="Palatino Linotype" w:cs="Palatino Linotype"/>
          <w:b/>
          <w:i/>
        </w:rPr>
        <w:t>acuerdo que clasifique la información como confidencial</w:t>
      </w:r>
      <w:r w:rsidRPr="00137487">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6B4D122B" w14:textId="77777777" w:rsidR="0057442A" w:rsidRPr="00137487" w:rsidRDefault="0057442A" w:rsidP="0057442A">
      <w:pPr>
        <w:spacing w:line="360" w:lineRule="auto"/>
        <w:ind w:right="51"/>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Es decir,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w:t>
      </w:r>
      <w:r w:rsidRPr="00137487">
        <w:rPr>
          <w:rFonts w:ascii="Palatino Linotype" w:eastAsia="Palatino Linotype" w:hAnsi="Palatino Linotype" w:cs="Palatino Linotype"/>
        </w:rPr>
        <w:lastRenderedPageBreak/>
        <w:t>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828BB76"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Al respecto, se destaca que la versión pública que elabore 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13748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137487">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25888C9"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79847FE0"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w:t>
      </w:r>
      <w:r w:rsidRPr="00137487">
        <w:rPr>
          <w:rFonts w:ascii="Palatino Linotype" w:eastAsia="Palatino Linotype" w:hAnsi="Palatino Linotype" w:cs="Palatino Linotype"/>
          <w:b/>
          <w:i/>
        </w:rPr>
        <w:t>Segundo.-</w:t>
      </w:r>
      <w:r w:rsidRPr="00137487">
        <w:rPr>
          <w:rFonts w:ascii="Palatino Linotype" w:eastAsia="Palatino Linotype" w:hAnsi="Palatino Linotype" w:cs="Palatino Linotype"/>
          <w:i/>
        </w:rPr>
        <w:t xml:space="preserve"> Para efectos de los presentes Lineamientos Generales, se entenderá por:</w:t>
      </w:r>
    </w:p>
    <w:p w14:paraId="6B2AB40D"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XVIII.</w:t>
      </w:r>
      <w:r w:rsidRPr="00137487">
        <w:rPr>
          <w:rFonts w:ascii="Palatino Linotype" w:eastAsia="Palatino Linotype" w:hAnsi="Palatino Linotype" w:cs="Palatino Linotype"/>
          <w:i/>
        </w:rPr>
        <w:t xml:space="preserve"> </w:t>
      </w:r>
      <w:r w:rsidRPr="00137487">
        <w:rPr>
          <w:rFonts w:ascii="Palatino Linotype" w:eastAsia="Palatino Linotype" w:hAnsi="Palatino Linotype" w:cs="Palatino Linotype"/>
          <w:b/>
          <w:i/>
        </w:rPr>
        <w:t>Versión pública:</w:t>
      </w:r>
      <w:r w:rsidRPr="00137487">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37487">
        <w:rPr>
          <w:rFonts w:ascii="Palatino Linotype" w:eastAsia="Palatino Linotype" w:hAnsi="Palatino Linotype" w:cs="Palatino Linotype"/>
          <w:b/>
          <w:i/>
          <w:u w:val="single"/>
        </w:rPr>
        <w:t>fundando y motivando la</w:t>
      </w:r>
      <w:r w:rsidRPr="00137487">
        <w:rPr>
          <w:rFonts w:ascii="Palatino Linotype" w:eastAsia="Palatino Linotype" w:hAnsi="Palatino Linotype" w:cs="Palatino Linotype"/>
          <w:i/>
        </w:rPr>
        <w:t xml:space="preserve"> reserva o </w:t>
      </w:r>
      <w:r w:rsidRPr="00137487">
        <w:rPr>
          <w:rFonts w:ascii="Palatino Linotype" w:eastAsia="Palatino Linotype" w:hAnsi="Palatino Linotype" w:cs="Palatino Linotype"/>
          <w:b/>
          <w:i/>
          <w:u w:val="single"/>
        </w:rPr>
        <w:t>confidencialidad</w:t>
      </w:r>
      <w:r w:rsidRPr="00137487">
        <w:rPr>
          <w:rFonts w:ascii="Palatino Linotype" w:eastAsia="Palatino Linotype" w:hAnsi="Palatino Linotype" w:cs="Palatino Linotype"/>
          <w:i/>
        </w:rPr>
        <w:t>, a través de la resolución que para tal efecto emita el Comité de Transparencia.</w:t>
      </w:r>
    </w:p>
    <w:p w14:paraId="604A4457"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Cuarto.</w:t>
      </w:r>
      <w:r w:rsidRPr="00137487">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137487">
        <w:rPr>
          <w:rFonts w:ascii="Palatino Linotype" w:eastAsia="Palatino Linotype" w:hAnsi="Palatino Linotype" w:cs="Palatino Linotype"/>
          <w:i/>
        </w:rPr>
        <w:lastRenderedPageBreak/>
        <w:t>lineamientos, así como en aquellas disposiciones legales aplicables a la materia en el ámbito de sus respectivas competencias, en tanto estas últimas no contravengan lo dispuesto en la Ley General.</w:t>
      </w:r>
    </w:p>
    <w:p w14:paraId="1C2CB3EB"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9FF10F0"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Quinto.</w:t>
      </w:r>
      <w:r w:rsidRPr="0013748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39CDD5"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w:t>
      </w:r>
    </w:p>
    <w:p w14:paraId="499A4DF4"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Séptimo.</w:t>
      </w:r>
      <w:r w:rsidRPr="00137487">
        <w:rPr>
          <w:rFonts w:ascii="Palatino Linotype" w:eastAsia="Palatino Linotype" w:hAnsi="Palatino Linotype" w:cs="Palatino Linotype"/>
          <w:i/>
        </w:rPr>
        <w:t xml:space="preserve"> La clasificación de la información se llevará a cabo en el momento en que:</w:t>
      </w:r>
    </w:p>
    <w:p w14:paraId="3FAD60DC"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I.</w:t>
      </w:r>
      <w:r w:rsidRPr="00137487">
        <w:rPr>
          <w:rFonts w:ascii="Palatino Linotype" w:eastAsia="Palatino Linotype" w:hAnsi="Palatino Linotype" w:cs="Palatino Linotype"/>
          <w:i/>
        </w:rPr>
        <w:t xml:space="preserve"> Se reciba una solicitud de acceso a la información;</w:t>
      </w:r>
    </w:p>
    <w:p w14:paraId="79699BE1"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b/>
          <w:i/>
        </w:rPr>
        <w:t>II.</w:t>
      </w:r>
      <w:r w:rsidRPr="00137487">
        <w:rPr>
          <w:rFonts w:ascii="Palatino Linotype" w:eastAsia="Palatino Linotype" w:hAnsi="Palatino Linotype" w:cs="Palatino Linotype"/>
          <w:i/>
        </w:rPr>
        <w:t xml:space="preserve"> Se  determine mediante resolución del Comité de Transparencia, el órgano garante </w:t>
      </w:r>
    </w:p>
    <w:p w14:paraId="638DFD46"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competente, o en cumplimiento a una sentencia del Poder Judicial; o</w:t>
      </w:r>
    </w:p>
    <w:p w14:paraId="593A4E0E"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III.</w:t>
      </w:r>
      <w:r w:rsidRPr="0013748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2CD150F2"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751B0FEE"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Octavo.</w:t>
      </w:r>
      <w:r w:rsidRPr="0013748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3F0A42"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4F7955ED"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lastRenderedPageBreak/>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CE237AA"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Noveno.</w:t>
      </w:r>
      <w:r w:rsidRPr="0013748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7E7B68"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b/>
          <w:i/>
        </w:rPr>
        <w:t>Décimo.</w:t>
      </w:r>
      <w:r w:rsidRPr="00137487">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5107FE"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7AC727D"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b/>
          <w:i/>
        </w:rPr>
        <w:t>Décimo primero.</w:t>
      </w:r>
      <w:r w:rsidRPr="0013748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B10FBB" w14:textId="77777777" w:rsidR="0057442A" w:rsidRPr="00137487" w:rsidRDefault="0057442A" w:rsidP="0057442A">
      <w:pPr>
        <w:pBdr>
          <w:top w:val="nil"/>
          <w:left w:val="nil"/>
          <w:bottom w:val="nil"/>
          <w:right w:val="nil"/>
          <w:between w:val="nil"/>
        </w:pBdr>
        <w:ind w:right="709"/>
        <w:jc w:val="both"/>
        <w:rPr>
          <w:rFonts w:ascii="Palatino Linotype" w:hAnsi="Palatino Linotype"/>
        </w:rPr>
      </w:pPr>
    </w:p>
    <w:p w14:paraId="6CB56F78"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w:t>
      </w:r>
    </w:p>
    <w:p w14:paraId="07823613" w14:textId="77777777" w:rsidR="0057442A" w:rsidRPr="00137487" w:rsidRDefault="0057442A" w:rsidP="0057442A">
      <w:pPr>
        <w:pBdr>
          <w:top w:val="nil"/>
          <w:left w:val="nil"/>
          <w:bottom w:val="nil"/>
          <w:right w:val="nil"/>
          <w:between w:val="nil"/>
        </w:pBdr>
        <w:ind w:left="709" w:right="709"/>
        <w:jc w:val="center"/>
        <w:rPr>
          <w:rFonts w:ascii="Palatino Linotype" w:hAnsi="Palatino Linotype"/>
        </w:rPr>
      </w:pPr>
      <w:r w:rsidRPr="00137487">
        <w:rPr>
          <w:rFonts w:ascii="Palatino Linotype" w:eastAsia="Palatino Linotype" w:hAnsi="Palatino Linotype" w:cs="Palatino Linotype"/>
          <w:b/>
          <w:i/>
        </w:rPr>
        <w:t>CAPÍTULO VIII</w:t>
      </w:r>
    </w:p>
    <w:p w14:paraId="29612489" w14:textId="77777777" w:rsidR="0057442A" w:rsidRPr="00137487" w:rsidRDefault="0057442A" w:rsidP="0057442A">
      <w:pPr>
        <w:pBdr>
          <w:top w:val="nil"/>
          <w:left w:val="nil"/>
          <w:bottom w:val="nil"/>
          <w:right w:val="nil"/>
          <w:between w:val="nil"/>
        </w:pBdr>
        <w:ind w:left="709" w:right="709"/>
        <w:jc w:val="center"/>
        <w:rPr>
          <w:rFonts w:ascii="Palatino Linotype" w:eastAsia="Palatino Linotype" w:hAnsi="Palatino Linotype" w:cs="Palatino Linotype"/>
          <w:b/>
          <w:i/>
        </w:rPr>
      </w:pPr>
      <w:r w:rsidRPr="00137487">
        <w:rPr>
          <w:rFonts w:ascii="Palatino Linotype" w:eastAsia="Palatino Linotype" w:hAnsi="Palatino Linotype" w:cs="Palatino Linotype"/>
          <w:b/>
          <w:i/>
        </w:rPr>
        <w:t>DE LOS ELEMENTOS PARA LA CLASIFICACIÓN</w:t>
      </w:r>
    </w:p>
    <w:p w14:paraId="0EC36700"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b/>
          <w:i/>
        </w:rPr>
        <w:t>Quincuagésimo</w:t>
      </w:r>
      <w:r w:rsidRPr="00137487">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9532C8F"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b/>
          <w:i/>
        </w:rPr>
        <w:t>Quincuagésimo primero</w:t>
      </w:r>
      <w:r w:rsidRPr="00137487">
        <w:rPr>
          <w:rFonts w:ascii="Palatino Linotype" w:eastAsia="Palatino Linotype" w:hAnsi="Palatino Linotype" w:cs="Palatino Linotype"/>
          <w:i/>
        </w:rPr>
        <w:t>. Toda acta del Comité de Transparencia deberá contener:</w:t>
      </w:r>
    </w:p>
    <w:p w14:paraId="06E167AF"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lastRenderedPageBreak/>
        <w:t xml:space="preserve">I. El número de sesión y fecha; </w:t>
      </w:r>
    </w:p>
    <w:p w14:paraId="10535043"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II. El nombre del área que solicitó la clasificación de información;</w:t>
      </w:r>
    </w:p>
    <w:p w14:paraId="673AC9D8"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III. La fundamentación legal y motivación correspondiente;</w:t>
      </w:r>
    </w:p>
    <w:p w14:paraId="555E4373"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IV. La resolución o resoluciones aprobadas; y</w:t>
      </w:r>
    </w:p>
    <w:p w14:paraId="1C4E86C5"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 xml:space="preserve">V. La rúbrica o firma digital de cada integrante del Comité de Transparencia. </w:t>
      </w:r>
    </w:p>
    <w:p w14:paraId="0B94EDF0"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6B78D6C5"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 Los motivos y razonamientos que sustenten la confirmación o modificación de la prueba de daño;</w:t>
      </w:r>
    </w:p>
    <w:p w14:paraId="15D42174"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II. Descripción de las partes o secciones reservadas, en caso de clasificación parcial;</w:t>
      </w:r>
    </w:p>
    <w:p w14:paraId="0614298C"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III. El periodo por el que mantendrá su clasificación y fecha de expiración; y</w:t>
      </w:r>
    </w:p>
    <w:p w14:paraId="4E8AA17F"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IV. El nombre del titular y área encargada de realizar la versión pública del documento, en su caso.</w:t>
      </w:r>
    </w:p>
    <w:p w14:paraId="37626379"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48EE6BB"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936829B"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b/>
          <w:i/>
        </w:rPr>
        <w:t>Quincuagésimo segundo</w:t>
      </w:r>
      <w:r w:rsidRPr="0013748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3D32A7"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45CCE8F0"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 Fijar la fecha en que se elaboró la versión pública y la fecha en la cual el Comité de Transparencia confirmó dicha versión;</w:t>
      </w:r>
    </w:p>
    <w:p w14:paraId="611128D6"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lastRenderedPageBreak/>
        <w:t>II. Señalar dentro del documento el tipo de información confidencial que fue testada en cada caso específico, de conformidad con el lineamiento trigésimo octavo; y</w:t>
      </w:r>
    </w:p>
    <w:p w14:paraId="6A5877ED"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III. Señalar las personas o instancias autorizadas a acceder a la información clasificada.</w:t>
      </w:r>
    </w:p>
    <w:p w14:paraId="5EFDA54C"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3BB4B85" w14:textId="77777777" w:rsidR="0057442A" w:rsidRPr="00137487"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137487">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34D1146" w14:textId="77777777" w:rsidR="0057442A" w:rsidRPr="00137487" w:rsidRDefault="0057442A" w:rsidP="0057442A">
      <w:pPr>
        <w:pBdr>
          <w:top w:val="nil"/>
          <w:left w:val="nil"/>
          <w:bottom w:val="nil"/>
          <w:right w:val="nil"/>
          <w:between w:val="nil"/>
        </w:pBdr>
        <w:ind w:left="709" w:right="709"/>
        <w:jc w:val="both"/>
        <w:rPr>
          <w:rFonts w:ascii="Palatino Linotype" w:hAnsi="Palatino Linotype"/>
        </w:rPr>
      </w:pPr>
      <w:r w:rsidRPr="00137487">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3E9C69BF" w14:textId="77777777" w:rsidR="0057442A" w:rsidRPr="00137487" w:rsidRDefault="0057442A" w:rsidP="0057442A">
      <w:pPr>
        <w:rPr>
          <w:rFonts w:ascii="Palatino Linotype" w:hAnsi="Palatino Linotype"/>
        </w:rPr>
      </w:pPr>
    </w:p>
    <w:p w14:paraId="11918A86"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B5C4978" w14:textId="77777777" w:rsidR="0057442A" w:rsidRPr="00137487" w:rsidRDefault="0057442A" w:rsidP="0057442A">
      <w:pPr>
        <w:shd w:val="clear" w:color="auto" w:fill="FFFFFF"/>
        <w:spacing w:line="360" w:lineRule="auto"/>
        <w:ind w:right="51"/>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137487">
        <w:rPr>
          <w:rFonts w:ascii="Palatino Linotype" w:eastAsia="Palatino Linotype" w:hAnsi="Palatino Linotype" w:cs="Palatino Linotype"/>
        </w:rPr>
        <w:lastRenderedPageBreak/>
        <w:t xml:space="preserve">derecho de acceso a la información del solicitante, por lo que el acuerdo respectivo, deberá hacerse del conocimiento de la parte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w:t>
      </w:r>
    </w:p>
    <w:p w14:paraId="0866BE42" w14:textId="77777777" w:rsidR="0057442A" w:rsidRPr="00137487"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89D92A9" w14:textId="77777777" w:rsidR="0057442A" w:rsidRPr="00137487" w:rsidRDefault="0057442A" w:rsidP="0057442A">
      <w:pPr>
        <w:pBdr>
          <w:top w:val="nil"/>
          <w:left w:val="nil"/>
          <w:bottom w:val="nil"/>
          <w:right w:val="nil"/>
          <w:between w:val="nil"/>
        </w:pBdr>
        <w:spacing w:line="360" w:lineRule="auto"/>
        <w:jc w:val="center"/>
        <w:rPr>
          <w:rFonts w:ascii="Palatino Linotype" w:eastAsia="Palatino Linotype" w:hAnsi="Palatino Linotype" w:cs="Palatino Linotype"/>
        </w:rPr>
      </w:pPr>
      <w:r w:rsidRPr="00137487">
        <w:rPr>
          <w:rFonts w:ascii="Palatino Linotype" w:eastAsia="Palatino Linotype" w:hAnsi="Palatino Linotype" w:cs="Palatino Linotype"/>
          <w:b/>
        </w:rPr>
        <w:t>III. R E S U E L V E</w:t>
      </w:r>
    </w:p>
    <w:p w14:paraId="00104F71" w14:textId="0A5541BD" w:rsidR="0057442A" w:rsidRPr="00137487" w:rsidRDefault="0057442A" w:rsidP="0057442A">
      <w:pPr>
        <w:spacing w:line="360" w:lineRule="auto"/>
        <w:jc w:val="both"/>
        <w:rPr>
          <w:rFonts w:ascii="Palatino Linotype" w:eastAsia="Palatino Linotype" w:hAnsi="Palatino Linotype" w:cs="Palatino Linotype"/>
        </w:rPr>
      </w:pPr>
      <w:bookmarkStart w:id="4" w:name="_heading=h.26in1rg" w:colFirst="0" w:colLast="0"/>
      <w:bookmarkEnd w:id="4"/>
      <w:r w:rsidRPr="00137487">
        <w:rPr>
          <w:rFonts w:ascii="Palatino Linotype" w:eastAsia="Palatino Linotype" w:hAnsi="Palatino Linotype" w:cs="Palatino Linotype"/>
          <w:b/>
        </w:rPr>
        <w:t xml:space="preserve">Primero. </w:t>
      </w:r>
      <w:r w:rsidRPr="00137487">
        <w:rPr>
          <w:rFonts w:ascii="Palatino Linotype" w:eastAsia="Palatino Linotype" w:hAnsi="Palatino Linotype" w:cs="Palatino Linotype"/>
        </w:rPr>
        <w:t>Se</w:t>
      </w:r>
      <w:r w:rsidRPr="00137487">
        <w:rPr>
          <w:rFonts w:ascii="Palatino Linotype" w:hAnsi="Palatino Linotype"/>
        </w:rPr>
        <w:t xml:space="preserve"> </w:t>
      </w:r>
      <w:r w:rsidRPr="00137487">
        <w:rPr>
          <w:rFonts w:ascii="Palatino Linotype" w:eastAsia="Palatino Linotype" w:hAnsi="Palatino Linotype" w:cs="Palatino Linotype"/>
          <w:b/>
        </w:rPr>
        <w:t xml:space="preserve">Modifican </w:t>
      </w:r>
      <w:r w:rsidRPr="00137487">
        <w:rPr>
          <w:rFonts w:ascii="Palatino Linotype" w:eastAsia="Palatino Linotype" w:hAnsi="Palatino Linotype" w:cs="Palatino Linotype"/>
        </w:rPr>
        <w:t>las respuestas entregadas por el</w:t>
      </w:r>
      <w:r w:rsidRPr="00137487">
        <w:rPr>
          <w:rFonts w:ascii="Palatino Linotype" w:eastAsia="Palatino Linotype" w:hAnsi="Palatino Linotype" w:cs="Palatino Linotype"/>
          <w:b/>
        </w:rPr>
        <w:t xml:space="preserve"> Sujeto Obligado </w:t>
      </w:r>
      <w:r w:rsidRPr="00137487">
        <w:rPr>
          <w:rFonts w:ascii="Palatino Linotype" w:eastAsia="Palatino Linotype" w:hAnsi="Palatino Linotype" w:cs="Palatino Linotype"/>
        </w:rPr>
        <w:t xml:space="preserve">a las solicitudes de información </w:t>
      </w:r>
      <w:r w:rsidR="00A14788" w:rsidRPr="00137487">
        <w:rPr>
          <w:rFonts w:ascii="Palatino Linotype" w:eastAsia="Palatino Linotype" w:hAnsi="Palatino Linotype" w:cs="Palatino Linotype"/>
          <w:b/>
        </w:rPr>
        <w:t>03143/TOLUCA/IP/2025 y 03142/TOLUCA/IP/2025</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por resultar fundadas las razones o motivos de inconformidad hechos valer por la parte</w:t>
      </w:r>
      <w:r w:rsidRPr="00137487">
        <w:rPr>
          <w:rFonts w:ascii="Palatino Linotype" w:eastAsia="Palatino Linotype" w:hAnsi="Palatino Linotype" w:cs="Palatino Linotype"/>
          <w:b/>
        </w:rPr>
        <w:t xml:space="preserve"> Recurrente, </w:t>
      </w:r>
      <w:r w:rsidRPr="00137487">
        <w:rPr>
          <w:rFonts w:ascii="Palatino Linotype" w:eastAsia="Palatino Linotype" w:hAnsi="Palatino Linotype" w:cs="Palatino Linotype"/>
        </w:rPr>
        <w:t xml:space="preserve">en los recursos de revisión </w:t>
      </w:r>
      <w:r w:rsidR="00A14788" w:rsidRPr="00137487">
        <w:rPr>
          <w:rFonts w:ascii="Palatino Linotype" w:eastAsia="Palatino Linotype" w:hAnsi="Palatino Linotype" w:cs="Palatino Linotype"/>
          <w:b/>
        </w:rPr>
        <w:t>07494/INFOEM/IP/RR/2025 y 07501/INFOEM/IP/RR/2025</w:t>
      </w:r>
      <w:r w:rsidRPr="00137487">
        <w:rPr>
          <w:rFonts w:ascii="Palatino Linotype" w:eastAsia="Palatino Linotype" w:hAnsi="Palatino Linotype" w:cs="Palatino Linotype"/>
          <w:b/>
        </w:rPr>
        <w:t>,</w:t>
      </w:r>
      <w:r w:rsidRPr="00137487">
        <w:rPr>
          <w:rFonts w:ascii="Palatino Linotype" w:eastAsia="Palatino Linotype" w:hAnsi="Palatino Linotype" w:cs="Palatino Linotype"/>
        </w:rPr>
        <w:t xml:space="preserve"> en términos del considerando </w:t>
      </w:r>
      <w:r w:rsidRPr="00137487">
        <w:rPr>
          <w:rFonts w:ascii="Palatino Linotype" w:eastAsia="Palatino Linotype" w:hAnsi="Palatino Linotype" w:cs="Palatino Linotype"/>
          <w:b/>
        </w:rPr>
        <w:t>Cuarto</w:t>
      </w:r>
      <w:r w:rsidRPr="00137487">
        <w:rPr>
          <w:rFonts w:ascii="Palatino Linotype" w:eastAsia="Palatino Linotype" w:hAnsi="Palatino Linotype" w:cs="Palatino Linotype"/>
        </w:rPr>
        <w:t xml:space="preserve"> de la presente Resolución.</w:t>
      </w:r>
    </w:p>
    <w:p w14:paraId="0CC440B3" w14:textId="77777777" w:rsidR="0057442A" w:rsidRPr="00137487" w:rsidRDefault="0057442A" w:rsidP="0057442A">
      <w:pPr>
        <w:spacing w:line="360" w:lineRule="auto"/>
        <w:jc w:val="both"/>
        <w:rPr>
          <w:rFonts w:ascii="Palatino Linotype" w:eastAsia="Palatino Linotype" w:hAnsi="Palatino Linotype" w:cs="Palatino Linotype"/>
        </w:rPr>
      </w:pPr>
    </w:p>
    <w:p w14:paraId="5FF2D1AB" w14:textId="773D92F1" w:rsidR="0057442A" w:rsidRPr="00137487"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 xml:space="preserve">SEGUNDO. </w:t>
      </w:r>
      <w:r w:rsidRPr="00137487">
        <w:rPr>
          <w:rFonts w:ascii="Palatino Linotype" w:eastAsia="Palatino Linotype" w:hAnsi="Palatino Linotype" w:cs="Palatino Linotype"/>
        </w:rPr>
        <w:t>Se</w:t>
      </w:r>
      <w:r w:rsidRPr="00137487">
        <w:rPr>
          <w:rFonts w:ascii="Palatino Linotype" w:eastAsia="Palatino Linotype" w:hAnsi="Palatino Linotype" w:cs="Palatino Linotype"/>
          <w:b/>
        </w:rPr>
        <w:t xml:space="preserve"> ordena </w:t>
      </w:r>
      <w:r w:rsidRPr="00137487">
        <w:rPr>
          <w:rFonts w:ascii="Palatino Linotype" w:eastAsia="Palatino Linotype" w:hAnsi="Palatino Linotype" w:cs="Palatino Linotype"/>
        </w:rPr>
        <w:t xml:space="preserve">al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xml:space="preserve"> a que,</w:t>
      </w:r>
      <w:r w:rsidRPr="00137487">
        <w:rPr>
          <w:rFonts w:ascii="Palatino Linotype" w:eastAsia="Palatino Linotype" w:hAnsi="Palatino Linotype" w:cs="Palatino Linotype"/>
          <w:b/>
        </w:rPr>
        <w:t xml:space="preserve"> </w:t>
      </w:r>
      <w:r w:rsidRPr="00137487">
        <w:rPr>
          <w:rFonts w:ascii="Palatino Linotype" w:eastAsia="Palatino Linotype" w:hAnsi="Palatino Linotype" w:cs="Palatino Linotype"/>
        </w:rPr>
        <w:t>en términos del Considerando Cuarto y Quinto, haga entrega vía Sistema de Acceso a la Información Mexiquense (SAIMEX), de lo siguiente:</w:t>
      </w:r>
    </w:p>
    <w:p w14:paraId="01626EED" w14:textId="50D6F7FC" w:rsidR="0057442A" w:rsidRPr="00137487" w:rsidRDefault="0057442A" w:rsidP="0057442A">
      <w:pPr>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37487">
        <w:rPr>
          <w:rFonts w:ascii="Palatino Linotype" w:eastAsia="Palatino Linotype" w:hAnsi="Palatino Linotype" w:cs="Palatino Linotype"/>
        </w:rPr>
        <w:t xml:space="preserve">Las Licencias de Construcción </w:t>
      </w:r>
      <w:r w:rsidR="00A14788" w:rsidRPr="00137487">
        <w:rPr>
          <w:rFonts w:ascii="Palatino Linotype" w:eastAsia="Palatino Linotype" w:hAnsi="Palatino Linotype" w:cs="Palatino Linotype"/>
        </w:rPr>
        <w:t>remitidas en respuestas</w:t>
      </w:r>
      <w:r w:rsidR="007D01D2" w:rsidRPr="00137487">
        <w:rPr>
          <w:rFonts w:ascii="Palatino Linotype" w:eastAsia="Palatino Linotype" w:hAnsi="Palatino Linotype" w:cs="Palatino Linotype"/>
        </w:rPr>
        <w:t xml:space="preserve"> e informes justificados</w:t>
      </w:r>
      <w:r w:rsidR="00A14788" w:rsidRPr="00137487">
        <w:rPr>
          <w:rFonts w:ascii="Palatino Linotype" w:eastAsia="Palatino Linotype" w:hAnsi="Palatino Linotype" w:cs="Palatino Linotype"/>
        </w:rPr>
        <w:t>, en correcta versión pública.</w:t>
      </w:r>
    </w:p>
    <w:p w14:paraId="114A7A5A" w14:textId="77777777" w:rsidR="007D01D2" w:rsidRPr="00137487" w:rsidRDefault="007D01D2" w:rsidP="007D01D2">
      <w:pPr>
        <w:tabs>
          <w:tab w:val="left" w:pos="993"/>
        </w:tabs>
        <w:spacing w:after="0"/>
        <w:ind w:left="360"/>
        <w:jc w:val="both"/>
        <w:rPr>
          <w:rFonts w:ascii="Palatino Linotype" w:eastAsia="Palatino Linotype" w:hAnsi="Palatino Linotype" w:cs="Palatino Linotype"/>
          <w:i/>
        </w:rPr>
      </w:pPr>
    </w:p>
    <w:p w14:paraId="120BD025" w14:textId="5C03FB4B" w:rsidR="007D01D2" w:rsidRPr="00137487" w:rsidRDefault="007D01D2" w:rsidP="007D01D2">
      <w:pPr>
        <w:tabs>
          <w:tab w:val="left" w:pos="993"/>
        </w:tabs>
        <w:spacing w:after="0"/>
        <w:ind w:left="360"/>
        <w:jc w:val="both"/>
        <w:rPr>
          <w:rFonts w:ascii="Palatino Linotype" w:eastAsia="Palatino Linotype" w:hAnsi="Palatino Linotype" w:cs="Palatino Linotype"/>
          <w:i/>
        </w:rPr>
      </w:pPr>
      <w:r w:rsidRPr="00137487">
        <w:rPr>
          <w:rFonts w:ascii="Palatino Linotype" w:eastAsia="Palatino Linotype" w:hAnsi="Palatino Linotype" w:cs="Palatino Linotype"/>
          <w:i/>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4D016B9" w14:textId="77777777" w:rsidR="007D01D2" w:rsidRPr="00137487" w:rsidRDefault="007D01D2" w:rsidP="0057442A">
      <w:pPr>
        <w:spacing w:line="360" w:lineRule="auto"/>
        <w:ind w:right="-93"/>
        <w:jc w:val="both"/>
        <w:rPr>
          <w:rFonts w:ascii="Palatino Linotype" w:eastAsia="Palatino Linotype" w:hAnsi="Palatino Linotype" w:cs="Palatino Linotype"/>
          <w:b/>
        </w:rPr>
      </w:pPr>
    </w:p>
    <w:p w14:paraId="765DBCF0" w14:textId="293BC3B7" w:rsidR="0057442A" w:rsidRPr="00137487" w:rsidRDefault="0057442A" w:rsidP="0057442A">
      <w:pPr>
        <w:spacing w:line="360" w:lineRule="auto"/>
        <w:ind w:right="-93"/>
        <w:jc w:val="both"/>
        <w:rPr>
          <w:rFonts w:ascii="Palatino Linotype" w:eastAsia="Palatino Linotype" w:hAnsi="Palatino Linotype" w:cs="Palatino Linotype"/>
        </w:rPr>
      </w:pPr>
      <w:r w:rsidRPr="00137487">
        <w:rPr>
          <w:rFonts w:ascii="Palatino Linotype" w:eastAsia="Palatino Linotype" w:hAnsi="Palatino Linotype" w:cs="Palatino Linotype"/>
          <w:b/>
        </w:rPr>
        <w:lastRenderedPageBreak/>
        <w:t xml:space="preserve">TERCERO. Notifíquese, </w:t>
      </w:r>
      <w:r w:rsidRPr="00137487">
        <w:rPr>
          <w:rFonts w:ascii="Palatino Linotype" w:eastAsia="Palatino Linotype" w:hAnsi="Palatino Linotype" w:cs="Palatino Linotype"/>
        </w:rPr>
        <w:t xml:space="preserve">vía </w:t>
      </w:r>
      <w:r w:rsidRPr="00137487">
        <w:rPr>
          <w:rFonts w:ascii="Palatino Linotype" w:eastAsia="Palatino Linotype" w:hAnsi="Palatino Linotype" w:cs="Palatino Linotype"/>
          <w:b/>
        </w:rPr>
        <w:t xml:space="preserve">SAIMEX, </w:t>
      </w:r>
      <w:r w:rsidRPr="00137487">
        <w:rPr>
          <w:rFonts w:ascii="Palatino Linotype" w:eastAsia="Palatino Linotype" w:hAnsi="Palatino Linotype" w:cs="Palatino Linotype"/>
        </w:rPr>
        <w:t>la presente resolución al T</w:t>
      </w:r>
      <w:r w:rsidRPr="00137487">
        <w:rPr>
          <w:rFonts w:ascii="Palatino Linotype" w:eastAsia="Palatino Linotype" w:hAnsi="Palatino Linotype" w:cs="Palatino Linotype"/>
          <w:b/>
        </w:rPr>
        <w:t xml:space="preserve">itular de la Unidad de Transparencia </w:t>
      </w:r>
      <w:r w:rsidRPr="00137487">
        <w:rPr>
          <w:rFonts w:ascii="Palatino Linotype" w:eastAsia="Palatino Linotype" w:hAnsi="Palatino Linotype" w:cs="Palatino Linotype"/>
        </w:rPr>
        <w:t xml:space="preserve">del </w:t>
      </w:r>
      <w:r w:rsidRPr="00137487">
        <w:rPr>
          <w:rFonts w:ascii="Palatino Linotype" w:eastAsia="Palatino Linotype" w:hAnsi="Palatino Linotype" w:cs="Palatino Linotype"/>
          <w:b/>
        </w:rPr>
        <w:t>Sujeto Obligado</w:t>
      </w:r>
      <w:r w:rsidRPr="00137487">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FD72CE"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 xml:space="preserve">CUARTO. </w:t>
      </w:r>
      <w:r w:rsidRPr="0013748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w:t>
      </w:r>
      <w:r w:rsidRPr="00137487">
        <w:rPr>
          <w:rFonts w:ascii="Palatino Linotype" w:eastAsia="Palatino Linotype" w:hAnsi="Palatino Linotype" w:cs="Palatino Linotype"/>
          <w:b/>
        </w:rPr>
        <w:t xml:space="preserve"> Sujeto Obligado</w:t>
      </w:r>
      <w:r w:rsidRPr="00137487">
        <w:rPr>
          <w:rFonts w:ascii="Palatino Linotype" w:eastAsia="Palatino Linotype" w:hAnsi="Palatino Linotype" w:cs="Palatino Linotype"/>
        </w:rPr>
        <w:t xml:space="preserve"> de manera fundada y motivada, podrá solicitar una ampliación de plazo para el cumplimiento de la presente resolución.</w:t>
      </w:r>
    </w:p>
    <w:p w14:paraId="6050E8C2" w14:textId="77777777" w:rsidR="0057442A" w:rsidRPr="00137487"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b/>
        </w:rPr>
        <w:t>QUINTO. Notifíquese vía SAIMEX</w:t>
      </w:r>
      <w:r w:rsidRPr="00137487">
        <w:rPr>
          <w:rFonts w:ascii="Palatino Linotype" w:eastAsia="Palatino Linotype" w:hAnsi="Palatino Linotype" w:cs="Palatino Linotype"/>
        </w:rPr>
        <w:t xml:space="preserve">, a la parte </w:t>
      </w:r>
      <w:r w:rsidRPr="00137487">
        <w:rPr>
          <w:rFonts w:ascii="Palatino Linotype" w:eastAsia="Palatino Linotype" w:hAnsi="Palatino Linotype" w:cs="Palatino Linotype"/>
          <w:b/>
        </w:rPr>
        <w:t>Recurrente</w:t>
      </w:r>
      <w:r w:rsidRPr="00137487">
        <w:rPr>
          <w:rFonts w:ascii="Palatino Linotype" w:eastAsia="Palatino Linotype" w:hAnsi="Palatino Linotype" w:cs="Palatino Linotype"/>
        </w:rPr>
        <w:t xml:space="preserve"> la presente resolución, así como, así como, que de conformidad con lo establecido en el artículo 196 de la Ley de Transparencia y Acceso a la Información Pública del Estado de México y Municipios, podrá impugnarla vía Juicio de Amparo en los términos de las leyes aplicables.</w:t>
      </w:r>
    </w:p>
    <w:p w14:paraId="257D3559" w14:textId="48D65810" w:rsidR="0057442A" w:rsidRPr="00D34719" w:rsidRDefault="0057442A" w:rsidP="0057442A">
      <w:pPr>
        <w:spacing w:line="360" w:lineRule="auto"/>
        <w:jc w:val="both"/>
        <w:rPr>
          <w:rFonts w:ascii="Palatino Linotype" w:eastAsia="Palatino Linotype" w:hAnsi="Palatino Linotype" w:cs="Palatino Linotype"/>
        </w:rPr>
      </w:pPr>
      <w:r w:rsidRPr="00137487">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34719" w:rsidRPr="00137487">
        <w:rPr>
          <w:rFonts w:ascii="Palatino Linotype" w:eastAsia="Palatino Linotype" w:hAnsi="Palatino Linotype" w:cs="Palatino Linotype"/>
        </w:rPr>
        <w:t>, EMITIENDO VOTO PARTICULAR,</w:t>
      </w:r>
      <w:r w:rsidRPr="00137487">
        <w:rPr>
          <w:rFonts w:ascii="Palatino Linotype" w:eastAsia="Palatino Linotype" w:hAnsi="Palatino Linotype" w:cs="Palatino Linotype"/>
        </w:rPr>
        <w:t xml:space="preserve"> Y GUADALUPE RAMÍREZ PEÑA; EN LA </w:t>
      </w:r>
      <w:r w:rsidR="00D34719" w:rsidRPr="00137487">
        <w:rPr>
          <w:rFonts w:ascii="Palatino Linotype" w:eastAsia="Palatino Linotype" w:hAnsi="Palatino Linotype" w:cs="Palatino Linotype"/>
        </w:rPr>
        <w:t xml:space="preserve">TRIGÉSIMA </w:t>
      </w:r>
      <w:r w:rsidRPr="00137487">
        <w:rPr>
          <w:rFonts w:ascii="Palatino Linotype" w:eastAsia="Palatino Linotype" w:hAnsi="Palatino Linotype" w:cs="Palatino Linotype"/>
        </w:rPr>
        <w:t xml:space="preserve">SESIÓN ORDINARIA CELEBRADA EL </w:t>
      </w:r>
      <w:r w:rsidR="00D34719" w:rsidRPr="00137487">
        <w:rPr>
          <w:rFonts w:ascii="Palatino Linotype" w:eastAsia="Palatino Linotype" w:hAnsi="Palatino Linotype" w:cs="Palatino Linotype"/>
        </w:rPr>
        <w:t xml:space="preserve">VEINTISIETE </w:t>
      </w:r>
      <w:r w:rsidRPr="00137487">
        <w:rPr>
          <w:rFonts w:ascii="Palatino Linotype" w:eastAsia="Palatino Linotype" w:hAnsi="Palatino Linotype" w:cs="Palatino Linotype"/>
        </w:rPr>
        <w:t>DE AGOSTO DE DOS MIL VEINTICINCO, ANTE EL SECRETARIO TÉCNICO DEL PLENO ALEXIS TAPIA RAMÍREZ.</w:t>
      </w:r>
    </w:p>
    <w:p w14:paraId="4F746C4D" w14:textId="77777777" w:rsidR="0057442A" w:rsidRPr="00D34719" w:rsidRDefault="0057442A" w:rsidP="0057442A">
      <w:pPr>
        <w:spacing w:line="360" w:lineRule="auto"/>
        <w:jc w:val="both"/>
        <w:rPr>
          <w:rFonts w:ascii="Palatino Linotype" w:eastAsia="Palatino Linotype" w:hAnsi="Palatino Linotype" w:cs="Palatino Linotype"/>
        </w:rPr>
      </w:pPr>
    </w:p>
    <w:p w14:paraId="406B9F10" w14:textId="77777777" w:rsidR="0057442A" w:rsidRPr="00D34719" w:rsidRDefault="0057442A" w:rsidP="0057442A">
      <w:pPr>
        <w:spacing w:line="360" w:lineRule="auto"/>
        <w:jc w:val="both"/>
        <w:rPr>
          <w:rFonts w:ascii="Palatino Linotype" w:eastAsia="Palatino Linotype" w:hAnsi="Palatino Linotype" w:cs="Palatino Linotype"/>
        </w:rPr>
      </w:pPr>
    </w:p>
    <w:p w14:paraId="7BC20186" w14:textId="77777777" w:rsidR="0057442A" w:rsidRPr="00D34719" w:rsidRDefault="0057442A" w:rsidP="0057442A">
      <w:pPr>
        <w:spacing w:line="360" w:lineRule="auto"/>
        <w:jc w:val="both"/>
        <w:rPr>
          <w:rFonts w:ascii="Palatino Linotype" w:eastAsia="Palatino Linotype" w:hAnsi="Palatino Linotype" w:cs="Palatino Linotype"/>
        </w:rPr>
      </w:pPr>
    </w:p>
    <w:p w14:paraId="5CC17447" w14:textId="77777777" w:rsidR="0057442A" w:rsidRPr="00D34719" w:rsidRDefault="0057442A" w:rsidP="0057442A">
      <w:pPr>
        <w:spacing w:line="360" w:lineRule="auto"/>
        <w:jc w:val="both"/>
        <w:rPr>
          <w:rFonts w:ascii="Palatino Linotype" w:eastAsia="Palatino Linotype" w:hAnsi="Palatino Linotype" w:cs="Palatino Linotype"/>
        </w:rPr>
      </w:pPr>
    </w:p>
    <w:p w14:paraId="0496B8B7" w14:textId="77777777" w:rsidR="0057442A" w:rsidRPr="00D34719" w:rsidRDefault="0057442A" w:rsidP="0057442A">
      <w:pPr>
        <w:spacing w:line="360" w:lineRule="auto"/>
        <w:jc w:val="both"/>
        <w:rPr>
          <w:rFonts w:ascii="Palatino Linotype" w:eastAsia="Palatino Linotype" w:hAnsi="Palatino Linotype" w:cs="Palatino Linotype"/>
        </w:rPr>
      </w:pPr>
    </w:p>
    <w:p w14:paraId="2538EDB1" w14:textId="77777777" w:rsidR="0057442A" w:rsidRPr="00D34719" w:rsidRDefault="0057442A" w:rsidP="0057442A">
      <w:pPr>
        <w:spacing w:line="360" w:lineRule="auto"/>
        <w:jc w:val="both"/>
        <w:rPr>
          <w:rFonts w:ascii="Palatino Linotype" w:eastAsia="Palatino Linotype" w:hAnsi="Palatino Linotype" w:cs="Palatino Linotype"/>
        </w:rPr>
      </w:pPr>
    </w:p>
    <w:p w14:paraId="14037565" w14:textId="77777777" w:rsidR="0057442A" w:rsidRPr="00D34719" w:rsidRDefault="0057442A" w:rsidP="0057442A">
      <w:pPr>
        <w:spacing w:line="360" w:lineRule="auto"/>
        <w:jc w:val="both"/>
        <w:rPr>
          <w:rFonts w:ascii="Palatino Linotype" w:eastAsia="Palatino Linotype" w:hAnsi="Palatino Linotype" w:cs="Palatino Linotype"/>
        </w:rPr>
      </w:pPr>
    </w:p>
    <w:p w14:paraId="12E032B7" w14:textId="77777777" w:rsidR="0057442A" w:rsidRPr="00D34719" w:rsidRDefault="0057442A" w:rsidP="0057442A">
      <w:pPr>
        <w:spacing w:line="360" w:lineRule="auto"/>
        <w:jc w:val="both"/>
        <w:rPr>
          <w:rFonts w:ascii="Palatino Linotype" w:eastAsia="Palatino Linotype" w:hAnsi="Palatino Linotype" w:cs="Palatino Linotype"/>
        </w:rPr>
      </w:pPr>
    </w:p>
    <w:sectPr w:rsidR="0057442A" w:rsidRPr="00D34719">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C68A" w14:textId="77777777" w:rsidR="009F4BF9" w:rsidRDefault="009F4BF9">
      <w:pPr>
        <w:spacing w:after="0" w:line="240" w:lineRule="auto"/>
      </w:pPr>
      <w:r>
        <w:separator/>
      </w:r>
    </w:p>
  </w:endnote>
  <w:endnote w:type="continuationSeparator" w:id="0">
    <w:p w14:paraId="72166913" w14:textId="77777777" w:rsidR="009F4BF9" w:rsidRDefault="009F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DEAE" w14:textId="77777777" w:rsidR="00774A5C" w:rsidRDefault="00774A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37487">
      <w:rPr>
        <w:b/>
        <w:noProof/>
        <w:color w:val="000000"/>
        <w:sz w:val="24"/>
        <w:szCs w:val="24"/>
      </w:rPr>
      <w:t>55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37487">
      <w:rPr>
        <w:b/>
        <w:noProof/>
        <w:color w:val="000000"/>
        <w:sz w:val="24"/>
        <w:szCs w:val="24"/>
      </w:rPr>
      <w:t>57</w:t>
    </w:r>
    <w:r>
      <w:rPr>
        <w:b/>
        <w:color w:val="000000"/>
        <w:sz w:val="24"/>
        <w:szCs w:val="24"/>
      </w:rPr>
      <w:fldChar w:fldCharType="end"/>
    </w:r>
  </w:p>
  <w:p w14:paraId="0D308F02" w14:textId="77777777" w:rsidR="00774A5C" w:rsidRDefault="00774A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4FDD" w14:textId="77777777" w:rsidR="00774A5C" w:rsidRDefault="00774A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3748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37487">
      <w:rPr>
        <w:b/>
        <w:noProof/>
        <w:color w:val="000000"/>
        <w:sz w:val="24"/>
        <w:szCs w:val="24"/>
      </w:rPr>
      <w:t>57</w:t>
    </w:r>
    <w:r>
      <w:rPr>
        <w:b/>
        <w:color w:val="000000"/>
        <w:sz w:val="24"/>
        <w:szCs w:val="24"/>
      </w:rPr>
      <w:fldChar w:fldCharType="end"/>
    </w:r>
  </w:p>
  <w:p w14:paraId="4578A475" w14:textId="77777777" w:rsidR="00774A5C" w:rsidRDefault="00774A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D03B" w14:textId="77777777" w:rsidR="009F4BF9" w:rsidRDefault="009F4BF9">
      <w:pPr>
        <w:spacing w:after="0" w:line="240" w:lineRule="auto"/>
      </w:pPr>
      <w:r>
        <w:separator/>
      </w:r>
    </w:p>
  </w:footnote>
  <w:footnote w:type="continuationSeparator" w:id="0">
    <w:p w14:paraId="676E34B1" w14:textId="77777777" w:rsidR="009F4BF9" w:rsidRDefault="009F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798E" w14:textId="77777777" w:rsidR="00774A5C" w:rsidRDefault="00774A5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D11B12D" wp14:editId="0AC70410">
          <wp:simplePos x="0" y="0"/>
          <wp:positionH relativeFrom="column">
            <wp:posOffset>-746119</wp:posOffset>
          </wp:positionH>
          <wp:positionV relativeFrom="paragraph">
            <wp:posOffset>-448304</wp:posOffset>
          </wp:positionV>
          <wp:extent cx="7809876" cy="10165823"/>
          <wp:effectExtent l="0" t="0" r="0" b="0"/>
          <wp:wrapNone/>
          <wp:docPr id="2143108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774A5C" w14:paraId="6093D13D" w14:textId="77777777">
      <w:tc>
        <w:tcPr>
          <w:tcW w:w="2551" w:type="dxa"/>
          <w:vAlign w:val="center"/>
        </w:tcPr>
        <w:p w14:paraId="647403C4"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C16579"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5EA2AF" w14:textId="7AB623E7" w:rsidR="00774A5C" w:rsidRDefault="00774A5C" w:rsidP="00C534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w:t>
          </w:r>
          <w:r w:rsidR="003672CC">
            <w:rPr>
              <w:rFonts w:ascii="Palatino Linotype" w:eastAsia="Palatino Linotype" w:hAnsi="Palatino Linotype" w:cs="Palatino Linotype"/>
              <w:b/>
              <w:color w:val="000000"/>
            </w:rPr>
            <w:t>494</w:t>
          </w:r>
          <w:r>
            <w:rPr>
              <w:rFonts w:ascii="Palatino Linotype" w:eastAsia="Palatino Linotype" w:hAnsi="Palatino Linotype" w:cs="Palatino Linotype"/>
              <w:b/>
              <w:color w:val="000000"/>
            </w:rPr>
            <w:t>/INFOEM/IP/RR/2025 y acumulado</w:t>
          </w:r>
        </w:p>
      </w:tc>
    </w:tr>
    <w:tr w:rsidR="00774A5C" w14:paraId="18D3E26F" w14:textId="77777777">
      <w:trPr>
        <w:trHeight w:val="228"/>
      </w:trPr>
      <w:tc>
        <w:tcPr>
          <w:tcW w:w="2551" w:type="dxa"/>
          <w:vAlign w:val="center"/>
        </w:tcPr>
        <w:p w14:paraId="21CEFDCF"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CEBB037" w14:textId="09D33635" w:rsidR="00774A5C" w:rsidRDefault="00774A5C" w:rsidP="00C534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3672CC">
            <w:rPr>
              <w:rFonts w:ascii="Palatino Linotype" w:eastAsia="Palatino Linotype" w:hAnsi="Palatino Linotype" w:cs="Palatino Linotype"/>
              <w:b/>
              <w:color w:val="000000"/>
            </w:rPr>
            <w:t>Toluca</w:t>
          </w:r>
        </w:p>
      </w:tc>
    </w:tr>
    <w:tr w:rsidR="00774A5C" w14:paraId="54C31D85" w14:textId="77777777">
      <w:tc>
        <w:tcPr>
          <w:tcW w:w="2551" w:type="dxa"/>
          <w:vAlign w:val="center"/>
        </w:tcPr>
        <w:p w14:paraId="13A2757F"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825350"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C506203" w14:textId="77777777" w:rsidR="00774A5C" w:rsidRDefault="00774A5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44FC" w14:textId="77777777" w:rsidR="00774A5C" w:rsidRDefault="00774A5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F37ED5" wp14:editId="0B555A85">
          <wp:simplePos x="0" y="0"/>
          <wp:positionH relativeFrom="column">
            <wp:posOffset>-683893</wp:posOffset>
          </wp:positionH>
          <wp:positionV relativeFrom="paragraph">
            <wp:posOffset>-249552</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774A5C" w14:paraId="386C6C2D" w14:textId="77777777">
      <w:tc>
        <w:tcPr>
          <w:tcW w:w="2551" w:type="dxa"/>
          <w:vAlign w:val="center"/>
        </w:tcPr>
        <w:p w14:paraId="28A057E8"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A592963"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9958718" w14:textId="6D9193EA" w:rsidR="00774A5C" w:rsidRDefault="00774A5C" w:rsidP="00C874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w:t>
          </w:r>
          <w:r w:rsidR="003672CC">
            <w:rPr>
              <w:rFonts w:ascii="Palatino Linotype" w:eastAsia="Palatino Linotype" w:hAnsi="Palatino Linotype" w:cs="Palatino Linotype"/>
              <w:b/>
              <w:color w:val="000000"/>
            </w:rPr>
            <w:t>494</w:t>
          </w:r>
          <w:r>
            <w:rPr>
              <w:rFonts w:ascii="Palatino Linotype" w:eastAsia="Palatino Linotype" w:hAnsi="Palatino Linotype" w:cs="Palatino Linotype"/>
              <w:b/>
              <w:color w:val="000000"/>
            </w:rPr>
            <w:t>/INFOEM/IP/RR/2025 y acumulado</w:t>
          </w:r>
        </w:p>
      </w:tc>
    </w:tr>
    <w:tr w:rsidR="00774A5C" w14:paraId="6617B859" w14:textId="77777777">
      <w:tc>
        <w:tcPr>
          <w:tcW w:w="2551" w:type="dxa"/>
          <w:vAlign w:val="center"/>
        </w:tcPr>
        <w:p w14:paraId="327EC6A0"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496BE84" w14:textId="42EC74D3" w:rsidR="00774A5C" w:rsidRDefault="00774A5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774A5C" w14:paraId="78EC5760" w14:textId="77777777">
      <w:trPr>
        <w:trHeight w:val="228"/>
      </w:trPr>
      <w:tc>
        <w:tcPr>
          <w:tcW w:w="2551" w:type="dxa"/>
          <w:vAlign w:val="center"/>
        </w:tcPr>
        <w:p w14:paraId="37082BD6"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69419" w14:textId="276C48A8" w:rsidR="00774A5C" w:rsidRDefault="00774A5C" w:rsidP="00C534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3672CC">
            <w:rPr>
              <w:rFonts w:ascii="Palatino Linotype" w:eastAsia="Palatino Linotype" w:hAnsi="Palatino Linotype" w:cs="Palatino Linotype"/>
              <w:b/>
              <w:color w:val="000000"/>
            </w:rPr>
            <w:t>Toluca</w:t>
          </w:r>
        </w:p>
      </w:tc>
    </w:tr>
    <w:tr w:rsidR="00774A5C" w14:paraId="0DD83D35" w14:textId="77777777">
      <w:tc>
        <w:tcPr>
          <w:tcW w:w="2551" w:type="dxa"/>
          <w:vAlign w:val="center"/>
        </w:tcPr>
        <w:p w14:paraId="1DE0E4FB"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7BD2243" w14:textId="77777777" w:rsidR="00774A5C" w:rsidRDefault="00774A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BB0DE11" w14:textId="77777777" w:rsidR="00774A5C" w:rsidRDefault="00774A5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569"/>
    <w:multiLevelType w:val="multilevel"/>
    <w:tmpl w:val="C5A60C20"/>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A2613"/>
    <w:multiLevelType w:val="hybridMultilevel"/>
    <w:tmpl w:val="361E841E"/>
    <w:lvl w:ilvl="0" w:tplc="93EAF29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EB6B81"/>
    <w:multiLevelType w:val="hybridMultilevel"/>
    <w:tmpl w:val="21DC4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C7C004A"/>
    <w:multiLevelType w:val="multilevel"/>
    <w:tmpl w:val="ADD2D26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E6378A"/>
    <w:multiLevelType w:val="multilevel"/>
    <w:tmpl w:val="DC2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B05AF"/>
    <w:multiLevelType w:val="hybridMultilevel"/>
    <w:tmpl w:val="0A7EF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27641F2"/>
    <w:multiLevelType w:val="multilevel"/>
    <w:tmpl w:val="5476C3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64308A7"/>
    <w:multiLevelType w:val="multilevel"/>
    <w:tmpl w:val="2658494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D5D72"/>
    <w:multiLevelType w:val="hybridMultilevel"/>
    <w:tmpl w:val="6218A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15:restartNumberingAfterBreak="0">
    <w:nsid w:val="38055AFF"/>
    <w:multiLevelType w:val="multilevel"/>
    <w:tmpl w:val="65909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C30937"/>
    <w:multiLevelType w:val="multilevel"/>
    <w:tmpl w:val="46F2005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3F13F62"/>
    <w:multiLevelType w:val="hybridMultilevel"/>
    <w:tmpl w:val="DA0ECD3E"/>
    <w:lvl w:ilvl="0" w:tplc="8F867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19A5"/>
    <w:multiLevelType w:val="multilevel"/>
    <w:tmpl w:val="F8AC7A4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C32AE3"/>
    <w:multiLevelType w:val="hybridMultilevel"/>
    <w:tmpl w:val="1396E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D508C3"/>
    <w:multiLevelType w:val="multilevel"/>
    <w:tmpl w:val="8C122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D77339"/>
    <w:multiLevelType w:val="multilevel"/>
    <w:tmpl w:val="37A63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D72E1A"/>
    <w:multiLevelType w:val="multilevel"/>
    <w:tmpl w:val="B9325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2F13CC"/>
    <w:multiLevelType w:val="hybridMultilevel"/>
    <w:tmpl w:val="634CB8C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EA2EC2"/>
    <w:multiLevelType w:val="multilevel"/>
    <w:tmpl w:val="07442DD0"/>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0804B9"/>
    <w:multiLevelType w:val="multilevel"/>
    <w:tmpl w:val="BDD64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9620412"/>
    <w:multiLevelType w:val="multilevel"/>
    <w:tmpl w:val="C26C3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9D412C2"/>
    <w:multiLevelType w:val="hybridMultilevel"/>
    <w:tmpl w:val="170EB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6"/>
  </w:num>
  <w:num w:numId="3">
    <w:abstractNumId w:val="9"/>
  </w:num>
  <w:num w:numId="4">
    <w:abstractNumId w:val="29"/>
  </w:num>
  <w:num w:numId="5">
    <w:abstractNumId w:val="8"/>
  </w:num>
  <w:num w:numId="6">
    <w:abstractNumId w:val="30"/>
  </w:num>
  <w:num w:numId="7">
    <w:abstractNumId w:val="5"/>
  </w:num>
  <w:num w:numId="8">
    <w:abstractNumId w:val="19"/>
  </w:num>
  <w:num w:numId="9">
    <w:abstractNumId w:val="15"/>
  </w:num>
  <w:num w:numId="10">
    <w:abstractNumId w:val="22"/>
  </w:num>
  <w:num w:numId="11">
    <w:abstractNumId w:val="21"/>
  </w:num>
  <w:num w:numId="12">
    <w:abstractNumId w:val="23"/>
  </w:num>
  <w:num w:numId="13">
    <w:abstractNumId w:val="28"/>
  </w:num>
  <w:num w:numId="14">
    <w:abstractNumId w:val="13"/>
  </w:num>
  <w:num w:numId="15">
    <w:abstractNumId w:val="1"/>
  </w:num>
  <w:num w:numId="16">
    <w:abstractNumId w:val="25"/>
  </w:num>
  <w:num w:numId="17">
    <w:abstractNumId w:val="27"/>
  </w:num>
  <w:num w:numId="18">
    <w:abstractNumId w:val="3"/>
  </w:num>
  <w:num w:numId="19">
    <w:abstractNumId w:val="26"/>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20"/>
  </w:num>
  <w:num w:numId="25">
    <w:abstractNumId w:val="4"/>
  </w:num>
  <w:num w:numId="26">
    <w:abstractNumId w:val="31"/>
  </w:num>
  <w:num w:numId="27">
    <w:abstractNumId w:val="12"/>
  </w:num>
  <w:num w:numId="28">
    <w:abstractNumId w:val="17"/>
  </w:num>
  <w:num w:numId="29">
    <w:abstractNumId w:val="7"/>
  </w:num>
  <w:num w:numId="30">
    <w:abstractNumId w:val="24"/>
  </w:num>
  <w:num w:numId="31">
    <w:abstractNumId w:val="3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66"/>
    <w:rsid w:val="0001618A"/>
    <w:rsid w:val="00137487"/>
    <w:rsid w:val="001551F6"/>
    <w:rsid w:val="0017185D"/>
    <w:rsid w:val="00174388"/>
    <w:rsid w:val="0019267A"/>
    <w:rsid w:val="001C12E2"/>
    <w:rsid w:val="001C48B9"/>
    <w:rsid w:val="001E0F0A"/>
    <w:rsid w:val="002C715D"/>
    <w:rsid w:val="002E678C"/>
    <w:rsid w:val="003672CC"/>
    <w:rsid w:val="00376B6F"/>
    <w:rsid w:val="003E22C2"/>
    <w:rsid w:val="003E3FC2"/>
    <w:rsid w:val="003F5C85"/>
    <w:rsid w:val="00404BD4"/>
    <w:rsid w:val="004122AB"/>
    <w:rsid w:val="004325BA"/>
    <w:rsid w:val="00432D47"/>
    <w:rsid w:val="004338E6"/>
    <w:rsid w:val="00447CE1"/>
    <w:rsid w:val="00450305"/>
    <w:rsid w:val="00472983"/>
    <w:rsid w:val="0048635B"/>
    <w:rsid w:val="0049067B"/>
    <w:rsid w:val="004D5666"/>
    <w:rsid w:val="005719DC"/>
    <w:rsid w:val="0057442A"/>
    <w:rsid w:val="005A244B"/>
    <w:rsid w:val="005C5632"/>
    <w:rsid w:val="005E7CCF"/>
    <w:rsid w:val="00600831"/>
    <w:rsid w:val="0061144A"/>
    <w:rsid w:val="006170DF"/>
    <w:rsid w:val="00671A66"/>
    <w:rsid w:val="006D182B"/>
    <w:rsid w:val="00774A5C"/>
    <w:rsid w:val="00793B59"/>
    <w:rsid w:val="007A7A00"/>
    <w:rsid w:val="007B0BB8"/>
    <w:rsid w:val="007D01D2"/>
    <w:rsid w:val="007E6156"/>
    <w:rsid w:val="007F0576"/>
    <w:rsid w:val="00825B0A"/>
    <w:rsid w:val="008E222B"/>
    <w:rsid w:val="0092577C"/>
    <w:rsid w:val="0098558D"/>
    <w:rsid w:val="009A6778"/>
    <w:rsid w:val="009E6AB2"/>
    <w:rsid w:val="009F4BF9"/>
    <w:rsid w:val="00A06327"/>
    <w:rsid w:val="00A13AA5"/>
    <w:rsid w:val="00A14788"/>
    <w:rsid w:val="00A423F2"/>
    <w:rsid w:val="00AA083E"/>
    <w:rsid w:val="00B05A68"/>
    <w:rsid w:val="00B07D2D"/>
    <w:rsid w:val="00B21D44"/>
    <w:rsid w:val="00B4630E"/>
    <w:rsid w:val="00BA09E0"/>
    <w:rsid w:val="00BB7AE1"/>
    <w:rsid w:val="00BD2433"/>
    <w:rsid w:val="00C051E3"/>
    <w:rsid w:val="00C1672A"/>
    <w:rsid w:val="00C270C0"/>
    <w:rsid w:val="00C534ED"/>
    <w:rsid w:val="00C57A1D"/>
    <w:rsid w:val="00C61688"/>
    <w:rsid w:val="00C625C4"/>
    <w:rsid w:val="00C87462"/>
    <w:rsid w:val="00CA091C"/>
    <w:rsid w:val="00CC0F9E"/>
    <w:rsid w:val="00D34719"/>
    <w:rsid w:val="00D40310"/>
    <w:rsid w:val="00D80B8F"/>
    <w:rsid w:val="00E457DB"/>
    <w:rsid w:val="00EA49DD"/>
    <w:rsid w:val="00EF51E2"/>
    <w:rsid w:val="00F371AB"/>
    <w:rsid w:val="00F7550B"/>
    <w:rsid w:val="00F852B9"/>
    <w:rsid w:val="00F95518"/>
    <w:rsid w:val="00F961F0"/>
    <w:rsid w:val="00FA7E8E"/>
    <w:rsid w:val="00FB3ED6"/>
    <w:rsid w:val="00FD74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56E9"/>
  <w15:docId w15:val="{84E1CF3C-039A-4CD6-9345-4D522E1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5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character" w:customStyle="1" w:styleId="selectable-text">
    <w:name w:val="selectable-text"/>
    <w:basedOn w:val="Fuentedeprrafopredeter"/>
    <w:rsid w:val="00B07D2D"/>
  </w:style>
  <w:style w:type="paragraph" w:customStyle="1" w:styleId="xgmail-msonormal">
    <w:name w:val="x_gmail-msonormal"/>
    <w:basedOn w:val="Normal"/>
    <w:rsid w:val="005744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Normal10">
    <w:name w:val="Table Normal1"/>
    <w:uiPriority w:val="2"/>
    <w:qFormat/>
    <w:rsid w:val="00BA09E0"/>
    <w:pPr>
      <w:spacing w:after="0" w:line="240" w:lineRule="auto"/>
    </w:pPr>
    <w:rPr>
      <w:sz w:val="24"/>
      <w:szCs w:val="24"/>
      <w:lang w:val="es-ES_tradnl"/>
    </w:rPr>
    <w:tblPr>
      <w:tblCellMar>
        <w:top w:w="0" w:type="dxa"/>
        <w:left w:w="0" w:type="dxa"/>
        <w:bottom w:w="0" w:type="dxa"/>
        <w:right w:w="0" w:type="dxa"/>
      </w:tblCellMar>
    </w:tblPr>
  </w:style>
  <w:style w:type="paragraph" w:customStyle="1" w:styleId="TableParagraph">
    <w:name w:val="Table Paragraph"/>
    <w:basedOn w:val="Normal"/>
    <w:uiPriority w:val="1"/>
    <w:qFormat/>
    <w:rsid w:val="00BA09E0"/>
    <w:pPr>
      <w:widowControl w:val="0"/>
      <w:autoSpaceDE w:val="0"/>
      <w:autoSpaceDN w:val="0"/>
      <w:spacing w:after="0" w:line="240" w:lineRule="auto"/>
    </w:pPr>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6353">
      <w:bodyDiv w:val="1"/>
      <w:marLeft w:val="0"/>
      <w:marRight w:val="0"/>
      <w:marTop w:val="0"/>
      <w:marBottom w:val="0"/>
      <w:divBdr>
        <w:top w:val="none" w:sz="0" w:space="0" w:color="auto"/>
        <w:left w:val="none" w:sz="0" w:space="0" w:color="auto"/>
        <w:bottom w:val="none" w:sz="0" w:space="0" w:color="auto"/>
        <w:right w:val="none" w:sz="0" w:space="0" w:color="auto"/>
      </w:divBdr>
    </w:div>
    <w:div w:id="217674020">
      <w:bodyDiv w:val="1"/>
      <w:marLeft w:val="0"/>
      <w:marRight w:val="0"/>
      <w:marTop w:val="0"/>
      <w:marBottom w:val="0"/>
      <w:divBdr>
        <w:top w:val="none" w:sz="0" w:space="0" w:color="auto"/>
        <w:left w:val="none" w:sz="0" w:space="0" w:color="auto"/>
        <w:bottom w:val="none" w:sz="0" w:space="0" w:color="auto"/>
        <w:right w:val="none" w:sz="0" w:space="0" w:color="auto"/>
      </w:divBdr>
    </w:div>
    <w:div w:id="358094604">
      <w:bodyDiv w:val="1"/>
      <w:marLeft w:val="0"/>
      <w:marRight w:val="0"/>
      <w:marTop w:val="0"/>
      <w:marBottom w:val="0"/>
      <w:divBdr>
        <w:top w:val="none" w:sz="0" w:space="0" w:color="auto"/>
        <w:left w:val="none" w:sz="0" w:space="0" w:color="auto"/>
        <w:bottom w:val="none" w:sz="0" w:space="0" w:color="auto"/>
        <w:right w:val="none" w:sz="0" w:space="0" w:color="auto"/>
      </w:divBdr>
    </w:div>
    <w:div w:id="500512444">
      <w:bodyDiv w:val="1"/>
      <w:marLeft w:val="0"/>
      <w:marRight w:val="0"/>
      <w:marTop w:val="0"/>
      <w:marBottom w:val="0"/>
      <w:divBdr>
        <w:top w:val="none" w:sz="0" w:space="0" w:color="auto"/>
        <w:left w:val="none" w:sz="0" w:space="0" w:color="auto"/>
        <w:bottom w:val="none" w:sz="0" w:space="0" w:color="auto"/>
        <w:right w:val="none" w:sz="0" w:space="0" w:color="auto"/>
      </w:divBdr>
    </w:div>
    <w:div w:id="585306181">
      <w:bodyDiv w:val="1"/>
      <w:marLeft w:val="0"/>
      <w:marRight w:val="0"/>
      <w:marTop w:val="0"/>
      <w:marBottom w:val="0"/>
      <w:divBdr>
        <w:top w:val="none" w:sz="0" w:space="0" w:color="auto"/>
        <w:left w:val="none" w:sz="0" w:space="0" w:color="auto"/>
        <w:bottom w:val="none" w:sz="0" w:space="0" w:color="auto"/>
        <w:right w:val="none" w:sz="0" w:space="0" w:color="auto"/>
      </w:divBdr>
    </w:div>
    <w:div w:id="673266385">
      <w:bodyDiv w:val="1"/>
      <w:marLeft w:val="0"/>
      <w:marRight w:val="0"/>
      <w:marTop w:val="0"/>
      <w:marBottom w:val="0"/>
      <w:divBdr>
        <w:top w:val="none" w:sz="0" w:space="0" w:color="auto"/>
        <w:left w:val="none" w:sz="0" w:space="0" w:color="auto"/>
        <w:bottom w:val="none" w:sz="0" w:space="0" w:color="auto"/>
        <w:right w:val="none" w:sz="0" w:space="0" w:color="auto"/>
      </w:divBdr>
    </w:div>
    <w:div w:id="710686335">
      <w:bodyDiv w:val="1"/>
      <w:marLeft w:val="0"/>
      <w:marRight w:val="0"/>
      <w:marTop w:val="0"/>
      <w:marBottom w:val="0"/>
      <w:divBdr>
        <w:top w:val="none" w:sz="0" w:space="0" w:color="auto"/>
        <w:left w:val="none" w:sz="0" w:space="0" w:color="auto"/>
        <w:bottom w:val="none" w:sz="0" w:space="0" w:color="auto"/>
        <w:right w:val="none" w:sz="0" w:space="0" w:color="auto"/>
      </w:divBdr>
    </w:div>
    <w:div w:id="967517178">
      <w:bodyDiv w:val="1"/>
      <w:marLeft w:val="0"/>
      <w:marRight w:val="0"/>
      <w:marTop w:val="0"/>
      <w:marBottom w:val="0"/>
      <w:divBdr>
        <w:top w:val="none" w:sz="0" w:space="0" w:color="auto"/>
        <w:left w:val="none" w:sz="0" w:space="0" w:color="auto"/>
        <w:bottom w:val="none" w:sz="0" w:space="0" w:color="auto"/>
        <w:right w:val="none" w:sz="0" w:space="0" w:color="auto"/>
      </w:divBdr>
    </w:div>
    <w:div w:id="970597466">
      <w:bodyDiv w:val="1"/>
      <w:marLeft w:val="0"/>
      <w:marRight w:val="0"/>
      <w:marTop w:val="0"/>
      <w:marBottom w:val="0"/>
      <w:divBdr>
        <w:top w:val="none" w:sz="0" w:space="0" w:color="auto"/>
        <w:left w:val="none" w:sz="0" w:space="0" w:color="auto"/>
        <w:bottom w:val="none" w:sz="0" w:space="0" w:color="auto"/>
        <w:right w:val="none" w:sz="0" w:space="0" w:color="auto"/>
      </w:divBdr>
    </w:div>
    <w:div w:id="1055281154">
      <w:bodyDiv w:val="1"/>
      <w:marLeft w:val="0"/>
      <w:marRight w:val="0"/>
      <w:marTop w:val="0"/>
      <w:marBottom w:val="0"/>
      <w:divBdr>
        <w:top w:val="none" w:sz="0" w:space="0" w:color="auto"/>
        <w:left w:val="none" w:sz="0" w:space="0" w:color="auto"/>
        <w:bottom w:val="none" w:sz="0" w:space="0" w:color="auto"/>
        <w:right w:val="none" w:sz="0" w:space="0" w:color="auto"/>
      </w:divBdr>
    </w:div>
    <w:div w:id="1300958917">
      <w:bodyDiv w:val="1"/>
      <w:marLeft w:val="0"/>
      <w:marRight w:val="0"/>
      <w:marTop w:val="0"/>
      <w:marBottom w:val="0"/>
      <w:divBdr>
        <w:top w:val="none" w:sz="0" w:space="0" w:color="auto"/>
        <w:left w:val="none" w:sz="0" w:space="0" w:color="auto"/>
        <w:bottom w:val="none" w:sz="0" w:space="0" w:color="auto"/>
        <w:right w:val="none" w:sz="0" w:space="0" w:color="auto"/>
      </w:divBdr>
    </w:div>
    <w:div w:id="1339388508">
      <w:bodyDiv w:val="1"/>
      <w:marLeft w:val="0"/>
      <w:marRight w:val="0"/>
      <w:marTop w:val="0"/>
      <w:marBottom w:val="0"/>
      <w:divBdr>
        <w:top w:val="none" w:sz="0" w:space="0" w:color="auto"/>
        <w:left w:val="none" w:sz="0" w:space="0" w:color="auto"/>
        <w:bottom w:val="none" w:sz="0" w:space="0" w:color="auto"/>
        <w:right w:val="none" w:sz="0" w:space="0" w:color="auto"/>
      </w:divBdr>
    </w:div>
    <w:div w:id="1446386954">
      <w:bodyDiv w:val="1"/>
      <w:marLeft w:val="0"/>
      <w:marRight w:val="0"/>
      <w:marTop w:val="0"/>
      <w:marBottom w:val="0"/>
      <w:divBdr>
        <w:top w:val="none" w:sz="0" w:space="0" w:color="auto"/>
        <w:left w:val="none" w:sz="0" w:space="0" w:color="auto"/>
        <w:bottom w:val="none" w:sz="0" w:space="0" w:color="auto"/>
        <w:right w:val="none" w:sz="0" w:space="0" w:color="auto"/>
      </w:divBdr>
    </w:div>
    <w:div w:id="1487085956">
      <w:bodyDiv w:val="1"/>
      <w:marLeft w:val="0"/>
      <w:marRight w:val="0"/>
      <w:marTop w:val="0"/>
      <w:marBottom w:val="0"/>
      <w:divBdr>
        <w:top w:val="none" w:sz="0" w:space="0" w:color="auto"/>
        <w:left w:val="none" w:sz="0" w:space="0" w:color="auto"/>
        <w:bottom w:val="none" w:sz="0" w:space="0" w:color="auto"/>
        <w:right w:val="none" w:sz="0" w:space="0" w:color="auto"/>
      </w:divBdr>
    </w:div>
    <w:div w:id="1546257893">
      <w:bodyDiv w:val="1"/>
      <w:marLeft w:val="0"/>
      <w:marRight w:val="0"/>
      <w:marTop w:val="0"/>
      <w:marBottom w:val="0"/>
      <w:divBdr>
        <w:top w:val="none" w:sz="0" w:space="0" w:color="auto"/>
        <w:left w:val="none" w:sz="0" w:space="0" w:color="auto"/>
        <w:bottom w:val="none" w:sz="0" w:space="0" w:color="auto"/>
        <w:right w:val="none" w:sz="0" w:space="0" w:color="auto"/>
      </w:divBdr>
    </w:div>
    <w:div w:id="1566183451">
      <w:bodyDiv w:val="1"/>
      <w:marLeft w:val="0"/>
      <w:marRight w:val="0"/>
      <w:marTop w:val="0"/>
      <w:marBottom w:val="0"/>
      <w:divBdr>
        <w:top w:val="none" w:sz="0" w:space="0" w:color="auto"/>
        <w:left w:val="none" w:sz="0" w:space="0" w:color="auto"/>
        <w:bottom w:val="none" w:sz="0" w:space="0" w:color="auto"/>
        <w:right w:val="none" w:sz="0" w:space="0" w:color="auto"/>
      </w:divBdr>
    </w:div>
    <w:div w:id="1716192895">
      <w:bodyDiv w:val="1"/>
      <w:marLeft w:val="0"/>
      <w:marRight w:val="0"/>
      <w:marTop w:val="0"/>
      <w:marBottom w:val="0"/>
      <w:divBdr>
        <w:top w:val="none" w:sz="0" w:space="0" w:color="auto"/>
        <w:left w:val="none" w:sz="0" w:space="0" w:color="auto"/>
        <w:bottom w:val="none" w:sz="0" w:space="0" w:color="auto"/>
        <w:right w:val="none" w:sz="0" w:space="0" w:color="auto"/>
      </w:divBdr>
    </w:div>
    <w:div w:id="171685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ZTxBJYlrHO0Q5lUIEjGlJteyw==">CgMxLjAyCWguMzBqMHpsbDIJaC4yZXQ5MnAwMghoLmdqZGd4czIJaC4xZm9iOXRlOAByITExTE5ob2xraDRXWC11UEl1Z0k4SEwwYmlpUDg2S05fZg==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15094</Words>
  <Characters>83022</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2025-08-29T19:27:00Z</cp:lastPrinted>
  <dcterms:created xsi:type="dcterms:W3CDTF">2025-09-06T00:12:00Z</dcterms:created>
  <dcterms:modified xsi:type="dcterms:W3CDTF">2025-09-06T00:12:00Z</dcterms:modified>
</cp:coreProperties>
</file>