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818141349"/>
        <w:docPartObj>
          <w:docPartGallery w:val="Table of Contents"/>
          <w:docPartUnique/>
        </w:docPartObj>
      </w:sdtPr>
      <w:sdtEndPr>
        <w:rPr>
          <w:b/>
          <w:bCs/>
        </w:rPr>
      </w:sdtEndPr>
      <w:sdtContent>
        <w:p w14:paraId="085C4F38" w14:textId="5D919C8B" w:rsidR="006823AD" w:rsidRPr="00FB04DE" w:rsidRDefault="006823AD">
          <w:pPr>
            <w:pStyle w:val="TtulodeTDC"/>
          </w:pPr>
          <w:r w:rsidRPr="00FB04DE">
            <w:rPr>
              <w:lang w:val="es-ES"/>
            </w:rPr>
            <w:t>Tabla de contenido</w:t>
          </w:r>
        </w:p>
        <w:p w14:paraId="5BA44059" w14:textId="77777777" w:rsidR="006823AD" w:rsidRPr="00FB04DE" w:rsidRDefault="006823AD">
          <w:pPr>
            <w:pStyle w:val="TDC1"/>
            <w:tabs>
              <w:tab w:val="right" w:leader="dot" w:pos="9204"/>
            </w:tabs>
            <w:rPr>
              <w:rFonts w:asciiTheme="minorHAnsi" w:eastAsiaTheme="minorEastAsia" w:hAnsiTheme="minorHAnsi" w:cstheme="minorBidi"/>
              <w:noProof/>
            </w:rPr>
          </w:pPr>
          <w:r w:rsidRPr="00FB04DE">
            <w:rPr>
              <w:b/>
              <w:bCs/>
              <w:lang w:val="es-ES"/>
            </w:rPr>
            <w:fldChar w:fldCharType="begin"/>
          </w:r>
          <w:r w:rsidRPr="00FB04DE">
            <w:rPr>
              <w:b/>
              <w:bCs/>
              <w:lang w:val="es-ES"/>
            </w:rPr>
            <w:instrText xml:space="preserve"> TOC \o "1-3" \h \z \u </w:instrText>
          </w:r>
          <w:r w:rsidRPr="00FB04DE">
            <w:rPr>
              <w:b/>
              <w:bCs/>
              <w:lang w:val="es-ES"/>
            </w:rPr>
            <w:fldChar w:fldCharType="separate"/>
          </w:r>
          <w:hyperlink w:anchor="_Toc210313302" w:history="1">
            <w:r w:rsidRPr="00FB04DE">
              <w:rPr>
                <w:rStyle w:val="Hipervnculo"/>
                <w:noProof/>
              </w:rPr>
              <w:t>A N T E C E D E N T E S</w:t>
            </w:r>
            <w:r w:rsidRPr="00FB04DE">
              <w:rPr>
                <w:noProof/>
                <w:webHidden/>
              </w:rPr>
              <w:tab/>
            </w:r>
            <w:r w:rsidRPr="00FB04DE">
              <w:rPr>
                <w:noProof/>
                <w:webHidden/>
              </w:rPr>
              <w:fldChar w:fldCharType="begin"/>
            </w:r>
            <w:r w:rsidRPr="00FB04DE">
              <w:rPr>
                <w:noProof/>
                <w:webHidden/>
              </w:rPr>
              <w:instrText xml:space="preserve"> PAGEREF _Toc210313302 \h </w:instrText>
            </w:r>
            <w:r w:rsidRPr="00FB04DE">
              <w:rPr>
                <w:noProof/>
                <w:webHidden/>
              </w:rPr>
            </w:r>
            <w:r w:rsidRPr="00FB04DE">
              <w:rPr>
                <w:noProof/>
                <w:webHidden/>
              </w:rPr>
              <w:fldChar w:fldCharType="separate"/>
            </w:r>
            <w:r w:rsidR="006F6193">
              <w:rPr>
                <w:noProof/>
                <w:webHidden/>
              </w:rPr>
              <w:t>2</w:t>
            </w:r>
            <w:r w:rsidRPr="00FB04DE">
              <w:rPr>
                <w:noProof/>
                <w:webHidden/>
              </w:rPr>
              <w:fldChar w:fldCharType="end"/>
            </w:r>
          </w:hyperlink>
        </w:p>
        <w:p w14:paraId="4745909D"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03" w:history="1">
            <w:r w:rsidR="006823AD" w:rsidRPr="00FB04DE">
              <w:rPr>
                <w:rStyle w:val="Hipervnculo"/>
                <w:noProof/>
              </w:rPr>
              <w:t>I. Presentación de la solicitud de información</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_Toc210313303 \h </w:instrText>
            </w:r>
            <w:r w:rsidR="006823AD" w:rsidRPr="00FB04DE">
              <w:rPr>
                <w:noProof/>
                <w:webHidden/>
              </w:rPr>
            </w:r>
            <w:r w:rsidR="006823AD" w:rsidRPr="00FB04DE">
              <w:rPr>
                <w:noProof/>
                <w:webHidden/>
              </w:rPr>
              <w:fldChar w:fldCharType="separate"/>
            </w:r>
            <w:r w:rsidR="006F6193">
              <w:rPr>
                <w:noProof/>
                <w:webHidden/>
              </w:rPr>
              <w:t>2</w:t>
            </w:r>
            <w:r w:rsidR="006823AD" w:rsidRPr="00FB04DE">
              <w:rPr>
                <w:noProof/>
                <w:webHidden/>
              </w:rPr>
              <w:fldChar w:fldCharType="end"/>
            </w:r>
          </w:hyperlink>
        </w:p>
        <w:p w14:paraId="52C9C1A8"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04" w:history="1">
            <w:r w:rsidR="006823AD" w:rsidRPr="00FB04DE">
              <w:rPr>
                <w:rStyle w:val="Hipervnculo"/>
                <w:noProof/>
              </w:rPr>
              <w:t>II. Respuesta del Sujeto Obligado</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_Toc210313304 \h </w:instrText>
            </w:r>
            <w:r w:rsidR="006823AD" w:rsidRPr="00FB04DE">
              <w:rPr>
                <w:noProof/>
                <w:webHidden/>
              </w:rPr>
            </w:r>
            <w:r w:rsidR="006823AD" w:rsidRPr="00FB04DE">
              <w:rPr>
                <w:noProof/>
                <w:webHidden/>
              </w:rPr>
              <w:fldChar w:fldCharType="separate"/>
            </w:r>
            <w:r w:rsidR="006F6193">
              <w:rPr>
                <w:noProof/>
                <w:webHidden/>
              </w:rPr>
              <w:t>3</w:t>
            </w:r>
            <w:r w:rsidR="006823AD" w:rsidRPr="00FB04DE">
              <w:rPr>
                <w:noProof/>
                <w:webHidden/>
              </w:rPr>
              <w:fldChar w:fldCharType="end"/>
            </w:r>
          </w:hyperlink>
        </w:p>
        <w:p w14:paraId="21173614"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05" w:history="1">
            <w:r w:rsidR="006823AD" w:rsidRPr="00FB04DE">
              <w:rPr>
                <w:rStyle w:val="Hipervnculo"/>
                <w:noProof/>
              </w:rPr>
              <w:t>III. Interposición del Recurso de Revisión</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_Toc210313305 \h </w:instrText>
            </w:r>
            <w:r w:rsidR="006823AD" w:rsidRPr="00FB04DE">
              <w:rPr>
                <w:noProof/>
                <w:webHidden/>
              </w:rPr>
            </w:r>
            <w:r w:rsidR="006823AD" w:rsidRPr="00FB04DE">
              <w:rPr>
                <w:noProof/>
                <w:webHidden/>
              </w:rPr>
              <w:fldChar w:fldCharType="separate"/>
            </w:r>
            <w:r w:rsidR="006F6193">
              <w:rPr>
                <w:noProof/>
                <w:webHidden/>
              </w:rPr>
              <w:t>4</w:t>
            </w:r>
            <w:r w:rsidR="006823AD" w:rsidRPr="00FB04DE">
              <w:rPr>
                <w:noProof/>
                <w:webHidden/>
              </w:rPr>
              <w:fldChar w:fldCharType="end"/>
            </w:r>
          </w:hyperlink>
        </w:p>
        <w:p w14:paraId="12827443"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06" w:history="1">
            <w:r w:rsidR="006823AD" w:rsidRPr="00FB04DE">
              <w:rPr>
                <w:rStyle w:val="Hipervnculo"/>
                <w:noProof/>
              </w:rPr>
              <w:t>IV. Trámite del Recurso de Revisión ante este Instituto</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_Toc210313306 \h </w:instrText>
            </w:r>
            <w:r w:rsidR="006823AD" w:rsidRPr="00FB04DE">
              <w:rPr>
                <w:noProof/>
                <w:webHidden/>
              </w:rPr>
            </w:r>
            <w:r w:rsidR="006823AD" w:rsidRPr="00FB04DE">
              <w:rPr>
                <w:noProof/>
                <w:webHidden/>
              </w:rPr>
              <w:fldChar w:fldCharType="separate"/>
            </w:r>
            <w:r w:rsidR="006F6193">
              <w:rPr>
                <w:noProof/>
                <w:webHidden/>
              </w:rPr>
              <w:t>6</w:t>
            </w:r>
            <w:r w:rsidR="006823AD" w:rsidRPr="00FB04DE">
              <w:rPr>
                <w:noProof/>
                <w:webHidden/>
              </w:rPr>
              <w:fldChar w:fldCharType="end"/>
            </w:r>
          </w:hyperlink>
        </w:p>
        <w:p w14:paraId="31B2DD65" w14:textId="77777777" w:rsidR="006823AD" w:rsidRPr="00FB04DE" w:rsidRDefault="00094D3C">
          <w:pPr>
            <w:pStyle w:val="TDC1"/>
            <w:tabs>
              <w:tab w:val="right" w:leader="dot" w:pos="9204"/>
            </w:tabs>
            <w:rPr>
              <w:rFonts w:asciiTheme="minorHAnsi" w:eastAsiaTheme="minorEastAsia" w:hAnsiTheme="minorHAnsi" w:cstheme="minorBidi"/>
              <w:noProof/>
            </w:rPr>
          </w:pPr>
          <w:hyperlink w:anchor="_Toc210313307" w:history="1">
            <w:r w:rsidR="006823AD" w:rsidRPr="00FB04DE">
              <w:rPr>
                <w:rStyle w:val="Hipervnculo"/>
                <w:noProof/>
              </w:rPr>
              <w:t>C O N S I D E R A N D O S</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_Toc210313307 \h </w:instrText>
            </w:r>
            <w:r w:rsidR="006823AD" w:rsidRPr="00FB04DE">
              <w:rPr>
                <w:noProof/>
                <w:webHidden/>
              </w:rPr>
            </w:r>
            <w:r w:rsidR="006823AD" w:rsidRPr="00FB04DE">
              <w:rPr>
                <w:noProof/>
                <w:webHidden/>
              </w:rPr>
              <w:fldChar w:fldCharType="separate"/>
            </w:r>
            <w:r w:rsidR="006F6193">
              <w:rPr>
                <w:noProof/>
                <w:webHidden/>
              </w:rPr>
              <w:t>7</w:t>
            </w:r>
            <w:r w:rsidR="006823AD" w:rsidRPr="00FB04DE">
              <w:rPr>
                <w:noProof/>
                <w:webHidden/>
              </w:rPr>
              <w:fldChar w:fldCharType="end"/>
            </w:r>
          </w:hyperlink>
        </w:p>
        <w:p w14:paraId="35E4483B"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08" w:history="1">
            <w:r w:rsidR="006823AD" w:rsidRPr="00FB04DE">
              <w:rPr>
                <w:rStyle w:val="Hipervnculo"/>
                <w:noProof/>
              </w:rPr>
              <w:t>PRIMERO. Competencia</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_Toc210313308 \h </w:instrText>
            </w:r>
            <w:r w:rsidR="006823AD" w:rsidRPr="00FB04DE">
              <w:rPr>
                <w:noProof/>
                <w:webHidden/>
              </w:rPr>
            </w:r>
            <w:r w:rsidR="006823AD" w:rsidRPr="00FB04DE">
              <w:rPr>
                <w:noProof/>
                <w:webHidden/>
              </w:rPr>
              <w:fldChar w:fldCharType="separate"/>
            </w:r>
            <w:r w:rsidR="006F6193">
              <w:rPr>
                <w:noProof/>
                <w:webHidden/>
              </w:rPr>
              <w:t>7</w:t>
            </w:r>
            <w:r w:rsidR="006823AD" w:rsidRPr="00FB04DE">
              <w:rPr>
                <w:noProof/>
                <w:webHidden/>
              </w:rPr>
              <w:fldChar w:fldCharType="end"/>
            </w:r>
          </w:hyperlink>
        </w:p>
        <w:p w14:paraId="11B3BF6D"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09" w:history="1">
            <w:r w:rsidR="006823AD" w:rsidRPr="00FB04DE">
              <w:rPr>
                <w:rStyle w:val="Hipervnculo"/>
                <w:noProof/>
              </w:rPr>
              <w:t>SEGUNDO. Causales de improcedencia</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_Toc210313309 \h </w:instrText>
            </w:r>
            <w:r w:rsidR="006823AD" w:rsidRPr="00FB04DE">
              <w:rPr>
                <w:noProof/>
                <w:webHidden/>
              </w:rPr>
            </w:r>
            <w:r w:rsidR="006823AD" w:rsidRPr="00FB04DE">
              <w:rPr>
                <w:noProof/>
                <w:webHidden/>
              </w:rPr>
              <w:fldChar w:fldCharType="separate"/>
            </w:r>
            <w:r w:rsidR="006F6193">
              <w:rPr>
                <w:noProof/>
                <w:webHidden/>
              </w:rPr>
              <w:t>8</w:t>
            </w:r>
            <w:r w:rsidR="006823AD" w:rsidRPr="00FB04DE">
              <w:rPr>
                <w:noProof/>
                <w:webHidden/>
              </w:rPr>
              <w:fldChar w:fldCharType="end"/>
            </w:r>
          </w:hyperlink>
        </w:p>
        <w:p w14:paraId="37C370B8" w14:textId="77777777" w:rsidR="006823AD" w:rsidRPr="00FB04DE" w:rsidRDefault="00094D3C">
          <w:pPr>
            <w:pStyle w:val="TDC2"/>
            <w:tabs>
              <w:tab w:val="right" w:leader="dot" w:pos="9204"/>
            </w:tabs>
            <w:rPr>
              <w:rFonts w:asciiTheme="minorHAnsi" w:eastAsiaTheme="minorEastAsia" w:hAnsiTheme="minorHAnsi" w:cstheme="minorBidi"/>
              <w:noProof/>
            </w:rPr>
          </w:pPr>
          <w:hyperlink w:anchor="_Toc210313310" w:history="1">
            <w:r w:rsidR="006823AD" w:rsidRPr="00FB04DE">
              <w:rPr>
                <w:rStyle w:val="Hipervnculo"/>
                <w:noProof/>
              </w:rPr>
              <w:t>TERCERO. Decisión</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_Toc210313310 \h </w:instrText>
            </w:r>
            <w:r w:rsidR="006823AD" w:rsidRPr="00FB04DE">
              <w:rPr>
                <w:noProof/>
                <w:webHidden/>
              </w:rPr>
            </w:r>
            <w:r w:rsidR="006823AD" w:rsidRPr="00FB04DE">
              <w:rPr>
                <w:noProof/>
                <w:webHidden/>
              </w:rPr>
              <w:fldChar w:fldCharType="separate"/>
            </w:r>
            <w:r w:rsidR="006F6193">
              <w:rPr>
                <w:noProof/>
                <w:webHidden/>
              </w:rPr>
              <w:t>19</w:t>
            </w:r>
            <w:r w:rsidR="006823AD" w:rsidRPr="00FB04DE">
              <w:rPr>
                <w:noProof/>
                <w:webHidden/>
              </w:rPr>
              <w:fldChar w:fldCharType="end"/>
            </w:r>
          </w:hyperlink>
        </w:p>
        <w:p w14:paraId="5FC81E8E" w14:textId="77777777" w:rsidR="006823AD" w:rsidRPr="00FB04DE" w:rsidRDefault="00094D3C">
          <w:pPr>
            <w:pStyle w:val="TDC1"/>
            <w:tabs>
              <w:tab w:val="right" w:leader="dot" w:pos="9204"/>
            </w:tabs>
            <w:rPr>
              <w:rFonts w:asciiTheme="minorHAnsi" w:eastAsiaTheme="minorEastAsia" w:hAnsiTheme="minorHAnsi" w:cstheme="minorBidi"/>
              <w:noProof/>
            </w:rPr>
          </w:pPr>
          <w:hyperlink w:anchor="_Toc210313311" w:history="1">
            <w:r w:rsidR="006823AD" w:rsidRPr="00FB04DE">
              <w:rPr>
                <w:rStyle w:val="Hipervnculo"/>
                <w:noProof/>
              </w:rPr>
              <w:t>R E S U E L V E</w:t>
            </w:r>
            <w:r w:rsidR="006823AD" w:rsidRPr="00FB04DE">
              <w:rPr>
                <w:noProof/>
                <w:webHidden/>
              </w:rPr>
              <w:tab/>
            </w:r>
            <w:r w:rsidR="006823AD" w:rsidRPr="00FB04DE">
              <w:rPr>
                <w:noProof/>
                <w:webHidden/>
              </w:rPr>
              <w:fldChar w:fldCharType="begin"/>
            </w:r>
            <w:r w:rsidR="006823AD" w:rsidRPr="00FB04DE">
              <w:rPr>
                <w:noProof/>
                <w:webHidden/>
              </w:rPr>
              <w:instrText xml:space="preserve"> PAGEREF _Toc210313311 \h </w:instrText>
            </w:r>
            <w:r w:rsidR="006823AD" w:rsidRPr="00FB04DE">
              <w:rPr>
                <w:noProof/>
                <w:webHidden/>
              </w:rPr>
            </w:r>
            <w:r w:rsidR="006823AD" w:rsidRPr="00FB04DE">
              <w:rPr>
                <w:noProof/>
                <w:webHidden/>
              </w:rPr>
              <w:fldChar w:fldCharType="separate"/>
            </w:r>
            <w:r w:rsidR="006F6193">
              <w:rPr>
                <w:noProof/>
                <w:webHidden/>
              </w:rPr>
              <w:t>20</w:t>
            </w:r>
            <w:r w:rsidR="006823AD" w:rsidRPr="00FB04DE">
              <w:rPr>
                <w:noProof/>
                <w:webHidden/>
              </w:rPr>
              <w:fldChar w:fldCharType="end"/>
            </w:r>
          </w:hyperlink>
        </w:p>
        <w:p w14:paraId="5857CE0A" w14:textId="1B491404" w:rsidR="006823AD" w:rsidRPr="00FB04DE" w:rsidRDefault="006823AD">
          <w:r w:rsidRPr="00FB04DE">
            <w:rPr>
              <w:b/>
              <w:bCs/>
              <w:lang w:val="es-ES"/>
            </w:rPr>
            <w:fldChar w:fldCharType="end"/>
          </w:r>
        </w:p>
      </w:sdtContent>
    </w:sdt>
    <w:p w14:paraId="628251C1" w14:textId="77777777" w:rsidR="008D4D06" w:rsidRPr="00FB04DE" w:rsidRDefault="0070022B">
      <w:pPr>
        <w:spacing w:after="0" w:line="360" w:lineRule="auto"/>
      </w:pPr>
      <w:r w:rsidRPr="00FB04DE">
        <w:br w:type="page"/>
      </w:r>
    </w:p>
    <w:p w14:paraId="2EA593AB" w14:textId="77777777" w:rsidR="008D4D06" w:rsidRPr="00FB04DE" w:rsidRDefault="0070022B">
      <w:pPr>
        <w:spacing w:after="0" w:line="360" w:lineRule="auto"/>
      </w:pPr>
      <w:r w:rsidRPr="00FB04DE">
        <w:lastRenderedPageBreak/>
        <w:t>Resolución del Pleno del Instituto de Transparencia, Acceso a la Información Pública y Protección de Datos Personales del Estado de México y Municipios, con domicilio en Metepec, Estado de México, de fecha primero de octubre de dos mil veinticinco.</w:t>
      </w:r>
    </w:p>
    <w:p w14:paraId="211EDE91" w14:textId="77777777" w:rsidR="008D4D06" w:rsidRPr="00FB04DE" w:rsidRDefault="008D4D06">
      <w:pPr>
        <w:spacing w:after="0" w:line="360" w:lineRule="auto"/>
        <w:rPr>
          <w:b/>
        </w:rPr>
      </w:pPr>
    </w:p>
    <w:p w14:paraId="384D132E" w14:textId="2CE58804" w:rsidR="008D4D06" w:rsidRPr="00FB04DE" w:rsidRDefault="0070022B">
      <w:pPr>
        <w:spacing w:after="0" w:line="360" w:lineRule="auto"/>
      </w:pPr>
      <w:r w:rsidRPr="00FB04DE">
        <w:rPr>
          <w:b/>
        </w:rPr>
        <w:t>VISTO</w:t>
      </w:r>
      <w:r w:rsidRPr="00FB04DE">
        <w:t xml:space="preserve"> el expediente conformado con motivo del Recurso de Revisión </w:t>
      </w:r>
      <w:r w:rsidRPr="00E92FDB">
        <w:rPr>
          <w:b/>
          <w:bCs/>
        </w:rPr>
        <w:t>09436/INFOEM/IP/RR/2025</w:t>
      </w:r>
      <w:r w:rsidRPr="00FB04DE">
        <w:rPr>
          <w:bCs/>
        </w:rPr>
        <w:t xml:space="preserve">, interpuesto por la persona Recurrente o Particular, en contra de la respuesta del Sujeto Obligado, </w:t>
      </w:r>
      <w:r w:rsidRPr="00E92FDB">
        <w:rPr>
          <w:b/>
          <w:bCs/>
        </w:rPr>
        <w:t xml:space="preserve">Ayuntamiento de </w:t>
      </w:r>
      <w:proofErr w:type="spellStart"/>
      <w:r w:rsidRPr="00E92FDB">
        <w:rPr>
          <w:b/>
          <w:bCs/>
        </w:rPr>
        <w:t>Juchitepec</w:t>
      </w:r>
      <w:proofErr w:type="spellEnd"/>
      <w:r w:rsidRPr="00FB04DE">
        <w:rPr>
          <w:bCs/>
        </w:rPr>
        <w:t>, se emite la</w:t>
      </w:r>
      <w:r w:rsidRPr="00FB04DE">
        <w:t xml:space="preserve"> presente Resolución, con base en los antecedentes y considerandos que se exponen a continuación:</w:t>
      </w:r>
    </w:p>
    <w:p w14:paraId="7FE58F84" w14:textId="77777777" w:rsidR="008D4D06" w:rsidRPr="00FB04DE" w:rsidRDefault="008D4D06">
      <w:pPr>
        <w:spacing w:after="0" w:line="360" w:lineRule="auto"/>
      </w:pPr>
    </w:p>
    <w:p w14:paraId="24BFC9EB" w14:textId="77777777" w:rsidR="008D4D06" w:rsidRPr="00FB04DE" w:rsidRDefault="0070022B">
      <w:pPr>
        <w:pStyle w:val="Ttulo1"/>
        <w:spacing w:before="0" w:after="0"/>
        <w:rPr>
          <w:sz w:val="22"/>
          <w:szCs w:val="22"/>
        </w:rPr>
      </w:pPr>
      <w:bookmarkStart w:id="0" w:name="_Toc210313302"/>
      <w:r w:rsidRPr="00FB04DE">
        <w:rPr>
          <w:sz w:val="22"/>
          <w:szCs w:val="22"/>
        </w:rPr>
        <w:t>A N T E C E D E N T E S</w:t>
      </w:r>
      <w:bookmarkEnd w:id="0"/>
    </w:p>
    <w:p w14:paraId="6CB205B9" w14:textId="77777777" w:rsidR="008D4D06" w:rsidRPr="00FB04DE" w:rsidRDefault="008D4D06">
      <w:pPr>
        <w:spacing w:after="0" w:line="360" w:lineRule="auto"/>
      </w:pPr>
      <w:bookmarkStart w:id="1" w:name="_heading=h.gjdgxs" w:colFirst="0" w:colLast="0"/>
      <w:bookmarkEnd w:id="1"/>
    </w:p>
    <w:p w14:paraId="049283BF" w14:textId="77777777" w:rsidR="008D4D06" w:rsidRPr="00FB04DE" w:rsidRDefault="0070022B">
      <w:pPr>
        <w:pStyle w:val="Ttulo2"/>
        <w:spacing w:before="0" w:after="0"/>
      </w:pPr>
      <w:bookmarkStart w:id="2" w:name="_Toc210313303"/>
      <w:r w:rsidRPr="00FB04DE">
        <w:t>I. Presentación de la solicitud de información</w:t>
      </w:r>
      <w:bookmarkEnd w:id="2"/>
    </w:p>
    <w:p w14:paraId="03D4DB55" w14:textId="77777777" w:rsidR="008D4D06" w:rsidRPr="00FB04DE" w:rsidRDefault="008D4D06">
      <w:pPr>
        <w:tabs>
          <w:tab w:val="left" w:pos="567"/>
        </w:tabs>
        <w:spacing w:after="0" w:line="360" w:lineRule="auto"/>
      </w:pPr>
    </w:p>
    <w:p w14:paraId="17EEEE0D" w14:textId="77777777" w:rsidR="008D4D06" w:rsidRPr="00FB04DE" w:rsidRDefault="0070022B">
      <w:pPr>
        <w:spacing w:after="0" w:line="360" w:lineRule="auto"/>
      </w:pPr>
      <w:r w:rsidRPr="00FB04DE">
        <w:t xml:space="preserve">Con fecha veintiuno de julio de dos mil veinticinco, la parte Solicitante presentó una solicitud de acceso a la información pública, a través del Sistema de Acceso a la Información Mexiquense, en lo sucesivo el SAIMEX; que se radicó el cuatro de agosto del mismo año, al tratarse del día siguiente hábil de conformidad con el calendario emitido por este Organismo Garante; ante el </w:t>
      </w:r>
      <w:r w:rsidRPr="00FB04DE">
        <w:rPr>
          <w:b/>
        </w:rPr>
        <w:t xml:space="preserve">Ayuntamiento de </w:t>
      </w:r>
      <w:proofErr w:type="spellStart"/>
      <w:r w:rsidRPr="00FB04DE">
        <w:rPr>
          <w:b/>
        </w:rPr>
        <w:t>Juchitepec</w:t>
      </w:r>
      <w:proofErr w:type="spellEnd"/>
      <w:r w:rsidRPr="00FB04DE">
        <w:t>, en la que requirió lo siguiente:</w:t>
      </w:r>
    </w:p>
    <w:p w14:paraId="442F159B" w14:textId="77777777" w:rsidR="008D4D06" w:rsidRPr="00FB04DE" w:rsidRDefault="008D4D06">
      <w:pPr>
        <w:spacing w:after="0" w:line="360" w:lineRule="auto"/>
      </w:pPr>
    </w:p>
    <w:p w14:paraId="5D5CAD94" w14:textId="77777777" w:rsidR="008D4D06" w:rsidRPr="00FB04DE" w:rsidRDefault="0070022B">
      <w:pPr>
        <w:tabs>
          <w:tab w:val="left" w:pos="567"/>
        </w:tabs>
        <w:spacing w:after="0" w:line="360" w:lineRule="auto"/>
        <w:ind w:left="567" w:right="709"/>
        <w:rPr>
          <w:b/>
          <w:sz w:val="20"/>
          <w:szCs w:val="20"/>
        </w:rPr>
      </w:pPr>
      <w:r w:rsidRPr="00FB04DE">
        <w:rPr>
          <w:b/>
          <w:sz w:val="20"/>
          <w:szCs w:val="20"/>
        </w:rPr>
        <w:t>Folio de la solicitud: 00304/JUCHITE/IP/2025</w:t>
      </w:r>
    </w:p>
    <w:p w14:paraId="477BF18A" w14:textId="77777777" w:rsidR="008D4D06" w:rsidRPr="00FB04DE" w:rsidRDefault="0070022B">
      <w:pPr>
        <w:tabs>
          <w:tab w:val="left" w:pos="567"/>
        </w:tabs>
        <w:spacing w:after="0" w:line="360" w:lineRule="auto"/>
        <w:ind w:left="567" w:right="709"/>
        <w:rPr>
          <w:b/>
          <w:sz w:val="20"/>
          <w:szCs w:val="20"/>
        </w:rPr>
      </w:pPr>
      <w:r w:rsidRPr="00FB04DE">
        <w:rPr>
          <w:b/>
          <w:sz w:val="20"/>
          <w:szCs w:val="20"/>
        </w:rPr>
        <w:t>DESCRIPCIÓN CLARA Y PRECISA DE LA INFORMACIÓN SOLICITADA</w:t>
      </w:r>
    </w:p>
    <w:p w14:paraId="78EE0EC0" w14:textId="77777777" w:rsidR="008D4D06" w:rsidRPr="00FB04DE" w:rsidRDefault="0070022B">
      <w:pPr>
        <w:tabs>
          <w:tab w:val="left" w:pos="4667"/>
        </w:tabs>
        <w:spacing w:after="0" w:line="360" w:lineRule="auto"/>
        <w:ind w:left="567" w:right="709"/>
        <w:rPr>
          <w:i/>
          <w:sz w:val="20"/>
          <w:szCs w:val="20"/>
        </w:rPr>
      </w:pPr>
      <w:r w:rsidRPr="00FB04DE">
        <w:rPr>
          <w:i/>
          <w:sz w:val="20"/>
          <w:szCs w:val="20"/>
        </w:rPr>
        <w:t xml:space="preserve">“porque la "directora" de </w:t>
      </w:r>
      <w:proofErr w:type="spellStart"/>
      <w:r w:rsidRPr="00FB04DE">
        <w:rPr>
          <w:i/>
          <w:sz w:val="20"/>
          <w:szCs w:val="20"/>
        </w:rPr>
        <w:t>comunicacion</w:t>
      </w:r>
      <w:proofErr w:type="spellEnd"/>
      <w:r w:rsidRPr="00FB04DE">
        <w:rPr>
          <w:i/>
          <w:sz w:val="20"/>
          <w:szCs w:val="20"/>
        </w:rPr>
        <w:t xml:space="preserve"> social no se presenta en los eventos a la toma de </w:t>
      </w:r>
      <w:proofErr w:type="spellStart"/>
      <w:r w:rsidRPr="00FB04DE">
        <w:rPr>
          <w:i/>
          <w:sz w:val="20"/>
          <w:szCs w:val="20"/>
        </w:rPr>
        <w:t>fotografias</w:t>
      </w:r>
      <w:proofErr w:type="spellEnd"/>
      <w:r w:rsidRPr="00FB04DE">
        <w:rPr>
          <w:i/>
          <w:sz w:val="20"/>
          <w:szCs w:val="20"/>
        </w:rPr>
        <w:t xml:space="preserve"> y porque pide que las </w:t>
      </w:r>
      <w:proofErr w:type="spellStart"/>
      <w:r w:rsidRPr="00FB04DE">
        <w:rPr>
          <w:i/>
          <w:sz w:val="20"/>
          <w:szCs w:val="20"/>
        </w:rPr>
        <w:t>areas</w:t>
      </w:r>
      <w:proofErr w:type="spellEnd"/>
      <w:r w:rsidRPr="00FB04DE">
        <w:rPr>
          <w:i/>
          <w:sz w:val="20"/>
          <w:szCs w:val="20"/>
        </w:rPr>
        <w:t xml:space="preserve"> hagan su trabajo relacionado con la toma de fotos. Aclarar porque es la encargada del </w:t>
      </w:r>
      <w:proofErr w:type="spellStart"/>
      <w:r w:rsidRPr="00FB04DE">
        <w:rPr>
          <w:i/>
          <w:sz w:val="20"/>
          <w:szCs w:val="20"/>
        </w:rPr>
        <w:t>area</w:t>
      </w:r>
      <w:proofErr w:type="spellEnd"/>
      <w:r w:rsidRPr="00FB04DE">
        <w:rPr>
          <w:i/>
          <w:sz w:val="20"/>
          <w:szCs w:val="20"/>
        </w:rPr>
        <w:t xml:space="preserve"> cuando no cumple con el perfil requerido, mostrar horarios de entrada y salida del personal del </w:t>
      </w:r>
      <w:proofErr w:type="spellStart"/>
      <w:r w:rsidRPr="00FB04DE">
        <w:rPr>
          <w:i/>
          <w:sz w:val="20"/>
          <w:szCs w:val="20"/>
        </w:rPr>
        <w:t>area</w:t>
      </w:r>
      <w:proofErr w:type="spellEnd"/>
      <w:r w:rsidRPr="00FB04DE">
        <w:rPr>
          <w:i/>
          <w:sz w:val="20"/>
          <w:szCs w:val="20"/>
        </w:rPr>
        <w:t xml:space="preserve">, aclarar </w:t>
      </w:r>
      <w:proofErr w:type="spellStart"/>
      <w:r w:rsidRPr="00FB04DE">
        <w:rPr>
          <w:i/>
          <w:sz w:val="20"/>
          <w:szCs w:val="20"/>
        </w:rPr>
        <w:t>cual</w:t>
      </w:r>
      <w:proofErr w:type="spellEnd"/>
      <w:r w:rsidRPr="00FB04DE">
        <w:rPr>
          <w:i/>
          <w:sz w:val="20"/>
          <w:szCs w:val="20"/>
        </w:rPr>
        <w:t xml:space="preserve"> es el motivo por el cual llega siempre tarde a la oficina, ya que se le ha ido a buscar y su secretaria dice que no ha llegado siendo </w:t>
      </w:r>
      <w:proofErr w:type="spellStart"/>
      <w:r w:rsidRPr="00FB04DE">
        <w:rPr>
          <w:i/>
          <w:sz w:val="20"/>
          <w:szCs w:val="20"/>
        </w:rPr>
        <w:t>mas</w:t>
      </w:r>
      <w:proofErr w:type="spellEnd"/>
      <w:r w:rsidRPr="00FB04DE">
        <w:rPr>
          <w:i/>
          <w:sz w:val="20"/>
          <w:szCs w:val="20"/>
        </w:rPr>
        <w:t xml:space="preserve"> de las 9:00 am” (Sic.)</w:t>
      </w:r>
    </w:p>
    <w:p w14:paraId="5FB8D0DC" w14:textId="77777777" w:rsidR="008D4D06" w:rsidRPr="00FB04DE" w:rsidRDefault="008D4D06">
      <w:pPr>
        <w:tabs>
          <w:tab w:val="left" w:pos="4667"/>
        </w:tabs>
        <w:spacing w:after="0" w:line="360" w:lineRule="auto"/>
        <w:ind w:left="567" w:right="709"/>
        <w:rPr>
          <w:b/>
          <w:sz w:val="20"/>
          <w:szCs w:val="20"/>
        </w:rPr>
      </w:pPr>
    </w:p>
    <w:p w14:paraId="50318487" w14:textId="77777777" w:rsidR="008D4D06" w:rsidRPr="00FB04DE" w:rsidRDefault="0070022B">
      <w:pPr>
        <w:tabs>
          <w:tab w:val="left" w:pos="4667"/>
        </w:tabs>
        <w:spacing w:after="0" w:line="360" w:lineRule="auto"/>
        <w:ind w:left="567" w:right="709"/>
        <w:rPr>
          <w:b/>
          <w:sz w:val="20"/>
          <w:szCs w:val="20"/>
        </w:rPr>
      </w:pPr>
      <w:r w:rsidRPr="00FB04DE">
        <w:rPr>
          <w:b/>
          <w:sz w:val="20"/>
          <w:szCs w:val="20"/>
        </w:rPr>
        <w:lastRenderedPageBreak/>
        <w:t xml:space="preserve">MODALIDAD DE ENTREGA </w:t>
      </w:r>
      <w:r w:rsidRPr="00FB04DE">
        <w:rPr>
          <w:i/>
          <w:sz w:val="20"/>
          <w:szCs w:val="20"/>
        </w:rPr>
        <w:t>“A través del SAIMEX.”</w:t>
      </w:r>
    </w:p>
    <w:p w14:paraId="16B60B82" w14:textId="77777777" w:rsidR="008D4D06" w:rsidRPr="00FB04DE" w:rsidRDefault="008D4D06">
      <w:pPr>
        <w:tabs>
          <w:tab w:val="left" w:pos="4667"/>
        </w:tabs>
        <w:spacing w:after="0" w:line="360" w:lineRule="auto"/>
        <w:ind w:right="709"/>
        <w:rPr>
          <w:i/>
        </w:rPr>
      </w:pPr>
    </w:p>
    <w:p w14:paraId="60E4333F" w14:textId="77777777" w:rsidR="008D4D06" w:rsidRPr="00FB04DE" w:rsidRDefault="0070022B">
      <w:pPr>
        <w:pStyle w:val="Ttulo2"/>
        <w:spacing w:before="0" w:after="0"/>
      </w:pPr>
      <w:bookmarkStart w:id="3" w:name="_Toc210313304"/>
      <w:r w:rsidRPr="00FB04DE">
        <w:t>II. Respuesta del Sujeto Obligado</w:t>
      </w:r>
      <w:bookmarkEnd w:id="3"/>
    </w:p>
    <w:p w14:paraId="2D8EDA7E" w14:textId="77777777" w:rsidR="008D4D06" w:rsidRPr="00FB04DE" w:rsidRDefault="008D4D06">
      <w:pPr>
        <w:spacing w:after="0" w:line="360" w:lineRule="auto"/>
      </w:pPr>
    </w:p>
    <w:p w14:paraId="5C60EF1C" w14:textId="77777777" w:rsidR="008D4D06" w:rsidRPr="00FB04DE" w:rsidRDefault="0070022B">
      <w:pPr>
        <w:spacing w:after="0" w:line="360" w:lineRule="auto"/>
      </w:pPr>
      <w:r w:rsidRPr="00FB04DE">
        <w:t>El siete de agosto de dos mil veinticinco, el Sujeto Obligado a través de SAIMEX, dio respuesta, en los siguientes términos:</w:t>
      </w:r>
    </w:p>
    <w:p w14:paraId="0DC1EF20" w14:textId="77777777" w:rsidR="008D4D06" w:rsidRPr="00FB04DE" w:rsidRDefault="008D4D06">
      <w:pPr>
        <w:spacing w:after="0" w:line="360" w:lineRule="auto"/>
      </w:pPr>
    </w:p>
    <w:p w14:paraId="63FF4BF4" w14:textId="77777777" w:rsidR="008D4D06" w:rsidRPr="00FB04DE" w:rsidRDefault="0070022B">
      <w:pPr>
        <w:numPr>
          <w:ilvl w:val="0"/>
          <w:numId w:val="1"/>
        </w:numPr>
        <w:pBdr>
          <w:top w:val="nil"/>
          <w:left w:val="nil"/>
          <w:bottom w:val="nil"/>
          <w:right w:val="nil"/>
          <w:between w:val="nil"/>
        </w:pBdr>
        <w:spacing w:after="0" w:line="360" w:lineRule="auto"/>
        <w:rPr>
          <w:color w:val="000000"/>
        </w:rPr>
      </w:pPr>
      <w:r w:rsidRPr="00FB04DE">
        <w:rPr>
          <w:color w:val="000000"/>
        </w:rPr>
        <w:t>Oficio suscrito por la Encargada de Comunicación Social y Gobierno Digital, en el que informó lo siguiente:</w:t>
      </w:r>
    </w:p>
    <w:p w14:paraId="5411CBB9" w14:textId="77777777" w:rsidR="008D4D06" w:rsidRPr="00FB04DE" w:rsidRDefault="008D4D06">
      <w:pPr>
        <w:pBdr>
          <w:top w:val="nil"/>
          <w:left w:val="nil"/>
          <w:bottom w:val="nil"/>
          <w:right w:val="nil"/>
          <w:between w:val="nil"/>
        </w:pBdr>
        <w:spacing w:after="0" w:line="360" w:lineRule="auto"/>
      </w:pPr>
    </w:p>
    <w:p w14:paraId="49C14A41" w14:textId="77777777" w:rsidR="008D4D06" w:rsidRPr="00FB04DE" w:rsidRDefault="0070022B">
      <w:pPr>
        <w:pBdr>
          <w:top w:val="nil"/>
          <w:left w:val="nil"/>
          <w:bottom w:val="nil"/>
          <w:right w:val="nil"/>
          <w:between w:val="nil"/>
        </w:pBdr>
        <w:spacing w:after="0" w:line="360" w:lineRule="auto"/>
        <w:ind w:left="567" w:right="709"/>
        <w:rPr>
          <w:i/>
          <w:sz w:val="20"/>
          <w:szCs w:val="20"/>
        </w:rPr>
      </w:pPr>
      <w:r w:rsidRPr="00FB04DE">
        <w:rPr>
          <w:i/>
          <w:sz w:val="20"/>
          <w:szCs w:val="20"/>
        </w:rPr>
        <w:t xml:space="preserve">“El Manual de Procedimientos de la Coordinación de Comunicación Social y Gobierno Digital establece los procesos que deben seguir las distintas dependencias de la Administración Municipal 2025-2027 para solicitar la toma de evidencia fotográfica. Toda solicitud realizada conforme a las políticas descritas en dicho manual es atendida personalmente por mí o, en su caso, por el personal a mi cargo. </w:t>
      </w:r>
    </w:p>
    <w:p w14:paraId="174A757C" w14:textId="77777777" w:rsidR="008D4D06" w:rsidRPr="00FB04DE" w:rsidRDefault="0070022B">
      <w:pPr>
        <w:pBdr>
          <w:top w:val="nil"/>
          <w:left w:val="nil"/>
          <w:bottom w:val="nil"/>
          <w:right w:val="nil"/>
          <w:between w:val="nil"/>
        </w:pBdr>
        <w:spacing w:after="0" w:line="360" w:lineRule="auto"/>
        <w:ind w:left="567" w:right="709"/>
        <w:rPr>
          <w:i/>
          <w:sz w:val="20"/>
          <w:szCs w:val="20"/>
        </w:rPr>
      </w:pPr>
      <w:r w:rsidRPr="00FB04DE">
        <w:rPr>
          <w:i/>
          <w:sz w:val="20"/>
          <w:szCs w:val="20"/>
        </w:rPr>
        <w:t xml:space="preserve">Por otra parte, si alguna dependencia decide capturar sus propias fotografías y desea que estas se difundan a través de la página oficial de Facebook, debe enviar el material acompañado de los formatos establecidos en el Manual de Procedimientos. </w:t>
      </w:r>
    </w:p>
    <w:p w14:paraId="1E89CFAB" w14:textId="77777777" w:rsidR="008D4D06" w:rsidRPr="00FB04DE" w:rsidRDefault="0070022B">
      <w:pPr>
        <w:pBdr>
          <w:top w:val="nil"/>
          <w:left w:val="nil"/>
          <w:bottom w:val="nil"/>
          <w:right w:val="nil"/>
          <w:between w:val="nil"/>
        </w:pBdr>
        <w:spacing w:after="0" w:line="360" w:lineRule="auto"/>
        <w:ind w:left="567" w:right="709"/>
        <w:rPr>
          <w:i/>
          <w:sz w:val="20"/>
          <w:szCs w:val="20"/>
        </w:rPr>
      </w:pPr>
      <w:r w:rsidRPr="00FB04DE">
        <w:rPr>
          <w:i/>
          <w:sz w:val="20"/>
          <w:szCs w:val="20"/>
        </w:rPr>
        <w:t>Respecto al cuestionamiento relacionado con el cargo que desempeño como Encargada de Comunicación Social y Gobierno Digital, informo que no existe una ley que defina un perfil específico para ocupar dicha posición. No me encuentro inhabilitada para ejercer funciones como servidora pública. Además, conforme a lo dispuesto en el artículo 128, fracción VIII, de la Constitución Política del Estado Libre y Soberano de México, y en concordancia con el marco de los derechos humanos, las personas titulares de las áreas pueden ser nombradas y removidas libremente por el Ejecutivo Municipal.</w:t>
      </w:r>
    </w:p>
    <w:p w14:paraId="27F0A0C0" w14:textId="77777777" w:rsidR="008D4D06" w:rsidRPr="00FB04DE" w:rsidRDefault="0070022B">
      <w:pPr>
        <w:pBdr>
          <w:top w:val="nil"/>
          <w:left w:val="nil"/>
          <w:bottom w:val="nil"/>
          <w:right w:val="nil"/>
          <w:between w:val="nil"/>
        </w:pBdr>
        <w:spacing w:after="0" w:line="360" w:lineRule="auto"/>
        <w:ind w:left="567" w:right="709"/>
        <w:rPr>
          <w:b/>
          <w:i/>
          <w:sz w:val="20"/>
          <w:szCs w:val="20"/>
        </w:rPr>
      </w:pPr>
      <w:r w:rsidRPr="00FB04DE">
        <w:rPr>
          <w:b/>
          <w:i/>
          <w:sz w:val="20"/>
          <w:szCs w:val="20"/>
        </w:rPr>
        <w:t xml:space="preserve">Acerca de la consulta del horario de entrada y salida del personal del área comunico que los horarios oficiales son los siguientes: </w:t>
      </w:r>
    </w:p>
    <w:p w14:paraId="5553A01E" w14:textId="77777777" w:rsidR="008D4D06" w:rsidRPr="00FB04DE" w:rsidRDefault="0070022B">
      <w:pPr>
        <w:pBdr>
          <w:top w:val="nil"/>
          <w:left w:val="nil"/>
          <w:bottom w:val="nil"/>
          <w:right w:val="nil"/>
          <w:between w:val="nil"/>
        </w:pBdr>
        <w:spacing w:after="0" w:line="360" w:lineRule="auto"/>
        <w:ind w:left="567" w:right="709"/>
        <w:rPr>
          <w:b/>
          <w:i/>
          <w:sz w:val="20"/>
          <w:szCs w:val="20"/>
          <w:lang w:val="en-US"/>
        </w:rPr>
      </w:pPr>
      <w:r w:rsidRPr="00FB04DE">
        <w:rPr>
          <w:b/>
          <w:i/>
          <w:sz w:val="20"/>
          <w:szCs w:val="20"/>
          <w:lang w:val="en-US"/>
        </w:rPr>
        <w:t xml:space="preserve">Lunes a </w:t>
      </w:r>
      <w:proofErr w:type="spellStart"/>
      <w:r w:rsidRPr="00FB04DE">
        <w:rPr>
          <w:b/>
          <w:i/>
          <w:sz w:val="20"/>
          <w:szCs w:val="20"/>
          <w:lang w:val="en-US"/>
        </w:rPr>
        <w:t>viernes</w:t>
      </w:r>
      <w:proofErr w:type="spellEnd"/>
      <w:r w:rsidRPr="00FB04DE">
        <w:rPr>
          <w:b/>
          <w:i/>
          <w:sz w:val="20"/>
          <w:szCs w:val="20"/>
          <w:lang w:val="en-US"/>
        </w:rPr>
        <w:t xml:space="preserve">: 9:00 a.m. - 4:00 p.m. </w:t>
      </w:r>
    </w:p>
    <w:p w14:paraId="04328BD9" w14:textId="77777777" w:rsidR="008D4D06" w:rsidRPr="00FB04DE" w:rsidRDefault="0070022B">
      <w:pPr>
        <w:pBdr>
          <w:top w:val="nil"/>
          <w:left w:val="nil"/>
          <w:bottom w:val="nil"/>
          <w:right w:val="nil"/>
          <w:between w:val="nil"/>
        </w:pBdr>
        <w:spacing w:after="0" w:line="360" w:lineRule="auto"/>
        <w:ind w:left="567" w:right="709"/>
        <w:rPr>
          <w:b/>
          <w:i/>
          <w:sz w:val="20"/>
          <w:szCs w:val="20"/>
          <w:lang w:val="en-US"/>
        </w:rPr>
      </w:pPr>
      <w:proofErr w:type="spellStart"/>
      <w:r w:rsidRPr="00FB04DE">
        <w:rPr>
          <w:b/>
          <w:i/>
          <w:sz w:val="20"/>
          <w:szCs w:val="20"/>
          <w:lang w:val="en-US"/>
        </w:rPr>
        <w:lastRenderedPageBreak/>
        <w:t>Sábados</w:t>
      </w:r>
      <w:proofErr w:type="spellEnd"/>
      <w:r w:rsidRPr="00FB04DE">
        <w:rPr>
          <w:b/>
          <w:i/>
          <w:sz w:val="20"/>
          <w:szCs w:val="20"/>
          <w:lang w:val="en-US"/>
        </w:rPr>
        <w:t xml:space="preserve">: 9:00 a.m. - 1:00 p.m. </w:t>
      </w:r>
    </w:p>
    <w:p w14:paraId="222BBB5B" w14:textId="77777777" w:rsidR="008D4D06" w:rsidRPr="00FB04DE" w:rsidRDefault="0070022B">
      <w:pPr>
        <w:pBdr>
          <w:top w:val="nil"/>
          <w:left w:val="nil"/>
          <w:bottom w:val="nil"/>
          <w:right w:val="nil"/>
          <w:between w:val="nil"/>
        </w:pBdr>
        <w:spacing w:after="0" w:line="360" w:lineRule="auto"/>
        <w:ind w:left="567" w:right="709"/>
        <w:rPr>
          <w:i/>
          <w:sz w:val="20"/>
          <w:szCs w:val="20"/>
        </w:rPr>
      </w:pPr>
      <w:r w:rsidRPr="00FB04DE">
        <w:rPr>
          <w:i/>
          <w:sz w:val="20"/>
          <w:szCs w:val="20"/>
        </w:rPr>
        <w:t xml:space="preserve">Sin embargo, esta Coordinación cumple con todas las actividades que el Ejecutivo Municipal determine, incluso aquellas que se realizan fuera del horario o de los días laborales establecidos. En ese sentido, los lunes y miércoles se llevan a cabo Audiencias Públicas en la cabecera municipal, y los jueves en la delegación de </w:t>
      </w:r>
      <w:proofErr w:type="spellStart"/>
      <w:r w:rsidRPr="00FB04DE">
        <w:rPr>
          <w:i/>
          <w:sz w:val="20"/>
          <w:szCs w:val="20"/>
        </w:rPr>
        <w:t>Cuijingo</w:t>
      </w:r>
      <w:proofErr w:type="spellEnd"/>
      <w:r w:rsidRPr="00FB04DE">
        <w:rPr>
          <w:i/>
          <w:sz w:val="20"/>
          <w:szCs w:val="20"/>
        </w:rPr>
        <w:t xml:space="preserve">. Por esta razón, durante dichos días mi jornada inicia a las 6:00 a.m., ya que debo asistir a dichas actividades. Una vez concluida la audiencia, el Ejecutivo Municipal me autoriza disponer de un tiempo para tomar alimentos antes de reincorporarme a mis funciones. En algunas ocasiones, también acompaño al presidente Municipal para cubrir actividades adicionales que requieren registro fotográfico. </w:t>
      </w:r>
    </w:p>
    <w:p w14:paraId="02BF5C64" w14:textId="77777777" w:rsidR="008D4D06" w:rsidRPr="00FB04DE" w:rsidRDefault="0070022B">
      <w:pPr>
        <w:pBdr>
          <w:top w:val="nil"/>
          <w:left w:val="nil"/>
          <w:bottom w:val="nil"/>
          <w:right w:val="nil"/>
          <w:between w:val="nil"/>
        </w:pBdr>
        <w:spacing w:after="0" w:line="360" w:lineRule="auto"/>
        <w:ind w:left="567" w:right="709"/>
        <w:rPr>
          <w:i/>
          <w:sz w:val="20"/>
          <w:szCs w:val="20"/>
        </w:rPr>
      </w:pPr>
      <w:r w:rsidRPr="00FB04DE">
        <w:rPr>
          <w:i/>
          <w:sz w:val="20"/>
          <w:szCs w:val="20"/>
        </w:rPr>
        <w:t xml:space="preserve">Por lo anterior, podría parecer que no me encuentro en la oficina, cuando en realidad estoy realizando labores en </w:t>
      </w:r>
      <w:proofErr w:type="spellStart"/>
      <w:r w:rsidRPr="00FB04DE">
        <w:rPr>
          <w:i/>
          <w:sz w:val="20"/>
          <w:szCs w:val="20"/>
        </w:rPr>
        <w:t>campо</w:t>
      </w:r>
      <w:proofErr w:type="spellEnd"/>
      <w:r w:rsidRPr="00FB04DE">
        <w:rPr>
          <w:i/>
          <w:sz w:val="20"/>
          <w:szCs w:val="20"/>
        </w:rPr>
        <w:t>.” (Énfasis añadido)</w:t>
      </w:r>
    </w:p>
    <w:p w14:paraId="02482300" w14:textId="77777777" w:rsidR="008D4D06" w:rsidRPr="00FB04DE" w:rsidRDefault="008D4D06">
      <w:pPr>
        <w:pBdr>
          <w:top w:val="nil"/>
          <w:left w:val="nil"/>
          <w:bottom w:val="nil"/>
          <w:right w:val="nil"/>
          <w:between w:val="nil"/>
        </w:pBdr>
        <w:spacing w:after="0" w:line="360" w:lineRule="auto"/>
        <w:ind w:right="709"/>
      </w:pPr>
    </w:p>
    <w:p w14:paraId="24737319" w14:textId="77777777" w:rsidR="008D4D06" w:rsidRPr="00FB04DE" w:rsidRDefault="0070022B">
      <w:pPr>
        <w:pStyle w:val="Ttulo2"/>
        <w:spacing w:before="0" w:after="0"/>
      </w:pPr>
      <w:bookmarkStart w:id="4" w:name="_Toc210313305"/>
      <w:r w:rsidRPr="00FB04DE">
        <w:t>III. Interposición del Recurso de Revisión</w:t>
      </w:r>
      <w:bookmarkEnd w:id="4"/>
    </w:p>
    <w:p w14:paraId="7C13441D" w14:textId="77777777" w:rsidR="008D4D06" w:rsidRPr="00FB04DE" w:rsidRDefault="008D4D06">
      <w:pPr>
        <w:spacing w:after="0" w:line="360" w:lineRule="auto"/>
        <w:rPr>
          <w:b/>
        </w:rPr>
      </w:pPr>
    </w:p>
    <w:p w14:paraId="0A291462" w14:textId="77777777" w:rsidR="008D4D06" w:rsidRPr="00FB04DE" w:rsidRDefault="0070022B">
      <w:pPr>
        <w:spacing w:after="0" w:line="360" w:lineRule="auto"/>
      </w:pPr>
      <w:bookmarkStart w:id="5" w:name="_heading=h.2et92p0" w:colFirst="0" w:colLast="0"/>
      <w:bookmarkEnd w:id="5"/>
      <w:r w:rsidRPr="00FB04DE">
        <w:t>Con fecha doce de agosto de dos mil veinticinco, se recibió en este Instituto, a través del SAIMEX, el Recurso de Revisión interpuesto por la persona Recurrente, en los siguientes términos:</w:t>
      </w:r>
    </w:p>
    <w:p w14:paraId="64FFB337" w14:textId="77777777" w:rsidR="008D4D06" w:rsidRPr="00FB04DE" w:rsidRDefault="008D4D06">
      <w:pPr>
        <w:spacing w:after="0" w:line="360" w:lineRule="auto"/>
      </w:pPr>
    </w:p>
    <w:p w14:paraId="408B26FD" w14:textId="77777777" w:rsidR="008D4D06" w:rsidRPr="00FB04DE" w:rsidRDefault="0070022B">
      <w:pPr>
        <w:spacing w:after="0" w:line="360" w:lineRule="auto"/>
        <w:ind w:left="567" w:right="709"/>
        <w:rPr>
          <w:b/>
          <w:sz w:val="20"/>
          <w:szCs w:val="20"/>
        </w:rPr>
      </w:pPr>
      <w:r w:rsidRPr="00FB04DE">
        <w:rPr>
          <w:b/>
          <w:sz w:val="20"/>
          <w:szCs w:val="20"/>
        </w:rPr>
        <w:t>ACTO IMPUGNADO</w:t>
      </w:r>
      <w:r w:rsidRPr="00FB04DE">
        <w:rPr>
          <w:b/>
          <w:sz w:val="20"/>
          <w:szCs w:val="20"/>
        </w:rPr>
        <w:tab/>
      </w:r>
    </w:p>
    <w:p w14:paraId="356381DE" w14:textId="77777777" w:rsidR="008D4D06" w:rsidRPr="00FB04DE" w:rsidRDefault="0070022B">
      <w:pPr>
        <w:spacing w:after="0" w:line="360" w:lineRule="auto"/>
        <w:ind w:left="567" w:right="709"/>
        <w:rPr>
          <w:i/>
          <w:sz w:val="20"/>
          <w:szCs w:val="20"/>
        </w:rPr>
      </w:pPr>
      <w:r w:rsidRPr="00FB04DE">
        <w:rPr>
          <w:i/>
          <w:sz w:val="20"/>
          <w:szCs w:val="20"/>
        </w:rPr>
        <w:t xml:space="preserve">“Por medio de la presente, me permito impugnar formalmente la respuesta emitida por María Fernanda Alonso Rodríguez, encargada del área de Comunicación Social y Gobierno Digital, en relación con la solicitud previamente dirigida a dicha oficina. En su contestación se afirma que no existe una ley que determine un perfil específico para estar al frente de dicha área, basándose en lo establecido en el manual de procedimientos. Esta afirmación, además de ambigua, resulta preocupante, ya que omite principios básicos de profesionalización del servicio público. Por ello, solicito de manera puntual: - Una copia íntegra del manual de procedimientos al que se hace referencia, debidamente avalado por la autoridad competente en fechas anteriores a la emisión de la respuesta, a fin de verificar que dicho documento estaba vigente y aplicable al momento de su uso como fundamento. - El nombramiento oficial de la actual encargada del área, así como los </w:t>
      </w:r>
      <w:r w:rsidRPr="00FB04DE">
        <w:rPr>
          <w:i/>
          <w:sz w:val="20"/>
          <w:szCs w:val="20"/>
        </w:rPr>
        <w:lastRenderedPageBreak/>
        <w:t xml:space="preserve">documentos que justifiquen su asignación al cargo, incluyendo cualquier respaldo institucional que avale su perfil para desempeñar funciones específicas en Comunicación Social. La persona actualmente encargada se encuentra cursando estudios en Ciencias Políticas, formación que, si bien puede aportar elementos generales sobre administración pública, no guarda relación directa ni técnica con las funciones propias del área de Comunicación Social y Gobierno Digital. Esta área requiere conocimientos especializados en comunicación institucional, redacción estratégica, diseño de campañas, análisis de métricas digitales, gestión de imagen pública, manejo de herramientas digitales, plataformas web, diseño gráfico, y comprensión de tecnologías emergentes aplicadas a la comunicación gubernamental. Además, el trabajo cotidiano exige habilidades prácticas como la revisión de conectividad, mantenimiento básico de equipos, configuración de herramientas digitales y solución de problemas técnicos menores. No se puede coordinar eficazmente si se desconoce cómo funcionan los recursos tecnológicos que se utilizan a diario. Dirigir esta área no es solo publicar contenido en redes sociales. Es construir una narrativa institucional sólida, proteger la imagen pública y fortalecer el vínculo entre gobierno y ciudadanía a través de medios digitales. Asignar esta responsabilidad a alguien sin el perfil adecuado limita el alcance del área y pone en riesgo la credibilidad institucional. Se ha indicado que el personal debe presentarse de lunes a viernes de 9:00 a 16:00 horas y los sábados de 9:00 a 13:00 horas. Sin embargo, se tiene conocimiento de que este horario no se respeta de manera regular. En múltiples ocasiones se ha acudido a la oficina durante el horario establecido y la encargada no se encuentra presente. Estas ausencias no están justificadas por actividades institucionales, sino por compromisos académicos personales. Lo más grave es que, durante estos lapsos, la oficina permanece completamente sola, sin personal que dé continuidad a las funciones institucionales, lo cual representa una falta grave en términos de responsabilidad administrativa. Por ello, solicito también: - Los registros de entrada y salida del personal adscrito al área de Comunicación Social y Gobierno Digital durante los últimos tres meses, obtenidos directamente de la hoja de asistencia, </w:t>
      </w:r>
      <w:proofErr w:type="spellStart"/>
      <w:r w:rsidRPr="00FB04DE">
        <w:rPr>
          <w:i/>
          <w:sz w:val="20"/>
          <w:szCs w:val="20"/>
        </w:rPr>
        <w:t>checador</w:t>
      </w:r>
      <w:proofErr w:type="spellEnd"/>
      <w:r w:rsidRPr="00FB04DE">
        <w:rPr>
          <w:i/>
          <w:sz w:val="20"/>
          <w:szCs w:val="20"/>
        </w:rPr>
        <w:t xml:space="preserve"> o del método que se utilice oficialmente como control de asistencia del personal, sin alteraciones ni versiones editadas. - Los reportes de actividades que justifiquen la llegada tardía de la encargada en los días en que no se ha encontrado en la oficina. - Las evidencias de trabajo de campo que justifiquen sus ausencias, en caso de que existan. Todo buen jefe debe tener una visión amplia y técnica del trabajo que coordina. No se trata solo de delegar tareas, </w:t>
      </w:r>
      <w:r w:rsidRPr="00FB04DE">
        <w:rPr>
          <w:i/>
          <w:sz w:val="20"/>
          <w:szCs w:val="20"/>
        </w:rPr>
        <w:lastRenderedPageBreak/>
        <w:t xml:space="preserve">sino de entender los procesos, orientar al equipo, tomar decisiones informadas y garantizar que el área funcione con eficiencia y creatividad. Liderar Comunicación Social y Gobierno Digital implica preparación, criterio y capacidad para responder ante cualquier situación, desde una falla en el sistema hasta una crisis de comunicación. La falta de profesionalización, el incumplimiento de horarios y la ausencia de mecanismos de supervisión interna evidencian una grave deficiencia en la gestión del área. Esta situación no solo afecta la imagen institucional, sino que vulnera principios fundamentales de transparencia, eficiencia y rendición de cuentas. Sin más por el momento, quedo atento a la información solicitada, esperando una respuesta clara, documentada y conforme a los principios que rigen el servicio público.” </w:t>
      </w:r>
    </w:p>
    <w:p w14:paraId="4579DFD7" w14:textId="77777777" w:rsidR="008D4D06" w:rsidRPr="00FB04DE" w:rsidRDefault="008D4D06">
      <w:pPr>
        <w:spacing w:after="0" w:line="360" w:lineRule="auto"/>
        <w:ind w:left="567" w:right="709"/>
        <w:rPr>
          <w:sz w:val="20"/>
          <w:szCs w:val="20"/>
        </w:rPr>
      </w:pPr>
    </w:p>
    <w:p w14:paraId="6F8D0BCD" w14:textId="77777777" w:rsidR="008D4D06" w:rsidRPr="00FB04DE" w:rsidRDefault="0070022B">
      <w:pPr>
        <w:spacing w:after="0" w:line="360" w:lineRule="auto"/>
        <w:ind w:left="567" w:right="709"/>
        <w:rPr>
          <w:b/>
          <w:sz w:val="20"/>
          <w:szCs w:val="20"/>
        </w:rPr>
      </w:pPr>
      <w:r w:rsidRPr="00FB04DE">
        <w:rPr>
          <w:b/>
          <w:sz w:val="20"/>
          <w:szCs w:val="20"/>
        </w:rPr>
        <w:t>RAZONES O MOTIVOS DE LA INCONFORMIDAD</w:t>
      </w:r>
      <w:r w:rsidRPr="00FB04DE">
        <w:rPr>
          <w:b/>
          <w:sz w:val="20"/>
          <w:szCs w:val="20"/>
        </w:rPr>
        <w:tab/>
      </w:r>
    </w:p>
    <w:p w14:paraId="110AA95E" w14:textId="77777777" w:rsidR="008D4D06" w:rsidRPr="00FB04DE" w:rsidRDefault="0070022B">
      <w:pPr>
        <w:tabs>
          <w:tab w:val="left" w:pos="4667"/>
        </w:tabs>
        <w:spacing w:after="0" w:line="360" w:lineRule="auto"/>
        <w:ind w:left="567" w:right="709"/>
        <w:rPr>
          <w:i/>
          <w:sz w:val="20"/>
          <w:szCs w:val="20"/>
        </w:rPr>
      </w:pPr>
      <w:r w:rsidRPr="00FB04DE">
        <w:rPr>
          <w:i/>
          <w:sz w:val="20"/>
          <w:szCs w:val="20"/>
        </w:rPr>
        <w:t xml:space="preserve">“Deficiencia en la fundamentación de la respuesta” </w:t>
      </w:r>
    </w:p>
    <w:p w14:paraId="61103238" w14:textId="77777777" w:rsidR="008D4D06" w:rsidRPr="00FB04DE" w:rsidRDefault="008D4D06">
      <w:pPr>
        <w:tabs>
          <w:tab w:val="left" w:pos="4667"/>
        </w:tabs>
        <w:spacing w:after="0" w:line="360" w:lineRule="auto"/>
      </w:pPr>
    </w:p>
    <w:p w14:paraId="45637B97" w14:textId="77777777" w:rsidR="008D4D06" w:rsidRPr="00FB04DE" w:rsidRDefault="0070022B">
      <w:pPr>
        <w:pStyle w:val="Ttulo2"/>
        <w:spacing w:before="0" w:after="0"/>
      </w:pPr>
      <w:bookmarkStart w:id="6" w:name="_Toc210313306"/>
      <w:r w:rsidRPr="00FB04DE">
        <w:t>IV. Trámite del Recurso de Revisión ante este Instituto</w:t>
      </w:r>
      <w:bookmarkEnd w:id="6"/>
    </w:p>
    <w:p w14:paraId="14892341" w14:textId="77777777" w:rsidR="008D4D06" w:rsidRPr="00FB04DE" w:rsidRDefault="008D4D06">
      <w:pPr>
        <w:spacing w:after="0" w:line="360" w:lineRule="auto"/>
        <w:rPr>
          <w:b/>
        </w:rPr>
      </w:pPr>
    </w:p>
    <w:p w14:paraId="6C1A2E75" w14:textId="77777777" w:rsidR="008D4D06" w:rsidRPr="00FB04DE" w:rsidRDefault="0070022B">
      <w:pPr>
        <w:spacing w:after="0" w:line="360" w:lineRule="auto"/>
      </w:pPr>
      <w:r w:rsidRPr="00FB04DE">
        <w:rPr>
          <w:b/>
        </w:rPr>
        <w:t>a) Turno del Medio de Impugnación.</w:t>
      </w:r>
      <w:r w:rsidRPr="00FB04DE">
        <w:t xml:space="preserve"> El doce de agosto de dos mil veinticinco, el SAIMEX, asignó el número de expediente</w:t>
      </w:r>
      <w:r w:rsidRPr="00FB04DE">
        <w:rPr>
          <w:b/>
        </w:rPr>
        <w:t xml:space="preserve"> 09436/INFOEM/IP/RR/2025, </w:t>
      </w:r>
      <w:r w:rsidRPr="00FB04DE">
        <w:t>al medio de impugnación que nos ocupan, con base en el sistema aprobado por el Pleno de este Órgano Garante y se turnó a la Comisionada Sharon Cristina Morales Martínez, para los efectos del artículo 185, fracción I de la Ley de Transparencia y Acceso a la Información Pública del Estado de México y Municipios.</w:t>
      </w:r>
    </w:p>
    <w:p w14:paraId="43752109" w14:textId="77777777" w:rsidR="008D4D06" w:rsidRPr="00FB04DE" w:rsidRDefault="008D4D06">
      <w:pPr>
        <w:spacing w:after="0" w:line="360" w:lineRule="auto"/>
      </w:pPr>
    </w:p>
    <w:p w14:paraId="7F812AB6" w14:textId="77777777" w:rsidR="008D4D06" w:rsidRPr="00FB04DE" w:rsidRDefault="0070022B">
      <w:pPr>
        <w:spacing w:after="0" w:line="360" w:lineRule="auto"/>
      </w:pPr>
      <w:r w:rsidRPr="00FB04DE">
        <w:rPr>
          <w:b/>
        </w:rPr>
        <w:t>b) Admisión del Recurso de Revisión.</w:t>
      </w:r>
      <w:r w:rsidRPr="00FB04DE">
        <w:t xml:space="preserve"> El quince de agosto de dos mil veinticinco, se notificó a través del SAIMEX, el acuerdo de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19507D28" w14:textId="77777777" w:rsidR="008D4D06" w:rsidRPr="00FB04DE" w:rsidRDefault="008D4D06">
      <w:pPr>
        <w:spacing w:after="0" w:line="360" w:lineRule="auto"/>
      </w:pPr>
    </w:p>
    <w:p w14:paraId="3FDE36BB" w14:textId="77777777" w:rsidR="008D4D06" w:rsidRPr="00FB04DE" w:rsidRDefault="0070022B">
      <w:pPr>
        <w:spacing w:after="0" w:line="360" w:lineRule="auto"/>
      </w:pPr>
      <w:r w:rsidRPr="00FB04DE">
        <w:rPr>
          <w:b/>
        </w:rPr>
        <w:lastRenderedPageBreak/>
        <w:t xml:space="preserve">c) Informe Justificado y manifestaciones de la parte Recurrente. </w:t>
      </w:r>
      <w:r w:rsidRPr="00FB04DE">
        <w:t>De las constancias que integran el SAIMEX se aprecia que el Sujeto Obligado omitió rendir informe justificado y que la persona Recurrente fue omisa en añadir manifestaciones.</w:t>
      </w:r>
    </w:p>
    <w:p w14:paraId="4AE67D8C" w14:textId="77777777" w:rsidR="008D4D06" w:rsidRPr="00FB04DE" w:rsidRDefault="008D4D06">
      <w:pPr>
        <w:spacing w:after="0" w:line="360" w:lineRule="auto"/>
      </w:pPr>
    </w:p>
    <w:p w14:paraId="076B46FE" w14:textId="77777777" w:rsidR="008D4D06" w:rsidRPr="00FB04DE" w:rsidRDefault="0070022B">
      <w:pPr>
        <w:spacing w:after="0" w:line="360" w:lineRule="auto"/>
        <w:rPr>
          <w:b/>
          <w:color w:val="000000"/>
        </w:rPr>
      </w:pPr>
      <w:r w:rsidRPr="00FB04DE">
        <w:rPr>
          <w:b/>
          <w:color w:val="000000"/>
        </w:rPr>
        <w:t>d)</w:t>
      </w:r>
      <w:r w:rsidRPr="00FB04DE">
        <w:rPr>
          <w:color w:val="000000"/>
        </w:rPr>
        <w:t xml:space="preserve"> </w:t>
      </w:r>
      <w:r w:rsidRPr="00FB04DE">
        <w:rPr>
          <w:b/>
          <w:color w:val="000000"/>
        </w:rPr>
        <w:t>Ampliación de plazo para resolver</w:t>
      </w:r>
      <w:r w:rsidRPr="00FB04DE">
        <w:rPr>
          <w:color w:val="000000"/>
        </w:rPr>
        <w:t>. El veintitrés de septiembre de dos mil veinticinco, el Comisionado Ponente, con fundamento en lo dispuesto por el artículo 181, párrafo tercero, de la Ley de Transparencia y Acceso a la Información Pública del Estado de México y Municipios, acordó ampliar por quince días hábiles, el plazo para resolver el Recurso de Revisión que nos ocupa; acto que fue notificado a las partes en la misma fecha, mediante el SAIMEX.</w:t>
      </w:r>
    </w:p>
    <w:p w14:paraId="398F3DAA" w14:textId="77777777" w:rsidR="008D4D06" w:rsidRPr="00FB04DE" w:rsidRDefault="008D4D06">
      <w:pPr>
        <w:spacing w:after="0" w:line="360" w:lineRule="auto"/>
      </w:pPr>
    </w:p>
    <w:p w14:paraId="473D6FDC" w14:textId="77777777" w:rsidR="008D4D06" w:rsidRPr="00FB04DE" w:rsidRDefault="0070022B">
      <w:pPr>
        <w:spacing w:after="0" w:line="360" w:lineRule="auto"/>
      </w:pPr>
      <w:r w:rsidRPr="00FB04DE">
        <w:rPr>
          <w:b/>
        </w:rPr>
        <w:t>e) Cierre de instrucción.</w:t>
      </w:r>
      <w:r w:rsidRPr="00FB04DE">
        <w:t xml:space="preserve"> El veintitrés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27D0497" w14:textId="77777777" w:rsidR="008D4D06" w:rsidRPr="00FB04DE" w:rsidRDefault="008D4D06">
      <w:pPr>
        <w:spacing w:after="0" w:line="360" w:lineRule="auto"/>
      </w:pPr>
    </w:p>
    <w:p w14:paraId="7125F01E" w14:textId="77777777" w:rsidR="008D4D06" w:rsidRPr="00FB04DE" w:rsidRDefault="0070022B">
      <w:pPr>
        <w:spacing w:after="0" w:line="360" w:lineRule="auto"/>
      </w:pPr>
      <w:r w:rsidRPr="00FB04DE">
        <w:t xml:space="preserve">En razón de que fue debidamente sustanciado e integrado el expediente electrónico y no existir diligencia pendiente de desahogo, se emite la resolución que conforme a Derecho proceda, de acuerdo a los siguientes: </w:t>
      </w:r>
    </w:p>
    <w:p w14:paraId="577991E1" w14:textId="77777777" w:rsidR="008D4D06" w:rsidRPr="00FB04DE" w:rsidRDefault="008D4D06">
      <w:pPr>
        <w:spacing w:after="0" w:line="360" w:lineRule="auto"/>
      </w:pPr>
    </w:p>
    <w:p w14:paraId="6DDE3CA0" w14:textId="77777777" w:rsidR="008D4D06" w:rsidRPr="00FB04DE" w:rsidRDefault="0070022B">
      <w:pPr>
        <w:pStyle w:val="Ttulo1"/>
        <w:spacing w:before="0" w:after="0"/>
        <w:rPr>
          <w:sz w:val="22"/>
          <w:szCs w:val="22"/>
        </w:rPr>
      </w:pPr>
      <w:bookmarkStart w:id="7" w:name="_Toc210313307"/>
      <w:r w:rsidRPr="00FB04DE">
        <w:rPr>
          <w:sz w:val="22"/>
          <w:szCs w:val="22"/>
        </w:rPr>
        <w:t>C O N S I D E R A N D O S</w:t>
      </w:r>
      <w:bookmarkEnd w:id="7"/>
    </w:p>
    <w:p w14:paraId="01C8C8CE" w14:textId="77777777" w:rsidR="008D4D06" w:rsidRPr="00FB04DE" w:rsidRDefault="008D4D06">
      <w:pPr>
        <w:spacing w:after="0" w:line="360" w:lineRule="auto"/>
        <w:rPr>
          <w:b/>
        </w:rPr>
      </w:pPr>
    </w:p>
    <w:p w14:paraId="0ECC31EC" w14:textId="77777777" w:rsidR="008D4D06" w:rsidRPr="00FB04DE" w:rsidRDefault="0070022B">
      <w:pPr>
        <w:pStyle w:val="Ttulo2"/>
        <w:spacing w:before="0" w:after="0"/>
        <w:rPr>
          <w:b w:val="0"/>
          <w:color w:val="000000"/>
        </w:rPr>
      </w:pPr>
      <w:bookmarkStart w:id="8" w:name="_Toc210313308"/>
      <w:r w:rsidRPr="00FB04DE">
        <w:rPr>
          <w:color w:val="000000"/>
        </w:rPr>
        <w:t>PRIMERO. Competencia</w:t>
      </w:r>
      <w:bookmarkEnd w:id="8"/>
    </w:p>
    <w:p w14:paraId="4AA3EF39" w14:textId="77777777" w:rsidR="008D4D06" w:rsidRPr="00FB04DE" w:rsidRDefault="008D4D06">
      <w:pPr>
        <w:spacing w:after="0" w:line="360" w:lineRule="auto"/>
        <w:rPr>
          <w:b/>
          <w:color w:val="000000"/>
        </w:rPr>
      </w:pPr>
    </w:p>
    <w:p w14:paraId="0E1D28F0" w14:textId="77777777" w:rsidR="008D4D06" w:rsidRPr="00FB04DE" w:rsidRDefault="0070022B">
      <w:pPr>
        <w:spacing w:after="0" w:line="360" w:lineRule="auto"/>
        <w:rPr>
          <w:b/>
          <w:color w:val="000000"/>
        </w:rPr>
      </w:pPr>
      <w:bookmarkStart w:id="9" w:name="_heading=h.ro28cz1kvkk7" w:colFirst="0" w:colLast="0"/>
      <w:bookmarkEnd w:id="9"/>
      <w:r w:rsidRPr="00FB04DE">
        <w:rPr>
          <w:color w:val="000000"/>
        </w:rPr>
        <w:t xml:space="preserve">El Instituto de Transparencia, Acceso a la Información Pública y Protección de Datos Personales del Estado de México y Municipios, es competente para conocer y resolver el presente recurso </w:t>
      </w:r>
      <w:r w:rsidRPr="00FB04DE">
        <w:rPr>
          <w:color w:val="000000"/>
        </w:rPr>
        <w:lastRenderedPageBreak/>
        <w:t>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FB840C1" w14:textId="77777777" w:rsidR="008D4D06" w:rsidRPr="00FB04DE" w:rsidRDefault="0070022B">
      <w:pPr>
        <w:pStyle w:val="Ttulo2"/>
        <w:spacing w:before="0" w:after="0"/>
        <w:rPr>
          <w:b w:val="0"/>
          <w:color w:val="000000"/>
        </w:rPr>
      </w:pPr>
      <w:bookmarkStart w:id="10" w:name="_Toc210313309"/>
      <w:r w:rsidRPr="00FB04DE">
        <w:rPr>
          <w:color w:val="000000"/>
        </w:rPr>
        <w:t>SEGUNDO. Causales de improcedencia</w:t>
      </w:r>
      <w:bookmarkEnd w:id="10"/>
      <w:r w:rsidRPr="00FB04DE">
        <w:rPr>
          <w:color w:val="000000"/>
        </w:rPr>
        <w:t xml:space="preserve"> </w:t>
      </w:r>
    </w:p>
    <w:p w14:paraId="2A98DD1E" w14:textId="77777777" w:rsidR="008D4D06" w:rsidRPr="00FB04DE" w:rsidRDefault="008D4D06">
      <w:pPr>
        <w:spacing w:after="0" w:line="360" w:lineRule="auto"/>
        <w:rPr>
          <w:color w:val="000000"/>
        </w:rPr>
      </w:pPr>
    </w:p>
    <w:p w14:paraId="456799CC" w14:textId="77777777" w:rsidR="008D4D06" w:rsidRPr="00FB04DE" w:rsidRDefault="0070022B">
      <w:pPr>
        <w:spacing w:after="0" w:line="360" w:lineRule="auto"/>
        <w:rPr>
          <w:color w:val="000000"/>
        </w:rPr>
      </w:pPr>
      <w:r w:rsidRPr="00FB04DE">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83EF0B" w14:textId="77777777" w:rsidR="008D4D06" w:rsidRPr="00FB04DE" w:rsidRDefault="008D4D06">
      <w:pPr>
        <w:spacing w:after="0" w:line="360" w:lineRule="auto"/>
        <w:rPr>
          <w:color w:val="000000"/>
        </w:rPr>
      </w:pPr>
    </w:p>
    <w:p w14:paraId="0A763ADD" w14:textId="2A1087DE" w:rsidR="008D4D06" w:rsidRPr="00FB04DE" w:rsidRDefault="0070022B">
      <w:pPr>
        <w:spacing w:after="0" w:line="360" w:lineRule="auto"/>
        <w:rPr>
          <w:color w:val="000000"/>
        </w:rPr>
      </w:pPr>
      <w:r w:rsidRPr="00FB04DE">
        <w:rPr>
          <w:color w:val="000000"/>
        </w:rPr>
        <w:t xml:space="preserve">En el presente caso, no se actualizan las causales de improcedencia establecidas en el artículo 191, fracciones I a la </w:t>
      </w:r>
      <w:r w:rsidR="001203D3" w:rsidRPr="00FB04DE">
        <w:rPr>
          <w:color w:val="000000"/>
        </w:rPr>
        <w:t>V</w:t>
      </w:r>
      <w:r w:rsidRPr="00FB04DE">
        <w:rPr>
          <w:color w:val="000000"/>
        </w:rPr>
        <w:t xml:space="preserve">,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realizó </w:t>
      </w:r>
      <w:r w:rsidR="001203D3" w:rsidRPr="00FB04DE">
        <w:rPr>
          <w:color w:val="000000"/>
        </w:rPr>
        <w:t>un</w:t>
      </w:r>
      <w:r w:rsidRPr="00FB04DE">
        <w:rPr>
          <w:color w:val="000000"/>
        </w:rPr>
        <w:t xml:space="preserve"> trámite mediante el pedimento de información.</w:t>
      </w:r>
    </w:p>
    <w:p w14:paraId="74BCD6CC" w14:textId="77777777" w:rsidR="008D4D06" w:rsidRPr="00FB04DE" w:rsidRDefault="008D4D06">
      <w:pPr>
        <w:spacing w:after="0" w:line="360" w:lineRule="auto"/>
        <w:rPr>
          <w:color w:val="000000"/>
        </w:rPr>
      </w:pPr>
    </w:p>
    <w:p w14:paraId="0B8937E3" w14:textId="77777777" w:rsidR="008D4D06" w:rsidRPr="00FB04DE" w:rsidRDefault="0070022B">
      <w:pPr>
        <w:spacing w:after="0" w:line="360" w:lineRule="auto"/>
        <w:rPr>
          <w:color w:val="000000"/>
        </w:rPr>
      </w:pPr>
      <w:r w:rsidRPr="00FB04DE">
        <w:rPr>
          <w:color w:val="000000"/>
        </w:rPr>
        <w:lastRenderedPageBreak/>
        <w:t>Por lo cual, se actualiza la causal de procedencia del Recurso de Revisión señalada en el artículo 179, fracción VI, de la Ley en cita, pues la persona Recurrente se inconformó de la entrega de información que no corresponde con lo solicitado.</w:t>
      </w:r>
    </w:p>
    <w:p w14:paraId="2A31C8F9" w14:textId="77777777" w:rsidR="008D4D06" w:rsidRPr="00FB04DE" w:rsidRDefault="008D4D06">
      <w:pPr>
        <w:spacing w:after="0" w:line="360" w:lineRule="auto"/>
        <w:rPr>
          <w:color w:val="000000"/>
        </w:rPr>
      </w:pPr>
    </w:p>
    <w:p w14:paraId="52F7B333" w14:textId="77777777" w:rsidR="008D4D06" w:rsidRPr="00FB04DE" w:rsidRDefault="0070022B">
      <w:pPr>
        <w:keepNext/>
        <w:keepLines/>
        <w:spacing w:after="0" w:line="360" w:lineRule="auto"/>
        <w:rPr>
          <w:b/>
          <w:color w:val="000000"/>
        </w:rPr>
      </w:pPr>
      <w:bookmarkStart w:id="11" w:name="_heading=h.hx7agk66bqhu" w:colFirst="0" w:colLast="0"/>
      <w:bookmarkEnd w:id="11"/>
      <w:r w:rsidRPr="00FB04DE">
        <w:rPr>
          <w:b/>
          <w:color w:val="000000"/>
        </w:rPr>
        <w:t>TERCERO. Causales de sobreseimiento</w:t>
      </w:r>
    </w:p>
    <w:p w14:paraId="03A294F5" w14:textId="77777777" w:rsidR="008D4D06" w:rsidRPr="00FB04DE" w:rsidRDefault="008D4D06">
      <w:pPr>
        <w:spacing w:after="0" w:line="360" w:lineRule="auto"/>
        <w:rPr>
          <w:color w:val="000000"/>
        </w:rPr>
      </w:pPr>
    </w:p>
    <w:p w14:paraId="0F391DEC" w14:textId="77777777" w:rsidR="008D4D06" w:rsidRPr="00FB04DE" w:rsidRDefault="0070022B">
      <w:pPr>
        <w:spacing w:after="0" w:line="360" w:lineRule="auto"/>
        <w:rPr>
          <w:color w:val="000000"/>
        </w:rPr>
      </w:pPr>
      <w:r w:rsidRPr="00FB04DE">
        <w:rPr>
          <w:color w:val="000000"/>
        </w:rPr>
        <w:t>Por ser de previo y especial pronunciamiento, este Instituto analiza si se actualiza alguna causal de sobreseimiento.</w:t>
      </w:r>
    </w:p>
    <w:p w14:paraId="1D3DB2F0" w14:textId="77777777" w:rsidR="008D4D06" w:rsidRPr="00FB04DE" w:rsidRDefault="008D4D06">
      <w:pPr>
        <w:spacing w:after="0" w:line="360" w:lineRule="auto"/>
        <w:rPr>
          <w:color w:val="000000"/>
        </w:rPr>
      </w:pPr>
    </w:p>
    <w:p w14:paraId="6306709C" w14:textId="77777777" w:rsidR="008D4D06" w:rsidRPr="00FB04DE" w:rsidRDefault="0070022B">
      <w:pPr>
        <w:spacing w:after="0" w:line="360" w:lineRule="auto"/>
        <w:rPr>
          <w:color w:val="000000"/>
        </w:rPr>
      </w:pPr>
      <w:r w:rsidRPr="00FB04DE">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FB04DE">
        <w:rPr>
          <w:b/>
          <w:color w:val="000000"/>
        </w:rPr>
        <w:t xml:space="preserve"> no se configuran las causales establecidas en las fracciones I, II, III, y V, </w:t>
      </w:r>
      <w:r w:rsidRPr="00FB04DE">
        <w:rPr>
          <w:color w:val="000000"/>
        </w:rPr>
        <w:t>toda vez que no hay constancias en el expediente en que se actúa, de que el Recurrente se haya desistido, fallecido, que el Sujeto Obligado hubiese modificado o revocado el acto impugnado o bien, haya quedado sin materia.</w:t>
      </w:r>
    </w:p>
    <w:p w14:paraId="091AFF32" w14:textId="77777777" w:rsidR="008D4D06" w:rsidRPr="00FB04DE" w:rsidRDefault="008D4D06">
      <w:pPr>
        <w:spacing w:after="0" w:line="360" w:lineRule="auto"/>
        <w:rPr>
          <w:color w:val="000000"/>
        </w:rPr>
      </w:pPr>
    </w:p>
    <w:p w14:paraId="6BBCD191" w14:textId="77777777" w:rsidR="008D4D06" w:rsidRPr="00FB04DE" w:rsidRDefault="0070022B">
      <w:pPr>
        <w:spacing w:after="0" w:line="360" w:lineRule="auto"/>
        <w:rPr>
          <w:color w:val="000000"/>
        </w:rPr>
      </w:pPr>
      <w:r w:rsidRPr="00FB04DE">
        <w:rPr>
          <w:color w:val="000000"/>
        </w:rPr>
        <w:t>No obstante, por lo que hace a la hipótesis prevista en el artículo 192, fracción IV</w:t>
      </w:r>
      <w:r w:rsidRPr="00FB04DE">
        <w:rPr>
          <w:b/>
          <w:color w:val="000000"/>
        </w:rPr>
        <w:t>,</w:t>
      </w:r>
      <w:r w:rsidRPr="00FB04DE">
        <w:rPr>
          <w:color w:val="000000"/>
        </w:rPr>
        <w:t xml:space="preserve"> a saber, que, una vez admitido el Recurso de Revisión, aparezca alguna causal de improcedencia en términos de la presente Ley, resulta necesario traer a colación el artículo 191, fracciones VI y VII, del ordenamiento jurídico referido, que establecen lo siguiente:</w:t>
      </w:r>
    </w:p>
    <w:p w14:paraId="45C08E8D" w14:textId="77777777" w:rsidR="008D4D06" w:rsidRPr="00FB04DE" w:rsidRDefault="008D4D06">
      <w:pPr>
        <w:spacing w:after="0" w:line="360" w:lineRule="auto"/>
        <w:rPr>
          <w:color w:val="000000"/>
        </w:rPr>
      </w:pPr>
    </w:p>
    <w:p w14:paraId="0729A033" w14:textId="77777777" w:rsidR="008D4D06" w:rsidRPr="00FB04DE" w:rsidRDefault="0070022B">
      <w:pPr>
        <w:spacing w:after="0" w:line="360" w:lineRule="auto"/>
        <w:ind w:left="567" w:right="567"/>
        <w:rPr>
          <w:i/>
          <w:color w:val="000000"/>
          <w:sz w:val="20"/>
          <w:szCs w:val="20"/>
        </w:rPr>
      </w:pPr>
      <w:r w:rsidRPr="00FB04DE">
        <w:rPr>
          <w:b/>
          <w:i/>
          <w:color w:val="000000"/>
          <w:sz w:val="20"/>
          <w:szCs w:val="20"/>
        </w:rPr>
        <w:t>“Artículo 191.</w:t>
      </w:r>
      <w:r w:rsidRPr="00FB04DE">
        <w:rPr>
          <w:i/>
          <w:color w:val="000000"/>
          <w:sz w:val="20"/>
          <w:szCs w:val="20"/>
        </w:rPr>
        <w:t xml:space="preserve"> El recurso será desechado por improcedente cuando:</w:t>
      </w:r>
    </w:p>
    <w:p w14:paraId="62F38A5C" w14:textId="77777777" w:rsidR="008D4D06" w:rsidRPr="00FB04DE" w:rsidRDefault="0070022B">
      <w:pPr>
        <w:spacing w:after="0" w:line="360" w:lineRule="auto"/>
        <w:ind w:left="567" w:right="567"/>
        <w:rPr>
          <w:i/>
          <w:color w:val="000000"/>
          <w:sz w:val="20"/>
          <w:szCs w:val="20"/>
        </w:rPr>
      </w:pPr>
      <w:r w:rsidRPr="00FB04DE">
        <w:rPr>
          <w:i/>
          <w:color w:val="000000"/>
          <w:sz w:val="20"/>
          <w:szCs w:val="20"/>
        </w:rPr>
        <w:t>…</w:t>
      </w:r>
    </w:p>
    <w:p w14:paraId="340FD05A" w14:textId="77777777" w:rsidR="008D4D06" w:rsidRPr="00FB04DE" w:rsidRDefault="0070022B">
      <w:pPr>
        <w:spacing w:after="0" w:line="360" w:lineRule="auto"/>
        <w:ind w:left="567" w:right="567"/>
        <w:rPr>
          <w:i/>
          <w:color w:val="000000"/>
          <w:sz w:val="20"/>
          <w:szCs w:val="20"/>
        </w:rPr>
      </w:pPr>
      <w:r w:rsidRPr="00FB04DE">
        <w:rPr>
          <w:i/>
          <w:color w:val="000000"/>
          <w:sz w:val="20"/>
          <w:szCs w:val="20"/>
        </w:rPr>
        <w:t>VI. Se trate de una consulta, o trámite en específico; y</w:t>
      </w:r>
    </w:p>
    <w:p w14:paraId="5DB8D9DF" w14:textId="77777777" w:rsidR="008D4D06" w:rsidRPr="00FB04DE" w:rsidRDefault="0070022B">
      <w:pPr>
        <w:spacing w:after="0" w:line="360" w:lineRule="auto"/>
        <w:ind w:left="567" w:right="567"/>
        <w:rPr>
          <w:i/>
          <w:color w:val="000000"/>
          <w:sz w:val="20"/>
          <w:szCs w:val="20"/>
        </w:rPr>
      </w:pPr>
      <w:r w:rsidRPr="00FB04DE">
        <w:rPr>
          <w:i/>
          <w:color w:val="000000"/>
          <w:sz w:val="20"/>
          <w:szCs w:val="20"/>
        </w:rPr>
        <w:t>VII. El recurrente amplíe su solicitud en el recurso de revisión, únicamente respecto de los nuevos contenidos.”</w:t>
      </w:r>
    </w:p>
    <w:p w14:paraId="178B1D4D" w14:textId="77777777" w:rsidR="008D4D06" w:rsidRPr="00FB04DE" w:rsidRDefault="008D4D06">
      <w:pPr>
        <w:spacing w:after="0" w:line="360" w:lineRule="auto"/>
        <w:rPr>
          <w:color w:val="000000"/>
        </w:rPr>
      </w:pPr>
    </w:p>
    <w:p w14:paraId="4EEFCBEB" w14:textId="77777777" w:rsidR="008D4D06" w:rsidRPr="00FB04DE" w:rsidRDefault="0070022B">
      <w:pPr>
        <w:spacing w:after="0" w:line="360" w:lineRule="auto"/>
        <w:rPr>
          <w:color w:val="000000"/>
        </w:rPr>
      </w:pPr>
      <w:r w:rsidRPr="00FB04DE">
        <w:rPr>
          <w:color w:val="000000"/>
        </w:rPr>
        <w:lastRenderedPageBreak/>
        <w:t>Conforme a lo anterior, se logra vislumbrar que las fracciones VI y VII, del artículo 191, de la Ley de Transparencia y Acceso a la Información Pública del Estado de México y Municipios, precisa que el Recurso de Revisión será desechado por improcedente, cuando lo solicitado se trate de una consulta y que la parte Recurrente amplíe su solicitud en el Medio de Impugnación.</w:t>
      </w:r>
    </w:p>
    <w:p w14:paraId="606ED202" w14:textId="77777777" w:rsidR="008D4D06" w:rsidRPr="00FB04DE" w:rsidRDefault="008D4D06">
      <w:pPr>
        <w:spacing w:after="0" w:line="360" w:lineRule="auto"/>
        <w:rPr>
          <w:color w:val="000000"/>
        </w:rPr>
      </w:pPr>
    </w:p>
    <w:p w14:paraId="167B7630" w14:textId="11A554D9" w:rsidR="008D4D06" w:rsidRPr="00FB04DE" w:rsidRDefault="0070022B">
      <w:pPr>
        <w:tabs>
          <w:tab w:val="left" w:pos="4962"/>
        </w:tabs>
        <w:spacing w:after="0" w:line="360" w:lineRule="auto"/>
      </w:pPr>
      <w:r w:rsidRPr="00FB04DE">
        <w:rPr>
          <w:color w:val="000000"/>
        </w:rPr>
        <w:t xml:space="preserve">En ese orden de ideas, de las constancias que obran en el expediente respectivo, se colige que el Particular requirió </w:t>
      </w:r>
      <w:r w:rsidR="001203D3" w:rsidRPr="00FB04DE">
        <w:rPr>
          <w:color w:val="000000"/>
        </w:rPr>
        <w:t>se le contestará lo siguiente</w:t>
      </w:r>
      <w:r w:rsidRPr="00FB04DE">
        <w:t>:</w:t>
      </w:r>
    </w:p>
    <w:p w14:paraId="1971D2A7" w14:textId="77777777" w:rsidR="008D4D06" w:rsidRPr="00FB04DE" w:rsidRDefault="008D4D06">
      <w:pPr>
        <w:tabs>
          <w:tab w:val="left" w:pos="4962"/>
        </w:tabs>
        <w:spacing w:after="0" w:line="360" w:lineRule="auto"/>
      </w:pPr>
    </w:p>
    <w:p w14:paraId="3EAB0186" w14:textId="77777777" w:rsidR="008D4D06" w:rsidRPr="00FB04DE" w:rsidRDefault="0070022B">
      <w:pPr>
        <w:numPr>
          <w:ilvl w:val="0"/>
          <w:numId w:val="2"/>
        </w:numPr>
        <w:pBdr>
          <w:top w:val="nil"/>
          <w:left w:val="nil"/>
          <w:bottom w:val="nil"/>
          <w:right w:val="nil"/>
          <w:between w:val="nil"/>
        </w:pBdr>
        <w:tabs>
          <w:tab w:val="left" w:pos="4962"/>
        </w:tabs>
        <w:spacing w:after="0" w:line="360" w:lineRule="auto"/>
        <w:rPr>
          <w:color w:val="000000"/>
        </w:rPr>
      </w:pPr>
      <w:r w:rsidRPr="00FB04DE">
        <w:rPr>
          <w:color w:val="000000"/>
        </w:rPr>
        <w:t>Razones por las que  la "directora" de comunicación social no se presenta en los eventos a la toma de fotografías</w:t>
      </w:r>
    </w:p>
    <w:p w14:paraId="416635A4" w14:textId="77777777" w:rsidR="008D4D06" w:rsidRPr="00FB04DE" w:rsidRDefault="0070022B">
      <w:pPr>
        <w:numPr>
          <w:ilvl w:val="0"/>
          <w:numId w:val="2"/>
        </w:numPr>
        <w:pBdr>
          <w:top w:val="nil"/>
          <w:left w:val="nil"/>
          <w:bottom w:val="nil"/>
          <w:right w:val="nil"/>
          <w:between w:val="nil"/>
        </w:pBdr>
        <w:tabs>
          <w:tab w:val="left" w:pos="4962"/>
        </w:tabs>
        <w:spacing w:after="0" w:line="360" w:lineRule="auto"/>
        <w:rPr>
          <w:color w:val="000000"/>
        </w:rPr>
      </w:pPr>
      <w:r w:rsidRPr="00FB04DE">
        <w:rPr>
          <w:color w:val="000000"/>
        </w:rPr>
        <w:t>Razones por las que pide que las área hagan su trabajo relacionado con la toma de fotos</w:t>
      </w:r>
    </w:p>
    <w:p w14:paraId="0924A4C1" w14:textId="77777777" w:rsidR="008D4D06" w:rsidRPr="00FB04DE" w:rsidRDefault="0070022B">
      <w:pPr>
        <w:numPr>
          <w:ilvl w:val="0"/>
          <w:numId w:val="2"/>
        </w:numPr>
        <w:pBdr>
          <w:top w:val="nil"/>
          <w:left w:val="nil"/>
          <w:bottom w:val="nil"/>
          <w:right w:val="nil"/>
          <w:between w:val="nil"/>
        </w:pBdr>
        <w:tabs>
          <w:tab w:val="left" w:pos="4962"/>
        </w:tabs>
        <w:spacing w:after="0" w:line="360" w:lineRule="auto"/>
        <w:rPr>
          <w:color w:val="000000"/>
        </w:rPr>
      </w:pPr>
      <w:r w:rsidRPr="00FB04DE">
        <w:rPr>
          <w:color w:val="000000"/>
        </w:rPr>
        <w:t>Aclarar porque es la encargada del área cuando no cumple con el perfil requerido</w:t>
      </w:r>
    </w:p>
    <w:p w14:paraId="5DD14139" w14:textId="77777777" w:rsidR="008D4D06" w:rsidRPr="00FB04DE" w:rsidRDefault="0070022B">
      <w:pPr>
        <w:numPr>
          <w:ilvl w:val="0"/>
          <w:numId w:val="2"/>
        </w:numPr>
        <w:pBdr>
          <w:top w:val="nil"/>
          <w:left w:val="nil"/>
          <w:bottom w:val="nil"/>
          <w:right w:val="nil"/>
          <w:between w:val="nil"/>
        </w:pBdr>
        <w:tabs>
          <w:tab w:val="left" w:pos="4962"/>
        </w:tabs>
        <w:spacing w:after="0" w:line="360" w:lineRule="auto"/>
        <w:rPr>
          <w:color w:val="000000"/>
        </w:rPr>
      </w:pPr>
      <w:r w:rsidRPr="00FB04DE">
        <w:rPr>
          <w:color w:val="000000"/>
        </w:rPr>
        <w:t>Los horarios de entrada y salida del personal del área</w:t>
      </w:r>
    </w:p>
    <w:p w14:paraId="3FC021FE" w14:textId="77777777" w:rsidR="008D4D06" w:rsidRPr="00FB04DE" w:rsidRDefault="0070022B">
      <w:pPr>
        <w:numPr>
          <w:ilvl w:val="0"/>
          <w:numId w:val="2"/>
        </w:numPr>
        <w:pBdr>
          <w:top w:val="nil"/>
          <w:left w:val="nil"/>
          <w:bottom w:val="nil"/>
          <w:right w:val="nil"/>
          <w:between w:val="nil"/>
        </w:pBdr>
        <w:tabs>
          <w:tab w:val="left" w:pos="4962"/>
        </w:tabs>
        <w:spacing w:after="0" w:line="360" w:lineRule="auto"/>
        <w:rPr>
          <w:color w:val="000000"/>
        </w:rPr>
      </w:pPr>
      <w:r w:rsidRPr="00FB04DE">
        <w:rPr>
          <w:color w:val="000000"/>
        </w:rPr>
        <w:t>Aclarar el motivo por el cual llega siempre tarde a la oficina, ya que se le ha ido a buscar y su secretaria dice que no ha llegado siendo más de las 9:00 am</w:t>
      </w:r>
    </w:p>
    <w:p w14:paraId="48E4D188" w14:textId="77777777" w:rsidR="008D4D06" w:rsidRPr="00FB04DE" w:rsidRDefault="008D4D06">
      <w:pPr>
        <w:tabs>
          <w:tab w:val="left" w:pos="4962"/>
        </w:tabs>
        <w:spacing w:after="0" w:line="360" w:lineRule="auto"/>
      </w:pPr>
    </w:p>
    <w:p w14:paraId="0D473A75" w14:textId="77777777" w:rsidR="008D4D06" w:rsidRPr="00FB04DE" w:rsidRDefault="0070022B">
      <w:pPr>
        <w:spacing w:after="0" w:line="360" w:lineRule="auto"/>
        <w:rPr>
          <w:b/>
        </w:rPr>
      </w:pPr>
      <w:r w:rsidRPr="00FB04DE">
        <w:t xml:space="preserve">De la información solicitada, destacan los requerimientos descritos en los puntos 1, 2, 3 y 5, en lo que la persona Recurrente pretende conocer razones, aclaraciones o motivos por los que tienen lugar ciertas situaciones, que corresponden a peticiones que no resultan atendibles en el ejercicio de nuestra materia, dado que se tratan de </w:t>
      </w:r>
      <w:r w:rsidRPr="00FB04DE">
        <w:rPr>
          <w:b/>
        </w:rPr>
        <w:t>cuestionamientos cuyas respuestas requieren un procesamiento de la información,</w:t>
      </w:r>
      <w:r w:rsidRPr="00FB04DE">
        <w:t xml:space="preserve"> lo cual, es inatendible en el ejercicio del derecho de acceso a la información pública y a la transparencia</w:t>
      </w:r>
      <w:r w:rsidRPr="00FB04DE">
        <w:rPr>
          <w:color w:val="000000"/>
        </w:rPr>
        <w:t xml:space="preserve"> Al respecto, </w:t>
      </w:r>
      <w:r w:rsidRPr="00FB04DE">
        <w:t xml:space="preserve">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w:t>
      </w:r>
      <w:r w:rsidRPr="00FB04DE">
        <w:lastRenderedPageBreak/>
        <w:t>sólo entregarán la información que obre en sus archivos y no estarán obligados a procesarla, resumirla, efectuar cálculos o practicar investigaciones.</w:t>
      </w:r>
    </w:p>
    <w:p w14:paraId="009A4B23" w14:textId="77777777" w:rsidR="008D4D06" w:rsidRPr="00FB04DE" w:rsidRDefault="008D4D06">
      <w:pPr>
        <w:tabs>
          <w:tab w:val="left" w:pos="4962"/>
        </w:tabs>
        <w:spacing w:after="0" w:line="360" w:lineRule="auto"/>
        <w:rPr>
          <w:color w:val="000000"/>
        </w:rPr>
      </w:pPr>
    </w:p>
    <w:p w14:paraId="3A412CC5" w14:textId="77777777" w:rsidR="008D4D06" w:rsidRPr="00FB04DE" w:rsidRDefault="0070022B">
      <w:pPr>
        <w:tabs>
          <w:tab w:val="left" w:pos="4962"/>
        </w:tabs>
        <w:spacing w:after="0" w:line="360" w:lineRule="auto"/>
      </w:pPr>
      <w:r w:rsidRPr="00FB04DE">
        <w:t xml:space="preserve">De esta manera, el derecho de acceso a la información pública se satisface en aquellos casos en que se entregue la documentación en el que conste la información solicitada, sin necesidad de elaborar documentos </w:t>
      </w:r>
      <w:r w:rsidRPr="00FB04DE">
        <w:rPr>
          <w:i/>
        </w:rPr>
        <w:t>ad hoc</w:t>
      </w:r>
      <w:r w:rsidRPr="00FB04DE">
        <w:t>; lo cual, toma sustento en el artículo 160 de la Ley de Transparencia y Acceso a la Información Pública del Estado de México y Municipios, el cual refiere que los Sujetos Obligados deberán entregar la información que obre en sus archivos.</w:t>
      </w:r>
    </w:p>
    <w:p w14:paraId="715F5E1A" w14:textId="77777777" w:rsidR="008D4D06" w:rsidRPr="00FB04DE" w:rsidRDefault="008D4D06">
      <w:pPr>
        <w:tabs>
          <w:tab w:val="left" w:pos="4962"/>
        </w:tabs>
        <w:spacing w:after="0" w:line="360" w:lineRule="auto"/>
      </w:pPr>
    </w:p>
    <w:p w14:paraId="72A9FD42" w14:textId="77777777" w:rsidR="008D4D06" w:rsidRPr="00FB04DE" w:rsidRDefault="0070022B">
      <w:pPr>
        <w:tabs>
          <w:tab w:val="left" w:pos="4962"/>
        </w:tabs>
        <w:spacing w:after="0" w:line="360" w:lineRule="auto"/>
      </w:pPr>
      <w:r w:rsidRPr="00FB04DE">
        <w:t xml:space="preserve">Además, resulta aplicable el Criterio 03/17 del entonces Instituto Nacional de Transparencia, Acceso a la Información y Protección de Datos Personales: </w:t>
      </w:r>
      <w:r w:rsidRPr="00FB04DE">
        <w:rPr>
          <w:b/>
          <w:i/>
        </w:rPr>
        <w:t xml:space="preserve">No existe obligación de elaborar documentos ad hoc para atender las solicitudes de acceso a la información.; </w:t>
      </w:r>
      <w:r w:rsidRPr="00FB04DE">
        <w:rPr>
          <w:b/>
        </w:rPr>
        <w:t>en el que se precisa que de conformidad con los</w:t>
      </w:r>
      <w:r w:rsidRPr="00FB04DE">
        <w:t xml:space="preserve"> artículos 129 de la Ley General de Transparencia y Acceso a la Información Pública y 130, párrafo cuarto, de la Ley Federal de Transparencia y Acceso a la Información Pública, 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w:t>
      </w:r>
    </w:p>
    <w:p w14:paraId="7E65C9E1" w14:textId="77777777" w:rsidR="008D4D06" w:rsidRPr="00FB04DE" w:rsidRDefault="0070022B">
      <w:pPr>
        <w:tabs>
          <w:tab w:val="left" w:pos="4962"/>
        </w:tabs>
        <w:spacing w:after="0" w:line="360" w:lineRule="auto"/>
      </w:pPr>
      <w:r w:rsidRPr="00FB04DE">
        <w:rPr>
          <w:i/>
        </w:rPr>
        <w:t xml:space="preserve"> </w:t>
      </w:r>
    </w:p>
    <w:p w14:paraId="21FEB526" w14:textId="77777777" w:rsidR="008D4D06" w:rsidRPr="00FB04DE" w:rsidRDefault="0070022B">
      <w:pPr>
        <w:spacing w:after="0" w:line="360" w:lineRule="auto"/>
      </w:pPr>
      <w:r w:rsidRPr="00FB04DE">
        <w:t>Por ello, los Sujetos Obligados únicamente se encuentran obligados a proporcionar los documentos que den cuenta de la información solicitada, como obren en sus archivos, sin tener que elaborarlos a las necesidades de la parte Recurrente.</w:t>
      </w:r>
    </w:p>
    <w:p w14:paraId="437848BF" w14:textId="77777777" w:rsidR="008D4D06" w:rsidRPr="00FB04DE" w:rsidRDefault="008D4D06">
      <w:pPr>
        <w:tabs>
          <w:tab w:val="left" w:pos="4962"/>
        </w:tabs>
        <w:spacing w:after="0" w:line="360" w:lineRule="auto"/>
        <w:rPr>
          <w:color w:val="000000"/>
        </w:rPr>
      </w:pPr>
    </w:p>
    <w:p w14:paraId="788BAE56" w14:textId="77777777" w:rsidR="008D4D06" w:rsidRPr="00FB04DE" w:rsidRDefault="0070022B">
      <w:pPr>
        <w:tabs>
          <w:tab w:val="left" w:pos="4962"/>
        </w:tabs>
        <w:spacing w:after="0" w:line="360" w:lineRule="auto"/>
        <w:rPr>
          <w:color w:val="000000"/>
        </w:rPr>
      </w:pPr>
      <w:r w:rsidRPr="00FB04DE">
        <w:rPr>
          <w:color w:val="000000"/>
        </w:rPr>
        <w:t xml:space="preserve">Así pues, los cuestionamientos formulados por la parte Recurrente, tienen otra naturaleza, y pueden tratarse de una consulta que implique el ejercicio de un derecho de petición y no de </w:t>
      </w:r>
      <w:r w:rsidRPr="00FB04DE">
        <w:rPr>
          <w:color w:val="000000"/>
        </w:rPr>
        <w:lastRenderedPageBreak/>
        <w:t>acceso a la información pública; puesto que pretenden obtener explicaciones o razonamientos que no obran en un documento ya existente.</w:t>
      </w:r>
    </w:p>
    <w:p w14:paraId="21AC091D" w14:textId="77777777" w:rsidR="008D4D06" w:rsidRPr="00FB04DE" w:rsidRDefault="008D4D06">
      <w:pPr>
        <w:tabs>
          <w:tab w:val="left" w:pos="4962"/>
        </w:tabs>
        <w:spacing w:after="0" w:line="360" w:lineRule="auto"/>
        <w:rPr>
          <w:color w:val="000000"/>
        </w:rPr>
      </w:pPr>
    </w:p>
    <w:p w14:paraId="5FE6585A" w14:textId="77777777" w:rsidR="008D4D06" w:rsidRPr="00FB04DE" w:rsidRDefault="0070022B">
      <w:pPr>
        <w:tabs>
          <w:tab w:val="left" w:pos="4962"/>
        </w:tabs>
        <w:spacing w:after="0" w:line="360" w:lineRule="auto"/>
        <w:rPr>
          <w:i/>
          <w:color w:val="000000"/>
        </w:rPr>
      </w:pPr>
      <w:r w:rsidRPr="00FB04DE">
        <w:rPr>
          <w:color w:val="000000"/>
        </w:rPr>
        <w:t xml:space="preserve">En ese tenor, por lo que respecta a la definición del derecho de petición se tiene que el Doctor Ignacio Burgoa Orihuela refiere que </w:t>
      </w:r>
      <w:r w:rsidRPr="00FB04DE">
        <w:rPr>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w:t>
      </w:r>
      <w:r w:rsidRPr="00FB04DE">
        <w:rPr>
          <w:i/>
        </w:rPr>
        <w:t>escrita</w:t>
      </w:r>
      <w:r w:rsidRPr="00FB04DE">
        <w:rPr>
          <w:i/>
          <w:color w:val="000000"/>
        </w:rPr>
        <w:t xml:space="preserve"> de cualquier índole, la cual adopta, específicamente, el carácter de simple petición administrativa, acción o recurso, etc.”. </w:t>
      </w:r>
    </w:p>
    <w:p w14:paraId="22D86517" w14:textId="77777777" w:rsidR="008D4D06" w:rsidRPr="00FB04DE" w:rsidRDefault="008D4D06">
      <w:pPr>
        <w:tabs>
          <w:tab w:val="left" w:pos="4962"/>
        </w:tabs>
        <w:spacing w:after="0" w:line="360" w:lineRule="auto"/>
        <w:rPr>
          <w:color w:val="000000"/>
        </w:rPr>
      </w:pPr>
    </w:p>
    <w:p w14:paraId="62AAE883" w14:textId="77777777" w:rsidR="008D4D06" w:rsidRPr="00FB04DE" w:rsidRDefault="0070022B">
      <w:pPr>
        <w:spacing w:after="0" w:line="360" w:lineRule="auto"/>
      </w:pPr>
      <w:r w:rsidRPr="00FB04DE">
        <w:t xml:space="preserve">Lo anterior toma relevancia, pues según Trujillo, Humberto (2019), en el </w:t>
      </w:r>
      <w:r w:rsidRPr="00FB04DE">
        <w:rPr>
          <w:i/>
        </w:rPr>
        <w:t>“Diccionario de Transparencia y Acceso a la Información Pública</w:t>
      </w:r>
      <w:r w:rsidRPr="00FB04DE">
        <w:t>”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51A6DC87" w14:textId="77777777" w:rsidR="008D4D06" w:rsidRPr="00FB04DE" w:rsidRDefault="008D4D06">
      <w:pPr>
        <w:spacing w:after="0" w:line="360" w:lineRule="auto"/>
      </w:pPr>
    </w:p>
    <w:p w14:paraId="09671950" w14:textId="77777777" w:rsidR="008D4D06" w:rsidRPr="00FB04DE" w:rsidRDefault="0070022B">
      <w:pPr>
        <w:spacing w:after="0" w:line="360" w:lineRule="auto"/>
        <w:ind w:left="567" w:right="709"/>
        <w:rPr>
          <w:i/>
          <w:sz w:val="20"/>
          <w:szCs w:val="20"/>
        </w:rPr>
      </w:pPr>
      <w:r w:rsidRPr="00FB04DE">
        <w:rPr>
          <w:b/>
          <w:i/>
          <w:sz w:val="20"/>
          <w:szCs w:val="20"/>
        </w:rPr>
        <w:t xml:space="preserve">“DERECHO DE PETICIÓN. SUS ELEMENTOS. </w:t>
      </w:r>
      <w:r w:rsidRPr="00FB04DE">
        <w:rPr>
          <w:i/>
          <w:sz w:val="20"/>
          <w:szCs w:val="20"/>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w:t>
      </w:r>
      <w:r w:rsidRPr="00FB04DE">
        <w:rPr>
          <w:i/>
          <w:sz w:val="20"/>
          <w:szCs w:val="20"/>
        </w:rPr>
        <w:lastRenderedPageBreak/>
        <w:t xml:space="preserve">personal al gobernado en el domicilio que señaló para tales efectos, sin que exista obligación de resolver en determinado sentido, esto es, el ejercicio del derecho de petición no constriñe a la autoridad ante quien se formuló, a que provea de conformidad lo solicitado por el </w:t>
      </w:r>
      <w:proofErr w:type="spellStart"/>
      <w:r w:rsidRPr="00FB04DE">
        <w:rPr>
          <w:i/>
          <w:sz w:val="20"/>
          <w:szCs w:val="20"/>
        </w:rPr>
        <w:t>promovente</w:t>
      </w:r>
      <w:proofErr w:type="spellEnd"/>
      <w:r w:rsidRPr="00FB04DE">
        <w:rPr>
          <w:i/>
          <w:sz w:val="20"/>
          <w:szCs w:val="20"/>
        </w:rPr>
        <w:t>,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5342C59D" w14:textId="77777777" w:rsidR="008D4D06" w:rsidRPr="00FB04DE" w:rsidRDefault="008D4D06">
      <w:pPr>
        <w:spacing w:after="0" w:line="360" w:lineRule="auto"/>
      </w:pPr>
    </w:p>
    <w:p w14:paraId="43A3F0AD" w14:textId="77777777" w:rsidR="008D4D06" w:rsidRPr="00FB04DE" w:rsidRDefault="0070022B">
      <w:pPr>
        <w:spacing w:after="0" w:line="360" w:lineRule="auto"/>
      </w:pPr>
      <w:r w:rsidRPr="00FB04DE">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0354F21F" w14:textId="77777777" w:rsidR="008D4D06" w:rsidRPr="00FB04DE" w:rsidRDefault="008D4D06">
      <w:pPr>
        <w:tabs>
          <w:tab w:val="left" w:pos="4962"/>
        </w:tabs>
        <w:spacing w:after="0" w:line="360" w:lineRule="auto"/>
        <w:rPr>
          <w:color w:val="000000"/>
        </w:rPr>
      </w:pPr>
    </w:p>
    <w:p w14:paraId="6CD9377F" w14:textId="77777777" w:rsidR="008D4D06" w:rsidRPr="00FB04DE" w:rsidRDefault="0070022B">
      <w:pPr>
        <w:tabs>
          <w:tab w:val="left" w:pos="4962"/>
        </w:tabs>
        <w:spacing w:after="0" w:line="360" w:lineRule="auto"/>
        <w:rPr>
          <w:color w:val="000000"/>
        </w:rPr>
      </w:pPr>
      <w:r w:rsidRPr="00FB04DE">
        <w:rPr>
          <w:color w:val="000000"/>
        </w:rPr>
        <w:t xml:space="preserve">Por otra parte, el derecho de acceso a la información pública,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6432F1BB" w14:textId="77777777" w:rsidR="008D4D06" w:rsidRPr="00FB04DE" w:rsidRDefault="008D4D06">
      <w:pPr>
        <w:spacing w:after="0" w:line="360" w:lineRule="auto"/>
      </w:pPr>
    </w:p>
    <w:p w14:paraId="1170879A" w14:textId="77777777" w:rsidR="008D4D06" w:rsidRPr="00FB04DE" w:rsidRDefault="0070022B">
      <w:pPr>
        <w:tabs>
          <w:tab w:val="left" w:pos="4962"/>
        </w:tabs>
        <w:spacing w:after="0" w:line="360" w:lineRule="auto"/>
        <w:rPr>
          <w:color w:val="000000"/>
        </w:rPr>
      </w:pPr>
      <w:r w:rsidRPr="00FB04DE">
        <w:rPr>
          <w:color w:val="000000"/>
        </w:rPr>
        <w:t xml:space="preserve">En consecuencia, lo solicitado en los </w:t>
      </w:r>
      <w:r w:rsidRPr="00FB04DE">
        <w:rPr>
          <w:b/>
          <w:color w:val="000000"/>
        </w:rPr>
        <w:t>puntos 1, 2, 3 y 5</w:t>
      </w:r>
      <w:r w:rsidRPr="00FB04DE">
        <w:rPr>
          <w:color w:val="000000"/>
        </w:rPr>
        <w:t xml:space="preserve"> no pertenecen al derecho de acceso a la información sino al derecho de petición, ya que de ellos derivan cuestionamientos, cuya única respuesta implica que se procese la información y se emita un pronunciamiento específico; por lo que, corresponden a una consulta.</w:t>
      </w:r>
    </w:p>
    <w:p w14:paraId="250ECB4E" w14:textId="77777777" w:rsidR="008D4D06" w:rsidRPr="00FB04DE" w:rsidRDefault="008D4D06">
      <w:pPr>
        <w:tabs>
          <w:tab w:val="left" w:pos="4962"/>
        </w:tabs>
        <w:spacing w:after="0" w:line="360" w:lineRule="auto"/>
        <w:rPr>
          <w:color w:val="000000"/>
        </w:rPr>
      </w:pPr>
    </w:p>
    <w:p w14:paraId="439A3731" w14:textId="77777777" w:rsidR="008D4D06" w:rsidRPr="00FB04DE" w:rsidRDefault="0070022B">
      <w:pPr>
        <w:tabs>
          <w:tab w:val="left" w:pos="4962"/>
        </w:tabs>
        <w:spacing w:after="0" w:line="360" w:lineRule="auto"/>
        <w:rPr>
          <w:color w:val="000000"/>
        </w:rPr>
      </w:pPr>
      <w:r w:rsidRPr="00FB04DE">
        <w:rPr>
          <w:color w:val="000000"/>
        </w:rPr>
        <w:t xml:space="preserve">En atención a lo anterior, se actualiza la causal de improcedencia previsto en el artículo 191 fracción VI de la Ley de Transparencia y Acceso a la Información Pública del Estado de México </w:t>
      </w:r>
      <w:r w:rsidRPr="00FB04DE">
        <w:rPr>
          <w:color w:val="000000"/>
        </w:rPr>
        <w:lastRenderedPageBreak/>
        <w:t>y Municipios; que implica que el Recurso de Revisión será improcedente cuando se trate de una consulta.</w:t>
      </w:r>
    </w:p>
    <w:p w14:paraId="0E443410" w14:textId="77777777" w:rsidR="008D4D06" w:rsidRPr="00FB04DE" w:rsidRDefault="008D4D06">
      <w:pPr>
        <w:tabs>
          <w:tab w:val="left" w:pos="4962"/>
        </w:tabs>
        <w:spacing w:after="0" w:line="360" w:lineRule="auto"/>
        <w:rPr>
          <w:color w:val="000000"/>
        </w:rPr>
      </w:pPr>
    </w:p>
    <w:p w14:paraId="698DF472" w14:textId="77777777" w:rsidR="008D4D06" w:rsidRPr="00FB04DE" w:rsidRDefault="0070022B">
      <w:pPr>
        <w:tabs>
          <w:tab w:val="left" w:pos="4962"/>
        </w:tabs>
        <w:spacing w:after="0" w:line="360" w:lineRule="auto"/>
        <w:rPr>
          <w:color w:val="000000"/>
        </w:rPr>
      </w:pPr>
      <w:r w:rsidRPr="00FB04DE">
        <w:rPr>
          <w:color w:val="000000"/>
        </w:rPr>
        <w:t xml:space="preserve">Por tanto, se actualiza el supuesto previsto en el artículo 192 fracción VI de la Ley de Transparencia y Acceso a la Información Pública del Estado de México y Municipios; que señala, como una causa de sobreseimiento que, una vez admitido un Recurso de Revisión aparezca una causal de improcedencia; </w:t>
      </w:r>
      <w:r w:rsidRPr="00FB04DE">
        <w:rPr>
          <w:b/>
          <w:color w:val="000000"/>
        </w:rPr>
        <w:t>en el caso concreto, que la parte Recurrente formuló una consulta como solicitud de información.</w:t>
      </w:r>
      <w:r w:rsidRPr="00FB04DE">
        <w:rPr>
          <w:color w:val="000000"/>
        </w:rPr>
        <w:t xml:space="preserve"> </w:t>
      </w:r>
    </w:p>
    <w:p w14:paraId="05E7A0D2" w14:textId="77777777" w:rsidR="008D4D06" w:rsidRPr="00FB04DE" w:rsidRDefault="008D4D06">
      <w:pPr>
        <w:tabs>
          <w:tab w:val="left" w:pos="4962"/>
        </w:tabs>
        <w:spacing w:after="0" w:line="360" w:lineRule="auto"/>
      </w:pPr>
    </w:p>
    <w:p w14:paraId="22113EE1" w14:textId="77777777" w:rsidR="008D4D06" w:rsidRPr="00FB04DE" w:rsidRDefault="0070022B">
      <w:pPr>
        <w:tabs>
          <w:tab w:val="left" w:pos="4962"/>
        </w:tabs>
        <w:spacing w:after="0" w:line="360" w:lineRule="auto"/>
        <w:rPr>
          <w:color w:val="000000"/>
        </w:rPr>
      </w:pPr>
      <w:r w:rsidRPr="00FB04DE">
        <w:rPr>
          <w:color w:val="000000"/>
        </w:rPr>
        <w:t xml:space="preserve">En consecuencia, </w:t>
      </w:r>
      <w:r w:rsidRPr="00FB04DE">
        <w:rPr>
          <w:b/>
          <w:color w:val="000000"/>
        </w:rPr>
        <w:t>lo solicitado en los puntos 1, 2, 3 y</w:t>
      </w:r>
      <w:r w:rsidRPr="00FB04DE">
        <w:rPr>
          <w:color w:val="000000"/>
        </w:rPr>
        <w:t xml:space="preserve"> </w:t>
      </w:r>
      <w:proofErr w:type="gramStart"/>
      <w:r w:rsidRPr="00FB04DE">
        <w:rPr>
          <w:b/>
          <w:color w:val="000000"/>
        </w:rPr>
        <w:t xml:space="preserve">5 </w:t>
      </w:r>
      <w:r w:rsidRPr="00FB04DE">
        <w:rPr>
          <w:color w:val="000000"/>
        </w:rPr>
        <w:t xml:space="preserve"> </w:t>
      </w:r>
      <w:r w:rsidRPr="00FB04DE">
        <w:rPr>
          <w:b/>
          <w:color w:val="000000"/>
        </w:rPr>
        <w:t>no</w:t>
      </w:r>
      <w:proofErr w:type="gramEnd"/>
      <w:r w:rsidRPr="00FB04DE">
        <w:rPr>
          <w:b/>
          <w:color w:val="000000"/>
        </w:rPr>
        <w:t xml:space="preserve"> pertenecen al derecho de acceso a la información sino al derecho de petición, </w:t>
      </w:r>
      <w:r w:rsidRPr="00FB04DE">
        <w:rPr>
          <w:color w:val="000000"/>
        </w:rPr>
        <w:t>ya que de derivan cuestionamientos, cuya única respuesta implica que se procese la información, por lo que no formarán parte del análisis que nos ocupa.</w:t>
      </w:r>
    </w:p>
    <w:p w14:paraId="0AA6061F" w14:textId="77777777" w:rsidR="008D4D06" w:rsidRPr="00FB04DE" w:rsidRDefault="008D4D06">
      <w:pPr>
        <w:tabs>
          <w:tab w:val="left" w:pos="4962"/>
        </w:tabs>
        <w:spacing w:after="0" w:line="360" w:lineRule="auto"/>
        <w:rPr>
          <w:color w:val="000000"/>
        </w:rPr>
      </w:pPr>
    </w:p>
    <w:p w14:paraId="2C5E523F" w14:textId="1F52947D" w:rsidR="008D4D06" w:rsidRPr="00FB04DE" w:rsidRDefault="0070022B">
      <w:pPr>
        <w:tabs>
          <w:tab w:val="left" w:pos="4962"/>
        </w:tabs>
        <w:spacing w:after="0" w:line="360" w:lineRule="auto"/>
      </w:pPr>
      <w:r w:rsidRPr="00FB04DE">
        <w:rPr>
          <w:color w:val="000000"/>
        </w:rPr>
        <w:t>En este sentido subsiste únicamente el requerimiento descrito en el punto 4; es decir,</w:t>
      </w:r>
      <w:r w:rsidRPr="00FB04DE">
        <w:rPr>
          <w:b/>
          <w:color w:val="000000"/>
        </w:rPr>
        <w:t xml:space="preserve"> los horarios de entrada y salida del personal del áre</w:t>
      </w:r>
      <w:r w:rsidR="001203D3" w:rsidRPr="00FB04DE">
        <w:rPr>
          <w:b/>
          <w:color w:val="000000"/>
        </w:rPr>
        <w:t xml:space="preserve">a; </w:t>
      </w:r>
      <w:r w:rsidR="001203D3" w:rsidRPr="00FB04DE">
        <w:rPr>
          <w:bCs/>
          <w:color w:val="000000"/>
        </w:rPr>
        <w:t>sobre dicho tema, e</w:t>
      </w:r>
      <w:r w:rsidRPr="00FB04DE">
        <w:t>n respuesta, el Sujeto Obligado, a través de la Encargada de Comunicación Social y Gobierno Digital, informó medularmente, lo siguiente:</w:t>
      </w:r>
    </w:p>
    <w:p w14:paraId="398615A0" w14:textId="77777777" w:rsidR="008D4D06" w:rsidRPr="00FB04DE" w:rsidRDefault="008D4D06">
      <w:pPr>
        <w:tabs>
          <w:tab w:val="left" w:pos="4962"/>
        </w:tabs>
        <w:spacing w:after="0" w:line="360" w:lineRule="auto"/>
      </w:pPr>
    </w:p>
    <w:p w14:paraId="67F873B0" w14:textId="77777777" w:rsidR="008D4D06" w:rsidRPr="00FB04DE" w:rsidRDefault="0070022B">
      <w:pPr>
        <w:numPr>
          <w:ilvl w:val="0"/>
          <w:numId w:val="1"/>
        </w:numPr>
        <w:pBdr>
          <w:top w:val="nil"/>
          <w:left w:val="nil"/>
          <w:bottom w:val="nil"/>
          <w:right w:val="nil"/>
          <w:between w:val="nil"/>
        </w:pBdr>
        <w:tabs>
          <w:tab w:val="left" w:pos="4962"/>
        </w:tabs>
        <w:spacing w:after="0" w:line="360" w:lineRule="auto"/>
        <w:rPr>
          <w:color w:val="000000"/>
        </w:rPr>
      </w:pPr>
      <w:r w:rsidRPr="00FB04DE">
        <w:rPr>
          <w:color w:val="000000"/>
        </w:rPr>
        <w:t>Que el Manual de Procedimientos de la Coordinación de Comunicación Social y Gobierno Digital establece los procesos que deben seguir las distintas dependencias de la Administración Municipal 2025-2027 para solicitar la toma de evidencia fotográfica, por lo que son tomadas por la servidora pública o en su caso, por su personal.</w:t>
      </w:r>
    </w:p>
    <w:p w14:paraId="417B1B9A" w14:textId="77777777" w:rsidR="008D4D06" w:rsidRPr="00FB04DE" w:rsidRDefault="0070022B">
      <w:pPr>
        <w:numPr>
          <w:ilvl w:val="0"/>
          <w:numId w:val="1"/>
        </w:numPr>
        <w:pBdr>
          <w:top w:val="nil"/>
          <w:left w:val="nil"/>
          <w:bottom w:val="nil"/>
          <w:right w:val="nil"/>
          <w:between w:val="nil"/>
        </w:pBdr>
        <w:tabs>
          <w:tab w:val="left" w:pos="4962"/>
        </w:tabs>
        <w:spacing w:after="0" w:line="360" w:lineRule="auto"/>
        <w:rPr>
          <w:color w:val="000000"/>
        </w:rPr>
      </w:pPr>
      <w:r w:rsidRPr="00FB04DE">
        <w:rPr>
          <w:color w:val="000000"/>
        </w:rPr>
        <w:t>Que si alguna dependencia decide capturar sus propias fotografías las envían para ser difundidas en la página oficial de Facebook, conforme a la normatividad señalada.</w:t>
      </w:r>
    </w:p>
    <w:p w14:paraId="2ADEB5AB" w14:textId="77777777" w:rsidR="008D4D06" w:rsidRPr="00FB04DE" w:rsidRDefault="0070022B">
      <w:pPr>
        <w:numPr>
          <w:ilvl w:val="0"/>
          <w:numId w:val="1"/>
        </w:numPr>
        <w:pBdr>
          <w:top w:val="nil"/>
          <w:left w:val="nil"/>
          <w:bottom w:val="nil"/>
          <w:right w:val="nil"/>
          <w:between w:val="nil"/>
        </w:pBdr>
        <w:tabs>
          <w:tab w:val="left" w:pos="4962"/>
        </w:tabs>
        <w:spacing w:after="0" w:line="360" w:lineRule="auto"/>
        <w:rPr>
          <w:color w:val="000000"/>
        </w:rPr>
      </w:pPr>
      <w:r w:rsidRPr="00FB04DE">
        <w:rPr>
          <w:color w:val="000000"/>
        </w:rPr>
        <w:t>Que no existe ley que defina un perfil específico para ocupar el cargo con el que cuenta.</w:t>
      </w:r>
    </w:p>
    <w:p w14:paraId="3CEC28FA" w14:textId="77777777" w:rsidR="008D4D06" w:rsidRPr="00FB04DE" w:rsidRDefault="0070022B">
      <w:pPr>
        <w:numPr>
          <w:ilvl w:val="0"/>
          <w:numId w:val="1"/>
        </w:numPr>
        <w:pBdr>
          <w:top w:val="nil"/>
          <w:left w:val="nil"/>
          <w:bottom w:val="nil"/>
          <w:right w:val="nil"/>
          <w:between w:val="nil"/>
        </w:pBdr>
        <w:tabs>
          <w:tab w:val="left" w:pos="4962"/>
        </w:tabs>
        <w:spacing w:after="0" w:line="360" w:lineRule="auto"/>
        <w:rPr>
          <w:color w:val="000000"/>
        </w:rPr>
      </w:pPr>
      <w:r w:rsidRPr="00FB04DE">
        <w:rPr>
          <w:color w:val="000000"/>
        </w:rPr>
        <w:lastRenderedPageBreak/>
        <w:t xml:space="preserve">Proporcionó el horario de entrada y salida del personal </w:t>
      </w:r>
    </w:p>
    <w:p w14:paraId="4AECE014" w14:textId="77777777" w:rsidR="008D4D06" w:rsidRPr="00FB04DE" w:rsidRDefault="0070022B">
      <w:pPr>
        <w:numPr>
          <w:ilvl w:val="0"/>
          <w:numId w:val="1"/>
        </w:numPr>
        <w:pBdr>
          <w:top w:val="nil"/>
          <w:left w:val="nil"/>
          <w:bottom w:val="nil"/>
          <w:right w:val="nil"/>
          <w:between w:val="nil"/>
        </w:pBdr>
        <w:tabs>
          <w:tab w:val="left" w:pos="4962"/>
        </w:tabs>
        <w:spacing w:after="0" w:line="360" w:lineRule="auto"/>
        <w:rPr>
          <w:color w:val="000000"/>
        </w:rPr>
      </w:pPr>
      <w:r w:rsidRPr="00FB04DE">
        <w:rPr>
          <w:color w:val="000000"/>
        </w:rPr>
        <w:t xml:space="preserve">Indicó razones y motivos por lo que algunas ocasiones realiza trabajo de campo. </w:t>
      </w:r>
    </w:p>
    <w:p w14:paraId="7C5D3042" w14:textId="77777777" w:rsidR="008D4D06" w:rsidRPr="00FB04DE" w:rsidRDefault="008D4D06">
      <w:pPr>
        <w:tabs>
          <w:tab w:val="left" w:pos="4962"/>
        </w:tabs>
        <w:spacing w:after="0" w:line="360" w:lineRule="auto"/>
      </w:pPr>
    </w:p>
    <w:p w14:paraId="1E1161BE" w14:textId="6D104979" w:rsidR="008D4D06" w:rsidRPr="00FB04DE" w:rsidRDefault="0070022B">
      <w:pPr>
        <w:tabs>
          <w:tab w:val="left" w:pos="4962"/>
        </w:tabs>
        <w:spacing w:after="0" w:line="360" w:lineRule="auto"/>
      </w:pPr>
      <w:r w:rsidRPr="00FB04DE">
        <w:t xml:space="preserve">Derivado de la respuesta, la parte Recurrente se inconformó y </w:t>
      </w:r>
      <w:r w:rsidR="001203D3" w:rsidRPr="00FB04DE">
        <w:t>requirió lo siguiente:</w:t>
      </w:r>
    </w:p>
    <w:p w14:paraId="1DF63E63" w14:textId="77777777" w:rsidR="001203D3" w:rsidRPr="00FB04DE" w:rsidRDefault="001203D3">
      <w:pPr>
        <w:tabs>
          <w:tab w:val="left" w:pos="4962"/>
        </w:tabs>
        <w:spacing w:after="0" w:line="360" w:lineRule="auto"/>
      </w:pPr>
    </w:p>
    <w:p w14:paraId="1BDF82FA"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 xml:space="preserve">Requiere la entrega del Manual de procedimientos al que se hace referencia, debidamente avalado por la autoridad competente en fechas anteriores a la emisión de la respuesta, a fin de verificar que dicho documento estaba vigente y aplicable al momento de su uso como fundamento.  </w:t>
      </w:r>
    </w:p>
    <w:p w14:paraId="68B07933"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Requiere la entrega del nombramiento oficial de la actual encargada del área, así como los documentos que justifiquen su asignación al cargo, incluyendo cualquier respaldo institucional que avale su perfil para desempeñar funciones específicas en Comunicación Social.</w:t>
      </w:r>
    </w:p>
    <w:p w14:paraId="55268533"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 xml:space="preserve">Señaló que la persona encargada se encuentra cursando estudios en ciencias políticas y que no guarda relación directa con el área y explicó los conocimientos que requiere el cargo. </w:t>
      </w:r>
    </w:p>
    <w:p w14:paraId="41D0D00A"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Respecto al horario señaló que no se respecta de manera regular y que el personal tiene ausencias que no están justificadas.</w:t>
      </w:r>
    </w:p>
    <w:p w14:paraId="02C9F9A9"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 xml:space="preserve">Solicitó los registros de entrada y salida del personal adscrito al área de Comunicación Social y Gobierno Digital durante los últimos tres meses, obtenidos directamente de la hoja de asistencia, </w:t>
      </w:r>
      <w:proofErr w:type="spellStart"/>
      <w:r w:rsidRPr="00FB04DE">
        <w:rPr>
          <w:color w:val="000000"/>
        </w:rPr>
        <w:t>checador</w:t>
      </w:r>
      <w:proofErr w:type="spellEnd"/>
      <w:r w:rsidRPr="00FB04DE">
        <w:rPr>
          <w:color w:val="000000"/>
        </w:rPr>
        <w:t xml:space="preserve"> o del método que se utilice oficialmente como control de asistencia del personal, sin alteraciones ni versiones editadas.</w:t>
      </w:r>
    </w:p>
    <w:p w14:paraId="197B7CB2"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Solicitó los reportes de actividades que justifiquen la llegada tardía de la encargada en los días en que no se ha encontrado en la oficina.</w:t>
      </w:r>
    </w:p>
    <w:p w14:paraId="316B8A44"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t>Solicitó las evidencias de trabajo de campo que justifiquen sus ausencias, en caso de que existan.</w:t>
      </w:r>
    </w:p>
    <w:p w14:paraId="05A415C5" w14:textId="77777777" w:rsidR="008D4D06" w:rsidRPr="00FB04DE" w:rsidRDefault="0070022B">
      <w:pPr>
        <w:numPr>
          <w:ilvl w:val="0"/>
          <w:numId w:val="3"/>
        </w:numPr>
        <w:pBdr>
          <w:top w:val="nil"/>
          <w:left w:val="nil"/>
          <w:bottom w:val="nil"/>
          <w:right w:val="nil"/>
          <w:between w:val="nil"/>
        </w:pBdr>
        <w:tabs>
          <w:tab w:val="left" w:pos="4962"/>
        </w:tabs>
        <w:spacing w:after="0" w:line="360" w:lineRule="auto"/>
        <w:ind w:left="360"/>
        <w:rPr>
          <w:color w:val="000000"/>
        </w:rPr>
      </w:pPr>
      <w:r w:rsidRPr="00FB04DE">
        <w:rPr>
          <w:color w:val="000000"/>
        </w:rPr>
        <w:lastRenderedPageBreak/>
        <w:t>Señaló diversos argumentos en torno al incumplimiento de horarios y ausencia del personal y de la titular, así como consideraciones sobre las actividades de los “buenos jefes”</w:t>
      </w:r>
    </w:p>
    <w:p w14:paraId="02E3C97D" w14:textId="77777777" w:rsidR="008D4D06" w:rsidRPr="00FB04DE" w:rsidRDefault="008D4D06">
      <w:pPr>
        <w:tabs>
          <w:tab w:val="left" w:pos="4962"/>
        </w:tabs>
        <w:spacing w:after="0" w:line="360" w:lineRule="auto"/>
      </w:pPr>
    </w:p>
    <w:p w14:paraId="77B5663F" w14:textId="77777777" w:rsidR="008D4D06" w:rsidRPr="00FB04DE" w:rsidRDefault="0070022B">
      <w:pPr>
        <w:tabs>
          <w:tab w:val="left" w:pos="4962"/>
        </w:tabs>
        <w:spacing w:after="0" w:line="360" w:lineRule="auto"/>
      </w:pPr>
      <w:r w:rsidRPr="00FB04DE">
        <w:t xml:space="preserve">De los argumentos manifestados por el Recurrente, se aprecia que se los argumentos descritos en el punto </w:t>
      </w:r>
      <w:r w:rsidRPr="00FB04DE">
        <w:rPr>
          <w:b/>
        </w:rPr>
        <w:t>3, 4 y 8</w:t>
      </w:r>
      <w:r w:rsidRPr="00FB04DE">
        <w:t xml:space="preserve"> corresponden a los siguientes:</w:t>
      </w:r>
    </w:p>
    <w:p w14:paraId="052074AE" w14:textId="77777777" w:rsidR="008D4D06" w:rsidRPr="00FB04DE" w:rsidRDefault="008D4D06">
      <w:pPr>
        <w:tabs>
          <w:tab w:val="left" w:pos="4962"/>
        </w:tabs>
        <w:spacing w:after="0" w:line="360" w:lineRule="auto"/>
      </w:pPr>
    </w:p>
    <w:p w14:paraId="4928EFEE" w14:textId="77777777" w:rsidR="008D4D06" w:rsidRPr="00FB04DE" w:rsidRDefault="0070022B">
      <w:pPr>
        <w:tabs>
          <w:tab w:val="left" w:pos="4962"/>
        </w:tabs>
        <w:spacing w:after="0" w:line="360" w:lineRule="auto"/>
        <w:ind w:left="567" w:right="709"/>
        <w:rPr>
          <w:i/>
          <w:sz w:val="20"/>
          <w:szCs w:val="20"/>
        </w:rPr>
      </w:pPr>
      <w:r w:rsidRPr="00FB04DE">
        <w:rPr>
          <w:i/>
          <w:sz w:val="20"/>
          <w:szCs w:val="20"/>
        </w:rPr>
        <w:t>“En su contestación se afirma que no existe una ley que determine un perfil específico para estar al frente de dicha área, basándose en lo establecido en el manual de procedimientos. Esta afirmación, además de ambigua, resulta preocupante, ya que omite principios básicos de profesionalización del servicio público.</w:t>
      </w:r>
    </w:p>
    <w:p w14:paraId="42896A8F" w14:textId="77777777" w:rsidR="008D4D06" w:rsidRPr="00FB04DE" w:rsidRDefault="0070022B">
      <w:pPr>
        <w:tabs>
          <w:tab w:val="left" w:pos="4962"/>
        </w:tabs>
        <w:spacing w:after="0" w:line="360" w:lineRule="auto"/>
        <w:ind w:left="567" w:right="709"/>
        <w:rPr>
          <w:i/>
          <w:sz w:val="20"/>
          <w:szCs w:val="20"/>
        </w:rPr>
      </w:pPr>
      <w:r w:rsidRPr="00FB04DE">
        <w:rPr>
          <w:i/>
          <w:sz w:val="20"/>
          <w:szCs w:val="20"/>
        </w:rPr>
        <w:t>…</w:t>
      </w:r>
    </w:p>
    <w:p w14:paraId="2CC9B569" w14:textId="77777777" w:rsidR="008D4D06" w:rsidRPr="00FB04DE" w:rsidRDefault="0070022B">
      <w:pPr>
        <w:tabs>
          <w:tab w:val="left" w:pos="4962"/>
        </w:tabs>
        <w:spacing w:after="0" w:line="360" w:lineRule="auto"/>
        <w:ind w:left="567" w:right="709"/>
        <w:rPr>
          <w:i/>
          <w:sz w:val="20"/>
          <w:szCs w:val="20"/>
        </w:rPr>
      </w:pPr>
      <w:r w:rsidRPr="00FB04DE">
        <w:rPr>
          <w:i/>
          <w:sz w:val="20"/>
          <w:szCs w:val="20"/>
        </w:rPr>
        <w:t xml:space="preserve">La persona actualmente encargada se encuentra cursando estudios en Ciencias Políticas, formación que, si bien puede aportar elementos generales sobre administración pública, no guarda relación directa ni técnica con las funciones propias del área de Comunicación Social y Gobierno Digital. Esta área requiere conocimientos especializados en comunicación institucional, redacción estratégica, diseño de campañas, análisis de métricas digitales, gestión de imagen pública, manejo de herramientas digitales, plataformas web, diseño gráfico, y comprensión de tecnologías emergentes aplicadas a la comunicación gubernamental. </w:t>
      </w:r>
    </w:p>
    <w:p w14:paraId="51413F3B" w14:textId="77777777" w:rsidR="008D4D06" w:rsidRPr="00FB04DE" w:rsidRDefault="008D4D06">
      <w:pPr>
        <w:tabs>
          <w:tab w:val="left" w:pos="4962"/>
        </w:tabs>
        <w:spacing w:after="0" w:line="360" w:lineRule="auto"/>
        <w:ind w:left="567" w:right="709"/>
        <w:rPr>
          <w:i/>
          <w:sz w:val="20"/>
          <w:szCs w:val="20"/>
        </w:rPr>
      </w:pPr>
    </w:p>
    <w:p w14:paraId="4F239C37" w14:textId="77777777" w:rsidR="008D4D06" w:rsidRPr="00FB04DE" w:rsidRDefault="0070022B">
      <w:pPr>
        <w:tabs>
          <w:tab w:val="left" w:pos="4962"/>
        </w:tabs>
        <w:spacing w:after="0" w:line="360" w:lineRule="auto"/>
        <w:ind w:left="567" w:right="709"/>
        <w:rPr>
          <w:i/>
          <w:sz w:val="20"/>
          <w:szCs w:val="20"/>
        </w:rPr>
      </w:pPr>
      <w:r w:rsidRPr="00FB04DE">
        <w:rPr>
          <w:i/>
          <w:sz w:val="20"/>
          <w:szCs w:val="20"/>
        </w:rPr>
        <w:t xml:space="preserve">Además, el trabajo cotidiano exige habilidades prácticas como la revisión de conectividad, mantenimiento básico de equipos, configuración de herramientas digitales y solución de problemas técnicos menores. No se puede coordinar eficazmente si se desconoce cómo funcionan los recursos tecnológicos que se utilizan a diario. </w:t>
      </w:r>
    </w:p>
    <w:p w14:paraId="242CC565" w14:textId="77777777" w:rsidR="008D4D06" w:rsidRPr="00FB04DE" w:rsidRDefault="008D4D06">
      <w:pPr>
        <w:tabs>
          <w:tab w:val="left" w:pos="4962"/>
        </w:tabs>
        <w:spacing w:after="0" w:line="360" w:lineRule="auto"/>
        <w:ind w:left="567" w:right="709"/>
        <w:rPr>
          <w:i/>
          <w:sz w:val="20"/>
          <w:szCs w:val="20"/>
        </w:rPr>
      </w:pPr>
    </w:p>
    <w:p w14:paraId="649D7E3E" w14:textId="77777777" w:rsidR="008D4D06" w:rsidRPr="00FB04DE" w:rsidRDefault="0070022B">
      <w:pPr>
        <w:tabs>
          <w:tab w:val="left" w:pos="4962"/>
        </w:tabs>
        <w:spacing w:after="0" w:line="360" w:lineRule="auto"/>
        <w:ind w:left="567" w:right="709"/>
        <w:rPr>
          <w:i/>
          <w:sz w:val="20"/>
          <w:szCs w:val="20"/>
        </w:rPr>
      </w:pPr>
      <w:r w:rsidRPr="00FB04DE">
        <w:rPr>
          <w:i/>
          <w:sz w:val="20"/>
          <w:szCs w:val="20"/>
        </w:rPr>
        <w:t>Dirigir esta área no es solo publicar contenido en redes sociales. Es construir una narrativa institucional sólida, proteger la imagen pública y fortalecer el vínculo entre gobierno y ciudadanía a través de medios digitales. Asignar esta responsabilidad a alguien sin el perfil adecuado limita el alcance del área y pone en riesgo la credibilidad institucional.</w:t>
      </w:r>
    </w:p>
    <w:p w14:paraId="09010677" w14:textId="77777777" w:rsidR="008D4D06" w:rsidRPr="00FB04DE" w:rsidRDefault="0070022B">
      <w:pPr>
        <w:tabs>
          <w:tab w:val="left" w:pos="4962"/>
        </w:tabs>
        <w:spacing w:after="0" w:line="360" w:lineRule="auto"/>
        <w:ind w:left="567" w:right="709"/>
        <w:rPr>
          <w:i/>
          <w:sz w:val="20"/>
          <w:szCs w:val="20"/>
        </w:rPr>
      </w:pPr>
      <w:r w:rsidRPr="00FB04DE">
        <w:rPr>
          <w:i/>
          <w:sz w:val="20"/>
          <w:szCs w:val="20"/>
        </w:rPr>
        <w:t>…</w:t>
      </w:r>
    </w:p>
    <w:p w14:paraId="0761B2F7" w14:textId="77777777" w:rsidR="008D4D06" w:rsidRPr="00FB04DE" w:rsidRDefault="0070022B">
      <w:pPr>
        <w:tabs>
          <w:tab w:val="left" w:pos="4962"/>
        </w:tabs>
        <w:spacing w:after="0" w:line="360" w:lineRule="auto"/>
        <w:ind w:left="567" w:right="709"/>
        <w:rPr>
          <w:i/>
          <w:sz w:val="20"/>
          <w:szCs w:val="20"/>
        </w:rPr>
      </w:pPr>
      <w:r w:rsidRPr="00FB04DE">
        <w:rPr>
          <w:i/>
          <w:sz w:val="20"/>
          <w:szCs w:val="20"/>
        </w:rPr>
        <w:lastRenderedPageBreak/>
        <w:t xml:space="preserve">Todo buen jefe debe tener una visión amplia y técnica del trabajo que coordina. No se trata solo de delegar tareas, sino de entender los procesos, orientar al equipo, tomar decisiones informadas y garantizar que el área funcione con eficiencia y creatividad. Liderar Comunicación Social y Gobierno Digital implica preparación, criterio y capacidad para responder ante cualquier situación, desde una falla en el sistema hasta una crisis de comunicación. </w:t>
      </w:r>
    </w:p>
    <w:p w14:paraId="4A1B55E4" w14:textId="77777777" w:rsidR="008D4D06" w:rsidRPr="00FB04DE" w:rsidRDefault="008D4D06">
      <w:pPr>
        <w:tabs>
          <w:tab w:val="left" w:pos="4962"/>
        </w:tabs>
        <w:spacing w:after="0" w:line="360" w:lineRule="auto"/>
        <w:ind w:left="567" w:right="709"/>
        <w:rPr>
          <w:i/>
          <w:sz w:val="20"/>
          <w:szCs w:val="20"/>
        </w:rPr>
      </w:pPr>
    </w:p>
    <w:p w14:paraId="15BAF375" w14:textId="77777777" w:rsidR="008D4D06" w:rsidRPr="00FB04DE" w:rsidRDefault="0070022B">
      <w:pPr>
        <w:tabs>
          <w:tab w:val="left" w:pos="4962"/>
        </w:tabs>
        <w:spacing w:after="0" w:line="360" w:lineRule="auto"/>
        <w:ind w:left="567" w:right="709"/>
        <w:rPr>
          <w:i/>
          <w:sz w:val="20"/>
          <w:szCs w:val="20"/>
        </w:rPr>
      </w:pPr>
      <w:r w:rsidRPr="00FB04DE">
        <w:rPr>
          <w:i/>
          <w:sz w:val="20"/>
          <w:szCs w:val="20"/>
        </w:rPr>
        <w:t>La falta de profesionalización, el incumplimiento de horarios y la ausencia de mecanismos de supervisión interna evidencian una grave deficiencia en la gestión del área. Esta situación no solo afecta la imagen institucional, sino que vulnera principios fundamentales de transparencia, eficiencia y rendición de cuentas.</w:t>
      </w:r>
    </w:p>
    <w:p w14:paraId="401A8AFF" w14:textId="77777777" w:rsidR="008D4D06" w:rsidRPr="00FB04DE" w:rsidRDefault="0070022B">
      <w:pPr>
        <w:tabs>
          <w:tab w:val="left" w:pos="4962"/>
        </w:tabs>
        <w:spacing w:after="0" w:line="360" w:lineRule="auto"/>
        <w:ind w:left="567" w:right="709"/>
        <w:rPr>
          <w:i/>
          <w:sz w:val="20"/>
          <w:szCs w:val="20"/>
        </w:rPr>
      </w:pPr>
      <w:r w:rsidRPr="00FB04DE">
        <w:rPr>
          <w:i/>
          <w:sz w:val="20"/>
          <w:szCs w:val="20"/>
        </w:rPr>
        <w:t>…”</w:t>
      </w:r>
    </w:p>
    <w:p w14:paraId="55533B04" w14:textId="77777777" w:rsidR="008D4D06" w:rsidRPr="00FB04DE" w:rsidRDefault="008D4D06">
      <w:pPr>
        <w:tabs>
          <w:tab w:val="left" w:pos="4962"/>
        </w:tabs>
        <w:spacing w:after="0" w:line="360" w:lineRule="auto"/>
      </w:pPr>
    </w:p>
    <w:p w14:paraId="750BF53F" w14:textId="77777777" w:rsidR="008D4D06" w:rsidRPr="00FB04DE" w:rsidRDefault="0070022B">
      <w:pPr>
        <w:tabs>
          <w:tab w:val="left" w:pos="4962"/>
        </w:tabs>
        <w:spacing w:after="0" w:line="360" w:lineRule="auto"/>
      </w:pPr>
      <w:r w:rsidRPr="00FB04DE">
        <w:t xml:space="preserve">Se advierte que los anteriores se tratan de manifestaciones subjetivas, que surgen de opiniones o razonamientos propios de la parte Recurrente, sin que corresponda a una solicitud o argumentos relacionados con motivos de agravio que resulten sujetos a análisis en el marco jurídico aplicable a nuestra materia, por tanto, no serán motivo de estudio en el presente. </w:t>
      </w:r>
    </w:p>
    <w:p w14:paraId="66CC6832" w14:textId="77777777" w:rsidR="008D4D06" w:rsidRPr="00FB04DE" w:rsidRDefault="008D4D06">
      <w:pPr>
        <w:tabs>
          <w:tab w:val="left" w:pos="4962"/>
        </w:tabs>
        <w:spacing w:after="0" w:line="360" w:lineRule="auto"/>
      </w:pPr>
    </w:p>
    <w:p w14:paraId="4AC63F2C" w14:textId="77777777" w:rsidR="008D4D06" w:rsidRPr="00FB04DE" w:rsidRDefault="0070022B">
      <w:pPr>
        <w:tabs>
          <w:tab w:val="left" w:pos="4962"/>
        </w:tabs>
        <w:spacing w:after="0" w:line="360" w:lineRule="auto"/>
      </w:pPr>
      <w:r w:rsidRPr="00FB04DE">
        <w:t xml:space="preserve">Aunado a ello, por cuanto hace a los argumentos descritos en los </w:t>
      </w:r>
      <w:r w:rsidRPr="00FB04DE">
        <w:rPr>
          <w:b/>
        </w:rPr>
        <w:t>puntos 1, 2, 5, 6 y 7,</w:t>
      </w:r>
      <w:r w:rsidRPr="00FB04DE">
        <w:t xml:space="preserve"> que corresponden a los siguientes:</w:t>
      </w:r>
    </w:p>
    <w:p w14:paraId="3272623D" w14:textId="77777777" w:rsidR="008D4D06" w:rsidRPr="00FB04DE" w:rsidRDefault="008D4D06">
      <w:pPr>
        <w:tabs>
          <w:tab w:val="left" w:pos="4962"/>
        </w:tabs>
        <w:spacing w:after="0" w:line="360" w:lineRule="auto"/>
      </w:pPr>
    </w:p>
    <w:p w14:paraId="692F7D2C" w14:textId="77777777" w:rsidR="008D4D06" w:rsidRPr="00FB04DE" w:rsidRDefault="0070022B">
      <w:pPr>
        <w:tabs>
          <w:tab w:val="left" w:pos="4962"/>
        </w:tabs>
        <w:spacing w:after="0" w:line="360" w:lineRule="auto"/>
        <w:ind w:left="567" w:right="709"/>
        <w:rPr>
          <w:i/>
          <w:sz w:val="20"/>
          <w:szCs w:val="20"/>
        </w:rPr>
      </w:pPr>
      <w:r w:rsidRPr="00FB04DE">
        <w:rPr>
          <w:i/>
          <w:sz w:val="20"/>
          <w:szCs w:val="20"/>
        </w:rPr>
        <w:t>“…</w:t>
      </w:r>
    </w:p>
    <w:p w14:paraId="5DE1F7F8" w14:textId="77777777" w:rsidR="008D4D06" w:rsidRPr="00FB04DE" w:rsidRDefault="0070022B">
      <w:pPr>
        <w:tabs>
          <w:tab w:val="left" w:pos="4962"/>
        </w:tabs>
        <w:spacing w:after="0" w:line="360" w:lineRule="auto"/>
        <w:ind w:left="567" w:right="709"/>
        <w:rPr>
          <w:i/>
          <w:sz w:val="20"/>
          <w:szCs w:val="20"/>
        </w:rPr>
      </w:pPr>
      <w:r w:rsidRPr="00FB04DE">
        <w:rPr>
          <w:i/>
          <w:sz w:val="20"/>
          <w:szCs w:val="20"/>
        </w:rPr>
        <w:t xml:space="preserve">Por ello, solicito de manera puntual: </w:t>
      </w:r>
    </w:p>
    <w:p w14:paraId="40F2D004" w14:textId="77777777" w:rsidR="008D4D06" w:rsidRPr="00FB04DE" w:rsidRDefault="0070022B">
      <w:pPr>
        <w:tabs>
          <w:tab w:val="left" w:pos="4962"/>
        </w:tabs>
        <w:spacing w:after="0" w:line="360" w:lineRule="auto"/>
        <w:ind w:left="567" w:right="709"/>
        <w:rPr>
          <w:i/>
          <w:sz w:val="20"/>
          <w:szCs w:val="20"/>
        </w:rPr>
      </w:pPr>
      <w:r w:rsidRPr="00FB04DE">
        <w:rPr>
          <w:i/>
          <w:sz w:val="20"/>
          <w:szCs w:val="20"/>
        </w:rPr>
        <w:t xml:space="preserve">- Una copia íntegra del manual de procedimientos al que se hace referencia, debidamente avalado por la autoridad competente en fechas anteriores a la emisión de la respuesta, a fin de verificar que dicho documento estaba vigente y aplicable al momento de su uso como fundamento. </w:t>
      </w:r>
    </w:p>
    <w:p w14:paraId="3E230B03" w14:textId="77777777" w:rsidR="008D4D06" w:rsidRPr="00FB04DE" w:rsidRDefault="0070022B">
      <w:pPr>
        <w:tabs>
          <w:tab w:val="left" w:pos="4962"/>
        </w:tabs>
        <w:spacing w:after="0" w:line="360" w:lineRule="auto"/>
        <w:ind w:left="567" w:right="709"/>
        <w:rPr>
          <w:i/>
          <w:sz w:val="20"/>
          <w:szCs w:val="20"/>
        </w:rPr>
      </w:pPr>
      <w:r w:rsidRPr="00FB04DE">
        <w:rPr>
          <w:i/>
          <w:sz w:val="20"/>
          <w:szCs w:val="20"/>
        </w:rPr>
        <w:t>- El nombramiento oficial de la actual encargada del área, así como los documentos que justifiquen su asignación al cargo, incluyendo cualquier respaldo institucional que avale su perfil para desempeñar funciones específicas en Comunicación Social.</w:t>
      </w:r>
    </w:p>
    <w:p w14:paraId="616A3898" w14:textId="77777777" w:rsidR="008D4D06" w:rsidRPr="00FB04DE" w:rsidRDefault="0070022B">
      <w:pPr>
        <w:tabs>
          <w:tab w:val="left" w:pos="4962"/>
        </w:tabs>
        <w:spacing w:after="0" w:line="360" w:lineRule="auto"/>
        <w:ind w:left="567" w:right="709"/>
        <w:rPr>
          <w:i/>
          <w:sz w:val="20"/>
          <w:szCs w:val="20"/>
        </w:rPr>
      </w:pPr>
      <w:r w:rsidRPr="00FB04DE">
        <w:rPr>
          <w:i/>
          <w:sz w:val="20"/>
          <w:szCs w:val="20"/>
        </w:rPr>
        <w:lastRenderedPageBreak/>
        <w:t>…</w:t>
      </w:r>
    </w:p>
    <w:p w14:paraId="430A1C80" w14:textId="77777777" w:rsidR="008D4D06" w:rsidRPr="00FB04DE" w:rsidRDefault="0070022B">
      <w:pPr>
        <w:tabs>
          <w:tab w:val="left" w:pos="4962"/>
        </w:tabs>
        <w:spacing w:after="0" w:line="360" w:lineRule="auto"/>
        <w:ind w:left="567" w:right="709"/>
        <w:rPr>
          <w:i/>
          <w:sz w:val="20"/>
          <w:szCs w:val="20"/>
        </w:rPr>
      </w:pPr>
      <w:r w:rsidRPr="00FB04DE">
        <w:rPr>
          <w:i/>
          <w:sz w:val="20"/>
          <w:szCs w:val="20"/>
        </w:rPr>
        <w:t xml:space="preserve">Por ello, solicito también: </w:t>
      </w:r>
    </w:p>
    <w:p w14:paraId="75F428F2" w14:textId="77777777" w:rsidR="008D4D06" w:rsidRPr="00FB04DE" w:rsidRDefault="0070022B">
      <w:pPr>
        <w:tabs>
          <w:tab w:val="left" w:pos="4962"/>
        </w:tabs>
        <w:spacing w:after="0" w:line="360" w:lineRule="auto"/>
        <w:ind w:left="567" w:right="709"/>
        <w:rPr>
          <w:i/>
          <w:sz w:val="20"/>
          <w:szCs w:val="20"/>
        </w:rPr>
      </w:pPr>
      <w:r w:rsidRPr="00FB04DE">
        <w:rPr>
          <w:i/>
          <w:sz w:val="20"/>
          <w:szCs w:val="20"/>
        </w:rPr>
        <w:t xml:space="preserve">- Los registros de entrada y salida del personal adscrito al área de Comunicación Social y Gobierno Digital durante los últimos tres meses, obtenidos directamente de la hoja de asistencia, </w:t>
      </w:r>
      <w:proofErr w:type="spellStart"/>
      <w:r w:rsidRPr="00FB04DE">
        <w:rPr>
          <w:i/>
          <w:sz w:val="20"/>
          <w:szCs w:val="20"/>
        </w:rPr>
        <w:t>checador</w:t>
      </w:r>
      <w:proofErr w:type="spellEnd"/>
      <w:r w:rsidRPr="00FB04DE">
        <w:rPr>
          <w:i/>
          <w:sz w:val="20"/>
          <w:szCs w:val="20"/>
        </w:rPr>
        <w:t xml:space="preserve"> o del método que se utilice oficialmente como control de asistencia del personal, sin alteraciones ni versiones editadas. </w:t>
      </w:r>
    </w:p>
    <w:p w14:paraId="32D3D2F0" w14:textId="77777777" w:rsidR="008D4D06" w:rsidRPr="00FB04DE" w:rsidRDefault="0070022B">
      <w:pPr>
        <w:tabs>
          <w:tab w:val="left" w:pos="4962"/>
        </w:tabs>
        <w:spacing w:after="0" w:line="360" w:lineRule="auto"/>
        <w:ind w:left="567" w:right="709"/>
        <w:rPr>
          <w:i/>
          <w:sz w:val="20"/>
          <w:szCs w:val="20"/>
        </w:rPr>
      </w:pPr>
      <w:r w:rsidRPr="00FB04DE">
        <w:rPr>
          <w:i/>
          <w:sz w:val="20"/>
          <w:szCs w:val="20"/>
        </w:rPr>
        <w:t>- Los reportes de actividades que justifiquen la llegada tardía de la encargada en los días en que no se ha encontrado en la oficina.</w:t>
      </w:r>
    </w:p>
    <w:p w14:paraId="035000CE" w14:textId="77777777" w:rsidR="008D4D06" w:rsidRPr="00FB04DE" w:rsidRDefault="0070022B">
      <w:pPr>
        <w:tabs>
          <w:tab w:val="left" w:pos="4962"/>
        </w:tabs>
        <w:spacing w:after="0" w:line="360" w:lineRule="auto"/>
        <w:ind w:left="567" w:right="709"/>
        <w:rPr>
          <w:i/>
          <w:sz w:val="20"/>
          <w:szCs w:val="20"/>
        </w:rPr>
      </w:pPr>
      <w:r w:rsidRPr="00FB04DE">
        <w:rPr>
          <w:i/>
          <w:sz w:val="20"/>
          <w:szCs w:val="20"/>
        </w:rPr>
        <w:t>- Las evidencias de trabajo de campo que justifiquen sus ausencias, en caso de que existan.</w:t>
      </w:r>
    </w:p>
    <w:p w14:paraId="2F3B9A7B" w14:textId="77777777" w:rsidR="008D4D06" w:rsidRPr="00FB04DE" w:rsidRDefault="0070022B">
      <w:pPr>
        <w:tabs>
          <w:tab w:val="left" w:pos="4962"/>
        </w:tabs>
        <w:spacing w:after="0" w:line="360" w:lineRule="auto"/>
        <w:ind w:left="567" w:right="709"/>
        <w:rPr>
          <w:i/>
          <w:sz w:val="20"/>
          <w:szCs w:val="20"/>
        </w:rPr>
      </w:pPr>
      <w:r w:rsidRPr="00FB04DE">
        <w:rPr>
          <w:i/>
          <w:sz w:val="20"/>
          <w:szCs w:val="20"/>
        </w:rPr>
        <w:t>…”</w:t>
      </w:r>
    </w:p>
    <w:p w14:paraId="144AAAC6" w14:textId="77777777" w:rsidR="008D4D06" w:rsidRPr="00FB04DE" w:rsidRDefault="008D4D06">
      <w:pPr>
        <w:tabs>
          <w:tab w:val="left" w:pos="4962"/>
        </w:tabs>
        <w:spacing w:after="0" w:line="360" w:lineRule="auto"/>
      </w:pPr>
    </w:p>
    <w:p w14:paraId="0F863590" w14:textId="77777777" w:rsidR="008D4D06" w:rsidRPr="00FB04DE" w:rsidRDefault="0070022B">
      <w:pPr>
        <w:spacing w:after="0" w:line="360" w:lineRule="auto"/>
        <w:rPr>
          <w:color w:val="000000"/>
        </w:rPr>
      </w:pPr>
      <w:r w:rsidRPr="00FB04DE">
        <w:rPr>
          <w:color w:val="000000"/>
        </w:rPr>
        <w:t>En ese sentido y conforme a lo expuesto, se logra vislumbrar que, del contraste entre el planteamiento formulado en la solicitud de información y las manifestaciones vertidas en el Medio de Impugnación, que el Particular, a través del Recurso pretende obtener información diversa a la inicialmente requerida.</w:t>
      </w:r>
    </w:p>
    <w:p w14:paraId="2AC1A1AB" w14:textId="77777777" w:rsidR="008D4D06" w:rsidRPr="00FB04DE" w:rsidRDefault="008D4D06">
      <w:pPr>
        <w:spacing w:after="0" w:line="360" w:lineRule="auto"/>
        <w:rPr>
          <w:color w:val="000000"/>
        </w:rPr>
      </w:pPr>
      <w:bookmarkStart w:id="12" w:name="_heading=h.m2abegittwjg" w:colFirst="0" w:colLast="0"/>
      <w:bookmarkEnd w:id="12"/>
    </w:p>
    <w:p w14:paraId="6163D41E" w14:textId="77777777" w:rsidR="008D4D06" w:rsidRPr="00FB04DE" w:rsidRDefault="0070022B">
      <w:pPr>
        <w:spacing w:after="0" w:line="360" w:lineRule="auto"/>
        <w:rPr>
          <w:b/>
          <w:color w:val="000000"/>
        </w:rPr>
      </w:pPr>
      <w:r w:rsidRPr="00FB04DE">
        <w:rPr>
          <w:color w:val="000000"/>
        </w:rPr>
        <w:t>Por tal circunstancia, dicha situación no puede constituir materia de estudio del presente Recurso de Revisión, debido a que la solicitud de información debe ser apreciada en los términos en que fue planteada originalmente ante el Sujeto Obligado,</w:t>
      </w:r>
      <w:r w:rsidRPr="00FB04DE">
        <w:rPr>
          <w:b/>
          <w:color w:val="000000"/>
        </w:rPr>
        <w:t xml:space="preserve"> sin variar en el fondo la controversia, ni constituir un nuevo requerimiento informativo. </w:t>
      </w:r>
    </w:p>
    <w:p w14:paraId="4DCD692D" w14:textId="77777777" w:rsidR="008D4D06" w:rsidRPr="00FB04DE" w:rsidRDefault="008D4D06">
      <w:pPr>
        <w:spacing w:after="0" w:line="360" w:lineRule="auto"/>
        <w:rPr>
          <w:b/>
          <w:color w:val="000000"/>
        </w:rPr>
      </w:pPr>
    </w:p>
    <w:p w14:paraId="5C48BADD" w14:textId="77777777" w:rsidR="008D4D06" w:rsidRPr="00FB04DE" w:rsidRDefault="0070022B">
      <w:pPr>
        <w:spacing w:after="0" w:line="360" w:lineRule="auto"/>
        <w:rPr>
          <w:color w:val="000000"/>
        </w:rPr>
      </w:pPr>
      <w:r w:rsidRPr="00FB04DE">
        <w:rPr>
          <w:color w:val="000000"/>
        </w:rPr>
        <w:t>Al respecto, resulta pertinente traer a colación el Criterio Orientador, de la Segunda Época, con clave de control SO/001/2017, emitido por el entonces Instituto Nacional de Transparencia, Acceso a la Información y Protección de Datos Personales, el cual indica que no resulta procedente ampliar vía recurso de revisión, las solicitudes de información:</w:t>
      </w:r>
    </w:p>
    <w:p w14:paraId="6D35901E" w14:textId="77777777" w:rsidR="008D4D06" w:rsidRPr="00FB04DE" w:rsidRDefault="008D4D06">
      <w:pPr>
        <w:spacing w:after="0" w:line="360" w:lineRule="auto"/>
        <w:rPr>
          <w:color w:val="000000"/>
        </w:rPr>
      </w:pPr>
    </w:p>
    <w:p w14:paraId="3AE6B4F4" w14:textId="77777777" w:rsidR="008D4D06" w:rsidRPr="00FB04DE" w:rsidRDefault="0070022B">
      <w:pPr>
        <w:spacing w:after="0" w:line="360" w:lineRule="auto"/>
        <w:ind w:left="567" w:right="567"/>
        <w:rPr>
          <w:i/>
          <w:color w:val="000000"/>
          <w:sz w:val="20"/>
          <w:szCs w:val="20"/>
        </w:rPr>
      </w:pPr>
      <w:r w:rsidRPr="00FB04DE">
        <w:rPr>
          <w:b/>
          <w:i/>
          <w:color w:val="000000"/>
          <w:sz w:val="20"/>
          <w:szCs w:val="20"/>
        </w:rPr>
        <w:t>“Es improcedente ampliar las solicitudes de acceso a información, a través de la interposición del recurso de revisión.</w:t>
      </w:r>
      <w:r w:rsidRPr="00FB04DE">
        <w:rPr>
          <w:i/>
          <w:color w:val="000000"/>
          <w:sz w:val="20"/>
          <w:szCs w:val="20"/>
        </w:rPr>
        <w:t xml:space="preserve"> En términos de los artículos 155, fracción VII de la Ley </w:t>
      </w:r>
      <w:r w:rsidRPr="00FB04DE">
        <w:rPr>
          <w:i/>
          <w:color w:val="000000"/>
          <w:sz w:val="20"/>
          <w:szCs w:val="20"/>
        </w:rPr>
        <w:lastRenderedPageBreak/>
        <w:t>General de Transparencia y Acceso a la Información Pública, y 161, fracción VII de la Ley Federal de Transparencia y Acceso a la Información Pública vigentes a la fecha de la solicitud,,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FB8B741" w14:textId="77777777" w:rsidR="008D4D06" w:rsidRPr="00FB04DE" w:rsidRDefault="008D4D06">
      <w:pPr>
        <w:spacing w:after="0" w:line="360" w:lineRule="auto"/>
        <w:ind w:left="567" w:right="567"/>
        <w:rPr>
          <w:color w:val="000000"/>
        </w:rPr>
      </w:pPr>
    </w:p>
    <w:p w14:paraId="2C5AFE73" w14:textId="77777777" w:rsidR="008D4D06" w:rsidRPr="00FB04DE" w:rsidRDefault="0070022B">
      <w:pPr>
        <w:spacing w:after="0" w:line="360" w:lineRule="auto"/>
        <w:rPr>
          <w:color w:val="000000"/>
        </w:rPr>
      </w:pPr>
      <w:r w:rsidRPr="00FB04DE">
        <w:rPr>
          <w:color w:val="000000"/>
        </w:rPr>
        <w:t xml:space="preserve">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 </w:t>
      </w:r>
    </w:p>
    <w:p w14:paraId="39E04058" w14:textId="77777777" w:rsidR="008D4D06" w:rsidRPr="00FB04DE" w:rsidRDefault="008D4D06">
      <w:pPr>
        <w:spacing w:after="0" w:line="360" w:lineRule="auto"/>
        <w:rPr>
          <w:color w:val="000000"/>
        </w:rPr>
      </w:pPr>
    </w:p>
    <w:p w14:paraId="6B113D25" w14:textId="77777777" w:rsidR="008D4D06" w:rsidRPr="00FB04DE" w:rsidRDefault="0070022B">
      <w:pPr>
        <w:spacing w:after="0" w:line="360" w:lineRule="auto"/>
        <w:rPr>
          <w:color w:val="000000"/>
        </w:rPr>
      </w:pPr>
      <w:r w:rsidRPr="00FB04DE">
        <w:rPr>
          <w:color w:val="000000"/>
        </w:rPr>
        <w:t xml:space="preserve">En ese sentido, toda vez que el Solicitante al interponer el Recurso de Revisión, amplió su solicitud de información, al requerir datos no solicitados inicialmente, se actualiza la causal de </w:t>
      </w:r>
      <w:proofErr w:type="spellStart"/>
      <w:r w:rsidRPr="00FB04DE">
        <w:rPr>
          <w:color w:val="000000"/>
        </w:rPr>
        <w:t>desechamiento</w:t>
      </w:r>
      <w:proofErr w:type="spellEnd"/>
      <w:r w:rsidRPr="00FB04DE">
        <w:rPr>
          <w:color w:val="000000"/>
        </w:rPr>
        <w:t xml:space="preserve"> establecida en el diverso 191, fracción VII, de la Ley de la materia; no obstante, toda vez que fue necesario admitir el Medio de Impugnación, para verificar dicha circunstancia.</w:t>
      </w:r>
    </w:p>
    <w:p w14:paraId="0F6391BB" w14:textId="77777777" w:rsidR="008D4D06" w:rsidRPr="00FB04DE" w:rsidRDefault="008D4D06">
      <w:pPr>
        <w:tabs>
          <w:tab w:val="left" w:pos="4962"/>
        </w:tabs>
        <w:spacing w:after="0" w:line="360" w:lineRule="auto"/>
        <w:rPr>
          <w:color w:val="000000"/>
        </w:rPr>
      </w:pPr>
    </w:p>
    <w:p w14:paraId="79DA6BF3" w14:textId="77777777" w:rsidR="008D4D06" w:rsidRPr="00FB04DE" w:rsidRDefault="0070022B">
      <w:pPr>
        <w:tabs>
          <w:tab w:val="left" w:pos="4962"/>
        </w:tabs>
        <w:spacing w:after="0" w:line="360" w:lineRule="auto"/>
        <w:rPr>
          <w:color w:val="000000"/>
        </w:rPr>
      </w:pPr>
      <w:r w:rsidRPr="00FB04DE">
        <w:rPr>
          <w:color w:val="000000"/>
        </w:rPr>
        <w:t xml:space="preserve">En conclusión, es procedente </w:t>
      </w:r>
      <w:r w:rsidRPr="00FB04DE">
        <w:rPr>
          <w:b/>
          <w:color w:val="000000"/>
        </w:rPr>
        <w:t xml:space="preserve">SOBRESEER </w:t>
      </w:r>
      <w:r w:rsidRPr="00FB04DE">
        <w:rPr>
          <w:color w:val="000000"/>
        </w:rPr>
        <w:t xml:space="preserve">los Recursos de Revisión, en atención a que, en su mayoría lo solicitado constituye una petición o consulta y en los motivos de agravio se amplió la solicitud inicial, los cuales actualizan supuestos de improcedencia para el Recurso de Revisión que nos ocupa. </w:t>
      </w:r>
    </w:p>
    <w:p w14:paraId="72501AD8" w14:textId="77777777" w:rsidR="001203D3" w:rsidRPr="00FB04DE" w:rsidRDefault="001203D3">
      <w:pPr>
        <w:tabs>
          <w:tab w:val="left" w:pos="4962"/>
        </w:tabs>
        <w:spacing w:after="0" w:line="360" w:lineRule="auto"/>
        <w:rPr>
          <w:color w:val="000000"/>
        </w:rPr>
      </w:pPr>
    </w:p>
    <w:p w14:paraId="4B6C523F" w14:textId="77777777" w:rsidR="008D4D06" w:rsidRPr="00FB04DE" w:rsidRDefault="0070022B">
      <w:pPr>
        <w:pStyle w:val="Ttulo2"/>
        <w:spacing w:before="0" w:after="0"/>
        <w:rPr>
          <w:b w:val="0"/>
        </w:rPr>
      </w:pPr>
      <w:bookmarkStart w:id="13" w:name="_Toc210313310"/>
      <w:r w:rsidRPr="00FB04DE">
        <w:t>TERCERO. Decisión</w:t>
      </w:r>
      <w:bookmarkEnd w:id="13"/>
    </w:p>
    <w:p w14:paraId="159C163A" w14:textId="77777777" w:rsidR="008D4D06" w:rsidRPr="00FB04DE" w:rsidRDefault="008D4D06">
      <w:pPr>
        <w:spacing w:after="0" w:line="360" w:lineRule="auto"/>
        <w:rPr>
          <w:b/>
        </w:rPr>
      </w:pPr>
    </w:p>
    <w:p w14:paraId="200D72A8" w14:textId="77777777" w:rsidR="008D4D06" w:rsidRPr="00FB04DE" w:rsidRDefault="0070022B">
      <w:pPr>
        <w:spacing w:after="0" w:line="360" w:lineRule="auto"/>
      </w:pPr>
      <w:bookmarkStart w:id="14" w:name="_heading=h.vwfyvmk8gqqw" w:colFirst="0" w:colLast="0"/>
      <w:bookmarkEnd w:id="14"/>
      <w:r w:rsidRPr="00FB04DE">
        <w:t xml:space="preserve">Con fundamento en los artículos 186, fracción I y 192 fracción IV; en relación con el 191, fracciones VI y VII, de la Ley de Transparencia y Acceso a la Información Pública del Estado de </w:t>
      </w:r>
      <w:r w:rsidRPr="00FB04DE">
        <w:lastRenderedPageBreak/>
        <w:t xml:space="preserve">México y Municipios, este Instituto considera procedente </w:t>
      </w:r>
      <w:r w:rsidRPr="00FB04DE">
        <w:rPr>
          <w:b/>
        </w:rPr>
        <w:t xml:space="preserve">SOBRESEER </w:t>
      </w:r>
      <w:r w:rsidRPr="00FB04DE">
        <w:t xml:space="preserve">el Recurso de Revisión </w:t>
      </w:r>
      <w:r w:rsidRPr="00FB04DE">
        <w:rPr>
          <w:b/>
        </w:rPr>
        <w:t>09436/INFOEM/IP/RR/2025</w:t>
      </w:r>
      <w:r w:rsidRPr="00FB04DE">
        <w:t xml:space="preserve">, ya que, una vez admitido el Recurso de Revisión surgieron causales de improcedencia, dado que lo solicitado en su mayoría se trata de una consulta y en los motivos de agravio se amplió la solicitud inicial. </w:t>
      </w:r>
    </w:p>
    <w:p w14:paraId="3EF46ABA" w14:textId="77777777" w:rsidR="008D4D06" w:rsidRPr="00FB04DE" w:rsidRDefault="008D4D06">
      <w:pPr>
        <w:tabs>
          <w:tab w:val="left" w:pos="4962"/>
        </w:tabs>
        <w:spacing w:after="0" w:line="360" w:lineRule="auto"/>
      </w:pPr>
    </w:p>
    <w:p w14:paraId="41AF374A" w14:textId="77777777" w:rsidR="008D4D06" w:rsidRPr="00FB04DE" w:rsidRDefault="0070022B">
      <w:pPr>
        <w:spacing w:after="0" w:line="360" w:lineRule="auto"/>
        <w:rPr>
          <w:b/>
          <w:u w:val="single"/>
        </w:rPr>
      </w:pPr>
      <w:r w:rsidRPr="00FB04DE">
        <w:rPr>
          <w:b/>
          <w:u w:val="single"/>
        </w:rPr>
        <w:t>Términos de la Resolución para conocimiento de la parte Recurrente</w:t>
      </w:r>
    </w:p>
    <w:p w14:paraId="79E8E3ED" w14:textId="77777777" w:rsidR="008D4D06" w:rsidRPr="00FB04DE" w:rsidRDefault="008D4D06">
      <w:pPr>
        <w:spacing w:after="0" w:line="360" w:lineRule="auto"/>
        <w:rPr>
          <w:b/>
          <w:u w:val="single"/>
        </w:rPr>
      </w:pPr>
    </w:p>
    <w:p w14:paraId="767CF753" w14:textId="77777777" w:rsidR="008D4D06" w:rsidRPr="00FB04DE" w:rsidRDefault="0070022B">
      <w:pPr>
        <w:widowControl w:val="0"/>
        <w:spacing w:after="0" w:line="360" w:lineRule="auto"/>
        <w:rPr>
          <w:color w:val="000000"/>
          <w:u w:val="single"/>
        </w:rPr>
      </w:pPr>
      <w:r w:rsidRPr="00FB04DE">
        <w:rPr>
          <w:color w:val="000000"/>
          <w:u w:val="single"/>
        </w:rPr>
        <w:t xml:space="preserve">Se le hace del conocimiento al Particular que, el derecho de acceso a la información pública consiste en que la población pueda obtener la información o documentación que ya fue generada y deba existir en los archivos del Sujeto Obligado; es decir, que el Sujeto Obligado no deba generar documentos nuevos, o contestar cuestionamientos, ya que, esta actividad corresponde al derecho de petición, que se ejerce mediante otras vías. </w:t>
      </w:r>
    </w:p>
    <w:p w14:paraId="33293180" w14:textId="77777777" w:rsidR="008D4D06" w:rsidRPr="00FB04DE" w:rsidRDefault="008D4D06">
      <w:pPr>
        <w:widowControl w:val="0"/>
        <w:spacing w:after="0" w:line="360" w:lineRule="auto"/>
        <w:rPr>
          <w:color w:val="000000"/>
          <w:u w:val="single"/>
        </w:rPr>
      </w:pPr>
    </w:p>
    <w:p w14:paraId="4E5CC933" w14:textId="0E21EE71" w:rsidR="008D4D06" w:rsidRPr="00FB04DE" w:rsidRDefault="0070022B">
      <w:pPr>
        <w:widowControl w:val="0"/>
        <w:spacing w:after="0" w:line="360" w:lineRule="auto"/>
        <w:rPr>
          <w:color w:val="000000"/>
          <w:u w:val="single"/>
        </w:rPr>
      </w:pPr>
      <w:r w:rsidRPr="00FB04DE">
        <w:rPr>
          <w:color w:val="000000"/>
          <w:u w:val="single"/>
        </w:rPr>
        <w:t xml:space="preserve">Además, resulta improcedente requerir información mediante el Recurso de Revisión diferente a la solicitada en un primer momento. Por tanto, se determinó dar por terminado el presente asunto. </w:t>
      </w:r>
      <w:r w:rsidR="001203D3" w:rsidRPr="00FB04DE">
        <w:rPr>
          <w:color w:val="000000"/>
          <w:u w:val="single"/>
        </w:rPr>
        <w:t xml:space="preserve">Asimismo, se le dejan a salvo sus derechos para el caso de que sea de su interés presente una nueva solicitud, requiriendo documentos específicos a los cuáles </w:t>
      </w:r>
      <w:proofErr w:type="spellStart"/>
      <w:r w:rsidR="001203D3" w:rsidRPr="00FB04DE">
        <w:rPr>
          <w:color w:val="000000"/>
          <w:u w:val="single"/>
        </w:rPr>
        <w:t>requeriera</w:t>
      </w:r>
      <w:proofErr w:type="spellEnd"/>
      <w:r w:rsidR="001203D3" w:rsidRPr="00FB04DE">
        <w:rPr>
          <w:color w:val="000000"/>
          <w:u w:val="single"/>
        </w:rPr>
        <w:t xml:space="preserve"> tener acceso.</w:t>
      </w:r>
    </w:p>
    <w:p w14:paraId="589F913A" w14:textId="77777777" w:rsidR="008D4D06" w:rsidRPr="00FB04DE" w:rsidRDefault="008D4D06">
      <w:pPr>
        <w:widowControl w:val="0"/>
        <w:spacing w:after="0" w:line="360" w:lineRule="auto"/>
        <w:rPr>
          <w:color w:val="000000"/>
          <w:u w:val="single"/>
        </w:rPr>
      </w:pPr>
    </w:p>
    <w:p w14:paraId="7C9346E4" w14:textId="77777777" w:rsidR="008D4D06" w:rsidRPr="00FB04DE" w:rsidRDefault="0070022B">
      <w:pPr>
        <w:widowControl w:val="0"/>
        <w:spacing w:after="0" w:line="360" w:lineRule="auto"/>
        <w:rPr>
          <w:u w:val="single"/>
        </w:rPr>
      </w:pPr>
      <w:r w:rsidRPr="00FB04DE">
        <w:rPr>
          <w:color w:val="000000"/>
          <w:u w:val="single"/>
        </w:rPr>
        <w:t>La</w:t>
      </w:r>
      <w:r w:rsidRPr="00FB04DE">
        <w:rPr>
          <w:u w:val="single"/>
        </w:rPr>
        <w:t xml:space="preserve"> labor del Instituto es apoyar a la población a acceder a la información y garantizar la protección de sus datos.</w:t>
      </w:r>
    </w:p>
    <w:p w14:paraId="39139D74" w14:textId="77777777" w:rsidR="008D4D06" w:rsidRPr="00FB04DE" w:rsidRDefault="008D4D06">
      <w:pPr>
        <w:widowControl w:val="0"/>
        <w:spacing w:after="0" w:line="360" w:lineRule="auto"/>
      </w:pPr>
    </w:p>
    <w:p w14:paraId="408C31F3" w14:textId="77777777" w:rsidR="008D4D06" w:rsidRPr="00FB04DE" w:rsidRDefault="0070022B">
      <w:pPr>
        <w:spacing w:after="0" w:line="360" w:lineRule="auto"/>
      </w:pPr>
      <w:r w:rsidRPr="00FB04DE">
        <w:t>Por lo expuesto y fundado, este Pleno:</w:t>
      </w:r>
    </w:p>
    <w:p w14:paraId="7D4DCF07" w14:textId="77777777" w:rsidR="001203D3" w:rsidRPr="00FB04DE" w:rsidRDefault="001203D3">
      <w:pPr>
        <w:spacing w:after="0" w:line="360" w:lineRule="auto"/>
      </w:pPr>
    </w:p>
    <w:p w14:paraId="5D6503B4" w14:textId="77777777" w:rsidR="008D4D06" w:rsidRPr="00FB04DE" w:rsidRDefault="0070022B">
      <w:pPr>
        <w:pStyle w:val="Ttulo1"/>
        <w:spacing w:before="0" w:after="0"/>
        <w:rPr>
          <w:b w:val="0"/>
          <w:sz w:val="22"/>
          <w:szCs w:val="22"/>
        </w:rPr>
      </w:pPr>
      <w:bookmarkStart w:id="15" w:name="_Toc210313311"/>
      <w:r w:rsidRPr="00FB04DE">
        <w:rPr>
          <w:sz w:val="22"/>
          <w:szCs w:val="22"/>
        </w:rPr>
        <w:t>R E S U E L V E</w:t>
      </w:r>
      <w:bookmarkEnd w:id="15"/>
    </w:p>
    <w:p w14:paraId="074BF4B9" w14:textId="77777777" w:rsidR="008D4D06" w:rsidRPr="00FB04DE" w:rsidRDefault="008D4D06">
      <w:pPr>
        <w:spacing w:after="0" w:line="360" w:lineRule="auto"/>
      </w:pPr>
    </w:p>
    <w:p w14:paraId="07F81901" w14:textId="4C87E3AD" w:rsidR="008D4D06" w:rsidRPr="00FB04DE" w:rsidRDefault="0070022B">
      <w:pPr>
        <w:spacing w:after="0" w:line="360" w:lineRule="auto"/>
      </w:pPr>
      <w:r w:rsidRPr="00FB04DE">
        <w:rPr>
          <w:b/>
        </w:rPr>
        <w:t xml:space="preserve">PRIMERO. </w:t>
      </w:r>
      <w:r w:rsidRPr="00FB04DE">
        <w:t xml:space="preserve">Se </w:t>
      </w:r>
      <w:r w:rsidRPr="00FB04DE">
        <w:rPr>
          <w:b/>
        </w:rPr>
        <w:t xml:space="preserve">SOBRESEE </w:t>
      </w:r>
      <w:r w:rsidRPr="00FB04DE">
        <w:t xml:space="preserve">el Recurso de Revisión </w:t>
      </w:r>
      <w:r w:rsidRPr="00FB04DE">
        <w:rPr>
          <w:b/>
        </w:rPr>
        <w:t>09436/INFOEM/IP/RR/2025</w:t>
      </w:r>
      <w:r w:rsidRPr="00FB04DE">
        <w:t>, de conformidad con el artículo 192, fracción IV, por actualizarse la</w:t>
      </w:r>
      <w:r w:rsidR="001203D3" w:rsidRPr="00FB04DE">
        <w:t>s</w:t>
      </w:r>
      <w:r w:rsidRPr="00FB04DE">
        <w:t xml:space="preserve"> causal</w:t>
      </w:r>
      <w:r w:rsidR="001203D3" w:rsidRPr="00FB04DE">
        <w:t>es</w:t>
      </w:r>
      <w:r w:rsidRPr="00FB04DE">
        <w:t xml:space="preserve"> de improcedencia, establecida</w:t>
      </w:r>
      <w:r w:rsidR="001203D3" w:rsidRPr="00FB04DE">
        <w:t>s</w:t>
      </w:r>
      <w:r w:rsidRPr="00FB04DE">
        <w:t xml:space="preserve"> en </w:t>
      </w:r>
      <w:r w:rsidRPr="00FB04DE">
        <w:lastRenderedPageBreak/>
        <w:t xml:space="preserve">el artículo 191, fracciones VI y VII, ambos de la Ley de Transparencia y Acceso a la Información Pública del Estado de México y Municipios, en términos de los Considerandos </w:t>
      </w:r>
      <w:r w:rsidRPr="00FB04DE">
        <w:rPr>
          <w:b/>
        </w:rPr>
        <w:t>SEGUNDO</w:t>
      </w:r>
      <w:r w:rsidRPr="00FB04DE">
        <w:t xml:space="preserve"> y </w:t>
      </w:r>
      <w:r w:rsidRPr="00FB04DE">
        <w:rPr>
          <w:b/>
        </w:rPr>
        <w:t>TERCERO</w:t>
      </w:r>
      <w:r w:rsidRPr="00FB04DE">
        <w:t xml:space="preserve"> de esta Resolución, </w:t>
      </w:r>
    </w:p>
    <w:p w14:paraId="53E3ECE4" w14:textId="77777777" w:rsidR="008D4D06" w:rsidRPr="00FB04DE" w:rsidRDefault="008D4D06">
      <w:pPr>
        <w:spacing w:after="0" w:line="360" w:lineRule="auto"/>
      </w:pPr>
    </w:p>
    <w:p w14:paraId="6A03C323" w14:textId="77777777" w:rsidR="008D4D06" w:rsidRPr="00FB04DE" w:rsidRDefault="0070022B">
      <w:pPr>
        <w:spacing w:after="0" w:line="360" w:lineRule="auto"/>
        <w:ind w:right="-28"/>
        <w:rPr>
          <w:b/>
          <w:color w:val="000000"/>
        </w:rPr>
      </w:pPr>
      <w:r w:rsidRPr="00FB04DE">
        <w:rPr>
          <w:b/>
          <w:color w:val="000000"/>
        </w:rPr>
        <w:t xml:space="preserve">SEGUNDO. NOTIFÍQUESE POR SAIMEX </w:t>
      </w:r>
      <w:r w:rsidRPr="00FB04DE">
        <w:rPr>
          <w:color w:val="000000"/>
        </w:rPr>
        <w:t>la presente resolución al Titular de la Unidad de Transparencia del Sujeto Obligado.</w:t>
      </w:r>
    </w:p>
    <w:p w14:paraId="2D620D87" w14:textId="77777777" w:rsidR="008D4D06" w:rsidRPr="00FB04DE" w:rsidRDefault="008D4D06">
      <w:pPr>
        <w:spacing w:after="0" w:line="360" w:lineRule="auto"/>
        <w:rPr>
          <w:color w:val="000000"/>
        </w:rPr>
      </w:pPr>
    </w:p>
    <w:p w14:paraId="25ADB888" w14:textId="77777777" w:rsidR="008D4D06" w:rsidRPr="00FB04DE" w:rsidRDefault="0070022B">
      <w:pPr>
        <w:spacing w:after="0" w:line="360" w:lineRule="auto"/>
      </w:pPr>
      <w:r w:rsidRPr="00FB04DE">
        <w:rPr>
          <w:b/>
          <w:color w:val="000000"/>
        </w:rPr>
        <w:t xml:space="preserve">TERCERO. </w:t>
      </w:r>
      <w:r w:rsidRPr="00FB04DE">
        <w:rPr>
          <w:b/>
        </w:rPr>
        <w:t xml:space="preserve">NOTIFÍQUESE POR SAIMEX </w:t>
      </w:r>
      <w:r w:rsidRPr="00FB04DE">
        <w:t xml:space="preserve">a </w:t>
      </w:r>
      <w:r w:rsidRPr="00FB04DE">
        <w:rPr>
          <w:color w:val="000000"/>
        </w:rPr>
        <w:t xml:space="preserve">la persona </w:t>
      </w:r>
      <w:r w:rsidRPr="00FB04DE">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D852A7A" w14:textId="77777777" w:rsidR="008D4D06" w:rsidRPr="00FB04DE" w:rsidRDefault="008D4D06">
      <w:pPr>
        <w:spacing w:after="0" w:line="360" w:lineRule="auto"/>
      </w:pPr>
    </w:p>
    <w:p w14:paraId="78BB8739" w14:textId="507D1E87" w:rsidR="008D4D06" w:rsidRDefault="0070022B">
      <w:pPr>
        <w:spacing w:after="0" w:line="360" w:lineRule="auto"/>
      </w:pPr>
      <w:r w:rsidRPr="00FB04DE">
        <w:t xml:space="preserve">ASÍ LO RESUELVE, POR </w:t>
      </w:r>
      <w:r w:rsidRPr="00FB04DE">
        <w:rPr>
          <w:b/>
        </w:rPr>
        <w:t>UNANIMIDAD</w:t>
      </w:r>
      <w:r w:rsidRPr="00FB04DE">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E92FDB">
        <w:t xml:space="preserve"> NORIEGA</w:t>
      </w:r>
      <w:bookmarkStart w:id="16" w:name="_GoBack"/>
      <w:bookmarkEnd w:id="16"/>
      <w:r w:rsidRPr="00FB04DE">
        <w:t xml:space="preserve"> Y GUADALUPE RAMÍREZ PEÑA</w:t>
      </w:r>
      <w:r w:rsidR="00655E0F" w:rsidRPr="00FB04DE">
        <w:t>,</w:t>
      </w:r>
      <w:r w:rsidRPr="00FB04DE">
        <w:t xml:space="preserve"> </w:t>
      </w:r>
      <w:r w:rsidR="00655E0F" w:rsidRPr="00FB04DE">
        <w:t>EN LA TRIGÉSIMA QUINTA SESIÓN ORDINARIA, CELEBRADA EL PRIMERO DE OCTUBRE DE DOS MIL VEINTICINCO</w:t>
      </w:r>
      <w:r w:rsidRPr="00FB04DE">
        <w:t>, ANTE EL SECRETARIO TÉCNICO DEL PLENO, ALEXIS TAPIA RAMÍREZ.</w:t>
      </w:r>
    </w:p>
    <w:p w14:paraId="4D3F8E1E" w14:textId="77777777" w:rsidR="008D4D06" w:rsidRDefault="008D4D06">
      <w:pPr>
        <w:pStyle w:val="Ttulo2"/>
        <w:spacing w:before="0" w:after="0"/>
        <w:rPr>
          <w:b w:val="0"/>
        </w:rPr>
      </w:pPr>
    </w:p>
    <w:p w14:paraId="1A3BEAD8" w14:textId="77777777" w:rsidR="008D4D06" w:rsidRDefault="008D4D06">
      <w:pPr>
        <w:spacing w:after="0" w:line="360" w:lineRule="auto"/>
      </w:pPr>
    </w:p>
    <w:p w14:paraId="07AD2110" w14:textId="77777777" w:rsidR="008D4D06" w:rsidRDefault="008D4D06">
      <w:pPr>
        <w:spacing w:after="0" w:line="360" w:lineRule="auto"/>
      </w:pPr>
    </w:p>
    <w:p w14:paraId="17DA05F5" w14:textId="77777777" w:rsidR="008D4D06" w:rsidRDefault="008D4D06">
      <w:pPr>
        <w:spacing w:after="0" w:line="360" w:lineRule="auto"/>
      </w:pPr>
    </w:p>
    <w:p w14:paraId="222342C0" w14:textId="77777777" w:rsidR="008D4D06" w:rsidRDefault="008D4D06">
      <w:pPr>
        <w:spacing w:after="0" w:line="360" w:lineRule="auto"/>
      </w:pPr>
    </w:p>
    <w:p w14:paraId="3DC482D0" w14:textId="77777777" w:rsidR="008D4D06" w:rsidRDefault="008D4D06">
      <w:pPr>
        <w:spacing w:after="0" w:line="360" w:lineRule="auto"/>
      </w:pPr>
    </w:p>
    <w:p w14:paraId="36DB2ED8" w14:textId="77777777" w:rsidR="008D4D06" w:rsidRDefault="008D4D06">
      <w:pPr>
        <w:spacing w:after="0" w:line="360" w:lineRule="auto"/>
      </w:pPr>
    </w:p>
    <w:p w14:paraId="11A0E0AD" w14:textId="77777777" w:rsidR="008D4D06" w:rsidRDefault="008D4D06">
      <w:pPr>
        <w:spacing w:after="0" w:line="360" w:lineRule="auto"/>
      </w:pPr>
    </w:p>
    <w:p w14:paraId="63D7F5E8" w14:textId="77777777" w:rsidR="008D4D06" w:rsidRDefault="008D4D06">
      <w:pPr>
        <w:spacing w:after="0" w:line="360" w:lineRule="auto"/>
      </w:pPr>
    </w:p>
    <w:p w14:paraId="6F01B3CC" w14:textId="77777777" w:rsidR="008D4D06" w:rsidRDefault="008D4D06">
      <w:pPr>
        <w:spacing w:after="0" w:line="360" w:lineRule="auto"/>
      </w:pPr>
    </w:p>
    <w:p w14:paraId="2F5B963E" w14:textId="77777777" w:rsidR="008D4D06" w:rsidRDefault="008D4D06">
      <w:pPr>
        <w:spacing w:after="0" w:line="360" w:lineRule="auto"/>
      </w:pPr>
    </w:p>
    <w:p w14:paraId="679F8909" w14:textId="77777777" w:rsidR="008D4D06" w:rsidRDefault="008D4D06">
      <w:pPr>
        <w:spacing w:after="0" w:line="360" w:lineRule="auto"/>
      </w:pPr>
    </w:p>
    <w:p w14:paraId="6E59072B" w14:textId="77777777" w:rsidR="008D4D06" w:rsidRDefault="008D4D06">
      <w:pPr>
        <w:spacing w:after="0" w:line="360" w:lineRule="auto"/>
      </w:pPr>
    </w:p>
    <w:p w14:paraId="6874E1D9" w14:textId="77777777" w:rsidR="008D4D06" w:rsidRDefault="008D4D06">
      <w:pPr>
        <w:spacing w:after="0" w:line="360" w:lineRule="auto"/>
      </w:pPr>
    </w:p>
    <w:p w14:paraId="67092AF4" w14:textId="77777777" w:rsidR="008D4D06" w:rsidRDefault="008D4D06">
      <w:pPr>
        <w:spacing w:after="0" w:line="360" w:lineRule="auto"/>
      </w:pPr>
    </w:p>
    <w:p w14:paraId="65C1CCC6" w14:textId="77777777" w:rsidR="008D4D06" w:rsidRDefault="008D4D06">
      <w:pPr>
        <w:spacing w:after="0" w:line="360" w:lineRule="auto"/>
      </w:pPr>
    </w:p>
    <w:p w14:paraId="56D9A49D" w14:textId="77777777" w:rsidR="008D4D06" w:rsidRDefault="008D4D06">
      <w:pPr>
        <w:spacing w:after="0" w:line="360" w:lineRule="auto"/>
      </w:pPr>
    </w:p>
    <w:p w14:paraId="768D0F52" w14:textId="77777777" w:rsidR="008D4D06" w:rsidRDefault="008D4D06">
      <w:pPr>
        <w:spacing w:after="0" w:line="360" w:lineRule="auto"/>
      </w:pPr>
    </w:p>
    <w:p w14:paraId="1C91B966" w14:textId="77777777" w:rsidR="008D4D06" w:rsidRDefault="008D4D06">
      <w:pPr>
        <w:spacing w:after="0" w:line="360" w:lineRule="auto"/>
      </w:pPr>
    </w:p>
    <w:p w14:paraId="1D82343B" w14:textId="77777777" w:rsidR="008D4D06" w:rsidRDefault="008D4D06">
      <w:pPr>
        <w:spacing w:after="0" w:line="360" w:lineRule="auto"/>
      </w:pPr>
    </w:p>
    <w:p w14:paraId="271A7B6D" w14:textId="77777777" w:rsidR="008D4D06" w:rsidRDefault="008D4D06">
      <w:pPr>
        <w:spacing w:after="0" w:line="360" w:lineRule="auto"/>
      </w:pPr>
    </w:p>
    <w:p w14:paraId="3DFDBCB8" w14:textId="77777777" w:rsidR="008D4D06" w:rsidRDefault="008D4D06">
      <w:pPr>
        <w:spacing w:after="0" w:line="360" w:lineRule="auto"/>
      </w:pPr>
    </w:p>
    <w:p w14:paraId="4A3DBA8E" w14:textId="77777777" w:rsidR="008D4D06" w:rsidRDefault="008D4D06">
      <w:pPr>
        <w:spacing w:after="0" w:line="360" w:lineRule="auto"/>
      </w:pPr>
    </w:p>
    <w:p w14:paraId="3D2AC003" w14:textId="77777777" w:rsidR="008D4D06" w:rsidRDefault="008D4D06">
      <w:pPr>
        <w:spacing w:after="0" w:line="360" w:lineRule="auto"/>
      </w:pPr>
    </w:p>
    <w:sectPr w:rsidR="008D4D06">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0E531" w14:textId="77777777" w:rsidR="00094D3C" w:rsidRDefault="00094D3C">
      <w:pPr>
        <w:spacing w:after="0" w:line="240" w:lineRule="auto"/>
      </w:pPr>
      <w:r>
        <w:separator/>
      </w:r>
    </w:p>
  </w:endnote>
  <w:endnote w:type="continuationSeparator" w:id="0">
    <w:p w14:paraId="148C5654" w14:textId="77777777" w:rsidR="00094D3C" w:rsidRDefault="00094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C7C7660A-56B7-498F-9442-921DF54B5A31}"/>
  </w:font>
  <w:font w:name="Palatino Linotype">
    <w:panose1 w:val="02040502050505030304"/>
    <w:charset w:val="00"/>
    <w:family w:val="roman"/>
    <w:pitch w:val="variable"/>
    <w:sig w:usb0="E0000287" w:usb1="40000013" w:usb2="00000000" w:usb3="00000000" w:csb0="0000019F" w:csb1="00000000"/>
    <w:embedRegular r:id="rId2" w:fontKey="{B9653F23-05F0-48B9-90CE-5B23721FF3E1}"/>
    <w:embedBold r:id="rId3" w:fontKey="{E5499D5F-8662-4AE3-851A-517C39963AEB}"/>
    <w:embedItalic r:id="rId4" w:fontKey="{FA3F4820-37A2-457B-A35B-47E3E7174061}"/>
    <w:embedBoldItalic r:id="rId5" w:fontKey="{F902F355-B253-4700-B2D7-C381B6B67BF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1A4C33C-D25E-4C22-B8DF-A97939E39934}"/>
  </w:font>
  <w:font w:name="Georgia">
    <w:panose1 w:val="02040502050405020303"/>
    <w:charset w:val="00"/>
    <w:family w:val="roman"/>
    <w:pitch w:val="variable"/>
    <w:sig w:usb0="00000287" w:usb1="00000000" w:usb2="00000000" w:usb3="00000000" w:csb0="0000009F" w:csb1="00000000"/>
    <w:embedRegular r:id="rId7" w:fontKey="{B2360BE0-4DBA-4F65-BB28-4664BB1814DF}"/>
    <w:embedItalic r:id="rId8" w:fontKey="{16C9849A-FA48-4156-A4B1-398361D5E0BB}"/>
  </w:font>
  <w:font w:name="Calibri">
    <w:panose1 w:val="020F0502020204030204"/>
    <w:charset w:val="00"/>
    <w:family w:val="swiss"/>
    <w:pitch w:val="variable"/>
    <w:sig w:usb0="E4002EFF" w:usb1="C200247B" w:usb2="00000009" w:usb3="00000000" w:csb0="000001FF" w:csb1="00000000"/>
    <w:embedRegular r:id="rId9" w:fontKey="{DB2D5513-6C38-45D2-84E9-F5719D4BA0CA}"/>
  </w:font>
  <w:font w:name="Garamond">
    <w:panose1 w:val="02020404030301010803"/>
    <w:charset w:val="00"/>
    <w:family w:val="roman"/>
    <w:pitch w:val="variable"/>
    <w:sig w:usb0="00000287" w:usb1="00000000" w:usb2="00000000" w:usb3="00000000" w:csb0="0000009F" w:csb1="00000000"/>
    <w:embedRegular r:id="rId10" w:fontKey="{EEC8E88E-9880-4534-BBC1-3E589A147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489FB" w14:textId="77777777" w:rsidR="008D4D06" w:rsidRDefault="007002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6F6193">
      <w:rPr>
        <w:b/>
        <w:color w:val="000000"/>
        <w:sz w:val="24"/>
        <w:szCs w:val="24"/>
      </w:rPr>
      <w:fldChar w:fldCharType="separate"/>
    </w:r>
    <w:r w:rsidR="006F6193">
      <w:rPr>
        <w:b/>
        <w:noProof/>
        <w:color w:val="000000"/>
        <w:sz w:val="24"/>
        <w:szCs w:val="24"/>
      </w:rPr>
      <w:t>22</w:t>
    </w:r>
    <w:r>
      <w:rPr>
        <w:b/>
        <w:color w:val="000000"/>
        <w:sz w:val="24"/>
        <w:szCs w:val="24"/>
      </w:rPr>
      <w:fldChar w:fldCharType="end"/>
    </w:r>
  </w:p>
  <w:p w14:paraId="07DE5355" w14:textId="77777777" w:rsidR="008D4D06" w:rsidRDefault="008D4D0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5801" w14:textId="38154CD9" w:rsidR="008D4D06" w:rsidRDefault="007002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F6193">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F6193">
      <w:rPr>
        <w:b/>
        <w:noProof/>
        <w:color w:val="000000"/>
        <w:sz w:val="24"/>
        <w:szCs w:val="24"/>
      </w:rPr>
      <w:t>22</w:t>
    </w:r>
    <w:r>
      <w:rPr>
        <w:b/>
        <w:color w:val="000000"/>
        <w:sz w:val="24"/>
        <w:szCs w:val="24"/>
      </w:rPr>
      <w:fldChar w:fldCharType="end"/>
    </w:r>
  </w:p>
  <w:p w14:paraId="2F3B1952" w14:textId="77777777" w:rsidR="008D4D06" w:rsidRDefault="008D4D0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0C64" w14:textId="77777777" w:rsidR="008D4D06" w:rsidRDefault="007002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F619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F6193">
      <w:rPr>
        <w:b/>
        <w:noProof/>
        <w:color w:val="000000"/>
        <w:sz w:val="24"/>
        <w:szCs w:val="24"/>
      </w:rPr>
      <w:t>22</w:t>
    </w:r>
    <w:r>
      <w:rPr>
        <w:b/>
        <w:color w:val="000000"/>
        <w:sz w:val="24"/>
        <w:szCs w:val="24"/>
      </w:rPr>
      <w:fldChar w:fldCharType="end"/>
    </w:r>
  </w:p>
  <w:p w14:paraId="28615B02" w14:textId="77777777" w:rsidR="008D4D06" w:rsidRDefault="008D4D0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5165" w14:textId="77777777" w:rsidR="00094D3C" w:rsidRDefault="00094D3C">
      <w:pPr>
        <w:spacing w:after="0" w:line="240" w:lineRule="auto"/>
      </w:pPr>
      <w:r>
        <w:separator/>
      </w:r>
    </w:p>
  </w:footnote>
  <w:footnote w:type="continuationSeparator" w:id="0">
    <w:p w14:paraId="20F631BE" w14:textId="77777777" w:rsidR="00094D3C" w:rsidRDefault="00094D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E12DB" w14:textId="77777777" w:rsidR="008D4D06" w:rsidRDefault="008D4D06">
    <w:pPr>
      <w:widowControl w:val="0"/>
      <w:pBdr>
        <w:top w:val="nil"/>
        <w:left w:val="nil"/>
        <w:bottom w:val="nil"/>
        <w:right w:val="nil"/>
        <w:between w:val="nil"/>
      </w:pBdr>
      <w:spacing w:after="0" w:line="276" w:lineRule="auto"/>
      <w:jc w:val="left"/>
      <w:rPr>
        <w:color w:val="000000"/>
      </w:rPr>
    </w:pPr>
  </w:p>
  <w:tbl>
    <w:tblPr>
      <w:tblStyle w:val="af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D4D06" w14:paraId="6719A8B1" w14:textId="77777777">
      <w:trPr>
        <w:trHeight w:val="141"/>
      </w:trPr>
      <w:tc>
        <w:tcPr>
          <w:tcW w:w="2404" w:type="dxa"/>
        </w:tcPr>
        <w:p w14:paraId="7E961DA4" w14:textId="77777777" w:rsidR="008D4D06" w:rsidRDefault="0070022B">
          <w:pPr>
            <w:tabs>
              <w:tab w:val="right" w:pos="8838"/>
            </w:tabs>
            <w:ind w:right="-105"/>
            <w:rPr>
              <w:b/>
            </w:rPr>
          </w:pPr>
          <w:r>
            <w:rPr>
              <w:b/>
            </w:rPr>
            <w:t>Recurso de Revisión:</w:t>
          </w:r>
        </w:p>
      </w:tc>
      <w:tc>
        <w:tcPr>
          <w:tcW w:w="3587" w:type="dxa"/>
        </w:tcPr>
        <w:p w14:paraId="5FFC24B9" w14:textId="77777777" w:rsidR="008D4D06" w:rsidRDefault="0070022B">
          <w:pPr>
            <w:tabs>
              <w:tab w:val="right" w:pos="8838"/>
            </w:tabs>
            <w:ind w:left="-28" w:right="683"/>
          </w:pPr>
          <w:r>
            <w:t>04196/INFOEM/IP/RR/2020</w:t>
          </w:r>
        </w:p>
      </w:tc>
    </w:tr>
    <w:tr w:rsidR="008D4D06" w14:paraId="6BA1C34B" w14:textId="77777777">
      <w:trPr>
        <w:trHeight w:val="276"/>
      </w:trPr>
      <w:tc>
        <w:tcPr>
          <w:tcW w:w="2404" w:type="dxa"/>
        </w:tcPr>
        <w:p w14:paraId="5E69862F" w14:textId="77777777" w:rsidR="008D4D06" w:rsidRDefault="0070022B">
          <w:pPr>
            <w:tabs>
              <w:tab w:val="right" w:pos="8838"/>
            </w:tabs>
            <w:ind w:right="-105"/>
            <w:rPr>
              <w:b/>
            </w:rPr>
          </w:pPr>
          <w:r>
            <w:rPr>
              <w:b/>
            </w:rPr>
            <w:t>Sujeto Obligado:</w:t>
          </w:r>
        </w:p>
      </w:tc>
      <w:tc>
        <w:tcPr>
          <w:tcW w:w="3587" w:type="dxa"/>
        </w:tcPr>
        <w:p w14:paraId="114DAAE5" w14:textId="77777777" w:rsidR="008D4D06" w:rsidRDefault="0070022B">
          <w:pPr>
            <w:tabs>
              <w:tab w:val="right" w:pos="8838"/>
            </w:tabs>
            <w:ind w:right="116"/>
          </w:pPr>
          <w:r>
            <w:t>Ayuntamiento de Chapultepec</w:t>
          </w:r>
        </w:p>
      </w:tc>
    </w:tr>
    <w:tr w:rsidR="008D4D06" w14:paraId="02157BB1" w14:textId="77777777">
      <w:trPr>
        <w:trHeight w:val="276"/>
      </w:trPr>
      <w:tc>
        <w:tcPr>
          <w:tcW w:w="2404" w:type="dxa"/>
        </w:tcPr>
        <w:p w14:paraId="37CE059D" w14:textId="77777777" w:rsidR="008D4D06" w:rsidRDefault="0070022B">
          <w:pPr>
            <w:tabs>
              <w:tab w:val="right" w:pos="8838"/>
            </w:tabs>
            <w:ind w:right="-105"/>
            <w:rPr>
              <w:b/>
            </w:rPr>
          </w:pPr>
          <w:r>
            <w:rPr>
              <w:b/>
            </w:rPr>
            <w:t>Comisionado Ponente:</w:t>
          </w:r>
        </w:p>
      </w:tc>
      <w:tc>
        <w:tcPr>
          <w:tcW w:w="3587" w:type="dxa"/>
        </w:tcPr>
        <w:p w14:paraId="75BA2B21" w14:textId="77777777" w:rsidR="008D4D06" w:rsidRDefault="0070022B">
          <w:pPr>
            <w:tabs>
              <w:tab w:val="right" w:pos="8838"/>
            </w:tabs>
            <w:ind w:right="-32"/>
          </w:pPr>
          <w:r>
            <w:t>Luis Gustavo Parra Noriega</w:t>
          </w:r>
        </w:p>
      </w:tc>
    </w:tr>
  </w:tbl>
  <w:p w14:paraId="0D36DB98" w14:textId="77777777" w:rsidR="008D4D06" w:rsidRDefault="00094D3C">
    <w:pPr>
      <w:pBdr>
        <w:top w:val="nil"/>
        <w:left w:val="nil"/>
        <w:bottom w:val="nil"/>
        <w:right w:val="nil"/>
        <w:between w:val="nil"/>
      </w:pBdr>
      <w:tabs>
        <w:tab w:val="center" w:pos="4419"/>
        <w:tab w:val="right" w:pos="8838"/>
      </w:tabs>
      <w:spacing w:after="0" w:line="240" w:lineRule="auto"/>
      <w:rPr>
        <w:color w:val="000000"/>
      </w:rPr>
    </w:pPr>
    <w:r>
      <w:rPr>
        <w:color w:val="000000"/>
      </w:rPr>
      <w:pict w14:anchorId="48884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C865A" w14:textId="77777777" w:rsidR="008D4D06" w:rsidRDefault="008D4D06">
    <w:pPr>
      <w:rPr>
        <w:sz w:val="16"/>
        <w:szCs w:val="16"/>
      </w:rPr>
    </w:pPr>
  </w:p>
  <w:tbl>
    <w:tblPr>
      <w:tblStyle w:val="affffffd"/>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D4D06" w14:paraId="083299FD" w14:textId="77777777" w:rsidTr="00173E72">
      <w:trPr>
        <w:trHeight w:val="141"/>
      </w:trPr>
      <w:tc>
        <w:tcPr>
          <w:tcW w:w="2409" w:type="dxa"/>
        </w:tcPr>
        <w:p w14:paraId="6D1B381C" w14:textId="77777777" w:rsidR="008D4D06" w:rsidRDefault="0070022B">
          <w:pPr>
            <w:tabs>
              <w:tab w:val="right" w:pos="8838"/>
            </w:tabs>
            <w:ind w:left="-395" w:right="-105" w:firstLine="395"/>
            <w:rPr>
              <w:b/>
            </w:rPr>
          </w:pPr>
          <w:r>
            <w:rPr>
              <w:b/>
            </w:rPr>
            <w:t>Recurso de Revisión:</w:t>
          </w:r>
        </w:p>
      </w:tc>
      <w:tc>
        <w:tcPr>
          <w:tcW w:w="3686" w:type="dxa"/>
        </w:tcPr>
        <w:p w14:paraId="4844886D" w14:textId="77777777" w:rsidR="008D4D06" w:rsidRPr="00173E72" w:rsidRDefault="0070022B">
          <w:pPr>
            <w:tabs>
              <w:tab w:val="right" w:pos="8838"/>
            </w:tabs>
            <w:ind w:right="176"/>
            <w:rPr>
              <w:bCs/>
            </w:rPr>
          </w:pPr>
          <w:r w:rsidRPr="00173E72">
            <w:rPr>
              <w:bCs/>
            </w:rPr>
            <w:t>09436/INFOEM/IP/RR/2025</w:t>
          </w:r>
        </w:p>
      </w:tc>
    </w:tr>
    <w:tr w:rsidR="008D4D06" w14:paraId="06EC57AF" w14:textId="77777777" w:rsidTr="00173E72">
      <w:trPr>
        <w:trHeight w:val="276"/>
      </w:trPr>
      <w:tc>
        <w:tcPr>
          <w:tcW w:w="2409" w:type="dxa"/>
        </w:tcPr>
        <w:p w14:paraId="184A30F7" w14:textId="77777777" w:rsidR="008D4D06" w:rsidRDefault="0070022B">
          <w:pPr>
            <w:tabs>
              <w:tab w:val="right" w:pos="8838"/>
            </w:tabs>
            <w:ind w:right="-105"/>
            <w:rPr>
              <w:b/>
            </w:rPr>
          </w:pPr>
          <w:r>
            <w:rPr>
              <w:b/>
            </w:rPr>
            <w:t>Sujeto Obligado:</w:t>
          </w:r>
        </w:p>
      </w:tc>
      <w:tc>
        <w:tcPr>
          <w:tcW w:w="3686" w:type="dxa"/>
        </w:tcPr>
        <w:p w14:paraId="71453417" w14:textId="77777777" w:rsidR="008D4D06" w:rsidRDefault="0070022B">
          <w:pPr>
            <w:tabs>
              <w:tab w:val="left" w:pos="3158"/>
              <w:tab w:val="left" w:pos="4292"/>
              <w:tab w:val="right" w:pos="8838"/>
            </w:tabs>
            <w:ind w:right="176"/>
          </w:pPr>
          <w:r>
            <w:t xml:space="preserve">Ayuntamiento de </w:t>
          </w:r>
          <w:proofErr w:type="spellStart"/>
          <w:r>
            <w:t>Juchitepec</w:t>
          </w:r>
          <w:proofErr w:type="spellEnd"/>
        </w:p>
      </w:tc>
    </w:tr>
    <w:tr w:rsidR="008D4D06" w14:paraId="42E720FB" w14:textId="77777777" w:rsidTr="00173E72">
      <w:trPr>
        <w:trHeight w:val="276"/>
      </w:trPr>
      <w:tc>
        <w:tcPr>
          <w:tcW w:w="2409" w:type="dxa"/>
        </w:tcPr>
        <w:p w14:paraId="33EC9BAF" w14:textId="77777777" w:rsidR="008D4D06" w:rsidRDefault="0070022B">
          <w:pPr>
            <w:tabs>
              <w:tab w:val="right" w:pos="8838"/>
            </w:tabs>
            <w:ind w:right="-105"/>
            <w:rPr>
              <w:b/>
            </w:rPr>
          </w:pPr>
          <w:r>
            <w:rPr>
              <w:b/>
            </w:rPr>
            <w:t>Comisionado Ponente:</w:t>
          </w:r>
        </w:p>
      </w:tc>
      <w:tc>
        <w:tcPr>
          <w:tcW w:w="3686" w:type="dxa"/>
        </w:tcPr>
        <w:p w14:paraId="171D4A84" w14:textId="77777777" w:rsidR="008D4D06" w:rsidRDefault="0070022B">
          <w:pPr>
            <w:tabs>
              <w:tab w:val="right" w:pos="8838"/>
            </w:tabs>
            <w:ind w:right="176"/>
          </w:pPr>
          <w:r>
            <w:t>Luis Gustavo Parra Noriega</w:t>
          </w:r>
        </w:p>
        <w:p w14:paraId="59C0576F" w14:textId="77777777" w:rsidR="008D4D06" w:rsidRDefault="008D4D06">
          <w:pPr>
            <w:tabs>
              <w:tab w:val="right" w:pos="8838"/>
            </w:tabs>
            <w:ind w:right="176"/>
          </w:pPr>
        </w:p>
      </w:tc>
    </w:tr>
  </w:tbl>
  <w:p w14:paraId="37E906FD" w14:textId="77777777" w:rsidR="008D4D06" w:rsidRDefault="00094D3C">
    <w:pPr>
      <w:pBdr>
        <w:top w:val="nil"/>
        <w:left w:val="nil"/>
        <w:bottom w:val="nil"/>
        <w:right w:val="nil"/>
        <w:between w:val="nil"/>
      </w:pBdr>
      <w:tabs>
        <w:tab w:val="center" w:pos="4419"/>
        <w:tab w:val="right" w:pos="8838"/>
      </w:tabs>
      <w:spacing w:after="0" w:line="240" w:lineRule="auto"/>
      <w:rPr>
        <w:color w:val="000000"/>
      </w:rPr>
    </w:pPr>
    <w:r>
      <w:rPr>
        <w:color w:val="000000"/>
      </w:rPr>
      <w:pict w14:anchorId="42DEF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18540" w14:textId="77777777" w:rsidR="008D4D06" w:rsidRDefault="00094D3C">
    <w:pPr>
      <w:widowControl w:val="0"/>
      <w:pBdr>
        <w:top w:val="nil"/>
        <w:left w:val="nil"/>
        <w:bottom w:val="nil"/>
        <w:right w:val="nil"/>
        <w:between w:val="nil"/>
      </w:pBdr>
      <w:spacing w:after="0" w:line="276" w:lineRule="auto"/>
      <w:jc w:val="left"/>
      <w:rPr>
        <w:color w:val="000000"/>
      </w:rPr>
    </w:pPr>
    <w:r>
      <w:rPr>
        <w:color w:val="000000"/>
      </w:rPr>
      <w:pict w14:anchorId="77BF4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e"/>
      <w:tblW w:w="9214" w:type="dxa"/>
      <w:tblInd w:w="0" w:type="dxa"/>
      <w:tblLayout w:type="fixed"/>
      <w:tblLook w:val="0400" w:firstRow="0" w:lastRow="0" w:firstColumn="0" w:lastColumn="0" w:noHBand="0" w:noVBand="1"/>
    </w:tblPr>
    <w:tblGrid>
      <w:gridCol w:w="2127"/>
      <w:gridCol w:w="7087"/>
    </w:tblGrid>
    <w:tr w:rsidR="008D4D06" w14:paraId="0EF30202" w14:textId="77777777">
      <w:trPr>
        <w:trHeight w:val="1546"/>
      </w:trPr>
      <w:tc>
        <w:tcPr>
          <w:tcW w:w="2127" w:type="dxa"/>
          <w:shd w:val="clear" w:color="auto" w:fill="auto"/>
        </w:tcPr>
        <w:p w14:paraId="77219820" w14:textId="77777777" w:rsidR="008D4D06" w:rsidRDefault="008D4D06">
          <w:pPr>
            <w:tabs>
              <w:tab w:val="right" w:pos="4273"/>
            </w:tabs>
            <w:rPr>
              <w:rFonts w:ascii="Garamond" w:eastAsia="Garamond" w:hAnsi="Garamond" w:cs="Garamond"/>
              <w:sz w:val="16"/>
              <w:szCs w:val="16"/>
            </w:rPr>
          </w:pPr>
        </w:p>
      </w:tc>
      <w:tc>
        <w:tcPr>
          <w:tcW w:w="7087" w:type="dxa"/>
          <w:shd w:val="clear" w:color="auto" w:fill="auto"/>
        </w:tcPr>
        <w:p w14:paraId="5ED60673" w14:textId="77777777" w:rsidR="008D4D06" w:rsidRDefault="008D4D06">
          <w:pPr>
            <w:rPr>
              <w:sz w:val="10"/>
              <w:szCs w:val="10"/>
            </w:rPr>
          </w:pPr>
        </w:p>
        <w:tbl>
          <w:tblPr>
            <w:tblStyle w:val="afffffff"/>
            <w:tblW w:w="5812" w:type="dxa"/>
            <w:tblInd w:w="1601" w:type="dxa"/>
            <w:tblLayout w:type="fixed"/>
            <w:tblLook w:val="0400" w:firstRow="0" w:lastRow="0" w:firstColumn="0" w:lastColumn="0" w:noHBand="0" w:noVBand="1"/>
          </w:tblPr>
          <w:tblGrid>
            <w:gridCol w:w="2410"/>
            <w:gridCol w:w="3402"/>
          </w:tblGrid>
          <w:tr w:rsidR="008D4D06" w14:paraId="55152CB1" w14:textId="77777777" w:rsidTr="00173E72">
            <w:trPr>
              <w:trHeight w:val="427"/>
            </w:trPr>
            <w:tc>
              <w:tcPr>
                <w:tcW w:w="2410" w:type="dxa"/>
                <w:vAlign w:val="bottom"/>
              </w:tcPr>
              <w:p w14:paraId="53C24929" w14:textId="77777777" w:rsidR="008D4D06" w:rsidRDefault="0070022B">
                <w:pPr>
                  <w:tabs>
                    <w:tab w:val="right" w:pos="8838"/>
                  </w:tabs>
                  <w:ind w:right="-105"/>
                  <w:rPr>
                    <w:b/>
                  </w:rPr>
                </w:pPr>
                <w:r>
                  <w:rPr>
                    <w:b/>
                  </w:rPr>
                  <w:t>Recurso de Revisión:</w:t>
                </w:r>
              </w:p>
            </w:tc>
            <w:tc>
              <w:tcPr>
                <w:tcW w:w="3402" w:type="dxa"/>
              </w:tcPr>
              <w:p w14:paraId="5F7D8C80" w14:textId="77777777" w:rsidR="008D4D06" w:rsidRDefault="008D4D06">
                <w:pPr>
                  <w:tabs>
                    <w:tab w:val="right" w:pos="8838"/>
                  </w:tabs>
                  <w:ind w:left="-28" w:right="-107"/>
                  <w:rPr>
                    <w:b/>
                  </w:rPr>
                </w:pPr>
              </w:p>
              <w:p w14:paraId="6E83E5D6" w14:textId="77777777" w:rsidR="008D4D06" w:rsidRPr="00173E72" w:rsidRDefault="0070022B">
                <w:pPr>
                  <w:tabs>
                    <w:tab w:val="right" w:pos="8838"/>
                  </w:tabs>
                  <w:ind w:left="-28" w:right="-107"/>
                  <w:rPr>
                    <w:bCs/>
                  </w:rPr>
                </w:pPr>
                <w:r w:rsidRPr="00173E72">
                  <w:rPr>
                    <w:bCs/>
                  </w:rPr>
                  <w:t>09436/INFOEM/IP/RR/2025</w:t>
                </w:r>
              </w:p>
            </w:tc>
          </w:tr>
          <w:tr w:rsidR="008D4D06" w14:paraId="4DD18E1B" w14:textId="77777777" w:rsidTr="00173E72">
            <w:trPr>
              <w:trHeight w:val="141"/>
            </w:trPr>
            <w:tc>
              <w:tcPr>
                <w:tcW w:w="2410" w:type="dxa"/>
              </w:tcPr>
              <w:p w14:paraId="286055FF" w14:textId="77777777" w:rsidR="008D4D06" w:rsidRDefault="0070022B">
                <w:pPr>
                  <w:tabs>
                    <w:tab w:val="right" w:pos="8838"/>
                  </w:tabs>
                  <w:ind w:right="-105"/>
                  <w:rPr>
                    <w:b/>
                  </w:rPr>
                </w:pPr>
                <w:r>
                  <w:rPr>
                    <w:b/>
                  </w:rPr>
                  <w:t>Recurrente:</w:t>
                </w:r>
              </w:p>
            </w:tc>
            <w:tc>
              <w:tcPr>
                <w:tcW w:w="3402" w:type="dxa"/>
              </w:tcPr>
              <w:p w14:paraId="12CFED5C" w14:textId="77777777" w:rsidR="008D4D06" w:rsidRDefault="008D4D06">
                <w:pPr>
                  <w:tabs>
                    <w:tab w:val="right" w:pos="8838"/>
                  </w:tabs>
                  <w:ind w:right="-107"/>
                </w:pPr>
              </w:p>
            </w:tc>
          </w:tr>
          <w:tr w:rsidR="008D4D06" w14:paraId="15F24415" w14:textId="77777777" w:rsidTr="00173E72">
            <w:trPr>
              <w:trHeight w:val="276"/>
            </w:trPr>
            <w:tc>
              <w:tcPr>
                <w:tcW w:w="2410" w:type="dxa"/>
              </w:tcPr>
              <w:p w14:paraId="7B4577AC" w14:textId="77777777" w:rsidR="008D4D06" w:rsidRDefault="0070022B">
                <w:pPr>
                  <w:tabs>
                    <w:tab w:val="right" w:pos="8838"/>
                  </w:tabs>
                  <w:ind w:right="-105"/>
                  <w:rPr>
                    <w:b/>
                  </w:rPr>
                </w:pPr>
                <w:r>
                  <w:rPr>
                    <w:b/>
                  </w:rPr>
                  <w:t>Sujeto Obligado:</w:t>
                </w:r>
              </w:p>
            </w:tc>
            <w:tc>
              <w:tcPr>
                <w:tcW w:w="3402" w:type="dxa"/>
              </w:tcPr>
              <w:p w14:paraId="330D07D5" w14:textId="77777777" w:rsidR="008D4D06" w:rsidRDefault="0070022B">
                <w:pPr>
                  <w:tabs>
                    <w:tab w:val="right" w:pos="8838"/>
                  </w:tabs>
                  <w:ind w:right="33"/>
                </w:pPr>
                <w:r>
                  <w:t xml:space="preserve">Ayuntamiento de </w:t>
                </w:r>
                <w:proofErr w:type="spellStart"/>
                <w:r>
                  <w:t>Juchitepec</w:t>
                </w:r>
                <w:proofErr w:type="spellEnd"/>
              </w:p>
            </w:tc>
          </w:tr>
          <w:tr w:rsidR="008D4D06" w14:paraId="3A71CBD9" w14:textId="77777777" w:rsidTr="00173E72">
            <w:trPr>
              <w:trHeight w:val="276"/>
            </w:trPr>
            <w:tc>
              <w:tcPr>
                <w:tcW w:w="2410" w:type="dxa"/>
              </w:tcPr>
              <w:p w14:paraId="0A2A9AF8" w14:textId="77777777" w:rsidR="008D4D06" w:rsidRDefault="0070022B">
                <w:pPr>
                  <w:tabs>
                    <w:tab w:val="right" w:pos="8838"/>
                  </w:tabs>
                  <w:ind w:right="-105"/>
                  <w:rPr>
                    <w:b/>
                  </w:rPr>
                </w:pPr>
                <w:r>
                  <w:rPr>
                    <w:b/>
                  </w:rPr>
                  <w:t>Comisionado Ponente:</w:t>
                </w:r>
              </w:p>
            </w:tc>
            <w:tc>
              <w:tcPr>
                <w:tcW w:w="3402" w:type="dxa"/>
              </w:tcPr>
              <w:p w14:paraId="1F87DE8F" w14:textId="77777777" w:rsidR="008D4D06" w:rsidRDefault="0070022B">
                <w:pPr>
                  <w:tabs>
                    <w:tab w:val="right" w:pos="8838"/>
                  </w:tabs>
                  <w:ind w:right="-107"/>
                </w:pPr>
                <w:r>
                  <w:t>Luis Gustavo Parra Noriega</w:t>
                </w:r>
              </w:p>
            </w:tc>
          </w:tr>
        </w:tbl>
        <w:p w14:paraId="3AA60AA4" w14:textId="77777777" w:rsidR="008D4D06" w:rsidRDefault="008D4D06">
          <w:pPr>
            <w:tabs>
              <w:tab w:val="right" w:pos="8838"/>
            </w:tabs>
            <w:ind w:left="-28"/>
            <w:rPr>
              <w:rFonts w:ascii="Arial" w:eastAsia="Arial" w:hAnsi="Arial" w:cs="Arial"/>
              <w:b/>
            </w:rPr>
          </w:pPr>
        </w:p>
      </w:tc>
    </w:tr>
  </w:tbl>
  <w:p w14:paraId="1BA0C4B2" w14:textId="77777777" w:rsidR="008D4D06" w:rsidRDefault="008D4D0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D52CA"/>
    <w:multiLevelType w:val="multilevel"/>
    <w:tmpl w:val="9A0EA1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53BD1"/>
    <w:multiLevelType w:val="multilevel"/>
    <w:tmpl w:val="F16EC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6A737B"/>
    <w:multiLevelType w:val="multilevel"/>
    <w:tmpl w:val="2896694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D06"/>
    <w:rsid w:val="00094D3C"/>
    <w:rsid w:val="001203D3"/>
    <w:rsid w:val="00173E72"/>
    <w:rsid w:val="005B4E63"/>
    <w:rsid w:val="00655E0F"/>
    <w:rsid w:val="006823AD"/>
    <w:rsid w:val="006F6193"/>
    <w:rsid w:val="0070022B"/>
    <w:rsid w:val="008324A0"/>
    <w:rsid w:val="008D4D06"/>
    <w:rsid w:val="00A702BB"/>
    <w:rsid w:val="00E92FDB"/>
    <w:rsid w:val="00FB04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7A76CC"/>
  <w15:docId w15:val="{791559F0-3F3B-7F49-A639-5823001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4"/>
    <w:pPr>
      <w:spacing w:after="0" w:line="240" w:lineRule="auto"/>
    </w:pPr>
    <w:tblPr>
      <w:tblStyleRowBandSize w:val="1"/>
      <w:tblStyleColBandSize w:val="1"/>
      <w:tblCellMar>
        <w:left w:w="108" w:type="dxa"/>
        <w:right w:w="108" w:type="dxa"/>
      </w:tblCellMar>
    </w:tblPr>
  </w:style>
  <w:style w:type="table" w:customStyle="1" w:styleId="a0">
    <w:basedOn w:val="TableNormalf4"/>
    <w:pPr>
      <w:spacing w:after="0" w:line="240" w:lineRule="auto"/>
    </w:pPr>
    <w:tblPr>
      <w:tblStyleRowBandSize w:val="1"/>
      <w:tblStyleColBandSize w:val="1"/>
      <w:tblCellMar>
        <w:left w:w="108" w:type="dxa"/>
        <w:right w:w="108" w:type="dxa"/>
      </w:tblCellMar>
    </w:tbl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4"/>
    <w:pPr>
      <w:spacing w:after="0" w:line="240" w:lineRule="auto"/>
    </w:pPr>
    <w:tblPr>
      <w:tblStyleRowBandSize w:val="1"/>
      <w:tblStyleColBandSize w:val="1"/>
      <w:tblCellMar>
        <w:left w:w="108" w:type="dxa"/>
        <w:right w:w="108" w:type="dxa"/>
      </w:tblCellMar>
    </w:tblPr>
  </w:style>
  <w:style w:type="table" w:customStyle="1" w:styleId="a4">
    <w:basedOn w:val="TableNormalf4"/>
    <w:pPr>
      <w:spacing w:after="0" w:line="240" w:lineRule="auto"/>
    </w:pPr>
    <w:tblPr>
      <w:tblStyleRowBandSize w:val="1"/>
      <w:tblStyleColBandSize w:val="1"/>
      <w:tblCellMar>
        <w:left w:w="108" w:type="dxa"/>
        <w:right w:w="108" w:type="dxa"/>
      </w:tblCellMar>
    </w:tblPr>
  </w:style>
  <w:style w:type="table" w:customStyle="1" w:styleId="a5">
    <w:basedOn w:val="TableNormalf4"/>
    <w:pPr>
      <w:spacing w:after="0" w:line="240" w:lineRule="auto"/>
    </w:pPr>
    <w:tblPr>
      <w:tblStyleRowBandSize w:val="1"/>
      <w:tblStyleColBandSize w:val="1"/>
      <w:tblCellMar>
        <w:left w:w="108" w:type="dxa"/>
        <w:right w:w="108" w:type="dxa"/>
      </w:tblCellMar>
    </w:tblPr>
  </w:style>
  <w:style w:type="table" w:customStyle="1" w:styleId="a6">
    <w:basedOn w:val="TableNormalf4"/>
    <w:pPr>
      <w:spacing w:after="0" w:line="240" w:lineRule="auto"/>
    </w:pPr>
    <w:tblPr>
      <w:tblStyleRowBandSize w:val="1"/>
      <w:tblStyleColBandSize w:val="1"/>
      <w:tblCellMar>
        <w:left w:w="108" w:type="dxa"/>
        <w:right w:w="108" w:type="dxa"/>
      </w:tblCellMar>
    </w:tblPr>
  </w:style>
  <w:style w:type="table" w:customStyle="1" w:styleId="a7">
    <w:basedOn w:val="TableNormalf3"/>
    <w:pPr>
      <w:spacing w:after="0" w:line="240" w:lineRule="auto"/>
    </w:pPr>
    <w:tblPr>
      <w:tblStyleRowBandSize w:val="1"/>
      <w:tblStyleColBandSize w:val="1"/>
      <w:tblCellMar>
        <w:left w:w="108" w:type="dxa"/>
        <w:right w:w="108" w:type="dxa"/>
      </w:tblCellMar>
    </w:tblPr>
  </w:style>
  <w:style w:type="table" w:customStyle="1" w:styleId="a8">
    <w:basedOn w:val="TableNormalf3"/>
    <w:pPr>
      <w:spacing w:after="0" w:line="240" w:lineRule="auto"/>
    </w:pPr>
    <w:tblPr>
      <w:tblStyleRowBandSize w:val="1"/>
      <w:tblStyleColBandSize w:val="1"/>
      <w:tblCellMar>
        <w:left w:w="108" w:type="dxa"/>
        <w:right w:w="108" w:type="dxa"/>
      </w:tblCellMar>
    </w:tblPr>
  </w:style>
  <w:style w:type="table" w:customStyle="1" w:styleId="a9">
    <w:basedOn w:val="TableNormalf3"/>
    <w:pPr>
      <w:spacing w:after="0" w:line="240" w:lineRule="auto"/>
    </w:pPr>
    <w:tblPr>
      <w:tblStyleRowBandSize w:val="1"/>
      <w:tblStyleColBandSize w:val="1"/>
      <w:tblCellMar>
        <w:left w:w="108" w:type="dxa"/>
        <w:right w:w="108" w:type="dxa"/>
      </w:tblCellMar>
    </w:tblPr>
  </w:style>
  <w:style w:type="table" w:customStyle="1" w:styleId="aa">
    <w:basedOn w:val="TableNormalf3"/>
    <w:pPr>
      <w:spacing w:after="0" w:line="240" w:lineRule="auto"/>
    </w:pPr>
    <w:tblPr>
      <w:tblStyleRowBandSize w:val="1"/>
      <w:tblStyleColBandSize w:val="1"/>
      <w:tblCellMar>
        <w:left w:w="108" w:type="dxa"/>
        <w:right w:w="108" w:type="dxa"/>
      </w:tblCellMar>
    </w:tblPr>
  </w:style>
  <w:style w:type="table" w:customStyle="1" w:styleId="ab">
    <w:basedOn w:val="TableNormalf2"/>
    <w:pPr>
      <w:spacing w:after="0" w:line="240" w:lineRule="auto"/>
    </w:pPr>
    <w:tblPr>
      <w:tblStyleRowBandSize w:val="1"/>
      <w:tblStyleColBandSize w:val="1"/>
      <w:tblCellMar>
        <w:left w:w="108" w:type="dxa"/>
        <w:right w:w="108" w:type="dxa"/>
      </w:tblCellMar>
    </w:tblPr>
  </w:style>
  <w:style w:type="table" w:customStyle="1" w:styleId="ac">
    <w:basedOn w:val="TableNormalf2"/>
    <w:pPr>
      <w:spacing w:after="0" w:line="240" w:lineRule="auto"/>
    </w:pPr>
    <w:tblPr>
      <w:tblStyleRowBandSize w:val="1"/>
      <w:tblStyleColBandSize w:val="1"/>
      <w:tblCellMar>
        <w:left w:w="108" w:type="dxa"/>
        <w:right w:w="108" w:type="dxa"/>
      </w:tblCellMar>
    </w:tblPr>
  </w:style>
  <w:style w:type="table" w:customStyle="1" w:styleId="ad">
    <w:basedOn w:val="TableNormalf2"/>
    <w:pPr>
      <w:spacing w:after="0" w:line="240" w:lineRule="auto"/>
    </w:pPr>
    <w:tblPr>
      <w:tblStyleRowBandSize w:val="1"/>
      <w:tblStyleColBandSize w:val="1"/>
      <w:tblCellMar>
        <w:left w:w="108" w:type="dxa"/>
        <w:right w:w="108" w:type="dxa"/>
      </w:tblCellMar>
    </w:tblPr>
  </w:style>
  <w:style w:type="table" w:customStyle="1" w:styleId="ae">
    <w:basedOn w:val="TableNormalf2"/>
    <w:pPr>
      <w:spacing w:after="0" w:line="240" w:lineRule="auto"/>
    </w:pPr>
    <w:tblPr>
      <w:tblStyleRowBandSize w:val="1"/>
      <w:tblStyleColBandSize w:val="1"/>
      <w:tblCellMar>
        <w:left w:w="108" w:type="dxa"/>
        <w:right w:w="108" w:type="dxa"/>
      </w:tblCellMar>
    </w:tblPr>
  </w:style>
  <w:style w:type="table" w:customStyle="1" w:styleId="af">
    <w:basedOn w:val="TableNormalf1"/>
    <w:pPr>
      <w:spacing w:after="0" w:line="240" w:lineRule="auto"/>
    </w:pPr>
    <w:tblPr>
      <w:tblStyleRowBandSize w:val="1"/>
      <w:tblStyleColBandSize w:val="1"/>
      <w:tblCellMar>
        <w:left w:w="108" w:type="dxa"/>
        <w:right w:w="108" w:type="dxa"/>
      </w:tblCellMar>
    </w:tblPr>
  </w:style>
  <w:style w:type="table" w:customStyle="1" w:styleId="af0">
    <w:basedOn w:val="TableNormalf1"/>
    <w:pPr>
      <w:spacing w:after="0" w:line="240" w:lineRule="auto"/>
    </w:pPr>
    <w:tblPr>
      <w:tblStyleRowBandSize w:val="1"/>
      <w:tblStyleColBandSize w:val="1"/>
      <w:tblCellMar>
        <w:left w:w="108" w:type="dxa"/>
        <w:right w:w="108" w:type="dxa"/>
      </w:tblCellMar>
    </w:tblPr>
  </w:style>
  <w:style w:type="table" w:customStyle="1" w:styleId="af1">
    <w:basedOn w:val="TableNormalf1"/>
    <w:pPr>
      <w:spacing w:after="0" w:line="240" w:lineRule="auto"/>
    </w:pPr>
    <w:tblPr>
      <w:tblStyleRowBandSize w:val="1"/>
      <w:tblStyleColBandSize w:val="1"/>
      <w:tblCellMar>
        <w:left w:w="108" w:type="dxa"/>
        <w:right w:w="108" w:type="dxa"/>
      </w:tblCellMar>
    </w:tblPr>
  </w:style>
  <w:style w:type="table" w:customStyle="1" w:styleId="af2">
    <w:basedOn w:val="TableNormalf1"/>
    <w:pPr>
      <w:spacing w:after="0" w:line="240" w:lineRule="auto"/>
    </w:pPr>
    <w:tblPr>
      <w:tblStyleRowBandSize w:val="1"/>
      <w:tblStyleColBandSize w:val="1"/>
      <w:tblCellMar>
        <w:left w:w="108" w:type="dxa"/>
        <w:right w:w="108" w:type="dxa"/>
      </w:tblCellMar>
    </w:tblPr>
  </w:style>
  <w:style w:type="table" w:customStyle="1" w:styleId="af3">
    <w:basedOn w:val="TableNormalf0"/>
    <w:pPr>
      <w:spacing w:after="0" w:line="240" w:lineRule="auto"/>
    </w:pPr>
    <w:tblPr>
      <w:tblStyleRowBandSize w:val="1"/>
      <w:tblStyleColBandSize w:val="1"/>
      <w:tblCellMar>
        <w:left w:w="108" w:type="dxa"/>
        <w:right w:w="108" w:type="dxa"/>
      </w:tblCellMar>
    </w:tblPr>
  </w:style>
  <w:style w:type="table" w:customStyle="1" w:styleId="af4">
    <w:basedOn w:val="TableNormalf0"/>
    <w:pPr>
      <w:spacing w:after="0" w:line="240" w:lineRule="auto"/>
    </w:pPr>
    <w:tblPr>
      <w:tblStyleRowBandSize w:val="1"/>
      <w:tblStyleColBandSize w:val="1"/>
      <w:tblCellMar>
        <w:left w:w="108" w:type="dxa"/>
        <w:right w:w="108" w:type="dxa"/>
      </w:tblCellMar>
    </w:tblPr>
  </w:style>
  <w:style w:type="table" w:customStyle="1" w:styleId="af5">
    <w:basedOn w:val="TableNormalf0"/>
    <w:pPr>
      <w:spacing w:after="0" w:line="240" w:lineRule="auto"/>
    </w:pPr>
    <w:tblPr>
      <w:tblStyleRowBandSize w:val="1"/>
      <w:tblStyleColBandSize w:val="1"/>
      <w:tblCellMar>
        <w:left w:w="108" w:type="dxa"/>
        <w:right w:w="108" w:type="dxa"/>
      </w:tblCellMar>
    </w:tblPr>
  </w:style>
  <w:style w:type="table" w:customStyle="1" w:styleId="af6">
    <w:basedOn w:val="TableNormalf0"/>
    <w:pPr>
      <w:spacing w:after="0" w:line="240" w:lineRule="auto"/>
    </w:pPr>
    <w:tblPr>
      <w:tblStyleRowBandSize w:val="1"/>
      <w:tblStyleColBandSize w:val="1"/>
      <w:tblCellMar>
        <w:left w:w="108" w:type="dxa"/>
        <w:right w:w="108" w:type="dxa"/>
      </w:tblCellMar>
    </w:tblPr>
  </w:style>
  <w:style w:type="table" w:customStyle="1" w:styleId="af7">
    <w:basedOn w:val="TableNormalf"/>
    <w:pPr>
      <w:spacing w:after="0" w:line="240" w:lineRule="auto"/>
    </w:pPr>
    <w:tblPr>
      <w:tblStyleRowBandSize w:val="1"/>
      <w:tblStyleColBandSize w:val="1"/>
      <w:tblCellMar>
        <w:left w:w="108" w:type="dxa"/>
        <w:right w:w="108" w:type="dxa"/>
      </w:tblCellMar>
    </w:tblPr>
  </w:style>
  <w:style w:type="table" w:customStyle="1" w:styleId="af8">
    <w:basedOn w:val="TableNormalf"/>
    <w:pPr>
      <w:spacing w:after="0" w:line="240" w:lineRule="auto"/>
    </w:pPr>
    <w:tblPr>
      <w:tblStyleRowBandSize w:val="1"/>
      <w:tblStyleColBandSize w:val="1"/>
      <w:tblCellMar>
        <w:left w:w="108" w:type="dxa"/>
        <w:right w:w="108" w:type="dxa"/>
      </w:tblCellMar>
    </w:tblPr>
  </w:style>
  <w:style w:type="table" w:customStyle="1" w:styleId="af9">
    <w:basedOn w:val="TableNormalf"/>
    <w:pPr>
      <w:spacing w:after="0" w:line="240" w:lineRule="auto"/>
    </w:pPr>
    <w:tblPr>
      <w:tblStyleRowBandSize w:val="1"/>
      <w:tblStyleColBandSize w:val="1"/>
      <w:tblCellMar>
        <w:left w:w="108" w:type="dxa"/>
        <w:right w:w="108" w:type="dxa"/>
      </w:tblCellMar>
    </w:tblPr>
  </w:style>
  <w:style w:type="table" w:customStyle="1" w:styleId="afa">
    <w:basedOn w:val="TableNormalf"/>
    <w:pPr>
      <w:spacing w:after="0" w:line="240" w:lineRule="auto"/>
    </w:pPr>
    <w:tblPr>
      <w:tblStyleRowBandSize w:val="1"/>
      <w:tblStyleColBandSize w:val="1"/>
      <w:tblCellMar>
        <w:left w:w="108" w:type="dxa"/>
        <w:right w:w="108" w:type="dxa"/>
      </w:tblCellMar>
    </w:tblPr>
  </w:style>
  <w:style w:type="table" w:customStyle="1" w:styleId="afb">
    <w:basedOn w:val="TableNormale"/>
    <w:pPr>
      <w:spacing w:after="0" w:line="240" w:lineRule="auto"/>
    </w:pPr>
    <w:tblPr>
      <w:tblStyleRowBandSize w:val="1"/>
      <w:tblStyleColBandSize w:val="1"/>
      <w:tblCellMar>
        <w:left w:w="108" w:type="dxa"/>
        <w:right w:w="108" w:type="dxa"/>
      </w:tblCellMar>
    </w:tblPr>
  </w:style>
  <w:style w:type="table" w:customStyle="1" w:styleId="afc">
    <w:basedOn w:val="TableNormale"/>
    <w:pPr>
      <w:spacing w:after="0" w:line="240" w:lineRule="auto"/>
    </w:pPr>
    <w:tblPr>
      <w:tblStyleRowBandSize w:val="1"/>
      <w:tblStyleColBandSize w:val="1"/>
      <w:tblCellMar>
        <w:left w:w="108" w:type="dxa"/>
        <w:right w:w="108" w:type="dxa"/>
      </w:tblCellMar>
    </w:tblPr>
  </w:style>
  <w:style w:type="table" w:customStyle="1" w:styleId="afd">
    <w:basedOn w:val="TableNormale"/>
    <w:pPr>
      <w:spacing w:after="0" w:line="240" w:lineRule="auto"/>
    </w:pPr>
    <w:tblPr>
      <w:tblStyleRowBandSize w:val="1"/>
      <w:tblStyleColBandSize w:val="1"/>
      <w:tblCellMar>
        <w:left w:w="108" w:type="dxa"/>
        <w:right w:w="108" w:type="dxa"/>
      </w:tblCellMar>
    </w:tblPr>
  </w:style>
  <w:style w:type="table" w:customStyle="1" w:styleId="afe">
    <w:basedOn w:val="TableNormale"/>
    <w:pPr>
      <w:spacing w:after="0" w:line="240" w:lineRule="auto"/>
    </w:pPr>
    <w:tblPr>
      <w:tblStyleRowBandSize w:val="1"/>
      <w:tblStyleColBandSize w:val="1"/>
      <w:tblCellMar>
        <w:left w:w="108" w:type="dxa"/>
        <w:right w:w="108" w:type="dxa"/>
      </w:tblCellMar>
    </w:tblPr>
  </w:style>
  <w:style w:type="table" w:customStyle="1" w:styleId="aff">
    <w:basedOn w:val="TableNormald"/>
    <w:pPr>
      <w:spacing w:after="0" w:line="240" w:lineRule="auto"/>
    </w:pPr>
    <w:tblPr>
      <w:tblStyleRowBandSize w:val="1"/>
      <w:tblStyleColBandSize w:val="1"/>
      <w:tblCellMar>
        <w:left w:w="108" w:type="dxa"/>
        <w:right w:w="108" w:type="dxa"/>
      </w:tblCellMar>
    </w:tblPr>
  </w:style>
  <w:style w:type="table" w:customStyle="1" w:styleId="aff0">
    <w:basedOn w:val="TableNormald"/>
    <w:pPr>
      <w:spacing w:after="0" w:line="240" w:lineRule="auto"/>
    </w:pPr>
    <w:tblPr>
      <w:tblStyleRowBandSize w:val="1"/>
      <w:tblStyleColBandSize w:val="1"/>
      <w:tblCellMar>
        <w:left w:w="108" w:type="dxa"/>
        <w:right w:w="108" w:type="dxa"/>
      </w:tblCellMar>
    </w:tblPr>
  </w:style>
  <w:style w:type="table" w:customStyle="1" w:styleId="aff1">
    <w:basedOn w:val="TableNormald"/>
    <w:pPr>
      <w:spacing w:after="0" w:line="240" w:lineRule="auto"/>
    </w:pPr>
    <w:tblPr>
      <w:tblStyleRowBandSize w:val="1"/>
      <w:tblStyleColBandSize w:val="1"/>
      <w:tblCellMar>
        <w:left w:w="108" w:type="dxa"/>
        <w:right w:w="108" w:type="dxa"/>
      </w:tblCellMar>
    </w:tblPr>
  </w:style>
  <w:style w:type="table" w:customStyle="1" w:styleId="aff2">
    <w:basedOn w:val="TableNormald"/>
    <w:pPr>
      <w:spacing w:after="0" w:line="240" w:lineRule="auto"/>
    </w:pPr>
    <w:tblPr>
      <w:tblStyleRowBandSize w:val="1"/>
      <w:tblStyleColBandSize w:val="1"/>
      <w:tblCellMar>
        <w:left w:w="108" w:type="dxa"/>
        <w:right w:w="108" w:type="dxa"/>
      </w:tblCellMar>
    </w:tblPr>
  </w:style>
  <w:style w:type="table" w:customStyle="1" w:styleId="aff3">
    <w:basedOn w:val="TableNormalc"/>
    <w:pPr>
      <w:spacing w:after="0" w:line="240" w:lineRule="auto"/>
    </w:pPr>
    <w:tblPr>
      <w:tblStyleRowBandSize w:val="1"/>
      <w:tblStyleColBandSize w:val="1"/>
      <w:tblCellMar>
        <w:left w:w="108" w:type="dxa"/>
        <w:right w:w="108" w:type="dxa"/>
      </w:tblCellMar>
    </w:tblPr>
  </w:style>
  <w:style w:type="table" w:customStyle="1" w:styleId="aff4">
    <w:basedOn w:val="TableNormalc"/>
    <w:pPr>
      <w:spacing w:after="0" w:line="240" w:lineRule="auto"/>
    </w:pPr>
    <w:tblPr>
      <w:tblStyleRowBandSize w:val="1"/>
      <w:tblStyleColBandSize w:val="1"/>
      <w:tblCellMar>
        <w:left w:w="108" w:type="dxa"/>
        <w:right w:w="108" w:type="dxa"/>
      </w:tblCellMar>
    </w:tblPr>
  </w:style>
  <w:style w:type="table" w:customStyle="1" w:styleId="aff5">
    <w:basedOn w:val="TableNormalc"/>
    <w:pPr>
      <w:spacing w:after="0" w:line="240" w:lineRule="auto"/>
    </w:pPr>
    <w:tblPr>
      <w:tblStyleRowBandSize w:val="1"/>
      <w:tblStyleColBandSize w:val="1"/>
      <w:tblCellMar>
        <w:left w:w="108" w:type="dxa"/>
        <w:right w:w="108" w:type="dxa"/>
      </w:tblCellMar>
    </w:tblPr>
  </w:style>
  <w:style w:type="table" w:customStyle="1" w:styleId="aff6">
    <w:basedOn w:val="TableNormalc"/>
    <w:pPr>
      <w:spacing w:after="0" w:line="240" w:lineRule="auto"/>
    </w:pPr>
    <w:tblPr>
      <w:tblStyleRowBandSize w:val="1"/>
      <w:tblStyleColBandSize w:val="1"/>
      <w:tblCellMar>
        <w:left w:w="108" w:type="dxa"/>
        <w:right w:w="108" w:type="dxa"/>
      </w:tblCellMar>
    </w:tblPr>
  </w:style>
  <w:style w:type="table" w:customStyle="1" w:styleId="aff7">
    <w:basedOn w:val="TableNormalb"/>
    <w:pPr>
      <w:spacing w:after="0" w:line="240" w:lineRule="auto"/>
    </w:pPr>
    <w:tblPr>
      <w:tblStyleRowBandSize w:val="1"/>
      <w:tblStyleColBandSize w:val="1"/>
      <w:tblCellMar>
        <w:left w:w="108" w:type="dxa"/>
        <w:right w:w="108" w:type="dxa"/>
      </w:tblCellMar>
    </w:tblPr>
  </w:style>
  <w:style w:type="table" w:customStyle="1" w:styleId="aff8">
    <w:basedOn w:val="TableNormalb"/>
    <w:pPr>
      <w:spacing w:after="0" w:line="240" w:lineRule="auto"/>
    </w:pPr>
    <w:tblPr>
      <w:tblStyleRowBandSize w:val="1"/>
      <w:tblStyleColBandSize w:val="1"/>
      <w:tblCellMar>
        <w:left w:w="108" w:type="dxa"/>
        <w:right w:w="108" w:type="dxa"/>
      </w:tblCellMar>
    </w:tblPr>
  </w:style>
  <w:style w:type="table" w:customStyle="1" w:styleId="aff9">
    <w:basedOn w:val="TableNormalb"/>
    <w:pPr>
      <w:spacing w:after="0" w:line="240" w:lineRule="auto"/>
    </w:pPr>
    <w:tblPr>
      <w:tblStyleRowBandSize w:val="1"/>
      <w:tblStyleColBandSize w:val="1"/>
      <w:tblCellMar>
        <w:left w:w="108" w:type="dxa"/>
        <w:right w:w="108" w:type="dxa"/>
      </w:tblCellMar>
    </w:tblPr>
  </w:style>
  <w:style w:type="table" w:customStyle="1" w:styleId="affa">
    <w:basedOn w:val="TableNormalb"/>
    <w:pPr>
      <w:spacing w:after="0" w:line="240" w:lineRule="auto"/>
    </w:pPr>
    <w:tblPr>
      <w:tblStyleRowBandSize w:val="1"/>
      <w:tblStyleColBandSize w:val="1"/>
      <w:tblCellMar>
        <w:left w:w="108" w:type="dxa"/>
        <w:right w:w="108" w:type="dxa"/>
      </w:tblCellMar>
    </w:tblPr>
  </w:style>
  <w:style w:type="table" w:customStyle="1" w:styleId="affb">
    <w:basedOn w:val="TableNormalb"/>
    <w:pPr>
      <w:spacing w:after="0" w:line="240" w:lineRule="auto"/>
    </w:pPr>
    <w:tblPr>
      <w:tblStyleRowBandSize w:val="1"/>
      <w:tblStyleColBandSize w:val="1"/>
      <w:tblCellMar>
        <w:left w:w="108" w:type="dxa"/>
        <w:right w:w="108" w:type="dxa"/>
      </w:tblCellMar>
    </w:tblPr>
  </w:style>
  <w:style w:type="table" w:customStyle="1" w:styleId="affc">
    <w:basedOn w:val="TableNormalb"/>
    <w:pPr>
      <w:spacing w:after="0" w:line="240" w:lineRule="auto"/>
    </w:pPr>
    <w:tblPr>
      <w:tblStyleRowBandSize w:val="1"/>
      <w:tblStyleColBandSize w:val="1"/>
      <w:tblCellMar>
        <w:left w:w="108" w:type="dxa"/>
        <w:right w:w="108" w:type="dxa"/>
      </w:tblCellMar>
    </w:tblPr>
  </w:style>
  <w:style w:type="table" w:customStyle="1" w:styleId="affd">
    <w:basedOn w:val="TableNormalb"/>
    <w:pPr>
      <w:spacing w:after="0" w:line="240" w:lineRule="auto"/>
    </w:pPr>
    <w:tblPr>
      <w:tblStyleRowBandSize w:val="1"/>
      <w:tblStyleColBandSize w:val="1"/>
      <w:tblCellMar>
        <w:left w:w="108" w:type="dxa"/>
        <w:right w:w="108" w:type="dxa"/>
      </w:tblCellMar>
    </w:tblPr>
  </w:style>
  <w:style w:type="table" w:customStyle="1" w:styleId="affe">
    <w:basedOn w:val="TableNormalb"/>
    <w:pPr>
      <w:spacing w:after="0" w:line="240" w:lineRule="auto"/>
    </w:pPr>
    <w:tblPr>
      <w:tblStyleRowBandSize w:val="1"/>
      <w:tblStyleColBandSize w:val="1"/>
      <w:tblCellMar>
        <w:left w:w="108" w:type="dxa"/>
        <w:right w:w="108" w:type="dxa"/>
      </w:tblCellMar>
    </w:tblPr>
  </w:style>
  <w:style w:type="table" w:customStyle="1" w:styleId="afff">
    <w:basedOn w:val="TableNormalb"/>
    <w:pPr>
      <w:spacing w:after="0" w:line="240" w:lineRule="auto"/>
    </w:pPr>
    <w:tblPr>
      <w:tblStyleRowBandSize w:val="1"/>
      <w:tblStyleColBandSize w:val="1"/>
      <w:tblCellMar>
        <w:left w:w="108" w:type="dxa"/>
        <w:right w:w="108" w:type="dxa"/>
      </w:tblCellMar>
    </w:tblPr>
  </w:style>
  <w:style w:type="table" w:customStyle="1" w:styleId="afff0">
    <w:basedOn w:val="TableNormalb"/>
    <w:pPr>
      <w:spacing w:after="0" w:line="240" w:lineRule="auto"/>
    </w:pPr>
    <w:tblPr>
      <w:tblStyleRowBandSize w:val="1"/>
      <w:tblStyleColBandSize w:val="1"/>
      <w:tblCellMar>
        <w:left w:w="108" w:type="dxa"/>
        <w:right w:w="108" w:type="dxa"/>
      </w:tblCellMar>
    </w:tblPr>
  </w:style>
  <w:style w:type="table" w:customStyle="1" w:styleId="afff1">
    <w:basedOn w:val="TableNormalb"/>
    <w:pPr>
      <w:spacing w:after="0" w:line="240" w:lineRule="auto"/>
    </w:pPr>
    <w:tblPr>
      <w:tblStyleRowBandSize w:val="1"/>
      <w:tblStyleColBandSize w:val="1"/>
      <w:tblCellMar>
        <w:left w:w="108" w:type="dxa"/>
        <w:right w:w="108" w:type="dxa"/>
      </w:tblCellMar>
    </w:tblPr>
  </w:style>
  <w:style w:type="table" w:customStyle="1" w:styleId="afff2">
    <w:basedOn w:val="TableNormalb"/>
    <w:pPr>
      <w:spacing w:after="0" w:line="240" w:lineRule="auto"/>
    </w:pPr>
    <w:tblPr>
      <w:tblStyleRowBandSize w:val="1"/>
      <w:tblStyleColBandSize w:val="1"/>
      <w:tblCellMar>
        <w:left w:w="108" w:type="dxa"/>
        <w:right w:w="108" w:type="dxa"/>
      </w:tblCellMar>
    </w:tblPr>
  </w:style>
  <w:style w:type="table" w:customStyle="1" w:styleId="afff3">
    <w:basedOn w:val="TableNormalb"/>
    <w:pPr>
      <w:spacing w:after="0" w:line="240" w:lineRule="auto"/>
    </w:pPr>
    <w:tblPr>
      <w:tblStyleRowBandSize w:val="1"/>
      <w:tblStyleColBandSize w:val="1"/>
      <w:tblCellMar>
        <w:left w:w="108" w:type="dxa"/>
        <w:right w:w="108" w:type="dxa"/>
      </w:tblCellMar>
    </w:tblPr>
  </w:style>
  <w:style w:type="table" w:customStyle="1" w:styleId="afff4">
    <w:basedOn w:val="TableNormalb"/>
    <w:pPr>
      <w:spacing w:after="0" w:line="240" w:lineRule="auto"/>
    </w:pPr>
    <w:tblPr>
      <w:tblStyleRowBandSize w:val="1"/>
      <w:tblStyleColBandSize w:val="1"/>
      <w:tblCellMar>
        <w:left w:w="108" w:type="dxa"/>
        <w:right w:w="108" w:type="dxa"/>
      </w:tblCellMar>
    </w:tblPr>
  </w:style>
  <w:style w:type="table" w:customStyle="1" w:styleId="afff5">
    <w:basedOn w:val="TableNormalb"/>
    <w:pPr>
      <w:spacing w:after="0" w:line="240" w:lineRule="auto"/>
    </w:pPr>
    <w:tblPr>
      <w:tblStyleRowBandSize w:val="1"/>
      <w:tblStyleColBandSize w:val="1"/>
      <w:tblCellMar>
        <w:left w:w="108" w:type="dxa"/>
        <w:right w:w="108" w:type="dxa"/>
      </w:tblCellMar>
    </w:tblPr>
  </w:style>
  <w:style w:type="table" w:customStyle="1" w:styleId="afff6">
    <w:basedOn w:val="TableNormalb"/>
    <w:pPr>
      <w:spacing w:after="0" w:line="240" w:lineRule="auto"/>
    </w:pPr>
    <w:tblPr>
      <w:tblStyleRowBandSize w:val="1"/>
      <w:tblStyleColBandSize w:val="1"/>
      <w:tblCellMar>
        <w:left w:w="108" w:type="dxa"/>
        <w:right w:w="108" w:type="dxa"/>
      </w:tblCellMar>
    </w:tblPr>
  </w:style>
  <w:style w:type="table" w:customStyle="1" w:styleId="afff7">
    <w:basedOn w:val="TableNormalb"/>
    <w:pPr>
      <w:spacing w:after="0" w:line="240" w:lineRule="auto"/>
    </w:pPr>
    <w:tblPr>
      <w:tblStyleRowBandSize w:val="1"/>
      <w:tblStyleColBandSize w:val="1"/>
      <w:tblCellMar>
        <w:left w:w="108" w:type="dxa"/>
        <w:right w:w="108" w:type="dxa"/>
      </w:tblCellMar>
    </w:tblPr>
  </w:style>
  <w:style w:type="table" w:customStyle="1" w:styleId="afff8">
    <w:basedOn w:val="TableNormalb"/>
    <w:pPr>
      <w:spacing w:after="0" w:line="240" w:lineRule="auto"/>
    </w:pPr>
    <w:tblPr>
      <w:tblStyleRowBandSize w:val="1"/>
      <w:tblStyleColBandSize w:val="1"/>
      <w:tblCellMar>
        <w:left w:w="108" w:type="dxa"/>
        <w:right w:w="108" w:type="dxa"/>
      </w:tblCellMar>
    </w:tblPr>
  </w:style>
  <w:style w:type="table" w:customStyle="1" w:styleId="afff9">
    <w:basedOn w:val="TableNormalb"/>
    <w:pPr>
      <w:spacing w:after="0" w:line="240" w:lineRule="auto"/>
    </w:pPr>
    <w:tblPr>
      <w:tblStyleRowBandSize w:val="1"/>
      <w:tblStyleColBandSize w:val="1"/>
      <w:tblCellMar>
        <w:left w:w="108" w:type="dxa"/>
        <w:right w:w="108" w:type="dxa"/>
      </w:tblCellMar>
    </w:tblPr>
  </w:style>
  <w:style w:type="table" w:customStyle="1" w:styleId="afffa">
    <w:basedOn w:val="TableNormalb"/>
    <w:pPr>
      <w:spacing w:after="0" w:line="240" w:lineRule="auto"/>
    </w:pPr>
    <w:tblPr>
      <w:tblStyleRowBandSize w:val="1"/>
      <w:tblStyleColBandSize w:val="1"/>
      <w:tblCellMar>
        <w:left w:w="108" w:type="dxa"/>
        <w:right w:w="108" w:type="dxa"/>
      </w:tblCellMar>
    </w:tblPr>
  </w:style>
  <w:style w:type="table" w:customStyle="1" w:styleId="afffb">
    <w:basedOn w:val="TableNormalb"/>
    <w:pPr>
      <w:spacing w:after="0" w:line="240" w:lineRule="auto"/>
    </w:pPr>
    <w:tblPr>
      <w:tblStyleRowBandSize w:val="1"/>
      <w:tblStyleColBandSize w:val="1"/>
      <w:tblCellMar>
        <w:left w:w="108" w:type="dxa"/>
        <w:right w:w="108" w:type="dxa"/>
      </w:tblCellMar>
    </w:tblPr>
  </w:style>
  <w:style w:type="table" w:customStyle="1" w:styleId="afffc">
    <w:basedOn w:val="TableNormalb"/>
    <w:pPr>
      <w:spacing w:after="0" w:line="240" w:lineRule="auto"/>
    </w:pPr>
    <w:tblPr>
      <w:tblStyleRowBandSize w:val="1"/>
      <w:tblStyleColBandSize w:val="1"/>
      <w:tblCellMar>
        <w:left w:w="108" w:type="dxa"/>
        <w:right w:w="108" w:type="dxa"/>
      </w:tblCellMar>
    </w:tblPr>
  </w:style>
  <w:style w:type="table" w:customStyle="1" w:styleId="afffd">
    <w:basedOn w:val="TableNormala"/>
    <w:pPr>
      <w:spacing w:after="0" w:line="240" w:lineRule="auto"/>
    </w:pPr>
    <w:tblPr>
      <w:tblStyleRowBandSize w:val="1"/>
      <w:tblStyleColBandSize w:val="1"/>
      <w:tblCellMar>
        <w:left w:w="108" w:type="dxa"/>
        <w:right w:w="108" w:type="dxa"/>
      </w:tblCellMar>
    </w:tblPr>
  </w:style>
  <w:style w:type="table" w:customStyle="1" w:styleId="afffe">
    <w:basedOn w:val="TableNormala"/>
    <w:pPr>
      <w:spacing w:after="0" w:line="240" w:lineRule="auto"/>
    </w:pPr>
    <w:tblPr>
      <w:tblStyleRowBandSize w:val="1"/>
      <w:tblStyleColBandSize w:val="1"/>
      <w:tblCellMar>
        <w:left w:w="108" w:type="dxa"/>
        <w:right w:w="108" w:type="dxa"/>
      </w:tblCellMar>
    </w:tblPr>
  </w:style>
  <w:style w:type="table" w:customStyle="1" w:styleId="affff">
    <w:basedOn w:val="TableNormala"/>
    <w:pPr>
      <w:spacing w:after="0" w:line="240" w:lineRule="auto"/>
    </w:pPr>
    <w:tblPr>
      <w:tblStyleRowBandSize w:val="1"/>
      <w:tblStyleColBandSize w:val="1"/>
      <w:tblCellMar>
        <w:left w:w="108" w:type="dxa"/>
        <w:right w:w="108" w:type="dxa"/>
      </w:tblCellMar>
    </w:tblPr>
  </w:style>
  <w:style w:type="table" w:customStyle="1" w:styleId="affff0">
    <w:basedOn w:val="TableNormala"/>
    <w:pPr>
      <w:spacing w:after="0" w:line="240" w:lineRule="auto"/>
    </w:pPr>
    <w:tblPr>
      <w:tblStyleRowBandSize w:val="1"/>
      <w:tblStyleColBandSize w:val="1"/>
      <w:tblCellMar>
        <w:left w:w="108" w:type="dxa"/>
        <w:right w:w="108" w:type="dxa"/>
      </w:tblCellMar>
    </w:tblPr>
  </w:style>
  <w:style w:type="table" w:customStyle="1" w:styleId="affff1">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9"/>
    <w:pPr>
      <w:spacing w:after="0" w:line="240" w:lineRule="auto"/>
    </w:pPr>
    <w:tblPr>
      <w:tblStyleRowBandSize w:val="1"/>
      <w:tblStyleColBandSize w:val="1"/>
      <w:tblCellMar>
        <w:left w:w="108" w:type="dxa"/>
        <w:right w:w="108" w:type="dxa"/>
      </w:tblCellMar>
    </w:tblPr>
  </w:style>
  <w:style w:type="table" w:customStyle="1" w:styleId="affff3">
    <w:basedOn w:val="TableNormal9"/>
    <w:pPr>
      <w:spacing w:after="0" w:line="240" w:lineRule="auto"/>
    </w:pPr>
    <w:tblPr>
      <w:tblStyleRowBandSize w:val="1"/>
      <w:tblStyleColBandSize w:val="1"/>
      <w:tblCellMar>
        <w:left w:w="108" w:type="dxa"/>
        <w:right w:w="108" w:type="dxa"/>
      </w:tblCellMar>
    </w:tblPr>
  </w:style>
  <w:style w:type="table" w:customStyle="1" w:styleId="affff4">
    <w:basedOn w:val="TableNormal9"/>
    <w:pPr>
      <w:spacing w:after="0" w:line="240" w:lineRule="auto"/>
    </w:pPr>
    <w:tblPr>
      <w:tblStyleRowBandSize w:val="1"/>
      <w:tblStyleColBandSize w:val="1"/>
      <w:tblCellMar>
        <w:left w:w="108" w:type="dxa"/>
        <w:right w:w="108" w:type="dxa"/>
      </w:tblCellMar>
    </w:tblPr>
  </w:style>
  <w:style w:type="table" w:customStyle="1" w:styleId="affff5">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8"/>
    <w:pPr>
      <w:spacing w:after="0" w:line="240" w:lineRule="auto"/>
    </w:pPr>
    <w:tblPr>
      <w:tblStyleRowBandSize w:val="1"/>
      <w:tblStyleColBandSize w:val="1"/>
      <w:tblCellMar>
        <w:left w:w="108" w:type="dxa"/>
        <w:right w:w="108" w:type="dxa"/>
      </w:tblCellMar>
    </w:tblPr>
  </w:style>
  <w:style w:type="table" w:customStyle="1" w:styleId="affff7">
    <w:basedOn w:val="TableNormal8"/>
    <w:pPr>
      <w:spacing w:after="0" w:line="240" w:lineRule="auto"/>
    </w:pPr>
    <w:tblPr>
      <w:tblStyleRowBandSize w:val="1"/>
      <w:tblStyleColBandSize w:val="1"/>
      <w:tblCellMar>
        <w:left w:w="108" w:type="dxa"/>
        <w:right w:w="108" w:type="dxa"/>
      </w:tblCellMar>
    </w:tblPr>
  </w:style>
  <w:style w:type="table" w:customStyle="1" w:styleId="affff8">
    <w:basedOn w:val="TableNormal8"/>
    <w:pPr>
      <w:spacing w:after="0" w:line="240" w:lineRule="auto"/>
    </w:pPr>
    <w:tblPr>
      <w:tblStyleRowBandSize w:val="1"/>
      <w:tblStyleColBandSize w:val="1"/>
      <w:tblCellMar>
        <w:left w:w="108" w:type="dxa"/>
        <w:right w:w="108" w:type="dxa"/>
      </w:tblCellMar>
    </w:tblPr>
  </w:style>
  <w:style w:type="table" w:customStyle="1" w:styleId="affff9">
    <w:basedOn w:val="TableNormal8"/>
    <w:pPr>
      <w:spacing w:after="0" w:line="240" w:lineRule="auto"/>
    </w:pPr>
    <w:tblPr>
      <w:tblStyleRowBandSize w:val="1"/>
      <w:tblStyleColBandSize w:val="1"/>
      <w:tblCellMar>
        <w:left w:w="108" w:type="dxa"/>
        <w:right w:w="108" w:type="dxa"/>
      </w:tblCellMar>
    </w:tblPr>
  </w:style>
  <w:style w:type="table" w:customStyle="1" w:styleId="affffa">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7"/>
    <w:pPr>
      <w:spacing w:after="0" w:line="240" w:lineRule="auto"/>
    </w:pPr>
    <w:tblPr>
      <w:tblStyleRowBandSize w:val="1"/>
      <w:tblStyleColBandSize w:val="1"/>
      <w:tblCellMar>
        <w:left w:w="108" w:type="dxa"/>
        <w:right w:w="108" w:type="dxa"/>
      </w:tblCellMar>
    </w:tblPr>
  </w:style>
  <w:style w:type="table" w:customStyle="1" w:styleId="affffc">
    <w:basedOn w:val="TableNormal7"/>
    <w:pPr>
      <w:spacing w:after="0" w:line="240" w:lineRule="auto"/>
    </w:pPr>
    <w:tblPr>
      <w:tblStyleRowBandSize w:val="1"/>
      <w:tblStyleColBandSize w:val="1"/>
      <w:tblCellMar>
        <w:left w:w="108" w:type="dxa"/>
        <w:right w:w="108" w:type="dxa"/>
      </w:tblCellMar>
    </w:tblPr>
  </w:style>
  <w:style w:type="table" w:customStyle="1" w:styleId="affffd">
    <w:basedOn w:val="TableNormal7"/>
    <w:pPr>
      <w:spacing w:after="0" w:line="240" w:lineRule="auto"/>
    </w:pPr>
    <w:tblPr>
      <w:tblStyleRowBandSize w:val="1"/>
      <w:tblStyleColBandSize w:val="1"/>
      <w:tblCellMar>
        <w:left w:w="108" w:type="dxa"/>
        <w:right w:w="108" w:type="dxa"/>
      </w:tblCellMar>
    </w:tblPr>
  </w:style>
  <w:style w:type="table" w:customStyle="1" w:styleId="affffe">
    <w:basedOn w:val="TableNormal7"/>
    <w:pPr>
      <w:spacing w:after="0" w:line="240" w:lineRule="auto"/>
    </w:pPr>
    <w:tblPr>
      <w:tblStyleRowBandSize w:val="1"/>
      <w:tblStyleColBandSize w:val="1"/>
      <w:tblCellMar>
        <w:left w:w="108" w:type="dxa"/>
        <w:right w:w="108" w:type="dxa"/>
      </w:tblCellMar>
    </w:tblPr>
  </w:style>
  <w:style w:type="table" w:customStyle="1" w:styleId="afffff">
    <w:basedOn w:val="TableNormal6"/>
    <w:pPr>
      <w:spacing w:after="0" w:line="240" w:lineRule="auto"/>
    </w:pPr>
    <w:tblPr>
      <w:tblStyleRowBandSize w:val="1"/>
      <w:tblStyleColBandSize w:val="1"/>
      <w:tblCellMar>
        <w:left w:w="108" w:type="dxa"/>
        <w:right w:w="108" w:type="dxa"/>
      </w:tblCellMar>
    </w:tblPr>
  </w:style>
  <w:style w:type="table" w:customStyle="1" w:styleId="afffff0">
    <w:basedOn w:val="TableNormal6"/>
    <w:pPr>
      <w:spacing w:after="0" w:line="240" w:lineRule="auto"/>
    </w:pPr>
    <w:tblPr>
      <w:tblStyleRowBandSize w:val="1"/>
      <w:tblStyleColBandSize w:val="1"/>
      <w:tblCellMar>
        <w:left w:w="108" w:type="dxa"/>
        <w:right w:w="108" w:type="dxa"/>
      </w:tblCellMar>
    </w:tblPr>
  </w:style>
  <w:style w:type="table" w:customStyle="1" w:styleId="afffff1">
    <w:basedOn w:val="TableNormal6"/>
    <w:pPr>
      <w:spacing w:after="0" w:line="240" w:lineRule="auto"/>
    </w:pPr>
    <w:tblPr>
      <w:tblStyleRowBandSize w:val="1"/>
      <w:tblStyleColBandSize w:val="1"/>
      <w:tblCellMar>
        <w:left w:w="108" w:type="dxa"/>
        <w:right w:w="108" w:type="dxa"/>
      </w:tblCellMar>
    </w:tblPr>
  </w:style>
  <w:style w:type="table" w:customStyle="1" w:styleId="afffff2">
    <w:basedOn w:val="TableNormal6"/>
    <w:pPr>
      <w:spacing w:after="0" w:line="240" w:lineRule="auto"/>
    </w:pPr>
    <w:tblPr>
      <w:tblStyleRowBandSize w:val="1"/>
      <w:tblStyleColBandSize w:val="1"/>
      <w:tblCellMar>
        <w:left w:w="108" w:type="dxa"/>
        <w:right w:w="108" w:type="dxa"/>
      </w:tblCellMar>
    </w:tblPr>
  </w:style>
  <w:style w:type="table" w:customStyle="1" w:styleId="afffff3">
    <w:basedOn w:val="TableNormal6"/>
    <w:pPr>
      <w:spacing w:after="0" w:line="240" w:lineRule="auto"/>
    </w:pPr>
    <w:tblPr>
      <w:tblStyleRowBandSize w:val="1"/>
      <w:tblStyleColBandSize w:val="1"/>
      <w:tblCellMar>
        <w:left w:w="108" w:type="dxa"/>
        <w:right w:w="108" w:type="dxa"/>
      </w:tblCellMar>
    </w:tblPr>
  </w:style>
  <w:style w:type="table" w:customStyle="1" w:styleId="afffff4">
    <w:basedOn w:val="TableNormal5"/>
    <w:pPr>
      <w:spacing w:after="0" w:line="240" w:lineRule="auto"/>
    </w:pPr>
    <w:tblPr>
      <w:tblStyleRowBandSize w:val="1"/>
      <w:tblStyleColBandSize w:val="1"/>
      <w:tblCellMar>
        <w:left w:w="108" w:type="dxa"/>
        <w:right w:w="108" w:type="dxa"/>
      </w:tblCellMar>
    </w:tblPr>
  </w:style>
  <w:style w:type="table" w:customStyle="1" w:styleId="afffff5">
    <w:basedOn w:val="TableNormal5"/>
    <w:pPr>
      <w:spacing w:after="0" w:line="240" w:lineRule="auto"/>
    </w:pPr>
    <w:tblPr>
      <w:tblStyleRowBandSize w:val="1"/>
      <w:tblStyleColBandSize w:val="1"/>
      <w:tblCellMar>
        <w:left w:w="108" w:type="dxa"/>
        <w:right w:w="108" w:type="dxa"/>
      </w:tblCellMar>
    </w:tblPr>
  </w:style>
  <w:style w:type="table" w:customStyle="1" w:styleId="afffff6">
    <w:basedOn w:val="TableNormal5"/>
    <w:pPr>
      <w:spacing w:after="0" w:line="240" w:lineRule="auto"/>
    </w:pPr>
    <w:tblPr>
      <w:tblStyleRowBandSize w:val="1"/>
      <w:tblStyleColBandSize w:val="1"/>
      <w:tblCellMar>
        <w:left w:w="108" w:type="dxa"/>
        <w:right w:w="108" w:type="dxa"/>
      </w:tblCellMar>
    </w:tblPr>
  </w:style>
  <w:style w:type="table" w:customStyle="1" w:styleId="afffff7">
    <w:basedOn w:val="TableNormal5"/>
    <w:pPr>
      <w:spacing w:after="0" w:line="240" w:lineRule="auto"/>
    </w:pPr>
    <w:tblPr>
      <w:tblStyleRowBandSize w:val="1"/>
      <w:tblStyleColBandSize w:val="1"/>
      <w:tblCellMar>
        <w:left w:w="108" w:type="dxa"/>
        <w:right w:w="108" w:type="dxa"/>
      </w:tblCellMar>
    </w:tblPr>
  </w:style>
  <w:style w:type="table" w:customStyle="1" w:styleId="afffff8">
    <w:basedOn w:val="TableNormal4"/>
    <w:pPr>
      <w:spacing w:after="0" w:line="240" w:lineRule="auto"/>
    </w:pPr>
    <w:tblPr>
      <w:tblStyleRowBandSize w:val="1"/>
      <w:tblStyleColBandSize w:val="1"/>
      <w:tblCellMar>
        <w:left w:w="108" w:type="dxa"/>
        <w:right w:w="108" w:type="dxa"/>
      </w:tblCellMar>
    </w:tblPr>
  </w:style>
  <w:style w:type="table" w:customStyle="1" w:styleId="afffff9">
    <w:basedOn w:val="TableNormal4"/>
    <w:pPr>
      <w:spacing w:after="0" w:line="240" w:lineRule="auto"/>
    </w:pPr>
    <w:tblPr>
      <w:tblStyleRowBandSize w:val="1"/>
      <w:tblStyleColBandSize w:val="1"/>
      <w:tblCellMar>
        <w:left w:w="108" w:type="dxa"/>
        <w:right w:w="108" w:type="dxa"/>
      </w:tblCellMar>
    </w:tblPr>
  </w:style>
  <w:style w:type="table" w:customStyle="1" w:styleId="afffffa">
    <w:basedOn w:val="TableNormal4"/>
    <w:pPr>
      <w:spacing w:after="0" w:line="240" w:lineRule="auto"/>
    </w:pPr>
    <w:tblPr>
      <w:tblStyleRowBandSize w:val="1"/>
      <w:tblStyleColBandSize w:val="1"/>
      <w:tblCellMar>
        <w:left w:w="108" w:type="dxa"/>
        <w:right w:w="108" w:type="dxa"/>
      </w:tblCellMar>
    </w:tblPr>
  </w:style>
  <w:style w:type="table" w:customStyle="1" w:styleId="afffffb">
    <w:basedOn w:val="TableNormal4"/>
    <w:pPr>
      <w:spacing w:after="0" w:line="240" w:lineRule="auto"/>
    </w:pPr>
    <w:tblPr>
      <w:tblStyleRowBandSize w:val="1"/>
      <w:tblStyleColBandSize w:val="1"/>
      <w:tblCellMar>
        <w:left w:w="108" w:type="dxa"/>
        <w:right w:w="108" w:type="dxa"/>
      </w:tblCellMar>
    </w:tblPr>
  </w:style>
  <w:style w:type="table" w:customStyle="1" w:styleId="afffffc">
    <w:basedOn w:val="TableNormal4"/>
    <w:pPr>
      <w:spacing w:after="0" w:line="240" w:lineRule="auto"/>
    </w:pPr>
    <w:tblPr>
      <w:tblStyleRowBandSize w:val="1"/>
      <w:tblStyleColBandSize w:val="1"/>
      <w:tblCellMar>
        <w:left w:w="108" w:type="dxa"/>
        <w:right w:w="108" w:type="dxa"/>
      </w:tblCellMar>
    </w:tblPr>
  </w:style>
  <w:style w:type="table" w:customStyle="1" w:styleId="afffffd">
    <w:basedOn w:val="TableNormal4"/>
    <w:pPr>
      <w:spacing w:after="0" w:line="240" w:lineRule="auto"/>
    </w:pPr>
    <w:tblPr>
      <w:tblStyleRowBandSize w:val="1"/>
      <w:tblStyleColBandSize w:val="1"/>
      <w:tblCellMar>
        <w:left w:w="108" w:type="dxa"/>
        <w:right w:w="108" w:type="dxa"/>
      </w:tblCellMar>
    </w:tblPr>
  </w:style>
  <w:style w:type="table" w:customStyle="1" w:styleId="afffffe">
    <w:basedOn w:val="TableNormal3"/>
    <w:pPr>
      <w:spacing w:after="0" w:line="240" w:lineRule="auto"/>
    </w:pPr>
    <w:tblPr>
      <w:tblStyleRowBandSize w:val="1"/>
      <w:tblStyleColBandSize w:val="1"/>
      <w:tblCellMar>
        <w:left w:w="108" w:type="dxa"/>
        <w:right w:w="108" w:type="dxa"/>
      </w:tblCellMar>
    </w:tblPr>
  </w:style>
  <w:style w:type="table" w:customStyle="1" w:styleId="affffff">
    <w:basedOn w:val="TableNormal3"/>
    <w:pPr>
      <w:spacing w:after="0" w:line="240" w:lineRule="auto"/>
    </w:pPr>
    <w:tblPr>
      <w:tblStyleRowBandSize w:val="1"/>
      <w:tblStyleColBandSize w:val="1"/>
      <w:tblCellMar>
        <w:left w:w="108" w:type="dxa"/>
        <w:right w:w="108" w:type="dxa"/>
      </w:tblCellMar>
    </w:tblPr>
  </w:style>
  <w:style w:type="table" w:customStyle="1" w:styleId="affffff0">
    <w:basedOn w:val="TableNormal3"/>
    <w:pPr>
      <w:spacing w:after="0" w:line="240" w:lineRule="auto"/>
    </w:pPr>
    <w:tblPr>
      <w:tblStyleRowBandSize w:val="1"/>
      <w:tblStyleColBandSize w:val="1"/>
      <w:tblCellMar>
        <w:left w:w="108" w:type="dxa"/>
        <w:right w:w="108" w:type="dxa"/>
      </w:tblCellMar>
    </w:tblPr>
  </w:style>
  <w:style w:type="table" w:customStyle="1" w:styleId="affffff1">
    <w:basedOn w:val="TableNormal3"/>
    <w:pPr>
      <w:spacing w:after="0" w:line="240" w:lineRule="auto"/>
    </w:pPr>
    <w:tblPr>
      <w:tblStyleRowBandSize w:val="1"/>
      <w:tblStyleColBandSize w:val="1"/>
      <w:tblCellMar>
        <w:left w:w="108" w:type="dxa"/>
        <w:right w:w="108" w:type="dxa"/>
      </w:tblCellMar>
    </w:tblPr>
  </w:style>
  <w:style w:type="table" w:customStyle="1" w:styleId="affffff2">
    <w:basedOn w:val="TableNormal3"/>
    <w:pPr>
      <w:spacing w:after="0" w:line="240" w:lineRule="auto"/>
    </w:pPr>
    <w:tblPr>
      <w:tblStyleRowBandSize w:val="1"/>
      <w:tblStyleColBandSize w:val="1"/>
      <w:tblCellMar>
        <w:left w:w="108" w:type="dxa"/>
        <w:right w:w="108" w:type="dxa"/>
      </w:tblCellMar>
    </w:tblPr>
  </w:style>
  <w:style w:type="table" w:customStyle="1" w:styleId="affffff3">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0432B"/>
    <w:rPr>
      <w:color w:val="605E5C"/>
      <w:shd w:val="clear" w:color="auto" w:fill="E1DFDD"/>
    </w:rPr>
  </w:style>
  <w:style w:type="table" w:customStyle="1" w:styleId="affffff4">
    <w:basedOn w:val="TableNormal2"/>
    <w:pPr>
      <w:spacing w:after="0" w:line="240" w:lineRule="auto"/>
    </w:pPr>
    <w:tblPr>
      <w:tblStyleRowBandSize w:val="1"/>
      <w:tblStyleColBandSize w:val="1"/>
      <w:tblCellMar>
        <w:left w:w="108" w:type="dxa"/>
        <w:right w:w="108" w:type="dxa"/>
      </w:tblCellMar>
    </w:tblPr>
  </w:style>
  <w:style w:type="table" w:customStyle="1" w:styleId="affffff5">
    <w:basedOn w:val="TableNormal2"/>
    <w:pPr>
      <w:spacing w:after="0" w:line="240" w:lineRule="auto"/>
    </w:pPr>
    <w:tblPr>
      <w:tblStyleRowBandSize w:val="1"/>
      <w:tblStyleColBandSize w:val="1"/>
      <w:tblCellMar>
        <w:left w:w="108" w:type="dxa"/>
        <w:right w:w="108" w:type="dxa"/>
      </w:tblCellMar>
    </w:tblPr>
  </w:style>
  <w:style w:type="table" w:customStyle="1" w:styleId="affffff6">
    <w:basedOn w:val="TableNormal2"/>
    <w:pPr>
      <w:spacing w:after="0" w:line="240" w:lineRule="auto"/>
    </w:pPr>
    <w:tblPr>
      <w:tblStyleRowBandSize w:val="1"/>
      <w:tblStyleColBandSize w:val="1"/>
      <w:tblCellMar>
        <w:left w:w="108" w:type="dxa"/>
        <w:right w:w="108" w:type="dxa"/>
      </w:tblCellMar>
    </w:tblPr>
  </w:style>
  <w:style w:type="table" w:customStyle="1" w:styleId="affffff7">
    <w:basedOn w:val="TableNormal2"/>
    <w:pPr>
      <w:spacing w:after="0" w:line="240" w:lineRule="auto"/>
    </w:pPr>
    <w:tblPr>
      <w:tblStyleRowBandSize w:val="1"/>
      <w:tblStyleColBandSize w:val="1"/>
      <w:tblCellMar>
        <w:left w:w="108" w:type="dxa"/>
        <w:right w:w="108" w:type="dxa"/>
      </w:tblCellMar>
    </w:tblPr>
  </w:style>
  <w:style w:type="table" w:customStyle="1" w:styleId="affffff8">
    <w:basedOn w:val="TableNormal1"/>
    <w:pPr>
      <w:spacing w:after="0" w:line="240" w:lineRule="auto"/>
    </w:pPr>
    <w:tblPr>
      <w:tblStyleRowBandSize w:val="1"/>
      <w:tblStyleColBandSize w:val="1"/>
      <w:tblCellMar>
        <w:left w:w="108" w:type="dxa"/>
        <w:right w:w="108" w:type="dxa"/>
      </w:tblCellMar>
    </w:tblPr>
  </w:style>
  <w:style w:type="table" w:customStyle="1" w:styleId="affffff9">
    <w:basedOn w:val="TableNormal1"/>
    <w:pPr>
      <w:spacing w:after="0" w:line="240" w:lineRule="auto"/>
    </w:pPr>
    <w:tblPr>
      <w:tblStyleRowBandSize w:val="1"/>
      <w:tblStyleColBandSize w:val="1"/>
      <w:tblCellMar>
        <w:left w:w="108" w:type="dxa"/>
        <w:right w:w="108" w:type="dxa"/>
      </w:tblCellMar>
    </w:tblPr>
  </w:style>
  <w:style w:type="table" w:customStyle="1" w:styleId="affffffa">
    <w:basedOn w:val="TableNormal1"/>
    <w:pPr>
      <w:spacing w:after="0" w:line="240" w:lineRule="auto"/>
    </w:pPr>
    <w:tblPr>
      <w:tblStyleRowBandSize w:val="1"/>
      <w:tblStyleColBandSize w:val="1"/>
      <w:tblCellMar>
        <w:left w:w="108" w:type="dxa"/>
        <w:right w:w="108" w:type="dxa"/>
      </w:tblCellMar>
    </w:tblPr>
  </w:style>
  <w:style w:type="table" w:customStyle="1" w:styleId="affffffb">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c">
    <w:basedOn w:val="TableNormal0"/>
    <w:pPr>
      <w:spacing w:after="0" w:line="240" w:lineRule="auto"/>
    </w:pPr>
    <w:tblPr>
      <w:tblStyleRowBandSize w:val="1"/>
      <w:tblStyleColBandSize w:val="1"/>
      <w:tblCellMar>
        <w:left w:w="108" w:type="dxa"/>
        <w:right w:w="108" w:type="dxa"/>
      </w:tblCellMar>
    </w:tblPr>
  </w:style>
  <w:style w:type="table" w:customStyle="1" w:styleId="affffffd">
    <w:basedOn w:val="TableNormal0"/>
    <w:pPr>
      <w:spacing w:after="0" w:line="240" w:lineRule="auto"/>
    </w:pPr>
    <w:tblPr>
      <w:tblStyleRowBandSize w:val="1"/>
      <w:tblStyleColBandSize w:val="1"/>
      <w:tblCellMar>
        <w:left w:w="108" w:type="dxa"/>
        <w:right w:w="108" w:type="dxa"/>
      </w:tblCellMar>
    </w:tblPr>
  </w:style>
  <w:style w:type="table" w:customStyle="1" w:styleId="affffffe">
    <w:basedOn w:val="TableNormal0"/>
    <w:pPr>
      <w:spacing w:after="0" w:line="240" w:lineRule="auto"/>
    </w:pPr>
    <w:tblPr>
      <w:tblStyleRowBandSize w:val="1"/>
      <w:tblStyleColBandSize w:val="1"/>
      <w:tblCellMar>
        <w:left w:w="108" w:type="dxa"/>
        <w:right w:w="108" w:type="dxa"/>
      </w:tblCellMar>
    </w:tblPr>
  </w:style>
  <w:style w:type="table" w:customStyle="1" w:styleId="af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1ByeYRd5GsGr/G+CfG9QVM/+g==">CgMxLjAyDmguZmFkMndhaDhkZnZ0Mg1oLmxzZGx5dzB6YndoMghoLmdqZGd4czIOaC41Mms2cm14NzJvajQyDmguZHlrdTVpOWdrbm1hMg5oLjE3ano1MXJsbXNwazIJaC4yZXQ5MnAwMg5oLjZwazF4NHNmYW53bDIOaC5vMjJ5anZuZnNkdWUyDmguczFwaHMxNW9jZzV1Mg5oLnJvMjhjejFrdmtrNzIOaC55M2ppcjkzM2d5OTAyDmguaHg3YWdrNjZicWh1Mg5oLm0yYWJlZ2l0dHdqZzIOaC5weWxjMWExb2o0aXcyDmgudndmeXZtazhncXF3Mg5oLnF0a2s0Mzd6NjR3bjgAciExeGFqQlRqZjY5WkdCOHhBLWhNZGd5SUNuYkVKbDkwc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1D73D9-7ACB-4DCE-BC66-2B777ED2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5874</Words>
  <Characters>32310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2025-10-03T16:25:00Z</cp:lastPrinted>
  <dcterms:created xsi:type="dcterms:W3CDTF">2025-10-03T16:25:00Z</dcterms:created>
  <dcterms:modified xsi:type="dcterms:W3CDTF">2025-10-03T16:25:00Z</dcterms:modified>
</cp:coreProperties>
</file>