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DF5E6C" w:rsidRPr="00DF5E6C">
        <w:rPr>
          <w:rFonts w:eastAsia="Palatino Linotype" w:cs="Palatino Linotype"/>
          <w:color w:val="000000"/>
          <w:szCs w:val="24"/>
        </w:rPr>
        <w:t>diez de diciembre de dos mil veinticinco.</w:t>
      </w:r>
    </w:p>
    <w:p w:rsidR="00DF5E6C" w:rsidRPr="00E2546F" w:rsidRDefault="00DF5E6C" w:rsidP="00D22D6C">
      <w:pPr>
        <w:pBdr>
          <w:top w:val="nil"/>
          <w:left w:val="nil"/>
          <w:bottom w:val="nil"/>
          <w:right w:val="nil"/>
          <w:between w:val="nil"/>
        </w:pBdr>
        <w:contextualSpacing/>
        <w:rPr>
          <w:rFonts w:eastAsia="Palatino Linotype" w:cs="Palatino Linotype"/>
          <w:color w:val="000000"/>
          <w:szCs w:val="24"/>
        </w:rPr>
      </w:pPr>
    </w:p>
    <w:p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b/>
          <w:color w:val="000000"/>
          <w:szCs w:val="24"/>
        </w:rPr>
        <w:t>VISTO</w:t>
      </w:r>
      <w:r w:rsidRPr="00E2546F">
        <w:rPr>
          <w:rFonts w:eastAsia="Palatino Linotype" w:cs="Palatino Linotype"/>
          <w:color w:val="000000"/>
          <w:szCs w:val="24"/>
        </w:rPr>
        <w:t xml:space="preserve"> el expediente electrónico formado con motivo del recurso de revisión número </w:t>
      </w:r>
      <w:bookmarkStart w:id="0" w:name="_GoBack"/>
      <w:r w:rsidR="004C7A6F">
        <w:rPr>
          <w:rFonts w:eastAsia="Palatino Linotype" w:cs="Palatino Linotype"/>
          <w:b/>
          <w:color w:val="000000"/>
          <w:szCs w:val="24"/>
        </w:rPr>
        <w:t>12660</w:t>
      </w:r>
      <w:r w:rsidRPr="00E2546F">
        <w:rPr>
          <w:rFonts w:eastAsia="Palatino Linotype" w:cs="Palatino Linotype"/>
          <w:b/>
          <w:color w:val="000000"/>
          <w:szCs w:val="24"/>
        </w:rPr>
        <w:t>/INFOEM/IP/RR/2025</w:t>
      </w:r>
      <w:bookmarkEnd w:id="0"/>
      <w:r w:rsidRPr="00E2546F">
        <w:rPr>
          <w:rFonts w:eastAsia="Palatino Linotype" w:cs="Palatino Linotype"/>
          <w:color w:val="000000"/>
          <w:szCs w:val="24"/>
        </w:rPr>
        <w:t>, interpuesto por</w:t>
      </w:r>
      <w:r w:rsidRPr="00E2546F">
        <w:rPr>
          <w:rFonts w:cs="Arial"/>
          <w:b/>
          <w:szCs w:val="24"/>
        </w:rPr>
        <w:t xml:space="preserve"> </w:t>
      </w:r>
      <w:r>
        <w:rPr>
          <w:rFonts w:cs="Arial"/>
          <w:b/>
          <w:szCs w:val="24"/>
        </w:rPr>
        <w:t>un particular que no proporciono nombre</w:t>
      </w:r>
      <w:r w:rsidRPr="00E2546F">
        <w:rPr>
          <w:rFonts w:cs="Arial"/>
          <w:szCs w:val="24"/>
        </w:rPr>
        <w:t xml:space="preserve">, </w:t>
      </w:r>
      <w:r w:rsidRPr="00E2546F">
        <w:rPr>
          <w:rFonts w:eastAsia="Palatino Linotype" w:cs="Palatino Linotype"/>
          <w:color w:val="000000"/>
          <w:szCs w:val="24"/>
        </w:rPr>
        <w:t xml:space="preserve">en lo sucesivo el </w:t>
      </w:r>
      <w:r w:rsidRPr="00E2546F">
        <w:rPr>
          <w:rFonts w:eastAsia="Palatino Linotype" w:cs="Palatino Linotype"/>
          <w:b/>
          <w:color w:val="000000"/>
          <w:szCs w:val="24"/>
        </w:rPr>
        <w:t>Recurrente</w:t>
      </w:r>
      <w:r w:rsidRPr="00E2546F">
        <w:rPr>
          <w:rFonts w:eastAsia="Palatino Linotype" w:cs="Palatino Linotype"/>
          <w:color w:val="000000"/>
          <w:szCs w:val="24"/>
        </w:rPr>
        <w:t>, en contra de la respuesta del</w:t>
      </w:r>
      <w:r w:rsidRPr="00E2546F">
        <w:rPr>
          <w:rFonts w:eastAsia="Palatino Linotype" w:cs="Palatino Linotype"/>
          <w:b/>
          <w:color w:val="000000"/>
          <w:szCs w:val="24"/>
        </w:rPr>
        <w:t xml:space="preserve"> </w:t>
      </w:r>
      <w:r w:rsidRPr="00E2546F">
        <w:rPr>
          <w:b/>
          <w:bCs/>
          <w:color w:val="000000"/>
          <w:szCs w:val="24"/>
        </w:rPr>
        <w:t>Ayuntamiento de</w:t>
      </w:r>
      <w:r w:rsidRPr="00D22D6C">
        <w:rPr>
          <w:rFonts w:ascii="Verdana" w:hAnsi="Verdana"/>
          <w:b/>
          <w:bCs/>
          <w:color w:val="000000"/>
          <w:sz w:val="14"/>
          <w:szCs w:val="14"/>
        </w:rPr>
        <w:t xml:space="preserve"> </w:t>
      </w:r>
      <w:r w:rsidR="00490D3D">
        <w:rPr>
          <w:b/>
          <w:bCs/>
          <w:color w:val="000000"/>
          <w:szCs w:val="24"/>
        </w:rPr>
        <w:t>Chalco</w:t>
      </w:r>
      <w:r w:rsidRPr="00E2546F">
        <w:rPr>
          <w:rFonts w:eastAsia="Palatino Linotype" w:cs="Palatino Linotype"/>
          <w:color w:val="000000"/>
          <w:szCs w:val="24"/>
        </w:rPr>
        <w:t>, en lo subsecuente</w:t>
      </w:r>
      <w:r w:rsidRPr="00E2546F">
        <w:rPr>
          <w:rFonts w:eastAsia="Palatino Linotype" w:cs="Palatino Linotype"/>
          <w:b/>
          <w:color w:val="000000"/>
          <w:szCs w:val="24"/>
        </w:rPr>
        <w:t xml:space="preserve"> </w:t>
      </w:r>
      <w:r w:rsidRPr="00E2546F">
        <w:rPr>
          <w:rFonts w:eastAsia="Palatino Linotype" w:cs="Palatino Linotype"/>
          <w:color w:val="000000"/>
          <w:szCs w:val="24"/>
        </w:rPr>
        <w:t>el</w:t>
      </w:r>
      <w:r w:rsidRPr="00E2546F">
        <w:rPr>
          <w:rFonts w:eastAsia="Palatino Linotype" w:cs="Palatino Linotype"/>
          <w:b/>
          <w:color w:val="000000"/>
          <w:szCs w:val="24"/>
        </w:rPr>
        <w:t xml:space="preserve"> Sujeto Obligado, </w:t>
      </w:r>
      <w:r w:rsidRPr="00E2546F">
        <w:rPr>
          <w:rFonts w:eastAsia="Palatino Linotype" w:cs="Palatino Linotype"/>
          <w:color w:val="000000"/>
          <w:szCs w:val="24"/>
        </w:rPr>
        <w:t>se procede a dictar la presente resolución.</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A N T E C E D E N T E S</w:t>
      </w:r>
    </w:p>
    <w:p w:rsidR="00D22D6C" w:rsidRPr="00E2546F" w:rsidRDefault="00D22D6C" w:rsidP="00D22D6C">
      <w:pPr>
        <w:pBdr>
          <w:top w:val="nil"/>
          <w:left w:val="nil"/>
          <w:bottom w:val="nil"/>
          <w:right w:val="nil"/>
          <w:between w:val="nil"/>
        </w:pBdr>
        <w:contextualSpacing/>
        <w:rPr>
          <w:rFonts w:eastAsia="Palatino Linotype" w:cs="Palatino Linotype"/>
          <w:b/>
          <w:bCs/>
          <w:szCs w:val="24"/>
        </w:rPr>
      </w:pPr>
    </w:p>
    <w:p w:rsidR="00D22D6C" w:rsidRPr="00E2546F" w:rsidRDefault="00D22D6C" w:rsidP="00D22D6C">
      <w:pPr>
        <w:pStyle w:val="Ttulo2"/>
        <w:rPr>
          <w:rFonts w:eastAsia="Palatino Linotype"/>
          <w:b/>
          <w:bCs/>
        </w:rPr>
      </w:pPr>
      <w:r w:rsidRPr="00E2546F">
        <w:rPr>
          <w:rFonts w:ascii="Palatino Linotype" w:eastAsia="Palatino Linotype" w:hAnsi="Palatino Linotype"/>
          <w:b/>
          <w:bCs/>
          <w:color w:val="auto"/>
          <w:sz w:val="24"/>
          <w:szCs w:val="24"/>
        </w:rPr>
        <w:t>PRIMERO. De la Solicitud de Información</w:t>
      </w:r>
      <w:r w:rsidRPr="00E2546F">
        <w:rPr>
          <w:rFonts w:eastAsia="Palatino Linotype"/>
          <w:b/>
          <w:bCs/>
        </w:rPr>
        <w:t>.</w:t>
      </w:r>
    </w:p>
    <w:p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Con fecha </w:t>
      </w:r>
      <w:r w:rsidR="00490D3D">
        <w:rPr>
          <w:rFonts w:eastAsia="Palatino Linotype" w:cs="Palatino Linotype"/>
          <w:color w:val="000000"/>
          <w:szCs w:val="24"/>
        </w:rPr>
        <w:t>treinta de septiembre</w:t>
      </w:r>
      <w:r w:rsidRPr="00E2546F">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E2546F">
        <w:rPr>
          <w:rFonts w:eastAsia="Palatino Linotype" w:cs="Palatino Linotype"/>
          <w:szCs w:val="24"/>
        </w:rPr>
        <w:t>expediente</w:t>
      </w:r>
      <w:r w:rsidRPr="00E2546F">
        <w:rPr>
          <w:b/>
          <w:bCs/>
        </w:rPr>
        <w:t> </w:t>
      </w:r>
      <w:r w:rsidR="00490D3D" w:rsidRPr="00490D3D">
        <w:rPr>
          <w:b/>
          <w:bCs/>
        </w:rPr>
        <w:t>00208/CHALCO/IP/2025</w:t>
      </w:r>
      <w:r w:rsidRPr="00E2546F">
        <w:rPr>
          <w:rFonts w:eastAsia="Palatino Linotype" w:cs="Palatino Linotype"/>
          <w:szCs w:val="24"/>
        </w:rPr>
        <w:t>,</w:t>
      </w:r>
      <w:r w:rsidRPr="00E2546F">
        <w:rPr>
          <w:rFonts w:eastAsia="Palatino Linotype" w:cs="Palatino Linotype"/>
          <w:b/>
          <w:szCs w:val="24"/>
        </w:rPr>
        <w:t xml:space="preserve"> </w:t>
      </w:r>
      <w:r w:rsidRPr="00E2546F">
        <w:rPr>
          <w:rFonts w:eastAsia="Palatino Linotype" w:cs="Palatino Linotype"/>
          <w:color w:val="000000"/>
          <w:szCs w:val="24"/>
        </w:rPr>
        <w:t xml:space="preserve">mediante la cual </w:t>
      </w:r>
      <w:proofErr w:type="gramStart"/>
      <w:r w:rsidRPr="00E2546F">
        <w:rPr>
          <w:rFonts w:eastAsia="Palatino Linotype" w:cs="Palatino Linotype"/>
          <w:color w:val="000000"/>
          <w:szCs w:val="24"/>
        </w:rPr>
        <w:t>solicitó</w:t>
      </w:r>
      <w:proofErr w:type="gramEnd"/>
      <w:r w:rsidRPr="00E2546F">
        <w:rPr>
          <w:rFonts w:eastAsia="Palatino Linotype" w:cs="Palatino Linotype"/>
          <w:color w:val="000000"/>
          <w:szCs w:val="24"/>
        </w:rPr>
        <w:t xml:space="preserve"> información en el tenor siguiente:</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Fundamentos"/>
        <w:spacing w:line="360" w:lineRule="auto"/>
        <w:rPr>
          <w:sz w:val="24"/>
        </w:rPr>
      </w:pPr>
      <w:r w:rsidRPr="00E2546F">
        <w:rPr>
          <w:sz w:val="24"/>
        </w:rPr>
        <w:t>“</w:t>
      </w:r>
      <w:r w:rsidR="00490D3D" w:rsidRPr="00490D3D">
        <w:rPr>
          <w:sz w:val="24"/>
        </w:rPr>
        <w:t>Copia de los reportes de dispersión de nómina emitidos por las instituciones bancarias utilizadas por el Ayuntamiento de enero del 2024 a septiembre del 2025.</w:t>
      </w:r>
      <w:r w:rsidRPr="00E2546F">
        <w:rPr>
          <w:sz w:val="24"/>
        </w:rPr>
        <w:t>”  (Sic)</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D22D6C" w:rsidRDefault="00D22D6C" w:rsidP="00D22D6C">
      <w:pPr>
        <w:pBdr>
          <w:top w:val="nil"/>
          <w:left w:val="nil"/>
          <w:bottom w:val="nil"/>
          <w:right w:val="nil"/>
          <w:between w:val="nil"/>
        </w:pBdr>
        <w:contextualSpacing/>
        <w:rPr>
          <w:rFonts w:eastAsia="Palatino Linotype" w:cs="Palatino Linotype"/>
          <w:b/>
          <w:color w:val="000000"/>
          <w:szCs w:val="24"/>
        </w:rPr>
      </w:pPr>
      <w:r w:rsidRPr="00E2546F">
        <w:rPr>
          <w:rFonts w:eastAsia="Palatino Linotype" w:cs="Palatino Linotype"/>
          <w:color w:val="000000"/>
          <w:szCs w:val="24"/>
        </w:rPr>
        <w:t xml:space="preserve">Modalidad de entrega: </w:t>
      </w:r>
      <w:r w:rsidRPr="00E2546F">
        <w:rPr>
          <w:rFonts w:eastAsia="Palatino Linotype" w:cs="Palatino Linotype"/>
          <w:b/>
          <w:color w:val="000000"/>
          <w:szCs w:val="24"/>
        </w:rPr>
        <w:t>A través del SAIMEX</w:t>
      </w:r>
      <w:r w:rsidRPr="00E2546F">
        <w:rPr>
          <w:rFonts w:eastAsia="Palatino Linotype" w:cs="Palatino Linotype"/>
          <w:color w:val="000000"/>
          <w:szCs w:val="24"/>
        </w:rPr>
        <w:t>.</w:t>
      </w:r>
    </w:p>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SEGUNDO. De la respuesta del Sujeto Obligado.</w:t>
      </w:r>
    </w:p>
    <w:p w:rsidR="009D6C69"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De las constancias que obran en el expediente electrónico, se observa que el día </w:t>
      </w:r>
      <w:r>
        <w:rPr>
          <w:rFonts w:eastAsia="Palatino Linotype" w:cs="Palatino Linotype"/>
          <w:color w:val="000000"/>
          <w:szCs w:val="24"/>
        </w:rPr>
        <w:t xml:space="preserve">veintiuno de </w:t>
      </w:r>
      <w:r w:rsidR="009D6C69">
        <w:rPr>
          <w:rFonts w:eastAsia="Palatino Linotype" w:cs="Palatino Linotype"/>
          <w:color w:val="000000"/>
          <w:szCs w:val="24"/>
        </w:rPr>
        <w:t>octubre</w:t>
      </w:r>
      <w:r w:rsidRPr="00E2546F">
        <w:rPr>
          <w:rFonts w:eastAsia="Palatino Linotype" w:cs="Palatino Linotype"/>
          <w:color w:val="000000"/>
          <w:szCs w:val="24"/>
        </w:rPr>
        <w:t xml:space="preserve"> de dos mil veinticinco, el Sujeto Obligado dio respuesta a la sol</w:t>
      </w:r>
      <w:r>
        <w:rPr>
          <w:rFonts w:eastAsia="Palatino Linotype" w:cs="Palatino Linotype"/>
          <w:color w:val="000000"/>
          <w:szCs w:val="24"/>
        </w:rPr>
        <w:t xml:space="preserve">icitud de información </w:t>
      </w:r>
      <w:r w:rsidR="009D6C69">
        <w:rPr>
          <w:rFonts w:eastAsia="Palatino Linotype" w:cs="Palatino Linotype"/>
          <w:color w:val="000000"/>
          <w:szCs w:val="24"/>
        </w:rPr>
        <w:t>manifestando a través del SAIMEX, de manera literal lo siguiente:</w:t>
      </w:r>
    </w:p>
    <w:p w:rsidR="009D6C69" w:rsidRDefault="009D6C69"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 </w:t>
      </w:r>
    </w:p>
    <w:p w:rsidR="009D6C69" w:rsidRDefault="009D6C69" w:rsidP="009D6C69">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r>
        <w:rPr>
          <w:rFonts w:eastAsia="Palatino Linotype" w:cs="Palatino Linotype"/>
          <w:color w:val="000000"/>
          <w:szCs w:val="24"/>
        </w:rPr>
        <w:t>“</w:t>
      </w:r>
      <w:r w:rsidRPr="009D6C69">
        <w:rPr>
          <w:rFonts w:eastAsia="Palatino Linotype" w:cs="Palatino Linotype"/>
          <w:i/>
          <w:color w:val="000000"/>
          <w:szCs w:val="24"/>
        </w:rPr>
        <w:t>Folio de la solicitud: 00208/CHALCO/IP/2025</w:t>
      </w:r>
    </w:p>
    <w:p w:rsidR="009D6C69" w:rsidRPr="009D6C69" w:rsidRDefault="009D6C69" w:rsidP="009D6C69">
      <w:pPr>
        <w:pBdr>
          <w:top w:val="nil"/>
          <w:left w:val="nil"/>
          <w:bottom w:val="nil"/>
          <w:right w:val="nil"/>
          <w:between w:val="nil"/>
        </w:pBdr>
        <w:spacing w:line="276" w:lineRule="auto"/>
        <w:ind w:left="851" w:right="849"/>
        <w:contextualSpacing/>
        <w:jc w:val="right"/>
        <w:rPr>
          <w:rFonts w:eastAsia="Palatino Linotype" w:cs="Palatino Linotype"/>
          <w:i/>
          <w:color w:val="000000"/>
          <w:szCs w:val="24"/>
        </w:rPr>
      </w:pPr>
    </w:p>
    <w:p w:rsidR="009D6C69" w:rsidRDefault="009D6C69" w:rsidP="009D6C69">
      <w:pPr>
        <w:pBdr>
          <w:top w:val="nil"/>
          <w:left w:val="nil"/>
          <w:bottom w:val="nil"/>
          <w:right w:val="nil"/>
          <w:between w:val="nil"/>
        </w:pBdr>
        <w:spacing w:line="276" w:lineRule="auto"/>
        <w:ind w:left="851" w:right="849"/>
        <w:contextualSpacing/>
        <w:rPr>
          <w:rFonts w:eastAsia="Palatino Linotype" w:cs="Palatino Linotype"/>
          <w:i/>
          <w:color w:val="000000"/>
          <w:szCs w:val="24"/>
        </w:rPr>
      </w:pPr>
      <w:r w:rsidRPr="009D6C69">
        <w:rPr>
          <w:rFonts w:eastAsia="Palatino Linotype" w:cs="Palatino Linotype"/>
          <w:i/>
          <w:color w:val="000000"/>
          <w:szCs w:val="24"/>
        </w:rPr>
        <w:t>En seguimiento a la solicitud de información registrada con el número de folio 00208/CHALCO/IP/2025, al respecto le informo que, con base a las facultades, competencias y funciones, el responsable de atender su requerimiento de información fue el Mtro. Jesús Manuel de la Cruz Guerrero, Tesorero Municipal; Quien emitió respuesta en los siguientes términos: “Con respecto a la información solicitada, le informo que los reportes de nómina emitidos por las instituciones bancarias utilizadas por el ayuntamiento, correspondiente al periodo de enero 2024 a septiembre 2025, contienen información del titular: como el nombre y número de cuenta; así como datos personales para identificar al remitente y a los beneficiarios; como son nombres completos números de cuenta, claves interbancarias mismos que podrían ser utilizados para algún fraude o robo de identidad.”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rsidR="009D6C69" w:rsidRPr="009D6C69" w:rsidRDefault="009D6C69" w:rsidP="009D6C69">
      <w:pPr>
        <w:pBdr>
          <w:top w:val="nil"/>
          <w:left w:val="nil"/>
          <w:bottom w:val="nil"/>
          <w:right w:val="nil"/>
          <w:between w:val="nil"/>
        </w:pBdr>
        <w:spacing w:line="276" w:lineRule="auto"/>
        <w:ind w:left="851" w:right="849"/>
        <w:contextualSpacing/>
        <w:rPr>
          <w:rFonts w:eastAsia="Palatino Linotype" w:cs="Palatino Linotype"/>
          <w:i/>
          <w:color w:val="000000"/>
          <w:szCs w:val="24"/>
        </w:rPr>
      </w:pPr>
    </w:p>
    <w:p w:rsidR="009D6C69" w:rsidRPr="009D6C69" w:rsidRDefault="009D6C69" w:rsidP="009D6C69">
      <w:pPr>
        <w:pBdr>
          <w:top w:val="nil"/>
          <w:left w:val="nil"/>
          <w:bottom w:val="nil"/>
          <w:right w:val="nil"/>
          <w:between w:val="nil"/>
        </w:pBdr>
        <w:spacing w:line="276" w:lineRule="auto"/>
        <w:ind w:left="851" w:right="849"/>
        <w:contextualSpacing/>
        <w:rPr>
          <w:rFonts w:eastAsia="Palatino Linotype" w:cs="Palatino Linotype"/>
          <w:i/>
          <w:color w:val="000000"/>
          <w:szCs w:val="24"/>
        </w:rPr>
      </w:pPr>
      <w:r w:rsidRPr="009D6C69">
        <w:rPr>
          <w:rFonts w:eastAsia="Palatino Linotype" w:cs="Palatino Linotype"/>
          <w:i/>
          <w:color w:val="000000"/>
          <w:szCs w:val="24"/>
        </w:rPr>
        <w:t>ATENTAMENTE</w:t>
      </w:r>
    </w:p>
    <w:p w:rsidR="009D6C69" w:rsidRDefault="009D6C69" w:rsidP="009D6C69">
      <w:pPr>
        <w:pBdr>
          <w:top w:val="nil"/>
          <w:left w:val="nil"/>
          <w:bottom w:val="nil"/>
          <w:right w:val="nil"/>
          <w:between w:val="nil"/>
        </w:pBdr>
        <w:spacing w:line="276" w:lineRule="auto"/>
        <w:ind w:left="851" w:right="849"/>
        <w:contextualSpacing/>
        <w:rPr>
          <w:rFonts w:eastAsia="Palatino Linotype" w:cs="Palatino Linotype"/>
          <w:color w:val="000000"/>
          <w:szCs w:val="24"/>
        </w:rPr>
      </w:pPr>
      <w:r w:rsidRPr="009D6C69">
        <w:rPr>
          <w:rFonts w:eastAsia="Palatino Linotype" w:cs="Palatino Linotype"/>
          <w:i/>
          <w:color w:val="000000"/>
          <w:szCs w:val="24"/>
        </w:rPr>
        <w:t>LIC. ANA MARÍA MORALES AROCHI</w:t>
      </w:r>
      <w:r>
        <w:rPr>
          <w:rFonts w:eastAsia="Palatino Linotype" w:cs="Palatino Linotype"/>
          <w:color w:val="000000"/>
          <w:szCs w:val="24"/>
        </w:rPr>
        <w:t>”</w:t>
      </w:r>
    </w:p>
    <w:p w:rsidR="009D6C69" w:rsidRDefault="009D6C69" w:rsidP="00D22D6C">
      <w:pPr>
        <w:pBdr>
          <w:top w:val="nil"/>
          <w:left w:val="nil"/>
          <w:bottom w:val="nil"/>
          <w:right w:val="nil"/>
          <w:between w:val="nil"/>
        </w:pBdr>
        <w:contextualSpacing/>
        <w:rPr>
          <w:rFonts w:eastAsia="Palatino Linotype" w:cs="Palatino Linotype"/>
          <w:color w:val="000000"/>
          <w:szCs w:val="24"/>
        </w:rPr>
      </w:pPr>
    </w:p>
    <w:p w:rsidR="009D6C69" w:rsidRDefault="009D6C69" w:rsidP="00D22D6C">
      <w:pPr>
        <w:pBdr>
          <w:top w:val="nil"/>
          <w:left w:val="nil"/>
          <w:bottom w:val="nil"/>
          <w:right w:val="nil"/>
          <w:between w:val="nil"/>
        </w:pBdr>
        <w:contextualSpacing/>
        <w:rPr>
          <w:rFonts w:eastAsia="Palatino Linotype" w:cs="Palatino Linotype"/>
          <w:color w:val="000000"/>
          <w:szCs w:val="24"/>
        </w:rPr>
      </w:pPr>
    </w:p>
    <w:p w:rsidR="009D6C69" w:rsidRDefault="009D6C69" w:rsidP="00D22D6C">
      <w:pPr>
        <w:pBdr>
          <w:top w:val="nil"/>
          <w:left w:val="nil"/>
          <w:bottom w:val="nil"/>
          <w:right w:val="nil"/>
          <w:between w:val="nil"/>
        </w:pBdr>
        <w:contextualSpacing/>
        <w:rPr>
          <w:rFonts w:eastAsia="Palatino Linotype" w:cs="Palatino Linotype"/>
          <w:color w:val="000000"/>
          <w:szCs w:val="24"/>
        </w:rPr>
      </w:pPr>
    </w:p>
    <w:p w:rsidR="009D6C69" w:rsidRDefault="009D6C69" w:rsidP="00D22D6C">
      <w:pPr>
        <w:pBdr>
          <w:top w:val="nil"/>
          <w:left w:val="nil"/>
          <w:bottom w:val="nil"/>
          <w:right w:val="nil"/>
          <w:between w:val="nil"/>
        </w:pBdr>
        <w:contextualSpacing/>
        <w:rPr>
          <w:rFonts w:eastAsia="Palatino Linotype" w:cs="Palatino Linotype"/>
          <w:color w:val="000000"/>
          <w:szCs w:val="24"/>
        </w:rPr>
      </w:pPr>
    </w:p>
    <w:p w:rsidR="00D22D6C" w:rsidRPr="00D22D6C" w:rsidRDefault="00ED4944" w:rsidP="00D22D6C">
      <w:pPr>
        <w:pBdr>
          <w:top w:val="nil"/>
          <w:left w:val="nil"/>
          <w:bottom w:val="nil"/>
          <w:right w:val="nil"/>
          <w:between w:val="nil"/>
        </w:pBdr>
        <w:contextualSpacing/>
        <w:rPr>
          <w:rFonts w:cs="Arial"/>
          <w:b/>
          <w:bCs/>
          <w:szCs w:val="24"/>
        </w:rPr>
      </w:pPr>
      <w:r>
        <w:rPr>
          <w:rFonts w:eastAsia="Palatino Linotype" w:cs="Palatino Linotype"/>
          <w:color w:val="000000"/>
          <w:szCs w:val="24"/>
        </w:rPr>
        <w:t>El Sujeto Obligado dejó de anexar documento alguno o imagen a su respuesta.</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Ttulo2"/>
        <w:rPr>
          <w:rFonts w:ascii="Palatino Linotype" w:eastAsia="Palatino Linotype" w:hAnsi="Palatino Linotype"/>
          <w:color w:val="auto"/>
          <w:sz w:val="28"/>
          <w:szCs w:val="28"/>
        </w:rPr>
      </w:pPr>
      <w:r w:rsidRPr="00E2546F">
        <w:rPr>
          <w:rFonts w:ascii="Palatino Linotype" w:eastAsia="Palatino Linotype" w:hAnsi="Palatino Linotype"/>
          <w:b/>
          <w:bCs/>
          <w:color w:val="auto"/>
          <w:sz w:val="28"/>
          <w:szCs w:val="28"/>
        </w:rPr>
        <w:t>TERCERO. Del recurso de revisión</w:t>
      </w:r>
      <w:r w:rsidRPr="00E2546F">
        <w:rPr>
          <w:rFonts w:ascii="Palatino Linotype" w:eastAsia="Palatino Linotype" w:hAnsi="Palatino Linotype"/>
          <w:color w:val="auto"/>
          <w:sz w:val="28"/>
          <w:szCs w:val="28"/>
        </w:rPr>
        <w:t>.</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Inconforme con la respuesta emitida por el Sujeto Obligado, el Recurrente interpuso el presente recurso de revisión el día </w:t>
      </w:r>
      <w:r w:rsidR="00ED4944">
        <w:rPr>
          <w:rFonts w:eastAsia="Palatino Linotype" w:cs="Palatino Linotype"/>
          <w:b/>
          <w:color w:val="000000"/>
          <w:szCs w:val="24"/>
        </w:rPr>
        <w:t>cuatro de noviembre</w:t>
      </w:r>
      <w:r w:rsidRPr="00E2546F">
        <w:rPr>
          <w:rFonts w:eastAsia="Palatino Linotype" w:cs="Palatino Linotype"/>
          <w:b/>
          <w:color w:val="000000"/>
          <w:szCs w:val="24"/>
        </w:rPr>
        <w:t xml:space="preserve"> de dos mil veinticinco</w:t>
      </w:r>
      <w:r w:rsidRPr="00E2546F">
        <w:rPr>
          <w:rFonts w:eastAsia="Palatino Linotype" w:cs="Palatino Linotype"/>
          <w:color w:val="000000"/>
          <w:szCs w:val="24"/>
        </w:rPr>
        <w:t xml:space="preserve">, el cual se registró con el expediente número </w:t>
      </w:r>
      <w:r w:rsidR="00ED4944">
        <w:rPr>
          <w:rFonts w:eastAsia="Palatino Linotype" w:cs="Palatino Linotype"/>
          <w:b/>
          <w:color w:val="000000"/>
          <w:szCs w:val="24"/>
        </w:rPr>
        <w:t>12660</w:t>
      </w:r>
      <w:r w:rsidRPr="00E2546F">
        <w:rPr>
          <w:rFonts w:eastAsia="Palatino Linotype" w:cs="Palatino Linotype"/>
          <w:b/>
          <w:color w:val="000000"/>
          <w:szCs w:val="24"/>
        </w:rPr>
        <w:t>/INFOEM/IP/RR/2025</w:t>
      </w:r>
      <w:r w:rsidRPr="00E2546F">
        <w:rPr>
          <w:rFonts w:eastAsia="Palatino Linotype" w:cs="Palatino Linotype"/>
          <w:color w:val="000000"/>
          <w:szCs w:val="24"/>
        </w:rPr>
        <w:t>, manifestando lo siguiente:</w:t>
      </w:r>
    </w:p>
    <w:p w:rsidR="00D22D6C" w:rsidRPr="00E2546F" w:rsidRDefault="00D22D6C" w:rsidP="00D22D6C">
      <w:pPr>
        <w:contextualSpacing/>
        <w:rPr>
          <w:rFonts w:eastAsia="Palatino Linotype" w:cs="Palatino Linotype"/>
          <w:b/>
        </w:rPr>
      </w:pPr>
      <w:r w:rsidRPr="00E2546F">
        <w:rPr>
          <w:rFonts w:eastAsia="Palatino Linotype" w:cs="Palatino Linotype"/>
          <w:b/>
        </w:rPr>
        <w:t xml:space="preserve">Acto Impugnado </w:t>
      </w:r>
    </w:p>
    <w:p w:rsidR="00D22D6C" w:rsidRPr="00D22D6C" w:rsidRDefault="00D22D6C" w:rsidP="00D22D6C">
      <w:pPr>
        <w:pStyle w:val="Fundamentos"/>
        <w:rPr>
          <w:b/>
          <w:sz w:val="24"/>
        </w:rPr>
      </w:pPr>
      <w:r w:rsidRPr="00D22D6C">
        <w:rPr>
          <w:color w:val="auto"/>
          <w:sz w:val="24"/>
        </w:rPr>
        <w:t>“</w:t>
      </w:r>
      <w:r w:rsidR="00ED4944" w:rsidRPr="00ED4944">
        <w:rPr>
          <w:sz w:val="24"/>
        </w:rPr>
        <w:t>no hace entrega de la información</w:t>
      </w:r>
      <w:r w:rsidRPr="00D22D6C">
        <w:rPr>
          <w:sz w:val="24"/>
        </w:rPr>
        <w:t>” (Sic)</w:t>
      </w:r>
    </w:p>
    <w:p w:rsidR="00D22D6C" w:rsidRPr="00D22D6C" w:rsidRDefault="00D22D6C" w:rsidP="00D22D6C">
      <w:pPr>
        <w:contextualSpacing/>
        <w:rPr>
          <w:rFonts w:eastAsia="Palatino Linotype" w:cs="Palatino Linotype"/>
          <w:b/>
          <w:szCs w:val="24"/>
        </w:rPr>
      </w:pPr>
    </w:p>
    <w:p w:rsidR="00D22D6C" w:rsidRPr="00D22D6C" w:rsidRDefault="00D22D6C" w:rsidP="00D22D6C">
      <w:pPr>
        <w:contextualSpacing/>
        <w:rPr>
          <w:rFonts w:eastAsia="Palatino Linotype" w:cs="Palatino Linotype"/>
          <w:szCs w:val="24"/>
        </w:rPr>
      </w:pPr>
      <w:r w:rsidRPr="00D22D6C">
        <w:rPr>
          <w:rFonts w:eastAsia="Palatino Linotype" w:cs="Palatino Linotype"/>
          <w:b/>
          <w:szCs w:val="24"/>
        </w:rPr>
        <w:t xml:space="preserve"> Razones o Motivos de Inconformidad</w:t>
      </w:r>
      <w:r w:rsidRPr="00D22D6C">
        <w:rPr>
          <w:rFonts w:eastAsia="Palatino Linotype" w:cs="Palatino Linotype"/>
          <w:szCs w:val="24"/>
        </w:rPr>
        <w:t>:</w:t>
      </w:r>
    </w:p>
    <w:p w:rsidR="00D22D6C" w:rsidRPr="00D22D6C" w:rsidRDefault="00D22D6C" w:rsidP="00D22D6C">
      <w:pPr>
        <w:pStyle w:val="Fundamentos"/>
        <w:rPr>
          <w:b/>
          <w:sz w:val="24"/>
        </w:rPr>
      </w:pPr>
      <w:r w:rsidRPr="00D22D6C">
        <w:rPr>
          <w:color w:val="auto"/>
          <w:sz w:val="24"/>
        </w:rPr>
        <w:t>“</w:t>
      </w:r>
      <w:r w:rsidR="00ED4944" w:rsidRPr="00ED4944">
        <w:rPr>
          <w:sz w:val="24"/>
        </w:rPr>
        <w:t xml:space="preserve">El tesorero menciona que no puede entregar la información </w:t>
      </w:r>
      <w:proofErr w:type="spellStart"/>
      <w:r w:rsidR="00ED4944" w:rsidRPr="00ED4944">
        <w:rPr>
          <w:sz w:val="24"/>
        </w:rPr>
        <w:t>por que</w:t>
      </w:r>
      <w:proofErr w:type="spellEnd"/>
      <w:r w:rsidR="00ED4944" w:rsidRPr="00ED4944">
        <w:rPr>
          <w:sz w:val="24"/>
        </w:rPr>
        <w:t xml:space="preserve"> contiene datos personales, pero al parecer el Tesorero no sabe que eso lo aprueba el </w:t>
      </w:r>
      <w:proofErr w:type="spellStart"/>
      <w:r w:rsidR="00ED4944" w:rsidRPr="00ED4944">
        <w:rPr>
          <w:sz w:val="24"/>
        </w:rPr>
        <w:t>Comite</w:t>
      </w:r>
      <w:proofErr w:type="spellEnd"/>
      <w:r w:rsidR="00ED4944" w:rsidRPr="00ED4944">
        <w:rPr>
          <w:sz w:val="24"/>
        </w:rPr>
        <w:t xml:space="preserve"> de Transparencia o la unidad de transparencia no hizo su trabajo. </w:t>
      </w:r>
      <w:proofErr w:type="gramStart"/>
      <w:r w:rsidR="00ED4944" w:rsidRPr="00ED4944">
        <w:rPr>
          <w:sz w:val="24"/>
        </w:rPr>
        <w:t>solicito</w:t>
      </w:r>
      <w:proofErr w:type="gramEnd"/>
      <w:r w:rsidR="00ED4944" w:rsidRPr="00ED4944">
        <w:rPr>
          <w:sz w:val="24"/>
        </w:rPr>
        <w:t xml:space="preserve"> me entregue la información antes requerida en versión pública.</w:t>
      </w:r>
      <w:r w:rsidRPr="00D22D6C">
        <w:rPr>
          <w:sz w:val="24"/>
        </w:rPr>
        <w:t>” Sic)</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CUARTO. Del turno y admisión del recurso de revisión.</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Medio de impugnación que le fue turnado al </w:t>
      </w:r>
      <w:r w:rsidRPr="00E2546F">
        <w:rPr>
          <w:rFonts w:eastAsia="Palatino Linotype" w:cs="Palatino Linotype"/>
          <w:b/>
          <w:color w:val="000000"/>
          <w:szCs w:val="24"/>
        </w:rPr>
        <w:t>Comisionado Presidente José Martínez Vilchis</w:t>
      </w:r>
      <w:r w:rsidRPr="00E2546F">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E2546F">
        <w:rPr>
          <w:rFonts w:eastAsia="Palatino Linotype" w:cs="Palatino Linotype"/>
          <w:b/>
          <w:bCs/>
          <w:color w:val="000000"/>
          <w:szCs w:val="24"/>
        </w:rPr>
        <w:t xml:space="preserve"> </w:t>
      </w:r>
      <w:r w:rsidR="004E3885">
        <w:rPr>
          <w:rFonts w:eastAsia="Palatino Linotype" w:cs="Palatino Linotype"/>
          <w:b/>
          <w:bCs/>
          <w:color w:val="000000"/>
          <w:szCs w:val="24"/>
        </w:rPr>
        <w:t xml:space="preserve">cinco de </w:t>
      </w:r>
      <w:r w:rsidR="00A81577">
        <w:rPr>
          <w:rFonts w:eastAsia="Palatino Linotype" w:cs="Palatino Linotype"/>
          <w:b/>
          <w:bCs/>
          <w:color w:val="000000"/>
          <w:szCs w:val="24"/>
        </w:rPr>
        <w:t>noviembre</w:t>
      </w:r>
      <w:r w:rsidRPr="00E2546F">
        <w:rPr>
          <w:rFonts w:eastAsia="Palatino Linotype" w:cs="Palatino Linotype"/>
          <w:b/>
          <w:bCs/>
          <w:color w:val="000000"/>
          <w:szCs w:val="24"/>
        </w:rPr>
        <w:t xml:space="preserve"> de dos mil </w:t>
      </w:r>
      <w:r w:rsidRPr="00E2546F">
        <w:rPr>
          <w:rFonts w:eastAsia="Palatino Linotype" w:cs="Palatino Linotype"/>
          <w:b/>
          <w:bCs/>
          <w:color w:val="000000"/>
          <w:szCs w:val="24"/>
        </w:rPr>
        <w:lastRenderedPageBreak/>
        <w:t>veinticinco</w:t>
      </w:r>
      <w:r w:rsidRPr="00E2546F">
        <w:rPr>
          <w:rFonts w:eastAsia="Palatino Linotype" w:cs="Palatino Linotype"/>
          <w:color w:val="000000"/>
          <w:szCs w:val="24"/>
        </w:rPr>
        <w:t xml:space="preserve">, </w:t>
      </w:r>
      <w:r w:rsidRPr="00E2546F">
        <w:rPr>
          <w:rFonts w:eastAsia="Palatino Linotype" w:cs="Palatino Linotype"/>
          <w:szCs w:val="24"/>
        </w:rPr>
        <w:t>otorgándose</w:t>
      </w:r>
      <w:r w:rsidRPr="00E2546F">
        <w:rPr>
          <w:rFonts w:eastAsia="Palatino Linotype" w:cs="Palatino Linotype"/>
          <w:color w:val="000000"/>
          <w:szCs w:val="24"/>
        </w:rPr>
        <w:t xml:space="preserve"> en él un plazo de siete días para que las partes manifestaran lo que a su derecho corresponda en términos del numeral ya citado.</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De la etapa de instrucción.</w:t>
      </w:r>
    </w:p>
    <w:p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Una vez abierta la etapa de instrucción, el Sujeto Obligado </w:t>
      </w:r>
      <w:r w:rsidR="004E3885">
        <w:rPr>
          <w:rFonts w:eastAsia="Palatino Linotype" w:cs="Palatino Linotype"/>
          <w:color w:val="000000"/>
          <w:szCs w:val="24"/>
        </w:rPr>
        <w:t>fue omiso en rendir</w:t>
      </w:r>
      <w:r w:rsidRPr="00E2546F">
        <w:rPr>
          <w:rFonts w:eastAsia="Palatino Linotype" w:cs="Palatino Linotype"/>
          <w:color w:val="000000"/>
          <w:szCs w:val="24"/>
        </w:rPr>
        <w:t xml:space="preserve"> su informe justificado. Por su parte, el Recurrente no realizó manifestaciones, vertió alegatos ni presentó pruebas que a su derecho convinieran. </w:t>
      </w:r>
    </w:p>
    <w:p w:rsidR="004E3885" w:rsidRPr="00E2546F" w:rsidRDefault="004E3885"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noProof/>
          <w:color w:val="000000"/>
          <w:szCs w:val="24"/>
          <w:lang w:val="es-MX"/>
        </w:rPr>
        <w:drawing>
          <wp:anchor distT="0" distB="0" distL="114300" distR="114300" simplePos="0" relativeHeight="251658240" behindDoc="0" locked="0" layoutInCell="1" allowOverlap="1">
            <wp:simplePos x="0" y="0"/>
            <wp:positionH relativeFrom="column">
              <wp:posOffset>205055</wp:posOffset>
            </wp:positionH>
            <wp:positionV relativeFrom="paragraph">
              <wp:posOffset>85527</wp:posOffset>
            </wp:positionV>
            <wp:extent cx="5093970" cy="1174115"/>
            <wp:effectExtent l="0" t="0" r="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015FA.tmp"/>
                    <pic:cNvPicPr/>
                  </pic:nvPicPr>
                  <pic:blipFill>
                    <a:blip r:embed="rId7">
                      <a:extLst>
                        <a:ext uri="{28A0092B-C50C-407E-A947-70E740481C1C}">
                          <a14:useLocalDpi xmlns:a14="http://schemas.microsoft.com/office/drawing/2010/main" val="0"/>
                        </a:ext>
                      </a:extLst>
                    </a:blip>
                    <a:stretch>
                      <a:fillRect/>
                    </a:stretch>
                  </pic:blipFill>
                  <pic:spPr>
                    <a:xfrm>
                      <a:off x="0" y="0"/>
                      <a:ext cx="5093970" cy="1174115"/>
                    </a:xfrm>
                    <a:prstGeom prst="rect">
                      <a:avLst/>
                    </a:prstGeom>
                  </pic:spPr>
                </pic:pic>
              </a:graphicData>
            </a:graphic>
            <wp14:sizeRelH relativeFrom="margin">
              <wp14:pctWidth>0</wp14:pctWidth>
            </wp14:sizeRelH>
            <wp14:sizeRelV relativeFrom="margin">
              <wp14:pctHeight>0</wp14:pctHeight>
            </wp14:sizeRelV>
          </wp:anchor>
        </w:drawing>
      </w:r>
    </w:p>
    <w:p w:rsidR="00D22D6C" w:rsidRDefault="00D22D6C" w:rsidP="00D22D6C">
      <w:pPr>
        <w:pBdr>
          <w:top w:val="nil"/>
          <w:left w:val="nil"/>
          <w:bottom w:val="nil"/>
          <w:right w:val="nil"/>
          <w:between w:val="nil"/>
        </w:pBdr>
        <w:contextualSpacing/>
        <w:rPr>
          <w:rFonts w:eastAsia="Palatino Linotype" w:cs="Palatino Linotype"/>
          <w:color w:val="000000"/>
          <w:szCs w:val="24"/>
        </w:rPr>
      </w:pPr>
    </w:p>
    <w:p w:rsidR="004E3885" w:rsidRDefault="004E3885" w:rsidP="00D22D6C">
      <w:pPr>
        <w:pBdr>
          <w:top w:val="nil"/>
          <w:left w:val="nil"/>
          <w:bottom w:val="nil"/>
          <w:right w:val="nil"/>
          <w:between w:val="nil"/>
        </w:pBdr>
        <w:contextualSpacing/>
        <w:rPr>
          <w:rFonts w:eastAsia="Palatino Linotype" w:cs="Palatino Linotype"/>
          <w:color w:val="000000"/>
          <w:szCs w:val="24"/>
        </w:rPr>
      </w:pPr>
    </w:p>
    <w:p w:rsidR="004E3885" w:rsidRDefault="004E3885" w:rsidP="00D22D6C">
      <w:pPr>
        <w:pBdr>
          <w:top w:val="nil"/>
          <w:left w:val="nil"/>
          <w:bottom w:val="nil"/>
          <w:right w:val="nil"/>
          <w:between w:val="nil"/>
        </w:pBdr>
        <w:contextualSpacing/>
        <w:rPr>
          <w:rFonts w:eastAsia="Palatino Linotype" w:cs="Palatino Linotype"/>
          <w:color w:val="000000"/>
          <w:szCs w:val="24"/>
        </w:rPr>
      </w:pPr>
    </w:p>
    <w:p w:rsidR="004E3885" w:rsidRDefault="004E3885"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SEXTO. Del cierre de instrucción.</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Así, una vez transcurrido el término legal, se decretó el cierre de instrucción en fecha</w:t>
      </w:r>
      <w:r w:rsidRPr="00E2546F">
        <w:rPr>
          <w:rFonts w:eastAsia="Palatino Linotype" w:cs="Palatino Linotype"/>
          <w:b/>
          <w:color w:val="000000"/>
          <w:szCs w:val="24"/>
        </w:rPr>
        <w:t xml:space="preserve"> </w:t>
      </w:r>
      <w:r w:rsidR="002C01D1">
        <w:rPr>
          <w:rFonts w:eastAsia="Palatino Linotype" w:cs="Palatino Linotype"/>
          <w:b/>
          <w:color w:val="000000"/>
          <w:szCs w:val="24"/>
        </w:rPr>
        <w:t>dieciocho de noviembre</w:t>
      </w:r>
      <w:r w:rsidRPr="00E2546F">
        <w:rPr>
          <w:rFonts w:eastAsia="Palatino Linotype" w:cs="Palatino Linotype"/>
          <w:b/>
          <w:color w:val="000000"/>
          <w:szCs w:val="24"/>
        </w:rPr>
        <w:t xml:space="preserve"> de dos mil veinticuatro</w:t>
      </w:r>
      <w:r w:rsidRPr="00E2546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D22D6C" w:rsidRDefault="00D22D6C" w:rsidP="00D22D6C">
      <w:pPr>
        <w:pBdr>
          <w:top w:val="nil"/>
          <w:left w:val="nil"/>
          <w:bottom w:val="nil"/>
          <w:right w:val="nil"/>
          <w:between w:val="nil"/>
        </w:pBdr>
        <w:contextualSpacing/>
        <w:rPr>
          <w:rFonts w:eastAsiaTheme="minorHAnsi" w:cstheme="minorBidi"/>
          <w:szCs w:val="24"/>
          <w:lang w:eastAsia="en-US"/>
        </w:rPr>
      </w:pPr>
    </w:p>
    <w:p w:rsidR="00D22D6C" w:rsidRPr="00E2546F" w:rsidRDefault="00D22D6C" w:rsidP="00D22D6C">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C O N S I D E R A N D O</w:t>
      </w:r>
    </w:p>
    <w:p w:rsidR="00D22D6C" w:rsidRPr="00E2546F" w:rsidRDefault="00D22D6C" w:rsidP="00D22D6C"/>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PRIMERO. De la competencia.</w:t>
      </w:r>
    </w:p>
    <w:p w:rsidR="005C6F0A" w:rsidRPr="007C6AB6" w:rsidRDefault="005C6F0A" w:rsidP="005C6F0A">
      <w:pPr>
        <w:tabs>
          <w:tab w:val="left" w:pos="3402"/>
        </w:tabs>
      </w:pPr>
      <w:r w:rsidRPr="00EB0752">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 xml:space="preserve">SEGUNDO. Sobre los alcances del recurso de revisión. </w:t>
      </w:r>
    </w:p>
    <w:p w:rsidR="00D22D6C" w:rsidRPr="00E2546F" w:rsidRDefault="00D22D6C" w:rsidP="00D22D6C">
      <w:r w:rsidRPr="00E2546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22D6C" w:rsidRPr="00E2546F" w:rsidRDefault="00D22D6C" w:rsidP="00D22D6C"/>
    <w:p w:rsidR="00D22D6C" w:rsidRPr="00E2546F" w:rsidRDefault="00D22D6C" w:rsidP="00D22D6C">
      <w:pPr>
        <w:autoSpaceDE w:val="0"/>
        <w:autoSpaceDN w:val="0"/>
        <w:adjustRightInd w:val="0"/>
        <w:spacing w:before="240" w:line="240" w:lineRule="auto"/>
        <w:rPr>
          <w:rFonts w:eastAsia="Times New Roman" w:cs="Arial"/>
          <w:b/>
          <w:szCs w:val="24"/>
          <w:lang w:val="es-ES" w:eastAsia="es-ES"/>
        </w:rPr>
      </w:pPr>
      <w:r w:rsidRPr="00E2546F">
        <w:rPr>
          <w:rFonts w:cs="Arial"/>
          <w:b/>
          <w:sz w:val="28"/>
        </w:rPr>
        <w:t xml:space="preserve">TERCERO. </w:t>
      </w:r>
      <w:r w:rsidRPr="00E2546F">
        <w:rPr>
          <w:rFonts w:eastAsia="Times New Roman" w:cs="Arial"/>
          <w:b/>
          <w:sz w:val="28"/>
          <w:szCs w:val="28"/>
          <w:lang w:val="es-ES" w:eastAsia="es-ES"/>
        </w:rPr>
        <w:t>Cuestiones de previo y especial pronunciamiento</w:t>
      </w:r>
    </w:p>
    <w:p w:rsidR="00D22D6C" w:rsidRPr="00E2546F" w:rsidRDefault="00D22D6C" w:rsidP="00D22D6C">
      <w:pPr>
        <w:autoSpaceDE w:val="0"/>
        <w:autoSpaceDN w:val="0"/>
        <w:adjustRightInd w:val="0"/>
        <w:spacing w:before="240"/>
        <w:rPr>
          <w:rFonts w:eastAsia="Times New Roman" w:cs="Times New Roman"/>
          <w:szCs w:val="24"/>
        </w:rPr>
      </w:pPr>
      <w:r w:rsidRPr="00E2546F">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D22D6C" w:rsidRPr="00E2546F" w:rsidRDefault="00D22D6C" w:rsidP="00D22D6C">
      <w:pPr>
        <w:autoSpaceDE w:val="0"/>
        <w:autoSpaceDN w:val="0"/>
        <w:adjustRightInd w:val="0"/>
        <w:spacing w:before="240"/>
        <w:ind w:left="360" w:firstLine="348"/>
        <w:rPr>
          <w:rFonts w:eastAsia="Times New Roman" w:cs="Times New Roman"/>
          <w:i/>
          <w:sz w:val="22"/>
        </w:rPr>
      </w:pPr>
      <w:r w:rsidRPr="00E2546F">
        <w:rPr>
          <w:rFonts w:eastAsia="Times New Roman" w:cs="Times New Roman"/>
          <w:i/>
          <w:sz w:val="22"/>
        </w:rPr>
        <w:t>“Artículo 180. El recurso de revisión contendrá:</w:t>
      </w:r>
    </w:p>
    <w:p w:rsidR="00D22D6C" w:rsidRPr="00E2546F"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sujeto obligado ante la cual se presentó la solicitud;</w:t>
      </w:r>
    </w:p>
    <w:p w:rsidR="00D22D6C" w:rsidRPr="00E2546F"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D22D6C" w:rsidRPr="00E2546F"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número de folio de respuesta de la solicitud de acceso;</w:t>
      </w:r>
    </w:p>
    <w:p w:rsidR="00D22D6C" w:rsidRPr="00E2546F" w:rsidRDefault="00D22D6C" w:rsidP="00D22D6C">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IV. La fecha en que fue notificada la respuesta al solicitante o tuvo conocimiento del acto reclamado, o de presentación de la solicitud, en caso de falta de respuesta;</w:t>
      </w:r>
    </w:p>
    <w:p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 El acto que se recurre;</w:t>
      </w:r>
    </w:p>
    <w:p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 Las razones o motivos de inconformidad;</w:t>
      </w:r>
    </w:p>
    <w:p w:rsidR="00D22D6C" w:rsidRPr="00E2546F" w:rsidRDefault="00D22D6C" w:rsidP="00D22D6C">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VII. La copia de la respuesta que se impugna y, en su caso, de la notificación correspondiente, en el caso de respuesta de la solicitud; y</w:t>
      </w:r>
    </w:p>
    <w:p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VIII. Firma del recurrente, en su caso, cuando se presente por escrito, requisito sin el cual se dará trámite al recurso.</w:t>
      </w:r>
    </w:p>
    <w:p w:rsidR="00D22D6C" w:rsidRPr="00E2546F" w:rsidRDefault="00D22D6C" w:rsidP="00D22D6C">
      <w:pPr>
        <w:autoSpaceDE w:val="0"/>
        <w:autoSpaceDN w:val="0"/>
        <w:adjustRightInd w:val="0"/>
        <w:spacing w:before="240"/>
        <w:ind w:left="1080"/>
        <w:rPr>
          <w:rFonts w:eastAsia="Times New Roman" w:cs="Times New Roman"/>
          <w:i/>
          <w:sz w:val="22"/>
        </w:rPr>
      </w:pPr>
      <w:r w:rsidRPr="00E2546F">
        <w:rPr>
          <w:rFonts w:eastAsia="Times New Roman" w:cs="Times New Roman"/>
          <w:i/>
          <w:sz w:val="22"/>
        </w:rPr>
        <w:lastRenderedPageBreak/>
        <w:t>Adicionalmente, se podrán anexar las pruebas y demás elementos que considere procedentes someter a juicio del Instituto.</w:t>
      </w:r>
    </w:p>
    <w:p w:rsidR="00D22D6C" w:rsidRPr="00E2546F" w:rsidRDefault="00D22D6C" w:rsidP="00D22D6C">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En ningún caso será necesario que el particular ratifique el recurso de revisión interpuesto.</w:t>
      </w:r>
    </w:p>
    <w:p w:rsidR="00D22D6C" w:rsidRPr="00E2546F" w:rsidRDefault="00D22D6C" w:rsidP="00D22D6C">
      <w:pPr>
        <w:autoSpaceDE w:val="0"/>
        <w:autoSpaceDN w:val="0"/>
        <w:adjustRightInd w:val="0"/>
        <w:spacing w:before="240"/>
        <w:ind w:left="1080"/>
        <w:rPr>
          <w:rFonts w:eastAsia="Times New Roman" w:cs="Times New Roman"/>
          <w:b/>
          <w:i/>
          <w:sz w:val="22"/>
          <w:u w:val="single"/>
        </w:rPr>
      </w:pPr>
      <w:r w:rsidRPr="00E2546F">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D22D6C" w:rsidRPr="00E2546F" w:rsidRDefault="00D22D6C" w:rsidP="00D22D6C">
      <w:pPr>
        <w:autoSpaceDE w:val="0"/>
        <w:autoSpaceDN w:val="0"/>
        <w:adjustRightInd w:val="0"/>
        <w:spacing w:before="240"/>
        <w:ind w:left="1080"/>
        <w:rPr>
          <w:rFonts w:eastAsia="Times New Roman" w:cs="Times New Roman"/>
          <w:b/>
          <w:i/>
          <w:sz w:val="22"/>
          <w:u w:val="single"/>
        </w:rPr>
      </w:pPr>
    </w:p>
    <w:p w:rsidR="00D22D6C" w:rsidRPr="00E2546F" w:rsidRDefault="00D22D6C" w:rsidP="00D22D6C">
      <w:pPr>
        <w:rPr>
          <w:rFonts w:eastAsia="Times New Roman" w:cs="Arial"/>
          <w:szCs w:val="24"/>
          <w:lang w:val="es-ES" w:eastAsia="es-ES"/>
        </w:rPr>
      </w:pPr>
      <w:r w:rsidRPr="00E2546F">
        <w:rPr>
          <w:rFonts w:eastAsia="Times New Roman" w:cs="Segoe UI"/>
          <w:szCs w:val="24"/>
          <w:lang w:val="es-ES" w:eastAsia="es-ES"/>
        </w:rPr>
        <w:t xml:space="preserve">Cabe señalar que </w:t>
      </w:r>
      <w:r w:rsidRPr="00E2546F">
        <w:rPr>
          <w:rFonts w:eastAsia="Times New Roman" w:cs="Segoe UI"/>
          <w:b/>
          <w:szCs w:val="24"/>
          <w:lang w:val="es-ES" w:eastAsia="es-ES"/>
        </w:rPr>
        <w:t>El Recurrente</w:t>
      </w:r>
      <w:r w:rsidRPr="00E2546F">
        <w:rPr>
          <w:rFonts w:eastAsia="Times New Roman" w:cs="Segoe UI"/>
          <w:szCs w:val="24"/>
          <w:lang w:val="es-ES" w:eastAsia="es-ES"/>
        </w:rPr>
        <w:t xml:space="preserve"> ejerció de manera anónima su derecho de acceso a la información pública</w:t>
      </w:r>
      <w:r w:rsidRPr="00E2546F">
        <w:rPr>
          <w:rFonts w:eastAsia="Times New Roman" w:cs="Times New Roman"/>
          <w:szCs w:val="24"/>
          <w:lang w:val="es-ES" w:eastAsia="es-ES"/>
        </w:rPr>
        <w:t xml:space="preserve">, sin embargo, no es motivo para desechar las </w:t>
      </w:r>
      <w:r w:rsidRPr="00E2546F">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D22D6C" w:rsidRPr="00E2546F" w:rsidRDefault="00D22D6C" w:rsidP="00D22D6C">
      <w:pPr>
        <w:spacing w:before="240"/>
        <w:ind w:left="851" w:right="851"/>
        <w:rPr>
          <w:rFonts w:eastAsia="Times New Roman" w:cs="Arial"/>
          <w:b/>
          <w:i/>
          <w:sz w:val="22"/>
          <w:lang w:val="es-ES" w:eastAsia="es-ES"/>
        </w:rPr>
      </w:pPr>
      <w:r w:rsidRPr="00E2546F">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2546F">
        <w:rPr>
          <w:rFonts w:eastAsia="Times New Roman" w:cs="Arial"/>
          <w:b/>
          <w:i/>
          <w:sz w:val="22"/>
          <w:lang w:val="es-ES" w:eastAsia="es-ES"/>
        </w:rPr>
        <w:t>[Sic]</w:t>
      </w:r>
    </w:p>
    <w:p w:rsidR="00D22D6C" w:rsidRPr="00E2546F" w:rsidRDefault="00D22D6C" w:rsidP="00D22D6C">
      <w:pPr>
        <w:spacing w:before="240"/>
        <w:ind w:left="851" w:right="851"/>
        <w:rPr>
          <w:rFonts w:eastAsia="Times New Roman" w:cs="Arial"/>
          <w:b/>
          <w:i/>
          <w:sz w:val="22"/>
          <w:lang w:val="es-ES" w:eastAsia="es-ES"/>
        </w:rPr>
      </w:pPr>
    </w:p>
    <w:p w:rsidR="00D22D6C" w:rsidRPr="007D7D86" w:rsidRDefault="00D22D6C" w:rsidP="00D22D6C">
      <w:pPr>
        <w:rPr>
          <w:rFonts w:eastAsia="Times New Roman" w:cs="Times New Roman"/>
          <w:szCs w:val="24"/>
          <w:lang w:val="es-ES" w:eastAsia="es-ES"/>
        </w:rPr>
      </w:pPr>
      <w:r w:rsidRPr="00E2546F">
        <w:rPr>
          <w:rFonts w:eastAsia="Times New Roman" w:cs="Times New Roman"/>
          <w:szCs w:val="24"/>
          <w:lang w:val="es-ES" w:eastAsia="es-ES"/>
        </w:rPr>
        <w:t xml:space="preserve">Robusteciendo lo anterior se encuentra lo dispuesto en </w:t>
      </w:r>
      <w:r>
        <w:rPr>
          <w:rFonts w:eastAsia="Times New Roman" w:cs="Times New Roman"/>
          <w:szCs w:val="24"/>
          <w:lang w:val="es-ES" w:eastAsia="es-ES"/>
        </w:rPr>
        <w:t xml:space="preserve">el artículo </w:t>
      </w:r>
      <w:r w:rsidRPr="00E2546F">
        <w:rPr>
          <w:rFonts w:eastAsia="Times New Roman" w:cs="Times New Roman"/>
          <w:szCs w:val="24"/>
          <w:lang w:val="es-ES" w:eastAsia="es-ES"/>
        </w:rPr>
        <w:t xml:space="preserve">5 párrafos </w:t>
      </w:r>
      <w:r w:rsidRPr="00E2546F">
        <w:rPr>
          <w:rFonts w:eastAsia="Times New Roman" w:cs="Arial"/>
          <w:szCs w:val="24"/>
          <w:lang w:val="es-ES" w:eastAsia="es-ES"/>
        </w:rPr>
        <w:t>vigésimo, vigésimo primero</w:t>
      </w:r>
      <w:r w:rsidRPr="00E2546F">
        <w:rPr>
          <w:rFonts w:eastAsia="Times New Roman" w:cs="Arial"/>
          <w:szCs w:val="24"/>
          <w:lang w:eastAsia="es-ES"/>
        </w:rPr>
        <w:t xml:space="preserve"> y vigésimo segundo</w:t>
      </w:r>
      <w:r w:rsidRPr="00E2546F">
        <w:rPr>
          <w:rFonts w:eastAsia="Times New Roman" w:cs="Times New Roman"/>
          <w:szCs w:val="24"/>
          <w:lang w:val="es-ES" w:eastAsia="es-ES"/>
        </w:rPr>
        <w:t>, de la Constitución Política del Estado Libre y Soberano de México, se establece lo siguiente:</w:t>
      </w:r>
    </w:p>
    <w:p w:rsidR="00D22D6C" w:rsidRPr="00E2546F" w:rsidRDefault="00D22D6C" w:rsidP="00D22D6C">
      <w:pPr>
        <w:spacing w:before="240"/>
        <w:ind w:left="851" w:right="851"/>
        <w:rPr>
          <w:rFonts w:eastAsia="Times New Roman" w:cs="Times New Roman"/>
          <w:b/>
          <w:i/>
          <w:sz w:val="22"/>
          <w:u w:val="single"/>
          <w:lang w:val="es-ES" w:eastAsia="es-ES"/>
        </w:rPr>
      </w:pPr>
      <w:r w:rsidRPr="00E2546F">
        <w:rPr>
          <w:rFonts w:eastAsia="Times New Roman" w:cs="Times New Roman"/>
          <w:b/>
          <w:i/>
          <w:sz w:val="22"/>
          <w:u w:val="single"/>
          <w:lang w:val="es-ES" w:eastAsia="es-ES"/>
        </w:rPr>
        <w:t>Constitución Política del Estado Libre y Soberano de México</w:t>
      </w:r>
    </w:p>
    <w:p w:rsidR="00D22D6C" w:rsidRPr="00E2546F" w:rsidRDefault="00D22D6C" w:rsidP="00D22D6C">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r w:rsidRPr="00E2546F">
        <w:rPr>
          <w:rFonts w:eastAsia="Times New Roman" w:cs="Times New Roman"/>
          <w:b/>
          <w:i/>
          <w:sz w:val="22"/>
          <w:lang w:val="es-ES" w:eastAsia="es-ES"/>
        </w:rPr>
        <w:t>Artículo 5</w:t>
      </w:r>
      <w:r w:rsidRPr="00E2546F">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E2546F">
        <w:rPr>
          <w:rFonts w:eastAsia="Times New Roman" w:cs="Times New Roman"/>
          <w:i/>
          <w:sz w:val="22"/>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22D6C" w:rsidRPr="00E2546F" w:rsidRDefault="00D22D6C" w:rsidP="00D22D6C">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p>
    <w:p w:rsidR="00D22D6C" w:rsidRPr="00E2546F" w:rsidRDefault="00D22D6C" w:rsidP="00D22D6C">
      <w:pPr>
        <w:spacing w:before="240"/>
        <w:ind w:left="851" w:right="851"/>
        <w:rPr>
          <w:rFonts w:eastAsia="Times New Roman" w:cs="Times New Roman"/>
          <w:b/>
          <w:i/>
          <w:sz w:val="22"/>
          <w:lang w:val="es-ES" w:eastAsia="es-ES"/>
        </w:rPr>
      </w:pPr>
      <w:proofErr w:type="gramStart"/>
      <w:r w:rsidRPr="00E2546F">
        <w:rPr>
          <w:rFonts w:eastAsia="Times New Roman" w:cs="Times New Roman"/>
          <w:i/>
          <w:sz w:val="22"/>
          <w:lang w:val="es-ES" w:eastAsia="es-ES"/>
        </w:rPr>
        <w:t>transparencia</w:t>
      </w:r>
      <w:proofErr w:type="gramEnd"/>
      <w:r w:rsidRPr="00E2546F">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E2546F">
        <w:rPr>
          <w:rFonts w:eastAsia="Times New Roman" w:cs="Times New Roman"/>
          <w:b/>
          <w:i/>
          <w:sz w:val="22"/>
          <w:lang w:val="es-ES" w:eastAsia="es-ES"/>
        </w:rPr>
        <w:t>[Sic]</w:t>
      </w:r>
    </w:p>
    <w:p w:rsidR="00D22D6C" w:rsidRDefault="00D22D6C" w:rsidP="00D22D6C">
      <w:pPr>
        <w:autoSpaceDE w:val="0"/>
        <w:autoSpaceDN w:val="0"/>
        <w:adjustRightInd w:val="0"/>
        <w:spacing w:before="240"/>
        <w:rPr>
          <w:rFonts w:eastAsia="Times New Roman" w:cs="Arial"/>
          <w:szCs w:val="24"/>
          <w:lang w:val="es-ES"/>
        </w:rPr>
      </w:pPr>
      <w:r w:rsidRPr="00E2546F">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546F">
        <w:rPr>
          <w:rFonts w:eastAsia="Times New Roman" w:cs="Times New Roman"/>
          <w:b/>
          <w:szCs w:val="24"/>
          <w:u w:val="single"/>
          <w:lang w:val="es-ES" w:eastAsia="es-ES"/>
        </w:rPr>
        <w:t>incluso, la solicitud de acceso a la información pueda ser anónima</w:t>
      </w:r>
      <w:r w:rsidRPr="00E2546F">
        <w:rPr>
          <w:rFonts w:eastAsia="Times New Roman" w:cs="Times New Roman"/>
          <w:szCs w:val="24"/>
          <w:lang w:val="es-ES" w:eastAsia="es-ES"/>
        </w:rPr>
        <w:t xml:space="preserve"> o no contener un nombre que identifique al solicitante o que permita tener certeza sobre su identidad. </w:t>
      </w:r>
      <w:r w:rsidRPr="00E2546F">
        <w:rPr>
          <w:rFonts w:eastAsia="Times New Roman" w:cs="Arial"/>
          <w:szCs w:val="24"/>
          <w:lang w:val="es-ES"/>
        </w:rPr>
        <w:t xml:space="preserve">En conclusión, se cubrieron los requisitos de procedencia y </w:t>
      </w:r>
      <w:proofErr w:type="spellStart"/>
      <w:r w:rsidRPr="00E2546F">
        <w:rPr>
          <w:rFonts w:eastAsia="Times New Roman" w:cs="Arial"/>
          <w:szCs w:val="24"/>
          <w:lang w:val="es-ES"/>
        </w:rPr>
        <w:t>procedibilidad</w:t>
      </w:r>
      <w:proofErr w:type="spellEnd"/>
      <w:r w:rsidRPr="00E2546F">
        <w:rPr>
          <w:rFonts w:eastAsia="Times New Roman" w:cs="Arial"/>
          <w:szCs w:val="24"/>
          <w:lang w:val="es-ES"/>
        </w:rPr>
        <w:t xml:space="preserve"> y conforme a las constancias que obran en el expediente.</w:t>
      </w:r>
    </w:p>
    <w:p w:rsidR="00466107" w:rsidRPr="00E2546F" w:rsidRDefault="00466107" w:rsidP="00D22D6C">
      <w:pPr>
        <w:autoSpaceDE w:val="0"/>
        <w:autoSpaceDN w:val="0"/>
        <w:adjustRightInd w:val="0"/>
        <w:spacing w:before="240"/>
        <w:rPr>
          <w:rFonts w:ascii="Times New Roman" w:eastAsia="Times New Roman" w:hAnsi="Times New Roman" w:cs="Arial"/>
          <w:b/>
          <w:sz w:val="28"/>
          <w:szCs w:val="24"/>
          <w:lang w:val="es-ES" w:eastAsia="es-ES"/>
        </w:rPr>
      </w:pPr>
    </w:p>
    <w:p w:rsidR="00D22D6C" w:rsidRPr="00E2546F" w:rsidRDefault="00D22D6C" w:rsidP="00D22D6C">
      <w:pPr>
        <w:pStyle w:val="Prrafodelista"/>
        <w:autoSpaceDE w:val="0"/>
        <w:autoSpaceDN w:val="0"/>
        <w:adjustRightInd w:val="0"/>
        <w:spacing w:before="240" w:after="160"/>
        <w:ind w:left="0"/>
        <w:rPr>
          <w:rFonts w:cs="Arial"/>
          <w:b/>
          <w:sz w:val="28"/>
        </w:rPr>
      </w:pPr>
      <w:r w:rsidRPr="00E2546F">
        <w:rPr>
          <w:rFonts w:cs="Arial"/>
          <w:b/>
          <w:sz w:val="28"/>
        </w:rPr>
        <w:t>CUARTO. De las causas de improcedencia.</w:t>
      </w:r>
    </w:p>
    <w:p w:rsidR="00D22D6C" w:rsidRDefault="00D22D6C" w:rsidP="00D22D6C">
      <w:pPr>
        <w:pStyle w:val="Prrafodelista"/>
        <w:autoSpaceDE w:val="0"/>
        <w:autoSpaceDN w:val="0"/>
        <w:adjustRightInd w:val="0"/>
        <w:ind w:left="0"/>
        <w:rPr>
          <w:rFonts w:cs="Arial"/>
        </w:rPr>
      </w:pPr>
      <w:r w:rsidRPr="00E2546F">
        <w:rPr>
          <w:rFonts w:cs="Arial"/>
        </w:rPr>
        <w:t xml:space="preserve">En el procedimiento de acceso a la información y de los medios de impugnación de la materia, se advierten diversos supuestos de </w:t>
      </w:r>
      <w:proofErr w:type="spellStart"/>
      <w:r w:rsidRPr="00E2546F">
        <w:rPr>
          <w:rFonts w:cs="Arial"/>
        </w:rPr>
        <w:t>procedibilidad</w:t>
      </w:r>
      <w:proofErr w:type="spellEnd"/>
      <w:r w:rsidRPr="00E2546F">
        <w:rPr>
          <w:rFonts w:cs="Arial"/>
        </w:rPr>
        <w:t xml:space="preserve">, los cuales deben estudiarse con la finalidad de dar cumplimiento a los principios de legalidad y objetividad inmersos en el artículo 9, de Ley de Transparencia y Acceso a la Información Pública del Estado de </w:t>
      </w:r>
      <w:r w:rsidRPr="00E2546F">
        <w:rPr>
          <w:rFonts w:cs="Arial"/>
        </w:rPr>
        <w:lastRenderedPageBreak/>
        <w:t>México y Municipios, en correlación con la seguridad jurídica que debe generar lo actuado ante este Organismo garante.</w:t>
      </w:r>
    </w:p>
    <w:p w:rsidR="00466107" w:rsidRPr="00E2546F" w:rsidRDefault="00466107" w:rsidP="00D22D6C">
      <w:pPr>
        <w:pStyle w:val="Prrafodelista"/>
        <w:autoSpaceDE w:val="0"/>
        <w:autoSpaceDN w:val="0"/>
        <w:adjustRightInd w:val="0"/>
        <w:ind w:left="0"/>
        <w:rPr>
          <w:rFonts w:cs="Arial"/>
        </w:rPr>
      </w:pPr>
    </w:p>
    <w:p w:rsidR="00D22D6C" w:rsidRPr="00E2546F" w:rsidRDefault="00D22D6C" w:rsidP="00D22D6C">
      <w:pPr>
        <w:pStyle w:val="Prrafodelista"/>
        <w:autoSpaceDE w:val="0"/>
        <w:autoSpaceDN w:val="0"/>
        <w:adjustRightInd w:val="0"/>
        <w:ind w:left="0"/>
        <w:rPr>
          <w:rFonts w:cs="Arial"/>
        </w:rPr>
      </w:pPr>
      <w:r w:rsidRPr="00E2546F">
        <w:rPr>
          <w:rFonts w:cs="Arial"/>
        </w:rPr>
        <w:t xml:space="preserve">De lo anterior, el estudio de las causas de improcedencia que se hagan valer por las partes o que se advierta de oficio por este </w:t>
      </w:r>
      <w:proofErr w:type="spellStart"/>
      <w:r w:rsidRPr="00E2546F">
        <w:rPr>
          <w:rFonts w:cs="Arial"/>
        </w:rPr>
        <w:t>Resolutor</w:t>
      </w:r>
      <w:proofErr w:type="spellEnd"/>
      <w:r w:rsidRPr="00E2546F">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546F">
        <w:rPr>
          <w:rStyle w:val="Refdenotaalpie"/>
          <w:rFonts w:cs="Arial"/>
        </w:rPr>
        <w:footnoteReference w:id="1"/>
      </w:r>
      <w:r w:rsidRPr="00E2546F">
        <w:rPr>
          <w:rFonts w:cs="Arial"/>
        </w:rPr>
        <w:t>.</w:t>
      </w:r>
    </w:p>
    <w:p w:rsidR="00D22D6C" w:rsidRPr="00E2546F" w:rsidRDefault="00D22D6C" w:rsidP="00D22D6C">
      <w:pPr>
        <w:pStyle w:val="Prrafodelista"/>
        <w:autoSpaceDE w:val="0"/>
        <w:autoSpaceDN w:val="0"/>
        <w:adjustRightInd w:val="0"/>
        <w:ind w:left="0"/>
        <w:rPr>
          <w:rFonts w:cs="Arial"/>
        </w:rPr>
      </w:pPr>
      <w:r w:rsidRPr="00E2546F">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D22D6C" w:rsidRPr="00E2546F" w:rsidRDefault="00D22D6C" w:rsidP="00D22D6C">
      <w:pPr>
        <w:pStyle w:val="Prrafodelista"/>
        <w:autoSpaceDE w:val="0"/>
        <w:autoSpaceDN w:val="0"/>
        <w:adjustRightInd w:val="0"/>
        <w:ind w:left="0"/>
        <w:rPr>
          <w:rFonts w:cs="Arial"/>
        </w:rPr>
      </w:pPr>
    </w:p>
    <w:p w:rsidR="00D22D6C" w:rsidRPr="00E2546F" w:rsidRDefault="00D22D6C" w:rsidP="00D22D6C">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Estudio y resolución del asunto.</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22D6C" w:rsidRPr="00E2546F" w:rsidRDefault="00D22D6C" w:rsidP="00D22D6C">
      <w:pPr>
        <w:pBdr>
          <w:top w:val="nil"/>
          <w:left w:val="nil"/>
          <w:bottom w:val="nil"/>
          <w:right w:val="nil"/>
          <w:between w:val="nil"/>
        </w:pBdr>
        <w:contextualSpacing/>
        <w:rPr>
          <w:rFonts w:eastAsia="Palatino Linotype" w:cs="Palatino Linotype"/>
          <w:color w:val="000000"/>
          <w:szCs w:val="24"/>
        </w:rPr>
      </w:pPr>
    </w:p>
    <w:p w:rsidR="00D22D6C"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Por tanto, es conveniente recordar que el hoy Recurrente requirió del Sujeto Obligado, de la actual administración, lo siguiente:</w:t>
      </w:r>
    </w:p>
    <w:p w:rsidR="002C01D1" w:rsidRDefault="001E3D6D" w:rsidP="00D22D6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Del 01 de enero de 2024 al 30 de septiembre de 2025.</w:t>
      </w:r>
    </w:p>
    <w:p w:rsidR="002C01D1" w:rsidRPr="002C01D1" w:rsidRDefault="002C01D1" w:rsidP="002C01D1">
      <w:pPr>
        <w:pStyle w:val="Prrafodelista"/>
        <w:numPr>
          <w:ilvl w:val="0"/>
          <w:numId w:val="3"/>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Reportes de </w:t>
      </w:r>
      <w:r w:rsidRPr="002C01D1">
        <w:rPr>
          <w:rFonts w:eastAsia="Palatino Linotype" w:cs="Palatino Linotype"/>
          <w:color w:val="000000"/>
          <w:szCs w:val="24"/>
        </w:rPr>
        <w:t>dispersión de nómina emitidos por las instituciones bancarias utilizadas por el Ayuntamiento</w:t>
      </w:r>
      <w:r w:rsidR="001E3D6D">
        <w:rPr>
          <w:rFonts w:eastAsia="Palatino Linotype" w:cs="Palatino Linotype"/>
          <w:color w:val="000000"/>
          <w:szCs w:val="24"/>
        </w:rPr>
        <w:t>.</w:t>
      </w:r>
    </w:p>
    <w:p w:rsidR="001E3D6D" w:rsidRDefault="001E3D6D" w:rsidP="00D22D6C">
      <w:pPr>
        <w:pBdr>
          <w:top w:val="nil"/>
          <w:left w:val="nil"/>
          <w:bottom w:val="nil"/>
          <w:right w:val="nil"/>
          <w:between w:val="nil"/>
        </w:pBdr>
        <w:contextualSpacing/>
        <w:rPr>
          <w:rFonts w:eastAsia="Palatino Linotype" w:cs="Palatino Linotype"/>
          <w:color w:val="000000"/>
          <w:szCs w:val="24"/>
        </w:rPr>
      </w:pPr>
    </w:p>
    <w:p w:rsidR="00D22D6C" w:rsidRDefault="00D22D6C" w:rsidP="00D22D6C">
      <w:pPr>
        <w:pBdr>
          <w:top w:val="nil"/>
          <w:left w:val="nil"/>
          <w:bottom w:val="nil"/>
          <w:right w:val="nil"/>
          <w:between w:val="nil"/>
        </w:pBdr>
        <w:contextualSpacing/>
      </w:pPr>
      <w:r w:rsidRPr="00E2546F">
        <w:rPr>
          <w:rFonts w:eastAsia="Palatino Linotype" w:cs="Palatino Linotype"/>
          <w:color w:val="000000"/>
          <w:szCs w:val="24"/>
        </w:rPr>
        <w:t>Por lo que atento a la solicitud de información el Sujeto Obligado</w:t>
      </w:r>
      <w:r w:rsidRPr="00E2546F">
        <w:t xml:space="preserve"> e</w:t>
      </w:r>
      <w:r w:rsidR="00466107">
        <w:t xml:space="preserve">mitió su respuesta por medio </w:t>
      </w:r>
      <w:r w:rsidR="005A018C">
        <w:t xml:space="preserve">del sistema SAIMEX, mencionando </w:t>
      </w:r>
      <w:r w:rsidR="001F3A50">
        <w:t>al tenor literal, lo siguiente:</w:t>
      </w:r>
    </w:p>
    <w:p w:rsidR="001F3A50" w:rsidRPr="001F3A50" w:rsidRDefault="001F3A50" w:rsidP="001F3A50">
      <w:pPr>
        <w:pBdr>
          <w:top w:val="nil"/>
          <w:left w:val="nil"/>
          <w:bottom w:val="nil"/>
          <w:right w:val="nil"/>
          <w:between w:val="nil"/>
        </w:pBdr>
        <w:ind w:left="851" w:right="565"/>
        <w:contextualSpacing/>
        <w:rPr>
          <w:i/>
        </w:rPr>
      </w:pPr>
      <w:r w:rsidRPr="001F3A50">
        <w:rPr>
          <w:i/>
        </w:rPr>
        <w:lastRenderedPageBreak/>
        <w:t xml:space="preserve">“En seguimiento a la solicitud de información registrada con el número de folio 00208/CHALCO/IP/2025, al respecto le informo que, con base a las facultades, competencias y funciones, </w:t>
      </w:r>
      <w:r w:rsidRPr="00B045A6">
        <w:rPr>
          <w:i/>
          <w:u w:val="single"/>
        </w:rPr>
        <w:t>el responsable de atender su requerimiento de información fue el Mtro. Jesús Manuel de la Cruz Guerrero, Tesorero Municipal</w:t>
      </w:r>
      <w:r w:rsidRPr="001F3A50">
        <w:rPr>
          <w:i/>
        </w:rPr>
        <w:t xml:space="preserve">; Quien emitió respuesta en los siguientes términos: “Con respecto a la información solicitada, le informo que </w:t>
      </w:r>
      <w:r w:rsidRPr="00B045A6">
        <w:rPr>
          <w:i/>
          <w:u w:val="single"/>
        </w:rPr>
        <w:t>los reportes de nómina emitidos por las instituciones bancarias utilizadas por el ayuntamiento, correspondiente al periodo de enero 2024 a septiembre 2025, contienen información del titular: como el nombre y número de cuenta</w:t>
      </w:r>
      <w:r w:rsidRPr="001F3A50">
        <w:rPr>
          <w:i/>
        </w:rPr>
        <w:t xml:space="preserve">; </w:t>
      </w:r>
      <w:r w:rsidRPr="00B045A6">
        <w:rPr>
          <w:i/>
          <w:u w:val="single"/>
        </w:rPr>
        <w:t>así como datos personales para identificar al remitente y a los beneficiarios</w:t>
      </w:r>
      <w:r w:rsidRPr="001F3A50">
        <w:rPr>
          <w:i/>
        </w:rPr>
        <w:t xml:space="preserve">; como son nombres completos números de cuenta, claves interbancarias </w:t>
      </w:r>
      <w:r w:rsidRPr="00B045A6">
        <w:rPr>
          <w:i/>
          <w:u w:val="single"/>
        </w:rPr>
        <w:t>mismos que podrían ser utilizados para algún fraude o robo de identidad.” Esperando haber cumplido satisfactoriamente su requerimiento de información</w:t>
      </w:r>
      <w:r w:rsidRPr="001F3A50">
        <w:rPr>
          <w:i/>
        </w:rPr>
        <w:t>,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rsidR="001F3A50" w:rsidRDefault="001F3A50" w:rsidP="00D22D6C">
      <w:pPr>
        <w:pBdr>
          <w:top w:val="nil"/>
          <w:left w:val="nil"/>
          <w:bottom w:val="nil"/>
          <w:right w:val="nil"/>
          <w:between w:val="nil"/>
        </w:pBdr>
        <w:contextualSpacing/>
      </w:pPr>
    </w:p>
    <w:p w:rsidR="001F3A50" w:rsidRPr="001F3A50" w:rsidRDefault="001F3A50" w:rsidP="001F3A50">
      <w:pPr>
        <w:pBdr>
          <w:top w:val="nil"/>
          <w:left w:val="nil"/>
          <w:bottom w:val="nil"/>
          <w:right w:val="nil"/>
          <w:between w:val="nil"/>
        </w:pBdr>
        <w:contextualSpacing/>
        <w:jc w:val="right"/>
        <w:rPr>
          <w:i/>
        </w:rPr>
      </w:pPr>
      <w:r w:rsidRPr="001F3A50">
        <w:rPr>
          <w:i/>
        </w:rPr>
        <w:t>(Énfasis añadido)</w:t>
      </w:r>
    </w:p>
    <w:p w:rsidR="0035668D" w:rsidRDefault="0035668D" w:rsidP="00D22D6C">
      <w:pPr>
        <w:pBdr>
          <w:top w:val="nil"/>
          <w:left w:val="nil"/>
          <w:bottom w:val="nil"/>
          <w:right w:val="nil"/>
          <w:between w:val="nil"/>
        </w:pBdr>
        <w:contextualSpacing/>
        <w:rPr>
          <w:rFonts w:eastAsia="Palatino Linotype" w:cs="Palatino Linotype"/>
          <w:color w:val="000000"/>
          <w:szCs w:val="24"/>
        </w:rPr>
      </w:pPr>
    </w:p>
    <w:p w:rsidR="000C6DFA" w:rsidRDefault="00D22D6C" w:rsidP="00D22D6C">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motivos de inconformidad</w:t>
      </w:r>
      <w:r w:rsidR="008615B5">
        <w:rPr>
          <w:rFonts w:eastAsia="Palatino Linotype" w:cs="Palatino Linotype"/>
          <w:color w:val="000000"/>
          <w:szCs w:val="24"/>
        </w:rPr>
        <w:t xml:space="preserve"> “</w:t>
      </w:r>
      <w:r w:rsidR="008615B5" w:rsidRPr="008615B5">
        <w:rPr>
          <w:rFonts w:eastAsia="Palatino Linotype" w:cs="Palatino Linotype"/>
          <w:i/>
          <w:color w:val="000000"/>
          <w:szCs w:val="24"/>
        </w:rPr>
        <w:t>no hace entrega de la información</w:t>
      </w:r>
      <w:r w:rsidR="008615B5">
        <w:rPr>
          <w:rFonts w:eastAsia="Palatino Linotype" w:cs="Palatino Linotype"/>
          <w:color w:val="000000"/>
          <w:szCs w:val="24"/>
        </w:rPr>
        <w:t>”</w:t>
      </w:r>
      <w:r w:rsidR="000C6DFA" w:rsidRPr="00E2546F">
        <w:rPr>
          <w:i/>
          <w:iCs/>
          <w:color w:val="000000"/>
          <w:szCs w:val="24"/>
        </w:rPr>
        <w:t xml:space="preserve"> </w:t>
      </w:r>
      <w:r w:rsidR="000C6DFA" w:rsidRPr="00E2546F">
        <w:rPr>
          <w:color w:val="000000"/>
          <w:szCs w:val="24"/>
        </w:rPr>
        <w:t xml:space="preserve"> y como razones o motivos de inconformidad</w:t>
      </w:r>
      <w:r w:rsidRPr="00E2546F">
        <w:rPr>
          <w:rFonts w:eastAsia="Palatino Linotype" w:cs="Palatino Linotype"/>
          <w:color w:val="000000"/>
          <w:szCs w:val="24"/>
        </w:rPr>
        <w:t xml:space="preserve"> </w:t>
      </w:r>
      <w:r w:rsidRPr="00E2546F">
        <w:rPr>
          <w:rFonts w:eastAsia="Palatino Linotype" w:cs="Palatino Linotype"/>
          <w:i/>
          <w:iCs/>
          <w:color w:val="000000"/>
          <w:szCs w:val="24"/>
        </w:rPr>
        <w:t>“</w:t>
      </w:r>
      <w:r w:rsidR="008615B5" w:rsidRPr="008615B5">
        <w:rPr>
          <w:i/>
          <w:color w:val="000000"/>
          <w:szCs w:val="24"/>
        </w:rPr>
        <w:t xml:space="preserve">El tesorero menciona que no </w:t>
      </w:r>
      <w:r w:rsidR="008615B5" w:rsidRPr="008615B5">
        <w:rPr>
          <w:i/>
          <w:color w:val="000000"/>
          <w:szCs w:val="24"/>
        </w:rPr>
        <w:lastRenderedPageBreak/>
        <w:t xml:space="preserve">puede entregar la información </w:t>
      </w:r>
      <w:proofErr w:type="spellStart"/>
      <w:r w:rsidR="008615B5" w:rsidRPr="008615B5">
        <w:rPr>
          <w:i/>
          <w:color w:val="000000"/>
          <w:szCs w:val="24"/>
        </w:rPr>
        <w:t>por que</w:t>
      </w:r>
      <w:proofErr w:type="spellEnd"/>
      <w:r w:rsidR="008615B5" w:rsidRPr="008615B5">
        <w:rPr>
          <w:i/>
          <w:color w:val="000000"/>
          <w:szCs w:val="24"/>
        </w:rPr>
        <w:t xml:space="preserve"> contiene datos personales, pero al parecer el Tesorero no sabe que eso lo aprueba el </w:t>
      </w:r>
      <w:proofErr w:type="spellStart"/>
      <w:r w:rsidR="008615B5" w:rsidRPr="008615B5">
        <w:rPr>
          <w:i/>
          <w:color w:val="000000"/>
          <w:szCs w:val="24"/>
        </w:rPr>
        <w:t>Comite</w:t>
      </w:r>
      <w:proofErr w:type="spellEnd"/>
      <w:r w:rsidR="008615B5" w:rsidRPr="008615B5">
        <w:rPr>
          <w:i/>
          <w:color w:val="000000"/>
          <w:szCs w:val="24"/>
        </w:rPr>
        <w:t xml:space="preserve"> de Transparencia o la unidad de transparencia no hizo su trabajo. </w:t>
      </w:r>
      <w:proofErr w:type="gramStart"/>
      <w:r w:rsidR="008615B5" w:rsidRPr="008615B5">
        <w:rPr>
          <w:i/>
          <w:color w:val="000000"/>
          <w:szCs w:val="24"/>
        </w:rPr>
        <w:t>solicito</w:t>
      </w:r>
      <w:proofErr w:type="gramEnd"/>
      <w:r w:rsidR="008615B5" w:rsidRPr="008615B5">
        <w:rPr>
          <w:i/>
          <w:color w:val="000000"/>
          <w:szCs w:val="24"/>
        </w:rPr>
        <w:t xml:space="preserve"> me entregue la información antes requerida en versión pública.</w:t>
      </w:r>
      <w:r w:rsidR="000C6DFA">
        <w:rPr>
          <w:color w:val="000000"/>
          <w:szCs w:val="24"/>
        </w:rPr>
        <w:t xml:space="preserve">” </w:t>
      </w:r>
      <w:r w:rsidRPr="00E2546F">
        <w:rPr>
          <w:rFonts w:eastAsia="Palatino Linotype" w:cs="Palatino Linotype"/>
          <w:color w:val="000000"/>
          <w:szCs w:val="24"/>
        </w:rPr>
        <w:t xml:space="preserve">en este sentido el Recurrente considero que el Sujeto Obligado no le dio </w:t>
      </w:r>
      <w:r w:rsidR="00EB29C6">
        <w:rPr>
          <w:rFonts w:eastAsia="Palatino Linotype" w:cs="Palatino Linotype"/>
          <w:color w:val="000000"/>
          <w:szCs w:val="24"/>
        </w:rPr>
        <w:t>respuesta satisfactoria, al no hacer la entrega de la información, clasificada y aprobada por el Comité de Transparencia.</w:t>
      </w:r>
    </w:p>
    <w:p w:rsidR="000C6DFA" w:rsidRPr="00E2546F" w:rsidRDefault="000C6DFA" w:rsidP="00D22D6C">
      <w:pPr>
        <w:pBdr>
          <w:top w:val="nil"/>
          <w:left w:val="nil"/>
          <w:bottom w:val="nil"/>
          <w:right w:val="nil"/>
          <w:between w:val="nil"/>
        </w:pBdr>
        <w:contextualSpacing/>
      </w:pPr>
    </w:p>
    <w:p w:rsidR="00C36505" w:rsidRDefault="00EB29C6" w:rsidP="00D22D6C">
      <w:pPr>
        <w:pBdr>
          <w:top w:val="nil"/>
          <w:left w:val="nil"/>
          <w:bottom w:val="nil"/>
          <w:right w:val="nil"/>
          <w:between w:val="nil"/>
        </w:pBdr>
        <w:contextualSpacing/>
        <w:rPr>
          <w:b/>
          <w:bCs/>
        </w:rPr>
      </w:pPr>
      <w:r>
        <w:t>Posterior a las actuaciones antes narradas, no obra mayor actividad procedimental por parte del Recurrente y del Sujeto Obligado.</w:t>
      </w:r>
    </w:p>
    <w:p w:rsidR="00D22D6C" w:rsidRPr="00E2546F" w:rsidRDefault="00D22D6C" w:rsidP="00D22D6C">
      <w:pPr>
        <w:pBdr>
          <w:top w:val="nil"/>
          <w:left w:val="nil"/>
          <w:bottom w:val="nil"/>
          <w:right w:val="nil"/>
          <w:between w:val="nil"/>
        </w:pBdr>
        <w:contextualSpacing/>
      </w:pPr>
    </w:p>
    <w:p w:rsidR="00D22D6C" w:rsidRPr="0037314A" w:rsidRDefault="00D22D6C" w:rsidP="00D22D6C">
      <w:pPr>
        <w:rPr>
          <w:rFonts w:eastAsia="Times New Roman" w:cs="Times New Roman"/>
          <w:szCs w:val="24"/>
          <w:lang w:eastAsia="es-ES"/>
        </w:rPr>
      </w:pPr>
      <w:r w:rsidRPr="0037314A">
        <w:rPr>
          <w:rFonts w:cs="Arial"/>
          <w:szCs w:val="24"/>
        </w:rPr>
        <w:t xml:space="preserve">En este tenor, es necesario subrayar que </w:t>
      </w:r>
      <w:r w:rsidRPr="0037314A">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22D6C" w:rsidRPr="00F50CB3" w:rsidRDefault="00D22D6C" w:rsidP="00D22D6C">
      <w:pPr>
        <w:spacing w:before="240"/>
        <w:ind w:left="851" w:right="851"/>
        <w:rPr>
          <w:rFonts w:eastAsia="Times New Roman" w:cs="Times New Roman"/>
          <w:i/>
          <w:sz w:val="22"/>
          <w:lang w:eastAsia="es-ES"/>
        </w:rPr>
      </w:pPr>
      <w:r w:rsidRPr="0037314A">
        <w:rPr>
          <w:rFonts w:eastAsia="Times New Roman" w:cs="Times New Roman"/>
          <w:b/>
          <w:i/>
          <w:lang w:eastAsia="es-ES"/>
        </w:rPr>
        <w:t>“</w:t>
      </w:r>
      <w:r w:rsidRPr="00F50CB3">
        <w:rPr>
          <w:rFonts w:eastAsia="Times New Roman" w:cs="Times New Roman"/>
          <w:b/>
          <w:i/>
          <w:sz w:val="22"/>
          <w:lang w:eastAsia="es-ES"/>
        </w:rPr>
        <w:t>Artículo 4.</w:t>
      </w:r>
      <w:r w:rsidRPr="00F50CB3">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12.</w:t>
      </w:r>
      <w:r w:rsidRPr="00F50CB3">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rsidR="00D22D6C" w:rsidRPr="00F50CB3" w:rsidRDefault="00D22D6C" w:rsidP="00D22D6C">
      <w:pPr>
        <w:spacing w:before="240"/>
        <w:ind w:left="851" w:right="851"/>
        <w:rPr>
          <w:rFonts w:eastAsia="Times New Roman" w:cs="Times New Roman"/>
          <w:b/>
          <w:i/>
          <w:sz w:val="22"/>
          <w:lang w:eastAsia="es-ES"/>
        </w:rPr>
      </w:pPr>
      <w:r w:rsidRPr="00F50CB3">
        <w:rPr>
          <w:rFonts w:eastAsia="Times New Roman" w:cs="Times New Roman"/>
          <w:b/>
          <w:i/>
          <w:sz w:val="22"/>
          <w:lang w:eastAsia="es-ES"/>
        </w:rPr>
        <w:t xml:space="preserve">Artículo 24. </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solo proporcionarán la información pública que generen, administren o posean en el ejercicio de sus atribuciones.”</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rsidR="00D22D6C" w:rsidRPr="00F50CB3" w:rsidRDefault="00D22D6C" w:rsidP="00D22D6C">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160.</w:t>
      </w:r>
      <w:r w:rsidRPr="00F50CB3">
        <w:rPr>
          <w:rFonts w:eastAsia="Times New Roman" w:cs="Times New Roman"/>
          <w:i/>
          <w:sz w:val="22"/>
          <w:lang w:eastAsia="es-ES"/>
        </w:rPr>
        <w:t xml:space="preserve"> Los sujetos obligados deberán otorgar acceso a los documentos que se </w:t>
      </w:r>
      <w:r w:rsidRPr="00F50CB3">
        <w:rPr>
          <w:rFonts w:eastAsia="Times New Roman" w:cs="Times New Roman"/>
          <w:b/>
          <w:i/>
          <w:sz w:val="22"/>
          <w:lang w:eastAsia="es-ES"/>
        </w:rPr>
        <w:t xml:space="preserve"> </w:t>
      </w:r>
      <w:r w:rsidRPr="00F50CB3">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22D6C" w:rsidRPr="00F50CB3" w:rsidRDefault="00D22D6C" w:rsidP="00D22D6C">
      <w:pPr>
        <w:spacing w:before="240"/>
        <w:ind w:left="851" w:right="851"/>
        <w:rPr>
          <w:rFonts w:eastAsia="Times New Roman" w:cs="Times New Roman"/>
          <w:b/>
          <w:i/>
          <w:sz w:val="22"/>
          <w:lang w:eastAsia="es-ES"/>
        </w:rPr>
      </w:pPr>
      <w:r w:rsidRPr="00F50CB3">
        <w:rPr>
          <w:rFonts w:eastAsia="Times New Roman" w:cs="Times New Roman"/>
          <w:i/>
          <w:sz w:val="22"/>
          <w:lang w:eastAsia="es-ES"/>
        </w:rPr>
        <w:lastRenderedPageBreak/>
        <w:t>En caso que la información solicitada consista en bases de datos se deberá privilegiar la entrega de la misma en formatos abiertos.”</w:t>
      </w:r>
      <w:r w:rsidRPr="00F50CB3">
        <w:rPr>
          <w:rFonts w:eastAsia="Times New Roman" w:cs="Times New Roman"/>
          <w:b/>
          <w:i/>
          <w:sz w:val="22"/>
          <w:lang w:eastAsia="es-ES"/>
        </w:rPr>
        <w:t>[Sic]</w:t>
      </w:r>
    </w:p>
    <w:p w:rsidR="00D22D6C" w:rsidRDefault="00D22D6C" w:rsidP="00D22D6C">
      <w:pPr>
        <w:pBdr>
          <w:top w:val="nil"/>
          <w:left w:val="nil"/>
          <w:bottom w:val="nil"/>
          <w:right w:val="nil"/>
          <w:between w:val="nil"/>
        </w:pBdr>
        <w:contextualSpacing/>
      </w:pPr>
    </w:p>
    <w:p w:rsidR="00752799" w:rsidRDefault="00D22D6C" w:rsidP="001955A1">
      <w:pPr>
        <w:pBdr>
          <w:top w:val="nil"/>
          <w:left w:val="nil"/>
          <w:bottom w:val="nil"/>
          <w:right w:val="nil"/>
          <w:between w:val="nil"/>
        </w:pBdr>
        <w:contextualSpacing/>
      </w:pPr>
      <w:r>
        <w:t>Por lo que, se debe traer a efecto de establecer si la respuesta brindada por el Sujeto Obligado colma el derecho al acceso a la información del Recurrente se debe d</w:t>
      </w:r>
      <w:r w:rsidR="00D914EB">
        <w:t xml:space="preserve">e traer a colación los artículos </w:t>
      </w:r>
      <w:r w:rsidR="00B91448">
        <w:t xml:space="preserve">28, punto 2, inciso a, 33, incisos c, para </w:t>
      </w:r>
      <w:r w:rsidR="00CC775D" w:rsidRPr="00CC775D">
        <w:t>advertir que le corresponde a la Tesorería gestionar, prepara y  pagar la  mediante depósito bancario o bajo la modalidad convenida por el Sindicato que mayor seguridad brinde a las y los servidores públicos en días y horas hábiles, en el lugar más cercano al centro de trabajo del servidor público así como informar a la Dirección de Recursos Humanos sobre la nómina pagada.</w:t>
      </w:r>
    </w:p>
    <w:p w:rsidR="00752799" w:rsidRDefault="00752799" w:rsidP="001955A1">
      <w:pPr>
        <w:pBdr>
          <w:top w:val="nil"/>
          <w:left w:val="nil"/>
          <w:bottom w:val="nil"/>
          <w:right w:val="nil"/>
          <w:between w:val="nil"/>
        </w:pBdr>
        <w:contextualSpacing/>
      </w:pPr>
    </w:p>
    <w:p w:rsidR="00B91448" w:rsidRPr="005F0BC3" w:rsidRDefault="00B91448" w:rsidP="005F0BC3">
      <w:pPr>
        <w:pBdr>
          <w:top w:val="nil"/>
          <w:left w:val="nil"/>
          <w:bottom w:val="nil"/>
          <w:right w:val="nil"/>
          <w:between w:val="nil"/>
        </w:pBdr>
        <w:ind w:left="851" w:right="565"/>
        <w:contextualSpacing/>
        <w:jc w:val="center"/>
        <w:rPr>
          <w:b/>
          <w:i/>
        </w:rPr>
      </w:pPr>
      <w:r w:rsidRPr="005F0BC3">
        <w:rPr>
          <w:b/>
          <w:i/>
        </w:rPr>
        <w:t>CAPÍTULO IV</w:t>
      </w:r>
    </w:p>
    <w:p w:rsidR="00B91448" w:rsidRPr="005F0BC3" w:rsidRDefault="00B91448" w:rsidP="005F0BC3">
      <w:pPr>
        <w:pBdr>
          <w:top w:val="nil"/>
          <w:left w:val="nil"/>
          <w:bottom w:val="nil"/>
          <w:right w:val="nil"/>
          <w:between w:val="nil"/>
        </w:pBdr>
        <w:ind w:left="851" w:right="565"/>
        <w:contextualSpacing/>
        <w:jc w:val="center"/>
        <w:rPr>
          <w:b/>
          <w:i/>
        </w:rPr>
      </w:pPr>
      <w:r w:rsidRPr="005F0BC3">
        <w:rPr>
          <w:b/>
          <w:i/>
        </w:rPr>
        <w:t>DE LAS DEPENDENCIAS ADMINISTRATIVAS</w:t>
      </w:r>
    </w:p>
    <w:p w:rsidR="00B91448" w:rsidRPr="005F0BC3" w:rsidRDefault="00B91448" w:rsidP="005F0BC3">
      <w:pPr>
        <w:pBdr>
          <w:top w:val="nil"/>
          <w:left w:val="nil"/>
          <w:bottom w:val="nil"/>
          <w:right w:val="nil"/>
          <w:between w:val="nil"/>
        </w:pBdr>
        <w:ind w:left="851" w:right="565"/>
        <w:contextualSpacing/>
        <w:rPr>
          <w:i/>
        </w:rPr>
      </w:pPr>
      <w:r w:rsidRPr="005F0BC3">
        <w:rPr>
          <w:b/>
          <w:i/>
        </w:rPr>
        <w:t>ARTÍCULO 28.-</w:t>
      </w:r>
      <w:r w:rsidRPr="005F0BC3">
        <w:rPr>
          <w:i/>
        </w:rPr>
        <w:t xml:space="preserve"> Para el ejercicio de sus atribuciones y responsabilidades ejecutivas, el Ayuntamiento se auxiliará con dependencias, entidades y unidades de la Administración</w:t>
      </w:r>
    </w:p>
    <w:p w:rsidR="00B91448" w:rsidRPr="005F0BC3" w:rsidRDefault="00B91448" w:rsidP="005F0BC3">
      <w:pPr>
        <w:pBdr>
          <w:top w:val="nil"/>
          <w:left w:val="nil"/>
          <w:bottom w:val="nil"/>
          <w:right w:val="nil"/>
          <w:between w:val="nil"/>
        </w:pBdr>
        <w:ind w:left="851" w:right="565"/>
        <w:contextualSpacing/>
        <w:rPr>
          <w:i/>
        </w:rPr>
      </w:pPr>
      <w:r w:rsidRPr="005F0BC3">
        <w:rPr>
          <w:i/>
        </w:rPr>
        <w:t>Pública Municipal, que estarán subordinadas a la persona titular de la Presidencia Municipal, así como de los Organismos Públicos Descentralizados y Órgano Autónomo, siguientes:</w:t>
      </w:r>
    </w:p>
    <w:p w:rsidR="00752799" w:rsidRPr="005F0BC3" w:rsidRDefault="00B91448" w:rsidP="005F0BC3">
      <w:pPr>
        <w:pStyle w:val="Prrafodelista"/>
        <w:numPr>
          <w:ilvl w:val="0"/>
          <w:numId w:val="13"/>
        </w:numPr>
        <w:pBdr>
          <w:top w:val="nil"/>
          <w:left w:val="nil"/>
          <w:bottom w:val="nil"/>
          <w:right w:val="nil"/>
          <w:between w:val="nil"/>
        </w:pBdr>
        <w:ind w:left="851" w:right="565" w:firstLine="0"/>
        <w:rPr>
          <w:i/>
        </w:rPr>
      </w:pPr>
      <w:r w:rsidRPr="005F0BC3">
        <w:rPr>
          <w:i/>
        </w:rPr>
        <w:t>Áreas Centralizadas:</w:t>
      </w:r>
    </w:p>
    <w:p w:rsidR="00B91448" w:rsidRPr="005F0BC3" w:rsidRDefault="00B91448" w:rsidP="005F0BC3">
      <w:pPr>
        <w:pBdr>
          <w:top w:val="nil"/>
          <w:left w:val="nil"/>
          <w:bottom w:val="nil"/>
          <w:right w:val="nil"/>
          <w:between w:val="nil"/>
        </w:pBdr>
        <w:ind w:left="851" w:right="565"/>
        <w:rPr>
          <w:i/>
        </w:rPr>
      </w:pPr>
      <w:r w:rsidRPr="005F0BC3">
        <w:rPr>
          <w:b/>
          <w:i/>
        </w:rPr>
        <w:t>2.</w:t>
      </w:r>
      <w:r w:rsidRPr="005F0BC3">
        <w:rPr>
          <w:i/>
        </w:rPr>
        <w:t xml:space="preserve"> Direcciones:</w:t>
      </w:r>
    </w:p>
    <w:p w:rsidR="00B91448" w:rsidRPr="005F0BC3" w:rsidRDefault="00B91448" w:rsidP="005F0BC3">
      <w:pPr>
        <w:pStyle w:val="Prrafodelista"/>
        <w:pBdr>
          <w:top w:val="nil"/>
          <w:left w:val="nil"/>
          <w:bottom w:val="nil"/>
          <w:right w:val="nil"/>
          <w:between w:val="nil"/>
        </w:pBdr>
        <w:ind w:left="851" w:right="565"/>
        <w:rPr>
          <w:i/>
        </w:rPr>
      </w:pPr>
      <w:r w:rsidRPr="005F0BC3">
        <w:rPr>
          <w:b/>
          <w:i/>
        </w:rPr>
        <w:t>a)</w:t>
      </w:r>
      <w:r w:rsidRPr="005F0BC3">
        <w:rPr>
          <w:i/>
        </w:rPr>
        <w:t xml:space="preserve"> Tesorería Municipal;</w:t>
      </w:r>
    </w:p>
    <w:p w:rsidR="00752799" w:rsidRPr="005F0BC3" w:rsidRDefault="00B91448" w:rsidP="005F0BC3">
      <w:pPr>
        <w:pBdr>
          <w:top w:val="nil"/>
          <w:left w:val="nil"/>
          <w:bottom w:val="nil"/>
          <w:right w:val="nil"/>
          <w:between w:val="nil"/>
        </w:pBdr>
        <w:ind w:left="851" w:right="565"/>
        <w:contextualSpacing/>
        <w:rPr>
          <w:i/>
        </w:rPr>
      </w:pPr>
      <w:r w:rsidRPr="005F0BC3">
        <w:rPr>
          <w:b/>
          <w:i/>
        </w:rPr>
        <w:t>ARTÍCULO 33.-</w:t>
      </w:r>
      <w:r w:rsidRPr="005F0BC3">
        <w:rPr>
          <w:i/>
        </w:rPr>
        <w:t xml:space="preserve"> La Tesorería Municipal regirá su estructura y funcionamiento de conformidad con la Ley Orgánica Municipal del Estado de México, Código </w:t>
      </w:r>
      <w:r w:rsidRPr="005F0BC3">
        <w:rPr>
          <w:i/>
        </w:rPr>
        <w:lastRenderedPageBreak/>
        <w:t>Financiero del Estado de México y Municipios, Reglamento del Título Quinto del Código Financiero del Estado de México y Municipios, denominado “Del Catastro”, el presente Bando Municipal y demás ordenamientos legales en el ámbito Federal y Local aplicables; siendo la encargada de:</w:t>
      </w:r>
    </w:p>
    <w:p w:rsidR="00B91448" w:rsidRPr="005F0BC3" w:rsidRDefault="00B91448" w:rsidP="005F0BC3">
      <w:pPr>
        <w:pBdr>
          <w:top w:val="nil"/>
          <w:left w:val="nil"/>
          <w:bottom w:val="nil"/>
          <w:right w:val="nil"/>
          <w:between w:val="nil"/>
        </w:pBdr>
        <w:ind w:left="851" w:right="565"/>
        <w:contextualSpacing/>
        <w:rPr>
          <w:i/>
        </w:rPr>
      </w:pPr>
    </w:p>
    <w:p w:rsidR="00B91448" w:rsidRPr="005F0BC3" w:rsidRDefault="00B91448" w:rsidP="005F0BC3">
      <w:pPr>
        <w:pBdr>
          <w:top w:val="nil"/>
          <w:left w:val="nil"/>
          <w:bottom w:val="nil"/>
          <w:right w:val="nil"/>
          <w:between w:val="nil"/>
        </w:pBdr>
        <w:ind w:left="851" w:right="565"/>
        <w:contextualSpacing/>
        <w:rPr>
          <w:i/>
        </w:rPr>
      </w:pPr>
      <w:r w:rsidRPr="005F0BC3">
        <w:rPr>
          <w:b/>
          <w:i/>
        </w:rPr>
        <w:t>c)</w:t>
      </w:r>
      <w:r w:rsidRPr="005F0BC3">
        <w:rPr>
          <w:i/>
        </w:rPr>
        <w:t xml:space="preserve"> Realizar las </w:t>
      </w:r>
      <w:r w:rsidRPr="00CC775D">
        <w:rPr>
          <w:i/>
          <w:u w:val="single"/>
        </w:rPr>
        <w:t>erogaciones</w:t>
      </w:r>
      <w:r w:rsidRPr="005F0BC3">
        <w:rPr>
          <w:i/>
        </w:rPr>
        <w:t xml:space="preserve"> y funciones que instruya el Ayuntamiento, el Ejecutivo Municipal y demás unidades administrativas;</w:t>
      </w:r>
    </w:p>
    <w:p w:rsidR="00B91448" w:rsidRPr="005F0BC3" w:rsidRDefault="00B91448" w:rsidP="005F0BC3">
      <w:pPr>
        <w:pBdr>
          <w:top w:val="nil"/>
          <w:left w:val="nil"/>
          <w:bottom w:val="nil"/>
          <w:right w:val="nil"/>
          <w:between w:val="nil"/>
        </w:pBdr>
        <w:ind w:left="851" w:right="565"/>
        <w:contextualSpacing/>
        <w:rPr>
          <w:i/>
        </w:rPr>
      </w:pPr>
      <w:r w:rsidRPr="005F0BC3">
        <w:rPr>
          <w:b/>
          <w:i/>
        </w:rPr>
        <w:t>d)</w:t>
      </w:r>
      <w:r w:rsidRPr="005F0BC3">
        <w:rPr>
          <w:i/>
        </w:rPr>
        <w:t xml:space="preserve"> Implementar medidas y mecanismos previamente aprobados por el Ayuntamiento, tendientes a difundir una cultura de pago entre la población, asimismo ampliar la base y estimular el pago oportuno de los contribuyentes, y</w:t>
      </w:r>
    </w:p>
    <w:p w:rsidR="00B91448" w:rsidRDefault="00B91448" w:rsidP="00B91448">
      <w:pPr>
        <w:pBdr>
          <w:top w:val="nil"/>
          <w:left w:val="nil"/>
          <w:bottom w:val="nil"/>
          <w:right w:val="nil"/>
          <w:between w:val="nil"/>
        </w:pBdr>
        <w:contextualSpacing/>
      </w:pPr>
    </w:p>
    <w:p w:rsidR="00B91448" w:rsidRDefault="00B91448" w:rsidP="00B91448">
      <w:pPr>
        <w:pBdr>
          <w:top w:val="nil"/>
          <w:left w:val="nil"/>
          <w:bottom w:val="nil"/>
          <w:right w:val="nil"/>
          <w:between w:val="nil"/>
        </w:pBdr>
        <w:contextualSpacing/>
      </w:pPr>
    </w:p>
    <w:p w:rsidR="00D22D6C" w:rsidRPr="00BA22EB" w:rsidRDefault="00BA22EB" w:rsidP="00D22D6C">
      <w:pPr>
        <w:contextualSpacing/>
      </w:pPr>
      <w:r>
        <w:t>De lo anterior</w:t>
      </w:r>
      <w:r w:rsidR="00D22D6C" w:rsidRPr="00E2546F">
        <w:rPr>
          <w:bCs/>
          <w:iCs/>
          <w:szCs w:val="24"/>
          <w:lang w:val="es-ES"/>
        </w:rPr>
        <w:t xml:space="preserve">,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00D22D6C" w:rsidRPr="00E2546F">
        <w:rPr>
          <w:b/>
          <w:bCs/>
          <w:iCs/>
          <w:szCs w:val="24"/>
          <w:lang w:val="es-ES"/>
        </w:rPr>
        <w:t>1000 Servicios Personales</w:t>
      </w:r>
      <w:r w:rsidR="00D22D6C" w:rsidRPr="00E2546F">
        <w:rPr>
          <w:bCs/>
          <w:iCs/>
          <w:szCs w:val="24"/>
          <w:lang w:val="es-ES"/>
        </w:rPr>
        <w:t>,</w:t>
      </w:r>
      <w:r w:rsidR="00D22D6C" w:rsidRPr="00E2546F">
        <w:rPr>
          <w:b/>
          <w:bCs/>
          <w:iCs/>
          <w:szCs w:val="24"/>
          <w:lang w:val="es-ES"/>
        </w:rPr>
        <w:t xml:space="preserve"> que agrupa las remuneraciones del personal al servicio de los entes públicos, tales como el sueldo, salarios, dietas, honorarios, prestaciones, obligaciones laborales, entre otras.</w:t>
      </w:r>
    </w:p>
    <w:p w:rsidR="00D22D6C" w:rsidRPr="00E2546F" w:rsidRDefault="00D22D6C" w:rsidP="00D22D6C">
      <w:pPr>
        <w:contextualSpacing/>
        <w:rPr>
          <w:bCs/>
          <w:szCs w:val="24"/>
          <w:lang w:val="es-ES"/>
        </w:rPr>
      </w:pPr>
    </w:p>
    <w:p w:rsidR="00D22D6C" w:rsidRPr="00E2546F" w:rsidRDefault="00D22D6C" w:rsidP="00D22D6C">
      <w:pPr>
        <w:contextualSpacing/>
        <w:rPr>
          <w:rFonts w:eastAsia="Times New Roman"/>
          <w:bCs/>
          <w:szCs w:val="24"/>
        </w:rPr>
      </w:pPr>
      <w:r w:rsidRPr="00E2546F">
        <w:rPr>
          <w:rFonts w:eastAsia="Times New Roman" w:cs="Tahoma"/>
          <w:bCs/>
          <w:szCs w:val="24"/>
        </w:rPr>
        <w:t xml:space="preserve">En ese orden de ideas, </w:t>
      </w:r>
      <w:r w:rsidRPr="00E2546F">
        <w:rPr>
          <w:bCs/>
          <w:szCs w:val="24"/>
        </w:rPr>
        <w:t>Lineamientos para la Integración y Entrega del Informe Trimestral Municipal, dos mil veintitrés, emitidos por el Órgano Superior de Fiscalización del Estado de México,</w:t>
      </w:r>
      <w:r w:rsidRPr="00E2546F">
        <w:rPr>
          <w:rFonts w:eastAsia="Times New Roman" w:cs="Tahoma"/>
          <w:bCs/>
          <w:szCs w:val="24"/>
        </w:rPr>
        <w:t xml:space="preserve"> </w:t>
      </w:r>
      <w:r w:rsidRPr="00E2546F">
        <w:rPr>
          <w:bCs/>
          <w:szCs w:val="24"/>
        </w:rPr>
        <w:t xml:space="preserve">entre los formatos que maneja en el </w:t>
      </w:r>
      <w:r w:rsidRPr="00E2546F">
        <w:rPr>
          <w:b/>
          <w:bCs/>
          <w:szCs w:val="24"/>
        </w:rPr>
        <w:t>Módulo 4</w:t>
      </w:r>
      <w:r w:rsidRPr="00E2546F">
        <w:rPr>
          <w:bCs/>
          <w:szCs w:val="24"/>
        </w:rPr>
        <w:t xml:space="preserve">, se advierte que se encuentran la Nómina detallada, reporte de remuneraciones, </w:t>
      </w:r>
      <w:r w:rsidRPr="00433D1A">
        <w:rPr>
          <w:bCs/>
          <w:szCs w:val="24"/>
        </w:rPr>
        <w:t>conciliación de nómina</w:t>
      </w:r>
      <w:r w:rsidRPr="00E2546F">
        <w:rPr>
          <w:bCs/>
          <w:szCs w:val="24"/>
        </w:rPr>
        <w:t xml:space="preserve">, </w:t>
      </w:r>
      <w:r w:rsidRPr="00E2546F">
        <w:rPr>
          <w:bCs/>
          <w:szCs w:val="24"/>
        </w:rPr>
        <w:lastRenderedPageBreak/>
        <w:t xml:space="preserve">tabulador de sueldos, </w:t>
      </w:r>
      <w:r w:rsidRPr="00E2546F">
        <w:rPr>
          <w:rFonts w:eastAsia="Times New Roman"/>
          <w:bCs/>
          <w:szCs w:val="24"/>
        </w:rPr>
        <w:t>mismos que serán entregados a la autoridad fiscalizadora y que contienen todas las remuneraciones que recibe cada servidor público.</w:t>
      </w:r>
      <w:r>
        <w:rPr>
          <w:rFonts w:eastAsia="Times New Roman"/>
          <w:bCs/>
          <w:szCs w:val="24"/>
        </w:rPr>
        <w:t xml:space="preserve"> </w:t>
      </w:r>
      <w:r w:rsidRPr="004A0325">
        <w:rPr>
          <w:rFonts w:eastAsia="Times New Roman"/>
          <w:b/>
          <w:szCs w:val="24"/>
        </w:rPr>
        <w:t>Dispersión de nómina:</w:t>
      </w:r>
      <w:r w:rsidRPr="004A0325">
        <w:rPr>
          <w:rFonts w:eastAsia="Times New Roman"/>
          <w:bCs/>
          <w:szCs w:val="24"/>
        </w:rPr>
        <w:t xml:space="preserve"> es el documento que emite la institución bancaria por la transferencia realizada del pago de las remuneraciones de cada servidor del Ente Público por cada quincena.</w:t>
      </w:r>
    </w:p>
    <w:p w:rsidR="00D22D6C" w:rsidRPr="00E2546F" w:rsidRDefault="00D22D6C" w:rsidP="00D22D6C">
      <w:pPr>
        <w:contextualSpacing/>
        <w:rPr>
          <w:bCs/>
          <w:szCs w:val="24"/>
        </w:rPr>
      </w:pPr>
    </w:p>
    <w:p w:rsidR="00D22D6C" w:rsidRPr="00E6793C" w:rsidRDefault="00D22D6C" w:rsidP="00D22D6C">
      <w:pPr>
        <w:contextualSpacing/>
        <w:rPr>
          <w:rFonts w:eastAsia="Palatino Linotype" w:cs="Palatino Linotype"/>
          <w:szCs w:val="24"/>
        </w:rPr>
      </w:pPr>
      <w:r w:rsidRPr="00E2546F">
        <w:rPr>
          <w:rFonts w:eastAsia="Palatino Linotype" w:cs="Palatino Linotype"/>
          <w:szCs w:val="24"/>
        </w:rPr>
        <w:t xml:space="preserve">Dentro de los cuales ubicamos en su módulo cuatro la información de la </w:t>
      </w:r>
      <w:r w:rsidRPr="00E2546F">
        <w:rPr>
          <w:rFonts w:eastAsia="Times New Roman" w:cs="Tahoma"/>
          <w:bCs/>
          <w:szCs w:val="24"/>
        </w:rPr>
        <w:t>conciliación</w:t>
      </w:r>
      <w:r w:rsidRPr="00E2546F">
        <w:rPr>
          <w:rFonts w:eastAsia="Palatino Linotype" w:cs="Palatino Linotype"/>
          <w:szCs w:val="24"/>
        </w:rPr>
        <w:t xml:space="preserve"> de nómina</w:t>
      </w:r>
      <w:r>
        <w:rPr>
          <w:rFonts w:eastAsia="Palatino Linotype" w:cs="Palatino Linotype"/>
          <w:szCs w:val="24"/>
        </w:rPr>
        <w:t xml:space="preserve"> los cuales son generados de manera quincenal mediante archivos PDF y XLS</w:t>
      </w:r>
      <w:r w:rsidRPr="00E2546F">
        <w:rPr>
          <w:rFonts w:eastAsia="Palatino Linotype" w:cs="Palatino Linotype"/>
          <w:szCs w:val="24"/>
        </w:rPr>
        <w:t>,</w:t>
      </w:r>
      <w:r>
        <w:rPr>
          <w:rFonts w:eastAsia="Palatino Linotype" w:cs="Palatino Linotype"/>
          <w:szCs w:val="24"/>
        </w:rPr>
        <w:t xml:space="preserve"> así como la dispersión de nómina</w:t>
      </w:r>
      <w:r w:rsidRPr="00E2546F">
        <w:rPr>
          <w:rFonts w:eastAsia="Palatino Linotype" w:cs="Palatino Linotype"/>
          <w:szCs w:val="24"/>
        </w:rPr>
        <w:t xml:space="preserve"> como se advierte en las siguientes imágenes sustraídas de dichos lineamientos:</w:t>
      </w:r>
    </w:p>
    <w:p w:rsidR="00D22D6C" w:rsidRPr="00E2546F" w:rsidRDefault="00D22D6C" w:rsidP="00D22D6C">
      <w:pPr>
        <w:jc w:val="center"/>
      </w:pPr>
      <w:r w:rsidRPr="00917D19">
        <w:rPr>
          <w:noProof/>
          <w:color w:val="000000"/>
          <w:szCs w:val="24"/>
          <w:lang w:val="es-MX"/>
        </w:rPr>
        <w:drawing>
          <wp:inline distT="0" distB="0" distL="0" distR="0" wp14:anchorId="6CD8A13C" wp14:editId="4DAE5BAE">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8"/>
                    <a:stretch>
                      <a:fillRect/>
                    </a:stretch>
                  </pic:blipFill>
                  <pic:spPr>
                    <a:xfrm>
                      <a:off x="0" y="0"/>
                      <a:ext cx="5315822" cy="2501630"/>
                    </a:xfrm>
                    <a:prstGeom prst="rect">
                      <a:avLst/>
                    </a:prstGeom>
                  </pic:spPr>
                </pic:pic>
              </a:graphicData>
            </a:graphic>
          </wp:inline>
        </w:drawing>
      </w:r>
    </w:p>
    <w:p w:rsidR="00D22D6C" w:rsidRPr="00E2546F" w:rsidRDefault="00D22D6C" w:rsidP="00D22D6C">
      <w:pPr>
        <w:jc w:val="center"/>
        <w:rPr>
          <w:rFonts w:eastAsia="Palatino Linotype" w:cs="Palatino Linotype"/>
        </w:rPr>
      </w:pPr>
    </w:p>
    <w:p w:rsidR="00D22D6C" w:rsidRDefault="00D22D6C" w:rsidP="00D22D6C">
      <w:pPr>
        <w:pStyle w:val="Prrafodelista"/>
        <w:ind w:left="0"/>
        <w:rPr>
          <w:rFonts w:eastAsia="Palatino Linotype" w:cs="Palatino Linotype"/>
          <w:u w:val="single"/>
        </w:rPr>
      </w:pPr>
      <w:r w:rsidRPr="00E2546F">
        <w:rPr>
          <w:rFonts w:eastAsia="Palatino Linotype" w:cs="Palatino Linotype"/>
        </w:rPr>
        <w:t xml:space="preserve">En observancia a las imágenes anteriores, se acredita que el </w:t>
      </w:r>
      <w:r w:rsidRPr="00E2546F">
        <w:rPr>
          <w:rFonts w:eastAsia="Palatino Linotype" w:cs="Palatino Linotype"/>
          <w:b/>
        </w:rPr>
        <w:t>SUJETO OBLIGADO</w:t>
      </w:r>
      <w:r w:rsidRPr="00E2546F">
        <w:rPr>
          <w:rFonts w:eastAsia="Palatino Linotype" w:cs="Palatino Linotype"/>
        </w:rPr>
        <w:t xml:space="preserve">, </w:t>
      </w:r>
      <w:r w:rsidRPr="00076B1E">
        <w:rPr>
          <w:rFonts w:eastAsia="Palatino Linotype" w:cs="Palatino Linotype"/>
          <w:u w:val="single"/>
        </w:rPr>
        <w:t>debió generar la información relativa a la conciliación de nómina y dispersión de nómina de manera quincenal y remitirla de manera trimestral al Órgano Superior de Fiscalización del Estado de México, para su respectiva revisión y fiscalizació</w:t>
      </w:r>
      <w:r>
        <w:rPr>
          <w:rFonts w:eastAsia="Palatino Linotype" w:cs="Palatino Linotype"/>
          <w:u w:val="single"/>
        </w:rPr>
        <w:t>n.</w:t>
      </w:r>
    </w:p>
    <w:p w:rsidR="00433D1A" w:rsidRPr="00B83120" w:rsidRDefault="00433D1A" w:rsidP="00D22D6C">
      <w:pPr>
        <w:pStyle w:val="Prrafodelista"/>
        <w:ind w:left="0"/>
        <w:rPr>
          <w:rFonts w:eastAsia="Palatino Linotype" w:cs="Palatino Linotype"/>
        </w:rPr>
      </w:pPr>
    </w:p>
    <w:p w:rsidR="00FD4C8D" w:rsidRDefault="00611208" w:rsidP="00611208">
      <w:pPr>
        <w:pBdr>
          <w:top w:val="nil"/>
          <w:left w:val="nil"/>
          <w:bottom w:val="nil"/>
          <w:right w:val="nil"/>
          <w:between w:val="nil"/>
        </w:pBdr>
        <w:contextualSpacing/>
      </w:pPr>
      <w:r>
        <w:lastRenderedPageBreak/>
        <w:t xml:space="preserve">En ese orden de ideas, el hoy Recurrente requirió </w:t>
      </w:r>
      <w:r w:rsidR="00FD4C8D">
        <w:t xml:space="preserve">la dispersión de nómina que se lleva a cabo por la </w:t>
      </w:r>
      <w:r w:rsidR="00966A85">
        <w:t>institución</w:t>
      </w:r>
      <w:r w:rsidR="00FD4C8D">
        <w:t xml:space="preserve"> bancaria </w:t>
      </w:r>
      <w:r w:rsidR="00966A85">
        <w:t>respecto de los pagos hechos a lao trabajadores, por lo que se estima que el Sujeto Obligado es competente para tener la información solicitada.</w:t>
      </w:r>
    </w:p>
    <w:p w:rsidR="00966A85" w:rsidRDefault="00966A85" w:rsidP="00611208">
      <w:pPr>
        <w:pBdr>
          <w:top w:val="nil"/>
          <w:left w:val="nil"/>
          <w:bottom w:val="nil"/>
          <w:right w:val="nil"/>
          <w:between w:val="nil"/>
        </w:pBdr>
        <w:contextualSpacing/>
      </w:pPr>
    </w:p>
    <w:p w:rsidR="00966A85" w:rsidRDefault="00966A85" w:rsidP="00611208">
      <w:pPr>
        <w:pBdr>
          <w:top w:val="nil"/>
          <w:left w:val="nil"/>
          <w:bottom w:val="nil"/>
          <w:right w:val="nil"/>
          <w:between w:val="nil"/>
        </w:pBdr>
        <w:contextualSpacing/>
      </w:pPr>
      <w:r>
        <w:t>Aunado a lo anterior, no manifiesta no poseerla, al contrario asume la existencia de la misma y justifica la no entrega de la misma por contener datos personales.</w:t>
      </w:r>
    </w:p>
    <w:p w:rsidR="00FD4C8D" w:rsidRDefault="00FD4C8D" w:rsidP="00611208">
      <w:pPr>
        <w:pBdr>
          <w:top w:val="nil"/>
          <w:left w:val="nil"/>
          <w:bottom w:val="nil"/>
          <w:right w:val="nil"/>
          <w:between w:val="nil"/>
        </w:pBdr>
        <w:contextualSpacing/>
      </w:pPr>
    </w:p>
    <w:p w:rsidR="00D22D6C" w:rsidRDefault="00D22D6C" w:rsidP="00D22D6C">
      <w:pPr>
        <w:ind w:right="-28"/>
        <w:rPr>
          <w:rFonts w:eastAsia="Palatino Linotype" w:cs="Palatino Linotype"/>
          <w:szCs w:val="24"/>
        </w:rPr>
      </w:pPr>
      <w:r w:rsidRPr="004A7F68">
        <w:rPr>
          <w:rFonts w:eastAsia="Palatino Linotype" w:cs="Palatino Linotype"/>
          <w:szCs w:val="24"/>
        </w:rPr>
        <w:t>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w:t>
      </w:r>
      <w:r>
        <w:rPr>
          <w:rFonts w:eastAsia="Palatino Linotype" w:cs="Palatino Linotype"/>
          <w:szCs w:val="24"/>
        </w:rPr>
        <w:t xml:space="preserve">ón VIII, dispone lo siguiente: </w:t>
      </w:r>
    </w:p>
    <w:p w:rsidR="00966A85" w:rsidRPr="00564307" w:rsidRDefault="00966A85" w:rsidP="00D22D6C">
      <w:pPr>
        <w:ind w:right="-28"/>
        <w:rPr>
          <w:rFonts w:eastAsia="Palatino Linotype" w:cs="Palatino Linotype"/>
          <w:szCs w:val="24"/>
        </w:rPr>
      </w:pPr>
    </w:p>
    <w:p w:rsidR="00D22D6C" w:rsidRPr="00E40D7F" w:rsidRDefault="00D22D6C" w:rsidP="00D22D6C">
      <w:pPr>
        <w:ind w:left="567" w:right="539"/>
        <w:rPr>
          <w:rFonts w:eastAsia="Palatino Linotype" w:cs="Palatino Linotype"/>
          <w:i/>
          <w:sz w:val="22"/>
        </w:rPr>
      </w:pPr>
      <w:r>
        <w:rPr>
          <w:rFonts w:eastAsia="Palatino Linotype" w:cs="Palatino Linotype"/>
          <w:b/>
          <w:i/>
          <w:sz w:val="22"/>
        </w:rPr>
        <w:t>“</w:t>
      </w:r>
      <w:r w:rsidRPr="00E40D7F">
        <w:rPr>
          <w:rFonts w:eastAsia="Palatino Linotype" w:cs="Palatino Linotype"/>
          <w:b/>
          <w:i/>
          <w:sz w:val="22"/>
        </w:rPr>
        <w:t>Artículo 92.</w:t>
      </w:r>
      <w:r w:rsidRPr="00E40D7F">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22D6C" w:rsidRPr="00E40D7F" w:rsidRDefault="00D22D6C" w:rsidP="00D22D6C">
      <w:pPr>
        <w:ind w:left="567" w:right="539"/>
        <w:rPr>
          <w:rFonts w:eastAsia="Palatino Linotype" w:cs="Palatino Linotype"/>
          <w:i/>
          <w:sz w:val="22"/>
        </w:rPr>
      </w:pPr>
      <w:r w:rsidRPr="00E40D7F">
        <w:rPr>
          <w:rFonts w:eastAsia="Palatino Linotype" w:cs="Palatino Linotype"/>
          <w:b/>
          <w:i/>
          <w:sz w:val="22"/>
        </w:rPr>
        <w:t>(…)</w:t>
      </w:r>
    </w:p>
    <w:p w:rsidR="00D22D6C" w:rsidRPr="00E40D7F" w:rsidRDefault="00D22D6C" w:rsidP="00D22D6C">
      <w:pPr>
        <w:ind w:left="567" w:right="539"/>
        <w:rPr>
          <w:rFonts w:eastAsia="Palatino Linotype" w:cs="Palatino Linotype"/>
          <w:i/>
          <w:sz w:val="22"/>
        </w:rPr>
      </w:pPr>
      <w:r w:rsidRPr="00E40D7F">
        <w:rPr>
          <w:rFonts w:eastAsia="Palatino Linotype" w:cs="Palatino Linotype"/>
          <w:b/>
          <w:i/>
          <w:sz w:val="22"/>
        </w:rPr>
        <w:t xml:space="preserve">VIII. La remuneración bruta y neta de todos los servidores públicos de base o de confianza, </w:t>
      </w:r>
      <w:r w:rsidRPr="00E40D7F">
        <w:rPr>
          <w:rFonts w:eastAsia="Palatino Linotype" w:cs="Palatino Linotype"/>
          <w:i/>
          <w:sz w:val="22"/>
        </w:rPr>
        <w:t xml:space="preserve">de todas las percepciones, incluyendo sueldos, prestaciones, gratificaciones, </w:t>
      </w:r>
      <w:r w:rsidRPr="00E40D7F">
        <w:rPr>
          <w:rFonts w:eastAsia="Palatino Linotype" w:cs="Palatino Linotype"/>
          <w:i/>
          <w:sz w:val="22"/>
        </w:rPr>
        <w:lastRenderedPageBreak/>
        <w:t>primas, comisiones, dietas, bonos, estímulos, ingresos y sistemas de compensación, señalando la periodicidad de dicha remuneración;</w:t>
      </w:r>
    </w:p>
    <w:p w:rsidR="00D22D6C" w:rsidRPr="00E40D7F" w:rsidRDefault="00D22D6C" w:rsidP="00D22D6C">
      <w:pPr>
        <w:ind w:left="567" w:right="539"/>
        <w:rPr>
          <w:rFonts w:eastAsia="Palatino Linotype" w:cs="Palatino Linotype"/>
          <w:i/>
          <w:sz w:val="22"/>
        </w:rPr>
      </w:pPr>
      <w:r w:rsidRPr="00E40D7F">
        <w:rPr>
          <w:rFonts w:eastAsia="Palatino Linotype" w:cs="Palatino Linotype"/>
          <w:b/>
          <w:i/>
          <w:sz w:val="22"/>
        </w:rPr>
        <w:t>(…)</w:t>
      </w:r>
      <w:r w:rsidRPr="00E40D7F">
        <w:rPr>
          <w:rFonts w:eastAsia="Palatino Linotype" w:cs="Palatino Linotype"/>
          <w:i/>
          <w:sz w:val="22"/>
        </w:rPr>
        <w:t xml:space="preserve">”  </w:t>
      </w:r>
    </w:p>
    <w:p w:rsidR="00D22D6C" w:rsidRPr="004A7F68" w:rsidRDefault="00D22D6C" w:rsidP="00D22D6C">
      <w:pPr>
        <w:ind w:right="-592"/>
        <w:rPr>
          <w:rFonts w:eastAsia="Palatino Linotype" w:cs="Palatino Linotype"/>
          <w:i/>
          <w:szCs w:val="24"/>
        </w:rPr>
      </w:pPr>
    </w:p>
    <w:p w:rsidR="00D22D6C" w:rsidRPr="00820156" w:rsidRDefault="00D22D6C" w:rsidP="00D22D6C">
      <w:pPr>
        <w:ind w:right="-28"/>
        <w:rPr>
          <w:rFonts w:eastAsia="Palatino Linotype" w:cs="Palatino Linotype"/>
          <w:szCs w:val="24"/>
        </w:rPr>
      </w:pPr>
      <w:r w:rsidRPr="004A7F68">
        <w:rPr>
          <w:rFonts w:eastAsia="Palatino Linotype" w:cs="Palatino Linotype"/>
          <w:szCs w:val="24"/>
        </w:rPr>
        <w:t xml:space="preserve">Por otra parte, la Ley del Trabajo de los Servidores Públicos del Estado y Municipios, en su artículo 220 K, establece los documentos que tiene la obligación de conservar el </w:t>
      </w:r>
      <w:r w:rsidRPr="004A7F68">
        <w:rPr>
          <w:rFonts w:eastAsia="Palatino Linotype" w:cs="Palatino Linotype"/>
          <w:b/>
          <w:szCs w:val="24"/>
        </w:rPr>
        <w:t>SUJETO OBLIGADO</w:t>
      </w:r>
      <w:r w:rsidRPr="004A7F68">
        <w:rPr>
          <w:rFonts w:eastAsia="Palatino Linotype" w:cs="Palatino Linotype"/>
          <w:szCs w:val="24"/>
        </w:rPr>
        <w:t>, entre los que se en</w:t>
      </w:r>
      <w:r>
        <w:rPr>
          <w:rFonts w:eastAsia="Palatino Linotype" w:cs="Palatino Linotype"/>
          <w:szCs w:val="24"/>
        </w:rPr>
        <w:t xml:space="preserve">cuentran los recibos de pagos: </w:t>
      </w:r>
    </w:p>
    <w:p w:rsidR="00D22D6C" w:rsidRPr="00E40D7F" w:rsidRDefault="00D22D6C" w:rsidP="00D22D6C">
      <w:pPr>
        <w:ind w:left="567" w:right="539"/>
        <w:rPr>
          <w:rFonts w:eastAsia="Palatino Linotype" w:cs="Palatino Linotype"/>
          <w:i/>
          <w:sz w:val="22"/>
        </w:rPr>
      </w:pPr>
      <w:r w:rsidRPr="00E40D7F">
        <w:rPr>
          <w:rFonts w:eastAsia="Palatino Linotype" w:cs="Palatino Linotype"/>
          <w:i/>
          <w:sz w:val="22"/>
        </w:rPr>
        <w:t>“</w:t>
      </w:r>
      <w:r w:rsidRPr="00E40D7F">
        <w:rPr>
          <w:rFonts w:eastAsia="Palatino Linotype" w:cs="Palatino Linotype"/>
          <w:b/>
          <w:i/>
          <w:sz w:val="22"/>
        </w:rPr>
        <w:t>ARTÍCULO 220 K.-</w:t>
      </w:r>
      <w:r w:rsidRPr="00E40D7F">
        <w:rPr>
          <w:rFonts w:eastAsia="Palatino Linotype" w:cs="Palatino Linotype"/>
          <w:i/>
          <w:sz w:val="22"/>
        </w:rPr>
        <w:t xml:space="preserve"> La institución o dependencia pública tiene la obligación de conservar y exhibir en el proceso los documentos que a continuación se precisan: </w:t>
      </w:r>
    </w:p>
    <w:p w:rsidR="00D22D6C" w:rsidRPr="00E40D7F" w:rsidRDefault="00D22D6C" w:rsidP="00D22D6C">
      <w:pPr>
        <w:ind w:left="567" w:right="539"/>
        <w:rPr>
          <w:rFonts w:eastAsia="Palatino Linotype" w:cs="Palatino Linotype"/>
          <w:i/>
          <w:sz w:val="22"/>
        </w:rPr>
      </w:pPr>
      <w:r w:rsidRPr="00E40D7F">
        <w:rPr>
          <w:rFonts w:eastAsia="Palatino Linotype" w:cs="Palatino Linotype"/>
          <w:i/>
          <w:sz w:val="22"/>
        </w:rPr>
        <w:t xml:space="preserve">I. Contratos, Nombramientos o Formato Único de Movimientos de Personal, cuando no exista Convenio de condiciones generales de trabajo aplicable; </w:t>
      </w:r>
    </w:p>
    <w:p w:rsidR="00D22D6C" w:rsidRPr="00E40D7F" w:rsidRDefault="00D22D6C" w:rsidP="00D22D6C">
      <w:pPr>
        <w:ind w:left="567" w:right="539"/>
        <w:rPr>
          <w:rFonts w:eastAsia="Palatino Linotype" w:cs="Palatino Linotype"/>
          <w:i/>
          <w:sz w:val="22"/>
        </w:rPr>
      </w:pPr>
      <w:r w:rsidRPr="00E40D7F">
        <w:rPr>
          <w:rFonts w:eastAsia="Palatino Linotype" w:cs="Palatino Linotype"/>
          <w:b/>
          <w:i/>
          <w:sz w:val="22"/>
        </w:rPr>
        <w:t>II. Recibos de pagos de salarios</w:t>
      </w:r>
      <w:r w:rsidRPr="00E40D7F">
        <w:rPr>
          <w:rFonts w:eastAsia="Palatino Linotype" w:cs="Palatino Linotype"/>
          <w:i/>
          <w:sz w:val="22"/>
        </w:rPr>
        <w:t xml:space="preserve"> o las constancias documentales del pago de salario cuando sea por depósito o mediante información electrónica; </w:t>
      </w:r>
    </w:p>
    <w:p w:rsidR="00D22D6C" w:rsidRPr="00E40D7F" w:rsidRDefault="00D22D6C" w:rsidP="00D22D6C">
      <w:pPr>
        <w:ind w:left="567" w:right="539"/>
        <w:rPr>
          <w:rFonts w:eastAsia="Palatino Linotype" w:cs="Palatino Linotype"/>
          <w:i/>
          <w:sz w:val="22"/>
        </w:rPr>
      </w:pPr>
      <w:r w:rsidRPr="00E40D7F">
        <w:rPr>
          <w:rFonts w:eastAsia="Palatino Linotype" w:cs="Palatino Linotype"/>
          <w:i/>
          <w:sz w:val="22"/>
        </w:rPr>
        <w:t xml:space="preserve">III. Controles de asistencia o la información magnética o electrónica de asistencia de los servidores públicos; </w:t>
      </w:r>
    </w:p>
    <w:p w:rsidR="00D22D6C" w:rsidRPr="00E40D7F" w:rsidRDefault="00D22D6C" w:rsidP="00D22D6C">
      <w:pPr>
        <w:ind w:left="567" w:right="539"/>
        <w:rPr>
          <w:rFonts w:eastAsia="Palatino Linotype" w:cs="Palatino Linotype"/>
          <w:i/>
          <w:sz w:val="22"/>
        </w:rPr>
      </w:pPr>
      <w:r w:rsidRPr="00E40D7F">
        <w:rPr>
          <w:rFonts w:eastAsia="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rsidR="00D22D6C" w:rsidRPr="00E40D7F" w:rsidRDefault="00D22D6C" w:rsidP="00D22D6C">
      <w:pPr>
        <w:ind w:left="567" w:right="539"/>
        <w:rPr>
          <w:rFonts w:eastAsia="Palatino Linotype" w:cs="Palatino Linotype"/>
          <w:i/>
          <w:sz w:val="22"/>
        </w:rPr>
      </w:pPr>
      <w:r w:rsidRPr="00E40D7F">
        <w:rPr>
          <w:rFonts w:eastAsia="Palatino Linotype" w:cs="Palatino Linotype"/>
          <w:i/>
          <w:sz w:val="22"/>
        </w:rPr>
        <w:t>V. Los demás que señalen las leyes.</w:t>
      </w:r>
    </w:p>
    <w:p w:rsidR="00D22D6C" w:rsidRPr="00E40D7F" w:rsidRDefault="00D22D6C" w:rsidP="00D22D6C">
      <w:pPr>
        <w:ind w:left="567" w:right="539"/>
        <w:rPr>
          <w:rFonts w:eastAsia="Palatino Linotype" w:cs="Palatino Linotype"/>
          <w:i/>
          <w:sz w:val="22"/>
        </w:rPr>
      </w:pPr>
      <w:r w:rsidRPr="00E40D7F">
        <w:rPr>
          <w:rFonts w:eastAsia="Palatino Linotype" w:cs="Palatino Linotype"/>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w:t>
      </w:r>
      <w:r w:rsidRPr="00E40D7F">
        <w:rPr>
          <w:rFonts w:eastAsia="Palatino Linotype" w:cs="Palatino Linotype"/>
          <w:i/>
          <w:sz w:val="22"/>
        </w:rPr>
        <w:lastRenderedPageBreak/>
        <w:t>ciencia y las constancias expedidas por el encargado del área de personal de éstas, harán prueba plena. “</w:t>
      </w:r>
    </w:p>
    <w:p w:rsidR="00D22D6C" w:rsidRDefault="00D22D6C" w:rsidP="00D22D6C">
      <w:pPr>
        <w:tabs>
          <w:tab w:val="left" w:pos="709"/>
        </w:tabs>
        <w:rPr>
          <w:szCs w:val="24"/>
        </w:rPr>
      </w:pPr>
    </w:p>
    <w:p w:rsidR="00D22D6C" w:rsidRDefault="00D22D6C" w:rsidP="00D22D6C">
      <w:pPr>
        <w:tabs>
          <w:tab w:val="left" w:pos="709"/>
        </w:tabs>
        <w:rPr>
          <w:szCs w:val="24"/>
        </w:rPr>
      </w:pPr>
      <w:r>
        <w:rPr>
          <w:szCs w:val="24"/>
        </w:rPr>
        <w:t>Respecto los comprobantes bancarios de dispersión de nómina, se debe de considerar que se encuentra integrado por los siguientes datos;</w:t>
      </w:r>
    </w:p>
    <w:p w:rsidR="00D22D6C" w:rsidRPr="000F6866" w:rsidRDefault="00D22D6C" w:rsidP="00D22D6C">
      <w:pPr>
        <w:tabs>
          <w:tab w:val="left" w:pos="709"/>
        </w:tabs>
        <w:ind w:left="708"/>
        <w:rPr>
          <w:i/>
          <w:iCs/>
          <w:sz w:val="22"/>
        </w:rPr>
      </w:pPr>
      <w:r>
        <w:rPr>
          <w:szCs w:val="24"/>
        </w:rPr>
        <w:tab/>
      </w:r>
      <w:r w:rsidRPr="000F6866">
        <w:rPr>
          <w:i/>
          <w:iCs/>
          <w:sz w:val="22"/>
        </w:rPr>
        <w:t>Las características mínimas que debe contener el documento expedido por la institución bancaria del detalle de las operaciones son las siguientes:</w:t>
      </w:r>
    </w:p>
    <w:p w:rsidR="00D22D6C" w:rsidRPr="000F6866" w:rsidRDefault="00D22D6C" w:rsidP="00D22D6C">
      <w:pPr>
        <w:tabs>
          <w:tab w:val="left" w:pos="709"/>
        </w:tabs>
        <w:ind w:left="1416"/>
        <w:rPr>
          <w:i/>
          <w:iCs/>
          <w:sz w:val="22"/>
        </w:rPr>
      </w:pPr>
      <w:r w:rsidRPr="000F6866">
        <w:rPr>
          <w:i/>
          <w:iCs/>
          <w:sz w:val="22"/>
        </w:rPr>
        <w:t xml:space="preserve"> 1. Número de Cuenta de origen y destino </w:t>
      </w:r>
    </w:p>
    <w:p w:rsidR="00D22D6C" w:rsidRPr="000F6866" w:rsidRDefault="00D22D6C" w:rsidP="00D22D6C">
      <w:pPr>
        <w:tabs>
          <w:tab w:val="left" w:pos="709"/>
        </w:tabs>
        <w:ind w:left="1416"/>
        <w:rPr>
          <w:i/>
          <w:iCs/>
          <w:sz w:val="22"/>
        </w:rPr>
      </w:pPr>
      <w:r w:rsidRPr="000F6866">
        <w:rPr>
          <w:i/>
          <w:iCs/>
          <w:sz w:val="22"/>
        </w:rPr>
        <w:t xml:space="preserve">2. Fecha del pago </w:t>
      </w:r>
    </w:p>
    <w:p w:rsidR="00D22D6C" w:rsidRPr="000F6866" w:rsidRDefault="00D22D6C" w:rsidP="00D22D6C">
      <w:pPr>
        <w:tabs>
          <w:tab w:val="left" w:pos="709"/>
        </w:tabs>
        <w:ind w:left="1416"/>
        <w:rPr>
          <w:i/>
          <w:iCs/>
          <w:sz w:val="22"/>
        </w:rPr>
      </w:pPr>
      <w:r w:rsidRPr="000F6866">
        <w:rPr>
          <w:i/>
          <w:iCs/>
          <w:sz w:val="22"/>
        </w:rPr>
        <w:t xml:space="preserve">3. Importe </w:t>
      </w:r>
    </w:p>
    <w:p w:rsidR="00D22D6C" w:rsidRPr="000F6866" w:rsidRDefault="00D22D6C" w:rsidP="00D22D6C">
      <w:pPr>
        <w:tabs>
          <w:tab w:val="left" w:pos="709"/>
        </w:tabs>
        <w:ind w:left="1416"/>
        <w:rPr>
          <w:i/>
          <w:iCs/>
          <w:sz w:val="22"/>
        </w:rPr>
      </w:pPr>
      <w:r w:rsidRPr="000F6866">
        <w:rPr>
          <w:i/>
          <w:iCs/>
          <w:sz w:val="22"/>
        </w:rPr>
        <w:t xml:space="preserve">4. Nombre del servidor público a quien se emitió el pago </w:t>
      </w:r>
    </w:p>
    <w:p w:rsidR="00D22D6C" w:rsidRPr="000F6866" w:rsidRDefault="00D22D6C" w:rsidP="00D22D6C">
      <w:pPr>
        <w:tabs>
          <w:tab w:val="left" w:pos="709"/>
        </w:tabs>
        <w:ind w:left="1416"/>
        <w:rPr>
          <w:i/>
          <w:iCs/>
          <w:sz w:val="22"/>
        </w:rPr>
      </w:pPr>
      <w:r w:rsidRPr="000F6866">
        <w:rPr>
          <w:i/>
          <w:iCs/>
          <w:sz w:val="22"/>
        </w:rPr>
        <w:t xml:space="preserve">5. Estatus del pago </w:t>
      </w:r>
    </w:p>
    <w:p w:rsidR="00D22D6C" w:rsidRPr="000F6866" w:rsidRDefault="00D22D6C" w:rsidP="00D22D6C">
      <w:pPr>
        <w:tabs>
          <w:tab w:val="left" w:pos="709"/>
        </w:tabs>
        <w:ind w:left="1416"/>
        <w:rPr>
          <w:i/>
          <w:iCs/>
          <w:sz w:val="22"/>
        </w:rPr>
      </w:pPr>
      <w:r w:rsidRPr="000F6866">
        <w:rPr>
          <w:i/>
          <w:iCs/>
          <w:sz w:val="22"/>
        </w:rPr>
        <w:t>6. Descripción del pago</w:t>
      </w:r>
    </w:p>
    <w:p w:rsidR="00706B74" w:rsidRDefault="00706B74" w:rsidP="00706B74">
      <w:pPr>
        <w:tabs>
          <w:tab w:val="left" w:pos="709"/>
        </w:tabs>
        <w:rPr>
          <w:sz w:val="22"/>
        </w:rPr>
      </w:pPr>
    </w:p>
    <w:p w:rsidR="00706B74" w:rsidRPr="00706B74" w:rsidRDefault="00706B74" w:rsidP="00706B74">
      <w:pPr>
        <w:tabs>
          <w:tab w:val="left" w:pos="709"/>
        </w:tabs>
        <w:rPr>
          <w:szCs w:val="24"/>
        </w:rPr>
      </w:pPr>
      <w:r w:rsidRPr="00706B74">
        <w:rPr>
          <w:szCs w:val="24"/>
        </w:rPr>
        <w:t xml:space="preserve">De lo anterior es de considerarse que respecto el número de cuenta y la cuenta clave podrían integrar datos susceptibles de ser confidenciales en los términos del artículo 143 fracción I de la Ley de Transparencia Local </w:t>
      </w:r>
    </w:p>
    <w:p w:rsidR="00706B74" w:rsidRPr="00706B74" w:rsidRDefault="00706B74" w:rsidP="00706B74">
      <w:pPr>
        <w:tabs>
          <w:tab w:val="left" w:pos="709"/>
        </w:tabs>
        <w:ind w:left="360"/>
        <w:rPr>
          <w:szCs w:val="24"/>
        </w:rPr>
      </w:pPr>
      <w:r w:rsidRPr="00706B74">
        <w:rPr>
          <w:szCs w:val="24"/>
        </w:rPr>
        <w:t xml:space="preserve">CBDN1: Comprobante Bancario de la Dispersión de la Nómina, primera quincena CBDN2: Comprobante Bancario de la Dispersión de la Nómina, segunda quincena </w:t>
      </w:r>
    </w:p>
    <w:p w:rsidR="00706B74" w:rsidRPr="00706B74" w:rsidRDefault="00706B74" w:rsidP="00706B74">
      <w:pPr>
        <w:tabs>
          <w:tab w:val="left" w:pos="709"/>
        </w:tabs>
        <w:ind w:left="360"/>
        <w:rPr>
          <w:szCs w:val="24"/>
        </w:rPr>
      </w:pPr>
      <w:r w:rsidRPr="00706B74">
        <w:rPr>
          <w:szCs w:val="24"/>
        </w:rPr>
        <w:t xml:space="preserve">0: Clave para identificar a la entidad </w:t>
      </w:r>
    </w:p>
    <w:p w:rsidR="00706B74" w:rsidRPr="00706B74" w:rsidRDefault="00706B74" w:rsidP="00706B74">
      <w:pPr>
        <w:tabs>
          <w:tab w:val="left" w:pos="709"/>
        </w:tabs>
        <w:ind w:left="360"/>
        <w:rPr>
          <w:szCs w:val="24"/>
        </w:rPr>
      </w:pPr>
      <w:r w:rsidRPr="00706B74">
        <w:rPr>
          <w:szCs w:val="24"/>
        </w:rPr>
        <w:t xml:space="preserve">000: Número de la entidad municipal </w:t>
      </w:r>
    </w:p>
    <w:p w:rsidR="00706B74" w:rsidRPr="00706B74" w:rsidRDefault="00706B74" w:rsidP="00706B74">
      <w:pPr>
        <w:tabs>
          <w:tab w:val="left" w:pos="709"/>
        </w:tabs>
        <w:ind w:left="360"/>
        <w:rPr>
          <w:szCs w:val="24"/>
        </w:rPr>
      </w:pPr>
      <w:r w:rsidRPr="00706B74">
        <w:rPr>
          <w:szCs w:val="24"/>
        </w:rPr>
        <w:t xml:space="preserve">2025: Ejercicio Fiscal </w:t>
      </w:r>
    </w:p>
    <w:p w:rsidR="00706B74" w:rsidRPr="00706B74" w:rsidRDefault="00706B74" w:rsidP="00706B74">
      <w:pPr>
        <w:tabs>
          <w:tab w:val="left" w:pos="709"/>
        </w:tabs>
        <w:ind w:left="360"/>
        <w:rPr>
          <w:szCs w:val="24"/>
        </w:rPr>
      </w:pPr>
      <w:r w:rsidRPr="00706B74">
        <w:rPr>
          <w:szCs w:val="24"/>
        </w:rPr>
        <w:t xml:space="preserve">00: Mes </w:t>
      </w:r>
    </w:p>
    <w:p w:rsidR="00706B74" w:rsidRPr="00706B74" w:rsidRDefault="00706B74" w:rsidP="00706B74">
      <w:pPr>
        <w:tabs>
          <w:tab w:val="left" w:pos="709"/>
        </w:tabs>
        <w:rPr>
          <w:szCs w:val="24"/>
        </w:rPr>
      </w:pPr>
    </w:p>
    <w:p w:rsidR="00D22D6C" w:rsidRDefault="00706B74" w:rsidP="00D22D6C">
      <w:pPr>
        <w:tabs>
          <w:tab w:val="left" w:pos="709"/>
        </w:tabs>
        <w:rPr>
          <w:szCs w:val="24"/>
        </w:rPr>
      </w:pPr>
      <w:r w:rsidRPr="00706B74">
        <w:rPr>
          <w:szCs w:val="24"/>
        </w:rPr>
        <w:lastRenderedPageBreak/>
        <w:t>Se deberá integrar de manera quincenal en un solo documento en formato PDF el o los comprobantes que emite la institución bancaria por la(s) transferencia(s) realizadas respecto del pago de las remuneraciones de cada servidor del Ente Público, en caso de que la nómina se haya pagado mediante cheques u otra forma de pago se deberán anexar en el mismo documento.</w:t>
      </w:r>
    </w:p>
    <w:p w:rsidR="00D22D6C" w:rsidRPr="00EA69DA" w:rsidRDefault="00D22D6C" w:rsidP="00D22D6C">
      <w:pPr>
        <w:pStyle w:val="Ttulo3"/>
        <w:numPr>
          <w:ilvl w:val="0"/>
          <w:numId w:val="7"/>
        </w:numPr>
        <w:ind w:left="720" w:hanging="360"/>
        <w:rPr>
          <w:rFonts w:eastAsia="Palatino Linotype" w:cs="Palatino Linotype"/>
          <w:b/>
          <w:color w:val="000000"/>
        </w:rPr>
      </w:pPr>
      <w:r w:rsidRPr="00706B74">
        <w:rPr>
          <w:rFonts w:eastAsia="Palatino Linotype" w:cs="Palatino Linotype"/>
          <w:b/>
          <w:color w:val="000000"/>
        </w:rPr>
        <w:t>Clave Única</w:t>
      </w:r>
      <w:r w:rsidRPr="004A7F68">
        <w:rPr>
          <w:rFonts w:eastAsia="Palatino Linotype" w:cs="Palatino Linotype"/>
          <w:b/>
          <w:color w:val="000000"/>
        </w:rPr>
        <w:t xml:space="preserve"> de Registro de Población (CURP).</w:t>
      </w:r>
    </w:p>
    <w:p w:rsidR="00D22D6C" w:rsidRPr="004A7F68" w:rsidRDefault="00D22D6C" w:rsidP="00D22D6C">
      <w:pPr>
        <w:pBdr>
          <w:top w:val="nil"/>
          <w:left w:val="nil"/>
          <w:bottom w:val="nil"/>
          <w:right w:val="nil"/>
          <w:between w:val="nil"/>
        </w:pBdr>
        <w:tabs>
          <w:tab w:val="left" w:pos="709"/>
        </w:tabs>
        <w:ind w:right="49"/>
        <w:rPr>
          <w:rFonts w:eastAsia="Palatino Linotype" w:cs="Palatino Linotype"/>
          <w:color w:val="000000"/>
          <w:szCs w:val="24"/>
        </w:rPr>
      </w:pPr>
      <w:r w:rsidRPr="004A7F68">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D22D6C" w:rsidRPr="004A7F68" w:rsidRDefault="00D22D6C" w:rsidP="00D22D6C">
      <w:pPr>
        <w:tabs>
          <w:tab w:val="left" w:pos="851"/>
        </w:tabs>
        <w:ind w:right="49"/>
        <w:jc w:val="center"/>
        <w:rPr>
          <w:rFonts w:eastAsia="Palatino Linotype" w:cs="Palatino Linotype"/>
        </w:rPr>
      </w:pPr>
      <w:r w:rsidRPr="004A7F68">
        <w:rPr>
          <w:noProof/>
          <w:lang w:val="es-MX"/>
        </w:rPr>
        <w:drawing>
          <wp:inline distT="0" distB="0" distL="0" distR="0" wp14:anchorId="34FFF6CE" wp14:editId="5AAC1972">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9"/>
                    <a:srcRect l="25748" t="8269" r="41254" b="18081"/>
                    <a:stretch>
                      <a:fillRect/>
                    </a:stretch>
                  </pic:blipFill>
                  <pic:spPr>
                    <a:xfrm>
                      <a:off x="0" y="0"/>
                      <a:ext cx="4636055" cy="3275682"/>
                    </a:xfrm>
                    <a:prstGeom prst="rect">
                      <a:avLst/>
                    </a:prstGeom>
                    <a:ln/>
                  </pic:spPr>
                </pic:pic>
              </a:graphicData>
            </a:graphic>
          </wp:inline>
        </w:drawing>
      </w:r>
    </w:p>
    <w:p w:rsidR="00D22D6C" w:rsidRPr="004A7F68" w:rsidRDefault="00D22D6C" w:rsidP="00D22D6C">
      <w:pPr>
        <w:tabs>
          <w:tab w:val="left" w:pos="851"/>
        </w:tabs>
        <w:ind w:right="49"/>
        <w:rPr>
          <w:rFonts w:eastAsia="Palatino Linotype" w:cs="Palatino Linotype"/>
        </w:rPr>
      </w:pPr>
    </w:p>
    <w:p w:rsidR="00D22D6C" w:rsidRPr="004A7F68"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r w:rsidRPr="004A7F68">
        <w:rPr>
          <w:rFonts w:eastAsia="Palatino Linotype" w:cs="Palatino Linotype"/>
          <w:color w:val="000000"/>
          <w:szCs w:val="24"/>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D22D6C" w:rsidRPr="004A7F68" w:rsidRDefault="00D22D6C" w:rsidP="00D22D6C">
      <w:pPr>
        <w:tabs>
          <w:tab w:val="left" w:pos="0"/>
          <w:tab w:val="left" w:pos="426"/>
        </w:tabs>
        <w:ind w:right="49"/>
        <w:rPr>
          <w:rFonts w:eastAsia="Palatino Linotype" w:cs="Palatino Linotype"/>
        </w:rPr>
      </w:pPr>
    </w:p>
    <w:p w:rsidR="00D22D6C" w:rsidRPr="004A7F68" w:rsidRDefault="00D22D6C" w:rsidP="00D22D6C">
      <w:pPr>
        <w:pBdr>
          <w:top w:val="nil"/>
          <w:left w:val="nil"/>
          <w:bottom w:val="nil"/>
          <w:right w:val="nil"/>
          <w:between w:val="nil"/>
        </w:pBdr>
        <w:tabs>
          <w:tab w:val="left" w:pos="0"/>
          <w:tab w:val="left" w:pos="426"/>
        </w:tabs>
        <w:ind w:right="49"/>
        <w:rPr>
          <w:rFonts w:eastAsia="Palatino Linotype" w:cs="Palatino Linotype"/>
          <w:color w:val="000000"/>
          <w:szCs w:val="24"/>
        </w:rPr>
      </w:pPr>
      <w:r w:rsidRPr="004A7F68">
        <w:rPr>
          <w:rFonts w:eastAsia="Palatino Linotype" w:cs="Palatino Linotype"/>
          <w:color w:val="000000"/>
          <w:szCs w:val="24"/>
        </w:rPr>
        <w:t xml:space="preserve">Entre las características de la CURP, se encuentra: </w:t>
      </w:r>
    </w:p>
    <w:p w:rsidR="00D22D6C" w:rsidRPr="004A7F68" w:rsidRDefault="00D22D6C" w:rsidP="00D22D6C">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Composición. </w:t>
      </w:r>
      <w:r w:rsidRPr="004A7F68">
        <w:rPr>
          <w:rFonts w:eastAsia="Palatino Linotype" w:cs="Palatino Linotype"/>
          <w:szCs w:val="24"/>
        </w:rPr>
        <w:t>Alfanumérica.</w:t>
      </w:r>
    </w:p>
    <w:p w:rsidR="00D22D6C" w:rsidRPr="004A7F68" w:rsidRDefault="00D22D6C" w:rsidP="00D22D6C">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Longitud. </w:t>
      </w:r>
      <w:r w:rsidRPr="004A7F68">
        <w:rPr>
          <w:rFonts w:eastAsia="Palatino Linotype" w:cs="Palatino Linotype"/>
          <w:szCs w:val="24"/>
        </w:rPr>
        <w:t xml:space="preserve"> 18 caracteres.</w:t>
      </w:r>
    </w:p>
    <w:p w:rsidR="00D22D6C" w:rsidRPr="004A7F68" w:rsidRDefault="00D22D6C" w:rsidP="00D22D6C">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Naturaleza. </w:t>
      </w:r>
      <w:r w:rsidRPr="004A7F68">
        <w:rPr>
          <w:rFonts w:eastAsia="Palatino Linotype" w:cs="Palatino Linotype"/>
          <w:szCs w:val="24"/>
        </w:rPr>
        <w:t>Biunívoca.</w:t>
      </w:r>
    </w:p>
    <w:p w:rsidR="00D22D6C" w:rsidRPr="004A7F68" w:rsidRDefault="00D22D6C" w:rsidP="00D22D6C">
      <w:pPr>
        <w:tabs>
          <w:tab w:val="left" w:pos="426"/>
          <w:tab w:val="left" w:pos="567"/>
        </w:tabs>
        <w:ind w:left="567" w:right="567"/>
        <w:rPr>
          <w:rFonts w:eastAsia="Palatino Linotype" w:cs="Palatino Linotype"/>
          <w:szCs w:val="24"/>
        </w:rPr>
      </w:pPr>
      <w:r w:rsidRPr="004A7F68">
        <w:rPr>
          <w:rFonts w:eastAsia="Palatino Linotype" w:cs="Palatino Linotype"/>
          <w:b/>
          <w:szCs w:val="24"/>
        </w:rPr>
        <w:t xml:space="preserve">Universalidad. </w:t>
      </w:r>
      <w:r w:rsidRPr="004A7F68">
        <w:rPr>
          <w:rFonts w:eastAsia="Palatino Linotype" w:cs="Palatino Linotype"/>
          <w:szCs w:val="24"/>
        </w:rPr>
        <w:t>Se asigna a todas las personas que conforman la población.</w:t>
      </w:r>
    </w:p>
    <w:p w:rsidR="00D22D6C" w:rsidRPr="004A7F68" w:rsidRDefault="00D22D6C" w:rsidP="00D22D6C">
      <w:pPr>
        <w:tabs>
          <w:tab w:val="left" w:pos="426"/>
          <w:tab w:val="left" w:pos="567"/>
        </w:tabs>
        <w:ind w:left="567" w:right="567"/>
        <w:rPr>
          <w:rFonts w:eastAsia="Palatino Linotype" w:cs="Palatino Linotype"/>
          <w:b/>
          <w:szCs w:val="24"/>
        </w:rPr>
      </w:pPr>
      <w:r w:rsidRPr="004A7F68">
        <w:rPr>
          <w:rFonts w:eastAsia="Palatino Linotype" w:cs="Palatino Linotype"/>
          <w:b/>
          <w:szCs w:val="24"/>
        </w:rPr>
        <w:t xml:space="preserve">Verificabilidad. </w:t>
      </w:r>
      <w:r w:rsidRPr="004A7F68">
        <w:rPr>
          <w:rFonts w:eastAsia="Palatino Linotype" w:cs="Palatino Linotype"/>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4A7F68">
        <w:rPr>
          <w:rFonts w:eastAsia="Palatino Linotype" w:cs="Palatino Linotype"/>
          <w:b/>
          <w:szCs w:val="24"/>
        </w:rPr>
        <w:t xml:space="preserve">  </w:t>
      </w:r>
    </w:p>
    <w:p w:rsidR="00D22D6C" w:rsidRPr="004A7F68" w:rsidRDefault="00D22D6C" w:rsidP="00D22D6C">
      <w:pPr>
        <w:pBdr>
          <w:top w:val="nil"/>
          <w:left w:val="nil"/>
          <w:bottom w:val="nil"/>
          <w:right w:val="nil"/>
          <w:between w:val="nil"/>
        </w:pBdr>
        <w:tabs>
          <w:tab w:val="left" w:pos="567"/>
        </w:tabs>
        <w:ind w:right="49"/>
        <w:rPr>
          <w:rFonts w:eastAsia="Palatino Linotype" w:cs="Palatino Linotype"/>
          <w:b/>
          <w:sz w:val="28"/>
          <w:szCs w:val="28"/>
          <w:u w:val="single"/>
        </w:rPr>
      </w:pPr>
    </w:p>
    <w:p w:rsidR="00D22D6C" w:rsidRPr="004A7F68" w:rsidRDefault="00D22D6C" w:rsidP="00D22D6C">
      <w:pPr>
        <w:pBdr>
          <w:top w:val="nil"/>
          <w:left w:val="nil"/>
          <w:bottom w:val="nil"/>
          <w:right w:val="nil"/>
          <w:between w:val="nil"/>
        </w:pBdr>
        <w:tabs>
          <w:tab w:val="left" w:pos="567"/>
        </w:tabs>
        <w:ind w:right="49"/>
        <w:rPr>
          <w:rFonts w:eastAsia="Palatino Linotype" w:cs="Palatino Linotype"/>
          <w:i/>
          <w:color w:val="000000"/>
          <w:szCs w:val="24"/>
        </w:rPr>
      </w:pPr>
      <w:r w:rsidRPr="004A7F68">
        <w:rPr>
          <w:rFonts w:eastAsia="Palatino Linotype" w:cs="Palatino Linotype"/>
          <w:color w:val="000000"/>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D22D6C" w:rsidRPr="004A7F68" w:rsidRDefault="00D22D6C" w:rsidP="00D22D6C">
      <w:pPr>
        <w:tabs>
          <w:tab w:val="left" w:pos="567"/>
        </w:tabs>
        <w:ind w:right="49"/>
        <w:rPr>
          <w:rFonts w:eastAsia="Palatino Linotype" w:cs="Palatino Linotype"/>
          <w:i/>
          <w:szCs w:val="24"/>
        </w:rPr>
      </w:pPr>
    </w:p>
    <w:p w:rsidR="00D22D6C"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r w:rsidRPr="004A7F68">
        <w:rPr>
          <w:rFonts w:eastAsia="Palatino Linotype" w:cs="Palatino Linotype"/>
          <w:color w:val="000000"/>
          <w:szCs w:val="24"/>
        </w:rPr>
        <w:t xml:space="preserve">Es entonces que, de lo anterior, se desprende que la Clave Única de Registro de Población es un dato personal confidencial, ya que por sí releva información personal de su titular, </w:t>
      </w:r>
      <w:r w:rsidRPr="004A7F68">
        <w:rPr>
          <w:rFonts w:eastAsia="Palatino Linotype" w:cs="Palatino Linotype"/>
          <w:color w:val="000000"/>
          <w:szCs w:val="24"/>
        </w:rPr>
        <w:lastRenderedPageBreak/>
        <w:t>y su exposición únicamente vulneraría la esfera privada del mismo, aunado a que no guarda relación con el desempeño profesional o laboral de un individuo ni con el ejercicio de recursos públicos.</w:t>
      </w:r>
    </w:p>
    <w:p w:rsidR="00D22D6C" w:rsidRPr="004A7F68"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p>
    <w:p w:rsidR="00D22D6C" w:rsidRPr="004A7F68"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r w:rsidRPr="004A7F68">
        <w:rPr>
          <w:rFonts w:eastAsia="Palatino Linotype" w:cs="Palatino Linotype"/>
          <w:color w:val="000000"/>
          <w:szCs w:val="24"/>
        </w:rPr>
        <w:t xml:space="preserve">Ante ello, resulta aplicable el Criterio 18/17 emitido por el Instituto Nacional de Transparencia, Acceso a la Información y Protección de Datos Personales, que a la literalidad señala: </w:t>
      </w:r>
    </w:p>
    <w:p w:rsidR="00D22D6C" w:rsidRPr="006A3CAE" w:rsidRDefault="00D22D6C" w:rsidP="00D22D6C">
      <w:pPr>
        <w:pBdr>
          <w:top w:val="nil"/>
          <w:left w:val="nil"/>
          <w:bottom w:val="nil"/>
          <w:right w:val="nil"/>
          <w:between w:val="nil"/>
        </w:pBdr>
        <w:tabs>
          <w:tab w:val="left" w:pos="567"/>
        </w:tabs>
        <w:ind w:left="567" w:right="822"/>
        <w:rPr>
          <w:rFonts w:eastAsia="Palatino Linotype" w:cs="Palatino Linotype"/>
          <w:color w:val="000000"/>
          <w:sz w:val="22"/>
        </w:rPr>
      </w:pPr>
      <w:r w:rsidRPr="004A7F68">
        <w:rPr>
          <w:rFonts w:eastAsia="Palatino Linotype" w:cs="Palatino Linotype"/>
          <w:i/>
          <w:color w:val="000000"/>
        </w:rPr>
        <w:t>“</w:t>
      </w:r>
      <w:r w:rsidRPr="006A3CAE">
        <w:rPr>
          <w:rFonts w:eastAsia="Palatino Linotype" w:cs="Palatino Linotype"/>
          <w:b/>
          <w:i/>
          <w:color w:val="000000"/>
          <w:sz w:val="22"/>
        </w:rPr>
        <w:t xml:space="preserve">Clave Única de Registro de Población (CURP). </w:t>
      </w:r>
      <w:r w:rsidRPr="006A3CAE">
        <w:rPr>
          <w:rFonts w:eastAsia="Palatino Linotype" w:cs="Palatino Linotype"/>
          <w:i/>
          <w:color w:val="000000"/>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rsidR="00D22D6C" w:rsidRPr="004A7F68" w:rsidRDefault="00D22D6C" w:rsidP="00D22D6C">
      <w:pPr>
        <w:pBdr>
          <w:top w:val="nil"/>
          <w:left w:val="nil"/>
          <w:bottom w:val="nil"/>
          <w:right w:val="nil"/>
          <w:between w:val="nil"/>
        </w:pBdr>
        <w:tabs>
          <w:tab w:val="left" w:pos="567"/>
        </w:tabs>
        <w:rPr>
          <w:rFonts w:eastAsia="Palatino Linotype" w:cs="Palatino Linotype"/>
          <w:color w:val="000000"/>
        </w:rPr>
      </w:pPr>
    </w:p>
    <w:p w:rsidR="00D22D6C" w:rsidRPr="00284345" w:rsidRDefault="00D22D6C" w:rsidP="00D22D6C">
      <w:pPr>
        <w:pStyle w:val="Ttulo3"/>
        <w:rPr>
          <w:rFonts w:eastAsia="Palatino Linotype" w:cs="Palatino Linotype"/>
          <w:b/>
          <w:color w:val="000000"/>
        </w:rPr>
      </w:pPr>
      <w:bookmarkStart w:id="1" w:name="_heading=h.3rdcrjn" w:colFirst="0" w:colLast="0"/>
      <w:bookmarkEnd w:id="1"/>
      <w:r w:rsidRPr="004A7F68">
        <w:rPr>
          <w:rFonts w:eastAsia="Palatino Linotype" w:cs="Palatino Linotype"/>
          <w:b/>
          <w:color w:val="000000"/>
        </w:rPr>
        <w:t xml:space="preserve">II. Clave </w:t>
      </w:r>
      <w:proofErr w:type="spellStart"/>
      <w:r w:rsidRPr="004A7F68">
        <w:rPr>
          <w:rFonts w:eastAsia="Palatino Linotype" w:cs="Palatino Linotype"/>
          <w:b/>
          <w:color w:val="000000"/>
        </w:rPr>
        <w:t>ISSEMyM</w:t>
      </w:r>
      <w:proofErr w:type="spellEnd"/>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22D6C" w:rsidRPr="004A7F68"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w:t>
      </w:r>
      <w:r w:rsidRPr="004A7F68">
        <w:rPr>
          <w:rFonts w:eastAsia="Palatino Linotype" w:cs="Palatino Linotype"/>
          <w:color w:val="000000"/>
          <w:szCs w:val="24"/>
        </w:rPr>
        <w:lastRenderedPageBreak/>
        <w:t>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D22D6C" w:rsidRPr="004A7F68" w:rsidRDefault="00D22D6C" w:rsidP="00D22D6C">
      <w:pPr>
        <w:pBdr>
          <w:top w:val="nil"/>
          <w:left w:val="nil"/>
          <w:bottom w:val="nil"/>
          <w:right w:val="nil"/>
          <w:between w:val="nil"/>
        </w:pBdr>
        <w:ind w:left="720"/>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D22D6C" w:rsidRPr="004A7F68" w:rsidRDefault="00D22D6C" w:rsidP="00D22D6C">
      <w:pPr>
        <w:pBdr>
          <w:top w:val="nil"/>
          <w:left w:val="nil"/>
          <w:bottom w:val="nil"/>
          <w:right w:val="nil"/>
          <w:between w:val="nil"/>
        </w:pBdr>
        <w:ind w:left="720"/>
        <w:rPr>
          <w:rFonts w:eastAsia="Palatino Linotype" w:cs="Palatino Linotype"/>
          <w:color w:val="000000"/>
          <w:szCs w:val="24"/>
        </w:rPr>
      </w:pPr>
    </w:p>
    <w:p w:rsidR="00D22D6C" w:rsidRPr="004A7F68" w:rsidRDefault="00D22D6C" w:rsidP="00D22D6C">
      <w:pPr>
        <w:pStyle w:val="Ttulo3"/>
        <w:rPr>
          <w:rFonts w:eastAsia="Palatino Linotype" w:cs="Palatino Linotype"/>
          <w:b/>
          <w:color w:val="000000"/>
        </w:rPr>
      </w:pPr>
      <w:bookmarkStart w:id="2" w:name="_heading=h.26in1rg" w:colFirst="0" w:colLast="0"/>
      <w:bookmarkEnd w:id="2"/>
      <w:r w:rsidRPr="004A7F68">
        <w:rPr>
          <w:rFonts w:eastAsia="Palatino Linotype" w:cs="Palatino Linotype"/>
          <w:b/>
          <w:color w:val="000000"/>
        </w:rPr>
        <w:t>III. NÚMERO DE EMPLEADO.</w:t>
      </w: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D22D6C" w:rsidRPr="004A7F68"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rPr>
      </w:pPr>
      <w:r w:rsidRPr="004A7F68">
        <w:rPr>
          <w:rFonts w:eastAsia="Palatino Linotype" w:cs="Palatino Linotype"/>
          <w:color w:val="000000"/>
          <w:szCs w:val="24"/>
        </w:rPr>
        <w:lastRenderedPageBreak/>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Pr>
          <w:rFonts w:eastAsia="Palatino Linotype" w:cs="Palatino Linotype"/>
          <w:color w:val="000000"/>
        </w:rPr>
        <w:t xml:space="preserve">); </w:t>
      </w:r>
    </w:p>
    <w:p w:rsidR="00D22D6C" w:rsidRPr="006A3CAE" w:rsidRDefault="00D22D6C" w:rsidP="00D22D6C">
      <w:pPr>
        <w:pBdr>
          <w:top w:val="nil"/>
          <w:left w:val="nil"/>
          <w:bottom w:val="nil"/>
          <w:right w:val="nil"/>
          <w:between w:val="nil"/>
        </w:pBdr>
        <w:ind w:left="567" w:right="822"/>
        <w:rPr>
          <w:rFonts w:eastAsia="Palatino Linotype" w:cs="Palatino Linotype"/>
          <w:i/>
          <w:color w:val="000000"/>
          <w:sz w:val="22"/>
        </w:rPr>
      </w:pPr>
      <w:r w:rsidRPr="006A3CAE">
        <w:rPr>
          <w:rFonts w:eastAsia="Palatino Linotype" w:cs="Palatino Linotype"/>
          <w:b/>
          <w:i/>
          <w:color w:val="000000"/>
          <w:sz w:val="22"/>
        </w:rPr>
        <w:t>Número de empleado.</w:t>
      </w:r>
      <w:r w:rsidRPr="006A3CAE">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D22D6C"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rPr>
      </w:pPr>
      <w:r w:rsidRPr="004A7F68">
        <w:rPr>
          <w:rFonts w:eastAsia="Palatino Linotype" w:cs="Palatino Linotype"/>
          <w:color w:val="000000"/>
          <w:szCs w:val="24"/>
        </w:rPr>
        <w:t>En otros escenarios, el número de empleado corresponde sólo a un número consecutivo que no contiene datos personales ni se relaciona con los mismos, por lo que, solo se de</w:t>
      </w:r>
      <w:r>
        <w:rPr>
          <w:rFonts w:eastAsia="Palatino Linotype" w:cs="Palatino Linotype"/>
          <w:color w:val="000000"/>
          <w:szCs w:val="24"/>
        </w:rPr>
        <w:t>b</w:t>
      </w:r>
      <w:r w:rsidRPr="004A7F68">
        <w:rPr>
          <w:rFonts w:eastAsia="Palatino Linotype" w:cs="Palatino Linotype"/>
          <w:color w:val="000000"/>
          <w:szCs w:val="24"/>
        </w:rPr>
        <w:t>e clasificar dicho dato únicamente si se integra con datos personales, tal y como lo señala el criterio orientador.</w:t>
      </w:r>
    </w:p>
    <w:p w:rsidR="00D22D6C" w:rsidRPr="004A7F68" w:rsidRDefault="00D22D6C" w:rsidP="00D22D6C">
      <w:pPr>
        <w:pBdr>
          <w:top w:val="nil"/>
          <w:left w:val="nil"/>
          <w:bottom w:val="nil"/>
          <w:right w:val="nil"/>
          <w:between w:val="nil"/>
        </w:pBdr>
        <w:rPr>
          <w:rFonts w:eastAsia="Palatino Linotype" w:cs="Palatino Linotype"/>
          <w:color w:val="000000"/>
        </w:rPr>
      </w:pPr>
    </w:p>
    <w:p w:rsidR="00D22D6C" w:rsidRPr="00C92350" w:rsidRDefault="00D22D6C" w:rsidP="00D22D6C">
      <w:pPr>
        <w:pStyle w:val="Ttulo3"/>
        <w:rPr>
          <w:rFonts w:eastAsia="Palatino Linotype" w:cs="Palatino Linotype"/>
          <w:b/>
        </w:rPr>
      </w:pPr>
      <w:bookmarkStart w:id="3" w:name="_heading=h.lnxbz9" w:colFirst="0" w:colLast="0"/>
      <w:bookmarkEnd w:id="3"/>
      <w:r w:rsidRPr="004A7F68">
        <w:rPr>
          <w:rFonts w:eastAsia="Palatino Linotype" w:cs="Palatino Linotype"/>
          <w:b/>
          <w:color w:val="000000"/>
        </w:rPr>
        <w:t>IV. Registro Federal de Contribuyentes (RFC)</w:t>
      </w: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D22D6C" w:rsidRPr="004A7F68" w:rsidRDefault="00D22D6C" w:rsidP="00D22D6C">
      <w:pPr>
        <w:pBdr>
          <w:top w:val="nil"/>
          <w:left w:val="nil"/>
          <w:bottom w:val="nil"/>
          <w:right w:val="nil"/>
          <w:between w:val="nil"/>
        </w:pBdr>
        <w:rPr>
          <w:rFonts w:eastAsia="Palatino Linotype" w:cs="Palatino Linotype"/>
          <w:color w:val="000000"/>
          <w:szCs w:val="24"/>
        </w:rPr>
      </w:pPr>
    </w:p>
    <w:p w:rsidR="00D22D6C"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De acuerdo a lo establecido en el artículo en comento, esta clave se compone de trece caracteres alfanuméricos, con datos obtenidos de los apellidos, nombre (s), fecha de </w:t>
      </w:r>
      <w:r w:rsidRPr="004A7F68">
        <w:rPr>
          <w:rFonts w:eastAsia="Palatino Linotype" w:cs="Palatino Linotype"/>
          <w:color w:val="000000"/>
          <w:szCs w:val="24"/>
        </w:rPr>
        <w:lastRenderedPageBreak/>
        <w:t xml:space="preserve">nacimiento del titular, más una </w:t>
      </w:r>
      <w:proofErr w:type="spellStart"/>
      <w:r w:rsidRPr="004A7F68">
        <w:rPr>
          <w:rFonts w:eastAsia="Palatino Linotype" w:cs="Palatino Linotype"/>
          <w:color w:val="000000"/>
          <w:szCs w:val="24"/>
        </w:rPr>
        <w:t>homoclave</w:t>
      </w:r>
      <w:proofErr w:type="spellEnd"/>
      <w:r w:rsidRPr="004A7F68">
        <w:rPr>
          <w:rFonts w:eastAsia="Palatino Linotype" w:cs="Palatino Linotype"/>
          <w:color w:val="000000"/>
          <w:szCs w:val="24"/>
        </w:rPr>
        <w:t xml:space="preserve"> que establece el sistema automático del Servicio de Administración Tributaria.</w:t>
      </w:r>
    </w:p>
    <w:p w:rsidR="00D22D6C" w:rsidRPr="004A7F68"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D22D6C" w:rsidRPr="004A7F68" w:rsidRDefault="00D22D6C" w:rsidP="00D22D6C">
      <w:pPr>
        <w:pBdr>
          <w:top w:val="nil"/>
          <w:left w:val="nil"/>
          <w:bottom w:val="nil"/>
          <w:right w:val="nil"/>
          <w:between w:val="nil"/>
        </w:pBdr>
        <w:ind w:left="720"/>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4A7F68">
        <w:rPr>
          <w:rFonts w:eastAsia="Palatino Linotype" w:cs="Palatino Linotype"/>
          <w:color w:val="000000"/>
          <w:szCs w:val="24"/>
        </w:rPr>
        <w:t>involucradas</w:t>
      </w:r>
      <w:proofErr w:type="gramEnd"/>
      <w:r w:rsidRPr="004A7F68">
        <w:rPr>
          <w:rFonts w:eastAsia="Palatino Linotype" w:cs="Palatino Linotype"/>
          <w:color w:val="000000"/>
          <w:szCs w:val="24"/>
        </w:rPr>
        <w:t>, en el pago de estos.</w:t>
      </w:r>
    </w:p>
    <w:p w:rsidR="00D22D6C" w:rsidRPr="004A7F68"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Lo anterior, resulta congruente con el Criterio 19/17 emitido por el Instituto Nacional de Transparencia, Acceso a la Información y Protección de Datos Personales, en el cual se señala lo siguiente:</w:t>
      </w:r>
    </w:p>
    <w:p w:rsidR="00D22D6C" w:rsidRPr="00414E71" w:rsidRDefault="00D22D6C" w:rsidP="00D22D6C">
      <w:pPr>
        <w:ind w:left="567"/>
        <w:rPr>
          <w:rFonts w:eastAsia="Palatino Linotype" w:cs="Palatino Linotype"/>
          <w:b/>
          <w:i/>
          <w:sz w:val="22"/>
        </w:rPr>
      </w:pPr>
      <w:r w:rsidRPr="00414E71">
        <w:rPr>
          <w:rFonts w:eastAsia="Palatino Linotype" w:cs="Palatino Linotype"/>
          <w:b/>
          <w:i/>
          <w:sz w:val="22"/>
        </w:rPr>
        <w:t xml:space="preserve">Registro Federal de Contribuyentes (RFC) de personas físicas. </w:t>
      </w:r>
    </w:p>
    <w:p w:rsidR="00D22D6C" w:rsidRPr="00414E71" w:rsidRDefault="00D22D6C" w:rsidP="00D22D6C">
      <w:pPr>
        <w:pBdr>
          <w:top w:val="nil"/>
          <w:left w:val="nil"/>
          <w:bottom w:val="nil"/>
          <w:right w:val="nil"/>
          <w:between w:val="nil"/>
        </w:pBdr>
        <w:ind w:left="567" w:right="567"/>
        <w:rPr>
          <w:rFonts w:eastAsia="Palatino Linotype" w:cs="Palatino Linotype"/>
          <w:i/>
          <w:color w:val="000000"/>
          <w:sz w:val="22"/>
        </w:rPr>
      </w:pPr>
      <w:r w:rsidRPr="00414E71">
        <w:rPr>
          <w:rFonts w:eastAsia="Palatino Linotype" w:cs="Palatino Linotype"/>
          <w:i/>
          <w:color w:val="000000"/>
          <w:sz w:val="22"/>
        </w:rPr>
        <w:t xml:space="preserve">El RFC es una clave de carácter fiscal, </w:t>
      </w:r>
      <w:proofErr w:type="gramStart"/>
      <w:r w:rsidRPr="00414E71">
        <w:rPr>
          <w:rFonts w:eastAsia="Palatino Linotype" w:cs="Palatino Linotype"/>
          <w:i/>
          <w:color w:val="000000"/>
          <w:sz w:val="22"/>
        </w:rPr>
        <w:t>única</w:t>
      </w:r>
      <w:proofErr w:type="gramEnd"/>
      <w:r w:rsidRPr="00414E71">
        <w:rPr>
          <w:rFonts w:eastAsia="Palatino Linotype" w:cs="Palatino Linotype"/>
          <w:i/>
          <w:color w:val="000000"/>
          <w:sz w:val="22"/>
        </w:rPr>
        <w:t xml:space="preserve"> e irrepetible, que permite identificar al titular, su edad y fecha de nacimiento, por lo que es un dato personal de carácter confidencial.</w:t>
      </w:r>
    </w:p>
    <w:p w:rsidR="00D22D6C" w:rsidRPr="004A7F68" w:rsidRDefault="00D22D6C" w:rsidP="00D22D6C">
      <w:pPr>
        <w:pBdr>
          <w:top w:val="nil"/>
          <w:left w:val="nil"/>
          <w:bottom w:val="nil"/>
          <w:right w:val="nil"/>
          <w:between w:val="nil"/>
        </w:pBdr>
        <w:ind w:left="567" w:right="567"/>
        <w:rPr>
          <w:rFonts w:eastAsia="Palatino Linotype" w:cs="Palatino Linotype"/>
          <w:color w:val="000000"/>
        </w:rPr>
      </w:pPr>
    </w:p>
    <w:p w:rsidR="00D22D6C"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b/>
          <w:color w:val="000000"/>
          <w:szCs w:val="24"/>
        </w:rPr>
        <w:lastRenderedPageBreak/>
        <w:t>De tal suerte, el Registro Federal de Contribuyentes de las personas físicas no guarda relación con la transparencia de los recursos públicos</w:t>
      </w:r>
      <w:r w:rsidRPr="004A7F68">
        <w:rPr>
          <w:rFonts w:eastAsia="Palatino Linotype" w:cs="Palatino Linotype"/>
          <w:color w:val="000000"/>
          <w:szCs w:val="24"/>
        </w:rPr>
        <w:t>, así como tampoco con el desempeño laboral que pueda tener una persona.</w:t>
      </w:r>
    </w:p>
    <w:p w:rsidR="00D22D6C" w:rsidRPr="00414E71"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Style w:val="Ttulo3"/>
        <w:rPr>
          <w:rFonts w:eastAsia="Palatino Linotype" w:cs="Palatino Linotype"/>
          <w:b/>
          <w:color w:val="000000"/>
        </w:rPr>
      </w:pPr>
      <w:bookmarkStart w:id="4" w:name="_heading=h.35nkun2" w:colFirst="0" w:colLast="0"/>
      <w:bookmarkEnd w:id="4"/>
      <w:r w:rsidRPr="004A7F68">
        <w:rPr>
          <w:rFonts w:eastAsia="Palatino Linotype" w:cs="Palatino Linotype"/>
          <w:b/>
          <w:color w:val="000000"/>
        </w:rPr>
        <w:t>V. Deducciones personales</w:t>
      </w: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Es necesario precisar que existen deducciones que se generan con motivo de una decisión libre y voluntaria de los servidores públicos, como son: créditos personales, </w:t>
      </w:r>
      <w:r w:rsidRPr="004A7F68">
        <w:rPr>
          <w:rFonts w:eastAsia="Palatino Linotype" w:cs="Palatino Linotype"/>
          <w:b/>
          <w:color w:val="000000"/>
          <w:szCs w:val="24"/>
          <w:u w:val="single"/>
        </w:rPr>
        <w:t>cuotas sindicales y fondo de resistencia del Sindicato Único de Trabajadores de los Poderes, Municipios e Institución Descentralizadas del Estado de México</w:t>
      </w:r>
      <w:r w:rsidRPr="004A7F68">
        <w:rPr>
          <w:rFonts w:eastAsia="Palatino Linotype" w:cs="Palatino Linotype"/>
          <w:color w:val="000000"/>
          <w:szCs w:val="24"/>
        </w:rPr>
        <w:t>, seguro de vida, accidentes y enfermedades.</w:t>
      </w:r>
    </w:p>
    <w:p w:rsidR="00D22D6C" w:rsidRPr="004A7F68" w:rsidRDefault="00D22D6C" w:rsidP="00D22D6C">
      <w:pPr>
        <w:pBdr>
          <w:top w:val="nil"/>
          <w:left w:val="nil"/>
          <w:bottom w:val="nil"/>
          <w:right w:val="nil"/>
          <w:between w:val="nil"/>
        </w:pBdr>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Asimismo, hay otras que se generan con motivo de una sentencia judicial, como es la pensión alimenticia que periódicamente se retira de la cuenta de un empleado, a efecto de que sea entregado a un tercero.  </w:t>
      </w:r>
    </w:p>
    <w:p w:rsidR="00D22D6C" w:rsidRPr="004A7F68" w:rsidRDefault="00D22D6C" w:rsidP="00D22D6C">
      <w:pPr>
        <w:pBdr>
          <w:top w:val="nil"/>
          <w:left w:val="nil"/>
          <w:bottom w:val="nil"/>
          <w:right w:val="nil"/>
          <w:between w:val="nil"/>
        </w:pBdr>
        <w:ind w:left="720"/>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D22D6C" w:rsidRPr="004A7F68" w:rsidRDefault="00D22D6C" w:rsidP="00D22D6C">
      <w:pPr>
        <w:pBdr>
          <w:top w:val="nil"/>
          <w:left w:val="nil"/>
          <w:bottom w:val="nil"/>
          <w:right w:val="nil"/>
          <w:between w:val="nil"/>
        </w:pBdr>
        <w:ind w:left="720"/>
        <w:rPr>
          <w:rFonts w:eastAsia="Palatino Linotype" w:cs="Palatino Linotype"/>
          <w:color w:val="000000"/>
          <w:szCs w:val="24"/>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lastRenderedPageBreak/>
        <w:t>Así, dichas deducciones reflejan el destino que un servidor público da a su patrimonio, lo que se aleja de la transparencia y rendición de cuentas.</w:t>
      </w:r>
    </w:p>
    <w:p w:rsidR="00D22D6C" w:rsidRPr="002F66C9" w:rsidRDefault="00D22D6C" w:rsidP="00D22D6C">
      <w:pPr>
        <w:pBdr>
          <w:top w:val="nil"/>
          <w:left w:val="nil"/>
          <w:bottom w:val="nil"/>
          <w:right w:val="nil"/>
          <w:between w:val="nil"/>
        </w:pBdr>
        <w:rPr>
          <w:rFonts w:eastAsia="Palatino Linotype" w:cs="Palatino Linotype"/>
          <w:color w:val="000000"/>
          <w:szCs w:val="24"/>
        </w:rPr>
      </w:pPr>
      <w:bookmarkStart w:id="5" w:name="_heading=h.1ksv4uv" w:colFirst="0" w:colLast="0"/>
      <w:bookmarkEnd w:id="5"/>
      <w:r w:rsidRPr="004A7F68">
        <w:rPr>
          <w:rFonts w:eastAsia="Palatino Linotype" w:cs="Palatino Linotype"/>
          <w:color w:val="000000"/>
          <w:szCs w:val="24"/>
        </w:rPr>
        <w:t>Hasta este punto, se considera que la información relacionada con los siguientes puntos actualiza una causal de confidencialidad, toda vez que identifica o h</w:t>
      </w:r>
      <w:r>
        <w:rPr>
          <w:rFonts w:eastAsia="Palatino Linotype" w:cs="Palatino Linotype"/>
          <w:color w:val="000000"/>
          <w:szCs w:val="24"/>
        </w:rPr>
        <w:t>ace identificable a su titular.</w:t>
      </w:r>
    </w:p>
    <w:p w:rsidR="00D22D6C" w:rsidRPr="004A7F68" w:rsidRDefault="00D22D6C" w:rsidP="00D22D6C">
      <w:pPr>
        <w:numPr>
          <w:ilvl w:val="0"/>
          <w:numId w:val="5"/>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Clave Única de Registro de Población (CURP)</w:t>
      </w:r>
    </w:p>
    <w:p w:rsidR="00D22D6C" w:rsidRPr="004A7F68" w:rsidRDefault="00D22D6C" w:rsidP="00D22D6C">
      <w:pPr>
        <w:numPr>
          <w:ilvl w:val="0"/>
          <w:numId w:val="5"/>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 xml:space="preserve">Clave </w:t>
      </w:r>
      <w:proofErr w:type="spellStart"/>
      <w:r w:rsidRPr="004A7F68">
        <w:rPr>
          <w:rFonts w:eastAsia="Palatino Linotype" w:cs="Palatino Linotype"/>
          <w:color w:val="000000"/>
        </w:rPr>
        <w:t>ISSEMyM</w:t>
      </w:r>
      <w:proofErr w:type="spellEnd"/>
    </w:p>
    <w:p w:rsidR="00D22D6C" w:rsidRPr="004A7F68" w:rsidRDefault="00D22D6C" w:rsidP="00D22D6C">
      <w:pPr>
        <w:numPr>
          <w:ilvl w:val="0"/>
          <w:numId w:val="5"/>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Registro Federal de Contribuyentes (RFC)</w:t>
      </w:r>
    </w:p>
    <w:p w:rsidR="00D22D6C" w:rsidRPr="004A7F68" w:rsidRDefault="00D22D6C" w:rsidP="00D22D6C">
      <w:pPr>
        <w:numPr>
          <w:ilvl w:val="0"/>
          <w:numId w:val="5"/>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 xml:space="preserve">Deducciones personales </w:t>
      </w:r>
    </w:p>
    <w:p w:rsidR="00D22D6C" w:rsidRPr="004A7F68" w:rsidRDefault="00D22D6C" w:rsidP="00D22D6C">
      <w:pPr>
        <w:numPr>
          <w:ilvl w:val="0"/>
          <w:numId w:val="5"/>
        </w:numPr>
        <w:pBdr>
          <w:top w:val="nil"/>
          <w:left w:val="nil"/>
          <w:bottom w:val="nil"/>
          <w:right w:val="nil"/>
          <w:between w:val="nil"/>
        </w:pBdr>
        <w:rPr>
          <w:rFonts w:eastAsia="Palatino Linotype" w:cs="Palatino Linotype"/>
          <w:color w:val="000000"/>
        </w:rPr>
      </w:pPr>
      <w:r w:rsidRPr="004A7F68">
        <w:rPr>
          <w:rFonts w:eastAsia="Palatino Linotype" w:cs="Palatino Linotype"/>
          <w:color w:val="000000"/>
        </w:rPr>
        <w:t xml:space="preserve">Número de empleado </w:t>
      </w:r>
      <w:r w:rsidRPr="004A7F68">
        <w:rPr>
          <w:rFonts w:eastAsia="Palatino Linotype" w:cs="Palatino Linotype"/>
          <w:b/>
          <w:color w:val="000000"/>
        </w:rPr>
        <w:t>(sólo en el caso de que contenga datos personales o se relacione con los mismos, de lo contrario es información pública)</w:t>
      </w:r>
    </w:p>
    <w:p w:rsidR="00D22D6C" w:rsidRPr="004A7F68" w:rsidRDefault="00D22D6C" w:rsidP="00D22D6C">
      <w:pPr>
        <w:pBdr>
          <w:top w:val="nil"/>
          <w:left w:val="nil"/>
          <w:bottom w:val="nil"/>
          <w:right w:val="nil"/>
          <w:between w:val="nil"/>
        </w:pBdr>
        <w:rPr>
          <w:rFonts w:eastAsia="Palatino Linotype" w:cs="Palatino Linotype"/>
          <w:color w:val="000000"/>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rsidR="00D22D6C" w:rsidRPr="004A7F68" w:rsidRDefault="00D22D6C" w:rsidP="00D22D6C">
      <w:pPr>
        <w:pBdr>
          <w:top w:val="nil"/>
          <w:left w:val="nil"/>
          <w:bottom w:val="nil"/>
          <w:right w:val="nil"/>
          <w:between w:val="nil"/>
        </w:pBdr>
        <w:rPr>
          <w:rFonts w:eastAsia="Palatino Linotype" w:cs="Palatino Linotype"/>
          <w:color w:val="000000"/>
        </w:rPr>
      </w:pPr>
    </w:p>
    <w:p w:rsidR="00D22D6C" w:rsidRPr="004A7F68" w:rsidRDefault="00D22D6C" w:rsidP="00D22D6C">
      <w:pPr>
        <w:pBdr>
          <w:top w:val="nil"/>
          <w:left w:val="nil"/>
          <w:bottom w:val="nil"/>
          <w:right w:val="nil"/>
          <w:between w:val="nil"/>
        </w:pBdr>
        <w:rPr>
          <w:rFonts w:eastAsia="Palatino Linotype" w:cs="Palatino Linotype"/>
          <w:color w:val="000000"/>
          <w:szCs w:val="24"/>
        </w:rPr>
      </w:pPr>
      <w:r w:rsidRPr="004A7F68">
        <w:rPr>
          <w:rFonts w:eastAsia="Palatino Linotype" w:cs="Palatino Linotype"/>
          <w:color w:val="000000"/>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D22D6C" w:rsidRPr="002F66C9" w:rsidRDefault="00D22D6C" w:rsidP="00D22D6C">
      <w:pPr>
        <w:pBdr>
          <w:top w:val="nil"/>
          <w:left w:val="nil"/>
          <w:bottom w:val="nil"/>
          <w:right w:val="nil"/>
          <w:between w:val="nil"/>
        </w:pBdr>
        <w:rPr>
          <w:rFonts w:eastAsia="Palatino Linotype" w:cs="Palatino Linotype"/>
          <w:color w:val="000000"/>
          <w:szCs w:val="24"/>
        </w:rPr>
      </w:pPr>
    </w:p>
    <w:p w:rsidR="00D22D6C" w:rsidRPr="002F66C9" w:rsidRDefault="00D22D6C" w:rsidP="00D22D6C">
      <w:pPr>
        <w:pBdr>
          <w:top w:val="nil"/>
          <w:left w:val="nil"/>
          <w:bottom w:val="nil"/>
          <w:right w:val="nil"/>
          <w:between w:val="nil"/>
        </w:pBdr>
        <w:rPr>
          <w:rFonts w:eastAsia="Palatino Linotype" w:cs="Palatino Linotype"/>
          <w:szCs w:val="24"/>
        </w:rPr>
      </w:pPr>
      <w:r w:rsidRPr="002F66C9">
        <w:rPr>
          <w:rFonts w:eastAsia="Palatino Linotype" w:cs="Palatino Linotype"/>
          <w:szCs w:val="24"/>
        </w:rPr>
        <w:t xml:space="preserve">Por otro lado, derivado que pudiera existir información de la </w:t>
      </w:r>
      <w:r w:rsidRPr="002F66C9">
        <w:rPr>
          <w:rFonts w:eastAsia="Palatino Linotype" w:cs="Palatino Linotype"/>
          <w:b/>
          <w:szCs w:val="24"/>
        </w:rPr>
        <w:t>Dirección de Seguridad Pública del Ayuntamiento o su equivalente,</w:t>
      </w:r>
      <w:r w:rsidRPr="002F66C9">
        <w:rPr>
          <w:rFonts w:eastAsia="Palatino Linotype" w:cs="Palatino Linotype"/>
          <w:szCs w:val="24"/>
        </w:rPr>
        <w:t xml:space="preserve"> la cual ponga en riesgo los integrantes de las corporaciones policiacas, esto es así derivado de las funciones encomendadas en </w:t>
      </w:r>
      <w:r w:rsidRPr="002F66C9">
        <w:rPr>
          <w:rFonts w:eastAsia="Palatino Linotype" w:cs="Palatino Linotype"/>
          <w:szCs w:val="24"/>
        </w:rPr>
        <w:lastRenderedPageBreak/>
        <w:t xml:space="preserve">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2F66C9">
        <w:rPr>
          <w:rFonts w:eastAsia="Palatino Linotype" w:cs="Palatino Linotype"/>
          <w:b/>
          <w:szCs w:val="24"/>
        </w:rPr>
        <w:t>sólo por cuanto hace al nombre</w:t>
      </w:r>
      <w:r w:rsidRPr="002F66C9">
        <w:rPr>
          <w:rFonts w:eastAsia="Palatino Linotype" w:cs="Palatino Linotype"/>
          <w:szCs w:val="24"/>
        </w:rPr>
        <w:t xml:space="preserve"> </w:t>
      </w:r>
      <w:r w:rsidRPr="002F66C9">
        <w:rPr>
          <w:rFonts w:eastAsia="Palatino Linotype" w:cs="Palatino Linotype"/>
          <w:b/>
          <w:szCs w:val="24"/>
        </w:rPr>
        <w:t>dejando intocable el rubro del cargo</w:t>
      </w:r>
      <w:r w:rsidRPr="002F66C9">
        <w:rPr>
          <w:rFonts w:eastAsia="Palatino Linotype" w:cs="Palatino Linotype"/>
          <w:szCs w:val="24"/>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2F66C9">
        <w:rPr>
          <w:rFonts w:eastAsia="Palatino Linotype" w:cs="Palatino Linotype"/>
          <w:b/>
          <w:szCs w:val="24"/>
        </w:rPr>
        <w:t>que desempeñen funciones operativas</w:t>
      </w:r>
      <w:r w:rsidRPr="002F66C9">
        <w:rPr>
          <w:rFonts w:eastAsia="Palatino Linotype" w:cs="Palatino Linotype"/>
          <w:szCs w:val="24"/>
        </w:rPr>
        <w:t>.</w:t>
      </w:r>
    </w:p>
    <w:p w:rsidR="00D22D6C" w:rsidRPr="002F66C9" w:rsidRDefault="00D22D6C" w:rsidP="00D22D6C">
      <w:pPr>
        <w:pBdr>
          <w:top w:val="nil"/>
          <w:left w:val="nil"/>
          <w:bottom w:val="nil"/>
          <w:right w:val="nil"/>
          <w:between w:val="nil"/>
        </w:pBdr>
        <w:rPr>
          <w:rFonts w:eastAsia="Palatino Linotype" w:cs="Palatino Linotype"/>
        </w:rPr>
      </w:pPr>
    </w:p>
    <w:p w:rsidR="00D22D6C" w:rsidRPr="002F66C9" w:rsidRDefault="00D22D6C" w:rsidP="00D22D6C">
      <w:pPr>
        <w:rPr>
          <w:rFonts w:eastAsia="Palatino Linotype" w:cs="Palatino Linotype"/>
          <w:szCs w:val="24"/>
        </w:rPr>
      </w:pPr>
      <w:r w:rsidRPr="002F66C9">
        <w:rPr>
          <w:rFonts w:eastAsia="Palatino Linotype" w:cs="Palatino Linotype"/>
          <w:szCs w:val="24"/>
        </w:rPr>
        <w:t xml:space="preserve">Al respecto, la información </w:t>
      </w:r>
      <w:r w:rsidRPr="002F66C9">
        <w:rPr>
          <w:rFonts w:eastAsia="Palatino Linotype" w:cs="Palatino Linotype"/>
          <w:b/>
          <w:szCs w:val="24"/>
        </w:rPr>
        <w:t>de los elementos que realizan funciones operativas, entre ellos su nombre debe ser protegido</w:t>
      </w:r>
      <w:r w:rsidRPr="002F66C9">
        <w:rPr>
          <w:rFonts w:eastAsia="Palatino Linotype" w:cs="Palatino Linotype"/>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D22D6C" w:rsidRPr="002F66C9" w:rsidRDefault="00D22D6C" w:rsidP="00D22D6C">
      <w:pPr>
        <w:rPr>
          <w:rFonts w:eastAsia="Palatino Linotype" w:cs="Palatino Linotype"/>
          <w:szCs w:val="24"/>
        </w:rPr>
      </w:pPr>
    </w:p>
    <w:p w:rsidR="00D22D6C" w:rsidRPr="002F66C9" w:rsidRDefault="00D22D6C" w:rsidP="00D22D6C">
      <w:pPr>
        <w:rPr>
          <w:rFonts w:eastAsia="Palatino Linotype" w:cs="Palatino Linotype"/>
          <w:szCs w:val="24"/>
        </w:rPr>
      </w:pPr>
      <w:r w:rsidRPr="002F66C9">
        <w:rPr>
          <w:rFonts w:eastAsia="Palatino Linotype" w:cs="Palatino Linotype"/>
          <w:szCs w:val="24"/>
        </w:rPr>
        <w:lastRenderedPageBreak/>
        <w:t xml:space="preserve">Robustece lo anterior el Criterio Reiterado 09/2024 emitido por este órgano Garante, el cual establece la clasificación del nombre del personal operativo de seguridad como información reservada; </w:t>
      </w:r>
    </w:p>
    <w:p w:rsidR="00D22D6C" w:rsidRPr="00405D48" w:rsidRDefault="00D22D6C" w:rsidP="00D22D6C">
      <w:pPr>
        <w:ind w:left="708"/>
        <w:rPr>
          <w:i/>
          <w:sz w:val="22"/>
        </w:rPr>
      </w:pPr>
      <w:r w:rsidRPr="00405D48">
        <w:rPr>
          <w:b/>
          <w:i/>
          <w:sz w:val="22"/>
        </w:rPr>
        <w:t xml:space="preserve">NOMBRE DE PERSONAL OPERATIVO DE  SEGURIDAD PÚBLICA. PROCEDE SU CLASIFICACIÓN COMO INFORMACIÓN RESERVADA. </w:t>
      </w:r>
      <w:r w:rsidRPr="00405D48">
        <w:rPr>
          <w:i/>
          <w:sz w:val="22"/>
        </w:rPr>
        <w:t xml:space="preserve">El nombre del personal operativo de seguridad pública debe clasificarse como información reservada </w:t>
      </w:r>
      <w:r w:rsidRPr="00405D48">
        <w:rPr>
          <w:bCs/>
          <w:i/>
          <w:sz w:val="22"/>
        </w:rPr>
        <w:t>previa acreditación de la prueba de daño</w:t>
      </w:r>
      <w:r w:rsidRPr="00405D48">
        <w:rPr>
          <w:i/>
          <w:sz w:val="22"/>
        </w:rPr>
        <w:t>,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rsidR="00D22D6C" w:rsidRPr="00405D48" w:rsidRDefault="00D22D6C" w:rsidP="00D22D6C">
      <w:pPr>
        <w:spacing w:line="276" w:lineRule="auto"/>
        <w:ind w:left="1276" w:firstLine="708"/>
        <w:rPr>
          <w:b/>
          <w:i/>
          <w:sz w:val="18"/>
          <w:szCs w:val="18"/>
        </w:rPr>
      </w:pPr>
      <w:r w:rsidRPr="00405D48">
        <w:rPr>
          <w:b/>
          <w:i/>
          <w:sz w:val="18"/>
          <w:szCs w:val="18"/>
        </w:rPr>
        <w:t>Precedentes:</w:t>
      </w:r>
    </w:p>
    <w:p w:rsidR="00D22D6C" w:rsidRPr="00405D48" w:rsidRDefault="00D22D6C" w:rsidP="00D22D6C">
      <w:pPr>
        <w:pStyle w:val="Prrafodelista"/>
        <w:numPr>
          <w:ilvl w:val="0"/>
          <w:numId w:val="8"/>
        </w:numPr>
        <w:spacing w:line="240" w:lineRule="auto"/>
        <w:ind w:left="1276"/>
        <w:rPr>
          <w:i/>
          <w:sz w:val="18"/>
          <w:szCs w:val="18"/>
          <w:lang w:eastAsia="es-ES_tradnl"/>
        </w:rPr>
      </w:pPr>
      <w:r w:rsidRPr="00405D48">
        <w:rPr>
          <w:i/>
          <w:sz w:val="18"/>
          <w:szCs w:val="18"/>
          <w:lang w:eastAsia="es-ES_tradnl"/>
        </w:rPr>
        <w:t xml:space="preserve">En materia de acceso a la información pública. 03148/INFOEM/IP/RR/2023 y Acumulados. Aprobada por unanimidad de votos emitiendo voto particular los Comisionados Luis Gustavo Parra Noriega y Guadalupe Ramírez Peña. Ayuntamiento de </w:t>
      </w:r>
      <w:proofErr w:type="spellStart"/>
      <w:r w:rsidRPr="00405D48">
        <w:rPr>
          <w:i/>
          <w:sz w:val="18"/>
          <w:szCs w:val="18"/>
          <w:lang w:eastAsia="es-ES_tradnl"/>
        </w:rPr>
        <w:t>Tlalmanalco</w:t>
      </w:r>
      <w:proofErr w:type="spellEnd"/>
      <w:r w:rsidRPr="00405D48">
        <w:rPr>
          <w:i/>
          <w:sz w:val="18"/>
          <w:szCs w:val="18"/>
          <w:lang w:eastAsia="es-ES_tradnl"/>
        </w:rPr>
        <w:t>. Comisionada ponente María del Rosario Mejía Ayala. Sesión 04-2024.</w:t>
      </w:r>
    </w:p>
    <w:p w:rsidR="00D22D6C" w:rsidRPr="00405D48" w:rsidRDefault="00D22D6C" w:rsidP="00D22D6C">
      <w:pPr>
        <w:pStyle w:val="Prrafodelista"/>
        <w:numPr>
          <w:ilvl w:val="0"/>
          <w:numId w:val="8"/>
        </w:numPr>
        <w:spacing w:line="240" w:lineRule="auto"/>
        <w:ind w:left="1276"/>
        <w:rPr>
          <w:i/>
          <w:sz w:val="18"/>
          <w:szCs w:val="18"/>
        </w:rPr>
      </w:pPr>
      <w:r w:rsidRPr="00405D48">
        <w:rPr>
          <w:i/>
          <w:sz w:val="18"/>
          <w:szCs w:val="18"/>
          <w:lang w:eastAsia="es-ES_tradnl"/>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rsidR="00D22D6C" w:rsidRPr="00405D48" w:rsidRDefault="00D22D6C" w:rsidP="00D22D6C">
      <w:pPr>
        <w:pStyle w:val="Prrafodelista"/>
        <w:numPr>
          <w:ilvl w:val="0"/>
          <w:numId w:val="8"/>
        </w:numPr>
        <w:spacing w:line="240" w:lineRule="auto"/>
        <w:ind w:left="1276"/>
        <w:rPr>
          <w:i/>
          <w:sz w:val="18"/>
          <w:szCs w:val="18"/>
        </w:rPr>
      </w:pPr>
      <w:r w:rsidRPr="00405D48">
        <w:rPr>
          <w:i/>
          <w:sz w:val="18"/>
          <w:szCs w:val="18"/>
          <w:lang w:eastAsia="es-ES_tradnl"/>
        </w:rPr>
        <w:t xml:space="preserve">En materia de acceso a la información pública. 04497/INFOEM/IP/RR/2023. Aprobada por unanimidad de votos emitiendo voto particular los Comisionados Luis Gustavo Parra Noriega y Guadalupe Ramírez Peña. Ayuntamiento de </w:t>
      </w:r>
      <w:proofErr w:type="spellStart"/>
      <w:r w:rsidRPr="00405D48">
        <w:rPr>
          <w:i/>
          <w:sz w:val="18"/>
          <w:szCs w:val="18"/>
          <w:lang w:eastAsia="es-ES_tradnl"/>
        </w:rPr>
        <w:t>Tezoyuca</w:t>
      </w:r>
      <w:proofErr w:type="spellEnd"/>
      <w:r w:rsidRPr="00405D48">
        <w:rPr>
          <w:i/>
          <w:sz w:val="18"/>
          <w:szCs w:val="18"/>
          <w:lang w:eastAsia="es-ES_tradnl"/>
        </w:rPr>
        <w:t>. Comisionada ponente Sharon Cristina Morales Martínez. Sesión 07-2024.</w:t>
      </w:r>
    </w:p>
    <w:p w:rsidR="00D22D6C" w:rsidRPr="002F66C9" w:rsidRDefault="00D22D6C" w:rsidP="00D22D6C">
      <w:pPr>
        <w:rPr>
          <w:rFonts w:eastAsia="Palatino Linotype" w:cs="Palatino Linotype"/>
        </w:rPr>
      </w:pPr>
    </w:p>
    <w:p w:rsidR="00D22D6C" w:rsidRPr="002F66C9" w:rsidRDefault="00D22D6C" w:rsidP="00D22D6C">
      <w:pPr>
        <w:pBdr>
          <w:top w:val="nil"/>
          <w:left w:val="nil"/>
          <w:bottom w:val="nil"/>
          <w:right w:val="nil"/>
          <w:between w:val="nil"/>
        </w:pBdr>
        <w:rPr>
          <w:szCs w:val="24"/>
        </w:rPr>
      </w:pPr>
      <w:r w:rsidRPr="002F66C9">
        <w:rPr>
          <w:rFonts w:eastAsia="Palatino Linotype" w:cs="Palatino Linotype"/>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w:t>
      </w:r>
      <w:r w:rsidRPr="002F66C9">
        <w:rPr>
          <w:rFonts w:eastAsia="Palatino Linotype" w:cs="Palatino Linotype"/>
          <w:szCs w:val="24"/>
        </w:rPr>
        <w:lastRenderedPageBreak/>
        <w:t>desclasificación de la información, así como para la elaboración de versiones públicas, al aplicar la prueba de daño correspondiente.</w:t>
      </w:r>
    </w:p>
    <w:p w:rsidR="00D22D6C" w:rsidRPr="002F66C9" w:rsidRDefault="00D22D6C" w:rsidP="00D22D6C">
      <w:pPr>
        <w:rPr>
          <w:szCs w:val="24"/>
        </w:rPr>
      </w:pPr>
    </w:p>
    <w:p w:rsidR="00D22D6C" w:rsidRDefault="00D22D6C" w:rsidP="00D22D6C">
      <w:pPr>
        <w:pBdr>
          <w:top w:val="nil"/>
          <w:left w:val="nil"/>
          <w:bottom w:val="nil"/>
          <w:right w:val="nil"/>
          <w:between w:val="nil"/>
        </w:pBdr>
        <w:rPr>
          <w:rFonts w:eastAsia="Palatino Linotype" w:cs="Palatino Linotype"/>
          <w:szCs w:val="24"/>
        </w:rPr>
      </w:pPr>
      <w:r w:rsidRPr="002F66C9">
        <w:rPr>
          <w:rFonts w:eastAsia="Palatino Linotype" w:cs="Palatino Linotype"/>
          <w:szCs w:val="24"/>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rsidR="00D22D6C" w:rsidRPr="002F66C9" w:rsidRDefault="00D22D6C" w:rsidP="00D22D6C">
      <w:pPr>
        <w:pBdr>
          <w:top w:val="nil"/>
          <w:left w:val="nil"/>
          <w:bottom w:val="nil"/>
          <w:right w:val="nil"/>
          <w:between w:val="nil"/>
        </w:pBdr>
        <w:rPr>
          <w:szCs w:val="24"/>
        </w:rPr>
      </w:pPr>
    </w:p>
    <w:p w:rsidR="00D22D6C" w:rsidRDefault="00D22D6C" w:rsidP="00D22D6C">
      <w:pPr>
        <w:pBdr>
          <w:top w:val="nil"/>
          <w:left w:val="nil"/>
          <w:bottom w:val="nil"/>
          <w:right w:val="nil"/>
          <w:between w:val="nil"/>
        </w:pBdr>
        <w:rPr>
          <w:rFonts w:eastAsia="Palatino Linotype" w:cs="Palatino Linotype"/>
          <w:szCs w:val="24"/>
        </w:rPr>
      </w:pPr>
      <w:r w:rsidRPr="002F66C9">
        <w:rPr>
          <w:rFonts w:eastAsia="Palatino Linotype" w:cs="Palatino Linotype"/>
          <w:szCs w:val="24"/>
        </w:rPr>
        <w:t>En ese entendido, la leyenda de clasificación que se genere, deberá establecer ambos supuestos de clasificación: reserva y confidencialidad, en congruencia con los requisitos establecidos en los lineamientos citados.</w:t>
      </w:r>
    </w:p>
    <w:p w:rsidR="00D22D6C" w:rsidRPr="00C92350" w:rsidRDefault="00D22D6C" w:rsidP="00D22D6C">
      <w:pPr>
        <w:pBdr>
          <w:top w:val="nil"/>
          <w:left w:val="nil"/>
          <w:bottom w:val="nil"/>
          <w:right w:val="nil"/>
          <w:between w:val="nil"/>
        </w:pBdr>
        <w:rPr>
          <w:rFonts w:eastAsia="Palatino Linotype" w:cs="Palatino Linotype"/>
          <w:szCs w:val="24"/>
        </w:rPr>
      </w:pPr>
    </w:p>
    <w:p w:rsidR="00D22D6C" w:rsidRPr="002F66C9" w:rsidRDefault="00D22D6C" w:rsidP="00D22D6C">
      <w:pPr>
        <w:pBdr>
          <w:top w:val="nil"/>
          <w:left w:val="nil"/>
          <w:bottom w:val="nil"/>
          <w:right w:val="nil"/>
          <w:between w:val="nil"/>
        </w:pBdr>
        <w:rPr>
          <w:szCs w:val="24"/>
        </w:rPr>
      </w:pPr>
      <w:r w:rsidRPr="002F66C9">
        <w:rPr>
          <w:rFonts w:eastAsia="Palatino Linotype" w:cs="Palatino Linotype"/>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rsidR="00D22D6C" w:rsidRPr="005A3965" w:rsidRDefault="00D22D6C" w:rsidP="00D22D6C">
      <w:pPr>
        <w:pBdr>
          <w:top w:val="nil"/>
          <w:left w:val="nil"/>
          <w:bottom w:val="nil"/>
          <w:right w:val="nil"/>
          <w:between w:val="nil"/>
        </w:pBdr>
        <w:ind w:left="864" w:right="864"/>
        <w:rPr>
          <w:sz w:val="22"/>
        </w:rPr>
      </w:pPr>
      <w:r w:rsidRPr="005A3965">
        <w:rPr>
          <w:rFonts w:eastAsia="Palatino Linotype" w:cs="Palatino Linotype"/>
          <w:b/>
          <w:i/>
          <w:sz w:val="22"/>
        </w:rPr>
        <w:lastRenderedPageBreak/>
        <w:t>Nombres de servidores públicos dedicados a actividades en materia de seguridad, por excepción pueden considerarse información reservada.</w:t>
      </w:r>
      <w:r w:rsidRPr="005A3965">
        <w:rPr>
          <w:rFonts w:eastAsia="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D22D6C" w:rsidRPr="002F66C9" w:rsidRDefault="00D22D6C" w:rsidP="00D22D6C"/>
    <w:p w:rsidR="00D22D6C" w:rsidRDefault="00D22D6C" w:rsidP="00D22D6C">
      <w:pPr>
        <w:pBdr>
          <w:top w:val="nil"/>
          <w:left w:val="nil"/>
          <w:bottom w:val="nil"/>
          <w:right w:val="nil"/>
          <w:between w:val="nil"/>
        </w:pBdr>
        <w:rPr>
          <w:szCs w:val="24"/>
        </w:rPr>
      </w:pPr>
      <w:r w:rsidRPr="002F66C9">
        <w:rPr>
          <w:rFonts w:eastAsia="Palatino Linotype" w:cs="Palatino Linotype"/>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w:t>
      </w:r>
      <w:r w:rsidRPr="002F66C9">
        <w:rPr>
          <w:rFonts w:eastAsia="Palatino Linotype" w:cs="Palatino Linotype"/>
          <w:szCs w:val="24"/>
        </w:rPr>
        <w:lastRenderedPageBreak/>
        <w:t xml:space="preserve">riesgo la seguridad del País, Estado y Municipio, anulando, impidiendo u obstaculizando la actuación de los servidores públicos que realizan </w:t>
      </w:r>
      <w:r w:rsidRPr="002F66C9">
        <w:rPr>
          <w:rFonts w:eastAsia="Palatino Linotype" w:cs="Palatino Linotype"/>
          <w:b/>
          <w:szCs w:val="24"/>
        </w:rPr>
        <w:t>funciones de carácter operativo.</w:t>
      </w:r>
    </w:p>
    <w:p w:rsidR="00D22D6C" w:rsidRPr="00C92350" w:rsidRDefault="00D22D6C" w:rsidP="00D22D6C">
      <w:pPr>
        <w:pBdr>
          <w:top w:val="nil"/>
          <w:left w:val="nil"/>
          <w:bottom w:val="nil"/>
          <w:right w:val="nil"/>
          <w:between w:val="nil"/>
        </w:pBdr>
        <w:rPr>
          <w:szCs w:val="24"/>
        </w:rPr>
      </w:pPr>
    </w:p>
    <w:p w:rsidR="00D22D6C" w:rsidRPr="002F66C9" w:rsidRDefault="00D22D6C" w:rsidP="00D22D6C">
      <w:pPr>
        <w:pBdr>
          <w:top w:val="nil"/>
          <w:left w:val="nil"/>
          <w:bottom w:val="nil"/>
          <w:right w:val="nil"/>
          <w:between w:val="nil"/>
        </w:pBdr>
        <w:rPr>
          <w:szCs w:val="24"/>
        </w:rPr>
      </w:pPr>
      <w:r w:rsidRPr="002F66C9">
        <w:rPr>
          <w:rFonts w:eastAsia="Palatino Linotype" w:cs="Palatino Linotype"/>
          <w:szCs w:val="24"/>
        </w:rPr>
        <w:t>Sirven de sustento a lo anterior las tesis jurisprudenciales emitidas por la Suprema corte de Justicia de la Nación</w:t>
      </w:r>
      <w:r>
        <w:rPr>
          <w:rFonts w:eastAsia="Palatino Linotype" w:cs="Palatino Linotype"/>
          <w:szCs w:val="24"/>
        </w:rPr>
        <w:t>, que son del literal siguiente;</w:t>
      </w:r>
    </w:p>
    <w:p w:rsidR="00D22D6C" w:rsidRPr="005A3965" w:rsidRDefault="00D22D6C" w:rsidP="00D22D6C">
      <w:pPr>
        <w:pBdr>
          <w:top w:val="nil"/>
          <w:left w:val="nil"/>
          <w:bottom w:val="nil"/>
          <w:right w:val="nil"/>
          <w:between w:val="nil"/>
        </w:pBdr>
        <w:ind w:left="864" w:right="864"/>
        <w:rPr>
          <w:sz w:val="22"/>
        </w:rPr>
      </w:pPr>
      <w:r w:rsidRPr="005A3965">
        <w:rPr>
          <w:rFonts w:eastAsia="Palatino Linotype" w:cs="Palatino Linotype"/>
          <w:b/>
          <w:i/>
          <w:sz w:val="22"/>
        </w:rPr>
        <w:t xml:space="preserve">DERECHO A LA INFORMACIÓN. SU EJERCICIO SE ENCUENTRA LIMITADO TANTO POR LOS INTERESES NACIONALES Y DE LA SOCIEDAD, COMO POR LOS DERECHOS DE TERCEROS. </w:t>
      </w:r>
      <w:r w:rsidRPr="005A3965">
        <w:rPr>
          <w:rFonts w:eastAsia="Palatino Linotype" w:cs="Palatino Linotype"/>
          <w:i/>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A3965">
        <w:rPr>
          <w:rFonts w:eastAsia="Palatino Linotype" w:cs="Palatino Linotype"/>
          <w:b/>
          <w:i/>
          <w:sz w:val="22"/>
        </w:rPr>
        <w:t>restringen el acceso a la información en esta materia, en razón de que su conocimiento público puede generar daños a los intereses nacionales y, por el otro, sancionan la inobservancia de esa reserva;</w:t>
      </w:r>
      <w:r w:rsidRPr="005A3965">
        <w:rPr>
          <w:rFonts w:eastAsia="Palatino Linotype" w:cs="Palatino Linotype"/>
          <w:i/>
          <w:sz w:val="22"/>
        </w:rPr>
        <w:t xml:space="preserve"> por lo que hace al interés social, se cuenta con normas que tienden a proteger la averiguación de los delitos, la salud y la moral públicas, </w:t>
      </w:r>
      <w:r w:rsidRPr="005A3965">
        <w:rPr>
          <w:rFonts w:eastAsia="Palatino Linotype" w:cs="Palatino Linotype"/>
          <w:b/>
          <w:i/>
          <w:sz w:val="22"/>
        </w:rPr>
        <w:t>mientras que por lo que respecta a la protección de la persona existen normas que protegen el derecho a la vida o a la privacidad de los gobernados.</w:t>
      </w:r>
    </w:p>
    <w:p w:rsidR="00D22D6C" w:rsidRPr="005A3965" w:rsidRDefault="00D22D6C" w:rsidP="00D22D6C">
      <w:pPr>
        <w:rPr>
          <w:sz w:val="22"/>
        </w:rPr>
      </w:pPr>
    </w:p>
    <w:p w:rsidR="00D22D6C" w:rsidRPr="005A3965" w:rsidRDefault="00D22D6C" w:rsidP="00D22D6C">
      <w:pPr>
        <w:pBdr>
          <w:top w:val="nil"/>
          <w:left w:val="nil"/>
          <w:bottom w:val="nil"/>
          <w:right w:val="nil"/>
          <w:between w:val="nil"/>
        </w:pBdr>
        <w:ind w:left="864" w:right="864"/>
        <w:rPr>
          <w:sz w:val="22"/>
        </w:rPr>
      </w:pPr>
      <w:r w:rsidRPr="005A3965">
        <w:rPr>
          <w:rFonts w:eastAsia="Palatino Linotype" w:cs="Palatino Linotype"/>
          <w:b/>
          <w:i/>
          <w:sz w:val="22"/>
        </w:rPr>
        <w:t>TRANSPARENCIA Y ACCESO A LA INFORMACIÓN PÚBLICA GUBERNAMENTAL. EL ARTÍCULO 14, FRACCIÓN I, DE LA LEY FEDERAL RELATIVA, NO VIOLA LA GARANTÍA DE ACCESO A LA INFORMACIÓN.</w:t>
      </w:r>
      <w:r w:rsidRPr="005A3965">
        <w:rPr>
          <w:rFonts w:eastAsia="Palatino Linotype" w:cs="Palatino Linotype"/>
          <w:i/>
          <w:sz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A3965">
        <w:rPr>
          <w:rFonts w:eastAsia="Palatino Linotype" w:cs="Palatino Linotype"/>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A3965">
        <w:rPr>
          <w:rFonts w:eastAsia="Palatino Linotype" w:cs="Palatino Linotype"/>
          <w:i/>
          <w:sz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D22D6C" w:rsidRPr="002F66C9" w:rsidRDefault="00D22D6C" w:rsidP="00D22D6C">
      <w:pPr>
        <w:pBdr>
          <w:top w:val="nil"/>
          <w:left w:val="nil"/>
          <w:bottom w:val="nil"/>
          <w:right w:val="nil"/>
          <w:between w:val="nil"/>
        </w:pBdr>
        <w:ind w:left="864" w:right="864"/>
      </w:pPr>
    </w:p>
    <w:p w:rsidR="00D22D6C" w:rsidRDefault="00D22D6C" w:rsidP="00D22D6C">
      <w:pPr>
        <w:pBdr>
          <w:top w:val="nil"/>
          <w:left w:val="nil"/>
          <w:bottom w:val="nil"/>
          <w:right w:val="nil"/>
          <w:between w:val="nil"/>
        </w:pBdr>
        <w:rPr>
          <w:rFonts w:eastAsia="Palatino Linotype" w:cs="Palatino Linotype"/>
          <w:color w:val="000000"/>
          <w:szCs w:val="24"/>
          <w:u w:val="single"/>
        </w:rPr>
      </w:pPr>
      <w:r w:rsidRPr="004A7F68">
        <w:rPr>
          <w:rFonts w:eastAsia="Palatino Linotype" w:cs="Palatino Linotype"/>
          <w:color w:val="000000"/>
          <w:szCs w:val="24"/>
        </w:rPr>
        <w:t xml:space="preserve">Ahora bien, </w:t>
      </w:r>
      <w:r>
        <w:rPr>
          <w:rFonts w:eastAsia="Palatino Linotype" w:cs="Palatino Linotype"/>
          <w:color w:val="000000"/>
          <w:szCs w:val="24"/>
        </w:rPr>
        <w:t xml:space="preserve">existe algunas </w:t>
      </w:r>
      <w:r w:rsidRPr="002F66C9">
        <w:rPr>
          <w:rFonts w:eastAsia="Palatino Linotype" w:cs="Palatino Linotype"/>
          <w:color w:val="000000"/>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rsidR="00D22D6C" w:rsidRPr="002F66C9" w:rsidRDefault="00D22D6C" w:rsidP="00D22D6C">
      <w:pPr>
        <w:pBdr>
          <w:top w:val="nil"/>
          <w:left w:val="nil"/>
          <w:bottom w:val="nil"/>
          <w:right w:val="nil"/>
          <w:between w:val="nil"/>
        </w:pBdr>
        <w:rPr>
          <w:rFonts w:eastAsia="Palatino Linotype" w:cs="Palatino Linotype"/>
          <w:color w:val="000000"/>
          <w:szCs w:val="24"/>
          <w:u w:val="single"/>
        </w:rPr>
      </w:pPr>
    </w:p>
    <w:p w:rsidR="00D22D6C" w:rsidRPr="004A7F68" w:rsidRDefault="00D22D6C" w:rsidP="00D22D6C">
      <w:pPr>
        <w:pStyle w:val="Prrafodelista"/>
        <w:ind w:left="0"/>
        <w:rPr>
          <w:rFonts w:cs="Arial"/>
          <w:b/>
        </w:rPr>
      </w:pPr>
      <w:r w:rsidRPr="004A7F68">
        <w:rPr>
          <w:rFonts w:cs="Arial"/>
          <w:b/>
        </w:rPr>
        <w:t>Deducciones que no son personales.</w:t>
      </w:r>
    </w:p>
    <w:p w:rsidR="00D22D6C" w:rsidRPr="004A7F68" w:rsidRDefault="00D22D6C" w:rsidP="00D22D6C">
      <w:pPr>
        <w:pStyle w:val="Prrafodelista"/>
        <w:ind w:left="0"/>
        <w:rPr>
          <w:rFonts w:cs="Arial"/>
        </w:rPr>
      </w:pPr>
      <w:r w:rsidRPr="004A7F68">
        <w:rPr>
          <w:rFonts w:cs="Arial"/>
        </w:rPr>
        <w:t>La Ley del Trabajo de los Servidores Públicos del Estado y Municipios</w:t>
      </w:r>
      <w:r w:rsidRPr="004A7F68">
        <w:rPr>
          <w:rStyle w:val="Refdenotaalpie"/>
        </w:rPr>
        <w:footnoteReference w:id="2"/>
      </w:r>
      <w:r w:rsidRPr="004A7F68">
        <w:rPr>
          <w:rFonts w:cs="Arial"/>
        </w:rPr>
        <w:t xml:space="preserve"> en el artí</w:t>
      </w:r>
      <w:r>
        <w:rPr>
          <w:rFonts w:cs="Arial"/>
        </w:rPr>
        <w:t xml:space="preserve">culo 84 </w:t>
      </w:r>
      <w:proofErr w:type="gramStart"/>
      <w:r>
        <w:rPr>
          <w:rFonts w:cs="Arial"/>
        </w:rPr>
        <w:t>establece</w:t>
      </w:r>
      <w:proofErr w:type="gramEnd"/>
      <w:r>
        <w:rPr>
          <w:rFonts w:cs="Arial"/>
        </w:rPr>
        <w:t xml:space="preserve"> lo siguiente:</w:t>
      </w:r>
    </w:p>
    <w:p w:rsidR="00D22D6C" w:rsidRPr="004A7F68" w:rsidRDefault="00D22D6C" w:rsidP="00D22D6C">
      <w:pPr>
        <w:pStyle w:val="Prrafodelista"/>
        <w:ind w:left="567" w:right="822"/>
        <w:rPr>
          <w:i/>
          <w:sz w:val="22"/>
        </w:rPr>
      </w:pPr>
      <w:r w:rsidRPr="004A7F68">
        <w:rPr>
          <w:i/>
          <w:sz w:val="22"/>
        </w:rPr>
        <w:t xml:space="preserve">ARTÍCULO 84. Sólo podrán hacerse retenciones, descuentos o deducciones al sueldo de los servidores públicos por concepto de: </w:t>
      </w:r>
    </w:p>
    <w:p w:rsidR="00D22D6C" w:rsidRPr="004A7F68" w:rsidRDefault="00D22D6C" w:rsidP="00D22D6C">
      <w:pPr>
        <w:pStyle w:val="Prrafodelista"/>
        <w:ind w:left="567" w:right="822"/>
        <w:rPr>
          <w:b/>
          <w:i/>
          <w:sz w:val="22"/>
        </w:rPr>
      </w:pPr>
      <w:r w:rsidRPr="004A7F68">
        <w:rPr>
          <w:b/>
          <w:i/>
          <w:sz w:val="22"/>
        </w:rPr>
        <w:t>I. Gravámenes fiscales relacionados con el sueldo;</w:t>
      </w:r>
    </w:p>
    <w:p w:rsidR="00D22D6C" w:rsidRPr="004A7F68" w:rsidRDefault="00D22D6C" w:rsidP="00D22D6C">
      <w:pPr>
        <w:pStyle w:val="Prrafodelista"/>
        <w:ind w:left="567" w:right="822"/>
        <w:rPr>
          <w:i/>
          <w:sz w:val="22"/>
        </w:rPr>
      </w:pPr>
      <w:r w:rsidRPr="004A7F68">
        <w:rPr>
          <w:i/>
          <w:sz w:val="22"/>
        </w:rPr>
        <w:t xml:space="preserve">II. Deudas contraídas con las instituciones públicas o dependencias por concepto de anticipos de sueldo, pagos hechos con exceso, errores o pérdidas debidamente comprobados; </w:t>
      </w:r>
    </w:p>
    <w:p w:rsidR="00D22D6C" w:rsidRPr="004A7F68" w:rsidRDefault="00D22D6C" w:rsidP="00D22D6C">
      <w:pPr>
        <w:pStyle w:val="Prrafodelista"/>
        <w:ind w:left="567" w:right="822"/>
        <w:rPr>
          <w:i/>
          <w:sz w:val="22"/>
        </w:rPr>
      </w:pPr>
      <w:r w:rsidRPr="004A7F68">
        <w:rPr>
          <w:i/>
          <w:sz w:val="22"/>
        </w:rPr>
        <w:t xml:space="preserve">III. Cuotas sindicales; </w:t>
      </w:r>
    </w:p>
    <w:p w:rsidR="00D22D6C" w:rsidRPr="004A7F68" w:rsidRDefault="00D22D6C" w:rsidP="00D22D6C">
      <w:pPr>
        <w:pStyle w:val="Prrafodelista"/>
        <w:ind w:left="567" w:right="822"/>
        <w:rPr>
          <w:b/>
          <w:i/>
          <w:sz w:val="22"/>
        </w:rPr>
      </w:pPr>
      <w:r w:rsidRPr="004A7F68">
        <w:rPr>
          <w:b/>
          <w:i/>
          <w:sz w:val="22"/>
        </w:rPr>
        <w:t xml:space="preserve">IV. Cuotas de aportación a fondos para la constitución de cooperativas y de cajas de ahorro, siempre que el servidor público hubiese manifestado previamente, de manera expresa, su conformidad; </w:t>
      </w:r>
    </w:p>
    <w:p w:rsidR="00D22D6C" w:rsidRPr="004A7F68" w:rsidRDefault="00D22D6C" w:rsidP="00D22D6C">
      <w:pPr>
        <w:pStyle w:val="Prrafodelista"/>
        <w:ind w:left="567" w:right="822"/>
        <w:rPr>
          <w:b/>
          <w:i/>
          <w:sz w:val="22"/>
        </w:rPr>
      </w:pPr>
      <w:r w:rsidRPr="004A7F68">
        <w:rPr>
          <w:b/>
          <w:i/>
          <w:sz w:val="22"/>
        </w:rPr>
        <w:t xml:space="preserve">V. Descuentos ordenados por el Instituto de Seguridad Social del Estado de México y Municipios, con motivo de cuotas y obligaciones contraídas con éste por los servidores públicos; </w:t>
      </w:r>
    </w:p>
    <w:p w:rsidR="00D22D6C" w:rsidRPr="004A7F68" w:rsidRDefault="00D22D6C" w:rsidP="00D22D6C">
      <w:pPr>
        <w:pStyle w:val="Prrafodelista"/>
        <w:ind w:left="567" w:right="822"/>
        <w:rPr>
          <w:i/>
          <w:sz w:val="22"/>
        </w:rPr>
      </w:pPr>
      <w:r w:rsidRPr="004A7F68">
        <w:rPr>
          <w:i/>
          <w:sz w:val="22"/>
        </w:rPr>
        <w:t xml:space="preserve">VI. Obligaciones a cargo del servidor público con las que haya consentido, derivadas de la adquisición o del uso de habitaciones consideradas como de interés social; </w:t>
      </w:r>
    </w:p>
    <w:p w:rsidR="00D22D6C" w:rsidRPr="004A7F68" w:rsidRDefault="00D22D6C" w:rsidP="00D22D6C">
      <w:pPr>
        <w:pStyle w:val="Prrafodelista"/>
        <w:ind w:left="567" w:right="822"/>
        <w:rPr>
          <w:i/>
          <w:sz w:val="22"/>
        </w:rPr>
      </w:pPr>
      <w:r w:rsidRPr="004A7F68">
        <w:rPr>
          <w:i/>
          <w:sz w:val="22"/>
        </w:rPr>
        <w:t xml:space="preserve">VII. Faltas de puntualidad o de asistencia injustificadas; </w:t>
      </w:r>
    </w:p>
    <w:p w:rsidR="00D22D6C" w:rsidRPr="004A7F68" w:rsidRDefault="00D22D6C" w:rsidP="00D22D6C">
      <w:pPr>
        <w:pStyle w:val="Prrafodelista"/>
        <w:ind w:left="567" w:right="822"/>
        <w:rPr>
          <w:i/>
          <w:sz w:val="22"/>
        </w:rPr>
      </w:pPr>
      <w:r w:rsidRPr="004A7F68">
        <w:rPr>
          <w:i/>
          <w:sz w:val="22"/>
        </w:rPr>
        <w:lastRenderedPageBreak/>
        <w:t xml:space="preserve">VIII. Pensiones alimenticias ordenadas por la autoridad judicial; o </w:t>
      </w:r>
    </w:p>
    <w:p w:rsidR="00D22D6C" w:rsidRPr="004A7F68" w:rsidRDefault="00D22D6C" w:rsidP="00D22D6C">
      <w:pPr>
        <w:pStyle w:val="Prrafodelista"/>
        <w:ind w:left="567" w:right="822"/>
        <w:rPr>
          <w:i/>
          <w:sz w:val="22"/>
        </w:rPr>
      </w:pPr>
      <w:r w:rsidRPr="004A7F68">
        <w:rPr>
          <w:i/>
          <w:sz w:val="22"/>
        </w:rPr>
        <w:t>IX. Cualquier otro convenido con instituciones de servicios y aceptado por el servidor público.</w:t>
      </w:r>
    </w:p>
    <w:p w:rsidR="00D22D6C" w:rsidRPr="004A7F68" w:rsidRDefault="00D22D6C" w:rsidP="00D22D6C">
      <w:pPr>
        <w:ind w:right="822"/>
        <w:rPr>
          <w:rFonts w:cs="Arial"/>
          <w:i/>
        </w:rPr>
      </w:pPr>
    </w:p>
    <w:p w:rsidR="00D22D6C" w:rsidRPr="004A7F68" w:rsidRDefault="00D22D6C" w:rsidP="00D22D6C">
      <w:pPr>
        <w:pStyle w:val="Prrafodelista"/>
        <w:ind w:left="0"/>
        <w:rPr>
          <w:rFonts w:cs="Arial"/>
        </w:rPr>
      </w:pPr>
      <w:r w:rsidRPr="004A7F68">
        <w:rPr>
          <w:rFonts w:cs="Arial"/>
        </w:rPr>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4A7F68">
        <w:rPr>
          <w:rFonts w:cs="Arial"/>
        </w:rPr>
        <w:t>ISSEMyM</w:t>
      </w:r>
      <w:proofErr w:type="spellEnd"/>
      <w:r w:rsidRPr="004A7F68">
        <w:rPr>
          <w:rFonts w:cs="Arial"/>
        </w:rPr>
        <w:t xml:space="preserve"> por motivo de cuotas y obligaciones contraídas por los servidores públicos. </w:t>
      </w:r>
      <w:r w:rsidRPr="002F66C9">
        <w:rPr>
          <w:rFonts w:cs="Arial"/>
          <w:b/>
        </w:rPr>
        <w:t>Estos mencionados son de carácter público</w:t>
      </w:r>
      <w:r w:rsidRPr="004A7F68">
        <w:rPr>
          <w:rFonts w:cs="Arial"/>
        </w:rPr>
        <w:t>, toda vez que se consideran descuentos que por ley se deben realizar a los servidores públicos contrario a las deducciones personales que son por voluntad de cada servidor público.</w:t>
      </w:r>
    </w:p>
    <w:p w:rsidR="00D22D6C" w:rsidRPr="004A7F68" w:rsidRDefault="00D22D6C" w:rsidP="00D22D6C">
      <w:pPr>
        <w:rPr>
          <w:rFonts w:cs="Arial"/>
        </w:rPr>
      </w:pPr>
    </w:p>
    <w:p w:rsidR="00D22D6C" w:rsidRPr="004A7F68" w:rsidRDefault="00D22D6C" w:rsidP="00D22D6C">
      <w:pPr>
        <w:pStyle w:val="Prrafodelista"/>
        <w:numPr>
          <w:ilvl w:val="0"/>
          <w:numId w:val="6"/>
        </w:numPr>
        <w:rPr>
          <w:rFonts w:cs="Arial"/>
          <w:b/>
        </w:rPr>
      </w:pPr>
      <w:r w:rsidRPr="004A7F68">
        <w:rPr>
          <w:rFonts w:cs="Arial"/>
          <w:b/>
        </w:rPr>
        <w:t>Seguro de Capitalización Individualizado.</w:t>
      </w:r>
    </w:p>
    <w:p w:rsidR="00D22D6C" w:rsidRPr="004A7F68" w:rsidRDefault="00D22D6C" w:rsidP="00D22D6C">
      <w:pPr>
        <w:pStyle w:val="Prrafodelista"/>
        <w:ind w:left="0"/>
        <w:rPr>
          <w:rFonts w:cs="Arial"/>
        </w:rPr>
      </w:pPr>
      <w:r w:rsidRPr="004A7F68">
        <w:rPr>
          <w:rFonts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rsidR="00D22D6C" w:rsidRPr="004A7F68" w:rsidRDefault="00D22D6C" w:rsidP="00D22D6C">
      <w:pPr>
        <w:pStyle w:val="Prrafodelista"/>
        <w:rPr>
          <w:rFonts w:cs="Arial"/>
        </w:rPr>
      </w:pPr>
      <w:r w:rsidRPr="004A7F68">
        <w:rPr>
          <w:rFonts w:cs="Arial"/>
        </w:rPr>
        <w:t>•</w:t>
      </w:r>
      <w:r w:rsidRPr="004A7F68">
        <w:rPr>
          <w:rFonts w:cs="Arial"/>
        </w:rPr>
        <w:tab/>
        <w:t>Subcuenta de cuota obligatoria; que corresponde a un porcentaje del sueldo sujeto a cotización, que se descuenta al servir público de manera automática.</w:t>
      </w:r>
    </w:p>
    <w:p w:rsidR="00D22D6C" w:rsidRPr="004A7F68" w:rsidRDefault="00D22D6C" w:rsidP="00D22D6C">
      <w:pPr>
        <w:pStyle w:val="Prrafodelista"/>
        <w:rPr>
          <w:rFonts w:cs="Arial"/>
        </w:rPr>
      </w:pPr>
      <w:r w:rsidRPr="004A7F68">
        <w:rPr>
          <w:rFonts w:cs="Arial"/>
        </w:rPr>
        <w:t>•</w:t>
      </w:r>
      <w:r w:rsidRPr="004A7F68">
        <w:rPr>
          <w:rFonts w:cs="Arial"/>
        </w:rPr>
        <w:tab/>
        <w:t>Subcuenta de aportación obligatoria: que es la aportación que realiza la Institución a favor del servidor público, el cual equivale a un porcentaje del sueldo sujeto a cotización.</w:t>
      </w:r>
    </w:p>
    <w:p w:rsidR="00D22D6C" w:rsidRPr="004A7F68" w:rsidRDefault="00D22D6C" w:rsidP="00D22D6C">
      <w:pPr>
        <w:pStyle w:val="Prrafodelista"/>
        <w:rPr>
          <w:rFonts w:cs="Arial"/>
        </w:rPr>
      </w:pPr>
      <w:r w:rsidRPr="004A7F68">
        <w:rPr>
          <w:rFonts w:cs="Arial"/>
        </w:rPr>
        <w:t>•</w:t>
      </w:r>
      <w:r w:rsidRPr="004A7F68">
        <w:rPr>
          <w:rFonts w:cs="Arial"/>
        </w:rPr>
        <w:tab/>
        <w:t xml:space="preserve">Subcuenta voluntaria: que es la cantidad que cada servidor público decide ahorrar de acuerdo con sus aportaciones, permitiendo acumular mayores ingresos para su retiro. </w:t>
      </w:r>
    </w:p>
    <w:p w:rsidR="00D22D6C" w:rsidRPr="004A7F68" w:rsidRDefault="00D22D6C" w:rsidP="00D22D6C">
      <w:pPr>
        <w:pStyle w:val="Prrafodelista"/>
        <w:rPr>
          <w:rFonts w:cs="Arial"/>
        </w:rPr>
      </w:pPr>
    </w:p>
    <w:p w:rsidR="00D22D6C" w:rsidRPr="002F66C9" w:rsidRDefault="00D22D6C" w:rsidP="00D22D6C">
      <w:pPr>
        <w:pStyle w:val="Prrafodelista"/>
        <w:ind w:left="0"/>
        <w:rPr>
          <w:rFonts w:cs="Arial"/>
        </w:rPr>
      </w:pPr>
      <w:r w:rsidRPr="004A7F68">
        <w:rPr>
          <w:rFonts w:cs="Arial"/>
        </w:rPr>
        <w:t xml:space="preserve">En razón de lo anterior, debe considerarse que la subcuenta de cuota obligatoria y subcuenta de aportación obligatoria, </w:t>
      </w:r>
      <w:r w:rsidRPr="002F66C9">
        <w:rPr>
          <w:rFonts w:cs="Arial"/>
          <w:b/>
        </w:rPr>
        <w:t>deben ser considerados datos de naturaleza pública</w:t>
      </w:r>
      <w:r w:rsidRPr="004A7F68">
        <w:rPr>
          <w:rFonts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w:t>
      </w:r>
      <w:r>
        <w:rPr>
          <w:rFonts w:cs="Arial"/>
        </w:rPr>
        <w:t xml:space="preserve">texto y rubro es el siguiente: </w:t>
      </w:r>
    </w:p>
    <w:p w:rsidR="00D22D6C" w:rsidRPr="004A7F68" w:rsidRDefault="00D22D6C" w:rsidP="00D22D6C">
      <w:pPr>
        <w:pStyle w:val="Prrafodelista"/>
        <w:ind w:left="567" w:right="822"/>
        <w:rPr>
          <w:rFonts w:cs="Arial"/>
          <w:i/>
          <w:sz w:val="22"/>
        </w:rPr>
      </w:pPr>
      <w:r w:rsidRPr="004A7F68">
        <w:rPr>
          <w:rFonts w:cs="Arial"/>
          <w:i/>
          <w:sz w:val="22"/>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4A7F68">
        <w:rPr>
          <w:rFonts w:cs="Arial"/>
          <w:i/>
          <w:sz w:val="22"/>
        </w:rPr>
        <w:t>aún</w:t>
      </w:r>
      <w:proofErr w:type="spellEnd"/>
      <w:r w:rsidRPr="004A7F68">
        <w:rPr>
          <w:rFonts w:cs="Arial"/>
          <w:i/>
          <w:sz w:val="22"/>
        </w:rPr>
        <w:t xml:space="preserve"> cuando se refiere a una decisión personal sobre su patrimonio, su publicidad es </w:t>
      </w:r>
      <w:r w:rsidRPr="004A7F68">
        <w:rPr>
          <w:rFonts w:cs="Arial"/>
          <w:i/>
          <w:sz w:val="22"/>
        </w:rPr>
        <w:lastRenderedPageBreak/>
        <w:t>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4A7F68">
        <w:rPr>
          <w:rFonts w:cs="Arial"/>
          <w:sz w:val="22"/>
        </w:rPr>
        <w:t xml:space="preserve"> </w:t>
      </w:r>
    </w:p>
    <w:p w:rsidR="00D22D6C" w:rsidRPr="004A7F68" w:rsidRDefault="00D22D6C" w:rsidP="00D22D6C">
      <w:pPr>
        <w:pStyle w:val="Prrafodelista"/>
        <w:rPr>
          <w:rFonts w:cs="Arial"/>
        </w:rPr>
      </w:pPr>
    </w:p>
    <w:p w:rsidR="00D22D6C" w:rsidRPr="004A7F68" w:rsidRDefault="00D22D6C" w:rsidP="00D22D6C">
      <w:pPr>
        <w:pStyle w:val="Prrafodelista"/>
        <w:ind w:left="0"/>
        <w:rPr>
          <w:rFonts w:cs="Arial"/>
        </w:rPr>
      </w:pPr>
      <w:r w:rsidRPr="004A7F68">
        <w:rPr>
          <w:rFonts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D22D6C" w:rsidRPr="00C31601" w:rsidRDefault="00D22D6C" w:rsidP="00D22D6C">
      <w:pPr>
        <w:tabs>
          <w:tab w:val="left" w:pos="709"/>
        </w:tabs>
        <w:rPr>
          <w:rFonts w:eastAsia="Palatino Linotype" w:cs="Palatino Linotype"/>
          <w:color w:val="000000"/>
          <w:szCs w:val="24"/>
        </w:rPr>
      </w:pPr>
    </w:p>
    <w:p w:rsidR="00D22D6C" w:rsidRDefault="00D22D6C" w:rsidP="00D22D6C">
      <w:pPr>
        <w:autoSpaceDE w:val="0"/>
        <w:autoSpaceDN w:val="0"/>
        <w:adjustRightInd w:val="0"/>
        <w:rPr>
          <w:color w:val="000000"/>
          <w:szCs w:val="24"/>
        </w:rPr>
      </w:pPr>
      <w:r>
        <w:rPr>
          <w:color w:val="000000"/>
          <w:szCs w:val="24"/>
        </w:rPr>
        <w:t xml:space="preserve">Por lo descrito en líneas anteriores el Sujeto Obligado tiene la obligación de contar con la digitalización del soporte documental requerido por el Recurrente por lo que resulta dable ordenar de ser procedente en versión pública la dispersión de nómina del primero de enero al </w:t>
      </w:r>
      <w:r w:rsidR="00164C90">
        <w:rPr>
          <w:color w:val="000000"/>
          <w:szCs w:val="24"/>
        </w:rPr>
        <w:t xml:space="preserve">quince de abril </w:t>
      </w:r>
      <w:r>
        <w:rPr>
          <w:color w:val="000000"/>
          <w:szCs w:val="24"/>
        </w:rPr>
        <w:t>dos mil veinticinco del perso</w:t>
      </w:r>
      <w:r w:rsidR="00370C6F">
        <w:rPr>
          <w:color w:val="000000"/>
          <w:szCs w:val="24"/>
        </w:rPr>
        <w:t xml:space="preserve">nal adscrito al Sujeto Obligado </w:t>
      </w:r>
      <w:r w:rsidR="00043FCF">
        <w:rPr>
          <w:color w:val="000000"/>
          <w:szCs w:val="24"/>
        </w:rPr>
        <w:t xml:space="preserve">por generarse de manera quincenal </w:t>
      </w:r>
      <w:r w:rsidR="00370C6F">
        <w:rPr>
          <w:color w:val="000000"/>
          <w:szCs w:val="24"/>
        </w:rPr>
        <w:t>así como la póliza de cheque</w:t>
      </w:r>
      <w:r>
        <w:rPr>
          <w:color w:val="000000"/>
          <w:szCs w:val="24"/>
        </w:rPr>
        <w:t xml:space="preserve"> </w:t>
      </w:r>
      <w:r w:rsidR="00370C6F">
        <w:rPr>
          <w:color w:val="000000"/>
          <w:szCs w:val="24"/>
        </w:rPr>
        <w:t>que acredite el pago a los trabajadores adscritos al Sujeto Obligado del primero de enero al treinta y uno de marzo de dos mil veinticinco</w:t>
      </w:r>
      <w:r w:rsidR="00043FCF">
        <w:rPr>
          <w:color w:val="000000"/>
          <w:szCs w:val="24"/>
        </w:rPr>
        <w:t xml:space="preserve"> por generarse de manera mensual</w:t>
      </w:r>
      <w:r w:rsidR="00370C6F">
        <w:rPr>
          <w:color w:val="000000"/>
          <w:szCs w:val="24"/>
        </w:rPr>
        <w:t>.</w:t>
      </w:r>
    </w:p>
    <w:p w:rsidR="00370C6F" w:rsidRPr="00DF6FB6" w:rsidRDefault="00370C6F" w:rsidP="00D22D6C">
      <w:pPr>
        <w:autoSpaceDE w:val="0"/>
        <w:autoSpaceDN w:val="0"/>
        <w:adjustRightInd w:val="0"/>
        <w:rPr>
          <w:color w:val="000000"/>
          <w:szCs w:val="24"/>
        </w:rPr>
      </w:pPr>
    </w:p>
    <w:p w:rsidR="00D22D6C" w:rsidRPr="00E2546F" w:rsidRDefault="00D22D6C" w:rsidP="00D22D6C">
      <w:pPr>
        <w:pBdr>
          <w:top w:val="nil"/>
          <w:left w:val="nil"/>
          <w:bottom w:val="nil"/>
          <w:right w:val="nil"/>
          <w:between w:val="nil"/>
        </w:pBdr>
        <w:contextualSpacing/>
        <w:rPr>
          <w:color w:val="000000"/>
        </w:rPr>
      </w:pPr>
    </w:p>
    <w:p w:rsidR="00D22D6C" w:rsidRPr="00E2546F" w:rsidRDefault="00D22D6C" w:rsidP="00D22D6C">
      <w:pPr>
        <w:rPr>
          <w:rFonts w:eastAsia="Times New Roman" w:cs="Times New Roman"/>
          <w:b/>
          <w:bCs/>
          <w:i/>
          <w:iCs/>
          <w:szCs w:val="24"/>
          <w:u w:val="single"/>
        </w:rPr>
      </w:pPr>
      <w:r w:rsidRPr="00E2546F">
        <w:rPr>
          <w:rFonts w:eastAsia="Times New Roman" w:cs="Times New Roman"/>
          <w:b/>
          <w:bCs/>
          <w:i/>
          <w:iCs/>
          <w:szCs w:val="24"/>
          <w:u w:val="single"/>
        </w:rPr>
        <w:t>DE LA VERSIÓN PÚBLICA</w:t>
      </w:r>
    </w:p>
    <w:p w:rsidR="00D22D6C" w:rsidRPr="00E2546F" w:rsidRDefault="00D22D6C" w:rsidP="00D22D6C">
      <w:pPr>
        <w:rPr>
          <w:rFonts w:eastAsia="Arial Unicode MS"/>
          <w:szCs w:val="24"/>
        </w:rPr>
      </w:pPr>
      <w:r w:rsidRPr="00E2546F">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D22D6C" w:rsidRPr="00E2546F" w:rsidRDefault="00D22D6C" w:rsidP="00D22D6C">
      <w:pPr>
        <w:rPr>
          <w:bCs/>
          <w:szCs w:val="24"/>
        </w:rPr>
      </w:pPr>
    </w:p>
    <w:p w:rsidR="00D22D6C" w:rsidRPr="00DF6FB6" w:rsidRDefault="00D22D6C" w:rsidP="00D22D6C">
      <w:pPr>
        <w:rPr>
          <w:szCs w:val="24"/>
        </w:rPr>
      </w:pPr>
      <w:r w:rsidRPr="00E2546F">
        <w:rPr>
          <w:bCs/>
          <w:szCs w:val="24"/>
        </w:rPr>
        <w:t>A este respecto, los</w:t>
      </w:r>
      <w:r w:rsidRPr="00E2546F">
        <w:rPr>
          <w:szCs w:val="24"/>
        </w:rPr>
        <w:t xml:space="preserve"> artículos 3, fracciones IX, XX, XXI y XLV; 51 y 52de la Ley de Transparencia y Acceso a la Información Pública del Estado de </w:t>
      </w:r>
      <w:r>
        <w:rPr>
          <w:szCs w:val="24"/>
        </w:rPr>
        <w:t>México y Municipios establecen:</w:t>
      </w:r>
    </w:p>
    <w:p w:rsidR="00D22D6C" w:rsidRPr="00E2546F" w:rsidRDefault="00D22D6C" w:rsidP="00D22D6C">
      <w:pPr>
        <w:ind w:left="567" w:right="616"/>
        <w:rPr>
          <w:i/>
          <w:sz w:val="22"/>
        </w:rPr>
      </w:pPr>
      <w:r w:rsidRPr="00E2546F">
        <w:rPr>
          <w:rFonts w:cs="Arial"/>
          <w:b/>
          <w:bCs/>
          <w:i/>
          <w:sz w:val="22"/>
        </w:rPr>
        <w:t xml:space="preserve">Artículo 3. </w:t>
      </w:r>
      <w:r w:rsidRPr="00E2546F">
        <w:rPr>
          <w:i/>
          <w:sz w:val="22"/>
        </w:rPr>
        <w:t xml:space="preserve">Para los efectos de la presente Ley se entenderá por: </w:t>
      </w:r>
    </w:p>
    <w:p w:rsidR="00D22D6C" w:rsidRPr="00E2546F" w:rsidRDefault="00D22D6C" w:rsidP="00D22D6C">
      <w:pPr>
        <w:ind w:left="567" w:right="616"/>
        <w:rPr>
          <w:i/>
          <w:sz w:val="22"/>
        </w:rPr>
      </w:pPr>
      <w:r w:rsidRPr="00E2546F">
        <w:rPr>
          <w:rFonts w:cs="Arial"/>
          <w:i/>
          <w:sz w:val="22"/>
        </w:rPr>
        <w:t>(…</w:t>
      </w:r>
      <w:r w:rsidRPr="00E2546F">
        <w:rPr>
          <w:i/>
          <w:sz w:val="22"/>
        </w:rPr>
        <w:t>)</w:t>
      </w:r>
    </w:p>
    <w:p w:rsidR="00D22D6C" w:rsidRPr="00E2546F" w:rsidRDefault="00D22D6C" w:rsidP="00D22D6C">
      <w:pPr>
        <w:ind w:left="567" w:right="616"/>
        <w:rPr>
          <w:rFonts w:cs="Arial"/>
          <w:i/>
          <w:sz w:val="22"/>
        </w:rPr>
      </w:pPr>
      <w:r w:rsidRPr="00E2546F">
        <w:rPr>
          <w:rFonts w:cs="Arial"/>
          <w:b/>
          <w:i/>
          <w:sz w:val="22"/>
        </w:rPr>
        <w:t>IX.</w:t>
      </w:r>
      <w:r w:rsidRPr="00E2546F">
        <w:rPr>
          <w:rFonts w:cs="Arial"/>
          <w:i/>
          <w:sz w:val="22"/>
        </w:rPr>
        <w:t xml:space="preserve"> </w:t>
      </w:r>
      <w:r w:rsidRPr="00E2546F">
        <w:rPr>
          <w:rFonts w:cs="Arial"/>
          <w:b/>
          <w:i/>
          <w:sz w:val="22"/>
        </w:rPr>
        <w:t xml:space="preserve">Datos personales: </w:t>
      </w:r>
      <w:r w:rsidRPr="00E2546F">
        <w:rPr>
          <w:rFonts w:cs="Arial"/>
          <w:i/>
          <w:sz w:val="22"/>
        </w:rPr>
        <w:t xml:space="preserve">La información concerniente a una persona, identificada o identificable según lo dispuesto por la Ley de Protección de Datos Personales del Estado de México; </w:t>
      </w:r>
    </w:p>
    <w:p w:rsidR="00D22D6C" w:rsidRPr="00E2546F" w:rsidRDefault="00D22D6C" w:rsidP="00D22D6C">
      <w:pPr>
        <w:ind w:left="567" w:right="616"/>
        <w:rPr>
          <w:rFonts w:cs="Arial"/>
          <w:i/>
          <w:sz w:val="22"/>
        </w:rPr>
      </w:pPr>
      <w:r w:rsidRPr="00E2546F">
        <w:rPr>
          <w:rFonts w:cs="Arial"/>
          <w:i/>
          <w:sz w:val="22"/>
        </w:rPr>
        <w:t>(…)</w:t>
      </w:r>
    </w:p>
    <w:p w:rsidR="00D22D6C" w:rsidRPr="00E2546F" w:rsidRDefault="00D22D6C" w:rsidP="00D22D6C">
      <w:pPr>
        <w:ind w:left="567" w:right="616"/>
        <w:rPr>
          <w:rFonts w:cs="Arial"/>
          <w:i/>
          <w:sz w:val="22"/>
        </w:rPr>
      </w:pPr>
      <w:r w:rsidRPr="00E2546F">
        <w:rPr>
          <w:rFonts w:cs="Arial"/>
          <w:b/>
          <w:i/>
          <w:sz w:val="22"/>
        </w:rPr>
        <w:t>XX.</w:t>
      </w:r>
      <w:r w:rsidRPr="00E2546F">
        <w:rPr>
          <w:rFonts w:cs="Arial"/>
          <w:i/>
          <w:sz w:val="22"/>
        </w:rPr>
        <w:t xml:space="preserve"> </w:t>
      </w:r>
      <w:r w:rsidRPr="00E2546F">
        <w:rPr>
          <w:rFonts w:cs="Arial"/>
          <w:b/>
          <w:i/>
          <w:sz w:val="22"/>
        </w:rPr>
        <w:t>Información clasificada:</w:t>
      </w:r>
      <w:r w:rsidRPr="00E2546F">
        <w:rPr>
          <w:rFonts w:cs="Arial"/>
          <w:i/>
          <w:sz w:val="22"/>
        </w:rPr>
        <w:t xml:space="preserve"> Aquella considerada por la presente Ley como reservada o confidencial; </w:t>
      </w:r>
    </w:p>
    <w:p w:rsidR="00D22D6C" w:rsidRPr="00E2546F" w:rsidRDefault="00D22D6C" w:rsidP="00D22D6C">
      <w:pPr>
        <w:ind w:left="567" w:right="616"/>
        <w:rPr>
          <w:rFonts w:cs="Arial"/>
          <w:i/>
          <w:sz w:val="22"/>
        </w:rPr>
      </w:pPr>
      <w:r w:rsidRPr="00E2546F">
        <w:rPr>
          <w:rFonts w:cs="Arial"/>
          <w:b/>
          <w:i/>
          <w:sz w:val="22"/>
        </w:rPr>
        <w:t>XXI.</w:t>
      </w:r>
      <w:r w:rsidRPr="00E2546F">
        <w:rPr>
          <w:rFonts w:cs="Arial"/>
          <w:i/>
          <w:sz w:val="22"/>
        </w:rPr>
        <w:t xml:space="preserve"> </w:t>
      </w:r>
      <w:r w:rsidRPr="00E2546F">
        <w:rPr>
          <w:rFonts w:cs="Arial"/>
          <w:b/>
          <w:i/>
          <w:sz w:val="22"/>
        </w:rPr>
        <w:t>Información confidencial</w:t>
      </w:r>
      <w:r w:rsidRPr="00E2546F">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D22D6C" w:rsidRPr="00E2546F" w:rsidRDefault="00D22D6C" w:rsidP="00D22D6C">
      <w:pPr>
        <w:ind w:left="567" w:right="616"/>
        <w:rPr>
          <w:rFonts w:cs="Arial"/>
          <w:i/>
          <w:sz w:val="22"/>
        </w:rPr>
      </w:pPr>
      <w:r w:rsidRPr="00E2546F">
        <w:rPr>
          <w:rFonts w:cs="Arial"/>
          <w:i/>
          <w:sz w:val="22"/>
        </w:rPr>
        <w:lastRenderedPageBreak/>
        <w:t>(…)</w:t>
      </w:r>
    </w:p>
    <w:p w:rsidR="00D22D6C" w:rsidRPr="00E2546F" w:rsidRDefault="00D22D6C" w:rsidP="00D22D6C">
      <w:pPr>
        <w:ind w:left="567" w:right="616"/>
        <w:rPr>
          <w:rFonts w:cs="Arial"/>
          <w:i/>
          <w:sz w:val="22"/>
        </w:rPr>
      </w:pPr>
      <w:r w:rsidRPr="00E2546F">
        <w:rPr>
          <w:rFonts w:cs="Arial"/>
          <w:b/>
          <w:i/>
          <w:sz w:val="22"/>
        </w:rPr>
        <w:t>XLV. Versión pública:</w:t>
      </w:r>
      <w:r w:rsidRPr="00E2546F">
        <w:rPr>
          <w:rFonts w:cs="Arial"/>
          <w:i/>
          <w:sz w:val="22"/>
        </w:rPr>
        <w:t xml:space="preserve"> Documento en el que se elimine, suprime o borra la información clasificada como reservada o confidencial para permitir su acceso. </w:t>
      </w:r>
    </w:p>
    <w:p w:rsidR="00D22D6C" w:rsidRPr="00E2546F" w:rsidRDefault="00D22D6C" w:rsidP="00D22D6C">
      <w:pPr>
        <w:ind w:left="567" w:right="616"/>
        <w:rPr>
          <w:rFonts w:cs="Arial"/>
          <w:i/>
          <w:sz w:val="22"/>
        </w:rPr>
      </w:pPr>
    </w:p>
    <w:p w:rsidR="00D22D6C" w:rsidRPr="00E2546F" w:rsidRDefault="00D22D6C" w:rsidP="00D22D6C">
      <w:pPr>
        <w:ind w:left="567" w:right="616"/>
        <w:rPr>
          <w:rFonts w:cs="Arial"/>
          <w:i/>
          <w:sz w:val="22"/>
        </w:rPr>
      </w:pPr>
      <w:r w:rsidRPr="00E2546F">
        <w:rPr>
          <w:rFonts w:cs="Arial"/>
          <w:b/>
          <w:i/>
          <w:sz w:val="22"/>
        </w:rPr>
        <w:t>Artículo 51.</w:t>
      </w:r>
      <w:r w:rsidRPr="00E2546F">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2546F">
        <w:rPr>
          <w:rFonts w:cs="Arial"/>
          <w:b/>
          <w:i/>
          <w:sz w:val="22"/>
        </w:rPr>
        <w:t xml:space="preserve">y tendrá la responsabilidad de verificar en cada caso que la misma no sea confidencial o reservada. </w:t>
      </w:r>
      <w:r w:rsidRPr="00E2546F">
        <w:rPr>
          <w:rFonts w:cs="Arial"/>
          <w:i/>
          <w:sz w:val="22"/>
        </w:rPr>
        <w:t xml:space="preserve">Dicha Unidad contará con las facultades internas necesarias para gestionar la atención a las solicitudes de información en los términos de la Ley General y la presente Ley. </w:t>
      </w:r>
    </w:p>
    <w:p w:rsidR="00D22D6C" w:rsidRPr="00E2546F" w:rsidRDefault="00D22D6C" w:rsidP="00D22D6C">
      <w:pPr>
        <w:ind w:left="567" w:right="616"/>
        <w:rPr>
          <w:rFonts w:cs="Arial"/>
          <w:bCs/>
          <w:i/>
          <w:noProof/>
          <w:sz w:val="22"/>
        </w:rPr>
      </w:pPr>
      <w:r w:rsidRPr="00E2546F">
        <w:rPr>
          <w:rFonts w:cs="Arial"/>
          <w:b/>
          <w:i/>
          <w:sz w:val="22"/>
        </w:rPr>
        <w:t>Artículo 52.</w:t>
      </w:r>
      <w:r w:rsidRPr="00E2546F">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D22D6C" w:rsidRPr="00E2546F" w:rsidRDefault="00D22D6C" w:rsidP="00D22D6C">
      <w:pPr>
        <w:rPr>
          <w:noProof/>
          <w:sz w:val="22"/>
        </w:rPr>
      </w:pPr>
    </w:p>
    <w:p w:rsidR="00D22D6C" w:rsidRPr="00E2546F" w:rsidRDefault="00D22D6C" w:rsidP="00D22D6C">
      <w:pPr>
        <w:rPr>
          <w:szCs w:val="24"/>
        </w:rPr>
      </w:pPr>
      <w:r w:rsidRPr="00E2546F">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D22D6C" w:rsidRPr="00E2546F" w:rsidRDefault="00D22D6C" w:rsidP="00D22D6C">
      <w:pPr>
        <w:ind w:left="567" w:right="616"/>
        <w:rPr>
          <w:rFonts w:eastAsia="Arial Unicode MS" w:cs="Arial"/>
          <w:i/>
          <w:sz w:val="22"/>
        </w:rPr>
      </w:pPr>
      <w:r w:rsidRPr="00E2546F">
        <w:rPr>
          <w:rFonts w:eastAsia="Arial Unicode MS" w:cs="Arial"/>
          <w:b/>
          <w:i/>
          <w:sz w:val="22"/>
        </w:rPr>
        <w:lastRenderedPageBreak/>
        <w:t>Artículo</w:t>
      </w:r>
      <w:r w:rsidRPr="00E2546F">
        <w:rPr>
          <w:rFonts w:eastAsia="Arial Unicode MS" w:cs="Arial"/>
          <w:i/>
          <w:sz w:val="22"/>
        </w:rPr>
        <w:t xml:space="preserve"> </w:t>
      </w:r>
      <w:r w:rsidRPr="00E2546F">
        <w:rPr>
          <w:rFonts w:eastAsia="Arial Unicode MS" w:cs="Arial"/>
          <w:b/>
          <w:i/>
          <w:sz w:val="22"/>
        </w:rPr>
        <w:t>22</w:t>
      </w:r>
      <w:r w:rsidRPr="00E2546F">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rsidR="00D22D6C" w:rsidRPr="00E2546F" w:rsidRDefault="00D22D6C" w:rsidP="00D22D6C">
      <w:pPr>
        <w:ind w:left="567" w:right="616"/>
        <w:rPr>
          <w:rFonts w:eastAsia="Arial Unicode MS" w:cs="Arial"/>
          <w:i/>
          <w:sz w:val="22"/>
        </w:rPr>
      </w:pPr>
    </w:p>
    <w:p w:rsidR="00D22D6C" w:rsidRPr="00E2546F" w:rsidRDefault="00D22D6C" w:rsidP="00D22D6C">
      <w:pPr>
        <w:ind w:left="567" w:right="616"/>
        <w:rPr>
          <w:rFonts w:eastAsia="Arial Unicode MS" w:cs="Arial"/>
          <w:i/>
          <w:sz w:val="22"/>
        </w:rPr>
      </w:pPr>
      <w:r w:rsidRPr="00E2546F">
        <w:rPr>
          <w:rFonts w:eastAsia="Arial Unicode MS" w:cs="Arial"/>
          <w:i/>
          <w:sz w:val="22"/>
        </w:rPr>
        <w:t>El responsable podrá tratar datos personales para finalidades distintas a aquéllas establecidas en el aviso de privacidad, en los casos siguientes:</w:t>
      </w:r>
    </w:p>
    <w:p w:rsidR="00D22D6C" w:rsidRPr="00E2546F" w:rsidRDefault="00D22D6C" w:rsidP="00D22D6C">
      <w:pPr>
        <w:ind w:left="567" w:right="616"/>
        <w:rPr>
          <w:rFonts w:eastAsia="Arial Unicode MS" w:cs="Arial"/>
          <w:i/>
          <w:sz w:val="22"/>
        </w:rPr>
      </w:pPr>
    </w:p>
    <w:p w:rsidR="00D22D6C" w:rsidRPr="00E2546F" w:rsidRDefault="00D22D6C" w:rsidP="00D22D6C">
      <w:pPr>
        <w:ind w:left="567" w:right="616"/>
        <w:rPr>
          <w:rFonts w:eastAsia="Arial Unicode MS" w:cs="Arial"/>
          <w:i/>
          <w:sz w:val="22"/>
        </w:rPr>
      </w:pPr>
      <w:r w:rsidRPr="00E2546F">
        <w:rPr>
          <w:rFonts w:eastAsia="Arial Unicode MS" w:cs="Arial"/>
          <w:i/>
          <w:sz w:val="22"/>
        </w:rPr>
        <w:t>I. Cuente con atribuciones conferidas en ley y medie el consentimiento del titular.</w:t>
      </w:r>
    </w:p>
    <w:p w:rsidR="00D22D6C" w:rsidRPr="00E2546F" w:rsidRDefault="00D22D6C" w:rsidP="00D22D6C">
      <w:pPr>
        <w:ind w:left="567" w:right="616"/>
        <w:rPr>
          <w:rFonts w:eastAsia="Arial Unicode MS" w:cs="Arial"/>
          <w:i/>
          <w:sz w:val="22"/>
        </w:rPr>
      </w:pPr>
      <w:r w:rsidRPr="00E2546F">
        <w:rPr>
          <w:rFonts w:eastAsia="Arial Unicode MS" w:cs="Arial"/>
          <w:i/>
          <w:sz w:val="22"/>
        </w:rPr>
        <w:t>II. Se trate de una persona reportada como desaparecida, en los términos previstos en la presente Ley y demás disposiciones legales aplicables...</w:t>
      </w:r>
    </w:p>
    <w:p w:rsidR="00D22D6C" w:rsidRPr="00E2546F" w:rsidRDefault="00D22D6C" w:rsidP="00D22D6C">
      <w:pPr>
        <w:ind w:left="567" w:right="616"/>
        <w:rPr>
          <w:rFonts w:eastAsia="Arial Unicode MS" w:cs="Arial"/>
          <w:i/>
          <w:sz w:val="22"/>
        </w:rPr>
      </w:pPr>
      <w:r w:rsidRPr="00E2546F">
        <w:rPr>
          <w:rFonts w:eastAsia="Arial Unicode MS" w:cs="Arial"/>
          <w:b/>
          <w:i/>
          <w:sz w:val="22"/>
        </w:rPr>
        <w:t>Artículo</w:t>
      </w:r>
      <w:r w:rsidRPr="00E2546F">
        <w:rPr>
          <w:rFonts w:eastAsia="Arial Unicode MS" w:cs="Arial"/>
          <w:i/>
          <w:sz w:val="22"/>
        </w:rPr>
        <w:t xml:space="preserve"> </w:t>
      </w:r>
      <w:r w:rsidRPr="00E2546F">
        <w:rPr>
          <w:rFonts w:eastAsia="Arial Unicode MS" w:cs="Arial"/>
          <w:b/>
          <w:i/>
          <w:sz w:val="22"/>
        </w:rPr>
        <w:t>38</w:t>
      </w:r>
      <w:r w:rsidRPr="00E2546F">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D22D6C" w:rsidRPr="00E2546F" w:rsidRDefault="00D22D6C" w:rsidP="00D22D6C">
      <w:pPr>
        <w:ind w:left="567" w:right="616"/>
        <w:rPr>
          <w:rFonts w:eastAsia="Arial Unicode MS" w:cs="Arial"/>
          <w:i/>
        </w:rPr>
      </w:pPr>
    </w:p>
    <w:p w:rsidR="00D22D6C" w:rsidRPr="00E2546F" w:rsidRDefault="00D22D6C" w:rsidP="00D22D6C">
      <w:pPr>
        <w:rPr>
          <w:szCs w:val="24"/>
        </w:rPr>
      </w:pPr>
      <w:r w:rsidRPr="00E2546F">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D22D6C" w:rsidRPr="00E2546F" w:rsidRDefault="00D22D6C" w:rsidP="00D22D6C">
      <w:pPr>
        <w:rPr>
          <w:szCs w:val="24"/>
        </w:rPr>
      </w:pPr>
    </w:p>
    <w:p w:rsidR="00D22D6C" w:rsidRPr="007E6244" w:rsidRDefault="00D22D6C" w:rsidP="00D22D6C">
      <w:pPr>
        <w:rPr>
          <w:rFonts w:eastAsia="Arial Unicode MS"/>
          <w:szCs w:val="24"/>
        </w:rPr>
      </w:pPr>
      <w:r w:rsidRPr="00E2546F">
        <w:rPr>
          <w:rFonts w:eastAsia="Arial Unicode MS"/>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2546F">
        <w:rPr>
          <w:rFonts w:eastAsia="Arial Unicode MS"/>
          <w:color w:val="000000"/>
          <w:szCs w:val="24"/>
        </w:rPr>
        <w:t>el Sujeto Obligado</w:t>
      </w:r>
      <w:r w:rsidRPr="00E2546F">
        <w:rPr>
          <w:rFonts w:eastAsia="Arial Unicode MS"/>
          <w:szCs w:val="24"/>
        </w:rPr>
        <w:t xml:space="preserve">, en ese contexto, todo dato personal susceptible de clasificación debe ser protegido. </w:t>
      </w:r>
    </w:p>
    <w:p w:rsidR="00D22D6C" w:rsidRPr="00E2546F" w:rsidRDefault="00D22D6C" w:rsidP="00D22D6C">
      <w:pPr>
        <w:rPr>
          <w:rFonts w:cs="Tahoma"/>
          <w:b/>
          <w:bCs/>
          <w:iCs/>
          <w:color w:val="000000"/>
        </w:rPr>
      </w:pPr>
    </w:p>
    <w:p w:rsidR="00D22D6C" w:rsidRPr="00E2546F" w:rsidRDefault="00D22D6C" w:rsidP="00D22D6C">
      <w:pPr>
        <w:rPr>
          <w:szCs w:val="24"/>
        </w:rPr>
      </w:pPr>
      <w:r w:rsidRPr="00E2546F">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22D6C" w:rsidRPr="00E2546F" w:rsidRDefault="00D22D6C" w:rsidP="00D22D6C">
      <w:pPr>
        <w:rPr>
          <w:szCs w:val="24"/>
        </w:rPr>
      </w:pPr>
    </w:p>
    <w:p w:rsidR="00D22D6C" w:rsidRPr="00E2546F" w:rsidRDefault="00D22D6C" w:rsidP="00D22D6C">
      <w:pPr>
        <w:rPr>
          <w:szCs w:val="24"/>
        </w:rPr>
      </w:pPr>
      <w:r w:rsidRPr="00E2546F">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E2546F">
        <w:rPr>
          <w:szCs w:val="24"/>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22D6C" w:rsidRPr="00E2546F" w:rsidRDefault="00D22D6C" w:rsidP="00D22D6C">
      <w:pPr>
        <w:rPr>
          <w:szCs w:val="24"/>
        </w:rPr>
      </w:pPr>
    </w:p>
    <w:p w:rsidR="00D22D6C" w:rsidRPr="007E6244" w:rsidRDefault="00D22D6C" w:rsidP="00D22D6C">
      <w:pPr>
        <w:rPr>
          <w:szCs w:val="24"/>
        </w:rPr>
      </w:pPr>
      <w:r w:rsidRPr="00E2546F">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D22D6C" w:rsidRPr="00E2546F" w:rsidRDefault="00D22D6C" w:rsidP="00D22D6C">
      <w:pPr>
        <w:ind w:left="567" w:right="616"/>
        <w:rPr>
          <w:i/>
          <w:sz w:val="22"/>
        </w:rPr>
      </w:pPr>
      <w:r w:rsidRPr="00E2546F">
        <w:rPr>
          <w:b/>
          <w:i/>
          <w:sz w:val="22"/>
        </w:rPr>
        <w:t xml:space="preserve">Artículo 49. </w:t>
      </w:r>
      <w:r w:rsidRPr="00E2546F">
        <w:rPr>
          <w:i/>
          <w:sz w:val="22"/>
        </w:rPr>
        <w:t>Los Comités de Transparencia tendrán las siguientes atribuciones:</w:t>
      </w:r>
    </w:p>
    <w:p w:rsidR="00D22D6C" w:rsidRPr="00E2546F" w:rsidRDefault="00D22D6C" w:rsidP="00D22D6C">
      <w:pPr>
        <w:ind w:left="567" w:right="616"/>
        <w:rPr>
          <w:bCs/>
          <w:i/>
          <w:sz w:val="22"/>
        </w:rPr>
      </w:pPr>
      <w:r w:rsidRPr="00E2546F">
        <w:rPr>
          <w:bCs/>
          <w:i/>
          <w:sz w:val="22"/>
        </w:rPr>
        <w:t>(…)</w:t>
      </w:r>
    </w:p>
    <w:p w:rsidR="00D22D6C" w:rsidRPr="00E2546F" w:rsidRDefault="00D22D6C" w:rsidP="00D22D6C">
      <w:pPr>
        <w:ind w:left="567" w:right="616"/>
        <w:rPr>
          <w:i/>
          <w:sz w:val="22"/>
        </w:rPr>
      </w:pPr>
      <w:r w:rsidRPr="00E2546F">
        <w:rPr>
          <w:b/>
          <w:i/>
          <w:sz w:val="22"/>
        </w:rPr>
        <w:t>VIII.</w:t>
      </w:r>
      <w:r w:rsidRPr="00E2546F">
        <w:rPr>
          <w:i/>
          <w:sz w:val="22"/>
        </w:rPr>
        <w:t xml:space="preserve"> Aprobar, modificar o revocar la clasificación de la información;</w:t>
      </w:r>
    </w:p>
    <w:p w:rsidR="00D22D6C" w:rsidRPr="00E2546F" w:rsidRDefault="00D22D6C" w:rsidP="00D22D6C">
      <w:pPr>
        <w:ind w:left="567" w:right="616"/>
        <w:rPr>
          <w:bCs/>
          <w:i/>
          <w:sz w:val="22"/>
        </w:rPr>
      </w:pPr>
      <w:r w:rsidRPr="00E2546F">
        <w:rPr>
          <w:bCs/>
          <w:i/>
          <w:sz w:val="22"/>
        </w:rPr>
        <w:t>(…)</w:t>
      </w:r>
    </w:p>
    <w:p w:rsidR="00D22D6C" w:rsidRPr="00E2546F" w:rsidRDefault="00D22D6C" w:rsidP="00D22D6C">
      <w:pPr>
        <w:ind w:left="567" w:right="616"/>
        <w:rPr>
          <w:i/>
          <w:sz w:val="22"/>
        </w:rPr>
      </w:pPr>
    </w:p>
    <w:p w:rsidR="00D22D6C" w:rsidRPr="00E2546F" w:rsidRDefault="00D22D6C" w:rsidP="00D22D6C">
      <w:pPr>
        <w:ind w:left="567" w:right="616"/>
        <w:rPr>
          <w:i/>
          <w:sz w:val="22"/>
        </w:rPr>
      </w:pPr>
      <w:r w:rsidRPr="00E2546F">
        <w:rPr>
          <w:b/>
          <w:i/>
          <w:sz w:val="22"/>
        </w:rPr>
        <w:t>Artículo 132.</w:t>
      </w:r>
      <w:r w:rsidRPr="00E2546F">
        <w:rPr>
          <w:i/>
          <w:sz w:val="22"/>
        </w:rPr>
        <w:t xml:space="preserve"> La clasificación de la información se llevará a cabo en el momento en que:</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I.</w:t>
      </w:r>
      <w:r w:rsidRPr="00E2546F">
        <w:rPr>
          <w:i/>
          <w:sz w:val="22"/>
        </w:rPr>
        <w:t xml:space="preserve"> Se reciba una solicitud de acceso a la información;</w:t>
      </w:r>
    </w:p>
    <w:p w:rsidR="00D22D6C" w:rsidRPr="00E2546F" w:rsidRDefault="00D22D6C" w:rsidP="00D22D6C">
      <w:pPr>
        <w:ind w:left="567" w:right="616"/>
        <w:rPr>
          <w:i/>
          <w:sz w:val="22"/>
        </w:rPr>
      </w:pPr>
      <w:r w:rsidRPr="00E2546F">
        <w:rPr>
          <w:b/>
          <w:i/>
          <w:sz w:val="22"/>
        </w:rPr>
        <w:t>II.</w:t>
      </w:r>
      <w:r w:rsidRPr="00E2546F">
        <w:rPr>
          <w:i/>
          <w:sz w:val="22"/>
        </w:rPr>
        <w:t xml:space="preserve"> Se determine mediante resolución de autoridad competente; o</w:t>
      </w:r>
    </w:p>
    <w:p w:rsidR="00D22D6C" w:rsidRPr="00E2546F" w:rsidRDefault="00D22D6C" w:rsidP="00D22D6C">
      <w:pPr>
        <w:ind w:left="567" w:right="616"/>
        <w:rPr>
          <w:b/>
          <w:i/>
          <w:sz w:val="22"/>
        </w:rPr>
      </w:pPr>
      <w:r w:rsidRPr="00E2546F">
        <w:rPr>
          <w:b/>
          <w:bCs/>
          <w:i/>
          <w:sz w:val="22"/>
        </w:rPr>
        <w:t>III.</w:t>
      </w:r>
      <w:r w:rsidRPr="00E2546F">
        <w:rPr>
          <w:i/>
          <w:sz w:val="22"/>
        </w:rPr>
        <w:t xml:space="preserve"> Se generen versiones públicas para dar cumplimiento a las obligaciones de transparencia previstas en esta Ley.</w:t>
      </w:r>
      <w:r w:rsidRPr="00E2546F">
        <w:rPr>
          <w:b/>
          <w:i/>
          <w:sz w:val="22"/>
        </w:rPr>
        <w:t>”</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lastRenderedPageBreak/>
        <w:t>Segundo.-</w:t>
      </w:r>
      <w:r w:rsidRPr="00E2546F">
        <w:rPr>
          <w:i/>
          <w:sz w:val="22"/>
        </w:rPr>
        <w:t xml:space="preserve"> Para efectos de los presentes Lineamientos Generales, se entenderá por:</w:t>
      </w:r>
    </w:p>
    <w:p w:rsidR="00D22D6C" w:rsidRPr="00E2546F" w:rsidRDefault="00D22D6C" w:rsidP="00D22D6C">
      <w:pPr>
        <w:ind w:left="567" w:right="616"/>
        <w:rPr>
          <w:i/>
          <w:sz w:val="22"/>
        </w:rPr>
      </w:pPr>
      <w:r w:rsidRPr="00E2546F">
        <w:rPr>
          <w:b/>
          <w:i/>
          <w:sz w:val="22"/>
        </w:rPr>
        <w:t>XVIII.</w:t>
      </w:r>
      <w:r w:rsidRPr="00E2546F">
        <w:rPr>
          <w:i/>
          <w:sz w:val="22"/>
        </w:rPr>
        <w:t xml:space="preserve"> </w:t>
      </w:r>
      <w:r w:rsidRPr="00E2546F">
        <w:rPr>
          <w:b/>
          <w:i/>
          <w:sz w:val="22"/>
        </w:rPr>
        <w:t>Versión pública:</w:t>
      </w:r>
      <w:r w:rsidRPr="00E2546F">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22D6C" w:rsidRPr="00E2546F" w:rsidRDefault="00D22D6C" w:rsidP="00D22D6C">
      <w:pPr>
        <w:ind w:left="567" w:right="616"/>
        <w:rPr>
          <w:i/>
          <w:sz w:val="22"/>
        </w:rPr>
      </w:pPr>
      <w:r w:rsidRPr="00E2546F">
        <w:rPr>
          <w:b/>
          <w:i/>
          <w:sz w:val="22"/>
        </w:rPr>
        <w:t>Cuarto.</w:t>
      </w:r>
      <w:r w:rsidRPr="00E2546F">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22D6C" w:rsidRPr="00E2546F" w:rsidRDefault="00D22D6C" w:rsidP="00D22D6C">
      <w:pPr>
        <w:ind w:left="567" w:right="616"/>
        <w:rPr>
          <w:i/>
          <w:sz w:val="22"/>
        </w:rPr>
      </w:pPr>
      <w:r w:rsidRPr="00E2546F">
        <w:rPr>
          <w:i/>
          <w:sz w:val="22"/>
        </w:rPr>
        <w:t>Los Sujetos Obligados deberán aplicar, de manera estricta, las excepciones al derecho de acceso a la información y sólo podrán invocarlas cuando acrediten su procedencia.</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Quinto.</w:t>
      </w:r>
      <w:r w:rsidRPr="00E2546F">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Sexto.</w:t>
      </w:r>
      <w:r w:rsidRPr="00E2546F">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22D6C" w:rsidRPr="00E2546F" w:rsidRDefault="00D22D6C" w:rsidP="00D22D6C">
      <w:pPr>
        <w:ind w:left="567" w:right="616"/>
        <w:rPr>
          <w:i/>
          <w:sz w:val="22"/>
        </w:rPr>
      </w:pPr>
      <w:r w:rsidRPr="00E2546F">
        <w:rPr>
          <w:i/>
          <w:sz w:val="22"/>
        </w:rPr>
        <w:lastRenderedPageBreak/>
        <w:t>La clasificación de información se realizará conforme a un análisis caso por caso, mediante la aplicación de la prueba de daño y de interés público.</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Séptimo.</w:t>
      </w:r>
      <w:r w:rsidRPr="00E2546F">
        <w:rPr>
          <w:i/>
          <w:sz w:val="22"/>
        </w:rPr>
        <w:t xml:space="preserve"> La clasificación de la información se llevará a cabo en el momento en que:</w:t>
      </w:r>
    </w:p>
    <w:p w:rsidR="00D22D6C" w:rsidRPr="00E2546F" w:rsidRDefault="00D22D6C" w:rsidP="00D22D6C">
      <w:pPr>
        <w:ind w:left="567" w:right="616"/>
        <w:rPr>
          <w:i/>
          <w:sz w:val="22"/>
        </w:rPr>
      </w:pPr>
      <w:r w:rsidRPr="00E2546F">
        <w:rPr>
          <w:b/>
          <w:i/>
          <w:sz w:val="22"/>
        </w:rPr>
        <w:t>I.</w:t>
      </w:r>
      <w:r w:rsidRPr="00E2546F">
        <w:rPr>
          <w:i/>
          <w:sz w:val="22"/>
        </w:rPr>
        <w:t xml:space="preserve"> Se reciba una solicitud de acceso a la información;</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II.</w:t>
      </w:r>
      <w:r w:rsidRPr="00E2546F">
        <w:rPr>
          <w:i/>
          <w:sz w:val="22"/>
        </w:rPr>
        <w:t xml:space="preserve"> Se determine mediante resolución de autoridad competente, o</w:t>
      </w:r>
    </w:p>
    <w:p w:rsidR="00D22D6C" w:rsidRPr="00E2546F" w:rsidRDefault="00D22D6C" w:rsidP="00D22D6C">
      <w:pPr>
        <w:ind w:left="567" w:right="616"/>
        <w:rPr>
          <w:i/>
          <w:sz w:val="22"/>
        </w:rPr>
      </w:pPr>
      <w:r w:rsidRPr="00E2546F">
        <w:rPr>
          <w:b/>
          <w:i/>
          <w:sz w:val="22"/>
        </w:rPr>
        <w:t>III.</w:t>
      </w:r>
      <w:r w:rsidRPr="00E2546F">
        <w:rPr>
          <w:i/>
          <w:sz w:val="22"/>
        </w:rPr>
        <w:t xml:space="preserve"> Se generen versiones públicas para dar cumplimiento a las obligaciones de transparencia previstas en la Ley General, la Ley Federal y las correspondientes de las entidades federativas.</w:t>
      </w:r>
    </w:p>
    <w:p w:rsidR="00D22D6C" w:rsidRPr="00E24D97" w:rsidRDefault="00D22D6C" w:rsidP="00D22D6C">
      <w:pPr>
        <w:ind w:left="567" w:right="616"/>
        <w:rPr>
          <w:i/>
          <w:sz w:val="22"/>
        </w:rPr>
      </w:pPr>
      <w:r w:rsidRPr="00E2546F">
        <w:rPr>
          <w:i/>
          <w:sz w:val="22"/>
        </w:rPr>
        <w:t>Los titulares de las áreas deberán revisar la clasificación al momento de la recepción de una solicitud de acceso a la información, para verificar si encuadra en una causal de reserva o de confidencialidad.</w:t>
      </w:r>
    </w:p>
    <w:p w:rsidR="00D22D6C" w:rsidRPr="00E2546F" w:rsidRDefault="00D22D6C" w:rsidP="00D22D6C">
      <w:pPr>
        <w:ind w:left="567" w:right="616"/>
        <w:rPr>
          <w:i/>
          <w:sz w:val="22"/>
        </w:rPr>
      </w:pPr>
      <w:r w:rsidRPr="00E2546F">
        <w:rPr>
          <w:b/>
          <w:i/>
          <w:sz w:val="22"/>
        </w:rPr>
        <w:t>Octavo.</w:t>
      </w:r>
      <w:r w:rsidRPr="00E2546F">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22D6C" w:rsidRPr="00E2546F" w:rsidRDefault="00D22D6C" w:rsidP="00D22D6C">
      <w:pPr>
        <w:ind w:left="567" w:right="616"/>
        <w:rPr>
          <w:i/>
          <w:sz w:val="22"/>
        </w:rPr>
      </w:pPr>
      <w:r w:rsidRPr="00E2546F">
        <w:rPr>
          <w:i/>
          <w:sz w:val="22"/>
        </w:rPr>
        <w:t>Para motivar la clasificación se deberán señalar las razones o circunstancias especiales que lo llevaron a concluir que el caso particular se ajusta al supuesto previsto por la norma legal invocada como fundamento.</w:t>
      </w:r>
    </w:p>
    <w:p w:rsidR="00D22D6C" w:rsidRPr="00E2546F" w:rsidRDefault="00D22D6C" w:rsidP="00D22D6C">
      <w:pPr>
        <w:ind w:left="567" w:right="616"/>
        <w:rPr>
          <w:i/>
          <w:sz w:val="22"/>
        </w:rPr>
      </w:pPr>
      <w:r w:rsidRPr="00E2546F">
        <w:rPr>
          <w:i/>
          <w:sz w:val="22"/>
        </w:rPr>
        <w:t>En caso de referirse a información reservada, la motivación de la clasificación también deberá comprender las circunstancias que justifican el establecimiento de determinado plazo de reserva.</w:t>
      </w:r>
    </w:p>
    <w:p w:rsidR="00D22D6C" w:rsidRPr="00E2546F" w:rsidRDefault="00D22D6C" w:rsidP="00D22D6C">
      <w:pPr>
        <w:ind w:left="567" w:right="616"/>
        <w:rPr>
          <w:i/>
          <w:sz w:val="22"/>
        </w:rPr>
      </w:pPr>
    </w:p>
    <w:p w:rsidR="00D22D6C" w:rsidRPr="00E2546F" w:rsidRDefault="00D22D6C" w:rsidP="00D22D6C">
      <w:pPr>
        <w:ind w:left="567" w:right="616"/>
        <w:rPr>
          <w:i/>
          <w:sz w:val="22"/>
        </w:rPr>
      </w:pPr>
      <w:r w:rsidRPr="00E2546F">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D22D6C" w:rsidRPr="00E2546F" w:rsidRDefault="00D22D6C" w:rsidP="00D22D6C">
      <w:pPr>
        <w:ind w:left="567" w:right="616"/>
        <w:rPr>
          <w:i/>
          <w:sz w:val="22"/>
        </w:rPr>
      </w:pPr>
      <w:r w:rsidRPr="00E2546F">
        <w:rPr>
          <w:i/>
          <w:sz w:val="22"/>
        </w:rPr>
        <w:lastRenderedPageBreak/>
        <w:t>Los documentos contenidos en los archivos históricos y los identificados como históricos confidenciales no serán susceptibles de clasificación como reservados.</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Noveno.</w:t>
      </w:r>
      <w:r w:rsidRPr="00E2546F">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22D6C" w:rsidRPr="00E2546F" w:rsidRDefault="00D22D6C" w:rsidP="00D22D6C">
      <w:pPr>
        <w:ind w:left="567" w:right="616"/>
        <w:rPr>
          <w:b/>
          <w:i/>
          <w:sz w:val="22"/>
        </w:rPr>
      </w:pPr>
    </w:p>
    <w:p w:rsidR="00D22D6C" w:rsidRPr="00E2546F" w:rsidRDefault="00D22D6C" w:rsidP="00D22D6C">
      <w:pPr>
        <w:ind w:left="567" w:right="616"/>
        <w:rPr>
          <w:i/>
          <w:sz w:val="22"/>
        </w:rPr>
      </w:pPr>
      <w:r w:rsidRPr="00E2546F">
        <w:rPr>
          <w:b/>
          <w:i/>
          <w:sz w:val="22"/>
        </w:rPr>
        <w:t>Décimo.</w:t>
      </w:r>
      <w:r w:rsidRPr="00E2546F">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22D6C" w:rsidRPr="00E2546F" w:rsidRDefault="00D22D6C" w:rsidP="00D22D6C">
      <w:pPr>
        <w:ind w:left="567" w:right="616"/>
        <w:rPr>
          <w:i/>
          <w:sz w:val="22"/>
        </w:rPr>
      </w:pPr>
      <w:r w:rsidRPr="00E2546F">
        <w:rPr>
          <w:i/>
          <w:sz w:val="22"/>
        </w:rPr>
        <w:t>En ausencia de los titulares de las áreas, la información será clasificada o desclasificada por la persona que lo supla, en términos de la normativa que rija la actuación del sujeto obligado.</w:t>
      </w:r>
    </w:p>
    <w:p w:rsidR="00D22D6C" w:rsidRPr="00E2546F" w:rsidRDefault="00D22D6C" w:rsidP="00D22D6C">
      <w:pPr>
        <w:ind w:left="567" w:right="616"/>
        <w:rPr>
          <w:b/>
          <w:i/>
          <w:sz w:val="22"/>
        </w:rPr>
      </w:pPr>
    </w:p>
    <w:p w:rsidR="00D22D6C" w:rsidRPr="00E2546F" w:rsidRDefault="00D22D6C" w:rsidP="00D22D6C">
      <w:pPr>
        <w:ind w:left="567" w:right="616"/>
        <w:rPr>
          <w:b/>
          <w:sz w:val="22"/>
        </w:rPr>
      </w:pPr>
      <w:r w:rsidRPr="00E2546F">
        <w:rPr>
          <w:b/>
          <w:i/>
          <w:sz w:val="22"/>
        </w:rPr>
        <w:t>Décimo primero.</w:t>
      </w:r>
      <w:r w:rsidRPr="00E2546F">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22D6C" w:rsidRPr="00E2546F" w:rsidRDefault="00D22D6C" w:rsidP="00D22D6C">
      <w:pPr>
        <w:rPr>
          <w:rFonts w:cs="Arial"/>
          <w:i/>
          <w:szCs w:val="24"/>
        </w:rPr>
      </w:pPr>
    </w:p>
    <w:p w:rsidR="00D22D6C" w:rsidRPr="00E2546F" w:rsidRDefault="00D22D6C" w:rsidP="00D22D6C">
      <w:pPr>
        <w:rPr>
          <w:szCs w:val="24"/>
        </w:rPr>
      </w:pPr>
      <w:r w:rsidRPr="00E2546F">
        <w:rPr>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E2546F">
        <w:rPr>
          <w:szCs w:val="24"/>
        </w:rPr>
        <w:lastRenderedPageBreak/>
        <w:t>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D22D6C" w:rsidRPr="00E2546F" w:rsidRDefault="00D22D6C" w:rsidP="00D22D6C">
      <w:pPr>
        <w:rPr>
          <w:szCs w:val="24"/>
        </w:rPr>
      </w:pPr>
    </w:p>
    <w:p w:rsidR="00D22D6C" w:rsidRPr="00E2546F" w:rsidRDefault="00D22D6C" w:rsidP="00D22D6C">
      <w:pPr>
        <w:rPr>
          <w:szCs w:val="24"/>
        </w:rPr>
      </w:pPr>
      <w:r w:rsidRPr="00E2546F">
        <w:rPr>
          <w:szCs w:val="24"/>
        </w:rPr>
        <w:t>Por tanto, la fundamentación y motivación consiste en la obligación que tiene todo ente público de expresar los preceptos jurídicos aplicables al asunto motivo del acto y las razones o argumentos de su actuar.</w:t>
      </w:r>
      <w:r>
        <w:rPr>
          <w:szCs w:val="24"/>
        </w:rPr>
        <w:t xml:space="preserve"> </w:t>
      </w:r>
      <w:r w:rsidRPr="00E2546F">
        <w:rPr>
          <w:szCs w:val="24"/>
        </w:rPr>
        <w:t>Al respecto, el máximo tribunal del país ha establecido jurisprudencia respecto a qué debe entenderse por fundamentación y motivación, en los siguientes términos:</w:t>
      </w:r>
    </w:p>
    <w:p w:rsidR="00D22D6C" w:rsidRPr="00E2546F" w:rsidRDefault="00D22D6C" w:rsidP="00D22D6C">
      <w:pPr>
        <w:ind w:left="567" w:right="616"/>
        <w:rPr>
          <w:b/>
          <w:i/>
          <w:sz w:val="22"/>
        </w:rPr>
      </w:pPr>
      <w:r w:rsidRPr="00E2546F">
        <w:rPr>
          <w:b/>
          <w:i/>
          <w:sz w:val="22"/>
        </w:rPr>
        <w:t xml:space="preserve">FUNDAMENTACIÓN Y MOTIVACIÓN. </w:t>
      </w:r>
    </w:p>
    <w:p w:rsidR="00D22D6C" w:rsidRPr="00E2546F" w:rsidRDefault="00D22D6C" w:rsidP="00D22D6C">
      <w:pPr>
        <w:ind w:left="567" w:right="616"/>
        <w:rPr>
          <w:i/>
          <w:sz w:val="22"/>
        </w:rPr>
      </w:pPr>
      <w:r w:rsidRPr="00E2546F">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22D6C" w:rsidRPr="00E2546F" w:rsidRDefault="00D22D6C" w:rsidP="00D22D6C">
      <w:pPr>
        <w:ind w:left="567" w:right="616"/>
        <w:rPr>
          <w:i/>
          <w:sz w:val="22"/>
        </w:rPr>
      </w:pPr>
    </w:p>
    <w:p w:rsidR="00D22D6C" w:rsidRPr="00E2546F" w:rsidRDefault="00D22D6C" w:rsidP="00D22D6C">
      <w:pPr>
        <w:rPr>
          <w:szCs w:val="24"/>
        </w:rPr>
      </w:pPr>
      <w:r w:rsidRPr="00E2546F">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Pr>
          <w:szCs w:val="24"/>
        </w:rPr>
        <w:t xml:space="preserve"> </w:t>
      </w:r>
      <w:r w:rsidRPr="00E2546F">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22D6C" w:rsidRPr="00E2546F" w:rsidRDefault="00D22D6C" w:rsidP="00D22D6C">
      <w:pPr>
        <w:ind w:left="567" w:right="616"/>
        <w:rPr>
          <w:i/>
          <w:sz w:val="22"/>
        </w:rPr>
      </w:pPr>
      <w:r w:rsidRPr="00E2546F">
        <w:rPr>
          <w:b/>
          <w:i/>
          <w:sz w:val="22"/>
        </w:rPr>
        <w:lastRenderedPageBreak/>
        <w:t>FUNDAMENTACIÓN Y MOTIVACIÓN. EL ASPECTO FORMAL DE LA GARANTÍA Y SU FINALIDAD SE TRADUCEN EN EXPLICAR, JUSTIFICAR, POSIBILITAR LA DEFENSA Y COMUNICAR LA DECISIÓN</w:t>
      </w:r>
      <w:r w:rsidRPr="00E2546F">
        <w:rPr>
          <w:i/>
          <w:sz w:val="22"/>
        </w:rPr>
        <w:t xml:space="preserve">. </w:t>
      </w:r>
    </w:p>
    <w:p w:rsidR="00D22D6C" w:rsidRPr="00E2546F" w:rsidRDefault="00D22D6C" w:rsidP="00D22D6C">
      <w:pPr>
        <w:ind w:left="567" w:right="616"/>
        <w:rPr>
          <w:i/>
          <w:sz w:val="22"/>
        </w:rPr>
      </w:pPr>
      <w:r w:rsidRPr="00E2546F">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22D6C" w:rsidRPr="00E2546F" w:rsidRDefault="00D22D6C" w:rsidP="00D22D6C">
      <w:pPr>
        <w:rPr>
          <w:szCs w:val="24"/>
        </w:rPr>
      </w:pPr>
    </w:p>
    <w:p w:rsidR="00D22D6C" w:rsidRDefault="00D22D6C" w:rsidP="00D22D6C">
      <w:pPr>
        <w:rPr>
          <w:szCs w:val="24"/>
        </w:rPr>
      </w:pPr>
      <w:r w:rsidRPr="00E2546F">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22D6C" w:rsidRPr="00E2546F" w:rsidRDefault="00D22D6C" w:rsidP="00D22D6C">
      <w:pPr>
        <w:rPr>
          <w:szCs w:val="24"/>
        </w:rPr>
      </w:pPr>
    </w:p>
    <w:p w:rsidR="00D22D6C" w:rsidRPr="00E2546F" w:rsidRDefault="00D22D6C" w:rsidP="00D22D6C">
      <w:pPr>
        <w:rPr>
          <w:szCs w:val="24"/>
        </w:rPr>
      </w:pPr>
      <w:r w:rsidRPr="00E2546F">
        <w:rPr>
          <w:szCs w:val="24"/>
        </w:rPr>
        <w:lastRenderedPageBreak/>
        <w:t>Por lo tanto, la entrega de documentos en su versión pública debe acompañarse necesariamente del Acuerdo del Comité de Transparencia del Sujeto Obligado</w:t>
      </w:r>
      <w:r w:rsidRPr="00E2546F">
        <w:rPr>
          <w:b/>
          <w:szCs w:val="24"/>
        </w:rPr>
        <w:t xml:space="preserve"> </w:t>
      </w:r>
      <w:r w:rsidRPr="00E2546F">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D22D6C" w:rsidRPr="00E2546F" w:rsidRDefault="00D22D6C" w:rsidP="00D22D6C">
      <w:pPr>
        <w:rPr>
          <w:szCs w:val="24"/>
        </w:rPr>
      </w:pPr>
    </w:p>
    <w:p w:rsidR="00D22D6C" w:rsidRPr="00E2546F" w:rsidRDefault="00D22D6C" w:rsidP="00D22D6C">
      <w:pPr>
        <w:tabs>
          <w:tab w:val="left" w:pos="709"/>
        </w:tabs>
        <w:spacing w:before="240"/>
        <w:ind w:right="51"/>
      </w:pPr>
      <w:r w:rsidRPr="00E2546F">
        <w:rPr>
          <w:iCs/>
        </w:rPr>
        <w:t xml:space="preserve">En mérito de lo expuesto </w:t>
      </w:r>
      <w:r w:rsidRPr="00E2546F">
        <w:t>en líneas anteriores</w:t>
      </w:r>
      <w:r w:rsidRPr="00E2546F">
        <w:rPr>
          <w:b/>
        </w:rPr>
        <w:t xml:space="preserve">, </w:t>
      </w:r>
      <w:r w:rsidRPr="00E2546F">
        <w:t xml:space="preserve">con fundamento en el artículo 186 fracción III de la Ley de Transparencia y Acceso a la Información Pública del Estado de México y Municipios, se </w:t>
      </w:r>
      <w:r w:rsidRPr="00E2546F">
        <w:rPr>
          <w:b/>
        </w:rPr>
        <w:t xml:space="preserve">REVOCA </w:t>
      </w:r>
      <w:r w:rsidRPr="00E2546F">
        <w:t>la respuesta a la solicitud de información</w:t>
      </w:r>
      <w:r w:rsidRPr="00E2546F">
        <w:rPr>
          <w:b/>
          <w:bCs/>
        </w:rPr>
        <w:t xml:space="preserve"> </w:t>
      </w:r>
      <w:r w:rsidR="00157232" w:rsidRPr="00157232">
        <w:rPr>
          <w:b/>
          <w:bCs/>
        </w:rPr>
        <w:t>00208/CHALCO/IP/2025</w:t>
      </w:r>
      <w:r w:rsidRPr="00E2546F">
        <w:rPr>
          <w:b/>
          <w:bCs/>
        </w:rPr>
        <w:t xml:space="preserve">, </w:t>
      </w:r>
      <w:r w:rsidRPr="00E2546F">
        <w:t xml:space="preserve">que ha sido materia del presente fallo. </w:t>
      </w:r>
    </w:p>
    <w:p w:rsidR="00D22D6C" w:rsidRPr="00E2546F" w:rsidRDefault="00D22D6C" w:rsidP="00D22D6C">
      <w:pPr>
        <w:pStyle w:val="Prrafodelista"/>
        <w:spacing w:before="240" w:after="240"/>
        <w:ind w:left="0"/>
      </w:pPr>
      <w:r w:rsidRPr="00E2546F">
        <w:t xml:space="preserve">Por lo antes expuesto y fundado es de resolverse y, </w:t>
      </w:r>
    </w:p>
    <w:p w:rsidR="00D22D6C" w:rsidRPr="00E2546F" w:rsidRDefault="00D22D6C" w:rsidP="00D22D6C">
      <w:pPr>
        <w:pStyle w:val="Prrafodelista"/>
        <w:spacing w:before="240" w:after="240"/>
        <w:ind w:left="0"/>
      </w:pPr>
    </w:p>
    <w:p w:rsidR="00D22D6C" w:rsidRPr="00E2546F" w:rsidRDefault="00D22D6C" w:rsidP="00D22D6C">
      <w:pPr>
        <w:tabs>
          <w:tab w:val="left" w:pos="426"/>
        </w:tabs>
        <w:ind w:right="49"/>
        <w:contextualSpacing/>
        <w:jc w:val="center"/>
        <w:rPr>
          <w:b/>
          <w:sz w:val="28"/>
          <w:szCs w:val="28"/>
        </w:rPr>
      </w:pPr>
      <w:r w:rsidRPr="00E2546F">
        <w:rPr>
          <w:b/>
          <w:sz w:val="28"/>
          <w:szCs w:val="28"/>
        </w:rPr>
        <w:t>S E        R E S U E L V E</w:t>
      </w:r>
    </w:p>
    <w:p w:rsidR="00D22D6C" w:rsidRPr="00E2546F" w:rsidRDefault="00D22D6C" w:rsidP="00D22D6C">
      <w:pPr>
        <w:tabs>
          <w:tab w:val="left" w:pos="426"/>
        </w:tabs>
        <w:ind w:right="49"/>
        <w:contextualSpacing/>
      </w:pPr>
    </w:p>
    <w:p w:rsidR="00D22D6C" w:rsidRPr="00E2546F" w:rsidRDefault="00D22D6C" w:rsidP="00D22D6C">
      <w:pPr>
        <w:tabs>
          <w:tab w:val="left" w:pos="426"/>
        </w:tabs>
        <w:ind w:right="49"/>
        <w:contextualSpacing/>
      </w:pPr>
      <w:r w:rsidRPr="006645BB">
        <w:rPr>
          <w:b/>
          <w:sz w:val="28"/>
        </w:rPr>
        <w:lastRenderedPageBreak/>
        <w:t>PRIMERO.</w:t>
      </w:r>
      <w:r w:rsidRPr="006645BB">
        <w:rPr>
          <w:sz w:val="28"/>
        </w:rPr>
        <w:t xml:space="preserve"> </w:t>
      </w:r>
      <w:r w:rsidRPr="00E2546F">
        <w:rPr>
          <w:rFonts w:cs="Arial"/>
        </w:rPr>
        <w:t xml:space="preserve">Se </w:t>
      </w:r>
      <w:r w:rsidRPr="00E2546F">
        <w:rPr>
          <w:rFonts w:cs="Arial"/>
          <w:b/>
        </w:rPr>
        <w:t xml:space="preserve">REVOCA </w:t>
      </w:r>
      <w:r w:rsidRPr="00E2546F">
        <w:rPr>
          <w:rFonts w:cs="Arial"/>
        </w:rPr>
        <w:t xml:space="preserve">la respuesta entregada por </w:t>
      </w:r>
      <w:r w:rsidRPr="00E2546F">
        <w:rPr>
          <w:rFonts w:cs="Arial"/>
          <w:b/>
        </w:rPr>
        <w:t xml:space="preserve">EL SUJETO OBLIGADO, </w:t>
      </w:r>
      <w:r w:rsidRPr="00E2546F">
        <w:rPr>
          <w:rFonts w:cs="Arial"/>
        </w:rPr>
        <w:t xml:space="preserve">a la solicitud de información con número </w:t>
      </w:r>
      <w:r w:rsidR="00157232" w:rsidRPr="00157232">
        <w:rPr>
          <w:b/>
          <w:bCs/>
        </w:rPr>
        <w:t>00208/CHALCO/IP/2025</w:t>
      </w:r>
      <w:r w:rsidRPr="00E2546F">
        <w:rPr>
          <w:rFonts w:cs="Arial"/>
          <w:b/>
        </w:rPr>
        <w:t xml:space="preserve">, </w:t>
      </w:r>
      <w:r w:rsidRPr="00E2546F">
        <w:rPr>
          <w:rFonts w:cs="Arial"/>
        </w:rPr>
        <w:t xml:space="preserve">en términos del </w:t>
      </w:r>
      <w:r w:rsidRPr="00E2546F">
        <w:rPr>
          <w:rFonts w:cs="Arial"/>
          <w:b/>
        </w:rPr>
        <w:t xml:space="preserve">Considerando QUINTO </w:t>
      </w:r>
      <w:r w:rsidRPr="00E2546F">
        <w:rPr>
          <w:rFonts w:cs="Arial"/>
        </w:rPr>
        <w:t>de la presente resolución</w:t>
      </w:r>
      <w:r w:rsidRPr="00E2546F">
        <w:t xml:space="preserve">. </w:t>
      </w:r>
    </w:p>
    <w:p w:rsidR="00D22D6C" w:rsidRPr="00E2546F" w:rsidRDefault="00D22D6C" w:rsidP="00D22D6C">
      <w:pPr>
        <w:tabs>
          <w:tab w:val="left" w:pos="426"/>
        </w:tabs>
        <w:ind w:right="49"/>
        <w:contextualSpacing/>
      </w:pPr>
    </w:p>
    <w:p w:rsidR="00D22D6C" w:rsidRPr="00E2546F" w:rsidRDefault="00D22D6C" w:rsidP="00D22D6C">
      <w:pPr>
        <w:tabs>
          <w:tab w:val="left" w:pos="426"/>
        </w:tabs>
        <w:ind w:right="49"/>
        <w:contextualSpacing/>
      </w:pPr>
      <w:r w:rsidRPr="00E2546F">
        <w:rPr>
          <w:b/>
          <w:sz w:val="28"/>
          <w:szCs w:val="28"/>
        </w:rPr>
        <w:t>SEGUNDO</w:t>
      </w:r>
      <w:r w:rsidRPr="00E2546F">
        <w:rPr>
          <w:b/>
          <w:bCs/>
        </w:rPr>
        <w:t>.</w:t>
      </w:r>
      <w:r w:rsidRPr="00E2546F">
        <w:t xml:space="preserve"> Se </w:t>
      </w:r>
      <w:r w:rsidRPr="00E2546F">
        <w:rPr>
          <w:b/>
        </w:rPr>
        <w:t xml:space="preserve">ORDENA </w:t>
      </w:r>
      <w:r w:rsidRPr="00E2546F">
        <w:t xml:space="preserve">al </w:t>
      </w:r>
      <w:r w:rsidRPr="00E2546F">
        <w:rPr>
          <w:b/>
        </w:rPr>
        <w:t>SUJETO OBLIGADO</w:t>
      </w:r>
      <w:r w:rsidRPr="00E2546F">
        <w:t xml:space="preserve">, haga entrega al Recurrente en términos del considerando </w:t>
      </w:r>
      <w:r w:rsidRPr="00E2546F">
        <w:rPr>
          <w:b/>
          <w:bCs/>
        </w:rPr>
        <w:t xml:space="preserve">QUINTO </w:t>
      </w:r>
      <w:r w:rsidRPr="00E2546F">
        <w:t xml:space="preserve">de la presente Resolución, a través del Sistema de Acceso a la Información Mexiquense (SAIMEX), </w:t>
      </w:r>
      <w:r w:rsidR="005C3C3C">
        <w:t xml:space="preserve">de ser procedente </w:t>
      </w:r>
      <w:r>
        <w:t xml:space="preserve">en </w:t>
      </w:r>
      <w:r w:rsidRPr="00E2546F">
        <w:t>versión pública de, de lo siguiente:</w:t>
      </w:r>
    </w:p>
    <w:p w:rsidR="00D22D6C" w:rsidRDefault="005C3C3C" w:rsidP="005C3C3C">
      <w:pPr>
        <w:pStyle w:val="Prrafodelista"/>
        <w:numPr>
          <w:ilvl w:val="0"/>
          <w:numId w:val="12"/>
        </w:numPr>
        <w:pBdr>
          <w:top w:val="nil"/>
          <w:left w:val="nil"/>
          <w:bottom w:val="nil"/>
          <w:right w:val="nil"/>
          <w:between w:val="nil"/>
        </w:pBdr>
        <w:rPr>
          <w:color w:val="000000"/>
          <w:szCs w:val="24"/>
        </w:rPr>
      </w:pPr>
      <w:r>
        <w:rPr>
          <w:color w:val="000000"/>
          <w:szCs w:val="24"/>
        </w:rPr>
        <w:t xml:space="preserve">Dispersión de nómina de los trabajadores adscritos al Sujeto Obligado del primero de enero </w:t>
      </w:r>
      <w:r w:rsidR="00157232">
        <w:rPr>
          <w:color w:val="000000"/>
          <w:szCs w:val="24"/>
        </w:rPr>
        <w:t>de dos mil veinticuatro al treinta de septiembre de dos mil veinticinco.</w:t>
      </w:r>
    </w:p>
    <w:p w:rsidR="005C3C3C" w:rsidRPr="001771FE" w:rsidRDefault="005C3C3C" w:rsidP="001771FE">
      <w:pPr>
        <w:pBdr>
          <w:top w:val="nil"/>
          <w:left w:val="nil"/>
          <w:bottom w:val="nil"/>
          <w:right w:val="nil"/>
          <w:between w:val="nil"/>
        </w:pBdr>
        <w:rPr>
          <w:rFonts w:eastAsia="Palatino Linotype" w:cs="Palatino Linotype"/>
          <w:color w:val="000000"/>
        </w:rPr>
      </w:pPr>
    </w:p>
    <w:p w:rsidR="00D22D6C" w:rsidRPr="005C3C3C" w:rsidRDefault="00D22D6C" w:rsidP="005C3C3C">
      <w:pPr>
        <w:pStyle w:val="Prrafodelista"/>
        <w:tabs>
          <w:tab w:val="left" w:pos="426"/>
        </w:tabs>
        <w:ind w:left="1071" w:right="49"/>
        <w:rPr>
          <w:i/>
          <w:sz w:val="22"/>
        </w:rPr>
      </w:pPr>
      <w:r w:rsidRPr="00E2546F">
        <w:rPr>
          <w:i/>
          <w:sz w:val="22"/>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5C3C3C" w:rsidRPr="00E2546F" w:rsidRDefault="005C3C3C" w:rsidP="00D22D6C">
      <w:pPr>
        <w:rPr>
          <w:rFonts w:eastAsia="Arial Unicode MS" w:cs="Arial"/>
        </w:rPr>
      </w:pPr>
    </w:p>
    <w:p w:rsidR="00D22D6C" w:rsidRPr="00E2546F" w:rsidRDefault="00D22D6C" w:rsidP="00D22D6C">
      <w:pPr>
        <w:rPr>
          <w:b/>
        </w:rPr>
      </w:pPr>
      <w:r w:rsidRPr="00E2546F">
        <w:rPr>
          <w:b/>
        </w:rPr>
        <w:t>TERCERO. Notifíquese</w:t>
      </w:r>
      <w:r w:rsidRPr="00E2546F">
        <w:t xml:space="preserve"> al Titular de la Unidad de Transparencia del </w:t>
      </w:r>
      <w:r w:rsidRPr="00E2546F">
        <w:rPr>
          <w:b/>
        </w:rPr>
        <w:t>Sujeto Obligado</w:t>
      </w:r>
      <w:r w:rsidRPr="00E2546F">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w:t>
      </w:r>
      <w:r w:rsidRPr="00E2546F">
        <w:lastRenderedPageBreak/>
        <w:t xml:space="preserve">sobre el cumplimiento dado a la presente, y </w:t>
      </w:r>
      <w:r w:rsidRPr="00E2546F">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22D6C" w:rsidRPr="00E2546F" w:rsidRDefault="00D22D6C" w:rsidP="00D22D6C"/>
    <w:p w:rsidR="00D22D6C" w:rsidRPr="00E2546F" w:rsidRDefault="00D22D6C" w:rsidP="00D22D6C">
      <w:r w:rsidRPr="00E2546F">
        <w:rPr>
          <w:b/>
        </w:rPr>
        <w:t>CUARTO.</w:t>
      </w:r>
      <w:r w:rsidRPr="00E2546F">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rsidR="00D22D6C" w:rsidRPr="00E2546F" w:rsidRDefault="00D22D6C" w:rsidP="00D22D6C"/>
    <w:p w:rsidR="00D22D6C" w:rsidRPr="00E2546F" w:rsidRDefault="00D22D6C" w:rsidP="00D22D6C">
      <w:pPr>
        <w:rPr>
          <w:rFonts w:eastAsia="Arial Unicode MS" w:cs="Arial"/>
        </w:rPr>
      </w:pPr>
      <w:r w:rsidRPr="00E2546F">
        <w:rPr>
          <w:b/>
        </w:rPr>
        <w:t>QUINTO.</w:t>
      </w:r>
      <w:r w:rsidRPr="00E2546F">
        <w:t xml:space="preserve"> </w:t>
      </w:r>
      <w:r w:rsidRPr="00E2546F">
        <w:rPr>
          <w:b/>
        </w:rPr>
        <w:t>Notifíquese al Recurrente</w:t>
      </w:r>
      <w:r w:rsidRPr="00E2546F">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D22D6C" w:rsidRPr="00E2546F" w:rsidRDefault="00D22D6C" w:rsidP="00D22D6C">
      <w:pPr>
        <w:rPr>
          <w:rFonts w:cs="Arial"/>
          <w:color w:val="000000"/>
          <w:szCs w:val="24"/>
        </w:rPr>
      </w:pPr>
    </w:p>
    <w:p w:rsidR="00D22D6C" w:rsidRPr="00E2546F" w:rsidRDefault="00D22D6C" w:rsidP="00D22D6C">
      <w:pPr>
        <w:rPr>
          <w:rFonts w:cs="Arial"/>
          <w:szCs w:val="24"/>
          <w:lang w:val="es-MX"/>
        </w:rPr>
      </w:pPr>
      <w:r w:rsidRPr="00E2546F">
        <w:rPr>
          <w:rFonts w:cs="Arial"/>
          <w:szCs w:val="24"/>
        </w:rPr>
        <w:t>ASÍ LO RESUELVE, POR UNANIMIDAD DE VOTOS EL PLENO DEL</w:t>
      </w:r>
      <w:r w:rsidRPr="00E2546F">
        <w:rPr>
          <w:rFonts w:eastAsia="Arial Unicode MS" w:cs="Arial"/>
          <w:szCs w:val="24"/>
        </w:rPr>
        <w:t xml:space="preserve"> INSTITUTO DE TRANSPARENCIA, ACCESO A LA INFORMACIÓN PÚBLICA Y PROTECCIÓN DE DATOS PERSONALES DEL ESTADO DE MÉXICO Y MUNICIPIOS</w:t>
      </w:r>
      <w:r w:rsidRPr="00E2546F">
        <w:rPr>
          <w:rFonts w:cs="Arial"/>
          <w:szCs w:val="24"/>
        </w:rPr>
        <w:t xml:space="preserve">, CONFORMADO POR LOS COMISIONADOS </w:t>
      </w:r>
      <w:r w:rsidR="00DF5E6C" w:rsidRPr="00DF5E6C">
        <w:rPr>
          <w:rFonts w:cs="Arial"/>
          <w:szCs w:val="24"/>
        </w:rPr>
        <w:t>JOSÉ MARTÍNEZ VILCHIS,  MARÍA DEL ROSARIO MEJÍA AYALA, SHARON CRISTINA MORALES MARTÍNEZ, LUIS GUSTAVO PARRA NORIEGA</w:t>
      </w:r>
      <w:r w:rsidR="0023768A">
        <w:rPr>
          <w:rFonts w:cs="Arial"/>
          <w:szCs w:val="24"/>
        </w:rPr>
        <w:t xml:space="preserve"> (EMITIENDO</w:t>
      </w:r>
      <w:r w:rsidR="00DF5E6C">
        <w:rPr>
          <w:rFonts w:cs="Arial"/>
          <w:szCs w:val="24"/>
        </w:rPr>
        <w:t xml:space="preserve"> VOTO PARTICULAR</w:t>
      </w:r>
      <w:r w:rsidR="0023768A">
        <w:rPr>
          <w:rFonts w:cs="Arial"/>
          <w:szCs w:val="24"/>
        </w:rPr>
        <w:t>)</w:t>
      </w:r>
      <w:r w:rsidR="00DF5E6C" w:rsidRPr="00DF5E6C">
        <w:rPr>
          <w:rFonts w:cs="Arial"/>
          <w:szCs w:val="24"/>
        </w:rPr>
        <w:t xml:space="preserve"> Y GUADALUPE RAMÍREZ PEÑA</w:t>
      </w:r>
      <w:r w:rsidR="00DF5E6C">
        <w:rPr>
          <w:rFonts w:cs="Arial"/>
          <w:szCs w:val="24"/>
        </w:rPr>
        <w:t xml:space="preserve"> </w:t>
      </w:r>
      <w:r w:rsidR="0023768A">
        <w:rPr>
          <w:rFonts w:cs="Arial"/>
          <w:szCs w:val="24"/>
        </w:rPr>
        <w:lastRenderedPageBreak/>
        <w:t xml:space="preserve">(EMITIENDO </w:t>
      </w:r>
      <w:r w:rsidR="00DF5E6C">
        <w:rPr>
          <w:rFonts w:cs="Arial"/>
          <w:szCs w:val="24"/>
        </w:rPr>
        <w:t>VOTO PARTICULAR</w:t>
      </w:r>
      <w:r w:rsidR="0023768A">
        <w:rPr>
          <w:rFonts w:cs="Arial"/>
          <w:szCs w:val="24"/>
        </w:rPr>
        <w:t>)</w:t>
      </w:r>
      <w:r w:rsidR="00DF5E6C" w:rsidRPr="00DF5E6C">
        <w:rPr>
          <w:rFonts w:cs="Arial"/>
          <w:szCs w:val="24"/>
        </w:rPr>
        <w:t>, EN LA CUADRAGÉSIMA CUARTA SESIÓN ORDINARIA CELEBRADA EL DIEZ DE DICIEMBRE DE DOS MIL VEINTICINCO, ANTE EL SECRETARIO TÉCNICO DEL PLENO, ALEXIS TAPIA RAMÍREZ.</w:t>
      </w:r>
      <w:r w:rsidRPr="00E2546F">
        <w:rPr>
          <w:rFonts w:cs="Arial"/>
          <w:szCs w:val="24"/>
        </w:rPr>
        <w:t>------------------------------------------------------------------------------------------------------------------------------------------------------------------------------------------------------------------------------------------------------------------------------------------------------------------------------------------------------------------------------------------------------------------------------------------------------------------------------------------------------------------------------------------------------------------------------------------------------</w:t>
      </w:r>
      <w:r w:rsidR="00DF5E6C">
        <w:rPr>
          <w:rFonts w:cs="Arial"/>
          <w:szCs w:val="24"/>
        </w:rPr>
        <w:t>-----------------</w:t>
      </w:r>
      <w:r w:rsidR="0023768A" w:rsidRPr="0023768A">
        <w:rPr>
          <w:rFonts w:cs="Arial"/>
        </w:rPr>
        <w:t xml:space="preserve"> </w:t>
      </w:r>
      <w:r w:rsidR="0023768A">
        <w:rPr>
          <w:rFonts w:cs="Arial"/>
        </w:rPr>
        <w:t>------------------------------------------------------------------------------------------------------------------------------------------------------------------------------------------------------------------------------------------------------------------------------------------------------------------------------------------------------------------------------------------------------------------------------------------------------------------------------------------------------------------------------------------------------------------------------------------------------------------------------------------------------------------------------------------------------------------------------------------------------------------------------------------------------------------------------------------------------------------------------------------------------------------------------------------------------------------------------------------------------------------------------------------------------------------------------------------------------------------------------------------------------------------------------------------------------------------------------------------------------------------------------------------------------------------------------------------------------------------------------------------------------------------------------------------------------------------------------------------------------------------------------------------------------------------------------------------------------------------------------------------------------------------------------------------------------------------------------------------------------------------------------------------------------------------------------------------------------------------------------------------------------------------------------------------------</w:t>
      </w:r>
    </w:p>
    <w:p w:rsidR="00157232" w:rsidRDefault="00157232" w:rsidP="00D22D6C">
      <w:pPr>
        <w:rPr>
          <w:rFonts w:cs="Arial"/>
          <w:sz w:val="20"/>
        </w:rPr>
      </w:pPr>
    </w:p>
    <w:p w:rsidR="00157232" w:rsidRDefault="00157232" w:rsidP="00D22D6C">
      <w:pPr>
        <w:rPr>
          <w:rFonts w:cs="Arial"/>
          <w:sz w:val="20"/>
        </w:rPr>
      </w:pPr>
    </w:p>
    <w:p w:rsidR="00157232" w:rsidRDefault="00157232" w:rsidP="00D22D6C">
      <w:pPr>
        <w:rPr>
          <w:rFonts w:cs="Arial"/>
          <w:sz w:val="20"/>
        </w:rPr>
      </w:pPr>
    </w:p>
    <w:p w:rsidR="00157232" w:rsidRDefault="00157232" w:rsidP="00D22D6C">
      <w:pPr>
        <w:rPr>
          <w:rFonts w:cs="Arial"/>
          <w:sz w:val="20"/>
        </w:rPr>
      </w:pPr>
    </w:p>
    <w:p w:rsidR="00157232" w:rsidRDefault="00157232" w:rsidP="00D22D6C">
      <w:pPr>
        <w:rPr>
          <w:rFonts w:cs="Arial"/>
          <w:sz w:val="20"/>
        </w:rPr>
      </w:pPr>
    </w:p>
    <w:p w:rsidR="00157232" w:rsidRDefault="00157232" w:rsidP="00D22D6C">
      <w:pPr>
        <w:rPr>
          <w:rFonts w:cs="Arial"/>
          <w:sz w:val="20"/>
        </w:rPr>
      </w:pPr>
    </w:p>
    <w:p w:rsidR="00D22D6C" w:rsidRDefault="00D22D6C" w:rsidP="00D22D6C">
      <w:pPr>
        <w:rPr>
          <w:rFonts w:cs="Arial"/>
          <w:sz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 w:rsidR="00D22D6C" w:rsidRDefault="00D22D6C" w:rsidP="00D22D6C"/>
    <w:p w:rsidR="00D22D6C" w:rsidRDefault="00D22D6C" w:rsidP="00D22D6C"/>
    <w:p w:rsidR="00D22D6C" w:rsidRDefault="00D22D6C" w:rsidP="00D22D6C"/>
    <w:p w:rsidR="00D22D6C" w:rsidRDefault="00D22D6C" w:rsidP="00D22D6C"/>
    <w:p w:rsidR="00D22D6C" w:rsidRDefault="00D22D6C" w:rsidP="00D22D6C"/>
    <w:p w:rsidR="00EE4ABE" w:rsidRDefault="00EE4ABE"/>
    <w:sectPr w:rsidR="00EE4ABE" w:rsidSect="00D22D6C">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932" w:rsidRDefault="00861932" w:rsidP="00D22D6C">
      <w:pPr>
        <w:spacing w:line="240" w:lineRule="auto"/>
      </w:pPr>
      <w:r>
        <w:separator/>
      </w:r>
    </w:p>
  </w:endnote>
  <w:endnote w:type="continuationSeparator" w:id="0">
    <w:p w:rsidR="00861932" w:rsidRDefault="00861932" w:rsidP="00D22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85" w:rsidRPr="00871A91" w:rsidRDefault="00966A85" w:rsidP="00D22D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12D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12DC">
      <w:rPr>
        <w:rFonts w:ascii="Palatino Linotype" w:hAnsi="Palatino Linotype"/>
        <w:b/>
        <w:bCs/>
        <w:noProof/>
        <w:sz w:val="20"/>
      </w:rPr>
      <w:t>52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85" w:rsidRPr="00871A91" w:rsidRDefault="00966A85" w:rsidP="00D22D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12D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12DC">
      <w:rPr>
        <w:rFonts w:ascii="Palatino Linotype" w:hAnsi="Palatino Linotype"/>
        <w:b/>
        <w:bCs/>
        <w:noProof/>
        <w:sz w:val="20"/>
      </w:rPr>
      <w:t>52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932" w:rsidRDefault="00861932" w:rsidP="00D22D6C">
      <w:pPr>
        <w:spacing w:line="240" w:lineRule="auto"/>
      </w:pPr>
      <w:r>
        <w:separator/>
      </w:r>
    </w:p>
  </w:footnote>
  <w:footnote w:type="continuationSeparator" w:id="0">
    <w:p w:rsidR="00861932" w:rsidRDefault="00861932" w:rsidP="00D22D6C">
      <w:pPr>
        <w:spacing w:line="240" w:lineRule="auto"/>
      </w:pPr>
      <w:r>
        <w:continuationSeparator/>
      </w:r>
    </w:p>
  </w:footnote>
  <w:footnote w:id="1">
    <w:p w:rsidR="00966A85" w:rsidRPr="00481AAF" w:rsidRDefault="00966A85" w:rsidP="00D22D6C">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966A85" w:rsidRPr="00946E1F" w:rsidRDefault="00966A85" w:rsidP="00D22D6C">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66A85" w:rsidRDefault="00966A85" w:rsidP="00D22D6C">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rsidR="00966A85" w:rsidRDefault="00966A85" w:rsidP="00D22D6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85" w:rsidRDefault="008619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85" w:rsidRDefault="00966A85">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966A85" w:rsidRPr="00B17577" w:rsidTr="00D22D6C">
      <w:trPr>
        <w:trHeight w:val="227"/>
      </w:trPr>
      <w:tc>
        <w:tcPr>
          <w:tcW w:w="5103" w:type="dxa"/>
          <w:hideMark/>
        </w:tcPr>
        <w:p w:rsidR="00966A85" w:rsidRPr="00096248" w:rsidRDefault="00966A85" w:rsidP="00D22D6C">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966A85" w:rsidRPr="00096248" w:rsidRDefault="00966A85" w:rsidP="009E7A89">
          <w:pPr>
            <w:spacing w:after="120" w:line="240" w:lineRule="auto"/>
            <w:ind w:right="71"/>
            <w:jc w:val="right"/>
            <w:rPr>
              <w:rFonts w:cs="Arial"/>
              <w:b/>
              <w:szCs w:val="24"/>
            </w:rPr>
          </w:pPr>
          <w:r>
            <w:rPr>
              <w:rFonts w:cs="Arial"/>
              <w:b/>
              <w:bCs/>
              <w:szCs w:val="24"/>
            </w:rPr>
            <w:t>12660</w:t>
          </w:r>
          <w:r w:rsidRPr="00096248">
            <w:rPr>
              <w:rFonts w:cs="Arial"/>
              <w:b/>
              <w:bCs/>
              <w:szCs w:val="24"/>
            </w:rPr>
            <w:t>/INFOEM/IP/RR/202</w:t>
          </w:r>
          <w:r>
            <w:rPr>
              <w:rFonts w:cs="Arial"/>
              <w:b/>
              <w:bCs/>
              <w:szCs w:val="24"/>
            </w:rPr>
            <w:t>5</w:t>
          </w:r>
        </w:p>
      </w:tc>
    </w:tr>
    <w:tr w:rsidR="00966A85" w:rsidTr="00D22D6C">
      <w:trPr>
        <w:trHeight w:val="242"/>
      </w:trPr>
      <w:tc>
        <w:tcPr>
          <w:tcW w:w="5103" w:type="dxa"/>
          <w:hideMark/>
        </w:tcPr>
        <w:p w:rsidR="00966A85" w:rsidRPr="00096248" w:rsidRDefault="00966A85" w:rsidP="00D22D6C">
          <w:pPr>
            <w:spacing w:after="120" w:line="240" w:lineRule="auto"/>
            <w:ind w:right="69"/>
            <w:jc w:val="right"/>
            <w:rPr>
              <w:rFonts w:cs="Arial"/>
              <w:b/>
              <w:szCs w:val="24"/>
            </w:rPr>
          </w:pPr>
          <w:r w:rsidRPr="00096248">
            <w:rPr>
              <w:rFonts w:cs="Arial"/>
              <w:b/>
              <w:szCs w:val="24"/>
            </w:rPr>
            <w:t>Sujeto Obligado:</w:t>
          </w:r>
        </w:p>
      </w:tc>
      <w:tc>
        <w:tcPr>
          <w:tcW w:w="4395" w:type="dxa"/>
          <w:hideMark/>
        </w:tcPr>
        <w:p w:rsidR="00966A85" w:rsidRPr="00096248" w:rsidRDefault="00966A85" w:rsidP="0081459C">
          <w:pPr>
            <w:spacing w:after="120" w:line="240" w:lineRule="auto"/>
            <w:ind w:left="-81" w:right="71"/>
            <w:jc w:val="right"/>
            <w:rPr>
              <w:rFonts w:cs="Arial"/>
              <w:szCs w:val="24"/>
            </w:rPr>
          </w:pPr>
          <w:r w:rsidRPr="007F5D63">
            <w:rPr>
              <w:b/>
              <w:bCs/>
              <w:color w:val="000000"/>
              <w:szCs w:val="24"/>
            </w:rPr>
            <w:t xml:space="preserve">Ayuntamiento de </w:t>
          </w:r>
          <w:r w:rsidRPr="009E7A89">
            <w:rPr>
              <w:b/>
              <w:bCs/>
              <w:color w:val="000000"/>
              <w:szCs w:val="24"/>
            </w:rPr>
            <w:t>Chalco</w:t>
          </w:r>
        </w:p>
      </w:tc>
    </w:tr>
    <w:tr w:rsidR="00966A85" w:rsidRPr="00F63239" w:rsidTr="00D22D6C">
      <w:trPr>
        <w:trHeight w:val="342"/>
      </w:trPr>
      <w:tc>
        <w:tcPr>
          <w:tcW w:w="5103" w:type="dxa"/>
          <w:hideMark/>
        </w:tcPr>
        <w:p w:rsidR="00966A85" w:rsidRPr="00096248" w:rsidRDefault="00966A85" w:rsidP="00D22D6C">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966A85" w:rsidRDefault="00966A85" w:rsidP="00D22D6C">
          <w:pPr>
            <w:spacing w:after="120" w:line="240" w:lineRule="auto"/>
            <w:ind w:left="-486" w:right="71" w:firstLine="567"/>
            <w:jc w:val="right"/>
            <w:rPr>
              <w:rFonts w:cs="Arial"/>
              <w:szCs w:val="24"/>
            </w:rPr>
          </w:pPr>
          <w:r w:rsidRPr="00096248">
            <w:rPr>
              <w:rFonts w:cs="Arial"/>
              <w:szCs w:val="24"/>
            </w:rPr>
            <w:t>José Martínez Vilchis</w:t>
          </w:r>
        </w:p>
        <w:p w:rsidR="00966A85" w:rsidRPr="00711916" w:rsidRDefault="00966A85" w:rsidP="00D22D6C">
          <w:pPr>
            <w:spacing w:after="120" w:line="240" w:lineRule="auto"/>
            <w:ind w:left="-486" w:right="71" w:firstLine="567"/>
            <w:jc w:val="right"/>
            <w:rPr>
              <w:rFonts w:cs="Arial"/>
              <w:sz w:val="2"/>
              <w:szCs w:val="2"/>
            </w:rPr>
          </w:pPr>
        </w:p>
      </w:tc>
    </w:tr>
  </w:tbl>
  <w:p w:rsidR="00966A85" w:rsidRPr="00871A91" w:rsidRDefault="00861932">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85" w:rsidRDefault="00966A85">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966A85" w:rsidTr="00D22D6C">
      <w:trPr>
        <w:trHeight w:val="227"/>
      </w:trPr>
      <w:tc>
        <w:tcPr>
          <w:tcW w:w="5103" w:type="dxa"/>
          <w:hideMark/>
        </w:tcPr>
        <w:p w:rsidR="00966A85" w:rsidRPr="00663A37" w:rsidRDefault="00966A85" w:rsidP="00D22D6C">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966A85" w:rsidRPr="00C81ECD" w:rsidRDefault="00966A85" w:rsidP="009E7A89">
          <w:pPr>
            <w:spacing w:after="120" w:line="240" w:lineRule="auto"/>
            <w:ind w:left="-486" w:right="68" w:firstLine="558"/>
            <w:jc w:val="right"/>
            <w:rPr>
              <w:rFonts w:cs="Arial"/>
              <w:b/>
              <w:szCs w:val="24"/>
            </w:rPr>
          </w:pPr>
          <w:r>
            <w:rPr>
              <w:rFonts w:cs="Arial"/>
              <w:b/>
              <w:bCs/>
              <w:szCs w:val="24"/>
            </w:rPr>
            <w:t>12660/INFOEM/IP/RR/2025</w:t>
          </w:r>
        </w:p>
      </w:tc>
    </w:tr>
    <w:tr w:rsidR="00966A85" w:rsidRPr="001F57CD" w:rsidTr="00D22D6C">
      <w:trPr>
        <w:trHeight w:val="196"/>
      </w:trPr>
      <w:tc>
        <w:tcPr>
          <w:tcW w:w="5103" w:type="dxa"/>
          <w:hideMark/>
        </w:tcPr>
        <w:p w:rsidR="00966A85" w:rsidRPr="00663A37" w:rsidRDefault="00966A85" w:rsidP="00D22D6C">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966A85" w:rsidRPr="00663A37" w:rsidRDefault="00A312DC" w:rsidP="00D22D6C">
          <w:pPr>
            <w:spacing w:after="120" w:line="240" w:lineRule="auto"/>
            <w:ind w:right="68"/>
            <w:jc w:val="right"/>
            <w:rPr>
              <w:rFonts w:cs="Arial"/>
              <w:szCs w:val="24"/>
            </w:rPr>
          </w:pPr>
          <w:r>
            <w:rPr>
              <w:rFonts w:cs="Arial"/>
              <w:szCs w:val="24"/>
            </w:rPr>
            <w:t>XXXX</w:t>
          </w:r>
          <w:r w:rsidR="00966A85">
            <w:rPr>
              <w:rFonts w:cs="Arial"/>
              <w:szCs w:val="24"/>
            </w:rPr>
            <w:t xml:space="preserve"> </w:t>
          </w:r>
        </w:p>
      </w:tc>
    </w:tr>
    <w:tr w:rsidR="00966A85" w:rsidTr="00D22D6C">
      <w:trPr>
        <w:trHeight w:val="242"/>
      </w:trPr>
      <w:tc>
        <w:tcPr>
          <w:tcW w:w="5103" w:type="dxa"/>
          <w:hideMark/>
        </w:tcPr>
        <w:p w:rsidR="00966A85" w:rsidRPr="00663A37" w:rsidRDefault="00966A85" w:rsidP="00D22D6C">
          <w:pPr>
            <w:spacing w:after="120" w:line="240" w:lineRule="auto"/>
            <w:ind w:right="68"/>
            <w:jc w:val="right"/>
            <w:rPr>
              <w:rFonts w:cs="Arial"/>
              <w:b/>
              <w:szCs w:val="24"/>
            </w:rPr>
          </w:pPr>
          <w:r w:rsidRPr="00663A37">
            <w:rPr>
              <w:rFonts w:cs="Arial"/>
              <w:b/>
              <w:szCs w:val="24"/>
            </w:rPr>
            <w:t>Sujeto Obligado:</w:t>
          </w:r>
        </w:p>
      </w:tc>
      <w:tc>
        <w:tcPr>
          <w:tcW w:w="4253" w:type="dxa"/>
          <w:hideMark/>
        </w:tcPr>
        <w:p w:rsidR="00966A85" w:rsidRPr="007F5D63" w:rsidRDefault="00966A85" w:rsidP="00D22D6C">
          <w:pPr>
            <w:spacing w:after="120" w:line="240" w:lineRule="auto"/>
            <w:ind w:left="-70" w:right="68"/>
            <w:jc w:val="right"/>
            <w:rPr>
              <w:rFonts w:cs="Arial"/>
              <w:b/>
              <w:bCs/>
              <w:szCs w:val="24"/>
            </w:rPr>
          </w:pPr>
          <w:r>
            <w:rPr>
              <w:bCs/>
              <w:color w:val="000000"/>
              <w:szCs w:val="24"/>
            </w:rPr>
            <w:t xml:space="preserve">          </w:t>
          </w:r>
          <w:r w:rsidRPr="007F5D63">
            <w:rPr>
              <w:b/>
              <w:bCs/>
              <w:color w:val="000000"/>
              <w:szCs w:val="24"/>
            </w:rPr>
            <w:t>Ayuntamiento de</w:t>
          </w:r>
          <w:r w:rsidRPr="00D22D6C">
            <w:rPr>
              <w:b/>
              <w:bCs/>
              <w:color w:val="000000"/>
              <w:szCs w:val="24"/>
            </w:rPr>
            <w:t xml:space="preserve"> </w:t>
          </w:r>
          <w:r w:rsidRPr="009E7A89">
            <w:rPr>
              <w:b/>
              <w:bCs/>
              <w:color w:val="000000"/>
              <w:szCs w:val="24"/>
            </w:rPr>
            <w:t>Chalco</w:t>
          </w:r>
        </w:p>
      </w:tc>
    </w:tr>
    <w:tr w:rsidR="00966A85" w:rsidTr="00D22D6C">
      <w:trPr>
        <w:trHeight w:val="342"/>
      </w:trPr>
      <w:tc>
        <w:tcPr>
          <w:tcW w:w="5103" w:type="dxa"/>
          <w:hideMark/>
        </w:tcPr>
        <w:p w:rsidR="00966A85" w:rsidRPr="00663A37" w:rsidRDefault="00966A85" w:rsidP="00D22D6C">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966A85" w:rsidRPr="00663A37" w:rsidRDefault="00966A85" w:rsidP="00D22D6C">
          <w:pPr>
            <w:spacing w:after="120" w:line="240" w:lineRule="auto"/>
            <w:ind w:left="-486" w:right="68" w:firstLine="567"/>
            <w:jc w:val="right"/>
            <w:rPr>
              <w:rFonts w:cs="Arial"/>
              <w:szCs w:val="24"/>
            </w:rPr>
          </w:pPr>
          <w:r w:rsidRPr="00663A37">
            <w:rPr>
              <w:rFonts w:cs="Arial"/>
              <w:szCs w:val="24"/>
            </w:rPr>
            <w:t>José Martínez Vilchis</w:t>
          </w:r>
        </w:p>
      </w:tc>
    </w:tr>
  </w:tbl>
  <w:p w:rsidR="00966A85" w:rsidRPr="00871A91" w:rsidRDefault="00966A85">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16A7DF0E" wp14:editId="4124E78A">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E58"/>
    <w:multiLevelType w:val="hybridMultilevel"/>
    <w:tmpl w:val="DB44535E"/>
    <w:lvl w:ilvl="0" w:tplc="C72EDF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C5A2A"/>
    <w:multiLevelType w:val="hybridMultilevel"/>
    <w:tmpl w:val="7D7EB246"/>
    <w:lvl w:ilvl="0" w:tplc="0ECE441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CC521B"/>
    <w:multiLevelType w:val="hybridMultilevel"/>
    <w:tmpl w:val="758013A6"/>
    <w:lvl w:ilvl="0" w:tplc="3250789C">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1" w15:restartNumberingAfterBreak="0">
    <w:nsid w:val="6BB2662F"/>
    <w:multiLevelType w:val="hybridMultilevel"/>
    <w:tmpl w:val="A33EFAF8"/>
    <w:lvl w:ilvl="0" w:tplc="A110709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7"/>
  </w:num>
  <w:num w:numId="3">
    <w:abstractNumId w:val="12"/>
  </w:num>
  <w:num w:numId="4">
    <w:abstractNumId w:val="1"/>
  </w:num>
  <w:num w:numId="5">
    <w:abstractNumId w:val="8"/>
  </w:num>
  <w:num w:numId="6">
    <w:abstractNumId w:val="6"/>
  </w:num>
  <w:num w:numId="7">
    <w:abstractNumId w:val="4"/>
  </w:num>
  <w:num w:numId="8">
    <w:abstractNumId w:val="10"/>
  </w:num>
  <w:num w:numId="9">
    <w:abstractNumId w:val="5"/>
  </w:num>
  <w:num w:numId="10">
    <w:abstractNumId w:val="9"/>
  </w:num>
  <w:num w:numId="11">
    <w:abstractNumId w:val="1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6C"/>
    <w:rsid w:val="00043FCF"/>
    <w:rsid w:val="000C6DFA"/>
    <w:rsid w:val="000F45C5"/>
    <w:rsid w:val="001152DB"/>
    <w:rsid w:val="00157232"/>
    <w:rsid w:val="00164C90"/>
    <w:rsid w:val="001771FE"/>
    <w:rsid w:val="001955A1"/>
    <w:rsid w:val="001E3D6D"/>
    <w:rsid w:val="001F3A50"/>
    <w:rsid w:val="00231E03"/>
    <w:rsid w:val="0023768A"/>
    <w:rsid w:val="00240672"/>
    <w:rsid w:val="002C01D1"/>
    <w:rsid w:val="00347AA7"/>
    <w:rsid w:val="0035668D"/>
    <w:rsid w:val="00370C6F"/>
    <w:rsid w:val="004051C8"/>
    <w:rsid w:val="00430FDE"/>
    <w:rsid w:val="00433D1A"/>
    <w:rsid w:val="00466107"/>
    <w:rsid w:val="00490D3D"/>
    <w:rsid w:val="004C7A6F"/>
    <w:rsid w:val="004E3885"/>
    <w:rsid w:val="00546365"/>
    <w:rsid w:val="005A018C"/>
    <w:rsid w:val="005A44B0"/>
    <w:rsid w:val="005C3C3C"/>
    <w:rsid w:val="005C6F0A"/>
    <w:rsid w:val="005F0BC3"/>
    <w:rsid w:val="00611208"/>
    <w:rsid w:val="006645BB"/>
    <w:rsid w:val="00706B74"/>
    <w:rsid w:val="00752799"/>
    <w:rsid w:val="0081459C"/>
    <w:rsid w:val="008172C3"/>
    <w:rsid w:val="008615B5"/>
    <w:rsid w:val="00861932"/>
    <w:rsid w:val="008822F5"/>
    <w:rsid w:val="00966A85"/>
    <w:rsid w:val="009C3E76"/>
    <w:rsid w:val="009C61EF"/>
    <w:rsid w:val="009D6C69"/>
    <w:rsid w:val="009E7A89"/>
    <w:rsid w:val="00A312DC"/>
    <w:rsid w:val="00A67F68"/>
    <w:rsid w:val="00A81577"/>
    <w:rsid w:val="00B045A6"/>
    <w:rsid w:val="00B91448"/>
    <w:rsid w:val="00BA22EB"/>
    <w:rsid w:val="00BA3E7F"/>
    <w:rsid w:val="00C36505"/>
    <w:rsid w:val="00CC775D"/>
    <w:rsid w:val="00D22D6C"/>
    <w:rsid w:val="00D914EB"/>
    <w:rsid w:val="00DF5E6C"/>
    <w:rsid w:val="00E64A71"/>
    <w:rsid w:val="00EB29C6"/>
    <w:rsid w:val="00ED4944"/>
    <w:rsid w:val="00EE4ABE"/>
    <w:rsid w:val="00FC7595"/>
    <w:rsid w:val="00FD4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62A2D34-FD74-4D93-AD77-6EA9ED4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6C"/>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D22D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D22D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22D6C"/>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22D6C"/>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D22D6C"/>
    <w:rPr>
      <w:rFonts w:asciiTheme="majorHAnsi" w:eastAsiaTheme="majorEastAsia" w:hAnsiTheme="majorHAnsi" w:cstheme="majorBidi"/>
      <w:color w:val="2E74B5" w:themeColor="accent1" w:themeShade="BF"/>
      <w:sz w:val="32"/>
      <w:szCs w:val="32"/>
      <w:lang w:val="es-ES_tradnl" w:eastAsia="es-MX"/>
    </w:rPr>
  </w:style>
  <w:style w:type="character" w:customStyle="1" w:styleId="Ttulo3Car">
    <w:name w:val="Título 3 Car"/>
    <w:basedOn w:val="Fuentedeprrafopredeter"/>
    <w:link w:val="Ttulo3"/>
    <w:uiPriority w:val="9"/>
    <w:rsid w:val="00D22D6C"/>
    <w:rPr>
      <w:rFonts w:ascii="Palatino Linotype" w:eastAsiaTheme="majorEastAsia" w:hAnsi="Palatino Linotype" w:cstheme="majorBidi"/>
      <w:color w:val="2E74B5" w:themeColor="accent1" w:themeShade="BF"/>
      <w:sz w:val="28"/>
      <w:szCs w:val="28"/>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D6C"/>
    <w:pPr>
      <w:ind w:left="720"/>
      <w:contextualSpacing/>
    </w:pPr>
  </w:style>
  <w:style w:type="paragraph" w:styleId="Encabezado">
    <w:name w:val="header"/>
    <w:basedOn w:val="Normal"/>
    <w:link w:val="EncabezadoCar"/>
    <w:uiPriority w:val="99"/>
    <w:unhideWhenUsed/>
    <w:rsid w:val="00D22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22D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22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22D6C"/>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D6C"/>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D22D6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22D6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D22D6C"/>
    <w:rPr>
      <w:color w:val="0563C1" w:themeColor="hyperlink"/>
      <w:u w:val="single"/>
    </w:rPr>
  </w:style>
  <w:style w:type="paragraph" w:customStyle="1" w:styleId="Fundamentos">
    <w:name w:val="Fundamentos"/>
    <w:basedOn w:val="Normal"/>
    <w:qFormat/>
    <w:rsid w:val="00D22D6C"/>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2D6C"/>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2D6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033389">
      <w:bodyDiv w:val="1"/>
      <w:marLeft w:val="0"/>
      <w:marRight w:val="0"/>
      <w:marTop w:val="0"/>
      <w:marBottom w:val="0"/>
      <w:divBdr>
        <w:top w:val="none" w:sz="0" w:space="0" w:color="auto"/>
        <w:left w:val="none" w:sz="0" w:space="0" w:color="auto"/>
        <w:bottom w:val="none" w:sz="0" w:space="0" w:color="auto"/>
        <w:right w:val="none" w:sz="0" w:space="0" w:color="auto"/>
      </w:divBdr>
    </w:div>
    <w:div w:id="10865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52</Pages>
  <Words>12284</Words>
  <Characters>67565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17</cp:revision>
  <dcterms:created xsi:type="dcterms:W3CDTF">2025-11-18T20:33:00Z</dcterms:created>
  <dcterms:modified xsi:type="dcterms:W3CDTF">2026-02-10T16:25:00Z</dcterms:modified>
</cp:coreProperties>
</file>