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05F4"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2B10E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2B10E6">
        <w:rPr>
          <w:rFonts w:ascii="Palatino Linotype" w:eastAsia="Palatino Linotype" w:hAnsi="Palatino Linotype" w:cs="Palatino Linotype"/>
          <w:b/>
          <w:sz w:val="22"/>
          <w:szCs w:val="22"/>
        </w:rPr>
        <w:t>diecinueve de febrero de dos mil veinticinco</w:t>
      </w:r>
      <w:r w:rsidRPr="002B10E6">
        <w:rPr>
          <w:rFonts w:ascii="Palatino Linotype" w:eastAsia="Palatino Linotype" w:hAnsi="Palatino Linotype" w:cs="Palatino Linotype"/>
          <w:sz w:val="22"/>
          <w:szCs w:val="22"/>
        </w:rPr>
        <w:t xml:space="preserve">. </w:t>
      </w:r>
    </w:p>
    <w:p w14:paraId="4F33138B"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Visto</w:t>
      </w:r>
      <w:r w:rsidRPr="002B10E6">
        <w:rPr>
          <w:rFonts w:ascii="Palatino Linotype" w:eastAsia="Palatino Linotype" w:hAnsi="Palatino Linotype" w:cs="Palatino Linotype"/>
          <w:sz w:val="22"/>
          <w:szCs w:val="22"/>
        </w:rPr>
        <w:t xml:space="preserve"> el expediente formado con motivo del recurso de revisión </w:t>
      </w:r>
      <w:r w:rsidRPr="002B10E6">
        <w:rPr>
          <w:rFonts w:ascii="Palatino Linotype" w:eastAsia="Palatino Linotype" w:hAnsi="Palatino Linotype" w:cs="Palatino Linotype"/>
          <w:b/>
          <w:sz w:val="22"/>
          <w:szCs w:val="22"/>
        </w:rPr>
        <w:t>00159/INFOEM/IP/RR/2025</w:t>
      </w:r>
      <w:r w:rsidRPr="002B10E6">
        <w:rPr>
          <w:rFonts w:ascii="Palatino Linotype" w:eastAsia="Palatino Linotype" w:hAnsi="Palatino Linotype" w:cs="Palatino Linotype"/>
          <w:sz w:val="22"/>
          <w:szCs w:val="22"/>
        </w:rPr>
        <w:t>, interpuesto por</w:t>
      </w:r>
      <w:r w:rsidRPr="002B10E6">
        <w:rPr>
          <w:rFonts w:ascii="Palatino Linotype" w:eastAsia="Palatino Linotype" w:hAnsi="Palatino Linotype" w:cs="Palatino Linotype"/>
          <w:b/>
          <w:sz w:val="22"/>
          <w:szCs w:val="22"/>
        </w:rPr>
        <w:t xml:space="preserve"> un particular de manera anónima,</w:t>
      </w:r>
      <w:r w:rsidRPr="002B10E6">
        <w:rPr>
          <w:rFonts w:ascii="Palatino Linotype" w:eastAsia="Palatino Linotype" w:hAnsi="Palatino Linotype" w:cs="Palatino Linotype"/>
          <w:sz w:val="22"/>
          <w:szCs w:val="22"/>
        </w:rPr>
        <w:t xml:space="preserve"> en lo sucesivo</w:t>
      </w:r>
      <w:r w:rsidRPr="002B10E6">
        <w:rPr>
          <w:rFonts w:ascii="Palatino Linotype" w:eastAsia="Palatino Linotype" w:hAnsi="Palatino Linotype" w:cs="Palatino Linotype"/>
          <w:b/>
          <w:sz w:val="22"/>
          <w:szCs w:val="22"/>
        </w:rPr>
        <w:t xml:space="preserve"> la parte Recurrente,</w:t>
      </w:r>
      <w:r w:rsidRPr="002B10E6">
        <w:rPr>
          <w:rFonts w:ascii="Palatino Linotype" w:eastAsia="Palatino Linotype" w:hAnsi="Palatino Linotype" w:cs="Palatino Linotype"/>
          <w:sz w:val="22"/>
          <w:szCs w:val="22"/>
        </w:rPr>
        <w:t xml:space="preserve"> en contra de la respuesta a su solicitud por parte de la </w:t>
      </w:r>
      <w:r w:rsidRPr="002B10E6">
        <w:rPr>
          <w:rFonts w:ascii="Palatino Linotype" w:eastAsia="Palatino Linotype" w:hAnsi="Palatino Linotype" w:cs="Palatino Linotype"/>
          <w:b/>
          <w:sz w:val="22"/>
          <w:szCs w:val="22"/>
        </w:rPr>
        <w:t xml:space="preserve">Universidad Autónoma del Estado de México, </w:t>
      </w:r>
      <w:r w:rsidRPr="002B10E6">
        <w:rPr>
          <w:rFonts w:ascii="Palatino Linotype" w:eastAsia="Palatino Linotype" w:hAnsi="Palatino Linotype" w:cs="Palatino Linotype"/>
          <w:sz w:val="22"/>
          <w:szCs w:val="22"/>
        </w:rPr>
        <w:t xml:space="preserve">en lo sucesivo 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 xml:space="preserve">se procede a dictar la presente resolución con base en los siguientes: </w:t>
      </w:r>
    </w:p>
    <w:p w14:paraId="75819448" w14:textId="77777777" w:rsidR="00347B0A" w:rsidRPr="002B10E6" w:rsidRDefault="005A2214">
      <w:pPr>
        <w:spacing w:before="240" w:after="240" w:line="360" w:lineRule="auto"/>
        <w:jc w:val="center"/>
        <w:rPr>
          <w:rFonts w:ascii="Palatino Linotype" w:eastAsia="Palatino Linotype" w:hAnsi="Palatino Linotype" w:cs="Palatino Linotype"/>
          <w:b/>
          <w:sz w:val="22"/>
          <w:szCs w:val="22"/>
        </w:rPr>
      </w:pPr>
      <w:r w:rsidRPr="002B10E6">
        <w:rPr>
          <w:rFonts w:ascii="Palatino Linotype" w:eastAsia="Palatino Linotype" w:hAnsi="Palatino Linotype" w:cs="Palatino Linotype"/>
          <w:b/>
          <w:sz w:val="22"/>
          <w:szCs w:val="22"/>
        </w:rPr>
        <w:t>I. A N T E C E D E N T E S</w:t>
      </w:r>
    </w:p>
    <w:p w14:paraId="072297BA"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1. Solicitud de acceso a la información.</w:t>
      </w:r>
      <w:r w:rsidRPr="002B10E6">
        <w:rPr>
          <w:rFonts w:ascii="Palatino Linotype" w:eastAsia="Palatino Linotype" w:hAnsi="Palatino Linotype" w:cs="Palatino Linotype"/>
          <w:sz w:val="22"/>
          <w:szCs w:val="22"/>
        </w:rPr>
        <w:t xml:space="preserve"> El </w:t>
      </w:r>
      <w:r w:rsidRPr="002B10E6">
        <w:rPr>
          <w:rFonts w:ascii="Palatino Linotype" w:eastAsia="Palatino Linotype" w:hAnsi="Palatino Linotype" w:cs="Palatino Linotype"/>
          <w:b/>
          <w:sz w:val="22"/>
          <w:szCs w:val="22"/>
        </w:rPr>
        <w:t>veintiocho de noviembre de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dos mil veinticuatro, 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 xml:space="preserve">Recurrente </w:t>
      </w:r>
      <w:r w:rsidRPr="002B10E6">
        <w:rPr>
          <w:rFonts w:ascii="Palatino Linotype" w:eastAsia="Palatino Linotype" w:hAnsi="Palatino Linotype" w:cs="Palatino Linotype"/>
          <w:sz w:val="22"/>
          <w:szCs w:val="22"/>
        </w:rPr>
        <w:t xml:space="preserve">presentó, a través del Sistema de Acceso a la Información Mexiquense, en lo subsecuente el </w:t>
      </w:r>
      <w:r w:rsidRPr="002B10E6">
        <w:rPr>
          <w:rFonts w:ascii="Palatino Linotype" w:eastAsia="Palatino Linotype" w:hAnsi="Palatino Linotype" w:cs="Palatino Linotype"/>
          <w:b/>
          <w:sz w:val="22"/>
          <w:szCs w:val="22"/>
        </w:rPr>
        <w:t>SAIMEX,</w:t>
      </w:r>
      <w:r w:rsidRPr="002B10E6">
        <w:rPr>
          <w:rFonts w:ascii="Palatino Linotype" w:eastAsia="Palatino Linotype" w:hAnsi="Palatino Linotype" w:cs="Palatino Linotype"/>
          <w:sz w:val="22"/>
          <w:szCs w:val="22"/>
        </w:rPr>
        <w:t xml:space="preserve"> ante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la solicitud de acceso a la información pública, a la que se le asignó el número</w:t>
      </w:r>
      <w:r w:rsidRPr="002B10E6">
        <w:rPr>
          <w:rFonts w:ascii="Palatino Linotype" w:eastAsia="Palatino Linotype" w:hAnsi="Palatino Linotype" w:cs="Palatino Linotype"/>
          <w:b/>
          <w:sz w:val="22"/>
          <w:szCs w:val="22"/>
        </w:rPr>
        <w:t xml:space="preserve"> 01179/UAEM/IP/2024, </w:t>
      </w:r>
      <w:r w:rsidRPr="002B10E6">
        <w:rPr>
          <w:rFonts w:ascii="Palatino Linotype" w:eastAsia="Palatino Linotype" w:hAnsi="Palatino Linotype" w:cs="Palatino Linotype"/>
          <w:sz w:val="22"/>
          <w:szCs w:val="22"/>
        </w:rPr>
        <w:t xml:space="preserve">mediante la cual requirió la información siguiente: </w:t>
      </w:r>
    </w:p>
    <w:p w14:paraId="552380ED" w14:textId="77777777" w:rsidR="00347B0A" w:rsidRPr="002B10E6" w:rsidRDefault="005A2214">
      <w:pPr>
        <w:spacing w:before="240" w:after="240"/>
        <w:ind w:left="567" w:right="902"/>
        <w:jc w:val="both"/>
        <w:rPr>
          <w:rFonts w:ascii="Palatino Linotype" w:eastAsia="Palatino Linotype" w:hAnsi="Palatino Linotype" w:cs="Palatino Linotype"/>
          <w:i/>
          <w:sz w:val="22"/>
          <w:szCs w:val="22"/>
        </w:rPr>
      </w:pPr>
      <w:bookmarkStart w:id="1" w:name="_heading=h.gjdgxs" w:colFirst="0" w:colLast="0"/>
      <w:bookmarkEnd w:id="1"/>
      <w:r w:rsidRPr="002B10E6">
        <w:rPr>
          <w:rFonts w:ascii="Palatino Linotype" w:eastAsia="Palatino Linotype" w:hAnsi="Palatino Linotype" w:cs="Palatino Linotype"/>
          <w:i/>
          <w:sz w:val="22"/>
          <w:szCs w:val="22"/>
        </w:rPr>
        <w:t xml:space="preserve">“fotocopia de la nómina de los trabajadores del fondo de la universidad </w:t>
      </w:r>
      <w:proofErr w:type="spellStart"/>
      <w:r w:rsidRPr="002B10E6">
        <w:rPr>
          <w:rFonts w:ascii="Palatino Linotype" w:eastAsia="Palatino Linotype" w:hAnsi="Palatino Linotype" w:cs="Palatino Linotype"/>
          <w:i/>
          <w:sz w:val="22"/>
          <w:szCs w:val="22"/>
        </w:rPr>
        <w:t>fondic</w:t>
      </w:r>
      <w:proofErr w:type="spellEnd"/>
      <w:r w:rsidRPr="002B10E6">
        <w:rPr>
          <w:rFonts w:ascii="Palatino Linotype" w:eastAsia="Palatino Linotype" w:hAnsi="Palatino Linotype" w:cs="Palatino Linotype"/>
          <w:i/>
          <w:sz w:val="22"/>
          <w:szCs w:val="22"/>
        </w:rPr>
        <w:t xml:space="preserve"> o de sus comprobantes de pago” (Sic) </w:t>
      </w:r>
    </w:p>
    <w:p w14:paraId="4E15F371"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2B10E6">
        <w:rPr>
          <w:rFonts w:ascii="Palatino Linotype" w:eastAsia="Palatino Linotype" w:hAnsi="Palatino Linotype" w:cs="Palatino Linotype"/>
          <w:b/>
          <w:sz w:val="22"/>
          <w:szCs w:val="22"/>
        </w:rPr>
        <w:t>Modalidad de Entrega:</w:t>
      </w:r>
      <w:r w:rsidRPr="002B10E6">
        <w:rPr>
          <w:rFonts w:ascii="Palatino Linotype" w:eastAsia="Palatino Linotype" w:hAnsi="Palatino Linotype" w:cs="Palatino Linotype"/>
          <w:sz w:val="22"/>
          <w:szCs w:val="22"/>
        </w:rPr>
        <w:t xml:space="preserve"> a través </w:t>
      </w:r>
      <w:r w:rsidRPr="002B10E6">
        <w:rPr>
          <w:rFonts w:ascii="Palatino Linotype" w:eastAsia="Palatino Linotype" w:hAnsi="Palatino Linotype" w:cs="Palatino Linotype"/>
          <w:b/>
          <w:sz w:val="22"/>
          <w:szCs w:val="22"/>
        </w:rPr>
        <w:t>de SAIMEX.</w:t>
      </w:r>
    </w:p>
    <w:p w14:paraId="3B290CBE"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2. Prórroga. El dieciocho de diciembre del dos mil veinticuatro</w:t>
      </w:r>
      <w:r w:rsidRPr="002B10E6">
        <w:rPr>
          <w:rFonts w:ascii="Palatino Linotype" w:eastAsia="Palatino Linotype" w:hAnsi="Palatino Linotype" w:cs="Palatino Linotype"/>
          <w:sz w:val="22"/>
          <w:szCs w:val="22"/>
        </w:rPr>
        <w:t>, el</w:t>
      </w:r>
      <w:r w:rsidRPr="002B10E6">
        <w:rPr>
          <w:rFonts w:ascii="Palatino Linotype" w:eastAsia="Palatino Linotype" w:hAnsi="Palatino Linotype" w:cs="Palatino Linotype"/>
          <w:b/>
          <w:sz w:val="22"/>
          <w:szCs w:val="22"/>
        </w:rPr>
        <w:t xml:space="preserve"> Sujeto Obligado </w:t>
      </w:r>
      <w:r w:rsidRPr="002B10E6">
        <w:rPr>
          <w:rFonts w:ascii="Palatino Linotype" w:eastAsia="Palatino Linotype" w:hAnsi="Palatino Linotype" w:cs="Palatino Linotype"/>
          <w:sz w:val="22"/>
          <w:szCs w:val="22"/>
        </w:rPr>
        <w:t>notificó a</w:t>
      </w:r>
      <w:r w:rsidRPr="002B10E6">
        <w:rPr>
          <w:rFonts w:ascii="Palatino Linotype" w:eastAsia="Palatino Linotype" w:hAnsi="Palatino Linotype" w:cs="Palatino Linotype"/>
          <w:b/>
          <w:sz w:val="22"/>
          <w:szCs w:val="22"/>
        </w:rPr>
        <w:t xml:space="preserve"> la parte Recurrente</w:t>
      </w:r>
      <w:r w:rsidRPr="002B10E6">
        <w:rPr>
          <w:rFonts w:ascii="Palatino Linotype" w:eastAsia="Palatino Linotype" w:hAnsi="Palatino Linotype" w:cs="Palatino Linotype"/>
          <w:sz w:val="22"/>
          <w:szCs w:val="22"/>
        </w:rPr>
        <w:t xml:space="preserve">, la prórroga para atender su solicitud de información en los siguientes términos: </w:t>
      </w:r>
    </w:p>
    <w:p w14:paraId="30DAB4EF" w14:textId="77777777" w:rsidR="00347B0A" w:rsidRPr="002B10E6" w:rsidRDefault="005A2214">
      <w:pPr>
        <w:spacing w:before="240"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515BFB7B" w14:textId="77777777" w:rsidR="00347B0A" w:rsidRPr="002B10E6" w:rsidRDefault="005A2214">
      <w:pPr>
        <w:spacing w:before="240"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Con fundamento en los artículos 3 fracciones IV, IX, XXIII, XXVII, XXXII, XXXIV, XLV, XLIV, 4. 6, 10, 11, 15, 16, 17, 23 fracción V, 47, 49, 50, 51, 53 fracción X y 163 de la Ley de Transparencia y Acceso a la Información Pública del Estado de México y Municipios y demás disposiciones relativas y aplicables vigentes; el Comité de Transparencia de la Universidad Autónoma del Estado de México aprobó la prórroga de la solicitud de información con número de folio 01179/UAEM/IP/2024, toda vez que se está realizando una búsqueda de la información solicitada, de conformidad con el Acuerdo de Prorrogas UAEM/AP/052/2024</w:t>
      </w:r>
    </w:p>
    <w:p w14:paraId="50CB8289" w14:textId="77777777" w:rsidR="00347B0A" w:rsidRPr="002B10E6" w:rsidRDefault="005A2214">
      <w:pPr>
        <w:spacing w:before="240"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M. EN D. HUGO EDGAR CHAPARRO CAMPOS</w:t>
      </w:r>
    </w:p>
    <w:p w14:paraId="2A5BAE58" w14:textId="77777777" w:rsidR="00347B0A" w:rsidRPr="002B10E6" w:rsidRDefault="005A2214">
      <w:pPr>
        <w:spacing w:before="240"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Responsable de la Unidad de Transparencia”</w:t>
      </w:r>
    </w:p>
    <w:p w14:paraId="1A3C2104"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Es de precisar que del análisis a esta ampliación de plazo, se tiene que </w:t>
      </w:r>
      <w:r w:rsidRPr="002B10E6">
        <w:rPr>
          <w:rFonts w:ascii="Palatino Linotype" w:eastAsia="Palatino Linotype" w:hAnsi="Palatino Linotype" w:cs="Palatino Linotype"/>
          <w:b/>
          <w:sz w:val="22"/>
          <w:szCs w:val="22"/>
        </w:rPr>
        <w:t xml:space="preserve">no </w:t>
      </w:r>
      <w:r w:rsidRPr="002B10E6">
        <w:rPr>
          <w:rFonts w:ascii="Palatino Linotype" w:eastAsia="Palatino Linotype" w:hAnsi="Palatino Linotype" w:cs="Palatino Linotype"/>
          <w:sz w:val="22"/>
          <w:szCs w:val="22"/>
        </w:rPr>
        <w:t xml:space="preserve">se efectuó dentro de los parámetros establecidos por el segundo párrafo del artículo 163 de la Ley de Transparencia Local, toda vez que no se adjuntó el acuerdo de comité que apruebe la prórroga para atender la solicitud de información, por lo que respetuosamente se exhorta al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a atender las formalidades contempladas en dicha normatividad al momento de solicitar una prórroga para la atención de las solicitudes de información.</w:t>
      </w:r>
    </w:p>
    <w:p w14:paraId="0FCB4F07" w14:textId="77777777" w:rsidR="00347B0A" w:rsidRPr="002B10E6" w:rsidRDefault="005A2214">
      <w:pPr>
        <w:spacing w:before="240" w:after="240" w:line="360" w:lineRule="auto"/>
        <w:jc w:val="both"/>
        <w:rPr>
          <w:rFonts w:ascii="Palatino Linotype" w:eastAsia="Palatino Linotype" w:hAnsi="Palatino Linotype" w:cs="Palatino Linotype"/>
          <w:b/>
          <w:sz w:val="22"/>
          <w:szCs w:val="22"/>
        </w:rPr>
      </w:pPr>
      <w:r w:rsidRPr="002B10E6">
        <w:rPr>
          <w:rFonts w:ascii="Palatino Linotype" w:eastAsia="Palatino Linotype" w:hAnsi="Palatino Linotype" w:cs="Palatino Linotype"/>
          <w:b/>
          <w:sz w:val="22"/>
          <w:szCs w:val="22"/>
        </w:rPr>
        <w:t xml:space="preserve">3. Respuesta. </w:t>
      </w:r>
      <w:r w:rsidRPr="002B10E6">
        <w:rPr>
          <w:rFonts w:ascii="Palatino Linotype" w:eastAsia="Palatino Linotype" w:hAnsi="Palatino Linotype" w:cs="Palatino Linotype"/>
          <w:sz w:val="22"/>
          <w:szCs w:val="22"/>
        </w:rPr>
        <w:t xml:space="preserve">El </w:t>
      </w:r>
      <w:r w:rsidRPr="002B10E6">
        <w:rPr>
          <w:rFonts w:ascii="Palatino Linotype" w:eastAsia="Palatino Linotype" w:hAnsi="Palatino Linotype" w:cs="Palatino Linotype"/>
          <w:b/>
          <w:sz w:val="22"/>
          <w:szCs w:val="22"/>
        </w:rPr>
        <w:t>veinte de enero de dos mil veinticinco</w:t>
      </w:r>
      <w:r w:rsidRPr="002B10E6">
        <w:rPr>
          <w:rFonts w:ascii="Palatino Linotype" w:eastAsia="Palatino Linotype" w:hAnsi="Palatino Linotype" w:cs="Palatino Linotype"/>
          <w:sz w:val="22"/>
          <w:szCs w:val="22"/>
        </w:rPr>
        <w:t xml:space="preserve">, 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 xml:space="preserve">notificó la respuesta a la solicitud de acceso a la información a través de SAIMEX, sustancialmente en los términos siguientes:   </w:t>
      </w:r>
    </w:p>
    <w:p w14:paraId="05A37858" w14:textId="77777777" w:rsidR="00347B0A" w:rsidRPr="002B10E6" w:rsidRDefault="005A2214">
      <w:pPr>
        <w:spacing w:before="240" w:after="24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“…En respuesta a la solicitud recibida, nos permitimos hacer de su conocimiento que con fundamento en el artículo 53, Fracciones: II, V y VI de la Ley de </w:t>
      </w:r>
      <w:r w:rsidRPr="002B10E6">
        <w:rPr>
          <w:rFonts w:ascii="Palatino Linotype" w:eastAsia="Palatino Linotype" w:hAnsi="Palatino Linotype" w:cs="Palatino Linotype"/>
          <w:i/>
          <w:sz w:val="22"/>
          <w:szCs w:val="22"/>
        </w:rPr>
        <w:lastRenderedPageBreak/>
        <w:t>Transparencia y Acceso a la Información Pública del Estado de México y Municipios, le contestamos que:</w:t>
      </w:r>
    </w:p>
    <w:p w14:paraId="6B4C6F4E" w14:textId="77777777" w:rsidR="00347B0A" w:rsidRPr="002B10E6" w:rsidRDefault="005A2214">
      <w:pPr>
        <w:spacing w:before="240" w:after="24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En respuesta a la solicitud de acceso a la información pública con número de folio 01179/UAEM/IP/2024,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w:t>
      </w:r>
      <w:r w:rsidRPr="002B10E6">
        <w:rPr>
          <w:rFonts w:ascii="Palatino Linotype" w:eastAsia="Palatino Linotype" w:hAnsi="Palatino Linotype" w:cs="Palatino Linotype"/>
          <w:b/>
          <w:i/>
          <w:sz w:val="22"/>
          <w:szCs w:val="22"/>
          <w:u w:val="single"/>
        </w:rPr>
        <w:t>hacemos de su conocimiento con base en la información proporcionada por la Secretaría de Finanzas, que después de realizar una búsqueda en los archivos con los que se cuenta no se encontró registro de la información solicitada, por tanto no es posible atender su solicitud de información en los términos requeridos.</w:t>
      </w:r>
      <w:r w:rsidRPr="002B10E6">
        <w:rPr>
          <w:rFonts w:ascii="Palatino Linotype" w:eastAsia="Palatino Linotype" w:hAnsi="Palatino Linotype" w:cs="Palatino Linotype"/>
          <w:i/>
          <w:sz w:val="22"/>
          <w:szCs w:val="22"/>
        </w:rPr>
        <w:t xml:space="preserve"> Es menester señalar que de conformidad con lo establecido en los artículos 53 y 162 de la Ley de Transparencia, Acceso a la Información Pública del Estado de México y Municipios, las unidades de transparencia deberán recibir, tramitar y dar respuesta a las solicitudes de acceso a la información, con la información que las áreas competentes cuenten de acuerdo a sus facultades, competencias y funciones. Finalmente se hace de su conocimiento que de conformidad con los artículos 176, 177, 178 y demás relativos y aplicables de la Ley de Transparencia, Acceso a la Información Pública del Estado de México y Municipios, el solicitante tiene derecho de presentar recurso de revisión, dentro de los quince días hábiles siguientes a la fecha de notificación de la respuesta.</w:t>
      </w:r>
    </w:p>
    <w:p w14:paraId="6E56EB09" w14:textId="77777777" w:rsidR="00347B0A" w:rsidRPr="002B10E6" w:rsidRDefault="005A2214">
      <w:pPr>
        <w:spacing w:before="240" w:after="24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ATENTAMENTE</w:t>
      </w:r>
    </w:p>
    <w:p w14:paraId="1783A119" w14:textId="77777777" w:rsidR="00347B0A" w:rsidRPr="002B10E6" w:rsidRDefault="005A2214">
      <w:pPr>
        <w:spacing w:before="240" w:after="24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M. EN D. HUGO EDGAR CHAPARRO CAMPOS” (Énfasis añadido)</w:t>
      </w:r>
    </w:p>
    <w:p w14:paraId="2FC7F40E" w14:textId="77777777" w:rsidR="00347B0A" w:rsidRPr="002B10E6" w:rsidRDefault="005A2214">
      <w:pPr>
        <w:spacing w:before="240" w:after="240" w:line="360" w:lineRule="auto"/>
        <w:ind w:right="49"/>
        <w:jc w:val="both"/>
        <w:rPr>
          <w:rFonts w:ascii="Palatino Linotype" w:eastAsia="Palatino Linotype" w:hAnsi="Palatino Linotype" w:cs="Palatino Linotype"/>
          <w:b/>
          <w:sz w:val="22"/>
          <w:szCs w:val="22"/>
        </w:rPr>
      </w:pPr>
      <w:r w:rsidRPr="002B10E6">
        <w:rPr>
          <w:rFonts w:ascii="Palatino Linotype" w:eastAsia="Palatino Linotype" w:hAnsi="Palatino Linotype" w:cs="Palatino Linotype"/>
          <w:b/>
          <w:sz w:val="22"/>
          <w:szCs w:val="22"/>
        </w:rPr>
        <w:t xml:space="preserve">4. Interposición del recurso de revisión. </w:t>
      </w:r>
      <w:r w:rsidRPr="002B10E6">
        <w:rPr>
          <w:rFonts w:ascii="Palatino Linotype" w:eastAsia="Palatino Linotype" w:hAnsi="Palatino Linotype" w:cs="Palatino Linotype"/>
          <w:sz w:val="22"/>
          <w:szCs w:val="22"/>
        </w:rPr>
        <w:t xml:space="preserve">Inconforme con los términos de la respuesta emitida por parte del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el</w:t>
      </w:r>
      <w:r w:rsidRPr="002B10E6">
        <w:rPr>
          <w:rFonts w:ascii="Palatino Linotype" w:eastAsia="Palatino Linotype" w:hAnsi="Palatino Linotype" w:cs="Palatino Linotype"/>
          <w:b/>
          <w:sz w:val="22"/>
          <w:szCs w:val="22"/>
        </w:rPr>
        <w:t xml:space="preserve"> veintidós de enero de dos mil veinticinco,</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xml:space="preserve"> interpuso el recurso de revisión a través de </w:t>
      </w:r>
      <w:r w:rsidRPr="002B10E6">
        <w:rPr>
          <w:rFonts w:ascii="Palatino Linotype" w:eastAsia="Palatino Linotype" w:hAnsi="Palatino Linotype" w:cs="Palatino Linotype"/>
          <w:b/>
          <w:sz w:val="22"/>
          <w:szCs w:val="22"/>
        </w:rPr>
        <w:t xml:space="preserve">SAIMEX, </w:t>
      </w:r>
      <w:r w:rsidRPr="002B10E6">
        <w:rPr>
          <w:rFonts w:ascii="Palatino Linotype" w:eastAsia="Palatino Linotype" w:hAnsi="Palatino Linotype" w:cs="Palatino Linotype"/>
          <w:sz w:val="22"/>
          <w:szCs w:val="22"/>
        </w:rPr>
        <w:t>en donde se manifestó de la siguiente manera:</w:t>
      </w:r>
    </w:p>
    <w:p w14:paraId="24EA8ADD" w14:textId="77777777" w:rsidR="00347B0A" w:rsidRPr="002B10E6" w:rsidRDefault="005A2214">
      <w:pPr>
        <w:tabs>
          <w:tab w:val="left" w:pos="2745"/>
        </w:tabs>
        <w:spacing w:before="240" w:after="240" w:line="276" w:lineRule="auto"/>
        <w:ind w:left="567" w:right="900"/>
        <w:jc w:val="both"/>
        <w:rPr>
          <w:rFonts w:ascii="Palatino Linotype" w:eastAsia="Palatino Linotype" w:hAnsi="Palatino Linotype" w:cs="Palatino Linotype"/>
          <w:b/>
        </w:rPr>
      </w:pPr>
      <w:r w:rsidRPr="002B10E6">
        <w:rPr>
          <w:rFonts w:ascii="Palatino Linotype" w:eastAsia="Palatino Linotype" w:hAnsi="Palatino Linotype" w:cs="Palatino Linotype"/>
          <w:b/>
          <w:sz w:val="22"/>
          <w:szCs w:val="22"/>
        </w:rPr>
        <w:t xml:space="preserve">a) Acto impugnado: </w:t>
      </w:r>
      <w:r w:rsidRPr="002B10E6">
        <w:rPr>
          <w:rFonts w:ascii="Palatino Linotype" w:eastAsia="Palatino Linotype" w:hAnsi="Palatino Linotype" w:cs="Palatino Linotype"/>
          <w:i/>
          <w:sz w:val="22"/>
          <w:szCs w:val="22"/>
        </w:rPr>
        <w:t xml:space="preserve">“negativa a entregar la información, no proporciona el documento emitido por el </w:t>
      </w:r>
      <w:proofErr w:type="spellStart"/>
      <w:r w:rsidRPr="002B10E6">
        <w:rPr>
          <w:rFonts w:ascii="Palatino Linotype" w:eastAsia="Palatino Linotype" w:hAnsi="Palatino Linotype" w:cs="Palatino Linotype"/>
          <w:i/>
          <w:sz w:val="22"/>
          <w:szCs w:val="22"/>
        </w:rPr>
        <w:t>area</w:t>
      </w:r>
      <w:proofErr w:type="spellEnd"/>
      <w:r w:rsidRPr="002B10E6">
        <w:rPr>
          <w:rFonts w:ascii="Palatino Linotype" w:eastAsia="Palatino Linotype" w:hAnsi="Palatino Linotype" w:cs="Palatino Linotype"/>
          <w:i/>
          <w:sz w:val="22"/>
          <w:szCs w:val="22"/>
        </w:rPr>
        <w:t xml:space="preserve"> administrativa que según no existe ni entrega el </w:t>
      </w:r>
      <w:r w:rsidRPr="002B10E6">
        <w:rPr>
          <w:rFonts w:ascii="Palatino Linotype" w:eastAsia="Palatino Linotype" w:hAnsi="Palatino Linotype" w:cs="Palatino Linotype"/>
          <w:i/>
          <w:sz w:val="22"/>
          <w:szCs w:val="22"/>
        </w:rPr>
        <w:lastRenderedPageBreak/>
        <w:t xml:space="preserve">acuerdo del </w:t>
      </w:r>
      <w:proofErr w:type="spellStart"/>
      <w:r w:rsidRPr="002B10E6">
        <w:rPr>
          <w:rFonts w:ascii="Palatino Linotype" w:eastAsia="Palatino Linotype" w:hAnsi="Palatino Linotype" w:cs="Palatino Linotype"/>
          <w:i/>
          <w:sz w:val="22"/>
          <w:szCs w:val="22"/>
        </w:rPr>
        <w:t>comite</w:t>
      </w:r>
      <w:proofErr w:type="spellEnd"/>
      <w:r w:rsidRPr="002B10E6">
        <w:rPr>
          <w:rFonts w:ascii="Palatino Linotype" w:eastAsia="Palatino Linotype" w:hAnsi="Palatino Linotype" w:cs="Palatino Linotype"/>
          <w:i/>
          <w:sz w:val="22"/>
          <w:szCs w:val="22"/>
        </w:rPr>
        <w:t xml:space="preserve"> de transparencia que por votación aprueba la inexistencia de la </w:t>
      </w:r>
      <w:proofErr w:type="spellStart"/>
      <w:r w:rsidRPr="002B10E6">
        <w:rPr>
          <w:rFonts w:ascii="Palatino Linotype" w:eastAsia="Palatino Linotype" w:hAnsi="Palatino Linotype" w:cs="Palatino Linotype"/>
          <w:i/>
          <w:sz w:val="22"/>
          <w:szCs w:val="22"/>
        </w:rPr>
        <w:t>infromación</w:t>
      </w:r>
      <w:proofErr w:type="spellEnd"/>
      <w:r w:rsidRPr="002B10E6">
        <w:rPr>
          <w:rFonts w:ascii="Palatino Linotype" w:eastAsia="Palatino Linotype" w:hAnsi="Palatino Linotype" w:cs="Palatino Linotype"/>
          <w:i/>
          <w:sz w:val="22"/>
          <w:szCs w:val="22"/>
        </w:rPr>
        <w:t xml:space="preserve"> solicitada.” (Sic)</w:t>
      </w:r>
    </w:p>
    <w:p w14:paraId="54DE0897" w14:textId="77777777" w:rsidR="00347B0A" w:rsidRPr="002B10E6" w:rsidRDefault="005A2214">
      <w:pPr>
        <w:spacing w:line="276" w:lineRule="auto"/>
        <w:ind w:left="567" w:right="900"/>
        <w:jc w:val="both"/>
        <w:rPr>
          <w:rFonts w:ascii="Palatino Linotype" w:eastAsia="Palatino Linotype" w:hAnsi="Palatino Linotype" w:cs="Palatino Linotype"/>
        </w:rPr>
      </w:pPr>
      <w:bookmarkStart w:id="3" w:name="_heading=h.30j0zll" w:colFirst="0" w:colLast="0"/>
      <w:bookmarkEnd w:id="3"/>
      <w:r w:rsidRPr="002B10E6">
        <w:rPr>
          <w:rFonts w:ascii="Palatino Linotype" w:eastAsia="Palatino Linotype" w:hAnsi="Palatino Linotype" w:cs="Palatino Linotype"/>
          <w:b/>
          <w:sz w:val="22"/>
          <w:szCs w:val="22"/>
        </w:rPr>
        <w:t>b) Razones o motivos de inconformidad</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i/>
          <w:sz w:val="22"/>
          <w:szCs w:val="22"/>
        </w:rPr>
        <w:t xml:space="preserve">“negativa a entregar la información, no proporciona el documento emitido por el </w:t>
      </w:r>
      <w:proofErr w:type="spellStart"/>
      <w:r w:rsidRPr="002B10E6">
        <w:rPr>
          <w:rFonts w:ascii="Palatino Linotype" w:eastAsia="Palatino Linotype" w:hAnsi="Palatino Linotype" w:cs="Palatino Linotype"/>
          <w:i/>
          <w:sz w:val="22"/>
          <w:szCs w:val="22"/>
        </w:rPr>
        <w:t>area</w:t>
      </w:r>
      <w:proofErr w:type="spellEnd"/>
      <w:r w:rsidRPr="002B10E6">
        <w:rPr>
          <w:rFonts w:ascii="Palatino Linotype" w:eastAsia="Palatino Linotype" w:hAnsi="Palatino Linotype" w:cs="Palatino Linotype"/>
          <w:i/>
          <w:sz w:val="22"/>
          <w:szCs w:val="22"/>
        </w:rPr>
        <w:t xml:space="preserve"> administrativa que según no existe ni entrega el acuerdo del </w:t>
      </w:r>
      <w:proofErr w:type="spellStart"/>
      <w:r w:rsidRPr="002B10E6">
        <w:rPr>
          <w:rFonts w:ascii="Palatino Linotype" w:eastAsia="Palatino Linotype" w:hAnsi="Palatino Linotype" w:cs="Palatino Linotype"/>
          <w:i/>
          <w:sz w:val="22"/>
          <w:szCs w:val="22"/>
        </w:rPr>
        <w:t>comite</w:t>
      </w:r>
      <w:proofErr w:type="spellEnd"/>
      <w:r w:rsidRPr="002B10E6">
        <w:rPr>
          <w:rFonts w:ascii="Palatino Linotype" w:eastAsia="Palatino Linotype" w:hAnsi="Palatino Linotype" w:cs="Palatino Linotype"/>
          <w:i/>
          <w:sz w:val="22"/>
          <w:szCs w:val="22"/>
        </w:rPr>
        <w:t xml:space="preserve"> de transparencia que por votación aprueba la inexistencia de la </w:t>
      </w:r>
      <w:proofErr w:type="spellStart"/>
      <w:r w:rsidRPr="002B10E6">
        <w:rPr>
          <w:rFonts w:ascii="Palatino Linotype" w:eastAsia="Palatino Linotype" w:hAnsi="Palatino Linotype" w:cs="Palatino Linotype"/>
          <w:i/>
          <w:sz w:val="22"/>
          <w:szCs w:val="22"/>
        </w:rPr>
        <w:t>infromación</w:t>
      </w:r>
      <w:proofErr w:type="spellEnd"/>
      <w:r w:rsidRPr="002B10E6">
        <w:rPr>
          <w:rFonts w:ascii="Palatino Linotype" w:eastAsia="Palatino Linotype" w:hAnsi="Palatino Linotype" w:cs="Palatino Linotype"/>
          <w:i/>
          <w:sz w:val="22"/>
          <w:szCs w:val="22"/>
        </w:rPr>
        <w:t xml:space="preserve"> solicitada.” (Sic)</w:t>
      </w:r>
    </w:p>
    <w:p w14:paraId="64FC6D8F" w14:textId="77777777" w:rsidR="00347B0A" w:rsidRPr="002B10E6" w:rsidRDefault="005A2214">
      <w:pPr>
        <w:spacing w:before="240" w:after="240" w:line="360" w:lineRule="auto"/>
        <w:ind w:right="51"/>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 xml:space="preserve">5. Turno. </w:t>
      </w:r>
      <w:r w:rsidRPr="002B10E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2B10E6">
        <w:rPr>
          <w:rFonts w:ascii="Palatino Linotype" w:eastAsia="Palatino Linotype" w:hAnsi="Palatino Linotype" w:cs="Palatino Linotype"/>
          <w:b/>
          <w:sz w:val="22"/>
          <w:szCs w:val="22"/>
        </w:rPr>
        <w:t>Comisionada</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 xml:space="preserve">Guadalupe Ramírez Peña, </w:t>
      </w:r>
      <w:r w:rsidRPr="002B10E6">
        <w:rPr>
          <w:rFonts w:ascii="Palatino Linotype" w:eastAsia="Palatino Linotype" w:hAnsi="Palatino Linotype" w:cs="Palatino Linotype"/>
          <w:sz w:val="22"/>
          <w:szCs w:val="22"/>
        </w:rPr>
        <w:t xml:space="preserve">a efecto de que analizara sobre su admisión o su </w:t>
      </w:r>
      <w:proofErr w:type="spellStart"/>
      <w:r w:rsidRPr="002B10E6">
        <w:rPr>
          <w:rFonts w:ascii="Palatino Linotype" w:eastAsia="Palatino Linotype" w:hAnsi="Palatino Linotype" w:cs="Palatino Linotype"/>
          <w:sz w:val="22"/>
          <w:szCs w:val="22"/>
        </w:rPr>
        <w:t>desechamiento</w:t>
      </w:r>
      <w:proofErr w:type="spellEnd"/>
      <w:r w:rsidRPr="002B10E6">
        <w:rPr>
          <w:rFonts w:ascii="Palatino Linotype" w:eastAsia="Palatino Linotype" w:hAnsi="Palatino Linotype" w:cs="Palatino Linotype"/>
          <w:sz w:val="22"/>
          <w:szCs w:val="22"/>
        </w:rPr>
        <w:t>.</w:t>
      </w:r>
    </w:p>
    <w:p w14:paraId="4303E595"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6. Admisión del Recurso de revisión.</w:t>
      </w:r>
      <w:r w:rsidRPr="002B10E6">
        <w:rPr>
          <w:rFonts w:ascii="Palatino Linotype" w:eastAsia="Palatino Linotype" w:hAnsi="Palatino Linotype" w:cs="Palatino Linotype"/>
          <w:sz w:val="22"/>
          <w:szCs w:val="22"/>
        </w:rPr>
        <w:t xml:space="preserve"> El</w:t>
      </w:r>
      <w:r w:rsidRPr="002B10E6">
        <w:rPr>
          <w:rFonts w:ascii="Palatino Linotype" w:eastAsia="Palatino Linotype" w:hAnsi="Palatino Linotype" w:cs="Palatino Linotype"/>
          <w:b/>
          <w:sz w:val="22"/>
          <w:szCs w:val="22"/>
        </w:rPr>
        <w:t xml:space="preserve"> veintisiete de enero de dos mil veinticinco, </w:t>
      </w:r>
      <w:r w:rsidRPr="002B10E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presentara su informe justificado.</w:t>
      </w:r>
    </w:p>
    <w:p w14:paraId="078B6EC8" w14:textId="77777777" w:rsidR="00347B0A" w:rsidRPr="002B10E6" w:rsidRDefault="005A221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2B10E6">
        <w:rPr>
          <w:rFonts w:ascii="Palatino Linotype" w:eastAsia="Palatino Linotype" w:hAnsi="Palatino Linotype" w:cs="Palatino Linotype"/>
          <w:b/>
          <w:sz w:val="22"/>
          <w:szCs w:val="22"/>
        </w:rPr>
        <w:t>7. Manifestaciones e Informe Justificado</w:t>
      </w:r>
      <w:r w:rsidRPr="002B10E6">
        <w:rPr>
          <w:rFonts w:ascii="Palatino Linotype" w:eastAsia="Palatino Linotype" w:hAnsi="Palatino Linotype" w:cs="Palatino Linotype"/>
          <w:sz w:val="22"/>
          <w:szCs w:val="22"/>
        </w:rPr>
        <w:t>. De las constancias que integran el expediente en que se actúa se advierte que las partes fueron omisas en presentar sus manifestaciones o alegatos que a su derecho convinieran, por lo que se tiene por precluido su derecho para tal efecto.</w:t>
      </w:r>
    </w:p>
    <w:p w14:paraId="0B25A67B" w14:textId="77777777" w:rsidR="00347B0A" w:rsidRPr="002B10E6" w:rsidRDefault="005A2214">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noProof/>
          <w:sz w:val="22"/>
          <w:szCs w:val="22"/>
        </w:rPr>
        <w:lastRenderedPageBreak/>
        <w:drawing>
          <wp:inline distT="0" distB="0" distL="0" distR="0" wp14:anchorId="54D3EC75" wp14:editId="61232F5A">
            <wp:extent cx="5612130" cy="1449070"/>
            <wp:effectExtent l="0" t="0" r="0" b="0"/>
            <wp:docPr id="10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612130" cy="1449070"/>
                    </a:xfrm>
                    <a:prstGeom prst="rect">
                      <a:avLst/>
                    </a:prstGeom>
                    <a:ln/>
                  </pic:spPr>
                </pic:pic>
              </a:graphicData>
            </a:graphic>
          </wp:inline>
        </w:drawing>
      </w:r>
    </w:p>
    <w:p w14:paraId="3E707C86" w14:textId="77777777" w:rsidR="00347B0A" w:rsidRPr="002B10E6" w:rsidRDefault="005A2214">
      <w:pPr>
        <w:spacing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 xml:space="preserve">8. Cierre de instrucción. </w:t>
      </w:r>
      <w:r w:rsidRPr="002B10E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2B10E6">
        <w:rPr>
          <w:rFonts w:ascii="Palatino Linotype" w:eastAsia="Palatino Linotype" w:hAnsi="Palatino Linotype" w:cs="Palatino Linotype"/>
          <w:b/>
          <w:sz w:val="22"/>
          <w:szCs w:val="22"/>
        </w:rPr>
        <w:t>siete de febrero de dos mil veinticinco,</w:t>
      </w:r>
      <w:r w:rsidRPr="002B10E6">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C65F139"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DE42206" w14:textId="77777777" w:rsidR="00347B0A" w:rsidRPr="002B10E6" w:rsidRDefault="005A2214">
      <w:pPr>
        <w:widowControl w:val="0"/>
        <w:spacing w:before="240" w:after="240" w:line="360" w:lineRule="auto"/>
        <w:jc w:val="center"/>
        <w:rPr>
          <w:rFonts w:ascii="Palatino Linotype" w:eastAsia="Palatino Linotype" w:hAnsi="Palatino Linotype" w:cs="Palatino Linotype"/>
          <w:b/>
          <w:sz w:val="22"/>
          <w:szCs w:val="22"/>
        </w:rPr>
      </w:pPr>
      <w:r w:rsidRPr="002B10E6">
        <w:rPr>
          <w:rFonts w:ascii="Palatino Linotype" w:eastAsia="Palatino Linotype" w:hAnsi="Palatino Linotype" w:cs="Palatino Linotype"/>
          <w:b/>
          <w:sz w:val="22"/>
          <w:szCs w:val="22"/>
        </w:rPr>
        <w:t>II. C O N S I D E R A N D O S</w:t>
      </w:r>
    </w:p>
    <w:p w14:paraId="63FA2601"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Primero. Competencia.</w:t>
      </w:r>
      <w:r w:rsidRPr="002B10E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w:t>
      </w:r>
      <w:r w:rsidRPr="002B10E6">
        <w:rPr>
          <w:rFonts w:ascii="Palatino Linotype" w:eastAsia="Palatino Linotype" w:hAnsi="Palatino Linotype" w:cs="Palatino Linotype"/>
          <w:b/>
          <w:sz w:val="22"/>
          <w:szCs w:val="22"/>
        </w:rPr>
        <w:t>la parte Recurrente</w:t>
      </w:r>
      <w:r w:rsidRPr="002B10E6">
        <w:rPr>
          <w:rFonts w:ascii="Palatino Linotype" w:eastAsia="Palatino Linotype" w:hAnsi="Palatino Linotype" w:cs="Palatino Linotype"/>
          <w:sz w:val="22"/>
          <w:szCs w:val="22"/>
        </w:rPr>
        <w:t>,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0E90EEE0"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2B10E6">
        <w:rPr>
          <w:rFonts w:ascii="Palatino Linotype" w:eastAsia="Palatino Linotype" w:hAnsi="Palatino Linotype" w:cs="Palatino Linotype"/>
          <w:b/>
          <w:sz w:val="22"/>
          <w:szCs w:val="22"/>
        </w:rPr>
        <w:lastRenderedPageBreak/>
        <w:t>Segundo. Oportunidad y Procedibilidad del Recurso de Revisión</w:t>
      </w:r>
      <w:r w:rsidRPr="002B10E6">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928BA2D"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 xml:space="preserve">remitió su respuesta para atender la solicitud de información el </w:t>
      </w:r>
      <w:r w:rsidRPr="002B10E6">
        <w:rPr>
          <w:rFonts w:ascii="Palatino Linotype" w:eastAsia="Palatino Linotype" w:hAnsi="Palatino Linotype" w:cs="Palatino Linotype"/>
          <w:b/>
          <w:sz w:val="22"/>
          <w:szCs w:val="22"/>
        </w:rPr>
        <w:t>veinte de enero</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 xml:space="preserve">de dos mil veinticinco, </w:t>
      </w:r>
      <w:r w:rsidRPr="002B10E6">
        <w:rPr>
          <w:rFonts w:ascii="Palatino Linotype" w:eastAsia="Palatino Linotype" w:hAnsi="Palatino Linotype" w:cs="Palatino Linotype"/>
          <w:sz w:val="22"/>
          <w:szCs w:val="22"/>
        </w:rPr>
        <w:t xml:space="preserve">mientras que el recurso de revisión interpuesto por </w:t>
      </w:r>
      <w:r w:rsidRPr="002B10E6">
        <w:rPr>
          <w:rFonts w:ascii="Palatino Linotype" w:eastAsia="Palatino Linotype" w:hAnsi="Palatino Linotype" w:cs="Palatino Linotype"/>
          <w:b/>
          <w:sz w:val="22"/>
          <w:szCs w:val="22"/>
        </w:rPr>
        <w:t>la parte Recurrente</w:t>
      </w:r>
      <w:r w:rsidRPr="002B10E6">
        <w:rPr>
          <w:rFonts w:ascii="Palatino Linotype" w:eastAsia="Palatino Linotype" w:hAnsi="Palatino Linotype" w:cs="Palatino Linotype"/>
          <w:sz w:val="22"/>
          <w:szCs w:val="22"/>
        </w:rPr>
        <w:t xml:space="preserve">, se tuvo por presentado el día </w:t>
      </w:r>
      <w:r w:rsidRPr="002B10E6">
        <w:rPr>
          <w:rFonts w:ascii="Palatino Linotype" w:eastAsia="Palatino Linotype" w:hAnsi="Palatino Linotype" w:cs="Palatino Linotype"/>
          <w:b/>
          <w:sz w:val="22"/>
          <w:szCs w:val="22"/>
        </w:rPr>
        <w:t>veintidós de enero</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 xml:space="preserve">de dos mil veinticinco, </w:t>
      </w:r>
      <w:r w:rsidRPr="002B10E6">
        <w:rPr>
          <w:rFonts w:ascii="Palatino Linotype" w:eastAsia="Palatino Linotype" w:hAnsi="Palatino Linotype" w:cs="Palatino Linotype"/>
          <w:sz w:val="22"/>
          <w:szCs w:val="22"/>
        </w:rPr>
        <w:t xml:space="preserve">esto es, al </w:t>
      </w:r>
      <w:r w:rsidRPr="002B10E6">
        <w:rPr>
          <w:rFonts w:ascii="Palatino Linotype" w:eastAsia="Palatino Linotype" w:hAnsi="Palatino Linotype" w:cs="Palatino Linotype"/>
          <w:b/>
          <w:sz w:val="22"/>
          <w:szCs w:val="22"/>
        </w:rPr>
        <w:t>segundo día hábil</w:t>
      </w:r>
      <w:r w:rsidRPr="002B10E6">
        <w:rPr>
          <w:rFonts w:ascii="Palatino Linotype" w:eastAsia="Palatino Linotype" w:hAnsi="Palatino Linotype" w:cs="Palatino Linotype"/>
          <w:sz w:val="22"/>
          <w:szCs w:val="22"/>
        </w:rPr>
        <w:t xml:space="preserve"> siguiente al que tuvo conocimiento de la declaración de incompetencia impugnada. En este sentido, se concluye que el presente recurso de revisión se encuentra dentro de los márgenes temporales previstos en las disposiciones legales referidas.</w:t>
      </w:r>
    </w:p>
    <w:p w14:paraId="5A7B3008"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Asimismo por cuanto hace a la procedibilidad del recurso de revisión, es de suma importancia señalar que </w:t>
      </w:r>
      <w:r w:rsidRPr="002B10E6">
        <w:rPr>
          <w:rFonts w:ascii="Palatino Linotype" w:eastAsia="Palatino Linotype" w:hAnsi="Palatino Linotype" w:cs="Palatino Linotype"/>
          <w:b/>
          <w:sz w:val="22"/>
          <w:szCs w:val="22"/>
        </w:rPr>
        <w:t>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xml:space="preserve"> fue omisa en proporcionar nombre o seudónimo con el que desea que se le identifique</w:t>
      </w:r>
      <w:r w:rsidRPr="002B10E6">
        <w:rPr>
          <w:rFonts w:ascii="Palatino Linotype" w:eastAsia="Palatino Linotype" w:hAnsi="Palatino Linotype" w:cs="Palatino Linotype"/>
          <w:b/>
          <w:sz w:val="22"/>
          <w:szCs w:val="22"/>
        </w:rPr>
        <w:t>,</w:t>
      </w:r>
      <w:r w:rsidRPr="002B10E6">
        <w:rPr>
          <w:rFonts w:ascii="Palatino Linotype" w:eastAsia="Palatino Linotype" w:hAnsi="Palatino Linotype" w:cs="Palatino Linotype"/>
          <w:sz w:val="22"/>
          <w:szCs w:val="22"/>
        </w:rPr>
        <w:t xml:space="preserve"> como se advierte en el detalle de seguimiento del SAIMEX, no obstante, el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2EE7B06" w14:textId="77777777" w:rsidR="00347B0A" w:rsidRPr="002B10E6" w:rsidRDefault="005A2214">
      <w:pPr>
        <w:spacing w:before="240" w:after="240" w:line="276" w:lineRule="auto"/>
        <w:ind w:left="851"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 xml:space="preserve">Las solicitudes </w:t>
      </w:r>
      <w:r w:rsidRPr="002B10E6">
        <w:rPr>
          <w:rFonts w:ascii="Palatino Linotype" w:eastAsia="Palatino Linotype" w:hAnsi="Palatino Linotype" w:cs="Palatino Linotype"/>
          <w:i/>
          <w:sz w:val="22"/>
          <w:szCs w:val="22"/>
        </w:rPr>
        <w:t xml:space="preserve">anónimas, con </w:t>
      </w:r>
      <w:r w:rsidRPr="002B10E6">
        <w:rPr>
          <w:rFonts w:ascii="Palatino Linotype" w:eastAsia="Palatino Linotype" w:hAnsi="Palatino Linotype" w:cs="Palatino Linotype"/>
          <w:b/>
          <w:i/>
          <w:sz w:val="22"/>
          <w:szCs w:val="22"/>
        </w:rPr>
        <w:t>nombre incompleto o seudónimo</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b/>
          <w:i/>
          <w:sz w:val="22"/>
          <w:szCs w:val="22"/>
        </w:rPr>
        <w:t>serán procedentes para su trámite por parte del sujeto obligado ante quien se presente</w:t>
      </w:r>
      <w:r w:rsidRPr="002B10E6">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51F26008"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lastRenderedPageBreak/>
        <w:t>Así también, por cuanto hace a la procedibilidad del recurso de revisión, una vez realizado el análisis de los formatos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A5AFE5A" w14:textId="77777777" w:rsidR="00347B0A" w:rsidRPr="002B10E6" w:rsidRDefault="005A2214">
      <w:pPr>
        <w:spacing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Por consiguiente,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2B10E6">
        <w:rPr>
          <w:rFonts w:ascii="Palatino Linotype" w:eastAsia="Palatino Linotype" w:hAnsi="Palatino Linotype" w:cs="Palatino Linotype"/>
          <w:b/>
          <w:sz w:val="22"/>
          <w:szCs w:val="22"/>
        </w:rPr>
        <w:t>el</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SAIMEX</w:t>
      </w:r>
      <w:r w:rsidRPr="002B10E6">
        <w:rPr>
          <w:rFonts w:ascii="Palatino Linotype" w:eastAsia="Palatino Linotype" w:hAnsi="Palatino Linotype" w:cs="Palatino Linotype"/>
          <w:sz w:val="22"/>
          <w:szCs w:val="22"/>
        </w:rPr>
        <w:t>.</w:t>
      </w:r>
    </w:p>
    <w:p w14:paraId="6FDCAEAA"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2B10E6">
        <w:rPr>
          <w:rFonts w:ascii="Palatino Linotype" w:eastAsia="Palatino Linotype" w:hAnsi="Palatino Linotype" w:cs="Palatino Linotype"/>
          <w:sz w:val="22"/>
          <w:szCs w:val="22"/>
        </w:rPr>
        <w:t xml:space="preserve">Finalmente, se advierte que resulta procedente la interposición del recurso, según lo manifestado por </w:t>
      </w:r>
      <w:r w:rsidRPr="002B10E6">
        <w:rPr>
          <w:rFonts w:ascii="Palatino Linotype" w:eastAsia="Palatino Linotype" w:hAnsi="Palatino Linotype" w:cs="Palatino Linotype"/>
          <w:b/>
          <w:sz w:val="22"/>
          <w:szCs w:val="22"/>
        </w:rPr>
        <w:t>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0025A626"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Artículo 179.</w:t>
      </w:r>
      <w:r w:rsidRPr="002B10E6">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F63B2FB" w14:textId="77777777" w:rsidR="00347B0A" w:rsidRPr="002B10E6" w:rsidRDefault="005A2214">
      <w:pPr>
        <w:spacing w:before="120" w:after="120"/>
        <w:ind w:left="567"/>
        <w:rPr>
          <w:rFonts w:ascii="Palatino Linotype" w:eastAsia="Palatino Linotype" w:hAnsi="Palatino Linotype" w:cs="Palatino Linotype"/>
          <w:b/>
          <w:i/>
          <w:sz w:val="22"/>
          <w:szCs w:val="22"/>
          <w:u w:val="single"/>
        </w:rPr>
      </w:pPr>
      <w:r w:rsidRPr="002B10E6">
        <w:rPr>
          <w:rFonts w:ascii="Palatino Linotype" w:eastAsia="Palatino Linotype" w:hAnsi="Palatino Linotype" w:cs="Palatino Linotype"/>
          <w:b/>
          <w:i/>
          <w:sz w:val="22"/>
          <w:szCs w:val="22"/>
          <w:u w:val="single"/>
        </w:rPr>
        <w:t>I. La negativa a la información solicitada;</w:t>
      </w:r>
      <w:r w:rsidRPr="002B10E6">
        <w:rPr>
          <w:rFonts w:ascii="Palatino Linotype" w:eastAsia="Palatino Linotype" w:hAnsi="Palatino Linotype" w:cs="Palatino Linotype"/>
          <w:b/>
          <w:i/>
          <w:sz w:val="22"/>
          <w:szCs w:val="22"/>
        </w:rPr>
        <w:t xml:space="preserve">” </w:t>
      </w:r>
      <w:r w:rsidRPr="002B10E6">
        <w:rPr>
          <w:rFonts w:ascii="Palatino Linotype" w:eastAsia="Palatino Linotype" w:hAnsi="Palatino Linotype" w:cs="Palatino Linotype"/>
          <w:i/>
          <w:sz w:val="22"/>
          <w:szCs w:val="22"/>
        </w:rPr>
        <w:t>(Énfasis añadido)</w:t>
      </w:r>
    </w:p>
    <w:p w14:paraId="6ED62358"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 xml:space="preserve">Tercero. Materia de la revisión. </w:t>
      </w:r>
      <w:r w:rsidRPr="002B10E6">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2B10E6">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2B10E6">
        <w:rPr>
          <w:rFonts w:ascii="Palatino Linotype" w:eastAsia="Palatino Linotype" w:hAnsi="Palatino Linotype" w:cs="Palatino Linotype"/>
          <w:sz w:val="22"/>
          <w:szCs w:val="22"/>
        </w:rPr>
        <w:t xml:space="preserve">de </w:t>
      </w:r>
      <w:r w:rsidRPr="002B10E6">
        <w:rPr>
          <w:rFonts w:ascii="Palatino Linotype" w:eastAsia="Palatino Linotype" w:hAnsi="Palatino Linotype" w:cs="Palatino Linotype"/>
          <w:b/>
          <w:sz w:val="22"/>
          <w:szCs w:val="22"/>
        </w:rPr>
        <w:t>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o en su defecto, en caso de ser procedente, ordenar la entrega de información.</w:t>
      </w:r>
    </w:p>
    <w:p w14:paraId="2816DF3B"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7" w:name="_heading=h.2et92p0" w:colFirst="0" w:colLast="0"/>
      <w:bookmarkEnd w:id="7"/>
      <w:r w:rsidRPr="002B10E6">
        <w:rPr>
          <w:rFonts w:ascii="Palatino Linotype" w:eastAsia="Palatino Linotype" w:hAnsi="Palatino Linotype" w:cs="Palatino Linotype"/>
          <w:b/>
          <w:sz w:val="22"/>
          <w:szCs w:val="22"/>
        </w:rPr>
        <w:lastRenderedPageBreak/>
        <w:t xml:space="preserve">Cuarto. Estudio del asunto. </w:t>
      </w:r>
      <w:r w:rsidRPr="002B10E6">
        <w:rPr>
          <w:rFonts w:ascii="Palatino Linotype" w:eastAsia="Palatino Linotype" w:hAnsi="Palatino Linotype" w:cs="Palatino Linotype"/>
          <w:sz w:val="22"/>
          <w:szCs w:val="22"/>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107EA271" w14:textId="77777777" w:rsidR="00347B0A" w:rsidRPr="002B10E6" w:rsidRDefault="005A2214">
      <w:pPr>
        <w:spacing w:before="120" w:after="120"/>
        <w:ind w:left="851"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Artículo 4</w:t>
      </w:r>
      <w:r w:rsidRPr="002B10E6">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652A91E1" w14:textId="77777777" w:rsidR="00347B0A" w:rsidRPr="002B10E6" w:rsidRDefault="005A2214">
      <w:pPr>
        <w:spacing w:before="120" w:after="120"/>
        <w:ind w:left="851"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2B10E6">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D2B53DC" w14:textId="77777777" w:rsidR="00347B0A" w:rsidRPr="002B10E6" w:rsidRDefault="005A2214">
      <w:pPr>
        <w:spacing w:before="120" w:after="120"/>
        <w:ind w:left="851"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2B10E6">
        <w:rPr>
          <w:rFonts w:ascii="Palatino Linotype" w:eastAsia="Palatino Linotype" w:hAnsi="Palatino Linotype" w:cs="Palatino Linotype"/>
          <w:i/>
          <w:sz w:val="22"/>
          <w:szCs w:val="22"/>
        </w:rPr>
        <w:t>.”(</w:t>
      </w:r>
      <w:proofErr w:type="gramEnd"/>
      <w:r w:rsidRPr="002B10E6">
        <w:rPr>
          <w:rFonts w:ascii="Palatino Linotype" w:eastAsia="Palatino Linotype" w:hAnsi="Palatino Linotype" w:cs="Palatino Linotype"/>
          <w:i/>
          <w:sz w:val="22"/>
          <w:szCs w:val="22"/>
        </w:rPr>
        <w:t>Énfasis añadido)</w:t>
      </w:r>
    </w:p>
    <w:p w14:paraId="723CE0B5"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w:t>
      </w:r>
      <w:r w:rsidRPr="002B10E6">
        <w:rPr>
          <w:rFonts w:ascii="Palatino Linotype" w:eastAsia="Palatino Linotype" w:hAnsi="Palatino Linotype" w:cs="Palatino Linotype"/>
          <w:sz w:val="22"/>
          <w:szCs w:val="22"/>
        </w:rPr>
        <w:lastRenderedPageBreak/>
        <w:t>lo establece el artículo 12 de la Ley de Transparencia y Acceso a la Información Pública del Estado de México y Municipios, que a la letra dice:</w:t>
      </w:r>
    </w:p>
    <w:p w14:paraId="24856C07" w14:textId="77777777" w:rsidR="00347B0A" w:rsidRPr="002B10E6" w:rsidRDefault="005A2214">
      <w:pPr>
        <w:spacing w:before="120" w:after="120"/>
        <w:ind w:left="851"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i/>
          <w:sz w:val="22"/>
          <w:szCs w:val="22"/>
        </w:rPr>
        <w:t>“Artículo 12.-</w:t>
      </w:r>
      <w:r w:rsidRPr="002B10E6">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D8E0E27" w14:textId="77777777" w:rsidR="00347B0A" w:rsidRPr="002B10E6" w:rsidRDefault="005A2214">
      <w:pPr>
        <w:spacing w:before="120" w:after="120"/>
        <w:ind w:left="851"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3DC1BE31" w14:textId="77777777" w:rsidR="00347B0A" w:rsidRPr="002B10E6" w:rsidRDefault="005A2214">
      <w:pPr>
        <w:spacing w:before="240" w:after="240" w:line="360" w:lineRule="auto"/>
        <w:ind w:right="-93"/>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CAA3757" w14:textId="77777777" w:rsidR="00347B0A" w:rsidRPr="002B10E6" w:rsidRDefault="005A2214">
      <w:pPr>
        <w:spacing w:before="240" w:after="240" w:line="360" w:lineRule="auto"/>
        <w:jc w:val="both"/>
        <w:rPr>
          <w:rFonts w:ascii="Palatino Linotype" w:eastAsia="Palatino Linotype" w:hAnsi="Palatino Linotype" w:cs="Palatino Linotype"/>
          <w:b/>
          <w:sz w:val="22"/>
          <w:szCs w:val="22"/>
        </w:rPr>
      </w:pPr>
      <w:r w:rsidRPr="002B10E6">
        <w:rPr>
          <w:rFonts w:ascii="Palatino Linotype" w:eastAsia="Palatino Linotype" w:hAnsi="Palatino Linotype" w:cs="Palatino Linotype"/>
          <w:sz w:val="22"/>
          <w:szCs w:val="22"/>
        </w:rPr>
        <w:t xml:space="preserve">Sirve de apoyo a lo anterior, el criterio 03/17, emitido por el Instituto Nacional de Transparencia, Acceso a la Información y Protección de Datos Personales, </w:t>
      </w:r>
      <w:proofErr w:type="gramStart"/>
      <w:r w:rsidRPr="002B10E6">
        <w:rPr>
          <w:rFonts w:ascii="Palatino Linotype" w:eastAsia="Palatino Linotype" w:hAnsi="Palatino Linotype" w:cs="Palatino Linotype"/>
          <w:sz w:val="22"/>
          <w:szCs w:val="22"/>
        </w:rPr>
        <w:t>que</w:t>
      </w:r>
      <w:proofErr w:type="gramEnd"/>
      <w:r w:rsidRPr="002B10E6">
        <w:rPr>
          <w:rFonts w:ascii="Palatino Linotype" w:eastAsia="Palatino Linotype" w:hAnsi="Palatino Linotype" w:cs="Palatino Linotype"/>
          <w:sz w:val="22"/>
          <w:szCs w:val="22"/>
        </w:rPr>
        <w:t xml:space="preserve"> por rubro y texto, dispone lo siguiente:</w:t>
      </w:r>
      <w:r w:rsidRPr="002B10E6">
        <w:rPr>
          <w:rFonts w:ascii="Palatino Linotype" w:eastAsia="Palatino Linotype" w:hAnsi="Palatino Linotype" w:cs="Palatino Linotype"/>
          <w:b/>
          <w:sz w:val="22"/>
          <w:szCs w:val="22"/>
        </w:rPr>
        <w:t xml:space="preserve"> </w:t>
      </w:r>
    </w:p>
    <w:p w14:paraId="3919E0C5"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No existe obligación de elaborar documentos ad hoc para atender las solicitudes de acceso a la información.</w:t>
      </w:r>
      <w:r w:rsidRPr="002B10E6">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2B10E6">
        <w:rPr>
          <w:rFonts w:ascii="Palatino Linotype" w:eastAsia="Palatino Linotype" w:hAnsi="Palatino Linotype" w:cs="Palatino Linotype"/>
          <w:i/>
          <w:sz w:val="22"/>
          <w:szCs w:val="22"/>
        </w:rPr>
        <w:lastRenderedPageBreak/>
        <w:t>acceso a la información del particular, proporcionando la información con la que cuentan en el formato en que la misma obre en sus archivos; sin necesidad de elaborar documentos ad hoc para atender las solicitudes de información.”</w:t>
      </w:r>
    </w:p>
    <w:p w14:paraId="30D0A914" w14:textId="77777777" w:rsidR="00347B0A" w:rsidRPr="002B10E6" w:rsidRDefault="005A2214">
      <w:pPr>
        <w:spacing w:before="120" w:after="12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FF330FE" w14:textId="77777777" w:rsidR="00347B0A" w:rsidRPr="002B10E6" w:rsidRDefault="005A2214">
      <w:pPr>
        <w:spacing w:before="120" w:after="12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3FAB5A1D"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 xml:space="preserve">Artículo 3. </w:t>
      </w:r>
      <w:r w:rsidRPr="002B10E6">
        <w:rPr>
          <w:rFonts w:ascii="Palatino Linotype" w:eastAsia="Palatino Linotype" w:hAnsi="Palatino Linotype" w:cs="Palatino Linotype"/>
          <w:i/>
          <w:sz w:val="22"/>
          <w:szCs w:val="22"/>
        </w:rPr>
        <w:t>Para los efectos de la presente Ley se entenderá por:</w:t>
      </w:r>
    </w:p>
    <w:p w14:paraId="2BACDC35"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p>
    <w:p w14:paraId="2188B6A5"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i/>
          <w:sz w:val="22"/>
          <w:szCs w:val="22"/>
        </w:rPr>
        <w:t>XI. Documento:</w:t>
      </w:r>
      <w:r w:rsidRPr="002B10E6">
        <w:rPr>
          <w:rFonts w:ascii="Palatino Linotype" w:eastAsia="Palatino Linotype" w:hAnsi="Palatino Linotype" w:cs="Palatino Linotype"/>
          <w:i/>
          <w:sz w:val="22"/>
          <w:szCs w:val="22"/>
        </w:rPr>
        <w:t xml:space="preserve"> Los expedientes, reportes, estudios, actas</w:t>
      </w:r>
      <w:r w:rsidRPr="002B10E6">
        <w:rPr>
          <w:rFonts w:ascii="Palatino Linotype" w:eastAsia="Palatino Linotype" w:hAnsi="Palatino Linotype" w:cs="Palatino Linotype"/>
          <w:b/>
          <w:i/>
          <w:sz w:val="22"/>
          <w:szCs w:val="22"/>
        </w:rPr>
        <w:t>,</w:t>
      </w:r>
      <w:r w:rsidRPr="002B10E6">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4D3A62B"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2B10E6">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169A8B60"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sz w:val="22"/>
          <w:szCs w:val="22"/>
        </w:rPr>
        <w:t>“</w:t>
      </w:r>
      <w:r w:rsidRPr="002B10E6">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2B10E6">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41E1ADDA"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En </w:t>
      </w:r>
      <w:proofErr w:type="gramStart"/>
      <w:r w:rsidRPr="002B10E6">
        <w:rPr>
          <w:rFonts w:ascii="Palatino Linotype" w:eastAsia="Palatino Linotype" w:hAnsi="Palatino Linotype" w:cs="Palatino Linotype"/>
          <w:i/>
          <w:sz w:val="22"/>
          <w:szCs w:val="22"/>
        </w:rPr>
        <w:t>consecuencia</w:t>
      </w:r>
      <w:proofErr w:type="gramEnd"/>
      <w:r w:rsidRPr="002B10E6">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09D76515"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1) Que se trate de información registrada en cualquier soporte documental, </w:t>
      </w:r>
      <w:proofErr w:type="gramStart"/>
      <w:r w:rsidRPr="002B10E6">
        <w:rPr>
          <w:rFonts w:ascii="Palatino Linotype" w:eastAsia="Palatino Linotype" w:hAnsi="Palatino Linotype" w:cs="Palatino Linotype"/>
          <w:i/>
          <w:sz w:val="22"/>
          <w:szCs w:val="22"/>
        </w:rPr>
        <w:t>que</w:t>
      </w:r>
      <w:proofErr w:type="gramEnd"/>
      <w:r w:rsidRPr="002B10E6">
        <w:rPr>
          <w:rFonts w:ascii="Palatino Linotype" w:eastAsia="Palatino Linotype" w:hAnsi="Palatino Linotype" w:cs="Palatino Linotype"/>
          <w:i/>
          <w:sz w:val="22"/>
          <w:szCs w:val="22"/>
        </w:rPr>
        <w:t xml:space="preserve"> en ejercicio de las atribuciones conferidas, sea generada por los Sujetos Obligados;</w:t>
      </w:r>
    </w:p>
    <w:p w14:paraId="274D84C9"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2) Que se trate de información registrada en cualquier soporte documental, </w:t>
      </w:r>
      <w:proofErr w:type="gramStart"/>
      <w:r w:rsidRPr="002B10E6">
        <w:rPr>
          <w:rFonts w:ascii="Palatino Linotype" w:eastAsia="Palatino Linotype" w:hAnsi="Palatino Linotype" w:cs="Palatino Linotype"/>
          <w:i/>
          <w:sz w:val="22"/>
          <w:szCs w:val="22"/>
        </w:rPr>
        <w:t>que</w:t>
      </w:r>
      <w:proofErr w:type="gramEnd"/>
      <w:r w:rsidRPr="002B10E6">
        <w:rPr>
          <w:rFonts w:ascii="Palatino Linotype" w:eastAsia="Palatino Linotype" w:hAnsi="Palatino Linotype" w:cs="Palatino Linotype"/>
          <w:i/>
          <w:sz w:val="22"/>
          <w:szCs w:val="22"/>
        </w:rPr>
        <w:t xml:space="preserve"> en ejercicio de las atribuciones conferidas, sea administrada por los Sujetos Obligados, y</w:t>
      </w:r>
    </w:p>
    <w:p w14:paraId="63EBE8A9" w14:textId="77777777" w:rsidR="00347B0A" w:rsidRPr="002B10E6" w:rsidRDefault="005A2214">
      <w:pPr>
        <w:spacing w:before="120" w:after="120"/>
        <w:ind w:left="567" w:right="902"/>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3) Que se trate de información registrada en cualquier soporte documental, </w:t>
      </w:r>
      <w:proofErr w:type="gramStart"/>
      <w:r w:rsidRPr="002B10E6">
        <w:rPr>
          <w:rFonts w:ascii="Palatino Linotype" w:eastAsia="Palatino Linotype" w:hAnsi="Palatino Linotype" w:cs="Palatino Linotype"/>
          <w:i/>
          <w:sz w:val="22"/>
          <w:szCs w:val="22"/>
        </w:rPr>
        <w:t>que</w:t>
      </w:r>
      <w:proofErr w:type="gramEnd"/>
      <w:r w:rsidRPr="002B10E6">
        <w:rPr>
          <w:rFonts w:ascii="Palatino Linotype" w:eastAsia="Palatino Linotype" w:hAnsi="Palatino Linotype" w:cs="Palatino Linotype"/>
          <w:i/>
          <w:sz w:val="22"/>
          <w:szCs w:val="22"/>
        </w:rPr>
        <w:t xml:space="preserve"> en ejercicio de las atribuciones conferidas, se encuentre en posesión de los Sujetos Obligados.” </w:t>
      </w:r>
    </w:p>
    <w:p w14:paraId="6C498CD5" w14:textId="77777777" w:rsidR="00347B0A" w:rsidRPr="002B10E6" w:rsidRDefault="005A2214">
      <w:pPr>
        <w:spacing w:before="240" w:after="240" w:line="360" w:lineRule="auto"/>
        <w:ind w:right="51"/>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CACC7BB"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lastRenderedPageBreak/>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6B77309D"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w:t>
      </w:r>
      <w:r w:rsidRPr="002B10E6">
        <w:rPr>
          <w:rFonts w:ascii="Palatino Linotype" w:eastAsia="Palatino Linotype" w:hAnsi="Palatino Linotype" w:cs="Palatino Linotype"/>
          <w:b/>
          <w:sz w:val="22"/>
          <w:szCs w:val="22"/>
        </w:rPr>
        <w:t>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xml:space="preserve"> requirió al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le proporcione, información consistente en lo siguiente:</w:t>
      </w:r>
    </w:p>
    <w:p w14:paraId="5690F583" w14:textId="77777777" w:rsidR="00347B0A" w:rsidRPr="002B10E6" w:rsidRDefault="005A2214">
      <w:pPr>
        <w:numPr>
          <w:ilvl w:val="0"/>
          <w:numId w:val="2"/>
        </w:numPr>
        <w:pBdr>
          <w:top w:val="nil"/>
          <w:left w:val="nil"/>
          <w:bottom w:val="nil"/>
          <w:right w:val="nil"/>
          <w:between w:val="nil"/>
        </w:pBdr>
        <w:spacing w:before="240" w:after="240" w:line="360" w:lineRule="auto"/>
        <w:ind w:left="567" w:right="900" w:hanging="141"/>
        <w:jc w:val="both"/>
        <w:rPr>
          <w:rFonts w:ascii="Palatino Linotype" w:eastAsia="Palatino Linotype" w:hAnsi="Palatino Linotype" w:cs="Palatino Linotype"/>
          <w:b/>
          <w:sz w:val="22"/>
          <w:szCs w:val="22"/>
        </w:rPr>
      </w:pPr>
      <w:r w:rsidRPr="002B10E6">
        <w:rPr>
          <w:rFonts w:ascii="Palatino Linotype" w:eastAsia="Palatino Linotype" w:hAnsi="Palatino Linotype" w:cs="Palatino Linotype"/>
          <w:b/>
          <w:sz w:val="22"/>
          <w:szCs w:val="22"/>
        </w:rPr>
        <w:t xml:space="preserve">Fotocopia de la nómina de los trabajadores del fondo de la universidad </w:t>
      </w:r>
      <w:proofErr w:type="spellStart"/>
      <w:r w:rsidRPr="002B10E6">
        <w:rPr>
          <w:rFonts w:ascii="Palatino Linotype" w:eastAsia="Palatino Linotype" w:hAnsi="Palatino Linotype" w:cs="Palatino Linotype"/>
          <w:b/>
          <w:sz w:val="22"/>
          <w:szCs w:val="22"/>
        </w:rPr>
        <w:t>fondic</w:t>
      </w:r>
      <w:proofErr w:type="spellEnd"/>
      <w:r w:rsidRPr="002B10E6">
        <w:rPr>
          <w:rFonts w:ascii="Palatino Linotype" w:eastAsia="Palatino Linotype" w:hAnsi="Palatino Linotype" w:cs="Palatino Linotype"/>
          <w:b/>
          <w:sz w:val="22"/>
          <w:szCs w:val="22"/>
        </w:rPr>
        <w:t xml:space="preserve"> o de sus comprobantes de pago.</w:t>
      </w:r>
    </w:p>
    <w:p w14:paraId="122793CF"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En respuesta a la presente solicitud,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refirió lo siguiente: “…</w:t>
      </w:r>
      <w:r w:rsidRPr="002B10E6">
        <w:rPr>
          <w:rFonts w:ascii="Palatino Linotype" w:eastAsia="Palatino Linotype" w:hAnsi="Palatino Linotype" w:cs="Palatino Linotype"/>
          <w:b/>
          <w:i/>
          <w:sz w:val="22"/>
          <w:szCs w:val="22"/>
        </w:rPr>
        <w:t xml:space="preserve">con base en la información proporcionada por la </w:t>
      </w:r>
      <w:r w:rsidRPr="002B10E6">
        <w:rPr>
          <w:rFonts w:ascii="Palatino Linotype" w:eastAsia="Palatino Linotype" w:hAnsi="Palatino Linotype" w:cs="Palatino Linotype"/>
          <w:b/>
          <w:i/>
          <w:sz w:val="22"/>
          <w:szCs w:val="22"/>
          <w:u w:val="single"/>
        </w:rPr>
        <w:t xml:space="preserve">Secretaría de Finanzas, que después de realizar una búsqueda en los archivos con los que se cuenta no se encontró registro de la información solicitada, por </w:t>
      </w:r>
      <w:proofErr w:type="gramStart"/>
      <w:r w:rsidRPr="002B10E6">
        <w:rPr>
          <w:rFonts w:ascii="Palatino Linotype" w:eastAsia="Palatino Linotype" w:hAnsi="Palatino Linotype" w:cs="Palatino Linotype"/>
          <w:b/>
          <w:i/>
          <w:sz w:val="22"/>
          <w:szCs w:val="22"/>
          <w:u w:val="single"/>
        </w:rPr>
        <w:t>tanto</w:t>
      </w:r>
      <w:proofErr w:type="gramEnd"/>
      <w:r w:rsidRPr="002B10E6">
        <w:rPr>
          <w:rFonts w:ascii="Palatino Linotype" w:eastAsia="Palatino Linotype" w:hAnsi="Palatino Linotype" w:cs="Palatino Linotype"/>
          <w:b/>
          <w:i/>
          <w:sz w:val="22"/>
          <w:szCs w:val="22"/>
          <w:u w:val="single"/>
        </w:rPr>
        <w:t xml:space="preserve"> no es posible atender su solicitud de información en los términos requeridos…”.</w:t>
      </w:r>
    </w:p>
    <w:p w14:paraId="135E3149"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Conocida la respuesta por la persona solicitante, al no estar conforme con los términos de la misma, interpuso el recurso de revisión que nos ocupa, mediante el cual se inconformó medularmente por la negativa a entregar la información solicitada.</w:t>
      </w:r>
    </w:p>
    <w:p w14:paraId="1F958321"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lastRenderedPageBreak/>
        <w:t>Admitido el presente recurso de revisión, en términos del artículo 185 fracción II</w:t>
      </w:r>
      <w:r w:rsidRPr="002B10E6">
        <w:rPr>
          <w:rFonts w:ascii="Palatino Linotype" w:eastAsia="Palatino Linotype" w:hAnsi="Palatino Linotype" w:cs="Palatino Linotype"/>
          <w:sz w:val="22"/>
          <w:szCs w:val="22"/>
          <w:vertAlign w:val="superscript"/>
        </w:rPr>
        <w:footnoteReference w:id="1"/>
      </w:r>
      <w:r w:rsidRPr="002B10E6">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 teniendo así que las partes fueron omisas en adjuntar </w:t>
      </w:r>
      <w:proofErr w:type="gramStart"/>
      <w:r w:rsidRPr="002B10E6">
        <w:rPr>
          <w:rFonts w:ascii="Palatino Linotype" w:eastAsia="Palatino Linotype" w:hAnsi="Palatino Linotype" w:cs="Palatino Linotype"/>
          <w:sz w:val="22"/>
          <w:szCs w:val="22"/>
        </w:rPr>
        <w:t>documental alguna</w:t>
      </w:r>
      <w:proofErr w:type="gramEnd"/>
      <w:r w:rsidRPr="002B10E6">
        <w:rPr>
          <w:rFonts w:ascii="Palatino Linotype" w:eastAsia="Palatino Linotype" w:hAnsi="Palatino Linotype" w:cs="Palatino Linotype"/>
          <w:sz w:val="22"/>
          <w:szCs w:val="22"/>
        </w:rPr>
        <w:t>, por lo que se tuvo por precluido su derecho para tal efecto.</w:t>
      </w:r>
    </w:p>
    <w:p w14:paraId="45D45903"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Una vez expuestas las posturas de las partes, es necesario señalar que de las constancias que obran en el expediente electrónico, se advierte que la persona solicitante de información requiere información relativa a la nómina de los trabajadores adscritos al Fondo de Fomento y Desarrollo de la Investigación Científica y Tecnológica de la Universidad Autónoma del Estado de México (FONDICT UAEM), para ello tenemos que iniciar señalando que dicho Fondo se concibe como un fideicomiso, el cual financia programas de investigación científica y tecnológica, de extensión universitaria y difusión de la cultura.</w:t>
      </w:r>
    </w:p>
    <w:p w14:paraId="7E67A1A0"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proofErr w:type="gramStart"/>
      <w:r w:rsidRPr="002B10E6">
        <w:rPr>
          <w:rFonts w:ascii="Palatino Linotype" w:eastAsia="Palatino Linotype" w:hAnsi="Palatino Linotype" w:cs="Palatino Linotype"/>
          <w:sz w:val="22"/>
          <w:szCs w:val="22"/>
        </w:rPr>
        <w:t>Asimismo</w:t>
      </w:r>
      <w:proofErr w:type="gramEnd"/>
      <w:r w:rsidRPr="002B10E6">
        <w:rPr>
          <w:rFonts w:ascii="Palatino Linotype" w:eastAsia="Palatino Linotype" w:hAnsi="Palatino Linotype" w:cs="Palatino Linotype"/>
          <w:sz w:val="22"/>
          <w:szCs w:val="22"/>
        </w:rPr>
        <w:t xml:space="preserve"> el Instituto realizó una búsqueda en el portal de Información Pública de Oficio Mexiquense (IPOMEX) 3.0, fracción II A “Estructura Orgánica”, se localizó la unidad administrativa denominada Fondo de Fomento y Desarrollo de la Investigación Científica y Tecnológica (FONDICT), como se muestra a continuación:</w:t>
      </w:r>
    </w:p>
    <w:p w14:paraId="68B079A6" w14:textId="77777777" w:rsidR="00347B0A" w:rsidRPr="002B10E6" w:rsidRDefault="005A2214">
      <w:pPr>
        <w:spacing w:line="360" w:lineRule="auto"/>
        <w:jc w:val="center"/>
        <w:rPr>
          <w:rFonts w:ascii="Palatino Linotype" w:eastAsia="Palatino Linotype" w:hAnsi="Palatino Linotype" w:cs="Palatino Linotype"/>
          <w:sz w:val="22"/>
          <w:szCs w:val="22"/>
        </w:rPr>
      </w:pPr>
      <w:r w:rsidRPr="002B10E6">
        <w:rPr>
          <w:rFonts w:ascii="Palatino Linotype" w:eastAsia="Palatino Linotype" w:hAnsi="Palatino Linotype" w:cs="Palatino Linotype"/>
          <w:noProof/>
          <w:sz w:val="22"/>
          <w:szCs w:val="22"/>
        </w:rPr>
        <w:lastRenderedPageBreak/>
        <w:drawing>
          <wp:inline distT="0" distB="0" distL="0" distR="0" wp14:anchorId="1DDC6A49" wp14:editId="2BE63D26">
            <wp:extent cx="3932555" cy="2316480"/>
            <wp:effectExtent l="0" t="0" r="0" b="0"/>
            <wp:docPr id="1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932555" cy="2316480"/>
                    </a:xfrm>
                    <a:prstGeom prst="rect">
                      <a:avLst/>
                    </a:prstGeom>
                    <a:ln/>
                  </pic:spPr>
                </pic:pic>
              </a:graphicData>
            </a:graphic>
          </wp:inline>
        </w:drawing>
      </w:r>
    </w:p>
    <w:p w14:paraId="5537BF54"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En armonía con lo anteriormente señalado, en la fracción VII correspondiente al Directorio de todos los servidores públicos, se aprecia que </w:t>
      </w:r>
      <w:proofErr w:type="gramStart"/>
      <w:r w:rsidRPr="002B10E6">
        <w:rPr>
          <w:rFonts w:ascii="Palatino Linotype" w:eastAsia="Palatino Linotype" w:hAnsi="Palatino Linotype" w:cs="Palatino Linotype"/>
          <w:sz w:val="22"/>
          <w:szCs w:val="22"/>
        </w:rPr>
        <w:t>el  Fondo</w:t>
      </w:r>
      <w:proofErr w:type="gramEnd"/>
      <w:r w:rsidRPr="002B10E6">
        <w:rPr>
          <w:rFonts w:ascii="Palatino Linotype" w:eastAsia="Palatino Linotype" w:hAnsi="Palatino Linotype" w:cs="Palatino Linotype"/>
          <w:sz w:val="22"/>
          <w:szCs w:val="22"/>
        </w:rPr>
        <w:t xml:space="preserve"> de Fomento y Desarrollo de la Investigación Científica y Tecnológica (FONDICT), cuenta al menos con un Director General, sirve de mayor referencia la siguiente impresión de pantalla:</w:t>
      </w:r>
    </w:p>
    <w:p w14:paraId="56B3D42E" w14:textId="77777777" w:rsidR="00347B0A" w:rsidRPr="002B10E6" w:rsidRDefault="005A2214">
      <w:pPr>
        <w:spacing w:before="240" w:after="240" w:line="360" w:lineRule="auto"/>
        <w:ind w:right="49"/>
        <w:jc w:val="center"/>
        <w:rPr>
          <w:rFonts w:ascii="Palatino Linotype" w:eastAsia="Palatino Linotype" w:hAnsi="Palatino Linotype" w:cs="Palatino Linotype"/>
          <w:sz w:val="22"/>
          <w:szCs w:val="22"/>
        </w:rPr>
      </w:pPr>
      <w:r w:rsidRPr="002B10E6">
        <w:rPr>
          <w:rFonts w:ascii="Palatino Linotype" w:eastAsia="Palatino Linotype" w:hAnsi="Palatino Linotype" w:cs="Palatino Linotype"/>
          <w:noProof/>
          <w:sz w:val="22"/>
          <w:szCs w:val="22"/>
        </w:rPr>
        <w:drawing>
          <wp:inline distT="0" distB="0" distL="0" distR="0" wp14:anchorId="3AC4B159" wp14:editId="26D4754E">
            <wp:extent cx="4534539" cy="1419425"/>
            <wp:effectExtent l="0" t="0" r="0" b="0"/>
            <wp:docPr id="1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34539" cy="1419425"/>
                    </a:xfrm>
                    <a:prstGeom prst="rect">
                      <a:avLst/>
                    </a:prstGeom>
                    <a:ln/>
                  </pic:spPr>
                </pic:pic>
              </a:graphicData>
            </a:graphic>
          </wp:inline>
        </w:drawing>
      </w:r>
    </w:p>
    <w:p w14:paraId="4BDFBA4F"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Por lo anterior, se acredita que dicha unidad administrativa si cuenta por lo menos con un </w:t>
      </w:r>
      <w:proofErr w:type="gramStart"/>
      <w:r w:rsidRPr="002B10E6">
        <w:rPr>
          <w:rFonts w:ascii="Palatino Linotype" w:eastAsia="Palatino Linotype" w:hAnsi="Palatino Linotype" w:cs="Palatino Linotype"/>
          <w:sz w:val="22"/>
          <w:szCs w:val="22"/>
        </w:rPr>
        <w:t>Director General</w:t>
      </w:r>
      <w:proofErr w:type="gramEnd"/>
      <w:r w:rsidRPr="002B10E6">
        <w:rPr>
          <w:rFonts w:ascii="Palatino Linotype" w:eastAsia="Palatino Linotype" w:hAnsi="Palatino Linotype" w:cs="Palatino Linotype"/>
          <w:sz w:val="22"/>
          <w:szCs w:val="22"/>
        </w:rPr>
        <w:t>.</w:t>
      </w:r>
    </w:p>
    <w:p w14:paraId="60FB3B1E"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Ahora bien, de la consulta al apartado de remuneraciones del IPOMEX, se aprecia que el puesto de </w:t>
      </w:r>
      <w:proofErr w:type="gramStart"/>
      <w:r w:rsidRPr="002B10E6">
        <w:rPr>
          <w:rFonts w:ascii="Palatino Linotype" w:eastAsia="Palatino Linotype" w:hAnsi="Palatino Linotype" w:cs="Palatino Linotype"/>
          <w:sz w:val="22"/>
          <w:szCs w:val="22"/>
        </w:rPr>
        <w:t>Director General</w:t>
      </w:r>
      <w:proofErr w:type="gramEnd"/>
      <w:r w:rsidRPr="002B10E6">
        <w:rPr>
          <w:rFonts w:ascii="Palatino Linotype" w:eastAsia="Palatino Linotype" w:hAnsi="Palatino Linotype" w:cs="Palatino Linotype"/>
          <w:sz w:val="22"/>
          <w:szCs w:val="22"/>
        </w:rPr>
        <w:t xml:space="preserve"> del FONDICT-UAEMEX, se vincula con la clave del puesto 31036: </w:t>
      </w:r>
    </w:p>
    <w:p w14:paraId="2117E69C"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noProof/>
          <w:sz w:val="22"/>
          <w:szCs w:val="22"/>
        </w:rPr>
        <w:lastRenderedPageBreak/>
        <w:drawing>
          <wp:inline distT="0" distB="0" distL="0" distR="0" wp14:anchorId="3FA5003C" wp14:editId="3806E1E7">
            <wp:extent cx="4877481" cy="885949"/>
            <wp:effectExtent l="0" t="0" r="0" b="0"/>
            <wp:docPr id="1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877481" cy="885949"/>
                    </a:xfrm>
                    <a:prstGeom prst="rect">
                      <a:avLst/>
                    </a:prstGeom>
                    <a:ln/>
                  </pic:spPr>
                </pic:pic>
              </a:graphicData>
            </a:graphic>
          </wp:inline>
        </w:drawing>
      </w:r>
    </w:p>
    <w:p w14:paraId="2CF6BA0D"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bookmarkStart w:id="8" w:name="_heading=h.35nkun2" w:colFirst="0" w:colLast="0"/>
      <w:bookmarkEnd w:id="8"/>
      <w:r w:rsidRPr="002B10E6">
        <w:rPr>
          <w:rFonts w:ascii="Palatino Linotype" w:eastAsia="Palatino Linotype" w:hAnsi="Palatino Linotype" w:cs="Palatino Linotype"/>
          <w:sz w:val="22"/>
          <w:szCs w:val="22"/>
        </w:rPr>
        <w:t xml:space="preserve">La </w:t>
      </w:r>
      <w:proofErr w:type="gramStart"/>
      <w:r w:rsidRPr="002B10E6">
        <w:rPr>
          <w:rFonts w:ascii="Palatino Linotype" w:eastAsia="Palatino Linotype" w:hAnsi="Palatino Linotype" w:cs="Palatino Linotype"/>
          <w:sz w:val="22"/>
          <w:szCs w:val="22"/>
        </w:rPr>
        <w:t>cual</w:t>
      </w:r>
      <w:proofErr w:type="gramEnd"/>
      <w:r w:rsidRPr="002B10E6">
        <w:rPr>
          <w:rFonts w:ascii="Palatino Linotype" w:eastAsia="Palatino Linotype" w:hAnsi="Palatino Linotype" w:cs="Palatino Linotype"/>
          <w:sz w:val="22"/>
          <w:szCs w:val="22"/>
        </w:rPr>
        <w:t xml:space="preserve"> al consultarla en el tabulador de sueldos de la Universidad Autónoma del Estado de México del año 2024, nos conduce a la siguiente información:</w:t>
      </w:r>
    </w:p>
    <w:p w14:paraId="104C543A"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noProof/>
          <w:sz w:val="22"/>
          <w:szCs w:val="22"/>
        </w:rPr>
        <w:drawing>
          <wp:inline distT="0" distB="0" distL="0" distR="0" wp14:anchorId="7B15282A" wp14:editId="75B2DDDF">
            <wp:extent cx="5612130" cy="1911985"/>
            <wp:effectExtent l="0" t="0" r="0" b="0"/>
            <wp:docPr id="1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911985"/>
                    </a:xfrm>
                    <a:prstGeom prst="rect">
                      <a:avLst/>
                    </a:prstGeom>
                    <a:ln/>
                  </pic:spPr>
                </pic:pic>
              </a:graphicData>
            </a:graphic>
          </wp:inline>
        </w:drawing>
      </w:r>
    </w:p>
    <w:p w14:paraId="5B47DDD4"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A mayor abundamiento, este Organismo Garante localizó en el informe justificado del recurso de revisión </w:t>
      </w:r>
      <w:r w:rsidRPr="002B10E6">
        <w:rPr>
          <w:rFonts w:ascii="Palatino Linotype" w:eastAsia="Palatino Linotype" w:hAnsi="Palatino Linotype" w:cs="Palatino Linotype"/>
          <w:b/>
          <w:sz w:val="22"/>
          <w:szCs w:val="22"/>
        </w:rPr>
        <w:t>07271/INFOEM/IP/RR/2024</w:t>
      </w:r>
      <w:r w:rsidRPr="002B10E6">
        <w:rPr>
          <w:rFonts w:ascii="Palatino Linotype" w:eastAsia="Palatino Linotype" w:hAnsi="Palatino Linotype" w:cs="Palatino Linotype"/>
          <w:sz w:val="22"/>
          <w:szCs w:val="22"/>
        </w:rPr>
        <w:t xml:space="preserve">, un oficio que data del 26 de noviembre de 2024, el cual se encuentra signado por el </w:t>
      </w:r>
      <w:proofErr w:type="gramStart"/>
      <w:r w:rsidRPr="002B10E6">
        <w:rPr>
          <w:rFonts w:ascii="Palatino Linotype" w:eastAsia="Palatino Linotype" w:hAnsi="Palatino Linotype" w:cs="Palatino Linotype"/>
          <w:sz w:val="22"/>
          <w:szCs w:val="22"/>
        </w:rPr>
        <w:t>Director General</w:t>
      </w:r>
      <w:proofErr w:type="gramEnd"/>
      <w:r w:rsidRPr="002B10E6">
        <w:rPr>
          <w:rFonts w:ascii="Palatino Linotype" w:eastAsia="Palatino Linotype" w:hAnsi="Palatino Linotype" w:cs="Palatino Linotype"/>
          <w:sz w:val="22"/>
          <w:szCs w:val="22"/>
        </w:rPr>
        <w:t xml:space="preserve"> del Fondo de Fomento y Desarrollo de la Investigación Científica y Tecnológica (FONDICT):</w:t>
      </w:r>
    </w:p>
    <w:p w14:paraId="6F160706"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noProof/>
          <w:sz w:val="22"/>
          <w:szCs w:val="22"/>
        </w:rPr>
        <w:drawing>
          <wp:inline distT="0" distB="0" distL="0" distR="0" wp14:anchorId="69F6B5B6" wp14:editId="38A5F124">
            <wp:extent cx="5258534" cy="2076740"/>
            <wp:effectExtent l="0" t="0" r="0" b="0"/>
            <wp:docPr id="1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258534" cy="2076740"/>
                    </a:xfrm>
                    <a:prstGeom prst="rect">
                      <a:avLst/>
                    </a:prstGeom>
                    <a:ln/>
                  </pic:spPr>
                </pic:pic>
              </a:graphicData>
            </a:graphic>
          </wp:inline>
        </w:drawing>
      </w:r>
    </w:p>
    <w:p w14:paraId="3B18586E"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lastRenderedPageBreak/>
        <w:t xml:space="preserve">De tal suerte </w:t>
      </w:r>
      <w:proofErr w:type="gramStart"/>
      <w:r w:rsidRPr="002B10E6">
        <w:rPr>
          <w:rFonts w:ascii="Palatino Linotype" w:eastAsia="Palatino Linotype" w:hAnsi="Palatino Linotype" w:cs="Palatino Linotype"/>
          <w:sz w:val="22"/>
          <w:szCs w:val="22"/>
        </w:rPr>
        <w:t>que</w:t>
      </w:r>
      <w:proofErr w:type="gramEnd"/>
      <w:r w:rsidRPr="002B10E6">
        <w:rPr>
          <w:rFonts w:ascii="Palatino Linotype" w:eastAsia="Palatino Linotype" w:hAnsi="Palatino Linotype" w:cs="Palatino Linotype"/>
          <w:sz w:val="22"/>
          <w:szCs w:val="22"/>
        </w:rPr>
        <w:t xml:space="preserve"> con lo anteriormente ilustrado, queda de manifiesto que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efectivamente realiza el pago por concepto de nómina al personal adscrito al Fondo, asimismo cabe destacar que el fondo en cuestión cuenta con al menos con un Director General. </w:t>
      </w:r>
    </w:p>
    <w:p w14:paraId="3005597D"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Establecidas estas premisas, resulta pertinente proceder al análisis de la respuesta proporcionada por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para ello debemos recordar que en esta etapa procesal manifestó lo siguiente: “…</w:t>
      </w:r>
      <w:r w:rsidRPr="002B10E6">
        <w:rPr>
          <w:rFonts w:ascii="Palatino Linotype" w:eastAsia="Palatino Linotype" w:hAnsi="Palatino Linotype" w:cs="Palatino Linotype"/>
          <w:b/>
          <w:i/>
          <w:sz w:val="22"/>
          <w:szCs w:val="22"/>
        </w:rPr>
        <w:t xml:space="preserve">con base en la información proporcionada por la </w:t>
      </w:r>
      <w:r w:rsidRPr="002B10E6">
        <w:rPr>
          <w:rFonts w:ascii="Palatino Linotype" w:eastAsia="Palatino Linotype" w:hAnsi="Palatino Linotype" w:cs="Palatino Linotype"/>
          <w:b/>
          <w:i/>
          <w:sz w:val="22"/>
          <w:szCs w:val="22"/>
          <w:u w:val="single"/>
        </w:rPr>
        <w:t xml:space="preserve">Secretaría de Finanzas, que después de realizar una búsqueda en los archivos con los que se cuenta no se encontró registro de la información solicitada, por </w:t>
      </w:r>
      <w:proofErr w:type="gramStart"/>
      <w:r w:rsidRPr="002B10E6">
        <w:rPr>
          <w:rFonts w:ascii="Palatino Linotype" w:eastAsia="Palatino Linotype" w:hAnsi="Palatino Linotype" w:cs="Palatino Linotype"/>
          <w:b/>
          <w:i/>
          <w:sz w:val="22"/>
          <w:szCs w:val="22"/>
          <w:u w:val="single"/>
        </w:rPr>
        <w:t>tanto</w:t>
      </w:r>
      <w:proofErr w:type="gramEnd"/>
      <w:r w:rsidRPr="002B10E6">
        <w:rPr>
          <w:rFonts w:ascii="Palatino Linotype" w:eastAsia="Palatino Linotype" w:hAnsi="Palatino Linotype" w:cs="Palatino Linotype"/>
          <w:b/>
          <w:i/>
          <w:sz w:val="22"/>
          <w:szCs w:val="22"/>
          <w:u w:val="single"/>
        </w:rPr>
        <w:t xml:space="preserve"> no es posible atender su solicitud de información en los términos requeridos…”.</w:t>
      </w:r>
    </w:p>
    <w:p w14:paraId="5846EEF8" w14:textId="77777777" w:rsidR="00347B0A" w:rsidRPr="002B10E6" w:rsidRDefault="005A2214">
      <w:pPr>
        <w:spacing w:before="240"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No obstante lo anterior, como se analizará en líneas subsecuentes, la Secretaría de Finanzas no es la competente para conocer del presente requerimiento de información, toda vez que este se debió turnar a la Secretaría de Administración, por lo tanto, es dable afirmar que  no se realizó de manera correcta el turno de la presente solicitud, por ello es que a consideración de este Instituto al no haberse realizado el turno a las unidades administrativas competentes para conocer del requerimiento de información es que se determina que no se satisfizo en su totalidad el derecho de acceso el derecho de acceso a la información pública de </w:t>
      </w:r>
      <w:r w:rsidRPr="002B10E6">
        <w:rPr>
          <w:rFonts w:ascii="Palatino Linotype" w:eastAsia="Palatino Linotype" w:hAnsi="Palatino Linotype" w:cs="Palatino Linotype"/>
          <w:b/>
          <w:sz w:val="22"/>
          <w:szCs w:val="22"/>
        </w:rPr>
        <w:t>la parte</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al incumplir con el principio de exhaustividad, toda vez que no se advierte una correcta búsqueda exhaustiva y razonable de la información solicitada por el Particular, lo anterior es así, en razón de que como se verá en las próximas líneas argumentativas, para otorgar mayor certeza jurídica al particular de que se realizaron las gestiones necesarias para obtener la información, dicho requerimiento debió turnarse a su vez a la Unidad de Informática</w:t>
      </w:r>
      <w:r w:rsidRPr="002B10E6">
        <w:rPr>
          <w:rFonts w:ascii="Palatino Linotype" w:eastAsia="Palatino Linotype" w:hAnsi="Palatino Linotype" w:cs="Palatino Linotype"/>
          <w:b/>
          <w:sz w:val="22"/>
          <w:szCs w:val="22"/>
        </w:rPr>
        <w:t xml:space="preserve">, </w:t>
      </w:r>
      <w:r w:rsidRPr="002B10E6">
        <w:rPr>
          <w:rFonts w:ascii="Palatino Linotype" w:eastAsia="Palatino Linotype" w:hAnsi="Palatino Linotype" w:cs="Palatino Linotype"/>
          <w:sz w:val="22"/>
          <w:szCs w:val="22"/>
        </w:rPr>
        <w:t xml:space="preserve">en ese sentido, compete a los sujetos obligados seguir el procedimiento para la atención a las solicitudes de acceso a la información, establecido en los artículos 151, 160, 162, 163, 164, 165 y 166, de la Ley de </w:t>
      </w:r>
      <w:r w:rsidRPr="002B10E6">
        <w:rPr>
          <w:rFonts w:ascii="Palatino Linotype" w:eastAsia="Palatino Linotype" w:hAnsi="Palatino Linotype" w:cs="Palatino Linotype"/>
          <w:sz w:val="22"/>
          <w:szCs w:val="22"/>
        </w:rPr>
        <w:lastRenderedPageBreak/>
        <w:t>Transparencia y Acceso a la Información Pública del Estado de México y Municipios, el cual es el siguiente: </w:t>
      </w:r>
    </w:p>
    <w:p w14:paraId="344A82C6" w14:textId="77777777" w:rsidR="00347B0A" w:rsidRPr="002B10E6" w:rsidRDefault="005A2214">
      <w:pPr>
        <w:pBdr>
          <w:top w:val="nil"/>
          <w:left w:val="nil"/>
          <w:bottom w:val="nil"/>
          <w:right w:val="nil"/>
          <w:between w:val="nil"/>
        </w:pBdr>
        <w:spacing w:after="240" w:line="360" w:lineRule="auto"/>
        <w:jc w:val="both"/>
        <w:rPr>
          <w:sz w:val="22"/>
          <w:szCs w:val="22"/>
        </w:rPr>
      </w:pPr>
      <w:r w:rsidRPr="002B10E6">
        <w:rPr>
          <w:rFonts w:ascii="Palatino Linotype" w:eastAsia="Palatino Linotype" w:hAnsi="Palatino Linotype" w:cs="Palatino Linotype"/>
          <w:sz w:val="22"/>
          <w:szCs w:val="22"/>
        </w:rPr>
        <w:t>• Las Unidades de Transparencia de los sujetos obligados deben garantizar las medidas y condiciones de accesibilidad para que toda persona pueda ejercer el derecho de acceso a la información; por lo que, son las responsables de hacer las notificaciones correspondientes, además de llevar a cabo todas las gestiones necesarias para facilitar el acceso de la información; </w:t>
      </w:r>
    </w:p>
    <w:p w14:paraId="2987C83D" w14:textId="77777777" w:rsidR="00347B0A" w:rsidRPr="002B10E6" w:rsidRDefault="005A2214">
      <w:pPr>
        <w:pBdr>
          <w:top w:val="nil"/>
          <w:left w:val="nil"/>
          <w:bottom w:val="nil"/>
          <w:right w:val="nil"/>
          <w:between w:val="nil"/>
        </w:pBdr>
        <w:spacing w:after="240" w:line="360" w:lineRule="auto"/>
        <w:jc w:val="both"/>
        <w:rPr>
          <w:sz w:val="22"/>
          <w:szCs w:val="22"/>
        </w:rPr>
      </w:pPr>
      <w:r w:rsidRPr="002B10E6">
        <w:rPr>
          <w:rFonts w:ascii="Palatino Linotype" w:eastAsia="Palatino Linotype" w:hAnsi="Palatino Linotype" w:cs="Palatino Linotype"/>
          <w:sz w:val="22"/>
          <w:szCs w:val="22"/>
        </w:rPr>
        <w:t>• La respuesta a los requerimientos informativos, deberá notificarse al interesado en el menor tiempo posible, que no podrá exceder de quince días hábiles, contados a partir del día siguiente a la presentación de esta. </w:t>
      </w:r>
    </w:p>
    <w:p w14:paraId="59198BA0" w14:textId="77777777" w:rsidR="00347B0A" w:rsidRPr="002B10E6" w:rsidRDefault="005A2214">
      <w:pPr>
        <w:pBdr>
          <w:top w:val="nil"/>
          <w:left w:val="nil"/>
          <w:bottom w:val="nil"/>
          <w:right w:val="nil"/>
          <w:between w:val="nil"/>
        </w:pBdr>
        <w:spacing w:after="240" w:line="360" w:lineRule="auto"/>
        <w:jc w:val="both"/>
        <w:rPr>
          <w:sz w:val="22"/>
          <w:szCs w:val="22"/>
        </w:rPr>
      </w:pPr>
      <w:r w:rsidRPr="002B10E6">
        <w:rPr>
          <w:rFonts w:ascii="Palatino Linotype" w:eastAsia="Palatino Linotype" w:hAnsi="Palatino Linotype" w:cs="Palatino Linotype"/>
          <w:sz w:val="22"/>
          <w:szCs w:val="22"/>
        </w:rPr>
        <w:t>Excepcionalmente, el plazo referido podrá ampliarse por siete días hábiles más, cuando existan razones fundadas y motivadas, a través del Comité de Transparencia; </w:t>
      </w:r>
    </w:p>
    <w:p w14:paraId="440E4D32" w14:textId="77777777" w:rsidR="00347B0A" w:rsidRPr="002B10E6" w:rsidRDefault="005A2214">
      <w:pPr>
        <w:pBdr>
          <w:top w:val="nil"/>
          <w:left w:val="nil"/>
          <w:bottom w:val="nil"/>
          <w:right w:val="nil"/>
          <w:between w:val="nil"/>
        </w:pBdr>
        <w:spacing w:after="240" w:line="360" w:lineRule="auto"/>
        <w:jc w:val="both"/>
        <w:rPr>
          <w:sz w:val="22"/>
          <w:szCs w:val="22"/>
        </w:rPr>
      </w:pPr>
      <w:r w:rsidRPr="002B10E6">
        <w:rPr>
          <w:rFonts w:ascii="Palatino Linotype" w:eastAsia="Palatino Linotype" w:hAnsi="Palatino Linotype" w:cs="Palatino Linotype"/>
          <w:sz w:val="22"/>
          <w:szCs w:val="22"/>
        </w:rPr>
        <w:t>• 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 </w:t>
      </w:r>
    </w:p>
    <w:p w14:paraId="73B4495C" w14:textId="77777777" w:rsidR="00347B0A" w:rsidRPr="002B10E6" w:rsidRDefault="005A2214">
      <w:pPr>
        <w:pBdr>
          <w:top w:val="nil"/>
          <w:left w:val="nil"/>
          <w:bottom w:val="nil"/>
          <w:right w:val="nil"/>
          <w:between w:val="nil"/>
        </w:pBdr>
        <w:spacing w:after="240" w:line="360" w:lineRule="auto"/>
        <w:jc w:val="both"/>
        <w:rPr>
          <w:sz w:val="22"/>
          <w:szCs w:val="22"/>
        </w:rPr>
      </w:pPr>
      <w:r w:rsidRPr="002B10E6">
        <w:rPr>
          <w:rFonts w:ascii="Palatino Linotype" w:eastAsia="Palatino Linotype" w:hAnsi="Palatino Linotype" w:cs="Palatino Linotype"/>
          <w:sz w:val="22"/>
          <w:szCs w:val="22"/>
        </w:rPr>
        <w:t xml:space="preserve">• El acceso se dará en la modalidad de entrega y en su caso, de envío elegido por la solicitante, cuando no pueda entregarse en dicha modalidad,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deberá ofrecer otras; por lo cual, deberá fundar y motivar la necesidad de modificar el medio de entrega, y </w:t>
      </w:r>
    </w:p>
    <w:p w14:paraId="666F3239" w14:textId="77777777" w:rsidR="00347B0A" w:rsidRPr="002B10E6" w:rsidRDefault="005A2214">
      <w:pPr>
        <w:pBdr>
          <w:top w:val="nil"/>
          <w:left w:val="nil"/>
          <w:bottom w:val="nil"/>
          <w:right w:val="nil"/>
          <w:between w:val="nil"/>
        </w:pBdr>
        <w:spacing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 Las Unidades de Transparencia, tendrán disponible la información requerida durante un plazo mínimo de sesenta días hábiles, contados a partir de que la solicitante hubiere </w:t>
      </w:r>
      <w:r w:rsidRPr="002B10E6">
        <w:rPr>
          <w:rFonts w:ascii="Palatino Linotype" w:eastAsia="Palatino Linotype" w:hAnsi="Palatino Linotype" w:cs="Palatino Linotype"/>
          <w:sz w:val="22"/>
          <w:szCs w:val="22"/>
        </w:rPr>
        <w:lastRenderedPageBreak/>
        <w:t>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52E6B2CF" w14:textId="77777777" w:rsidR="00347B0A" w:rsidRPr="002B10E6" w:rsidRDefault="005A2214">
      <w:pPr>
        <w:spacing w:after="240" w:line="360" w:lineRule="auto"/>
        <w:ind w:right="49"/>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Por lo insertado con anterioridad, se determina que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cuenta con la obligación de turnar a todas las áreas que se consideren competentes para que realicen una búsqueda exhaustiva y razonable de la información solicitada a fin de que esta sea entregada a los solicitantes.</w:t>
      </w:r>
    </w:p>
    <w:p w14:paraId="7766A3EF" w14:textId="77777777" w:rsidR="00347B0A" w:rsidRPr="002B10E6" w:rsidRDefault="005A2214">
      <w:pPr>
        <w:spacing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14:paraId="37AC07E1" w14:textId="77777777" w:rsidR="00347B0A" w:rsidRPr="002B10E6" w:rsidRDefault="00347B0A">
      <w:pPr>
        <w:spacing w:line="360" w:lineRule="auto"/>
        <w:jc w:val="both"/>
        <w:rPr>
          <w:rFonts w:ascii="Palatino Linotype" w:eastAsia="Palatino Linotype" w:hAnsi="Palatino Linotype" w:cs="Palatino Linotype"/>
          <w:sz w:val="22"/>
          <w:szCs w:val="22"/>
        </w:rPr>
      </w:pPr>
    </w:p>
    <w:p w14:paraId="5DB7068C" w14:textId="77777777" w:rsidR="00347B0A" w:rsidRPr="002B10E6" w:rsidRDefault="005A2214">
      <w:pPr>
        <w:spacing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Es de precisar que dicho trámite se debe realizar ante el servidor público habilitado competente, el cual es conceptualizado por los artículos 3, 58 y </w:t>
      </w:r>
      <w:proofErr w:type="gramStart"/>
      <w:r w:rsidRPr="002B10E6">
        <w:rPr>
          <w:rFonts w:ascii="Palatino Linotype" w:eastAsia="Palatino Linotype" w:hAnsi="Palatino Linotype" w:cs="Palatino Linotype"/>
          <w:sz w:val="22"/>
          <w:szCs w:val="22"/>
        </w:rPr>
        <w:t>59  de</w:t>
      </w:r>
      <w:proofErr w:type="gramEnd"/>
      <w:r w:rsidRPr="002B10E6">
        <w:rPr>
          <w:rFonts w:ascii="Palatino Linotype" w:eastAsia="Palatino Linotype" w:hAnsi="Palatino Linotype" w:cs="Palatino Linotype"/>
          <w:sz w:val="22"/>
          <w:szCs w:val="22"/>
        </w:rPr>
        <w:t xml:space="preserve"> la Ley de Transparencia Local, mismos que se insertan a continuación:</w:t>
      </w:r>
    </w:p>
    <w:p w14:paraId="51831175" w14:textId="77777777" w:rsidR="00347B0A" w:rsidRPr="002B10E6" w:rsidRDefault="00347B0A">
      <w:pPr>
        <w:spacing w:line="360" w:lineRule="auto"/>
        <w:jc w:val="both"/>
        <w:rPr>
          <w:rFonts w:ascii="Palatino Linotype" w:eastAsia="Palatino Linotype" w:hAnsi="Palatino Linotype" w:cs="Palatino Linotype"/>
          <w:sz w:val="22"/>
          <w:szCs w:val="22"/>
        </w:rPr>
      </w:pPr>
    </w:p>
    <w:p w14:paraId="2C41A539" w14:textId="77777777" w:rsidR="00347B0A" w:rsidRPr="002B10E6" w:rsidRDefault="005A2214">
      <w:pPr>
        <w:spacing w:after="240" w:line="276" w:lineRule="auto"/>
        <w:ind w:left="567" w:right="900"/>
        <w:jc w:val="both"/>
        <w:rPr>
          <w:rFonts w:ascii="Palatino Linotype" w:eastAsia="Palatino Linotype" w:hAnsi="Palatino Linotype" w:cs="Palatino Linotype"/>
          <w:b/>
          <w:i/>
          <w:sz w:val="22"/>
          <w:szCs w:val="22"/>
          <w:u w:val="single"/>
        </w:rPr>
      </w:pPr>
      <w:r w:rsidRPr="002B10E6">
        <w:rPr>
          <w:rFonts w:ascii="Palatino Linotype" w:eastAsia="Palatino Linotype" w:hAnsi="Palatino Linotype" w:cs="Palatino Linotype"/>
          <w:i/>
          <w:sz w:val="22"/>
          <w:szCs w:val="22"/>
        </w:rPr>
        <w:t>“</w:t>
      </w:r>
      <w:proofErr w:type="spellStart"/>
      <w:r w:rsidRPr="002B10E6">
        <w:rPr>
          <w:rFonts w:ascii="Palatino Linotype" w:eastAsia="Palatino Linotype" w:hAnsi="Palatino Linotype" w:cs="Palatino Linotype"/>
          <w:i/>
          <w:sz w:val="22"/>
          <w:szCs w:val="22"/>
        </w:rPr>
        <w:t>XXXIX.Servidor</w:t>
      </w:r>
      <w:proofErr w:type="spellEnd"/>
      <w:r w:rsidRPr="002B10E6">
        <w:rPr>
          <w:rFonts w:ascii="Palatino Linotype" w:eastAsia="Palatino Linotype" w:hAnsi="Palatino Linotype" w:cs="Palatino Linotype"/>
          <w:i/>
          <w:sz w:val="22"/>
          <w:szCs w:val="22"/>
        </w:rPr>
        <w:t xml:space="preserve"> público habilitado: </w:t>
      </w:r>
      <w:r w:rsidRPr="002B10E6">
        <w:rPr>
          <w:rFonts w:ascii="Palatino Linotype" w:eastAsia="Palatino Linotype" w:hAnsi="Palatino Linotype" w:cs="Palatino Linotype"/>
          <w:b/>
          <w:i/>
          <w:sz w:val="22"/>
          <w:szCs w:val="22"/>
          <w:u w:val="single"/>
        </w:rPr>
        <w:t>Persona encargada dentro de las diversas unidades administrativas o áreas del sujeto obligado, de apoyar, gestionar y entregar la información</w:t>
      </w:r>
      <w:r w:rsidRPr="002B10E6">
        <w:rPr>
          <w:rFonts w:ascii="Palatino Linotype" w:eastAsia="Palatino Linotype" w:hAnsi="Palatino Linotype" w:cs="Palatino Linotype"/>
          <w:i/>
          <w:sz w:val="22"/>
          <w:szCs w:val="22"/>
        </w:rPr>
        <w:t xml:space="preserve"> o datos personales </w:t>
      </w:r>
      <w:r w:rsidRPr="002B10E6">
        <w:rPr>
          <w:rFonts w:ascii="Palatino Linotype" w:eastAsia="Palatino Linotype" w:hAnsi="Palatino Linotype" w:cs="Palatino Linotype"/>
          <w:b/>
          <w:i/>
          <w:sz w:val="22"/>
          <w:szCs w:val="22"/>
          <w:u w:val="single"/>
        </w:rPr>
        <w:t>que se ubiquen en la misma, a sus respectivas unidades de transparencia; respecto de las solicitudes presentadas y aportar en primera instancia el fundamento y motivación de la clasificación de la información;</w:t>
      </w:r>
    </w:p>
    <w:p w14:paraId="6D6C4EE0" w14:textId="77777777" w:rsidR="00347B0A" w:rsidRPr="002B10E6" w:rsidRDefault="005A2214">
      <w:pPr>
        <w:spacing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p>
    <w:p w14:paraId="6F1AD90A" w14:textId="77777777" w:rsidR="00347B0A" w:rsidRPr="002B10E6" w:rsidRDefault="005A2214">
      <w:pPr>
        <w:spacing w:after="24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lastRenderedPageBreak/>
        <w:t>Artículo 58. Los servidores públicos habilitados serán designados por el titular del sujeto obligado a propuesta del responsable de la Unidad de Transparencia.</w:t>
      </w:r>
    </w:p>
    <w:p w14:paraId="74054399" w14:textId="77777777" w:rsidR="00347B0A" w:rsidRPr="002B10E6" w:rsidRDefault="005A2214">
      <w:pPr>
        <w:spacing w:after="24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Artículo 59. Los servidores públicos habilitados tendrán las funciones siguientes:</w:t>
      </w:r>
    </w:p>
    <w:p w14:paraId="08FF453D" w14:textId="77777777" w:rsidR="00347B0A" w:rsidRPr="002B10E6" w:rsidRDefault="005A2214">
      <w:pPr>
        <w:spacing w:after="24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I. Localizar la información que le solicite la Unidad de Transparencia;</w:t>
      </w:r>
    </w:p>
    <w:p w14:paraId="440FE3FE" w14:textId="77777777" w:rsidR="00347B0A" w:rsidRPr="002B10E6" w:rsidRDefault="005A2214">
      <w:pPr>
        <w:spacing w:after="24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II. Proporcionar la información que obre en los archivos y que le sea solicitada por la Unidad de Transparencia;</w:t>
      </w:r>
    </w:p>
    <w:p w14:paraId="30AA4EE8" w14:textId="77777777" w:rsidR="00347B0A" w:rsidRPr="002B10E6" w:rsidRDefault="005A2214">
      <w:pPr>
        <w:spacing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III. Apoyar a la Unidad de Transparencia en lo que esta le solicite para el cumplimiento de sus funciones;</w:t>
      </w:r>
    </w:p>
    <w:p w14:paraId="10A1E6A3" w14:textId="77777777" w:rsidR="00347B0A" w:rsidRPr="002B10E6" w:rsidRDefault="005A2214">
      <w:pPr>
        <w:spacing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IV. Proporcionar a la Unidad de Transparencia, las modificaciones a la información pública de oficio que obre en su poder;</w:t>
      </w:r>
    </w:p>
    <w:p w14:paraId="2E19B237" w14:textId="77777777" w:rsidR="00347B0A" w:rsidRPr="002B10E6" w:rsidRDefault="005A2214">
      <w:pPr>
        <w:spacing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2AD6A7E5" w14:textId="77777777" w:rsidR="00347B0A" w:rsidRPr="002B10E6" w:rsidRDefault="005A2214">
      <w:pPr>
        <w:spacing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VI. Verificar, una vez analizado el contenido de la información, que no se encuentre en los supuestos de información clasificada; y</w:t>
      </w:r>
    </w:p>
    <w:p w14:paraId="07F3D3B6" w14:textId="77777777" w:rsidR="00347B0A" w:rsidRPr="002B10E6" w:rsidRDefault="005A2214">
      <w:pPr>
        <w:spacing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VII. Dar cuenta a la Unidad de Transparencia del vencimiento de los plazos de reserva.” (Énfasis añadido)</w:t>
      </w:r>
    </w:p>
    <w:p w14:paraId="300DA697" w14:textId="77777777" w:rsidR="00347B0A" w:rsidRPr="002B10E6" w:rsidRDefault="005A2214">
      <w:pPr>
        <w:pBdr>
          <w:top w:val="nil"/>
          <w:left w:val="nil"/>
          <w:bottom w:val="nil"/>
          <w:right w:val="nil"/>
          <w:between w:val="nil"/>
        </w:pBdr>
        <w:spacing w:before="280" w:after="28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Determinado lo anterior, se tiene </w:t>
      </w:r>
      <w:proofErr w:type="gramStart"/>
      <w:r w:rsidRPr="002B10E6">
        <w:rPr>
          <w:rFonts w:ascii="Palatino Linotype" w:eastAsia="Palatino Linotype" w:hAnsi="Palatino Linotype" w:cs="Palatino Linotype"/>
          <w:sz w:val="22"/>
          <w:szCs w:val="22"/>
        </w:rPr>
        <w:t>que</w:t>
      </w:r>
      <w:proofErr w:type="gramEnd"/>
      <w:r w:rsidRPr="002B10E6">
        <w:rPr>
          <w:rFonts w:ascii="Palatino Linotype" w:eastAsia="Palatino Linotype" w:hAnsi="Palatino Linotype" w:cs="Palatino Linotype"/>
          <w:sz w:val="22"/>
          <w:szCs w:val="22"/>
        </w:rPr>
        <w:t xml:space="preserve"> en el presente caso, la unidad competente para conocer de esta solicitud de información es la </w:t>
      </w:r>
      <w:r w:rsidRPr="002B10E6">
        <w:rPr>
          <w:rFonts w:ascii="Palatino Linotype" w:eastAsia="Palatino Linotype" w:hAnsi="Palatino Linotype" w:cs="Palatino Linotype"/>
          <w:b/>
          <w:sz w:val="22"/>
          <w:szCs w:val="22"/>
        </w:rPr>
        <w:t>Secretaría de Administración</w:t>
      </w:r>
      <w:r w:rsidRPr="002B10E6">
        <w:rPr>
          <w:rFonts w:ascii="Palatino Linotype" w:eastAsia="Palatino Linotype" w:hAnsi="Palatino Linotype" w:cs="Palatino Linotype"/>
          <w:sz w:val="22"/>
          <w:szCs w:val="22"/>
        </w:rPr>
        <w:t>, en virtud de que conforme a lo establecido en el Acuerdo por el que se Escinde la Secretaría de Administración para conformar la Secretaría de Finanzas y la Secretaría de Administración de la Universidad Autónoma del Estado de México, esta cuenta con las siguientes atribuciones:</w:t>
      </w:r>
    </w:p>
    <w:p w14:paraId="16BCAE8C"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lastRenderedPageBreak/>
        <w:t xml:space="preserve">“SEXTO. La </w:t>
      </w:r>
      <w:r w:rsidRPr="002B10E6">
        <w:rPr>
          <w:rFonts w:ascii="Palatino Linotype" w:eastAsia="Palatino Linotype" w:hAnsi="Palatino Linotype" w:cs="Palatino Linotype"/>
          <w:b/>
          <w:i/>
          <w:sz w:val="22"/>
          <w:szCs w:val="22"/>
        </w:rPr>
        <w:t>Secretaría de Administración</w:t>
      </w:r>
      <w:r w:rsidRPr="002B10E6">
        <w:rPr>
          <w:rFonts w:ascii="Palatino Linotype" w:eastAsia="Palatino Linotype" w:hAnsi="Palatino Linotype" w:cs="Palatino Linotype"/>
          <w:i/>
          <w:sz w:val="22"/>
          <w:szCs w:val="22"/>
        </w:rPr>
        <w:t xml:space="preserve"> de la UAEM tendrá las siguientes funciones:</w:t>
      </w:r>
    </w:p>
    <w:p w14:paraId="5F80F378"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p>
    <w:p w14:paraId="71092ECA"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f) Planear y coordinar la operación y control en materia de administración y desarrollo de personal.</w:t>
      </w:r>
    </w:p>
    <w:p w14:paraId="0854E051"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g) Vigilar el cumplimiento de las disposiciones legales que rijan las relaciones laborales entre la Universidad y su personal.</w:t>
      </w:r>
    </w:p>
    <w:p w14:paraId="3B2E2A50"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w:t>
      </w:r>
    </w:p>
    <w:p w14:paraId="751A2350"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SÉPTIMO. La Secretaría de Administración de la UAEM estará integrada por las siguientes unidades y departamentos administrativos:</w:t>
      </w:r>
    </w:p>
    <w:p w14:paraId="06C9B59E"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Secretaría Particular</w:t>
      </w:r>
    </w:p>
    <w:p w14:paraId="03492420"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Unidad de Planeación y Apoyo Administrativo</w:t>
      </w:r>
    </w:p>
    <w:p w14:paraId="27FB9C2B"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Unidad de Atención de Información y Auditorías</w:t>
      </w:r>
    </w:p>
    <w:p w14:paraId="7AA2EE78"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A. Dirección de Recursos Humanos</w:t>
      </w:r>
    </w:p>
    <w:p w14:paraId="57A3620F"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B. Dirección de Recursos Materiales</w:t>
      </w:r>
    </w:p>
    <w:p w14:paraId="31F5CC04"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C. Dirección de Obra Universitaria</w:t>
      </w:r>
    </w:p>
    <w:p w14:paraId="3DA084E1"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D. Dirección de Tecnologías de la Información y Comunicaciones</w:t>
      </w:r>
    </w:p>
    <w:p w14:paraId="521673E5"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E. Dirección de Organización y Desarrollo Administrativo</w:t>
      </w:r>
    </w:p>
    <w:p w14:paraId="4268EEF5"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F. Dirección de Transporte Universitario</w:t>
      </w:r>
    </w:p>
    <w:p w14:paraId="4EA413E1"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A) Dirección de Recursos Humanos</w:t>
      </w:r>
    </w:p>
    <w:p w14:paraId="079B87A4"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Objetivo:</w:t>
      </w:r>
    </w:p>
    <w:p w14:paraId="74AF5D71"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lastRenderedPageBreak/>
        <w:t>Modernizar la administración de los recursos humanos de la institución para apoyar el cumplimiento de sus objetivos y metas, mediante la aplicación de lo establecido en la normatividad, la cultura de transparencia, acceso a la información y la rendición de cuentas.</w:t>
      </w:r>
    </w:p>
    <w:p w14:paraId="06A0A11B"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Funciones:</w:t>
      </w:r>
    </w:p>
    <w:p w14:paraId="5B512F65"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w:t>
      </w:r>
    </w:p>
    <w:p w14:paraId="5494246F" w14:textId="77777777" w:rsidR="00347B0A" w:rsidRPr="002B10E6" w:rsidRDefault="005A2214">
      <w:pPr>
        <w:pBdr>
          <w:top w:val="nil"/>
          <w:left w:val="nil"/>
          <w:bottom w:val="nil"/>
          <w:right w:val="nil"/>
          <w:between w:val="nil"/>
        </w:pBd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 Supervisar la aplicación de los movimientos de percepciones y deducciones, a efecto de </w:t>
      </w:r>
      <w:r w:rsidRPr="002B10E6">
        <w:rPr>
          <w:rFonts w:ascii="Palatino Linotype" w:eastAsia="Palatino Linotype" w:hAnsi="Palatino Linotype" w:cs="Palatino Linotype"/>
          <w:b/>
          <w:i/>
          <w:sz w:val="22"/>
          <w:szCs w:val="22"/>
          <w:u w:val="single"/>
        </w:rPr>
        <w:t>garantizar el pago oportuno de sueldos y prestaciones de los trabajadores universitarios en el sistema dispuesto para la administración de recursos humanos</w:t>
      </w:r>
      <w:r w:rsidRPr="002B10E6">
        <w:rPr>
          <w:rFonts w:ascii="Palatino Linotype" w:eastAsia="Palatino Linotype" w:hAnsi="Palatino Linotype" w:cs="Palatino Linotype"/>
          <w:i/>
          <w:sz w:val="22"/>
          <w:szCs w:val="22"/>
        </w:rPr>
        <w:t>, así como del aprovechamiento de las tecnologías de la información disponibles en cumplimiento de la normatividad aplicable, Ley Federal de Trabajo, Contratos Colectivos de Trabajo, ISR y Ley ISSEMyM.” (Énfasis añadido)</w:t>
      </w:r>
    </w:p>
    <w:p w14:paraId="5246A1FF" w14:textId="77777777" w:rsidR="00347B0A" w:rsidRPr="002B10E6" w:rsidRDefault="005A2214">
      <w:pPr>
        <w:pBdr>
          <w:top w:val="nil"/>
          <w:left w:val="nil"/>
          <w:bottom w:val="nil"/>
          <w:right w:val="nil"/>
          <w:between w:val="nil"/>
        </w:pBdr>
        <w:spacing w:before="280" w:after="280" w:line="360" w:lineRule="auto"/>
        <w:ind w:right="49"/>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sz w:val="22"/>
          <w:szCs w:val="22"/>
        </w:rPr>
        <w:t xml:space="preserve">De manera que como se desprende de las citas previamente realizadas,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cuenta con una Secretaría de Administración, la cual se encuentra encargada de atender las cuestiones relativas a la nómina, por lo que al momento de otorgar cumplimiento a la presente resolución deberá realizar el turno correspondiente a esta área para efecto de que emita su pronunciamiento correspondiente.</w:t>
      </w:r>
    </w:p>
    <w:p w14:paraId="7AC18E26" w14:textId="77777777" w:rsidR="00347B0A" w:rsidRPr="002B10E6" w:rsidRDefault="005A2214">
      <w:pPr>
        <w:pBdr>
          <w:top w:val="nil"/>
          <w:left w:val="nil"/>
          <w:bottom w:val="nil"/>
          <w:right w:val="nil"/>
          <w:between w:val="nil"/>
        </w:pBdr>
        <w:spacing w:after="240" w:line="360" w:lineRule="auto"/>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sz w:val="22"/>
          <w:szCs w:val="22"/>
        </w:rPr>
        <w:t>Ahora, sobre la naturaleza de la información solicitada</w:t>
      </w:r>
      <w:r w:rsidRPr="002B10E6">
        <w:rPr>
          <w:rFonts w:ascii="Palatino Linotype" w:eastAsia="Palatino Linotype" w:hAnsi="Palatino Linotype" w:cs="Palatino Linotype"/>
          <w:b/>
          <w:sz w:val="22"/>
          <w:szCs w:val="22"/>
        </w:rPr>
        <w:t xml:space="preserve">, relativa a </w:t>
      </w:r>
      <w:r w:rsidRPr="002B10E6">
        <w:rPr>
          <w:rFonts w:ascii="Palatino Linotype" w:eastAsia="Palatino Linotype" w:hAnsi="Palatino Linotype" w:cs="Palatino Linotype"/>
          <w:b/>
          <w:sz w:val="22"/>
          <w:szCs w:val="22"/>
          <w:u w:val="single"/>
        </w:rPr>
        <w:t>los comprobantes de nómina,</w:t>
      </w:r>
      <w:r w:rsidRPr="002B10E6">
        <w:rPr>
          <w:rFonts w:ascii="Palatino Linotype" w:eastAsia="Palatino Linotype" w:hAnsi="Palatino Linotype" w:cs="Palatino Linotype"/>
          <w:sz w:val="22"/>
          <w:szCs w:val="22"/>
        </w:rPr>
        <w:t xml:space="preserve"> es de señalar que si bien el término “</w:t>
      </w:r>
      <w:r w:rsidRPr="002B10E6">
        <w:rPr>
          <w:rFonts w:ascii="Palatino Linotype" w:eastAsia="Palatino Linotype" w:hAnsi="Palatino Linotype" w:cs="Palatino Linotype"/>
          <w:i/>
          <w:sz w:val="22"/>
          <w:szCs w:val="22"/>
        </w:rPr>
        <w:t xml:space="preserve">nómina” </w:t>
      </w:r>
      <w:r w:rsidRPr="002B10E6">
        <w:rPr>
          <w:rFonts w:ascii="Palatino Linotype" w:eastAsia="Palatino Linotype" w:hAnsi="Palatino Linotype" w:cs="Palatino Linotype"/>
          <w:sz w:val="22"/>
          <w:szCs w:val="22"/>
        </w:rPr>
        <w:t xml:space="preserve">no está definido en nuestra legislación, también lo es que el “Glosario de Términos para el Proceso de Planeación, Programación, Presupuestación y Evaluación en la Administración Pública”, elaborado por el Grupo de Trabajo de Sistemas de Información Financiera, Contable y Presupuestal de la Comisión Permanente de Funcionarios Fiscales del Instituto para el Desarrollo Técnico de las Haciendas Públicas (INDETEC), la definen como el </w:t>
      </w:r>
      <w:r w:rsidRPr="002B10E6">
        <w:rPr>
          <w:rFonts w:ascii="Palatino Linotype" w:eastAsia="Palatino Linotype" w:hAnsi="Palatino Linotype" w:cs="Palatino Linotype"/>
          <w:i/>
          <w:sz w:val="22"/>
          <w:szCs w:val="22"/>
        </w:rPr>
        <w:t>listado general de los trabajadores de una institución, en</w:t>
      </w:r>
      <w:r w:rsidRPr="002B10E6">
        <w:rPr>
          <w:rFonts w:ascii="Palatino Linotype" w:eastAsia="Palatino Linotype" w:hAnsi="Palatino Linotype" w:cs="Palatino Linotype"/>
          <w:b/>
          <w:i/>
          <w:sz w:val="22"/>
          <w:szCs w:val="22"/>
        </w:rPr>
        <w:t xml:space="preserve"> </w:t>
      </w:r>
      <w:r w:rsidRPr="002B10E6">
        <w:rPr>
          <w:rFonts w:ascii="Palatino Linotype" w:eastAsia="Palatino Linotype" w:hAnsi="Palatino Linotype" w:cs="Palatino Linotype"/>
          <w:i/>
          <w:sz w:val="22"/>
          <w:szCs w:val="22"/>
        </w:rPr>
        <w:t xml:space="preserve">el cual se </w:t>
      </w:r>
      <w:r w:rsidRPr="002B10E6">
        <w:rPr>
          <w:rFonts w:ascii="Palatino Linotype" w:eastAsia="Palatino Linotype" w:hAnsi="Palatino Linotype" w:cs="Palatino Linotype"/>
          <w:b/>
          <w:i/>
          <w:sz w:val="22"/>
          <w:szCs w:val="22"/>
        </w:rPr>
        <w:t xml:space="preserve">asientan las </w:t>
      </w:r>
      <w:r w:rsidRPr="002B10E6">
        <w:rPr>
          <w:rFonts w:ascii="Palatino Linotype" w:eastAsia="Palatino Linotype" w:hAnsi="Palatino Linotype" w:cs="Palatino Linotype"/>
          <w:b/>
          <w:i/>
          <w:sz w:val="22"/>
          <w:szCs w:val="22"/>
          <w:u w:val="single"/>
        </w:rPr>
        <w:t xml:space="preserve">percepciones brutas, deducciones y alcance neto de las </w:t>
      </w:r>
      <w:r w:rsidRPr="002B10E6">
        <w:rPr>
          <w:rFonts w:ascii="Palatino Linotype" w:eastAsia="Palatino Linotype" w:hAnsi="Palatino Linotype" w:cs="Palatino Linotype"/>
          <w:b/>
          <w:i/>
          <w:sz w:val="22"/>
          <w:szCs w:val="22"/>
          <w:u w:val="single"/>
        </w:rPr>
        <w:lastRenderedPageBreak/>
        <w:t>mismas</w:t>
      </w:r>
      <w:r w:rsidRPr="002B10E6">
        <w:rPr>
          <w:rFonts w:ascii="Palatino Linotype" w:eastAsia="Palatino Linotype" w:hAnsi="Palatino Linotype" w:cs="Palatino Linotype"/>
          <w:i/>
          <w:sz w:val="22"/>
          <w:szCs w:val="22"/>
        </w:rPr>
        <w:t>; la nómina es utilizada para</w:t>
      </w:r>
      <w:r w:rsidRPr="002B10E6">
        <w:rPr>
          <w:rFonts w:ascii="Palatino Linotype" w:eastAsia="Palatino Linotype" w:hAnsi="Palatino Linotype" w:cs="Palatino Linotype"/>
          <w:b/>
          <w:i/>
          <w:sz w:val="22"/>
          <w:szCs w:val="22"/>
        </w:rPr>
        <w:t xml:space="preserve"> efectuar los pagos periódicos</w:t>
      </w:r>
      <w:r w:rsidRPr="002B10E6">
        <w:rPr>
          <w:rFonts w:ascii="Palatino Linotype" w:eastAsia="Palatino Linotype" w:hAnsi="Palatino Linotype" w:cs="Palatino Linotype"/>
          <w:i/>
          <w:sz w:val="22"/>
          <w:szCs w:val="22"/>
        </w:rPr>
        <w:t xml:space="preserve"> (semanales, quincenales o</w:t>
      </w:r>
      <w:r w:rsidRPr="002B10E6">
        <w:rPr>
          <w:rFonts w:ascii="Palatino Linotype" w:eastAsia="Palatino Linotype" w:hAnsi="Palatino Linotype" w:cs="Palatino Linotype"/>
          <w:b/>
          <w:i/>
          <w:sz w:val="22"/>
          <w:szCs w:val="22"/>
        </w:rPr>
        <w:t xml:space="preserve"> </w:t>
      </w:r>
      <w:r w:rsidRPr="002B10E6">
        <w:rPr>
          <w:rFonts w:ascii="Palatino Linotype" w:eastAsia="Palatino Linotype" w:hAnsi="Palatino Linotype" w:cs="Palatino Linotype"/>
          <w:i/>
          <w:sz w:val="22"/>
          <w:szCs w:val="22"/>
        </w:rPr>
        <w:t xml:space="preserve">mensuales) a los trabajadores por concepto de </w:t>
      </w:r>
      <w:r w:rsidRPr="002B10E6">
        <w:rPr>
          <w:rFonts w:ascii="Palatino Linotype" w:eastAsia="Palatino Linotype" w:hAnsi="Palatino Linotype" w:cs="Palatino Linotype"/>
          <w:b/>
          <w:i/>
          <w:sz w:val="22"/>
          <w:szCs w:val="22"/>
        </w:rPr>
        <w:t>sueldos y salarios</w:t>
      </w:r>
      <w:r w:rsidRPr="002B10E6">
        <w:rPr>
          <w:rFonts w:ascii="Palatino Linotype" w:eastAsia="Palatino Linotype" w:hAnsi="Palatino Linotype" w:cs="Palatino Linotype"/>
          <w:i/>
          <w:sz w:val="22"/>
          <w:szCs w:val="22"/>
        </w:rPr>
        <w:t>.</w:t>
      </w:r>
    </w:p>
    <w:p w14:paraId="6E7731D3" w14:textId="77777777" w:rsidR="00347B0A" w:rsidRPr="002B10E6" w:rsidRDefault="005A2214">
      <w:pPr>
        <w:spacing w:line="360" w:lineRule="auto"/>
        <w:jc w:val="both"/>
      </w:pPr>
      <w:r w:rsidRPr="002B10E6">
        <w:rPr>
          <w:rFonts w:ascii="Palatino Linotype" w:eastAsia="Palatino Linotype" w:hAnsi="Palatino Linotype" w:cs="Palatino Linotype"/>
          <w:sz w:val="22"/>
          <w:szCs w:val="22"/>
        </w:rPr>
        <w:t xml:space="preserve">Documento o término que ha sido mencionado en diferentes ordenamientos legales, tal es el caso, de la </w:t>
      </w:r>
      <w:r w:rsidRPr="002B10E6">
        <w:rPr>
          <w:rFonts w:ascii="Palatino Linotype" w:eastAsia="Palatino Linotype" w:hAnsi="Palatino Linotype" w:cs="Palatino Linotype"/>
          <w:i/>
          <w:sz w:val="22"/>
          <w:szCs w:val="22"/>
        </w:rPr>
        <w:t>Ley Federal del Trabajo</w:t>
      </w:r>
      <w:r w:rsidRPr="002B10E6">
        <w:rPr>
          <w:rFonts w:ascii="Palatino Linotype" w:eastAsia="Palatino Linotype" w:hAnsi="Palatino Linotype" w:cs="Palatino Linotype"/>
          <w:sz w:val="22"/>
          <w:szCs w:val="22"/>
        </w:rPr>
        <w:t xml:space="preserve"> en el artículo 804 fracción II, que además reconoce los recibos de pagos de salarios, por lo que resulta indispensable citar el artículo de referencia.</w:t>
      </w:r>
    </w:p>
    <w:p w14:paraId="6DBF6CC0" w14:textId="77777777" w:rsidR="00347B0A" w:rsidRPr="002B10E6" w:rsidRDefault="00347B0A"/>
    <w:p w14:paraId="63BC00C0" w14:textId="77777777" w:rsidR="00347B0A" w:rsidRPr="002B10E6" w:rsidRDefault="005A2214">
      <w:pPr>
        <w:spacing w:after="120"/>
        <w:ind w:left="851" w:right="902"/>
        <w:jc w:val="both"/>
      </w:pPr>
      <w:r w:rsidRPr="002B10E6">
        <w:rPr>
          <w:rFonts w:ascii="Palatino Linotype" w:eastAsia="Palatino Linotype" w:hAnsi="Palatino Linotype" w:cs="Palatino Linotype"/>
          <w:b/>
          <w:i/>
          <w:sz w:val="22"/>
          <w:szCs w:val="22"/>
        </w:rPr>
        <w:t>“Artículo 804.-</w:t>
      </w:r>
      <w:r w:rsidRPr="002B10E6">
        <w:rPr>
          <w:rFonts w:ascii="Palatino Linotype" w:eastAsia="Palatino Linotype" w:hAnsi="Palatino Linotype" w:cs="Palatino Linotype"/>
          <w:i/>
          <w:sz w:val="22"/>
          <w:szCs w:val="22"/>
        </w:rPr>
        <w:t xml:space="preserve"> El patrón tiene obligación de conservar y exhibir en juicio los documentos que a continuación se precisan:</w:t>
      </w:r>
    </w:p>
    <w:p w14:paraId="3E75C175" w14:textId="77777777" w:rsidR="00347B0A" w:rsidRPr="002B10E6" w:rsidRDefault="005A2214">
      <w:pPr>
        <w:spacing w:after="120"/>
        <w:ind w:left="993" w:right="902"/>
        <w:jc w:val="both"/>
      </w:pPr>
      <w:r w:rsidRPr="002B10E6">
        <w:rPr>
          <w:rFonts w:ascii="Palatino Linotype" w:eastAsia="Palatino Linotype" w:hAnsi="Palatino Linotype" w:cs="Palatino Linotype"/>
          <w:b/>
          <w:i/>
          <w:sz w:val="22"/>
          <w:szCs w:val="22"/>
        </w:rPr>
        <w:t>…</w:t>
      </w:r>
    </w:p>
    <w:p w14:paraId="468B7B12" w14:textId="77777777" w:rsidR="00347B0A" w:rsidRPr="002B10E6" w:rsidRDefault="005A2214">
      <w:pPr>
        <w:spacing w:after="120"/>
        <w:ind w:left="993" w:right="902"/>
        <w:jc w:val="both"/>
      </w:pPr>
      <w:r w:rsidRPr="002B10E6">
        <w:rPr>
          <w:rFonts w:ascii="Palatino Linotype" w:eastAsia="Palatino Linotype" w:hAnsi="Palatino Linotype" w:cs="Palatino Linotype"/>
          <w:b/>
          <w:i/>
          <w:sz w:val="22"/>
          <w:szCs w:val="22"/>
        </w:rPr>
        <w:t>II.</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b/>
          <w:i/>
          <w:sz w:val="22"/>
          <w:szCs w:val="22"/>
        </w:rPr>
        <w:t>Listas de raya o nómina de personal</w:t>
      </w:r>
      <w:r w:rsidRPr="002B10E6">
        <w:rPr>
          <w:rFonts w:ascii="Palatino Linotype" w:eastAsia="Palatino Linotype" w:hAnsi="Palatino Linotype" w:cs="Palatino Linotype"/>
          <w:i/>
          <w:sz w:val="22"/>
          <w:szCs w:val="22"/>
        </w:rPr>
        <w:t xml:space="preserve">, cuando se lleven en el centro de trabajo; </w:t>
      </w:r>
      <w:r w:rsidRPr="002B10E6">
        <w:rPr>
          <w:rFonts w:ascii="Palatino Linotype" w:eastAsia="Palatino Linotype" w:hAnsi="Palatino Linotype" w:cs="Palatino Linotype"/>
          <w:b/>
          <w:i/>
          <w:sz w:val="22"/>
          <w:szCs w:val="22"/>
        </w:rPr>
        <w:t>o recibos de pagos de salarios;</w:t>
      </w:r>
    </w:p>
    <w:p w14:paraId="6FFD4C02" w14:textId="77777777" w:rsidR="00347B0A" w:rsidRPr="002B10E6" w:rsidRDefault="005A2214">
      <w:pPr>
        <w:spacing w:after="120"/>
        <w:ind w:left="993" w:right="902"/>
        <w:jc w:val="both"/>
      </w:pPr>
      <w:r w:rsidRPr="002B10E6">
        <w:rPr>
          <w:rFonts w:ascii="Palatino Linotype" w:eastAsia="Palatino Linotype" w:hAnsi="Palatino Linotype" w:cs="Palatino Linotype"/>
          <w:i/>
          <w:sz w:val="22"/>
          <w:szCs w:val="22"/>
        </w:rPr>
        <w:t>…</w:t>
      </w:r>
    </w:p>
    <w:p w14:paraId="6359ED33" w14:textId="77777777" w:rsidR="00347B0A" w:rsidRPr="002B10E6" w:rsidRDefault="005A2214">
      <w:pPr>
        <w:spacing w:after="120"/>
        <w:ind w:left="855" w:right="902"/>
        <w:jc w:val="both"/>
      </w:pPr>
      <w:r w:rsidRPr="002B10E6">
        <w:rPr>
          <w:rFonts w:ascii="Palatino Linotype" w:eastAsia="Palatino Linotype" w:hAnsi="Palatino Linotype" w:cs="Palatino Linotype"/>
          <w:i/>
          <w:sz w:val="22"/>
          <w:szCs w:val="22"/>
        </w:rPr>
        <w:t xml:space="preserve">Los documentos señalados en la fracción I deberán conservarse mientras dure la relación laboral y hasta un año después; los señalados en las fracciones </w:t>
      </w:r>
      <w:r w:rsidRPr="002B10E6">
        <w:rPr>
          <w:rFonts w:ascii="Palatino Linotype" w:eastAsia="Palatino Linotype" w:hAnsi="Palatino Linotype" w:cs="Palatino Linotype"/>
          <w:b/>
          <w:i/>
          <w:sz w:val="22"/>
          <w:szCs w:val="22"/>
        </w:rPr>
        <w:t>II</w:t>
      </w:r>
      <w:r w:rsidRPr="002B10E6">
        <w:rPr>
          <w:rFonts w:ascii="Palatino Linotype" w:eastAsia="Palatino Linotype" w:hAnsi="Palatino Linotype" w:cs="Palatino Linotype"/>
          <w:i/>
          <w:sz w:val="22"/>
          <w:szCs w:val="22"/>
        </w:rPr>
        <w:t>, III y IV, durante el último año y un año después de que se extinga la relación laboral; y los mencionados en la fracción V, conforme lo señalen las Leyes que los rijan.”</w:t>
      </w:r>
    </w:p>
    <w:p w14:paraId="0BED9CC4" w14:textId="77777777" w:rsidR="00347B0A" w:rsidRPr="002B10E6" w:rsidRDefault="005A2214">
      <w:pPr>
        <w:spacing w:before="240" w:after="360" w:line="360" w:lineRule="auto"/>
        <w:jc w:val="both"/>
        <w:rPr>
          <w:sz w:val="22"/>
          <w:szCs w:val="22"/>
        </w:rPr>
      </w:pPr>
      <w:r w:rsidRPr="002B10E6">
        <w:rPr>
          <w:rFonts w:ascii="Palatino Linotype" w:eastAsia="Palatino Linotype" w:hAnsi="Palatino Linotype" w:cs="Palatino Linotype"/>
          <w:sz w:val="22"/>
          <w:szCs w:val="22"/>
        </w:rPr>
        <w:t xml:space="preserve">De lo anteriormente citado, se puede llegar a la conclusión de que la nómina, es el documento que contiene el registro de los trabajadores a los cuales se va a remunerar por los </w:t>
      </w:r>
      <w:hyperlink r:id="rId14">
        <w:r w:rsidRPr="002B10E6">
          <w:rPr>
            <w:rFonts w:ascii="Palatino Linotype" w:eastAsia="Palatino Linotype" w:hAnsi="Palatino Linotype" w:cs="Palatino Linotype"/>
            <w:sz w:val="22"/>
            <w:szCs w:val="22"/>
          </w:rPr>
          <w:t>servicios</w:t>
        </w:r>
      </w:hyperlink>
      <w:r w:rsidRPr="002B10E6">
        <w:rPr>
          <w:rFonts w:ascii="Palatino Linotype" w:eastAsia="Palatino Linotype" w:hAnsi="Palatino Linotype" w:cs="Palatino Linotype"/>
          <w:sz w:val="22"/>
          <w:szCs w:val="22"/>
        </w:rPr>
        <w:t xml:space="preserve"> que éstos le prestan al patrón, en el cual </w:t>
      </w:r>
      <w:r w:rsidRPr="002B10E6">
        <w:rPr>
          <w:rFonts w:ascii="Palatino Linotype" w:eastAsia="Palatino Linotype" w:hAnsi="Palatino Linotype" w:cs="Palatino Linotype"/>
          <w:b/>
          <w:sz w:val="22"/>
          <w:szCs w:val="22"/>
        </w:rPr>
        <w:t>se asientan las percepciones brutas, deducciones y el neto</w:t>
      </w:r>
      <w:r w:rsidRPr="002B10E6">
        <w:rPr>
          <w:rFonts w:ascii="Palatino Linotype" w:eastAsia="Palatino Linotype" w:hAnsi="Palatino Linotype" w:cs="Palatino Linotype"/>
          <w:sz w:val="22"/>
          <w:szCs w:val="22"/>
        </w:rPr>
        <w:t xml:space="preserve"> a recibir de dichos trabajadores.</w:t>
      </w:r>
    </w:p>
    <w:p w14:paraId="35A3B983" w14:textId="77777777" w:rsidR="00347B0A" w:rsidRPr="002B10E6" w:rsidRDefault="005A2214">
      <w:pPr>
        <w:spacing w:line="360" w:lineRule="auto"/>
        <w:jc w:val="both"/>
        <w:rPr>
          <w:sz w:val="22"/>
          <w:szCs w:val="22"/>
        </w:rPr>
      </w:pPr>
      <w:r w:rsidRPr="002B10E6">
        <w:rPr>
          <w:rFonts w:ascii="Palatino Linotype" w:eastAsia="Palatino Linotype" w:hAnsi="Palatino Linotype" w:cs="Palatino Linotype"/>
          <w:sz w:val="22"/>
          <w:szCs w:val="22"/>
        </w:rPr>
        <w:t xml:space="preserve">Ahora bien, en el caso de los </w:t>
      </w:r>
      <w:r w:rsidRPr="002B10E6">
        <w:rPr>
          <w:rFonts w:ascii="Palatino Linotype" w:eastAsia="Palatino Linotype" w:hAnsi="Palatino Linotype" w:cs="Palatino Linotype"/>
          <w:b/>
          <w:sz w:val="22"/>
          <w:szCs w:val="22"/>
        </w:rPr>
        <w:t>comprobantes de nómina</w:t>
      </w:r>
      <w:r w:rsidRPr="002B10E6">
        <w:rPr>
          <w:rFonts w:ascii="Palatino Linotype" w:eastAsia="Palatino Linotype" w:hAnsi="Palatino Linotype" w:cs="Palatino Linotype"/>
          <w:sz w:val="22"/>
          <w:szCs w:val="22"/>
        </w:rPr>
        <w:t>, la Ley del Trabajo de los Servidores Públicos del Estado de México y Municipios hace referencia a los comprobantes que las instituciones públicas realizan para documentar el pago de salarios, prima vacacional, aguinaldo y demás prestaciones otorgadas a un servidor público, denominándose "recibos o comprobantes de pago", los cuales constituyen un instrumento mediante el cual el sujeto obligado acredita las remuneraciones al personal y, que de acuerdo al uso implantado en la colectividad se denominan "recibos de nómina".</w:t>
      </w:r>
    </w:p>
    <w:p w14:paraId="651093CE" w14:textId="77777777" w:rsidR="00347B0A" w:rsidRPr="002B10E6" w:rsidRDefault="00347B0A">
      <w:pPr>
        <w:spacing w:line="360" w:lineRule="auto"/>
        <w:rPr>
          <w:sz w:val="22"/>
          <w:szCs w:val="22"/>
        </w:rPr>
      </w:pPr>
    </w:p>
    <w:p w14:paraId="48032F09" w14:textId="77777777" w:rsidR="00347B0A" w:rsidRPr="002B10E6" w:rsidRDefault="005A2214">
      <w:pPr>
        <w:spacing w:line="360" w:lineRule="auto"/>
        <w:jc w:val="both"/>
        <w:rPr>
          <w:sz w:val="22"/>
          <w:szCs w:val="22"/>
        </w:rPr>
      </w:pPr>
      <w:r w:rsidRPr="002B10E6">
        <w:rPr>
          <w:rFonts w:ascii="Palatino Linotype" w:eastAsia="Palatino Linotype" w:hAnsi="Palatino Linotype" w:cs="Palatino Linotype"/>
          <w:sz w:val="22"/>
          <w:szCs w:val="22"/>
        </w:rPr>
        <w:t xml:space="preserve">A efecto de robustecer lo anterior, es preciso hacer alusión, en primera instancia, a lo establecido en las normas de carácter general del </w:t>
      </w:r>
      <w:r w:rsidRPr="002B10E6">
        <w:rPr>
          <w:rFonts w:ascii="Palatino Linotype" w:eastAsia="Palatino Linotype" w:hAnsi="Palatino Linotype" w:cs="Palatino Linotype"/>
          <w:b/>
          <w:sz w:val="22"/>
          <w:szCs w:val="22"/>
        </w:rPr>
        <w:t>Manual Único de Contabilidad Gubernamental para las Dependencias y Entidades Públicas del Gobierno y Municipios del Estado de México</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sz w:val="22"/>
          <w:szCs w:val="22"/>
        </w:rPr>
        <w:t xml:space="preserve">en donde se señala que el Régimen Fiscal para las entidades públicas es el correspondiente a </w:t>
      </w:r>
      <w:r w:rsidRPr="002B10E6">
        <w:rPr>
          <w:rFonts w:ascii="Palatino Linotype" w:eastAsia="Palatino Linotype" w:hAnsi="Palatino Linotype" w:cs="Palatino Linotype"/>
          <w:i/>
          <w:sz w:val="22"/>
          <w:szCs w:val="22"/>
        </w:rPr>
        <w:t xml:space="preserve">personas morales con fines no lucrativos, </w:t>
      </w:r>
      <w:r w:rsidRPr="002B10E6">
        <w:rPr>
          <w:rFonts w:ascii="Palatino Linotype" w:eastAsia="Palatino Linotype" w:hAnsi="Palatino Linotype" w:cs="Palatino Linotype"/>
          <w:sz w:val="22"/>
          <w:szCs w:val="22"/>
        </w:rPr>
        <w:t xml:space="preserve">y en segundo lugar remitirnos al párrafo séptimo del artículo 86 del Título III del Régimen de las Personas Morales con fines no lucrativos, de la </w:t>
      </w:r>
      <w:r w:rsidRPr="002B10E6">
        <w:rPr>
          <w:rFonts w:ascii="Palatino Linotype" w:eastAsia="Palatino Linotype" w:hAnsi="Palatino Linotype" w:cs="Palatino Linotype"/>
          <w:b/>
          <w:sz w:val="22"/>
          <w:szCs w:val="22"/>
        </w:rPr>
        <w:t>Ley del Impuesto Sobre la Renta</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sz w:val="22"/>
          <w:szCs w:val="22"/>
        </w:rPr>
        <w:t>que a la letra señala lo siguiente:</w:t>
      </w:r>
    </w:p>
    <w:p w14:paraId="3D304702" w14:textId="77777777" w:rsidR="00347B0A" w:rsidRPr="002B10E6" w:rsidRDefault="005A2214">
      <w:pPr>
        <w:spacing w:before="240" w:after="240"/>
        <w:ind w:left="567" w:right="539"/>
        <w:jc w:val="both"/>
      </w:pPr>
      <w:r w:rsidRPr="002B10E6">
        <w:rPr>
          <w:rFonts w:ascii="Palatino Linotype" w:eastAsia="Palatino Linotype" w:hAnsi="Palatino Linotype" w:cs="Palatino Linotype"/>
          <w:b/>
          <w:i/>
          <w:sz w:val="22"/>
          <w:szCs w:val="22"/>
        </w:rPr>
        <w:t>“</w:t>
      </w:r>
      <w:proofErr w:type="gramStart"/>
      <w:r w:rsidRPr="002B10E6">
        <w:rPr>
          <w:rFonts w:ascii="Palatino Linotype" w:eastAsia="Palatino Linotype" w:hAnsi="Palatino Linotype" w:cs="Palatino Linotype"/>
          <w:b/>
          <w:i/>
          <w:sz w:val="22"/>
          <w:szCs w:val="22"/>
        </w:rPr>
        <w:t>Artículo.-</w:t>
      </w:r>
      <w:proofErr w:type="gramEnd"/>
      <w:r w:rsidRPr="002B10E6">
        <w:rPr>
          <w:rFonts w:ascii="Palatino Linotype" w:eastAsia="Palatino Linotype" w:hAnsi="Palatino Linotype" w:cs="Palatino Linotype"/>
          <w:b/>
          <w:i/>
          <w:sz w:val="22"/>
          <w:szCs w:val="22"/>
        </w:rPr>
        <w:t xml:space="preserve"> 86 </w:t>
      </w:r>
    </w:p>
    <w:p w14:paraId="0020F04C" w14:textId="77777777" w:rsidR="00347B0A" w:rsidRPr="002B10E6" w:rsidRDefault="005A2214">
      <w:pPr>
        <w:spacing w:before="240" w:after="240"/>
        <w:ind w:left="567" w:right="539"/>
        <w:jc w:val="both"/>
      </w:pPr>
      <w:r w:rsidRPr="002B10E6">
        <w:rPr>
          <w:rFonts w:ascii="Palatino Linotype" w:eastAsia="Palatino Linotype" w:hAnsi="Palatino Linotype" w:cs="Palatino Linotype"/>
          <w:b/>
          <w:i/>
          <w:sz w:val="22"/>
          <w:szCs w:val="22"/>
        </w:rPr>
        <w:t>(</w:t>
      </w:r>
      <w:r w:rsidRPr="002B10E6">
        <w:rPr>
          <w:rFonts w:ascii="Palatino Linotype" w:eastAsia="Palatino Linotype" w:hAnsi="Palatino Linotype" w:cs="Palatino Linotype"/>
          <w:i/>
          <w:sz w:val="22"/>
          <w:szCs w:val="22"/>
        </w:rPr>
        <w:t>…)</w:t>
      </w:r>
    </w:p>
    <w:p w14:paraId="0AAF3B8D" w14:textId="77777777" w:rsidR="00347B0A" w:rsidRPr="002B10E6" w:rsidRDefault="005A2214">
      <w:pPr>
        <w:spacing w:before="240"/>
        <w:ind w:left="567" w:right="539"/>
        <w:jc w:val="both"/>
      </w:pPr>
      <w:r w:rsidRPr="002B10E6">
        <w:rPr>
          <w:rFonts w:ascii="Palatino Linotype" w:eastAsia="Palatino Linotype" w:hAnsi="Palatino Linotype" w:cs="Palatino Linotype"/>
          <w:i/>
          <w:sz w:val="22"/>
          <w:szCs w:val="22"/>
        </w:rPr>
        <w:t xml:space="preserve">Los partidos y asociaciones políticas, legalmente reconocidos, la Federación, las entidades federativas, los municipios y las instituciones que por Ley estén obligadas a entregar al Gobierno Federal el importe íntegro de su remanente de operación y los organismos descentralizados que no tributen conforme al Título II de esta Ley </w:t>
      </w:r>
      <w:r w:rsidRPr="002B10E6">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subordinado, en la fecha en que se realice la erogación correspondiente, los cuales podrán utilizarse como constancia o recibo de pago</w:t>
      </w:r>
      <w:r w:rsidRPr="002B10E6">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fracciones II y IV de la Ley Federal del Trabajo…</w:t>
      </w:r>
      <w:r w:rsidRPr="002B10E6">
        <w:rPr>
          <w:rFonts w:ascii="Palatino Linotype" w:eastAsia="Palatino Linotype" w:hAnsi="Palatino Linotype" w:cs="Palatino Linotype"/>
          <w:sz w:val="22"/>
          <w:szCs w:val="22"/>
        </w:rPr>
        <w:t>” </w:t>
      </w:r>
    </w:p>
    <w:p w14:paraId="7F8C3C94" w14:textId="77777777" w:rsidR="00347B0A" w:rsidRPr="002B10E6" w:rsidRDefault="00347B0A"/>
    <w:p w14:paraId="41FCF65D" w14:textId="77777777" w:rsidR="00347B0A" w:rsidRPr="002B10E6" w:rsidRDefault="005A2214">
      <w:pPr>
        <w:spacing w:line="360" w:lineRule="auto"/>
        <w:jc w:val="both"/>
      </w:pPr>
      <w:r w:rsidRPr="002B10E6">
        <w:rPr>
          <w:rFonts w:ascii="Palatino Linotype" w:eastAsia="Palatino Linotype" w:hAnsi="Palatino Linotype" w:cs="Palatino Linotype"/>
          <w:sz w:val="22"/>
          <w:szCs w:val="22"/>
        </w:rPr>
        <w:t xml:space="preserve">Del precepto citado, se advierte que los municipios al ser entes públicos se encuentran constreñidos a expedir y entregar los </w:t>
      </w:r>
      <w:r w:rsidRPr="002B10E6">
        <w:rPr>
          <w:rFonts w:ascii="Palatino Linotype" w:eastAsia="Palatino Linotype" w:hAnsi="Palatino Linotype" w:cs="Palatino Linotype"/>
          <w:b/>
          <w:sz w:val="22"/>
          <w:szCs w:val="22"/>
        </w:rPr>
        <w:t xml:space="preserve">comprobantes fiscales correspondientes a las personas que reciban pagos por conceptos de salarios, </w:t>
      </w:r>
      <w:r w:rsidRPr="002B10E6">
        <w:rPr>
          <w:rFonts w:ascii="Palatino Linotype" w:eastAsia="Palatino Linotype" w:hAnsi="Palatino Linotype" w:cs="Palatino Linotype"/>
          <w:sz w:val="22"/>
          <w:szCs w:val="22"/>
        </w:rPr>
        <w:t xml:space="preserve">mismos que pueden ser utilizados como </w:t>
      </w:r>
      <w:r w:rsidRPr="002B10E6">
        <w:rPr>
          <w:rFonts w:ascii="Palatino Linotype" w:eastAsia="Palatino Linotype" w:hAnsi="Palatino Linotype" w:cs="Palatino Linotype"/>
          <w:b/>
          <w:sz w:val="22"/>
          <w:szCs w:val="22"/>
        </w:rPr>
        <w:t>constancia o</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recibo de pago</w:t>
      </w:r>
      <w:r w:rsidRPr="002B10E6">
        <w:rPr>
          <w:rFonts w:ascii="Palatino Linotype" w:eastAsia="Palatino Linotype" w:hAnsi="Palatino Linotype" w:cs="Palatino Linotype"/>
          <w:sz w:val="22"/>
          <w:szCs w:val="22"/>
        </w:rPr>
        <w:t xml:space="preserve">, de conformidad con los artículos 132 fracciones VII y VIII de la </w:t>
      </w:r>
      <w:r w:rsidRPr="002B10E6">
        <w:rPr>
          <w:rFonts w:ascii="Palatino Linotype" w:eastAsia="Palatino Linotype" w:hAnsi="Palatino Linotype" w:cs="Palatino Linotype"/>
          <w:b/>
          <w:sz w:val="22"/>
          <w:szCs w:val="22"/>
        </w:rPr>
        <w:t>Ley Federal del Trabajo</w:t>
      </w:r>
      <w:r w:rsidRPr="002B10E6">
        <w:rPr>
          <w:rFonts w:ascii="Palatino Linotype" w:eastAsia="Palatino Linotype" w:hAnsi="Palatino Linotype" w:cs="Palatino Linotype"/>
          <w:sz w:val="22"/>
          <w:szCs w:val="22"/>
        </w:rPr>
        <w:t>, que a la letra señalan lo siguiente:</w:t>
      </w:r>
    </w:p>
    <w:p w14:paraId="20841B0A" w14:textId="77777777" w:rsidR="00347B0A" w:rsidRPr="002B10E6" w:rsidRDefault="00347B0A"/>
    <w:p w14:paraId="070E0C87" w14:textId="77777777" w:rsidR="00347B0A" w:rsidRPr="002B10E6" w:rsidRDefault="005A2214">
      <w:pPr>
        <w:spacing w:before="120" w:after="120"/>
        <w:ind w:left="567" w:right="539"/>
        <w:jc w:val="both"/>
      </w:pPr>
      <w:r w:rsidRPr="002B10E6">
        <w:rPr>
          <w:rFonts w:ascii="Palatino Linotype" w:eastAsia="Palatino Linotype" w:hAnsi="Palatino Linotype" w:cs="Palatino Linotype"/>
          <w:b/>
          <w:i/>
          <w:sz w:val="22"/>
          <w:szCs w:val="22"/>
        </w:rPr>
        <w:t>“Artículo 132</w:t>
      </w:r>
      <w:r w:rsidRPr="002B10E6">
        <w:rPr>
          <w:rFonts w:ascii="Palatino Linotype" w:eastAsia="Palatino Linotype" w:hAnsi="Palatino Linotype" w:cs="Palatino Linotype"/>
          <w:i/>
          <w:sz w:val="22"/>
          <w:szCs w:val="22"/>
        </w:rPr>
        <w:t xml:space="preserve">.- Son </w:t>
      </w:r>
      <w:r w:rsidRPr="002B10E6">
        <w:rPr>
          <w:rFonts w:ascii="Palatino Linotype" w:eastAsia="Palatino Linotype" w:hAnsi="Palatino Linotype" w:cs="Palatino Linotype"/>
          <w:b/>
          <w:i/>
          <w:sz w:val="22"/>
          <w:szCs w:val="22"/>
        </w:rPr>
        <w:t>obligaciones de los patrones</w:t>
      </w:r>
      <w:r w:rsidRPr="002B10E6">
        <w:rPr>
          <w:rFonts w:ascii="Palatino Linotype" w:eastAsia="Palatino Linotype" w:hAnsi="Palatino Linotype" w:cs="Palatino Linotype"/>
          <w:i/>
          <w:sz w:val="22"/>
          <w:szCs w:val="22"/>
        </w:rPr>
        <w:t>:</w:t>
      </w:r>
    </w:p>
    <w:p w14:paraId="41034BDE" w14:textId="77777777" w:rsidR="00347B0A" w:rsidRPr="002B10E6" w:rsidRDefault="005A2214">
      <w:pPr>
        <w:spacing w:before="120" w:after="120"/>
        <w:ind w:left="567" w:right="539"/>
        <w:jc w:val="both"/>
      </w:pPr>
      <w:r w:rsidRPr="002B10E6">
        <w:rPr>
          <w:rFonts w:ascii="Palatino Linotype" w:eastAsia="Palatino Linotype" w:hAnsi="Palatino Linotype" w:cs="Palatino Linotype"/>
          <w:i/>
          <w:sz w:val="22"/>
          <w:szCs w:val="22"/>
        </w:rPr>
        <w:t>(…)</w:t>
      </w:r>
    </w:p>
    <w:p w14:paraId="36825FA9" w14:textId="77777777" w:rsidR="00347B0A" w:rsidRPr="002B10E6" w:rsidRDefault="005A2214">
      <w:pPr>
        <w:spacing w:before="120" w:after="120"/>
        <w:ind w:left="567" w:right="539"/>
        <w:jc w:val="both"/>
      </w:pPr>
      <w:r w:rsidRPr="002B10E6">
        <w:rPr>
          <w:rFonts w:ascii="Palatino Linotype" w:eastAsia="Palatino Linotype" w:hAnsi="Palatino Linotype" w:cs="Palatino Linotype"/>
          <w:i/>
          <w:sz w:val="22"/>
          <w:szCs w:val="22"/>
        </w:rPr>
        <w:lastRenderedPageBreak/>
        <w:t xml:space="preserve">VII.- </w:t>
      </w:r>
      <w:r w:rsidRPr="002B10E6">
        <w:rPr>
          <w:rFonts w:ascii="Palatino Linotype" w:eastAsia="Palatino Linotype" w:hAnsi="Palatino Linotype" w:cs="Palatino Linotype"/>
          <w:b/>
          <w:i/>
          <w:sz w:val="22"/>
          <w:szCs w:val="22"/>
        </w:rPr>
        <w:t>Expedir</w:t>
      </w:r>
      <w:r w:rsidRPr="002B10E6">
        <w:rPr>
          <w:rFonts w:ascii="Palatino Linotype" w:eastAsia="Palatino Linotype" w:hAnsi="Palatino Linotype" w:cs="Palatino Linotype"/>
          <w:i/>
          <w:sz w:val="22"/>
          <w:szCs w:val="22"/>
        </w:rPr>
        <w:t xml:space="preserve"> cada quince días, a solicitud de los trabajadores, una </w:t>
      </w:r>
      <w:r w:rsidRPr="002B10E6">
        <w:rPr>
          <w:rFonts w:ascii="Palatino Linotype" w:eastAsia="Palatino Linotype" w:hAnsi="Palatino Linotype" w:cs="Palatino Linotype"/>
          <w:b/>
          <w:i/>
          <w:sz w:val="22"/>
          <w:szCs w:val="22"/>
        </w:rPr>
        <w:t>constancia</w:t>
      </w:r>
      <w:r w:rsidRPr="002B10E6">
        <w:rPr>
          <w:rFonts w:ascii="Palatino Linotype" w:eastAsia="Palatino Linotype" w:hAnsi="Palatino Linotype" w:cs="Palatino Linotype"/>
          <w:i/>
          <w:sz w:val="22"/>
          <w:szCs w:val="22"/>
        </w:rPr>
        <w:t xml:space="preserve"> escrita del número de días trabajados y </w:t>
      </w:r>
      <w:r w:rsidRPr="002B10E6">
        <w:rPr>
          <w:rFonts w:ascii="Palatino Linotype" w:eastAsia="Palatino Linotype" w:hAnsi="Palatino Linotype" w:cs="Palatino Linotype"/>
          <w:b/>
          <w:i/>
          <w:sz w:val="22"/>
          <w:szCs w:val="22"/>
        </w:rPr>
        <w:t>del salario percibido</w:t>
      </w:r>
      <w:r w:rsidRPr="002B10E6">
        <w:rPr>
          <w:rFonts w:ascii="Palatino Linotype" w:eastAsia="Palatino Linotype" w:hAnsi="Palatino Linotype" w:cs="Palatino Linotype"/>
          <w:i/>
          <w:sz w:val="22"/>
          <w:szCs w:val="22"/>
        </w:rPr>
        <w:t>; </w:t>
      </w:r>
    </w:p>
    <w:p w14:paraId="429CB255" w14:textId="77777777" w:rsidR="00347B0A" w:rsidRPr="002B10E6" w:rsidRDefault="005A2214">
      <w:pPr>
        <w:spacing w:before="120" w:after="120"/>
        <w:ind w:left="567" w:right="539"/>
        <w:jc w:val="both"/>
      </w:pPr>
      <w:r w:rsidRPr="002B10E6">
        <w:rPr>
          <w:rFonts w:ascii="Palatino Linotype" w:eastAsia="Palatino Linotype" w:hAnsi="Palatino Linotype" w:cs="Palatino Linotype"/>
          <w:i/>
          <w:sz w:val="22"/>
          <w:szCs w:val="22"/>
        </w:rPr>
        <w:t>VIII.- Expedir al trabajador que lo solicite o se separe de la empresa, dentro del término de tres días, una constancia escrita relativa a sus servicios;</w:t>
      </w:r>
    </w:p>
    <w:p w14:paraId="10723BDA" w14:textId="77777777" w:rsidR="00347B0A" w:rsidRPr="002B10E6" w:rsidRDefault="005A2214">
      <w:pPr>
        <w:ind w:left="567" w:right="539"/>
        <w:jc w:val="both"/>
      </w:pPr>
      <w:r w:rsidRPr="002B10E6">
        <w:rPr>
          <w:rFonts w:ascii="Palatino Linotype" w:eastAsia="Palatino Linotype" w:hAnsi="Palatino Linotype" w:cs="Palatino Linotype"/>
          <w:i/>
          <w:sz w:val="22"/>
          <w:szCs w:val="22"/>
        </w:rPr>
        <w:t>…”</w:t>
      </w:r>
    </w:p>
    <w:p w14:paraId="096ECCED" w14:textId="77777777" w:rsidR="00347B0A" w:rsidRPr="002B10E6" w:rsidRDefault="005A2214">
      <w:pPr>
        <w:spacing w:before="240" w:after="360" w:line="360" w:lineRule="auto"/>
        <w:jc w:val="both"/>
      </w:pPr>
      <w:r w:rsidRPr="002B10E6">
        <w:rPr>
          <w:rFonts w:ascii="Palatino Linotype" w:eastAsia="Palatino Linotype" w:hAnsi="Palatino Linotype" w:cs="Palatino Linotype"/>
          <w:sz w:val="22"/>
          <w:szCs w:val="22"/>
        </w:rPr>
        <w:t>Por su parte la Ley del Trabajo de los Servidores Públicos del Estado y Municipios, en su artículo 220-K fracciones II y IV y último párrafo, establecen lo siguiente:</w:t>
      </w:r>
    </w:p>
    <w:p w14:paraId="7AB85272" w14:textId="77777777" w:rsidR="00347B0A" w:rsidRPr="002B10E6" w:rsidRDefault="005A2214">
      <w:pPr>
        <w:spacing w:after="160"/>
        <w:ind w:left="567" w:right="902"/>
        <w:jc w:val="both"/>
      </w:pPr>
      <w:r w:rsidRPr="002B10E6">
        <w:rPr>
          <w:rFonts w:ascii="Palatino Linotype" w:eastAsia="Palatino Linotype" w:hAnsi="Palatino Linotype" w:cs="Palatino Linotype"/>
          <w:b/>
          <w:i/>
          <w:sz w:val="22"/>
          <w:szCs w:val="22"/>
        </w:rPr>
        <w:t>“ARTÍCULO 220 K.-</w:t>
      </w:r>
      <w:r w:rsidRPr="002B10E6">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14:paraId="0C3FE204"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w:t>
      </w:r>
    </w:p>
    <w:p w14:paraId="09CE7E03"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 xml:space="preserve">II. </w:t>
      </w:r>
      <w:r w:rsidRPr="002B10E6">
        <w:rPr>
          <w:rFonts w:ascii="Palatino Linotype" w:eastAsia="Palatino Linotype" w:hAnsi="Palatino Linotype" w:cs="Palatino Linotype"/>
          <w:b/>
          <w:i/>
          <w:sz w:val="22"/>
          <w:szCs w:val="22"/>
        </w:rPr>
        <w:t>Recibos de pagos de salarios</w:t>
      </w:r>
      <w:r w:rsidRPr="002B10E6">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14:paraId="51C4E24D"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w:t>
      </w:r>
    </w:p>
    <w:p w14:paraId="092A7A12"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IV. Recibos o las constancias de depósito o del medio de información magnética o electrónica que sean utilizadas para el pago de salarios, prima vacacional, aguinaldo y demás prestaciones establecidas en la presente ley; y…</w:t>
      </w:r>
    </w:p>
    <w:p w14:paraId="3D99ACB3"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w:t>
      </w:r>
    </w:p>
    <w:p w14:paraId="4B8336A7"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w:t>
      </w:r>
    </w:p>
    <w:p w14:paraId="03D48687" w14:textId="77777777" w:rsidR="00347B0A" w:rsidRPr="002B10E6" w:rsidRDefault="005A2214">
      <w:pPr>
        <w:spacing w:after="160"/>
        <w:ind w:left="567" w:right="902"/>
        <w:jc w:val="both"/>
      </w:pPr>
      <w:r w:rsidRPr="002B10E6">
        <w:rPr>
          <w:rFonts w:ascii="Palatino Linotype" w:eastAsia="Palatino Linotype" w:hAnsi="Palatino Linotype" w:cs="Palatino Linotype"/>
          <w:i/>
          <w:sz w:val="22"/>
          <w:szCs w:val="22"/>
        </w:rPr>
        <w:t>El incumplimiento por lo dispuesto por este artículo, establecerá la presunción de ser ciertos los hechos que el actor exprese en su demanda, en relación con tales documentos, salvo prueba en contrario.”</w:t>
      </w:r>
    </w:p>
    <w:p w14:paraId="0B39A510" w14:textId="77777777" w:rsidR="00347B0A" w:rsidRPr="002B10E6" w:rsidRDefault="005A2214">
      <w:pPr>
        <w:spacing w:before="120" w:line="360" w:lineRule="auto"/>
        <w:jc w:val="both"/>
      </w:pPr>
      <w:r w:rsidRPr="002B10E6">
        <w:rPr>
          <w:rFonts w:ascii="Palatino Linotype" w:eastAsia="Palatino Linotype" w:hAnsi="Palatino Linotype" w:cs="Palatino Linotype"/>
          <w:sz w:val="22"/>
          <w:szCs w:val="22"/>
        </w:rPr>
        <w:t xml:space="preserve">Sobre la base del precepto legal citado, se advierte que toda institución pública o dependencia pública del Estado de México debe conservar las constancias de pago de </w:t>
      </w:r>
      <w:r w:rsidRPr="002B10E6">
        <w:rPr>
          <w:rFonts w:ascii="Palatino Linotype" w:eastAsia="Palatino Linotype" w:hAnsi="Palatino Linotype" w:cs="Palatino Linotype"/>
          <w:sz w:val="22"/>
          <w:szCs w:val="22"/>
        </w:rPr>
        <w:lastRenderedPageBreak/>
        <w:t>salarios, prima vacacional, aguinaldo y demás prestaciones legales de acuerdo con la forma en que se haya realizado el pago; es decir, en efectivo, cheque, depósito, transferencia u otra, debiendo conservar dicha documentación durante el último año y un año después de que se extingue la relación laboral a través de los sistemas de digitalización o de información magnética o electrónica.</w:t>
      </w:r>
    </w:p>
    <w:p w14:paraId="3D7E1D3F" w14:textId="77777777" w:rsidR="00347B0A" w:rsidRPr="002B10E6" w:rsidRDefault="00347B0A">
      <w:pPr>
        <w:spacing w:line="360" w:lineRule="auto"/>
      </w:pPr>
    </w:p>
    <w:p w14:paraId="2A34C9D6" w14:textId="77777777" w:rsidR="00347B0A" w:rsidRPr="002B10E6" w:rsidRDefault="005A2214">
      <w:pPr>
        <w:spacing w:line="360" w:lineRule="auto"/>
        <w:jc w:val="both"/>
      </w:pPr>
      <w:r w:rsidRPr="002B10E6">
        <w:rPr>
          <w:rFonts w:ascii="Palatino Linotype" w:eastAsia="Palatino Linotype" w:hAnsi="Palatino Linotype" w:cs="Palatino Linotype"/>
          <w:sz w:val="22"/>
          <w:szCs w:val="22"/>
        </w:rPr>
        <w:t xml:space="preserve">Por tanto, los </w:t>
      </w:r>
      <w:r w:rsidRPr="002B10E6">
        <w:rPr>
          <w:rFonts w:ascii="Palatino Linotype" w:eastAsia="Palatino Linotype" w:hAnsi="Palatino Linotype" w:cs="Palatino Linotype"/>
          <w:i/>
          <w:sz w:val="22"/>
          <w:szCs w:val="22"/>
        </w:rPr>
        <w:t xml:space="preserve">recibos de nómina o comprobantes digitales por concepto de nómina </w:t>
      </w:r>
      <w:r w:rsidRPr="002B10E6">
        <w:rPr>
          <w:rFonts w:ascii="Palatino Linotype" w:eastAsia="Palatino Linotype" w:hAnsi="Palatino Linotype" w:cs="Palatino Linotype"/>
          <w:sz w:val="22"/>
          <w:szCs w:val="22"/>
        </w:rPr>
        <w:t>tienen como objetivo presentar la información del pago de las remuneraciones de cada uno de los servidores públicos de la entidad fiscalizable de que se trate correspondiente a un periodo determinado.</w:t>
      </w:r>
    </w:p>
    <w:p w14:paraId="462FE950" w14:textId="77777777" w:rsidR="00347B0A" w:rsidRPr="002B10E6" w:rsidRDefault="00347B0A">
      <w:pPr>
        <w:spacing w:line="360" w:lineRule="auto"/>
      </w:pPr>
    </w:p>
    <w:p w14:paraId="37168259" w14:textId="77777777" w:rsidR="00347B0A" w:rsidRPr="002B10E6" w:rsidRDefault="005A2214">
      <w:pPr>
        <w:spacing w:line="360" w:lineRule="auto"/>
        <w:jc w:val="both"/>
      </w:pPr>
      <w:r w:rsidRPr="002B10E6">
        <w:rPr>
          <w:rFonts w:ascii="Palatino Linotype" w:eastAsia="Palatino Linotype" w:hAnsi="Palatino Linotype" w:cs="Palatino Linotype"/>
          <w:sz w:val="22"/>
          <w:szCs w:val="22"/>
        </w:rPr>
        <w:t>Además, dicha información es de interés general y de alcance público, puesto que la ciudadanía tiene derecho a saber cuál es el gasto ejercido para el pago de remuneraciones por servicios personales al realizar las funciones públicas; esto es, su acceso permite transparentar la aplicación de los recursos públicos que son otorgados para el cumplimiento de sus funciones, ello conforme a lo dispuesto por los artículos 7 y 23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precepto legal que es del tenor siguiente:</w:t>
      </w:r>
    </w:p>
    <w:p w14:paraId="75935377" w14:textId="77777777" w:rsidR="00347B0A" w:rsidRPr="002B10E6" w:rsidRDefault="00347B0A"/>
    <w:p w14:paraId="2FF5F2D8" w14:textId="77777777" w:rsidR="00347B0A" w:rsidRPr="002B10E6" w:rsidRDefault="005A2214">
      <w:pPr>
        <w:spacing w:after="160"/>
        <w:ind w:left="851" w:right="616"/>
        <w:jc w:val="both"/>
      </w:pPr>
      <w:r w:rsidRPr="002B10E6">
        <w:rPr>
          <w:rFonts w:ascii="Palatino Linotype" w:eastAsia="Palatino Linotype" w:hAnsi="Palatino Linotype" w:cs="Palatino Linotype"/>
          <w:b/>
          <w:i/>
          <w:sz w:val="22"/>
          <w:szCs w:val="22"/>
          <w:u w:val="single"/>
        </w:rPr>
        <w:t>“Artículo 7. El Estado de México garantizará el efectivo acceso de toda persona a la información en posesión de cualquier entidad,</w:t>
      </w:r>
      <w:r w:rsidRPr="002B10E6">
        <w:rPr>
          <w:rFonts w:ascii="Palatino Linotype" w:eastAsia="Palatino Linotype" w:hAnsi="Palatino Linotype" w:cs="Palatino Linotype"/>
          <w:i/>
          <w:sz w:val="22"/>
          <w:szCs w:val="22"/>
        </w:rPr>
        <w:t xml:space="preserve"> autoridad, órgano y organismo de los poderes Ejecutivo, Legislativo y Judicial, órganos autónomos, partidos políticos, fideicomisos y fondos públicos, así como de cualquier persona física, jurídico colectiva o sindicato </w:t>
      </w:r>
      <w:r w:rsidRPr="002B10E6">
        <w:rPr>
          <w:rFonts w:ascii="Palatino Linotype" w:eastAsia="Palatino Linotype" w:hAnsi="Palatino Linotype" w:cs="Palatino Linotype"/>
          <w:b/>
          <w:i/>
          <w:sz w:val="22"/>
          <w:szCs w:val="22"/>
          <w:u w:val="single"/>
        </w:rPr>
        <w:t>que reciba y ejerza recursos públicos</w:t>
      </w:r>
      <w:r w:rsidRPr="002B10E6">
        <w:rPr>
          <w:rFonts w:ascii="Palatino Linotype" w:eastAsia="Palatino Linotype" w:hAnsi="Palatino Linotype" w:cs="Palatino Linotype"/>
          <w:i/>
          <w:sz w:val="22"/>
          <w:szCs w:val="22"/>
        </w:rPr>
        <w:t xml:space="preserve"> o realice actos de autoridad </w:t>
      </w:r>
      <w:r w:rsidRPr="002B10E6">
        <w:rPr>
          <w:rFonts w:ascii="Palatino Linotype" w:eastAsia="Palatino Linotype" w:hAnsi="Palatino Linotype" w:cs="Palatino Linotype"/>
          <w:b/>
          <w:i/>
          <w:sz w:val="22"/>
          <w:szCs w:val="22"/>
          <w:u w:val="single"/>
        </w:rPr>
        <w:t>en el ámbito de competencia del Estado de México y sus municipios</w:t>
      </w:r>
      <w:r w:rsidRPr="002B10E6">
        <w:rPr>
          <w:rFonts w:ascii="Palatino Linotype" w:eastAsia="Palatino Linotype" w:hAnsi="Palatino Linotype" w:cs="Palatino Linotype"/>
          <w:i/>
          <w:sz w:val="22"/>
          <w:szCs w:val="22"/>
          <w:u w:val="single"/>
        </w:rPr>
        <w:t>.</w:t>
      </w:r>
    </w:p>
    <w:p w14:paraId="097210A1" w14:textId="77777777" w:rsidR="00347B0A" w:rsidRPr="002B10E6" w:rsidRDefault="005A2214">
      <w:pPr>
        <w:spacing w:after="160"/>
        <w:ind w:left="851" w:right="616"/>
        <w:jc w:val="both"/>
      </w:pPr>
      <w:r w:rsidRPr="002B10E6">
        <w:rPr>
          <w:rFonts w:ascii="Palatino Linotype" w:eastAsia="Palatino Linotype" w:hAnsi="Palatino Linotype" w:cs="Palatino Linotype"/>
          <w:i/>
          <w:sz w:val="22"/>
          <w:szCs w:val="22"/>
        </w:rPr>
        <w:lastRenderedPageBreak/>
        <w:t>Artículo 23. Son sujetos obligados a transparentar y permitir el acceso a su información y proteger los datos personales que obren en su poder:</w:t>
      </w:r>
    </w:p>
    <w:p w14:paraId="77F4A0E4" w14:textId="77777777" w:rsidR="00347B0A" w:rsidRPr="002B10E6" w:rsidRDefault="005A2214">
      <w:pPr>
        <w:spacing w:after="160"/>
        <w:ind w:left="851" w:right="616"/>
        <w:jc w:val="both"/>
      </w:pPr>
      <w:r w:rsidRPr="002B10E6">
        <w:rPr>
          <w:rFonts w:ascii="Palatino Linotype" w:eastAsia="Palatino Linotype" w:hAnsi="Palatino Linotype" w:cs="Palatino Linotype"/>
          <w:i/>
          <w:sz w:val="22"/>
          <w:szCs w:val="22"/>
        </w:rPr>
        <w:t>(…)</w:t>
      </w:r>
    </w:p>
    <w:p w14:paraId="7ECD31B3" w14:textId="77777777" w:rsidR="00347B0A" w:rsidRPr="002B10E6" w:rsidRDefault="005A2214">
      <w:pPr>
        <w:spacing w:after="160"/>
        <w:ind w:left="851" w:right="616"/>
        <w:jc w:val="both"/>
      </w:pPr>
      <w:r w:rsidRPr="002B10E6">
        <w:rPr>
          <w:rFonts w:ascii="Palatino Linotype" w:eastAsia="Palatino Linotype" w:hAnsi="Palatino Linotype" w:cs="Palatino Linotype"/>
          <w:b/>
          <w:i/>
          <w:sz w:val="22"/>
          <w:szCs w:val="22"/>
          <w:u w:val="single"/>
        </w:rPr>
        <w:t>IV. Los ayuntamientos y las dependencias, organismos, órganos y entidades de la administración municipal;</w:t>
      </w:r>
    </w:p>
    <w:p w14:paraId="20F8AF5E" w14:textId="77777777" w:rsidR="00347B0A" w:rsidRPr="002B10E6" w:rsidRDefault="005A2214">
      <w:pPr>
        <w:spacing w:after="160"/>
        <w:ind w:left="851" w:right="616"/>
        <w:jc w:val="both"/>
      </w:pPr>
      <w:r w:rsidRPr="002B10E6">
        <w:rPr>
          <w:rFonts w:ascii="Palatino Linotype" w:eastAsia="Palatino Linotype" w:hAnsi="Palatino Linotype" w:cs="Palatino Linotype"/>
          <w:i/>
          <w:sz w:val="22"/>
          <w:szCs w:val="22"/>
        </w:rPr>
        <w:t>(…)</w:t>
      </w:r>
    </w:p>
    <w:p w14:paraId="7F6C6F0E" w14:textId="77777777" w:rsidR="00347B0A" w:rsidRPr="002B10E6" w:rsidRDefault="005A2214">
      <w:pPr>
        <w:spacing w:after="160"/>
        <w:ind w:left="851" w:right="616"/>
        <w:jc w:val="both"/>
      </w:pPr>
      <w:r w:rsidRPr="002B10E6">
        <w:rPr>
          <w:rFonts w:ascii="Palatino Linotype" w:eastAsia="Palatino Linotype" w:hAnsi="Palatino Linotype" w:cs="Palatino Linotype"/>
          <w:b/>
          <w:i/>
          <w:sz w:val="22"/>
          <w:szCs w:val="22"/>
          <w:u w:val="single"/>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7DED57FB" w14:textId="77777777" w:rsidR="00347B0A" w:rsidRPr="002B10E6" w:rsidRDefault="005A2214">
      <w:pPr>
        <w:spacing w:after="160"/>
        <w:ind w:left="851" w:right="616"/>
        <w:jc w:val="both"/>
      </w:pPr>
      <w:r w:rsidRPr="002B10E6">
        <w:rPr>
          <w:rFonts w:ascii="Palatino Linotype" w:eastAsia="Palatino Linotype" w:hAnsi="Palatino Linotype" w:cs="Palatino Linotype"/>
          <w:i/>
          <w:sz w:val="22"/>
          <w:szCs w:val="22"/>
        </w:rPr>
        <w:t xml:space="preserve">Los servidores públicos deberán transparentar sus </w:t>
      </w:r>
      <w:proofErr w:type="gramStart"/>
      <w:r w:rsidRPr="002B10E6">
        <w:rPr>
          <w:rFonts w:ascii="Palatino Linotype" w:eastAsia="Palatino Linotype" w:hAnsi="Palatino Linotype" w:cs="Palatino Linotype"/>
          <w:i/>
          <w:sz w:val="22"/>
          <w:szCs w:val="22"/>
        </w:rPr>
        <w:t>acciones</w:t>
      </w:r>
      <w:proofErr w:type="gramEnd"/>
      <w:r w:rsidRPr="002B10E6">
        <w:rPr>
          <w:rFonts w:ascii="Palatino Linotype" w:eastAsia="Palatino Linotype" w:hAnsi="Palatino Linotype" w:cs="Palatino Linotype"/>
          <w:i/>
          <w:sz w:val="22"/>
          <w:szCs w:val="22"/>
        </w:rPr>
        <w:t xml:space="preserve"> así como garantizar y respetar el derecho de acceso a la información pública.”</w:t>
      </w:r>
      <w:r w:rsidRPr="002B10E6">
        <w:rPr>
          <w:rFonts w:ascii="Palatino Linotype" w:eastAsia="Palatino Linotype" w:hAnsi="Palatino Linotype" w:cs="Palatino Linotype"/>
          <w:b/>
          <w:i/>
          <w:sz w:val="22"/>
          <w:szCs w:val="22"/>
        </w:rPr>
        <w:t> </w:t>
      </w:r>
    </w:p>
    <w:p w14:paraId="1555279B" w14:textId="77777777" w:rsidR="00347B0A" w:rsidRPr="002B10E6" w:rsidRDefault="00347B0A"/>
    <w:p w14:paraId="7EDD1CAD" w14:textId="77777777" w:rsidR="00347B0A" w:rsidRPr="002B10E6" w:rsidRDefault="005A2214">
      <w:pPr>
        <w:spacing w:after="160" w:line="360" w:lineRule="auto"/>
        <w:jc w:val="both"/>
      </w:pPr>
      <w:r w:rsidRPr="002B10E6">
        <w:rPr>
          <w:rFonts w:ascii="Palatino Linotype" w:eastAsia="Palatino Linotype" w:hAnsi="Palatino Linotype" w:cs="Palatino Linotype"/>
          <w:sz w:val="22"/>
          <w:szCs w:val="22"/>
        </w:rPr>
        <w:t xml:space="preserve">Sirve de sustento por analogía, para justificar la publicidad sobre los datos relativos a los montos por concepto de pago de las remuneraciones, los criterios </w:t>
      </w:r>
      <w:r w:rsidRPr="002B10E6">
        <w:rPr>
          <w:rFonts w:ascii="Palatino Linotype" w:eastAsia="Palatino Linotype" w:hAnsi="Palatino Linotype" w:cs="Palatino Linotype"/>
          <w:b/>
          <w:sz w:val="22"/>
          <w:szCs w:val="22"/>
        </w:rPr>
        <w:t>01/2003</w:t>
      </w:r>
      <w:r w:rsidRPr="002B10E6">
        <w:rPr>
          <w:rFonts w:ascii="Palatino Linotype" w:eastAsia="Palatino Linotype" w:hAnsi="Palatino Linotype" w:cs="Palatino Linotype"/>
          <w:sz w:val="22"/>
          <w:szCs w:val="22"/>
        </w:rPr>
        <w:t xml:space="preserve"> y </w:t>
      </w:r>
      <w:r w:rsidRPr="002B10E6">
        <w:rPr>
          <w:rFonts w:ascii="Palatino Linotype" w:eastAsia="Palatino Linotype" w:hAnsi="Palatino Linotype" w:cs="Palatino Linotype"/>
          <w:b/>
          <w:sz w:val="22"/>
          <w:szCs w:val="22"/>
        </w:rPr>
        <w:t>02/2003</w:t>
      </w:r>
      <w:r w:rsidRPr="002B10E6">
        <w:rPr>
          <w:rFonts w:ascii="Palatino Linotype" w:eastAsia="Palatino Linotype" w:hAnsi="Palatino Linotype" w:cs="Palatino Linotype"/>
          <w:sz w:val="22"/>
          <w:szCs w:val="22"/>
        </w:rPr>
        <w:t xml:space="preserve"> emitidos por el Comité de Acceso a la Información Pública y Protección de Datos Personales de la Suprema Corte de Justicia de la Nación que a continuación se citan: </w:t>
      </w:r>
    </w:p>
    <w:p w14:paraId="03A221F8" w14:textId="77777777" w:rsidR="00347B0A" w:rsidRPr="002B10E6" w:rsidRDefault="005A2214">
      <w:pPr>
        <w:spacing w:after="160"/>
        <w:ind w:left="851" w:right="616"/>
      </w:pPr>
      <w:r w:rsidRPr="002B10E6">
        <w:rPr>
          <w:rFonts w:ascii="Palatino Linotype" w:eastAsia="Palatino Linotype" w:hAnsi="Palatino Linotype" w:cs="Palatino Linotype"/>
          <w:b/>
          <w:i/>
          <w:sz w:val="22"/>
          <w:szCs w:val="22"/>
        </w:rPr>
        <w:t>“Criterio 01/2003.</w:t>
      </w:r>
    </w:p>
    <w:p w14:paraId="7DFDEA27" w14:textId="77777777" w:rsidR="00347B0A" w:rsidRPr="002B10E6" w:rsidRDefault="005A2214">
      <w:pPr>
        <w:spacing w:after="160"/>
        <w:ind w:left="851" w:right="616"/>
        <w:jc w:val="both"/>
      </w:pPr>
      <w:r w:rsidRPr="002B10E6">
        <w:rPr>
          <w:rFonts w:ascii="Palatino Linotype" w:eastAsia="Palatino Linotype" w:hAnsi="Palatino Linotype" w:cs="Palatino Linotype"/>
          <w:b/>
          <w:i/>
          <w:sz w:val="22"/>
          <w:szCs w:val="22"/>
        </w:rPr>
        <w:t>INGRESOS DE LOS SERVIDORES PÚBLICOS. CONSTITUYEN INFORMACIÓN PÚBLICA AÚN Y CUANDO SU DIFUSIÓN PUEDE AFECTAR LA VIDA O LA SEGURIDAD DE AQUELLOS.</w:t>
      </w:r>
      <w:r w:rsidRPr="002B10E6">
        <w:rPr>
          <w:rFonts w:ascii="Palatino Linotype" w:eastAsia="Palatino Linotype" w:hAnsi="Palatino Linotype" w:cs="Palatino Linotype"/>
          <w:i/>
          <w:sz w:val="22"/>
          <w:szCs w:val="22"/>
        </w:rPr>
        <w:t> </w:t>
      </w:r>
    </w:p>
    <w:p w14:paraId="110CC9D0" w14:textId="77777777" w:rsidR="00347B0A" w:rsidRPr="002B10E6" w:rsidRDefault="005A2214">
      <w:pPr>
        <w:spacing w:after="160"/>
        <w:ind w:left="851" w:right="616"/>
        <w:jc w:val="both"/>
      </w:pPr>
      <w:r w:rsidRPr="002B10E6">
        <w:rPr>
          <w:rFonts w:ascii="Palatino Linotype" w:eastAsia="Palatino Linotype" w:hAnsi="Palatino Linotype" w:cs="Palatino Linotype"/>
          <w:i/>
          <w:sz w:val="22"/>
          <w:szCs w:val="22"/>
        </w:rPr>
        <w:t xml:space="preserve">Si bien el artículo 13, fracción IV, de 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w:t>
      </w:r>
      <w:r w:rsidRPr="002B10E6">
        <w:rPr>
          <w:rFonts w:ascii="Palatino Linotype" w:eastAsia="Palatino Linotype" w:hAnsi="Palatino Linotype" w:cs="Palatino Linotype"/>
          <w:b/>
          <w:i/>
          <w:sz w:val="22"/>
          <w:szCs w:val="22"/>
          <w:u w:val="single"/>
        </w:rPr>
        <w:t xml:space="preserve">deben publicarse en medios remotos o locales de comunicación electrónica, lo que se sustenta en el hecho de que el monto de todos los ingresos que recibe un servidor público por desarrollar las labores que les son encomendadas con motivo del </w:t>
      </w:r>
      <w:r w:rsidRPr="002B10E6">
        <w:rPr>
          <w:rFonts w:ascii="Palatino Linotype" w:eastAsia="Palatino Linotype" w:hAnsi="Palatino Linotype" w:cs="Palatino Linotype"/>
          <w:b/>
          <w:i/>
          <w:sz w:val="22"/>
          <w:szCs w:val="22"/>
          <w:u w:val="single"/>
        </w:rPr>
        <w:lastRenderedPageBreak/>
        <w:t>desempeño del cargo respecto. Constituyen información pública, en tanto que se trata de erogaciones que realiza un órgano del Estado en base con los recursos que encuentran su origen en mayor medida en las contribuciones aportados por los gobernados</w:t>
      </w:r>
      <w:r w:rsidRPr="002B10E6">
        <w:rPr>
          <w:rFonts w:ascii="Palatino Linotype" w:eastAsia="Palatino Linotype" w:hAnsi="Palatino Linotype" w:cs="Palatino Linotype"/>
          <w:i/>
          <w:sz w:val="22"/>
          <w:szCs w:val="22"/>
          <w:u w:val="single"/>
        </w:rPr>
        <w:t>…”</w:t>
      </w:r>
    </w:p>
    <w:p w14:paraId="32A6FCEA" w14:textId="77777777" w:rsidR="00347B0A" w:rsidRPr="002B10E6" w:rsidRDefault="00347B0A"/>
    <w:p w14:paraId="4B417A5E" w14:textId="77777777" w:rsidR="00347B0A" w:rsidRPr="002B10E6" w:rsidRDefault="005A2214">
      <w:pPr>
        <w:spacing w:after="160"/>
        <w:ind w:left="851" w:right="616"/>
      </w:pPr>
      <w:r w:rsidRPr="002B10E6">
        <w:rPr>
          <w:rFonts w:ascii="Palatino Linotype" w:eastAsia="Palatino Linotype" w:hAnsi="Palatino Linotype" w:cs="Palatino Linotype"/>
          <w:b/>
          <w:i/>
          <w:sz w:val="22"/>
          <w:szCs w:val="22"/>
        </w:rPr>
        <w:t>“Criterio 02/2003.</w:t>
      </w:r>
    </w:p>
    <w:p w14:paraId="2A004E6D" w14:textId="77777777" w:rsidR="00347B0A" w:rsidRPr="002B10E6" w:rsidRDefault="005A2214">
      <w:pPr>
        <w:spacing w:after="160"/>
        <w:ind w:left="851" w:right="616"/>
        <w:jc w:val="both"/>
      </w:pPr>
      <w:r w:rsidRPr="002B10E6">
        <w:rPr>
          <w:rFonts w:ascii="Palatino Linotype" w:eastAsia="Palatino Linotype" w:hAnsi="Palatino Linotype" w:cs="Palatino Linotype"/>
          <w:b/>
          <w:i/>
          <w:sz w:val="22"/>
          <w:szCs w:val="22"/>
        </w:rPr>
        <w:t>INGRESOS DE LOS SERVIDORES PÚBLICOS, SON INFORMACIÓN PÚBLICA AÚN Y CUANDO CONSTITUYEN DATOS PERSONALES QUE SE REFIEREN AL PATRIMONIO DE AQUÉLLOS.</w:t>
      </w:r>
      <w:r w:rsidRPr="002B10E6">
        <w:rPr>
          <w:rFonts w:ascii="Palatino Linotype" w:eastAsia="Palatino Linotype" w:hAnsi="Palatino Linotype" w:cs="Palatino Linotype"/>
          <w:i/>
          <w:sz w:val="22"/>
          <w:szCs w:val="22"/>
        </w:rPr>
        <w:t> </w:t>
      </w:r>
    </w:p>
    <w:p w14:paraId="68CD831D" w14:textId="77777777" w:rsidR="00347B0A" w:rsidRPr="002B10E6" w:rsidRDefault="005A2214">
      <w:pPr>
        <w:ind w:left="851" w:right="616"/>
        <w:jc w:val="both"/>
      </w:pPr>
      <w:r w:rsidRPr="002B10E6">
        <w:rPr>
          <w:rFonts w:ascii="Palatino Linotype" w:eastAsia="Palatino Linotype" w:hAnsi="Palatino Linotype" w:cs="Palatino Linotype"/>
          <w:i/>
          <w:sz w:val="22"/>
          <w:szCs w:val="22"/>
        </w:rPr>
        <w:t xml:space="preserve">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w:t>
      </w:r>
      <w:r w:rsidRPr="002B10E6">
        <w:rPr>
          <w:rFonts w:ascii="Palatino Linotype" w:eastAsia="Palatino Linotype" w:hAnsi="Palatino Linotype" w:cs="Palatino Linotype"/>
          <w:b/>
          <w:i/>
          <w:sz w:val="22"/>
          <w:szCs w:val="22"/>
          <w:u w:val="single"/>
        </w:rPr>
        <w:t>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w:t>
      </w:r>
      <w:r w:rsidRPr="002B10E6">
        <w:rPr>
          <w:rFonts w:ascii="Palatino Linotype" w:eastAsia="Palatino Linotype" w:hAnsi="Palatino Linotype" w:cs="Palatino Linotype"/>
          <w:i/>
          <w:sz w:val="22"/>
          <w:szCs w:val="22"/>
        </w:rPr>
        <w:t xml:space="preserve"> el sistema de compensación…”</w:t>
      </w:r>
    </w:p>
    <w:p w14:paraId="2F2BCF5F" w14:textId="77777777" w:rsidR="00347B0A" w:rsidRPr="002B10E6" w:rsidRDefault="00347B0A"/>
    <w:p w14:paraId="3EBF2F34" w14:textId="77777777" w:rsidR="00347B0A" w:rsidRPr="002B10E6" w:rsidRDefault="005A2214">
      <w:pPr>
        <w:spacing w:line="360" w:lineRule="auto"/>
        <w:jc w:val="both"/>
      </w:pPr>
      <w:r w:rsidRPr="002B10E6">
        <w:rPr>
          <w:rFonts w:ascii="Palatino Linotype" w:eastAsia="Palatino Linotype" w:hAnsi="Palatino Linotype" w:cs="Palatino Linotype"/>
          <w:sz w:val="22"/>
          <w:szCs w:val="22"/>
        </w:rPr>
        <w:t>Ahora bien, el artículo 92, fracción VIII de la Ley de Transparencia y Acceso a la Información Pública del Estado de México y Municipios, señala: </w:t>
      </w:r>
    </w:p>
    <w:p w14:paraId="4782A080" w14:textId="77777777" w:rsidR="00347B0A" w:rsidRPr="002B10E6" w:rsidRDefault="00347B0A"/>
    <w:p w14:paraId="79543AB1" w14:textId="77777777" w:rsidR="00347B0A" w:rsidRPr="002B10E6" w:rsidRDefault="005A2214">
      <w:pPr>
        <w:ind w:left="851" w:right="900"/>
        <w:jc w:val="both"/>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Artículo 92.</w:t>
      </w:r>
      <w:r w:rsidRPr="002B10E6">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2F5CA398" w14:textId="77777777" w:rsidR="00347B0A" w:rsidRPr="002B10E6" w:rsidRDefault="005A2214">
      <w:pPr>
        <w:ind w:left="851" w:right="900"/>
        <w:jc w:val="both"/>
      </w:pPr>
      <w:r w:rsidRPr="002B10E6">
        <w:rPr>
          <w:rFonts w:ascii="Palatino Linotype" w:eastAsia="Palatino Linotype" w:hAnsi="Palatino Linotype" w:cs="Palatino Linotype"/>
          <w:i/>
          <w:sz w:val="22"/>
          <w:szCs w:val="22"/>
        </w:rPr>
        <w:t>(…)</w:t>
      </w:r>
    </w:p>
    <w:p w14:paraId="0FFCCB79" w14:textId="77777777" w:rsidR="00347B0A" w:rsidRPr="002B10E6" w:rsidRDefault="005A2214">
      <w:pPr>
        <w:ind w:left="851" w:right="900"/>
        <w:jc w:val="both"/>
      </w:pPr>
      <w:r w:rsidRPr="002B10E6">
        <w:rPr>
          <w:rFonts w:ascii="Palatino Linotype" w:eastAsia="Palatino Linotype" w:hAnsi="Palatino Linotype" w:cs="Palatino Linotype"/>
          <w:b/>
          <w:i/>
          <w:sz w:val="22"/>
          <w:szCs w:val="22"/>
        </w:rPr>
        <w:t>VIII.</w:t>
      </w:r>
      <w:r w:rsidRPr="002B10E6">
        <w:rPr>
          <w:rFonts w:ascii="Palatino Linotype" w:eastAsia="Palatino Linotype" w:hAnsi="Palatino Linotype" w:cs="Palatino Linotype"/>
          <w:i/>
          <w:sz w:val="22"/>
          <w:szCs w:val="22"/>
        </w:rPr>
        <w:t xml:space="preserve">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0169ED8" w14:textId="77777777" w:rsidR="00347B0A" w:rsidRPr="002B10E6" w:rsidRDefault="00347B0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ED8C605" w14:textId="77777777" w:rsidR="00347B0A" w:rsidRPr="002B10E6" w:rsidRDefault="005A221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lastRenderedPageBreak/>
        <w:t xml:space="preserve">De lo anterior, se colige que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los </w:t>
      </w:r>
      <w:r w:rsidRPr="002B10E6">
        <w:rPr>
          <w:rFonts w:ascii="Palatino Linotype" w:eastAsia="Palatino Linotype" w:hAnsi="Palatino Linotype" w:cs="Palatino Linotype"/>
          <w:b/>
          <w:sz w:val="22"/>
          <w:szCs w:val="22"/>
        </w:rPr>
        <w:t>comprobantes del pago por concepto de nómina de los servidores públicos</w:t>
      </w:r>
      <w:r w:rsidRPr="002B10E6">
        <w:rPr>
          <w:rFonts w:ascii="Palatino Linotype" w:eastAsia="Palatino Linotype" w:hAnsi="Palatino Linotype" w:cs="Palatino Linotype"/>
          <w:sz w:val="22"/>
          <w:szCs w:val="22"/>
        </w:rPr>
        <w:t xml:space="preserve"> adscritos al Fondo de Fomento y Desarrollo de la Investigación Científica y Tecnológica (FONDICT), por lo que para satisfacer el requerimiento de información,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deberá realizar la búsqueda de la información para efecto de hacer entrega de los comprobantes de pago en cuestión.</w:t>
      </w:r>
    </w:p>
    <w:p w14:paraId="4D3189E7"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Bajo otro orden de ideas, toda vez que la persona solicitante requirió copia de los comprobantes de pago, lo idóneo es ordenar la entrega de la información, a través del </w:t>
      </w:r>
      <w:r w:rsidRPr="002B10E6">
        <w:rPr>
          <w:rFonts w:ascii="Palatino Linotype" w:eastAsia="Palatino Linotype" w:hAnsi="Palatino Linotype" w:cs="Palatino Linotype"/>
          <w:b/>
          <w:sz w:val="22"/>
          <w:szCs w:val="22"/>
        </w:rPr>
        <w:t>SAIMEX</w:t>
      </w:r>
      <w:r w:rsidRPr="002B10E6">
        <w:rPr>
          <w:rFonts w:ascii="Palatino Linotype" w:eastAsia="Palatino Linotype" w:hAnsi="Palatino Linotype" w:cs="Palatino Linotype"/>
          <w:sz w:val="22"/>
          <w:szCs w:val="22"/>
        </w:rPr>
        <w:t xml:space="preserve">, puesto que, al ser un documento electrónico o digitalizado, cuentan con la característica de ser descargable a cualquier equipo de cómputo para la libre manipulación de los Particulares, es decir, si la información se encuentra en documentos electrónicos, estos se pueden descargar de manera fácil y sencilla a un equipo de cómputo para que, posteriormente por cuenta de la persona solicitante, sea transferido a los dispositivos de almacenamiento que desee, o en su caso, </w:t>
      </w:r>
      <w:r w:rsidRPr="002B10E6">
        <w:rPr>
          <w:rFonts w:ascii="Palatino Linotype" w:eastAsia="Palatino Linotype" w:hAnsi="Palatino Linotype" w:cs="Palatino Linotype"/>
          <w:b/>
          <w:sz w:val="22"/>
          <w:szCs w:val="22"/>
        </w:rPr>
        <w:t>sea impreso, lo que se configura como copia simple</w:t>
      </w:r>
      <w:r w:rsidRPr="002B10E6">
        <w:rPr>
          <w:rFonts w:ascii="Palatino Linotype" w:eastAsia="Palatino Linotype" w:hAnsi="Palatino Linotype" w:cs="Palatino Linotype"/>
          <w:sz w:val="22"/>
          <w:szCs w:val="22"/>
        </w:rPr>
        <w:t xml:space="preserve">; de lo anterior, tenemos que, al ser entregado de forma digital o electrónica a través del </w:t>
      </w:r>
      <w:r w:rsidRPr="002B10E6">
        <w:rPr>
          <w:rFonts w:ascii="Palatino Linotype" w:eastAsia="Palatino Linotype" w:hAnsi="Palatino Linotype" w:cs="Palatino Linotype"/>
          <w:b/>
          <w:sz w:val="22"/>
          <w:szCs w:val="22"/>
        </w:rPr>
        <w:t>SAIMEX</w:t>
      </w:r>
      <w:r w:rsidRPr="002B10E6">
        <w:rPr>
          <w:rFonts w:ascii="Palatino Linotype" w:eastAsia="Palatino Linotype" w:hAnsi="Palatino Linotype" w:cs="Palatino Linotype"/>
          <w:sz w:val="22"/>
          <w:szCs w:val="22"/>
        </w:rPr>
        <w:t xml:space="preserve">, como es el caso, la hoy parte </w:t>
      </w:r>
      <w:r w:rsidRPr="002B10E6">
        <w:rPr>
          <w:rFonts w:ascii="Palatino Linotype" w:eastAsia="Palatino Linotype" w:hAnsi="Palatino Linotype" w:cs="Palatino Linotype"/>
          <w:b/>
          <w:sz w:val="22"/>
          <w:szCs w:val="22"/>
        </w:rPr>
        <w:t>Recurrente</w:t>
      </w:r>
      <w:r w:rsidRPr="002B10E6">
        <w:rPr>
          <w:rFonts w:ascii="Palatino Linotype" w:eastAsia="Palatino Linotype" w:hAnsi="Palatino Linotype" w:cs="Palatino Linotype"/>
          <w:sz w:val="22"/>
          <w:szCs w:val="22"/>
        </w:rPr>
        <w:t xml:space="preserve"> puede hacer uso de la información a su libre elección.</w:t>
      </w:r>
    </w:p>
    <w:p w14:paraId="008445D4" w14:textId="77777777" w:rsidR="00347B0A" w:rsidRPr="002B10E6" w:rsidRDefault="005A221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Finalmente, toda vez que no se señaló temporalidad para llevar a cabo la búsqueda de la información, se estima pertinente traer a colación el contenido del criterio reiterado 04/2024, emitido por el Pleno de este Instituto, el cual versa de la siguiente manera:</w:t>
      </w:r>
    </w:p>
    <w:p w14:paraId="6D77807F" w14:textId="77777777" w:rsidR="00347B0A" w:rsidRPr="002B10E6" w:rsidRDefault="005A2214">
      <w:pPr>
        <w:spacing w:before="280" w:after="28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b/>
          <w:i/>
          <w:sz w:val="22"/>
          <w:szCs w:val="22"/>
        </w:rPr>
        <w:t>“NÓMINA DE SERVIDORES PÚBLICOS. PERIODO DE BÚSQUEDA Y ENTREGA DE LA INFORMACIÓN, CUANDO NO SE PRECISA EN LA SOLICITUD DE INFORMACIÓN.</w:t>
      </w:r>
      <w:r w:rsidRPr="002B10E6">
        <w:rPr>
          <w:rFonts w:ascii="Palatino Linotype" w:eastAsia="Palatino Linotype" w:hAnsi="Palatino Linotype" w:cs="Palatino Linotype"/>
          <w:i/>
          <w:sz w:val="22"/>
          <w:szCs w:val="22"/>
        </w:rPr>
        <w:t xml:space="preserve"> Cuando el particular no refiriera el periodo respecto del cual requiere la información, o bien, de la solicitud presentada no se </w:t>
      </w:r>
      <w:r w:rsidRPr="002B10E6">
        <w:rPr>
          <w:rFonts w:ascii="Palatino Linotype" w:eastAsia="Palatino Linotype" w:hAnsi="Palatino Linotype" w:cs="Palatino Linotype"/>
          <w:i/>
          <w:sz w:val="22"/>
          <w:szCs w:val="22"/>
        </w:rPr>
        <w:lastRenderedPageBreak/>
        <w:t xml:space="preserve">adviertan elementos que permitan identificarlo, tratándose exclusivamente de información relativa a la nómina, </w:t>
      </w:r>
      <w:r w:rsidRPr="002B10E6">
        <w:rPr>
          <w:rFonts w:ascii="Palatino Linotype" w:eastAsia="Palatino Linotype" w:hAnsi="Palatino Linotype" w:cs="Palatino Linotype"/>
          <w:b/>
          <w:i/>
          <w:sz w:val="22"/>
          <w:szCs w:val="22"/>
          <w:u w:val="single"/>
        </w:rPr>
        <w:t>se deberá hacer entrega de la información relativa a las últimas dos quincenas pagadas previo a la fecha en que se presentó la solicitud</w:t>
      </w:r>
      <w:r w:rsidRPr="002B10E6">
        <w:rPr>
          <w:rFonts w:ascii="Palatino Linotype" w:eastAsia="Palatino Linotype" w:hAnsi="Palatino Linotype" w:cs="Palatino Linotype"/>
          <w:i/>
          <w:sz w:val="22"/>
          <w:szCs w:val="22"/>
        </w:rPr>
        <w:t>.” (Énfasis añadido)</w:t>
      </w:r>
    </w:p>
    <w:p w14:paraId="1C8987F8" w14:textId="77777777" w:rsidR="00347B0A" w:rsidRPr="002B10E6" w:rsidRDefault="005A2214">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 xml:space="preserve">Por consiguiente, la temporalidad aplicable al presente requerimiento de información, teniendo en cuenta que la solicitud ingresó el </w:t>
      </w:r>
      <w:r w:rsidRPr="002B10E6">
        <w:rPr>
          <w:rFonts w:ascii="Palatino Linotype" w:eastAsia="Palatino Linotype" w:hAnsi="Palatino Linotype" w:cs="Palatino Linotype"/>
          <w:b/>
          <w:sz w:val="22"/>
          <w:szCs w:val="22"/>
        </w:rPr>
        <w:t>28 de noviembre de dos mil veinticuatro</w:t>
      </w:r>
      <w:r w:rsidRPr="002B10E6">
        <w:rPr>
          <w:rFonts w:ascii="Palatino Linotype" w:eastAsia="Palatino Linotype" w:hAnsi="Palatino Linotype" w:cs="Palatino Linotype"/>
          <w:sz w:val="22"/>
          <w:szCs w:val="22"/>
        </w:rPr>
        <w:t xml:space="preserve">, será la </w:t>
      </w:r>
      <w:r w:rsidRPr="002B10E6">
        <w:rPr>
          <w:rFonts w:ascii="Palatino Linotype" w:eastAsia="Palatino Linotype" w:hAnsi="Palatino Linotype" w:cs="Palatino Linotype"/>
          <w:b/>
          <w:sz w:val="22"/>
          <w:szCs w:val="22"/>
        </w:rPr>
        <w:t>segunda quincena del mes de octubre y la primera quincena de noviembre de dos mil veinticuatro</w:t>
      </w:r>
      <w:r w:rsidRPr="002B10E6">
        <w:rPr>
          <w:rFonts w:ascii="Palatino Linotype" w:eastAsia="Palatino Linotype" w:hAnsi="Palatino Linotype" w:cs="Palatino Linotype"/>
          <w:sz w:val="22"/>
          <w:szCs w:val="22"/>
        </w:rPr>
        <w:t>.</w:t>
      </w:r>
    </w:p>
    <w:p w14:paraId="6331EF76" w14:textId="77777777" w:rsidR="00347B0A" w:rsidRPr="002B10E6" w:rsidRDefault="005A2214">
      <w:pPr>
        <w:spacing w:before="240" w:after="240" w:line="360" w:lineRule="auto"/>
        <w:ind w:right="49"/>
        <w:jc w:val="both"/>
        <w:rPr>
          <w:rFonts w:ascii="Palatino Linotype" w:eastAsia="Palatino Linotype" w:hAnsi="Palatino Linotype" w:cs="Palatino Linotype"/>
          <w:sz w:val="20"/>
          <w:szCs w:val="20"/>
        </w:rPr>
      </w:pPr>
      <w:r w:rsidRPr="002B10E6">
        <w:rPr>
          <w:rFonts w:ascii="Palatino Linotype" w:eastAsia="Palatino Linotype" w:hAnsi="Palatino Linotype" w:cs="Palatino Linotype"/>
          <w:sz w:val="22"/>
          <w:szCs w:val="22"/>
        </w:rPr>
        <w:t xml:space="preserve">Es por todo lo expuesto que se determina que no se puede validar el pronunciamiento del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 xml:space="preserve">pues como se hizo referencia en líneas argumentativas no se turnó la solicitud a la persona servidora pública habilitada competente para efecto de que se pronunciara respecto de los requerimientos de información que a lo largo de la presente resolución se han expuesto, por consiguiente este Instituto considera que los agravios resultan </w:t>
      </w:r>
      <w:r w:rsidRPr="002B10E6">
        <w:rPr>
          <w:rFonts w:ascii="Palatino Linotype" w:eastAsia="Palatino Linotype" w:hAnsi="Palatino Linotype" w:cs="Palatino Linotype"/>
          <w:b/>
          <w:sz w:val="22"/>
          <w:szCs w:val="22"/>
        </w:rPr>
        <w:t>FUNDADOS</w:t>
      </w:r>
      <w:r w:rsidRPr="002B10E6">
        <w:rPr>
          <w:rFonts w:ascii="Palatino Linotype" w:eastAsia="Palatino Linotype" w:hAnsi="Palatino Linotype" w:cs="Palatino Linotype"/>
          <w:sz w:val="22"/>
          <w:szCs w:val="22"/>
        </w:rPr>
        <w:t xml:space="preserve"> y es por ello que este Organismo Garante determina </w:t>
      </w:r>
      <w:r w:rsidRPr="002B10E6">
        <w:rPr>
          <w:rFonts w:ascii="Palatino Linotype" w:eastAsia="Palatino Linotype" w:hAnsi="Palatino Linotype" w:cs="Palatino Linotype"/>
          <w:b/>
          <w:sz w:val="22"/>
          <w:szCs w:val="22"/>
        </w:rPr>
        <w:t xml:space="preserve">REVOCAR </w:t>
      </w:r>
      <w:r w:rsidRPr="002B10E6">
        <w:rPr>
          <w:rFonts w:ascii="Palatino Linotype" w:eastAsia="Palatino Linotype" w:hAnsi="Palatino Linotype" w:cs="Palatino Linotype"/>
          <w:sz w:val="22"/>
          <w:szCs w:val="22"/>
        </w:rPr>
        <w:t xml:space="preserve">la respuesta del recurso de revisión </w:t>
      </w:r>
      <w:r w:rsidRPr="002B10E6">
        <w:rPr>
          <w:rFonts w:ascii="Palatino Linotype" w:eastAsia="Palatino Linotype" w:hAnsi="Palatino Linotype" w:cs="Palatino Linotype"/>
          <w:b/>
          <w:sz w:val="22"/>
          <w:szCs w:val="22"/>
        </w:rPr>
        <w:t>00159/INFOEM/IP/RR/2025</w:t>
      </w:r>
      <w:r w:rsidRPr="002B10E6">
        <w:rPr>
          <w:rFonts w:ascii="Palatino Linotype" w:eastAsia="Palatino Linotype" w:hAnsi="Palatino Linotype" w:cs="Palatino Linotype"/>
          <w:sz w:val="22"/>
          <w:szCs w:val="22"/>
        </w:rPr>
        <w:t xml:space="preserve">, para ordenar, la entrega de lo siguiente, </w:t>
      </w:r>
      <w:r w:rsidRPr="002B10E6">
        <w:rPr>
          <w:rFonts w:ascii="Palatino Linotype" w:eastAsia="Palatino Linotype" w:hAnsi="Palatino Linotype" w:cs="Palatino Linotype"/>
          <w:b/>
          <w:sz w:val="22"/>
          <w:szCs w:val="22"/>
        </w:rPr>
        <w:t>previa búsqueda exhaustiva y razonable</w:t>
      </w:r>
      <w:r w:rsidRPr="002B10E6">
        <w:rPr>
          <w:rFonts w:ascii="Palatino Linotype" w:eastAsia="Palatino Linotype" w:hAnsi="Palatino Linotype" w:cs="Palatino Linotype"/>
          <w:sz w:val="22"/>
          <w:szCs w:val="22"/>
        </w:rPr>
        <w:t>, en versión pública de ser procedente, conforme al considerando quinto:</w:t>
      </w:r>
    </w:p>
    <w:p w14:paraId="0DBC6ED1" w14:textId="77777777" w:rsidR="00347B0A" w:rsidRPr="002B10E6" w:rsidRDefault="005A2214">
      <w:pPr>
        <w:spacing w:after="160" w:line="259" w:lineRule="auto"/>
        <w:ind w:left="567" w:right="900"/>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1.- Comprobantes del pago por concepto de nómina de los servidores públicos adscritos a la unidad administrativa denominada Fondo de Fomento y Desarrollo de la Investigación Científica y Tecnológica (FONDICT)</w:t>
      </w:r>
      <w:r w:rsidRPr="002B10E6">
        <w:t xml:space="preserve">, </w:t>
      </w:r>
      <w:r w:rsidRPr="002B10E6">
        <w:rPr>
          <w:rFonts w:ascii="Palatino Linotype" w:eastAsia="Palatino Linotype" w:hAnsi="Palatino Linotype" w:cs="Palatino Linotype"/>
          <w:b/>
          <w:i/>
          <w:sz w:val="22"/>
          <w:szCs w:val="22"/>
        </w:rPr>
        <w:t>correspondientes a la segunda quincena del mes de octubre y la primera quincena de noviembre de dos mil veinticuatro.</w:t>
      </w:r>
    </w:p>
    <w:p w14:paraId="10F3FF73" w14:textId="77777777" w:rsidR="00347B0A" w:rsidRPr="002B10E6" w:rsidRDefault="00347B0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7B9BA91A"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b/>
          <w:sz w:val="22"/>
          <w:szCs w:val="22"/>
        </w:rPr>
        <w:t xml:space="preserve">Quinto. Versión Pública. </w:t>
      </w:r>
      <w:r w:rsidRPr="002B10E6">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w:t>
      </w:r>
      <w:r w:rsidRPr="002B10E6">
        <w:rPr>
          <w:rFonts w:ascii="Palatino Linotype" w:eastAsia="Palatino Linotype" w:hAnsi="Palatino Linotype" w:cs="Palatino Linotype"/>
          <w:sz w:val="22"/>
          <w:szCs w:val="22"/>
        </w:rPr>
        <w:lastRenderedPageBreak/>
        <w:t xml:space="preserve">clasificados en los términos que la misma Ley de la Materia señala,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tendrá que hacer la elaboración de una versión pública de los documentos que vaya entregar para dar cumplimiento a esta resolución, a fin de satisfacer el derecho de acceso a la información pública de la parte recurrente sin menoscabar el derecho a la protección de los datos personales de terceros, lo anterior, de conformidad a lo que señalan los artículos 3, fracciones IX, XX, XXXII, XLV; 6, 137 y 143 fracción I, de la Ley de Transparencia y Acceso a la Información Pública del Estado de México y Municipios vigente, los cuales establecen lo siguiente:</w:t>
      </w:r>
    </w:p>
    <w:p w14:paraId="1DB351D8" w14:textId="77777777" w:rsidR="00347B0A" w:rsidRPr="002B10E6" w:rsidRDefault="00347B0A"/>
    <w:p w14:paraId="035787A4"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Artículo 3.</w:t>
      </w:r>
      <w:r w:rsidRPr="002B10E6">
        <w:rPr>
          <w:rFonts w:ascii="Palatino Linotype" w:eastAsia="Palatino Linotype" w:hAnsi="Palatino Linotype" w:cs="Palatino Linotype"/>
          <w:i/>
          <w:sz w:val="22"/>
          <w:szCs w:val="22"/>
        </w:rPr>
        <w:t xml:space="preserve"> Para los efectos de la presente Ley se entenderá </w:t>
      </w:r>
      <w:proofErr w:type="gramStart"/>
      <w:r w:rsidRPr="002B10E6">
        <w:rPr>
          <w:rFonts w:ascii="Palatino Linotype" w:eastAsia="Palatino Linotype" w:hAnsi="Palatino Linotype" w:cs="Palatino Linotype"/>
          <w:i/>
          <w:sz w:val="22"/>
          <w:szCs w:val="22"/>
        </w:rPr>
        <w:t>por:…</w:t>
      </w:r>
      <w:proofErr w:type="gramEnd"/>
    </w:p>
    <w:p w14:paraId="4FFB4C95"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XX.</w:t>
      </w:r>
      <w:r w:rsidRPr="002B10E6">
        <w:rPr>
          <w:rFonts w:ascii="Palatino Linotype" w:eastAsia="Palatino Linotype" w:hAnsi="Palatino Linotype" w:cs="Palatino Linotype"/>
          <w:i/>
          <w:sz w:val="22"/>
          <w:szCs w:val="22"/>
        </w:rPr>
        <w:t xml:space="preserve"> Información clasificada: Aquella considerada por la presente Ley como reservada o confidencial; </w:t>
      </w:r>
    </w:p>
    <w:p w14:paraId="76B5DE32"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XXI.</w:t>
      </w:r>
      <w:r w:rsidRPr="002B10E6">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A1A1DD9"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w:t>
      </w:r>
    </w:p>
    <w:p w14:paraId="16F7E713"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XXXIV</w:t>
      </w:r>
      <w:r w:rsidRPr="002B10E6">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3F688431"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w:t>
      </w:r>
    </w:p>
    <w:p w14:paraId="27A41FCC"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XLV.</w:t>
      </w:r>
      <w:r w:rsidRPr="002B10E6">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5E64A056"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91.</w:t>
      </w:r>
      <w:r w:rsidRPr="002B10E6">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5567EB2B"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122.</w:t>
      </w:r>
      <w:r w:rsidRPr="002B10E6">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2B10E6">
        <w:rPr>
          <w:rFonts w:ascii="Palatino Linotype" w:eastAsia="Palatino Linotype" w:hAnsi="Palatino Linotype" w:cs="Palatino Linotype"/>
          <w:i/>
          <w:sz w:val="22"/>
          <w:szCs w:val="22"/>
        </w:rPr>
        <w:t>actualiza</w:t>
      </w:r>
      <w:proofErr w:type="spellEnd"/>
      <w:r w:rsidRPr="002B10E6">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0EB5A7FE"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69FA66CE"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4646DB21"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lastRenderedPageBreak/>
        <w:t>Artículo 135.</w:t>
      </w:r>
      <w:r w:rsidRPr="002B10E6">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27516937"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137.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793E2FDB"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143</w:t>
      </w:r>
      <w:r w:rsidRPr="002B10E6">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1BECC55"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 Se refiera a la información privada y los datos personales concernientes a una persona física o jurídica colectiva identificada o identificable; </w:t>
      </w:r>
    </w:p>
    <w:p w14:paraId="6FB1C8BF"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II.</w:t>
      </w:r>
      <w:r w:rsidRPr="002B10E6">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126F287F"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III.</w:t>
      </w:r>
      <w:r w:rsidRPr="002B10E6">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4D715332"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0F9194CF"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F069566"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1A9E5FD8"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148.</w:t>
      </w:r>
      <w:r w:rsidRPr="002B10E6">
        <w:rPr>
          <w:rFonts w:ascii="Palatino Linotype" w:eastAsia="Palatino Linotype" w:hAnsi="Palatino Linotype" w:cs="Palatino Linotype"/>
          <w:i/>
          <w:sz w:val="22"/>
          <w:szCs w:val="22"/>
        </w:rPr>
        <w:t xml:space="preserve"> No se requerirá el consentimiento del titular de la información confidencial cuando:</w:t>
      </w:r>
    </w:p>
    <w:p w14:paraId="48CFA9A0"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w:t>
      </w:r>
      <w:r w:rsidRPr="002B10E6">
        <w:rPr>
          <w:rFonts w:ascii="Palatino Linotype" w:eastAsia="Palatino Linotype" w:hAnsi="Palatino Linotype" w:cs="Palatino Linotype"/>
          <w:i/>
          <w:sz w:val="22"/>
          <w:szCs w:val="22"/>
        </w:rPr>
        <w:t xml:space="preserve"> La información se encuentre en registros públicos o fuentes de acceso público;</w:t>
      </w:r>
    </w:p>
    <w:p w14:paraId="61AB35E4"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II.</w:t>
      </w:r>
      <w:r w:rsidRPr="002B10E6">
        <w:rPr>
          <w:rFonts w:ascii="Palatino Linotype" w:eastAsia="Palatino Linotype" w:hAnsi="Palatino Linotype" w:cs="Palatino Linotype"/>
          <w:i/>
          <w:sz w:val="22"/>
          <w:szCs w:val="22"/>
        </w:rPr>
        <w:t xml:space="preserve"> Por Ley tenga el carácter de pública;</w:t>
      </w:r>
    </w:p>
    <w:p w14:paraId="003F52B5"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III</w:t>
      </w:r>
      <w:r w:rsidRPr="002B10E6">
        <w:rPr>
          <w:rFonts w:ascii="Palatino Linotype" w:eastAsia="Palatino Linotype" w:hAnsi="Palatino Linotype" w:cs="Palatino Linotype"/>
          <w:i/>
          <w:sz w:val="22"/>
          <w:szCs w:val="22"/>
        </w:rPr>
        <w:t>. Exista una orden judicial;</w:t>
      </w:r>
    </w:p>
    <w:p w14:paraId="1854AC4B"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IV.</w:t>
      </w:r>
      <w:r w:rsidRPr="002B10E6">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0362781E"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V.</w:t>
      </w:r>
      <w:r w:rsidRPr="002B10E6">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73A6C196"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i/>
          <w:sz w:val="22"/>
          <w:szCs w:val="22"/>
        </w:rPr>
        <w:lastRenderedPageBreak/>
        <w:t>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5F5D8DB5" w14:textId="77777777" w:rsidR="00347B0A" w:rsidRPr="002B10E6" w:rsidRDefault="005A2214">
      <w:pPr>
        <w:pBdr>
          <w:top w:val="nil"/>
          <w:left w:val="nil"/>
          <w:bottom w:val="nil"/>
          <w:right w:val="nil"/>
          <w:between w:val="nil"/>
        </w:pBdr>
        <w:ind w:left="567" w:right="426"/>
        <w:jc w:val="both"/>
      </w:pPr>
      <w:r w:rsidRPr="002B10E6">
        <w:rPr>
          <w:rFonts w:ascii="Palatino Linotype" w:eastAsia="Palatino Linotype" w:hAnsi="Palatino Linotype" w:cs="Palatino Linotype"/>
          <w:b/>
          <w:i/>
          <w:sz w:val="22"/>
          <w:szCs w:val="22"/>
        </w:rPr>
        <w:t>Artículo 149.</w:t>
      </w:r>
      <w:r w:rsidRPr="002B10E6">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w:t>
      </w:r>
    </w:p>
    <w:p w14:paraId="231252AA" w14:textId="77777777" w:rsidR="00347B0A" w:rsidRPr="002B10E6" w:rsidRDefault="00347B0A"/>
    <w:p w14:paraId="10FA0B8B"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precisando de manera clara las hipótesis que dan lugar a clasificar la información, la cual puede ser de dos maneras: Reservada o Confidencial.</w:t>
      </w:r>
    </w:p>
    <w:p w14:paraId="6399876B" w14:textId="77777777" w:rsidR="00347B0A" w:rsidRPr="002B10E6" w:rsidRDefault="00347B0A">
      <w:pPr>
        <w:spacing w:line="360" w:lineRule="auto"/>
        <w:rPr>
          <w:sz w:val="22"/>
          <w:szCs w:val="22"/>
        </w:rPr>
      </w:pPr>
    </w:p>
    <w:p w14:paraId="13ED0F5B"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En otras palabras, la información confidencial será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0872D6BA" w14:textId="77777777" w:rsidR="00347B0A" w:rsidRPr="002B10E6" w:rsidRDefault="00347B0A">
      <w:pPr>
        <w:spacing w:line="360" w:lineRule="auto"/>
        <w:rPr>
          <w:sz w:val="22"/>
          <w:szCs w:val="22"/>
        </w:rPr>
      </w:pPr>
    </w:p>
    <w:p w14:paraId="38A447AE"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De igual forma, para el caso de la información confidencial se aprecia, que se establece un procedimiento para clasificar la información como confidencial, mediante el cual se fundamentará y motivará la necesidad de clasificar la información, en el que se precisen los motivos que obliguen a la clasificación; lo que se consolida con lo señalado por el artículo 168 de la Ley en la Materia, que señala:</w:t>
      </w:r>
    </w:p>
    <w:p w14:paraId="115EBB33" w14:textId="77777777" w:rsidR="00347B0A" w:rsidRPr="002B10E6" w:rsidRDefault="00347B0A"/>
    <w:p w14:paraId="7A4056F6" w14:textId="77777777" w:rsidR="00347B0A" w:rsidRPr="002B10E6" w:rsidRDefault="005A2214">
      <w:pPr>
        <w:pBdr>
          <w:top w:val="nil"/>
          <w:left w:val="nil"/>
          <w:bottom w:val="nil"/>
          <w:right w:val="nil"/>
          <w:between w:val="nil"/>
        </w:pBdr>
        <w:ind w:left="567" w:right="616"/>
        <w:jc w:val="both"/>
      </w:pPr>
      <w:r w:rsidRPr="002B10E6">
        <w:rPr>
          <w:rFonts w:ascii="Palatino Linotype" w:eastAsia="Palatino Linotype" w:hAnsi="Palatino Linotype" w:cs="Palatino Linotype"/>
          <w:i/>
          <w:sz w:val="22"/>
          <w:szCs w:val="22"/>
        </w:rPr>
        <w:t>“</w:t>
      </w:r>
      <w:r w:rsidRPr="002B10E6">
        <w:rPr>
          <w:rFonts w:ascii="Palatino Linotype" w:eastAsia="Palatino Linotype" w:hAnsi="Palatino Linotype" w:cs="Palatino Linotype"/>
          <w:b/>
          <w:i/>
          <w:sz w:val="22"/>
          <w:szCs w:val="22"/>
        </w:rPr>
        <w:t>Artículo 168</w:t>
      </w:r>
      <w:r w:rsidRPr="002B10E6">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1155077E" w14:textId="77777777" w:rsidR="00347B0A" w:rsidRPr="002B10E6" w:rsidRDefault="005A2214">
      <w:pPr>
        <w:pBdr>
          <w:top w:val="nil"/>
          <w:left w:val="nil"/>
          <w:bottom w:val="nil"/>
          <w:right w:val="nil"/>
          <w:between w:val="nil"/>
        </w:pBdr>
        <w:ind w:left="567" w:right="616"/>
        <w:jc w:val="both"/>
      </w:pPr>
      <w:r w:rsidRPr="002B10E6">
        <w:rPr>
          <w:rFonts w:ascii="Palatino Linotype" w:eastAsia="Palatino Linotype" w:hAnsi="Palatino Linotype" w:cs="Palatino Linotype"/>
          <w:b/>
          <w:i/>
          <w:sz w:val="22"/>
          <w:szCs w:val="22"/>
        </w:rPr>
        <w:lastRenderedPageBreak/>
        <w:t>I.</w:t>
      </w:r>
      <w:r w:rsidRPr="002B10E6">
        <w:rPr>
          <w:rFonts w:ascii="Palatino Linotype" w:eastAsia="Palatino Linotype" w:hAnsi="Palatino Linotype" w:cs="Palatino Linotype"/>
          <w:i/>
          <w:sz w:val="22"/>
          <w:szCs w:val="22"/>
        </w:rPr>
        <w:t xml:space="preserve"> El Área deberá remitir la solicitud, así como un escrito en el que </w:t>
      </w:r>
      <w:r w:rsidRPr="002B10E6">
        <w:rPr>
          <w:rFonts w:ascii="Palatino Linotype" w:eastAsia="Palatino Linotype" w:hAnsi="Palatino Linotype" w:cs="Palatino Linotype"/>
          <w:b/>
          <w:i/>
          <w:sz w:val="22"/>
          <w:szCs w:val="22"/>
        </w:rPr>
        <w:t>funde y motive la clasificación al Comité de Transparencia</w:t>
      </w:r>
      <w:r w:rsidRPr="002B10E6">
        <w:rPr>
          <w:rFonts w:ascii="Palatino Linotype" w:eastAsia="Palatino Linotype" w:hAnsi="Palatino Linotype" w:cs="Palatino Linotype"/>
          <w:i/>
          <w:sz w:val="22"/>
          <w:szCs w:val="22"/>
        </w:rPr>
        <w:t>, mismo que deberá resolver para:</w:t>
      </w:r>
    </w:p>
    <w:p w14:paraId="060D2473" w14:textId="77777777" w:rsidR="00347B0A" w:rsidRPr="002B10E6" w:rsidRDefault="005A2214">
      <w:pPr>
        <w:pBdr>
          <w:top w:val="nil"/>
          <w:left w:val="nil"/>
          <w:bottom w:val="nil"/>
          <w:right w:val="nil"/>
          <w:between w:val="nil"/>
        </w:pBdr>
        <w:ind w:left="567" w:right="616"/>
        <w:jc w:val="both"/>
      </w:pPr>
      <w:r w:rsidRPr="002B10E6">
        <w:rPr>
          <w:rFonts w:ascii="Palatino Linotype" w:eastAsia="Palatino Linotype" w:hAnsi="Palatino Linotype" w:cs="Palatino Linotype"/>
          <w:i/>
          <w:sz w:val="22"/>
          <w:szCs w:val="22"/>
        </w:rPr>
        <w:t>a</w:t>
      </w:r>
      <w:r w:rsidRPr="002B10E6">
        <w:rPr>
          <w:rFonts w:ascii="Palatino Linotype" w:eastAsia="Palatino Linotype" w:hAnsi="Palatino Linotype" w:cs="Palatino Linotype"/>
          <w:b/>
          <w:i/>
          <w:sz w:val="22"/>
          <w:szCs w:val="22"/>
        </w:rPr>
        <w:t>) Confirmar la clasificación;</w:t>
      </w:r>
    </w:p>
    <w:p w14:paraId="413C01AE" w14:textId="77777777" w:rsidR="00347B0A" w:rsidRPr="002B10E6" w:rsidRDefault="005A2214">
      <w:pPr>
        <w:pBdr>
          <w:top w:val="nil"/>
          <w:left w:val="nil"/>
          <w:bottom w:val="nil"/>
          <w:right w:val="nil"/>
          <w:between w:val="nil"/>
        </w:pBdr>
        <w:ind w:left="567" w:right="616"/>
        <w:jc w:val="both"/>
      </w:pPr>
      <w:r w:rsidRPr="002B10E6">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36194900" w14:textId="77777777" w:rsidR="00347B0A" w:rsidRPr="002B10E6" w:rsidRDefault="005A2214">
      <w:pPr>
        <w:pBdr>
          <w:top w:val="nil"/>
          <w:left w:val="nil"/>
          <w:bottom w:val="nil"/>
          <w:right w:val="nil"/>
          <w:between w:val="nil"/>
        </w:pBdr>
        <w:ind w:left="567" w:right="616"/>
        <w:jc w:val="both"/>
      </w:pPr>
      <w:r w:rsidRPr="002B10E6">
        <w:rPr>
          <w:rFonts w:ascii="Palatino Linotype" w:eastAsia="Palatino Linotype" w:hAnsi="Palatino Linotype" w:cs="Palatino Linotype"/>
          <w:b/>
          <w:i/>
          <w:sz w:val="22"/>
          <w:szCs w:val="22"/>
        </w:rPr>
        <w:t>II.</w:t>
      </w:r>
      <w:r w:rsidRPr="002B10E6">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03126836" w14:textId="77777777" w:rsidR="00347B0A" w:rsidRPr="002B10E6" w:rsidRDefault="005A2214">
      <w:pPr>
        <w:pBdr>
          <w:top w:val="nil"/>
          <w:left w:val="nil"/>
          <w:bottom w:val="nil"/>
          <w:right w:val="nil"/>
          <w:between w:val="nil"/>
        </w:pBdr>
        <w:ind w:left="567" w:right="616"/>
        <w:jc w:val="both"/>
      </w:pPr>
      <w:r w:rsidRPr="002B10E6">
        <w:rPr>
          <w:rFonts w:ascii="Palatino Linotype" w:eastAsia="Palatino Linotype" w:hAnsi="Palatino Linotype" w:cs="Palatino Linotype"/>
          <w:b/>
          <w:i/>
          <w:sz w:val="22"/>
          <w:szCs w:val="22"/>
        </w:rPr>
        <w:t>III.</w:t>
      </w:r>
      <w:r w:rsidRPr="002B10E6">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 </w:t>
      </w:r>
    </w:p>
    <w:p w14:paraId="74347F9C" w14:textId="77777777" w:rsidR="00347B0A" w:rsidRPr="002B10E6" w:rsidRDefault="00347B0A"/>
    <w:p w14:paraId="1D107305" w14:textId="77777777" w:rsidR="00347B0A" w:rsidRPr="002B10E6" w:rsidRDefault="005A2214">
      <w:pPr>
        <w:pBdr>
          <w:top w:val="nil"/>
          <w:left w:val="nil"/>
          <w:bottom w:val="nil"/>
          <w:right w:val="nil"/>
          <w:between w:val="nil"/>
        </w:pBdr>
        <w:spacing w:line="360" w:lineRule="auto"/>
        <w:ind w:right="51"/>
        <w:jc w:val="both"/>
        <w:rPr>
          <w:sz w:val="22"/>
          <w:szCs w:val="22"/>
        </w:rPr>
      </w:pPr>
      <w:r w:rsidRPr="002B10E6">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deberá proceder a testar los datos personales que se encuentren contenidos en los documentos a entregar por parte del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para satisfacer el derecho de acceso a la información pública de la recurrente,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B194E3A" w14:textId="77777777" w:rsidR="00347B0A" w:rsidRPr="002B10E6" w:rsidRDefault="00347B0A">
      <w:pPr>
        <w:spacing w:line="360" w:lineRule="auto"/>
        <w:rPr>
          <w:sz w:val="22"/>
          <w:szCs w:val="22"/>
        </w:rPr>
      </w:pPr>
    </w:p>
    <w:p w14:paraId="34DABE85"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En el caso específico, es criterio reiterado de este Instituto que además de los datos especificados en la Ley de Transparencia y Acceso a la Información Pública del Estado de México y Municipios, se consideran confidenciales y por tanto deben testarse al momento de la elaboración de versiones públicas el </w:t>
      </w:r>
      <w:r w:rsidRPr="002B10E6">
        <w:rPr>
          <w:rFonts w:ascii="Palatino Linotype" w:eastAsia="Palatino Linotype" w:hAnsi="Palatino Linotype" w:cs="Palatino Linotype"/>
          <w:b/>
          <w:sz w:val="22"/>
          <w:szCs w:val="22"/>
        </w:rPr>
        <w:t>Registro Federal de Contribuyentes</w:t>
      </w:r>
      <w:r w:rsidRPr="002B10E6">
        <w:rPr>
          <w:rFonts w:ascii="Palatino Linotype" w:eastAsia="Palatino Linotype" w:hAnsi="Palatino Linotype" w:cs="Palatino Linotype"/>
          <w:sz w:val="22"/>
          <w:szCs w:val="22"/>
        </w:rPr>
        <w:t xml:space="preserve"> (RFC), la </w:t>
      </w:r>
      <w:r w:rsidRPr="002B10E6">
        <w:rPr>
          <w:rFonts w:ascii="Palatino Linotype" w:eastAsia="Palatino Linotype" w:hAnsi="Palatino Linotype" w:cs="Palatino Linotype"/>
          <w:b/>
          <w:sz w:val="22"/>
          <w:szCs w:val="22"/>
        </w:rPr>
        <w:t>Clave Única de Registro de Población</w:t>
      </w:r>
      <w:r w:rsidRPr="002B10E6">
        <w:rPr>
          <w:rFonts w:ascii="Palatino Linotype" w:eastAsia="Palatino Linotype" w:hAnsi="Palatino Linotype" w:cs="Palatino Linotype"/>
          <w:sz w:val="22"/>
          <w:szCs w:val="22"/>
        </w:rPr>
        <w:t xml:space="preserve"> (CURP) y la </w:t>
      </w:r>
      <w:r w:rsidRPr="002B10E6">
        <w:rPr>
          <w:rFonts w:ascii="Palatino Linotype" w:eastAsia="Palatino Linotype" w:hAnsi="Palatino Linotype" w:cs="Palatino Linotype"/>
          <w:b/>
          <w:sz w:val="22"/>
          <w:szCs w:val="22"/>
        </w:rPr>
        <w:t>Clave de cualquier tipo de seguridad social</w:t>
      </w:r>
      <w:r w:rsidRPr="002B10E6">
        <w:rPr>
          <w:rFonts w:ascii="Palatino Linotype" w:eastAsia="Palatino Linotype" w:hAnsi="Palatino Linotype" w:cs="Palatino Linotype"/>
          <w:sz w:val="22"/>
          <w:szCs w:val="22"/>
        </w:rPr>
        <w:t xml:space="preserve"> (ISSEMYM, u otros), así como, los </w:t>
      </w:r>
      <w:r w:rsidRPr="002B10E6">
        <w:rPr>
          <w:rFonts w:ascii="Palatino Linotype" w:eastAsia="Palatino Linotype" w:hAnsi="Palatino Linotype" w:cs="Palatino Linotype"/>
          <w:b/>
          <w:sz w:val="22"/>
          <w:szCs w:val="22"/>
        </w:rPr>
        <w:t>préstamos o descuentos</w:t>
      </w:r>
      <w:r w:rsidRPr="002B10E6">
        <w:rPr>
          <w:rFonts w:ascii="Palatino Linotype" w:eastAsia="Palatino Linotype" w:hAnsi="Palatino Linotype" w:cs="Palatino Linotype"/>
          <w:sz w:val="22"/>
          <w:szCs w:val="22"/>
        </w:rPr>
        <w:t xml:space="preserve"> que se le hagan a la persona y que no tengan relación con los impuestos o la cuota por seguridad social, así el</w:t>
      </w:r>
      <w:r w:rsidRPr="002B10E6">
        <w:rPr>
          <w:rFonts w:ascii="Palatino Linotype" w:eastAsia="Palatino Linotype" w:hAnsi="Palatino Linotype" w:cs="Palatino Linotype"/>
          <w:b/>
          <w:sz w:val="22"/>
          <w:szCs w:val="22"/>
        </w:rPr>
        <w:t xml:space="preserve"> </w:t>
      </w:r>
      <w:r w:rsidRPr="002B10E6">
        <w:rPr>
          <w:rFonts w:ascii="Palatino Linotype" w:eastAsia="Palatino Linotype" w:hAnsi="Palatino Linotype" w:cs="Palatino Linotype"/>
          <w:b/>
          <w:sz w:val="22"/>
          <w:szCs w:val="22"/>
        </w:rPr>
        <w:lastRenderedPageBreak/>
        <w:t xml:space="preserve">número de empleado, </w:t>
      </w:r>
      <w:r w:rsidRPr="002B10E6">
        <w:rPr>
          <w:rFonts w:ascii="Palatino Linotype" w:eastAsia="Palatino Linotype" w:hAnsi="Palatino Linotype" w:cs="Palatino Linotype"/>
          <w:sz w:val="22"/>
          <w:szCs w:val="22"/>
        </w:rPr>
        <w:t xml:space="preserve">así como de ser el caso, el </w:t>
      </w:r>
      <w:r w:rsidRPr="002B10E6">
        <w:rPr>
          <w:rFonts w:ascii="Palatino Linotype" w:eastAsia="Palatino Linotype" w:hAnsi="Palatino Linotype" w:cs="Palatino Linotype"/>
          <w:b/>
          <w:sz w:val="22"/>
          <w:szCs w:val="22"/>
        </w:rPr>
        <w:t>folio fiscal</w:t>
      </w:r>
      <w:r w:rsidRPr="002B10E6">
        <w:rPr>
          <w:rFonts w:ascii="Palatino Linotype" w:eastAsia="Palatino Linotype" w:hAnsi="Palatino Linotype" w:cs="Palatino Linotype"/>
          <w:sz w:val="22"/>
          <w:szCs w:val="22"/>
        </w:rPr>
        <w:t xml:space="preserve">, la  </w:t>
      </w:r>
      <w:r w:rsidRPr="002B10E6">
        <w:rPr>
          <w:rFonts w:ascii="Palatino Linotype" w:eastAsia="Palatino Linotype" w:hAnsi="Palatino Linotype" w:cs="Palatino Linotype"/>
          <w:b/>
          <w:sz w:val="22"/>
          <w:szCs w:val="22"/>
        </w:rPr>
        <w:t xml:space="preserve">cadena original, </w:t>
      </w:r>
      <w:r w:rsidRPr="002B10E6">
        <w:rPr>
          <w:rFonts w:ascii="Palatino Linotype" w:eastAsia="Palatino Linotype" w:hAnsi="Palatino Linotype" w:cs="Palatino Linotype"/>
          <w:sz w:val="22"/>
          <w:szCs w:val="22"/>
        </w:rPr>
        <w:t>los</w:t>
      </w:r>
      <w:r w:rsidRPr="002B10E6">
        <w:rPr>
          <w:rFonts w:ascii="Palatino Linotype" w:eastAsia="Palatino Linotype" w:hAnsi="Palatino Linotype" w:cs="Palatino Linotype"/>
          <w:b/>
          <w:sz w:val="22"/>
          <w:szCs w:val="22"/>
        </w:rPr>
        <w:t xml:space="preserve"> códigos bidimensionales o códigos QR,</w:t>
      </w:r>
      <w:r w:rsidRPr="002B10E6">
        <w:rPr>
          <w:rFonts w:ascii="Palatino Linotype" w:eastAsia="Palatino Linotype" w:hAnsi="Palatino Linotype" w:cs="Palatino Linotype"/>
          <w:sz w:val="22"/>
          <w:szCs w:val="22"/>
        </w:rPr>
        <w:t xml:space="preserve"> y cualquier información de carácter fiscal, bajo las siguientes consideraciones. </w:t>
      </w:r>
    </w:p>
    <w:p w14:paraId="46CBB7AD" w14:textId="77777777" w:rsidR="00347B0A" w:rsidRPr="002B10E6" w:rsidRDefault="00347B0A">
      <w:pPr>
        <w:spacing w:line="360" w:lineRule="auto"/>
        <w:rPr>
          <w:sz w:val="22"/>
          <w:szCs w:val="22"/>
        </w:rPr>
      </w:pPr>
    </w:p>
    <w:p w14:paraId="10524D01" w14:textId="77777777" w:rsidR="00347B0A" w:rsidRPr="002B10E6" w:rsidRDefault="005A2214">
      <w:pPr>
        <w:pBdr>
          <w:top w:val="nil"/>
          <w:left w:val="nil"/>
          <w:bottom w:val="nil"/>
          <w:right w:val="nil"/>
          <w:between w:val="nil"/>
        </w:pBdr>
        <w:spacing w:line="360" w:lineRule="auto"/>
        <w:ind w:right="49"/>
        <w:jc w:val="both"/>
        <w:rPr>
          <w:sz w:val="22"/>
          <w:szCs w:val="22"/>
        </w:rPr>
      </w:pPr>
      <w:r w:rsidRPr="002B10E6">
        <w:rPr>
          <w:rFonts w:ascii="Palatino Linotype" w:eastAsia="Palatino Linotype" w:hAnsi="Palatino Linotype" w:cs="Palatino Linotype"/>
          <w:sz w:val="22"/>
          <w:szCs w:val="22"/>
        </w:rPr>
        <w:t>En cuanto al RFC, este constituye un dato personal, ya que para su obtención es necesario acreditar ante la autoridad fiscal previamente la identidad de la persona, su fecha de nacimiento, entre otros aspectos.</w:t>
      </w:r>
    </w:p>
    <w:p w14:paraId="4060DB15" w14:textId="77777777" w:rsidR="00347B0A" w:rsidRPr="002B10E6" w:rsidRDefault="00347B0A">
      <w:pPr>
        <w:spacing w:line="360" w:lineRule="auto"/>
        <w:rPr>
          <w:sz w:val="22"/>
          <w:szCs w:val="22"/>
        </w:rPr>
      </w:pPr>
    </w:p>
    <w:p w14:paraId="5EC1858D"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412D52A8" w14:textId="77777777" w:rsidR="00347B0A" w:rsidRPr="002B10E6" w:rsidRDefault="00347B0A">
      <w:pPr>
        <w:spacing w:line="360" w:lineRule="auto"/>
        <w:rPr>
          <w:sz w:val="22"/>
          <w:szCs w:val="22"/>
        </w:rPr>
      </w:pPr>
    </w:p>
    <w:p w14:paraId="02C8C81C"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6BB17BD0" w14:textId="77777777" w:rsidR="00347B0A" w:rsidRPr="002B10E6" w:rsidRDefault="00347B0A"/>
    <w:p w14:paraId="12E7C9C3" w14:textId="77777777" w:rsidR="00347B0A" w:rsidRPr="002B10E6" w:rsidRDefault="005A2214">
      <w:pPr>
        <w:pBdr>
          <w:top w:val="nil"/>
          <w:left w:val="nil"/>
          <w:bottom w:val="nil"/>
          <w:right w:val="nil"/>
          <w:between w:val="nil"/>
        </w:pBdr>
        <w:ind w:left="851" w:right="902"/>
        <w:jc w:val="both"/>
      </w:pPr>
      <w:r w:rsidRPr="002B10E6">
        <w:rPr>
          <w:rFonts w:ascii="Palatino Linotype" w:eastAsia="Palatino Linotype" w:hAnsi="Palatino Linotype" w:cs="Palatino Linotype"/>
          <w:b/>
          <w:i/>
          <w:sz w:val="22"/>
          <w:szCs w:val="22"/>
        </w:rPr>
        <w:t xml:space="preserve">“Registro Federal de Contribuyentes (RFC) de personas físicas. </w:t>
      </w:r>
      <w:r w:rsidRPr="002B10E6">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w:t>
      </w:r>
    </w:p>
    <w:p w14:paraId="6133F74F" w14:textId="77777777" w:rsidR="00347B0A" w:rsidRPr="002B10E6" w:rsidRDefault="00347B0A"/>
    <w:p w14:paraId="21A377C1"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2B10E6">
        <w:rPr>
          <w:rFonts w:ascii="Palatino Linotype" w:eastAsia="Palatino Linotype" w:hAnsi="Palatino Linotype" w:cs="Palatino Linotype"/>
          <w:sz w:val="22"/>
          <w:szCs w:val="22"/>
        </w:rPr>
        <w:t>homoclave</w:t>
      </w:r>
      <w:proofErr w:type="spellEnd"/>
      <w:r w:rsidRPr="002B10E6">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w:t>
      </w:r>
    </w:p>
    <w:p w14:paraId="1735E9BA" w14:textId="77777777" w:rsidR="00347B0A" w:rsidRPr="002B10E6" w:rsidRDefault="00347B0A">
      <w:pPr>
        <w:spacing w:line="360" w:lineRule="auto"/>
        <w:rPr>
          <w:sz w:val="22"/>
          <w:szCs w:val="22"/>
        </w:rPr>
      </w:pPr>
    </w:p>
    <w:p w14:paraId="0A544A68"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lastRenderedPageBreak/>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5EB73658" w14:textId="77777777" w:rsidR="00347B0A" w:rsidRPr="002B10E6" w:rsidRDefault="00347B0A">
      <w:pPr>
        <w:spacing w:line="360" w:lineRule="auto"/>
        <w:rPr>
          <w:sz w:val="22"/>
          <w:szCs w:val="22"/>
        </w:rPr>
      </w:pPr>
    </w:p>
    <w:p w14:paraId="35ACC182"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2B10E6">
        <w:rPr>
          <w:rFonts w:ascii="Palatino Linotype" w:eastAsia="Palatino Linotype" w:hAnsi="Palatino Linotype" w:cs="Palatino Linotype"/>
          <w:b/>
          <w:sz w:val="22"/>
          <w:szCs w:val="22"/>
        </w:rPr>
        <w:t xml:space="preserve">, conforme al </w:t>
      </w:r>
      <w:r w:rsidRPr="002B10E6">
        <w:rPr>
          <w:rFonts w:ascii="Palatino Linotype" w:eastAsia="Palatino Linotype" w:hAnsi="Palatino Linotype" w:cs="Palatino Linotype"/>
          <w:sz w:val="22"/>
          <w:szCs w:val="22"/>
        </w:rPr>
        <w:t>criterio número 18/17, el cual refiere: </w:t>
      </w:r>
    </w:p>
    <w:p w14:paraId="3F887583" w14:textId="77777777" w:rsidR="00347B0A" w:rsidRPr="002B10E6" w:rsidRDefault="00347B0A"/>
    <w:p w14:paraId="711101E5"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b/>
          <w:i/>
          <w:sz w:val="22"/>
          <w:szCs w:val="22"/>
        </w:rPr>
        <w:t xml:space="preserve">“Clave Única de Registro de Población (CURP). </w:t>
      </w:r>
      <w:r w:rsidRPr="002B10E6">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3482B031" w14:textId="77777777" w:rsidR="00347B0A" w:rsidRPr="002B10E6" w:rsidRDefault="00347B0A"/>
    <w:p w14:paraId="14AE2756"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Por otra parte y respecto a la clave de seguridad social y en su caso clave o número del servidor público –trabajador-, en virtud de que su divulgación no aporta a la transparencia o a la rendición de cuentas y sí provoca una transgresión a la vida privada e intimidad de la persona, esta información también resulta ser de carácter confidencial; siendo aplicable como orientador el criterio número 15/10 emitido por el entonces Instituto Federal de Transparencia y Acceso a la Información (INAI, cuyo texto y sentido literal es el siguiente:</w:t>
      </w:r>
    </w:p>
    <w:p w14:paraId="7827D86B" w14:textId="77777777" w:rsidR="00347B0A" w:rsidRPr="002B10E6" w:rsidRDefault="00347B0A"/>
    <w:p w14:paraId="2BA67A55"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b/>
          <w:i/>
          <w:sz w:val="22"/>
          <w:szCs w:val="22"/>
        </w:rPr>
        <w:t>“El número de ficha de identificación única de los trabajadores es información de carácter confidencial.</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i/>
          <w:sz w:val="22"/>
          <w:szCs w:val="22"/>
          <w:u w:val="single"/>
        </w:rPr>
        <w:t>En los casos en que el número de trabajador o ficha de identificación única constituya un elemento por medio del cual los trabajadores puedan acceder a un sistema de datos o información de la dependencia o entidad, para hacer uso de diversos servicios, como la presentación de consultas relacionadas con su situación laboral particular</w:t>
      </w:r>
      <w:r w:rsidRPr="002B10E6">
        <w:rPr>
          <w:rFonts w:ascii="Palatino Linotype" w:eastAsia="Palatino Linotype" w:hAnsi="Palatino Linotype" w:cs="Palatino Linotype"/>
          <w:i/>
          <w:sz w:val="22"/>
          <w:szCs w:val="22"/>
        </w:rPr>
        <w:t xml:space="preserve">, </w:t>
      </w:r>
      <w:r w:rsidRPr="002B10E6">
        <w:rPr>
          <w:rFonts w:ascii="Palatino Linotype" w:eastAsia="Palatino Linotype" w:hAnsi="Palatino Linotype" w:cs="Palatino Linotype"/>
          <w:i/>
          <w:sz w:val="22"/>
          <w:szCs w:val="22"/>
          <w:u w:val="single"/>
        </w:rPr>
        <w:t>dicha información es susceptible de clasificarse con el carácter de confidencial</w:t>
      </w:r>
      <w:r w:rsidRPr="002B10E6">
        <w:rPr>
          <w:rFonts w:ascii="Palatino Linotype" w:eastAsia="Palatino Linotype" w:hAnsi="Palatino Linotype" w:cs="Palatino Linotype"/>
          <w:i/>
          <w:sz w:val="22"/>
          <w:szCs w:val="22"/>
        </w:rPr>
        <w:t xml:space="preserve">, en términos de lo establecido en el artículo 18, fracción II de la Ley Federal de Transparencia y Acceso a la Información Pública Gubernamental, en </w:t>
      </w:r>
      <w:r w:rsidRPr="002B10E6">
        <w:rPr>
          <w:rFonts w:ascii="Palatino Linotype" w:eastAsia="Palatino Linotype" w:hAnsi="Palatino Linotype" w:cs="Palatino Linotype"/>
          <w:i/>
          <w:sz w:val="22"/>
          <w:szCs w:val="22"/>
        </w:rPr>
        <w:lastRenderedPageBreak/>
        <w:t>virtud de que a través de la misma es posible conocer información personal de su titular.” </w:t>
      </w:r>
    </w:p>
    <w:p w14:paraId="2CAFD34A" w14:textId="77777777" w:rsidR="00347B0A" w:rsidRPr="002B10E6" w:rsidRDefault="00347B0A"/>
    <w:p w14:paraId="70499180"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Respecto de los </w:t>
      </w:r>
      <w:r w:rsidRPr="002B10E6">
        <w:rPr>
          <w:rFonts w:ascii="Palatino Linotype" w:eastAsia="Palatino Linotype" w:hAnsi="Palatino Linotype" w:cs="Palatino Linotype"/>
          <w:b/>
          <w:sz w:val="22"/>
          <w:szCs w:val="22"/>
        </w:rPr>
        <w:t>préstamos o descuentos</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de carácter personal</w:t>
      </w:r>
      <w:r w:rsidRPr="002B10E6">
        <w:rPr>
          <w:rFonts w:ascii="Palatino Linotype" w:eastAsia="Palatino Linotype" w:hAnsi="Palatino Linotype" w:cs="Palatino Linotype"/>
          <w:sz w:val="22"/>
          <w:szCs w:val="22"/>
        </w:rPr>
        <w:t>, éstos no deben tener relación con la prestación del servicio; es decir, son confidenciales los préstamos o descuentos que se le hagan a la persona en los que no se involucren instituciones públicas, en virtud de no favorecer en la transparencia y rendición de cuentas, sino, por el contrario, con ello se violentaría la protección de información confidencial, porque incide en la intimidad de un individuo identificado.</w:t>
      </w:r>
    </w:p>
    <w:p w14:paraId="515FD09D" w14:textId="77777777" w:rsidR="00347B0A" w:rsidRPr="002B10E6" w:rsidRDefault="00347B0A">
      <w:pPr>
        <w:spacing w:line="360" w:lineRule="auto"/>
        <w:rPr>
          <w:sz w:val="22"/>
          <w:szCs w:val="22"/>
        </w:rPr>
      </w:pPr>
    </w:p>
    <w:p w14:paraId="63D2ED47"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Por cuanto hace a las deducciones, para entender los límites y alcances de esta restricción, es oportuno recurrir al artículo 84 de la Ley del Trabajo de los Servidores Públicos del Estado y Municipios:</w:t>
      </w:r>
    </w:p>
    <w:p w14:paraId="2DE59942" w14:textId="77777777" w:rsidR="00347B0A" w:rsidRPr="002B10E6" w:rsidRDefault="00347B0A"/>
    <w:p w14:paraId="5C3531FF"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b/>
          <w:i/>
          <w:sz w:val="22"/>
          <w:szCs w:val="22"/>
        </w:rPr>
        <w:t xml:space="preserve">“ARTÍCULO 84. </w:t>
      </w:r>
      <w:r w:rsidRPr="002B10E6">
        <w:rPr>
          <w:rFonts w:ascii="Palatino Linotype" w:eastAsia="Palatino Linotype" w:hAnsi="Palatino Linotype" w:cs="Palatino Linotype"/>
          <w:i/>
          <w:sz w:val="22"/>
          <w:szCs w:val="22"/>
        </w:rPr>
        <w:t>Sólo podrán hacerse retenciones, descuentos o deducciones al sueldo de los servidores públicos por concepto de:</w:t>
      </w:r>
    </w:p>
    <w:p w14:paraId="7FCBE63D"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t>I. Gravámenes fiscales relacionados con el sueldo;</w:t>
      </w:r>
    </w:p>
    <w:p w14:paraId="4C4CB3DC"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b/>
          <w:i/>
          <w:sz w:val="22"/>
          <w:szCs w:val="22"/>
        </w:rPr>
        <w:t>II. Deudas contraídas con las instituciones públicas o dependencias por concepto de anticipos de sueldo, pagos hechos con exceso, errores o pérdidas debidamente comprobados;</w:t>
      </w:r>
    </w:p>
    <w:p w14:paraId="359CE8F2"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t>III. Cuotas sindicales;</w:t>
      </w:r>
    </w:p>
    <w:p w14:paraId="5FA16693"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t>IV. Cuotas de aportación a fondos para la constitución de cooperativas y de cajas de ahorro, siempre que el servidor público hubiese manifestado previamente, de manera expresa, su conformidad;</w:t>
      </w:r>
    </w:p>
    <w:p w14:paraId="4DE90D5D"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t>V. Descuentos ordenados por el Instituto de Seguridad Social del Estado de México y Municipios, con motivo de cuotas y obligaciones contraídas con éste por los servidores públicos;</w:t>
      </w:r>
    </w:p>
    <w:p w14:paraId="00B27B36"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como de interés social;</w:t>
      </w:r>
    </w:p>
    <w:p w14:paraId="5A2D7299"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t>VII. Faltas de puntualidad o de asistencia injustificadas;</w:t>
      </w:r>
    </w:p>
    <w:p w14:paraId="1C924954"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b/>
          <w:i/>
          <w:sz w:val="22"/>
          <w:szCs w:val="22"/>
        </w:rPr>
        <w:t>VIII. Pensiones alimenticias ordenadas por la autoridad judicial;</w:t>
      </w:r>
      <w:r w:rsidRPr="002B10E6">
        <w:rPr>
          <w:rFonts w:ascii="Palatino Linotype" w:eastAsia="Palatino Linotype" w:hAnsi="Palatino Linotype" w:cs="Palatino Linotype"/>
          <w:i/>
          <w:sz w:val="22"/>
          <w:szCs w:val="22"/>
        </w:rPr>
        <w:t xml:space="preserve"> o</w:t>
      </w:r>
    </w:p>
    <w:p w14:paraId="3313D01E"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b/>
          <w:i/>
          <w:sz w:val="22"/>
          <w:szCs w:val="22"/>
        </w:rPr>
        <w:t>IX. Cualquier otro convenido con instituciones de servicios y aceptado por el servidor público.</w:t>
      </w:r>
    </w:p>
    <w:p w14:paraId="1A23D602" w14:textId="77777777" w:rsidR="00347B0A" w:rsidRPr="002B10E6" w:rsidRDefault="005A2214">
      <w:pPr>
        <w:pBdr>
          <w:top w:val="nil"/>
          <w:left w:val="nil"/>
          <w:bottom w:val="nil"/>
          <w:right w:val="nil"/>
          <w:between w:val="nil"/>
        </w:pBdr>
        <w:ind w:left="567" w:right="709"/>
        <w:jc w:val="both"/>
      </w:pPr>
      <w:r w:rsidRPr="002B10E6">
        <w:rPr>
          <w:rFonts w:ascii="Palatino Linotype" w:eastAsia="Palatino Linotype" w:hAnsi="Palatino Linotype" w:cs="Palatino Linotype"/>
          <w:i/>
          <w:sz w:val="22"/>
          <w:szCs w:val="22"/>
        </w:rPr>
        <w:lastRenderedPageBreak/>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 </w:t>
      </w:r>
    </w:p>
    <w:p w14:paraId="6BD5CCA9" w14:textId="77777777" w:rsidR="00347B0A" w:rsidRPr="002B10E6" w:rsidRDefault="00347B0A"/>
    <w:p w14:paraId="0419699B"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Como se puede observar, la Ley del Trabajo de mérito establece claramente cuáles son esos descuentos o gravámenes que directamente se relacionan con las obligaciones adquiridas como servidores públicos y aquéllos que únicamente inciden en su vida privada. De este modo, descuentos por pensiones alimenticias o créditos adquiridos con instituciones privadas que no se relacionen con el gasto público, son información que debe clasificarse como confidencial.</w:t>
      </w:r>
    </w:p>
    <w:p w14:paraId="5DF51CAC" w14:textId="77777777" w:rsidR="00347B0A" w:rsidRPr="002B10E6" w:rsidRDefault="00347B0A">
      <w:pPr>
        <w:spacing w:line="360" w:lineRule="auto"/>
        <w:rPr>
          <w:sz w:val="22"/>
          <w:szCs w:val="22"/>
        </w:rPr>
      </w:pPr>
    </w:p>
    <w:p w14:paraId="1F59E99F"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En conclusión, los préstamos o descuentos de carácter personal, en virtud de no tener relación con la prestación del servicio y al no involucrar instituciones públicas, se consideran datos confidenciales.</w:t>
      </w:r>
    </w:p>
    <w:p w14:paraId="57644B42" w14:textId="77777777" w:rsidR="00347B0A" w:rsidRPr="002B10E6" w:rsidRDefault="00347B0A"/>
    <w:p w14:paraId="3DA7FC4B"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b/>
          <w:sz w:val="22"/>
          <w:szCs w:val="22"/>
        </w:rPr>
        <w:t>De la información fiscal</w:t>
      </w:r>
      <w:r w:rsidRPr="002B10E6">
        <w:rPr>
          <w:rFonts w:ascii="Palatino Linotype" w:eastAsia="Palatino Linotype" w:hAnsi="Palatino Linotype" w:cs="Palatino Linotype"/>
          <w:sz w:val="22"/>
          <w:szCs w:val="22"/>
        </w:rPr>
        <w:t>: </w:t>
      </w:r>
    </w:p>
    <w:p w14:paraId="70869080" w14:textId="77777777" w:rsidR="00347B0A" w:rsidRPr="002B10E6" w:rsidRDefault="00347B0A">
      <w:pPr>
        <w:spacing w:line="360" w:lineRule="auto"/>
        <w:jc w:val="both"/>
        <w:rPr>
          <w:sz w:val="22"/>
          <w:szCs w:val="22"/>
        </w:rPr>
      </w:pPr>
    </w:p>
    <w:p w14:paraId="756274BC"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La </w:t>
      </w:r>
      <w:r w:rsidRPr="002B10E6">
        <w:rPr>
          <w:rFonts w:ascii="Palatino Linotype" w:eastAsia="Palatino Linotype" w:hAnsi="Palatino Linotype" w:cs="Palatino Linotype"/>
          <w:b/>
          <w:sz w:val="22"/>
          <w:szCs w:val="22"/>
        </w:rPr>
        <w:t>Cadena Original</w:t>
      </w:r>
      <w:r w:rsidRPr="002B10E6">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más no limitativa, el RFC del receptor, es decir del servidor público. En dicho supuesto, la cadena original constituiría información que únicamente atañe al contribuyente, siendo tarea del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analizar dicha circunstancia con la finalidad de proteger, de ser el caso, la información a través de su clasificación por actualizarse el supuesto de confidencialidad.</w:t>
      </w:r>
    </w:p>
    <w:p w14:paraId="5D254269" w14:textId="77777777" w:rsidR="00347B0A" w:rsidRPr="002B10E6" w:rsidRDefault="00347B0A">
      <w:pPr>
        <w:spacing w:line="360" w:lineRule="auto"/>
        <w:jc w:val="both"/>
        <w:rPr>
          <w:sz w:val="22"/>
          <w:szCs w:val="22"/>
        </w:rPr>
      </w:pPr>
    </w:p>
    <w:p w14:paraId="7971A88F"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Los </w:t>
      </w:r>
      <w:r w:rsidRPr="002B10E6">
        <w:rPr>
          <w:rFonts w:ascii="Palatino Linotype" w:eastAsia="Palatino Linotype" w:hAnsi="Palatino Linotype" w:cs="Palatino Linotype"/>
          <w:b/>
          <w:sz w:val="22"/>
          <w:szCs w:val="22"/>
        </w:rPr>
        <w:t>códigos bidimensionales</w:t>
      </w:r>
      <w:r w:rsidRPr="002B10E6">
        <w:rPr>
          <w:rFonts w:ascii="Palatino Linotype" w:eastAsia="Palatino Linotype" w:hAnsi="Palatino Linotype" w:cs="Palatino Linotype"/>
          <w:sz w:val="22"/>
          <w:szCs w:val="22"/>
        </w:rPr>
        <w:t xml:space="preserve"> o </w:t>
      </w:r>
      <w:r w:rsidRPr="002B10E6">
        <w:rPr>
          <w:rFonts w:ascii="Palatino Linotype" w:eastAsia="Palatino Linotype" w:hAnsi="Palatino Linotype" w:cs="Palatino Linotype"/>
          <w:b/>
          <w:sz w:val="22"/>
          <w:szCs w:val="22"/>
        </w:rPr>
        <w:t xml:space="preserve">códigos QR, </w:t>
      </w:r>
      <w:r w:rsidRPr="002B10E6">
        <w:rPr>
          <w:rFonts w:ascii="Palatino Linotype" w:eastAsia="Palatino Linotype" w:hAnsi="Palatino Linotype" w:cs="Palatino Linotype"/>
          <w:sz w:val="22"/>
          <w:szCs w:val="22"/>
        </w:rPr>
        <w:t xml:space="preserve">al corresponder a barras en dos dimensiones que, al igual que los códigos de barras o códigos unidimensionales, son utilizados para </w:t>
      </w:r>
      <w:r w:rsidRPr="002B10E6">
        <w:rPr>
          <w:rFonts w:ascii="Palatino Linotype" w:eastAsia="Palatino Linotype" w:hAnsi="Palatino Linotype" w:cs="Palatino Linotype"/>
          <w:sz w:val="22"/>
          <w:szCs w:val="22"/>
        </w:rPr>
        <w:lastRenderedPageBreak/>
        <w:t xml:space="preserve">almacenar diversos tipos de datos de manera codificada, los cuales a través de lectores que pueden ser obtenidos por cualquier persona, pueden contener datos personales, no susceptibles de conocimiento público, debiendo 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analizar dicha circunstancia con la finalidad de determinar si se actualiza algún supuesto de confidencialidad.</w:t>
      </w:r>
    </w:p>
    <w:p w14:paraId="185C5DCD" w14:textId="77777777" w:rsidR="00347B0A" w:rsidRPr="002B10E6" w:rsidRDefault="00347B0A">
      <w:pPr>
        <w:spacing w:line="360" w:lineRule="auto"/>
        <w:jc w:val="both"/>
        <w:rPr>
          <w:sz w:val="22"/>
          <w:szCs w:val="22"/>
        </w:rPr>
      </w:pPr>
    </w:p>
    <w:p w14:paraId="2A875206"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En tal sentido, si derivado del análisis efectuado por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en el presente caso, se desprende que, de la información fiscal contenida en los comprobantes fiscales digitales por internet, tales como cadenas, sellos digitales y/o códigos bidimensionales, se pueden obtener datos personales como el Registro Federal de Contribuyentes, la Clave Única del Registro de Población, entre otros no susceptibles de conocimiento público que, de difundirse, pudieran hacer identificable a una persona, deberá clasificarla como confidencial, de manera fundada y motivada en términos del artículo 143, fracción I de la Ley de Transparencia y Acceso a la Información Pública del Estado de México y Municipios.</w:t>
      </w:r>
    </w:p>
    <w:p w14:paraId="24626DC6" w14:textId="77777777" w:rsidR="00347B0A" w:rsidRPr="002B10E6" w:rsidRDefault="00347B0A">
      <w:pPr>
        <w:spacing w:line="360" w:lineRule="auto"/>
        <w:jc w:val="both"/>
        <w:rPr>
          <w:sz w:val="22"/>
          <w:szCs w:val="22"/>
        </w:rPr>
      </w:pPr>
    </w:p>
    <w:p w14:paraId="6F1A043E"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Dicho lo anterior, es de recordar que determinar la clasificación de la información es un trabajo en conjunto tanto de los Servidores Públicos Habilitados, de las Unidades de Transparencia y del Comité de Transparencia del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421AB05" w14:textId="77777777" w:rsidR="00347B0A" w:rsidRPr="002B10E6" w:rsidRDefault="00347B0A">
      <w:pPr>
        <w:spacing w:line="360" w:lineRule="auto"/>
        <w:jc w:val="both"/>
        <w:rPr>
          <w:sz w:val="22"/>
          <w:szCs w:val="22"/>
        </w:rPr>
      </w:pPr>
    </w:p>
    <w:p w14:paraId="2AAAB942"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14:paraId="7291D5AA" w14:textId="77777777" w:rsidR="00347B0A" w:rsidRPr="002B10E6" w:rsidRDefault="00347B0A"/>
    <w:p w14:paraId="5FBEDFE7" w14:textId="77777777" w:rsidR="00347B0A" w:rsidRPr="002B10E6" w:rsidRDefault="005A2214">
      <w:pPr>
        <w:pBdr>
          <w:top w:val="nil"/>
          <w:left w:val="nil"/>
          <w:bottom w:val="nil"/>
          <w:right w:val="nil"/>
          <w:between w:val="nil"/>
        </w:pBdr>
        <w:ind w:left="993" w:right="1041"/>
        <w:jc w:val="both"/>
      </w:pPr>
      <w:r w:rsidRPr="002B10E6">
        <w:rPr>
          <w:rFonts w:ascii="Palatino Linotype" w:eastAsia="Palatino Linotype" w:hAnsi="Palatino Linotype" w:cs="Palatino Linotype"/>
          <w:i/>
          <w:sz w:val="22"/>
          <w:szCs w:val="22"/>
        </w:rPr>
        <w:lastRenderedPageBreak/>
        <w:t>“</w:t>
      </w:r>
      <w:r w:rsidRPr="002B10E6">
        <w:rPr>
          <w:rFonts w:ascii="Palatino Linotype" w:eastAsia="Palatino Linotype" w:hAnsi="Palatino Linotype" w:cs="Palatino Linotype"/>
          <w:b/>
          <w:i/>
          <w:sz w:val="22"/>
          <w:szCs w:val="22"/>
        </w:rPr>
        <w:t>Artículo 149.</w:t>
      </w:r>
      <w:r w:rsidRPr="002B10E6">
        <w:rPr>
          <w:rFonts w:ascii="Palatino Linotype" w:eastAsia="Palatino Linotype" w:hAnsi="Palatino Linotype" w:cs="Palatino Linotype"/>
          <w:i/>
          <w:sz w:val="22"/>
          <w:szCs w:val="22"/>
        </w:rPr>
        <w:t xml:space="preserve"> El </w:t>
      </w:r>
      <w:r w:rsidRPr="002B10E6">
        <w:rPr>
          <w:rFonts w:ascii="Palatino Linotype" w:eastAsia="Palatino Linotype" w:hAnsi="Palatino Linotype" w:cs="Palatino Linotype"/>
          <w:b/>
          <w:i/>
          <w:sz w:val="22"/>
          <w:szCs w:val="22"/>
        </w:rPr>
        <w:t>acuerdo que clasifique la información como confidencial</w:t>
      </w:r>
      <w:r w:rsidRPr="002B10E6">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w:t>
      </w:r>
    </w:p>
    <w:p w14:paraId="38A09894" w14:textId="77777777" w:rsidR="00347B0A" w:rsidRPr="002B10E6" w:rsidRDefault="00347B0A"/>
    <w:p w14:paraId="040A42AE" w14:textId="77777777" w:rsidR="00347B0A" w:rsidRPr="002B10E6" w:rsidRDefault="005A2214">
      <w:pPr>
        <w:pBdr>
          <w:top w:val="nil"/>
          <w:left w:val="nil"/>
          <w:bottom w:val="nil"/>
          <w:right w:val="nil"/>
          <w:between w:val="nil"/>
        </w:pBdr>
        <w:spacing w:line="360" w:lineRule="auto"/>
        <w:ind w:right="51"/>
        <w:jc w:val="both"/>
        <w:rPr>
          <w:sz w:val="22"/>
          <w:szCs w:val="22"/>
        </w:rPr>
      </w:pPr>
      <w:r w:rsidRPr="002B10E6">
        <w:rPr>
          <w:rFonts w:ascii="Palatino Linotype" w:eastAsia="Palatino Linotype" w:hAnsi="Palatino Linotype" w:cs="Palatino Linotype"/>
          <w:sz w:val="22"/>
          <w:szCs w:val="22"/>
        </w:rPr>
        <w:t xml:space="preserve">Es decir,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8ACC9AE" w14:textId="77777777" w:rsidR="00347B0A" w:rsidRPr="002B10E6" w:rsidRDefault="00347B0A">
      <w:pPr>
        <w:spacing w:line="360" w:lineRule="auto"/>
        <w:rPr>
          <w:sz w:val="22"/>
          <w:szCs w:val="22"/>
        </w:rPr>
      </w:pPr>
    </w:p>
    <w:p w14:paraId="37C1E217"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240B69F1" w14:textId="77777777" w:rsidR="00347B0A" w:rsidRPr="002B10E6" w:rsidRDefault="00347B0A">
      <w:pPr>
        <w:spacing w:line="360" w:lineRule="auto"/>
        <w:rPr>
          <w:sz w:val="22"/>
          <w:szCs w:val="22"/>
        </w:rPr>
      </w:pPr>
    </w:p>
    <w:p w14:paraId="64EC175E"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siendo estas las siguientes:</w:t>
      </w:r>
    </w:p>
    <w:p w14:paraId="504962AA" w14:textId="77777777" w:rsidR="00347B0A" w:rsidRPr="002B10E6" w:rsidRDefault="00347B0A"/>
    <w:p w14:paraId="2A5AF4B7" w14:textId="77777777" w:rsidR="00347B0A" w:rsidRPr="002B10E6" w:rsidRDefault="005A2214">
      <w:pPr>
        <w:pBdr>
          <w:top w:val="nil"/>
          <w:left w:val="nil"/>
          <w:bottom w:val="nil"/>
          <w:right w:val="nil"/>
          <w:between w:val="nil"/>
        </w:pBdr>
        <w:ind w:left="567"/>
        <w:jc w:val="both"/>
      </w:pPr>
      <w:r w:rsidRPr="002B10E6">
        <w:rPr>
          <w:rFonts w:ascii="Palatino Linotype" w:eastAsia="Palatino Linotype" w:hAnsi="Palatino Linotype" w:cs="Palatino Linotype"/>
          <w:i/>
          <w:sz w:val="22"/>
          <w:szCs w:val="22"/>
        </w:rPr>
        <w:lastRenderedPageBreak/>
        <w:t>“CAPÍTULO VIII </w:t>
      </w:r>
    </w:p>
    <w:p w14:paraId="7E6AEBF7" w14:textId="77777777" w:rsidR="00347B0A" w:rsidRPr="002B10E6" w:rsidRDefault="005A2214">
      <w:pPr>
        <w:pBdr>
          <w:top w:val="nil"/>
          <w:left w:val="nil"/>
          <w:bottom w:val="nil"/>
          <w:right w:val="nil"/>
          <w:between w:val="nil"/>
        </w:pBdr>
        <w:ind w:left="567"/>
        <w:jc w:val="both"/>
      </w:pPr>
      <w:r w:rsidRPr="002B10E6">
        <w:rPr>
          <w:rFonts w:ascii="Palatino Linotype" w:eastAsia="Palatino Linotype" w:hAnsi="Palatino Linotype" w:cs="Palatino Linotype"/>
          <w:i/>
          <w:sz w:val="22"/>
          <w:szCs w:val="22"/>
        </w:rPr>
        <w:t>DE LOS ELEMENTOS PARA LA CLASIFICACIÓN </w:t>
      </w:r>
    </w:p>
    <w:p w14:paraId="66EB5A9D"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b/>
          <w:i/>
          <w:sz w:val="22"/>
          <w:szCs w:val="22"/>
        </w:rPr>
        <w:t>Quincuagésimo.</w:t>
      </w:r>
      <w:r w:rsidRPr="002B10E6">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6E002AD9"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b/>
          <w:i/>
          <w:sz w:val="22"/>
          <w:szCs w:val="22"/>
        </w:rPr>
        <w:t>Quincuagésimo primero.</w:t>
      </w:r>
      <w:r w:rsidRPr="002B10E6">
        <w:rPr>
          <w:rFonts w:ascii="Palatino Linotype" w:eastAsia="Palatino Linotype" w:hAnsi="Palatino Linotype" w:cs="Palatino Linotype"/>
          <w:i/>
          <w:sz w:val="22"/>
          <w:szCs w:val="22"/>
        </w:rPr>
        <w:t xml:space="preserve"> Toda acta del Comité de Transparencia deberá contener: </w:t>
      </w:r>
    </w:p>
    <w:p w14:paraId="1778C3AA" w14:textId="77777777" w:rsidR="00347B0A" w:rsidRPr="002B10E6" w:rsidRDefault="005A2214">
      <w:pPr>
        <w:numPr>
          <w:ilvl w:val="0"/>
          <w:numId w:val="1"/>
        </w:numPr>
        <w:pBdr>
          <w:top w:val="nil"/>
          <w:left w:val="nil"/>
          <w:bottom w:val="nil"/>
          <w:right w:val="nil"/>
          <w:between w:val="nil"/>
        </w:pBdr>
        <w:ind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El número de sesión y fecha; </w:t>
      </w:r>
    </w:p>
    <w:p w14:paraId="0EF71BEA" w14:textId="77777777" w:rsidR="00347B0A" w:rsidRPr="002B10E6" w:rsidRDefault="005A2214">
      <w:pPr>
        <w:numPr>
          <w:ilvl w:val="0"/>
          <w:numId w:val="1"/>
        </w:numPr>
        <w:pBdr>
          <w:top w:val="nil"/>
          <w:left w:val="nil"/>
          <w:bottom w:val="nil"/>
          <w:right w:val="nil"/>
          <w:between w:val="nil"/>
        </w:pBdr>
        <w:ind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El nombre del área que solicitó la clasificación de información; </w:t>
      </w:r>
    </w:p>
    <w:p w14:paraId="38F69A9A" w14:textId="77777777" w:rsidR="00347B0A" w:rsidRPr="002B10E6" w:rsidRDefault="005A2214">
      <w:pPr>
        <w:numPr>
          <w:ilvl w:val="0"/>
          <w:numId w:val="1"/>
        </w:numPr>
        <w:pBdr>
          <w:top w:val="nil"/>
          <w:left w:val="nil"/>
          <w:bottom w:val="nil"/>
          <w:right w:val="nil"/>
          <w:between w:val="nil"/>
        </w:pBdr>
        <w:ind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La fundamentación legal y motivación correspondiente; </w:t>
      </w:r>
    </w:p>
    <w:p w14:paraId="6795E16E" w14:textId="77777777" w:rsidR="00347B0A" w:rsidRPr="002B10E6" w:rsidRDefault="005A2214">
      <w:pPr>
        <w:numPr>
          <w:ilvl w:val="0"/>
          <w:numId w:val="1"/>
        </w:numPr>
        <w:pBdr>
          <w:top w:val="nil"/>
          <w:left w:val="nil"/>
          <w:bottom w:val="nil"/>
          <w:right w:val="nil"/>
          <w:between w:val="nil"/>
        </w:pBdr>
        <w:ind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La resolución o resoluciones aprobadas; y </w:t>
      </w:r>
    </w:p>
    <w:p w14:paraId="7BF630D8" w14:textId="77777777" w:rsidR="00347B0A" w:rsidRPr="002B10E6" w:rsidRDefault="005A2214">
      <w:pPr>
        <w:numPr>
          <w:ilvl w:val="0"/>
          <w:numId w:val="1"/>
        </w:numPr>
        <w:pBdr>
          <w:top w:val="nil"/>
          <w:left w:val="nil"/>
          <w:bottom w:val="nil"/>
          <w:right w:val="nil"/>
          <w:between w:val="nil"/>
        </w:pBdr>
        <w:ind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La rúbrica o firma digital de cada integrante del Comité de Transparencia. </w:t>
      </w:r>
    </w:p>
    <w:p w14:paraId="2EBCC049" w14:textId="77777777" w:rsidR="00347B0A" w:rsidRPr="002B10E6" w:rsidRDefault="00347B0A"/>
    <w:p w14:paraId="1A298710"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 </w:t>
      </w:r>
    </w:p>
    <w:p w14:paraId="462F42C9"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I. Los motivos y razonamientos que sustenten la confirmación o modificación de la prueba de daño;</w:t>
      </w:r>
    </w:p>
    <w:p w14:paraId="1E21E7EC"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II. Descripción de las partes o secciones reservadas, en caso de clasificación parcial; </w:t>
      </w:r>
    </w:p>
    <w:p w14:paraId="15CB067A"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III. El periodo por el que mantendrá su clasificación y fecha de expiración; y </w:t>
      </w:r>
    </w:p>
    <w:p w14:paraId="28C44393"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IV. El nombre del titular y área encargada de realizar la versión pública del documento, en su caso. </w:t>
      </w:r>
    </w:p>
    <w:p w14:paraId="0C611C4C"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En los casos en que se clasifique la información como reservada siempre se entregará o anexará la prueba de daño con la respuesta al solicitante. </w:t>
      </w:r>
    </w:p>
    <w:p w14:paraId="04874470"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54593256"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b/>
          <w:i/>
          <w:sz w:val="22"/>
          <w:szCs w:val="22"/>
        </w:rPr>
        <w:t xml:space="preserve">Quincuagésimo segundo. </w:t>
      </w:r>
      <w:r w:rsidRPr="002B10E6">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CECE92D"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7BA5EAE"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I. Fijar la fecha en que se elaboró la versión pública y la fecha en la cual el Comité de</w:t>
      </w:r>
    </w:p>
    <w:p w14:paraId="33CF1274"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Transparencia confirmó dicha versión;</w:t>
      </w:r>
    </w:p>
    <w:p w14:paraId="2A03AC6E"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69FACBF4"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lastRenderedPageBreak/>
        <w:t>III. Señalar las personas o instancias autorizadas a acceder a la información clasificada.</w:t>
      </w:r>
    </w:p>
    <w:p w14:paraId="556F413B" w14:textId="77777777" w:rsidR="00347B0A" w:rsidRPr="002B10E6" w:rsidRDefault="005A2214">
      <w:pPr>
        <w:pBdr>
          <w:top w:val="nil"/>
          <w:left w:val="nil"/>
          <w:bottom w:val="nil"/>
          <w:right w:val="nil"/>
          <w:between w:val="nil"/>
        </w:pBdr>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28265C5C"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i/>
          <w:sz w:val="22"/>
          <w:szCs w:val="22"/>
        </w:rPr>
        <w:t>…</w:t>
      </w:r>
    </w:p>
    <w:p w14:paraId="62B20CC9" w14:textId="77777777" w:rsidR="00347B0A" w:rsidRPr="002B10E6" w:rsidRDefault="005A2214">
      <w:pPr>
        <w:pBdr>
          <w:top w:val="nil"/>
          <w:left w:val="nil"/>
          <w:bottom w:val="nil"/>
          <w:right w:val="nil"/>
          <w:between w:val="nil"/>
        </w:pBdr>
        <w:ind w:left="567" w:right="900"/>
        <w:jc w:val="both"/>
      </w:pPr>
      <w:r w:rsidRPr="002B10E6">
        <w:rPr>
          <w:rFonts w:ascii="Palatino Linotype" w:eastAsia="Palatino Linotype" w:hAnsi="Palatino Linotype" w:cs="Palatino Linotype"/>
          <w:b/>
          <w:i/>
          <w:sz w:val="22"/>
          <w:szCs w:val="22"/>
        </w:rPr>
        <w:t xml:space="preserve">Quincuagésimo quinto. </w:t>
      </w:r>
      <w:r w:rsidRPr="002B10E6">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2B10E6">
        <w:rPr>
          <w:rFonts w:ascii="Palatino Linotype" w:eastAsia="Palatino Linotype" w:hAnsi="Palatino Linotype" w:cs="Palatino Linotype"/>
          <w:i/>
          <w:sz w:val="22"/>
          <w:szCs w:val="22"/>
        </w:rPr>
        <w:t>testado</w:t>
      </w:r>
      <w:proofErr w:type="spellEnd"/>
      <w:r w:rsidRPr="002B10E6">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63A17347" w14:textId="77777777" w:rsidR="00347B0A" w:rsidRPr="002B10E6" w:rsidRDefault="00347B0A"/>
    <w:p w14:paraId="43D05916"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2AF68938" w14:textId="77777777" w:rsidR="00347B0A" w:rsidRPr="002B10E6" w:rsidRDefault="00347B0A">
      <w:pPr>
        <w:spacing w:line="360" w:lineRule="auto"/>
        <w:rPr>
          <w:sz w:val="22"/>
          <w:szCs w:val="22"/>
        </w:rPr>
      </w:pPr>
    </w:p>
    <w:p w14:paraId="4EFAF638" w14:textId="77777777" w:rsidR="00347B0A" w:rsidRPr="002B10E6" w:rsidRDefault="005A2214">
      <w:pPr>
        <w:pBdr>
          <w:top w:val="nil"/>
          <w:left w:val="nil"/>
          <w:bottom w:val="nil"/>
          <w:right w:val="nil"/>
          <w:between w:val="nil"/>
        </w:pBdr>
        <w:spacing w:line="360" w:lineRule="auto"/>
        <w:jc w:val="both"/>
        <w:rPr>
          <w:sz w:val="22"/>
          <w:szCs w:val="22"/>
        </w:rPr>
      </w:pPr>
      <w:r w:rsidRPr="002B10E6">
        <w:rPr>
          <w:rFonts w:ascii="Palatino Linotype" w:eastAsia="Palatino Linotype" w:hAnsi="Palatino Linotype" w:cs="Palatino Linotype"/>
          <w:sz w:val="22"/>
          <w:szCs w:val="22"/>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Recurrente.</w:t>
      </w:r>
    </w:p>
    <w:p w14:paraId="0CC4AA1F" w14:textId="77777777" w:rsidR="00347B0A" w:rsidRPr="002B10E6" w:rsidRDefault="00347B0A">
      <w:pPr>
        <w:spacing w:line="360" w:lineRule="auto"/>
        <w:rPr>
          <w:sz w:val="22"/>
          <w:szCs w:val="22"/>
        </w:rPr>
      </w:pPr>
    </w:p>
    <w:p w14:paraId="6FBF30B0" w14:textId="77777777" w:rsidR="00347B0A" w:rsidRPr="002B10E6" w:rsidRDefault="005A2214">
      <w:pPr>
        <w:pBdr>
          <w:top w:val="nil"/>
          <w:left w:val="nil"/>
          <w:bottom w:val="nil"/>
          <w:right w:val="nil"/>
          <w:between w:val="nil"/>
        </w:pBdr>
        <w:spacing w:line="360" w:lineRule="auto"/>
        <w:jc w:val="both"/>
        <w:rPr>
          <w:rFonts w:ascii="Palatino Linotype" w:eastAsia="Palatino Linotype" w:hAnsi="Palatino Linotype" w:cs="Palatino Linotype"/>
        </w:rPr>
      </w:pPr>
      <w:r w:rsidRPr="002B10E6">
        <w:rPr>
          <w:rFonts w:ascii="Palatino Linotype" w:eastAsia="Palatino Linotype" w:hAnsi="Palatino Linotype" w:cs="Palatino Linotype"/>
          <w:sz w:val="22"/>
          <w:szCs w:val="22"/>
        </w:rPr>
        <w:t xml:space="preserve"> De este modo, como ha sido señalado en la presente resolución, en armonía entre los principios constitucionales de máxima publicidad y de protección de datos personales, la Ley de Transparencia y Acceso a la Información Pública del Estado de México y Municipios </w:t>
      </w:r>
      <w:r w:rsidRPr="002B10E6">
        <w:rPr>
          <w:rFonts w:ascii="Palatino Linotype" w:eastAsia="Palatino Linotype" w:hAnsi="Palatino Linotype" w:cs="Palatino Linotype"/>
          <w:sz w:val="22"/>
          <w:szCs w:val="22"/>
        </w:rPr>
        <w:lastRenderedPageBreak/>
        <w:t>permite la elaboración de versiones públicas en las que se suprima aquella información relacionada con la vida privada.</w:t>
      </w:r>
    </w:p>
    <w:p w14:paraId="14BBD071" w14:textId="77777777" w:rsidR="00347B0A" w:rsidRPr="002B10E6" w:rsidRDefault="00347B0A">
      <w:pPr>
        <w:pBdr>
          <w:top w:val="nil"/>
          <w:left w:val="nil"/>
          <w:bottom w:val="nil"/>
          <w:right w:val="nil"/>
          <w:between w:val="nil"/>
        </w:pBdr>
        <w:jc w:val="both"/>
      </w:pPr>
    </w:p>
    <w:p w14:paraId="04384650" w14:textId="77777777" w:rsidR="00347B0A" w:rsidRPr="002B10E6" w:rsidRDefault="005A2214">
      <w:pPr>
        <w:pBdr>
          <w:top w:val="nil"/>
          <w:left w:val="nil"/>
          <w:bottom w:val="nil"/>
          <w:right w:val="nil"/>
          <w:between w:val="nil"/>
        </w:pBdr>
        <w:spacing w:line="360" w:lineRule="auto"/>
        <w:jc w:val="both"/>
      </w:pPr>
      <w:r w:rsidRPr="002B10E6">
        <w:rPr>
          <w:rFonts w:ascii="Palatino Linotype" w:eastAsia="Palatino Linotype" w:hAnsi="Palatino Linotype" w:cs="Palatino Linotype"/>
          <w:sz w:val="22"/>
          <w:szCs w:val="22"/>
        </w:rPr>
        <w:t xml:space="preserve">Es por todo lo expuesto que resulta procedente revocar la respuesta en términos de la fracción III del artículo 186 de la Ley de Transparencia y Acceso a la Información Pública del Estado de México y Municipios, a efectos de que el </w:t>
      </w:r>
      <w:r w:rsidRPr="002B10E6">
        <w:rPr>
          <w:rFonts w:ascii="Palatino Linotype" w:eastAsia="Palatino Linotype" w:hAnsi="Palatino Linotype" w:cs="Palatino Linotype"/>
          <w:b/>
          <w:sz w:val="22"/>
          <w:szCs w:val="22"/>
        </w:rPr>
        <w:t xml:space="preserve">Sujeto Obligado </w:t>
      </w:r>
      <w:r w:rsidRPr="002B10E6">
        <w:rPr>
          <w:rFonts w:ascii="Palatino Linotype" w:eastAsia="Palatino Linotype" w:hAnsi="Palatino Linotype" w:cs="Palatino Linotype"/>
          <w:sz w:val="22"/>
          <w:szCs w:val="22"/>
        </w:rPr>
        <w:t>entregue la información requerida.</w:t>
      </w:r>
    </w:p>
    <w:p w14:paraId="7DEE1492" w14:textId="77777777" w:rsidR="00347B0A" w:rsidRPr="002B10E6" w:rsidRDefault="00347B0A">
      <w:pPr>
        <w:spacing w:line="360" w:lineRule="auto"/>
        <w:jc w:val="both"/>
        <w:rPr>
          <w:rFonts w:ascii="Palatino Linotype" w:eastAsia="Palatino Linotype" w:hAnsi="Palatino Linotype" w:cs="Palatino Linotype"/>
          <w:sz w:val="22"/>
          <w:szCs w:val="22"/>
        </w:rPr>
      </w:pPr>
    </w:p>
    <w:p w14:paraId="31981702" w14:textId="77777777" w:rsidR="00347B0A" w:rsidRPr="002B10E6" w:rsidRDefault="005A2214">
      <w:pPr>
        <w:spacing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32B765D8" w14:textId="77777777" w:rsidR="00347B0A" w:rsidRPr="002B10E6" w:rsidRDefault="005A2214">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bookmarkStart w:id="9" w:name="_heading=h.ijv98pntcd5s" w:colFirst="0" w:colLast="0"/>
      <w:bookmarkEnd w:id="9"/>
      <w:r w:rsidRPr="002B10E6">
        <w:rPr>
          <w:rFonts w:ascii="Palatino Linotype" w:eastAsia="Palatino Linotype" w:hAnsi="Palatino Linotype" w:cs="Palatino Linotype"/>
          <w:b/>
        </w:rPr>
        <w:t>III. R E S U E L V E</w:t>
      </w:r>
    </w:p>
    <w:p w14:paraId="40CAD933"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10" w:name="_heading=h.26in1rg" w:colFirst="0" w:colLast="0"/>
      <w:bookmarkEnd w:id="10"/>
      <w:r w:rsidRPr="002B10E6">
        <w:rPr>
          <w:rFonts w:ascii="Palatino Linotype" w:eastAsia="Palatino Linotype" w:hAnsi="Palatino Linotype" w:cs="Palatino Linotype"/>
          <w:b/>
          <w:sz w:val="22"/>
          <w:szCs w:val="22"/>
        </w:rPr>
        <w:t xml:space="preserve">Primero. </w:t>
      </w:r>
      <w:r w:rsidRPr="002B10E6">
        <w:rPr>
          <w:rFonts w:ascii="Palatino Linotype" w:eastAsia="Palatino Linotype" w:hAnsi="Palatino Linotype" w:cs="Palatino Linotype"/>
          <w:sz w:val="22"/>
          <w:szCs w:val="22"/>
        </w:rPr>
        <w:t xml:space="preserve">Resultan </w:t>
      </w:r>
      <w:r w:rsidRPr="002B10E6">
        <w:rPr>
          <w:rFonts w:ascii="Palatino Linotype" w:eastAsia="Palatino Linotype" w:hAnsi="Palatino Linotype" w:cs="Palatino Linotype"/>
          <w:b/>
          <w:sz w:val="22"/>
          <w:szCs w:val="22"/>
        </w:rPr>
        <w:t>fundadas</w:t>
      </w:r>
      <w:r w:rsidRPr="002B10E6">
        <w:rPr>
          <w:rFonts w:ascii="Palatino Linotype" w:eastAsia="Palatino Linotype" w:hAnsi="Palatino Linotype" w:cs="Palatino Linotype"/>
          <w:sz w:val="22"/>
          <w:szCs w:val="22"/>
        </w:rPr>
        <w:t xml:space="preserve"> las razones o motivos de inconformidad hechos valer por </w:t>
      </w:r>
      <w:r w:rsidRPr="002B10E6">
        <w:rPr>
          <w:rFonts w:ascii="Palatino Linotype" w:eastAsia="Palatino Linotype" w:hAnsi="Palatino Linotype" w:cs="Palatino Linotype"/>
          <w:b/>
          <w:sz w:val="22"/>
          <w:szCs w:val="22"/>
        </w:rPr>
        <w:t>la parte Recurrente</w:t>
      </w:r>
      <w:r w:rsidRPr="002B10E6">
        <w:rPr>
          <w:rFonts w:ascii="Palatino Linotype" w:eastAsia="Palatino Linotype" w:hAnsi="Palatino Linotype" w:cs="Palatino Linotype"/>
          <w:sz w:val="22"/>
          <w:szCs w:val="22"/>
        </w:rPr>
        <w:t xml:space="preserve"> en el recurso de revisión </w:t>
      </w:r>
      <w:r w:rsidRPr="002B10E6">
        <w:rPr>
          <w:rFonts w:ascii="Palatino Linotype" w:eastAsia="Palatino Linotype" w:hAnsi="Palatino Linotype" w:cs="Palatino Linotype"/>
          <w:b/>
          <w:sz w:val="22"/>
          <w:szCs w:val="22"/>
        </w:rPr>
        <w:t>00159/INFOEM/IP/RR/2025</w:t>
      </w:r>
      <w:r w:rsidRPr="002B10E6">
        <w:rPr>
          <w:rFonts w:ascii="Palatino Linotype" w:eastAsia="Palatino Linotype" w:hAnsi="Palatino Linotype" w:cs="Palatino Linotype"/>
          <w:sz w:val="22"/>
          <w:szCs w:val="22"/>
        </w:rPr>
        <w:t xml:space="preserve">; por lo que, en términos del </w:t>
      </w:r>
      <w:r w:rsidRPr="002B10E6">
        <w:rPr>
          <w:rFonts w:ascii="Palatino Linotype" w:eastAsia="Palatino Linotype" w:hAnsi="Palatino Linotype" w:cs="Palatino Linotype"/>
          <w:b/>
          <w:sz w:val="22"/>
          <w:szCs w:val="22"/>
        </w:rPr>
        <w:t>Considerando</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 xml:space="preserve">Cuarto </w:t>
      </w:r>
      <w:r w:rsidRPr="002B10E6">
        <w:rPr>
          <w:rFonts w:ascii="Palatino Linotype" w:eastAsia="Palatino Linotype" w:hAnsi="Palatino Linotype" w:cs="Palatino Linotype"/>
          <w:sz w:val="22"/>
          <w:szCs w:val="22"/>
        </w:rPr>
        <w:t xml:space="preserve">de esta resolución, se </w:t>
      </w:r>
      <w:r w:rsidRPr="002B10E6">
        <w:rPr>
          <w:rFonts w:ascii="Palatino Linotype" w:eastAsia="Palatino Linotype" w:hAnsi="Palatino Linotype" w:cs="Palatino Linotype"/>
          <w:b/>
          <w:sz w:val="22"/>
          <w:szCs w:val="22"/>
        </w:rPr>
        <w:t xml:space="preserve">REVOCA </w:t>
      </w:r>
      <w:r w:rsidRPr="002B10E6">
        <w:rPr>
          <w:rFonts w:ascii="Palatino Linotype" w:eastAsia="Palatino Linotype" w:hAnsi="Palatino Linotype" w:cs="Palatino Linotype"/>
          <w:sz w:val="22"/>
          <w:szCs w:val="22"/>
        </w:rPr>
        <w:t xml:space="preserve">la respuesta emitida por el </w:t>
      </w:r>
      <w:r w:rsidRPr="002B10E6">
        <w:rPr>
          <w:rFonts w:ascii="Palatino Linotype" w:eastAsia="Palatino Linotype" w:hAnsi="Palatino Linotype" w:cs="Palatino Linotype"/>
          <w:b/>
          <w:sz w:val="22"/>
          <w:szCs w:val="22"/>
        </w:rPr>
        <w:t xml:space="preserve">Sujeto Obligado. </w:t>
      </w:r>
    </w:p>
    <w:p w14:paraId="40FB492D" w14:textId="77777777" w:rsidR="00347B0A" w:rsidRPr="002B10E6" w:rsidRDefault="005A2214">
      <w:pPr>
        <w:spacing w:before="240" w:after="240" w:line="360" w:lineRule="auto"/>
        <w:ind w:right="49"/>
        <w:jc w:val="both"/>
        <w:rPr>
          <w:rFonts w:ascii="Palatino Linotype" w:eastAsia="Palatino Linotype" w:hAnsi="Palatino Linotype" w:cs="Palatino Linotype"/>
          <w:b/>
          <w:sz w:val="22"/>
          <w:szCs w:val="22"/>
        </w:rPr>
      </w:pPr>
      <w:r w:rsidRPr="002B10E6">
        <w:rPr>
          <w:rFonts w:ascii="Palatino Linotype" w:eastAsia="Palatino Linotype" w:hAnsi="Palatino Linotype" w:cs="Palatino Linotype"/>
          <w:b/>
          <w:sz w:val="22"/>
          <w:szCs w:val="22"/>
        </w:rPr>
        <w:t xml:space="preserve">Segundo. </w:t>
      </w:r>
      <w:r w:rsidRPr="002B10E6">
        <w:rPr>
          <w:rFonts w:ascii="Palatino Linotype" w:eastAsia="Palatino Linotype" w:hAnsi="Palatino Linotype" w:cs="Palatino Linotype"/>
          <w:sz w:val="22"/>
          <w:szCs w:val="22"/>
        </w:rPr>
        <w:t xml:space="preserve">Se </w:t>
      </w:r>
      <w:r w:rsidRPr="002B10E6">
        <w:rPr>
          <w:rFonts w:ascii="Palatino Linotype" w:eastAsia="Palatino Linotype" w:hAnsi="Palatino Linotype" w:cs="Palatino Linotype"/>
          <w:b/>
          <w:sz w:val="22"/>
          <w:szCs w:val="22"/>
        </w:rPr>
        <w:t xml:space="preserve">Ordena </w:t>
      </w:r>
      <w:r w:rsidRPr="002B10E6">
        <w:rPr>
          <w:rFonts w:ascii="Palatino Linotype" w:eastAsia="Palatino Linotype" w:hAnsi="Palatino Linotype" w:cs="Palatino Linotype"/>
          <w:sz w:val="22"/>
          <w:szCs w:val="22"/>
        </w:rPr>
        <w:t xml:space="preserve">al </w:t>
      </w:r>
      <w:r w:rsidRPr="002B10E6">
        <w:rPr>
          <w:rFonts w:ascii="Palatino Linotype" w:eastAsia="Palatino Linotype" w:hAnsi="Palatino Linotype" w:cs="Palatino Linotype"/>
          <w:b/>
          <w:sz w:val="22"/>
          <w:szCs w:val="22"/>
        </w:rPr>
        <w:t>Sujeto Obligado</w:t>
      </w:r>
      <w:r w:rsidRPr="002B10E6">
        <w:rPr>
          <w:rFonts w:ascii="Palatino Linotype" w:eastAsia="Palatino Linotype" w:hAnsi="Palatino Linotype" w:cs="Palatino Linotype"/>
          <w:sz w:val="22"/>
          <w:szCs w:val="22"/>
        </w:rPr>
        <w:t xml:space="preserve"> haga entrega, </w:t>
      </w:r>
      <w:r w:rsidRPr="002B10E6">
        <w:rPr>
          <w:rFonts w:ascii="Palatino Linotype" w:eastAsia="Palatino Linotype" w:hAnsi="Palatino Linotype" w:cs="Palatino Linotype"/>
          <w:b/>
          <w:sz w:val="22"/>
          <w:szCs w:val="22"/>
        </w:rPr>
        <w:t>previa búsqueda exhaustiva y razonable</w:t>
      </w:r>
      <w:r w:rsidRPr="002B10E6">
        <w:rPr>
          <w:rFonts w:ascii="Palatino Linotype" w:eastAsia="Palatino Linotype" w:hAnsi="Palatino Linotype" w:cs="Palatino Linotype"/>
          <w:sz w:val="22"/>
          <w:szCs w:val="22"/>
        </w:rPr>
        <w:t xml:space="preserve">, en </w:t>
      </w:r>
      <w:r w:rsidRPr="002B10E6">
        <w:rPr>
          <w:rFonts w:ascii="Palatino Linotype" w:eastAsia="Palatino Linotype" w:hAnsi="Palatino Linotype" w:cs="Palatino Linotype"/>
          <w:b/>
          <w:sz w:val="22"/>
          <w:szCs w:val="22"/>
        </w:rPr>
        <w:t>versión pública de ser procedente,</w:t>
      </w:r>
      <w:r w:rsidRPr="002B10E6">
        <w:rPr>
          <w:rFonts w:ascii="Palatino Linotype" w:eastAsia="Palatino Linotype" w:hAnsi="Palatino Linotype" w:cs="Palatino Linotype"/>
          <w:sz w:val="22"/>
          <w:szCs w:val="22"/>
        </w:rPr>
        <w:t xml:space="preserve"> a</w:t>
      </w:r>
      <w:r w:rsidRPr="002B10E6">
        <w:rPr>
          <w:rFonts w:ascii="Palatino Linotype" w:eastAsia="Palatino Linotype" w:hAnsi="Palatino Linotype" w:cs="Palatino Linotype"/>
          <w:b/>
          <w:sz w:val="22"/>
          <w:szCs w:val="22"/>
        </w:rPr>
        <w:t xml:space="preserve"> la parte Recurrente,</w:t>
      </w:r>
      <w:r w:rsidRPr="002B10E6">
        <w:rPr>
          <w:rFonts w:ascii="Palatino Linotype" w:eastAsia="Palatino Linotype" w:hAnsi="Palatino Linotype" w:cs="Palatino Linotype"/>
          <w:sz w:val="22"/>
          <w:szCs w:val="22"/>
        </w:rPr>
        <w:t xml:space="preserve"> vía </w:t>
      </w:r>
      <w:r w:rsidRPr="002B10E6">
        <w:rPr>
          <w:rFonts w:ascii="Palatino Linotype" w:eastAsia="Palatino Linotype" w:hAnsi="Palatino Linotype" w:cs="Palatino Linotype"/>
          <w:b/>
          <w:sz w:val="22"/>
          <w:szCs w:val="22"/>
        </w:rPr>
        <w:t xml:space="preserve">SAIMEX, </w:t>
      </w:r>
      <w:r w:rsidRPr="002B10E6">
        <w:rPr>
          <w:rFonts w:ascii="Palatino Linotype" w:eastAsia="Palatino Linotype" w:hAnsi="Palatino Linotype" w:cs="Palatino Linotype"/>
          <w:sz w:val="22"/>
          <w:szCs w:val="22"/>
        </w:rPr>
        <w:t xml:space="preserve">en términos de los </w:t>
      </w:r>
      <w:r w:rsidRPr="002B10E6">
        <w:rPr>
          <w:rFonts w:ascii="Palatino Linotype" w:eastAsia="Palatino Linotype" w:hAnsi="Palatino Linotype" w:cs="Palatino Linotype"/>
          <w:b/>
          <w:sz w:val="22"/>
          <w:szCs w:val="22"/>
        </w:rPr>
        <w:t>Considerandos</w:t>
      </w:r>
      <w:r w:rsidRPr="002B10E6">
        <w:rPr>
          <w:rFonts w:ascii="Palatino Linotype" w:eastAsia="Palatino Linotype" w:hAnsi="Palatino Linotype" w:cs="Palatino Linotype"/>
          <w:sz w:val="22"/>
          <w:szCs w:val="22"/>
        </w:rPr>
        <w:t xml:space="preserve"> </w:t>
      </w:r>
      <w:r w:rsidRPr="002B10E6">
        <w:rPr>
          <w:rFonts w:ascii="Palatino Linotype" w:eastAsia="Palatino Linotype" w:hAnsi="Palatino Linotype" w:cs="Palatino Linotype"/>
          <w:b/>
          <w:sz w:val="22"/>
          <w:szCs w:val="22"/>
        </w:rPr>
        <w:t xml:space="preserve">Cuarto y Quinto de la presente resolución, lo siguiente: </w:t>
      </w:r>
    </w:p>
    <w:p w14:paraId="0333206A" w14:textId="77777777" w:rsidR="00347B0A" w:rsidRPr="002B10E6" w:rsidRDefault="005A2214">
      <w:pPr>
        <w:numPr>
          <w:ilvl w:val="0"/>
          <w:numId w:val="3"/>
        </w:numPr>
        <w:pBdr>
          <w:top w:val="nil"/>
          <w:left w:val="nil"/>
          <w:bottom w:val="nil"/>
          <w:right w:val="nil"/>
          <w:between w:val="nil"/>
        </w:pBdr>
        <w:spacing w:before="240" w:after="240" w:line="276" w:lineRule="auto"/>
        <w:ind w:left="567" w:right="900" w:hanging="141"/>
        <w:jc w:val="both"/>
        <w:rPr>
          <w:rFonts w:ascii="Palatino Linotype" w:eastAsia="Palatino Linotype" w:hAnsi="Palatino Linotype" w:cs="Palatino Linotype"/>
          <w:b/>
          <w:i/>
          <w:sz w:val="22"/>
          <w:szCs w:val="22"/>
        </w:rPr>
      </w:pPr>
      <w:r w:rsidRPr="002B10E6">
        <w:rPr>
          <w:rFonts w:ascii="Palatino Linotype" w:eastAsia="Palatino Linotype" w:hAnsi="Palatino Linotype" w:cs="Palatino Linotype"/>
          <w:b/>
          <w:i/>
          <w:sz w:val="22"/>
          <w:szCs w:val="22"/>
        </w:rPr>
        <w:t xml:space="preserve">Comprobantes del pago por concepto nómina o remuneraciones de los servidores públicos adscritos a la unidad administrativa denominada Fondo de Fomento y Desarrollo de la Investigación Científica y Tecnológica </w:t>
      </w:r>
      <w:r w:rsidRPr="002B10E6">
        <w:rPr>
          <w:rFonts w:ascii="Palatino Linotype" w:eastAsia="Palatino Linotype" w:hAnsi="Palatino Linotype" w:cs="Palatino Linotype"/>
          <w:b/>
          <w:i/>
          <w:sz w:val="22"/>
          <w:szCs w:val="22"/>
        </w:rPr>
        <w:lastRenderedPageBreak/>
        <w:t>(FONDICT), correspondientes a la segunda quincena del mes de octubre y la primera quincena de noviembre de dos mil veinticuatro.</w:t>
      </w:r>
    </w:p>
    <w:p w14:paraId="5B6F268C" w14:textId="77777777" w:rsidR="00347B0A" w:rsidRPr="002B10E6" w:rsidRDefault="005A2214">
      <w:pPr>
        <w:spacing w:before="240" w:after="240" w:line="276" w:lineRule="auto"/>
        <w:ind w:left="567" w:right="900"/>
        <w:jc w:val="both"/>
        <w:rPr>
          <w:rFonts w:ascii="Palatino Linotype" w:eastAsia="Palatino Linotype" w:hAnsi="Palatino Linotype" w:cs="Palatino Linotype"/>
          <w:i/>
          <w:sz w:val="22"/>
          <w:szCs w:val="22"/>
        </w:rPr>
      </w:pPr>
      <w:r w:rsidRPr="002B10E6">
        <w:rPr>
          <w:rFonts w:ascii="Palatino Linotype" w:eastAsia="Palatino Linotype" w:hAnsi="Palatino Linotype" w:cs="Palatino Linotype"/>
          <w:i/>
          <w:sz w:val="22"/>
          <w:szCs w:val="22"/>
        </w:rPr>
        <w:t xml:space="preserve">Deberá emitir el Acuerdo del Comité de Transparencia en términos de la Ley de Transparencia y Acceso a la Información Pública del Estado de México y Municipios, en el que funde y motive las razones sobre los datos que se supriman o eliminen y se ponga a disposición de </w:t>
      </w:r>
      <w:r w:rsidRPr="002B10E6">
        <w:rPr>
          <w:rFonts w:ascii="Palatino Linotype" w:eastAsia="Palatino Linotype" w:hAnsi="Palatino Linotype" w:cs="Palatino Linotype"/>
          <w:b/>
          <w:i/>
          <w:sz w:val="22"/>
          <w:szCs w:val="22"/>
        </w:rPr>
        <w:t>la parte Recurrente</w:t>
      </w:r>
      <w:r w:rsidRPr="002B10E6">
        <w:rPr>
          <w:rFonts w:ascii="Palatino Linotype" w:eastAsia="Palatino Linotype" w:hAnsi="Palatino Linotype" w:cs="Palatino Linotype"/>
          <w:i/>
          <w:sz w:val="22"/>
          <w:szCs w:val="22"/>
        </w:rPr>
        <w:t>.</w:t>
      </w:r>
    </w:p>
    <w:p w14:paraId="5226B0DD"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 xml:space="preserve">Tercero.  Notifíquese vía SAIMEX, </w:t>
      </w:r>
      <w:r w:rsidRPr="002B10E6">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5BDD43" w14:textId="77777777" w:rsidR="00347B0A" w:rsidRPr="002B10E6" w:rsidRDefault="005A2214">
      <w:pPr>
        <w:spacing w:before="240" w:after="240" w:line="360" w:lineRule="auto"/>
        <w:jc w:val="both"/>
        <w:rPr>
          <w:rFonts w:ascii="Palatino Linotype" w:eastAsia="Palatino Linotype" w:hAnsi="Palatino Linotype" w:cs="Palatino Linotype"/>
          <w:sz w:val="22"/>
          <w:szCs w:val="22"/>
        </w:rPr>
      </w:pPr>
      <w:r w:rsidRPr="002B10E6">
        <w:rPr>
          <w:rFonts w:ascii="Palatino Linotype" w:eastAsia="Palatino Linotype" w:hAnsi="Palatino Linotype" w:cs="Palatino Linotype"/>
          <w:b/>
          <w:sz w:val="22"/>
          <w:szCs w:val="22"/>
        </w:rPr>
        <w:t xml:space="preserve">Cuarto. </w:t>
      </w:r>
      <w:r w:rsidRPr="002B10E6">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C44180D" w14:textId="75839674" w:rsidR="00347B0A" w:rsidRPr="002B10E6" w:rsidRDefault="005A2214">
      <w:pPr>
        <w:spacing w:before="240" w:after="240" w:line="360" w:lineRule="auto"/>
        <w:jc w:val="both"/>
        <w:rPr>
          <w:rFonts w:ascii="Palatino Linotype" w:eastAsia="Palatino Linotype" w:hAnsi="Palatino Linotype" w:cs="Palatino Linotype"/>
          <w:sz w:val="22"/>
          <w:szCs w:val="22"/>
        </w:rPr>
      </w:pPr>
      <w:bookmarkStart w:id="11" w:name="_heading=h.17dp8vu" w:colFirst="0" w:colLast="0"/>
      <w:bookmarkEnd w:id="11"/>
      <w:r w:rsidRPr="002B10E6">
        <w:rPr>
          <w:rFonts w:ascii="Palatino Linotype" w:eastAsia="Palatino Linotype" w:hAnsi="Palatino Linotype" w:cs="Palatino Linotype"/>
          <w:b/>
          <w:sz w:val="22"/>
          <w:szCs w:val="22"/>
        </w:rPr>
        <w:t xml:space="preserve">Quinto. Notifíquese vía SAIMEX, </w:t>
      </w:r>
      <w:r w:rsidRPr="002B10E6">
        <w:rPr>
          <w:rFonts w:ascii="Palatino Linotype" w:eastAsia="Palatino Linotype" w:hAnsi="Palatino Linotype" w:cs="Palatino Linotype"/>
          <w:sz w:val="22"/>
          <w:szCs w:val="22"/>
        </w:rPr>
        <w:t>a</w:t>
      </w:r>
      <w:r w:rsidRPr="002B10E6">
        <w:rPr>
          <w:rFonts w:ascii="Palatino Linotype" w:eastAsia="Palatino Linotype" w:hAnsi="Palatino Linotype" w:cs="Palatino Linotype"/>
          <w:b/>
          <w:sz w:val="22"/>
          <w:szCs w:val="22"/>
        </w:rPr>
        <w:t xml:space="preserve"> la parte Recurrente</w:t>
      </w:r>
      <w:r w:rsidRPr="002B10E6">
        <w:rPr>
          <w:rFonts w:ascii="Palatino Linotype" w:eastAsia="Palatino Linotype" w:hAnsi="Palatino Linotype" w:cs="Palatino Linotype"/>
          <w:sz w:val="22"/>
          <w:szCs w:val="22"/>
        </w:rPr>
        <w:t xml:space="preserve"> la presente resolución, así como que podrá impugnar vía Juicio de Amparo en los términos de las leyes aplicables, de conformidad con lo establecido en el artículo 196 de la Ley de Transparencia y Acceso a la Información Pública del Estado de México y Municipios. </w:t>
      </w:r>
    </w:p>
    <w:p w14:paraId="542FCF09" w14:textId="77777777" w:rsidR="000C0B06" w:rsidRPr="002B10E6" w:rsidRDefault="000C0B06">
      <w:pPr>
        <w:spacing w:before="240" w:after="240" w:line="360" w:lineRule="auto"/>
        <w:jc w:val="both"/>
        <w:rPr>
          <w:rFonts w:ascii="Palatino Linotype" w:eastAsia="Palatino Linotype" w:hAnsi="Palatino Linotype" w:cs="Palatino Linotype"/>
          <w:sz w:val="22"/>
          <w:szCs w:val="22"/>
        </w:rPr>
      </w:pPr>
    </w:p>
    <w:p w14:paraId="4B5B73DA" w14:textId="77777777" w:rsidR="00347B0A" w:rsidRPr="000C0B06" w:rsidRDefault="005A2214">
      <w:pPr>
        <w:spacing w:line="360" w:lineRule="auto"/>
        <w:jc w:val="both"/>
        <w:rPr>
          <w:rFonts w:ascii="Palatino Linotype" w:eastAsia="Palatino Linotype" w:hAnsi="Palatino Linotype" w:cs="Palatino Linotype"/>
        </w:rPr>
      </w:pPr>
      <w:r w:rsidRPr="002B10E6">
        <w:rPr>
          <w:rFonts w:ascii="Palatino Linotype" w:eastAsia="Palatino Linotype" w:hAnsi="Palatino Linotype" w:cs="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DE FEBRERO DE DOS MIL VEINTICINCO, ANTE EL SECRETARIO TÉCNICO DEL PLENO ALEXIS TAPIA RAMÍREZ.</w:t>
      </w:r>
      <w:r w:rsidRPr="000C0B06">
        <w:rPr>
          <w:rFonts w:ascii="Palatino Linotype" w:eastAsia="Palatino Linotype" w:hAnsi="Palatino Linotype" w:cs="Palatino Linotype"/>
        </w:rPr>
        <w:t xml:space="preserve"> </w:t>
      </w:r>
    </w:p>
    <w:p w14:paraId="0E7856D4" w14:textId="77777777" w:rsidR="00347B0A" w:rsidRPr="000C0B06" w:rsidRDefault="00347B0A">
      <w:pPr>
        <w:rPr>
          <w:rFonts w:ascii="Palatino Linotype" w:eastAsia="Palatino Linotype" w:hAnsi="Palatino Linotype" w:cs="Palatino Linotype"/>
        </w:rPr>
      </w:pPr>
    </w:p>
    <w:p w14:paraId="39A7B452" w14:textId="77777777" w:rsidR="00347B0A" w:rsidRPr="000C0B06" w:rsidRDefault="00347B0A">
      <w:pPr>
        <w:spacing w:line="360" w:lineRule="auto"/>
        <w:jc w:val="both"/>
        <w:rPr>
          <w:rFonts w:ascii="Palatino Linotype" w:eastAsia="Palatino Linotype" w:hAnsi="Palatino Linotype" w:cs="Palatino Linotype"/>
        </w:rPr>
      </w:pPr>
      <w:bookmarkStart w:id="12" w:name="_heading=h.3rdcrjn" w:colFirst="0" w:colLast="0"/>
      <w:bookmarkEnd w:id="12"/>
    </w:p>
    <w:p w14:paraId="71BD7531" w14:textId="77777777" w:rsidR="00347B0A" w:rsidRPr="000C0B06" w:rsidRDefault="00347B0A">
      <w:pPr>
        <w:spacing w:line="360" w:lineRule="auto"/>
        <w:jc w:val="both"/>
        <w:rPr>
          <w:rFonts w:ascii="Palatino Linotype" w:eastAsia="Palatino Linotype" w:hAnsi="Palatino Linotype" w:cs="Palatino Linotype"/>
        </w:rPr>
      </w:pPr>
    </w:p>
    <w:p w14:paraId="0C45DCFA" w14:textId="77777777" w:rsidR="00347B0A" w:rsidRPr="000C0B06" w:rsidRDefault="00347B0A">
      <w:pPr>
        <w:spacing w:line="360" w:lineRule="auto"/>
        <w:jc w:val="both"/>
        <w:rPr>
          <w:rFonts w:ascii="Palatino Linotype" w:eastAsia="Palatino Linotype" w:hAnsi="Palatino Linotype" w:cs="Palatino Linotype"/>
        </w:rPr>
      </w:pPr>
    </w:p>
    <w:p w14:paraId="6F3B262E" w14:textId="77777777" w:rsidR="00347B0A" w:rsidRPr="000C0B06" w:rsidRDefault="00347B0A">
      <w:pPr>
        <w:spacing w:line="360" w:lineRule="auto"/>
        <w:jc w:val="both"/>
        <w:rPr>
          <w:rFonts w:ascii="Palatino Linotype" w:eastAsia="Palatino Linotype" w:hAnsi="Palatino Linotype" w:cs="Palatino Linotype"/>
        </w:rPr>
      </w:pPr>
      <w:bookmarkStart w:id="13" w:name="_heading=h.1t3h5sf" w:colFirst="0" w:colLast="0"/>
      <w:bookmarkEnd w:id="13"/>
    </w:p>
    <w:p w14:paraId="4B3497DD" w14:textId="77777777" w:rsidR="00347B0A" w:rsidRPr="000C0B06" w:rsidRDefault="00347B0A">
      <w:pPr>
        <w:spacing w:line="360" w:lineRule="auto"/>
        <w:jc w:val="both"/>
        <w:rPr>
          <w:rFonts w:ascii="Palatino Linotype" w:eastAsia="Palatino Linotype" w:hAnsi="Palatino Linotype" w:cs="Palatino Linotype"/>
        </w:rPr>
      </w:pPr>
    </w:p>
    <w:p w14:paraId="3BB2DB84" w14:textId="77777777" w:rsidR="00347B0A" w:rsidRPr="000C0B06" w:rsidRDefault="00347B0A">
      <w:pPr>
        <w:spacing w:line="360" w:lineRule="auto"/>
        <w:jc w:val="both"/>
        <w:rPr>
          <w:rFonts w:ascii="Palatino Linotype" w:eastAsia="Palatino Linotype" w:hAnsi="Palatino Linotype" w:cs="Palatino Linotype"/>
        </w:rPr>
      </w:pPr>
    </w:p>
    <w:p w14:paraId="579C35D0" w14:textId="77777777" w:rsidR="00347B0A" w:rsidRPr="000C0B06" w:rsidRDefault="00347B0A">
      <w:pPr>
        <w:spacing w:line="360" w:lineRule="auto"/>
        <w:jc w:val="both"/>
        <w:rPr>
          <w:rFonts w:ascii="Palatino Linotype" w:eastAsia="Palatino Linotype" w:hAnsi="Palatino Linotype" w:cs="Palatino Linotype"/>
        </w:rPr>
      </w:pPr>
    </w:p>
    <w:p w14:paraId="1EC944C1" w14:textId="77777777" w:rsidR="00347B0A" w:rsidRPr="000C0B06" w:rsidRDefault="00347B0A">
      <w:pPr>
        <w:spacing w:line="360" w:lineRule="auto"/>
        <w:jc w:val="both"/>
        <w:rPr>
          <w:rFonts w:ascii="Palatino Linotype" w:eastAsia="Palatino Linotype" w:hAnsi="Palatino Linotype" w:cs="Palatino Linotype"/>
        </w:rPr>
      </w:pPr>
    </w:p>
    <w:p w14:paraId="2A5F71F0" w14:textId="77777777" w:rsidR="00347B0A" w:rsidRPr="000C0B06" w:rsidRDefault="00347B0A">
      <w:pPr>
        <w:spacing w:line="360" w:lineRule="auto"/>
        <w:jc w:val="both"/>
        <w:rPr>
          <w:rFonts w:ascii="Palatino Linotype" w:eastAsia="Palatino Linotype" w:hAnsi="Palatino Linotype" w:cs="Palatino Linotype"/>
        </w:rPr>
      </w:pPr>
    </w:p>
    <w:p w14:paraId="2AA2C527" w14:textId="77777777" w:rsidR="00347B0A" w:rsidRPr="000C0B06" w:rsidRDefault="00347B0A">
      <w:pPr>
        <w:spacing w:line="360" w:lineRule="auto"/>
        <w:jc w:val="both"/>
        <w:rPr>
          <w:rFonts w:ascii="Palatino Linotype" w:eastAsia="Palatino Linotype" w:hAnsi="Palatino Linotype" w:cs="Palatino Linotype"/>
        </w:rPr>
      </w:pPr>
    </w:p>
    <w:p w14:paraId="41722F27" w14:textId="77777777" w:rsidR="00347B0A" w:rsidRPr="000C0B06" w:rsidRDefault="00347B0A">
      <w:pPr>
        <w:spacing w:line="360" w:lineRule="auto"/>
        <w:jc w:val="both"/>
        <w:rPr>
          <w:rFonts w:ascii="Palatino Linotype" w:eastAsia="Palatino Linotype" w:hAnsi="Palatino Linotype" w:cs="Palatino Linotype"/>
        </w:rPr>
      </w:pPr>
    </w:p>
    <w:p w14:paraId="5487B7AB" w14:textId="77777777" w:rsidR="00347B0A" w:rsidRPr="000C0B06" w:rsidRDefault="00347B0A">
      <w:pPr>
        <w:spacing w:line="360" w:lineRule="auto"/>
        <w:jc w:val="both"/>
        <w:rPr>
          <w:rFonts w:ascii="Palatino Linotype" w:eastAsia="Palatino Linotype" w:hAnsi="Palatino Linotype" w:cs="Palatino Linotype"/>
        </w:rPr>
      </w:pPr>
    </w:p>
    <w:p w14:paraId="759E066A" w14:textId="77777777" w:rsidR="00347B0A" w:rsidRPr="000C0B06" w:rsidRDefault="00347B0A">
      <w:pPr>
        <w:spacing w:line="360" w:lineRule="auto"/>
        <w:jc w:val="both"/>
        <w:rPr>
          <w:rFonts w:ascii="Palatino Linotype" w:eastAsia="Palatino Linotype" w:hAnsi="Palatino Linotype" w:cs="Palatino Linotype"/>
        </w:rPr>
      </w:pPr>
    </w:p>
    <w:p w14:paraId="4A6914E8" w14:textId="77777777" w:rsidR="00347B0A" w:rsidRPr="000C0B06" w:rsidRDefault="00347B0A">
      <w:pPr>
        <w:spacing w:line="360" w:lineRule="auto"/>
        <w:jc w:val="both"/>
        <w:rPr>
          <w:rFonts w:ascii="Palatino Linotype" w:eastAsia="Palatino Linotype" w:hAnsi="Palatino Linotype" w:cs="Palatino Linotype"/>
        </w:rPr>
      </w:pPr>
    </w:p>
    <w:p w14:paraId="3C53E09F" w14:textId="77777777" w:rsidR="00347B0A" w:rsidRPr="000C0B06" w:rsidRDefault="00347B0A">
      <w:pPr>
        <w:spacing w:line="360" w:lineRule="auto"/>
        <w:jc w:val="both"/>
        <w:rPr>
          <w:rFonts w:ascii="Palatino Linotype" w:eastAsia="Palatino Linotype" w:hAnsi="Palatino Linotype" w:cs="Palatino Linotype"/>
        </w:rPr>
      </w:pPr>
    </w:p>
    <w:p w14:paraId="78DD1384" w14:textId="77777777" w:rsidR="00347B0A" w:rsidRPr="000C0B06" w:rsidRDefault="00347B0A">
      <w:pPr>
        <w:spacing w:line="360" w:lineRule="auto"/>
        <w:jc w:val="both"/>
        <w:rPr>
          <w:rFonts w:ascii="Palatino Linotype" w:eastAsia="Palatino Linotype" w:hAnsi="Palatino Linotype" w:cs="Palatino Linotype"/>
        </w:rPr>
      </w:pPr>
    </w:p>
    <w:p w14:paraId="5442B466" w14:textId="77777777" w:rsidR="00347B0A" w:rsidRPr="000C0B06" w:rsidRDefault="00347B0A">
      <w:pPr>
        <w:spacing w:line="360" w:lineRule="auto"/>
        <w:jc w:val="both"/>
        <w:rPr>
          <w:rFonts w:ascii="Palatino Linotype" w:eastAsia="Palatino Linotype" w:hAnsi="Palatino Linotype" w:cs="Palatino Linotype"/>
        </w:rPr>
      </w:pPr>
    </w:p>
    <w:p w14:paraId="1E0F9A3A" w14:textId="77777777" w:rsidR="00347B0A" w:rsidRPr="000C0B06" w:rsidRDefault="00347B0A">
      <w:pPr>
        <w:spacing w:line="360" w:lineRule="auto"/>
        <w:jc w:val="both"/>
        <w:rPr>
          <w:rFonts w:ascii="Palatino Linotype" w:eastAsia="Palatino Linotype" w:hAnsi="Palatino Linotype" w:cs="Palatino Linotype"/>
        </w:rPr>
      </w:pPr>
    </w:p>
    <w:p w14:paraId="579C6F7F" w14:textId="77777777" w:rsidR="00347B0A" w:rsidRPr="000C0B06" w:rsidRDefault="00347B0A">
      <w:pPr>
        <w:spacing w:line="360" w:lineRule="auto"/>
        <w:jc w:val="both"/>
        <w:rPr>
          <w:rFonts w:ascii="Palatino Linotype" w:eastAsia="Palatino Linotype" w:hAnsi="Palatino Linotype" w:cs="Palatino Linotype"/>
        </w:rPr>
      </w:pPr>
    </w:p>
    <w:p w14:paraId="276E3F78" w14:textId="77777777" w:rsidR="00347B0A" w:rsidRPr="000C0B06" w:rsidRDefault="00347B0A">
      <w:pPr>
        <w:spacing w:line="360" w:lineRule="auto"/>
        <w:jc w:val="both"/>
        <w:rPr>
          <w:rFonts w:ascii="Palatino Linotype" w:eastAsia="Palatino Linotype" w:hAnsi="Palatino Linotype" w:cs="Palatino Linotype"/>
        </w:rPr>
      </w:pPr>
    </w:p>
    <w:p w14:paraId="4B859A63" w14:textId="77777777" w:rsidR="00347B0A" w:rsidRPr="000C0B06" w:rsidRDefault="00347B0A">
      <w:pPr>
        <w:spacing w:line="360" w:lineRule="auto"/>
        <w:jc w:val="both"/>
        <w:rPr>
          <w:rFonts w:ascii="Palatino Linotype" w:eastAsia="Palatino Linotype" w:hAnsi="Palatino Linotype" w:cs="Palatino Linotype"/>
        </w:rPr>
      </w:pPr>
    </w:p>
    <w:p w14:paraId="5F809FDB" w14:textId="77777777" w:rsidR="00347B0A" w:rsidRPr="000C0B06" w:rsidRDefault="00347B0A">
      <w:pPr>
        <w:spacing w:line="360" w:lineRule="auto"/>
        <w:jc w:val="both"/>
        <w:rPr>
          <w:rFonts w:ascii="Palatino Linotype" w:eastAsia="Palatino Linotype" w:hAnsi="Palatino Linotype" w:cs="Palatino Linotype"/>
        </w:rPr>
      </w:pPr>
    </w:p>
    <w:p w14:paraId="648170DE" w14:textId="77777777" w:rsidR="00347B0A" w:rsidRPr="000C0B06" w:rsidRDefault="00347B0A">
      <w:pPr>
        <w:spacing w:line="360" w:lineRule="auto"/>
        <w:jc w:val="both"/>
        <w:rPr>
          <w:rFonts w:ascii="Palatino Linotype" w:eastAsia="Palatino Linotype" w:hAnsi="Palatino Linotype" w:cs="Palatino Linotype"/>
        </w:rPr>
      </w:pPr>
    </w:p>
    <w:sectPr w:rsidR="00347B0A" w:rsidRPr="000C0B06">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CC49" w14:textId="77777777" w:rsidR="00FF76F4" w:rsidRDefault="00FF76F4">
      <w:r>
        <w:separator/>
      </w:r>
    </w:p>
  </w:endnote>
  <w:endnote w:type="continuationSeparator" w:id="0">
    <w:p w14:paraId="19A62E75" w14:textId="77777777" w:rsidR="00FF76F4" w:rsidRDefault="00FF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9DDA" w14:textId="77777777" w:rsidR="00347B0A" w:rsidRDefault="005A22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167B9">
      <w:rPr>
        <w:rFonts w:ascii="Palatino Linotype" w:eastAsia="Palatino Linotype" w:hAnsi="Palatino Linotype" w:cs="Palatino Linotype"/>
        <w:b/>
        <w:noProof/>
        <w:color w:val="000000"/>
        <w:sz w:val="20"/>
        <w:szCs w:val="20"/>
      </w:rPr>
      <w:t>43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167B9">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51B47336" w14:textId="77777777" w:rsidR="00347B0A" w:rsidRDefault="00347B0A">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0E0" w14:textId="77777777" w:rsidR="00347B0A" w:rsidRDefault="005A221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5167B9">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5167B9">
      <w:rPr>
        <w:rFonts w:ascii="Palatino Linotype" w:eastAsia="Palatino Linotype" w:hAnsi="Palatino Linotype" w:cs="Palatino Linotype"/>
        <w:b/>
        <w:noProof/>
        <w:color w:val="000000"/>
        <w:sz w:val="20"/>
        <w:szCs w:val="20"/>
      </w:rPr>
      <w:t>45</w:t>
    </w:r>
    <w:r>
      <w:rPr>
        <w:rFonts w:ascii="Palatino Linotype" w:eastAsia="Palatino Linotype" w:hAnsi="Palatino Linotype" w:cs="Palatino Linotype"/>
        <w:b/>
        <w:color w:val="000000"/>
        <w:sz w:val="20"/>
        <w:szCs w:val="20"/>
      </w:rPr>
      <w:fldChar w:fldCharType="end"/>
    </w:r>
  </w:p>
  <w:p w14:paraId="336D35BF" w14:textId="77777777" w:rsidR="00347B0A" w:rsidRDefault="00347B0A">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089E" w14:textId="77777777" w:rsidR="00FF76F4" w:rsidRDefault="00FF76F4">
      <w:r>
        <w:separator/>
      </w:r>
    </w:p>
  </w:footnote>
  <w:footnote w:type="continuationSeparator" w:id="0">
    <w:p w14:paraId="4E924AE7" w14:textId="77777777" w:rsidR="00FF76F4" w:rsidRDefault="00FF76F4">
      <w:r>
        <w:continuationSeparator/>
      </w:r>
    </w:p>
  </w:footnote>
  <w:footnote w:id="1">
    <w:p w14:paraId="4A33B288" w14:textId="77777777" w:rsidR="00347B0A" w:rsidRDefault="005A2214">
      <w:pPr>
        <w:pBdr>
          <w:top w:val="nil"/>
          <w:left w:val="nil"/>
          <w:bottom w:val="nil"/>
          <w:right w:val="nil"/>
          <w:between w:val="nil"/>
        </w:pBd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3C54E2D9" w14:textId="77777777" w:rsidR="00347B0A" w:rsidRDefault="005A2214">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2AFF" w14:textId="77777777" w:rsidR="00347B0A" w:rsidRDefault="005A2214">
    <w:pPr>
      <w:rPr>
        <w:rFonts w:ascii="Cambria" w:eastAsia="Cambria" w:hAnsi="Cambria" w:cs="Cambria"/>
        <w:color w:val="000000"/>
      </w:rPr>
    </w:pPr>
    <w:r>
      <w:rPr>
        <w:noProof/>
      </w:rPr>
      <w:drawing>
        <wp:anchor distT="0" distB="0" distL="0" distR="0" simplePos="0" relativeHeight="251658240" behindDoc="1" locked="0" layoutInCell="1" hidden="0" allowOverlap="1" wp14:anchorId="1F247CE0" wp14:editId="55D75DAA">
          <wp:simplePos x="0" y="0"/>
          <wp:positionH relativeFrom="column">
            <wp:posOffset>-1080113</wp:posOffset>
          </wp:positionH>
          <wp:positionV relativeFrom="paragraph">
            <wp:posOffset>-488289</wp:posOffset>
          </wp:positionV>
          <wp:extent cx="7809865" cy="10165715"/>
          <wp:effectExtent l="0" t="0" r="0" b="0"/>
          <wp:wrapNone/>
          <wp:docPr id="1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a"/>
      <w:tblW w:w="7654" w:type="dxa"/>
      <w:tblInd w:w="3261" w:type="dxa"/>
      <w:tblLayout w:type="fixed"/>
      <w:tblLook w:val="0400" w:firstRow="0" w:lastRow="0" w:firstColumn="0" w:lastColumn="0" w:noHBand="0" w:noVBand="1"/>
    </w:tblPr>
    <w:tblGrid>
      <w:gridCol w:w="2489"/>
      <w:gridCol w:w="5165"/>
    </w:tblGrid>
    <w:tr w:rsidR="00347B0A" w14:paraId="61141F96" w14:textId="77777777">
      <w:tc>
        <w:tcPr>
          <w:tcW w:w="2489" w:type="dxa"/>
          <w:shd w:val="clear" w:color="auto" w:fill="auto"/>
        </w:tcPr>
        <w:p w14:paraId="550037CD" w14:textId="77777777" w:rsidR="00347B0A" w:rsidRDefault="005A22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5165" w:type="dxa"/>
          <w:shd w:val="clear" w:color="auto" w:fill="auto"/>
          <w:vAlign w:val="center"/>
        </w:tcPr>
        <w:p w14:paraId="04699209" w14:textId="77777777" w:rsidR="00347B0A" w:rsidRDefault="005A221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00159/INFOEM/IP/RR/2025</w:t>
          </w:r>
        </w:p>
      </w:tc>
    </w:tr>
    <w:tr w:rsidR="00347B0A" w14:paraId="25F0DD42" w14:textId="77777777">
      <w:trPr>
        <w:trHeight w:val="228"/>
      </w:trPr>
      <w:tc>
        <w:tcPr>
          <w:tcW w:w="2489" w:type="dxa"/>
          <w:shd w:val="clear" w:color="auto" w:fill="auto"/>
          <w:vAlign w:val="center"/>
        </w:tcPr>
        <w:p w14:paraId="5C0C9FCC" w14:textId="77777777" w:rsidR="00347B0A" w:rsidRDefault="005A22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5165" w:type="dxa"/>
          <w:shd w:val="clear" w:color="auto" w:fill="auto"/>
          <w:vAlign w:val="center"/>
        </w:tcPr>
        <w:p w14:paraId="6B5B3AEF" w14:textId="77777777" w:rsidR="00347B0A" w:rsidRDefault="005A2214">
          <w:pPr>
            <w:ind w:right="229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347B0A" w14:paraId="169CD6E8" w14:textId="77777777">
      <w:tc>
        <w:tcPr>
          <w:tcW w:w="2489" w:type="dxa"/>
          <w:shd w:val="clear" w:color="auto" w:fill="auto"/>
          <w:vAlign w:val="center"/>
        </w:tcPr>
        <w:p w14:paraId="2464FF53" w14:textId="77777777" w:rsidR="00347B0A" w:rsidRDefault="005A2214">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5165" w:type="dxa"/>
          <w:shd w:val="clear" w:color="auto" w:fill="auto"/>
          <w:vAlign w:val="center"/>
        </w:tcPr>
        <w:p w14:paraId="51A3DE88" w14:textId="77777777" w:rsidR="00347B0A" w:rsidRDefault="005A2214">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ED5168" w14:textId="77777777" w:rsidR="00347B0A" w:rsidRDefault="005A2214">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A215" w14:textId="77777777" w:rsidR="00347B0A" w:rsidRDefault="005A2214">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423116C1" wp14:editId="7042B557">
          <wp:simplePos x="0" y="0"/>
          <wp:positionH relativeFrom="column">
            <wp:posOffset>-1079491</wp:posOffset>
          </wp:positionH>
          <wp:positionV relativeFrom="paragraph">
            <wp:posOffset>-328920</wp:posOffset>
          </wp:positionV>
          <wp:extent cx="7809865" cy="10165715"/>
          <wp:effectExtent l="0" t="0" r="0" b="0"/>
          <wp:wrapNone/>
          <wp:docPr id="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6378" w:type="dxa"/>
      <w:tblInd w:w="3261" w:type="dxa"/>
      <w:tblLayout w:type="fixed"/>
      <w:tblLook w:val="0400" w:firstRow="0" w:lastRow="0" w:firstColumn="0" w:lastColumn="0" w:noHBand="0" w:noVBand="1"/>
    </w:tblPr>
    <w:tblGrid>
      <w:gridCol w:w="2551"/>
      <w:gridCol w:w="3827"/>
    </w:tblGrid>
    <w:tr w:rsidR="00347B0A" w14:paraId="2DEE7ED5" w14:textId="77777777">
      <w:tc>
        <w:tcPr>
          <w:tcW w:w="2551" w:type="dxa"/>
          <w:shd w:val="clear" w:color="auto" w:fill="auto"/>
          <w:vAlign w:val="center"/>
        </w:tcPr>
        <w:p w14:paraId="5E5DE12F" w14:textId="77777777" w:rsidR="00347B0A" w:rsidRDefault="005A22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27" w:type="dxa"/>
          <w:shd w:val="clear" w:color="auto" w:fill="auto"/>
          <w:vAlign w:val="center"/>
        </w:tcPr>
        <w:p w14:paraId="5294B4F2" w14:textId="77777777" w:rsidR="00347B0A" w:rsidRDefault="005A2214">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00159/INFOEM/IP/RR/2025</w:t>
          </w:r>
        </w:p>
      </w:tc>
    </w:tr>
    <w:tr w:rsidR="00347B0A" w14:paraId="0EA75477" w14:textId="77777777">
      <w:trPr>
        <w:trHeight w:val="130"/>
      </w:trPr>
      <w:tc>
        <w:tcPr>
          <w:tcW w:w="2551" w:type="dxa"/>
          <w:shd w:val="clear" w:color="auto" w:fill="auto"/>
          <w:vAlign w:val="center"/>
        </w:tcPr>
        <w:p w14:paraId="31847FD4" w14:textId="77777777" w:rsidR="00347B0A" w:rsidRDefault="005A22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27" w:type="dxa"/>
          <w:shd w:val="clear" w:color="auto" w:fill="auto"/>
          <w:vAlign w:val="center"/>
        </w:tcPr>
        <w:p w14:paraId="4328C8AC" w14:textId="77777777" w:rsidR="00347B0A" w:rsidRDefault="00347B0A">
          <w:pPr>
            <w:ind w:left="-45"/>
            <w:jc w:val="both"/>
            <w:rPr>
              <w:rFonts w:ascii="Palatino Linotype" w:eastAsia="Palatino Linotype" w:hAnsi="Palatino Linotype" w:cs="Palatino Linotype"/>
              <w:b/>
              <w:sz w:val="22"/>
              <w:szCs w:val="22"/>
            </w:rPr>
          </w:pPr>
        </w:p>
      </w:tc>
    </w:tr>
    <w:tr w:rsidR="00347B0A" w14:paraId="66A63E11" w14:textId="77777777">
      <w:trPr>
        <w:trHeight w:val="228"/>
      </w:trPr>
      <w:tc>
        <w:tcPr>
          <w:tcW w:w="2551" w:type="dxa"/>
          <w:shd w:val="clear" w:color="auto" w:fill="auto"/>
          <w:vAlign w:val="center"/>
        </w:tcPr>
        <w:p w14:paraId="446014E0" w14:textId="77777777" w:rsidR="00347B0A" w:rsidRDefault="005A22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27" w:type="dxa"/>
          <w:shd w:val="clear" w:color="auto" w:fill="auto"/>
          <w:vAlign w:val="center"/>
        </w:tcPr>
        <w:p w14:paraId="350D9F55" w14:textId="77777777" w:rsidR="00347B0A" w:rsidRDefault="005A2214">
          <w:pPr>
            <w:ind w:left="-45" w:right="101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Universidad Autónoma del Estado de México</w:t>
          </w:r>
        </w:p>
      </w:tc>
    </w:tr>
    <w:tr w:rsidR="00347B0A" w14:paraId="1F2D2160" w14:textId="77777777">
      <w:tc>
        <w:tcPr>
          <w:tcW w:w="2551" w:type="dxa"/>
          <w:shd w:val="clear" w:color="auto" w:fill="auto"/>
          <w:vAlign w:val="center"/>
        </w:tcPr>
        <w:p w14:paraId="12A8093D" w14:textId="77777777" w:rsidR="00347B0A" w:rsidRDefault="005A2214">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27" w:type="dxa"/>
          <w:shd w:val="clear" w:color="auto" w:fill="auto"/>
          <w:vAlign w:val="center"/>
        </w:tcPr>
        <w:p w14:paraId="537734B0" w14:textId="77777777" w:rsidR="00347B0A" w:rsidRDefault="005A2214">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16626C2" w14:textId="77777777" w:rsidR="00347B0A" w:rsidRDefault="00347B0A">
    <w:pPr>
      <w:pBdr>
        <w:top w:val="nil"/>
        <w:left w:val="nil"/>
        <w:bottom w:val="nil"/>
        <w:right w:val="nil"/>
        <w:between w:val="nil"/>
      </w:pBdr>
      <w:tabs>
        <w:tab w:val="center" w:pos="4252"/>
        <w:tab w:val="right" w:pos="8504"/>
      </w:tabs>
      <w:rPr>
        <w:rFonts w:ascii="Cambria" w:eastAsia="Cambria" w:hAnsi="Cambria" w:cs="Cambria"/>
        <w:color w:val="000000"/>
      </w:rPr>
    </w:pPr>
  </w:p>
  <w:p w14:paraId="66E9B3DF" w14:textId="77777777" w:rsidR="00347B0A" w:rsidRDefault="00347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A0E"/>
    <w:multiLevelType w:val="multilevel"/>
    <w:tmpl w:val="F22889E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3FBC5E8A"/>
    <w:multiLevelType w:val="multilevel"/>
    <w:tmpl w:val="25905740"/>
    <w:lvl w:ilvl="0">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70552B1"/>
    <w:multiLevelType w:val="multilevel"/>
    <w:tmpl w:val="54E08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0A"/>
    <w:rsid w:val="000C0B06"/>
    <w:rsid w:val="002B10E6"/>
    <w:rsid w:val="00347B0A"/>
    <w:rsid w:val="005167B9"/>
    <w:rsid w:val="00573EFE"/>
    <w:rsid w:val="005A2214"/>
    <w:rsid w:val="00671362"/>
    <w:rsid w:val="00F5154A"/>
    <w:rsid w:val="00FF7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E757"/>
  <w15:docId w15:val="{3905D941-8B74-482F-ACA5-B68D95AF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F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215CF"/>
    <w:pPr>
      <w:tabs>
        <w:tab w:val="center" w:pos="4419"/>
        <w:tab w:val="right" w:pos="8838"/>
      </w:tabs>
    </w:pPr>
  </w:style>
  <w:style w:type="character" w:customStyle="1" w:styleId="EncabezadoCar">
    <w:name w:val="Encabezado Car"/>
    <w:basedOn w:val="Fuentedeprrafopredeter"/>
    <w:link w:val="Encabezado"/>
    <w:uiPriority w:val="99"/>
    <w:rsid w:val="00B215CF"/>
  </w:style>
  <w:style w:type="paragraph" w:styleId="Piedepgina">
    <w:name w:val="footer"/>
    <w:basedOn w:val="Normal"/>
    <w:link w:val="PiedepginaCar"/>
    <w:uiPriority w:val="99"/>
    <w:unhideWhenUsed/>
    <w:rsid w:val="00B215CF"/>
    <w:pPr>
      <w:tabs>
        <w:tab w:val="center" w:pos="4419"/>
        <w:tab w:val="right" w:pos="8838"/>
      </w:tabs>
    </w:pPr>
  </w:style>
  <w:style w:type="character" w:customStyle="1" w:styleId="PiedepginaCar">
    <w:name w:val="Pie de página Car"/>
    <w:basedOn w:val="Fuentedeprrafopredeter"/>
    <w:link w:val="Piedepgina"/>
    <w:uiPriority w:val="99"/>
    <w:rsid w:val="00B215CF"/>
  </w:style>
  <w:style w:type="paragraph" w:styleId="NormalWeb">
    <w:name w:val="Normal (Web)"/>
    <w:basedOn w:val="Normal"/>
    <w:uiPriority w:val="99"/>
    <w:unhideWhenUsed/>
    <w:rsid w:val="00DA0443"/>
    <w:pPr>
      <w:spacing w:before="100" w:beforeAutospacing="1" w:after="100" w:afterAutospacing="1"/>
    </w:p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038B1"/>
    <w:pPr>
      <w:ind w:left="720"/>
      <w:contextualSpacing/>
    </w:pPr>
  </w:style>
  <w:style w:type="table" w:customStyle="1" w:styleId="a1">
    <w:basedOn w:val="TableNormal4"/>
    <w:tblPr>
      <w:tblStyleRowBandSize w:val="1"/>
      <w:tblStyleColBandSize w:val="1"/>
      <w:tblCellMar>
        <w:left w:w="115" w:type="dxa"/>
        <w:right w:w="115" w:type="dxa"/>
      </w:tblCellMar>
    </w:tblPr>
  </w:style>
  <w:style w:type="table" w:customStyle="1" w:styleId="a2">
    <w:basedOn w:val="TableNormal4"/>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styleId="Tablaconcuadrcula">
    <w:name w:val="Table Grid"/>
    <w:basedOn w:val="Tablanormal"/>
    <w:uiPriority w:val="39"/>
    <w:rsid w:val="00156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06BE9"/>
  </w:style>
  <w:style w:type="character" w:styleId="Hipervnculo">
    <w:name w:val="Hyperlink"/>
    <w:basedOn w:val="Fuentedeprrafopredeter"/>
    <w:uiPriority w:val="99"/>
    <w:unhideWhenUsed/>
    <w:rsid w:val="00081EBE"/>
    <w:rPr>
      <w:color w:val="0000FF" w:themeColor="hyperlink"/>
      <w:u w:val="single"/>
    </w:rPr>
  </w:style>
  <w:style w:type="character" w:styleId="Hipervnculovisitado">
    <w:name w:val="FollowedHyperlink"/>
    <w:basedOn w:val="Fuentedeprrafopredeter"/>
    <w:uiPriority w:val="99"/>
    <w:semiHidden/>
    <w:unhideWhenUsed/>
    <w:rsid w:val="008A0AB6"/>
    <w:rPr>
      <w:color w:val="800080" w:themeColor="followedHyperlink"/>
      <w:u w:val="single"/>
    </w:rPr>
  </w:style>
  <w:style w:type="character" w:customStyle="1" w:styleId="apple-tab-span">
    <w:name w:val="apple-tab-span"/>
    <w:basedOn w:val="Fuentedeprrafopredeter"/>
    <w:rsid w:val="00902B52"/>
  </w:style>
  <w:style w:type="character" w:styleId="Textoennegrita">
    <w:name w:val="Strong"/>
    <w:basedOn w:val="Fuentedeprrafopredeter"/>
    <w:uiPriority w:val="22"/>
    <w:qFormat/>
    <w:rsid w:val="006877F6"/>
    <w:rPr>
      <w:b/>
      <w:bCs/>
    </w:r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nografias.com/trabajos14/verific-servicios/verific-servicio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jrpMm3HutRNRV7Z9fh6KTxhgw==">CgMxLjAyCWguMWZvYjl0ZTIIaC5namRneHMyCWguM2R5NnZrbTIJaC4zMGowemxsMgloLjJzOGV5bzEyCGgudHlqY3d0MgloLjN6bnlzaDcyCWguMmV0OTJwMDIJaC4zNW5rdW4yMg5oLmlqdjk4cG50Y2Q1czIJaC4yNmluMXJnMgloLjE3ZHA4dnUyCWguM3JkY3JqbjIJaC4xdDNoNXNmOAByITEtTjdjVmN1dC1jX29WWFFKU0N6dUJ3b25UY3hjWVE3Wg==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12376</Words>
  <Characters>68074</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2025-02-20T23:33:00Z</cp:lastPrinted>
  <dcterms:created xsi:type="dcterms:W3CDTF">2025-02-25T18:19:00Z</dcterms:created>
  <dcterms:modified xsi:type="dcterms:W3CDTF">2025-02-25T18:19:00Z</dcterms:modified>
</cp:coreProperties>
</file>