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953F" w14:textId="77777777" w:rsidR="005167DE" w:rsidRDefault="005167DE">
      <w:pPr>
        <w:widowControl w:val="0"/>
        <w:pBdr>
          <w:top w:val="nil"/>
          <w:left w:val="nil"/>
          <w:bottom w:val="nil"/>
          <w:right w:val="nil"/>
          <w:between w:val="nil"/>
        </w:pBdr>
        <w:spacing w:after="0" w:line="276" w:lineRule="auto"/>
        <w:jc w:val="left"/>
      </w:pPr>
    </w:p>
    <w:bookmarkStart w:id="0" w:name="_heading=h.8grkqrb6zlxv" w:colFirst="0" w:colLast="0" w:displacedByCustomXml="next"/>
    <w:bookmarkEnd w:id="0" w:displacedByCustomXml="next"/>
    <w:sdt>
      <w:sdtPr>
        <w:rPr>
          <w:rFonts w:ascii="Palatino Linotype" w:eastAsia="Palatino Linotype" w:hAnsi="Palatino Linotype" w:cs="Palatino Linotype"/>
          <w:color w:val="auto"/>
          <w:sz w:val="22"/>
          <w:szCs w:val="22"/>
          <w:lang w:val="es-ES"/>
        </w:rPr>
        <w:id w:val="135762709"/>
        <w:docPartObj>
          <w:docPartGallery w:val="Table of Contents"/>
          <w:docPartUnique/>
        </w:docPartObj>
      </w:sdtPr>
      <w:sdtEndPr>
        <w:rPr>
          <w:b/>
          <w:bCs/>
        </w:rPr>
      </w:sdtEndPr>
      <w:sdtContent>
        <w:p w14:paraId="4B717119" w14:textId="53FF4BCB" w:rsidR="00E35A90" w:rsidRDefault="00E35A90">
          <w:pPr>
            <w:pStyle w:val="TtuloTDC"/>
          </w:pPr>
          <w:r>
            <w:rPr>
              <w:lang w:val="es-ES"/>
            </w:rPr>
            <w:t>Tabla de contenido</w:t>
          </w:r>
        </w:p>
        <w:p w14:paraId="3EFAAE3C" w14:textId="77777777" w:rsidR="0060643A" w:rsidRDefault="00E35A90">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2129295" w:history="1">
            <w:r w:rsidR="0060643A" w:rsidRPr="004252AB">
              <w:rPr>
                <w:rStyle w:val="Hipervnculo"/>
                <w:noProof/>
              </w:rPr>
              <w:t>A N T E C E D E N T E S</w:t>
            </w:r>
            <w:r w:rsidR="0060643A">
              <w:rPr>
                <w:noProof/>
                <w:webHidden/>
              </w:rPr>
              <w:tab/>
            </w:r>
            <w:r w:rsidR="0060643A">
              <w:rPr>
                <w:noProof/>
                <w:webHidden/>
              </w:rPr>
              <w:fldChar w:fldCharType="begin"/>
            </w:r>
            <w:r w:rsidR="0060643A">
              <w:rPr>
                <w:noProof/>
                <w:webHidden/>
              </w:rPr>
              <w:instrText xml:space="preserve"> PAGEREF _Toc212129295 \h </w:instrText>
            </w:r>
            <w:r w:rsidR="0060643A">
              <w:rPr>
                <w:noProof/>
                <w:webHidden/>
              </w:rPr>
            </w:r>
            <w:r w:rsidR="0060643A">
              <w:rPr>
                <w:noProof/>
                <w:webHidden/>
              </w:rPr>
              <w:fldChar w:fldCharType="separate"/>
            </w:r>
            <w:r w:rsidR="00DC6E7C">
              <w:rPr>
                <w:noProof/>
                <w:webHidden/>
              </w:rPr>
              <w:t>2</w:t>
            </w:r>
            <w:r w:rsidR="0060643A">
              <w:rPr>
                <w:noProof/>
                <w:webHidden/>
              </w:rPr>
              <w:fldChar w:fldCharType="end"/>
            </w:r>
          </w:hyperlink>
        </w:p>
        <w:p w14:paraId="31FB00D3" w14:textId="77777777" w:rsidR="0060643A" w:rsidRDefault="0060643A">
          <w:pPr>
            <w:pStyle w:val="TDC2"/>
            <w:tabs>
              <w:tab w:val="right" w:leader="dot" w:pos="9204"/>
            </w:tabs>
            <w:rPr>
              <w:rFonts w:asciiTheme="minorHAnsi" w:eastAsiaTheme="minorEastAsia" w:hAnsiTheme="minorHAnsi" w:cstheme="minorBidi"/>
              <w:noProof/>
            </w:rPr>
          </w:pPr>
          <w:hyperlink w:anchor="_Toc212129296" w:history="1">
            <w:r w:rsidRPr="004252AB">
              <w:rPr>
                <w:rStyle w:val="Hipervnculo"/>
                <w:noProof/>
              </w:rPr>
              <w:t>I. Presentación de la solicitud de información</w:t>
            </w:r>
            <w:r>
              <w:rPr>
                <w:noProof/>
                <w:webHidden/>
              </w:rPr>
              <w:tab/>
            </w:r>
            <w:r>
              <w:rPr>
                <w:noProof/>
                <w:webHidden/>
              </w:rPr>
              <w:fldChar w:fldCharType="begin"/>
            </w:r>
            <w:r>
              <w:rPr>
                <w:noProof/>
                <w:webHidden/>
              </w:rPr>
              <w:instrText xml:space="preserve"> PAGEREF _Toc212129296 \h </w:instrText>
            </w:r>
            <w:r>
              <w:rPr>
                <w:noProof/>
                <w:webHidden/>
              </w:rPr>
            </w:r>
            <w:r>
              <w:rPr>
                <w:noProof/>
                <w:webHidden/>
              </w:rPr>
              <w:fldChar w:fldCharType="separate"/>
            </w:r>
            <w:r w:rsidR="00DC6E7C">
              <w:rPr>
                <w:noProof/>
                <w:webHidden/>
              </w:rPr>
              <w:t>2</w:t>
            </w:r>
            <w:r>
              <w:rPr>
                <w:noProof/>
                <w:webHidden/>
              </w:rPr>
              <w:fldChar w:fldCharType="end"/>
            </w:r>
          </w:hyperlink>
        </w:p>
        <w:p w14:paraId="055B6E01" w14:textId="77777777" w:rsidR="0060643A" w:rsidRDefault="0060643A">
          <w:pPr>
            <w:pStyle w:val="TDC2"/>
            <w:tabs>
              <w:tab w:val="right" w:leader="dot" w:pos="9204"/>
            </w:tabs>
            <w:rPr>
              <w:rFonts w:asciiTheme="minorHAnsi" w:eastAsiaTheme="minorEastAsia" w:hAnsiTheme="minorHAnsi" w:cstheme="minorBidi"/>
              <w:noProof/>
            </w:rPr>
          </w:pPr>
          <w:hyperlink w:anchor="_Toc212129297" w:history="1">
            <w:r w:rsidRPr="004252AB">
              <w:rPr>
                <w:rStyle w:val="Hipervnculo"/>
                <w:noProof/>
              </w:rPr>
              <w:t>II. Respuesta del Sujeto Obligado</w:t>
            </w:r>
            <w:r>
              <w:rPr>
                <w:noProof/>
                <w:webHidden/>
              </w:rPr>
              <w:tab/>
            </w:r>
            <w:r>
              <w:rPr>
                <w:noProof/>
                <w:webHidden/>
              </w:rPr>
              <w:fldChar w:fldCharType="begin"/>
            </w:r>
            <w:r>
              <w:rPr>
                <w:noProof/>
                <w:webHidden/>
              </w:rPr>
              <w:instrText xml:space="preserve"> PAGEREF _Toc212129297 \h </w:instrText>
            </w:r>
            <w:r>
              <w:rPr>
                <w:noProof/>
                <w:webHidden/>
              </w:rPr>
            </w:r>
            <w:r>
              <w:rPr>
                <w:noProof/>
                <w:webHidden/>
              </w:rPr>
              <w:fldChar w:fldCharType="separate"/>
            </w:r>
            <w:r w:rsidR="00DC6E7C">
              <w:rPr>
                <w:noProof/>
                <w:webHidden/>
              </w:rPr>
              <w:t>3</w:t>
            </w:r>
            <w:r>
              <w:rPr>
                <w:noProof/>
                <w:webHidden/>
              </w:rPr>
              <w:fldChar w:fldCharType="end"/>
            </w:r>
          </w:hyperlink>
        </w:p>
        <w:p w14:paraId="1F97DD8E" w14:textId="77777777" w:rsidR="0060643A" w:rsidRDefault="0060643A">
          <w:pPr>
            <w:pStyle w:val="TDC2"/>
            <w:tabs>
              <w:tab w:val="right" w:leader="dot" w:pos="9204"/>
            </w:tabs>
            <w:rPr>
              <w:rFonts w:asciiTheme="minorHAnsi" w:eastAsiaTheme="minorEastAsia" w:hAnsiTheme="minorHAnsi" w:cstheme="minorBidi"/>
              <w:noProof/>
            </w:rPr>
          </w:pPr>
          <w:hyperlink w:anchor="_Toc212129298" w:history="1">
            <w:r w:rsidRPr="004252AB">
              <w:rPr>
                <w:rStyle w:val="Hipervnculo"/>
                <w:noProof/>
              </w:rPr>
              <w:t>III. Interposición del Recurso de Revisión</w:t>
            </w:r>
            <w:r>
              <w:rPr>
                <w:noProof/>
                <w:webHidden/>
              </w:rPr>
              <w:tab/>
            </w:r>
            <w:r>
              <w:rPr>
                <w:noProof/>
                <w:webHidden/>
              </w:rPr>
              <w:fldChar w:fldCharType="begin"/>
            </w:r>
            <w:r>
              <w:rPr>
                <w:noProof/>
                <w:webHidden/>
              </w:rPr>
              <w:instrText xml:space="preserve"> PAGEREF _Toc212129298 \h </w:instrText>
            </w:r>
            <w:r>
              <w:rPr>
                <w:noProof/>
                <w:webHidden/>
              </w:rPr>
            </w:r>
            <w:r>
              <w:rPr>
                <w:noProof/>
                <w:webHidden/>
              </w:rPr>
              <w:fldChar w:fldCharType="separate"/>
            </w:r>
            <w:r w:rsidR="00DC6E7C">
              <w:rPr>
                <w:noProof/>
                <w:webHidden/>
              </w:rPr>
              <w:t>4</w:t>
            </w:r>
            <w:r>
              <w:rPr>
                <w:noProof/>
                <w:webHidden/>
              </w:rPr>
              <w:fldChar w:fldCharType="end"/>
            </w:r>
          </w:hyperlink>
        </w:p>
        <w:p w14:paraId="201B451D" w14:textId="77777777" w:rsidR="0060643A" w:rsidRDefault="0060643A">
          <w:pPr>
            <w:pStyle w:val="TDC2"/>
            <w:tabs>
              <w:tab w:val="right" w:leader="dot" w:pos="9204"/>
            </w:tabs>
            <w:rPr>
              <w:rFonts w:asciiTheme="minorHAnsi" w:eastAsiaTheme="minorEastAsia" w:hAnsiTheme="minorHAnsi" w:cstheme="minorBidi"/>
              <w:noProof/>
            </w:rPr>
          </w:pPr>
          <w:hyperlink w:anchor="_Toc212129299" w:history="1">
            <w:r w:rsidRPr="004252AB">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_Toc212129299 \h </w:instrText>
            </w:r>
            <w:r>
              <w:rPr>
                <w:noProof/>
                <w:webHidden/>
              </w:rPr>
            </w:r>
            <w:r>
              <w:rPr>
                <w:noProof/>
                <w:webHidden/>
              </w:rPr>
              <w:fldChar w:fldCharType="separate"/>
            </w:r>
            <w:r w:rsidR="00DC6E7C">
              <w:rPr>
                <w:noProof/>
                <w:webHidden/>
              </w:rPr>
              <w:t>4</w:t>
            </w:r>
            <w:r>
              <w:rPr>
                <w:noProof/>
                <w:webHidden/>
              </w:rPr>
              <w:fldChar w:fldCharType="end"/>
            </w:r>
          </w:hyperlink>
        </w:p>
        <w:p w14:paraId="513729AC" w14:textId="77777777" w:rsidR="0060643A" w:rsidRDefault="0060643A">
          <w:pPr>
            <w:pStyle w:val="TDC1"/>
            <w:tabs>
              <w:tab w:val="right" w:leader="dot" w:pos="9204"/>
            </w:tabs>
            <w:rPr>
              <w:rFonts w:asciiTheme="minorHAnsi" w:eastAsiaTheme="minorEastAsia" w:hAnsiTheme="minorHAnsi" w:cstheme="minorBidi"/>
              <w:noProof/>
            </w:rPr>
          </w:pPr>
          <w:hyperlink w:anchor="_Toc212129300" w:history="1">
            <w:r w:rsidRPr="004252AB">
              <w:rPr>
                <w:rStyle w:val="Hipervnculo"/>
                <w:noProof/>
              </w:rPr>
              <w:t>C O N S I D E R A N D O S</w:t>
            </w:r>
            <w:r>
              <w:rPr>
                <w:noProof/>
                <w:webHidden/>
              </w:rPr>
              <w:tab/>
            </w:r>
            <w:r>
              <w:rPr>
                <w:noProof/>
                <w:webHidden/>
              </w:rPr>
              <w:fldChar w:fldCharType="begin"/>
            </w:r>
            <w:r>
              <w:rPr>
                <w:noProof/>
                <w:webHidden/>
              </w:rPr>
              <w:instrText xml:space="preserve"> PAGEREF _Toc212129300 \h </w:instrText>
            </w:r>
            <w:r>
              <w:rPr>
                <w:noProof/>
                <w:webHidden/>
              </w:rPr>
            </w:r>
            <w:r>
              <w:rPr>
                <w:noProof/>
                <w:webHidden/>
              </w:rPr>
              <w:fldChar w:fldCharType="separate"/>
            </w:r>
            <w:r w:rsidR="00DC6E7C">
              <w:rPr>
                <w:noProof/>
                <w:webHidden/>
              </w:rPr>
              <w:t>7</w:t>
            </w:r>
            <w:r>
              <w:rPr>
                <w:noProof/>
                <w:webHidden/>
              </w:rPr>
              <w:fldChar w:fldCharType="end"/>
            </w:r>
          </w:hyperlink>
        </w:p>
        <w:p w14:paraId="4C4697E8" w14:textId="77777777" w:rsidR="0060643A" w:rsidRDefault="0060643A">
          <w:pPr>
            <w:pStyle w:val="TDC2"/>
            <w:tabs>
              <w:tab w:val="right" w:leader="dot" w:pos="9204"/>
            </w:tabs>
            <w:rPr>
              <w:rFonts w:asciiTheme="minorHAnsi" w:eastAsiaTheme="minorEastAsia" w:hAnsiTheme="minorHAnsi" w:cstheme="minorBidi"/>
              <w:noProof/>
            </w:rPr>
          </w:pPr>
          <w:hyperlink w:anchor="_Toc212129301" w:history="1">
            <w:r w:rsidRPr="004252AB">
              <w:rPr>
                <w:rStyle w:val="Hipervnculo"/>
                <w:noProof/>
              </w:rPr>
              <w:t>PRIMERO. Competencia</w:t>
            </w:r>
            <w:r>
              <w:rPr>
                <w:noProof/>
                <w:webHidden/>
              </w:rPr>
              <w:tab/>
            </w:r>
            <w:r>
              <w:rPr>
                <w:noProof/>
                <w:webHidden/>
              </w:rPr>
              <w:fldChar w:fldCharType="begin"/>
            </w:r>
            <w:r>
              <w:rPr>
                <w:noProof/>
                <w:webHidden/>
              </w:rPr>
              <w:instrText xml:space="preserve"> PAGEREF _Toc212129301 \h </w:instrText>
            </w:r>
            <w:r>
              <w:rPr>
                <w:noProof/>
                <w:webHidden/>
              </w:rPr>
            </w:r>
            <w:r>
              <w:rPr>
                <w:noProof/>
                <w:webHidden/>
              </w:rPr>
              <w:fldChar w:fldCharType="separate"/>
            </w:r>
            <w:r w:rsidR="00DC6E7C">
              <w:rPr>
                <w:noProof/>
                <w:webHidden/>
              </w:rPr>
              <w:t>7</w:t>
            </w:r>
            <w:r>
              <w:rPr>
                <w:noProof/>
                <w:webHidden/>
              </w:rPr>
              <w:fldChar w:fldCharType="end"/>
            </w:r>
          </w:hyperlink>
        </w:p>
        <w:p w14:paraId="4B3E72C0" w14:textId="77777777" w:rsidR="0060643A" w:rsidRDefault="0060643A">
          <w:pPr>
            <w:pStyle w:val="TDC2"/>
            <w:tabs>
              <w:tab w:val="right" w:leader="dot" w:pos="9204"/>
            </w:tabs>
            <w:rPr>
              <w:rFonts w:asciiTheme="minorHAnsi" w:eastAsiaTheme="minorEastAsia" w:hAnsiTheme="minorHAnsi" w:cstheme="minorBidi"/>
              <w:noProof/>
            </w:rPr>
          </w:pPr>
          <w:hyperlink w:anchor="_Toc212129302" w:history="1">
            <w:r w:rsidRPr="004252AB">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_Toc212129302 \h </w:instrText>
            </w:r>
            <w:r>
              <w:rPr>
                <w:noProof/>
                <w:webHidden/>
              </w:rPr>
            </w:r>
            <w:r>
              <w:rPr>
                <w:noProof/>
                <w:webHidden/>
              </w:rPr>
              <w:fldChar w:fldCharType="separate"/>
            </w:r>
            <w:r w:rsidR="00DC6E7C">
              <w:rPr>
                <w:noProof/>
                <w:webHidden/>
              </w:rPr>
              <w:t>7</w:t>
            </w:r>
            <w:r>
              <w:rPr>
                <w:noProof/>
                <w:webHidden/>
              </w:rPr>
              <w:fldChar w:fldCharType="end"/>
            </w:r>
          </w:hyperlink>
        </w:p>
        <w:p w14:paraId="35C516ED" w14:textId="77777777" w:rsidR="0060643A" w:rsidRDefault="0060643A">
          <w:pPr>
            <w:pStyle w:val="TDC2"/>
            <w:tabs>
              <w:tab w:val="right" w:leader="dot" w:pos="9204"/>
            </w:tabs>
            <w:rPr>
              <w:rFonts w:asciiTheme="minorHAnsi" w:eastAsiaTheme="minorEastAsia" w:hAnsiTheme="minorHAnsi" w:cstheme="minorBidi"/>
              <w:noProof/>
            </w:rPr>
          </w:pPr>
          <w:hyperlink w:anchor="_Toc212129303" w:history="1">
            <w:r w:rsidRPr="004252AB">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_Toc212129303 \h </w:instrText>
            </w:r>
            <w:r>
              <w:rPr>
                <w:noProof/>
                <w:webHidden/>
              </w:rPr>
            </w:r>
            <w:r>
              <w:rPr>
                <w:noProof/>
                <w:webHidden/>
              </w:rPr>
              <w:fldChar w:fldCharType="separate"/>
            </w:r>
            <w:r w:rsidR="00DC6E7C">
              <w:rPr>
                <w:noProof/>
                <w:webHidden/>
              </w:rPr>
              <w:t>11</w:t>
            </w:r>
            <w:r>
              <w:rPr>
                <w:noProof/>
                <w:webHidden/>
              </w:rPr>
              <w:fldChar w:fldCharType="end"/>
            </w:r>
          </w:hyperlink>
        </w:p>
        <w:p w14:paraId="650D6081" w14:textId="77777777" w:rsidR="0060643A" w:rsidRDefault="0060643A">
          <w:pPr>
            <w:pStyle w:val="TDC2"/>
            <w:tabs>
              <w:tab w:val="right" w:leader="dot" w:pos="9204"/>
            </w:tabs>
            <w:rPr>
              <w:rFonts w:asciiTheme="minorHAnsi" w:eastAsiaTheme="minorEastAsia" w:hAnsiTheme="minorHAnsi" w:cstheme="minorBidi"/>
              <w:noProof/>
            </w:rPr>
          </w:pPr>
          <w:hyperlink w:anchor="_Toc212129304" w:history="1">
            <w:r w:rsidRPr="004252AB">
              <w:rPr>
                <w:rStyle w:val="Hipervnculo"/>
                <w:smallCaps/>
                <w:noProof/>
              </w:rPr>
              <w:t>QUINTO.</w:t>
            </w:r>
            <w:r w:rsidRPr="004252AB">
              <w:rPr>
                <w:rStyle w:val="Hipervnculo"/>
                <w:noProof/>
              </w:rPr>
              <w:t xml:space="preserve"> Estudio de Fondo</w:t>
            </w:r>
            <w:r>
              <w:rPr>
                <w:noProof/>
                <w:webHidden/>
              </w:rPr>
              <w:tab/>
            </w:r>
            <w:r>
              <w:rPr>
                <w:noProof/>
                <w:webHidden/>
              </w:rPr>
              <w:fldChar w:fldCharType="begin"/>
            </w:r>
            <w:r>
              <w:rPr>
                <w:noProof/>
                <w:webHidden/>
              </w:rPr>
              <w:instrText xml:space="preserve"> PAGEREF _Toc212129304 \h </w:instrText>
            </w:r>
            <w:r>
              <w:rPr>
                <w:noProof/>
                <w:webHidden/>
              </w:rPr>
            </w:r>
            <w:r>
              <w:rPr>
                <w:noProof/>
                <w:webHidden/>
              </w:rPr>
              <w:fldChar w:fldCharType="separate"/>
            </w:r>
            <w:r w:rsidR="00DC6E7C">
              <w:rPr>
                <w:noProof/>
                <w:webHidden/>
              </w:rPr>
              <w:t>12</w:t>
            </w:r>
            <w:r>
              <w:rPr>
                <w:noProof/>
                <w:webHidden/>
              </w:rPr>
              <w:fldChar w:fldCharType="end"/>
            </w:r>
          </w:hyperlink>
        </w:p>
        <w:p w14:paraId="4D3C2FF8" w14:textId="77777777" w:rsidR="0060643A" w:rsidRDefault="0060643A">
          <w:pPr>
            <w:pStyle w:val="TDC2"/>
            <w:tabs>
              <w:tab w:val="right" w:leader="dot" w:pos="9204"/>
            </w:tabs>
            <w:rPr>
              <w:rFonts w:asciiTheme="minorHAnsi" w:eastAsiaTheme="minorEastAsia" w:hAnsiTheme="minorHAnsi" w:cstheme="minorBidi"/>
              <w:noProof/>
            </w:rPr>
          </w:pPr>
          <w:hyperlink w:anchor="_Toc212129305" w:history="1">
            <w:r w:rsidRPr="004252AB">
              <w:rPr>
                <w:rStyle w:val="Hipervnculo"/>
                <w:noProof/>
              </w:rPr>
              <w:t>SEXTO. Decisión</w:t>
            </w:r>
            <w:r>
              <w:rPr>
                <w:noProof/>
                <w:webHidden/>
              </w:rPr>
              <w:tab/>
            </w:r>
            <w:r>
              <w:rPr>
                <w:noProof/>
                <w:webHidden/>
              </w:rPr>
              <w:fldChar w:fldCharType="begin"/>
            </w:r>
            <w:r>
              <w:rPr>
                <w:noProof/>
                <w:webHidden/>
              </w:rPr>
              <w:instrText xml:space="preserve"> PAGEREF _Toc212129305 \h </w:instrText>
            </w:r>
            <w:r>
              <w:rPr>
                <w:noProof/>
                <w:webHidden/>
              </w:rPr>
            </w:r>
            <w:r>
              <w:rPr>
                <w:noProof/>
                <w:webHidden/>
              </w:rPr>
              <w:fldChar w:fldCharType="separate"/>
            </w:r>
            <w:r w:rsidR="00DC6E7C">
              <w:rPr>
                <w:noProof/>
                <w:webHidden/>
              </w:rPr>
              <w:t>18</w:t>
            </w:r>
            <w:r>
              <w:rPr>
                <w:noProof/>
                <w:webHidden/>
              </w:rPr>
              <w:fldChar w:fldCharType="end"/>
            </w:r>
          </w:hyperlink>
        </w:p>
        <w:p w14:paraId="190927A5" w14:textId="77777777" w:rsidR="0060643A" w:rsidRDefault="0060643A">
          <w:pPr>
            <w:pStyle w:val="TDC2"/>
            <w:tabs>
              <w:tab w:val="right" w:leader="dot" w:pos="9204"/>
            </w:tabs>
            <w:rPr>
              <w:rFonts w:asciiTheme="minorHAnsi" w:eastAsiaTheme="minorEastAsia" w:hAnsiTheme="minorHAnsi" w:cstheme="minorBidi"/>
              <w:noProof/>
            </w:rPr>
          </w:pPr>
          <w:hyperlink w:anchor="_Toc212129306" w:history="1">
            <w:r w:rsidRPr="004252AB">
              <w:rPr>
                <w:rStyle w:val="Hipervnculo"/>
                <w:noProof/>
              </w:rPr>
              <w:t>SÉPTIMO. Vista la Dirección General de Protección de Datos Personales</w:t>
            </w:r>
            <w:r>
              <w:rPr>
                <w:noProof/>
                <w:webHidden/>
              </w:rPr>
              <w:tab/>
            </w:r>
            <w:r>
              <w:rPr>
                <w:noProof/>
                <w:webHidden/>
              </w:rPr>
              <w:fldChar w:fldCharType="begin"/>
            </w:r>
            <w:r>
              <w:rPr>
                <w:noProof/>
                <w:webHidden/>
              </w:rPr>
              <w:instrText xml:space="preserve"> PAGEREF _Toc212129306 \h </w:instrText>
            </w:r>
            <w:r>
              <w:rPr>
                <w:noProof/>
                <w:webHidden/>
              </w:rPr>
            </w:r>
            <w:r>
              <w:rPr>
                <w:noProof/>
                <w:webHidden/>
              </w:rPr>
              <w:fldChar w:fldCharType="separate"/>
            </w:r>
            <w:r w:rsidR="00DC6E7C">
              <w:rPr>
                <w:noProof/>
                <w:webHidden/>
              </w:rPr>
              <w:t>18</w:t>
            </w:r>
            <w:r>
              <w:rPr>
                <w:noProof/>
                <w:webHidden/>
              </w:rPr>
              <w:fldChar w:fldCharType="end"/>
            </w:r>
          </w:hyperlink>
        </w:p>
        <w:p w14:paraId="0F42A3A9" w14:textId="77777777" w:rsidR="0060643A" w:rsidRDefault="0060643A">
          <w:pPr>
            <w:pStyle w:val="TDC1"/>
            <w:tabs>
              <w:tab w:val="right" w:leader="dot" w:pos="9204"/>
            </w:tabs>
            <w:rPr>
              <w:rFonts w:asciiTheme="minorHAnsi" w:eastAsiaTheme="minorEastAsia" w:hAnsiTheme="minorHAnsi" w:cstheme="minorBidi"/>
              <w:noProof/>
            </w:rPr>
          </w:pPr>
          <w:hyperlink w:anchor="_Toc212129307" w:history="1">
            <w:r w:rsidRPr="004252AB">
              <w:rPr>
                <w:rStyle w:val="Hipervnculo"/>
                <w:noProof/>
              </w:rPr>
              <w:t>R E S U E L V E</w:t>
            </w:r>
            <w:r>
              <w:rPr>
                <w:noProof/>
                <w:webHidden/>
              </w:rPr>
              <w:tab/>
            </w:r>
            <w:r>
              <w:rPr>
                <w:noProof/>
                <w:webHidden/>
              </w:rPr>
              <w:fldChar w:fldCharType="begin"/>
            </w:r>
            <w:r>
              <w:rPr>
                <w:noProof/>
                <w:webHidden/>
              </w:rPr>
              <w:instrText xml:space="preserve"> PAGEREF _Toc212129307 \h </w:instrText>
            </w:r>
            <w:r>
              <w:rPr>
                <w:noProof/>
                <w:webHidden/>
              </w:rPr>
            </w:r>
            <w:r>
              <w:rPr>
                <w:noProof/>
                <w:webHidden/>
              </w:rPr>
              <w:fldChar w:fldCharType="separate"/>
            </w:r>
            <w:r w:rsidR="00DC6E7C">
              <w:rPr>
                <w:noProof/>
                <w:webHidden/>
              </w:rPr>
              <w:t>19</w:t>
            </w:r>
            <w:r>
              <w:rPr>
                <w:noProof/>
                <w:webHidden/>
              </w:rPr>
              <w:fldChar w:fldCharType="end"/>
            </w:r>
          </w:hyperlink>
        </w:p>
        <w:p w14:paraId="5A0C9EF4" w14:textId="39E2FC8C" w:rsidR="00E35A90" w:rsidRDefault="00E35A90">
          <w:r>
            <w:rPr>
              <w:b/>
              <w:bCs/>
              <w:lang w:val="es-ES"/>
            </w:rPr>
            <w:fldChar w:fldCharType="end"/>
          </w:r>
        </w:p>
      </w:sdtContent>
    </w:sdt>
    <w:p w14:paraId="7C152A53" w14:textId="77777777" w:rsidR="005167DE" w:rsidRPr="00E35A90" w:rsidRDefault="00276782">
      <w:pPr>
        <w:pStyle w:val="Ttulo2"/>
        <w:spacing w:before="0" w:after="0"/>
      </w:pPr>
      <w:r w:rsidRPr="00E35A90">
        <w:br w:type="page"/>
      </w:r>
    </w:p>
    <w:p w14:paraId="53059DAC" w14:textId="77777777" w:rsidR="005167DE" w:rsidRPr="00E35A90" w:rsidRDefault="00276782">
      <w:pPr>
        <w:spacing w:after="0" w:line="360" w:lineRule="auto"/>
      </w:pPr>
      <w:r w:rsidRPr="00E35A90">
        <w:lastRenderedPageBreak/>
        <w:t>Resolución del Pleno del Instituto de Transparencia, Acceso a la Información Pública y Protección de Datos Personales del Estado de México y Municipios, con domicilio en Metepec, Estado de México, de fecha veintidós de octubre de dos mil veinticinco.</w:t>
      </w:r>
    </w:p>
    <w:p w14:paraId="197EC281" w14:textId="77777777" w:rsidR="005167DE" w:rsidRPr="00E35A90" w:rsidRDefault="005167DE">
      <w:pPr>
        <w:spacing w:after="0" w:line="360" w:lineRule="auto"/>
        <w:rPr>
          <w:b/>
        </w:rPr>
      </w:pPr>
    </w:p>
    <w:p w14:paraId="2EF87B5F" w14:textId="3CBC4A71" w:rsidR="005167DE" w:rsidRPr="00E35A90" w:rsidRDefault="00276782">
      <w:pPr>
        <w:spacing w:after="0" w:line="360" w:lineRule="auto"/>
      </w:pPr>
      <w:r w:rsidRPr="00E35A90">
        <w:rPr>
          <w:b/>
        </w:rPr>
        <w:t>VISTO</w:t>
      </w:r>
      <w:r w:rsidRPr="00E35A90">
        <w:t xml:space="preserve"> el expediente conformado con motivo del Recurso de Revisión </w:t>
      </w:r>
      <w:r w:rsidRPr="001654C8">
        <w:rPr>
          <w:b/>
        </w:rPr>
        <w:t>09981/INFOEM/IP/RR/20</w:t>
      </w:r>
      <w:r w:rsidRPr="00E35A90">
        <w:t xml:space="preserve">25, interpuesto por </w:t>
      </w:r>
      <w:r w:rsidR="009459CA" w:rsidRPr="009459CA">
        <w:rPr>
          <w:b/>
          <w:bCs/>
          <w:highlight w:val="black"/>
        </w:rPr>
        <w:t>XXXXXXXXXXXXXXXXXXXXXXXXXXXXXX</w:t>
      </w:r>
      <w:r w:rsidRPr="00E35A90">
        <w:t xml:space="preserve">, en lo sucesivo, la persona Recurrente o Particular, en contra de la respuesta del Sujeto Obligado, </w:t>
      </w:r>
      <w:r w:rsidRPr="001654C8">
        <w:rPr>
          <w:b/>
        </w:rPr>
        <w:t>Ayuntamiento de Ecatepec de Morelos</w:t>
      </w:r>
      <w:r w:rsidRPr="00E35A90">
        <w:t>, se emite la presente Resolución, con base en los antecedentes y considerandos que se exponen a continuación:</w:t>
      </w:r>
    </w:p>
    <w:p w14:paraId="0DA1C14F" w14:textId="77777777" w:rsidR="005167DE" w:rsidRPr="00E35A90" w:rsidRDefault="005167DE">
      <w:pPr>
        <w:spacing w:after="0" w:line="360" w:lineRule="auto"/>
      </w:pPr>
    </w:p>
    <w:p w14:paraId="1181A65B" w14:textId="77777777" w:rsidR="005167DE" w:rsidRPr="00E35A90" w:rsidRDefault="00276782">
      <w:pPr>
        <w:pStyle w:val="Ttulo1"/>
        <w:spacing w:before="0" w:after="0"/>
        <w:rPr>
          <w:sz w:val="22"/>
          <w:szCs w:val="22"/>
        </w:rPr>
      </w:pPr>
      <w:bookmarkStart w:id="1" w:name="_Toc212129295"/>
      <w:r w:rsidRPr="00E35A90">
        <w:rPr>
          <w:sz w:val="22"/>
          <w:szCs w:val="22"/>
        </w:rPr>
        <w:t>A N T E C E D E N T E S</w:t>
      </w:r>
      <w:bookmarkEnd w:id="1"/>
    </w:p>
    <w:p w14:paraId="35D79C71" w14:textId="77777777" w:rsidR="005167DE" w:rsidRPr="00E35A90" w:rsidRDefault="005167DE">
      <w:pPr>
        <w:spacing w:after="0" w:line="360" w:lineRule="auto"/>
      </w:pPr>
      <w:bookmarkStart w:id="2" w:name="_heading=h.gjdgxs" w:colFirst="0" w:colLast="0"/>
      <w:bookmarkEnd w:id="2"/>
    </w:p>
    <w:p w14:paraId="2B997B69" w14:textId="77777777" w:rsidR="005167DE" w:rsidRPr="00E35A90" w:rsidRDefault="00276782">
      <w:pPr>
        <w:pStyle w:val="Ttulo2"/>
        <w:spacing w:before="0" w:after="0"/>
      </w:pPr>
      <w:bookmarkStart w:id="3" w:name="_Toc212129296"/>
      <w:r w:rsidRPr="00E35A90">
        <w:t>I. Presentación de la solicitud de información</w:t>
      </w:r>
      <w:bookmarkEnd w:id="3"/>
    </w:p>
    <w:p w14:paraId="3A203540" w14:textId="77777777" w:rsidR="005167DE" w:rsidRPr="00E35A90" w:rsidRDefault="005167DE">
      <w:pPr>
        <w:tabs>
          <w:tab w:val="left" w:pos="567"/>
        </w:tabs>
        <w:spacing w:after="0" w:line="360" w:lineRule="auto"/>
      </w:pPr>
    </w:p>
    <w:p w14:paraId="00A7A462" w14:textId="77777777" w:rsidR="005167DE" w:rsidRPr="00E35A90" w:rsidRDefault="00276782">
      <w:pPr>
        <w:spacing w:after="0" w:line="360" w:lineRule="auto"/>
      </w:pPr>
      <w:bookmarkStart w:id="4" w:name="_heading=h.7z2hm1dstc2n" w:colFirst="0" w:colLast="0"/>
      <w:bookmarkEnd w:id="4"/>
      <w:r w:rsidRPr="00E35A90">
        <w:t>Con fecha siete de agosto de dos mil veinticinco, la parte Solicitante presentó una solicitud de acceso a la información pública, a través del Sistema de Acceso a la Información Mexiquense, en lo sucesivo el SAIMEX, ante el Ayuntamiento de Ecatepec de Morelos, en la que requirió lo siguiente:</w:t>
      </w:r>
    </w:p>
    <w:p w14:paraId="3A59E5B2" w14:textId="77777777" w:rsidR="005167DE" w:rsidRPr="00E35A90" w:rsidRDefault="005167DE">
      <w:pPr>
        <w:spacing w:after="0" w:line="360" w:lineRule="auto"/>
      </w:pPr>
    </w:p>
    <w:p w14:paraId="25CDA9F2" w14:textId="77777777" w:rsidR="005167DE" w:rsidRPr="00E35A90" w:rsidRDefault="00276782">
      <w:pPr>
        <w:tabs>
          <w:tab w:val="left" w:pos="567"/>
        </w:tabs>
        <w:spacing w:after="0" w:line="360" w:lineRule="auto"/>
        <w:ind w:left="567" w:right="709"/>
        <w:rPr>
          <w:b/>
          <w:sz w:val="20"/>
          <w:szCs w:val="20"/>
        </w:rPr>
      </w:pPr>
      <w:r w:rsidRPr="00E35A90">
        <w:rPr>
          <w:b/>
          <w:sz w:val="20"/>
          <w:szCs w:val="20"/>
        </w:rPr>
        <w:t>Folio de la solicitud: 00649/ECATEPEC/IP/2025</w:t>
      </w:r>
    </w:p>
    <w:p w14:paraId="5DFD6468" w14:textId="77777777" w:rsidR="005167DE" w:rsidRPr="00E35A90" w:rsidRDefault="00276782">
      <w:pPr>
        <w:tabs>
          <w:tab w:val="left" w:pos="567"/>
        </w:tabs>
        <w:spacing w:after="0" w:line="360" w:lineRule="auto"/>
        <w:ind w:left="567" w:right="709"/>
        <w:rPr>
          <w:b/>
          <w:sz w:val="20"/>
          <w:szCs w:val="20"/>
        </w:rPr>
      </w:pPr>
      <w:r w:rsidRPr="00E35A90">
        <w:rPr>
          <w:b/>
          <w:sz w:val="20"/>
          <w:szCs w:val="20"/>
        </w:rPr>
        <w:t>DESCRIPCIÓN CLARA Y PRECISA DE LA INFORMACIÓN SOLICITADA</w:t>
      </w:r>
    </w:p>
    <w:p w14:paraId="5D01CC29" w14:textId="77777777" w:rsidR="005167DE" w:rsidRPr="00E35A90" w:rsidRDefault="00276782">
      <w:pPr>
        <w:tabs>
          <w:tab w:val="left" w:pos="4667"/>
        </w:tabs>
        <w:spacing w:after="0" w:line="360" w:lineRule="auto"/>
        <w:ind w:left="567" w:right="709"/>
        <w:rPr>
          <w:i/>
          <w:sz w:val="20"/>
          <w:szCs w:val="20"/>
        </w:rPr>
      </w:pPr>
      <w:r w:rsidRPr="00E35A90">
        <w:rPr>
          <w:i/>
          <w:sz w:val="20"/>
          <w:szCs w:val="20"/>
        </w:rPr>
        <w:t>“Dirección de Protección Civil y Bomberos. Solicito copia certificada SIN COSTO del documento generado por personal de la Dirección de Protección Civil y Bomberos el día 07 de agosto de 2025, en la Colonia Rustica Xalostoc.” (Sic.)</w:t>
      </w:r>
    </w:p>
    <w:p w14:paraId="29022DB1" w14:textId="77777777" w:rsidR="005167DE" w:rsidRPr="00E35A90" w:rsidRDefault="005167DE">
      <w:pPr>
        <w:tabs>
          <w:tab w:val="left" w:pos="4667"/>
        </w:tabs>
        <w:spacing w:after="0" w:line="360" w:lineRule="auto"/>
        <w:ind w:left="567" w:right="709"/>
        <w:rPr>
          <w:b/>
          <w:sz w:val="20"/>
          <w:szCs w:val="20"/>
        </w:rPr>
      </w:pPr>
    </w:p>
    <w:p w14:paraId="539FAF40" w14:textId="77777777" w:rsidR="005167DE" w:rsidRPr="00E35A90" w:rsidRDefault="00276782">
      <w:pPr>
        <w:tabs>
          <w:tab w:val="left" w:pos="4667"/>
        </w:tabs>
        <w:spacing w:after="0" w:line="360" w:lineRule="auto"/>
        <w:ind w:left="567" w:right="709"/>
        <w:rPr>
          <w:b/>
          <w:sz w:val="20"/>
          <w:szCs w:val="20"/>
        </w:rPr>
      </w:pPr>
      <w:r w:rsidRPr="00E35A90">
        <w:rPr>
          <w:b/>
          <w:sz w:val="20"/>
          <w:szCs w:val="20"/>
        </w:rPr>
        <w:t xml:space="preserve">MODALIDAD DE ENTREGA </w:t>
      </w:r>
      <w:r w:rsidRPr="00E35A90">
        <w:rPr>
          <w:i/>
          <w:sz w:val="20"/>
          <w:szCs w:val="20"/>
        </w:rPr>
        <w:t>“A través del SAIMEX.”</w:t>
      </w:r>
    </w:p>
    <w:p w14:paraId="3012FCD3" w14:textId="77777777" w:rsidR="005167DE" w:rsidRPr="00E35A90" w:rsidRDefault="005167DE">
      <w:pPr>
        <w:tabs>
          <w:tab w:val="left" w:pos="4667"/>
        </w:tabs>
        <w:spacing w:after="0" w:line="360" w:lineRule="auto"/>
        <w:ind w:right="709"/>
        <w:rPr>
          <w:i/>
        </w:rPr>
      </w:pPr>
    </w:p>
    <w:p w14:paraId="6379E492" w14:textId="77777777" w:rsidR="005167DE" w:rsidRPr="00E35A90" w:rsidRDefault="00276782">
      <w:pPr>
        <w:pStyle w:val="Ttulo2"/>
        <w:spacing w:before="0" w:after="0"/>
      </w:pPr>
      <w:bookmarkStart w:id="5" w:name="_Toc212129297"/>
      <w:r w:rsidRPr="00E35A90">
        <w:lastRenderedPageBreak/>
        <w:t>II. Respuesta del Sujeto Obligado</w:t>
      </w:r>
      <w:bookmarkEnd w:id="5"/>
    </w:p>
    <w:p w14:paraId="56429E89" w14:textId="77777777" w:rsidR="005167DE" w:rsidRPr="00E35A90" w:rsidRDefault="005167DE">
      <w:pPr>
        <w:spacing w:after="0" w:line="360" w:lineRule="auto"/>
      </w:pPr>
    </w:p>
    <w:p w14:paraId="54C8E461" w14:textId="77777777" w:rsidR="005167DE" w:rsidRPr="00E35A90" w:rsidRDefault="00276782">
      <w:pPr>
        <w:spacing w:after="0" w:line="360" w:lineRule="auto"/>
      </w:pPr>
      <w:r w:rsidRPr="00E35A90">
        <w:t>El veintiuno de agosto de dos mil veinticinco, el Sujeto Obligado a través de SAIMEX, dio respuesta en los siguientes términos:</w:t>
      </w:r>
    </w:p>
    <w:p w14:paraId="39EE4BAF" w14:textId="77777777" w:rsidR="005167DE" w:rsidRPr="00E35A90" w:rsidRDefault="005167DE">
      <w:pPr>
        <w:spacing w:after="0" w:line="360" w:lineRule="auto"/>
      </w:pPr>
    </w:p>
    <w:p w14:paraId="05DA4860" w14:textId="77777777" w:rsidR="005167DE" w:rsidRPr="00E35A90" w:rsidRDefault="00276782">
      <w:pPr>
        <w:numPr>
          <w:ilvl w:val="0"/>
          <w:numId w:val="2"/>
        </w:numPr>
        <w:pBdr>
          <w:top w:val="nil"/>
          <w:left w:val="nil"/>
          <w:bottom w:val="nil"/>
          <w:right w:val="nil"/>
          <w:between w:val="nil"/>
        </w:pBdr>
        <w:spacing w:after="0" w:line="360" w:lineRule="auto"/>
        <w:rPr>
          <w:b/>
          <w:i/>
          <w:color w:val="000000"/>
        </w:rPr>
      </w:pPr>
      <w:r w:rsidRPr="00E35A90">
        <w:rPr>
          <w:b/>
          <w:i/>
          <w:color w:val="000000"/>
        </w:rPr>
        <w:t xml:space="preserve">oficio 2060 - 00649.pdf; </w:t>
      </w:r>
      <w:r w:rsidRPr="00E35A90">
        <w:rPr>
          <w:color w:val="000000"/>
        </w:rPr>
        <w:t>del que se desprende un oficio suscrito por el Director de Protección Civil y Bomberos, en el que informó lo siguiente:</w:t>
      </w:r>
    </w:p>
    <w:p w14:paraId="1E9B881B" w14:textId="77777777" w:rsidR="00376D2A" w:rsidRPr="00E35A90" w:rsidRDefault="00376D2A" w:rsidP="00376D2A">
      <w:pPr>
        <w:pBdr>
          <w:top w:val="nil"/>
          <w:left w:val="nil"/>
          <w:bottom w:val="nil"/>
          <w:right w:val="nil"/>
          <w:between w:val="nil"/>
        </w:pBdr>
        <w:spacing w:after="0" w:line="360" w:lineRule="auto"/>
        <w:ind w:left="720"/>
        <w:rPr>
          <w:b/>
          <w:i/>
          <w:color w:val="000000"/>
        </w:rPr>
      </w:pPr>
    </w:p>
    <w:p w14:paraId="22174F83" w14:textId="77777777" w:rsidR="005167DE" w:rsidRPr="00E35A90" w:rsidRDefault="00276782">
      <w:pPr>
        <w:spacing w:after="0" w:line="360" w:lineRule="auto"/>
        <w:ind w:left="567" w:right="709"/>
        <w:rPr>
          <w:i/>
          <w:sz w:val="20"/>
          <w:szCs w:val="20"/>
        </w:rPr>
      </w:pPr>
      <w:r w:rsidRPr="00E35A90">
        <w:rPr>
          <w:i/>
          <w:sz w:val="20"/>
          <w:szCs w:val="20"/>
        </w:rPr>
        <w:t>“…</w:t>
      </w:r>
    </w:p>
    <w:p w14:paraId="735216C0" w14:textId="77777777" w:rsidR="005167DE" w:rsidRPr="00E35A90" w:rsidRDefault="00276782">
      <w:pPr>
        <w:spacing w:after="0" w:line="360" w:lineRule="auto"/>
        <w:ind w:left="567" w:right="709"/>
        <w:rPr>
          <w:i/>
          <w:sz w:val="20"/>
          <w:szCs w:val="20"/>
        </w:rPr>
      </w:pPr>
      <w:r w:rsidRPr="00E35A90">
        <w:rPr>
          <w:i/>
          <w:sz w:val="20"/>
          <w:szCs w:val="20"/>
        </w:rPr>
        <w:t xml:space="preserve">PUNTO PRIMERO.- "Le ratifico que TODAS LAS COPIAS CERTIFICADAS TIENEN COSTO; en base en lo suscrito en el Código Financiero del Estado de México y sus municipios en sus Artículos 147 Fracción incisos A y B 148 fracción II en la Sección Cuarta De los Derechos por Servicios Prestados por Autoridades Fiscales, Administrativas y de Acceso a la Información Pública; así como el artículo 91 fracción X de la Ley Orgánica Municipal del Estado de México, Artículo 9 Fracción III de la Ley de Transparencia y Acceso a la Información Pública del Estado de México y Municipios y que a su letra dice " El Instituto deberá regir su funcionamiento de acuerdo a los siguientes principios Fracción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14:paraId="2F3FAC80" w14:textId="77777777" w:rsidR="005167DE" w:rsidRPr="00E35A90" w:rsidRDefault="005167DE">
      <w:pPr>
        <w:spacing w:after="0" w:line="360" w:lineRule="auto"/>
        <w:ind w:left="567" w:right="709"/>
        <w:rPr>
          <w:i/>
          <w:sz w:val="20"/>
          <w:szCs w:val="20"/>
        </w:rPr>
      </w:pPr>
    </w:p>
    <w:p w14:paraId="38C981F1" w14:textId="77777777" w:rsidR="005167DE" w:rsidRPr="00E35A90" w:rsidRDefault="00276782">
      <w:pPr>
        <w:spacing w:after="0" w:line="360" w:lineRule="auto"/>
        <w:ind w:left="567" w:right="709"/>
        <w:rPr>
          <w:i/>
          <w:sz w:val="20"/>
          <w:szCs w:val="20"/>
        </w:rPr>
      </w:pPr>
      <w:r w:rsidRPr="00E35A90">
        <w:rPr>
          <w:b/>
          <w:i/>
          <w:sz w:val="20"/>
          <w:szCs w:val="20"/>
        </w:rPr>
        <w:t>Por lo que deberá presentarse a las inmediaciones de la Secretaria Municipal del H. Ayuntamiento de Ecatepec de Morelos a realizar los trámites correspondientes y así poder obtener las copias certificadas que él o la recurrente requiera</w:t>
      </w:r>
      <w:r w:rsidRPr="00E35A90">
        <w:rPr>
          <w:i/>
          <w:sz w:val="20"/>
          <w:szCs w:val="20"/>
        </w:rPr>
        <w:t xml:space="preserve">. </w:t>
      </w:r>
    </w:p>
    <w:p w14:paraId="258AD36B" w14:textId="77777777" w:rsidR="005167DE" w:rsidRPr="00E35A90" w:rsidRDefault="005167DE">
      <w:pPr>
        <w:spacing w:after="0" w:line="360" w:lineRule="auto"/>
        <w:ind w:left="567" w:right="709"/>
        <w:rPr>
          <w:i/>
          <w:sz w:val="20"/>
          <w:szCs w:val="20"/>
        </w:rPr>
      </w:pPr>
    </w:p>
    <w:p w14:paraId="59DD73AE" w14:textId="77777777" w:rsidR="005167DE" w:rsidRPr="00E35A90" w:rsidRDefault="00276782">
      <w:pPr>
        <w:spacing w:after="0" w:line="360" w:lineRule="auto"/>
        <w:ind w:left="567" w:right="709"/>
        <w:rPr>
          <w:i/>
          <w:sz w:val="20"/>
          <w:szCs w:val="20"/>
        </w:rPr>
      </w:pPr>
      <w:r w:rsidRPr="00E35A90">
        <w:rPr>
          <w:i/>
          <w:sz w:val="20"/>
          <w:szCs w:val="20"/>
        </w:rPr>
        <w:t>Mas sin en cambio le informo que al realizar una búsqueda exhaustiva en los archivos de la Dirección de Protección Civil y Bomberos que dignamente represento; se localizó Acta Circunstanciada de fecha 07 de agosto de 2025. Por lo que se anexa copia simple del oficio antes referido. "[sic]".</w:t>
      </w:r>
    </w:p>
    <w:p w14:paraId="1FABC2D0" w14:textId="77777777" w:rsidR="005167DE" w:rsidRPr="00E35A90" w:rsidRDefault="00276782">
      <w:pPr>
        <w:spacing w:after="0" w:line="360" w:lineRule="auto"/>
        <w:ind w:left="567" w:right="709"/>
        <w:rPr>
          <w:i/>
          <w:sz w:val="20"/>
          <w:szCs w:val="20"/>
        </w:rPr>
      </w:pPr>
      <w:r w:rsidRPr="00E35A90">
        <w:rPr>
          <w:i/>
          <w:sz w:val="20"/>
          <w:szCs w:val="20"/>
        </w:rPr>
        <w:lastRenderedPageBreak/>
        <w:t>…” (Énfasis añadido)</w:t>
      </w:r>
    </w:p>
    <w:p w14:paraId="1B5D6EEB" w14:textId="77777777" w:rsidR="005167DE" w:rsidRPr="00E35A90" w:rsidRDefault="005167DE">
      <w:pPr>
        <w:spacing w:after="0" w:line="360" w:lineRule="auto"/>
        <w:ind w:left="567" w:right="709"/>
        <w:rPr>
          <w:b/>
          <w:i/>
          <w:sz w:val="20"/>
          <w:szCs w:val="20"/>
        </w:rPr>
      </w:pPr>
    </w:p>
    <w:p w14:paraId="6A75008A" w14:textId="77777777" w:rsidR="005167DE" w:rsidRPr="00E35A90" w:rsidRDefault="00276782">
      <w:pPr>
        <w:numPr>
          <w:ilvl w:val="0"/>
          <w:numId w:val="2"/>
        </w:numPr>
        <w:pBdr>
          <w:top w:val="nil"/>
          <w:left w:val="nil"/>
          <w:bottom w:val="nil"/>
          <w:right w:val="nil"/>
          <w:between w:val="nil"/>
        </w:pBdr>
        <w:spacing w:after="0" w:line="360" w:lineRule="auto"/>
        <w:rPr>
          <w:color w:val="000000"/>
        </w:rPr>
      </w:pPr>
      <w:r w:rsidRPr="00E35A90">
        <w:rPr>
          <w:color w:val="000000"/>
        </w:rPr>
        <w:t xml:space="preserve">Acta circunstanciada de fecha siete de agosto de dos mil veinticinco, en el que se dio cuenta de la tala de un árbol tipo pino en la Colonia Rustica Xalostoc, en el que se dejó visible el nombre de un Particular. </w:t>
      </w:r>
    </w:p>
    <w:p w14:paraId="25A29FCD" w14:textId="77777777" w:rsidR="005167DE" w:rsidRPr="00E35A90" w:rsidRDefault="005167DE">
      <w:pPr>
        <w:spacing w:after="0" w:line="360" w:lineRule="auto"/>
      </w:pPr>
    </w:p>
    <w:p w14:paraId="6AD94400" w14:textId="77777777" w:rsidR="005167DE" w:rsidRPr="00E35A90" w:rsidRDefault="00276782">
      <w:pPr>
        <w:numPr>
          <w:ilvl w:val="0"/>
          <w:numId w:val="2"/>
        </w:numPr>
        <w:pBdr>
          <w:top w:val="nil"/>
          <w:left w:val="nil"/>
          <w:bottom w:val="nil"/>
          <w:right w:val="nil"/>
          <w:between w:val="nil"/>
        </w:pBdr>
        <w:spacing w:after="0" w:line="360" w:lineRule="auto"/>
        <w:rPr>
          <w:color w:val="000000"/>
        </w:rPr>
      </w:pPr>
      <w:r w:rsidRPr="00E35A90">
        <w:rPr>
          <w:color w:val="000000"/>
        </w:rPr>
        <w:t>Diversas imágenes que muestran la actividad.</w:t>
      </w:r>
    </w:p>
    <w:p w14:paraId="2C12AD9C" w14:textId="77777777" w:rsidR="005167DE" w:rsidRPr="00E35A90" w:rsidRDefault="005167DE">
      <w:pPr>
        <w:spacing w:after="0" w:line="360" w:lineRule="auto"/>
      </w:pPr>
    </w:p>
    <w:p w14:paraId="639B0C04" w14:textId="77777777" w:rsidR="005167DE" w:rsidRPr="00E35A90" w:rsidRDefault="00276782">
      <w:pPr>
        <w:pStyle w:val="Ttulo2"/>
        <w:spacing w:before="0" w:after="0"/>
      </w:pPr>
      <w:bookmarkStart w:id="6" w:name="_Toc212129298"/>
      <w:r w:rsidRPr="00E35A90">
        <w:t>III. Interposición del Recurso de Revisión</w:t>
      </w:r>
      <w:bookmarkEnd w:id="6"/>
    </w:p>
    <w:p w14:paraId="4E28E732" w14:textId="77777777" w:rsidR="005167DE" w:rsidRPr="00E35A90" w:rsidRDefault="005167DE">
      <w:pPr>
        <w:spacing w:after="0" w:line="360" w:lineRule="auto"/>
        <w:rPr>
          <w:b/>
        </w:rPr>
      </w:pPr>
    </w:p>
    <w:p w14:paraId="123A38AB" w14:textId="77777777" w:rsidR="005167DE" w:rsidRPr="00E35A90" w:rsidRDefault="00276782">
      <w:pPr>
        <w:spacing w:after="0" w:line="360" w:lineRule="auto"/>
      </w:pPr>
      <w:bookmarkStart w:id="7" w:name="_heading=h.2et92p0" w:colFirst="0" w:colLast="0"/>
      <w:bookmarkEnd w:id="7"/>
      <w:r w:rsidRPr="00E35A90">
        <w:t>Con fecha veinticinco de agosto de dos mil veinticinco, se recibió a través del SAIMEX, el Recurso de Revisión interpuesto por la persona Recurrente, en los siguientes términos:</w:t>
      </w:r>
    </w:p>
    <w:p w14:paraId="5E9CA0E1" w14:textId="77777777" w:rsidR="005167DE" w:rsidRPr="00E35A90" w:rsidRDefault="005167DE">
      <w:pPr>
        <w:spacing w:after="0" w:line="360" w:lineRule="auto"/>
      </w:pPr>
    </w:p>
    <w:p w14:paraId="39D4D0C0" w14:textId="77777777" w:rsidR="005167DE" w:rsidRPr="00E35A90" w:rsidRDefault="00276782">
      <w:pPr>
        <w:spacing w:after="0" w:line="360" w:lineRule="auto"/>
        <w:ind w:left="567" w:right="709"/>
        <w:rPr>
          <w:b/>
          <w:sz w:val="20"/>
          <w:szCs w:val="20"/>
        </w:rPr>
      </w:pPr>
      <w:r w:rsidRPr="00E35A90">
        <w:rPr>
          <w:b/>
          <w:sz w:val="20"/>
          <w:szCs w:val="20"/>
        </w:rPr>
        <w:t>ACTO IMPUGNADO</w:t>
      </w:r>
      <w:r w:rsidRPr="00E35A90">
        <w:rPr>
          <w:b/>
          <w:sz w:val="20"/>
          <w:szCs w:val="20"/>
        </w:rPr>
        <w:tab/>
      </w:r>
    </w:p>
    <w:p w14:paraId="345916A4" w14:textId="77777777" w:rsidR="005167DE" w:rsidRPr="00E35A90" w:rsidRDefault="00276782">
      <w:pPr>
        <w:spacing w:after="0" w:line="360" w:lineRule="auto"/>
        <w:ind w:left="567" w:right="709"/>
        <w:rPr>
          <w:b/>
          <w:sz w:val="20"/>
          <w:szCs w:val="20"/>
        </w:rPr>
      </w:pPr>
      <w:r w:rsidRPr="00E35A90">
        <w:rPr>
          <w:i/>
          <w:sz w:val="20"/>
          <w:szCs w:val="20"/>
        </w:rPr>
        <w:t>“Dirección de Protección Civil y Bomberos. Solicito copia certificada SIN COSTO del documento generado por personal de la Dirección de Protección Civil y Bomberos el día 07 de agosto de 2025, en la Colonia Rustica Xalostoc.” (Sic.)</w:t>
      </w:r>
    </w:p>
    <w:p w14:paraId="58C65097" w14:textId="77777777" w:rsidR="005167DE" w:rsidRPr="00E35A90" w:rsidRDefault="005167DE">
      <w:pPr>
        <w:spacing w:after="0" w:line="360" w:lineRule="auto"/>
        <w:ind w:left="567" w:right="709"/>
        <w:rPr>
          <w:sz w:val="20"/>
          <w:szCs w:val="20"/>
        </w:rPr>
      </w:pPr>
    </w:p>
    <w:p w14:paraId="4B0EA7D7" w14:textId="77777777" w:rsidR="005167DE" w:rsidRPr="00E35A90" w:rsidRDefault="00276782">
      <w:pPr>
        <w:spacing w:after="0" w:line="360" w:lineRule="auto"/>
        <w:ind w:left="567" w:right="709"/>
        <w:rPr>
          <w:b/>
          <w:sz w:val="20"/>
          <w:szCs w:val="20"/>
        </w:rPr>
      </w:pPr>
      <w:r w:rsidRPr="00E35A90">
        <w:rPr>
          <w:b/>
          <w:sz w:val="20"/>
          <w:szCs w:val="20"/>
        </w:rPr>
        <w:t>RAZONES O MOTIVOS DE LA INCONFORMIDAD</w:t>
      </w:r>
      <w:r w:rsidRPr="00E35A90">
        <w:rPr>
          <w:b/>
          <w:sz w:val="20"/>
          <w:szCs w:val="20"/>
        </w:rPr>
        <w:tab/>
      </w:r>
    </w:p>
    <w:p w14:paraId="0C49CE08" w14:textId="77777777" w:rsidR="005167DE" w:rsidRPr="00E35A90" w:rsidRDefault="00276782">
      <w:pPr>
        <w:tabs>
          <w:tab w:val="left" w:pos="4667"/>
        </w:tabs>
        <w:spacing w:after="0" w:line="360" w:lineRule="auto"/>
        <w:ind w:left="567" w:right="709"/>
        <w:rPr>
          <w:i/>
          <w:sz w:val="20"/>
          <w:szCs w:val="20"/>
        </w:rPr>
      </w:pPr>
      <w:r w:rsidRPr="00E35A90">
        <w:rPr>
          <w:i/>
          <w:sz w:val="20"/>
          <w:szCs w:val="20"/>
        </w:rPr>
        <w:t>“Con todo respeto tengo derecho a que las primeras VEINTE hojas certificadas se me brinden SIN COSTO.” (Sic.)</w:t>
      </w:r>
    </w:p>
    <w:p w14:paraId="0671C41A" w14:textId="77777777" w:rsidR="005167DE" w:rsidRPr="00E35A90" w:rsidRDefault="005167DE">
      <w:pPr>
        <w:tabs>
          <w:tab w:val="left" w:pos="4667"/>
        </w:tabs>
        <w:spacing w:after="0" w:line="360" w:lineRule="auto"/>
      </w:pPr>
    </w:p>
    <w:p w14:paraId="557CDFF4" w14:textId="77777777" w:rsidR="005167DE" w:rsidRPr="00E35A90" w:rsidRDefault="00276782">
      <w:pPr>
        <w:pStyle w:val="Ttulo2"/>
        <w:spacing w:before="0" w:after="0"/>
      </w:pPr>
      <w:bookmarkStart w:id="8" w:name="_Toc212129299"/>
      <w:r w:rsidRPr="00E35A90">
        <w:t>IV. Trámite del Recurso de Revisión ante este Instituto</w:t>
      </w:r>
      <w:bookmarkEnd w:id="8"/>
    </w:p>
    <w:p w14:paraId="32A86A8F" w14:textId="77777777" w:rsidR="005167DE" w:rsidRPr="00E35A90" w:rsidRDefault="005167DE">
      <w:pPr>
        <w:spacing w:after="0" w:line="360" w:lineRule="auto"/>
        <w:rPr>
          <w:b/>
        </w:rPr>
      </w:pPr>
    </w:p>
    <w:p w14:paraId="020CBE67" w14:textId="77777777" w:rsidR="005167DE" w:rsidRPr="00E35A90" w:rsidRDefault="00276782">
      <w:pPr>
        <w:spacing w:after="0" w:line="360" w:lineRule="auto"/>
      </w:pPr>
      <w:r w:rsidRPr="00E35A90">
        <w:rPr>
          <w:b/>
        </w:rPr>
        <w:t>a) Turno del Medio de Impugnación.</w:t>
      </w:r>
      <w:r w:rsidRPr="00E35A90">
        <w:t xml:space="preserve"> El veinticinco de agosto de dos mil veinticinco, el SAIMEX, asignó el número de expediente</w:t>
      </w:r>
      <w:r w:rsidRPr="00E35A90">
        <w:rPr>
          <w:b/>
        </w:rPr>
        <w:t xml:space="preserve"> 09981/INFOEM/IP/RR/2025, </w:t>
      </w:r>
      <w:r w:rsidRPr="00E35A90">
        <w:t xml:space="preserve">al medio de impugnación que nos ocupan, con base en el sistema aprobado por el Pleno de este Órgano Garante y se turnó al Comisionado Ponente Luis Gustavo Parra Noriega, para los efectos del </w:t>
      </w:r>
      <w:r w:rsidRPr="00E35A90">
        <w:lastRenderedPageBreak/>
        <w:t>artículo 185, fracción I de la Ley de Transparencia y Acceso a la Información Pública del Estado de México y Municipios.</w:t>
      </w:r>
    </w:p>
    <w:p w14:paraId="3DF12FB6" w14:textId="77777777" w:rsidR="005167DE" w:rsidRPr="00E35A90" w:rsidRDefault="005167DE">
      <w:pPr>
        <w:spacing w:after="0" w:line="360" w:lineRule="auto"/>
      </w:pPr>
    </w:p>
    <w:p w14:paraId="68C03F18" w14:textId="77777777" w:rsidR="005167DE" w:rsidRPr="00E35A90" w:rsidRDefault="00276782">
      <w:pPr>
        <w:spacing w:after="0" w:line="360" w:lineRule="auto"/>
      </w:pPr>
      <w:r w:rsidRPr="00E35A90">
        <w:rPr>
          <w:b/>
        </w:rPr>
        <w:t>b) Admisión del Recurso de Revisión.</w:t>
      </w:r>
      <w:r w:rsidRPr="00E35A90">
        <w:t xml:space="preserve"> El veintiocho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324174BB" w14:textId="77777777" w:rsidR="005167DE" w:rsidRPr="00E35A90" w:rsidRDefault="005167DE">
      <w:pPr>
        <w:spacing w:after="0" w:line="360" w:lineRule="auto"/>
        <w:rPr>
          <w:color w:val="000000"/>
        </w:rPr>
      </w:pPr>
    </w:p>
    <w:p w14:paraId="1427EAD3" w14:textId="77777777" w:rsidR="005167DE" w:rsidRPr="00E35A90" w:rsidRDefault="00276782">
      <w:pPr>
        <w:spacing w:after="0" w:line="360" w:lineRule="auto"/>
        <w:rPr>
          <w:color w:val="000000"/>
        </w:rPr>
      </w:pPr>
      <w:r w:rsidRPr="00E35A90">
        <w:rPr>
          <w:b/>
        </w:rPr>
        <w:t xml:space="preserve">c) </w:t>
      </w:r>
      <w:r w:rsidRPr="00E35A90">
        <w:rPr>
          <w:b/>
          <w:color w:val="000000"/>
        </w:rPr>
        <w:t xml:space="preserve">Informe Justificado. </w:t>
      </w:r>
      <w:r w:rsidRPr="00E35A90">
        <w:rPr>
          <w:color w:val="000000"/>
        </w:rPr>
        <w:t>En fecha veintinueve de agosto de dos mil veinticinco, se recibió en este Instituto, a través del Sistema de Acceso a la Información Mexiquense (SAIMEX), el Informe Justificado, por parte del Sujeto Obligado, en los siguientes términos:</w:t>
      </w:r>
    </w:p>
    <w:p w14:paraId="5A685FAA" w14:textId="77777777" w:rsidR="005167DE" w:rsidRPr="00E35A90" w:rsidRDefault="005167DE">
      <w:pPr>
        <w:spacing w:after="0" w:line="360" w:lineRule="auto"/>
        <w:rPr>
          <w:color w:val="000000"/>
        </w:rPr>
      </w:pPr>
    </w:p>
    <w:p w14:paraId="712AF3BE" w14:textId="77777777" w:rsidR="005167DE" w:rsidRPr="00E35A90" w:rsidRDefault="00276782">
      <w:pPr>
        <w:numPr>
          <w:ilvl w:val="0"/>
          <w:numId w:val="1"/>
        </w:numPr>
        <w:pBdr>
          <w:top w:val="nil"/>
          <w:left w:val="nil"/>
          <w:bottom w:val="nil"/>
          <w:right w:val="nil"/>
          <w:between w:val="nil"/>
        </w:pBdr>
        <w:spacing w:after="0" w:line="360" w:lineRule="auto"/>
        <w:rPr>
          <w:b/>
          <w:color w:val="000000"/>
        </w:rPr>
      </w:pPr>
      <w:r w:rsidRPr="00E35A90">
        <w:rPr>
          <w:b/>
          <w:i/>
          <w:color w:val="000000"/>
        </w:rPr>
        <w:t>CT_UT_ECA_1033_2025informe justificado.pdf;</w:t>
      </w:r>
      <w:r w:rsidRPr="00E35A90">
        <w:rPr>
          <w:b/>
          <w:color w:val="000000"/>
        </w:rPr>
        <w:t xml:space="preserve"> </w:t>
      </w:r>
      <w:r w:rsidRPr="00E35A90">
        <w:rPr>
          <w:color w:val="000000"/>
        </w:rPr>
        <w:t xml:space="preserve">del que se aprecia un oficio suscrito por el Titular de la Unidad de Transparencia y Acceso a la Información Pública del Sujeto Obligado, en el que </w:t>
      </w:r>
      <w:r w:rsidRPr="00E35A90">
        <w:rPr>
          <w:b/>
          <w:color w:val="000000"/>
        </w:rPr>
        <w:t xml:space="preserve"> medularmente ratificó la respuesta inicial y agregó:</w:t>
      </w:r>
    </w:p>
    <w:p w14:paraId="17D5AAF3" w14:textId="77777777" w:rsidR="005167DE" w:rsidRPr="00E35A90" w:rsidRDefault="005167DE">
      <w:pPr>
        <w:pBdr>
          <w:top w:val="nil"/>
          <w:left w:val="nil"/>
          <w:bottom w:val="nil"/>
          <w:right w:val="nil"/>
          <w:between w:val="nil"/>
        </w:pBdr>
        <w:spacing w:after="0" w:line="360" w:lineRule="auto"/>
        <w:rPr>
          <w:b/>
          <w:color w:val="000000"/>
        </w:rPr>
      </w:pPr>
    </w:p>
    <w:p w14:paraId="7B0BE78B" w14:textId="77777777" w:rsidR="005167DE" w:rsidRPr="00E35A90" w:rsidRDefault="00276782">
      <w:pPr>
        <w:pBdr>
          <w:top w:val="nil"/>
          <w:left w:val="nil"/>
          <w:bottom w:val="nil"/>
          <w:right w:val="nil"/>
          <w:between w:val="nil"/>
        </w:pBdr>
        <w:spacing w:after="0" w:line="360" w:lineRule="auto"/>
        <w:ind w:left="567" w:right="709"/>
        <w:rPr>
          <w:i/>
          <w:sz w:val="20"/>
          <w:szCs w:val="20"/>
        </w:rPr>
      </w:pPr>
      <w:r w:rsidRPr="00E35A90">
        <w:rPr>
          <w:i/>
          <w:sz w:val="20"/>
          <w:szCs w:val="20"/>
        </w:rPr>
        <w:t>“…</w:t>
      </w:r>
    </w:p>
    <w:p w14:paraId="12BEB357" w14:textId="77777777" w:rsidR="005167DE" w:rsidRPr="00E35A90" w:rsidRDefault="00276782">
      <w:pPr>
        <w:pBdr>
          <w:top w:val="nil"/>
          <w:left w:val="nil"/>
          <w:bottom w:val="nil"/>
          <w:right w:val="nil"/>
          <w:between w:val="nil"/>
        </w:pBdr>
        <w:spacing w:after="0" w:line="360" w:lineRule="auto"/>
        <w:ind w:left="567" w:right="709"/>
        <w:rPr>
          <w:i/>
          <w:sz w:val="20"/>
          <w:szCs w:val="20"/>
        </w:rPr>
      </w:pPr>
      <w:r w:rsidRPr="00E35A90">
        <w:rPr>
          <w:i/>
          <w:sz w:val="20"/>
          <w:szCs w:val="20"/>
        </w:rPr>
        <w:t xml:space="preserve">Es importante señalar que nunca se negó el acceso a la información, así como tampoco una falta de respuesta, como así lo señala el ahora recurrente, toda vez que este sujeto obligado, remitió respuesta que en derecho procedió. </w:t>
      </w:r>
    </w:p>
    <w:p w14:paraId="40A82635" w14:textId="77777777" w:rsidR="00376D2A" w:rsidRPr="00E35A90" w:rsidRDefault="00376D2A">
      <w:pPr>
        <w:pBdr>
          <w:top w:val="nil"/>
          <w:left w:val="nil"/>
          <w:bottom w:val="nil"/>
          <w:right w:val="nil"/>
          <w:between w:val="nil"/>
        </w:pBdr>
        <w:spacing w:after="0" w:line="360" w:lineRule="auto"/>
        <w:ind w:left="567" w:right="709"/>
        <w:rPr>
          <w:i/>
          <w:sz w:val="20"/>
          <w:szCs w:val="20"/>
        </w:rPr>
      </w:pPr>
    </w:p>
    <w:p w14:paraId="38F2BD30" w14:textId="77777777" w:rsidR="005167DE" w:rsidRPr="00E35A90" w:rsidRDefault="00276782">
      <w:pPr>
        <w:pBdr>
          <w:top w:val="nil"/>
          <w:left w:val="nil"/>
          <w:bottom w:val="nil"/>
          <w:right w:val="nil"/>
          <w:between w:val="nil"/>
        </w:pBdr>
        <w:spacing w:after="0" w:line="360" w:lineRule="auto"/>
        <w:ind w:left="567" w:right="709"/>
        <w:rPr>
          <w:i/>
          <w:sz w:val="20"/>
          <w:szCs w:val="20"/>
        </w:rPr>
      </w:pPr>
      <w:r w:rsidRPr="00E35A90">
        <w:rPr>
          <w:i/>
          <w:sz w:val="20"/>
          <w:szCs w:val="20"/>
        </w:rPr>
        <w:t xml:space="preserve">Sirva el presente escrito también para reafirmar que la respuesta está fundada y motivada por la Unidad Competente, ya que el cobro de cada una de las Certificaciones se deriva del Código Financiero del Estado de México, en este mismo se establecen los porcentajes de cobro y que serán </w:t>
      </w:r>
      <w:r w:rsidRPr="00E35A90">
        <w:rPr>
          <w:i/>
          <w:sz w:val="20"/>
          <w:szCs w:val="20"/>
        </w:rPr>
        <w:lastRenderedPageBreak/>
        <w:t>aplicables para cada trámite administrativo y derivé algún pago sobre derechos de este, ya que es una obligación para cada solicitante de acuerdo a lo establecido en el presente código.</w:t>
      </w:r>
    </w:p>
    <w:p w14:paraId="5350B733" w14:textId="77777777" w:rsidR="005167DE" w:rsidRPr="00E35A90" w:rsidRDefault="00276782">
      <w:pPr>
        <w:pBdr>
          <w:top w:val="nil"/>
          <w:left w:val="nil"/>
          <w:bottom w:val="nil"/>
          <w:right w:val="nil"/>
          <w:between w:val="nil"/>
        </w:pBdr>
        <w:spacing w:after="0" w:line="360" w:lineRule="auto"/>
        <w:ind w:left="567" w:right="709"/>
        <w:rPr>
          <w:b/>
          <w:i/>
          <w:color w:val="000000"/>
          <w:sz w:val="20"/>
          <w:szCs w:val="20"/>
        </w:rPr>
      </w:pPr>
      <w:r w:rsidRPr="00E35A90">
        <w:rPr>
          <w:i/>
          <w:sz w:val="20"/>
          <w:szCs w:val="20"/>
        </w:rPr>
        <w:t>…”</w:t>
      </w:r>
    </w:p>
    <w:p w14:paraId="5A90F46B" w14:textId="77777777" w:rsidR="005167DE" w:rsidRPr="00E35A90" w:rsidRDefault="005167DE">
      <w:pPr>
        <w:pBdr>
          <w:top w:val="nil"/>
          <w:left w:val="nil"/>
          <w:bottom w:val="nil"/>
          <w:right w:val="nil"/>
          <w:between w:val="nil"/>
        </w:pBdr>
        <w:spacing w:after="0" w:line="360" w:lineRule="auto"/>
        <w:rPr>
          <w:b/>
          <w:color w:val="000000"/>
          <w:sz w:val="20"/>
          <w:szCs w:val="20"/>
        </w:rPr>
      </w:pPr>
    </w:p>
    <w:p w14:paraId="05FDA55C" w14:textId="77777777" w:rsidR="005167DE" w:rsidRPr="00E35A90" w:rsidRDefault="00276782">
      <w:pPr>
        <w:spacing w:after="0" w:line="360" w:lineRule="auto"/>
        <w:rPr>
          <w:color w:val="000000"/>
        </w:rPr>
      </w:pPr>
      <w:r w:rsidRPr="00E35A90">
        <w:rPr>
          <w:b/>
          <w:color w:val="000000"/>
        </w:rPr>
        <w:t xml:space="preserve">d) Vista de Informe Justificado. </w:t>
      </w:r>
      <w:r w:rsidRPr="00E35A90">
        <w:rPr>
          <w:color w:val="000000"/>
        </w:rPr>
        <w:t>El dieciséis de octubre de dos mil veinticinco, se notificó a través del SAIMEX, el acuerdo mediante el cual se puso a la vista de la parte Recurrente el Informe Justificado, proveído por el cual se le otorgó a este último, un término de tres días hábiles contados a partir del día siguiente a la notificación, para que emitiera las manifestaciones que conforme a sus intereses convenga.</w:t>
      </w:r>
    </w:p>
    <w:p w14:paraId="6EBD70E4" w14:textId="77777777" w:rsidR="005167DE" w:rsidRPr="00E35A90" w:rsidRDefault="005167DE">
      <w:pPr>
        <w:widowControl w:val="0"/>
        <w:spacing w:after="0" w:line="360" w:lineRule="auto"/>
        <w:rPr>
          <w:b/>
        </w:rPr>
      </w:pPr>
    </w:p>
    <w:p w14:paraId="74A0DD0D" w14:textId="6D057EA5" w:rsidR="005167DE" w:rsidRPr="00E35A90" w:rsidRDefault="00276782">
      <w:pPr>
        <w:spacing w:after="0" w:line="360" w:lineRule="auto"/>
      </w:pPr>
      <w:r w:rsidRPr="00E35A90">
        <w:rPr>
          <w:b/>
        </w:rPr>
        <w:t xml:space="preserve">e) Manifestaciones de la parte Recurrente. </w:t>
      </w:r>
      <w:r w:rsidR="00E35A90" w:rsidRPr="00E35A90">
        <w:t>En fecha diecisiete de octubre de dos mil veinticinco, la parte Recurrente rindió manifestaciones a través de SAIMEX, en los siguientes términos:</w:t>
      </w:r>
    </w:p>
    <w:p w14:paraId="06D860FA" w14:textId="77777777" w:rsidR="00E35A90" w:rsidRPr="00E35A90" w:rsidRDefault="00E35A90">
      <w:pPr>
        <w:spacing w:after="0" w:line="360" w:lineRule="auto"/>
      </w:pPr>
    </w:p>
    <w:p w14:paraId="360D12FD" w14:textId="79B73E59" w:rsidR="00E35A90" w:rsidRPr="00E35A90" w:rsidRDefault="00E35A90">
      <w:pPr>
        <w:spacing w:after="0" w:line="360" w:lineRule="auto"/>
        <w:rPr>
          <w:i/>
        </w:rPr>
      </w:pPr>
      <w:r w:rsidRPr="00E35A90">
        <w:rPr>
          <w:i/>
        </w:rPr>
        <w:t>“Unidad de Transparencia, con todo respeto. Con todo respeto tengo derecho a que las primeras VEINTE hojas certificadas se me brinden SIN COSTO.”</w:t>
      </w:r>
    </w:p>
    <w:p w14:paraId="5A4D303C" w14:textId="77777777" w:rsidR="005167DE" w:rsidRPr="00E35A90" w:rsidRDefault="005167DE">
      <w:pPr>
        <w:spacing w:after="0" w:line="360" w:lineRule="auto"/>
        <w:rPr>
          <w:color w:val="000000"/>
        </w:rPr>
      </w:pPr>
    </w:p>
    <w:p w14:paraId="05DFD352" w14:textId="48FE44E9" w:rsidR="00E35A90" w:rsidRPr="00E35A90" w:rsidRDefault="00E35A90">
      <w:pPr>
        <w:spacing w:after="0" w:line="360" w:lineRule="auto"/>
        <w:rPr>
          <w:color w:val="000000"/>
        </w:rPr>
      </w:pPr>
      <w:r w:rsidRPr="00E35A90">
        <w:rPr>
          <w:color w:val="000000"/>
        </w:rPr>
        <w:t xml:space="preserve">De igual forma adjuntó el documento que contiene el acuerdo de vista de informe justificado en los mismos términos descritos anteriormente y que obran en el SAIMEX. </w:t>
      </w:r>
    </w:p>
    <w:p w14:paraId="3B8466EC" w14:textId="77777777" w:rsidR="00E35A90" w:rsidRPr="00E35A90" w:rsidRDefault="00E35A90">
      <w:pPr>
        <w:spacing w:after="0" w:line="360" w:lineRule="auto"/>
        <w:rPr>
          <w:color w:val="000000"/>
        </w:rPr>
      </w:pPr>
    </w:p>
    <w:p w14:paraId="5E405905" w14:textId="5B194BD5" w:rsidR="005167DE" w:rsidRPr="00E35A90" w:rsidRDefault="00276782">
      <w:pPr>
        <w:spacing w:after="0" w:line="360" w:lineRule="auto"/>
      </w:pPr>
      <w:r w:rsidRPr="00E35A90">
        <w:rPr>
          <w:b/>
        </w:rPr>
        <w:t>f)</w:t>
      </w:r>
      <w:r w:rsidRPr="00E35A90">
        <w:t xml:space="preserve"> </w:t>
      </w:r>
      <w:r w:rsidRPr="00E35A90">
        <w:rPr>
          <w:b/>
        </w:rPr>
        <w:t>Ampliación de plazo para resolver</w:t>
      </w:r>
      <w:r w:rsidRPr="00E35A90">
        <w:t xml:space="preserve">. El </w:t>
      </w:r>
      <w:r w:rsidR="00E35A90" w:rsidRPr="00E35A90">
        <w:t>dieciséis</w:t>
      </w:r>
      <w:r w:rsidRPr="00E35A90">
        <w:t xml:space="preserve"> de octubre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SAIMEX.</w:t>
      </w:r>
    </w:p>
    <w:p w14:paraId="65A3EBE2" w14:textId="77777777" w:rsidR="005167DE" w:rsidRPr="00E35A90" w:rsidRDefault="005167DE">
      <w:pPr>
        <w:spacing w:after="0" w:line="360" w:lineRule="auto"/>
        <w:rPr>
          <w:b/>
        </w:rPr>
      </w:pPr>
    </w:p>
    <w:p w14:paraId="5C9D197D" w14:textId="77777777" w:rsidR="005167DE" w:rsidRPr="00E35A90" w:rsidRDefault="00276782">
      <w:pPr>
        <w:spacing w:after="0" w:line="360" w:lineRule="auto"/>
      </w:pPr>
      <w:r w:rsidRPr="00E35A90">
        <w:rPr>
          <w:b/>
        </w:rPr>
        <w:t>g) Cierre de instrucción.</w:t>
      </w:r>
      <w:r w:rsidRPr="00E35A90">
        <w:t xml:space="preserve"> El veintidós de octubre de dos mil veinticinco, al no existir diligencias pendientes por desahogar, se emitió el acuerdo por medio del cual se declaró cerrada la </w:t>
      </w:r>
      <w:r w:rsidRPr="00E35A90">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11E7A8D4" w14:textId="77777777" w:rsidR="005167DE" w:rsidRPr="00E35A90" w:rsidRDefault="005167DE">
      <w:pPr>
        <w:spacing w:after="0" w:line="360" w:lineRule="auto"/>
      </w:pPr>
    </w:p>
    <w:p w14:paraId="7F448D60" w14:textId="77777777" w:rsidR="005167DE" w:rsidRPr="00E35A90" w:rsidRDefault="00276782">
      <w:pPr>
        <w:spacing w:after="0" w:line="360" w:lineRule="auto"/>
      </w:pPr>
      <w:r w:rsidRPr="00E35A90">
        <w:t xml:space="preserve">En razón de que fue debidamente sustanciado e integrado el expediente electrónico y no existir diligencia pendiente de desahogo, se emite la resolución que conforme a Derecho proceda, de acuerdo a los siguientes: </w:t>
      </w:r>
    </w:p>
    <w:p w14:paraId="03F09D35" w14:textId="77777777" w:rsidR="005167DE" w:rsidRPr="00E35A90" w:rsidRDefault="005167DE">
      <w:pPr>
        <w:spacing w:after="0" w:line="360" w:lineRule="auto"/>
      </w:pPr>
    </w:p>
    <w:p w14:paraId="40CB9B26" w14:textId="77777777" w:rsidR="005167DE" w:rsidRPr="00E35A90" w:rsidRDefault="00276782">
      <w:pPr>
        <w:pStyle w:val="Ttulo1"/>
        <w:spacing w:before="0" w:after="0"/>
        <w:rPr>
          <w:sz w:val="22"/>
          <w:szCs w:val="22"/>
        </w:rPr>
      </w:pPr>
      <w:bookmarkStart w:id="9" w:name="_Toc212129300"/>
      <w:r w:rsidRPr="00E35A90">
        <w:rPr>
          <w:sz w:val="22"/>
          <w:szCs w:val="22"/>
        </w:rPr>
        <w:t>C O N S I D E R A N D O S</w:t>
      </w:r>
      <w:bookmarkEnd w:id="9"/>
    </w:p>
    <w:p w14:paraId="5E0BD0AD" w14:textId="77777777" w:rsidR="005167DE" w:rsidRPr="00E35A90" w:rsidRDefault="005167DE">
      <w:pPr>
        <w:spacing w:after="0" w:line="360" w:lineRule="auto"/>
        <w:rPr>
          <w:b/>
        </w:rPr>
      </w:pPr>
    </w:p>
    <w:p w14:paraId="06516ED1" w14:textId="77777777" w:rsidR="005167DE" w:rsidRPr="00E35A90" w:rsidRDefault="00276782">
      <w:pPr>
        <w:pStyle w:val="Ttulo2"/>
        <w:spacing w:before="0" w:after="0"/>
      </w:pPr>
      <w:bookmarkStart w:id="10" w:name="_Toc212129301"/>
      <w:r w:rsidRPr="00E35A90">
        <w:t>PRIMERO. Competencia</w:t>
      </w:r>
      <w:bookmarkEnd w:id="10"/>
    </w:p>
    <w:p w14:paraId="7D1505F7" w14:textId="77777777" w:rsidR="005167DE" w:rsidRPr="00E35A90" w:rsidRDefault="005167DE">
      <w:pPr>
        <w:spacing w:after="0" w:line="360" w:lineRule="auto"/>
      </w:pPr>
    </w:p>
    <w:p w14:paraId="2A92BDDB" w14:textId="77777777" w:rsidR="005167DE" w:rsidRPr="00E35A90" w:rsidRDefault="00276782">
      <w:pPr>
        <w:spacing w:after="0" w:line="360" w:lineRule="auto"/>
      </w:pPr>
      <w:r w:rsidRPr="00E35A90">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A8A4E67" w14:textId="77777777" w:rsidR="005167DE" w:rsidRPr="00E35A90" w:rsidRDefault="005167DE">
      <w:pPr>
        <w:spacing w:after="0" w:line="360" w:lineRule="auto"/>
      </w:pPr>
    </w:p>
    <w:p w14:paraId="06EEA914" w14:textId="77777777" w:rsidR="005167DE" w:rsidRPr="00E35A90" w:rsidRDefault="00276782">
      <w:pPr>
        <w:pStyle w:val="Ttulo2"/>
        <w:spacing w:before="0" w:after="0"/>
      </w:pPr>
      <w:bookmarkStart w:id="11" w:name="_Toc212129302"/>
      <w:r w:rsidRPr="00E35A90">
        <w:t>SEGUNDO. Causales de improcedencia y sobreseimiento</w:t>
      </w:r>
      <w:bookmarkEnd w:id="11"/>
    </w:p>
    <w:p w14:paraId="0CD907B6" w14:textId="77777777" w:rsidR="005167DE" w:rsidRPr="00E35A90" w:rsidRDefault="005167DE">
      <w:pPr>
        <w:spacing w:after="0" w:line="360" w:lineRule="auto"/>
      </w:pPr>
    </w:p>
    <w:p w14:paraId="7D09815E" w14:textId="77777777" w:rsidR="005167DE" w:rsidRPr="00E35A90" w:rsidRDefault="00276782">
      <w:pPr>
        <w:spacing w:after="0" w:line="360" w:lineRule="auto"/>
      </w:pPr>
      <w:r w:rsidRPr="00E35A90">
        <w:lastRenderedPageBreak/>
        <w:t xml:space="preserve">De las constancias que forman parte del Recurso de Revisión que se analiza, se advierte que previo al estudio del fondo de la </w:t>
      </w:r>
      <w:r w:rsidRPr="00E35A90">
        <w:rPr>
          <w:i/>
        </w:rPr>
        <w:t>litis</w:t>
      </w:r>
      <w:r w:rsidRPr="00E35A90">
        <w:t>, es necesario estudiar las causales de improcedencia y sobreseimiento que se adviertan, para determinar lo que en Derecho proceda.</w:t>
      </w:r>
    </w:p>
    <w:p w14:paraId="70B4F273" w14:textId="77777777" w:rsidR="005167DE" w:rsidRPr="00E35A90" w:rsidRDefault="005167DE">
      <w:pPr>
        <w:spacing w:after="0" w:line="360" w:lineRule="auto"/>
      </w:pPr>
    </w:p>
    <w:p w14:paraId="68C616FE" w14:textId="77777777" w:rsidR="005167DE" w:rsidRPr="00E35A90" w:rsidRDefault="00276782">
      <w:pPr>
        <w:spacing w:after="0" w:line="360" w:lineRule="auto"/>
        <w:rPr>
          <w:b/>
        </w:rPr>
      </w:pPr>
      <w:r w:rsidRPr="00E35A90">
        <w:rPr>
          <w:b/>
        </w:rPr>
        <w:t>Causales de improcedencia</w:t>
      </w:r>
    </w:p>
    <w:p w14:paraId="126CF9CC" w14:textId="77777777" w:rsidR="005167DE" w:rsidRPr="00E35A90" w:rsidRDefault="005167DE">
      <w:pPr>
        <w:spacing w:after="0" w:line="360" w:lineRule="auto"/>
      </w:pPr>
    </w:p>
    <w:p w14:paraId="79B7D3AF" w14:textId="77777777" w:rsidR="005167DE" w:rsidRPr="00E35A90" w:rsidRDefault="00276782">
      <w:pPr>
        <w:spacing w:after="0" w:line="360" w:lineRule="auto"/>
      </w:pPr>
      <w:r w:rsidRPr="00E35A90">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35A90">
        <w:rPr>
          <w:b/>
        </w:rPr>
        <w:t xml:space="preserve"> </w:t>
      </w:r>
      <w:r w:rsidRPr="00E35A90">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C40D2D8" w14:textId="77777777" w:rsidR="005167DE" w:rsidRPr="00E35A90" w:rsidRDefault="005167DE">
      <w:pPr>
        <w:spacing w:after="0" w:line="360" w:lineRule="auto"/>
      </w:pPr>
    </w:p>
    <w:p w14:paraId="7DE55C17" w14:textId="77777777" w:rsidR="005167DE" w:rsidRPr="00E35A90" w:rsidRDefault="00276782">
      <w:pPr>
        <w:spacing w:after="0" w:line="360" w:lineRule="auto"/>
      </w:pPr>
      <w:r w:rsidRPr="00E35A90">
        <w:t xml:space="preserve">En el presente caso, </w:t>
      </w:r>
      <w:r w:rsidRPr="00E35A90">
        <w:rPr>
          <w:b/>
        </w:rPr>
        <w:t>no se actualiza ninguna de las causales de improcedencia</w:t>
      </w:r>
      <w:r w:rsidRPr="00E35A90">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30AE453" w14:textId="77777777" w:rsidR="005167DE" w:rsidRPr="00E35A90" w:rsidRDefault="005167DE">
      <w:pPr>
        <w:spacing w:after="0" w:line="360" w:lineRule="auto"/>
        <w:rPr>
          <w:b/>
        </w:rPr>
      </w:pPr>
    </w:p>
    <w:p w14:paraId="33E63BAA" w14:textId="77777777" w:rsidR="005167DE" w:rsidRPr="00E35A90" w:rsidRDefault="00276782">
      <w:pPr>
        <w:spacing w:after="0" w:line="360" w:lineRule="auto"/>
        <w:ind w:right="-28"/>
        <w:rPr>
          <w:b/>
        </w:rPr>
      </w:pPr>
      <w:r w:rsidRPr="00E35A90">
        <w:rPr>
          <w:b/>
        </w:rPr>
        <w:t>Causales de sobreseimiento</w:t>
      </w:r>
    </w:p>
    <w:p w14:paraId="228BB7BC" w14:textId="77777777" w:rsidR="005167DE" w:rsidRPr="00E35A90" w:rsidRDefault="005167DE">
      <w:pPr>
        <w:spacing w:after="0" w:line="360" w:lineRule="auto"/>
        <w:ind w:right="-28"/>
      </w:pPr>
    </w:p>
    <w:p w14:paraId="65146C01" w14:textId="77777777" w:rsidR="005167DE" w:rsidRPr="00E35A90" w:rsidRDefault="00276782">
      <w:pPr>
        <w:spacing w:after="0" w:line="360" w:lineRule="auto"/>
      </w:pPr>
      <w:r w:rsidRPr="00E35A90">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w:t>
      </w:r>
      <w:r w:rsidRPr="00E35A90">
        <w:lastRenderedPageBreak/>
        <w:t>causales establecidas en las fracciones I, II, III, IV y V,</w:t>
      </w:r>
      <w:r w:rsidRPr="00E35A90">
        <w:rPr>
          <w:b/>
        </w:rPr>
        <w:t xml:space="preserve"> </w:t>
      </w:r>
      <w:r w:rsidRPr="00E35A90">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5B8051DB" w14:textId="77777777" w:rsidR="005167DE" w:rsidRPr="00E35A90" w:rsidRDefault="005167DE">
      <w:pPr>
        <w:spacing w:after="0" w:line="360" w:lineRule="auto"/>
      </w:pPr>
    </w:p>
    <w:p w14:paraId="64D1232F" w14:textId="77777777" w:rsidR="005167DE" w:rsidRPr="00E35A90" w:rsidRDefault="00276782">
      <w:pPr>
        <w:keepNext/>
        <w:keepLines/>
        <w:spacing w:after="0" w:line="360" w:lineRule="auto"/>
        <w:rPr>
          <w:b/>
        </w:rPr>
      </w:pPr>
      <w:r w:rsidRPr="00E35A90">
        <w:rPr>
          <w:b/>
        </w:rPr>
        <w:t>TERCERO. Determinación de la Controversia</w:t>
      </w:r>
    </w:p>
    <w:p w14:paraId="463FC01B" w14:textId="77777777" w:rsidR="005167DE" w:rsidRPr="00E35A90" w:rsidRDefault="005167DE">
      <w:pPr>
        <w:spacing w:after="0" w:line="360" w:lineRule="auto"/>
      </w:pPr>
    </w:p>
    <w:p w14:paraId="1A13691C" w14:textId="31438DA1" w:rsidR="005167DE" w:rsidRPr="00E35A90" w:rsidRDefault="00276782" w:rsidP="00376D2A">
      <w:pPr>
        <w:spacing w:after="0" w:line="360" w:lineRule="auto"/>
        <w:rPr>
          <w:b/>
          <w:color w:val="000000"/>
        </w:rPr>
      </w:pPr>
      <w:r w:rsidRPr="00E35A90">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w:t>
      </w:r>
      <w:r w:rsidR="00376D2A" w:rsidRPr="00E35A90">
        <w:t>c</w:t>
      </w:r>
      <w:r w:rsidRPr="00E35A90">
        <w:rPr>
          <w:color w:val="000000"/>
        </w:rPr>
        <w:t xml:space="preserve">opia certificada sin costo del documento </w:t>
      </w:r>
      <w:r w:rsidR="00376D2A" w:rsidRPr="00E35A90">
        <w:rPr>
          <w:color w:val="000000"/>
        </w:rPr>
        <w:t>generado por</w:t>
      </w:r>
      <w:r w:rsidRPr="00E35A90">
        <w:rPr>
          <w:color w:val="000000"/>
        </w:rPr>
        <w:t xml:space="preserve"> la Dirección de Protección Civil y Bomberos el 7 de agosto de 2025, en la Colonia </w:t>
      </w:r>
      <w:r w:rsidRPr="00E35A90">
        <w:t>Rústica</w:t>
      </w:r>
      <w:r w:rsidRPr="00E35A90">
        <w:rPr>
          <w:color w:val="000000"/>
        </w:rPr>
        <w:t xml:space="preserve"> Xalostoc.</w:t>
      </w:r>
    </w:p>
    <w:p w14:paraId="75B415F5" w14:textId="77777777" w:rsidR="005167DE" w:rsidRPr="00E35A90" w:rsidRDefault="005167DE">
      <w:pPr>
        <w:spacing w:after="0" w:line="360" w:lineRule="auto"/>
      </w:pPr>
    </w:p>
    <w:p w14:paraId="18BB6073" w14:textId="25770EDD" w:rsidR="005167DE" w:rsidRPr="00E35A90" w:rsidRDefault="00276782">
      <w:pPr>
        <w:spacing w:after="0" w:line="360" w:lineRule="auto"/>
      </w:pPr>
      <w:r w:rsidRPr="00E35A90">
        <w:t>En este tenor, en respuesta el Sujeto Obligado</w:t>
      </w:r>
      <w:r w:rsidRPr="00E35A90">
        <w:rPr>
          <w:b/>
        </w:rPr>
        <w:t xml:space="preserve">, </w:t>
      </w:r>
      <w:r w:rsidRPr="00E35A90">
        <w:t xml:space="preserve">a través de la Dirección de Protección Civil y Bomberos remitió el acta circunstanciada de fecha 7 de agosto de 2025, en el que se da cuenta de la tala de un árbol tipo pino, en la Colonia </w:t>
      </w:r>
      <w:r w:rsidR="00376D2A" w:rsidRPr="00E35A90">
        <w:t>solicitada,</w:t>
      </w:r>
      <w:r w:rsidRPr="00E35A90">
        <w:t xml:space="preserve"> en conjunto con imágenes que muestran dichas actividades, asimismo, indicó a la persona Solicitante que se presentará a las inmediaciones de la Secretaría Municipal del Ayuntamiento para realizar los trámites correspondientes y obtener las copias certificadas requeridas. </w:t>
      </w:r>
    </w:p>
    <w:p w14:paraId="676FECC6" w14:textId="77777777" w:rsidR="005167DE" w:rsidRPr="00E35A90" w:rsidRDefault="005167DE">
      <w:pPr>
        <w:spacing w:after="0" w:line="360" w:lineRule="auto"/>
      </w:pPr>
    </w:p>
    <w:p w14:paraId="4BDB4F55" w14:textId="77777777" w:rsidR="005167DE" w:rsidRPr="00E35A90" w:rsidRDefault="00276782">
      <w:pPr>
        <w:spacing w:after="0" w:line="360" w:lineRule="auto"/>
      </w:pPr>
      <w:r w:rsidRPr="00E35A90">
        <w:t xml:space="preserve">Derivado de ello, la parte </w:t>
      </w:r>
      <w:r w:rsidRPr="00E35A90">
        <w:rPr>
          <w:b/>
        </w:rPr>
        <w:t xml:space="preserve">Recurrente </w:t>
      </w:r>
      <w:r w:rsidRPr="00E35A90">
        <w:t xml:space="preserve">se inconforma bajo el argumento de que tiene derecho a que las primeras veinte hojas certificadas se brindan sin costo. </w:t>
      </w:r>
    </w:p>
    <w:p w14:paraId="377F3CD5" w14:textId="77777777" w:rsidR="005167DE" w:rsidRPr="00E35A90" w:rsidRDefault="005167DE">
      <w:pPr>
        <w:spacing w:after="0" w:line="360" w:lineRule="auto"/>
      </w:pPr>
    </w:p>
    <w:p w14:paraId="274D7FC3" w14:textId="77777777" w:rsidR="005167DE" w:rsidRPr="00E35A90" w:rsidRDefault="00276782">
      <w:pPr>
        <w:spacing w:after="0" w:line="360" w:lineRule="auto"/>
        <w:rPr>
          <w:color w:val="000000"/>
        </w:rPr>
      </w:pPr>
      <w:r w:rsidRPr="00E35A90">
        <w:rPr>
          <w:color w:val="000000"/>
        </w:rPr>
        <w:t xml:space="preserve">Una vez expuesto lo anterior, se advierte que la parte Recurrente, interpuso el Recurso de Revisión que nos ocupa, en el que medularmente </w:t>
      </w:r>
      <w:r w:rsidRPr="00E35A90">
        <w:rPr>
          <w:b/>
          <w:color w:val="000000"/>
        </w:rPr>
        <w:t>se inconformó</w:t>
      </w:r>
      <w:r w:rsidRPr="00E35A90">
        <w:rPr>
          <w:color w:val="000000"/>
        </w:rPr>
        <w:t xml:space="preserve"> por la modalidad de entrega y que las copias certificadas se </w:t>
      </w:r>
      <w:r w:rsidRPr="00E35A90">
        <w:t>cobrarán</w:t>
      </w:r>
      <w:r w:rsidRPr="00E35A90">
        <w:rPr>
          <w:b/>
          <w:color w:val="000000"/>
        </w:rPr>
        <w:t>;</w:t>
      </w:r>
      <w:r w:rsidRPr="00E35A90">
        <w:rPr>
          <w:color w:val="000000"/>
        </w:rPr>
        <w:t xml:space="preserve"> </w:t>
      </w:r>
      <w:r w:rsidRPr="00E35A90">
        <w:rPr>
          <w:b/>
          <w:color w:val="000000"/>
        </w:rPr>
        <w:t>dándose por satisfecho</w:t>
      </w:r>
      <w:r w:rsidRPr="00E35A90">
        <w:rPr>
          <w:color w:val="000000"/>
        </w:rPr>
        <w:t xml:space="preserve"> respecto de la información </w:t>
      </w:r>
      <w:r w:rsidRPr="00E35A90">
        <w:rPr>
          <w:color w:val="000000"/>
        </w:rPr>
        <w:lastRenderedPageBreak/>
        <w:t xml:space="preserve">proporcionada en respuesta, es decir, con el documento entregado, situación por la cual no se hará pronunciamiento alguno; lo anterior de conformidad con lo dispuesto en el artículo 195 de la Ley de Transparencia y Acceso a la Información Pública del Estado de México y Municipios, con relación con el diverso 195, fracción IV, </w:t>
      </w:r>
      <w:r w:rsidRPr="00E35A90">
        <w:t>del Código</w:t>
      </w:r>
      <w:r w:rsidRPr="00E35A90">
        <w:rPr>
          <w:color w:val="000000"/>
        </w:rPr>
        <w:t xml:space="preserve">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632B2126" w14:textId="77777777" w:rsidR="005167DE" w:rsidRPr="00E35A90" w:rsidRDefault="005167DE">
      <w:pPr>
        <w:spacing w:after="0" w:line="360" w:lineRule="auto"/>
        <w:rPr>
          <w:color w:val="000000"/>
        </w:rPr>
      </w:pPr>
    </w:p>
    <w:p w14:paraId="08A38952" w14:textId="77777777" w:rsidR="005167DE" w:rsidRPr="00E35A90" w:rsidRDefault="00276782">
      <w:pPr>
        <w:spacing w:after="0" w:line="360" w:lineRule="auto"/>
        <w:rPr>
          <w:color w:val="000000"/>
        </w:rPr>
      </w:pPr>
      <w:r w:rsidRPr="00E35A90">
        <w:rPr>
          <w:color w:val="000000"/>
        </w:rPr>
        <w:t xml:space="preserve">De la misma manera resulta aplicable el criterio sostenido por el Poder Judicial de la Federación de rubro </w:t>
      </w:r>
      <w:r w:rsidRPr="00E35A90">
        <w:rPr>
          <w:b/>
          <w:color w:val="000000"/>
        </w:rPr>
        <w:t>ACTOS CONSENTIDOS TÁCITAMENTE, Tesis VI.2o. J/21</w:t>
      </w:r>
      <w:r w:rsidRPr="00E35A90">
        <w:rPr>
          <w:color w:val="000000"/>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04D7D274" w14:textId="77777777" w:rsidR="005167DE" w:rsidRPr="00E35A90" w:rsidRDefault="005167DE">
      <w:pPr>
        <w:spacing w:after="0" w:line="360" w:lineRule="auto"/>
        <w:rPr>
          <w:color w:val="000000"/>
        </w:rPr>
      </w:pPr>
    </w:p>
    <w:p w14:paraId="66B16070" w14:textId="77777777" w:rsidR="005167DE" w:rsidRPr="00E35A90" w:rsidRDefault="00276782">
      <w:pPr>
        <w:spacing w:after="0" w:line="360" w:lineRule="auto"/>
        <w:rPr>
          <w:color w:val="000000"/>
        </w:rPr>
      </w:pPr>
      <w:r w:rsidRPr="00E35A90">
        <w:rPr>
          <w:color w:val="000000"/>
        </w:rPr>
        <w:t xml:space="preserve">En ese sentido, en el caso de que la persona Particular no haya manifestado su inconformidad en contra del acto en su totalidad o en cualquiera de sus partes, se tendrá por consentido; por lo que subsiste únicamente la modalidad de entrega. </w:t>
      </w:r>
    </w:p>
    <w:p w14:paraId="3DCDA0A6" w14:textId="77777777" w:rsidR="005167DE" w:rsidRPr="00E35A90" w:rsidRDefault="005167DE">
      <w:pPr>
        <w:spacing w:after="0" w:line="360" w:lineRule="auto"/>
      </w:pPr>
    </w:p>
    <w:p w14:paraId="1498D2BB" w14:textId="77777777" w:rsidR="005167DE" w:rsidRPr="00E35A90" w:rsidRDefault="00276782">
      <w:pPr>
        <w:spacing w:after="0" w:line="360" w:lineRule="auto"/>
      </w:pPr>
      <w:r w:rsidRPr="00E35A90">
        <w:t xml:space="preserve"> Durante la etapa de manifestaciones el </w:t>
      </w:r>
      <w:r w:rsidRPr="00E35A90">
        <w:rPr>
          <w:b/>
        </w:rPr>
        <w:t xml:space="preserve">Sujeto Obligado </w:t>
      </w:r>
      <w:r w:rsidRPr="00E35A90">
        <w:t xml:space="preserve">rindió informe justificado en el que ratificó la respuesta inicial, mientras que la parte </w:t>
      </w:r>
      <w:r w:rsidRPr="00E35A90">
        <w:rPr>
          <w:b/>
        </w:rPr>
        <w:t xml:space="preserve">Recurrente </w:t>
      </w:r>
      <w:r w:rsidRPr="00E35A90">
        <w:t xml:space="preserve">no añadió manifestaciones. </w:t>
      </w:r>
    </w:p>
    <w:p w14:paraId="45D8FBEB" w14:textId="77777777" w:rsidR="005167DE" w:rsidRPr="00E35A90" w:rsidRDefault="005167DE">
      <w:pPr>
        <w:spacing w:after="0" w:line="360" w:lineRule="auto"/>
      </w:pPr>
    </w:p>
    <w:p w14:paraId="304531C0" w14:textId="77777777" w:rsidR="005167DE" w:rsidRPr="00E35A90" w:rsidRDefault="00276782">
      <w:pPr>
        <w:tabs>
          <w:tab w:val="left" w:pos="4962"/>
        </w:tabs>
        <w:spacing w:after="0" w:line="360" w:lineRule="auto"/>
      </w:pPr>
      <w:r w:rsidRPr="00E35A90">
        <w:t xml:space="preserve">Así pues, de las constancias que integran el expediente, se advierte que en el asunto que nos ocupa se actualiza la causal de procedencia señalada en el artículo 179, fracciones VIII, de la Ley de la materia; por la puesta a disposición de la información en una modalidad o formato distinto al solicitado.  </w:t>
      </w:r>
    </w:p>
    <w:p w14:paraId="6992623F" w14:textId="77777777" w:rsidR="005167DE" w:rsidRPr="00E35A90" w:rsidRDefault="005167DE">
      <w:pPr>
        <w:tabs>
          <w:tab w:val="left" w:pos="4962"/>
        </w:tabs>
        <w:spacing w:after="0" w:line="360" w:lineRule="auto"/>
      </w:pPr>
    </w:p>
    <w:p w14:paraId="2FD00060" w14:textId="77777777" w:rsidR="005167DE" w:rsidRPr="00E35A90" w:rsidRDefault="00276782">
      <w:pPr>
        <w:tabs>
          <w:tab w:val="left" w:pos="4962"/>
        </w:tabs>
        <w:spacing w:after="0" w:line="360" w:lineRule="auto"/>
      </w:pPr>
      <w:r w:rsidRPr="00E35A90">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9AB3585" w14:textId="77777777" w:rsidR="005167DE" w:rsidRPr="00E35A90" w:rsidRDefault="005167DE">
      <w:pPr>
        <w:spacing w:after="0" w:line="360" w:lineRule="auto"/>
      </w:pPr>
    </w:p>
    <w:p w14:paraId="18311692" w14:textId="77777777" w:rsidR="005167DE" w:rsidRPr="00E35A90" w:rsidRDefault="00276782">
      <w:pPr>
        <w:pStyle w:val="Ttulo2"/>
        <w:spacing w:before="0" w:after="0"/>
      </w:pPr>
      <w:bookmarkStart w:id="12" w:name="_Toc212129303"/>
      <w:r w:rsidRPr="00E35A90">
        <w:t>CUARTO. Marco normativo aplicable en materia de transparencia y acceso a la información pública</w:t>
      </w:r>
      <w:bookmarkEnd w:id="12"/>
    </w:p>
    <w:p w14:paraId="2E3B9E0E" w14:textId="77777777" w:rsidR="005167DE" w:rsidRPr="00E35A90" w:rsidRDefault="005167DE">
      <w:pPr>
        <w:spacing w:after="0" w:line="360" w:lineRule="auto"/>
      </w:pPr>
    </w:p>
    <w:p w14:paraId="402B4FB6" w14:textId="77777777" w:rsidR="005167DE" w:rsidRPr="00E35A90" w:rsidRDefault="00276782">
      <w:pPr>
        <w:spacing w:after="0" w:line="360" w:lineRule="auto"/>
      </w:pPr>
      <w:r w:rsidRPr="00E35A90">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DBDAD" w14:textId="77777777" w:rsidR="005167DE" w:rsidRPr="00E35A90" w:rsidRDefault="005167DE">
      <w:pPr>
        <w:spacing w:after="0" w:line="360" w:lineRule="auto"/>
      </w:pPr>
    </w:p>
    <w:p w14:paraId="36827768" w14:textId="77777777" w:rsidR="005167DE" w:rsidRPr="00E35A90" w:rsidRDefault="00276782">
      <w:pPr>
        <w:spacing w:after="0" w:line="360" w:lineRule="auto"/>
      </w:pPr>
      <w:r w:rsidRPr="00E35A90">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2B974A" w14:textId="77777777" w:rsidR="005167DE" w:rsidRPr="00E35A90" w:rsidRDefault="005167DE">
      <w:pPr>
        <w:spacing w:after="0" w:line="360" w:lineRule="auto"/>
      </w:pPr>
    </w:p>
    <w:p w14:paraId="1157C8CE" w14:textId="77777777" w:rsidR="005167DE" w:rsidRPr="00E35A90" w:rsidRDefault="00276782">
      <w:pPr>
        <w:spacing w:after="0" w:line="360" w:lineRule="auto"/>
      </w:pPr>
      <w:r w:rsidRPr="00E35A90">
        <w:t>Por su parte, la Ley de Transparencia y Acceso a la Información Pública del Estado de México y Municipios (Reglamentaria del artículo 5° de la Constitución Local), establece lo siguiente:</w:t>
      </w:r>
    </w:p>
    <w:p w14:paraId="6FBF2EEC" w14:textId="77777777" w:rsidR="005167DE" w:rsidRPr="00E35A90" w:rsidRDefault="005167DE">
      <w:pPr>
        <w:spacing w:after="0" w:line="360" w:lineRule="auto"/>
      </w:pPr>
    </w:p>
    <w:p w14:paraId="1477F465" w14:textId="77777777" w:rsidR="005167DE" w:rsidRPr="00E35A90" w:rsidRDefault="00276782">
      <w:pPr>
        <w:spacing w:after="0" w:line="360" w:lineRule="auto"/>
      </w:pPr>
      <w:r w:rsidRPr="00E35A90">
        <w:t>El artículo 12 dice que, quienes generen, recopilen, administren, manejen, procesen, archiven o conserven información pública serán responsables de la misma.</w:t>
      </w:r>
    </w:p>
    <w:p w14:paraId="58E78674" w14:textId="77777777" w:rsidR="005167DE" w:rsidRPr="00E35A90" w:rsidRDefault="005167DE">
      <w:pPr>
        <w:spacing w:after="0" w:line="360" w:lineRule="auto"/>
      </w:pPr>
    </w:p>
    <w:p w14:paraId="451E0015" w14:textId="77777777" w:rsidR="005167DE" w:rsidRPr="00E35A90" w:rsidRDefault="00276782">
      <w:pPr>
        <w:spacing w:after="0" w:line="360" w:lineRule="auto"/>
      </w:pPr>
      <w:r w:rsidRPr="00E35A90">
        <w:t>El artículo 18, que, los Sujetos Obligados deberán documentar todo acto que derive del ejercicio de sus facultades, competencias o funciones, considerando desde su origen la eventual publicidad y reutilización de la información que generen.</w:t>
      </w:r>
    </w:p>
    <w:p w14:paraId="2AF60DB5" w14:textId="77777777" w:rsidR="005167DE" w:rsidRPr="00E35A90" w:rsidRDefault="005167DE">
      <w:pPr>
        <w:spacing w:after="0" w:line="360" w:lineRule="auto"/>
      </w:pPr>
    </w:p>
    <w:p w14:paraId="3C7897B2" w14:textId="77777777" w:rsidR="005167DE" w:rsidRDefault="00276782">
      <w:pPr>
        <w:spacing w:after="0" w:line="360" w:lineRule="auto"/>
      </w:pPr>
      <w:r w:rsidRPr="00E35A90">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C23E7" w14:textId="77777777" w:rsidR="00E530D3" w:rsidRPr="00E35A90" w:rsidRDefault="00E530D3">
      <w:pPr>
        <w:spacing w:after="0" w:line="360" w:lineRule="auto"/>
      </w:pPr>
    </w:p>
    <w:p w14:paraId="7F1C7F77" w14:textId="77777777" w:rsidR="005167DE" w:rsidRPr="00E35A90" w:rsidRDefault="00276782">
      <w:pPr>
        <w:pStyle w:val="Ttulo2"/>
        <w:spacing w:before="0" w:after="0"/>
      </w:pPr>
      <w:bookmarkStart w:id="13" w:name="_Toc212129304"/>
      <w:r w:rsidRPr="00E35A90">
        <w:rPr>
          <w:smallCaps/>
        </w:rPr>
        <w:t>QUINTO.</w:t>
      </w:r>
      <w:r w:rsidRPr="00E35A90">
        <w:t xml:space="preserve"> Estudio de Fondo</w:t>
      </w:r>
      <w:bookmarkEnd w:id="13"/>
    </w:p>
    <w:p w14:paraId="0352FFEE" w14:textId="77777777" w:rsidR="005167DE" w:rsidRPr="00E35A90" w:rsidRDefault="005167DE">
      <w:pPr>
        <w:spacing w:after="0" w:line="360" w:lineRule="auto"/>
      </w:pPr>
    </w:p>
    <w:p w14:paraId="2230FF24" w14:textId="77777777" w:rsidR="005167DE" w:rsidRPr="00E35A90" w:rsidRDefault="00276782">
      <w:pPr>
        <w:spacing w:after="0" w:line="360" w:lineRule="auto"/>
      </w:pPr>
      <w:r w:rsidRPr="00E35A90">
        <w:t xml:space="preserve">Una vez expuesto lo anterior, es menester contextualizar la solicitud de información, la cual se relaciona con las actividades de la Dirección de Protección Civil y Bomberos, respecto a un árbol. </w:t>
      </w:r>
    </w:p>
    <w:p w14:paraId="4CB8CBF7" w14:textId="77777777" w:rsidR="005167DE" w:rsidRPr="00E35A90" w:rsidRDefault="005167DE">
      <w:pPr>
        <w:spacing w:after="0" w:line="360" w:lineRule="auto"/>
      </w:pPr>
    </w:p>
    <w:p w14:paraId="6875A2F0" w14:textId="0BD85C2B" w:rsidR="005167DE" w:rsidRPr="00E35A90" w:rsidRDefault="00276782">
      <w:pPr>
        <w:spacing w:after="0" w:line="360" w:lineRule="auto"/>
      </w:pPr>
      <w:r w:rsidRPr="00E35A90">
        <w:t xml:space="preserve">Al respecto, el artículo 142 de la Ley Orgánica Municipal del Estado de México prevé que cada municipio debe integrar cuerpos de bomberos; por lo que, cada ente municipal tiene la obligación de contar con </w:t>
      </w:r>
      <w:r w:rsidR="00376D2A" w:rsidRPr="00E35A90">
        <w:t>un área encargada</w:t>
      </w:r>
      <w:r w:rsidRPr="00E35A90">
        <w:t xml:space="preserve"> de protección civil y bomberos. En este sentido, el Bando Municipal del Sujeto Obligado establece en su artículo 44, fracción IV, inciso o, establece la existencia de la Dirección de Protección Civil y Bomberos.</w:t>
      </w:r>
    </w:p>
    <w:p w14:paraId="03F8B3B9" w14:textId="77777777" w:rsidR="005167DE" w:rsidRPr="00E35A90" w:rsidRDefault="005167DE">
      <w:pPr>
        <w:spacing w:after="0" w:line="360" w:lineRule="auto"/>
      </w:pPr>
    </w:p>
    <w:p w14:paraId="77136E36" w14:textId="77777777" w:rsidR="005167DE" w:rsidRPr="00E35A90" w:rsidRDefault="00276782">
      <w:pPr>
        <w:spacing w:after="0" w:line="360" w:lineRule="auto"/>
      </w:pPr>
      <w:r w:rsidRPr="00E35A90">
        <w:t xml:space="preserve">Aunado a ello, el artículo 60, fracción VI, del Bando Municipal, prevé que la Dirección de Protección Civil y Bomberos realiza dictámenes de riesgo para la ejecución de trabajos en árboles, los cuales pueden ser analizados y justificados por la Dirección de Medio Ambiente y Ecología, quién también determinará si se requiere la intervención de la Dirección de Protección Civil y Bomberos derivado del riesgo. </w:t>
      </w:r>
    </w:p>
    <w:p w14:paraId="3F77FBB0" w14:textId="77777777" w:rsidR="005167DE" w:rsidRPr="00E35A90" w:rsidRDefault="005167DE">
      <w:pPr>
        <w:spacing w:after="0" w:line="360" w:lineRule="auto"/>
      </w:pPr>
    </w:p>
    <w:p w14:paraId="78FF6254" w14:textId="77777777" w:rsidR="005167DE" w:rsidRPr="00E35A90" w:rsidRDefault="00276782">
      <w:pPr>
        <w:spacing w:after="0" w:line="360" w:lineRule="auto"/>
      </w:pPr>
      <w:r w:rsidRPr="00E35A90">
        <w:t xml:space="preserve">Por su parte, artículo 22, fracción XIV del Bando Municipal, prevé que la poda, derribo, trasplante y sustitución de árboles, así como el retiro de los residuos resultantes, podrá realizarse por sí o por el personal adscrito a las dependencias municipales. En consecuencia, se aprecia que la Dirección de Protección Civil y Bomberos tiene competencia para realizar </w:t>
      </w:r>
      <w:r w:rsidRPr="00E35A90">
        <w:lastRenderedPageBreak/>
        <w:t xml:space="preserve">acciones sobre los árboles, como lo es, intervenir en su poda, por tanto, el Sujeto Obligado a través de dicha área tiene competencia para conocer de la información requerida. </w:t>
      </w:r>
    </w:p>
    <w:p w14:paraId="786C3715" w14:textId="77777777" w:rsidR="005167DE" w:rsidRPr="00E35A90" w:rsidRDefault="005167DE">
      <w:pPr>
        <w:spacing w:after="0" w:line="360" w:lineRule="auto"/>
      </w:pPr>
    </w:p>
    <w:p w14:paraId="6A8A2985" w14:textId="77777777" w:rsidR="005167DE" w:rsidRPr="00E35A90" w:rsidRDefault="00276782">
      <w:pPr>
        <w:spacing w:after="0" w:line="360" w:lineRule="auto"/>
      </w:pPr>
      <w:r w:rsidRPr="00E35A90">
        <w:t>En ese orden de ideas, el artículo 18 de la Ley de Transparencia y Acceso a la Información Pública del Estado de México y Municipios, prevé que los Sujetos Obligados deberán documentar todo acto que derive del ejercicio de sus facultades.</w:t>
      </w:r>
    </w:p>
    <w:p w14:paraId="2F9CB69A" w14:textId="11773627" w:rsidR="005167DE" w:rsidRPr="00E35A90" w:rsidRDefault="00276782" w:rsidP="00376D2A">
      <w:pPr>
        <w:spacing w:after="0" w:line="360" w:lineRule="auto"/>
        <w:rPr>
          <w:bCs/>
          <w:color w:val="000000"/>
        </w:rPr>
      </w:pPr>
      <w:r w:rsidRPr="00E35A90">
        <w:t xml:space="preserve">Conforme a lo anterior, se logra advertir que la pretensión del ahora Recurrente es </w:t>
      </w:r>
      <w:r w:rsidR="00376D2A" w:rsidRPr="00E35A90">
        <w:t xml:space="preserve">obtener la copia </w:t>
      </w:r>
      <w:r w:rsidRPr="00E35A90">
        <w:rPr>
          <w:bCs/>
          <w:color w:val="000000"/>
        </w:rPr>
        <w:t xml:space="preserve">certificada sin costo del documento que generó la Dirección de Protección Civil y Bomberos el 7 de agosto de 2025, en la Colonia </w:t>
      </w:r>
      <w:r w:rsidRPr="00E35A90">
        <w:rPr>
          <w:bCs/>
        </w:rPr>
        <w:t>Rústica</w:t>
      </w:r>
      <w:r w:rsidRPr="00E35A90">
        <w:rPr>
          <w:bCs/>
          <w:color w:val="000000"/>
        </w:rPr>
        <w:t xml:space="preserve"> Xalostoc</w:t>
      </w:r>
      <w:r w:rsidR="00376D2A" w:rsidRPr="00E35A90">
        <w:rPr>
          <w:bCs/>
          <w:color w:val="000000"/>
        </w:rPr>
        <w:t>, es decir, el proporcionado en respuesta de manera digital.</w:t>
      </w:r>
    </w:p>
    <w:p w14:paraId="2A15EEB7" w14:textId="77777777" w:rsidR="005167DE" w:rsidRPr="00E35A90" w:rsidRDefault="005167DE">
      <w:pPr>
        <w:spacing w:after="0" w:line="360" w:lineRule="auto"/>
        <w:rPr>
          <w:color w:val="000000"/>
        </w:rPr>
      </w:pPr>
    </w:p>
    <w:p w14:paraId="2673A1DF" w14:textId="77777777" w:rsidR="005167DE" w:rsidRPr="00E35A90" w:rsidRDefault="00276782">
      <w:pPr>
        <w:spacing w:after="0" w:line="360" w:lineRule="auto"/>
        <w:rPr>
          <w:color w:val="000000"/>
        </w:rPr>
      </w:pPr>
      <w:r w:rsidRPr="00E35A90">
        <w:rPr>
          <w:color w:val="000000"/>
        </w:rPr>
        <w:t>Ante dicha circunstancia, es necesario precisar que de las constancias que obran en el expediente electrónico, se logra advertir que el Sujeto Obligado emitió respuesta a través de</w:t>
      </w:r>
      <w:r w:rsidRPr="00E35A90">
        <w:t xml:space="preserve"> la Dirección de Protección Civil y Bomberos</w:t>
      </w:r>
      <w:r w:rsidRPr="00E35A90">
        <w:rPr>
          <w:color w:val="000000"/>
        </w:rPr>
        <w:t xml:space="preserve">, por lo que, resulta necesario hacer referencia al </w:t>
      </w:r>
      <w:r w:rsidRPr="00E35A90">
        <w:rPr>
          <w:b/>
          <w:color w:val="000000"/>
        </w:rPr>
        <w:t>procedimiento de búsqueda que deben seguir los Sujetos Obligados para localizar la información,</w:t>
      </w:r>
      <w:r w:rsidRPr="00E35A90">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D15B51D" w14:textId="77777777" w:rsidR="005167DE" w:rsidRPr="00E35A90" w:rsidRDefault="005167DE">
      <w:pPr>
        <w:spacing w:after="0" w:line="360" w:lineRule="auto"/>
        <w:rPr>
          <w:color w:val="FF0000"/>
        </w:rPr>
      </w:pPr>
    </w:p>
    <w:p w14:paraId="04D1EFDB" w14:textId="77777777" w:rsidR="005167DE" w:rsidRPr="00E35A90" w:rsidRDefault="00276782">
      <w:pPr>
        <w:spacing w:after="0" w:line="360" w:lineRule="auto"/>
        <w:rPr>
          <w:b/>
          <w:color w:val="000000"/>
        </w:rPr>
      </w:pPr>
      <w:r w:rsidRPr="00E35A90">
        <w:rPr>
          <w:color w:val="000000"/>
        </w:rPr>
        <w:t xml:space="preserve">Así, con la finalidad de determinar si el Sujeto Obligado </w:t>
      </w:r>
      <w:r w:rsidRPr="00E35A90">
        <w:rPr>
          <w:b/>
          <w:color w:val="000000"/>
        </w:rPr>
        <w:t>cumplió con el procedimiento de búsqueda</w:t>
      </w:r>
      <w:r w:rsidRPr="00E35A90">
        <w:rPr>
          <w:color w:val="000000"/>
        </w:rPr>
        <w:t xml:space="preserve"> previsto en el artículo 162 de la Ley de Transparencia y Acceso a la Información Pública del Estado de México y Municipios, dado que, remitió a las áreas que pueden conocer de lo solicitado</w:t>
      </w:r>
      <w:r w:rsidRPr="00E35A90">
        <w:rPr>
          <w:b/>
          <w:color w:val="000000"/>
        </w:rPr>
        <w:t>.</w:t>
      </w:r>
    </w:p>
    <w:p w14:paraId="04EB61A1" w14:textId="77777777" w:rsidR="005167DE" w:rsidRPr="00E35A90" w:rsidRDefault="005167DE">
      <w:pPr>
        <w:spacing w:after="0" w:line="360" w:lineRule="auto"/>
        <w:rPr>
          <w:b/>
          <w:color w:val="000000"/>
        </w:rPr>
      </w:pPr>
    </w:p>
    <w:p w14:paraId="550D1263" w14:textId="77777777" w:rsidR="005167DE" w:rsidRPr="00E35A90" w:rsidRDefault="00276782">
      <w:pPr>
        <w:spacing w:after="0" w:line="360" w:lineRule="auto"/>
      </w:pPr>
      <w:r w:rsidRPr="00E35A90">
        <w:rPr>
          <w:color w:val="000000"/>
        </w:rPr>
        <w:lastRenderedPageBreak/>
        <w:t xml:space="preserve">Sumado a lo anterior, es menester precisar que en respuesta el Sujeto Obligado remitió </w:t>
      </w:r>
      <w:r w:rsidRPr="00E35A90">
        <w:t>el acta circunstanciada de fecha 7 de agosto de 2025, en el que se dio cuenta de la tala de un árbol tipo pino, en la Colonia indicada por la persona Recurrente en conjunto con imágenes que muestran dichas actividades, que corresponde con la información solicitada, en virtud de que no fue motivo de agravio.</w:t>
      </w:r>
    </w:p>
    <w:p w14:paraId="718742F1" w14:textId="77777777" w:rsidR="005167DE" w:rsidRPr="00E35A90" w:rsidRDefault="005167DE">
      <w:pPr>
        <w:spacing w:after="0" w:line="360" w:lineRule="auto"/>
        <w:rPr>
          <w:color w:val="000000"/>
        </w:rPr>
      </w:pPr>
    </w:p>
    <w:p w14:paraId="6D2015BA" w14:textId="77777777" w:rsidR="005167DE" w:rsidRPr="00E35A90" w:rsidRDefault="00276782">
      <w:pPr>
        <w:spacing w:after="0" w:line="360" w:lineRule="auto"/>
        <w:rPr>
          <w:color w:val="000000"/>
        </w:rPr>
      </w:pPr>
      <w:r w:rsidRPr="00E35A90">
        <w:rPr>
          <w:color w:val="000000"/>
        </w:rPr>
        <w:t>Sin embargo, de dicho documento, resalta que se dejaron visibles datos personales tales, como el nombre de un Particular ajeno al servicio público, el cual debió clasificarse conforme a lo siguiente:</w:t>
      </w:r>
    </w:p>
    <w:p w14:paraId="02EE7C48" w14:textId="77777777" w:rsidR="005167DE" w:rsidRPr="00E35A90" w:rsidRDefault="005167DE">
      <w:pPr>
        <w:spacing w:after="0" w:line="360" w:lineRule="auto"/>
        <w:rPr>
          <w:color w:val="000000"/>
        </w:rPr>
      </w:pPr>
    </w:p>
    <w:p w14:paraId="12228570" w14:textId="77777777" w:rsidR="005167DE" w:rsidRPr="00E35A90" w:rsidRDefault="00276782">
      <w:pPr>
        <w:numPr>
          <w:ilvl w:val="0"/>
          <w:numId w:val="5"/>
        </w:numPr>
        <w:pBdr>
          <w:top w:val="nil"/>
          <w:left w:val="nil"/>
          <w:bottom w:val="nil"/>
          <w:right w:val="nil"/>
          <w:between w:val="nil"/>
        </w:pBdr>
        <w:spacing w:after="0" w:line="360" w:lineRule="auto"/>
        <w:rPr>
          <w:b/>
          <w:color w:val="000000"/>
        </w:rPr>
      </w:pPr>
      <w:r w:rsidRPr="00E35A90">
        <w:rPr>
          <w:b/>
          <w:color w:val="000000"/>
        </w:rPr>
        <w:t>Nombres de personas que no son servidores públicos</w:t>
      </w:r>
    </w:p>
    <w:p w14:paraId="5165E4C4" w14:textId="77777777" w:rsidR="005167DE" w:rsidRPr="00E35A90" w:rsidRDefault="005167DE">
      <w:pPr>
        <w:spacing w:after="0" w:line="360" w:lineRule="auto"/>
        <w:ind w:right="-93"/>
      </w:pPr>
    </w:p>
    <w:p w14:paraId="4D062432" w14:textId="77777777" w:rsidR="005167DE" w:rsidRPr="00E35A90" w:rsidRDefault="00276782">
      <w:pPr>
        <w:spacing w:after="0" w:line="360" w:lineRule="auto"/>
        <w:ind w:right="-93"/>
        <w:rPr>
          <w:b/>
        </w:rPr>
      </w:pPr>
      <w:r w:rsidRPr="00E35A90">
        <w:t xml:space="preserve">Al respecto, se considera que 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w:t>
      </w:r>
      <w:r w:rsidRPr="00E35A90">
        <w:rPr>
          <w:i/>
        </w:rPr>
        <w:t>per se</w:t>
      </w:r>
      <w:r w:rsidRPr="00E35A90">
        <w:t xml:space="preserve"> es un elemento que hace a una persona física identificada o identificable, por lo que, </w:t>
      </w:r>
      <w:r w:rsidRPr="00E35A90">
        <w:rPr>
          <w:b/>
        </w:rPr>
        <w:t>se considera un dato personal.</w:t>
      </w:r>
    </w:p>
    <w:p w14:paraId="7FA768B4" w14:textId="77777777" w:rsidR="005167DE" w:rsidRPr="00E35A90" w:rsidRDefault="005167DE">
      <w:pPr>
        <w:spacing w:after="0" w:line="360" w:lineRule="auto"/>
      </w:pPr>
    </w:p>
    <w:p w14:paraId="5468B9B9" w14:textId="77777777" w:rsidR="005167DE" w:rsidRPr="00E35A90" w:rsidRDefault="00276782">
      <w:pPr>
        <w:spacing w:after="0" w:line="360" w:lineRule="auto"/>
      </w:pPr>
      <w:r w:rsidRPr="00E35A90">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14:paraId="50A9E39E" w14:textId="77777777" w:rsidR="005167DE" w:rsidRPr="00E35A90" w:rsidRDefault="005167DE">
      <w:pPr>
        <w:spacing w:after="0" w:line="360" w:lineRule="auto"/>
      </w:pPr>
    </w:p>
    <w:p w14:paraId="208E1671" w14:textId="77777777" w:rsidR="005167DE" w:rsidRPr="00E35A90" w:rsidRDefault="00276782">
      <w:pPr>
        <w:spacing w:after="0" w:line="360" w:lineRule="auto"/>
        <w:ind w:left="567" w:right="567"/>
        <w:rPr>
          <w:i/>
          <w:sz w:val="20"/>
          <w:szCs w:val="20"/>
        </w:rPr>
      </w:pPr>
      <w:r w:rsidRPr="00E35A90">
        <w:rPr>
          <w:b/>
          <w:i/>
          <w:sz w:val="20"/>
          <w:szCs w:val="20"/>
        </w:rPr>
        <w:t>“Nombre del titular de una licencia que no involucre el aprovechamiento de bienes, servicios y/o recursos públicos, constituye un dato personal susceptible de clasificar como confidencial.</w:t>
      </w:r>
      <w:r w:rsidRPr="00E35A90">
        <w:rPr>
          <w:i/>
          <w:sz w:val="20"/>
          <w:szCs w:val="20"/>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w:t>
      </w:r>
      <w:r w:rsidRPr="00E35A90">
        <w:rPr>
          <w:i/>
          <w:sz w:val="20"/>
          <w:szCs w:val="20"/>
        </w:rPr>
        <w:lastRenderedPageBreak/>
        <w:t>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05FFB210" w14:textId="77777777" w:rsidR="005167DE" w:rsidRPr="00E35A90" w:rsidRDefault="005167DE">
      <w:pPr>
        <w:spacing w:after="0" w:line="360" w:lineRule="auto"/>
        <w:ind w:right="-93"/>
      </w:pPr>
    </w:p>
    <w:p w14:paraId="3D5ECE74" w14:textId="77777777" w:rsidR="005167DE" w:rsidRPr="00E35A90" w:rsidRDefault="00276782">
      <w:pPr>
        <w:spacing w:after="0" w:line="360" w:lineRule="auto"/>
      </w:pPr>
      <w:r w:rsidRPr="00E35A90">
        <w:t>Con base en lo anterior, procede su eliminación de las versiones públicas, pues actualiza el supuesto previsto en el artículo 143 fracción I de la Ley de Transparencia y Acceso a la Información Pública del Estado de México y Municipios.</w:t>
      </w:r>
    </w:p>
    <w:p w14:paraId="79230C48" w14:textId="77777777" w:rsidR="005167DE" w:rsidRPr="00E35A90" w:rsidRDefault="005167DE">
      <w:pPr>
        <w:spacing w:after="0" w:line="360" w:lineRule="auto"/>
        <w:rPr>
          <w:color w:val="000000"/>
        </w:rPr>
      </w:pPr>
    </w:p>
    <w:p w14:paraId="509B25AF" w14:textId="77777777" w:rsidR="005167DE" w:rsidRPr="00E35A90" w:rsidRDefault="00276782">
      <w:pPr>
        <w:spacing w:after="0" w:line="360" w:lineRule="auto"/>
        <w:rPr>
          <w:color w:val="000000"/>
        </w:rPr>
      </w:pPr>
      <w:r w:rsidRPr="00E35A90">
        <w:rPr>
          <w:color w:val="000000"/>
        </w:rPr>
        <w:t xml:space="preserve">En atención a que se dejó visible en respuesta, es procedente dar vista </w:t>
      </w:r>
      <w:r w:rsidRPr="00E35A90">
        <w:t xml:space="preserve">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 conforme al considerando SÉPTIMO. </w:t>
      </w:r>
    </w:p>
    <w:p w14:paraId="6B018A68" w14:textId="77777777" w:rsidR="005167DE" w:rsidRPr="00E35A90" w:rsidRDefault="005167DE">
      <w:pPr>
        <w:spacing w:after="0" w:line="360" w:lineRule="auto"/>
        <w:rPr>
          <w:color w:val="000000"/>
        </w:rPr>
      </w:pPr>
    </w:p>
    <w:p w14:paraId="35279DD6" w14:textId="77777777" w:rsidR="005167DE" w:rsidRPr="00E35A90" w:rsidRDefault="00276782">
      <w:pPr>
        <w:spacing w:after="0" w:line="360" w:lineRule="auto"/>
        <w:rPr>
          <w:b/>
          <w:color w:val="000000"/>
        </w:rPr>
      </w:pPr>
      <w:r w:rsidRPr="00E35A90">
        <w:rPr>
          <w:b/>
          <w:color w:val="000000"/>
        </w:rPr>
        <w:t>Respecto a la modalidad de entrega</w:t>
      </w:r>
      <w:r w:rsidRPr="00E35A90">
        <w:rPr>
          <w:color w:val="000000"/>
        </w:rPr>
        <w:t xml:space="preserve">, precisar que según los registros del SAIMEX, se precisa como modalidad de entrega el mismo sistema, sin embargo, en la redacción de la solicitud se señala la entrega en copias certificadas, por tanto, </w:t>
      </w:r>
      <w:r w:rsidRPr="00E35A90">
        <w:rPr>
          <w:b/>
          <w:color w:val="000000"/>
        </w:rPr>
        <w:t xml:space="preserve">se debe atender a </w:t>
      </w:r>
      <w:r w:rsidRPr="00E35A90">
        <w:rPr>
          <w:b/>
        </w:rPr>
        <w:t>ambas</w:t>
      </w:r>
      <w:r w:rsidRPr="00E35A90">
        <w:rPr>
          <w:b/>
          <w:color w:val="000000"/>
        </w:rPr>
        <w:t xml:space="preserve"> modalidades de entrega. </w:t>
      </w:r>
    </w:p>
    <w:p w14:paraId="4BDEDD81" w14:textId="77777777" w:rsidR="005167DE" w:rsidRPr="00E35A90" w:rsidRDefault="005167DE">
      <w:pPr>
        <w:spacing w:after="0" w:line="360" w:lineRule="auto"/>
        <w:rPr>
          <w:b/>
          <w:color w:val="000000"/>
        </w:rPr>
      </w:pPr>
    </w:p>
    <w:p w14:paraId="3FE471A2" w14:textId="77777777" w:rsidR="005167DE" w:rsidRPr="00E35A90" w:rsidRDefault="00276782">
      <w:pPr>
        <w:spacing w:after="0" w:line="360" w:lineRule="auto"/>
        <w:rPr>
          <w:color w:val="000000"/>
        </w:rPr>
      </w:pPr>
      <w:r w:rsidRPr="00E35A90">
        <w:rPr>
          <w:color w:val="000000"/>
        </w:rPr>
        <w:t xml:space="preserve">Así pues, se aprecia que el Sujeto Obligado entregó la información vía SAIMEX, aspecto que quedó consentido por la parte Recurrente puesto que no presentó motivo de agravio en su contra. </w:t>
      </w:r>
    </w:p>
    <w:p w14:paraId="39E8308A" w14:textId="77777777" w:rsidR="005167DE" w:rsidRPr="00E35A90" w:rsidRDefault="005167DE">
      <w:pPr>
        <w:spacing w:after="0" w:line="360" w:lineRule="auto"/>
        <w:rPr>
          <w:color w:val="000000"/>
        </w:rPr>
      </w:pPr>
    </w:p>
    <w:p w14:paraId="1B9AEC10" w14:textId="77777777" w:rsidR="005167DE" w:rsidRPr="00E35A90" w:rsidRDefault="00276782">
      <w:pPr>
        <w:spacing w:after="0" w:line="360" w:lineRule="auto"/>
      </w:pPr>
      <w:r w:rsidRPr="00E35A90">
        <w:rPr>
          <w:color w:val="000000"/>
        </w:rPr>
        <w:t xml:space="preserve">Respecto a la modalidad de entrega vía copias certificadas; resalta que la persona Recurrente solicitó la entrega vía copias certificadas sin costo; ante lo cual, el Sujeto Obligado indicó </w:t>
      </w:r>
      <w:r w:rsidRPr="00E35A90">
        <w:t>a la persona Solicitante que se presentará a las inmediaciones de la Secretaría Municipal del Ayuntamiento para realizar los trámites correspondientes y obtener las copias certificadas requeridas.</w:t>
      </w:r>
    </w:p>
    <w:p w14:paraId="4D9F4FC3" w14:textId="77777777" w:rsidR="005167DE" w:rsidRPr="00E35A90" w:rsidRDefault="005167DE">
      <w:pPr>
        <w:spacing w:after="0" w:line="360" w:lineRule="auto"/>
        <w:rPr>
          <w:color w:val="000000"/>
        </w:rPr>
      </w:pPr>
    </w:p>
    <w:p w14:paraId="73C3CB39" w14:textId="77777777" w:rsidR="005167DE" w:rsidRPr="00E35A90" w:rsidRDefault="00276782">
      <w:pPr>
        <w:spacing w:after="0" w:line="360" w:lineRule="auto"/>
      </w:pPr>
      <w:r w:rsidRPr="00E35A90">
        <w:t xml:space="preserve">Cabe precisar que, la Ley de Transparencia y Acceso a la Información Pública del Estado de México y Municipio prevé en su artículo 155, fracción V que, para presentar una solicitud, se puede elegir la modalidad y dentro de ella, se encuentra la entrega de copias certificadas. </w:t>
      </w:r>
    </w:p>
    <w:p w14:paraId="39582C50" w14:textId="77777777" w:rsidR="005167DE" w:rsidRPr="00E35A90" w:rsidRDefault="005167DE">
      <w:pPr>
        <w:spacing w:after="0" w:line="360" w:lineRule="auto"/>
      </w:pPr>
    </w:p>
    <w:p w14:paraId="06A8D467" w14:textId="77777777" w:rsidR="005167DE" w:rsidRPr="00E35A90" w:rsidRDefault="00276782">
      <w:pPr>
        <w:spacing w:after="0" w:line="360" w:lineRule="auto"/>
      </w:pPr>
      <w:r w:rsidRPr="00E35A90">
        <w:t>Por su parte, la entrega de copias certificadas se encuentra regulada conforme al artículo 148, fracciones III y IV del Código Financiero del Estado de México y Municipios, en el que se establece la tarifa por la expedición de documentos en copias certificadas, por tanto, es preciso que para que ello tenga lugar, es menester que el Sujeto Obligado señalé todo el proceso para realizar el pago correspondiente, y obtener las copias certificadas.</w:t>
      </w:r>
    </w:p>
    <w:p w14:paraId="15E93702" w14:textId="77777777" w:rsidR="005167DE" w:rsidRPr="00E35A90" w:rsidRDefault="005167DE">
      <w:pPr>
        <w:spacing w:after="0" w:line="360" w:lineRule="auto"/>
      </w:pPr>
    </w:p>
    <w:p w14:paraId="2EEFF50F" w14:textId="77777777" w:rsidR="005167DE" w:rsidRPr="00E35A90" w:rsidRDefault="00276782">
      <w:pPr>
        <w:spacing w:after="0" w:line="360" w:lineRule="auto"/>
      </w:pPr>
      <w:r w:rsidRPr="00E35A90">
        <w:lastRenderedPageBreak/>
        <w:t>Para lo anterior, en atención al Vigésimo Sexto de los Lineamientos para la operación del Sistema de Acceso a la Información Mexiquense (SAIMEX) y del Sistema de Acceso, Rectificación, Cancelación y Oposición de Datos Personales del Estado de México (SARCOEM), el Sujeto Obligado deberá indicar a través de los sistemas electrónicos el nombre del servidor público que lo atenderá, domicilio de la Unidad de Transparencia, los días, horarios de atención, y en su caso los costos de reproducción.</w:t>
      </w:r>
    </w:p>
    <w:p w14:paraId="4699162B" w14:textId="77777777" w:rsidR="005167DE" w:rsidRPr="00E35A90" w:rsidRDefault="005167DE">
      <w:pPr>
        <w:spacing w:after="0" w:line="360" w:lineRule="auto"/>
      </w:pPr>
    </w:p>
    <w:p w14:paraId="79F441AA" w14:textId="1B4A6676" w:rsidR="005167DE" w:rsidRPr="00E35A90" w:rsidRDefault="00276782">
      <w:pPr>
        <w:spacing w:after="0" w:line="360" w:lineRule="auto"/>
      </w:pPr>
      <w:r w:rsidRPr="00E35A90">
        <w:t xml:space="preserve">Cabe precisar que es </w:t>
      </w:r>
      <w:r w:rsidRPr="00E35A90">
        <w:rPr>
          <w:b/>
        </w:rPr>
        <w:t>criterio mayoritario de este Pleno que las copias certificadas</w:t>
      </w:r>
      <w:r w:rsidRPr="00E35A90">
        <w:t xml:space="preserve"> se atiendan conforme a lo dispuesto en los costos de reproducción que determina el Código Financiero del Estado de México y Municipios y demás normatividad aplicable, por tanto, la entrega de las copias certificadas debe atender a los costos correspondientes</w:t>
      </w:r>
      <w:r w:rsidR="00FD6B48" w:rsidRPr="00E35A90">
        <w:t>; aunado a que el artículo 174 de la Ley de Transparencia y Acceso a la Información Pública del Estado de México y Municipios, hace alusión a que se entregaran sin costo las primeras veinte hojas simples, entendiendo esta última parte, como copias certificadas.</w:t>
      </w:r>
    </w:p>
    <w:p w14:paraId="2A8812FE" w14:textId="77777777" w:rsidR="005167DE" w:rsidRPr="00E35A90" w:rsidRDefault="005167DE">
      <w:pPr>
        <w:spacing w:after="0" w:line="360" w:lineRule="auto"/>
      </w:pPr>
    </w:p>
    <w:p w14:paraId="414D540B" w14:textId="12BDA6E1" w:rsidR="005167DE" w:rsidRPr="00E35A90" w:rsidRDefault="00276782">
      <w:pPr>
        <w:spacing w:after="0" w:line="360" w:lineRule="auto"/>
      </w:pPr>
      <w:r w:rsidRPr="00E35A90">
        <w:t>Así pues, para el caso que nos ocupa, se aprecia que el Sujeto Obligado no le informó al particular la cantidad de información o de hojas, así como el monto total a pagar para obtener la documentación solicitada, horarios, días de atención o la persona que lo atenderá</w:t>
      </w:r>
      <w:r w:rsidR="00FD6B48" w:rsidRPr="00E35A90">
        <w:t>; ni dio posibilidad de acceder a la información por correo certificado, previo del cobro correspondiente</w:t>
      </w:r>
      <w:r w:rsidRPr="00E35A90">
        <w:t>, por tanto, no es procedente tener por atendido lo solicitado conforme a lo entregado en respuesta.</w:t>
      </w:r>
    </w:p>
    <w:p w14:paraId="4E9E058F" w14:textId="77777777" w:rsidR="005167DE" w:rsidRPr="00E35A90" w:rsidRDefault="005167DE">
      <w:pPr>
        <w:spacing w:after="0" w:line="360" w:lineRule="auto"/>
        <w:rPr>
          <w:color w:val="000000"/>
        </w:rPr>
      </w:pPr>
    </w:p>
    <w:p w14:paraId="1F481771" w14:textId="41DFDEBA" w:rsidR="005167DE" w:rsidRPr="00E35A90" w:rsidRDefault="00276782">
      <w:pPr>
        <w:spacing w:after="0" w:line="360" w:lineRule="auto"/>
      </w:pPr>
      <w:r w:rsidRPr="00E35A90">
        <w:t>Así pues, es procedente tener por</w:t>
      </w:r>
      <w:r w:rsidRPr="00E35A90">
        <w:rPr>
          <w:b/>
        </w:rPr>
        <w:t xml:space="preserve"> PARCIALMENTE</w:t>
      </w:r>
      <w:r w:rsidRPr="00E35A90">
        <w:t xml:space="preserve"> </w:t>
      </w:r>
      <w:r w:rsidRPr="00E35A90">
        <w:rPr>
          <w:b/>
        </w:rPr>
        <w:t xml:space="preserve">FUNDADOS </w:t>
      </w:r>
      <w:r w:rsidRPr="00E35A90">
        <w:t xml:space="preserve">los motivos de inconformidad y considerar pertinente </w:t>
      </w:r>
      <w:r w:rsidRPr="00E35A90">
        <w:rPr>
          <w:b/>
        </w:rPr>
        <w:t>MODIFICAR</w:t>
      </w:r>
      <w:r w:rsidRPr="00E35A90">
        <w:t xml:space="preserve"> la respuesta inicial a fin de que el Sujeto Obligado ponga a disposición la información solicitada en versión pública, </w:t>
      </w:r>
      <w:r w:rsidR="00FD6B48" w:rsidRPr="00E35A90">
        <w:t xml:space="preserve">en </w:t>
      </w:r>
      <w:r w:rsidRPr="00E35A90">
        <w:t xml:space="preserve">copias certificadas con costo. </w:t>
      </w:r>
    </w:p>
    <w:p w14:paraId="2BB81162" w14:textId="77777777" w:rsidR="005167DE" w:rsidRPr="00E35A90" w:rsidRDefault="005167DE">
      <w:pPr>
        <w:spacing w:after="0" w:line="360" w:lineRule="auto"/>
        <w:rPr>
          <w:color w:val="000000"/>
        </w:rPr>
      </w:pPr>
    </w:p>
    <w:p w14:paraId="13F5C5F8" w14:textId="4DA4F88B" w:rsidR="005167DE" w:rsidRDefault="00FD6B48" w:rsidP="00FD6B48">
      <w:pPr>
        <w:spacing w:after="0" w:line="360" w:lineRule="auto"/>
        <w:rPr>
          <w:color w:val="000000"/>
        </w:rPr>
      </w:pPr>
      <w:r w:rsidRPr="00E35A90">
        <w:rPr>
          <w:color w:val="000000"/>
        </w:rPr>
        <w:lastRenderedPageBreak/>
        <w:t xml:space="preserve">Además, que deberá proporcionar en versión pública, conforme a lo analizado en párrafos </w:t>
      </w:r>
      <w:proofErr w:type="spellStart"/>
      <w:r w:rsidRPr="00E35A90">
        <w:rPr>
          <w:color w:val="000000"/>
        </w:rPr>
        <w:t>anteriore</w:t>
      </w:r>
      <w:proofErr w:type="spellEnd"/>
      <w:r w:rsidRPr="00E35A90">
        <w:t>; p</w:t>
      </w:r>
      <w:r w:rsidRPr="00E35A90">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2EBA3ABF" w14:textId="77777777" w:rsidR="00E530D3" w:rsidRPr="00E35A90" w:rsidRDefault="00E530D3" w:rsidP="00FD6B48">
      <w:pPr>
        <w:spacing w:after="0" w:line="360" w:lineRule="auto"/>
        <w:rPr>
          <w:color w:val="000000"/>
        </w:rPr>
      </w:pPr>
    </w:p>
    <w:p w14:paraId="7BDB6FB1" w14:textId="77777777" w:rsidR="005167DE" w:rsidRPr="00E35A90" w:rsidRDefault="00276782">
      <w:pPr>
        <w:pStyle w:val="Ttulo2"/>
        <w:spacing w:before="0" w:after="0"/>
        <w:rPr>
          <w:b w:val="0"/>
        </w:rPr>
      </w:pPr>
      <w:bookmarkStart w:id="14" w:name="_Toc212129305"/>
      <w:r w:rsidRPr="00E35A90">
        <w:t>SEXTO. Decisión</w:t>
      </w:r>
      <w:bookmarkEnd w:id="14"/>
    </w:p>
    <w:p w14:paraId="2C58D16A" w14:textId="77777777" w:rsidR="005167DE" w:rsidRPr="00E35A90" w:rsidRDefault="005167DE">
      <w:pPr>
        <w:spacing w:after="0" w:line="360" w:lineRule="auto"/>
        <w:rPr>
          <w:b/>
        </w:rPr>
      </w:pPr>
    </w:p>
    <w:p w14:paraId="66668993" w14:textId="77777777" w:rsidR="005167DE" w:rsidRPr="00E35A90" w:rsidRDefault="00276782">
      <w:pPr>
        <w:spacing w:after="0" w:line="360" w:lineRule="auto"/>
      </w:pPr>
      <w:r w:rsidRPr="00E35A90">
        <w:t xml:space="preserve">Con fundamento en el artículo 186, fracción III, de la Ley de Transparencia y Acceso a la Información Pública del Estado de México y Municipios, este Instituto considera procedente </w:t>
      </w:r>
      <w:r w:rsidRPr="00E35A90">
        <w:rPr>
          <w:b/>
        </w:rPr>
        <w:t xml:space="preserve">MODIFICAR </w:t>
      </w:r>
      <w:r w:rsidRPr="00E35A90">
        <w:t xml:space="preserve">la respuesta otorgada por el Sujeto Obligado a la solicitud de información </w:t>
      </w:r>
      <w:r w:rsidRPr="00E35A90">
        <w:rPr>
          <w:bCs/>
        </w:rPr>
        <w:t>00649/ECATEPEC/IP/2025, por resultar parcialmente fundadas las razones o motivos de inconformidad hechos valer por la parte Recurrente, en el Recurso de Revisión 09981/INFOEM/IP/RR/2025, en consecuencia procede ORDENAR,</w:t>
      </w:r>
      <w:r w:rsidRPr="00E35A90">
        <w:rPr>
          <w:b/>
        </w:rPr>
        <w:t xml:space="preserve"> </w:t>
      </w:r>
      <w:r w:rsidRPr="00E35A90">
        <w:t>la puesta a disposición de la información mediante copias certificadas con costo.</w:t>
      </w:r>
    </w:p>
    <w:p w14:paraId="40865A61" w14:textId="77777777" w:rsidR="00FD6B48" w:rsidRPr="00E35A90" w:rsidRDefault="00FD6B48">
      <w:pPr>
        <w:spacing w:after="0" w:line="360" w:lineRule="auto"/>
      </w:pPr>
    </w:p>
    <w:p w14:paraId="06B8C3D8" w14:textId="77777777" w:rsidR="005167DE" w:rsidRPr="00E35A90" w:rsidRDefault="00276782">
      <w:pPr>
        <w:pStyle w:val="Ttulo2"/>
        <w:spacing w:before="0" w:after="0"/>
        <w:rPr>
          <w:color w:val="000000"/>
        </w:rPr>
      </w:pPr>
      <w:bookmarkStart w:id="15" w:name="_Toc212129306"/>
      <w:r w:rsidRPr="00E35A90">
        <w:rPr>
          <w:color w:val="000000"/>
        </w:rPr>
        <w:t>SÉPTIMO. Vista la Dirección General de Protección de Datos Personales</w:t>
      </w:r>
      <w:bookmarkEnd w:id="15"/>
    </w:p>
    <w:p w14:paraId="793DD71C" w14:textId="77777777" w:rsidR="005167DE" w:rsidRPr="00E35A90" w:rsidRDefault="005167DE">
      <w:pPr>
        <w:tabs>
          <w:tab w:val="left" w:pos="4962"/>
        </w:tabs>
        <w:spacing w:after="0" w:line="360" w:lineRule="auto"/>
        <w:rPr>
          <w:color w:val="000000"/>
        </w:rPr>
      </w:pPr>
    </w:p>
    <w:p w14:paraId="54723C5D" w14:textId="77777777" w:rsidR="005167DE" w:rsidRPr="00E35A90" w:rsidRDefault="00276782">
      <w:pPr>
        <w:tabs>
          <w:tab w:val="left" w:pos="4962"/>
        </w:tabs>
        <w:spacing w:after="0" w:line="360" w:lineRule="auto"/>
        <w:rPr>
          <w:color w:val="000000"/>
        </w:rPr>
      </w:pPr>
      <w:r w:rsidRPr="00E35A90">
        <w:rPr>
          <w:color w:val="000000"/>
        </w:rPr>
        <w:t xml:space="preserve">Ahora bien, toda vez que el Sujeto Obligado debió clasificar el nombre de particulares; que se advierten </w:t>
      </w:r>
      <w:r w:rsidRPr="00E35A90">
        <w:rPr>
          <w:b/>
          <w:color w:val="000000"/>
          <w:u w:val="single"/>
        </w:rPr>
        <w:t xml:space="preserve">en la página de 2 del archivo denominado </w:t>
      </w:r>
      <w:r w:rsidRPr="00E35A90">
        <w:rPr>
          <w:b/>
          <w:i/>
          <w:color w:val="000000"/>
          <w:u w:val="single"/>
        </w:rPr>
        <w:t xml:space="preserve">oficio 2060 - 00649.pdf </w:t>
      </w:r>
      <w:r w:rsidRPr="00E35A90">
        <w:rPr>
          <w:color w:val="000000"/>
        </w:rPr>
        <w:t>que fue entregado en respuesta,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3D82AAE7" w14:textId="77777777" w:rsidR="005167DE" w:rsidRPr="00E35A90" w:rsidRDefault="005167DE">
      <w:pPr>
        <w:tabs>
          <w:tab w:val="left" w:pos="4962"/>
        </w:tabs>
        <w:spacing w:after="0" w:line="360" w:lineRule="auto"/>
        <w:rPr>
          <w:color w:val="000000"/>
        </w:rPr>
      </w:pPr>
    </w:p>
    <w:p w14:paraId="58E34811" w14:textId="77777777" w:rsidR="005167DE" w:rsidRPr="00E35A90" w:rsidRDefault="00276782">
      <w:pPr>
        <w:tabs>
          <w:tab w:val="left" w:pos="4962"/>
        </w:tabs>
        <w:spacing w:after="0" w:line="360" w:lineRule="auto"/>
        <w:rPr>
          <w:color w:val="000000"/>
        </w:rPr>
      </w:pPr>
      <w:r w:rsidRPr="00E35A90">
        <w:rPr>
          <w:color w:val="000000"/>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2250A073" w14:textId="77777777" w:rsidR="005167DE" w:rsidRPr="00E35A90" w:rsidRDefault="005167DE">
      <w:pPr>
        <w:tabs>
          <w:tab w:val="left" w:pos="4962"/>
        </w:tabs>
        <w:spacing w:after="0" w:line="360" w:lineRule="auto"/>
        <w:rPr>
          <w:color w:val="000000"/>
        </w:rPr>
      </w:pPr>
    </w:p>
    <w:p w14:paraId="0A282150" w14:textId="67BC437C" w:rsidR="005167DE" w:rsidRPr="00E35A90" w:rsidRDefault="00276782">
      <w:pPr>
        <w:spacing w:after="0" w:line="360" w:lineRule="auto"/>
        <w:rPr>
          <w:b/>
          <w:u w:val="single"/>
        </w:rPr>
      </w:pPr>
      <w:r w:rsidRPr="00E35A90">
        <w:rPr>
          <w:b/>
          <w:u w:val="single"/>
        </w:rPr>
        <w:t>Términos de la Reso</w:t>
      </w:r>
      <w:r w:rsidR="0060643A">
        <w:rPr>
          <w:b/>
          <w:u w:val="single"/>
        </w:rPr>
        <w:t>lución para la parte Recurrente</w:t>
      </w:r>
    </w:p>
    <w:p w14:paraId="4092C31E" w14:textId="77777777" w:rsidR="005167DE" w:rsidRPr="00E35A90" w:rsidRDefault="005167DE">
      <w:pPr>
        <w:spacing w:after="0" w:line="360" w:lineRule="auto"/>
      </w:pPr>
    </w:p>
    <w:p w14:paraId="5954338F" w14:textId="77777777" w:rsidR="005167DE" w:rsidRPr="00E35A90" w:rsidRDefault="00276782">
      <w:pPr>
        <w:spacing w:after="0" w:line="360" w:lineRule="auto"/>
        <w:rPr>
          <w:u w:val="single"/>
        </w:rPr>
      </w:pPr>
      <w:r w:rsidRPr="00E35A90">
        <w:rPr>
          <w:u w:val="single"/>
        </w:rPr>
        <w:t xml:space="preserve">Se hace del conocimiento de parte Recurrente que este Organismo Garante determinó concederle la razón, puesto que si bien le entregaron la información vía SAIMEX, se debe poner a disposición vía copias certificadas, para lo cual deberá indicarle, horarios, días, costos, entre otros datos, para su entrega. Cabe señalar que la entrega de copias certificadas debe ser con costo, en atención al criterio mayoritario de este Pleno. </w:t>
      </w:r>
    </w:p>
    <w:p w14:paraId="0E4AD0BD" w14:textId="77777777" w:rsidR="005167DE" w:rsidRPr="00E35A90" w:rsidRDefault="005167DE">
      <w:pPr>
        <w:spacing w:after="0" w:line="360" w:lineRule="auto"/>
        <w:rPr>
          <w:u w:val="single"/>
        </w:rPr>
      </w:pPr>
    </w:p>
    <w:p w14:paraId="6736A9B1" w14:textId="77777777" w:rsidR="005167DE" w:rsidRPr="00E35A90" w:rsidRDefault="00276782">
      <w:pPr>
        <w:spacing w:after="0" w:line="360" w:lineRule="auto"/>
        <w:rPr>
          <w:u w:val="single"/>
        </w:rPr>
      </w:pPr>
      <w:r w:rsidRPr="00E35A90">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3718CCA2" w14:textId="77777777" w:rsidR="005167DE" w:rsidRPr="00E35A90" w:rsidRDefault="005167DE">
      <w:pPr>
        <w:spacing w:after="0" w:line="360" w:lineRule="auto"/>
        <w:rPr>
          <w:u w:val="single"/>
        </w:rPr>
      </w:pPr>
    </w:p>
    <w:p w14:paraId="4D6F3AD1" w14:textId="77777777" w:rsidR="005167DE" w:rsidRPr="00E35A90" w:rsidRDefault="00276782">
      <w:pPr>
        <w:spacing w:after="0" w:line="360" w:lineRule="auto"/>
        <w:rPr>
          <w:u w:val="single"/>
        </w:rPr>
      </w:pPr>
      <w:r w:rsidRPr="00E35A90">
        <w:rPr>
          <w:u w:val="single"/>
        </w:rPr>
        <w:t>La labor del INFOEM, es apoyar a la población para acceder a la información pública y garantizar la protección de sus datos personales.</w:t>
      </w:r>
    </w:p>
    <w:p w14:paraId="3F304735" w14:textId="77777777" w:rsidR="005167DE" w:rsidRPr="00E35A90" w:rsidRDefault="005167DE">
      <w:pPr>
        <w:spacing w:after="0" w:line="360" w:lineRule="auto"/>
        <w:rPr>
          <w:u w:val="single"/>
        </w:rPr>
      </w:pPr>
    </w:p>
    <w:p w14:paraId="3A288995" w14:textId="77777777" w:rsidR="005167DE" w:rsidRPr="00E35A90" w:rsidRDefault="00276782">
      <w:pPr>
        <w:pStyle w:val="Ttulo1"/>
        <w:spacing w:before="0" w:after="0"/>
        <w:rPr>
          <w:b w:val="0"/>
          <w:sz w:val="22"/>
          <w:szCs w:val="22"/>
        </w:rPr>
      </w:pPr>
      <w:bookmarkStart w:id="16" w:name="_Toc212129307"/>
      <w:r w:rsidRPr="00E35A90">
        <w:rPr>
          <w:sz w:val="22"/>
          <w:szCs w:val="22"/>
        </w:rPr>
        <w:t>R E S U E L V E</w:t>
      </w:r>
      <w:bookmarkEnd w:id="16"/>
    </w:p>
    <w:p w14:paraId="4032DDFD" w14:textId="77777777" w:rsidR="005167DE" w:rsidRPr="00E35A90" w:rsidRDefault="005167DE">
      <w:pPr>
        <w:spacing w:after="0" w:line="360" w:lineRule="auto"/>
        <w:rPr>
          <w:b/>
        </w:rPr>
      </w:pPr>
    </w:p>
    <w:p w14:paraId="7A7B09F9" w14:textId="77777777" w:rsidR="005167DE" w:rsidRPr="00E35A90" w:rsidRDefault="00276782">
      <w:pPr>
        <w:spacing w:after="0" w:line="360" w:lineRule="auto"/>
      </w:pPr>
      <w:r w:rsidRPr="00E35A90">
        <w:rPr>
          <w:b/>
        </w:rPr>
        <w:lastRenderedPageBreak/>
        <w:t xml:space="preserve">PRIMERO. </w:t>
      </w:r>
      <w:r w:rsidRPr="00E35A90">
        <w:t xml:space="preserve">Se </w:t>
      </w:r>
      <w:r w:rsidRPr="00E35A90">
        <w:rPr>
          <w:b/>
        </w:rPr>
        <w:t>MODIFICA</w:t>
      </w:r>
      <w:r w:rsidRPr="00E35A90">
        <w:t xml:space="preserve"> la respuesta entregada por el Ayuntamiento de Ecatepec de Morelos a la solicitud de información 00649/ECATEPEC/IP/2025 por resultar parcialmente fundadas las razones o motivos de inconformidad hechos valer por la persona Recurrente en el Recurso de Revisión 09981/INFOEM/IP/RR/2025, en términos de los considerandos QUINTO y SEXTO de la presente Resolución.</w:t>
      </w:r>
    </w:p>
    <w:p w14:paraId="5D3A9835" w14:textId="77777777" w:rsidR="005167DE" w:rsidRPr="00E35A90" w:rsidRDefault="005167DE">
      <w:pPr>
        <w:spacing w:after="0" w:line="360" w:lineRule="auto"/>
      </w:pPr>
    </w:p>
    <w:p w14:paraId="3D5C5EDA" w14:textId="208D23BC" w:rsidR="00FD6B48" w:rsidRPr="00E35A90" w:rsidRDefault="00276782" w:rsidP="00FD6B48">
      <w:pPr>
        <w:spacing w:after="0" w:line="360" w:lineRule="auto"/>
        <w:rPr>
          <w:color w:val="000000"/>
        </w:rPr>
      </w:pPr>
      <w:bookmarkStart w:id="17" w:name="_heading=h.argy21qnkmhr" w:colFirst="0" w:colLast="0"/>
      <w:bookmarkEnd w:id="17"/>
      <w:r w:rsidRPr="00E35A90">
        <w:rPr>
          <w:b/>
        </w:rPr>
        <w:t xml:space="preserve">SEGUNDO. </w:t>
      </w:r>
      <w:r w:rsidRPr="00E35A90">
        <w:t xml:space="preserve">Se </w:t>
      </w:r>
      <w:r w:rsidRPr="00E35A90">
        <w:rPr>
          <w:b/>
        </w:rPr>
        <w:t>ORDENA</w:t>
      </w:r>
      <w:r w:rsidRPr="00E35A90">
        <w:t xml:space="preserve"> al Sujeto Obligado, a efecto de que</w:t>
      </w:r>
      <w:r w:rsidR="00FD6B48" w:rsidRPr="00E35A90">
        <w:t xml:space="preserve"> ponga a</w:t>
      </w:r>
      <w:r w:rsidRPr="00E35A90">
        <w:t xml:space="preserve"> </w:t>
      </w:r>
      <w:r w:rsidRPr="00E35A90">
        <w:rPr>
          <w:color w:val="000000"/>
        </w:rPr>
        <w:t xml:space="preserve">disposición en copias certificadas (con costo), </w:t>
      </w:r>
      <w:r w:rsidR="00FD6B48" w:rsidRPr="00E35A90">
        <w:rPr>
          <w:color w:val="000000"/>
        </w:rPr>
        <w:t>en versión pública, el Acta circunstanciada del siete de agosto de dos mil veinticinco, remitida en respuesta.</w:t>
      </w:r>
    </w:p>
    <w:p w14:paraId="3E9FFA2A" w14:textId="77777777" w:rsidR="00FD6B48" w:rsidRPr="00E35A90" w:rsidRDefault="00FD6B48" w:rsidP="00FD6B48">
      <w:pPr>
        <w:spacing w:after="0" w:line="360" w:lineRule="auto"/>
        <w:rPr>
          <w:color w:val="000000"/>
        </w:rPr>
      </w:pPr>
    </w:p>
    <w:p w14:paraId="789458A6" w14:textId="77777777" w:rsidR="005167DE" w:rsidRPr="00E35A90" w:rsidRDefault="00276782">
      <w:pPr>
        <w:spacing w:after="0" w:line="360" w:lineRule="auto"/>
      </w:pPr>
      <w:r w:rsidRPr="00E35A90">
        <w:rPr>
          <w:color w:val="000000"/>
        </w:rPr>
        <w:t xml:space="preserve">Además, </w:t>
      </w:r>
      <w:r w:rsidRPr="00E35A90">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E19BDE8" w14:textId="77777777" w:rsidR="005167DE" w:rsidRPr="00E35A90" w:rsidRDefault="005167DE">
      <w:pPr>
        <w:spacing w:after="0" w:line="360" w:lineRule="auto"/>
      </w:pPr>
    </w:p>
    <w:p w14:paraId="6C9752CF" w14:textId="2CA16528" w:rsidR="005167DE" w:rsidRPr="00E35A90" w:rsidRDefault="00276782">
      <w:pPr>
        <w:spacing w:after="0" w:line="360" w:lineRule="auto"/>
      </w:pPr>
      <w:r w:rsidRPr="00E35A90">
        <w:t xml:space="preserve">Para la entrega de las copias certificadas, el Sujeto Obligado, a través del Sistema de Acceso a la Información Mexiquense (SAIMEX), deberá indicar el domicilio </w:t>
      </w:r>
      <w:r w:rsidR="00FD6B48" w:rsidRPr="00E35A90">
        <w:t>para entregar la información o la posibilidad de envió por correo certificado, previo del pago correspondiente</w:t>
      </w:r>
      <w:r w:rsidRPr="00E35A90">
        <w:t>, así como los días y horarios de atención, junto con el nombre de la persona servidora pública que le atenderá, el procedimiento de pago y el costo, de conformidad con el Vigésimo Sexto de los Lineamientos para la operación del Sistema de Acceso a la Información Mexiquense (SAIMEX) y del Sistema de Acceso, Rectificación, Cancelación y Oposición de Datos Personales del Estado de México (SARCOEM).</w:t>
      </w:r>
    </w:p>
    <w:p w14:paraId="0450ADD6" w14:textId="77777777" w:rsidR="005167DE" w:rsidRPr="00E35A90" w:rsidRDefault="005167DE">
      <w:pPr>
        <w:spacing w:after="0" w:line="360" w:lineRule="auto"/>
      </w:pPr>
    </w:p>
    <w:p w14:paraId="2629AE1B" w14:textId="77777777" w:rsidR="005167DE" w:rsidRPr="00E35A90" w:rsidRDefault="00276782">
      <w:pPr>
        <w:spacing w:after="0" w:line="360" w:lineRule="auto"/>
      </w:pPr>
      <w:r w:rsidRPr="00E35A90">
        <w:rPr>
          <w:b/>
        </w:rPr>
        <w:t xml:space="preserve">TERCERO. NOTIFÍQUESE POR SAIMEX </w:t>
      </w:r>
      <w:r w:rsidRPr="00E35A90">
        <w:t xml:space="preserve">la presente resolución al Titular de la Unidad de Transparencia del Sujeto Obligado, para que conforme al artículo 186, último párrafo, 189, segundo párrafo, y 194 de la Ley de Transparencia y Acceso a la Información Pública del Estado </w:t>
      </w:r>
      <w:r w:rsidRPr="00E35A90">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2809009A" w14:textId="77777777" w:rsidR="005167DE" w:rsidRPr="00E35A90" w:rsidRDefault="005167DE">
      <w:pPr>
        <w:spacing w:after="0" w:line="360" w:lineRule="auto"/>
      </w:pPr>
    </w:p>
    <w:p w14:paraId="7C68CFA9" w14:textId="77777777" w:rsidR="005167DE" w:rsidRPr="00E35A90" w:rsidRDefault="00276782">
      <w:pPr>
        <w:spacing w:after="0" w:line="360" w:lineRule="auto"/>
      </w:pPr>
      <w:r w:rsidRPr="00E35A90">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F37DAE" w14:textId="77777777" w:rsidR="005167DE" w:rsidRPr="00E35A90" w:rsidRDefault="005167DE">
      <w:pPr>
        <w:spacing w:after="0" w:line="360" w:lineRule="auto"/>
      </w:pPr>
    </w:p>
    <w:p w14:paraId="27295CA5" w14:textId="77777777" w:rsidR="005167DE" w:rsidRPr="00E35A90" w:rsidRDefault="00276782">
      <w:pPr>
        <w:spacing w:after="0" w:line="360" w:lineRule="auto"/>
      </w:pPr>
      <w:r w:rsidRPr="00E35A90">
        <w:rPr>
          <w:b/>
        </w:rPr>
        <w:t>CUARTO. NOTIFÍQUESE</w:t>
      </w:r>
      <w:r w:rsidRPr="00E35A90">
        <w:t xml:space="preserve"> </w:t>
      </w:r>
      <w:r w:rsidRPr="00E35A90">
        <w:rPr>
          <w:b/>
        </w:rPr>
        <w:t xml:space="preserve">POR SAIMEX </w:t>
      </w:r>
      <w:r w:rsidRPr="00E35A90">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D3F703" w14:textId="77777777" w:rsidR="005167DE" w:rsidRPr="00E35A90" w:rsidRDefault="005167DE">
      <w:pPr>
        <w:spacing w:after="0" w:line="360" w:lineRule="auto"/>
      </w:pPr>
    </w:p>
    <w:p w14:paraId="76B81C75" w14:textId="77777777" w:rsidR="005167DE" w:rsidRPr="00E35A90" w:rsidRDefault="00276782">
      <w:pPr>
        <w:spacing w:after="0" w:line="360" w:lineRule="auto"/>
        <w:rPr>
          <w:color w:val="000000"/>
        </w:rPr>
      </w:pPr>
      <w:r w:rsidRPr="00E35A90">
        <w:rPr>
          <w:b/>
          <w:color w:val="000000"/>
        </w:rPr>
        <w:t>QUINTO.</w:t>
      </w:r>
      <w:r w:rsidRPr="00E35A90">
        <w:rPr>
          <w:color w:val="000000"/>
        </w:rPr>
        <w:t xml:space="preserve"> 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E35A90">
        <w:rPr>
          <w:smallCaps/>
          <w:color w:val="000000"/>
        </w:rPr>
        <w:t>SÉPTIMO</w:t>
      </w:r>
      <w:r w:rsidRPr="00E35A90">
        <w:rPr>
          <w:color w:val="000000"/>
        </w:rPr>
        <w:t xml:space="preserve"> de la presente Resolución.</w:t>
      </w:r>
    </w:p>
    <w:p w14:paraId="1028A3C7" w14:textId="77777777" w:rsidR="005167DE" w:rsidRPr="00E35A90" w:rsidRDefault="005167DE">
      <w:pPr>
        <w:spacing w:after="0" w:line="360" w:lineRule="auto"/>
      </w:pPr>
    </w:p>
    <w:p w14:paraId="021FB2BC" w14:textId="017EC375" w:rsidR="005167DE" w:rsidRDefault="00276782">
      <w:pPr>
        <w:spacing w:after="0" w:line="360" w:lineRule="auto"/>
      </w:pPr>
      <w:r w:rsidRPr="00E35A90">
        <w:t xml:space="preserve">ASÍ LO RESUELVE, POR </w:t>
      </w:r>
      <w:r w:rsidRPr="00E35A90">
        <w:rPr>
          <w:b/>
        </w:rPr>
        <w:t>UNANIMIDAD</w:t>
      </w:r>
      <w:r w:rsidRPr="00E35A90">
        <w:t xml:space="preserve"> DE VOTOS EL PLENO DEL INSTITUTO DE TRANSPARENCIA, ACCESO A LA INFORMACIÓN PÚBLICA Y PROTECCIÓN DE DATOS PERSONALES DEL ESTADO DE MÉXICO Y MUNICIPIOS, CONFORMADO POR LOS COMISIONADOS JOSÉ MARTÍNEZ VILCHIS, MARÍA DEL ROSARIO MEJÍA AYALA</w:t>
      </w:r>
      <w:r w:rsidR="00E35A90" w:rsidRPr="00E35A90">
        <w:t xml:space="preserve"> CON VOTO PARTICULA</w:t>
      </w:r>
      <w:r w:rsidR="001654C8">
        <w:t>R</w:t>
      </w:r>
      <w:r w:rsidRPr="00E35A90">
        <w:t xml:space="preserve">, SHARON CRISTINA MORALES MARTÍNEZ, LUIS GUSTAVO PARRA </w:t>
      </w:r>
      <w:r w:rsidRPr="00E35A90">
        <w:lastRenderedPageBreak/>
        <w:t>NORIEGA CON VOTO PARTICULAR Y GUADALUPE RAMÍREZ PEÑA</w:t>
      </w:r>
      <w:r w:rsidR="00E35A90" w:rsidRPr="00E35A90">
        <w:t xml:space="preserve"> CON VOTO PARTICULAR</w:t>
      </w:r>
      <w:r w:rsidRPr="00E35A90">
        <w:t>, EN LA TRIGÉSIMA OCTAVA SESIÓN ORDINARIA, CELEBRADA EL VEINTIDÓS DE OCTUBRE DE DOS MIL VEINTICINCO, ANTE EL SECRETARIO TÉCNICO DEL PLENO, ALEXIS TAPIA RAMÍREZ.</w:t>
      </w:r>
    </w:p>
    <w:p w14:paraId="15187492" w14:textId="77777777" w:rsidR="005167DE" w:rsidRDefault="005167DE">
      <w:pPr>
        <w:pStyle w:val="Ttulo2"/>
        <w:spacing w:before="0" w:after="0"/>
        <w:rPr>
          <w:b w:val="0"/>
        </w:rPr>
      </w:pPr>
    </w:p>
    <w:p w14:paraId="663CC733" w14:textId="77777777" w:rsidR="005167DE" w:rsidRDefault="005167DE">
      <w:pPr>
        <w:spacing w:after="0" w:line="360" w:lineRule="auto"/>
      </w:pPr>
    </w:p>
    <w:p w14:paraId="44B2EF48" w14:textId="77777777" w:rsidR="005167DE" w:rsidRDefault="005167DE">
      <w:pPr>
        <w:spacing w:after="0" w:line="360" w:lineRule="auto"/>
      </w:pPr>
    </w:p>
    <w:p w14:paraId="1F926B62" w14:textId="77777777" w:rsidR="005167DE" w:rsidRDefault="005167DE">
      <w:pPr>
        <w:spacing w:after="0" w:line="360" w:lineRule="auto"/>
      </w:pPr>
    </w:p>
    <w:p w14:paraId="4F2E5A5A" w14:textId="77777777" w:rsidR="005167DE" w:rsidRDefault="005167DE">
      <w:pPr>
        <w:spacing w:after="0" w:line="360" w:lineRule="auto"/>
      </w:pPr>
    </w:p>
    <w:p w14:paraId="404D2109" w14:textId="77777777" w:rsidR="005167DE" w:rsidRDefault="005167DE">
      <w:pPr>
        <w:spacing w:after="0" w:line="360" w:lineRule="auto"/>
      </w:pPr>
    </w:p>
    <w:p w14:paraId="69F93726" w14:textId="77777777" w:rsidR="005167DE" w:rsidRDefault="005167DE">
      <w:pPr>
        <w:spacing w:after="0" w:line="360" w:lineRule="auto"/>
      </w:pPr>
    </w:p>
    <w:p w14:paraId="18C5A7B1" w14:textId="77777777" w:rsidR="005167DE" w:rsidRDefault="005167DE">
      <w:pPr>
        <w:spacing w:after="0" w:line="360" w:lineRule="auto"/>
      </w:pPr>
    </w:p>
    <w:p w14:paraId="71BEE094" w14:textId="77777777" w:rsidR="005167DE" w:rsidRDefault="005167DE">
      <w:pPr>
        <w:spacing w:after="0" w:line="360" w:lineRule="auto"/>
      </w:pPr>
    </w:p>
    <w:p w14:paraId="42BA7F35" w14:textId="77777777" w:rsidR="005167DE" w:rsidRDefault="005167DE">
      <w:pPr>
        <w:spacing w:after="0" w:line="360" w:lineRule="auto"/>
      </w:pPr>
    </w:p>
    <w:p w14:paraId="07AEEE65" w14:textId="77777777" w:rsidR="005167DE" w:rsidRDefault="005167DE">
      <w:pPr>
        <w:spacing w:after="0" w:line="360" w:lineRule="auto"/>
      </w:pPr>
    </w:p>
    <w:p w14:paraId="5CFC5FDF" w14:textId="77777777" w:rsidR="005167DE" w:rsidRDefault="005167DE">
      <w:pPr>
        <w:spacing w:after="0" w:line="360" w:lineRule="auto"/>
      </w:pPr>
    </w:p>
    <w:p w14:paraId="58F6DD47" w14:textId="77777777" w:rsidR="005167DE" w:rsidRDefault="005167DE">
      <w:pPr>
        <w:spacing w:after="0" w:line="360" w:lineRule="auto"/>
      </w:pPr>
    </w:p>
    <w:p w14:paraId="1193E2E2" w14:textId="77777777" w:rsidR="005167DE" w:rsidRDefault="005167DE">
      <w:pPr>
        <w:spacing w:after="0" w:line="360" w:lineRule="auto"/>
      </w:pPr>
    </w:p>
    <w:p w14:paraId="7173B5C4" w14:textId="77777777" w:rsidR="005167DE" w:rsidRDefault="005167DE">
      <w:pPr>
        <w:spacing w:after="0" w:line="360" w:lineRule="auto"/>
      </w:pPr>
    </w:p>
    <w:p w14:paraId="7F110CD8" w14:textId="77777777" w:rsidR="005167DE" w:rsidRDefault="005167DE">
      <w:pPr>
        <w:spacing w:after="0" w:line="360" w:lineRule="auto"/>
      </w:pPr>
    </w:p>
    <w:p w14:paraId="4C26C95B" w14:textId="77777777" w:rsidR="005167DE" w:rsidRDefault="005167DE">
      <w:pPr>
        <w:spacing w:after="0" w:line="360" w:lineRule="auto"/>
      </w:pPr>
    </w:p>
    <w:p w14:paraId="070790E3" w14:textId="77777777" w:rsidR="005167DE" w:rsidRDefault="005167DE">
      <w:pPr>
        <w:spacing w:after="0" w:line="360" w:lineRule="auto"/>
      </w:pPr>
    </w:p>
    <w:p w14:paraId="484E0C5C" w14:textId="77777777" w:rsidR="005167DE" w:rsidRDefault="005167DE">
      <w:pPr>
        <w:spacing w:after="0" w:line="360" w:lineRule="auto"/>
      </w:pPr>
    </w:p>
    <w:p w14:paraId="753D1297" w14:textId="77777777" w:rsidR="005167DE" w:rsidRDefault="005167DE">
      <w:pPr>
        <w:spacing w:after="0" w:line="360" w:lineRule="auto"/>
      </w:pPr>
    </w:p>
    <w:p w14:paraId="69BB9767" w14:textId="77777777" w:rsidR="0060643A" w:rsidRDefault="0060643A">
      <w:pPr>
        <w:spacing w:after="0" w:line="360" w:lineRule="auto"/>
      </w:pPr>
    </w:p>
    <w:p w14:paraId="5CAC363D" w14:textId="77777777" w:rsidR="0060643A" w:rsidRDefault="0060643A">
      <w:pPr>
        <w:spacing w:after="0" w:line="360" w:lineRule="auto"/>
      </w:pPr>
    </w:p>
    <w:p w14:paraId="55A9AA9C" w14:textId="77777777" w:rsidR="0060643A" w:rsidRDefault="0060643A">
      <w:pPr>
        <w:spacing w:after="0" w:line="360" w:lineRule="auto"/>
      </w:pPr>
    </w:p>
    <w:p w14:paraId="69030473" w14:textId="77777777" w:rsidR="0060643A" w:rsidRDefault="0060643A">
      <w:pPr>
        <w:spacing w:after="0" w:line="360" w:lineRule="auto"/>
      </w:pPr>
    </w:p>
    <w:p w14:paraId="42FF1DA5" w14:textId="77777777" w:rsidR="005167DE" w:rsidRDefault="005167DE">
      <w:pPr>
        <w:spacing w:after="0" w:line="360" w:lineRule="auto"/>
      </w:pPr>
    </w:p>
    <w:p w14:paraId="50212745" w14:textId="77777777" w:rsidR="005167DE" w:rsidRDefault="005167DE">
      <w:pPr>
        <w:spacing w:after="0" w:line="360" w:lineRule="auto"/>
      </w:pPr>
    </w:p>
    <w:p w14:paraId="22EC6439" w14:textId="77777777" w:rsidR="005167DE" w:rsidRDefault="005167DE">
      <w:pPr>
        <w:spacing w:after="0" w:line="360" w:lineRule="auto"/>
      </w:pPr>
    </w:p>
    <w:sectPr w:rsidR="005167DE">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EEC3" w14:textId="77777777" w:rsidR="00AC0912" w:rsidRDefault="00AC0912">
      <w:pPr>
        <w:spacing w:after="0" w:line="240" w:lineRule="auto"/>
      </w:pPr>
      <w:r>
        <w:separator/>
      </w:r>
    </w:p>
  </w:endnote>
  <w:endnote w:type="continuationSeparator" w:id="0">
    <w:p w14:paraId="5F172CB2" w14:textId="77777777" w:rsidR="00AC0912" w:rsidRDefault="00AC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DA1F" w14:textId="77777777" w:rsidR="005167DE" w:rsidRDefault="002767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6E7C">
      <w:rPr>
        <w:b/>
        <w:noProof/>
        <w:color w:val="000000"/>
        <w:sz w:val="24"/>
        <w:szCs w:val="24"/>
      </w:rPr>
      <w:t>23</w:t>
    </w:r>
    <w:r>
      <w:rPr>
        <w:b/>
        <w:color w:val="000000"/>
        <w:sz w:val="24"/>
        <w:szCs w:val="24"/>
      </w:rPr>
      <w:fldChar w:fldCharType="end"/>
    </w:r>
  </w:p>
  <w:p w14:paraId="76119A52" w14:textId="77777777" w:rsidR="005167DE" w:rsidRDefault="005167D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0DAD" w14:textId="77777777" w:rsidR="005167DE" w:rsidRDefault="002767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6E7C">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6E7C">
      <w:rPr>
        <w:b/>
        <w:noProof/>
        <w:color w:val="000000"/>
        <w:sz w:val="24"/>
        <w:szCs w:val="24"/>
      </w:rPr>
      <w:t>23</w:t>
    </w:r>
    <w:r>
      <w:rPr>
        <w:b/>
        <w:color w:val="000000"/>
        <w:sz w:val="24"/>
        <w:szCs w:val="24"/>
      </w:rPr>
      <w:fldChar w:fldCharType="end"/>
    </w:r>
  </w:p>
  <w:p w14:paraId="3CB68335" w14:textId="77777777" w:rsidR="005167DE" w:rsidRDefault="005167D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7015" w14:textId="77777777" w:rsidR="005167DE" w:rsidRDefault="0027678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C6E7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C6E7C">
      <w:rPr>
        <w:b/>
        <w:noProof/>
        <w:color w:val="000000"/>
        <w:sz w:val="24"/>
        <w:szCs w:val="24"/>
      </w:rPr>
      <w:t>23</w:t>
    </w:r>
    <w:r>
      <w:rPr>
        <w:b/>
        <w:color w:val="000000"/>
        <w:sz w:val="24"/>
        <w:szCs w:val="24"/>
      </w:rPr>
      <w:fldChar w:fldCharType="end"/>
    </w:r>
  </w:p>
  <w:p w14:paraId="2A8FA3C8" w14:textId="77777777" w:rsidR="005167DE" w:rsidRDefault="005167D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CDE4" w14:textId="77777777" w:rsidR="00AC0912" w:rsidRDefault="00AC0912">
      <w:pPr>
        <w:spacing w:after="0" w:line="240" w:lineRule="auto"/>
      </w:pPr>
      <w:r>
        <w:separator/>
      </w:r>
    </w:p>
  </w:footnote>
  <w:footnote w:type="continuationSeparator" w:id="0">
    <w:p w14:paraId="07D03F44" w14:textId="77777777" w:rsidR="00AC0912" w:rsidRDefault="00AC0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B5F8" w14:textId="77777777" w:rsidR="005167DE" w:rsidRDefault="005167DE">
    <w:pPr>
      <w:widowControl w:val="0"/>
      <w:pBdr>
        <w:top w:val="nil"/>
        <w:left w:val="nil"/>
        <w:bottom w:val="nil"/>
        <w:right w:val="nil"/>
        <w:between w:val="nil"/>
      </w:pBdr>
      <w:spacing w:after="0" w:line="276" w:lineRule="auto"/>
      <w:jc w:val="left"/>
      <w:rPr>
        <w:color w:val="000000"/>
      </w:rPr>
    </w:pPr>
  </w:p>
  <w:tbl>
    <w:tblPr>
      <w:tblStyle w:val="afffffc"/>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5167DE" w14:paraId="1F673E37" w14:textId="77777777">
      <w:trPr>
        <w:trHeight w:val="141"/>
      </w:trPr>
      <w:tc>
        <w:tcPr>
          <w:tcW w:w="2404" w:type="dxa"/>
        </w:tcPr>
        <w:p w14:paraId="247DCB3B" w14:textId="77777777" w:rsidR="005167DE" w:rsidRDefault="00276782">
          <w:pPr>
            <w:tabs>
              <w:tab w:val="right" w:pos="8838"/>
            </w:tabs>
            <w:ind w:right="-105"/>
            <w:rPr>
              <w:b/>
            </w:rPr>
          </w:pPr>
          <w:r>
            <w:rPr>
              <w:b/>
            </w:rPr>
            <w:t>Recurso de Revisión:</w:t>
          </w:r>
        </w:p>
      </w:tc>
      <w:tc>
        <w:tcPr>
          <w:tcW w:w="3587" w:type="dxa"/>
        </w:tcPr>
        <w:p w14:paraId="08EA4BB6" w14:textId="77777777" w:rsidR="005167DE" w:rsidRDefault="00276782">
          <w:pPr>
            <w:tabs>
              <w:tab w:val="right" w:pos="8838"/>
            </w:tabs>
            <w:ind w:left="-28" w:right="683"/>
          </w:pPr>
          <w:r>
            <w:t>04196/INFOEM/IP/RR/2020</w:t>
          </w:r>
        </w:p>
      </w:tc>
    </w:tr>
    <w:tr w:rsidR="005167DE" w14:paraId="540B95C7" w14:textId="77777777">
      <w:trPr>
        <w:trHeight w:val="276"/>
      </w:trPr>
      <w:tc>
        <w:tcPr>
          <w:tcW w:w="2404" w:type="dxa"/>
        </w:tcPr>
        <w:p w14:paraId="56CA8731" w14:textId="77777777" w:rsidR="005167DE" w:rsidRDefault="00276782">
          <w:pPr>
            <w:tabs>
              <w:tab w:val="right" w:pos="8838"/>
            </w:tabs>
            <w:ind w:right="-105"/>
            <w:rPr>
              <w:b/>
            </w:rPr>
          </w:pPr>
          <w:r>
            <w:rPr>
              <w:b/>
            </w:rPr>
            <w:t>Sujeto Obligado:</w:t>
          </w:r>
        </w:p>
      </w:tc>
      <w:tc>
        <w:tcPr>
          <w:tcW w:w="3587" w:type="dxa"/>
        </w:tcPr>
        <w:p w14:paraId="32B13A05" w14:textId="77777777" w:rsidR="005167DE" w:rsidRDefault="00276782">
          <w:pPr>
            <w:tabs>
              <w:tab w:val="right" w:pos="8838"/>
            </w:tabs>
            <w:ind w:right="116"/>
          </w:pPr>
          <w:r>
            <w:t>Ayuntamiento de Chapultepec</w:t>
          </w:r>
        </w:p>
      </w:tc>
    </w:tr>
    <w:tr w:rsidR="005167DE" w14:paraId="30EF5AAD" w14:textId="77777777">
      <w:trPr>
        <w:trHeight w:val="276"/>
      </w:trPr>
      <w:tc>
        <w:tcPr>
          <w:tcW w:w="2404" w:type="dxa"/>
        </w:tcPr>
        <w:p w14:paraId="5B7DC377" w14:textId="77777777" w:rsidR="005167DE" w:rsidRDefault="00276782">
          <w:pPr>
            <w:tabs>
              <w:tab w:val="right" w:pos="8838"/>
            </w:tabs>
            <w:ind w:right="-105"/>
            <w:rPr>
              <w:b/>
            </w:rPr>
          </w:pPr>
          <w:r>
            <w:rPr>
              <w:b/>
            </w:rPr>
            <w:t>Comisionado Ponente:</w:t>
          </w:r>
        </w:p>
      </w:tc>
      <w:tc>
        <w:tcPr>
          <w:tcW w:w="3587" w:type="dxa"/>
        </w:tcPr>
        <w:p w14:paraId="02C093B6" w14:textId="77777777" w:rsidR="005167DE" w:rsidRDefault="00276782">
          <w:pPr>
            <w:tabs>
              <w:tab w:val="right" w:pos="8838"/>
            </w:tabs>
            <w:ind w:right="-32"/>
          </w:pPr>
          <w:r>
            <w:t>Luis Gustavo Parra Noriega</w:t>
          </w:r>
        </w:p>
      </w:tc>
    </w:tr>
  </w:tbl>
  <w:p w14:paraId="6976631C" w14:textId="77777777" w:rsidR="005167DE" w:rsidRDefault="00AF3C53">
    <w:pPr>
      <w:pBdr>
        <w:top w:val="nil"/>
        <w:left w:val="nil"/>
        <w:bottom w:val="nil"/>
        <w:right w:val="nil"/>
        <w:between w:val="nil"/>
      </w:pBdr>
      <w:tabs>
        <w:tab w:val="center" w:pos="4419"/>
        <w:tab w:val="right" w:pos="8838"/>
      </w:tabs>
      <w:spacing w:after="0" w:line="240" w:lineRule="auto"/>
      <w:rPr>
        <w:color w:val="000000"/>
      </w:rPr>
    </w:pPr>
    <w:r>
      <w:rPr>
        <w:color w:val="000000"/>
      </w:rPr>
      <w:pict w14:anchorId="2978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96DA" w14:textId="77777777" w:rsidR="005167DE" w:rsidRDefault="005167DE">
    <w:pPr>
      <w:rPr>
        <w:sz w:val="16"/>
        <w:szCs w:val="16"/>
      </w:rPr>
    </w:pPr>
  </w:p>
  <w:tbl>
    <w:tblPr>
      <w:tblStyle w:val="afffffd"/>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9"/>
      <w:gridCol w:w="4395"/>
    </w:tblGrid>
    <w:tr w:rsidR="005167DE" w14:paraId="3821F12B" w14:textId="77777777" w:rsidTr="00376D2A">
      <w:trPr>
        <w:trHeight w:val="141"/>
      </w:trPr>
      <w:tc>
        <w:tcPr>
          <w:tcW w:w="2409" w:type="dxa"/>
        </w:tcPr>
        <w:p w14:paraId="356DD913" w14:textId="77777777" w:rsidR="005167DE" w:rsidRDefault="00276782">
          <w:pPr>
            <w:tabs>
              <w:tab w:val="right" w:pos="8838"/>
            </w:tabs>
            <w:ind w:left="-395" w:right="-105" w:firstLine="395"/>
            <w:rPr>
              <w:b/>
            </w:rPr>
          </w:pPr>
          <w:r>
            <w:rPr>
              <w:b/>
            </w:rPr>
            <w:t>Recurso de Revisión:</w:t>
          </w:r>
        </w:p>
      </w:tc>
      <w:tc>
        <w:tcPr>
          <w:tcW w:w="4395" w:type="dxa"/>
        </w:tcPr>
        <w:p w14:paraId="522D8A5D" w14:textId="77777777" w:rsidR="005167DE" w:rsidRPr="00376D2A" w:rsidRDefault="00276782">
          <w:pPr>
            <w:tabs>
              <w:tab w:val="right" w:pos="8838"/>
            </w:tabs>
            <w:ind w:right="176"/>
            <w:rPr>
              <w:bCs/>
            </w:rPr>
          </w:pPr>
          <w:r w:rsidRPr="00376D2A">
            <w:rPr>
              <w:bCs/>
            </w:rPr>
            <w:t>09981/INFOEM/IP/RR/2025</w:t>
          </w:r>
        </w:p>
      </w:tc>
    </w:tr>
    <w:tr w:rsidR="005167DE" w14:paraId="17DB04BC" w14:textId="77777777" w:rsidTr="00376D2A">
      <w:trPr>
        <w:trHeight w:val="266"/>
      </w:trPr>
      <w:tc>
        <w:tcPr>
          <w:tcW w:w="2409" w:type="dxa"/>
        </w:tcPr>
        <w:p w14:paraId="092DE13B" w14:textId="77777777" w:rsidR="005167DE" w:rsidRDefault="00276782">
          <w:pPr>
            <w:tabs>
              <w:tab w:val="right" w:pos="8838"/>
            </w:tabs>
            <w:ind w:right="-105"/>
            <w:rPr>
              <w:b/>
            </w:rPr>
          </w:pPr>
          <w:r>
            <w:rPr>
              <w:b/>
            </w:rPr>
            <w:t>Sujeto Obligado:</w:t>
          </w:r>
        </w:p>
      </w:tc>
      <w:tc>
        <w:tcPr>
          <w:tcW w:w="4395" w:type="dxa"/>
        </w:tcPr>
        <w:p w14:paraId="40264969" w14:textId="77777777" w:rsidR="005167DE" w:rsidRDefault="00276782">
          <w:pPr>
            <w:tabs>
              <w:tab w:val="left" w:pos="3158"/>
              <w:tab w:val="left" w:pos="4292"/>
              <w:tab w:val="right" w:pos="8838"/>
            </w:tabs>
            <w:ind w:right="176"/>
          </w:pPr>
          <w:r>
            <w:t>Ayuntamiento de Ecatepec de Morelos</w:t>
          </w:r>
        </w:p>
      </w:tc>
    </w:tr>
    <w:tr w:rsidR="005167DE" w14:paraId="0EF6DDEB" w14:textId="77777777" w:rsidTr="00376D2A">
      <w:trPr>
        <w:trHeight w:val="276"/>
      </w:trPr>
      <w:tc>
        <w:tcPr>
          <w:tcW w:w="2409" w:type="dxa"/>
        </w:tcPr>
        <w:p w14:paraId="48514DA1" w14:textId="77777777" w:rsidR="005167DE" w:rsidRDefault="00276782">
          <w:pPr>
            <w:tabs>
              <w:tab w:val="right" w:pos="8838"/>
            </w:tabs>
            <w:ind w:right="-105"/>
            <w:rPr>
              <w:b/>
            </w:rPr>
          </w:pPr>
          <w:r>
            <w:rPr>
              <w:b/>
            </w:rPr>
            <w:t>Comisionado Ponente:</w:t>
          </w:r>
        </w:p>
      </w:tc>
      <w:tc>
        <w:tcPr>
          <w:tcW w:w="4395" w:type="dxa"/>
        </w:tcPr>
        <w:p w14:paraId="721BEF34" w14:textId="77777777" w:rsidR="005167DE" w:rsidRDefault="00276782">
          <w:pPr>
            <w:tabs>
              <w:tab w:val="right" w:pos="8838"/>
            </w:tabs>
            <w:ind w:right="176"/>
          </w:pPr>
          <w:r>
            <w:t>Luis Gustavo Parra Noriega</w:t>
          </w:r>
        </w:p>
        <w:p w14:paraId="34B4964D" w14:textId="77777777" w:rsidR="005167DE" w:rsidRDefault="005167DE">
          <w:pPr>
            <w:tabs>
              <w:tab w:val="right" w:pos="8838"/>
            </w:tabs>
            <w:ind w:right="176"/>
          </w:pPr>
        </w:p>
      </w:tc>
    </w:tr>
  </w:tbl>
  <w:p w14:paraId="2FAC40F6" w14:textId="77777777" w:rsidR="005167DE" w:rsidRDefault="00AF3C53">
    <w:pPr>
      <w:pBdr>
        <w:top w:val="nil"/>
        <w:left w:val="nil"/>
        <w:bottom w:val="nil"/>
        <w:right w:val="nil"/>
        <w:between w:val="nil"/>
      </w:pBdr>
      <w:tabs>
        <w:tab w:val="center" w:pos="4419"/>
        <w:tab w:val="right" w:pos="8838"/>
      </w:tabs>
      <w:spacing w:after="0" w:line="240" w:lineRule="auto"/>
      <w:rPr>
        <w:color w:val="000000"/>
      </w:rPr>
    </w:pPr>
    <w:r>
      <w:rPr>
        <w:color w:val="000000"/>
      </w:rPr>
      <w:pict w14:anchorId="1038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2EEC" w14:textId="77777777" w:rsidR="005167DE" w:rsidRDefault="00AF3C53">
    <w:pPr>
      <w:widowControl w:val="0"/>
      <w:pBdr>
        <w:top w:val="nil"/>
        <w:left w:val="nil"/>
        <w:bottom w:val="nil"/>
        <w:right w:val="nil"/>
        <w:between w:val="nil"/>
      </w:pBdr>
      <w:spacing w:after="0" w:line="276" w:lineRule="auto"/>
      <w:jc w:val="left"/>
      <w:rPr>
        <w:color w:val="000000"/>
      </w:rPr>
    </w:pPr>
    <w:r>
      <w:rPr>
        <w:color w:val="000000"/>
      </w:rPr>
      <w:pict w14:anchorId="667CC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120.1pt;margin-top:-119.25pt;width:663.5pt;height:12in;z-index:-251658752;mso-position-horizontal-relative:margin;mso-position-vertical-relative:margin">
          <v:imagedata r:id="rId1" o:title="image1"/>
          <w10:wrap anchorx="margin" anchory="margin"/>
        </v:shape>
      </w:pict>
    </w:r>
  </w:p>
  <w:tbl>
    <w:tblPr>
      <w:tblStyle w:val="afffffe"/>
      <w:tblW w:w="9214" w:type="dxa"/>
      <w:tblInd w:w="0" w:type="dxa"/>
      <w:tblLayout w:type="fixed"/>
      <w:tblLook w:val="0400" w:firstRow="0" w:lastRow="0" w:firstColumn="0" w:lastColumn="0" w:noHBand="0" w:noVBand="1"/>
    </w:tblPr>
    <w:tblGrid>
      <w:gridCol w:w="2127"/>
      <w:gridCol w:w="7087"/>
    </w:tblGrid>
    <w:tr w:rsidR="005167DE" w14:paraId="7C2B5DDC" w14:textId="77777777">
      <w:trPr>
        <w:trHeight w:val="1546"/>
      </w:trPr>
      <w:tc>
        <w:tcPr>
          <w:tcW w:w="2127" w:type="dxa"/>
        </w:tcPr>
        <w:p w14:paraId="3291F392" w14:textId="77777777" w:rsidR="005167DE" w:rsidRDefault="005167DE">
          <w:pPr>
            <w:tabs>
              <w:tab w:val="right" w:pos="4273"/>
            </w:tabs>
            <w:rPr>
              <w:rFonts w:ascii="Garamond" w:eastAsia="Garamond" w:hAnsi="Garamond" w:cs="Garamond"/>
              <w:sz w:val="16"/>
              <w:szCs w:val="16"/>
            </w:rPr>
          </w:pPr>
        </w:p>
      </w:tc>
      <w:tc>
        <w:tcPr>
          <w:tcW w:w="7087" w:type="dxa"/>
        </w:tcPr>
        <w:p w14:paraId="2439E7BB" w14:textId="77777777" w:rsidR="005167DE" w:rsidRDefault="005167DE">
          <w:pPr>
            <w:rPr>
              <w:sz w:val="10"/>
              <w:szCs w:val="10"/>
            </w:rPr>
          </w:pPr>
        </w:p>
        <w:tbl>
          <w:tblPr>
            <w:tblStyle w:val="affffff"/>
            <w:tblW w:w="6662" w:type="dxa"/>
            <w:tblInd w:w="317" w:type="dxa"/>
            <w:tblLayout w:type="fixed"/>
            <w:tblLook w:val="0400" w:firstRow="0" w:lastRow="0" w:firstColumn="0" w:lastColumn="0" w:noHBand="0" w:noVBand="1"/>
          </w:tblPr>
          <w:tblGrid>
            <w:gridCol w:w="2410"/>
            <w:gridCol w:w="4252"/>
          </w:tblGrid>
          <w:tr w:rsidR="005167DE" w14:paraId="45CBC29C" w14:textId="77777777" w:rsidTr="00376D2A">
            <w:trPr>
              <w:trHeight w:val="427"/>
            </w:trPr>
            <w:tc>
              <w:tcPr>
                <w:tcW w:w="2410" w:type="dxa"/>
                <w:vAlign w:val="bottom"/>
              </w:tcPr>
              <w:p w14:paraId="5C7BB38B" w14:textId="77777777" w:rsidR="005167DE" w:rsidRDefault="00276782">
                <w:pPr>
                  <w:tabs>
                    <w:tab w:val="right" w:pos="8838"/>
                  </w:tabs>
                  <w:ind w:right="-105"/>
                  <w:rPr>
                    <w:b/>
                  </w:rPr>
                </w:pPr>
                <w:r>
                  <w:rPr>
                    <w:b/>
                  </w:rPr>
                  <w:t>Recurso de Revisión:</w:t>
                </w:r>
              </w:p>
            </w:tc>
            <w:tc>
              <w:tcPr>
                <w:tcW w:w="4252" w:type="dxa"/>
              </w:tcPr>
              <w:p w14:paraId="10A3C7B2" w14:textId="77777777" w:rsidR="005167DE" w:rsidRDefault="005167DE">
                <w:pPr>
                  <w:tabs>
                    <w:tab w:val="right" w:pos="8838"/>
                  </w:tabs>
                  <w:ind w:left="-28" w:right="-107"/>
                  <w:rPr>
                    <w:b/>
                  </w:rPr>
                </w:pPr>
              </w:p>
              <w:p w14:paraId="7630B63A" w14:textId="77777777" w:rsidR="005167DE" w:rsidRPr="00376D2A" w:rsidRDefault="00276782">
                <w:pPr>
                  <w:tabs>
                    <w:tab w:val="right" w:pos="8838"/>
                  </w:tabs>
                  <w:ind w:left="-28" w:right="-107"/>
                  <w:rPr>
                    <w:bCs/>
                  </w:rPr>
                </w:pPr>
                <w:r w:rsidRPr="00376D2A">
                  <w:rPr>
                    <w:bCs/>
                  </w:rPr>
                  <w:t>09981/INFOEM/IP/RR/2025</w:t>
                </w:r>
              </w:p>
            </w:tc>
          </w:tr>
          <w:tr w:rsidR="005167DE" w14:paraId="3AF4D97B" w14:textId="77777777" w:rsidTr="00376D2A">
            <w:trPr>
              <w:trHeight w:val="141"/>
            </w:trPr>
            <w:tc>
              <w:tcPr>
                <w:tcW w:w="2410" w:type="dxa"/>
              </w:tcPr>
              <w:p w14:paraId="34F5B81C" w14:textId="77777777" w:rsidR="005167DE" w:rsidRDefault="00276782">
                <w:pPr>
                  <w:tabs>
                    <w:tab w:val="right" w:pos="8838"/>
                  </w:tabs>
                  <w:ind w:right="-105"/>
                  <w:rPr>
                    <w:b/>
                  </w:rPr>
                </w:pPr>
                <w:r>
                  <w:rPr>
                    <w:b/>
                  </w:rPr>
                  <w:t>Recurrente:</w:t>
                </w:r>
              </w:p>
            </w:tc>
            <w:tc>
              <w:tcPr>
                <w:tcW w:w="4252" w:type="dxa"/>
              </w:tcPr>
              <w:p w14:paraId="51A4D10E" w14:textId="6BCA3EB6" w:rsidR="005167DE" w:rsidRPr="00AF3C53" w:rsidRDefault="009459CA">
                <w:pPr>
                  <w:tabs>
                    <w:tab w:val="right" w:pos="8838"/>
                  </w:tabs>
                  <w:ind w:right="-107"/>
                  <w:rPr>
                    <w:b/>
                    <w:bCs/>
                    <w:highlight w:val="black"/>
                  </w:rPr>
                </w:pPr>
                <w:r w:rsidRPr="00AF3C53">
                  <w:rPr>
                    <w:b/>
                    <w:bCs/>
                    <w:highlight w:val="black"/>
                  </w:rPr>
                  <w:t>XXXXXXXXXXXXXXXXXXXXXXXXXXX</w:t>
                </w:r>
              </w:p>
            </w:tc>
          </w:tr>
          <w:tr w:rsidR="005167DE" w14:paraId="5C9AD1CA" w14:textId="77777777" w:rsidTr="00376D2A">
            <w:trPr>
              <w:trHeight w:val="276"/>
            </w:trPr>
            <w:tc>
              <w:tcPr>
                <w:tcW w:w="2410" w:type="dxa"/>
              </w:tcPr>
              <w:p w14:paraId="5E4823E4" w14:textId="77777777" w:rsidR="005167DE" w:rsidRDefault="00276782">
                <w:pPr>
                  <w:tabs>
                    <w:tab w:val="right" w:pos="8838"/>
                  </w:tabs>
                  <w:ind w:right="-105"/>
                  <w:rPr>
                    <w:b/>
                  </w:rPr>
                </w:pPr>
                <w:r>
                  <w:rPr>
                    <w:b/>
                  </w:rPr>
                  <w:t>Sujeto Obligado:</w:t>
                </w:r>
              </w:p>
            </w:tc>
            <w:tc>
              <w:tcPr>
                <w:tcW w:w="4252" w:type="dxa"/>
              </w:tcPr>
              <w:p w14:paraId="1095C45D" w14:textId="77777777" w:rsidR="005167DE" w:rsidRDefault="00276782">
                <w:pPr>
                  <w:tabs>
                    <w:tab w:val="right" w:pos="8838"/>
                  </w:tabs>
                  <w:ind w:right="33"/>
                </w:pPr>
                <w:r>
                  <w:t>Ayuntamiento de Ecatepec de Morelos</w:t>
                </w:r>
              </w:p>
            </w:tc>
          </w:tr>
          <w:tr w:rsidR="005167DE" w14:paraId="3CD5E91B" w14:textId="77777777" w:rsidTr="00376D2A">
            <w:trPr>
              <w:trHeight w:val="276"/>
            </w:trPr>
            <w:tc>
              <w:tcPr>
                <w:tcW w:w="2410" w:type="dxa"/>
              </w:tcPr>
              <w:p w14:paraId="3A6F2074" w14:textId="77777777" w:rsidR="005167DE" w:rsidRDefault="00276782">
                <w:pPr>
                  <w:tabs>
                    <w:tab w:val="right" w:pos="8838"/>
                  </w:tabs>
                  <w:ind w:right="-105"/>
                  <w:rPr>
                    <w:b/>
                  </w:rPr>
                </w:pPr>
                <w:r>
                  <w:rPr>
                    <w:b/>
                  </w:rPr>
                  <w:t>Comisionado Ponente:</w:t>
                </w:r>
              </w:p>
            </w:tc>
            <w:tc>
              <w:tcPr>
                <w:tcW w:w="4252" w:type="dxa"/>
              </w:tcPr>
              <w:p w14:paraId="543CD576" w14:textId="77777777" w:rsidR="005167DE" w:rsidRDefault="00276782">
                <w:pPr>
                  <w:tabs>
                    <w:tab w:val="right" w:pos="8838"/>
                  </w:tabs>
                  <w:ind w:right="-107"/>
                </w:pPr>
                <w:r>
                  <w:t>Luis Gustavo Parra Noriega</w:t>
                </w:r>
              </w:p>
            </w:tc>
          </w:tr>
        </w:tbl>
        <w:p w14:paraId="755C9775" w14:textId="77777777" w:rsidR="005167DE" w:rsidRDefault="005167DE">
          <w:pPr>
            <w:tabs>
              <w:tab w:val="right" w:pos="8838"/>
            </w:tabs>
            <w:ind w:left="-28"/>
            <w:rPr>
              <w:rFonts w:ascii="Arial" w:eastAsia="Arial" w:hAnsi="Arial" w:cs="Arial"/>
              <w:b/>
            </w:rPr>
          </w:pPr>
        </w:p>
      </w:tc>
    </w:tr>
  </w:tbl>
  <w:p w14:paraId="26BCB297" w14:textId="77777777" w:rsidR="005167DE" w:rsidRDefault="005167D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6545"/>
    <w:multiLevelType w:val="multilevel"/>
    <w:tmpl w:val="9458998C"/>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E1309B"/>
    <w:multiLevelType w:val="multilevel"/>
    <w:tmpl w:val="E38AB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DF29F1"/>
    <w:multiLevelType w:val="multilevel"/>
    <w:tmpl w:val="72AE0E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294043"/>
    <w:multiLevelType w:val="multilevel"/>
    <w:tmpl w:val="0C9E5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770D84"/>
    <w:multiLevelType w:val="multilevel"/>
    <w:tmpl w:val="58FC4AE6"/>
    <w:lvl w:ilvl="0">
      <w:start w:val="2"/>
      <w:numFmt w:val="bullet"/>
      <w:lvlText w:val="●"/>
      <w:lvlJc w:val="left"/>
      <w:pPr>
        <w:ind w:left="786"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F22CCD"/>
    <w:multiLevelType w:val="multilevel"/>
    <w:tmpl w:val="FCDE5CC8"/>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5D08FC"/>
    <w:multiLevelType w:val="multilevel"/>
    <w:tmpl w:val="9C88A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4049748">
    <w:abstractNumId w:val="1"/>
  </w:num>
  <w:num w:numId="2" w16cid:durableId="1247882553">
    <w:abstractNumId w:val="5"/>
  </w:num>
  <w:num w:numId="3" w16cid:durableId="1000697604">
    <w:abstractNumId w:val="0"/>
  </w:num>
  <w:num w:numId="4" w16cid:durableId="1643272604">
    <w:abstractNumId w:val="4"/>
  </w:num>
  <w:num w:numId="5" w16cid:durableId="823425547">
    <w:abstractNumId w:val="2"/>
  </w:num>
  <w:num w:numId="6" w16cid:durableId="522473764">
    <w:abstractNumId w:val="6"/>
  </w:num>
  <w:num w:numId="7" w16cid:durableId="43714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DE"/>
    <w:rsid w:val="001654C8"/>
    <w:rsid w:val="00276782"/>
    <w:rsid w:val="00376D2A"/>
    <w:rsid w:val="00447B94"/>
    <w:rsid w:val="005167DE"/>
    <w:rsid w:val="0060643A"/>
    <w:rsid w:val="006B1F35"/>
    <w:rsid w:val="006C2A59"/>
    <w:rsid w:val="006F6216"/>
    <w:rsid w:val="009459CA"/>
    <w:rsid w:val="00AC0912"/>
    <w:rsid w:val="00AF3C53"/>
    <w:rsid w:val="00DC6E7C"/>
    <w:rsid w:val="00E35A90"/>
    <w:rsid w:val="00E530D3"/>
    <w:rsid w:val="00FD6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23A3E"/>
  <w15:docId w15:val="{8958D8DE-10EA-4792-AFE8-3912EAD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PqPCvi8+U4eVNgHux/aUUuq3A==">CgMxLjAyDmguOGdya3FyYjZ6bHh2Mg5oLmVoNjZxaDZqaHE2ZDIIaC5namRneHMyDmguNDRlaXhvNDFyeDdnMg5oLjd6MmhtMWRzdGMybjIOaC5wNWpnYjk3emdoNGcyDmgua2M5YTE5bmIxNzlyMgloLjJldDkycDAyDmgudGcwMm0yY3pxNGxiMg5oLmUwcWRtcmRtbDdydDIOaC5qeTVqY2RkaDdtNDAyDmguZTd6MjYzMXloZTdiMg5oLm50eXl2NDJhY3Z4MzINaC51a2hkbGlhaXhocjIOaC44OXJ2czk0ejBycG8yDmguaHR4bzVmOHFiODRkMg5oLm56YmZsbjU1b3RuZzIOaC50NXJzNzNjdXlubmoyDmgubHRzdHVvbWk5dzAwMg5oLmFyZ3kyMXFua21ocjgAciExbXBsRkI0Ql85WE1NZlVFMHJXLVFPRDZyRGpWNU9Wdm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8D7107-0B97-4BD9-993B-895342DA0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5849</Words>
  <Characters>31000</Characters>
  <Application>Microsoft Office Word</Application>
  <DocSecurity>0</DocSecurity>
  <Lines>673</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5</cp:revision>
  <cp:lastPrinted>2025-10-24T00:56:00Z</cp:lastPrinted>
  <dcterms:created xsi:type="dcterms:W3CDTF">2025-10-24T00:56:00Z</dcterms:created>
  <dcterms:modified xsi:type="dcterms:W3CDTF">2025-12-16T05:53:00Z</dcterms:modified>
</cp:coreProperties>
</file>