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91EE9" w14:textId="5A9848CA"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Resolución del Pleno del Instituto de Transparencia, Acceso a la Información Pública y Protección de Datos Personales del Estado de México y Municipios, con domicilio en Metepec, Estado de México, a </w:t>
      </w:r>
      <w:r w:rsidR="00D2617C" w:rsidRPr="00B56066">
        <w:rPr>
          <w:rFonts w:ascii="Palatino Linotype" w:eastAsia="Palatino Linotype" w:hAnsi="Palatino Linotype" w:cs="Palatino Linotype"/>
          <w:b/>
          <w:sz w:val="22"/>
          <w:szCs w:val="22"/>
        </w:rPr>
        <w:t>doce</w:t>
      </w:r>
      <w:r w:rsidR="00CC4110" w:rsidRPr="00B56066">
        <w:rPr>
          <w:rFonts w:ascii="Palatino Linotype" w:eastAsia="Palatino Linotype" w:hAnsi="Palatino Linotype" w:cs="Palatino Linotype"/>
          <w:b/>
          <w:sz w:val="22"/>
          <w:szCs w:val="22"/>
        </w:rPr>
        <w:t xml:space="preserve"> de marz</w:t>
      </w:r>
      <w:r w:rsidR="00E121A5" w:rsidRPr="00B56066">
        <w:rPr>
          <w:rFonts w:ascii="Palatino Linotype" w:eastAsia="Palatino Linotype" w:hAnsi="Palatino Linotype" w:cs="Palatino Linotype"/>
          <w:b/>
          <w:sz w:val="22"/>
          <w:szCs w:val="22"/>
        </w:rPr>
        <w:t>o de dos mil veinticinc</w:t>
      </w:r>
      <w:r w:rsidRPr="00B56066">
        <w:rPr>
          <w:rFonts w:ascii="Palatino Linotype" w:eastAsia="Palatino Linotype" w:hAnsi="Palatino Linotype" w:cs="Palatino Linotype"/>
          <w:b/>
          <w:sz w:val="22"/>
          <w:szCs w:val="22"/>
        </w:rPr>
        <w:t>o.</w:t>
      </w:r>
      <w:r w:rsidRPr="00B56066">
        <w:rPr>
          <w:rFonts w:ascii="Palatino Linotype" w:eastAsia="Palatino Linotype" w:hAnsi="Palatino Linotype" w:cs="Palatino Linotype"/>
          <w:sz w:val="22"/>
          <w:szCs w:val="22"/>
        </w:rPr>
        <w:t xml:space="preserve"> </w:t>
      </w:r>
    </w:p>
    <w:p w14:paraId="7463AC34"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2ED245BF" w14:textId="0E212F0F"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Visto</w:t>
      </w:r>
      <w:r w:rsidRPr="00B56066">
        <w:rPr>
          <w:rFonts w:ascii="Palatino Linotype" w:eastAsia="Palatino Linotype" w:hAnsi="Palatino Linotype" w:cs="Palatino Linotype"/>
          <w:sz w:val="22"/>
          <w:szCs w:val="22"/>
        </w:rPr>
        <w:t xml:space="preserve"> el expediente formado con motivo del recurso de revisión </w:t>
      </w:r>
      <w:r w:rsidR="00D2617C" w:rsidRPr="00B56066">
        <w:rPr>
          <w:rFonts w:ascii="Palatino Linotype" w:eastAsia="Palatino Linotype" w:hAnsi="Palatino Linotype" w:cs="Palatino Linotype"/>
          <w:b/>
          <w:sz w:val="22"/>
          <w:szCs w:val="22"/>
        </w:rPr>
        <w:t>01659/INFOEM/IP/RR/2025</w:t>
      </w:r>
      <w:r w:rsidRPr="00B56066">
        <w:rPr>
          <w:rFonts w:ascii="Palatino Linotype" w:eastAsia="Palatino Linotype" w:hAnsi="Palatino Linotype" w:cs="Palatino Linotype"/>
          <w:sz w:val="22"/>
          <w:szCs w:val="22"/>
        </w:rPr>
        <w:t xml:space="preserve">, interpuesto por </w:t>
      </w:r>
      <w:r w:rsidR="00D2617C" w:rsidRPr="00B56066">
        <w:rPr>
          <w:rFonts w:ascii="Palatino Linotype" w:eastAsia="Palatino Linotype" w:hAnsi="Palatino Linotype" w:cs="Palatino Linotype"/>
          <w:b/>
          <w:sz w:val="22"/>
          <w:szCs w:val="22"/>
        </w:rPr>
        <w:t>un particular de manera anónima</w:t>
      </w:r>
      <w:r w:rsidRPr="00B56066">
        <w:rPr>
          <w:rFonts w:ascii="Palatino Linotype" w:eastAsia="Palatino Linotype" w:hAnsi="Palatino Linotype" w:cs="Palatino Linotype"/>
          <w:sz w:val="22"/>
          <w:szCs w:val="22"/>
        </w:rPr>
        <w:t>, en lo sucesivo</w:t>
      </w:r>
      <w:r w:rsidRPr="00B56066">
        <w:rPr>
          <w:rFonts w:ascii="Palatino Linotype" w:eastAsia="Palatino Linotype" w:hAnsi="Palatino Linotype" w:cs="Palatino Linotype"/>
          <w:b/>
          <w:sz w:val="22"/>
          <w:szCs w:val="22"/>
        </w:rPr>
        <w:t xml:space="preserve"> la parte</w:t>
      </w:r>
      <w:r w:rsidRPr="00B56066">
        <w:rPr>
          <w:rFonts w:ascii="Palatino Linotype" w:eastAsia="Palatino Linotype" w:hAnsi="Palatino Linotype" w:cs="Palatino Linotype"/>
          <w:sz w:val="22"/>
          <w:szCs w:val="22"/>
        </w:rPr>
        <w:t xml:space="preserve"> </w:t>
      </w:r>
      <w:r w:rsidRPr="00B56066">
        <w:rPr>
          <w:rFonts w:ascii="Palatino Linotype" w:eastAsia="Palatino Linotype" w:hAnsi="Palatino Linotype" w:cs="Palatino Linotype"/>
          <w:b/>
          <w:sz w:val="22"/>
          <w:szCs w:val="22"/>
        </w:rPr>
        <w:t>Recurrente</w:t>
      </w:r>
      <w:r w:rsidRPr="00B56066">
        <w:rPr>
          <w:rFonts w:ascii="Palatino Linotype" w:eastAsia="Palatino Linotype" w:hAnsi="Palatino Linotype" w:cs="Palatino Linotype"/>
          <w:sz w:val="22"/>
          <w:szCs w:val="22"/>
        </w:rPr>
        <w:t xml:space="preserve">, en contra de la falta de respuesta a su solicitud por parte del </w:t>
      </w:r>
      <w:r w:rsidR="00D2617C" w:rsidRPr="00B56066">
        <w:rPr>
          <w:rFonts w:ascii="Palatino Linotype" w:eastAsia="Palatino Linotype" w:hAnsi="Palatino Linotype" w:cs="Palatino Linotype"/>
          <w:b/>
          <w:sz w:val="22"/>
          <w:szCs w:val="22"/>
        </w:rPr>
        <w:t>Sistema Municipal para el Desarrollo Integral de la Familia de Teoloyucan</w:t>
      </w:r>
      <w:r w:rsidRPr="00B56066">
        <w:rPr>
          <w:rFonts w:ascii="Palatino Linotype" w:eastAsia="Palatino Linotype" w:hAnsi="Palatino Linotype" w:cs="Palatino Linotype"/>
          <w:sz w:val="22"/>
          <w:szCs w:val="22"/>
        </w:rPr>
        <w:t>,</w:t>
      </w:r>
      <w:r w:rsidRPr="00B56066">
        <w:rPr>
          <w:rFonts w:ascii="Palatino Linotype" w:eastAsia="Palatino Linotype" w:hAnsi="Palatino Linotype" w:cs="Palatino Linotype"/>
          <w:b/>
          <w:sz w:val="22"/>
          <w:szCs w:val="22"/>
        </w:rPr>
        <w:t xml:space="preserve"> </w:t>
      </w:r>
      <w:r w:rsidRPr="00B56066">
        <w:rPr>
          <w:rFonts w:ascii="Palatino Linotype" w:eastAsia="Palatino Linotype" w:hAnsi="Palatino Linotype" w:cs="Palatino Linotype"/>
          <w:sz w:val="22"/>
          <w:szCs w:val="22"/>
        </w:rPr>
        <w:t xml:space="preserve">en lo sucesivo el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w:t>
      </w:r>
      <w:r w:rsidRPr="00B56066">
        <w:rPr>
          <w:rFonts w:ascii="Palatino Linotype" w:eastAsia="Palatino Linotype" w:hAnsi="Palatino Linotype" w:cs="Palatino Linotype"/>
          <w:b/>
          <w:sz w:val="22"/>
          <w:szCs w:val="22"/>
        </w:rPr>
        <w:t xml:space="preserve"> </w:t>
      </w:r>
      <w:r w:rsidRPr="00B56066">
        <w:rPr>
          <w:rFonts w:ascii="Palatino Linotype" w:eastAsia="Palatino Linotype" w:hAnsi="Palatino Linotype" w:cs="Palatino Linotype"/>
          <w:sz w:val="22"/>
          <w:szCs w:val="22"/>
        </w:rPr>
        <w:t xml:space="preserve">se procede a dictar la presente resolución con base en los siguientes: </w:t>
      </w:r>
    </w:p>
    <w:p w14:paraId="5BB57955" w14:textId="77777777" w:rsidR="00C55D62" w:rsidRPr="00B56066" w:rsidRDefault="00C55D62">
      <w:pPr>
        <w:spacing w:line="360" w:lineRule="auto"/>
        <w:jc w:val="both"/>
        <w:rPr>
          <w:rFonts w:ascii="Palatino Linotype" w:eastAsia="Palatino Linotype" w:hAnsi="Palatino Linotype" w:cs="Palatino Linotype"/>
          <w:sz w:val="22"/>
          <w:szCs w:val="22"/>
        </w:rPr>
      </w:pPr>
    </w:p>
    <w:p w14:paraId="0B2C3CF2" w14:textId="6FC8913D" w:rsidR="003C30C6" w:rsidRPr="00B56066" w:rsidRDefault="00E121A5" w:rsidP="00F124B0">
      <w:pPr>
        <w:pStyle w:val="Prrafodelista"/>
        <w:numPr>
          <w:ilvl w:val="0"/>
          <w:numId w:val="7"/>
        </w:numPr>
        <w:spacing w:line="360" w:lineRule="auto"/>
        <w:ind w:left="567" w:hanging="141"/>
        <w:jc w:val="center"/>
        <w:rPr>
          <w:rFonts w:ascii="Palatino Linotype" w:eastAsia="Palatino Linotype" w:hAnsi="Palatino Linotype" w:cs="Palatino Linotype"/>
          <w:b/>
          <w:sz w:val="22"/>
          <w:szCs w:val="22"/>
        </w:rPr>
      </w:pPr>
      <w:r w:rsidRPr="00B56066">
        <w:rPr>
          <w:rFonts w:ascii="Palatino Linotype" w:eastAsia="Palatino Linotype" w:hAnsi="Palatino Linotype" w:cs="Palatino Linotype"/>
          <w:b/>
          <w:sz w:val="22"/>
          <w:szCs w:val="22"/>
        </w:rPr>
        <w:t xml:space="preserve"> </w:t>
      </w:r>
      <w:r w:rsidR="00BD5FDB" w:rsidRPr="00B56066">
        <w:rPr>
          <w:rFonts w:ascii="Palatino Linotype" w:eastAsia="Palatino Linotype" w:hAnsi="Palatino Linotype" w:cs="Palatino Linotype"/>
          <w:b/>
          <w:sz w:val="22"/>
          <w:szCs w:val="22"/>
        </w:rPr>
        <w:t>A N T E C E D E N T E S:</w:t>
      </w:r>
    </w:p>
    <w:p w14:paraId="3365ECD5" w14:textId="21292A32" w:rsidR="00CC4110" w:rsidRPr="00B56066" w:rsidRDefault="00BD5FDB" w:rsidP="00D2617C">
      <w:pPr>
        <w:numPr>
          <w:ilvl w:val="0"/>
          <w:numId w:val="4"/>
        </w:numPr>
        <w:pBdr>
          <w:top w:val="nil"/>
          <w:left w:val="nil"/>
          <w:bottom w:val="nil"/>
          <w:right w:val="nil"/>
          <w:between w:val="nil"/>
        </w:pBdr>
        <w:spacing w:line="360" w:lineRule="auto"/>
        <w:ind w:left="0" w:hanging="284"/>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Solicitud de acceso a la información.</w:t>
      </w:r>
      <w:r w:rsidRPr="00B56066">
        <w:rPr>
          <w:rFonts w:ascii="Palatino Linotype" w:eastAsia="Palatino Linotype" w:hAnsi="Palatino Linotype" w:cs="Palatino Linotype"/>
          <w:sz w:val="22"/>
          <w:szCs w:val="22"/>
        </w:rPr>
        <w:t xml:space="preserve"> El </w:t>
      </w:r>
      <w:r w:rsidR="00D2617C" w:rsidRPr="00B56066">
        <w:rPr>
          <w:rFonts w:ascii="Palatino Linotype" w:eastAsia="Palatino Linotype" w:hAnsi="Palatino Linotype" w:cs="Palatino Linotype"/>
          <w:b/>
          <w:sz w:val="22"/>
          <w:szCs w:val="22"/>
        </w:rPr>
        <w:t>veintisiete</w:t>
      </w:r>
      <w:r w:rsidR="00CC4110" w:rsidRPr="00B56066">
        <w:rPr>
          <w:rFonts w:ascii="Palatino Linotype" w:eastAsia="Palatino Linotype" w:hAnsi="Palatino Linotype" w:cs="Palatino Linotype"/>
          <w:b/>
          <w:sz w:val="22"/>
          <w:szCs w:val="22"/>
        </w:rPr>
        <w:t xml:space="preserve"> de enero</w:t>
      </w:r>
      <w:r w:rsidR="00F442F1" w:rsidRPr="00B56066">
        <w:rPr>
          <w:rFonts w:ascii="Palatino Linotype" w:eastAsia="Palatino Linotype" w:hAnsi="Palatino Linotype" w:cs="Palatino Linotype"/>
          <w:b/>
          <w:sz w:val="22"/>
          <w:szCs w:val="22"/>
        </w:rPr>
        <w:t xml:space="preserve"> de dos mil veinticinc</w:t>
      </w:r>
      <w:r w:rsidR="0069540D" w:rsidRPr="00B56066">
        <w:rPr>
          <w:rFonts w:ascii="Palatino Linotype" w:eastAsia="Palatino Linotype" w:hAnsi="Palatino Linotype" w:cs="Palatino Linotype"/>
          <w:b/>
          <w:sz w:val="22"/>
          <w:szCs w:val="22"/>
        </w:rPr>
        <w:t>o</w:t>
      </w:r>
      <w:r w:rsidRPr="00B56066">
        <w:rPr>
          <w:rFonts w:ascii="Palatino Linotype" w:eastAsia="Palatino Linotype" w:hAnsi="Palatino Linotype" w:cs="Palatino Linotype"/>
          <w:sz w:val="22"/>
          <w:szCs w:val="22"/>
        </w:rPr>
        <w:t xml:space="preserve">, se presentó a través del Sistema de Acceso a la Información Mexiquense, en lo subsecuente el </w:t>
      </w:r>
      <w:r w:rsidRPr="00B56066">
        <w:rPr>
          <w:rFonts w:ascii="Palatino Linotype" w:eastAsia="Palatino Linotype" w:hAnsi="Palatino Linotype" w:cs="Palatino Linotype"/>
          <w:b/>
          <w:sz w:val="22"/>
          <w:szCs w:val="22"/>
        </w:rPr>
        <w:t>SAIMEX</w:t>
      </w:r>
      <w:r w:rsidRPr="00B56066">
        <w:rPr>
          <w:rFonts w:ascii="Palatino Linotype" w:eastAsia="Palatino Linotype" w:hAnsi="Palatino Linotype" w:cs="Palatino Linotype"/>
          <w:sz w:val="22"/>
          <w:szCs w:val="22"/>
        </w:rPr>
        <w:t xml:space="preserve">, ante el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la solicitud de acceso a la información pública a la que se le asignó el número</w:t>
      </w:r>
      <w:r w:rsidRPr="00B56066">
        <w:rPr>
          <w:rFonts w:ascii="Palatino Linotype" w:eastAsia="Palatino Linotype" w:hAnsi="Palatino Linotype" w:cs="Palatino Linotype"/>
          <w:b/>
          <w:sz w:val="22"/>
          <w:szCs w:val="22"/>
        </w:rPr>
        <w:t xml:space="preserve"> </w:t>
      </w:r>
      <w:r w:rsidR="00D2617C" w:rsidRPr="00B56066">
        <w:rPr>
          <w:rFonts w:ascii="Palatino Linotype" w:eastAsia="Palatino Linotype" w:hAnsi="Palatino Linotype" w:cs="Palatino Linotype"/>
          <w:b/>
          <w:sz w:val="22"/>
          <w:szCs w:val="22"/>
        </w:rPr>
        <w:t>00005/DIFTEOLOYU/IP/2025</w:t>
      </w:r>
      <w:r w:rsidRPr="00B56066">
        <w:rPr>
          <w:rFonts w:ascii="Palatino Linotype" w:eastAsia="Palatino Linotype" w:hAnsi="Palatino Linotype" w:cs="Palatino Linotype"/>
          <w:b/>
          <w:sz w:val="22"/>
          <w:szCs w:val="22"/>
        </w:rPr>
        <w:t xml:space="preserve">, </w:t>
      </w:r>
      <w:r w:rsidRPr="00B56066">
        <w:rPr>
          <w:rFonts w:ascii="Palatino Linotype" w:eastAsia="Palatino Linotype" w:hAnsi="Palatino Linotype" w:cs="Palatino Linotype"/>
          <w:sz w:val="22"/>
          <w:szCs w:val="22"/>
        </w:rPr>
        <w:t xml:space="preserve">mediante la cual requirió la información siguiente: </w:t>
      </w:r>
    </w:p>
    <w:p w14:paraId="01E2E9D5" w14:textId="77777777" w:rsidR="00CC4110" w:rsidRPr="00B56066" w:rsidRDefault="00CC4110" w:rsidP="00CC4110">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7384254F" w14:textId="7F3D9DA1" w:rsidR="00B03F0C" w:rsidRPr="00B56066" w:rsidRDefault="00E121A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r w:rsidR="00D2617C" w:rsidRPr="00B56066">
        <w:rPr>
          <w:rFonts w:ascii="Palatino Linotype" w:eastAsia="Palatino Linotype" w:hAnsi="Palatino Linotype" w:cs="Palatino Linotype"/>
          <w:i/>
          <w:sz w:val="22"/>
          <w:szCs w:val="22"/>
        </w:rPr>
        <w:t>RECIBOS DE NÓMINA DE LA PRIMERA QUINCENA DEL 2025 DE TODO EL PERSONAL DEL DIF</w:t>
      </w:r>
      <w:r w:rsidR="008B0585" w:rsidRPr="00B56066">
        <w:rPr>
          <w:rFonts w:ascii="Palatino Linotype" w:eastAsia="Palatino Linotype" w:hAnsi="Palatino Linotype" w:cs="Palatino Linotype"/>
          <w:i/>
          <w:sz w:val="22"/>
          <w:szCs w:val="22"/>
        </w:rPr>
        <w:t>”</w:t>
      </w:r>
    </w:p>
    <w:p w14:paraId="2F982CDB" w14:textId="77777777" w:rsidR="008B0585" w:rsidRPr="00B56066" w:rsidRDefault="008B0585" w:rsidP="008B0585">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FD896C" w14:textId="77777777" w:rsidR="00B03F0C" w:rsidRPr="00B56066" w:rsidRDefault="00BD5FDB">
      <w:pPr>
        <w:spacing w:line="360" w:lineRule="auto"/>
        <w:ind w:right="616"/>
        <w:jc w:val="both"/>
        <w:rPr>
          <w:rFonts w:ascii="Palatino Linotype" w:eastAsia="Palatino Linotype" w:hAnsi="Palatino Linotype" w:cs="Palatino Linotype"/>
          <w:b/>
          <w:sz w:val="22"/>
          <w:szCs w:val="22"/>
        </w:rPr>
      </w:pPr>
      <w:r w:rsidRPr="00B56066">
        <w:rPr>
          <w:rFonts w:ascii="Palatino Linotype" w:eastAsia="Palatino Linotype" w:hAnsi="Palatino Linotype" w:cs="Palatino Linotype"/>
          <w:b/>
          <w:sz w:val="22"/>
          <w:szCs w:val="22"/>
        </w:rPr>
        <w:t>Modalidad de Entrega:</w:t>
      </w:r>
      <w:r w:rsidRPr="00B56066">
        <w:rPr>
          <w:rFonts w:ascii="Palatino Linotype" w:eastAsia="Palatino Linotype" w:hAnsi="Palatino Linotype" w:cs="Palatino Linotype"/>
          <w:sz w:val="22"/>
          <w:szCs w:val="22"/>
        </w:rPr>
        <w:t xml:space="preserve"> A través de</w:t>
      </w:r>
      <w:r w:rsidRPr="00B56066">
        <w:rPr>
          <w:rFonts w:ascii="Palatino Linotype" w:eastAsia="Palatino Linotype" w:hAnsi="Palatino Linotype" w:cs="Palatino Linotype"/>
          <w:b/>
          <w:sz w:val="22"/>
          <w:szCs w:val="22"/>
        </w:rPr>
        <w:t xml:space="preserve"> SAIMEX </w:t>
      </w:r>
    </w:p>
    <w:p w14:paraId="488DF975" w14:textId="77777777" w:rsidR="00B03F0C" w:rsidRPr="00B56066" w:rsidRDefault="00B03F0C">
      <w:pPr>
        <w:spacing w:line="360" w:lineRule="auto"/>
        <w:ind w:right="616"/>
        <w:jc w:val="both"/>
        <w:rPr>
          <w:rFonts w:ascii="Palatino Linotype" w:eastAsia="Palatino Linotype" w:hAnsi="Palatino Linotype" w:cs="Palatino Linotype"/>
          <w:b/>
          <w:sz w:val="22"/>
          <w:szCs w:val="22"/>
        </w:rPr>
      </w:pPr>
    </w:p>
    <w:p w14:paraId="09A7D5D9" w14:textId="77777777" w:rsidR="00B03F0C" w:rsidRPr="00B56066" w:rsidRDefault="00BD5FDB">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 xml:space="preserve">Respuesta. </w:t>
      </w:r>
      <w:r w:rsidRPr="00B56066">
        <w:rPr>
          <w:rFonts w:ascii="Palatino Linotype" w:eastAsia="Palatino Linotype" w:hAnsi="Palatino Linotype" w:cs="Palatino Linotype"/>
          <w:sz w:val="22"/>
          <w:szCs w:val="22"/>
        </w:rPr>
        <w:t xml:space="preserve">De las constancias que obran en Sistema de Acceso a la Información Mexiquense, se observa que el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xml:space="preserve"> no emitió respuesta a la solicitud de información formulada por la persona solicitante.</w:t>
      </w:r>
    </w:p>
    <w:p w14:paraId="06C39F3B" w14:textId="77777777" w:rsidR="00B03F0C" w:rsidRPr="00B56066" w:rsidRDefault="00B03F0C">
      <w:pPr>
        <w:pBdr>
          <w:top w:val="nil"/>
          <w:left w:val="nil"/>
          <w:bottom w:val="nil"/>
          <w:right w:val="nil"/>
          <w:between w:val="nil"/>
        </w:pBdr>
        <w:spacing w:line="360" w:lineRule="auto"/>
        <w:ind w:right="49" w:hanging="284"/>
        <w:jc w:val="both"/>
        <w:rPr>
          <w:rFonts w:ascii="Palatino Linotype" w:eastAsia="Palatino Linotype" w:hAnsi="Palatino Linotype" w:cs="Palatino Linotype"/>
          <w:sz w:val="22"/>
          <w:szCs w:val="22"/>
        </w:rPr>
      </w:pPr>
    </w:p>
    <w:p w14:paraId="19C05328" w14:textId="72BB405A" w:rsidR="0069540D" w:rsidRPr="00B56066" w:rsidRDefault="00BD5FDB" w:rsidP="0069540D">
      <w:pPr>
        <w:numPr>
          <w:ilvl w:val="0"/>
          <w:numId w:val="4"/>
        </w:numPr>
        <w:pBdr>
          <w:top w:val="nil"/>
          <w:left w:val="nil"/>
          <w:bottom w:val="nil"/>
          <w:right w:val="nil"/>
          <w:between w:val="nil"/>
        </w:pBdr>
        <w:spacing w:line="360" w:lineRule="auto"/>
        <w:ind w:left="0" w:right="49" w:hanging="284"/>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lastRenderedPageBreak/>
        <w:t>Interposición del recurso de revisión</w:t>
      </w:r>
      <w:r w:rsidRPr="00B56066">
        <w:rPr>
          <w:rFonts w:ascii="Palatino Linotype" w:eastAsia="Palatino Linotype" w:hAnsi="Palatino Linotype" w:cs="Palatino Linotype"/>
          <w:sz w:val="22"/>
          <w:szCs w:val="22"/>
        </w:rPr>
        <w:t xml:space="preserve">. Inconforme la persona solicitante con la falta de respuesta del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xml:space="preserve">, el </w:t>
      </w:r>
      <w:r w:rsidR="00D2617C" w:rsidRPr="00B56066">
        <w:rPr>
          <w:rFonts w:ascii="Palatino Linotype" w:eastAsia="Palatino Linotype" w:hAnsi="Palatino Linotype" w:cs="Palatino Linotype"/>
          <w:b/>
          <w:sz w:val="22"/>
          <w:szCs w:val="22"/>
        </w:rPr>
        <w:t>diecinueve</w:t>
      </w:r>
      <w:r w:rsidR="00F442F1" w:rsidRPr="00B56066">
        <w:rPr>
          <w:rFonts w:ascii="Palatino Linotype" w:eastAsia="Palatino Linotype" w:hAnsi="Palatino Linotype" w:cs="Palatino Linotype"/>
          <w:b/>
          <w:sz w:val="22"/>
          <w:szCs w:val="22"/>
        </w:rPr>
        <w:t xml:space="preserve"> de febrero de dos mil veinticinc</w:t>
      </w:r>
      <w:r w:rsidRPr="00B56066">
        <w:rPr>
          <w:rFonts w:ascii="Palatino Linotype" w:eastAsia="Palatino Linotype" w:hAnsi="Palatino Linotype" w:cs="Palatino Linotype"/>
          <w:b/>
          <w:sz w:val="22"/>
          <w:szCs w:val="22"/>
        </w:rPr>
        <w:t>o</w:t>
      </w:r>
      <w:r w:rsidRPr="00B56066">
        <w:rPr>
          <w:rFonts w:ascii="Palatino Linotype" w:eastAsia="Palatino Linotype" w:hAnsi="Palatino Linotype" w:cs="Palatino Linotype"/>
          <w:sz w:val="22"/>
          <w:szCs w:val="22"/>
        </w:rPr>
        <w:t xml:space="preserve"> interpuso recurso de revisión a través de SAIMEX, expresando lo siguiente:</w:t>
      </w:r>
    </w:p>
    <w:p w14:paraId="0242EC45" w14:textId="77777777" w:rsidR="008B0585" w:rsidRPr="00B56066" w:rsidRDefault="008B0585" w:rsidP="008B0585">
      <w:pPr>
        <w:pBdr>
          <w:top w:val="nil"/>
          <w:left w:val="nil"/>
          <w:bottom w:val="nil"/>
          <w:right w:val="nil"/>
          <w:between w:val="nil"/>
        </w:pBdr>
        <w:spacing w:line="360" w:lineRule="auto"/>
        <w:ind w:right="49"/>
        <w:jc w:val="both"/>
        <w:rPr>
          <w:rFonts w:ascii="Palatino Linotype" w:eastAsia="Palatino Linotype" w:hAnsi="Palatino Linotype" w:cs="Palatino Linotype"/>
          <w:sz w:val="22"/>
          <w:szCs w:val="22"/>
        </w:rPr>
      </w:pPr>
    </w:p>
    <w:p w14:paraId="5C6EB229" w14:textId="303C5530" w:rsidR="00B03F0C" w:rsidRPr="00B56066" w:rsidRDefault="00BD5FDB" w:rsidP="00231D84">
      <w:pPr>
        <w:pStyle w:val="Listaconvietas3"/>
        <w:ind w:left="567" w:right="900" w:hanging="283"/>
        <w:jc w:val="both"/>
        <w:rPr>
          <w:rFonts w:eastAsia="Palatino Linotype"/>
          <w:i/>
        </w:rPr>
      </w:pPr>
      <w:bookmarkStart w:id="0" w:name="_heading=h.tyjcwt" w:colFirst="0" w:colLast="0"/>
      <w:bookmarkEnd w:id="0"/>
      <w:r w:rsidRPr="00B56066">
        <w:rPr>
          <w:rFonts w:ascii="Palatino Linotype" w:eastAsia="Palatino Linotype" w:hAnsi="Palatino Linotype"/>
          <w:b/>
          <w:sz w:val="22"/>
        </w:rPr>
        <w:t>Acto impugnado:</w:t>
      </w:r>
      <w:r w:rsidRPr="00B56066">
        <w:rPr>
          <w:rFonts w:eastAsia="Palatino Linotype"/>
          <w:b/>
        </w:rPr>
        <w:t xml:space="preserve"> </w:t>
      </w:r>
      <w:r w:rsidRPr="00B56066">
        <w:rPr>
          <w:rFonts w:ascii="Palatino Linotype" w:eastAsia="Palatino Linotype" w:hAnsi="Palatino Linotype"/>
          <w:i/>
          <w:sz w:val="22"/>
          <w:szCs w:val="18"/>
        </w:rPr>
        <w:t>“</w:t>
      </w:r>
      <w:r w:rsidR="00D2617C" w:rsidRPr="00B56066">
        <w:rPr>
          <w:rFonts w:ascii="Palatino Linotype" w:eastAsia="Palatino Linotype" w:hAnsi="Palatino Linotype" w:cs="Palatino Linotype"/>
          <w:i/>
          <w:sz w:val="22"/>
          <w:szCs w:val="18"/>
        </w:rPr>
        <w:t>NO HAY ATENCIÓN DE LA SOLICITUD DE INFORMACIÓN</w:t>
      </w:r>
      <w:r w:rsidRPr="00B56066">
        <w:rPr>
          <w:rFonts w:ascii="Palatino Linotype" w:eastAsia="Palatino Linotype" w:hAnsi="Palatino Linotype"/>
          <w:i/>
          <w:sz w:val="22"/>
          <w:szCs w:val="18"/>
        </w:rPr>
        <w:t>” (Sic)</w:t>
      </w:r>
    </w:p>
    <w:p w14:paraId="1DB5B759" w14:textId="77777777" w:rsidR="00B03F0C" w:rsidRPr="00B56066" w:rsidRDefault="00B03F0C">
      <w:pPr>
        <w:pBdr>
          <w:top w:val="nil"/>
          <w:left w:val="nil"/>
          <w:bottom w:val="nil"/>
          <w:right w:val="nil"/>
          <w:between w:val="nil"/>
        </w:pBdr>
        <w:spacing w:line="276" w:lineRule="auto"/>
        <w:ind w:left="567" w:right="900"/>
        <w:jc w:val="both"/>
        <w:rPr>
          <w:rFonts w:ascii="Palatino Linotype" w:eastAsia="Palatino Linotype" w:hAnsi="Palatino Linotype" w:cs="Palatino Linotype"/>
          <w:i/>
          <w:sz w:val="22"/>
          <w:szCs w:val="22"/>
        </w:rPr>
      </w:pPr>
    </w:p>
    <w:p w14:paraId="7B127B3E" w14:textId="66C90F76" w:rsidR="00B03F0C" w:rsidRPr="00B56066" w:rsidRDefault="00BD5FDB" w:rsidP="00231D84">
      <w:pPr>
        <w:pStyle w:val="Listaconvietas3"/>
        <w:ind w:left="567" w:right="900" w:hanging="283"/>
        <w:jc w:val="both"/>
        <w:rPr>
          <w:rFonts w:eastAsia="Palatino Linotype"/>
          <w:i/>
        </w:rPr>
      </w:pPr>
      <w:bookmarkStart w:id="1" w:name="_heading=h.30j0zll" w:colFirst="0" w:colLast="0"/>
      <w:bookmarkEnd w:id="1"/>
      <w:r w:rsidRPr="00B56066">
        <w:rPr>
          <w:rFonts w:ascii="Palatino Linotype" w:eastAsia="Palatino Linotype" w:hAnsi="Palatino Linotype"/>
          <w:b/>
          <w:sz w:val="22"/>
        </w:rPr>
        <w:t>Razones o motivos de inconformidad</w:t>
      </w:r>
      <w:r w:rsidRPr="00B56066">
        <w:rPr>
          <w:rFonts w:eastAsia="Palatino Linotype"/>
        </w:rPr>
        <w:t xml:space="preserve">: </w:t>
      </w:r>
      <w:r w:rsidRPr="00B56066">
        <w:rPr>
          <w:rFonts w:ascii="Palatino Linotype" w:eastAsia="Palatino Linotype" w:hAnsi="Palatino Linotype"/>
          <w:sz w:val="22"/>
          <w:szCs w:val="22"/>
        </w:rPr>
        <w:t>“</w:t>
      </w:r>
      <w:r w:rsidR="00231D84" w:rsidRPr="00B56066">
        <w:rPr>
          <w:rFonts w:ascii="Palatino Linotype" w:eastAsia="Palatino Linotype" w:hAnsi="Palatino Linotype" w:cs="Palatino Linotype"/>
          <w:i/>
          <w:sz w:val="22"/>
          <w:szCs w:val="22"/>
        </w:rPr>
        <w:t>NO HAY ATENCIÓN DE LA SOLICITUD DE INFORMACIÓN</w:t>
      </w:r>
      <w:r w:rsidRPr="00B56066">
        <w:rPr>
          <w:rFonts w:ascii="Palatino Linotype" w:eastAsia="Palatino Linotype" w:hAnsi="Palatino Linotype"/>
          <w:i/>
          <w:sz w:val="22"/>
          <w:szCs w:val="22"/>
        </w:rPr>
        <w:t>” (Sic)</w:t>
      </w:r>
    </w:p>
    <w:p w14:paraId="4B401C76" w14:textId="77777777" w:rsidR="00E121A5" w:rsidRPr="00B56066" w:rsidRDefault="00E121A5" w:rsidP="00E121A5">
      <w:pPr>
        <w:pStyle w:val="Listaconvietas3"/>
        <w:numPr>
          <w:ilvl w:val="0"/>
          <w:numId w:val="0"/>
        </w:numPr>
        <w:spacing w:line="276" w:lineRule="auto"/>
        <w:ind w:right="900"/>
        <w:rPr>
          <w:rFonts w:ascii="Palatino Linotype" w:eastAsia="Palatino Linotype" w:hAnsi="Palatino Linotype" w:cs="Palatino Linotype"/>
          <w:i/>
          <w:sz w:val="22"/>
          <w:szCs w:val="22"/>
        </w:rPr>
      </w:pPr>
    </w:p>
    <w:p w14:paraId="0F0EEF64" w14:textId="77777777" w:rsidR="00B03F0C" w:rsidRPr="00B56066"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 xml:space="preserve">Turno. </w:t>
      </w:r>
      <w:r w:rsidRPr="00B56066">
        <w:rPr>
          <w:rFonts w:ascii="Palatino Linotype" w:eastAsia="Palatino Linotype" w:hAnsi="Palatino Linotype" w:cs="Palatino Linotype"/>
          <w:sz w:val="22"/>
          <w:szCs w:val="22"/>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w:t>
      </w:r>
      <w:r w:rsidRPr="00B56066">
        <w:rPr>
          <w:rFonts w:ascii="Palatino Linotype" w:eastAsia="Palatino Linotype" w:hAnsi="Palatino Linotype" w:cs="Palatino Linotype"/>
          <w:b/>
          <w:sz w:val="22"/>
          <w:szCs w:val="22"/>
        </w:rPr>
        <w:t>Comisionada</w:t>
      </w:r>
      <w:r w:rsidRPr="00B56066">
        <w:rPr>
          <w:rFonts w:ascii="Palatino Linotype" w:eastAsia="Palatino Linotype" w:hAnsi="Palatino Linotype" w:cs="Palatino Linotype"/>
          <w:sz w:val="22"/>
          <w:szCs w:val="22"/>
        </w:rPr>
        <w:t xml:space="preserve"> </w:t>
      </w:r>
      <w:r w:rsidRPr="00B56066">
        <w:rPr>
          <w:rFonts w:ascii="Palatino Linotype" w:eastAsia="Palatino Linotype" w:hAnsi="Palatino Linotype" w:cs="Palatino Linotype"/>
          <w:b/>
          <w:sz w:val="22"/>
          <w:szCs w:val="22"/>
        </w:rPr>
        <w:t xml:space="preserve">Guadalupe Ramírez Peña, </w:t>
      </w:r>
      <w:r w:rsidRPr="00B56066">
        <w:rPr>
          <w:rFonts w:ascii="Palatino Linotype" w:eastAsia="Palatino Linotype" w:hAnsi="Palatino Linotype" w:cs="Palatino Linotype"/>
          <w:sz w:val="22"/>
          <w:szCs w:val="22"/>
        </w:rPr>
        <w:t>a efecto de que analizara sobre su admisión o su desechamiento.</w:t>
      </w:r>
    </w:p>
    <w:p w14:paraId="4B02782A" w14:textId="77777777" w:rsidR="00B03F0C" w:rsidRPr="00B56066"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38C8BCDF" w14:textId="2748106A" w:rsidR="00B03F0C" w:rsidRPr="00B56066" w:rsidRDefault="00BD5FDB">
      <w:pPr>
        <w:numPr>
          <w:ilvl w:val="0"/>
          <w:numId w:val="4"/>
        </w:numPr>
        <w:pBdr>
          <w:top w:val="nil"/>
          <w:left w:val="nil"/>
          <w:bottom w:val="nil"/>
          <w:right w:val="nil"/>
          <w:between w:val="nil"/>
        </w:pBdr>
        <w:spacing w:line="360" w:lineRule="auto"/>
        <w:ind w:left="-284" w:right="51" w:firstLine="0"/>
        <w:jc w:val="both"/>
        <w:rPr>
          <w:rFonts w:ascii="Palatino Linotype" w:eastAsia="Palatino Linotype" w:hAnsi="Palatino Linotype" w:cs="Palatino Linotype"/>
          <w:sz w:val="22"/>
          <w:szCs w:val="22"/>
        </w:rPr>
      </w:pPr>
      <w:bookmarkStart w:id="2" w:name="_heading=h.2s8eyo1" w:colFirst="0" w:colLast="0"/>
      <w:bookmarkEnd w:id="2"/>
      <w:r w:rsidRPr="00B56066">
        <w:rPr>
          <w:rFonts w:ascii="Palatino Linotype" w:eastAsia="Palatino Linotype" w:hAnsi="Palatino Linotype" w:cs="Palatino Linotype"/>
          <w:b/>
          <w:sz w:val="22"/>
          <w:szCs w:val="22"/>
        </w:rPr>
        <w:t>Admisión del Recurso de revisión.</w:t>
      </w:r>
      <w:r w:rsidRPr="00B56066">
        <w:rPr>
          <w:rFonts w:ascii="Palatino Linotype" w:eastAsia="Palatino Linotype" w:hAnsi="Palatino Linotype" w:cs="Palatino Linotype"/>
          <w:sz w:val="22"/>
          <w:szCs w:val="22"/>
        </w:rPr>
        <w:t xml:space="preserve"> El </w:t>
      </w:r>
      <w:r w:rsidR="00231D84" w:rsidRPr="00B56066">
        <w:rPr>
          <w:rFonts w:ascii="Palatino Linotype" w:eastAsia="Palatino Linotype" w:hAnsi="Palatino Linotype" w:cs="Palatino Linotype"/>
          <w:b/>
          <w:sz w:val="22"/>
          <w:szCs w:val="22"/>
        </w:rPr>
        <w:t>veinte</w:t>
      </w:r>
      <w:r w:rsidR="00F442F1" w:rsidRPr="00B56066">
        <w:rPr>
          <w:rFonts w:ascii="Palatino Linotype" w:eastAsia="Palatino Linotype" w:hAnsi="Palatino Linotype" w:cs="Palatino Linotype"/>
          <w:b/>
          <w:sz w:val="22"/>
          <w:szCs w:val="22"/>
        </w:rPr>
        <w:t xml:space="preserve"> de febrero de dos mil veinticinc</w:t>
      </w:r>
      <w:r w:rsidRPr="00B56066">
        <w:rPr>
          <w:rFonts w:ascii="Palatino Linotype" w:eastAsia="Palatino Linotype" w:hAnsi="Palatino Linotype" w:cs="Palatino Linotype"/>
          <w:b/>
          <w:sz w:val="22"/>
          <w:szCs w:val="22"/>
        </w:rPr>
        <w:t>o</w:t>
      </w:r>
      <w:r w:rsidRPr="00B56066">
        <w:rPr>
          <w:rFonts w:ascii="Palatino Linotype" w:eastAsia="Palatino Linotype" w:hAnsi="Palatino Linotype" w:cs="Palatino Linotype"/>
          <w:sz w:val="22"/>
          <w:szCs w:val="22"/>
        </w:rPr>
        <w:t>,</w:t>
      </w:r>
      <w:r w:rsidRPr="00B56066">
        <w:rPr>
          <w:rFonts w:ascii="Palatino Linotype" w:eastAsia="Palatino Linotype" w:hAnsi="Palatino Linotype" w:cs="Palatino Linotype"/>
          <w:b/>
          <w:sz w:val="22"/>
          <w:szCs w:val="22"/>
        </w:rPr>
        <w:t xml:space="preserve"> </w:t>
      </w:r>
      <w:r w:rsidRPr="00B56066">
        <w:rPr>
          <w:rFonts w:ascii="Palatino Linotype" w:eastAsia="Palatino Linotype" w:hAnsi="Palatino Linotype" w:cs="Palatino Linotype"/>
          <w:sz w:val="22"/>
          <w:szCs w:val="22"/>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B56066">
        <w:rPr>
          <w:rFonts w:ascii="Palatino Linotype" w:eastAsia="Palatino Linotype" w:hAnsi="Palatino Linotype" w:cs="Palatino Linotype"/>
          <w:b/>
          <w:sz w:val="22"/>
          <w:szCs w:val="22"/>
        </w:rPr>
        <w:t xml:space="preserve">Sujeto Obligado </w:t>
      </w:r>
      <w:r w:rsidRPr="00B56066">
        <w:rPr>
          <w:rFonts w:ascii="Palatino Linotype" w:eastAsia="Palatino Linotype" w:hAnsi="Palatino Linotype" w:cs="Palatino Linotype"/>
          <w:sz w:val="22"/>
          <w:szCs w:val="22"/>
        </w:rPr>
        <w:t>presentara su informe justificado.</w:t>
      </w:r>
    </w:p>
    <w:p w14:paraId="08029A25" w14:textId="77777777" w:rsidR="00B03F0C" w:rsidRPr="00B56066"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rPr>
      </w:pPr>
    </w:p>
    <w:p w14:paraId="66E03CD4" w14:textId="77777777" w:rsidR="00B03F0C" w:rsidRPr="00B56066"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Manifestaciones</w:t>
      </w:r>
      <w:r w:rsidRPr="00B56066">
        <w:rPr>
          <w:rFonts w:ascii="Palatino Linotype" w:eastAsia="Palatino Linotype" w:hAnsi="Palatino Linotype" w:cs="Palatino Linotype"/>
          <w:sz w:val="22"/>
          <w:szCs w:val="22"/>
        </w:rPr>
        <w:t>. Es de precisar que las partes fueron omisas en pronunciarse en esta etapa.</w:t>
      </w:r>
    </w:p>
    <w:p w14:paraId="545F226E" w14:textId="77777777" w:rsidR="00E121A5" w:rsidRPr="00B56066" w:rsidRDefault="00E121A5" w:rsidP="00E121A5">
      <w:pPr>
        <w:pStyle w:val="Prrafodelista"/>
        <w:rPr>
          <w:rFonts w:ascii="Palatino Linotype" w:eastAsia="Palatino Linotype" w:hAnsi="Palatino Linotype" w:cs="Palatino Linotype"/>
          <w:sz w:val="22"/>
          <w:szCs w:val="22"/>
        </w:rPr>
      </w:pPr>
    </w:p>
    <w:p w14:paraId="34093901" w14:textId="62296BEA" w:rsidR="00B03F0C" w:rsidRPr="00B56066" w:rsidRDefault="00231D84" w:rsidP="0069540D">
      <w:pPr>
        <w:pBdr>
          <w:top w:val="nil"/>
          <w:left w:val="nil"/>
          <w:bottom w:val="nil"/>
          <w:right w:val="nil"/>
          <w:between w:val="nil"/>
        </w:pBdr>
        <w:spacing w:line="360" w:lineRule="auto"/>
        <w:ind w:right="51"/>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noProof/>
          <w:sz w:val="22"/>
          <w:szCs w:val="22"/>
        </w:rPr>
        <w:lastRenderedPageBreak/>
        <w:drawing>
          <wp:inline distT="0" distB="0" distL="0" distR="0" wp14:anchorId="6A1DD708" wp14:editId="03B11A86">
            <wp:extent cx="5612130" cy="1352550"/>
            <wp:effectExtent l="19050" t="19050" r="2667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1352550"/>
                    </a:xfrm>
                    <a:prstGeom prst="rect">
                      <a:avLst/>
                    </a:prstGeom>
                    <a:ln>
                      <a:solidFill>
                        <a:schemeClr val="tx1"/>
                      </a:solidFill>
                    </a:ln>
                  </pic:spPr>
                </pic:pic>
              </a:graphicData>
            </a:graphic>
          </wp:inline>
        </w:drawing>
      </w:r>
    </w:p>
    <w:p w14:paraId="60DC986E" w14:textId="1CEF4508" w:rsidR="00B03F0C" w:rsidRPr="00B56066" w:rsidRDefault="00BD5FDB">
      <w:pPr>
        <w:numPr>
          <w:ilvl w:val="0"/>
          <w:numId w:val="4"/>
        </w:numPr>
        <w:pBdr>
          <w:top w:val="nil"/>
          <w:left w:val="nil"/>
          <w:bottom w:val="nil"/>
          <w:right w:val="nil"/>
          <w:between w:val="nil"/>
        </w:pBdr>
        <w:spacing w:line="360" w:lineRule="auto"/>
        <w:ind w:left="0" w:right="51" w:hanging="284"/>
        <w:jc w:val="both"/>
        <w:rPr>
          <w:rFonts w:ascii="Palatino Linotype" w:eastAsia="Palatino Linotype" w:hAnsi="Palatino Linotype" w:cs="Palatino Linotype"/>
          <w:sz w:val="20"/>
          <w:szCs w:val="20"/>
        </w:rPr>
      </w:pPr>
      <w:r w:rsidRPr="00B56066">
        <w:rPr>
          <w:rFonts w:ascii="Palatino Linotype" w:eastAsia="Palatino Linotype" w:hAnsi="Palatino Linotype" w:cs="Palatino Linotype"/>
          <w:b/>
          <w:sz w:val="22"/>
          <w:szCs w:val="22"/>
        </w:rPr>
        <w:t xml:space="preserve">Cierre de instrucción. </w:t>
      </w:r>
      <w:r w:rsidRPr="00B56066">
        <w:rPr>
          <w:rFonts w:ascii="Palatino Linotype" w:eastAsia="Palatino Linotype" w:hAnsi="Palatino Linotype" w:cs="Palatino Linotype"/>
          <w:sz w:val="22"/>
          <w:szCs w:val="22"/>
        </w:rPr>
        <w:t xml:space="preserve">Una vez transcurrido el periodo otorgado a las partes para realizar sus manifestaciones y no habiendo documentos que integrar al expediente, el </w:t>
      </w:r>
      <w:r w:rsidR="00231D84" w:rsidRPr="00B56066">
        <w:rPr>
          <w:rFonts w:ascii="Palatino Linotype" w:eastAsia="Palatino Linotype" w:hAnsi="Palatino Linotype" w:cs="Palatino Linotype"/>
          <w:b/>
          <w:sz w:val="22"/>
          <w:szCs w:val="22"/>
        </w:rPr>
        <w:t xml:space="preserve">cinco </w:t>
      </w:r>
      <w:r w:rsidR="008B0585" w:rsidRPr="00B56066">
        <w:rPr>
          <w:rFonts w:ascii="Palatino Linotype" w:eastAsia="Palatino Linotype" w:hAnsi="Palatino Linotype" w:cs="Palatino Linotype"/>
          <w:b/>
          <w:sz w:val="22"/>
          <w:szCs w:val="22"/>
        </w:rPr>
        <w:t xml:space="preserve">de </w:t>
      </w:r>
      <w:r w:rsidR="00231D84" w:rsidRPr="00B56066">
        <w:rPr>
          <w:rFonts w:ascii="Palatino Linotype" w:eastAsia="Palatino Linotype" w:hAnsi="Palatino Linotype" w:cs="Palatino Linotype"/>
          <w:b/>
          <w:sz w:val="22"/>
          <w:szCs w:val="22"/>
        </w:rPr>
        <w:t>marzo</w:t>
      </w:r>
      <w:r w:rsidR="00E121A5" w:rsidRPr="00B56066">
        <w:rPr>
          <w:rFonts w:ascii="Palatino Linotype" w:eastAsia="Palatino Linotype" w:hAnsi="Palatino Linotype" w:cs="Palatino Linotype"/>
          <w:b/>
          <w:sz w:val="22"/>
          <w:szCs w:val="22"/>
        </w:rPr>
        <w:t xml:space="preserve"> de dos mil veinticinc</w:t>
      </w:r>
      <w:r w:rsidRPr="00B56066">
        <w:rPr>
          <w:rFonts w:ascii="Palatino Linotype" w:eastAsia="Palatino Linotype" w:hAnsi="Palatino Linotype" w:cs="Palatino Linotype"/>
          <w:b/>
          <w:sz w:val="22"/>
          <w:szCs w:val="22"/>
        </w:rPr>
        <w:t>o</w:t>
      </w:r>
      <w:r w:rsidRPr="00B56066">
        <w:rPr>
          <w:rFonts w:ascii="Palatino Linotype" w:eastAsia="Palatino Linotype" w:hAnsi="Palatino Linotype" w:cs="Palatino Linotype"/>
          <w:sz w:val="22"/>
          <w:szCs w:val="22"/>
        </w:rPr>
        <w:t>, la Comisionada Ponente determinó el cierre de instrucción en términos de la fracción VI del artículo 185 de la Ley de Transparencia y Acceso a la Información Pública del Estado de México y Municipios.</w:t>
      </w:r>
    </w:p>
    <w:p w14:paraId="09D08F3A" w14:textId="77777777" w:rsidR="00B03F0C" w:rsidRPr="00B56066" w:rsidRDefault="00B03F0C">
      <w:pPr>
        <w:pBdr>
          <w:top w:val="nil"/>
          <w:left w:val="nil"/>
          <w:bottom w:val="nil"/>
          <w:right w:val="nil"/>
          <w:between w:val="nil"/>
        </w:pBdr>
        <w:spacing w:line="360" w:lineRule="auto"/>
        <w:ind w:right="51"/>
        <w:jc w:val="both"/>
        <w:rPr>
          <w:rFonts w:ascii="Palatino Linotype" w:eastAsia="Palatino Linotype" w:hAnsi="Palatino Linotype" w:cs="Palatino Linotype"/>
          <w:b/>
          <w:sz w:val="22"/>
          <w:szCs w:val="22"/>
        </w:rPr>
      </w:pPr>
    </w:p>
    <w:p w14:paraId="211360B1" w14:textId="77777777" w:rsidR="00B03F0C" w:rsidRPr="00B56066" w:rsidRDefault="00BD5FDB">
      <w:pPr>
        <w:pBdr>
          <w:top w:val="nil"/>
          <w:left w:val="nil"/>
          <w:bottom w:val="nil"/>
          <w:right w:val="nil"/>
          <w:between w:val="nil"/>
        </w:pBdr>
        <w:spacing w:line="360" w:lineRule="auto"/>
        <w:ind w:right="51"/>
        <w:jc w:val="both"/>
        <w:rPr>
          <w:rFonts w:ascii="Palatino Linotype" w:eastAsia="Palatino Linotype" w:hAnsi="Palatino Linotype" w:cs="Palatino Linotype"/>
          <w:sz w:val="20"/>
          <w:szCs w:val="20"/>
        </w:rPr>
      </w:pPr>
      <w:r w:rsidRPr="00B56066">
        <w:rPr>
          <w:rFonts w:ascii="Palatino Linotype" w:eastAsia="Palatino Linotype" w:hAnsi="Palatino Linotype" w:cs="Palatino Linotype"/>
          <w:sz w:val="22"/>
          <w:szCs w:val="22"/>
        </w:rPr>
        <w:t xml:space="preserve">En razón de que fue debidamente sustanciado el expediente electrónico y no existe diligencia pendiente de desahogo, se emite la Resolución que conforme a Derecho proceda, de acuerdo con los siguientes: </w:t>
      </w:r>
    </w:p>
    <w:p w14:paraId="7F7117C0" w14:textId="77777777" w:rsidR="00B03F0C" w:rsidRPr="00B56066" w:rsidRDefault="00B03F0C">
      <w:pPr>
        <w:pBdr>
          <w:top w:val="nil"/>
          <w:left w:val="nil"/>
          <w:bottom w:val="nil"/>
          <w:right w:val="nil"/>
          <w:between w:val="nil"/>
        </w:pBdr>
        <w:spacing w:line="360" w:lineRule="auto"/>
        <w:jc w:val="both"/>
        <w:rPr>
          <w:rFonts w:ascii="Palatino Linotype" w:eastAsia="Palatino Linotype" w:hAnsi="Palatino Linotype" w:cs="Palatino Linotype"/>
          <w:sz w:val="22"/>
          <w:szCs w:val="22"/>
        </w:rPr>
      </w:pPr>
    </w:p>
    <w:p w14:paraId="62B58A25" w14:textId="17A6D4F6" w:rsidR="00B03F0C" w:rsidRPr="00B56066" w:rsidRDefault="00BD5FDB" w:rsidP="00F124B0">
      <w:pPr>
        <w:widowControl w:val="0"/>
        <w:spacing w:line="360" w:lineRule="auto"/>
        <w:jc w:val="center"/>
        <w:rPr>
          <w:rFonts w:ascii="Palatino Linotype" w:eastAsia="Palatino Linotype" w:hAnsi="Palatino Linotype" w:cs="Palatino Linotype"/>
          <w:b/>
          <w:sz w:val="22"/>
          <w:szCs w:val="22"/>
        </w:rPr>
      </w:pPr>
      <w:r w:rsidRPr="00B56066">
        <w:rPr>
          <w:rFonts w:ascii="Palatino Linotype" w:eastAsia="Palatino Linotype" w:hAnsi="Palatino Linotype" w:cs="Palatino Linotype"/>
          <w:b/>
          <w:sz w:val="22"/>
          <w:szCs w:val="22"/>
        </w:rPr>
        <w:t>II. C O N S I D E R A N D O S</w:t>
      </w:r>
    </w:p>
    <w:p w14:paraId="69819EE1" w14:textId="77777777" w:rsidR="00B03F0C" w:rsidRPr="00B56066" w:rsidRDefault="00BD5FDB">
      <w:pPr>
        <w:spacing w:line="360" w:lineRule="auto"/>
        <w:jc w:val="both"/>
        <w:rPr>
          <w:rFonts w:ascii="Palatino Linotype" w:eastAsia="Palatino Linotype" w:hAnsi="Palatino Linotype" w:cs="Palatino Linotype"/>
          <w:sz w:val="22"/>
          <w:szCs w:val="22"/>
        </w:rPr>
      </w:pPr>
      <w:bookmarkStart w:id="3" w:name="_heading=h.q9a5pqst6so" w:colFirst="0" w:colLast="0"/>
      <w:bookmarkEnd w:id="3"/>
      <w:r w:rsidRPr="00B56066">
        <w:rPr>
          <w:rFonts w:ascii="Palatino Linotype" w:eastAsia="Palatino Linotype" w:hAnsi="Palatino Linotype" w:cs="Palatino Linotype"/>
          <w:b/>
          <w:sz w:val="22"/>
          <w:szCs w:val="22"/>
        </w:rPr>
        <w:t>Primero. Competencia.</w:t>
      </w:r>
      <w:r w:rsidRPr="00B56066">
        <w:rPr>
          <w:rFonts w:ascii="Palatino Linotype" w:eastAsia="Palatino Linotype" w:hAnsi="Palatino Linotype" w:cs="Palatino Linotype"/>
          <w:sz w:val="22"/>
          <w:szCs w:val="22"/>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w:t>
      </w:r>
      <w:r w:rsidR="008B0585" w:rsidRPr="00B56066">
        <w:rPr>
          <w:rFonts w:ascii="Palatino Linotype" w:eastAsia="Palatino Linotype" w:hAnsi="Palatino Linotype" w:cs="Palatino Linotype"/>
          <w:sz w:val="22"/>
          <w:szCs w:val="22"/>
        </w:rPr>
        <w:t>trigésimo tercero, trigésimo cuarto y trigésimo quin</w:t>
      </w:r>
      <w:r w:rsidRPr="00B56066">
        <w:rPr>
          <w:rFonts w:ascii="Palatino Linotype" w:eastAsia="Palatino Linotype" w:hAnsi="Palatino Linotype" w:cs="Palatino Linotype"/>
          <w:sz w:val="22"/>
          <w:szCs w:val="22"/>
        </w:rPr>
        <w:t xml:space="preserve">to fracciones IV y V de la Constitución Política del Estado Libre y Soberano de México; 2, fracción II; 29, 36 fracciones I y II; 176, 178, 181, 185, fracción I, 186 y 188 de la Ley Transparencia y Acceso a la Información Pública del Estado de México y Municipios; 9, </w:t>
      </w:r>
      <w:r w:rsidRPr="00B56066">
        <w:rPr>
          <w:rFonts w:ascii="Palatino Linotype" w:eastAsia="Palatino Linotype" w:hAnsi="Palatino Linotype" w:cs="Palatino Linotype"/>
          <w:sz w:val="22"/>
          <w:szCs w:val="22"/>
        </w:rPr>
        <w:lastRenderedPageBreak/>
        <w:t>fracciones I y XXIII y 11 del Reglamento Interior del Instituto de Transparencia, Acceso a la Información Pública y Protección de Datos Personales del Estado de México y Municipios.</w:t>
      </w:r>
    </w:p>
    <w:p w14:paraId="2CB91E18" w14:textId="77777777" w:rsidR="00B03F0C" w:rsidRPr="00B56066" w:rsidRDefault="00B03F0C">
      <w:pPr>
        <w:spacing w:line="360" w:lineRule="auto"/>
        <w:ind w:left="-284"/>
        <w:jc w:val="both"/>
        <w:rPr>
          <w:rFonts w:ascii="Palatino Linotype" w:eastAsia="Palatino Linotype" w:hAnsi="Palatino Linotype" w:cs="Palatino Linotype"/>
          <w:b/>
        </w:rPr>
      </w:pPr>
    </w:p>
    <w:p w14:paraId="54C437F7"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 xml:space="preserve">Segundo. Oportunidad y Procedibilidad. </w:t>
      </w:r>
      <w:r w:rsidRPr="00B56066">
        <w:rPr>
          <w:rFonts w:ascii="Palatino Linotype" w:eastAsia="Palatino Linotype" w:hAnsi="Palatino Linotype" w:cs="Palatino Linotype"/>
          <w:sz w:val="22"/>
          <w:szCs w:val="22"/>
        </w:rPr>
        <w:t>Es de precisar que la</w:t>
      </w:r>
      <w:r w:rsidRPr="00B56066">
        <w:rPr>
          <w:rFonts w:ascii="Palatino Linotype" w:eastAsia="Palatino Linotype" w:hAnsi="Palatino Linotype" w:cs="Palatino Linotype"/>
          <w:b/>
          <w:sz w:val="22"/>
          <w:szCs w:val="22"/>
        </w:rPr>
        <w:t xml:space="preserve"> </w:t>
      </w:r>
      <w:r w:rsidRPr="00B56066">
        <w:rPr>
          <w:rFonts w:ascii="Palatino Linotype" w:eastAsia="Palatino Linotype" w:hAnsi="Palatino Linotype" w:cs="Palatino Linotype"/>
          <w:sz w:val="22"/>
          <w:szCs w:val="22"/>
        </w:rPr>
        <w:t xml:space="preserve">Ley de Transparencia y Acceso a la Información Pública del Estado de México y Municipios, describe el mecanismo de procedencia de los recursos de revisión, como se dispone en los artículos 163 y cuarto párrafo del 166, del tenor literal siguiente: </w:t>
      </w:r>
    </w:p>
    <w:p w14:paraId="06A3CFE2"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7A636630" w14:textId="5678E480" w:rsidR="00B03F0C" w:rsidRPr="00B56066" w:rsidRDefault="00E121A5" w:rsidP="00E121A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w:t>
      </w:r>
      <w:r w:rsidR="00BD5FDB" w:rsidRPr="00B56066">
        <w:rPr>
          <w:rFonts w:ascii="Palatino Linotype" w:eastAsia="Palatino Linotype" w:hAnsi="Palatino Linotype" w:cs="Palatino Linotype"/>
          <w:b/>
          <w:i/>
          <w:sz w:val="22"/>
          <w:szCs w:val="22"/>
        </w:rPr>
        <w:t xml:space="preserve">Artículo 163. </w:t>
      </w:r>
      <w:r w:rsidR="00BD5FDB" w:rsidRPr="00B56066">
        <w:rPr>
          <w:rFonts w:ascii="Palatino Linotype" w:eastAsia="Palatino Linotype" w:hAnsi="Palatino Linotype" w:cs="Palatino Linotype"/>
          <w:i/>
          <w:sz w:val="22"/>
          <w:szCs w:val="22"/>
        </w:rPr>
        <w:t xml:space="preserve">La Unidad de Transparencia deberá notificar la respuesta a la solicitud al interesado en el menor tiempo posible, que no podrá exceder de quince días hábiles, contados a partir del día siguiente a la presentación de aquélla. </w:t>
      </w:r>
    </w:p>
    <w:p w14:paraId="52542EEE" w14:textId="77777777" w:rsidR="00B03F0C" w:rsidRPr="00B56066"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Artículo 166.</w:t>
      </w:r>
    </w:p>
    <w:p w14:paraId="02994518" w14:textId="77777777" w:rsidR="00B03F0C" w:rsidRPr="00B56066"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4CFC5B05" w14:textId="77777777" w:rsidR="00B03F0C" w:rsidRPr="00B56066" w:rsidRDefault="00BD5FDB">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Cuando el sujeto obligado no entregue la respuesta a la solicitud dentro del plazo previsto en la Ley, la solicitud se entenderá negada y el solicitante podrá interponer el recurso de revisión previsto en este ordenamiento.</w:t>
      </w:r>
    </w:p>
    <w:p w14:paraId="1D1BBB4F" w14:textId="2E90CD95" w:rsidR="00B03F0C" w:rsidRPr="00B56066" w:rsidRDefault="00BD5FDB" w:rsidP="00203703">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4BED7FFE" w14:textId="77777777" w:rsidR="00B03F0C" w:rsidRPr="00B56066" w:rsidRDefault="00BD5FDB">
      <w:pPr>
        <w:spacing w:line="360" w:lineRule="auto"/>
        <w:ind w:left="-426"/>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De la interpretación sistemática a los preceptos legales insertos,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esta se considera negada; por lo que a la persona solicitante le asiste el derecho para presentar el recurso de revisión.</w:t>
      </w:r>
    </w:p>
    <w:p w14:paraId="71541940" w14:textId="77777777" w:rsidR="00B03F0C" w:rsidRPr="00B56066" w:rsidRDefault="00B03F0C">
      <w:pPr>
        <w:spacing w:line="360" w:lineRule="auto"/>
        <w:ind w:left="-426"/>
        <w:jc w:val="both"/>
        <w:rPr>
          <w:rFonts w:ascii="Palatino Linotype" w:eastAsia="Palatino Linotype" w:hAnsi="Palatino Linotype" w:cs="Palatino Linotype"/>
          <w:sz w:val="22"/>
          <w:szCs w:val="22"/>
        </w:rPr>
      </w:pPr>
    </w:p>
    <w:p w14:paraId="42598E42" w14:textId="77777777" w:rsidR="00B03F0C" w:rsidRPr="00B56066" w:rsidRDefault="00BD5FDB">
      <w:pPr>
        <w:spacing w:line="360" w:lineRule="auto"/>
        <w:ind w:left="-426"/>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lastRenderedPageBreak/>
        <w:t>En tal sentido, se constituye lo que en la doctrina se conoce como negativa ficta, figura jurídica cuya esencia consiste en atribuir un efecto negativo al silencio de la autoridad administrativa frente a las instancias y solicitudes que hagan los particulares.</w:t>
      </w:r>
    </w:p>
    <w:p w14:paraId="00B343EF" w14:textId="77777777" w:rsidR="00B03F0C" w:rsidRPr="00B56066" w:rsidRDefault="00B03F0C" w:rsidP="00F442F1">
      <w:pPr>
        <w:spacing w:line="360" w:lineRule="auto"/>
        <w:jc w:val="both"/>
        <w:rPr>
          <w:rFonts w:ascii="Palatino Linotype" w:eastAsia="Palatino Linotype" w:hAnsi="Palatino Linotype" w:cs="Palatino Linotype"/>
          <w:sz w:val="22"/>
          <w:szCs w:val="22"/>
        </w:rPr>
      </w:pPr>
    </w:p>
    <w:p w14:paraId="7841E603" w14:textId="05E5D448" w:rsidR="00B03F0C" w:rsidRPr="00B56066" w:rsidRDefault="00BD5FDB">
      <w:pPr>
        <w:spacing w:line="360" w:lineRule="auto"/>
        <w:ind w:left="-426"/>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Por su parte, el artículo 178 del citado ordenamiento, establece:</w:t>
      </w:r>
    </w:p>
    <w:p w14:paraId="5D0D865A" w14:textId="77777777" w:rsidR="00E51E78" w:rsidRPr="00B56066" w:rsidRDefault="00E51E78">
      <w:pPr>
        <w:spacing w:line="360" w:lineRule="auto"/>
        <w:ind w:left="-426"/>
        <w:jc w:val="both"/>
        <w:rPr>
          <w:rFonts w:ascii="Palatino Linotype" w:eastAsia="Palatino Linotype" w:hAnsi="Palatino Linotype" w:cs="Palatino Linotype"/>
          <w:sz w:val="22"/>
          <w:szCs w:val="22"/>
        </w:rPr>
      </w:pPr>
    </w:p>
    <w:p w14:paraId="1321F828" w14:textId="77777777" w:rsidR="00B03F0C" w:rsidRPr="00B56066"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B56066">
        <w:rPr>
          <w:rFonts w:ascii="Palatino Linotype" w:eastAsia="Palatino Linotype" w:hAnsi="Palatino Linotype" w:cs="Palatino Linotype"/>
          <w:b/>
          <w:i/>
          <w:sz w:val="22"/>
          <w:szCs w:val="22"/>
        </w:rPr>
        <w:t xml:space="preserve">“Artículo 178. </w:t>
      </w:r>
      <w:r w:rsidRPr="00B56066">
        <w:rPr>
          <w:rFonts w:ascii="Palatino Linotype" w:eastAsia="Palatino Linotype" w:hAnsi="Palatino Linotype" w:cs="Palatino Linotype"/>
          <w:i/>
          <w:sz w:val="22"/>
          <w:szCs w:val="22"/>
        </w:rPr>
        <w:t>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r w:rsidRPr="00B56066">
        <w:rPr>
          <w:rFonts w:ascii="Palatino Linotype" w:eastAsia="Palatino Linotype" w:hAnsi="Palatino Linotype" w:cs="Palatino Linotype"/>
          <w:b/>
          <w:i/>
          <w:sz w:val="22"/>
          <w:szCs w:val="22"/>
        </w:rPr>
        <w:t>.</w:t>
      </w:r>
    </w:p>
    <w:p w14:paraId="1939C750" w14:textId="77777777" w:rsidR="00B03F0C" w:rsidRPr="00B56066"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B56066">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r w:rsidRPr="00B56066">
        <w:rPr>
          <w:rFonts w:ascii="Palatino Linotype" w:eastAsia="Palatino Linotype" w:hAnsi="Palatino Linotype" w:cs="Palatino Linotype"/>
          <w:b/>
          <w:i/>
          <w:sz w:val="22"/>
          <w:szCs w:val="22"/>
        </w:rPr>
        <w:t>.</w:t>
      </w:r>
    </w:p>
    <w:p w14:paraId="58A0050E" w14:textId="77777777" w:rsidR="00B03F0C" w:rsidRPr="00B56066" w:rsidRDefault="00BD5FDB" w:rsidP="008B0585">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b/>
          <w:i/>
          <w:sz w:val="22"/>
          <w:szCs w:val="22"/>
        </w:rPr>
      </w:pPr>
      <w:r w:rsidRPr="00B56066">
        <w:rPr>
          <w:rFonts w:ascii="Palatino Linotype" w:eastAsia="Palatino Linotype" w:hAnsi="Palatino Linotype" w:cs="Palatino Linotype"/>
          <w:i/>
          <w:sz w:val="22"/>
          <w:szCs w:val="22"/>
        </w:rPr>
        <w:t>(</w:t>
      </w:r>
      <w:r w:rsidRPr="00B56066">
        <w:rPr>
          <w:rFonts w:ascii="Palatino Linotype" w:eastAsia="Palatino Linotype" w:hAnsi="Palatino Linotype" w:cs="Palatino Linotype"/>
          <w:b/>
          <w:i/>
          <w:sz w:val="22"/>
          <w:szCs w:val="22"/>
        </w:rPr>
        <w:t>…)”</w:t>
      </w:r>
    </w:p>
    <w:p w14:paraId="0DEEBE62" w14:textId="77777777" w:rsidR="00B03F0C" w:rsidRPr="00B56066" w:rsidRDefault="00BD5FDB">
      <w:pPr>
        <w:spacing w:line="360" w:lineRule="auto"/>
        <w:jc w:val="both"/>
        <w:rPr>
          <w:rFonts w:ascii="Palatino Linotype" w:eastAsia="Palatino Linotype" w:hAnsi="Palatino Linotype" w:cs="Palatino Linotype"/>
          <w:b/>
          <w:sz w:val="22"/>
          <w:szCs w:val="22"/>
          <w:u w:val="single"/>
        </w:rPr>
      </w:pPr>
      <w:r w:rsidRPr="00B56066">
        <w:rPr>
          <w:rFonts w:ascii="Palatino Linotype" w:eastAsia="Palatino Linotype" w:hAnsi="Palatino Linotype" w:cs="Palatino Linotype"/>
          <w:sz w:val="22"/>
          <w:szCs w:val="22"/>
        </w:rPr>
        <w:t xml:space="preserve">De lo anterior, se advierte que el recurso de revisión no se ha de interponer dentro del plazo de quince días hábiles, a partir de la fecha en que </w:t>
      </w:r>
      <w:r w:rsidRPr="00B56066">
        <w:rPr>
          <w:rFonts w:ascii="Palatino Linotype" w:eastAsia="Palatino Linotype" w:hAnsi="Palatino Linotype" w:cs="Palatino Linotype"/>
          <w:b/>
          <w:sz w:val="22"/>
          <w:szCs w:val="22"/>
        </w:rPr>
        <w:t xml:space="preserve">el Sujeto Obligado </w:t>
      </w:r>
      <w:r w:rsidRPr="00B56066">
        <w:rPr>
          <w:rFonts w:ascii="Palatino Linotype" w:eastAsia="Palatino Linotype" w:hAnsi="Palatino Linotype" w:cs="Palatino Linotype"/>
          <w:sz w:val="22"/>
          <w:szCs w:val="22"/>
        </w:rPr>
        <w:t xml:space="preserve">da respuesta a la solicitud de información; sin embargo, tratándose de negativa ficta no existe resolución que se haga del conocimiento de la persona solicitante a partir de la cual pueda computarse dicho plazo, por lo que se concluye que </w:t>
      </w:r>
      <w:r w:rsidRPr="00B56066">
        <w:rPr>
          <w:rFonts w:ascii="Palatino Linotype" w:eastAsia="Palatino Linotype" w:hAnsi="Palatino Linotype" w:cs="Palatino Linotype"/>
          <w:b/>
          <w:sz w:val="22"/>
          <w:szCs w:val="22"/>
          <w:u w:val="single"/>
        </w:rPr>
        <w:t>la interposición del recurso de revisión puede ser en cualquier momento.</w:t>
      </w:r>
    </w:p>
    <w:p w14:paraId="76E2EFD1" w14:textId="77777777" w:rsidR="00E121A5" w:rsidRPr="00B56066" w:rsidRDefault="00E121A5">
      <w:pPr>
        <w:spacing w:line="360" w:lineRule="auto"/>
        <w:jc w:val="both"/>
        <w:rPr>
          <w:rFonts w:ascii="Palatino Linotype" w:eastAsia="Palatino Linotype" w:hAnsi="Palatino Linotype" w:cs="Palatino Linotype"/>
          <w:sz w:val="22"/>
          <w:szCs w:val="22"/>
        </w:rPr>
      </w:pPr>
    </w:p>
    <w:p w14:paraId="1B0A7658"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La negativa ficta constituye una presunción legal, en el entendido de que donde no hubo respuesta por parte del </w:t>
      </w:r>
      <w:r w:rsidRPr="00B56066">
        <w:rPr>
          <w:rFonts w:ascii="Palatino Linotype" w:eastAsia="Palatino Linotype" w:hAnsi="Palatino Linotype" w:cs="Palatino Linotype"/>
          <w:b/>
          <w:sz w:val="22"/>
          <w:szCs w:val="22"/>
        </w:rPr>
        <w:t xml:space="preserve">Sujeto Obligado, </w:t>
      </w:r>
      <w:r w:rsidRPr="00B56066">
        <w:rPr>
          <w:rFonts w:ascii="Palatino Linotype" w:eastAsia="Palatino Linotype" w:hAnsi="Palatino Linotype" w:cs="Palatino Linotype"/>
          <w:sz w:val="22"/>
          <w:szCs w:val="22"/>
        </w:rPr>
        <w:t xml:space="preserve">existe por lo tanto, una resolución de rechazo ante la solicitud del ciudadano; ya que efectivamente, dicha figura se encuentra íntimamente vinculada con el Derecho de Petición, consagrado en nuestra Constitución, es por ello que </w:t>
      </w:r>
      <w:r w:rsidRPr="00B56066">
        <w:rPr>
          <w:rFonts w:ascii="Palatino Linotype" w:eastAsia="Palatino Linotype" w:hAnsi="Palatino Linotype" w:cs="Palatino Linotype"/>
          <w:sz w:val="22"/>
          <w:szCs w:val="22"/>
        </w:rPr>
        <w:lastRenderedPageBreak/>
        <w:t>constituye un instrumento que garantiza la posibilidad de defensa del particular en contra de la incertidumbre jurídica y que tiende a realizar ese Estado de Derecho en el que, el particular, tiene siempre una vía de defensa en contra de los actos autoritarios que le perjudican.</w:t>
      </w:r>
    </w:p>
    <w:p w14:paraId="7B6ABF0B"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49300839"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En el marco del derecho de acceso a la información pública, la figura de la negativa ficta brinda al ciudadano la oportunidad de inconformarse en los casos en que estime violentado su derecho; permitiendo a este Instituto cumplir los principios por los cuales la misma ley se rige que atienden a la simplicidad y rapidez al acceso a la información, por lo tanto antes de que se actualice un recurso extemporáneo, se actualiza la omisión del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xml:space="preserve"> de dar respuesta, por lo que este Organismo Garante del derecho de acceso a la información y en aras de privilegiar el principio de máxima publicidad deberá dar entrada al estudio del fondo del recurso interpuesto en dichos casos y no optar por el desechamiento del mismo.</w:t>
      </w:r>
    </w:p>
    <w:p w14:paraId="52B85D08"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05D5CC15"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Por lo tanto, con la finalidad de no reducir ni limitar el derecho de acceso a la información y concederle una protección más eficaz al solicitante para impugnar el silencio del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xml:space="preserve"> este tiene la posibilidad de impugnar dicha omisión en cualquier tiempo mediante el recurso de revisión y con ello satisfacer su pretensión; postura que ha sido adoptada mediante criterio número 001-15, aprobado por el Pleno del Instituto de Transparencia, Acceso a la Información Pública y Protección de Datos Personales del Estado de México y Municipios y publicado en el Periódico Oficial del Estado de México “Gaceta del Gobierno”, el veintitrés de abril de dos mil quince, que establece:</w:t>
      </w:r>
    </w:p>
    <w:p w14:paraId="760302BD" w14:textId="77777777" w:rsidR="00B03F0C" w:rsidRPr="00B56066" w:rsidRDefault="00B03F0C">
      <w:pPr>
        <w:spacing w:line="360" w:lineRule="auto"/>
        <w:jc w:val="both"/>
        <w:rPr>
          <w:rFonts w:ascii="Palatino Linotype" w:eastAsia="Palatino Linotype" w:hAnsi="Palatino Linotype" w:cs="Palatino Linotype"/>
          <w:i/>
          <w:sz w:val="22"/>
          <w:szCs w:val="22"/>
        </w:rPr>
      </w:pPr>
    </w:p>
    <w:p w14:paraId="6C8D06F1" w14:textId="77777777" w:rsidR="00B03F0C" w:rsidRPr="00B56066" w:rsidRDefault="00BD5FDB">
      <w:pPr>
        <w:tabs>
          <w:tab w:val="left" w:pos="1276"/>
        </w:tabs>
        <w:spacing w:after="160" w:line="276" w:lineRule="auto"/>
        <w:ind w:left="567" w:right="616"/>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“CRITERIO 0001-15. NEGATIVA FICTA. PLAZO PARA INTERPONER EL RECURSO DE REVISIÓN TRATÁNDOSE DE</w:t>
      </w:r>
      <w:r w:rsidRPr="00B56066">
        <w:rPr>
          <w:rFonts w:ascii="Palatino Linotype" w:eastAsia="Palatino Linotype" w:hAnsi="Palatino Linotype" w:cs="Palatino Linotype"/>
          <w:i/>
          <w:sz w:val="22"/>
          <w:szCs w:val="22"/>
        </w:rPr>
        <w:t xml:space="preserve">. El artículo 48, párrafo tercero de la Ley de Transparencia y Acceso a la Información Pública del Estado de México y </w:t>
      </w:r>
      <w:r w:rsidRPr="00B56066">
        <w:rPr>
          <w:rFonts w:ascii="Palatino Linotype" w:eastAsia="Palatino Linotype" w:hAnsi="Palatino Linotype" w:cs="Palatino Linotype"/>
          <w:i/>
          <w:sz w:val="22"/>
          <w:szCs w:val="22"/>
        </w:rPr>
        <w:lastRenderedPageBreak/>
        <w:t>Municipios establece que, cuando no se entregue la respuesta a la solicitud dentro del plazo de 15 días establecidos en el artículo 46 de la Ley de la materia, se entenderá por negada la solicitud y podrá interponerse el recurso correspondiente. Por su parte, el artículo 72 del mismo ordenamiento legal establece el plazo de 15 días para interponer el recurso de revisión a partir del día siguiente al que tuvo conocimiento de la respuesta recaída a su solicitud, sin que se establezca excepción alguna tratándose de una falta de respuesta del sujeto obligado. Así, entonces, resulta evidente que, al no emitirse respuesta dentro del plazo establecido, se genera la ficción legal de una respuesta en sentido negativo; en el entendido de que el plazo para impugnar esa negativa podrá ser en cualquier tiempo y hasta en tanto no se dicte resolución expresa; es decir, mientras no haya respuesta por parte del Sujeto Obligado, momento a partir del cual deberá computarse el plazo previsto en el artículo 72 de la citada Ley.”</w:t>
      </w:r>
    </w:p>
    <w:p w14:paraId="7950362C" w14:textId="4DB0B721" w:rsidR="00B03F0C" w:rsidRPr="00B56066" w:rsidRDefault="00BD5FDB">
      <w:pPr>
        <w:spacing w:before="240" w:after="240"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Al mismo tiempo, tras la revisión del formato de interposición de los recursos, es de suma importancia señalar que </w:t>
      </w:r>
      <w:r w:rsidRPr="00B56066">
        <w:rPr>
          <w:rFonts w:ascii="Palatino Linotype" w:eastAsia="Palatino Linotype" w:hAnsi="Palatino Linotype" w:cs="Palatino Linotype"/>
          <w:b/>
          <w:sz w:val="22"/>
          <w:szCs w:val="22"/>
        </w:rPr>
        <w:t>la parte</w:t>
      </w:r>
      <w:r w:rsidRPr="00B56066">
        <w:rPr>
          <w:rFonts w:ascii="Palatino Linotype" w:eastAsia="Palatino Linotype" w:hAnsi="Palatino Linotype" w:cs="Palatino Linotype"/>
          <w:sz w:val="22"/>
          <w:szCs w:val="22"/>
        </w:rPr>
        <w:t xml:space="preserve"> </w:t>
      </w:r>
      <w:r w:rsidRPr="00B56066">
        <w:rPr>
          <w:rFonts w:ascii="Palatino Linotype" w:eastAsia="Palatino Linotype" w:hAnsi="Palatino Linotype" w:cs="Palatino Linotype"/>
          <w:b/>
          <w:sz w:val="22"/>
          <w:szCs w:val="22"/>
        </w:rPr>
        <w:t>Recurrente</w:t>
      </w:r>
      <w:r w:rsidRPr="00B56066">
        <w:rPr>
          <w:rFonts w:ascii="Palatino Linotype" w:eastAsia="Palatino Linotype" w:hAnsi="Palatino Linotype" w:cs="Palatino Linotype"/>
          <w:sz w:val="22"/>
          <w:szCs w:val="22"/>
        </w:rPr>
        <w:t xml:space="preserve">, </w:t>
      </w:r>
      <w:r w:rsidRPr="00B56066">
        <w:rPr>
          <w:rFonts w:ascii="Palatino Linotype" w:eastAsia="Palatino Linotype" w:hAnsi="Palatino Linotype" w:cs="Palatino Linotype"/>
          <w:b/>
          <w:sz w:val="22"/>
          <w:szCs w:val="22"/>
        </w:rPr>
        <w:t xml:space="preserve">no proporcionó nombre </w:t>
      </w:r>
      <w:r w:rsidR="00231D84" w:rsidRPr="00B56066">
        <w:rPr>
          <w:rFonts w:ascii="Palatino Linotype" w:eastAsia="Palatino Linotype" w:hAnsi="Palatino Linotype" w:cs="Palatino Linotype"/>
          <w:b/>
          <w:sz w:val="22"/>
          <w:szCs w:val="22"/>
        </w:rPr>
        <w:t xml:space="preserve">o seudónimo </w:t>
      </w:r>
      <w:r w:rsidRPr="00B56066">
        <w:rPr>
          <w:rFonts w:ascii="Palatino Linotype" w:eastAsia="Palatino Linotype" w:hAnsi="Palatino Linotype" w:cs="Palatino Linotype"/>
          <w:b/>
          <w:sz w:val="22"/>
          <w:szCs w:val="22"/>
        </w:rPr>
        <w:t xml:space="preserve">con el que desee ser identificado, </w:t>
      </w:r>
      <w:r w:rsidRPr="00B56066">
        <w:rPr>
          <w:rFonts w:ascii="Palatino Linotype" w:eastAsia="Palatino Linotype" w:hAnsi="Palatino Linotype" w:cs="Palatino Linotype"/>
          <w:sz w:val="22"/>
          <w:szCs w:val="22"/>
        </w:rPr>
        <w:t>como se advierte en el detalle de seguimiento del SAIMEX, no obstante eso no es motivo para archivar las solicitudes de acceso a la información pública como concluida, conforme a lo previsto en el artículo 155, penúltimo párrafo de la Ley de Transparencia y Acceso a la Información Pública del Estado de México y Municipios que establece lo siguiente:</w:t>
      </w:r>
    </w:p>
    <w:p w14:paraId="153B221C" w14:textId="77777777" w:rsidR="00B03F0C" w:rsidRPr="00B56066" w:rsidRDefault="00BD5FDB">
      <w:pPr>
        <w:spacing w:before="240" w:after="240" w:line="276" w:lineRule="auto"/>
        <w:ind w:left="560" w:right="900"/>
        <w:jc w:val="both"/>
        <w:rPr>
          <w:rFonts w:ascii="Palatino Linotype" w:eastAsia="Palatino Linotype" w:hAnsi="Palatino Linotype" w:cs="Palatino Linotype"/>
        </w:rPr>
      </w:pPr>
      <w:r w:rsidRPr="00B56066">
        <w:rPr>
          <w:rFonts w:ascii="Palatino Linotype" w:eastAsia="Palatino Linotype" w:hAnsi="Palatino Linotype" w:cs="Palatino Linotype"/>
          <w:i/>
          <w:sz w:val="22"/>
          <w:szCs w:val="22"/>
        </w:rPr>
        <w:t>"</w:t>
      </w:r>
      <w:r w:rsidRPr="00B56066">
        <w:rPr>
          <w:rFonts w:ascii="Palatino Linotype" w:eastAsia="Palatino Linotype" w:hAnsi="Palatino Linotype" w:cs="Palatino Linotype"/>
          <w:b/>
          <w:i/>
          <w:sz w:val="22"/>
          <w:szCs w:val="22"/>
        </w:rPr>
        <w:t>Las solicitudes anónimas</w:t>
      </w:r>
      <w:r w:rsidRPr="00B56066">
        <w:rPr>
          <w:rFonts w:ascii="Palatino Linotype" w:eastAsia="Palatino Linotype" w:hAnsi="Palatino Linotype" w:cs="Palatino Linotype"/>
          <w:i/>
          <w:sz w:val="22"/>
          <w:szCs w:val="22"/>
        </w:rPr>
        <w:t xml:space="preserve">, con nombre incompleto o seudónimo </w:t>
      </w:r>
      <w:r w:rsidRPr="00B56066">
        <w:rPr>
          <w:rFonts w:ascii="Palatino Linotype" w:eastAsia="Palatino Linotype" w:hAnsi="Palatino Linotype" w:cs="Palatino Linotype"/>
          <w:b/>
          <w:i/>
          <w:sz w:val="22"/>
          <w:szCs w:val="22"/>
        </w:rPr>
        <w:t>serán procedentes para su trámite por parte del sujeto obligado ante quien se presente</w:t>
      </w:r>
      <w:r w:rsidRPr="00B56066">
        <w:rPr>
          <w:rFonts w:ascii="Palatino Linotype" w:eastAsia="Palatino Linotype" w:hAnsi="Palatino Linotype" w:cs="Palatino Linotype"/>
          <w:i/>
          <w:sz w:val="22"/>
          <w:szCs w:val="22"/>
        </w:rPr>
        <w:t>. No podrá requerirse información adicional con motivo del nombre proporcionado por el solicitante."</w:t>
      </w:r>
    </w:p>
    <w:p w14:paraId="246F8DBC" w14:textId="153E1660" w:rsidR="00B03F0C" w:rsidRPr="00B56066" w:rsidRDefault="00BD5FDB" w:rsidP="00A06981">
      <w:pPr>
        <w:spacing w:line="360" w:lineRule="auto"/>
        <w:ind w:right="49"/>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Además, por cuanto hace a la procedibilidad de los recursos de revisión una vez realizado el análisis del formato de interposición del recurso, se acreditan plenamente de todos y cada uno de los elementos formales exigidos por el artículo 180 de la Ley de Transparencia y Acceso a la Información Pública del Estado de México y Municipios, en atención a que fue presentado mediante el formato visible en </w:t>
      </w:r>
      <w:r w:rsidRPr="00B56066">
        <w:rPr>
          <w:rFonts w:ascii="Palatino Linotype" w:eastAsia="Palatino Linotype" w:hAnsi="Palatino Linotype" w:cs="Palatino Linotype"/>
          <w:b/>
          <w:sz w:val="22"/>
          <w:szCs w:val="22"/>
        </w:rPr>
        <w:t>el</w:t>
      </w:r>
      <w:r w:rsidRPr="00B56066">
        <w:rPr>
          <w:rFonts w:ascii="Palatino Linotype" w:eastAsia="Palatino Linotype" w:hAnsi="Palatino Linotype" w:cs="Palatino Linotype"/>
          <w:sz w:val="22"/>
          <w:szCs w:val="22"/>
        </w:rPr>
        <w:t xml:space="preserve"> </w:t>
      </w:r>
      <w:r w:rsidRPr="00B56066">
        <w:rPr>
          <w:rFonts w:ascii="Palatino Linotype" w:eastAsia="Palatino Linotype" w:hAnsi="Palatino Linotype" w:cs="Palatino Linotype"/>
          <w:b/>
          <w:sz w:val="22"/>
          <w:szCs w:val="22"/>
        </w:rPr>
        <w:t>SAIMEX</w:t>
      </w:r>
      <w:r w:rsidRPr="00B56066">
        <w:rPr>
          <w:rFonts w:ascii="Palatino Linotype" w:eastAsia="Palatino Linotype" w:hAnsi="Palatino Linotype" w:cs="Palatino Linotype"/>
          <w:sz w:val="22"/>
          <w:szCs w:val="22"/>
        </w:rPr>
        <w:t>.</w:t>
      </w:r>
    </w:p>
    <w:p w14:paraId="669D3E16"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lastRenderedPageBreak/>
        <w:t xml:space="preserve">Finalmente, antes de entrar al estudio de la presente resolución es preciso determinar si resulta procedente la interposición del recurso de revisión, toda vez que se actualiza la hipótesis prevista en la </w:t>
      </w:r>
      <w:r w:rsidRPr="00B56066">
        <w:rPr>
          <w:rFonts w:ascii="Palatino Linotype" w:eastAsia="Palatino Linotype" w:hAnsi="Palatino Linotype" w:cs="Palatino Linotype"/>
          <w:b/>
          <w:sz w:val="22"/>
          <w:szCs w:val="22"/>
        </w:rPr>
        <w:t>fracción VII del artículo 179</w:t>
      </w:r>
      <w:r w:rsidRPr="00B56066">
        <w:rPr>
          <w:rFonts w:ascii="Palatino Linotype" w:eastAsia="Palatino Linotype" w:hAnsi="Palatino Linotype" w:cs="Palatino Linotype"/>
          <w:sz w:val="22"/>
          <w:szCs w:val="22"/>
        </w:rPr>
        <w:t xml:space="preserve"> de la ley de la materia, que a la letra dice:</w:t>
      </w:r>
    </w:p>
    <w:p w14:paraId="3963B533" w14:textId="77777777" w:rsidR="00B03F0C" w:rsidRPr="00B56066"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12B2BE3"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“Artículo 179. </w:t>
      </w:r>
      <w:r w:rsidRPr="00B56066">
        <w:rPr>
          <w:rFonts w:ascii="Palatino Linotype" w:eastAsia="Palatino Linotype" w:hAnsi="Palatino Linotype" w:cs="Palatino Linotype"/>
          <w:i/>
          <w:sz w:val="22"/>
          <w:szCs w:val="22"/>
        </w:rPr>
        <w:t>El recurso de revisión es un medio de protección que la Ley otorga a los particulares, para hacer valer su derecho de acceso a la información pública, y procederá en contra de las siguientes causas:</w:t>
      </w:r>
    </w:p>
    <w:p w14:paraId="303F6C72"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0C30281C"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VII. </w:t>
      </w:r>
      <w:r w:rsidRPr="00B56066">
        <w:rPr>
          <w:rFonts w:ascii="Palatino Linotype" w:eastAsia="Palatino Linotype" w:hAnsi="Palatino Linotype" w:cs="Palatino Linotype"/>
          <w:i/>
          <w:sz w:val="22"/>
          <w:szCs w:val="22"/>
        </w:rPr>
        <w:t>La falta de respuesta a una solicitud de acceso a la información;”</w:t>
      </w:r>
    </w:p>
    <w:p w14:paraId="2E7F73B8"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6A872080" w14:textId="77777777" w:rsidR="00B03F0C" w:rsidRPr="00B56066"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5CF6B35A"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El precepto legal citado, establece como supuesto de procedencia del recurso de revisión, en aquellos casos en que </w:t>
      </w:r>
      <w:r w:rsidRPr="00B56066">
        <w:rPr>
          <w:rFonts w:ascii="Palatino Linotype" w:eastAsia="Palatino Linotype" w:hAnsi="Palatino Linotype" w:cs="Palatino Linotype"/>
          <w:b/>
          <w:sz w:val="22"/>
          <w:szCs w:val="22"/>
        </w:rPr>
        <w:t xml:space="preserve">la parte Recurrente </w:t>
      </w:r>
      <w:r w:rsidRPr="00B56066">
        <w:rPr>
          <w:rFonts w:ascii="Palatino Linotype" w:eastAsia="Palatino Linotype" w:hAnsi="Palatino Linotype" w:cs="Palatino Linotype"/>
          <w:sz w:val="22"/>
          <w:szCs w:val="22"/>
        </w:rPr>
        <w:t xml:space="preserve">estime negado el acceso a la información por la falta de respuesta por </w:t>
      </w:r>
      <w:r w:rsidRPr="00B56066">
        <w:rPr>
          <w:rFonts w:ascii="Palatino Linotype" w:eastAsia="Palatino Linotype" w:hAnsi="Palatino Linotype" w:cs="Palatino Linotype"/>
          <w:b/>
          <w:sz w:val="22"/>
          <w:szCs w:val="22"/>
        </w:rPr>
        <w:t>el Sujeto Obligado,</w:t>
      </w:r>
      <w:r w:rsidRPr="00B56066">
        <w:rPr>
          <w:rFonts w:ascii="Palatino Linotype" w:eastAsia="Palatino Linotype" w:hAnsi="Palatino Linotype" w:cs="Palatino Linotype"/>
          <w:sz w:val="22"/>
          <w:szCs w:val="22"/>
        </w:rPr>
        <w:t xml:space="preserve"> en este asunto se actualiza la hipótesis jurídica citada, en atención a que </w:t>
      </w:r>
      <w:r w:rsidRPr="00B56066">
        <w:rPr>
          <w:rFonts w:ascii="Palatino Linotype" w:eastAsia="Palatino Linotype" w:hAnsi="Palatino Linotype" w:cs="Palatino Linotype"/>
          <w:b/>
          <w:sz w:val="22"/>
          <w:szCs w:val="22"/>
        </w:rPr>
        <w:t xml:space="preserve">la parte Recurrente </w:t>
      </w:r>
      <w:r w:rsidRPr="00B56066">
        <w:rPr>
          <w:rFonts w:ascii="Palatino Linotype" w:eastAsia="Palatino Linotype" w:hAnsi="Palatino Linotype" w:cs="Palatino Linotype"/>
          <w:sz w:val="22"/>
          <w:szCs w:val="22"/>
        </w:rPr>
        <w:t xml:space="preserve">combate falta de trámite por </w:t>
      </w:r>
      <w:r w:rsidRPr="00B56066">
        <w:rPr>
          <w:rFonts w:ascii="Palatino Linotype" w:eastAsia="Palatino Linotype" w:hAnsi="Palatino Linotype" w:cs="Palatino Linotype"/>
          <w:b/>
          <w:sz w:val="22"/>
          <w:szCs w:val="22"/>
        </w:rPr>
        <w:t>el Sujeto Obligado</w:t>
      </w:r>
      <w:r w:rsidRPr="00B56066">
        <w:rPr>
          <w:rFonts w:ascii="Palatino Linotype" w:eastAsia="Palatino Linotype" w:hAnsi="Palatino Linotype" w:cs="Palatino Linotype"/>
          <w:sz w:val="22"/>
          <w:szCs w:val="22"/>
        </w:rPr>
        <w:t xml:space="preserve"> y expresa motivos de inconformidad en contra de dicha circunstancia.</w:t>
      </w:r>
    </w:p>
    <w:p w14:paraId="7F4B7043"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0C1EC21D" w14:textId="77777777" w:rsidR="00B03F0C" w:rsidRPr="00B56066" w:rsidRDefault="00BD5FDB">
      <w:pPr>
        <w:tabs>
          <w:tab w:val="left" w:pos="8647"/>
        </w:tabs>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 xml:space="preserve">Tercero. Materia de la Revisión. </w:t>
      </w:r>
      <w:r w:rsidRPr="00B56066">
        <w:rPr>
          <w:rFonts w:ascii="Palatino Linotype" w:eastAsia="Palatino Linotype" w:hAnsi="Palatino Linotype" w:cs="Palatino Linotype"/>
          <w:sz w:val="22"/>
          <w:szCs w:val="22"/>
        </w:rPr>
        <w:t xml:space="preserve">Este Organismo Garante procede del análisis de los agravios hechos valer por </w:t>
      </w:r>
      <w:r w:rsidRPr="00B56066">
        <w:rPr>
          <w:rFonts w:ascii="Palatino Linotype" w:eastAsia="Palatino Linotype" w:hAnsi="Palatino Linotype" w:cs="Palatino Linotype"/>
          <w:b/>
          <w:sz w:val="22"/>
          <w:szCs w:val="22"/>
        </w:rPr>
        <w:t>la parte Recurrente,</w:t>
      </w:r>
      <w:r w:rsidRPr="00B56066">
        <w:rPr>
          <w:rFonts w:ascii="Palatino Linotype" w:eastAsia="Palatino Linotype" w:hAnsi="Palatino Linotype" w:cs="Palatino Linotype"/>
          <w:sz w:val="22"/>
          <w:szCs w:val="22"/>
        </w:rPr>
        <w:t xml:space="preserve"> a fin de determinar si se violenta en perjuicio de éste, el derecho de acceso a la información previsto en la Constitución Política de los Estados Unidos Mexicanos y en la Constitución Política del Estado Libre y Soberano de México. </w:t>
      </w:r>
    </w:p>
    <w:p w14:paraId="13098B1C" w14:textId="77777777" w:rsidR="00B03F0C" w:rsidRPr="00B56066" w:rsidRDefault="00B03F0C">
      <w:pPr>
        <w:tabs>
          <w:tab w:val="left" w:pos="8647"/>
        </w:tabs>
        <w:spacing w:line="360" w:lineRule="auto"/>
        <w:jc w:val="both"/>
        <w:rPr>
          <w:rFonts w:ascii="Palatino Linotype" w:eastAsia="Palatino Linotype" w:hAnsi="Palatino Linotype" w:cs="Palatino Linotype"/>
          <w:b/>
          <w:sz w:val="22"/>
          <w:szCs w:val="22"/>
        </w:rPr>
      </w:pPr>
    </w:p>
    <w:p w14:paraId="702A69F7" w14:textId="77777777" w:rsidR="00B03F0C" w:rsidRPr="00B56066" w:rsidRDefault="00BD5FDB">
      <w:pPr>
        <w:spacing w:line="360" w:lineRule="auto"/>
        <w:jc w:val="both"/>
        <w:rPr>
          <w:rFonts w:ascii="Palatino Linotype" w:eastAsia="Palatino Linotype" w:hAnsi="Palatino Linotype" w:cs="Palatino Linotype"/>
          <w:sz w:val="22"/>
          <w:szCs w:val="22"/>
        </w:rPr>
      </w:pPr>
      <w:bookmarkStart w:id="4" w:name="_heading=h.4d34og8" w:colFirst="0" w:colLast="0"/>
      <w:bookmarkEnd w:id="4"/>
      <w:r w:rsidRPr="00B56066">
        <w:rPr>
          <w:rFonts w:ascii="Palatino Linotype" w:eastAsia="Palatino Linotype" w:hAnsi="Palatino Linotype" w:cs="Palatino Linotype"/>
          <w:b/>
          <w:sz w:val="22"/>
          <w:szCs w:val="22"/>
        </w:rPr>
        <w:t xml:space="preserve">Cuarto. Estudio del asunto. </w:t>
      </w:r>
      <w:r w:rsidRPr="00B56066">
        <w:rPr>
          <w:rFonts w:ascii="Palatino Linotype" w:eastAsia="Palatino Linotype" w:hAnsi="Palatino Linotype" w:cs="Palatino Linotype"/>
          <w:sz w:val="22"/>
          <w:szCs w:val="22"/>
        </w:rPr>
        <w:t xml:space="preserve">Una vez determinada la vía sobre la que versará el presente recurso, y previa revisión del expediente del recurso de revisión materia de la presente </w:t>
      </w:r>
      <w:r w:rsidRPr="00B56066">
        <w:rPr>
          <w:rFonts w:ascii="Palatino Linotype" w:eastAsia="Palatino Linotype" w:hAnsi="Palatino Linotype" w:cs="Palatino Linotype"/>
          <w:sz w:val="22"/>
          <w:szCs w:val="22"/>
        </w:rPr>
        <w:lastRenderedPageBreak/>
        <w:t xml:space="preserve">resolución, se advierte que </w:t>
      </w:r>
      <w:r w:rsidRPr="00B56066">
        <w:rPr>
          <w:rFonts w:ascii="Palatino Linotype" w:eastAsia="Palatino Linotype" w:hAnsi="Palatino Linotype" w:cs="Palatino Linotype"/>
          <w:b/>
          <w:sz w:val="22"/>
          <w:szCs w:val="22"/>
        </w:rPr>
        <w:t>el Sujeto Obligado</w:t>
      </w:r>
      <w:r w:rsidRPr="00B56066">
        <w:rPr>
          <w:rFonts w:ascii="Palatino Linotype" w:eastAsia="Palatino Linotype" w:hAnsi="Palatino Linotype" w:cs="Palatino Linotype"/>
          <w:sz w:val="22"/>
          <w:szCs w:val="22"/>
        </w:rPr>
        <w:t xml:space="preserve"> no dio respuesta a la solicitud de información planteada por </w:t>
      </w:r>
      <w:r w:rsidRPr="00B56066">
        <w:rPr>
          <w:rFonts w:ascii="Palatino Linotype" w:eastAsia="Palatino Linotype" w:hAnsi="Palatino Linotype" w:cs="Palatino Linotype"/>
          <w:b/>
          <w:sz w:val="22"/>
          <w:szCs w:val="22"/>
        </w:rPr>
        <w:t>la parte Recurrente</w:t>
      </w:r>
      <w:r w:rsidRPr="00B56066">
        <w:rPr>
          <w:rFonts w:ascii="Palatino Linotype" w:eastAsia="Palatino Linotype" w:hAnsi="Palatino Linotype" w:cs="Palatino Linotype"/>
          <w:sz w:val="22"/>
          <w:szCs w:val="22"/>
        </w:rPr>
        <w:t xml:space="preserve">, lo que se traduce como la configuración de la </w:t>
      </w:r>
      <w:r w:rsidRPr="00B56066">
        <w:rPr>
          <w:rFonts w:ascii="Palatino Linotype" w:eastAsia="Palatino Linotype" w:hAnsi="Palatino Linotype" w:cs="Palatino Linotype"/>
          <w:b/>
          <w:sz w:val="22"/>
          <w:szCs w:val="22"/>
        </w:rPr>
        <w:t>NEGATIVA FICTA</w:t>
      </w:r>
      <w:r w:rsidRPr="00B56066">
        <w:rPr>
          <w:rFonts w:ascii="Palatino Linotype" w:eastAsia="Palatino Linotype" w:hAnsi="Palatino Linotype" w:cs="Palatino Linotype"/>
          <w:sz w:val="22"/>
          <w:szCs w:val="22"/>
        </w:rPr>
        <w:t xml:space="preserve">, situación que demuestra la existencia del acto impugnado y procedencia del motivo de inconformidad, que en términos generales consistente en que </w:t>
      </w:r>
      <w:r w:rsidRPr="00B56066">
        <w:rPr>
          <w:rFonts w:ascii="Palatino Linotype" w:eastAsia="Palatino Linotype" w:hAnsi="Palatino Linotype" w:cs="Palatino Linotype"/>
          <w:b/>
          <w:sz w:val="22"/>
          <w:szCs w:val="22"/>
        </w:rPr>
        <w:t>el Sujeto Obligado</w:t>
      </w:r>
      <w:r w:rsidRPr="00B56066">
        <w:rPr>
          <w:rFonts w:ascii="Palatino Linotype" w:eastAsia="Palatino Linotype" w:hAnsi="Palatino Linotype" w:cs="Palatino Linotype"/>
          <w:sz w:val="22"/>
          <w:szCs w:val="22"/>
        </w:rPr>
        <w:t xml:space="preserve"> no emitió respuesta a la solicitud de información, dentro del plazo legal previsto para ello.</w:t>
      </w:r>
    </w:p>
    <w:p w14:paraId="26301CCC" w14:textId="77777777" w:rsidR="00B03F0C" w:rsidRPr="00B56066" w:rsidRDefault="00B03F0C">
      <w:pPr>
        <w:spacing w:line="360" w:lineRule="auto"/>
        <w:jc w:val="both"/>
        <w:rPr>
          <w:rFonts w:ascii="Palatino Linotype" w:eastAsia="Palatino Linotype" w:hAnsi="Palatino Linotype" w:cs="Palatino Linotype"/>
        </w:rPr>
      </w:pPr>
    </w:p>
    <w:p w14:paraId="1ECD7F86"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Previo a exponer los argumentos que justifiquen la afirmación que antecede, es necesario precisar que, del análisis realizado a la solicitud formulada por </w:t>
      </w:r>
      <w:r w:rsidRPr="00B56066">
        <w:rPr>
          <w:rFonts w:ascii="Palatino Linotype" w:eastAsia="Palatino Linotype" w:hAnsi="Palatino Linotype" w:cs="Palatino Linotype"/>
          <w:b/>
          <w:sz w:val="22"/>
          <w:szCs w:val="22"/>
        </w:rPr>
        <w:t xml:space="preserve">la parte Recurrente, </w:t>
      </w:r>
      <w:r w:rsidRPr="00B56066">
        <w:rPr>
          <w:rFonts w:ascii="Palatino Linotype" w:eastAsia="Palatino Linotype" w:hAnsi="Palatino Linotype" w:cs="Palatino Linotype"/>
          <w:sz w:val="22"/>
          <w:szCs w:val="22"/>
        </w:rPr>
        <w:t xml:space="preserve">se advierte que requirió al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xml:space="preserve"> lo siguiente:</w:t>
      </w:r>
    </w:p>
    <w:p w14:paraId="4CA2011C" w14:textId="77777777" w:rsidR="00B03F0C" w:rsidRPr="00B56066" w:rsidRDefault="00B03F0C">
      <w:pPr>
        <w:spacing w:line="360" w:lineRule="auto"/>
        <w:jc w:val="both"/>
        <w:rPr>
          <w:rFonts w:ascii="Palatino Linotype" w:eastAsia="Palatino Linotype" w:hAnsi="Palatino Linotype" w:cs="Palatino Linotype"/>
        </w:rPr>
      </w:pPr>
    </w:p>
    <w:p w14:paraId="6EBE5046" w14:textId="049A07CB" w:rsidR="00280E91" w:rsidRPr="00B56066" w:rsidRDefault="00231D84" w:rsidP="00231D84">
      <w:pPr>
        <w:pStyle w:val="Prrafodelista"/>
        <w:numPr>
          <w:ilvl w:val="0"/>
          <w:numId w:val="8"/>
        </w:numPr>
        <w:pBdr>
          <w:top w:val="nil"/>
          <w:left w:val="nil"/>
          <w:bottom w:val="nil"/>
          <w:right w:val="nil"/>
          <w:between w:val="nil"/>
        </w:pBdr>
        <w:spacing w:line="360" w:lineRule="auto"/>
        <w:ind w:left="567" w:right="900" w:hanging="141"/>
        <w:jc w:val="both"/>
        <w:rPr>
          <w:rFonts w:ascii="Palatino Linotype" w:eastAsia="Palatino Linotype" w:hAnsi="Palatino Linotype" w:cs="Palatino Linotype"/>
          <w:sz w:val="22"/>
        </w:rPr>
      </w:pPr>
      <w:r w:rsidRPr="00B56066">
        <w:rPr>
          <w:rFonts w:ascii="Palatino Linotype" w:eastAsia="Palatino Linotype" w:hAnsi="Palatino Linotype" w:cs="Palatino Linotype"/>
          <w:b/>
          <w:sz w:val="22"/>
        </w:rPr>
        <w:t>Recibos de nómina de la primera quincena del 2025 de todo el personal del DIF</w:t>
      </w:r>
      <w:r w:rsidR="00E121A5" w:rsidRPr="00B56066">
        <w:rPr>
          <w:rFonts w:ascii="Palatino Linotype" w:eastAsia="Palatino Linotype" w:hAnsi="Palatino Linotype" w:cs="Palatino Linotype"/>
          <w:b/>
          <w:sz w:val="22"/>
        </w:rPr>
        <w:t>.</w:t>
      </w:r>
    </w:p>
    <w:p w14:paraId="64FB2D43" w14:textId="77777777" w:rsidR="00E121A5" w:rsidRPr="00B56066" w:rsidRDefault="00E121A5" w:rsidP="00E121A5">
      <w:pPr>
        <w:pStyle w:val="Prrafodelista"/>
        <w:pBdr>
          <w:top w:val="nil"/>
          <w:left w:val="nil"/>
          <w:bottom w:val="nil"/>
          <w:right w:val="nil"/>
          <w:between w:val="nil"/>
        </w:pBdr>
        <w:spacing w:line="360" w:lineRule="auto"/>
        <w:ind w:left="567" w:right="900"/>
        <w:jc w:val="both"/>
        <w:rPr>
          <w:rFonts w:ascii="Palatino Linotype" w:eastAsia="Palatino Linotype" w:hAnsi="Palatino Linotype" w:cs="Palatino Linotype"/>
          <w:sz w:val="22"/>
        </w:rPr>
      </w:pPr>
    </w:p>
    <w:p w14:paraId="161A76B5"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Precisado lo anterior, se procede al análisis del presente recurso, así como al contenido íntegro de las actuaciones que obran en el expediente electrónico, para así estar en posibilidad este Organismo Garante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1048B92D"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50F4A865" w14:textId="77777777" w:rsidR="00B03F0C" w:rsidRPr="00B56066" w:rsidRDefault="00BD5FDB">
      <w:pPr>
        <w:tabs>
          <w:tab w:val="left" w:pos="709"/>
        </w:tabs>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En primer lugar, es menester mencionar que el derecho de acceso a la información está consagrado en instrumentos internacionales de los cuales el Estado Mexicano se ha </w:t>
      </w:r>
      <w:r w:rsidRPr="00B56066">
        <w:rPr>
          <w:rFonts w:ascii="Palatino Linotype" w:eastAsia="Palatino Linotype" w:hAnsi="Palatino Linotype" w:cs="Palatino Linotype"/>
          <w:sz w:val="22"/>
          <w:szCs w:val="22"/>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54ED1B9B" w14:textId="77777777" w:rsidR="00B03F0C" w:rsidRPr="00B56066" w:rsidRDefault="00B03F0C">
      <w:pPr>
        <w:tabs>
          <w:tab w:val="left" w:pos="709"/>
        </w:tabs>
        <w:spacing w:line="360" w:lineRule="auto"/>
        <w:jc w:val="both"/>
        <w:rPr>
          <w:rFonts w:ascii="Palatino Linotype" w:eastAsia="Palatino Linotype" w:hAnsi="Palatino Linotype" w:cs="Palatino Linotype"/>
        </w:rPr>
      </w:pPr>
    </w:p>
    <w:p w14:paraId="2748FF3F" w14:textId="77777777" w:rsidR="00B03F0C" w:rsidRPr="00B56066"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u w:val="single"/>
        </w:rPr>
        <w:t>Artículo 1o. En los Estados Unidos Mexicanos todas las personas gozarán de los derechos humanos reconocidos en esta Constitución y en los tratados internacionales de los que el Estado Mexicano sea parte</w:t>
      </w:r>
      <w:r w:rsidRPr="00B56066">
        <w:rPr>
          <w:rFonts w:ascii="Palatino Linotype" w:eastAsia="Palatino Linotype" w:hAnsi="Palatino Linotype" w:cs="Palatino Linotype"/>
          <w:i/>
          <w:sz w:val="22"/>
          <w:szCs w:val="22"/>
        </w:rPr>
        <w:t>, así como de las garantías para su protección, cuyo ejercicio no podrá restringirse ni suspenderse, salvo en los casos y bajo las condiciones que esta Constitución establece.</w:t>
      </w:r>
    </w:p>
    <w:p w14:paraId="3674E9FB" w14:textId="77777777" w:rsidR="00B03F0C" w:rsidRPr="00B56066" w:rsidRDefault="00BD5FDB" w:rsidP="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B56066">
        <w:rPr>
          <w:rFonts w:ascii="Palatino Linotype" w:eastAsia="Palatino Linotype" w:hAnsi="Palatino Linotype" w:cs="Palatino Linotype"/>
          <w:b/>
          <w:i/>
          <w:sz w:val="22"/>
          <w:szCs w:val="22"/>
        </w:rPr>
        <w:t>Las normas relativas a los derechos humanos se interpretarán de conformidad con esta Constitución y con los tratados internacionales de la materia favoreciendo en todo tiempo a las personas la protección más amplia.</w:t>
      </w:r>
    </w:p>
    <w:p w14:paraId="3E4110B5"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56066">
        <w:rPr>
          <w:rFonts w:ascii="Palatino Linotype" w:eastAsia="Palatino Linotype" w:hAnsi="Palatino Linotype" w:cs="Palatino Linotype"/>
          <w:i/>
          <w:sz w:val="22"/>
          <w:szCs w:val="22"/>
        </w:rPr>
        <w:t xml:space="preserve"> En consecuencia, el Estado deberá prevenir, investigar, sancionar y reparar las violaciones a los derechos humanos, en los términos que establezca la ley</w:t>
      </w:r>
    </w:p>
    <w:p w14:paraId="612AD761"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526234AE" w14:textId="77777777" w:rsidR="004F03FA" w:rsidRPr="00B56066" w:rsidRDefault="004F03FA" w:rsidP="004F03FA">
      <w:pPr>
        <w:pBdr>
          <w:top w:val="nil"/>
          <w:left w:val="nil"/>
          <w:bottom w:val="nil"/>
          <w:right w:val="nil"/>
          <w:between w:val="nil"/>
        </w:pBdr>
        <w:spacing w:before="240" w:after="240"/>
        <w:ind w:left="851" w:right="901"/>
        <w:jc w:val="both"/>
      </w:pPr>
      <w:r w:rsidRPr="00B56066">
        <w:rPr>
          <w:rFonts w:ascii="Palatino Linotype" w:eastAsia="Palatino Linotype" w:hAnsi="Palatino Linotype" w:cs="Palatino Linotype"/>
          <w:b/>
          <w:i/>
          <w:sz w:val="22"/>
          <w:szCs w:val="22"/>
        </w:rPr>
        <w:t>“Artículo 6o.</w:t>
      </w:r>
    </w:p>
    <w:p w14:paraId="1C8BE163" w14:textId="77777777" w:rsidR="004F03FA" w:rsidRPr="00B56066" w:rsidRDefault="004F03FA" w:rsidP="004F03FA">
      <w:pPr>
        <w:pBdr>
          <w:top w:val="nil"/>
          <w:left w:val="nil"/>
          <w:bottom w:val="nil"/>
          <w:right w:val="nil"/>
          <w:between w:val="nil"/>
        </w:pBdr>
        <w:spacing w:before="240" w:after="240"/>
        <w:ind w:left="851" w:right="901"/>
        <w:jc w:val="both"/>
      </w:pPr>
      <w:r w:rsidRPr="00B56066">
        <w:rPr>
          <w:rFonts w:ascii="Palatino Linotype" w:eastAsia="Palatino Linotype" w:hAnsi="Palatino Linotype" w:cs="Palatino Linotype"/>
          <w:i/>
          <w:sz w:val="22"/>
          <w:szCs w:val="22"/>
        </w:rPr>
        <w:t>[...]</w:t>
      </w:r>
    </w:p>
    <w:p w14:paraId="3D525534" w14:textId="77777777" w:rsidR="004F03FA" w:rsidRPr="00B56066"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A. Para el ejercicio del derecho de acceso a la información, la Federación y </w:t>
      </w:r>
      <w:r w:rsidRPr="00B56066">
        <w:rPr>
          <w:rFonts w:ascii="Palatino Linotype" w:eastAsia="Palatino Linotype" w:hAnsi="Palatino Linotype" w:cs="Palatino Linotype"/>
          <w:b/>
          <w:i/>
          <w:sz w:val="22"/>
          <w:szCs w:val="22"/>
          <w:u w:val="single"/>
        </w:rPr>
        <w:t>las entidades federativas</w:t>
      </w:r>
      <w:r w:rsidRPr="00B56066">
        <w:rPr>
          <w:rFonts w:ascii="Palatino Linotype" w:eastAsia="Palatino Linotype" w:hAnsi="Palatino Linotype" w:cs="Palatino Linotype"/>
          <w:b/>
          <w:i/>
          <w:sz w:val="22"/>
          <w:szCs w:val="22"/>
        </w:rPr>
        <w:t>,</w:t>
      </w:r>
      <w:r w:rsidRPr="00B56066">
        <w:rPr>
          <w:rFonts w:ascii="Palatino Linotype" w:eastAsia="Palatino Linotype" w:hAnsi="Palatino Linotype" w:cs="Palatino Linotype"/>
          <w:i/>
          <w:sz w:val="22"/>
          <w:szCs w:val="22"/>
        </w:rPr>
        <w:t xml:space="preserve"> en el ámbito de sus respectivas competencias, se regirán por los siguientes principios y bases:</w:t>
      </w:r>
    </w:p>
    <w:p w14:paraId="1A9B753F" w14:textId="77777777" w:rsidR="004F03FA" w:rsidRPr="00B56066"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 </w:t>
      </w:r>
      <w:r w:rsidRPr="00B56066">
        <w:rPr>
          <w:rFonts w:ascii="Palatino Linotype" w:eastAsia="Palatino Linotype" w:hAnsi="Palatino Linotype" w:cs="Palatino Linotype"/>
          <w:b/>
          <w:i/>
          <w:sz w:val="22"/>
          <w:szCs w:val="22"/>
        </w:rPr>
        <w:t xml:space="preserve">I. </w:t>
      </w:r>
      <w:r w:rsidRPr="00B56066">
        <w:rPr>
          <w:rFonts w:ascii="Palatino Linotype" w:eastAsia="Palatino Linotype" w:hAnsi="Palatino Linotype" w:cs="Palatino Linotype"/>
          <w:b/>
          <w:i/>
          <w:sz w:val="22"/>
          <w:szCs w:val="22"/>
          <w:u w:val="single"/>
        </w:rPr>
        <w:t>Toda la información en posesión de cualquier autoridad, entidad, órgano y organismo de los Poderes</w:t>
      </w:r>
      <w:r w:rsidRPr="00B56066">
        <w:rPr>
          <w:rFonts w:ascii="Palatino Linotype" w:eastAsia="Palatino Linotype" w:hAnsi="Palatino Linotype" w:cs="Palatino Linotype"/>
          <w:i/>
          <w:sz w:val="22"/>
          <w:szCs w:val="22"/>
        </w:rPr>
        <w:t xml:space="preserve"> Ejecutivo, Legislativo y Judicial, órganos </w:t>
      </w:r>
      <w:r w:rsidRPr="00B56066">
        <w:rPr>
          <w:rFonts w:ascii="Palatino Linotype" w:eastAsia="Palatino Linotype" w:hAnsi="Palatino Linotype" w:cs="Palatino Linotype"/>
          <w:i/>
          <w:sz w:val="22"/>
          <w:szCs w:val="22"/>
        </w:rPr>
        <w:lastRenderedPageBreak/>
        <w:t xml:space="preserve">autónomos, partidos políticos, fideicomisos y fondos públicos, así como de cualquier persona física, moral o sindicato que reciba y ejerza recursos públicos o realice actos de autoridad en el ámbito federal, estatal y municipal, </w:t>
      </w:r>
      <w:r w:rsidRPr="00B56066">
        <w:rPr>
          <w:rFonts w:ascii="Palatino Linotype" w:eastAsia="Palatino Linotype" w:hAnsi="Palatino Linotype" w:cs="Palatino Linotype"/>
          <w:b/>
          <w:i/>
          <w:sz w:val="22"/>
          <w:szCs w:val="22"/>
        </w:rPr>
        <w:t>es pública y sólo podrá ser reservada temporalmente por razones de interés público y seguridad nacional,</w:t>
      </w:r>
      <w:r w:rsidRPr="00B56066">
        <w:rPr>
          <w:rFonts w:ascii="Palatino Linotype" w:eastAsia="Palatino Linotype" w:hAnsi="Palatino Linotype" w:cs="Palatino Linotype"/>
          <w:i/>
          <w:sz w:val="22"/>
          <w:szCs w:val="22"/>
        </w:rPr>
        <w:t xml:space="preserve">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8EDC50E" w14:textId="77777777" w:rsidR="004F03FA" w:rsidRPr="00B56066" w:rsidRDefault="004F03FA" w:rsidP="004F03FA">
      <w:pPr>
        <w:pBdr>
          <w:top w:val="nil"/>
          <w:left w:val="nil"/>
          <w:bottom w:val="nil"/>
          <w:right w:val="nil"/>
          <w:between w:val="nil"/>
        </w:pBdr>
        <w:spacing w:before="240" w:after="240"/>
        <w:ind w:left="851" w:right="851"/>
        <w:jc w:val="both"/>
        <w:rPr>
          <w:rFonts w:ascii="Palatino Linotype" w:hAnsi="Palatino Linotype"/>
          <w:b/>
          <w:i/>
          <w:sz w:val="22"/>
        </w:rPr>
      </w:pPr>
      <w:r w:rsidRPr="00B56066">
        <w:rPr>
          <w:rFonts w:ascii="Palatino Linotype" w:hAnsi="Palatino Linotype"/>
          <w:b/>
          <w:i/>
          <w:sz w:val="22"/>
        </w:rPr>
        <w:t>II. La información que se refiere a la vida privada y los datos personales será protegida en los términos y con las excepciones que fijen las leyes. Para tal efecto, los sujetos obligados contarán con las facultades suficientes para su atención.</w:t>
      </w:r>
    </w:p>
    <w:p w14:paraId="34AD9BC1" w14:textId="77777777" w:rsidR="004F03FA" w:rsidRPr="00B56066" w:rsidRDefault="004F03FA" w:rsidP="004F03FA">
      <w:pPr>
        <w:pBdr>
          <w:top w:val="nil"/>
          <w:left w:val="nil"/>
          <w:bottom w:val="nil"/>
          <w:right w:val="nil"/>
          <w:between w:val="nil"/>
        </w:pBdr>
        <w:spacing w:before="240" w:after="240"/>
        <w:ind w:left="851" w:right="851"/>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 </w:t>
      </w:r>
      <w:r w:rsidRPr="00B56066">
        <w:rPr>
          <w:rFonts w:ascii="Palatino Linotype" w:eastAsia="Palatino Linotype" w:hAnsi="Palatino Linotype" w:cs="Palatino Linotype"/>
          <w:b/>
          <w:i/>
          <w:sz w:val="22"/>
          <w:szCs w:val="22"/>
        </w:rPr>
        <w:t xml:space="preserve">III. </w:t>
      </w:r>
      <w:r w:rsidRPr="00B56066">
        <w:rPr>
          <w:rFonts w:ascii="Palatino Linotype" w:eastAsia="Palatino Linotype" w:hAnsi="Palatino Linotype" w:cs="Palatino Linotype"/>
          <w:b/>
          <w:i/>
          <w:sz w:val="22"/>
          <w:szCs w:val="22"/>
          <w:u w:val="single"/>
        </w:rPr>
        <w:t>Toda persona, sin necesidad de acreditar interés alguno o justificar su utilización, tendrá acceso gratuito a la información pública,</w:t>
      </w:r>
      <w:r w:rsidRPr="00B56066">
        <w:rPr>
          <w:rFonts w:ascii="Palatino Linotype" w:eastAsia="Palatino Linotype" w:hAnsi="Palatino Linotype" w:cs="Palatino Linotype"/>
          <w:i/>
          <w:sz w:val="22"/>
          <w:szCs w:val="22"/>
        </w:rPr>
        <w:t xml:space="preserve"> a sus datos personales o a la rectificación de éstos.</w:t>
      </w:r>
    </w:p>
    <w:p w14:paraId="033D03A6" w14:textId="77777777" w:rsidR="004F03FA" w:rsidRPr="00B56066" w:rsidRDefault="004F03FA" w:rsidP="004F03FA">
      <w:pPr>
        <w:pBdr>
          <w:top w:val="nil"/>
          <w:left w:val="nil"/>
          <w:bottom w:val="nil"/>
          <w:right w:val="nil"/>
          <w:between w:val="nil"/>
        </w:pBdr>
        <w:spacing w:before="240" w:after="240"/>
        <w:ind w:left="851" w:right="851"/>
        <w:jc w:val="both"/>
      </w:pPr>
      <w:r w:rsidRPr="00B56066">
        <w:rPr>
          <w:rFonts w:ascii="Palatino Linotype" w:eastAsia="Palatino Linotype" w:hAnsi="Palatino Linotype" w:cs="Palatino Linotype"/>
          <w:b/>
          <w:i/>
          <w:sz w:val="22"/>
          <w:szCs w:val="22"/>
        </w:rPr>
        <w:t>…</w:t>
      </w:r>
    </w:p>
    <w:p w14:paraId="56C1A430" w14:textId="77777777" w:rsidR="004F03FA" w:rsidRPr="00B56066" w:rsidRDefault="004F03FA" w:rsidP="004F03FA">
      <w:pPr>
        <w:pBdr>
          <w:top w:val="nil"/>
          <w:left w:val="nil"/>
          <w:bottom w:val="nil"/>
          <w:right w:val="nil"/>
          <w:between w:val="nil"/>
        </w:pBdr>
        <w:spacing w:before="240" w:after="240"/>
        <w:ind w:left="851" w:right="851"/>
        <w:jc w:val="both"/>
        <w:rPr>
          <w:rFonts w:ascii="Palatino Linotype" w:hAnsi="Palatino Linotype"/>
          <w:i/>
          <w:sz w:val="22"/>
        </w:rPr>
      </w:pPr>
      <w:r w:rsidRPr="00B56066">
        <w:rPr>
          <w:rFonts w:ascii="Palatino Linotype" w:hAnsi="Palatino Linotype"/>
          <w:b/>
          <w:i/>
          <w:sz w:val="22"/>
        </w:rPr>
        <w:t>IV.</w:t>
      </w:r>
      <w:r w:rsidRPr="00B56066">
        <w:rPr>
          <w:rFonts w:ascii="Palatino Linotype" w:hAnsi="Palatino Linotype"/>
          <w:i/>
          <w:sz w:val="22"/>
        </w:rPr>
        <w:t xml:space="preserve"> Se establecerán mecanismos de acceso a la información pública y procedimientos de revisión expeditos que se sustanciarán ante las instancias competentes en los términos que fija esta Constitución y las leyes.</w:t>
      </w:r>
    </w:p>
    <w:p w14:paraId="5DC497B6" w14:textId="77777777" w:rsidR="004F03FA" w:rsidRPr="00B56066" w:rsidRDefault="004F03FA" w:rsidP="004F03FA">
      <w:pPr>
        <w:pBdr>
          <w:top w:val="nil"/>
          <w:left w:val="nil"/>
          <w:bottom w:val="nil"/>
          <w:right w:val="nil"/>
          <w:between w:val="nil"/>
        </w:pBdr>
        <w:spacing w:before="240" w:after="240"/>
        <w:ind w:left="851" w:right="851"/>
        <w:jc w:val="both"/>
      </w:pPr>
      <w:r w:rsidRPr="00B56066">
        <w:rPr>
          <w:rFonts w:ascii="Palatino Linotype" w:eastAsia="Palatino Linotype" w:hAnsi="Palatino Linotype" w:cs="Palatino Linotype"/>
          <w:b/>
          <w:i/>
          <w:sz w:val="22"/>
          <w:szCs w:val="22"/>
        </w:rPr>
        <w:t xml:space="preserve">V. </w:t>
      </w:r>
      <w:r w:rsidRPr="00B56066">
        <w:rPr>
          <w:rFonts w:ascii="Palatino Linotype" w:eastAsia="Palatino Linotype" w:hAnsi="Palatino Linotype" w:cs="Palatino Linotype"/>
          <w:i/>
          <w:sz w:val="22"/>
          <w:szCs w:val="22"/>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9FCFC87" w14:textId="77777777" w:rsidR="004F03FA" w:rsidRPr="00B56066" w:rsidRDefault="004F03FA" w:rsidP="004F03FA">
      <w:pPr>
        <w:pBdr>
          <w:top w:val="nil"/>
          <w:left w:val="nil"/>
          <w:bottom w:val="nil"/>
          <w:right w:val="nil"/>
          <w:between w:val="nil"/>
        </w:pBdr>
        <w:spacing w:before="240" w:after="240"/>
        <w:ind w:left="851" w:right="851"/>
        <w:jc w:val="both"/>
      </w:pPr>
      <w:r w:rsidRPr="00B56066">
        <w:rPr>
          <w:rFonts w:ascii="Palatino Linotype" w:eastAsia="Palatino Linotype" w:hAnsi="Palatino Linotype" w:cs="Palatino Linotype"/>
          <w:i/>
          <w:sz w:val="22"/>
          <w:szCs w:val="22"/>
        </w:rPr>
        <w:t> </w:t>
      </w:r>
      <w:r w:rsidRPr="00B56066">
        <w:rPr>
          <w:rFonts w:ascii="Palatino Linotype" w:eastAsia="Palatino Linotype" w:hAnsi="Palatino Linotype" w:cs="Palatino Linotype"/>
          <w:b/>
          <w:i/>
          <w:sz w:val="22"/>
          <w:szCs w:val="22"/>
        </w:rPr>
        <w:t xml:space="preserve">VI. </w:t>
      </w:r>
      <w:r w:rsidRPr="00B56066">
        <w:rPr>
          <w:rFonts w:ascii="Palatino Linotype" w:eastAsia="Palatino Linotype" w:hAnsi="Palatino Linotype" w:cs="Palatino Linotype"/>
          <w:i/>
          <w:sz w:val="22"/>
          <w:szCs w:val="22"/>
        </w:rPr>
        <w:t>Las leyes determinarán la manera en que los sujetos obligados deberán hacer pública la información relativa a los recursos públicos que entreguen a personas físicas o morales.</w:t>
      </w:r>
    </w:p>
    <w:p w14:paraId="5970B7F5" w14:textId="77777777" w:rsidR="004F03FA" w:rsidRPr="00B56066" w:rsidRDefault="004F03FA" w:rsidP="004F03FA">
      <w:pPr>
        <w:pBdr>
          <w:top w:val="nil"/>
          <w:left w:val="nil"/>
          <w:bottom w:val="nil"/>
          <w:right w:val="nil"/>
          <w:between w:val="nil"/>
        </w:pBdr>
        <w:spacing w:before="240" w:after="240"/>
        <w:ind w:left="851" w:right="851"/>
        <w:jc w:val="both"/>
      </w:pPr>
      <w:r w:rsidRPr="00B56066">
        <w:rPr>
          <w:rFonts w:ascii="Palatino Linotype" w:eastAsia="Palatino Linotype" w:hAnsi="Palatino Linotype" w:cs="Palatino Linotype"/>
          <w:i/>
          <w:sz w:val="22"/>
          <w:szCs w:val="22"/>
        </w:rPr>
        <w:t> </w:t>
      </w:r>
      <w:r w:rsidRPr="00B56066">
        <w:rPr>
          <w:rFonts w:ascii="Palatino Linotype" w:eastAsia="Palatino Linotype" w:hAnsi="Palatino Linotype" w:cs="Palatino Linotype"/>
          <w:b/>
          <w:i/>
          <w:sz w:val="22"/>
          <w:szCs w:val="22"/>
        </w:rPr>
        <w:t xml:space="preserve">VII. </w:t>
      </w:r>
      <w:r w:rsidRPr="00B56066">
        <w:rPr>
          <w:rFonts w:ascii="Palatino Linotype" w:eastAsia="Palatino Linotype" w:hAnsi="Palatino Linotype" w:cs="Palatino Linotype"/>
          <w:i/>
          <w:sz w:val="22"/>
          <w:szCs w:val="22"/>
        </w:rPr>
        <w:t>La inobservancia a las disposiciones en materia de acceso a la información pública será sancionada en los términos que dispongan las leyes. [...]”</w:t>
      </w:r>
    </w:p>
    <w:p w14:paraId="57CFB766" w14:textId="77777777" w:rsidR="00B03F0C" w:rsidRPr="00B56066" w:rsidRDefault="00BD5FDB">
      <w:pPr>
        <w:tabs>
          <w:tab w:val="left" w:pos="709"/>
        </w:tabs>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lastRenderedPageBreak/>
        <w:t>Así, de la interpretación sistémica de los numerales inmersos en el instrumento legal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los Sujetos Obligados deben cumplir con dichos dispositivos legales.</w:t>
      </w:r>
    </w:p>
    <w:p w14:paraId="79850AC1"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En ese orden de ideas, la Ley de Transparencia y Acceso a la Información Pública del Estado de México y Municipios, prevé en su artículo 23, lo siguiente:</w:t>
      </w:r>
    </w:p>
    <w:p w14:paraId="7FFA7AAE" w14:textId="77777777" w:rsidR="00B03F0C" w:rsidRPr="00B56066" w:rsidRDefault="00B03F0C">
      <w:pPr>
        <w:spacing w:line="360" w:lineRule="auto"/>
        <w:jc w:val="both"/>
        <w:rPr>
          <w:rFonts w:ascii="Palatino Linotype" w:eastAsia="Palatino Linotype" w:hAnsi="Palatino Linotype" w:cs="Palatino Linotype"/>
        </w:rPr>
      </w:pPr>
    </w:p>
    <w:p w14:paraId="47416D0E" w14:textId="77777777" w:rsidR="00B03F0C" w:rsidRPr="00B56066"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w:t>
      </w:r>
      <w:r w:rsidR="00BD5FDB" w:rsidRPr="00B56066">
        <w:rPr>
          <w:rFonts w:ascii="Palatino Linotype" w:eastAsia="Palatino Linotype" w:hAnsi="Palatino Linotype" w:cs="Palatino Linotype"/>
          <w:b/>
          <w:i/>
          <w:sz w:val="22"/>
          <w:szCs w:val="22"/>
        </w:rPr>
        <w:t>Artículo 23. Son sujetos obligados a transparentar y permitir el acceso a su información y proteger los datos personales que obren en su poder</w:t>
      </w:r>
      <w:r w:rsidR="00BD5FDB" w:rsidRPr="00B56066">
        <w:rPr>
          <w:rFonts w:ascii="Palatino Linotype" w:eastAsia="Palatino Linotype" w:hAnsi="Palatino Linotype" w:cs="Palatino Linotype"/>
          <w:i/>
          <w:sz w:val="22"/>
          <w:szCs w:val="22"/>
        </w:rPr>
        <w:t>:</w:t>
      </w:r>
    </w:p>
    <w:p w14:paraId="34019810"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b/>
          <w:i/>
          <w:sz w:val="22"/>
          <w:szCs w:val="22"/>
        </w:rPr>
      </w:pPr>
      <w:r w:rsidRPr="00B56066">
        <w:rPr>
          <w:rFonts w:ascii="Palatino Linotype" w:eastAsia="Palatino Linotype" w:hAnsi="Palatino Linotype" w:cs="Palatino Linotype"/>
          <w:b/>
          <w:i/>
          <w:sz w:val="22"/>
          <w:szCs w:val="22"/>
        </w:rPr>
        <w:t>I.</w:t>
      </w:r>
      <w:r w:rsidRPr="00B56066">
        <w:rPr>
          <w:rFonts w:ascii="Palatino Linotype" w:eastAsia="Palatino Linotype" w:hAnsi="Palatino Linotype" w:cs="Palatino Linotype"/>
          <w:i/>
          <w:sz w:val="22"/>
          <w:szCs w:val="22"/>
        </w:rPr>
        <w:t xml:space="preserve"> El Poder Ejecutivo del Estado de México, las dependencias, organismos auxiliares,</w:t>
      </w:r>
      <w:r w:rsidRPr="00B56066">
        <w:rPr>
          <w:rFonts w:ascii="Palatino Linotype" w:eastAsia="Palatino Linotype" w:hAnsi="Palatino Linotype" w:cs="Palatino Linotype"/>
          <w:b/>
          <w:i/>
          <w:sz w:val="22"/>
          <w:szCs w:val="22"/>
        </w:rPr>
        <w:t xml:space="preserve"> </w:t>
      </w:r>
      <w:r w:rsidRPr="00B56066">
        <w:rPr>
          <w:rFonts w:ascii="Palatino Linotype" w:eastAsia="Palatino Linotype" w:hAnsi="Palatino Linotype" w:cs="Palatino Linotype"/>
          <w:i/>
          <w:sz w:val="22"/>
          <w:szCs w:val="22"/>
        </w:rPr>
        <w:t>órganos, entidades, fideicomisos y fondos públicos, así como la Procuraduría General de Justicia;</w:t>
      </w:r>
    </w:p>
    <w:p w14:paraId="3C337FD2"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II.</w:t>
      </w:r>
      <w:r w:rsidRPr="00B56066">
        <w:rPr>
          <w:rFonts w:ascii="Palatino Linotype" w:eastAsia="Palatino Linotype" w:hAnsi="Palatino Linotype" w:cs="Palatino Linotype"/>
          <w:i/>
          <w:sz w:val="22"/>
          <w:szCs w:val="22"/>
        </w:rPr>
        <w:t xml:space="preserve"> El Poder Legislativo del Estado, los organismos, órganos y entidades de la Legislatura y sus dependencias;</w:t>
      </w:r>
    </w:p>
    <w:p w14:paraId="1EBB653F"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III.</w:t>
      </w:r>
      <w:r w:rsidRPr="00B56066">
        <w:rPr>
          <w:rFonts w:ascii="Palatino Linotype" w:eastAsia="Palatino Linotype" w:hAnsi="Palatino Linotype" w:cs="Palatino Linotype"/>
          <w:i/>
          <w:sz w:val="22"/>
          <w:szCs w:val="22"/>
        </w:rPr>
        <w:t xml:space="preserve"> El Poder Judicial, sus organismos, órganos y entidades, así como el Consejo de la Judicatura del Estado;</w:t>
      </w:r>
    </w:p>
    <w:p w14:paraId="1627E015"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IV. Los ayuntamientos y las dependencias, organismos, órganos y entidades de la administración municipal;</w:t>
      </w:r>
    </w:p>
    <w:p w14:paraId="12CC2FF7"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V.</w:t>
      </w:r>
      <w:r w:rsidRPr="00B56066">
        <w:rPr>
          <w:rFonts w:ascii="Palatino Linotype" w:eastAsia="Palatino Linotype" w:hAnsi="Palatino Linotype" w:cs="Palatino Linotype"/>
          <w:i/>
          <w:sz w:val="22"/>
          <w:szCs w:val="22"/>
        </w:rPr>
        <w:t xml:space="preserve"> Los órganos autónomos;</w:t>
      </w:r>
    </w:p>
    <w:p w14:paraId="3E58E242"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VI.</w:t>
      </w:r>
      <w:r w:rsidRPr="00B56066">
        <w:rPr>
          <w:rFonts w:ascii="Palatino Linotype" w:eastAsia="Palatino Linotype" w:hAnsi="Palatino Linotype" w:cs="Palatino Linotype"/>
          <w:i/>
          <w:sz w:val="22"/>
          <w:szCs w:val="22"/>
        </w:rPr>
        <w:t xml:space="preserve"> Los tribunales administrativos y autoridades jurisdiccionales en materia laboral;</w:t>
      </w:r>
    </w:p>
    <w:p w14:paraId="72ECDB69"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VII.</w:t>
      </w:r>
      <w:r w:rsidRPr="00B56066">
        <w:rPr>
          <w:rFonts w:ascii="Palatino Linotype" w:eastAsia="Palatino Linotype" w:hAnsi="Palatino Linotype" w:cs="Palatino Linotype"/>
          <w:i/>
          <w:sz w:val="22"/>
          <w:szCs w:val="22"/>
        </w:rPr>
        <w:t xml:space="preserve"> Los partidos políticos y agrupaciones políticas, en los términos de las disposiciones aplicables;</w:t>
      </w:r>
    </w:p>
    <w:p w14:paraId="03AA3865"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VIII.</w:t>
      </w:r>
      <w:r w:rsidRPr="00B56066">
        <w:rPr>
          <w:rFonts w:ascii="Palatino Linotype" w:eastAsia="Palatino Linotype" w:hAnsi="Palatino Linotype" w:cs="Palatino Linotype"/>
          <w:i/>
          <w:sz w:val="22"/>
          <w:szCs w:val="22"/>
        </w:rPr>
        <w:t xml:space="preserve"> Los fideicomisos y fondos públicos que cuenten con financiamiento público, parcial o total, o con participación de entidades de gobierno;</w:t>
      </w:r>
    </w:p>
    <w:p w14:paraId="344227E0"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lastRenderedPageBreak/>
        <w:t>IX.</w:t>
      </w:r>
      <w:r w:rsidRPr="00B56066">
        <w:rPr>
          <w:rFonts w:ascii="Palatino Linotype" w:eastAsia="Palatino Linotype" w:hAnsi="Palatino Linotype" w:cs="Palatino Linotype"/>
          <w:i/>
          <w:sz w:val="22"/>
          <w:szCs w:val="22"/>
        </w:rPr>
        <w:t xml:space="preserve"> Los sindicatos que reciban y/o ejerzan recursos públicos en el ámbito estatal y municipal;</w:t>
      </w:r>
    </w:p>
    <w:p w14:paraId="69008427"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X.</w:t>
      </w:r>
      <w:r w:rsidRPr="00B56066">
        <w:rPr>
          <w:rFonts w:ascii="Palatino Linotype" w:eastAsia="Palatino Linotype" w:hAnsi="Palatino Linotype" w:cs="Palatino Linotype"/>
          <w:i/>
          <w:sz w:val="22"/>
          <w:szCs w:val="22"/>
        </w:rPr>
        <w:t xml:space="preserve"> Cualquier persona física o jurídico colectiva que reciba y ejerza recursos públicos en el ámbito estatal o municipal; y</w:t>
      </w:r>
    </w:p>
    <w:p w14:paraId="53DACCD2"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XI.</w:t>
      </w:r>
      <w:r w:rsidRPr="00B56066">
        <w:rPr>
          <w:rFonts w:ascii="Palatino Linotype" w:eastAsia="Palatino Linotype" w:hAnsi="Palatino Linotype" w:cs="Palatino Linotype"/>
          <w:i/>
          <w:sz w:val="22"/>
          <w:szCs w:val="22"/>
        </w:rPr>
        <w:t xml:space="preserve"> Cualquier otra autoridad, entidad, órgano u organismo de los poderes estatal o municipal, que reciba recursos públicos.</w:t>
      </w:r>
    </w:p>
    <w:p w14:paraId="0BF06969"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2108A1CF"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Los servidores públicos deberán transparentar sus acciones, así como garantizar y respetar el derecho de acceso a la información pública</w:t>
      </w:r>
      <w:r w:rsidRPr="00B56066">
        <w:rPr>
          <w:rFonts w:ascii="Palatino Linotype" w:eastAsia="Palatino Linotype" w:hAnsi="Palatino Linotype" w:cs="Palatino Linotype"/>
          <w:i/>
          <w:sz w:val="22"/>
          <w:szCs w:val="22"/>
        </w:rPr>
        <w:t>.</w:t>
      </w:r>
      <w:r w:rsidR="00280E91" w:rsidRPr="00B56066">
        <w:rPr>
          <w:rFonts w:ascii="Palatino Linotype" w:eastAsia="Palatino Linotype" w:hAnsi="Palatino Linotype" w:cs="Palatino Linotype"/>
          <w:i/>
          <w:sz w:val="22"/>
          <w:szCs w:val="22"/>
        </w:rPr>
        <w:t>”</w:t>
      </w:r>
    </w:p>
    <w:p w14:paraId="633452AC" w14:textId="77777777" w:rsidR="00B03F0C" w:rsidRPr="00B56066"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rPr>
      </w:pPr>
    </w:p>
    <w:p w14:paraId="69546D78" w14:textId="77777777" w:rsidR="00B03F0C" w:rsidRPr="00B56066" w:rsidRDefault="00BD5FDB">
      <w:pPr>
        <w:spacing w:line="360" w:lineRule="auto"/>
        <w:ind w:left="-142"/>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66F87E64" w14:textId="77777777" w:rsidR="00B03F0C" w:rsidRPr="00B56066" w:rsidRDefault="00B03F0C">
      <w:pPr>
        <w:spacing w:line="360" w:lineRule="auto"/>
        <w:ind w:left="-142"/>
        <w:jc w:val="both"/>
        <w:rPr>
          <w:rFonts w:ascii="Palatino Linotype" w:eastAsia="Palatino Linotype" w:hAnsi="Palatino Linotype" w:cs="Palatino Linotype"/>
          <w:sz w:val="22"/>
          <w:szCs w:val="22"/>
        </w:rPr>
      </w:pPr>
    </w:p>
    <w:p w14:paraId="6615AE73" w14:textId="77777777" w:rsidR="00B03F0C" w:rsidRPr="00B56066" w:rsidRDefault="00BD5FDB">
      <w:pPr>
        <w:spacing w:line="360" w:lineRule="auto"/>
        <w:ind w:left="-142"/>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En esa tesitura, este Instituto no omite señalar que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w:t>
      </w:r>
    </w:p>
    <w:p w14:paraId="68D24FBC" w14:textId="77777777" w:rsidR="00B03F0C" w:rsidRPr="00B56066" w:rsidRDefault="00B03F0C">
      <w:pPr>
        <w:spacing w:line="360" w:lineRule="auto"/>
        <w:ind w:left="-142"/>
        <w:jc w:val="both"/>
        <w:rPr>
          <w:rFonts w:ascii="Palatino Linotype" w:eastAsia="Palatino Linotype" w:hAnsi="Palatino Linotype" w:cs="Palatino Linotype"/>
          <w:sz w:val="22"/>
          <w:szCs w:val="22"/>
        </w:rPr>
      </w:pPr>
    </w:p>
    <w:p w14:paraId="6749D6F5" w14:textId="77777777" w:rsidR="00B03F0C" w:rsidRPr="00B56066"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Dicho lo anterior, se precisa que la ya mencionada Unidad de Transparencia es la encargada de tramitar internamente las solicitudes de información y tiene la responsabilidad de verificar, en cada caso, que la información no tenga el carácter de confidencial o reservada, </w:t>
      </w:r>
      <w:r w:rsidRPr="00B56066">
        <w:rPr>
          <w:rFonts w:ascii="Palatino Linotype" w:eastAsia="Palatino Linotype" w:hAnsi="Palatino Linotype" w:cs="Palatino Linotype"/>
          <w:sz w:val="22"/>
          <w:szCs w:val="22"/>
        </w:rPr>
        <w:lastRenderedPageBreak/>
        <w:t>en términos de los artículos 50 y 51 de la Ley de Transparencia y Acceso a la Información Pública del Estado de México y Municipios.</w:t>
      </w:r>
    </w:p>
    <w:p w14:paraId="16C851EB" w14:textId="77777777" w:rsidR="00B03F0C" w:rsidRPr="00B56066" w:rsidRDefault="00B03F0C">
      <w:pPr>
        <w:widowControl w:val="0"/>
        <w:tabs>
          <w:tab w:val="left" w:pos="1276"/>
        </w:tabs>
        <w:spacing w:line="360" w:lineRule="auto"/>
        <w:ind w:left="-142"/>
        <w:jc w:val="both"/>
        <w:rPr>
          <w:rFonts w:ascii="Palatino Linotype" w:eastAsia="Palatino Linotype" w:hAnsi="Palatino Linotype" w:cs="Palatino Linotype"/>
          <w:sz w:val="22"/>
          <w:szCs w:val="22"/>
        </w:rPr>
      </w:pPr>
    </w:p>
    <w:p w14:paraId="1DFB60D7" w14:textId="77777777" w:rsidR="00B03F0C" w:rsidRPr="00B56066" w:rsidRDefault="00BD5FDB">
      <w:pPr>
        <w:widowControl w:val="0"/>
        <w:tabs>
          <w:tab w:val="left" w:pos="1276"/>
        </w:tabs>
        <w:spacing w:line="360" w:lineRule="auto"/>
        <w:ind w:left="-142"/>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Por su parte, el artículo 53, fracciones II, IV y V de la Ley antes citada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14:paraId="4FBEE1FC" w14:textId="77777777" w:rsidR="00B03F0C" w:rsidRPr="00B56066" w:rsidRDefault="00B03F0C">
      <w:pPr>
        <w:spacing w:line="360" w:lineRule="auto"/>
        <w:ind w:left="-284"/>
        <w:jc w:val="both"/>
        <w:rPr>
          <w:rFonts w:ascii="Palatino Linotype" w:eastAsia="Palatino Linotype" w:hAnsi="Palatino Linotype" w:cs="Palatino Linotype"/>
          <w:sz w:val="22"/>
          <w:szCs w:val="22"/>
        </w:rPr>
      </w:pPr>
    </w:p>
    <w:p w14:paraId="68F05E21" w14:textId="77777777" w:rsidR="00B03F0C" w:rsidRPr="00B56066" w:rsidRDefault="00BD5FDB">
      <w:pPr>
        <w:spacing w:line="360" w:lineRule="auto"/>
        <w:ind w:left="-142"/>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Por otro lado, el diverso artículo 54 de la Ley de Transparencia y Acceso a la Información Pública del Estado de México y Municipios establece que cuando alguna área de los Sujetos Obligados se negara a colaborar con la Unidad de Transparencia, ésta dará aviso al superior jerárquico para que le ordene realizar sin demora las acciones conducentes y en caso de que persista la negativa de colaboración, hará del conocimiento de la autoridad competente para que se inicie, en su caso, el procedimiento de responsabilidad respectivo.</w:t>
      </w:r>
    </w:p>
    <w:p w14:paraId="6858132B"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15E44A24" w14:textId="77777777" w:rsidR="00B03F0C" w:rsidRPr="00B56066" w:rsidRDefault="00BD5FDB">
      <w:pPr>
        <w:widowControl w:val="0"/>
        <w:tabs>
          <w:tab w:val="left" w:pos="1276"/>
        </w:tabs>
        <w:spacing w:line="360" w:lineRule="auto"/>
        <w:ind w:left="-142" w:right="-93"/>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De igual forma, el diverso artículo 59, fracciones I, II y III de la multicitada legislación Sustantiva, establece que los Servidores Públicos Habilitados deben localizar la información que le solicite la Unidad de Transparencia; proporcionar la misma y apoyarla en lo que ésta le solicite para el cumplimiento de sus funciones.</w:t>
      </w:r>
    </w:p>
    <w:p w14:paraId="71FD01AB" w14:textId="77777777" w:rsidR="00B03F0C" w:rsidRPr="00B56066" w:rsidRDefault="00B03F0C">
      <w:pPr>
        <w:widowControl w:val="0"/>
        <w:tabs>
          <w:tab w:val="left" w:pos="1276"/>
        </w:tabs>
        <w:spacing w:line="360" w:lineRule="auto"/>
        <w:ind w:left="-142" w:right="-93"/>
        <w:jc w:val="both"/>
        <w:rPr>
          <w:rFonts w:ascii="Palatino Linotype" w:eastAsia="Palatino Linotype" w:hAnsi="Palatino Linotype" w:cs="Palatino Linotype"/>
          <w:sz w:val="22"/>
          <w:szCs w:val="22"/>
        </w:rPr>
      </w:pPr>
    </w:p>
    <w:p w14:paraId="1235FEFA" w14:textId="77777777" w:rsidR="00B03F0C" w:rsidRPr="00B56066" w:rsidRDefault="00BD5FDB">
      <w:pPr>
        <w:spacing w:line="360" w:lineRule="auto"/>
        <w:ind w:left="-142" w:right="-93"/>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Finalmente, se destaca que de conformidad con el artículo 163 de la legislación en cita, se desprende que la Unidad de Transparencia debe notificar la respuesta a las solicitudes de acceso a la información, en el menor tiempo posible, que no podrá exceder de </w:t>
      </w:r>
      <w:r w:rsidRPr="00B56066">
        <w:rPr>
          <w:rFonts w:ascii="Palatino Linotype" w:eastAsia="Palatino Linotype" w:hAnsi="Palatino Linotype" w:cs="Palatino Linotype"/>
          <w:b/>
          <w:sz w:val="22"/>
          <w:szCs w:val="22"/>
        </w:rPr>
        <w:t>quince días hábiles,</w:t>
      </w:r>
      <w:r w:rsidRPr="00B56066">
        <w:rPr>
          <w:rFonts w:ascii="Palatino Linotype" w:eastAsia="Palatino Linotype" w:hAnsi="Palatino Linotype" w:cs="Palatino Linotype"/>
          <w:sz w:val="22"/>
          <w:szCs w:val="22"/>
        </w:rPr>
        <w:t xml:space="preserve"> teniendo como excepción al plazo referido, una prórroga de hasta siete días hábiles </w:t>
      </w:r>
      <w:r w:rsidRPr="00B56066">
        <w:rPr>
          <w:rFonts w:ascii="Palatino Linotype" w:eastAsia="Palatino Linotype" w:hAnsi="Palatino Linotype" w:cs="Palatino Linotype"/>
          <w:sz w:val="22"/>
          <w:szCs w:val="22"/>
        </w:rPr>
        <w:lastRenderedPageBreak/>
        <w:t xml:space="preserve">adicionales, siempre y cuando existan razones fundadas y motivadas, las cuales deberán ser aprobadas por el Comité de Transparencia. Situación que en la especie no aconteció. </w:t>
      </w:r>
    </w:p>
    <w:p w14:paraId="3C83680E" w14:textId="77777777" w:rsidR="00B03F0C" w:rsidRPr="00B56066" w:rsidRDefault="00B03F0C">
      <w:pPr>
        <w:spacing w:line="360" w:lineRule="auto"/>
        <w:ind w:left="-142" w:right="-93"/>
        <w:jc w:val="both"/>
        <w:rPr>
          <w:rFonts w:ascii="Palatino Linotype" w:eastAsia="Palatino Linotype" w:hAnsi="Palatino Linotype" w:cs="Palatino Linotype"/>
          <w:sz w:val="22"/>
          <w:szCs w:val="22"/>
        </w:rPr>
      </w:pPr>
    </w:p>
    <w:p w14:paraId="183BB383" w14:textId="77777777" w:rsidR="00B03F0C" w:rsidRPr="00B56066" w:rsidRDefault="00BD5FDB">
      <w:pPr>
        <w:spacing w:line="360" w:lineRule="auto"/>
        <w:ind w:left="-142" w:right="-93"/>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Sirve de sustento a lo anterior, el precepto legal en cita:</w:t>
      </w:r>
    </w:p>
    <w:p w14:paraId="45625493" w14:textId="77777777" w:rsidR="00B03F0C" w:rsidRPr="00B56066"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85356C7" w14:textId="77777777" w:rsidR="00B03F0C" w:rsidRPr="00B56066"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Artículo 163. La Unidad de Transparencia deberá notificar la respuesta a la solicitud al interesado en el menor tiempo posible, que no podrá exceder de quince días hábiles</w:t>
      </w:r>
      <w:r w:rsidRPr="00B56066">
        <w:rPr>
          <w:rFonts w:ascii="Palatino Linotype" w:eastAsia="Palatino Linotype" w:hAnsi="Palatino Linotype" w:cs="Palatino Linotype"/>
          <w:i/>
          <w:sz w:val="22"/>
          <w:szCs w:val="22"/>
        </w:rPr>
        <w:t xml:space="preserve">, contados a partir del día siguiente a la presentación de aquélla. </w:t>
      </w:r>
    </w:p>
    <w:p w14:paraId="60350627" w14:textId="77777777" w:rsidR="00B03F0C" w:rsidRPr="00B56066"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6D39FBA7" w14:textId="77777777" w:rsidR="00B03F0C" w:rsidRPr="00B56066"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4782EAD"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En mérito de lo expuesto, es claro que en este caso </w:t>
      </w:r>
      <w:r w:rsidRPr="00B56066">
        <w:rPr>
          <w:rFonts w:ascii="Palatino Linotype" w:eastAsia="Palatino Linotype" w:hAnsi="Palatino Linotype" w:cs="Palatino Linotype"/>
          <w:b/>
          <w:sz w:val="22"/>
          <w:szCs w:val="22"/>
        </w:rPr>
        <w:t>el Sujeto Obligado</w:t>
      </w:r>
      <w:r w:rsidRPr="00B56066">
        <w:rPr>
          <w:rFonts w:ascii="Palatino Linotype" w:eastAsia="Palatino Linotype" w:hAnsi="Palatino Linotype" w:cs="Palatino Linotype"/>
          <w:sz w:val="22"/>
          <w:szCs w:val="22"/>
        </w:rPr>
        <w:t xml:space="preserve"> incumplió la normativa en la materia, puesto que no dio trámite ni respuesta a la solicitud de acceso a la información, limitando el derecho de acceso a la información, accionado por la persona solicitante.</w:t>
      </w:r>
    </w:p>
    <w:p w14:paraId="71A38A2C"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29F8A655"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Consecuentemente, este Instituto estima necesario reiterar que, de conformidad con el artículo 150 de la Ley de Transparencia y Acceso a la Información Pública del Estado de México y Municipios, el procedimiento de acceso a la información es la garantía primaria del derecho en cuestión y se rige por los principios de simplicidad, rapidez gratuidad del procedimiento, auxilio y orientación a los particulares; así como, atención adecuada a las </w:t>
      </w:r>
      <w:r w:rsidRPr="00B56066">
        <w:rPr>
          <w:rFonts w:ascii="Palatino Linotype" w:eastAsia="Palatino Linotype" w:hAnsi="Palatino Linotype" w:cs="Palatino Linotype"/>
          <w:sz w:val="22"/>
          <w:szCs w:val="22"/>
        </w:rPr>
        <w:lastRenderedPageBreak/>
        <w:t xml:space="preserve">personas con discapacidad y a los hablantes de lengua indígena con el objeto de otorgar la protección más amplia del derecho de las personas. </w:t>
      </w:r>
    </w:p>
    <w:p w14:paraId="4311D788"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1E864F48"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Aunado a lo anterior, este Instituto estima dable referir lo que dispone el artículo 172, último párrafo de la Ley de Transparencia y Acceso a la Información Pública del Estado de México y Municipios, el cual refiere que los argumentos para justificar cualquier negativa de acceso a la información deben recaer en </w:t>
      </w:r>
      <w:r w:rsidRPr="00B56066">
        <w:rPr>
          <w:rFonts w:ascii="Palatino Linotype" w:eastAsia="Palatino Linotype" w:hAnsi="Palatino Linotype" w:cs="Palatino Linotype"/>
          <w:b/>
          <w:sz w:val="22"/>
          <w:szCs w:val="22"/>
        </w:rPr>
        <w:t>el Sujeto Obligado;</w:t>
      </w:r>
      <w:r w:rsidRPr="00B56066">
        <w:rPr>
          <w:rFonts w:ascii="Palatino Linotype" w:eastAsia="Palatino Linotype" w:hAnsi="Palatino Linotype" w:cs="Palatino Linotype"/>
          <w:sz w:val="22"/>
          <w:szCs w:val="22"/>
        </w:rPr>
        <w:t xml:space="preserve"> por lo que, en caso de no atender de manera positiva, el requerimiento de información deberá manifestarse al respecto.</w:t>
      </w:r>
    </w:p>
    <w:p w14:paraId="219C2C97"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3961FFF9" w14:textId="06333813" w:rsidR="00B03F0C" w:rsidRPr="00B56066" w:rsidRDefault="00BD5FDB" w:rsidP="00F124B0">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b/>
          <w:sz w:val="22"/>
          <w:szCs w:val="22"/>
        </w:rPr>
      </w:pPr>
      <w:r w:rsidRPr="00B56066">
        <w:rPr>
          <w:rFonts w:ascii="Palatino Linotype" w:eastAsia="Palatino Linotype" w:hAnsi="Palatino Linotype" w:cs="Palatino Linotype"/>
          <w:b/>
          <w:sz w:val="22"/>
          <w:szCs w:val="22"/>
        </w:rPr>
        <w:t>DE LA CLASIFICACIÓN DE LA INFORMACIÓN.</w:t>
      </w:r>
    </w:p>
    <w:p w14:paraId="7FA5D3E3" w14:textId="77777777" w:rsidR="00B03F0C" w:rsidRPr="00B56066" w:rsidRDefault="00BD5FDB">
      <w:pPr>
        <w:spacing w:line="360" w:lineRule="auto"/>
        <w:ind w:right="51"/>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Ahora bien, en atención al sentido en que se resuelve el presente medio de impugnación, este Organismo Garante no omite señalar que, el derecho de acceso a la información puede ser restringido de manera excepcional por razones de interés público, en los términos de las causas legítimas y estrictamente necesarias previstas por la Ley, a través de la clasificación de la información como confidencial o reservada para permitir el acceso, como se desprende del artículo 91 de la ley de la materia que es del tenor literal siguiente:</w:t>
      </w:r>
    </w:p>
    <w:p w14:paraId="17BEA2E7" w14:textId="77777777" w:rsidR="00B03F0C" w:rsidRPr="00B56066"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44B2EFAB" w14:textId="544E27F1" w:rsidR="00B03F0C" w:rsidRPr="00B56066" w:rsidRDefault="00280E91" w:rsidP="004F03FA">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w:t>
      </w:r>
      <w:r w:rsidR="00BD5FDB" w:rsidRPr="00B56066">
        <w:rPr>
          <w:rFonts w:ascii="Palatino Linotype" w:eastAsia="Palatino Linotype" w:hAnsi="Palatino Linotype" w:cs="Palatino Linotype"/>
          <w:b/>
          <w:i/>
          <w:sz w:val="22"/>
          <w:szCs w:val="22"/>
        </w:rPr>
        <w:t xml:space="preserve">Artículo 91. </w:t>
      </w:r>
      <w:r w:rsidR="00BD5FDB" w:rsidRPr="00B56066">
        <w:rPr>
          <w:rFonts w:ascii="Palatino Linotype" w:eastAsia="Palatino Linotype" w:hAnsi="Palatino Linotype" w:cs="Palatino Linotype"/>
          <w:i/>
          <w:sz w:val="22"/>
          <w:szCs w:val="22"/>
        </w:rPr>
        <w:t>El acceso a la información pública será restringido excepcionalmente, cuando ésta sea clasificada como reservada o confidencial.</w:t>
      </w:r>
      <w:r w:rsidRPr="00B56066">
        <w:rPr>
          <w:rFonts w:ascii="Palatino Linotype" w:eastAsia="Palatino Linotype" w:hAnsi="Palatino Linotype" w:cs="Palatino Linotype"/>
          <w:i/>
          <w:sz w:val="22"/>
          <w:szCs w:val="22"/>
        </w:rPr>
        <w:t>”</w:t>
      </w:r>
    </w:p>
    <w:p w14:paraId="1FA15A00"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Entendiéndose como información reservada aquella que se clasifica de manera temporal cuya divulgación pueda causar algún daño; y como información confidencial,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w:t>
      </w:r>
      <w:r w:rsidRPr="00B56066">
        <w:rPr>
          <w:rFonts w:ascii="Palatino Linotype" w:eastAsia="Palatino Linotype" w:hAnsi="Palatino Linotype" w:cs="Palatino Linotype"/>
          <w:sz w:val="22"/>
          <w:szCs w:val="22"/>
        </w:rPr>
        <w:lastRenderedPageBreak/>
        <w:t xml:space="preserve">privada contenida en documentos públicos o privados que refiera a la vida privada y/o los datos personales, que no son de acceso público. </w:t>
      </w:r>
    </w:p>
    <w:p w14:paraId="0C06748A"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6EB190FF"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De manera que, la Ley de Transparencia y Acceso a la Información Pública del Estado de México y Municipios, en sus artículos 140 y 143 prevé los siguientes supuestos para clasificar la información como reservada o confidencial:</w:t>
      </w:r>
    </w:p>
    <w:p w14:paraId="2D146FB0" w14:textId="77777777" w:rsidR="00B03F0C" w:rsidRPr="00B56066"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040D7FE5"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Artículo 140. </w:t>
      </w:r>
      <w:r w:rsidRPr="00B56066">
        <w:rPr>
          <w:rFonts w:ascii="Palatino Linotype" w:eastAsia="Palatino Linotype" w:hAnsi="Palatino Linotype" w:cs="Palatino Linotype"/>
          <w:i/>
          <w:sz w:val="22"/>
          <w:szCs w:val="22"/>
        </w:rPr>
        <w:t>El acceso a la información pública será restringido excepcionalmente, cuando por razones de interés público, ésta sea clasificada como reservada, conforme a los criterios siguientes:</w:t>
      </w:r>
    </w:p>
    <w:p w14:paraId="14F01636"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I. </w:t>
      </w:r>
      <w:r w:rsidRPr="00B56066">
        <w:rPr>
          <w:rFonts w:ascii="Palatino Linotype" w:eastAsia="Palatino Linotype" w:hAnsi="Palatino Linotype" w:cs="Palatino Linotype"/>
          <w:i/>
          <w:sz w:val="22"/>
          <w:szCs w:val="22"/>
        </w:rPr>
        <w:t>Comprometa la seguridad pública y cuente con un propósito genuino y un efecto demostrable;</w:t>
      </w:r>
    </w:p>
    <w:p w14:paraId="5990DAED"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II. </w:t>
      </w:r>
      <w:r w:rsidRPr="00B56066">
        <w:rPr>
          <w:rFonts w:ascii="Palatino Linotype" w:eastAsia="Palatino Linotype" w:hAnsi="Palatino Linotype" w:cs="Palatino Linotype"/>
          <w:i/>
          <w:sz w:val="22"/>
          <w:szCs w:val="22"/>
        </w:rPr>
        <w:t>Pueda menoscabar la conducción de las negociaciones y relaciones internacionales;</w:t>
      </w:r>
    </w:p>
    <w:p w14:paraId="252B909D"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III. </w:t>
      </w:r>
      <w:r w:rsidRPr="00B56066">
        <w:rPr>
          <w:rFonts w:ascii="Palatino Linotype" w:eastAsia="Palatino Linotype" w:hAnsi="Palatino Linotype" w:cs="Palatino Linotype"/>
          <w:i/>
          <w:sz w:val="22"/>
          <w:szCs w:val="22"/>
        </w:rPr>
        <w:t>Se entregue a la Entidad expresamente con ese carácter o el de confidencialidad por otro u otros sujetos de derecho internacional, excepto cuando se trate de violaciones graves de derechos humanos o delitos de lesa humanidad de conformidad con el derecho internacional;</w:t>
      </w:r>
    </w:p>
    <w:p w14:paraId="13579AB3"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IV. </w:t>
      </w:r>
      <w:r w:rsidRPr="00B56066">
        <w:rPr>
          <w:rFonts w:ascii="Palatino Linotype" w:eastAsia="Palatino Linotype" w:hAnsi="Palatino Linotype" w:cs="Palatino Linotype"/>
          <w:i/>
          <w:sz w:val="22"/>
          <w:szCs w:val="22"/>
        </w:rPr>
        <w:t>Ponga en riesgo la vida, la seguridad o la salud de una persona física;</w:t>
      </w:r>
    </w:p>
    <w:p w14:paraId="22D67954"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V. </w:t>
      </w:r>
      <w:r w:rsidRPr="00B56066">
        <w:rPr>
          <w:rFonts w:ascii="Palatino Linotype" w:eastAsia="Palatino Linotype" w:hAnsi="Palatino Linotype" w:cs="Palatino Linotype"/>
          <w:i/>
          <w:sz w:val="22"/>
          <w:szCs w:val="22"/>
        </w:rPr>
        <w:t>Aquella cuya divulgación obstruya o pueda causar un serio perjuicio a:</w:t>
      </w:r>
    </w:p>
    <w:p w14:paraId="18F95D1E"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1. </w:t>
      </w:r>
      <w:r w:rsidRPr="00B56066">
        <w:rPr>
          <w:rFonts w:ascii="Palatino Linotype" w:eastAsia="Palatino Linotype" w:hAnsi="Palatino Linotype" w:cs="Palatino Linotype"/>
          <w:i/>
          <w:sz w:val="22"/>
          <w:szCs w:val="22"/>
        </w:rPr>
        <w:t xml:space="preserve">Las actividades de fiscalización, verificación, inspección, comprobación y auditoría sobre el cumplimiento de las Leyes; o </w:t>
      </w:r>
    </w:p>
    <w:p w14:paraId="3175F3F5"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2. </w:t>
      </w:r>
      <w:r w:rsidRPr="00B56066">
        <w:rPr>
          <w:rFonts w:ascii="Palatino Linotype" w:eastAsia="Palatino Linotype" w:hAnsi="Palatino Linotype" w:cs="Palatino Linotype"/>
          <w:i/>
          <w:sz w:val="22"/>
          <w:szCs w:val="22"/>
        </w:rPr>
        <w:t>La recaudación de las contribuciones.</w:t>
      </w:r>
    </w:p>
    <w:p w14:paraId="151CD05A"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VI. </w:t>
      </w:r>
      <w:r w:rsidRPr="00B56066">
        <w:rPr>
          <w:rFonts w:ascii="Palatino Linotype" w:eastAsia="Palatino Linotype" w:hAnsi="Palatino Linotype" w:cs="Palatino Linotype"/>
          <w:i/>
          <w:sz w:val="22"/>
          <w:szCs w:val="22"/>
        </w:rPr>
        <w:t xml:space="preserve">Pueda causar daño u obstruya la prevención o persecución de los delitos, altere el proceso de investigación de las carpetas de investigación, afecte o vulnere la conducción o los derechos del debido proceso en los procedimientos judiciales o administrativos, incluidos los de quejas, denuncias, inconformidades, responsabilidades administrativas y resarcitorias en tanto no hayan quedado </w:t>
      </w:r>
      <w:r w:rsidRPr="00B56066">
        <w:rPr>
          <w:rFonts w:ascii="Palatino Linotype" w:eastAsia="Palatino Linotype" w:hAnsi="Palatino Linotype" w:cs="Palatino Linotype"/>
          <w:i/>
          <w:sz w:val="22"/>
          <w:szCs w:val="22"/>
        </w:rPr>
        <w:lastRenderedPageBreak/>
        <w:t>firmes o afecte la administración de justicia o la seguridad de un denunciante, querellante o testigo, así como sus familias, en los términos de las disposiciones jurídicas aplicables;</w:t>
      </w:r>
    </w:p>
    <w:p w14:paraId="0D71D814"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VII. </w:t>
      </w:r>
      <w:r w:rsidRPr="00B56066">
        <w:rPr>
          <w:rFonts w:ascii="Palatino Linotype" w:eastAsia="Palatino Linotype" w:hAnsi="Palatino Linotype" w:cs="Palatino Linotype"/>
          <w:i/>
          <w:sz w:val="22"/>
          <w:szCs w:val="22"/>
        </w:rPr>
        <w:t>La que contengan las opiniones, recomendaciones o puntos de vista que formen parte del proceso deliberativo de los servidores públicos, hasta en tanto sea adoptada la decisión definitiva, la cual deberá estar documentada;</w:t>
      </w:r>
    </w:p>
    <w:p w14:paraId="637B2066"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VIII</w:t>
      </w:r>
      <w:r w:rsidRPr="00B56066">
        <w:rPr>
          <w:rFonts w:ascii="Palatino Linotype" w:eastAsia="Palatino Linotype" w:hAnsi="Palatino Linotype" w:cs="Palatino Linotype"/>
          <w:i/>
          <w:sz w:val="22"/>
          <w:szCs w:val="22"/>
        </w:rPr>
        <w:t>. Vulnere la conducción de los expedientes judiciales o de los procedimientos administrativos seguidos en forma de juicio, en tanto no hayan quedado firmes</w:t>
      </w:r>
      <w:r w:rsidRPr="00B56066">
        <w:rPr>
          <w:rFonts w:ascii="Palatino Linotype" w:eastAsia="Palatino Linotype" w:hAnsi="Palatino Linotype" w:cs="Palatino Linotype"/>
          <w:b/>
          <w:i/>
          <w:sz w:val="22"/>
          <w:szCs w:val="22"/>
        </w:rPr>
        <w:t>;</w:t>
      </w:r>
    </w:p>
    <w:p w14:paraId="0596DE8C"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IX. </w:t>
      </w:r>
      <w:r w:rsidRPr="00B56066">
        <w:rPr>
          <w:rFonts w:ascii="Palatino Linotype" w:eastAsia="Palatino Linotype" w:hAnsi="Palatino Linotype" w:cs="Palatino Linotype"/>
          <w:i/>
          <w:sz w:val="22"/>
          <w:szCs w:val="22"/>
        </w:rPr>
        <w:t>Se encuentre contenida dentro de las investigaciones de hechos que la Ley señale como delitos y se tramiten ante el Ministerio Público;</w:t>
      </w:r>
    </w:p>
    <w:p w14:paraId="07E44D25"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X. </w:t>
      </w:r>
      <w:r w:rsidRPr="00B56066">
        <w:rPr>
          <w:rFonts w:ascii="Palatino Linotype" w:eastAsia="Palatino Linotype" w:hAnsi="Palatino Linotype" w:cs="Palatino Linotype"/>
          <w:i/>
          <w:sz w:val="22"/>
          <w:szCs w:val="22"/>
        </w:rPr>
        <w:t>El daño que pueda producirse con la publicación de la información sea mayor que el interés público de conocer la información de referencia, siempre que esté directamente relacionado con procesos o procedimientos administrativos o judiciales que no hayan quedado firmes;</w:t>
      </w:r>
    </w:p>
    <w:p w14:paraId="5C704554"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Cuando se trate de información sobre estudios y proyectos cuya divulgación pueda causar daños al interés del Estado o suponga un riesgo para su realización, siempre que esté directamente relacionado con procesos o procedimientos administrativos o judiciales que no hayan quedado firmes; y</w:t>
      </w:r>
    </w:p>
    <w:p w14:paraId="5A208CE4"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XI. </w:t>
      </w:r>
      <w:r w:rsidRPr="00B56066">
        <w:rPr>
          <w:rFonts w:ascii="Palatino Linotype" w:eastAsia="Palatino Linotype" w:hAnsi="Palatino Linotype" w:cs="Palatino Linotype"/>
          <w:i/>
          <w:sz w:val="22"/>
          <w:szCs w:val="22"/>
        </w:rPr>
        <w:t>Las que por disposición expresa de una ley tengan tal carácter, siempre que sean acordes con las bases, principios y disposiciones establecidos en esta Ley y no la contravengan; así como las previstas en tratados internacionales.</w:t>
      </w:r>
    </w:p>
    <w:p w14:paraId="2DC9FDD1" w14:textId="77777777" w:rsidR="00B03F0C" w:rsidRPr="00B56066" w:rsidRDefault="00280E91">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391AFF7C"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Artículo 143. </w:t>
      </w:r>
      <w:r w:rsidRPr="00B56066">
        <w:rPr>
          <w:rFonts w:ascii="Palatino Linotype" w:eastAsia="Palatino Linotype" w:hAnsi="Palatino Linotype" w:cs="Palatino Linotype"/>
          <w:i/>
          <w:sz w:val="22"/>
          <w:szCs w:val="22"/>
        </w:rPr>
        <w:t>Para los efectos de esta Ley se considera información confidencial, la clasificada como tal, de manera permanente, por su naturaleza, cuando:</w:t>
      </w:r>
    </w:p>
    <w:p w14:paraId="5BC8199A"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I. </w:t>
      </w:r>
      <w:r w:rsidRPr="00B56066">
        <w:rPr>
          <w:rFonts w:ascii="Palatino Linotype" w:eastAsia="Palatino Linotype" w:hAnsi="Palatino Linotype" w:cs="Palatino Linotype"/>
          <w:i/>
          <w:sz w:val="22"/>
          <w:szCs w:val="22"/>
        </w:rPr>
        <w:t>Se refiera a la información privada y los datos personales concernientes a una persona física o jurídico colectiva identificada o identificable;</w:t>
      </w:r>
    </w:p>
    <w:p w14:paraId="268B15D1"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II. </w:t>
      </w:r>
      <w:r w:rsidRPr="00B56066">
        <w:rPr>
          <w:rFonts w:ascii="Palatino Linotype" w:eastAsia="Palatino Linotype" w:hAnsi="Palatino Linotype" w:cs="Palatino Linotype"/>
          <w:i/>
          <w:sz w:val="22"/>
          <w:szCs w:val="22"/>
        </w:rPr>
        <w:t>Los secretos bancario, fiduciario, industrial, comercial, fiscal, bursátil y postal, cuya titularidad corresponda a particulares, sujetos de derecho internacional o a sujetos obligados cuando no involucren el ejercicio de recursos públicos; y</w:t>
      </w:r>
    </w:p>
    <w:p w14:paraId="40D0C9D8"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lastRenderedPageBreak/>
        <w:t xml:space="preserve">III. </w:t>
      </w:r>
      <w:r w:rsidRPr="00B56066">
        <w:rPr>
          <w:rFonts w:ascii="Palatino Linotype" w:eastAsia="Palatino Linotype" w:hAnsi="Palatino Linotype" w:cs="Palatino Linotype"/>
          <w:i/>
          <w:sz w:val="22"/>
          <w:szCs w:val="22"/>
        </w:rPr>
        <w:t>La que presenten los particulares a los sujetos obligados, de conformidad con lo dispuesto por las leyes o los tratados internacionales.</w:t>
      </w:r>
    </w:p>
    <w:p w14:paraId="24DC31EC"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La información confidencial no estará sujeta a temporalidad alguna y sólo podrán tener acceso a ella los titulares de la misma, sus representantes y los servidores públicos facultados para ello.</w:t>
      </w:r>
    </w:p>
    <w:p w14:paraId="2E73E508" w14:textId="77777777" w:rsidR="00B03F0C" w:rsidRPr="00B56066" w:rsidRDefault="00BD5FDB">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No se considerará confidencial la información que se encuentre en los registros públicos o en fuentes de acceso público, ni tampoco la que sea considerada por la presente ley como información pública.</w:t>
      </w:r>
    </w:p>
    <w:p w14:paraId="2F262386" w14:textId="77777777" w:rsidR="00B03F0C" w:rsidRPr="00B56066" w:rsidRDefault="00B03F0C">
      <w:pPr>
        <w:pBdr>
          <w:top w:val="nil"/>
          <w:left w:val="nil"/>
          <w:bottom w:val="nil"/>
          <w:right w:val="nil"/>
          <w:between w:val="nil"/>
        </w:pBdr>
        <w:spacing w:line="360" w:lineRule="auto"/>
        <w:ind w:left="864" w:right="864"/>
        <w:jc w:val="both"/>
        <w:rPr>
          <w:rFonts w:ascii="Palatino Linotype" w:eastAsia="Palatino Linotype" w:hAnsi="Palatino Linotype" w:cs="Palatino Linotype"/>
          <w:i/>
          <w:sz w:val="22"/>
          <w:szCs w:val="22"/>
        </w:rPr>
      </w:pPr>
    </w:p>
    <w:p w14:paraId="652D8752"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De este modo, conforme al artículo 132 de la ley en referencia, para clasificar la información se debe de atender a lo dispuesto por la normativa y aplicar, de manera estricta, las excepciones del derecho de acceso a la información y sólo podrán invocarlas cuando acrediten su procedencia, debiendo clasificar la información en el momento en que:</w:t>
      </w:r>
    </w:p>
    <w:p w14:paraId="1EAD451C" w14:textId="77777777" w:rsidR="00B03F0C" w:rsidRPr="00B56066" w:rsidRDefault="00B03F0C">
      <w:pPr>
        <w:tabs>
          <w:tab w:val="left" w:pos="851"/>
        </w:tabs>
        <w:spacing w:line="360" w:lineRule="auto"/>
        <w:jc w:val="both"/>
        <w:rPr>
          <w:rFonts w:ascii="Palatino Linotype" w:eastAsia="Palatino Linotype" w:hAnsi="Palatino Linotype" w:cs="Palatino Linotype"/>
          <w:sz w:val="22"/>
          <w:szCs w:val="22"/>
        </w:rPr>
      </w:pPr>
    </w:p>
    <w:p w14:paraId="7841015C" w14:textId="77777777" w:rsidR="00B03F0C" w:rsidRPr="00B56066"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Se reciba una solicitud de acceso a la información;</w:t>
      </w:r>
    </w:p>
    <w:p w14:paraId="70DE1D7B" w14:textId="77777777" w:rsidR="00B03F0C" w:rsidRPr="00B56066"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Se determine mediante resolución de autoridad competente; y/o</w:t>
      </w:r>
    </w:p>
    <w:p w14:paraId="141DE9A7" w14:textId="77777777" w:rsidR="00B03F0C" w:rsidRPr="00B56066" w:rsidRDefault="00BD5FDB">
      <w:pPr>
        <w:numPr>
          <w:ilvl w:val="0"/>
          <w:numId w:val="6"/>
        </w:numPr>
        <w:pBdr>
          <w:top w:val="nil"/>
          <w:left w:val="nil"/>
          <w:bottom w:val="nil"/>
          <w:right w:val="nil"/>
          <w:between w:val="nil"/>
        </w:pBdr>
        <w:tabs>
          <w:tab w:val="left" w:pos="851"/>
        </w:tabs>
        <w:spacing w:after="160"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Se generen versiones públicas para dar cumplimiento a las obligaciones de transparencia previstas en la Ley.</w:t>
      </w:r>
    </w:p>
    <w:p w14:paraId="5A9969C8" w14:textId="77777777" w:rsidR="00B03F0C" w:rsidRPr="00B56066" w:rsidRDefault="00B03F0C">
      <w:pPr>
        <w:tabs>
          <w:tab w:val="left" w:pos="851"/>
        </w:tabs>
        <w:spacing w:line="360" w:lineRule="auto"/>
        <w:ind w:left="567"/>
        <w:jc w:val="both"/>
        <w:rPr>
          <w:rFonts w:ascii="Palatino Linotype" w:eastAsia="Palatino Linotype" w:hAnsi="Palatino Linotype" w:cs="Palatino Linotype"/>
          <w:sz w:val="22"/>
          <w:szCs w:val="22"/>
        </w:rPr>
      </w:pPr>
    </w:p>
    <w:p w14:paraId="4A7C0DC0" w14:textId="77777777" w:rsidR="00B03F0C" w:rsidRPr="00B56066" w:rsidRDefault="00BD5FDB">
      <w:pPr>
        <w:spacing w:line="360" w:lineRule="auto"/>
        <w:ind w:right="51"/>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En ese sentido, es de precisar que la clasificación de la información no se da por el simple mandato de la ley, sino que es necesario que </w:t>
      </w:r>
      <w:r w:rsidRPr="00B56066">
        <w:rPr>
          <w:rFonts w:ascii="Palatino Linotype" w:eastAsia="Palatino Linotype" w:hAnsi="Palatino Linotype" w:cs="Palatino Linotype"/>
          <w:b/>
          <w:sz w:val="22"/>
          <w:szCs w:val="22"/>
        </w:rPr>
        <w:t>el Sujeto Obligado,</w:t>
      </w:r>
      <w:r w:rsidRPr="00B56066">
        <w:rPr>
          <w:rFonts w:ascii="Palatino Linotype" w:eastAsia="Palatino Linotype" w:hAnsi="Palatino Linotype" w:cs="Palatino Linotype"/>
          <w:sz w:val="22"/>
          <w:szCs w:val="22"/>
        </w:rPr>
        <w:t xml:space="preserve"> cuando clasifique algún documento o información, ya sea todo o en parte, atienda lo dispuesto por la ley de la materia, siendo que dicha clasificación es un trabajo en conjunto tanto de los Servidores Públicos Habilitados, de las Unidades de Transparencia y del Comité de Transparencia del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xml:space="preserve">, teniendo el deber los primeros de ellos de presentar ante la Unidad de </w:t>
      </w:r>
      <w:r w:rsidRPr="00B56066">
        <w:rPr>
          <w:rFonts w:ascii="Palatino Linotype" w:eastAsia="Palatino Linotype" w:hAnsi="Palatino Linotype" w:cs="Palatino Linotype"/>
          <w:sz w:val="22"/>
          <w:szCs w:val="22"/>
        </w:rPr>
        <w:lastRenderedPageBreak/>
        <w:t>Transparencia la propuesta de la clasificación de la información, para que luego esta se presente ante al Comité de Transparencia de así resultar procedente el proyecto de clasificación de la información y que finalmente sea este último quien apruebe, modifique o revoque la misma, como se desprende de los artículos 59 fracción V, 53 fracción X, y 49 fracciones II y VIII de la Ley de Transparencia y Acceso a la Información Pública del Estado de México y Municipios.</w:t>
      </w:r>
    </w:p>
    <w:p w14:paraId="14284E67" w14:textId="77777777" w:rsidR="00B03F0C" w:rsidRPr="00B56066"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sz w:val="22"/>
          <w:szCs w:val="22"/>
        </w:rPr>
      </w:pPr>
    </w:p>
    <w:p w14:paraId="69547C1D" w14:textId="1AD64CAB" w:rsidR="00B03F0C" w:rsidRPr="00B56066" w:rsidRDefault="00F124B0"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r w:rsidR="00BD5FDB" w:rsidRPr="00B56066">
        <w:rPr>
          <w:rFonts w:ascii="Palatino Linotype" w:eastAsia="Palatino Linotype" w:hAnsi="Palatino Linotype" w:cs="Palatino Linotype"/>
          <w:i/>
          <w:sz w:val="22"/>
          <w:szCs w:val="22"/>
        </w:rPr>
        <w:t>Artículo 59. Los servidores públicos habilitados tendrán las funciones siguientes:</w:t>
      </w:r>
    </w:p>
    <w:p w14:paraId="692A554D"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181752FA"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V. Integrar y presentar al responsable de la Unidad de Transparencia la propuesta de clasificación de información, la cual tendrá los fundamentos y argumentos en que se basa dicha propuesta;</w:t>
      </w:r>
    </w:p>
    <w:p w14:paraId="51D6F8CA"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3F135186"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Artículo 53. Las Unidades de Transparencia tendrán las siguientes funciones:</w:t>
      </w:r>
    </w:p>
    <w:p w14:paraId="632B49FC"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0EC22D41"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X. Presentar ante el Comité, el proyecto de clasificación de información;</w:t>
      </w:r>
    </w:p>
    <w:p w14:paraId="4A4ECEE2"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 xml:space="preserve">(…) </w:t>
      </w:r>
    </w:p>
    <w:p w14:paraId="4C639DC0"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Artículo 49. Los Comités de Transparencia tendrán las siguientes atribuciones:</w:t>
      </w:r>
    </w:p>
    <w:p w14:paraId="24A7ACF0"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4FA23307"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II. Confirmar, modificar o revocar las determinaciones que en materia de ampliación del plazo de respuesta, clasificación de la información y declaración de inexistencia o de incompetencia realicen los titulares de las áreas de los sujetos obligados;</w:t>
      </w:r>
    </w:p>
    <w:p w14:paraId="1C8C6418"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50E8AA4F" w14:textId="77777777"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VIII. Aprobar, modificar o revocar la clasificación de la información;</w:t>
      </w:r>
    </w:p>
    <w:p w14:paraId="412F155F" w14:textId="71DA2359" w:rsidR="00B03F0C" w:rsidRPr="00B56066" w:rsidRDefault="00BD5FDB" w:rsidP="00F124B0">
      <w:pPr>
        <w:pBdr>
          <w:top w:val="nil"/>
          <w:left w:val="nil"/>
          <w:bottom w:val="nil"/>
          <w:right w:val="nil"/>
          <w:between w:val="nil"/>
        </w:pBdr>
        <w:spacing w:after="160" w:line="259" w:lineRule="auto"/>
        <w:ind w:left="567" w:right="864"/>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i/>
          <w:sz w:val="22"/>
          <w:szCs w:val="22"/>
        </w:rPr>
        <w:t>(…)</w:t>
      </w:r>
    </w:p>
    <w:p w14:paraId="4653B7F3"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lastRenderedPageBreak/>
        <w:t xml:space="preserve">Bajo tales consideraciones, este Organismo Garante no omite señalar que, si EL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xml:space="preserve"> advierte que la información solicitada contiene datos personales que sean susceptibles de ser clasificados como confidenciales,</w:t>
      </w:r>
      <w:r w:rsidRPr="00B56066">
        <w:rPr>
          <w:rFonts w:ascii="Palatino Linotype" w:eastAsia="Palatino Linotype" w:hAnsi="Palatino Linotype" w:cs="Palatino Linotype"/>
          <w:b/>
          <w:sz w:val="22"/>
          <w:szCs w:val="22"/>
        </w:rPr>
        <w:t xml:space="preserve"> </w:t>
      </w:r>
      <w:r w:rsidRPr="00B56066">
        <w:rPr>
          <w:rFonts w:ascii="Palatino Linotype" w:eastAsia="Palatino Linotype" w:hAnsi="Palatino Linotype" w:cs="Palatino Linotype"/>
          <w:sz w:val="22"/>
          <w:szCs w:val="22"/>
        </w:rPr>
        <w:t xml:space="preserve">o, si por otro lado, por su propia y especial naturaleza, encuadra en alguno de los supuestos de reserva o de confidencialidad en su totalidad, deberá emitir, un Acuerdo de Clasificación debidamente fundado y motivado que sustente la clasificación parcial, a través de la versión pública que emita, o bien, la restricción total del derecho de acceso a la información.  </w:t>
      </w:r>
    </w:p>
    <w:p w14:paraId="14C4C856" w14:textId="77777777" w:rsidR="00B03F0C" w:rsidRPr="00B56066" w:rsidRDefault="00B03F0C">
      <w:pPr>
        <w:spacing w:after="160" w:line="360" w:lineRule="auto"/>
        <w:jc w:val="both"/>
        <w:rPr>
          <w:rFonts w:ascii="Palatino Linotype" w:eastAsia="Palatino Linotype" w:hAnsi="Palatino Linotype" w:cs="Palatino Linotype"/>
          <w:sz w:val="22"/>
          <w:szCs w:val="22"/>
        </w:rPr>
      </w:pPr>
    </w:p>
    <w:p w14:paraId="5C4643A9" w14:textId="77777777" w:rsidR="00B03F0C" w:rsidRPr="00B56066" w:rsidRDefault="00BD5FDB" w:rsidP="00280E91">
      <w:pPr>
        <w:numPr>
          <w:ilvl w:val="0"/>
          <w:numId w:val="5"/>
        </w:numPr>
        <w:pBdr>
          <w:top w:val="nil"/>
          <w:left w:val="nil"/>
          <w:bottom w:val="nil"/>
          <w:right w:val="nil"/>
          <w:between w:val="nil"/>
        </w:pBdr>
        <w:spacing w:after="160"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DE LA CLASIFICACIÓN PARCIAL DE LA INFORMACIÓN.</w:t>
      </w:r>
    </w:p>
    <w:p w14:paraId="0E9EA1FC"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Respecto de la elaboración de versiones públicas, debe mencionarse que dentro de los datos personales que pudieran contenerse se destacan los datos personales sensibles, los cuales son aquellos referentes de la esfera de su titular cuya utilización indebida pueda dar origen a discriminación o conlleve un riesgo grave para este. De manera enunciativa más no limitativa, se consideran sensibles los datos personales que puedan revelar aspectos como origen racial o étnico, estado de salud física o mental, presente o futura, información genética, creencias religiosas, filosóficas y morales, opiniones políticas y preferencia sexual, de conformidad con el artículo 4, fracción XII de la Ley de Protección de Datos Personales en Posesión de Sujetos Obligados del Estado de México y Municipios.</w:t>
      </w:r>
    </w:p>
    <w:p w14:paraId="76B8F020"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2FE0E294" w14:textId="77777777" w:rsidR="00B03F0C" w:rsidRPr="00B56066"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B56066">
        <w:rPr>
          <w:rFonts w:ascii="Palatino Linotype" w:eastAsia="Palatino Linotype" w:hAnsi="Palatino Linotype" w:cs="Palatino Linotype"/>
          <w:b/>
          <w:sz w:val="22"/>
          <w:szCs w:val="22"/>
        </w:rPr>
        <w:t>DE LA CLASIFICACIÓN DE INFORMACIÓN COMO RESERVADA.</w:t>
      </w:r>
    </w:p>
    <w:p w14:paraId="6161116B" w14:textId="77777777" w:rsidR="00B03F0C" w:rsidRPr="00B56066" w:rsidRDefault="00BD5FDB">
      <w:pPr>
        <w:spacing w:line="360" w:lineRule="auto"/>
        <w:ind w:right="51"/>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Por cuanto hace a la reserva y ampliación del plazo de reserva de la información, para motivar la clasificación se deberán de señalar las razones, motivos o circunstancias especiales que llevaron al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xml:space="preserve"> a concluir que, el caso particular se ajusta al supuesto previsto por la norma legal invocada como fundamento; siendo que, además, en </w:t>
      </w:r>
      <w:r w:rsidRPr="00B56066">
        <w:rPr>
          <w:rFonts w:ascii="Palatino Linotype" w:eastAsia="Palatino Linotype" w:hAnsi="Palatino Linotype" w:cs="Palatino Linotype"/>
          <w:sz w:val="22"/>
          <w:szCs w:val="22"/>
        </w:rPr>
        <w:lastRenderedPageBreak/>
        <w:t>todo momento, se debe aplicar una prueba de daño, entendida esta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debiendo clasificarse como reservada.</w:t>
      </w:r>
    </w:p>
    <w:p w14:paraId="63E624EA" w14:textId="77777777" w:rsidR="00B03F0C" w:rsidRPr="00B56066" w:rsidRDefault="00B03F0C">
      <w:pPr>
        <w:spacing w:line="360" w:lineRule="auto"/>
        <w:ind w:right="51"/>
        <w:jc w:val="both"/>
        <w:rPr>
          <w:rFonts w:ascii="Palatino Linotype" w:eastAsia="Palatino Linotype" w:hAnsi="Palatino Linotype" w:cs="Palatino Linotype"/>
          <w:sz w:val="22"/>
          <w:szCs w:val="22"/>
        </w:rPr>
      </w:pPr>
    </w:p>
    <w:p w14:paraId="0F230631"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En otras palabras, 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 para lo cual, los Sujetos Obligados deberán considerar que: </w:t>
      </w:r>
    </w:p>
    <w:p w14:paraId="4DB14FD4"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2650638A" w14:textId="77777777" w:rsidR="00B03F0C" w:rsidRPr="00B56066"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La divulgación de la información representa un </w:t>
      </w:r>
      <w:r w:rsidRPr="00B56066">
        <w:rPr>
          <w:rFonts w:ascii="Palatino Linotype" w:eastAsia="Palatino Linotype" w:hAnsi="Palatino Linotype" w:cs="Palatino Linotype"/>
          <w:b/>
          <w:sz w:val="22"/>
          <w:szCs w:val="22"/>
        </w:rPr>
        <w:t>riesgo real, demostrable e identificable del perjuicio significativo al interés público o a la seguridad pública</w:t>
      </w:r>
      <w:r w:rsidRPr="00B56066">
        <w:rPr>
          <w:rFonts w:ascii="Palatino Linotype" w:eastAsia="Palatino Linotype" w:hAnsi="Palatino Linotype" w:cs="Palatino Linotype"/>
          <w:sz w:val="22"/>
          <w:szCs w:val="22"/>
        </w:rPr>
        <w:t>;</w:t>
      </w:r>
    </w:p>
    <w:p w14:paraId="750771B5" w14:textId="77777777" w:rsidR="00B03F0C" w:rsidRPr="00B56066"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El riesgo de perjuicio que supondría la divulgación supera el interés público general de que se difunda; y,</w:t>
      </w:r>
    </w:p>
    <w:p w14:paraId="39A21F05" w14:textId="77777777" w:rsidR="00B03F0C" w:rsidRPr="00B56066" w:rsidRDefault="00BD5FDB">
      <w:pPr>
        <w:numPr>
          <w:ilvl w:val="0"/>
          <w:numId w:val="1"/>
        </w:numPr>
        <w:tabs>
          <w:tab w:val="left" w:pos="851"/>
        </w:tabs>
        <w:spacing w:after="160" w:line="360" w:lineRule="auto"/>
        <w:ind w:left="567" w:firstLine="1"/>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La limitación se adecua al principio de proporcionalidad y representa el medio menos restrictivo disponible para evitar el perjuicio. </w:t>
      </w:r>
    </w:p>
    <w:p w14:paraId="1B8CDCCF" w14:textId="77777777" w:rsidR="00B03F0C" w:rsidRPr="00B56066" w:rsidRDefault="00B03F0C">
      <w:pPr>
        <w:tabs>
          <w:tab w:val="left" w:pos="851"/>
        </w:tabs>
        <w:spacing w:line="360" w:lineRule="auto"/>
        <w:ind w:left="568"/>
        <w:jc w:val="both"/>
        <w:rPr>
          <w:rFonts w:ascii="Palatino Linotype" w:eastAsia="Palatino Linotype" w:hAnsi="Palatino Linotype" w:cs="Palatino Linotype"/>
          <w:sz w:val="22"/>
          <w:szCs w:val="22"/>
        </w:rPr>
      </w:pPr>
    </w:p>
    <w:p w14:paraId="05FFAA73"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Siendo pertinente aclarar que, la información que se clasifica bajo la premisa de reservada, no pierde el carácter de pública, sino que se reserva temporalmente del conocimiento público, es decir, que, por un tiempo determinado, se conservará y custodiará la información de manera especial, y una vez transcurrido el plazo de reserva, el documento podrá divulgarse.</w:t>
      </w:r>
    </w:p>
    <w:p w14:paraId="3C3AA890"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31616B4A"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015DBA99"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03CC225A" w14:textId="77777777" w:rsidR="00B03F0C" w:rsidRPr="00B56066" w:rsidRDefault="00BD5FDB" w:rsidP="00280E91">
      <w:pPr>
        <w:numPr>
          <w:ilvl w:val="0"/>
          <w:numId w:val="5"/>
        </w:numPr>
        <w:pBdr>
          <w:top w:val="nil"/>
          <w:left w:val="nil"/>
          <w:bottom w:val="nil"/>
          <w:right w:val="nil"/>
          <w:between w:val="nil"/>
        </w:pBdr>
        <w:tabs>
          <w:tab w:val="left" w:pos="709"/>
        </w:tabs>
        <w:spacing w:after="160" w:line="360" w:lineRule="auto"/>
        <w:jc w:val="both"/>
        <w:rPr>
          <w:rFonts w:ascii="Palatino Linotype" w:eastAsia="Palatino Linotype" w:hAnsi="Palatino Linotype" w:cs="Palatino Linotype"/>
          <w:b/>
          <w:sz w:val="22"/>
          <w:szCs w:val="22"/>
        </w:rPr>
      </w:pPr>
      <w:r w:rsidRPr="00B56066">
        <w:rPr>
          <w:rFonts w:ascii="Palatino Linotype" w:eastAsia="Palatino Linotype" w:hAnsi="Palatino Linotype" w:cs="Palatino Linotype"/>
          <w:b/>
          <w:sz w:val="22"/>
          <w:szCs w:val="22"/>
        </w:rPr>
        <w:t>DE LA CLASIFICACIÓN DE LA INFORMACIÓN COMO TOTALMENTE CONFIDENCIAL.</w:t>
      </w:r>
    </w:p>
    <w:p w14:paraId="494E94F6" w14:textId="77777777" w:rsidR="00B03F0C" w:rsidRPr="00B56066" w:rsidRDefault="00BD5FDB">
      <w:pPr>
        <w:tabs>
          <w:tab w:val="left" w:pos="709"/>
        </w:tabs>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Por cuanto hace a los documentos que por su propia y especial naturaleza sean de carácter privado, encuadran en el supuesto de información confidencial en su totalidad, bajo la premisa de que el derecho de acceso a la información pública tiene como limitante el respeto a la intimidad y a la vida privada de las personas, es por ello que este Instituto debe cuidar que los datos personales que obren en poder de los Sujetos Obligados estén protegidos, quienes deberán adoptar las medidas de seguridad administrativa, física y técnica necesarias para garantizar la integridad, confidencialidad y disponibilidad de los datos personales, considerando además, que conforme al principio de finalidad todo tratamiento de datos personales que efectúen los Sujetos Obligados deberá estar justificado en la Ley, lo anterior en términos de lo dispuesto por los artículos 6, 22, 38 y 43, de la Ley de Protección de Datos Personales en Posesión de los Sujetos Obligados del Estado de México y Municipios.</w:t>
      </w:r>
    </w:p>
    <w:p w14:paraId="66B58487" w14:textId="77777777" w:rsidR="00B03F0C" w:rsidRPr="00B56066" w:rsidRDefault="00B03F0C">
      <w:pPr>
        <w:tabs>
          <w:tab w:val="left" w:pos="709"/>
        </w:tabs>
        <w:spacing w:line="360" w:lineRule="auto"/>
        <w:jc w:val="both"/>
        <w:rPr>
          <w:rFonts w:ascii="Palatino Linotype" w:eastAsia="Palatino Linotype" w:hAnsi="Palatino Linotype" w:cs="Palatino Linotype"/>
          <w:sz w:val="22"/>
          <w:szCs w:val="22"/>
        </w:rPr>
      </w:pPr>
    </w:p>
    <w:p w14:paraId="5CAA23DB" w14:textId="77777777" w:rsidR="00B03F0C" w:rsidRPr="00B56066" w:rsidRDefault="00BD5FDB">
      <w:pPr>
        <w:spacing w:line="360" w:lineRule="auto"/>
        <w:ind w:right="51"/>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Asimismo, no obsta mencionar que el Acuerdo del Comité de Transparencia mediante el cual se clasifique la información como reservada o confidencial, de manera total o parcial debe emitirse siguiendo las formalidades previstas en la Ley de Transparencia y Acceso a la Información Pública del Estado de México y en los Lineamientos Generales en Materia de Clasificación y Desclasificación de la Información, así como para la Elaboración de </w:t>
      </w:r>
      <w:r w:rsidRPr="00B56066">
        <w:rPr>
          <w:rFonts w:ascii="Palatino Linotype" w:eastAsia="Palatino Linotype" w:hAnsi="Palatino Linotype" w:cs="Palatino Linotype"/>
          <w:sz w:val="22"/>
          <w:szCs w:val="22"/>
        </w:rPr>
        <w:lastRenderedPageBreak/>
        <w:t>Versiones Públicas, de igual forma en dicho acuerdo se deben exponer de manera clara los fundamentos y razones que llevaron a la autoridad a clasificar la información, de lo contrario, implica dejar al solicitante en estado de incertidumbre, al no conocer o comprender las razones por las que se clasifica la documentación respectiva, es decir, si no se exponen de manera puntual las razones, de ello se estaría violentando el Derecho de Acceso a la Información del solicitante.</w:t>
      </w:r>
    </w:p>
    <w:p w14:paraId="062E6938" w14:textId="77777777" w:rsidR="00B03F0C" w:rsidRPr="00B56066" w:rsidRDefault="00B03F0C">
      <w:pPr>
        <w:spacing w:line="360" w:lineRule="auto"/>
        <w:ind w:right="51"/>
        <w:jc w:val="both"/>
        <w:rPr>
          <w:rFonts w:ascii="Palatino Linotype" w:eastAsia="Palatino Linotype" w:hAnsi="Palatino Linotype" w:cs="Palatino Linotype"/>
          <w:b/>
          <w:sz w:val="22"/>
          <w:szCs w:val="22"/>
        </w:rPr>
      </w:pPr>
    </w:p>
    <w:p w14:paraId="3D8748F5" w14:textId="77777777" w:rsidR="00B03F0C" w:rsidRPr="00B56066" w:rsidRDefault="00BD5FDB" w:rsidP="00280E91">
      <w:pPr>
        <w:numPr>
          <w:ilvl w:val="0"/>
          <w:numId w:val="5"/>
        </w:numPr>
        <w:pBdr>
          <w:top w:val="nil"/>
          <w:left w:val="nil"/>
          <w:bottom w:val="nil"/>
          <w:right w:val="nil"/>
          <w:between w:val="nil"/>
        </w:pBdr>
        <w:spacing w:after="160" w:line="360" w:lineRule="auto"/>
        <w:ind w:right="51"/>
        <w:jc w:val="both"/>
        <w:rPr>
          <w:rFonts w:ascii="Palatino Linotype" w:eastAsia="Palatino Linotype" w:hAnsi="Palatino Linotype" w:cs="Palatino Linotype"/>
          <w:b/>
          <w:sz w:val="22"/>
          <w:szCs w:val="22"/>
        </w:rPr>
      </w:pPr>
      <w:r w:rsidRPr="00B56066">
        <w:rPr>
          <w:rFonts w:ascii="Palatino Linotype" w:eastAsia="Palatino Linotype" w:hAnsi="Palatino Linotype" w:cs="Palatino Linotype"/>
          <w:b/>
          <w:sz w:val="22"/>
          <w:szCs w:val="22"/>
        </w:rPr>
        <w:t>DE LA DECLARATORIA DE INEXISTENCIA DE LA INFORMACIÓN.</w:t>
      </w:r>
    </w:p>
    <w:p w14:paraId="0A06C104"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Por otro lado, estima prudente señalar al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xml:space="preserve"> que, en caso de que la información solicitada, debiera obrar en sus archivos y no cuente con ella, deberá entregar el Acuerdo del Comité de Transparencia, en donde conste la declaratoria de inexistencia de la misma.</w:t>
      </w:r>
    </w:p>
    <w:p w14:paraId="40275A0B"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40B63C8D"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2A3DBDEC"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1DABD244"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63AE31C6"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2CB8662D"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lastRenderedPageBreak/>
        <w:t>Resulta aplicable el criterio de interpretación en el orden administrativo número 0008-19 emitido por Acuerdo del Pleno del Instituto de Transparencia y Acceso a la Información Pública del Estado de México y Municipios, que a la letra dice:</w:t>
      </w:r>
    </w:p>
    <w:p w14:paraId="39349FBE" w14:textId="77777777" w:rsidR="00B03F0C" w:rsidRPr="00B56066" w:rsidRDefault="00B03F0C">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p>
    <w:p w14:paraId="32E11C3C" w14:textId="77777777" w:rsidR="00B03F0C" w:rsidRPr="00B56066" w:rsidRDefault="00BD5FDB">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B56066">
        <w:rPr>
          <w:rFonts w:ascii="Palatino Linotype" w:eastAsia="Palatino Linotype" w:hAnsi="Palatino Linotype" w:cs="Palatino Linotype"/>
          <w:b/>
          <w:i/>
          <w:sz w:val="22"/>
          <w:szCs w:val="22"/>
        </w:rPr>
        <w:t xml:space="preserve">INEXISTENCIA DE LA INFORMACIÓN. SUPUESTOS PARA EMITIR LA RESOLUCIÓN DE LA. </w:t>
      </w:r>
      <w:r w:rsidRPr="00B56066">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0104E5F8" w14:textId="77777777" w:rsidR="00B03F0C" w:rsidRPr="00B56066" w:rsidRDefault="00B03F0C">
      <w:pPr>
        <w:pBdr>
          <w:top w:val="nil"/>
          <w:left w:val="nil"/>
          <w:bottom w:val="nil"/>
          <w:right w:val="nil"/>
          <w:between w:val="nil"/>
        </w:pBdr>
        <w:spacing w:after="160" w:line="259" w:lineRule="auto"/>
        <w:ind w:left="864" w:right="864"/>
        <w:jc w:val="both"/>
        <w:rPr>
          <w:rFonts w:ascii="Palatino Linotype" w:eastAsia="Palatino Linotype" w:hAnsi="Palatino Linotype" w:cs="Palatino Linotype"/>
          <w:i/>
        </w:rPr>
      </w:pPr>
    </w:p>
    <w:p w14:paraId="33F7091A"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En mérito de todo lo expuesto, ante lo </w:t>
      </w:r>
      <w:r w:rsidRPr="00B56066">
        <w:rPr>
          <w:rFonts w:ascii="Palatino Linotype" w:eastAsia="Palatino Linotype" w:hAnsi="Palatino Linotype" w:cs="Palatino Linotype"/>
          <w:b/>
          <w:sz w:val="22"/>
          <w:szCs w:val="22"/>
        </w:rPr>
        <w:t>FUNDADO</w:t>
      </w:r>
      <w:r w:rsidRPr="00B56066">
        <w:rPr>
          <w:rFonts w:ascii="Palatino Linotype" w:eastAsia="Palatino Linotype" w:hAnsi="Palatino Linotype" w:cs="Palatino Linotype"/>
          <w:sz w:val="22"/>
          <w:szCs w:val="22"/>
        </w:rPr>
        <w:t xml:space="preserve"> de las razones o motivos de inconformidad hechos valer por </w:t>
      </w:r>
      <w:r w:rsidRPr="00B56066">
        <w:rPr>
          <w:rFonts w:ascii="Palatino Linotype" w:eastAsia="Palatino Linotype" w:hAnsi="Palatino Linotype" w:cs="Palatino Linotype"/>
          <w:b/>
          <w:sz w:val="22"/>
          <w:szCs w:val="22"/>
        </w:rPr>
        <w:t xml:space="preserve">la parte Recurrente, </w:t>
      </w:r>
      <w:r w:rsidRPr="00B56066">
        <w:rPr>
          <w:rFonts w:ascii="Palatino Linotype" w:eastAsia="Palatino Linotype" w:hAnsi="Palatino Linotype" w:cs="Palatino Linotype"/>
          <w:sz w:val="22"/>
          <w:szCs w:val="22"/>
        </w:rPr>
        <w:t xml:space="preserve">este Instituto estima que lo dable es </w:t>
      </w:r>
      <w:r w:rsidRPr="00B56066">
        <w:rPr>
          <w:rFonts w:ascii="Palatino Linotype" w:eastAsia="Palatino Linotype" w:hAnsi="Palatino Linotype" w:cs="Palatino Linotype"/>
          <w:b/>
          <w:sz w:val="22"/>
          <w:szCs w:val="22"/>
        </w:rPr>
        <w:t>ORDENAR</w:t>
      </w:r>
      <w:r w:rsidRPr="00B56066">
        <w:rPr>
          <w:rFonts w:ascii="Palatino Linotype" w:eastAsia="Palatino Linotype" w:hAnsi="Palatino Linotype" w:cs="Palatino Linotype"/>
          <w:sz w:val="22"/>
          <w:szCs w:val="22"/>
        </w:rPr>
        <w:t xml:space="preserve"> al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xml:space="preserve"> atienda la solicitud de acceso a la información, atendiendo lo señalado en el presente Considerando.</w:t>
      </w:r>
    </w:p>
    <w:p w14:paraId="2724F228" w14:textId="77777777" w:rsidR="00B03F0C" w:rsidRPr="00B56066" w:rsidRDefault="00B03F0C">
      <w:pPr>
        <w:spacing w:line="360" w:lineRule="auto"/>
        <w:jc w:val="both"/>
        <w:rPr>
          <w:rFonts w:ascii="Palatino Linotype" w:eastAsia="Palatino Linotype" w:hAnsi="Palatino Linotype" w:cs="Palatino Linotype"/>
        </w:rPr>
      </w:pPr>
    </w:p>
    <w:p w14:paraId="4F6AA0FD" w14:textId="77777777" w:rsidR="00B03F0C" w:rsidRPr="00B56066" w:rsidRDefault="00BD5FDB">
      <w:pPr>
        <w:spacing w:line="360" w:lineRule="auto"/>
        <w:ind w:right="49"/>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 xml:space="preserve">Por otro lado, es de señalar que, como ya se mencionó </w:t>
      </w:r>
      <w:r w:rsidRPr="00B56066">
        <w:rPr>
          <w:rFonts w:ascii="Palatino Linotype" w:eastAsia="Palatino Linotype" w:hAnsi="Palatino Linotype" w:cs="Palatino Linotype"/>
          <w:b/>
          <w:sz w:val="22"/>
          <w:szCs w:val="22"/>
        </w:rPr>
        <w:t>el Sujeto Obligado,</w:t>
      </w:r>
      <w:r w:rsidRPr="00B56066">
        <w:rPr>
          <w:rFonts w:ascii="Palatino Linotype" w:eastAsia="Palatino Linotype" w:hAnsi="Palatino Linotype" w:cs="Palatino Linotype"/>
          <w:sz w:val="22"/>
          <w:szCs w:val="22"/>
        </w:rPr>
        <w:t xml:space="preserve"> </w:t>
      </w:r>
      <w:r w:rsidRPr="00B56066">
        <w:rPr>
          <w:rFonts w:ascii="Palatino Linotype" w:eastAsia="Palatino Linotype" w:hAnsi="Palatino Linotype" w:cs="Palatino Linotype"/>
          <w:sz w:val="22"/>
          <w:szCs w:val="22"/>
          <w:u w:val="single"/>
        </w:rPr>
        <w:t>omitió proporcionar la respuesta a la solicitud de acceso a la información pública,</w:t>
      </w:r>
      <w:r w:rsidRPr="00B56066">
        <w:rPr>
          <w:rFonts w:ascii="Palatino Linotype" w:eastAsia="Palatino Linotype" w:hAnsi="Palatino Linotype" w:cs="Palatino Linotype"/>
          <w:sz w:val="22"/>
          <w:szCs w:val="22"/>
        </w:rPr>
        <w:t xml:space="preserve"> en el término contemplado en el ya citado artículo 163 de la ley de la materia, razón por la que, en términos de lo previsto en el artículo 190 de la Ley de Transparencia y Acceso a la Información Pública del Estado de México y Municipios, se </w:t>
      </w:r>
      <w:r w:rsidRPr="00B56066">
        <w:rPr>
          <w:rFonts w:ascii="Palatino Linotype" w:eastAsia="Palatino Linotype" w:hAnsi="Palatino Linotype" w:cs="Palatino Linotype"/>
          <w:b/>
          <w:sz w:val="22"/>
          <w:szCs w:val="22"/>
        </w:rPr>
        <w:t xml:space="preserve">ORDENA </w:t>
      </w:r>
      <w:r w:rsidRPr="00B56066">
        <w:rPr>
          <w:rFonts w:ascii="Palatino Linotype" w:eastAsia="Palatino Linotype" w:hAnsi="Palatino Linotype" w:cs="Palatino Linotype"/>
          <w:sz w:val="22"/>
          <w:szCs w:val="22"/>
        </w:rPr>
        <w:t xml:space="preserve">dar vista a la </w:t>
      </w:r>
      <w:r w:rsidRPr="00B56066">
        <w:rPr>
          <w:rFonts w:ascii="Palatino Linotype" w:eastAsia="Palatino Linotype" w:hAnsi="Palatino Linotype" w:cs="Palatino Linotype"/>
          <w:b/>
          <w:sz w:val="22"/>
          <w:szCs w:val="22"/>
        </w:rPr>
        <w:t>Secretaría Técnica del Pleno</w:t>
      </w:r>
      <w:r w:rsidRPr="00B56066">
        <w:rPr>
          <w:rFonts w:ascii="Palatino Linotype" w:eastAsia="Palatino Linotype" w:hAnsi="Palatino Linotype" w:cs="Palatino Linotype"/>
          <w:sz w:val="22"/>
          <w:szCs w:val="22"/>
        </w:rPr>
        <w:t xml:space="preserve"> a efecto de que ejerza las atribuciones previstas en la normatividad aplicable y comunique al </w:t>
      </w:r>
      <w:r w:rsidRPr="00B56066">
        <w:rPr>
          <w:rFonts w:ascii="Palatino Linotype" w:eastAsia="Palatino Linotype" w:hAnsi="Palatino Linotype" w:cs="Palatino Linotype"/>
          <w:b/>
          <w:sz w:val="22"/>
          <w:szCs w:val="22"/>
        </w:rPr>
        <w:t>Órgano Interno de Control Competente</w:t>
      </w:r>
      <w:r w:rsidRPr="00B56066">
        <w:rPr>
          <w:rFonts w:ascii="Palatino Linotype" w:eastAsia="Palatino Linotype" w:hAnsi="Palatino Linotype" w:cs="Palatino Linotype"/>
          <w:sz w:val="22"/>
          <w:szCs w:val="22"/>
        </w:rPr>
        <w:t xml:space="preserve"> para que éste último, en ejercicio de sus atribuciones resuelva lo conducente y determine en su caso el grado de responsabilidad en el incumplimiento de las obligaciones establecidas en la citada ley. </w:t>
      </w:r>
    </w:p>
    <w:p w14:paraId="48AEF1CC" w14:textId="77777777" w:rsidR="00B03F0C" w:rsidRPr="00B56066" w:rsidRDefault="00B03F0C"/>
    <w:p w14:paraId="7A7F0635"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sz w:val="22"/>
          <w:szCs w:val="22"/>
        </w:rPr>
        <w:t>Así, con fundamento en lo prescrito en los</w:t>
      </w:r>
      <w:r w:rsidRPr="00B56066">
        <w:rPr>
          <w:rFonts w:ascii="Calibri" w:eastAsia="Calibri" w:hAnsi="Calibri" w:cs="Calibri"/>
          <w:sz w:val="22"/>
          <w:szCs w:val="22"/>
        </w:rPr>
        <w:t xml:space="preserve"> </w:t>
      </w:r>
      <w:r w:rsidRPr="00B56066">
        <w:rPr>
          <w:rFonts w:ascii="Palatino Linotype" w:eastAsia="Palatino Linotype" w:hAnsi="Palatino Linotype" w:cs="Palatino Linotype"/>
          <w:sz w:val="22"/>
          <w:szCs w:val="22"/>
        </w:rPr>
        <w:t>artículos 5 párrafos trigésimo segundo, trigésimo tercero y trigésimo cuarto fracciones IV y V de la Constitución Política del Estado Libre y Soberano de México; 2, fracción II; 29, 36 fracciones I y II; 176, 178, 181, 185, fracción I, 186 y 188 de la Ley de Transparencia y Acceso a la Información Pública del Estado de México y Municipios, este Pleno</w:t>
      </w:r>
    </w:p>
    <w:p w14:paraId="761E1D0E"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7C4DA163" w14:textId="77777777" w:rsidR="00B03F0C" w:rsidRPr="00B56066" w:rsidRDefault="00BD5FDB">
      <w:pPr>
        <w:pBdr>
          <w:top w:val="nil"/>
          <w:left w:val="nil"/>
          <w:bottom w:val="nil"/>
          <w:right w:val="nil"/>
          <w:between w:val="nil"/>
        </w:pBdr>
        <w:spacing w:line="360" w:lineRule="auto"/>
        <w:jc w:val="center"/>
        <w:rPr>
          <w:rFonts w:ascii="Palatino Linotype" w:eastAsia="Palatino Linotype" w:hAnsi="Palatino Linotype" w:cs="Palatino Linotype"/>
          <w:b/>
          <w:sz w:val="22"/>
          <w:szCs w:val="22"/>
        </w:rPr>
      </w:pPr>
      <w:r w:rsidRPr="00B56066">
        <w:rPr>
          <w:rFonts w:ascii="Palatino Linotype" w:eastAsia="Palatino Linotype" w:hAnsi="Palatino Linotype" w:cs="Palatino Linotype"/>
          <w:b/>
          <w:sz w:val="22"/>
          <w:szCs w:val="22"/>
        </w:rPr>
        <w:t>R E S U E L V E:</w:t>
      </w:r>
    </w:p>
    <w:p w14:paraId="4935442E" w14:textId="77777777" w:rsidR="00B03F0C" w:rsidRPr="00B56066" w:rsidRDefault="00BD5FDB">
      <w:pPr>
        <w:spacing w:line="360" w:lineRule="auto"/>
        <w:ind w:right="49"/>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 xml:space="preserve">Primero. </w:t>
      </w:r>
      <w:r w:rsidRPr="00B56066">
        <w:rPr>
          <w:rFonts w:ascii="Palatino Linotype" w:eastAsia="Palatino Linotype" w:hAnsi="Palatino Linotype" w:cs="Palatino Linotype"/>
          <w:sz w:val="22"/>
          <w:szCs w:val="22"/>
        </w:rPr>
        <w:t xml:space="preserve">Resultan </w:t>
      </w:r>
      <w:r w:rsidRPr="00B56066">
        <w:rPr>
          <w:rFonts w:ascii="Palatino Linotype" w:eastAsia="Palatino Linotype" w:hAnsi="Palatino Linotype" w:cs="Palatino Linotype"/>
          <w:b/>
          <w:sz w:val="22"/>
          <w:szCs w:val="22"/>
        </w:rPr>
        <w:t>FUNDADOS</w:t>
      </w:r>
      <w:r w:rsidRPr="00B56066">
        <w:rPr>
          <w:rFonts w:ascii="Palatino Linotype" w:eastAsia="Palatino Linotype" w:hAnsi="Palatino Linotype" w:cs="Palatino Linotype"/>
          <w:sz w:val="22"/>
          <w:szCs w:val="22"/>
        </w:rPr>
        <w:t xml:space="preserve"> los motivos de inconformidad de </w:t>
      </w:r>
      <w:r w:rsidRPr="00B56066">
        <w:rPr>
          <w:rFonts w:ascii="Palatino Linotype" w:eastAsia="Palatino Linotype" w:hAnsi="Palatino Linotype" w:cs="Palatino Linotype"/>
          <w:b/>
          <w:sz w:val="22"/>
          <w:szCs w:val="22"/>
        </w:rPr>
        <w:t>la parte</w:t>
      </w:r>
      <w:r w:rsidRPr="00B56066">
        <w:rPr>
          <w:rFonts w:ascii="Palatino Linotype" w:eastAsia="Palatino Linotype" w:hAnsi="Palatino Linotype" w:cs="Palatino Linotype"/>
          <w:sz w:val="22"/>
          <w:szCs w:val="22"/>
        </w:rPr>
        <w:t xml:space="preserve"> </w:t>
      </w:r>
      <w:r w:rsidRPr="00B56066">
        <w:rPr>
          <w:rFonts w:ascii="Palatino Linotype" w:eastAsia="Palatino Linotype" w:hAnsi="Palatino Linotype" w:cs="Palatino Linotype"/>
          <w:b/>
          <w:sz w:val="22"/>
          <w:szCs w:val="22"/>
        </w:rPr>
        <w:t>Recurrente</w:t>
      </w:r>
      <w:r w:rsidRPr="00B56066">
        <w:rPr>
          <w:rFonts w:ascii="Palatino Linotype" w:eastAsia="Palatino Linotype" w:hAnsi="Palatino Linotype" w:cs="Palatino Linotype"/>
          <w:sz w:val="22"/>
          <w:szCs w:val="22"/>
        </w:rPr>
        <w:t xml:space="preserve">, en términos del </w:t>
      </w:r>
      <w:r w:rsidRPr="00B56066">
        <w:rPr>
          <w:rFonts w:ascii="Palatino Linotype" w:eastAsia="Palatino Linotype" w:hAnsi="Palatino Linotype" w:cs="Palatino Linotype"/>
          <w:b/>
          <w:sz w:val="22"/>
          <w:szCs w:val="22"/>
        </w:rPr>
        <w:t>Considerando</w:t>
      </w:r>
      <w:r w:rsidRPr="00B56066">
        <w:rPr>
          <w:rFonts w:ascii="Palatino Linotype" w:eastAsia="Palatino Linotype" w:hAnsi="Palatino Linotype" w:cs="Palatino Linotype"/>
          <w:sz w:val="22"/>
          <w:szCs w:val="22"/>
        </w:rPr>
        <w:t xml:space="preserve"> </w:t>
      </w:r>
      <w:r w:rsidRPr="00B56066">
        <w:rPr>
          <w:rFonts w:ascii="Palatino Linotype" w:eastAsia="Palatino Linotype" w:hAnsi="Palatino Linotype" w:cs="Palatino Linotype"/>
          <w:b/>
          <w:sz w:val="22"/>
          <w:szCs w:val="22"/>
        </w:rPr>
        <w:t>Cuarto</w:t>
      </w:r>
      <w:r w:rsidRPr="00B56066">
        <w:rPr>
          <w:rFonts w:ascii="Palatino Linotype" w:eastAsia="Palatino Linotype" w:hAnsi="Palatino Linotype" w:cs="Palatino Linotype"/>
          <w:sz w:val="22"/>
          <w:szCs w:val="22"/>
        </w:rPr>
        <w:t xml:space="preserve"> de la presente resolución.</w:t>
      </w:r>
    </w:p>
    <w:p w14:paraId="1B85843C" w14:textId="77777777" w:rsidR="00B03F0C" w:rsidRPr="00B56066" w:rsidRDefault="00B03F0C">
      <w:pPr>
        <w:spacing w:line="360" w:lineRule="auto"/>
        <w:ind w:right="49"/>
        <w:jc w:val="both"/>
        <w:rPr>
          <w:rFonts w:ascii="Palatino Linotype" w:eastAsia="Palatino Linotype" w:hAnsi="Palatino Linotype" w:cs="Palatino Linotype"/>
        </w:rPr>
      </w:pPr>
    </w:p>
    <w:p w14:paraId="6C2EBE5F" w14:textId="3DDD400F" w:rsidR="00B03F0C" w:rsidRPr="00B56066" w:rsidRDefault="00BD5FDB">
      <w:pPr>
        <w:spacing w:line="360" w:lineRule="auto"/>
        <w:jc w:val="both"/>
        <w:rPr>
          <w:rFonts w:ascii="Palatino Linotype" w:eastAsia="Palatino Linotype" w:hAnsi="Palatino Linotype" w:cs="Palatino Linotype"/>
          <w:sz w:val="22"/>
          <w:szCs w:val="22"/>
        </w:rPr>
      </w:pPr>
      <w:bookmarkStart w:id="5" w:name="_heading=h.1fob9te" w:colFirst="0" w:colLast="0"/>
      <w:bookmarkEnd w:id="5"/>
      <w:r w:rsidRPr="00B56066">
        <w:rPr>
          <w:rFonts w:ascii="Palatino Linotype" w:eastAsia="Palatino Linotype" w:hAnsi="Palatino Linotype" w:cs="Palatino Linotype"/>
          <w:b/>
          <w:sz w:val="22"/>
          <w:szCs w:val="22"/>
        </w:rPr>
        <w:t>Segundo.</w:t>
      </w:r>
      <w:r w:rsidRPr="00B56066">
        <w:rPr>
          <w:rFonts w:ascii="Palatino Linotype" w:eastAsia="Palatino Linotype" w:hAnsi="Palatino Linotype" w:cs="Palatino Linotype"/>
          <w:sz w:val="22"/>
          <w:szCs w:val="22"/>
        </w:rPr>
        <w:t xml:space="preserve"> Se </w:t>
      </w:r>
      <w:r w:rsidRPr="00B56066">
        <w:rPr>
          <w:rFonts w:ascii="Palatino Linotype" w:eastAsia="Palatino Linotype" w:hAnsi="Palatino Linotype" w:cs="Palatino Linotype"/>
          <w:b/>
          <w:sz w:val="22"/>
          <w:szCs w:val="22"/>
        </w:rPr>
        <w:t>ORDENA</w:t>
      </w:r>
      <w:r w:rsidRPr="00B56066">
        <w:rPr>
          <w:rFonts w:ascii="Palatino Linotype" w:eastAsia="Palatino Linotype" w:hAnsi="Palatino Linotype" w:cs="Palatino Linotype"/>
          <w:sz w:val="22"/>
          <w:szCs w:val="22"/>
        </w:rPr>
        <w:t xml:space="preserve"> al </w:t>
      </w:r>
      <w:r w:rsidRPr="00B56066">
        <w:rPr>
          <w:rFonts w:ascii="Palatino Linotype" w:eastAsia="Palatino Linotype" w:hAnsi="Palatino Linotype" w:cs="Palatino Linotype"/>
          <w:b/>
          <w:sz w:val="22"/>
          <w:szCs w:val="22"/>
        </w:rPr>
        <w:t>Sujeto Obligado</w:t>
      </w:r>
      <w:r w:rsidRPr="00B56066">
        <w:rPr>
          <w:rFonts w:ascii="Palatino Linotype" w:eastAsia="Palatino Linotype" w:hAnsi="Palatino Linotype" w:cs="Palatino Linotype"/>
          <w:sz w:val="22"/>
          <w:szCs w:val="22"/>
        </w:rPr>
        <w:t xml:space="preserve"> atienda vía </w:t>
      </w:r>
      <w:r w:rsidRPr="00B56066">
        <w:rPr>
          <w:rFonts w:ascii="Palatino Linotype" w:eastAsia="Palatino Linotype" w:hAnsi="Palatino Linotype" w:cs="Palatino Linotype"/>
          <w:b/>
          <w:sz w:val="22"/>
          <w:szCs w:val="22"/>
        </w:rPr>
        <w:t>Sistema de Acceso a la Información Mexiquense</w:t>
      </w:r>
      <w:r w:rsidR="004D3C01" w:rsidRPr="00B56066">
        <w:rPr>
          <w:rFonts w:ascii="Palatino Linotype" w:eastAsia="Palatino Linotype" w:hAnsi="Palatino Linotype" w:cs="Palatino Linotype"/>
          <w:b/>
          <w:sz w:val="22"/>
          <w:szCs w:val="22"/>
        </w:rPr>
        <w:t xml:space="preserve"> </w:t>
      </w:r>
      <w:r w:rsidRPr="00B56066">
        <w:rPr>
          <w:rFonts w:ascii="Palatino Linotype" w:eastAsia="Palatino Linotype" w:hAnsi="Palatino Linotype" w:cs="Palatino Linotype"/>
          <w:b/>
          <w:sz w:val="22"/>
          <w:szCs w:val="22"/>
        </w:rPr>
        <w:t>(SAIMEX)</w:t>
      </w:r>
      <w:r w:rsidRPr="00B56066">
        <w:rPr>
          <w:rFonts w:ascii="Palatino Linotype" w:eastAsia="Palatino Linotype" w:hAnsi="Palatino Linotype" w:cs="Palatino Linotype"/>
          <w:sz w:val="22"/>
          <w:szCs w:val="22"/>
        </w:rPr>
        <w:t xml:space="preserve">, la Solicitud de Acceso a la Información Pública </w:t>
      </w:r>
      <w:r w:rsidR="00231D84" w:rsidRPr="00B56066">
        <w:rPr>
          <w:rFonts w:ascii="Palatino Linotype" w:eastAsia="Palatino Linotype" w:hAnsi="Palatino Linotype" w:cs="Palatino Linotype"/>
          <w:b/>
          <w:sz w:val="22"/>
          <w:szCs w:val="22"/>
        </w:rPr>
        <w:t>00005/DIFTEOLOYU/IP/2025</w:t>
      </w:r>
      <w:r w:rsidRPr="00B56066">
        <w:rPr>
          <w:rFonts w:ascii="Palatino Linotype" w:eastAsia="Palatino Linotype" w:hAnsi="Palatino Linotype" w:cs="Palatino Linotype"/>
          <w:b/>
          <w:sz w:val="22"/>
          <w:szCs w:val="22"/>
        </w:rPr>
        <w:t xml:space="preserve">, </w:t>
      </w:r>
      <w:r w:rsidRPr="00B56066">
        <w:rPr>
          <w:rFonts w:ascii="Palatino Linotype" w:eastAsia="Palatino Linotype" w:hAnsi="Palatino Linotype" w:cs="Palatino Linotype"/>
          <w:sz w:val="22"/>
          <w:szCs w:val="22"/>
        </w:rPr>
        <w:t>que dio origen al recurso de revisión</w:t>
      </w:r>
      <w:r w:rsidRPr="00B56066">
        <w:rPr>
          <w:rFonts w:ascii="Palatino Linotype" w:eastAsia="Palatino Linotype" w:hAnsi="Palatino Linotype" w:cs="Palatino Linotype"/>
          <w:b/>
          <w:sz w:val="22"/>
          <w:szCs w:val="22"/>
        </w:rPr>
        <w:t> </w:t>
      </w:r>
      <w:r w:rsidR="00231D84" w:rsidRPr="00B56066">
        <w:rPr>
          <w:rFonts w:ascii="Palatino Linotype" w:eastAsia="Palatino Linotype" w:hAnsi="Palatino Linotype" w:cs="Palatino Linotype"/>
          <w:b/>
          <w:sz w:val="22"/>
          <w:szCs w:val="22"/>
        </w:rPr>
        <w:t>01659/INFOEM/IP/RR/2025</w:t>
      </w:r>
      <w:r w:rsidRPr="00B56066">
        <w:rPr>
          <w:rFonts w:ascii="Palatino Linotype" w:eastAsia="Palatino Linotype" w:hAnsi="Palatino Linotype" w:cs="Palatino Linotype"/>
          <w:sz w:val="22"/>
          <w:szCs w:val="22"/>
        </w:rPr>
        <w:t>,</w:t>
      </w:r>
      <w:r w:rsidRPr="00B56066">
        <w:rPr>
          <w:rFonts w:ascii="Palatino Linotype" w:eastAsia="Palatino Linotype" w:hAnsi="Palatino Linotype" w:cs="Palatino Linotype"/>
          <w:b/>
          <w:sz w:val="22"/>
          <w:szCs w:val="22"/>
        </w:rPr>
        <w:t xml:space="preserve"> </w:t>
      </w:r>
      <w:r w:rsidRPr="00B56066">
        <w:rPr>
          <w:rFonts w:ascii="Palatino Linotype" w:eastAsia="Palatino Linotype" w:hAnsi="Palatino Linotype" w:cs="Palatino Linotype"/>
          <w:sz w:val="22"/>
          <w:szCs w:val="22"/>
        </w:rPr>
        <w:t xml:space="preserve">en términos del </w:t>
      </w:r>
      <w:r w:rsidRPr="00B56066">
        <w:rPr>
          <w:rFonts w:ascii="Palatino Linotype" w:eastAsia="Palatino Linotype" w:hAnsi="Palatino Linotype" w:cs="Palatino Linotype"/>
          <w:b/>
          <w:sz w:val="22"/>
          <w:szCs w:val="22"/>
        </w:rPr>
        <w:t>Considerando Cuarto</w:t>
      </w:r>
      <w:r w:rsidRPr="00B56066">
        <w:rPr>
          <w:rFonts w:ascii="Palatino Linotype" w:eastAsia="Palatino Linotype" w:hAnsi="Palatino Linotype" w:cs="Palatino Linotype"/>
          <w:sz w:val="22"/>
          <w:szCs w:val="22"/>
        </w:rPr>
        <w:t xml:space="preserve"> de esta </w:t>
      </w:r>
      <w:r w:rsidRPr="00B56066">
        <w:rPr>
          <w:rFonts w:ascii="Palatino Linotype" w:eastAsia="Palatino Linotype" w:hAnsi="Palatino Linotype" w:cs="Palatino Linotype"/>
          <w:sz w:val="22"/>
          <w:szCs w:val="22"/>
        </w:rPr>
        <w:lastRenderedPageBreak/>
        <w:t>resolución y emita respuesta, debiendo observar las excepciones contenidas en la Ley de Transparencia y Acceso a la Información Pública del Estado de México y Municipios.</w:t>
      </w:r>
    </w:p>
    <w:p w14:paraId="584A34C7"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31D79048"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 xml:space="preserve">Tercero. Notifíquese </w:t>
      </w:r>
      <w:r w:rsidRPr="00B56066">
        <w:rPr>
          <w:rFonts w:ascii="Palatino Linotype" w:eastAsia="Palatino Linotype" w:hAnsi="Palatino Linotype" w:cs="Palatino Linotype"/>
          <w:sz w:val="22"/>
          <w:szCs w:val="22"/>
        </w:rPr>
        <w:t xml:space="preserve">vía </w:t>
      </w:r>
      <w:r w:rsidRPr="00B56066">
        <w:rPr>
          <w:rFonts w:ascii="Palatino Linotype" w:eastAsia="Palatino Linotype" w:hAnsi="Palatino Linotype" w:cs="Palatino Linotype"/>
          <w:b/>
          <w:sz w:val="22"/>
          <w:szCs w:val="22"/>
        </w:rPr>
        <w:t>SAIMEX</w:t>
      </w:r>
      <w:r w:rsidRPr="00B56066">
        <w:rPr>
          <w:rFonts w:ascii="Palatino Linotype" w:eastAsia="Palatino Linotype" w:hAnsi="Palatino Linotype" w:cs="Palatino Linotype"/>
          <w:sz w:val="22"/>
          <w:szCs w:val="22"/>
        </w:rPr>
        <w:t>,</w:t>
      </w:r>
      <w:r w:rsidRPr="00B56066">
        <w:rPr>
          <w:rFonts w:ascii="Palatino Linotype" w:eastAsia="Palatino Linotype" w:hAnsi="Palatino Linotype" w:cs="Palatino Linotype"/>
          <w:b/>
          <w:sz w:val="22"/>
          <w:szCs w:val="22"/>
        </w:rPr>
        <w:t xml:space="preserve"> </w:t>
      </w:r>
      <w:r w:rsidRPr="00B56066">
        <w:rPr>
          <w:rFonts w:ascii="Palatino Linotype" w:eastAsia="Palatino Linotype" w:hAnsi="Palatino Linotype" w:cs="Palatino Linotype"/>
          <w:sz w:val="22"/>
          <w:szCs w:val="22"/>
        </w:rPr>
        <w:t>la presente resolución a la Persona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35C6F9C4" w14:textId="77777777" w:rsidR="00B03F0C" w:rsidRPr="00B56066" w:rsidRDefault="00B03F0C">
      <w:pPr>
        <w:spacing w:line="360" w:lineRule="auto"/>
        <w:jc w:val="both"/>
        <w:rPr>
          <w:rFonts w:ascii="Palatino Linotype" w:eastAsia="Palatino Linotype" w:hAnsi="Palatino Linotype" w:cs="Palatino Linotype"/>
          <w:b/>
          <w:sz w:val="22"/>
          <w:szCs w:val="22"/>
        </w:rPr>
      </w:pPr>
    </w:p>
    <w:p w14:paraId="2D68A55A"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Cuarto. Notifíquese</w:t>
      </w:r>
      <w:r w:rsidRPr="00B56066">
        <w:rPr>
          <w:rFonts w:ascii="Palatino Linotype" w:eastAsia="Palatino Linotype" w:hAnsi="Palatino Linotype" w:cs="Palatino Linotype"/>
          <w:sz w:val="22"/>
          <w:szCs w:val="22"/>
        </w:rPr>
        <w:t>,</w:t>
      </w:r>
      <w:r w:rsidRPr="00B56066">
        <w:rPr>
          <w:rFonts w:ascii="Palatino Linotype" w:eastAsia="Palatino Linotype" w:hAnsi="Palatino Linotype" w:cs="Palatino Linotype"/>
          <w:b/>
          <w:sz w:val="22"/>
          <w:szCs w:val="22"/>
        </w:rPr>
        <w:t xml:space="preserve"> </w:t>
      </w:r>
      <w:r w:rsidRPr="00B56066">
        <w:rPr>
          <w:rFonts w:ascii="Palatino Linotype" w:eastAsia="Palatino Linotype" w:hAnsi="Palatino Linotype" w:cs="Palatino Linotype"/>
          <w:sz w:val="22"/>
          <w:szCs w:val="22"/>
        </w:rPr>
        <w:t xml:space="preserve">vía </w:t>
      </w:r>
      <w:r w:rsidRPr="00B56066">
        <w:rPr>
          <w:rFonts w:ascii="Palatino Linotype" w:eastAsia="Palatino Linotype" w:hAnsi="Palatino Linotype" w:cs="Palatino Linotype"/>
          <w:b/>
          <w:sz w:val="22"/>
          <w:szCs w:val="22"/>
        </w:rPr>
        <w:t>SAIMEX</w:t>
      </w:r>
      <w:r w:rsidRPr="00B56066">
        <w:rPr>
          <w:rFonts w:ascii="Palatino Linotype" w:eastAsia="Palatino Linotype" w:hAnsi="Palatino Linotype" w:cs="Palatino Linotype"/>
          <w:sz w:val="22"/>
          <w:szCs w:val="22"/>
        </w:rPr>
        <w:t xml:space="preserve">, a </w:t>
      </w:r>
      <w:r w:rsidRPr="00B56066">
        <w:rPr>
          <w:rFonts w:ascii="Palatino Linotype" w:eastAsia="Palatino Linotype" w:hAnsi="Palatino Linotype" w:cs="Palatino Linotype"/>
          <w:b/>
          <w:sz w:val="22"/>
          <w:szCs w:val="22"/>
        </w:rPr>
        <w:t>la Parte</w:t>
      </w:r>
      <w:r w:rsidRPr="00B56066">
        <w:rPr>
          <w:rFonts w:ascii="Palatino Linotype" w:eastAsia="Palatino Linotype" w:hAnsi="Palatino Linotype" w:cs="Palatino Linotype"/>
          <w:sz w:val="22"/>
          <w:szCs w:val="22"/>
        </w:rPr>
        <w:t xml:space="preserve"> </w:t>
      </w:r>
      <w:r w:rsidRPr="00B56066">
        <w:rPr>
          <w:rFonts w:ascii="Palatino Linotype" w:eastAsia="Palatino Linotype" w:hAnsi="Palatino Linotype" w:cs="Palatino Linotype"/>
          <w:b/>
          <w:sz w:val="22"/>
          <w:szCs w:val="22"/>
        </w:rPr>
        <w:t xml:space="preserve">Recurrente </w:t>
      </w:r>
      <w:r w:rsidRPr="00B56066">
        <w:rPr>
          <w:rFonts w:ascii="Palatino Linotype" w:eastAsia="Palatino Linotype" w:hAnsi="Palatino Linotype" w:cs="Palatino Linotype"/>
          <w:sz w:val="22"/>
          <w:szCs w:val="22"/>
        </w:rPr>
        <w:t>la presente resolución, así como, que de conformidad con lo establecido en el artículo 196 de la Ley de Transparencia y Acceso a la Información Pública del Estado de México y Municipios, en caso de que considere que le causa algún perjuicio podrá impugnarla vía Juicio de Amparo en los términos de las leyes aplicables.</w:t>
      </w:r>
    </w:p>
    <w:p w14:paraId="229C3CAC" w14:textId="77777777" w:rsidR="00B03F0C" w:rsidRPr="00B56066" w:rsidRDefault="00B03F0C">
      <w:pPr>
        <w:spacing w:line="360" w:lineRule="auto"/>
        <w:jc w:val="both"/>
        <w:rPr>
          <w:rFonts w:ascii="Palatino Linotype" w:eastAsia="Palatino Linotype" w:hAnsi="Palatino Linotype" w:cs="Palatino Linotype"/>
          <w:sz w:val="22"/>
          <w:szCs w:val="22"/>
        </w:rPr>
      </w:pPr>
    </w:p>
    <w:p w14:paraId="5ED05731" w14:textId="77777777"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t xml:space="preserve">Quinto. Notifíquese, </w:t>
      </w:r>
      <w:r w:rsidRPr="00B56066">
        <w:rPr>
          <w:rFonts w:ascii="Palatino Linotype" w:eastAsia="Palatino Linotype" w:hAnsi="Palatino Linotype" w:cs="Palatino Linotype"/>
          <w:sz w:val="22"/>
          <w:szCs w:val="22"/>
        </w:rPr>
        <w:t xml:space="preserve">vía </w:t>
      </w:r>
      <w:r w:rsidRPr="00B56066">
        <w:rPr>
          <w:rFonts w:ascii="Palatino Linotype" w:eastAsia="Palatino Linotype" w:hAnsi="Palatino Linotype" w:cs="Palatino Linotype"/>
          <w:b/>
          <w:sz w:val="22"/>
          <w:szCs w:val="22"/>
        </w:rPr>
        <w:t>SAIMEX</w:t>
      </w:r>
      <w:r w:rsidRPr="00B56066">
        <w:rPr>
          <w:rFonts w:ascii="Palatino Linotype" w:eastAsia="Palatino Linotype" w:hAnsi="Palatino Linotype" w:cs="Palatino Linotype"/>
          <w:sz w:val="22"/>
          <w:szCs w:val="22"/>
        </w:rPr>
        <w:t xml:space="preserve">, a </w:t>
      </w:r>
      <w:r w:rsidRPr="00B56066">
        <w:rPr>
          <w:rFonts w:ascii="Palatino Linotype" w:eastAsia="Palatino Linotype" w:hAnsi="Palatino Linotype" w:cs="Palatino Linotype"/>
          <w:b/>
          <w:sz w:val="22"/>
          <w:szCs w:val="22"/>
        </w:rPr>
        <w:t>la Parte</w:t>
      </w:r>
      <w:r w:rsidRPr="00B56066">
        <w:rPr>
          <w:rFonts w:ascii="Palatino Linotype" w:eastAsia="Palatino Linotype" w:hAnsi="Palatino Linotype" w:cs="Palatino Linotype"/>
          <w:sz w:val="22"/>
          <w:szCs w:val="22"/>
        </w:rPr>
        <w:t xml:space="preserve"> </w:t>
      </w:r>
      <w:r w:rsidRPr="00B56066">
        <w:rPr>
          <w:rFonts w:ascii="Palatino Linotype" w:eastAsia="Palatino Linotype" w:hAnsi="Palatino Linotype" w:cs="Palatino Linotype"/>
          <w:b/>
          <w:sz w:val="22"/>
          <w:szCs w:val="22"/>
        </w:rPr>
        <w:t xml:space="preserve">Recurrente </w:t>
      </w:r>
      <w:r w:rsidRPr="00B56066">
        <w:rPr>
          <w:rFonts w:ascii="Palatino Linotype" w:eastAsia="Palatino Linotype" w:hAnsi="Palatino Linotype" w:cs="Palatino Linotype"/>
          <w:sz w:val="22"/>
          <w:szCs w:val="22"/>
        </w:rPr>
        <w:t xml:space="preserve">que </w:t>
      </w:r>
      <w:r w:rsidRPr="00B56066">
        <w:rPr>
          <w:rFonts w:ascii="Palatino Linotype" w:eastAsia="Palatino Linotype" w:hAnsi="Palatino Linotype" w:cs="Palatino Linotype"/>
          <w:b/>
          <w:sz w:val="22"/>
          <w:szCs w:val="22"/>
          <w:u w:val="single"/>
        </w:rPr>
        <w:t>la respuesta</w:t>
      </w:r>
      <w:r w:rsidRPr="00B56066">
        <w:rPr>
          <w:rFonts w:ascii="Palatino Linotype" w:eastAsia="Palatino Linotype" w:hAnsi="Palatino Linotype" w:cs="Palatino Linotype"/>
          <w:sz w:val="22"/>
          <w:szCs w:val="22"/>
        </w:rPr>
        <w:t xml:space="preserve"> que dé </w:t>
      </w:r>
      <w:r w:rsidRPr="00B56066">
        <w:rPr>
          <w:rFonts w:ascii="Palatino Linotype" w:eastAsia="Palatino Linotype" w:hAnsi="Palatino Linotype" w:cs="Palatino Linotype"/>
          <w:b/>
          <w:sz w:val="22"/>
          <w:szCs w:val="22"/>
        </w:rPr>
        <w:t>el Sujeto Obligado</w:t>
      </w:r>
      <w:r w:rsidRPr="00B56066">
        <w:rPr>
          <w:rFonts w:ascii="Palatino Linotype" w:eastAsia="Palatino Linotype" w:hAnsi="Palatino Linotype" w:cs="Palatino Linotype"/>
          <w:sz w:val="22"/>
          <w:szCs w:val="22"/>
        </w:rPr>
        <w:t xml:space="preserve"> derivada de la presente resolución es susceptible de ser impugnada nuevamente, mediante recurso de revisión, ante el Instituto, en términos del artículo 179, último párrafo de la Ley de Transparencia y Acceso a la Información Pública del Estado de México y Municipios.</w:t>
      </w:r>
    </w:p>
    <w:p w14:paraId="79ADE24A" w14:textId="77777777" w:rsidR="00B03F0C" w:rsidRPr="00B56066" w:rsidRDefault="00B03F0C">
      <w:pPr>
        <w:spacing w:line="360" w:lineRule="auto"/>
        <w:jc w:val="both"/>
        <w:rPr>
          <w:rFonts w:ascii="Palatino Linotype" w:eastAsia="Palatino Linotype" w:hAnsi="Palatino Linotype" w:cs="Palatino Linotype"/>
          <w:b/>
          <w:sz w:val="22"/>
          <w:szCs w:val="22"/>
        </w:rPr>
      </w:pPr>
    </w:p>
    <w:p w14:paraId="1ECF3BE1" w14:textId="610549E6" w:rsidR="00B03F0C" w:rsidRPr="00B56066" w:rsidRDefault="00BD5FDB">
      <w:pPr>
        <w:spacing w:line="360" w:lineRule="auto"/>
        <w:jc w:val="both"/>
        <w:rPr>
          <w:rFonts w:ascii="Palatino Linotype" w:eastAsia="Palatino Linotype" w:hAnsi="Palatino Linotype" w:cs="Palatino Linotype"/>
          <w:sz w:val="22"/>
          <w:szCs w:val="22"/>
        </w:rPr>
      </w:pPr>
      <w:r w:rsidRPr="00B56066">
        <w:rPr>
          <w:rFonts w:ascii="Palatino Linotype" w:eastAsia="Palatino Linotype" w:hAnsi="Palatino Linotype" w:cs="Palatino Linotype"/>
          <w:b/>
          <w:sz w:val="22"/>
          <w:szCs w:val="22"/>
        </w:rPr>
        <w:lastRenderedPageBreak/>
        <w:t xml:space="preserve">Sexto. Gírese </w:t>
      </w:r>
      <w:r w:rsidR="006D550C" w:rsidRPr="00B56066">
        <w:rPr>
          <w:rFonts w:ascii="Palatino Linotype" w:eastAsia="Palatino Linotype" w:hAnsi="Palatino Linotype" w:cs="Palatino Linotype"/>
          <w:sz w:val="22"/>
          <w:szCs w:val="22"/>
        </w:rPr>
        <w:t xml:space="preserve">vista </w:t>
      </w:r>
      <w:r w:rsidRPr="00B56066">
        <w:rPr>
          <w:rFonts w:ascii="Palatino Linotype" w:eastAsia="Palatino Linotype" w:hAnsi="Palatino Linotype" w:cs="Palatino Linotype"/>
          <w:sz w:val="22"/>
          <w:szCs w:val="22"/>
        </w:rPr>
        <w:t>a la</w:t>
      </w:r>
      <w:r w:rsidRPr="00B56066">
        <w:rPr>
          <w:rFonts w:ascii="Palatino Linotype" w:eastAsia="Palatino Linotype" w:hAnsi="Palatino Linotype" w:cs="Palatino Linotype"/>
          <w:b/>
          <w:sz w:val="22"/>
          <w:szCs w:val="22"/>
        </w:rPr>
        <w:t xml:space="preserve"> Secretaría Técnica del Pleno </w:t>
      </w:r>
      <w:r w:rsidRPr="00B56066">
        <w:rPr>
          <w:rFonts w:ascii="Palatino Linotype" w:eastAsia="Palatino Linotype" w:hAnsi="Palatino Linotype" w:cs="Palatino Linotype"/>
          <w:sz w:val="22"/>
          <w:szCs w:val="22"/>
        </w:rPr>
        <w:t xml:space="preserve">de este Instituto a fin de que en ejercicio de sus atribuciones haga del conocimiento del </w:t>
      </w:r>
      <w:r w:rsidRPr="00B56066">
        <w:rPr>
          <w:rFonts w:ascii="Palatino Linotype" w:eastAsia="Palatino Linotype" w:hAnsi="Palatino Linotype" w:cs="Palatino Linotype"/>
          <w:b/>
          <w:sz w:val="22"/>
          <w:szCs w:val="22"/>
        </w:rPr>
        <w:t>Órgano Interno de Control Competente</w:t>
      </w:r>
      <w:r w:rsidRPr="00B56066">
        <w:rPr>
          <w:rFonts w:ascii="Palatino Linotype" w:eastAsia="Palatino Linotype" w:hAnsi="Palatino Linotype" w:cs="Palatino Linotype"/>
          <w:sz w:val="22"/>
          <w:szCs w:val="22"/>
        </w:rPr>
        <w:t xml:space="preserve"> la presente resolución, para que de conformidad con el artículo 190, de la Ley de Transparencia y Acceso a la Información Pública del Estado de México y Municipios, determine lo conducente, en términos de lo señalado en el </w:t>
      </w:r>
      <w:r w:rsidRPr="00B56066">
        <w:rPr>
          <w:rFonts w:ascii="Palatino Linotype" w:eastAsia="Palatino Linotype" w:hAnsi="Palatino Linotype" w:cs="Palatino Linotype"/>
          <w:b/>
          <w:sz w:val="22"/>
          <w:szCs w:val="22"/>
        </w:rPr>
        <w:t>Considerando Cuarto</w:t>
      </w:r>
      <w:r w:rsidRPr="00B56066">
        <w:rPr>
          <w:rFonts w:ascii="Palatino Linotype" w:eastAsia="Palatino Linotype" w:hAnsi="Palatino Linotype" w:cs="Palatino Linotype"/>
          <w:sz w:val="22"/>
          <w:szCs w:val="22"/>
        </w:rPr>
        <w:t xml:space="preserve"> de este fallo.</w:t>
      </w:r>
    </w:p>
    <w:p w14:paraId="7D56673C" w14:textId="77777777" w:rsidR="00E51E78" w:rsidRPr="00B56066" w:rsidRDefault="00E51E78">
      <w:pPr>
        <w:spacing w:line="360" w:lineRule="auto"/>
        <w:jc w:val="both"/>
        <w:rPr>
          <w:rFonts w:ascii="Palatino Linotype" w:eastAsia="Palatino Linotype" w:hAnsi="Palatino Linotype" w:cs="Palatino Linotype"/>
          <w:sz w:val="22"/>
          <w:szCs w:val="22"/>
        </w:rPr>
      </w:pPr>
    </w:p>
    <w:p w14:paraId="0F38D81F" w14:textId="6CA51996" w:rsidR="00B03F0C" w:rsidRPr="00B56066" w:rsidRDefault="00BD5FDB">
      <w:pPr>
        <w:spacing w:line="360" w:lineRule="auto"/>
        <w:jc w:val="both"/>
        <w:rPr>
          <w:rFonts w:ascii="Palatino Linotype" w:eastAsia="Palatino Linotype" w:hAnsi="Palatino Linotype" w:cs="Palatino Linotype"/>
        </w:rPr>
      </w:pPr>
      <w:bookmarkStart w:id="6" w:name="_heading=h.1t3h5sf" w:colFirst="0" w:colLast="0"/>
      <w:bookmarkEnd w:id="6"/>
      <w:r w:rsidRPr="00B56066">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w:t>
      </w:r>
      <w:r w:rsidR="0069540D" w:rsidRPr="00B56066">
        <w:rPr>
          <w:rFonts w:ascii="Palatino Linotype" w:eastAsia="Palatino Linotype" w:hAnsi="Palatino Linotype" w:cs="Palatino Linotype"/>
        </w:rPr>
        <w:t xml:space="preserve"> GUADALUPE RAMÍREZ PEÑA; EN LA</w:t>
      </w:r>
      <w:r w:rsidR="00CC4110" w:rsidRPr="00B56066">
        <w:rPr>
          <w:rFonts w:ascii="Palatino Linotype" w:eastAsia="Palatino Linotype" w:hAnsi="Palatino Linotype" w:cs="Palatino Linotype"/>
        </w:rPr>
        <w:t xml:space="preserve"> </w:t>
      </w:r>
      <w:r w:rsidR="00231D84" w:rsidRPr="00B56066">
        <w:rPr>
          <w:rFonts w:ascii="Palatino Linotype" w:eastAsia="Palatino Linotype" w:hAnsi="Palatino Linotype" w:cs="Palatino Linotype"/>
        </w:rPr>
        <w:t>NOVENA</w:t>
      </w:r>
      <w:r w:rsidRPr="00B56066">
        <w:rPr>
          <w:rFonts w:ascii="Palatino Linotype" w:eastAsia="Palatino Linotype" w:hAnsi="Palatino Linotype" w:cs="Palatino Linotype"/>
        </w:rPr>
        <w:t xml:space="preserve"> SESIÓN ORDINARIA CELEBRADA EL </w:t>
      </w:r>
      <w:r w:rsidR="00231D84" w:rsidRPr="00B56066">
        <w:rPr>
          <w:rFonts w:ascii="Palatino Linotype" w:eastAsia="Palatino Linotype" w:hAnsi="Palatino Linotype" w:cs="Palatino Linotype"/>
        </w:rPr>
        <w:t xml:space="preserve">DOCE </w:t>
      </w:r>
      <w:r w:rsidR="009D2F12" w:rsidRPr="00B56066">
        <w:rPr>
          <w:rFonts w:ascii="Palatino Linotype" w:eastAsia="Palatino Linotype" w:hAnsi="Palatino Linotype" w:cs="Palatino Linotype"/>
        </w:rPr>
        <w:t xml:space="preserve">DE </w:t>
      </w:r>
      <w:r w:rsidR="00CC4110" w:rsidRPr="00B56066">
        <w:rPr>
          <w:rFonts w:ascii="Palatino Linotype" w:eastAsia="Palatino Linotype" w:hAnsi="Palatino Linotype" w:cs="Palatino Linotype"/>
        </w:rPr>
        <w:t>MARZO</w:t>
      </w:r>
      <w:r w:rsidR="0069540D" w:rsidRPr="00B56066">
        <w:rPr>
          <w:rFonts w:ascii="Palatino Linotype" w:eastAsia="Palatino Linotype" w:hAnsi="Palatino Linotype" w:cs="Palatino Linotype"/>
        </w:rPr>
        <w:t xml:space="preserve"> </w:t>
      </w:r>
      <w:r w:rsidR="00E121A5" w:rsidRPr="00B56066">
        <w:rPr>
          <w:rFonts w:ascii="Palatino Linotype" w:eastAsia="Palatino Linotype" w:hAnsi="Palatino Linotype" w:cs="Palatino Linotype"/>
        </w:rPr>
        <w:t>DE DOS MIL VEINTICINC</w:t>
      </w:r>
      <w:r w:rsidRPr="00B56066">
        <w:rPr>
          <w:rFonts w:ascii="Palatino Linotype" w:eastAsia="Palatino Linotype" w:hAnsi="Palatino Linotype" w:cs="Palatino Linotype"/>
        </w:rPr>
        <w:t>O, ANTE EL SECRETARIO TÉCNICO DEL PLENO ALEXIS TAPIA RAMÍREZ.</w:t>
      </w:r>
    </w:p>
    <w:p w14:paraId="12C7C547" w14:textId="77777777" w:rsidR="00B03F0C" w:rsidRPr="00B56066" w:rsidRDefault="00B03F0C">
      <w:pPr>
        <w:spacing w:line="360" w:lineRule="auto"/>
        <w:jc w:val="both"/>
        <w:rPr>
          <w:rFonts w:ascii="Palatino Linotype" w:eastAsia="Palatino Linotype" w:hAnsi="Palatino Linotype" w:cs="Palatino Linotype"/>
        </w:rPr>
      </w:pPr>
    </w:p>
    <w:p w14:paraId="14E7E81F" w14:textId="77777777" w:rsidR="00B03F0C" w:rsidRPr="00B56066" w:rsidRDefault="00B03F0C">
      <w:pPr>
        <w:spacing w:line="360" w:lineRule="auto"/>
        <w:jc w:val="both"/>
        <w:rPr>
          <w:rFonts w:ascii="Palatino Linotype" w:eastAsia="Palatino Linotype" w:hAnsi="Palatino Linotype" w:cs="Palatino Linotype"/>
        </w:rPr>
      </w:pPr>
    </w:p>
    <w:p w14:paraId="1FC0B100" w14:textId="77777777" w:rsidR="00B03F0C" w:rsidRPr="00B56066" w:rsidRDefault="00B03F0C">
      <w:pPr>
        <w:spacing w:line="360" w:lineRule="auto"/>
        <w:jc w:val="both"/>
        <w:rPr>
          <w:rFonts w:ascii="Palatino Linotype" w:eastAsia="Palatino Linotype" w:hAnsi="Palatino Linotype" w:cs="Palatino Linotype"/>
        </w:rPr>
      </w:pPr>
    </w:p>
    <w:p w14:paraId="3E530845" w14:textId="77777777" w:rsidR="00B03F0C" w:rsidRPr="00B56066" w:rsidRDefault="00B03F0C">
      <w:pPr>
        <w:spacing w:line="360" w:lineRule="auto"/>
        <w:jc w:val="both"/>
        <w:rPr>
          <w:rFonts w:ascii="Palatino Linotype" w:eastAsia="Palatino Linotype" w:hAnsi="Palatino Linotype" w:cs="Palatino Linotype"/>
        </w:rPr>
      </w:pPr>
    </w:p>
    <w:p w14:paraId="12710C8C" w14:textId="77777777" w:rsidR="00B03F0C" w:rsidRPr="00B56066" w:rsidRDefault="00B03F0C">
      <w:pPr>
        <w:spacing w:line="360" w:lineRule="auto"/>
        <w:jc w:val="both"/>
        <w:rPr>
          <w:rFonts w:ascii="Palatino Linotype" w:eastAsia="Palatino Linotype" w:hAnsi="Palatino Linotype" w:cs="Palatino Linotype"/>
        </w:rPr>
      </w:pPr>
    </w:p>
    <w:p w14:paraId="15FB034B" w14:textId="77777777" w:rsidR="00B03F0C" w:rsidRPr="00B56066" w:rsidRDefault="00B03F0C">
      <w:pPr>
        <w:spacing w:line="360" w:lineRule="auto"/>
        <w:jc w:val="both"/>
        <w:rPr>
          <w:rFonts w:ascii="Palatino Linotype" w:eastAsia="Palatino Linotype" w:hAnsi="Palatino Linotype" w:cs="Palatino Linotype"/>
        </w:rPr>
      </w:pPr>
    </w:p>
    <w:p w14:paraId="59BA2312" w14:textId="77777777" w:rsidR="00B03F0C" w:rsidRPr="00B56066" w:rsidRDefault="00B03F0C">
      <w:pPr>
        <w:spacing w:line="360" w:lineRule="auto"/>
        <w:jc w:val="both"/>
        <w:rPr>
          <w:rFonts w:ascii="Palatino Linotype" w:eastAsia="Palatino Linotype" w:hAnsi="Palatino Linotype" w:cs="Palatino Linotype"/>
        </w:rPr>
      </w:pPr>
    </w:p>
    <w:p w14:paraId="54E046AD" w14:textId="77777777" w:rsidR="00B03F0C" w:rsidRPr="00B56066" w:rsidRDefault="00B03F0C">
      <w:pPr>
        <w:spacing w:line="360" w:lineRule="auto"/>
        <w:jc w:val="both"/>
        <w:rPr>
          <w:rFonts w:ascii="Palatino Linotype" w:eastAsia="Palatino Linotype" w:hAnsi="Palatino Linotype" w:cs="Palatino Linotype"/>
        </w:rPr>
      </w:pPr>
    </w:p>
    <w:p w14:paraId="3B042C38" w14:textId="77777777" w:rsidR="00B03F0C" w:rsidRPr="00B56066" w:rsidRDefault="00B03F0C">
      <w:pPr>
        <w:spacing w:line="360" w:lineRule="auto"/>
        <w:jc w:val="both"/>
        <w:rPr>
          <w:rFonts w:ascii="Palatino Linotype" w:eastAsia="Palatino Linotype" w:hAnsi="Palatino Linotype" w:cs="Palatino Linotype"/>
        </w:rPr>
      </w:pPr>
    </w:p>
    <w:p w14:paraId="2A21443A" w14:textId="77777777" w:rsidR="00B03F0C" w:rsidRPr="00B56066" w:rsidRDefault="00B03F0C">
      <w:pPr>
        <w:spacing w:line="360" w:lineRule="auto"/>
        <w:jc w:val="both"/>
        <w:rPr>
          <w:rFonts w:ascii="Palatino Linotype" w:eastAsia="Palatino Linotype" w:hAnsi="Palatino Linotype" w:cs="Palatino Linotype"/>
        </w:rPr>
      </w:pPr>
    </w:p>
    <w:p w14:paraId="59431D6A" w14:textId="77777777" w:rsidR="00B03F0C" w:rsidRPr="00B56066" w:rsidRDefault="00B03F0C">
      <w:pPr>
        <w:spacing w:line="360" w:lineRule="auto"/>
        <w:jc w:val="both"/>
        <w:rPr>
          <w:rFonts w:ascii="Palatino Linotype" w:eastAsia="Palatino Linotype" w:hAnsi="Palatino Linotype" w:cs="Palatino Linotype"/>
        </w:rPr>
      </w:pPr>
    </w:p>
    <w:p w14:paraId="7ECC5C1F" w14:textId="77777777" w:rsidR="00B03F0C" w:rsidRPr="00B56066" w:rsidRDefault="00B03F0C">
      <w:pPr>
        <w:spacing w:line="360" w:lineRule="auto"/>
        <w:jc w:val="both"/>
        <w:rPr>
          <w:rFonts w:ascii="Palatino Linotype" w:eastAsia="Palatino Linotype" w:hAnsi="Palatino Linotype" w:cs="Palatino Linotype"/>
        </w:rPr>
      </w:pPr>
    </w:p>
    <w:p w14:paraId="00F711B1" w14:textId="77777777" w:rsidR="00B03F0C" w:rsidRPr="00B56066" w:rsidRDefault="00B03F0C">
      <w:pPr>
        <w:spacing w:line="360" w:lineRule="auto"/>
        <w:jc w:val="both"/>
        <w:rPr>
          <w:rFonts w:ascii="Palatino Linotype" w:eastAsia="Palatino Linotype" w:hAnsi="Palatino Linotype" w:cs="Palatino Linotype"/>
        </w:rPr>
      </w:pPr>
    </w:p>
    <w:p w14:paraId="216E73AB" w14:textId="77777777" w:rsidR="00B03F0C" w:rsidRPr="00B56066" w:rsidRDefault="00B03F0C">
      <w:pPr>
        <w:spacing w:line="360" w:lineRule="auto"/>
        <w:jc w:val="both"/>
        <w:rPr>
          <w:rFonts w:ascii="Palatino Linotype" w:eastAsia="Palatino Linotype" w:hAnsi="Palatino Linotype" w:cs="Palatino Linotype"/>
        </w:rPr>
      </w:pPr>
    </w:p>
    <w:p w14:paraId="25581BB9" w14:textId="77777777" w:rsidR="00B03F0C" w:rsidRPr="00B56066" w:rsidRDefault="00B03F0C">
      <w:pPr>
        <w:spacing w:line="360" w:lineRule="auto"/>
        <w:jc w:val="both"/>
        <w:rPr>
          <w:rFonts w:ascii="Palatino Linotype" w:eastAsia="Palatino Linotype" w:hAnsi="Palatino Linotype" w:cs="Palatino Linotype"/>
        </w:rPr>
      </w:pPr>
    </w:p>
    <w:p w14:paraId="402C5AD1" w14:textId="77777777" w:rsidR="00B03F0C" w:rsidRPr="00B56066" w:rsidRDefault="00B03F0C">
      <w:pPr>
        <w:spacing w:line="360" w:lineRule="auto"/>
        <w:jc w:val="both"/>
        <w:rPr>
          <w:rFonts w:ascii="Palatino Linotype" w:eastAsia="Palatino Linotype" w:hAnsi="Palatino Linotype" w:cs="Palatino Linotype"/>
        </w:rPr>
      </w:pPr>
    </w:p>
    <w:p w14:paraId="00A4D484" w14:textId="77777777" w:rsidR="00B03F0C" w:rsidRPr="00B56066" w:rsidRDefault="00B03F0C">
      <w:pPr>
        <w:spacing w:line="360" w:lineRule="auto"/>
        <w:jc w:val="both"/>
        <w:rPr>
          <w:rFonts w:ascii="Palatino Linotype" w:eastAsia="Palatino Linotype" w:hAnsi="Palatino Linotype" w:cs="Palatino Linotype"/>
        </w:rPr>
      </w:pPr>
    </w:p>
    <w:p w14:paraId="4E7979CF" w14:textId="77777777" w:rsidR="00B03F0C" w:rsidRPr="00B56066" w:rsidRDefault="00B03F0C">
      <w:pPr>
        <w:spacing w:line="360" w:lineRule="auto"/>
        <w:jc w:val="both"/>
        <w:rPr>
          <w:rFonts w:ascii="Palatino Linotype" w:eastAsia="Palatino Linotype" w:hAnsi="Palatino Linotype" w:cs="Palatino Linotype"/>
        </w:rPr>
      </w:pPr>
    </w:p>
    <w:p w14:paraId="2542DA56" w14:textId="77777777" w:rsidR="00B03F0C" w:rsidRPr="00B56066" w:rsidRDefault="00B03F0C">
      <w:pPr>
        <w:spacing w:line="360" w:lineRule="auto"/>
        <w:jc w:val="both"/>
        <w:rPr>
          <w:rFonts w:ascii="Palatino Linotype" w:eastAsia="Palatino Linotype" w:hAnsi="Palatino Linotype" w:cs="Palatino Linotype"/>
        </w:rPr>
      </w:pPr>
    </w:p>
    <w:p w14:paraId="10BED5E9" w14:textId="77777777" w:rsidR="00B03F0C" w:rsidRPr="00B56066" w:rsidRDefault="00B03F0C">
      <w:pPr>
        <w:spacing w:line="360" w:lineRule="auto"/>
        <w:jc w:val="both"/>
        <w:rPr>
          <w:rFonts w:ascii="Palatino Linotype" w:eastAsia="Palatino Linotype" w:hAnsi="Palatino Linotype" w:cs="Palatino Linotype"/>
        </w:rPr>
      </w:pPr>
    </w:p>
    <w:p w14:paraId="0420F5C2" w14:textId="77777777" w:rsidR="00B03F0C" w:rsidRPr="00B56066" w:rsidRDefault="00B03F0C">
      <w:pPr>
        <w:spacing w:line="360" w:lineRule="auto"/>
        <w:jc w:val="both"/>
        <w:rPr>
          <w:rFonts w:ascii="Palatino Linotype" w:eastAsia="Palatino Linotype" w:hAnsi="Palatino Linotype" w:cs="Palatino Linotype"/>
        </w:rPr>
      </w:pPr>
    </w:p>
    <w:p w14:paraId="7F80CA19" w14:textId="77777777" w:rsidR="00B03F0C" w:rsidRPr="00B56066" w:rsidRDefault="00B03F0C">
      <w:pPr>
        <w:spacing w:line="360" w:lineRule="auto"/>
        <w:jc w:val="both"/>
        <w:rPr>
          <w:rFonts w:ascii="Palatino Linotype" w:eastAsia="Palatino Linotype" w:hAnsi="Palatino Linotype" w:cs="Palatino Linotype"/>
        </w:rPr>
      </w:pPr>
    </w:p>
    <w:p w14:paraId="0AD60AE2" w14:textId="77777777" w:rsidR="00B03F0C" w:rsidRPr="00B56066" w:rsidRDefault="00B03F0C">
      <w:pPr>
        <w:spacing w:line="360" w:lineRule="auto"/>
        <w:jc w:val="both"/>
        <w:rPr>
          <w:rFonts w:ascii="Palatino Linotype" w:eastAsia="Palatino Linotype" w:hAnsi="Palatino Linotype" w:cs="Palatino Linotype"/>
        </w:rPr>
      </w:pPr>
    </w:p>
    <w:p w14:paraId="506C45DC" w14:textId="77777777" w:rsidR="00B03F0C" w:rsidRPr="00B56066" w:rsidRDefault="00B03F0C">
      <w:pPr>
        <w:spacing w:line="360" w:lineRule="auto"/>
        <w:jc w:val="both"/>
        <w:rPr>
          <w:rFonts w:ascii="Palatino Linotype" w:eastAsia="Palatino Linotype" w:hAnsi="Palatino Linotype" w:cs="Palatino Linotype"/>
        </w:rPr>
      </w:pPr>
    </w:p>
    <w:p w14:paraId="64C0E6E1" w14:textId="77777777" w:rsidR="00B03F0C" w:rsidRPr="00B56066" w:rsidRDefault="00B03F0C">
      <w:pPr>
        <w:spacing w:line="360" w:lineRule="auto"/>
        <w:jc w:val="both"/>
        <w:rPr>
          <w:rFonts w:ascii="Palatino Linotype" w:eastAsia="Palatino Linotype" w:hAnsi="Palatino Linotype" w:cs="Palatino Linotype"/>
        </w:rPr>
      </w:pPr>
    </w:p>
    <w:sectPr w:rsidR="00B03F0C" w:rsidRPr="00B56066">
      <w:headerReference w:type="default" r:id="rId9"/>
      <w:footerReference w:type="default" r:id="rId10"/>
      <w:headerReference w:type="first" r:id="rId11"/>
      <w:footerReference w:type="first" r:id="rId12"/>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91568" w14:textId="77777777" w:rsidR="00B410BF" w:rsidRDefault="00B410BF">
      <w:r>
        <w:separator/>
      </w:r>
    </w:p>
  </w:endnote>
  <w:endnote w:type="continuationSeparator" w:id="0">
    <w:p w14:paraId="20DB860C" w14:textId="77777777" w:rsidR="00B410BF" w:rsidRDefault="00B4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0EB75"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32F8C">
      <w:rPr>
        <w:rFonts w:ascii="Palatino Linotype" w:eastAsia="Palatino Linotype" w:hAnsi="Palatino Linotype" w:cs="Palatino Linotype"/>
        <w:b/>
        <w:noProof/>
        <w:color w:val="000000"/>
        <w:sz w:val="20"/>
        <w:szCs w:val="20"/>
      </w:rPr>
      <w:t>28</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32F8C">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60E5CD7B" w14:textId="77777777" w:rsidR="00B03F0C" w:rsidRDefault="00B03F0C">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1403" w14:textId="77777777" w:rsidR="00B03F0C" w:rsidRDefault="00BD5FDB">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732F8C">
      <w:rPr>
        <w:rFonts w:ascii="Palatino Linotype" w:eastAsia="Palatino Linotype" w:hAnsi="Palatino Linotype" w:cs="Palatino Linotype"/>
        <w:b/>
        <w:noProof/>
        <w:color w:val="000000"/>
        <w:sz w:val="20"/>
        <w:szCs w:val="20"/>
      </w:rPr>
      <w:t>1</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732F8C">
      <w:rPr>
        <w:rFonts w:ascii="Palatino Linotype" w:eastAsia="Palatino Linotype" w:hAnsi="Palatino Linotype" w:cs="Palatino Linotype"/>
        <w:b/>
        <w:noProof/>
        <w:color w:val="000000"/>
        <w:sz w:val="20"/>
        <w:szCs w:val="20"/>
      </w:rPr>
      <w:t>29</w:t>
    </w:r>
    <w:r>
      <w:rPr>
        <w:rFonts w:ascii="Palatino Linotype" w:eastAsia="Palatino Linotype" w:hAnsi="Palatino Linotype" w:cs="Palatino Linotype"/>
        <w:b/>
        <w:color w:val="000000"/>
        <w:sz w:val="20"/>
        <w:szCs w:val="20"/>
      </w:rPr>
      <w:fldChar w:fldCharType="end"/>
    </w:r>
  </w:p>
  <w:p w14:paraId="14FE7BBA"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45DB" w14:textId="77777777" w:rsidR="00B410BF" w:rsidRDefault="00B410BF">
      <w:r>
        <w:separator/>
      </w:r>
    </w:p>
  </w:footnote>
  <w:footnote w:type="continuationSeparator" w:id="0">
    <w:p w14:paraId="49FF50D4" w14:textId="77777777" w:rsidR="00B410BF" w:rsidRDefault="00B41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3542"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rPr>
      <w:drawing>
        <wp:anchor distT="0" distB="0" distL="0" distR="0" simplePos="0" relativeHeight="251658240" behindDoc="1" locked="0" layoutInCell="1" hidden="0" allowOverlap="1" wp14:anchorId="172D56DF" wp14:editId="416A6494">
          <wp:simplePos x="0" y="0"/>
          <wp:positionH relativeFrom="column">
            <wp:posOffset>-1080119</wp:posOffset>
          </wp:positionH>
          <wp:positionV relativeFrom="paragraph">
            <wp:posOffset>-488295</wp:posOffset>
          </wp:positionV>
          <wp:extent cx="7809865" cy="10165715"/>
          <wp:effectExtent l="0" t="0" r="0" b="0"/>
          <wp:wrapNone/>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
      <w:tblW w:w="7371" w:type="dxa"/>
      <w:tblInd w:w="3261" w:type="dxa"/>
      <w:tblLayout w:type="fixed"/>
      <w:tblLook w:val="0400" w:firstRow="0" w:lastRow="0" w:firstColumn="0" w:lastColumn="0" w:noHBand="0" w:noVBand="1"/>
    </w:tblPr>
    <w:tblGrid>
      <w:gridCol w:w="2489"/>
      <w:gridCol w:w="4882"/>
    </w:tblGrid>
    <w:tr w:rsidR="00B03F0C" w14:paraId="3E01AE3F" w14:textId="77777777">
      <w:tc>
        <w:tcPr>
          <w:tcW w:w="2489" w:type="dxa"/>
          <w:shd w:val="clear" w:color="auto" w:fill="auto"/>
        </w:tcPr>
        <w:p w14:paraId="64770F13"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Recurso de Revisión:</w:t>
          </w:r>
        </w:p>
      </w:tc>
      <w:tc>
        <w:tcPr>
          <w:tcW w:w="4882" w:type="dxa"/>
          <w:shd w:val="clear" w:color="auto" w:fill="auto"/>
          <w:vAlign w:val="center"/>
        </w:tcPr>
        <w:p w14:paraId="468A2D89" w14:textId="09F132C7" w:rsidR="00B03F0C" w:rsidRDefault="00D2617C">
          <w:pPr>
            <w:ind w:right="175"/>
            <w:jc w:val="both"/>
            <w:rPr>
              <w:rFonts w:ascii="Palatino Linotype" w:eastAsia="Palatino Linotype" w:hAnsi="Palatino Linotype" w:cs="Palatino Linotype"/>
              <w:b/>
              <w:color w:val="000000"/>
              <w:sz w:val="22"/>
              <w:szCs w:val="22"/>
            </w:rPr>
          </w:pPr>
          <w:r w:rsidRPr="00D2617C">
            <w:rPr>
              <w:rFonts w:ascii="Palatino Linotype" w:eastAsia="Palatino Linotype" w:hAnsi="Palatino Linotype" w:cs="Palatino Linotype"/>
              <w:b/>
              <w:color w:val="000000"/>
              <w:sz w:val="22"/>
              <w:szCs w:val="22"/>
            </w:rPr>
            <w:t>01659/INFOEM/IP/RR/2025</w:t>
          </w:r>
        </w:p>
      </w:tc>
    </w:tr>
    <w:tr w:rsidR="00B03F0C" w14:paraId="64640F30" w14:textId="77777777">
      <w:trPr>
        <w:trHeight w:val="228"/>
      </w:trPr>
      <w:tc>
        <w:tcPr>
          <w:tcW w:w="2489" w:type="dxa"/>
          <w:shd w:val="clear" w:color="auto" w:fill="auto"/>
          <w:vAlign w:val="center"/>
        </w:tcPr>
        <w:p w14:paraId="618679AE" w14:textId="77777777" w:rsidR="00B03F0C" w:rsidRDefault="00BD5FDB">
          <w:pPr>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Sujeto Obligado:</w:t>
          </w:r>
        </w:p>
      </w:tc>
      <w:tc>
        <w:tcPr>
          <w:tcW w:w="4882" w:type="dxa"/>
          <w:shd w:val="clear" w:color="auto" w:fill="auto"/>
          <w:vAlign w:val="center"/>
        </w:tcPr>
        <w:p w14:paraId="7EF6FD65" w14:textId="5E49DD0C" w:rsidR="00B03F0C" w:rsidRDefault="00D2617C" w:rsidP="00E121A5">
          <w:pPr>
            <w:ind w:left="-45" w:right="1870"/>
            <w:jc w:val="both"/>
            <w:rPr>
              <w:rFonts w:ascii="Palatino Linotype" w:eastAsia="Palatino Linotype" w:hAnsi="Palatino Linotype" w:cs="Palatino Linotype"/>
              <w:b/>
              <w:color w:val="000000"/>
              <w:sz w:val="22"/>
              <w:szCs w:val="22"/>
            </w:rPr>
          </w:pPr>
          <w:r w:rsidRPr="00D2617C">
            <w:rPr>
              <w:rFonts w:ascii="Palatino Linotype" w:eastAsia="Palatino Linotype" w:hAnsi="Palatino Linotype" w:cs="Palatino Linotype"/>
              <w:b/>
              <w:color w:val="000000"/>
              <w:sz w:val="22"/>
              <w:szCs w:val="22"/>
            </w:rPr>
            <w:t>Sistema Municipal para el Desarrollo Integral de la Familia de Teoloyucan</w:t>
          </w:r>
        </w:p>
      </w:tc>
    </w:tr>
    <w:tr w:rsidR="00B03F0C" w14:paraId="7E8F9208" w14:textId="77777777">
      <w:tc>
        <w:tcPr>
          <w:tcW w:w="2489" w:type="dxa"/>
          <w:shd w:val="clear" w:color="auto" w:fill="auto"/>
          <w:vAlign w:val="center"/>
        </w:tcPr>
        <w:p w14:paraId="6DA79C3F" w14:textId="77777777" w:rsidR="00B03F0C" w:rsidRDefault="00BD5FDB">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882" w:type="dxa"/>
          <w:shd w:val="clear" w:color="auto" w:fill="auto"/>
          <w:vAlign w:val="center"/>
        </w:tcPr>
        <w:p w14:paraId="522207BC" w14:textId="77777777" w:rsidR="00B03F0C" w:rsidRDefault="00BD5FDB">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64E23BD5" w14:textId="77777777" w:rsidR="00B03F0C" w:rsidRDefault="00BD5FDB">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E5541" w14:textId="77777777" w:rsidR="00B03F0C" w:rsidRDefault="00BD5FDB">
    <w:pPr>
      <w:widowControl w:val="0"/>
      <w:pBdr>
        <w:top w:val="nil"/>
        <w:left w:val="nil"/>
        <w:bottom w:val="nil"/>
        <w:right w:val="nil"/>
        <w:between w:val="nil"/>
      </w:pBdr>
      <w:spacing w:line="276" w:lineRule="auto"/>
      <w:ind w:right="1467"/>
      <w:rPr>
        <w:rFonts w:ascii="Palatino Linotype" w:eastAsia="Palatino Linotype" w:hAnsi="Palatino Linotype" w:cs="Palatino Linotype"/>
        <w:color w:val="000000"/>
        <w:sz w:val="16"/>
        <w:szCs w:val="16"/>
      </w:rPr>
    </w:pPr>
    <w:r>
      <w:rPr>
        <w:noProof/>
      </w:rPr>
      <w:drawing>
        <wp:anchor distT="0" distB="0" distL="0" distR="0" simplePos="0" relativeHeight="251659264" behindDoc="1" locked="0" layoutInCell="1" hidden="0" allowOverlap="1" wp14:anchorId="29A16B1E" wp14:editId="30972036">
          <wp:simplePos x="0" y="0"/>
          <wp:positionH relativeFrom="column">
            <wp:posOffset>-1080130</wp:posOffset>
          </wp:positionH>
          <wp:positionV relativeFrom="paragraph">
            <wp:posOffset>-346537</wp:posOffset>
          </wp:positionV>
          <wp:extent cx="7809865" cy="10165715"/>
          <wp:effectExtent l="0" t="0" r="0" b="0"/>
          <wp:wrapNone/>
          <wp:docPr id="8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ff0"/>
      <w:tblW w:w="7087" w:type="dxa"/>
      <w:tblInd w:w="3261" w:type="dxa"/>
      <w:tblLayout w:type="fixed"/>
      <w:tblLook w:val="0400" w:firstRow="0" w:lastRow="0" w:firstColumn="0" w:lastColumn="0" w:noHBand="0" w:noVBand="1"/>
    </w:tblPr>
    <w:tblGrid>
      <w:gridCol w:w="2551"/>
      <w:gridCol w:w="4536"/>
    </w:tblGrid>
    <w:tr w:rsidR="00B03F0C" w14:paraId="4CD95435" w14:textId="77777777">
      <w:tc>
        <w:tcPr>
          <w:tcW w:w="2551" w:type="dxa"/>
          <w:shd w:val="clear" w:color="auto" w:fill="auto"/>
          <w:vAlign w:val="center"/>
        </w:tcPr>
        <w:p w14:paraId="4B89833E"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536" w:type="dxa"/>
          <w:shd w:val="clear" w:color="auto" w:fill="auto"/>
          <w:vAlign w:val="center"/>
        </w:tcPr>
        <w:p w14:paraId="757CB930" w14:textId="7E6A0103" w:rsidR="00B03F0C" w:rsidRDefault="00D2617C">
          <w:pPr>
            <w:tabs>
              <w:tab w:val="left" w:pos="3153"/>
            </w:tabs>
            <w:ind w:left="-45"/>
            <w:jc w:val="both"/>
            <w:rPr>
              <w:rFonts w:ascii="Palatino Linotype" w:eastAsia="Palatino Linotype" w:hAnsi="Palatino Linotype" w:cs="Palatino Linotype"/>
              <w:b/>
              <w:sz w:val="22"/>
              <w:szCs w:val="22"/>
            </w:rPr>
          </w:pPr>
          <w:r w:rsidRPr="00D2617C">
            <w:rPr>
              <w:rFonts w:ascii="Palatino Linotype" w:eastAsia="Palatino Linotype" w:hAnsi="Palatino Linotype" w:cs="Palatino Linotype"/>
              <w:b/>
              <w:sz w:val="22"/>
              <w:szCs w:val="22"/>
            </w:rPr>
            <w:t>01659/INFOEM/IP/RR/2025</w:t>
          </w:r>
        </w:p>
      </w:tc>
    </w:tr>
    <w:tr w:rsidR="00B03F0C" w14:paraId="3AB9B4D0" w14:textId="77777777">
      <w:trPr>
        <w:trHeight w:val="130"/>
      </w:trPr>
      <w:tc>
        <w:tcPr>
          <w:tcW w:w="2551" w:type="dxa"/>
          <w:shd w:val="clear" w:color="auto" w:fill="auto"/>
          <w:vAlign w:val="center"/>
        </w:tcPr>
        <w:p w14:paraId="48805324"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536" w:type="dxa"/>
          <w:shd w:val="clear" w:color="auto" w:fill="auto"/>
          <w:vAlign w:val="center"/>
        </w:tcPr>
        <w:p w14:paraId="7E025667" w14:textId="43B5DAB5" w:rsidR="00B03F0C" w:rsidRDefault="00B03F0C">
          <w:pPr>
            <w:ind w:left="-45"/>
            <w:jc w:val="both"/>
            <w:rPr>
              <w:rFonts w:ascii="Palatino Linotype" w:eastAsia="Palatino Linotype" w:hAnsi="Palatino Linotype" w:cs="Palatino Linotype"/>
              <w:b/>
              <w:sz w:val="22"/>
              <w:szCs w:val="22"/>
            </w:rPr>
          </w:pPr>
        </w:p>
      </w:tc>
    </w:tr>
    <w:tr w:rsidR="00B03F0C" w14:paraId="44635510" w14:textId="77777777">
      <w:trPr>
        <w:trHeight w:val="228"/>
      </w:trPr>
      <w:tc>
        <w:tcPr>
          <w:tcW w:w="2551" w:type="dxa"/>
          <w:shd w:val="clear" w:color="auto" w:fill="auto"/>
          <w:vAlign w:val="center"/>
        </w:tcPr>
        <w:p w14:paraId="015A7219"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536" w:type="dxa"/>
          <w:shd w:val="clear" w:color="auto" w:fill="auto"/>
          <w:vAlign w:val="center"/>
        </w:tcPr>
        <w:p w14:paraId="05D7D718" w14:textId="0182A5E3" w:rsidR="00B03F0C" w:rsidRDefault="00D2617C" w:rsidP="00D2617C">
          <w:pPr>
            <w:ind w:right="1586"/>
            <w:jc w:val="both"/>
            <w:rPr>
              <w:rFonts w:ascii="Palatino Linotype" w:eastAsia="Palatino Linotype" w:hAnsi="Palatino Linotype" w:cs="Palatino Linotype"/>
              <w:b/>
              <w:sz w:val="22"/>
              <w:szCs w:val="22"/>
            </w:rPr>
          </w:pPr>
          <w:r w:rsidRPr="00D2617C">
            <w:rPr>
              <w:rFonts w:ascii="Palatino Linotype" w:eastAsia="Palatino Linotype" w:hAnsi="Palatino Linotype" w:cs="Palatino Linotype"/>
              <w:b/>
              <w:sz w:val="22"/>
              <w:szCs w:val="22"/>
            </w:rPr>
            <w:t>Sistema Municipal para el Desarrollo Integral de la Familia de Teoloyucan</w:t>
          </w:r>
        </w:p>
      </w:tc>
    </w:tr>
    <w:tr w:rsidR="00B03F0C" w14:paraId="35247C11" w14:textId="77777777">
      <w:tc>
        <w:tcPr>
          <w:tcW w:w="2551" w:type="dxa"/>
          <w:shd w:val="clear" w:color="auto" w:fill="auto"/>
          <w:vAlign w:val="center"/>
        </w:tcPr>
        <w:p w14:paraId="31C325A1" w14:textId="77777777" w:rsidR="00B03F0C" w:rsidRDefault="00BD5FDB">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4536" w:type="dxa"/>
          <w:shd w:val="clear" w:color="auto" w:fill="auto"/>
          <w:vAlign w:val="center"/>
        </w:tcPr>
        <w:p w14:paraId="268771C6" w14:textId="77777777" w:rsidR="00B03F0C" w:rsidRDefault="00BD5FDB">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53B8686C" w14:textId="77777777" w:rsidR="00B03F0C" w:rsidRDefault="00B03F0C">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815"/>
    <w:multiLevelType w:val="hybridMultilevel"/>
    <w:tmpl w:val="2ED2A79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28CA167A"/>
    <w:multiLevelType w:val="multilevel"/>
    <w:tmpl w:val="E64A4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902E8F"/>
    <w:multiLevelType w:val="multilevel"/>
    <w:tmpl w:val="63DEA71E"/>
    <w:lvl w:ilvl="0">
      <w:start w:val="1"/>
      <w:numFmt w:val="lowerLetter"/>
      <w:pStyle w:val="Listaconvietas3"/>
      <w:lvlText w:val="%1)"/>
      <w:lvlJc w:val="left"/>
      <w:pPr>
        <w:ind w:left="1080" w:hanging="360"/>
      </w:pPr>
      <w:rPr>
        <w:rFonts w:ascii="Palatino Linotype" w:hAnsi="Palatino Linotype" w:hint="default"/>
        <w:b/>
        <w:i w:val="0"/>
        <w:sz w:val="22"/>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1E066BA"/>
    <w:multiLevelType w:val="multilevel"/>
    <w:tmpl w:val="629C5E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0C039E"/>
    <w:multiLevelType w:val="multilevel"/>
    <w:tmpl w:val="004467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1D27E4A"/>
    <w:multiLevelType w:val="multilevel"/>
    <w:tmpl w:val="78AA838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44B2BE6"/>
    <w:multiLevelType w:val="multilevel"/>
    <w:tmpl w:val="85941D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EED18A9"/>
    <w:multiLevelType w:val="hybridMultilevel"/>
    <w:tmpl w:val="5CD60C70"/>
    <w:lvl w:ilvl="0" w:tplc="3558F4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4"/>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0C"/>
    <w:rsid w:val="001072BB"/>
    <w:rsid w:val="00170708"/>
    <w:rsid w:val="00203703"/>
    <w:rsid w:val="00231D84"/>
    <w:rsid w:val="00280E91"/>
    <w:rsid w:val="00315E29"/>
    <w:rsid w:val="003C30C6"/>
    <w:rsid w:val="004B3170"/>
    <w:rsid w:val="004D3C01"/>
    <w:rsid w:val="004F03FA"/>
    <w:rsid w:val="006743FD"/>
    <w:rsid w:val="0068528D"/>
    <w:rsid w:val="0069540D"/>
    <w:rsid w:val="006D550C"/>
    <w:rsid w:val="00732F8C"/>
    <w:rsid w:val="007426F1"/>
    <w:rsid w:val="007D709F"/>
    <w:rsid w:val="00894BAA"/>
    <w:rsid w:val="008B0585"/>
    <w:rsid w:val="009D2F12"/>
    <w:rsid w:val="00A06981"/>
    <w:rsid w:val="00A356A9"/>
    <w:rsid w:val="00A56F05"/>
    <w:rsid w:val="00B023B9"/>
    <w:rsid w:val="00B03F0C"/>
    <w:rsid w:val="00B410BF"/>
    <w:rsid w:val="00B56066"/>
    <w:rsid w:val="00BD5FDB"/>
    <w:rsid w:val="00C55D62"/>
    <w:rsid w:val="00CC4110"/>
    <w:rsid w:val="00D2617C"/>
    <w:rsid w:val="00D559F2"/>
    <w:rsid w:val="00E121A5"/>
    <w:rsid w:val="00E51E78"/>
    <w:rsid w:val="00F058B2"/>
    <w:rsid w:val="00F124B0"/>
    <w:rsid w:val="00F442F1"/>
    <w:rsid w:val="00F64777"/>
    <w:rsid w:val="00F974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AF79A"/>
  <w15:docId w15:val="{43A906C7-CD96-42EE-849F-29241E3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902"/>
  </w:style>
  <w:style w:type="paragraph" w:styleId="Ttulo1">
    <w:name w:val="heading 1"/>
    <w:basedOn w:val="Normal"/>
    <w:next w:val="Normal"/>
    <w:link w:val="Ttulo1Car"/>
    <w:uiPriority w:val="9"/>
    <w:qFormat/>
    <w:rsid w:val="00603D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603D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B73CD"/>
    <w:pPr>
      <w:keepNext/>
      <w:tabs>
        <w:tab w:val="num" w:pos="2160"/>
      </w:tabs>
      <w:spacing w:before="240" w:after="60"/>
      <w:ind w:left="2160" w:hanging="72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3B73CD"/>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iPriority w:val="9"/>
    <w:semiHidden/>
    <w:unhideWhenUsed/>
    <w:qFormat/>
    <w:rsid w:val="003B73CD"/>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uiPriority w:val="9"/>
    <w:semiHidden/>
    <w:unhideWhenUsed/>
    <w:qFormat/>
    <w:rsid w:val="003B73CD"/>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3B73CD"/>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3B73CD"/>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3B73CD"/>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0703E"/>
    <w:pPr>
      <w:ind w:left="720"/>
      <w:contextualSpacing/>
    </w:pPr>
  </w:style>
  <w:style w:type="character" w:styleId="Hipervnculo">
    <w:name w:val="Hyperlink"/>
    <w:basedOn w:val="Fuentedeprrafopredeter"/>
    <w:uiPriority w:val="99"/>
    <w:unhideWhenUsed/>
    <w:rsid w:val="00FD7589"/>
    <w:rPr>
      <w:color w:val="0000FF"/>
      <w:u w:val="single"/>
    </w:rPr>
  </w:style>
  <w:style w:type="character" w:customStyle="1" w:styleId="apple-converted-space">
    <w:name w:val="apple-converted-space"/>
    <w:basedOn w:val="Fuentedeprrafopredeter"/>
    <w:rsid w:val="00FD7589"/>
  </w:style>
  <w:style w:type="paragraph" w:customStyle="1" w:styleId="Listavistosa-nfasis11">
    <w:name w:val="Lista vistosa - Énfasis 11"/>
    <w:basedOn w:val="Normal"/>
    <w:link w:val="Listavistosa-nfasis1Car"/>
    <w:uiPriority w:val="34"/>
    <w:qFormat/>
    <w:rsid w:val="000D2D89"/>
    <w:pPr>
      <w:ind w:left="708"/>
    </w:pPr>
  </w:style>
  <w:style w:type="character" w:customStyle="1" w:styleId="Listavistosa-nfasis1Car">
    <w:name w:val="Lista vistosa - Énfasis 1 Car"/>
    <w:link w:val="Listavistosa-nfasis11"/>
    <w:uiPriority w:val="34"/>
    <w:locked/>
    <w:rsid w:val="000D2D89"/>
    <w:rPr>
      <w:rFonts w:ascii="Times New Roman" w:eastAsia="Times New Roman" w:hAnsi="Times New Roman" w:cs="Times New Roman"/>
      <w:lang w:val="es-ES"/>
    </w:rPr>
  </w:style>
  <w:style w:type="paragraph" w:customStyle="1" w:styleId="Texto">
    <w:name w:val="Texto"/>
    <w:basedOn w:val="Normal"/>
    <w:link w:val="TextoCar"/>
    <w:rsid w:val="000470FE"/>
    <w:pPr>
      <w:spacing w:after="101" w:line="216" w:lineRule="exact"/>
      <w:ind w:firstLine="288"/>
      <w:jc w:val="both"/>
    </w:pPr>
    <w:rPr>
      <w:rFonts w:ascii="Arial" w:hAnsi="Arial" w:cs="Arial"/>
      <w:sz w:val="18"/>
      <w:szCs w:val="18"/>
    </w:rPr>
  </w:style>
  <w:style w:type="paragraph" w:styleId="NormalWeb">
    <w:name w:val="Normal (Web)"/>
    <w:basedOn w:val="Normal"/>
    <w:uiPriority w:val="99"/>
    <w:rsid w:val="000470FE"/>
    <w:pPr>
      <w:spacing w:before="100" w:beforeAutospacing="1" w:after="100" w:afterAutospacing="1"/>
    </w:pPr>
  </w:style>
  <w:style w:type="character" w:customStyle="1" w:styleId="apple-style-span">
    <w:name w:val="apple-style-span"/>
    <w:rsid w:val="008846E7"/>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E1FF4"/>
    <w:rPr>
      <w:rFonts w:ascii="Times New Roman" w:eastAsia="Times New Roman" w:hAnsi="Times New Roman" w:cs="Times New Roman"/>
      <w:lang w:val="es-ES"/>
    </w:rPr>
  </w:style>
  <w:style w:type="character" w:styleId="Textoennegrita">
    <w:name w:val="Strong"/>
    <w:uiPriority w:val="22"/>
    <w:qFormat/>
    <w:rsid w:val="003D1B5F"/>
    <w:rPr>
      <w:b/>
      <w:bC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944C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2944C8"/>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2944C8"/>
    <w:rPr>
      <w:vertAlign w:val="superscript"/>
    </w:rPr>
  </w:style>
  <w:style w:type="paragraph" w:styleId="Sinespaciado">
    <w:name w:val="No Spacing"/>
    <w:aliases w:val="Francesa"/>
    <w:link w:val="SinespaciadoCar"/>
    <w:uiPriority w:val="1"/>
    <w:qFormat/>
    <w:rsid w:val="002944C8"/>
  </w:style>
  <w:style w:type="paragraph" w:styleId="Textoindependiente2">
    <w:name w:val="Body Text 2"/>
    <w:basedOn w:val="Normal"/>
    <w:link w:val="Textoindependiente2Car"/>
    <w:uiPriority w:val="99"/>
    <w:unhideWhenUsed/>
    <w:rsid w:val="002944C8"/>
    <w:pPr>
      <w:spacing w:after="120" w:line="480" w:lineRule="auto"/>
    </w:pPr>
  </w:style>
  <w:style w:type="character" w:customStyle="1" w:styleId="Textoindependiente2Car">
    <w:name w:val="Texto independiente 2 Car"/>
    <w:basedOn w:val="Fuentedeprrafopredeter"/>
    <w:link w:val="Textoindependiente2"/>
    <w:uiPriority w:val="99"/>
    <w:rsid w:val="002944C8"/>
    <w:rPr>
      <w:rFonts w:ascii="Times New Roman" w:eastAsia="Times New Roman" w:hAnsi="Times New Roman" w:cs="Times New Roman"/>
      <w:lang w:val="es-ES"/>
    </w:rPr>
  </w:style>
  <w:style w:type="paragraph" w:styleId="Textosinformato">
    <w:name w:val="Plain Text"/>
    <w:basedOn w:val="Normal"/>
    <w:link w:val="TextosinformatoCar"/>
    <w:rsid w:val="002944C8"/>
    <w:rPr>
      <w:rFonts w:ascii="Courier New" w:hAnsi="Courier New"/>
      <w:sz w:val="20"/>
      <w:szCs w:val="20"/>
    </w:rPr>
  </w:style>
  <w:style w:type="character" w:customStyle="1" w:styleId="TextosinformatoCar">
    <w:name w:val="Texto sin formato Car"/>
    <w:basedOn w:val="Fuentedeprrafopredeter"/>
    <w:link w:val="Textosinformato"/>
    <w:rsid w:val="002944C8"/>
    <w:rPr>
      <w:rFonts w:ascii="Courier New" w:eastAsia="Times New Roman" w:hAnsi="Courier New" w:cs="Times New Roman"/>
      <w:sz w:val="20"/>
      <w:szCs w:val="20"/>
      <w:lang w:val="es-ES"/>
    </w:rPr>
  </w:style>
  <w:style w:type="paragraph" w:customStyle="1" w:styleId="Standard">
    <w:name w:val="Standard"/>
    <w:rsid w:val="002944C8"/>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2944C8"/>
    <w:rPr>
      <w:rFonts w:ascii="Arial" w:hAnsi="Arial" w:cs="Arial" w:hint="default"/>
      <w:b/>
      <w:bCs/>
      <w:sz w:val="18"/>
      <w:szCs w:val="18"/>
    </w:rPr>
  </w:style>
  <w:style w:type="paragraph" w:customStyle="1" w:styleId="Pa2">
    <w:name w:val="Pa2"/>
    <w:basedOn w:val="Normal"/>
    <w:next w:val="Normal"/>
    <w:uiPriority w:val="99"/>
    <w:rsid w:val="002944C8"/>
    <w:pPr>
      <w:autoSpaceDE w:val="0"/>
      <w:autoSpaceDN w:val="0"/>
      <w:adjustRightInd w:val="0"/>
      <w:spacing w:line="240" w:lineRule="atLeast"/>
    </w:pPr>
    <w:rPr>
      <w:rFonts w:ascii="Helvetica" w:hAnsi="Helvetica"/>
      <w:lang w:val="es-ES_tradnl" w:eastAsia="es-ES_tradnl"/>
    </w:rPr>
  </w:style>
  <w:style w:type="paragraph" w:customStyle="1" w:styleId="Default">
    <w:name w:val="Default"/>
    <w:rsid w:val="002944C8"/>
    <w:pPr>
      <w:autoSpaceDE w:val="0"/>
      <w:autoSpaceDN w:val="0"/>
      <w:adjustRightInd w:val="0"/>
    </w:pPr>
    <w:rPr>
      <w:rFonts w:ascii="Arial" w:eastAsiaTheme="minorHAnsi" w:hAnsi="Arial" w:cs="Arial"/>
      <w:color w:val="000000"/>
      <w:lang w:eastAsia="en-US"/>
    </w:rPr>
  </w:style>
  <w:style w:type="character" w:customStyle="1" w:styleId="f">
    <w:name w:val="f"/>
    <w:basedOn w:val="Fuentedeprrafopredeter"/>
    <w:rsid w:val="002944C8"/>
  </w:style>
  <w:style w:type="paragraph" w:customStyle="1" w:styleId="q">
    <w:name w:val="q"/>
    <w:basedOn w:val="Normal"/>
    <w:rsid w:val="002944C8"/>
    <w:pPr>
      <w:spacing w:before="100" w:beforeAutospacing="1" w:after="100" w:afterAutospacing="1"/>
    </w:pPr>
  </w:style>
  <w:style w:type="character" w:customStyle="1" w:styleId="d">
    <w:name w:val="d"/>
    <w:basedOn w:val="Fuentedeprrafopredeter"/>
    <w:rsid w:val="002944C8"/>
  </w:style>
  <w:style w:type="character" w:customStyle="1" w:styleId="b">
    <w:name w:val="b"/>
    <w:basedOn w:val="Fuentedeprrafopredeter"/>
    <w:rsid w:val="002944C8"/>
  </w:style>
  <w:style w:type="character" w:customStyle="1" w:styleId="k">
    <w:name w:val="k"/>
    <w:basedOn w:val="Fuentedeprrafopredeter"/>
    <w:rsid w:val="002944C8"/>
  </w:style>
  <w:style w:type="character" w:customStyle="1" w:styleId="h">
    <w:name w:val="h"/>
    <w:basedOn w:val="Fuentedeprrafopredeter"/>
    <w:rsid w:val="002944C8"/>
  </w:style>
  <w:style w:type="character" w:styleId="Hipervnculovisitado">
    <w:name w:val="FollowedHyperlink"/>
    <w:basedOn w:val="Fuentedeprrafopredeter"/>
    <w:uiPriority w:val="99"/>
    <w:semiHidden/>
    <w:unhideWhenUsed/>
    <w:rsid w:val="002944C8"/>
    <w:rPr>
      <w:color w:val="800080" w:themeColor="followedHyperlink"/>
      <w:u w:val="single"/>
    </w:rPr>
  </w:style>
  <w:style w:type="character" w:styleId="CitaHTML">
    <w:name w:val="HTML Cite"/>
    <w:uiPriority w:val="99"/>
    <w:semiHidden/>
    <w:unhideWhenUsed/>
    <w:rsid w:val="00B85C7C"/>
    <w:rPr>
      <w:i/>
      <w:iCs/>
    </w:rPr>
  </w:style>
  <w:style w:type="character" w:customStyle="1" w:styleId="SinespaciadoCar">
    <w:name w:val="Sin espaciado Car"/>
    <w:aliases w:val="Francesa Car"/>
    <w:link w:val="Sinespaciado"/>
    <w:uiPriority w:val="1"/>
    <w:locked/>
    <w:rsid w:val="00270539"/>
    <w:rPr>
      <w:rFonts w:ascii="Times New Roman" w:eastAsia="Times New Roman" w:hAnsi="Times New Roman" w:cs="Times New Roman"/>
      <w:lang w:val="es-MX"/>
    </w:rPr>
  </w:style>
  <w:style w:type="character" w:customStyle="1" w:styleId="medium">
    <w:name w:val="medium"/>
    <w:basedOn w:val="Fuentedeprrafopredeter"/>
    <w:rsid w:val="00354DB7"/>
  </w:style>
  <w:style w:type="table" w:styleId="Tablaconcuadrcula">
    <w:name w:val="Table Grid"/>
    <w:basedOn w:val="Tablanormal"/>
    <w:uiPriority w:val="59"/>
    <w:rsid w:val="00BB3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oconsecutivo">
    <w:name w:val="numeroconsecutivo"/>
    <w:basedOn w:val="Fuentedeprrafopredeter"/>
    <w:rsid w:val="00615060"/>
  </w:style>
  <w:style w:type="character" w:customStyle="1" w:styleId="titulorubrolgt">
    <w:name w:val="titulorubrolgt"/>
    <w:basedOn w:val="Fuentedeprrafopredeter"/>
    <w:rsid w:val="00615060"/>
  </w:style>
  <w:style w:type="character" w:customStyle="1" w:styleId="ctr">
    <w:name w:val="ctr"/>
    <w:basedOn w:val="Fuentedeprrafopredeter"/>
    <w:rsid w:val="00615060"/>
  </w:style>
  <w:style w:type="paragraph" w:styleId="Textonotaalfinal">
    <w:name w:val="endnote text"/>
    <w:basedOn w:val="Normal"/>
    <w:link w:val="TextonotaalfinalCar"/>
    <w:uiPriority w:val="99"/>
    <w:semiHidden/>
    <w:unhideWhenUsed/>
    <w:rsid w:val="00D25E88"/>
    <w:rPr>
      <w:sz w:val="20"/>
      <w:szCs w:val="20"/>
    </w:rPr>
  </w:style>
  <w:style w:type="character" w:customStyle="1" w:styleId="TextonotaalfinalCar">
    <w:name w:val="Texto nota al final Car"/>
    <w:basedOn w:val="Fuentedeprrafopredeter"/>
    <w:link w:val="Textonotaalfinal"/>
    <w:uiPriority w:val="99"/>
    <w:semiHidden/>
    <w:rsid w:val="00D25E88"/>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semiHidden/>
    <w:unhideWhenUsed/>
    <w:rsid w:val="00D25E88"/>
    <w:rPr>
      <w:vertAlign w:val="superscript"/>
    </w:rPr>
  </w:style>
  <w:style w:type="character" w:customStyle="1" w:styleId="A1">
    <w:name w:val="A1"/>
    <w:uiPriority w:val="99"/>
    <w:rsid w:val="00EC4ECD"/>
    <w:rPr>
      <w:rFonts w:ascii="Myriad Pro" w:hAnsi="Myriad Pro" w:cs="Myriad Pro" w:hint="default"/>
      <w:color w:val="000000"/>
      <w:sz w:val="22"/>
      <w:szCs w:val="22"/>
    </w:rPr>
  </w:style>
  <w:style w:type="paragraph" w:customStyle="1" w:styleId="Pa9">
    <w:name w:val="Pa9"/>
    <w:basedOn w:val="Normal"/>
    <w:next w:val="Normal"/>
    <w:uiPriority w:val="99"/>
    <w:rsid w:val="00EC4ECD"/>
    <w:pPr>
      <w:autoSpaceDE w:val="0"/>
      <w:autoSpaceDN w:val="0"/>
      <w:adjustRightInd w:val="0"/>
      <w:spacing w:line="241" w:lineRule="atLeast"/>
    </w:pPr>
    <w:rPr>
      <w:rFonts w:ascii="Myriad Pro" w:eastAsiaTheme="minorHAnsi" w:hAnsi="Myriad Pro" w:cstheme="minorBidi"/>
      <w:lang w:eastAsia="en-US"/>
    </w:rPr>
  </w:style>
  <w:style w:type="paragraph" w:customStyle="1" w:styleId="Pa5">
    <w:name w:val="Pa5"/>
    <w:basedOn w:val="Normal"/>
    <w:next w:val="Normal"/>
    <w:uiPriority w:val="99"/>
    <w:rsid w:val="00EC4ECD"/>
    <w:pPr>
      <w:autoSpaceDE w:val="0"/>
      <w:autoSpaceDN w:val="0"/>
      <w:adjustRightInd w:val="0"/>
      <w:spacing w:line="201" w:lineRule="atLeast"/>
    </w:pPr>
    <w:rPr>
      <w:rFonts w:ascii="Myriad Pro" w:eastAsiaTheme="minorHAnsi" w:hAnsi="Myriad Pro" w:cstheme="minorBidi"/>
      <w:lang w:eastAsia="en-US"/>
    </w:rPr>
  </w:style>
  <w:style w:type="paragraph" w:customStyle="1" w:styleId="m5127500252372250437gmail-paragraph">
    <w:name w:val="m_5127500252372250437gmail-paragraph"/>
    <w:basedOn w:val="Normal"/>
    <w:rsid w:val="00980B7E"/>
    <w:pPr>
      <w:spacing w:before="100" w:beforeAutospacing="1" w:after="100" w:afterAutospacing="1"/>
    </w:pPr>
  </w:style>
  <w:style w:type="character" w:customStyle="1" w:styleId="nombrefraccder">
    <w:name w:val="nombrefraccder"/>
    <w:basedOn w:val="Fuentedeprrafopredeter"/>
    <w:rsid w:val="009B4A68"/>
  </w:style>
  <w:style w:type="character" w:customStyle="1" w:styleId="numberfraccder">
    <w:name w:val="numberfraccder"/>
    <w:basedOn w:val="Fuentedeprrafopredeter"/>
    <w:rsid w:val="009B4A68"/>
  </w:style>
  <w:style w:type="character" w:customStyle="1" w:styleId="TextoCar">
    <w:name w:val="Texto Car"/>
    <w:link w:val="Texto"/>
    <w:locked/>
    <w:rsid w:val="002B0963"/>
    <w:rPr>
      <w:rFonts w:ascii="Arial" w:eastAsia="Times New Roman" w:hAnsi="Arial" w:cs="Arial"/>
      <w:sz w:val="18"/>
      <w:szCs w:val="18"/>
      <w:lang w:val="es-MX"/>
    </w:rPr>
  </w:style>
  <w:style w:type="character" w:styleId="nfasis">
    <w:name w:val="Emphasis"/>
    <w:basedOn w:val="Fuentedeprrafopredeter"/>
    <w:uiPriority w:val="20"/>
    <w:qFormat/>
    <w:rsid w:val="00C536F2"/>
    <w:rPr>
      <w:i/>
      <w:iCs/>
    </w:rPr>
  </w:style>
  <w:style w:type="character" w:customStyle="1" w:styleId="normaltextrun">
    <w:name w:val="normaltextrun"/>
    <w:basedOn w:val="Fuentedeprrafopredeter"/>
    <w:rsid w:val="0011437B"/>
  </w:style>
  <w:style w:type="character" w:customStyle="1" w:styleId="m5127500252372250437gmail-normaltextrun">
    <w:name w:val="m_5127500252372250437gmail-normaltextrun"/>
    <w:basedOn w:val="Fuentedeprrafopredeter"/>
    <w:rsid w:val="0011437B"/>
  </w:style>
  <w:style w:type="paragraph" w:customStyle="1" w:styleId="m-60081275284358516gmail-msolistparagraph">
    <w:name w:val="m_-60081275284358516gmail-msolistparagraph"/>
    <w:basedOn w:val="Normal"/>
    <w:rsid w:val="00207C90"/>
    <w:pPr>
      <w:spacing w:before="100" w:beforeAutospacing="1" w:after="100" w:afterAutospacing="1"/>
    </w:pPr>
  </w:style>
  <w:style w:type="paragraph" w:customStyle="1" w:styleId="ANOTACION">
    <w:name w:val="ANOTACION"/>
    <w:basedOn w:val="Normal"/>
    <w:link w:val="ANOTACIONCar"/>
    <w:rsid w:val="001B5A73"/>
    <w:pPr>
      <w:spacing w:before="101" w:after="101" w:line="216" w:lineRule="atLeast"/>
      <w:jc w:val="center"/>
    </w:pPr>
    <w:rPr>
      <w:b/>
      <w:sz w:val="18"/>
      <w:szCs w:val="20"/>
      <w:lang w:val="es-ES_tradnl"/>
    </w:rPr>
  </w:style>
  <w:style w:type="character" w:customStyle="1" w:styleId="ANOTACIONCar">
    <w:name w:val="ANOTACION Car"/>
    <w:link w:val="ANOTACION"/>
    <w:locked/>
    <w:rsid w:val="001B5A73"/>
    <w:rPr>
      <w:rFonts w:ascii="Times New Roman" w:eastAsia="Times New Roman" w:hAnsi="Times New Roman" w:cs="Times New Roman"/>
      <w:b/>
      <w:sz w:val="18"/>
      <w:szCs w:val="20"/>
    </w:rPr>
  </w:style>
  <w:style w:type="paragraph" w:customStyle="1" w:styleId="j">
    <w:name w:val="j"/>
    <w:basedOn w:val="Normal"/>
    <w:rsid w:val="007B00BD"/>
    <w:pPr>
      <w:spacing w:before="100" w:beforeAutospacing="1" w:after="100" w:afterAutospacing="1"/>
    </w:pPr>
  </w:style>
  <w:style w:type="character" w:customStyle="1" w:styleId="nacep">
    <w:name w:val="n_acep"/>
    <w:basedOn w:val="Fuentedeprrafopredeter"/>
    <w:rsid w:val="007B00BD"/>
  </w:style>
  <w:style w:type="paragraph" w:customStyle="1" w:styleId="k5">
    <w:name w:val="k5"/>
    <w:basedOn w:val="Normal"/>
    <w:rsid w:val="007B00BD"/>
    <w:pPr>
      <w:spacing w:before="100" w:beforeAutospacing="1" w:after="100" w:afterAutospacing="1"/>
    </w:pPr>
  </w:style>
  <w:style w:type="paragraph" w:customStyle="1" w:styleId="m">
    <w:name w:val="m"/>
    <w:basedOn w:val="Normal"/>
    <w:rsid w:val="007B00BD"/>
    <w:pPr>
      <w:spacing w:before="100" w:beforeAutospacing="1" w:after="100" w:afterAutospacing="1"/>
    </w:pPr>
  </w:style>
  <w:style w:type="character" w:styleId="Refdecomentario">
    <w:name w:val="annotation reference"/>
    <w:basedOn w:val="Fuentedeprrafopredeter"/>
    <w:uiPriority w:val="99"/>
    <w:semiHidden/>
    <w:unhideWhenUsed/>
    <w:rsid w:val="003219FE"/>
    <w:rPr>
      <w:sz w:val="16"/>
      <w:szCs w:val="16"/>
    </w:rPr>
  </w:style>
  <w:style w:type="paragraph" w:styleId="Textocomentario">
    <w:name w:val="annotation text"/>
    <w:basedOn w:val="Normal"/>
    <w:link w:val="TextocomentarioCar"/>
    <w:uiPriority w:val="99"/>
    <w:semiHidden/>
    <w:unhideWhenUsed/>
    <w:rsid w:val="003219FE"/>
    <w:rPr>
      <w:sz w:val="20"/>
      <w:szCs w:val="20"/>
    </w:rPr>
  </w:style>
  <w:style w:type="character" w:customStyle="1" w:styleId="TextocomentarioCar">
    <w:name w:val="Texto comentario Car"/>
    <w:basedOn w:val="Fuentedeprrafopredeter"/>
    <w:link w:val="Textocomentario"/>
    <w:uiPriority w:val="99"/>
    <w:semiHidden/>
    <w:rsid w:val="003219FE"/>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219FE"/>
    <w:rPr>
      <w:b/>
      <w:bCs/>
    </w:rPr>
  </w:style>
  <w:style w:type="character" w:customStyle="1" w:styleId="AsuntodelcomentarioCar">
    <w:name w:val="Asunto del comentario Car"/>
    <w:basedOn w:val="TextocomentarioCar"/>
    <w:link w:val="Asuntodelcomentario"/>
    <w:uiPriority w:val="99"/>
    <w:semiHidden/>
    <w:rsid w:val="003219FE"/>
    <w:rPr>
      <w:rFonts w:ascii="Times New Roman" w:eastAsia="Times New Roman" w:hAnsi="Times New Roman" w:cs="Times New Roman"/>
      <w:b/>
      <w:bCs/>
      <w:sz w:val="20"/>
      <w:szCs w:val="20"/>
      <w:lang w:val="es-ES"/>
    </w:rPr>
  </w:style>
  <w:style w:type="paragraph" w:customStyle="1" w:styleId="FAFunotente1">
    <w:name w:val="FA Fu?notente1"/>
    <w:basedOn w:val="Normal"/>
    <w:next w:val="Textonotapie"/>
    <w:uiPriority w:val="99"/>
    <w:unhideWhenUsed/>
    <w:rsid w:val="00A403D3"/>
    <w:rPr>
      <w:rFonts w:asciiTheme="minorHAnsi" w:eastAsia="Cambria" w:hAnsiTheme="minorHAnsi" w:cstheme="minorBidi"/>
      <w:sz w:val="20"/>
      <w:szCs w:val="20"/>
      <w:lang w:eastAsia="en-US"/>
    </w:rPr>
  </w:style>
  <w:style w:type="character" w:customStyle="1" w:styleId="Ttulo1Car">
    <w:name w:val="Título 1 Car"/>
    <w:basedOn w:val="Fuentedeprrafopredeter"/>
    <w:link w:val="Ttulo1"/>
    <w:uiPriority w:val="9"/>
    <w:rsid w:val="00603D72"/>
    <w:rPr>
      <w:rFonts w:asciiTheme="majorHAnsi" w:eastAsiaTheme="majorEastAsia" w:hAnsiTheme="majorHAnsi" w:cstheme="majorBidi"/>
      <w:color w:val="365F91" w:themeColor="accent1" w:themeShade="BF"/>
      <w:sz w:val="32"/>
      <w:szCs w:val="32"/>
      <w:lang w:val="es-ES"/>
    </w:rPr>
  </w:style>
  <w:style w:type="character" w:customStyle="1" w:styleId="Ttulo2Car">
    <w:name w:val="Título 2 Car"/>
    <w:basedOn w:val="Fuentedeprrafopredeter"/>
    <w:link w:val="Ttulo2"/>
    <w:uiPriority w:val="9"/>
    <w:rsid w:val="00603D72"/>
    <w:rPr>
      <w:rFonts w:asciiTheme="majorHAnsi" w:eastAsiaTheme="majorEastAsia" w:hAnsiTheme="majorHAnsi" w:cstheme="majorBidi"/>
      <w:color w:val="365F91" w:themeColor="accent1" w:themeShade="BF"/>
      <w:sz w:val="26"/>
      <w:szCs w:val="26"/>
      <w:lang w:val="es-ES"/>
    </w:rPr>
  </w:style>
  <w:style w:type="paragraph" w:styleId="Lista">
    <w:name w:val="List"/>
    <w:basedOn w:val="Normal"/>
    <w:uiPriority w:val="99"/>
    <w:unhideWhenUsed/>
    <w:rsid w:val="00603D72"/>
    <w:pPr>
      <w:ind w:left="283" w:hanging="283"/>
      <w:contextualSpacing/>
    </w:pPr>
  </w:style>
  <w:style w:type="paragraph" w:styleId="Lista2">
    <w:name w:val="List 2"/>
    <w:basedOn w:val="Normal"/>
    <w:uiPriority w:val="99"/>
    <w:unhideWhenUsed/>
    <w:rsid w:val="00603D72"/>
    <w:pPr>
      <w:ind w:left="566" w:hanging="283"/>
      <w:contextualSpacing/>
    </w:pPr>
  </w:style>
  <w:style w:type="paragraph" w:styleId="Lista3">
    <w:name w:val="List 3"/>
    <w:basedOn w:val="Normal"/>
    <w:uiPriority w:val="99"/>
    <w:unhideWhenUsed/>
    <w:rsid w:val="00603D72"/>
    <w:pPr>
      <w:ind w:left="849" w:hanging="283"/>
      <w:contextualSpacing/>
    </w:pPr>
  </w:style>
  <w:style w:type="paragraph" w:styleId="Listaconvietas3">
    <w:name w:val="List Bullet 3"/>
    <w:basedOn w:val="Normal"/>
    <w:uiPriority w:val="99"/>
    <w:unhideWhenUsed/>
    <w:rsid w:val="00603D72"/>
    <w:pPr>
      <w:numPr>
        <w:numId w:val="2"/>
      </w:numPr>
      <w:contextualSpacing/>
    </w:pPr>
  </w:style>
  <w:style w:type="paragraph" w:styleId="Continuarlista">
    <w:name w:val="List Continue"/>
    <w:basedOn w:val="Normal"/>
    <w:uiPriority w:val="99"/>
    <w:unhideWhenUsed/>
    <w:rsid w:val="00603D72"/>
    <w:pPr>
      <w:spacing w:after="120"/>
      <w:ind w:left="283"/>
      <w:contextualSpacing/>
    </w:pPr>
  </w:style>
  <w:style w:type="paragraph" w:styleId="Continuarlista2">
    <w:name w:val="List Continue 2"/>
    <w:basedOn w:val="Normal"/>
    <w:uiPriority w:val="99"/>
    <w:unhideWhenUsed/>
    <w:rsid w:val="00603D72"/>
    <w:pPr>
      <w:spacing w:after="120"/>
      <w:ind w:left="566"/>
      <w:contextualSpacing/>
    </w:pPr>
  </w:style>
  <w:style w:type="paragraph" w:styleId="Textoindependiente">
    <w:name w:val="Body Text"/>
    <w:basedOn w:val="Normal"/>
    <w:link w:val="TextoindependienteCar"/>
    <w:uiPriority w:val="99"/>
    <w:unhideWhenUsed/>
    <w:rsid w:val="00603D72"/>
    <w:pPr>
      <w:spacing w:after="120"/>
    </w:pPr>
  </w:style>
  <w:style w:type="character" w:customStyle="1" w:styleId="TextoindependienteCar">
    <w:name w:val="Texto independiente Car"/>
    <w:basedOn w:val="Fuentedeprrafopredeter"/>
    <w:link w:val="Textoindependiente"/>
    <w:uiPriority w:val="99"/>
    <w:rsid w:val="00603D72"/>
    <w:rPr>
      <w:rFonts w:ascii="Times New Roman" w:eastAsia="Times New Roman" w:hAnsi="Times New Roman" w:cs="Times New Roman"/>
      <w:lang w:val="es-ES"/>
    </w:rPr>
  </w:style>
  <w:style w:type="paragraph" w:styleId="Sangradetextonormal">
    <w:name w:val="Body Text Indent"/>
    <w:basedOn w:val="Normal"/>
    <w:link w:val="SangradetextonormalCar"/>
    <w:uiPriority w:val="99"/>
    <w:semiHidden/>
    <w:unhideWhenUsed/>
    <w:rsid w:val="00603D72"/>
    <w:pPr>
      <w:spacing w:after="120"/>
      <w:ind w:left="283"/>
    </w:pPr>
  </w:style>
  <w:style w:type="character" w:customStyle="1" w:styleId="SangradetextonormalCar">
    <w:name w:val="Sangría de texto normal Car"/>
    <w:basedOn w:val="Fuentedeprrafopredeter"/>
    <w:link w:val="Sangradetextonormal"/>
    <w:uiPriority w:val="99"/>
    <w:semiHidden/>
    <w:rsid w:val="00603D72"/>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603D7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03D72"/>
    <w:rPr>
      <w:rFonts w:ascii="Times New Roman" w:eastAsia="Times New Roman" w:hAnsi="Times New Roman" w:cs="Times New Roman"/>
      <w:lang w:val="es-ES"/>
    </w:rPr>
  </w:style>
  <w:style w:type="paragraph" w:customStyle="1" w:styleId="paragraph">
    <w:name w:val="paragraph"/>
    <w:basedOn w:val="Normal"/>
    <w:rsid w:val="00E34821"/>
    <w:pPr>
      <w:spacing w:before="100" w:beforeAutospacing="1" w:after="100" w:afterAutospacing="1"/>
    </w:pPr>
  </w:style>
  <w:style w:type="paragraph" w:customStyle="1" w:styleId="n2">
    <w:name w:val="n2"/>
    <w:basedOn w:val="Normal"/>
    <w:rsid w:val="009D307C"/>
    <w:pPr>
      <w:spacing w:before="100" w:beforeAutospacing="1" w:after="100" w:afterAutospacing="1"/>
    </w:pPr>
  </w:style>
  <w:style w:type="character" w:customStyle="1" w:styleId="u">
    <w:name w:val="u"/>
    <w:basedOn w:val="Fuentedeprrafopredeter"/>
    <w:rsid w:val="009D307C"/>
  </w:style>
  <w:style w:type="paragraph" w:customStyle="1" w:styleId="j1">
    <w:name w:val="j1"/>
    <w:basedOn w:val="Normal"/>
    <w:rsid w:val="009D307C"/>
    <w:pPr>
      <w:spacing w:before="100" w:beforeAutospacing="1" w:after="100" w:afterAutospacing="1"/>
    </w:pPr>
  </w:style>
  <w:style w:type="paragraph" w:customStyle="1" w:styleId="j2">
    <w:name w:val="j2"/>
    <w:basedOn w:val="Normal"/>
    <w:rsid w:val="009D307C"/>
    <w:pPr>
      <w:spacing w:before="100" w:beforeAutospacing="1" w:after="100" w:afterAutospacing="1"/>
    </w:pPr>
  </w:style>
  <w:style w:type="table" w:styleId="Tabladelista1clara-nfasis1">
    <w:name w:val="List Table 1 Light Accent 1"/>
    <w:basedOn w:val="Tablanormal"/>
    <w:uiPriority w:val="46"/>
    <w:rsid w:val="00A01B9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Mencinsinresolver1">
    <w:name w:val="Mención sin resolver1"/>
    <w:basedOn w:val="Fuentedeprrafopredeter"/>
    <w:uiPriority w:val="99"/>
    <w:semiHidden/>
    <w:unhideWhenUsed/>
    <w:rsid w:val="00457753"/>
    <w:rPr>
      <w:color w:val="605E5C"/>
      <w:shd w:val="clear" w:color="auto" w:fill="E1DFDD"/>
    </w:rPr>
  </w:style>
  <w:style w:type="character" w:customStyle="1" w:styleId="Mencinsinresolver2">
    <w:name w:val="Mención sin resolver2"/>
    <w:basedOn w:val="Fuentedeprrafopredeter"/>
    <w:uiPriority w:val="99"/>
    <w:semiHidden/>
    <w:unhideWhenUsed/>
    <w:rsid w:val="00CE48D4"/>
    <w:rPr>
      <w:color w:val="605E5C"/>
      <w:shd w:val="clear" w:color="auto" w:fill="E1DFDD"/>
    </w:rPr>
  </w:style>
  <w:style w:type="table" w:customStyle="1" w:styleId="Tabladelista1clara-nfasis11">
    <w:name w:val="Tabla de lista 1 clara - Énfasis 11"/>
    <w:basedOn w:val="Tablanormal"/>
    <w:uiPriority w:val="46"/>
    <w:rsid w:val="008F79FD"/>
    <w:rPr>
      <w:rFonts w:eastAsia="MS Mincho"/>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3Car">
    <w:name w:val="Título 3 Car"/>
    <w:basedOn w:val="Fuentedeprrafopredeter"/>
    <w:link w:val="Ttulo3"/>
    <w:uiPriority w:val="9"/>
    <w:semiHidden/>
    <w:rsid w:val="003B73CD"/>
    <w:rPr>
      <w:rFonts w:asciiTheme="majorHAnsi" w:eastAsiaTheme="majorEastAsia" w:hAnsiTheme="majorHAnsi" w:cstheme="majorBidi"/>
      <w:b/>
      <w:bCs/>
      <w:sz w:val="26"/>
      <w:szCs w:val="26"/>
      <w:lang w:val="en-US" w:eastAsia="en-US"/>
    </w:rPr>
  </w:style>
  <w:style w:type="character" w:customStyle="1" w:styleId="Ttulo4Car">
    <w:name w:val="Título 4 Car"/>
    <w:basedOn w:val="Fuentedeprrafopredeter"/>
    <w:link w:val="Ttulo4"/>
    <w:uiPriority w:val="9"/>
    <w:semiHidden/>
    <w:rsid w:val="003B73CD"/>
    <w:rPr>
      <w:b/>
      <w:bCs/>
      <w:sz w:val="28"/>
      <w:szCs w:val="28"/>
      <w:lang w:val="en-US" w:eastAsia="en-US"/>
    </w:rPr>
  </w:style>
  <w:style w:type="character" w:customStyle="1" w:styleId="Ttulo5Car">
    <w:name w:val="Título 5 Car"/>
    <w:basedOn w:val="Fuentedeprrafopredeter"/>
    <w:link w:val="Ttulo5"/>
    <w:uiPriority w:val="9"/>
    <w:semiHidden/>
    <w:rsid w:val="003B73CD"/>
    <w:rPr>
      <w:b/>
      <w:bCs/>
      <w:i/>
      <w:iCs/>
      <w:sz w:val="26"/>
      <w:szCs w:val="26"/>
      <w:lang w:val="en-US" w:eastAsia="en-US"/>
    </w:rPr>
  </w:style>
  <w:style w:type="character" w:customStyle="1" w:styleId="Ttulo6Car">
    <w:name w:val="Título 6 Car"/>
    <w:basedOn w:val="Fuentedeprrafopredeter"/>
    <w:link w:val="Ttulo6"/>
    <w:semiHidden/>
    <w:rsid w:val="003B73CD"/>
    <w:rPr>
      <w:rFonts w:ascii="Times New Roman" w:eastAsia="Times New Roman" w:hAnsi="Times New Roman" w:cs="Times New Roman"/>
      <w:b/>
      <w:bCs/>
      <w:sz w:val="22"/>
      <w:szCs w:val="22"/>
      <w:lang w:val="en-US" w:eastAsia="en-US"/>
    </w:rPr>
  </w:style>
  <w:style w:type="character" w:customStyle="1" w:styleId="Ttulo7Car">
    <w:name w:val="Título 7 Car"/>
    <w:basedOn w:val="Fuentedeprrafopredeter"/>
    <w:link w:val="Ttulo7"/>
    <w:uiPriority w:val="9"/>
    <w:semiHidden/>
    <w:rsid w:val="003B73CD"/>
    <w:rPr>
      <w:lang w:val="en-US" w:eastAsia="en-US"/>
    </w:rPr>
  </w:style>
  <w:style w:type="character" w:customStyle="1" w:styleId="Ttulo8Car">
    <w:name w:val="Título 8 Car"/>
    <w:basedOn w:val="Fuentedeprrafopredeter"/>
    <w:link w:val="Ttulo8"/>
    <w:uiPriority w:val="9"/>
    <w:semiHidden/>
    <w:rsid w:val="003B73CD"/>
    <w:rPr>
      <w:i/>
      <w:iCs/>
      <w:lang w:val="en-US" w:eastAsia="en-US"/>
    </w:rPr>
  </w:style>
  <w:style w:type="character" w:customStyle="1" w:styleId="Ttulo9Car">
    <w:name w:val="Título 9 Car"/>
    <w:basedOn w:val="Fuentedeprrafopredeter"/>
    <w:link w:val="Ttulo9"/>
    <w:uiPriority w:val="9"/>
    <w:semiHidden/>
    <w:rsid w:val="003B73CD"/>
    <w:rPr>
      <w:rFonts w:asciiTheme="majorHAnsi" w:eastAsiaTheme="majorEastAsia" w:hAnsiTheme="majorHAnsi" w:cstheme="majorBidi"/>
      <w:sz w:val="22"/>
      <w:szCs w:val="22"/>
      <w:lang w:val="en-U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CellMar>
        <w:left w:w="108" w:type="dxa"/>
        <w:right w:w="108" w:type="dxa"/>
      </w:tblCellMar>
    </w:tblPr>
    <w:tblStylePr w:type="firstRow">
      <w:rPr>
        <w:b/>
      </w:rPr>
      <w:tblPr/>
      <w:tcPr>
        <w:tcBorders>
          <w:bottom w:val="single" w:sz="4" w:space="0" w:color="95B3D7"/>
        </w:tcBorders>
      </w:tcPr>
    </w:tblStylePr>
    <w:tblStylePr w:type="lastRow">
      <w:rPr>
        <w:b/>
      </w:rPr>
      <w:tblPr/>
      <w:tcPr>
        <w:tcBorders>
          <w:top w:val="single" w:sz="4" w:space="0" w:color="95B3D7"/>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e"/>
    <w:tblPr>
      <w:tblStyleRowBandSize w:val="1"/>
      <w:tblStyleColBandSize w:val="1"/>
      <w:tblCellMar>
        <w:left w:w="115" w:type="dxa"/>
        <w:right w:w="115" w:type="dxa"/>
      </w:tblCellMar>
    </w:tblPr>
  </w:style>
  <w:style w:type="table" w:customStyle="1" w:styleId="a2">
    <w:basedOn w:val="TableNormale"/>
    <w:tblPr>
      <w:tblStyleRowBandSize w:val="1"/>
      <w:tblStyleColBandSize w:val="1"/>
      <w:tblCellMar>
        <w:left w:w="115" w:type="dxa"/>
        <w:right w:w="115" w:type="dxa"/>
      </w:tblCellMar>
    </w:tblPr>
  </w:style>
  <w:style w:type="character" w:customStyle="1" w:styleId="Mencinsinresolver3">
    <w:name w:val="Mención sin resolver3"/>
    <w:basedOn w:val="Fuentedeprrafopredeter"/>
    <w:uiPriority w:val="99"/>
    <w:semiHidden/>
    <w:unhideWhenUsed/>
    <w:rsid w:val="0094565C"/>
    <w:rPr>
      <w:color w:val="605E5C"/>
      <w:shd w:val="clear" w:color="auto" w:fill="E1DFDD"/>
    </w:rPr>
  </w:style>
  <w:style w:type="table" w:customStyle="1" w:styleId="a3">
    <w:basedOn w:val="TableNormale"/>
    <w:tblPr>
      <w:tblStyleRowBandSize w:val="1"/>
      <w:tblStyleColBandSize w:val="1"/>
      <w:tblCellMar>
        <w:left w:w="115" w:type="dxa"/>
        <w:right w:w="115" w:type="dxa"/>
      </w:tblCellMar>
    </w:tblPr>
  </w:style>
  <w:style w:type="table" w:customStyle="1" w:styleId="a4">
    <w:basedOn w:val="TableNormale"/>
    <w:tblPr>
      <w:tblStyleRowBandSize w:val="1"/>
      <w:tblStyleColBandSize w:val="1"/>
      <w:tblCellMar>
        <w:left w:w="115" w:type="dxa"/>
        <w:right w:w="115" w:type="dxa"/>
      </w:tblCellMar>
    </w:tblPr>
  </w:style>
  <w:style w:type="table" w:customStyle="1" w:styleId="a5">
    <w:basedOn w:val="TableNormald"/>
    <w:tblPr>
      <w:tblStyleRowBandSize w:val="1"/>
      <w:tblStyleColBandSize w:val="1"/>
      <w:tblCellMar>
        <w:left w:w="115" w:type="dxa"/>
        <w:right w:w="115" w:type="dxa"/>
      </w:tblCellMar>
    </w:tblPr>
  </w:style>
  <w:style w:type="table" w:customStyle="1" w:styleId="a6">
    <w:basedOn w:val="TableNormald"/>
    <w:tblPr>
      <w:tblStyleRowBandSize w:val="1"/>
      <w:tblStyleColBandSize w:val="1"/>
      <w:tblCellMar>
        <w:left w:w="115" w:type="dxa"/>
        <w:right w:w="115" w:type="dxa"/>
      </w:tblCellMar>
    </w:tblPr>
  </w:style>
  <w:style w:type="table" w:customStyle="1" w:styleId="a7">
    <w:basedOn w:val="TableNormalc"/>
    <w:tblPr>
      <w:tblStyleRowBandSize w:val="1"/>
      <w:tblStyleColBandSize w:val="1"/>
      <w:tblCellMar>
        <w:left w:w="115" w:type="dxa"/>
        <w:right w:w="115" w:type="dxa"/>
      </w:tblCellMar>
    </w:tblPr>
  </w:style>
  <w:style w:type="table" w:customStyle="1" w:styleId="a8">
    <w:basedOn w:val="TableNormalc"/>
    <w:tblPr>
      <w:tblStyleRowBandSize w:val="1"/>
      <w:tblStyleColBandSize w:val="1"/>
      <w:tblCellMar>
        <w:left w:w="115" w:type="dxa"/>
        <w:right w:w="115" w:type="dxa"/>
      </w:tblCellMar>
    </w:tblPr>
  </w:style>
  <w:style w:type="table" w:customStyle="1" w:styleId="a9">
    <w:basedOn w:val="TableNormalb"/>
    <w:tblPr>
      <w:tblStyleRowBandSize w:val="1"/>
      <w:tblStyleColBandSize w:val="1"/>
      <w:tblCellMar>
        <w:left w:w="115" w:type="dxa"/>
        <w:right w:w="115" w:type="dxa"/>
      </w:tblCellMar>
    </w:tblPr>
  </w:style>
  <w:style w:type="table" w:customStyle="1" w:styleId="aa">
    <w:basedOn w:val="TableNormalb"/>
    <w:tblPr>
      <w:tblStyleRowBandSize w:val="1"/>
      <w:tblStyleColBandSize w:val="1"/>
      <w:tblCellMar>
        <w:left w:w="115" w:type="dxa"/>
        <w:right w:w="115" w:type="dxa"/>
      </w:tblCellMar>
    </w:tblPr>
  </w:style>
  <w:style w:type="table" w:customStyle="1" w:styleId="ab">
    <w:basedOn w:val="TableNormala"/>
    <w:tblPr>
      <w:tblStyleRowBandSize w:val="1"/>
      <w:tblStyleColBandSize w:val="1"/>
      <w:tblCellMar>
        <w:left w:w="115" w:type="dxa"/>
        <w:right w:w="115" w:type="dxa"/>
      </w:tblCellMar>
    </w:tblPr>
  </w:style>
  <w:style w:type="table" w:customStyle="1" w:styleId="ac">
    <w:basedOn w:val="TableNormala"/>
    <w:tblPr>
      <w:tblStyleRowBandSize w:val="1"/>
      <w:tblStyleColBandSize w:val="1"/>
      <w:tblCellMar>
        <w:left w:w="115" w:type="dxa"/>
        <w:right w:w="115" w:type="dxa"/>
      </w:tblCellMar>
    </w:tblPr>
  </w:style>
  <w:style w:type="character" w:customStyle="1" w:styleId="Mencinsinresolver4">
    <w:name w:val="Mención sin resolver4"/>
    <w:basedOn w:val="Fuentedeprrafopredeter"/>
    <w:uiPriority w:val="99"/>
    <w:semiHidden/>
    <w:unhideWhenUsed/>
    <w:rsid w:val="00850B2E"/>
    <w:rPr>
      <w:color w:val="605E5C"/>
      <w:shd w:val="clear" w:color="auto" w:fill="E1DFDD"/>
    </w:rPr>
  </w:style>
  <w:style w:type="table" w:customStyle="1" w:styleId="ad">
    <w:basedOn w:val="TableNormal9"/>
    <w:tblPr>
      <w:tblStyleRowBandSize w:val="1"/>
      <w:tblStyleColBandSize w:val="1"/>
      <w:tblCellMar>
        <w:left w:w="115" w:type="dxa"/>
        <w:right w:w="115" w:type="dxa"/>
      </w:tblCellMar>
    </w:tblPr>
  </w:style>
  <w:style w:type="table" w:customStyle="1" w:styleId="ae">
    <w:basedOn w:val="TableNormal9"/>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5"/>
    <w:tblPr>
      <w:tblStyleRowBandSize w:val="1"/>
      <w:tblStyleColBandSize w:val="1"/>
      <w:tblCellMar>
        <w:left w:w="115" w:type="dxa"/>
        <w:right w:w="115" w:type="dxa"/>
      </w:tblCellMar>
    </w:tblPr>
  </w:style>
  <w:style w:type="table" w:customStyle="1" w:styleId="af6">
    <w:basedOn w:val="TableNormal5"/>
    <w:tblPr>
      <w:tblStyleRowBandSize w:val="1"/>
      <w:tblStyleColBandSize w:val="1"/>
      <w:tblCellMar>
        <w:left w:w="115" w:type="dxa"/>
        <w:right w:w="115" w:type="dxa"/>
      </w:tblCellMar>
    </w:tblPr>
  </w:style>
  <w:style w:type="table" w:customStyle="1" w:styleId="af7">
    <w:basedOn w:val="TableNormal4"/>
    <w:tblPr>
      <w:tblStyleRowBandSize w:val="1"/>
      <w:tblStyleColBandSize w:val="1"/>
      <w:tblCellMar>
        <w:left w:w="115" w:type="dxa"/>
        <w:right w:w="115" w:type="dxa"/>
      </w:tblCellMar>
    </w:tblPr>
  </w:style>
  <w:style w:type="table" w:customStyle="1" w:styleId="af8">
    <w:basedOn w:val="TableNormal4"/>
    <w:tblPr>
      <w:tblStyleRowBandSize w:val="1"/>
      <w:tblStyleColBandSize w:val="1"/>
      <w:tblCellMar>
        <w:left w:w="115" w:type="dxa"/>
        <w:right w:w="115" w:type="dxa"/>
      </w:tblCellMar>
    </w:tblPr>
  </w:style>
  <w:style w:type="table" w:customStyle="1" w:styleId="af9">
    <w:basedOn w:val="TableNormal3"/>
    <w:tblPr>
      <w:tblStyleRowBandSize w:val="1"/>
      <w:tblStyleColBandSize w:val="1"/>
      <w:tblCellMar>
        <w:left w:w="115" w:type="dxa"/>
        <w:right w:w="115" w:type="dxa"/>
      </w:tblCellMar>
    </w:tblPr>
  </w:style>
  <w:style w:type="table" w:customStyle="1" w:styleId="afa">
    <w:basedOn w:val="TableNormal3"/>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2"/>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701pb9zCvzPGh7TQ1vG949ahw==">CgMxLjAyCGguZ2pkZ3hzMghoLnR5amN3dDIJaC4zMGowemxsMgloLjJzOGV5bzEyDWgucTlhNXBxc3Q2c28yCWguNGQzNG9nODIJaC4xZm9iOXRlMgloLjF0M2g1c2Y4AHIhMUpFbHp5ZHdHcVZSa3JOQlp4SkNUc3RvT1c4Wk1ldUlv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7274</Words>
  <Characters>40007</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dc:creator>
  <cp:lastModifiedBy>Maricela Villagómez Martínez</cp:lastModifiedBy>
  <cp:revision>2</cp:revision>
  <cp:lastPrinted>2025-03-14T17:08:00Z</cp:lastPrinted>
  <dcterms:created xsi:type="dcterms:W3CDTF">2025-04-01T20:50:00Z</dcterms:created>
  <dcterms:modified xsi:type="dcterms:W3CDTF">2025-04-01T20:50:00Z</dcterms:modified>
</cp:coreProperties>
</file>