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DDF1"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Pr>
          <w:rFonts w:ascii="Palatino Linotype" w:eastAsia="Times New Roman" w:hAnsi="Palatino Linotype" w:cs="Palatino Linotype"/>
          <w:color w:val="000000"/>
          <w:sz w:val="24"/>
          <w:szCs w:val="24"/>
          <w:lang w:val="es-ES_tradnl" w:eastAsia="es-MX"/>
        </w:rPr>
        <w:t>veintiséis de marzo de dos mil veinticinco</w:t>
      </w:r>
      <w:r w:rsidRPr="00CA75DE">
        <w:rPr>
          <w:rFonts w:ascii="Palatino Linotype" w:eastAsia="Times New Roman" w:hAnsi="Palatino Linotype" w:cs="Palatino Linotype"/>
          <w:color w:val="000000"/>
          <w:sz w:val="24"/>
          <w:szCs w:val="24"/>
          <w:lang w:val="es-ES_tradnl" w:eastAsia="es-MX"/>
        </w:rPr>
        <w:t>.</w:t>
      </w:r>
    </w:p>
    <w:p w14:paraId="0CA53B00"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9D51750" w14:textId="3874BCBE" w:rsidR="00BB20B1"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sidRPr="00BB20B1">
        <w:rPr>
          <w:rFonts w:ascii="Palatino Linotype" w:eastAsia="Times New Roman" w:hAnsi="Palatino Linotype" w:cs="Palatino Linotype"/>
          <w:b/>
          <w:color w:val="000000"/>
          <w:sz w:val="24"/>
          <w:szCs w:val="24"/>
          <w:lang w:val="es-ES_tradnl" w:eastAsia="es-MX"/>
        </w:rPr>
        <w:t>00905/</w:t>
      </w:r>
      <w:r>
        <w:rPr>
          <w:rFonts w:ascii="Palatino Linotype" w:eastAsia="Times New Roman" w:hAnsi="Palatino Linotype" w:cs="Palatino Linotype"/>
          <w:b/>
          <w:color w:val="000000"/>
          <w:sz w:val="24"/>
          <w:szCs w:val="24"/>
          <w:lang w:val="es-ES_tradnl" w:eastAsia="es-MX"/>
        </w:rPr>
        <w:t>INFOEM/IP/RR/2025</w:t>
      </w:r>
      <w:bookmarkEnd w:id="0"/>
      <w:r>
        <w:rPr>
          <w:rFonts w:ascii="Palatino Linotype" w:eastAsia="Times New Roman" w:hAnsi="Palatino Linotype" w:cs="Palatino Linotype"/>
          <w:color w:val="000000"/>
          <w:sz w:val="24"/>
          <w:szCs w:val="24"/>
          <w:lang w:val="es-ES_tradnl" w:eastAsia="es-MX"/>
        </w:rPr>
        <w:t>, interpuesto por</w:t>
      </w:r>
      <w:r>
        <w:rPr>
          <w:rFonts w:ascii="Palatino Linotype" w:eastAsia="Times New Roman" w:hAnsi="Palatino Linotype" w:cs="Palatino Linotype"/>
          <w:b/>
          <w:bCs/>
          <w:color w:val="000000"/>
          <w:sz w:val="24"/>
          <w:szCs w:val="24"/>
          <w:lang w:val="es-ES_tradnl" w:eastAsia="es-MX"/>
        </w:rPr>
        <w:t xml:space="preserve"> una persona que n</w:t>
      </w:r>
      <w:r w:rsidR="00A73D3D">
        <w:rPr>
          <w:rFonts w:ascii="Palatino Linotype" w:eastAsia="Times New Roman" w:hAnsi="Palatino Linotype" w:cs="Palatino Linotype"/>
          <w:b/>
          <w:bCs/>
          <w:color w:val="000000"/>
          <w:sz w:val="24"/>
          <w:szCs w:val="24"/>
          <w:lang w:val="es-ES_tradnl" w:eastAsia="es-MX"/>
        </w:rPr>
        <w:t>o proporción nombre o seudónimo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Pr>
          <w:rFonts w:ascii="Palatino Linotype" w:hAnsi="Palatino Linotype"/>
          <w:b/>
          <w:bCs/>
          <w:color w:val="000000"/>
          <w:sz w:val="24"/>
          <w:szCs w:val="24"/>
        </w:rPr>
        <w:t xml:space="preserve">Ayuntamiento de </w:t>
      </w:r>
      <w:proofErr w:type="spellStart"/>
      <w:r>
        <w:rPr>
          <w:rFonts w:ascii="Palatino Linotype" w:hAnsi="Palatino Linotype"/>
          <w:b/>
          <w:bCs/>
          <w:color w:val="000000"/>
          <w:sz w:val="24"/>
          <w:szCs w:val="24"/>
        </w:rPr>
        <w:t>Calimaya</w:t>
      </w:r>
      <w:proofErr w:type="spellEnd"/>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3EEC2743"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4AB0EF5" w14:textId="77777777" w:rsidR="00BB20B1" w:rsidRPr="00F444C4" w:rsidRDefault="00BB20B1" w:rsidP="00BB20B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16989C6"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8D73052"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326586E4"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dieciséis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BB6139">
        <w:rPr>
          <w:rFonts w:ascii="Verdana" w:hAnsi="Verdana"/>
          <w:b/>
          <w:bCs/>
          <w:color w:val="FF0000"/>
        </w:rPr>
        <w:t xml:space="preserve"> </w:t>
      </w:r>
      <w:r w:rsidRPr="00BB20B1">
        <w:rPr>
          <w:rFonts w:ascii="Palatino Linotype" w:hAnsi="Palatino Linotype"/>
          <w:b/>
          <w:bCs/>
          <w:sz w:val="24"/>
          <w:szCs w:val="24"/>
        </w:rPr>
        <w:t>00050/CALIMAYA/IP/2025</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7BF4AF24" w14:textId="77777777" w:rsidR="00BB20B1" w:rsidRPr="00394BFF" w:rsidRDefault="00BB20B1" w:rsidP="00BB20B1">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4F001DE" w14:textId="77777777" w:rsidR="00BB20B1" w:rsidRPr="00394BFF" w:rsidRDefault="00BB20B1" w:rsidP="00BB20B1">
      <w:pPr>
        <w:spacing w:after="0" w:line="360" w:lineRule="auto"/>
        <w:ind w:left="567" w:right="567"/>
        <w:contextualSpacing/>
        <w:jc w:val="both"/>
        <w:rPr>
          <w:rFonts w:ascii="Palatino Linotype" w:hAnsi="Palatino Linotype"/>
          <w:i/>
          <w:color w:val="000000"/>
          <w:sz w:val="24"/>
          <w:szCs w:val="24"/>
        </w:rPr>
      </w:pPr>
      <w:r w:rsidRPr="00394BFF">
        <w:rPr>
          <w:rFonts w:ascii="Palatino Linotype" w:hAnsi="Palatino Linotype"/>
          <w:i/>
          <w:color w:val="000000"/>
          <w:sz w:val="24"/>
          <w:szCs w:val="24"/>
        </w:rPr>
        <w:t xml:space="preserve"> “</w:t>
      </w:r>
      <w:r w:rsidRPr="00BB20B1">
        <w:rPr>
          <w:rFonts w:ascii="Palatino Linotype" w:hAnsi="Palatino Linotype"/>
          <w:i/>
          <w:color w:val="000000"/>
          <w:sz w:val="24"/>
          <w:szCs w:val="24"/>
        </w:rPr>
        <w:t xml:space="preserve">Enviado un cordial y respetuoso saludo conforme a derecho al acceso a la información pública solicito los estados financieros del ayuntamiento de </w:t>
      </w:r>
      <w:proofErr w:type="spellStart"/>
      <w:r w:rsidRPr="00BB20B1">
        <w:rPr>
          <w:rFonts w:ascii="Palatino Linotype" w:hAnsi="Palatino Linotype"/>
          <w:i/>
          <w:color w:val="000000"/>
          <w:sz w:val="24"/>
          <w:szCs w:val="24"/>
        </w:rPr>
        <w:t>calimaya</w:t>
      </w:r>
      <w:proofErr w:type="spellEnd"/>
      <w:r w:rsidRPr="00BB20B1">
        <w:rPr>
          <w:rFonts w:ascii="Palatino Linotype" w:hAnsi="Palatino Linotype"/>
          <w:i/>
          <w:color w:val="000000"/>
          <w:sz w:val="24"/>
          <w:szCs w:val="24"/>
        </w:rPr>
        <w:t xml:space="preserve"> del año 2015 a 2024 con especificaciones de deuda pública, así como de laudos labores desde 2015 a 2024</w:t>
      </w:r>
      <w:r w:rsidRPr="00F222E0">
        <w:rPr>
          <w:rFonts w:ascii="Palatino Linotype" w:hAnsi="Palatino Linotype"/>
          <w:i/>
          <w:color w:val="000000"/>
          <w:sz w:val="24"/>
          <w:szCs w:val="24"/>
          <w:lang w:val="es-ES_tradnl"/>
        </w:rPr>
        <w:t xml:space="preserve"> </w:t>
      </w:r>
      <w:r>
        <w:rPr>
          <w:rFonts w:ascii="Palatino Linotype" w:hAnsi="Palatino Linotype"/>
          <w:i/>
          <w:color w:val="000000"/>
          <w:sz w:val="24"/>
          <w:szCs w:val="24"/>
          <w:lang w:val="es-ES_tradnl"/>
        </w:rPr>
        <w:t>“</w:t>
      </w:r>
      <w:r w:rsidRPr="00F444C4">
        <w:rPr>
          <w:rFonts w:ascii="Palatino Linotype" w:eastAsia="Times New Roman" w:hAnsi="Palatino Linotype" w:cs="Palatino Linotype"/>
          <w:i/>
          <w:color w:val="000000"/>
          <w:szCs w:val="24"/>
          <w:lang w:val="es-ES_tradnl" w:eastAsia="es-MX"/>
        </w:rPr>
        <w:t>(Sic)</w:t>
      </w:r>
    </w:p>
    <w:p w14:paraId="3684A35A"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97B775C" w14:textId="77777777" w:rsidR="00BB20B1" w:rsidRPr="00BB20B1" w:rsidRDefault="00BB20B1" w:rsidP="00BB20B1">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09EB8B9"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542162CE"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cuatro de febrero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1FD84B42" w14:textId="77777777" w:rsidR="00BB20B1" w:rsidRDefault="00BB20B1" w:rsidP="00BB20B1">
      <w:pPr>
        <w:spacing w:after="0" w:line="360" w:lineRule="auto"/>
        <w:contextualSpacing/>
        <w:jc w:val="both"/>
        <w:rPr>
          <w:rFonts w:ascii="Palatino Linotype" w:eastAsia="Times New Roman" w:hAnsi="Palatino Linotype" w:cs="Palatino Linotype"/>
          <w:i/>
          <w:color w:val="000000"/>
          <w:lang w:val="es-ES_tradnl" w:eastAsia="es-MX"/>
        </w:rPr>
      </w:pPr>
    </w:p>
    <w:tbl>
      <w:tblPr>
        <w:tblW w:w="8627" w:type="dxa"/>
        <w:jc w:val="center"/>
        <w:tblCellSpacing w:w="0" w:type="dxa"/>
        <w:tblCellMar>
          <w:left w:w="0" w:type="dxa"/>
          <w:right w:w="0" w:type="dxa"/>
        </w:tblCellMar>
        <w:tblLook w:val="04A0" w:firstRow="1" w:lastRow="0" w:firstColumn="1" w:lastColumn="0" w:noHBand="0" w:noVBand="1"/>
      </w:tblPr>
      <w:tblGrid>
        <w:gridCol w:w="8627"/>
      </w:tblGrid>
      <w:tr w:rsidR="00BB20B1" w:rsidRPr="00BB20B1" w14:paraId="768F3C87" w14:textId="77777777" w:rsidTr="00BB20B1">
        <w:trPr>
          <w:trHeight w:val="295"/>
          <w:tblCellSpacing w:w="0" w:type="dxa"/>
          <w:jc w:val="center"/>
        </w:trPr>
        <w:tc>
          <w:tcPr>
            <w:tcW w:w="0" w:type="auto"/>
            <w:vAlign w:val="center"/>
            <w:hideMark/>
          </w:tcPr>
          <w:p w14:paraId="47CBF553" w14:textId="77777777" w:rsidR="00BB20B1" w:rsidRPr="00BB20B1" w:rsidRDefault="00BB20B1" w:rsidP="00BB20B1">
            <w:pPr>
              <w:spacing w:after="0" w:line="240" w:lineRule="auto"/>
              <w:jc w:val="right"/>
              <w:rPr>
                <w:rFonts w:ascii="Palatino Linotype" w:eastAsia="Times New Roman" w:hAnsi="Palatino Linotype" w:cs="Times New Roman"/>
                <w:i/>
                <w:lang w:eastAsia="es-MX"/>
              </w:rPr>
            </w:pPr>
            <w:proofErr w:type="spellStart"/>
            <w:r w:rsidRPr="00BB20B1">
              <w:rPr>
                <w:rFonts w:ascii="Palatino Linotype" w:eastAsia="Times New Roman" w:hAnsi="Palatino Linotype" w:cs="Times New Roman"/>
                <w:i/>
                <w:lang w:eastAsia="es-MX"/>
              </w:rPr>
              <w:t>Calimaya</w:t>
            </w:r>
            <w:proofErr w:type="spellEnd"/>
            <w:r w:rsidRPr="00BB20B1">
              <w:rPr>
                <w:rFonts w:ascii="Palatino Linotype" w:eastAsia="Times New Roman" w:hAnsi="Palatino Linotype" w:cs="Times New Roman"/>
                <w:i/>
                <w:lang w:eastAsia="es-MX"/>
              </w:rPr>
              <w:t>, México a 04 de Febrero de 2025</w:t>
            </w:r>
          </w:p>
        </w:tc>
      </w:tr>
      <w:tr w:rsidR="00BB20B1" w:rsidRPr="00BB20B1" w14:paraId="7D201F7A" w14:textId="77777777" w:rsidTr="00BB20B1">
        <w:trPr>
          <w:trHeight w:val="295"/>
          <w:tblCellSpacing w:w="0" w:type="dxa"/>
          <w:jc w:val="center"/>
        </w:trPr>
        <w:tc>
          <w:tcPr>
            <w:tcW w:w="0" w:type="auto"/>
            <w:vAlign w:val="center"/>
            <w:hideMark/>
          </w:tcPr>
          <w:p w14:paraId="7011FCE7" w14:textId="77777777" w:rsidR="00BB20B1" w:rsidRPr="00BB20B1" w:rsidRDefault="00BB20B1" w:rsidP="00BB20B1">
            <w:pPr>
              <w:spacing w:after="0" w:line="240" w:lineRule="auto"/>
              <w:jc w:val="right"/>
              <w:rPr>
                <w:rFonts w:ascii="Palatino Linotype" w:eastAsia="Times New Roman" w:hAnsi="Palatino Linotype" w:cs="Times New Roman"/>
                <w:i/>
                <w:lang w:eastAsia="es-MX"/>
              </w:rPr>
            </w:pPr>
            <w:r w:rsidRPr="00BB20B1">
              <w:rPr>
                <w:rFonts w:ascii="Palatino Linotype" w:eastAsia="Times New Roman" w:hAnsi="Palatino Linotype" w:cs="Times New Roman"/>
                <w:i/>
                <w:lang w:eastAsia="es-MX"/>
              </w:rPr>
              <w:t>Nombre del solicitante: C. Solicitante</w:t>
            </w:r>
          </w:p>
        </w:tc>
      </w:tr>
      <w:tr w:rsidR="00BB20B1" w:rsidRPr="00BB20B1" w14:paraId="3043A5B0" w14:textId="77777777" w:rsidTr="00BB20B1">
        <w:trPr>
          <w:trHeight w:val="295"/>
          <w:tblCellSpacing w:w="0" w:type="dxa"/>
          <w:jc w:val="center"/>
        </w:trPr>
        <w:tc>
          <w:tcPr>
            <w:tcW w:w="0" w:type="auto"/>
            <w:vAlign w:val="center"/>
            <w:hideMark/>
          </w:tcPr>
          <w:p w14:paraId="54648B5F" w14:textId="77777777" w:rsidR="00BB20B1" w:rsidRPr="00BB20B1" w:rsidRDefault="00BB20B1" w:rsidP="00BB20B1">
            <w:pPr>
              <w:spacing w:after="0" w:line="240" w:lineRule="auto"/>
              <w:jc w:val="right"/>
              <w:rPr>
                <w:rFonts w:ascii="Palatino Linotype" w:eastAsia="Times New Roman" w:hAnsi="Palatino Linotype" w:cs="Times New Roman"/>
                <w:i/>
                <w:lang w:eastAsia="es-MX"/>
              </w:rPr>
            </w:pPr>
            <w:r w:rsidRPr="00BB20B1">
              <w:rPr>
                <w:rFonts w:ascii="Palatino Linotype" w:eastAsia="Times New Roman" w:hAnsi="Palatino Linotype" w:cs="Times New Roman"/>
                <w:i/>
                <w:lang w:eastAsia="es-MX"/>
              </w:rPr>
              <w:t>Folio de la solicitud: 00050/CALIMAYA/IP/2025</w:t>
            </w:r>
          </w:p>
        </w:tc>
      </w:tr>
      <w:tr w:rsidR="00BB20B1" w:rsidRPr="00BB20B1" w14:paraId="38446EB4" w14:textId="77777777" w:rsidTr="00BB20B1">
        <w:trPr>
          <w:trHeight w:val="443"/>
          <w:tblCellSpacing w:w="0" w:type="dxa"/>
          <w:jc w:val="center"/>
        </w:trPr>
        <w:tc>
          <w:tcPr>
            <w:tcW w:w="0" w:type="auto"/>
            <w:vAlign w:val="center"/>
            <w:hideMark/>
          </w:tcPr>
          <w:p w14:paraId="2E38132D" w14:textId="77777777" w:rsidR="00BB20B1" w:rsidRPr="00BB20B1" w:rsidRDefault="00BB20B1" w:rsidP="00BB20B1">
            <w:pPr>
              <w:spacing w:after="0" w:line="240" w:lineRule="auto"/>
              <w:jc w:val="right"/>
              <w:rPr>
                <w:rFonts w:ascii="Palatino Linotype" w:eastAsia="Times New Roman" w:hAnsi="Palatino Linotype" w:cs="Times New Roman"/>
                <w:i/>
                <w:lang w:eastAsia="es-MX"/>
              </w:rPr>
            </w:pPr>
          </w:p>
        </w:tc>
      </w:tr>
      <w:tr w:rsidR="00BB20B1" w:rsidRPr="00BB20B1" w14:paraId="25CFD99E" w14:textId="77777777" w:rsidTr="00BB20B1">
        <w:trPr>
          <w:trHeight w:val="147"/>
          <w:tblCellSpacing w:w="0" w:type="dxa"/>
          <w:jc w:val="center"/>
        </w:trPr>
        <w:tc>
          <w:tcPr>
            <w:tcW w:w="0" w:type="auto"/>
            <w:vAlign w:val="center"/>
            <w:hideMark/>
          </w:tcPr>
          <w:p w14:paraId="3457C290" w14:textId="77777777" w:rsidR="00BB20B1" w:rsidRPr="00BB20B1" w:rsidRDefault="00BB20B1" w:rsidP="00BB20B1">
            <w:pPr>
              <w:spacing w:after="0" w:line="240" w:lineRule="auto"/>
              <w:jc w:val="both"/>
              <w:rPr>
                <w:rFonts w:ascii="Palatino Linotype" w:eastAsia="Times New Roman" w:hAnsi="Palatino Linotype" w:cs="Times New Roman"/>
                <w:i/>
                <w:lang w:eastAsia="es-MX"/>
              </w:rPr>
            </w:pPr>
            <w:r w:rsidRPr="00BB20B1">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31DC4AEE" w14:textId="77777777" w:rsidR="00BB20B1" w:rsidRPr="00A47ACD" w:rsidRDefault="00BB20B1" w:rsidP="00BB20B1">
      <w:pPr>
        <w:spacing w:after="0" w:line="360" w:lineRule="auto"/>
        <w:contextualSpacing/>
        <w:jc w:val="both"/>
        <w:rPr>
          <w:rFonts w:ascii="Palatino Linotype" w:eastAsia="Times New Roman" w:hAnsi="Palatino Linotype" w:cs="Palatino Linotype"/>
          <w:i/>
          <w:color w:val="000000"/>
          <w:lang w:val="es-ES_tradnl" w:eastAsia="es-MX"/>
        </w:rPr>
      </w:pPr>
    </w:p>
    <w:p w14:paraId="6B335FB4" w14:textId="77777777" w:rsidR="00BB20B1" w:rsidRPr="00A47ACD" w:rsidRDefault="00BB20B1" w:rsidP="00BB20B1">
      <w:pPr>
        <w:spacing w:after="0" w:line="360" w:lineRule="auto"/>
        <w:contextualSpacing/>
        <w:jc w:val="both"/>
        <w:rPr>
          <w:rFonts w:ascii="Palatino Linotype" w:eastAsia="Times New Roman" w:hAnsi="Palatino Linotype" w:cs="Palatino Linotype"/>
          <w:i/>
          <w:color w:val="000000"/>
          <w:lang w:val="es-ES_tradnl" w:eastAsia="es-MX"/>
        </w:rPr>
      </w:pPr>
    </w:p>
    <w:p w14:paraId="2CEB7507" w14:textId="77777777" w:rsidR="00BB20B1" w:rsidRPr="00730843" w:rsidRDefault="00BB20B1" w:rsidP="00BB20B1">
      <w:pPr>
        <w:spacing w:after="0" w:line="360" w:lineRule="auto"/>
        <w:contextualSpacing/>
        <w:jc w:val="both"/>
        <w:rPr>
          <w:rFonts w:ascii="Palatino Linotype" w:hAnsi="Palatino Linotype" w:cs="Arial"/>
          <w:b/>
          <w:bCs/>
          <w:i/>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los documentos denominados </w:t>
      </w:r>
      <w:r w:rsidRPr="00394BFF">
        <w:rPr>
          <w:rFonts w:ascii="Palatino Linotype" w:eastAsia="Times New Roman" w:hAnsi="Palatino Linotype" w:cs="Palatino Linotype"/>
          <w:i/>
          <w:sz w:val="24"/>
          <w:szCs w:val="24"/>
          <w:lang w:val="es-ES_tradnl" w:eastAsia="es-MX"/>
        </w:rPr>
        <w:t>“</w:t>
      </w:r>
      <w:r w:rsidRPr="00BB20B1">
        <w:rPr>
          <w:rFonts w:ascii="Palatino Linotype" w:hAnsi="Palatino Linotype" w:cs="Arial"/>
          <w:b/>
          <w:bCs/>
          <w:i/>
          <w:sz w:val="24"/>
          <w:szCs w:val="24"/>
        </w:rPr>
        <w:t>2016.pdf</w:t>
      </w:r>
      <w:r>
        <w:rPr>
          <w:rFonts w:ascii="Palatino Linotype" w:hAnsi="Palatino Linotype" w:cs="Arial"/>
          <w:b/>
          <w:bCs/>
          <w:i/>
          <w:sz w:val="24"/>
          <w:szCs w:val="24"/>
        </w:rPr>
        <w:t>”, “</w:t>
      </w:r>
      <w:r w:rsidRPr="00BB20B1">
        <w:rPr>
          <w:rFonts w:ascii="Palatino Linotype" w:hAnsi="Palatino Linotype" w:cs="Arial"/>
          <w:b/>
          <w:bCs/>
          <w:i/>
          <w:sz w:val="24"/>
          <w:szCs w:val="24"/>
        </w:rPr>
        <w:t>2015.pdf</w:t>
      </w:r>
      <w:r>
        <w:rPr>
          <w:rFonts w:ascii="Palatino Linotype" w:hAnsi="Palatino Linotype" w:cs="Arial"/>
          <w:b/>
          <w:bCs/>
          <w:i/>
          <w:sz w:val="24"/>
          <w:szCs w:val="24"/>
        </w:rPr>
        <w:t>”, “</w:t>
      </w:r>
      <w:r w:rsidRPr="00BB20B1">
        <w:rPr>
          <w:rFonts w:ascii="Palatino Linotype" w:hAnsi="Palatino Linotype" w:cs="Arial"/>
          <w:b/>
          <w:bCs/>
          <w:i/>
          <w:sz w:val="24"/>
          <w:szCs w:val="24"/>
        </w:rPr>
        <w:t>00050.pdf</w:t>
      </w:r>
      <w:r w:rsidR="00730843">
        <w:rPr>
          <w:rFonts w:ascii="Palatino Linotype" w:hAnsi="Palatino Linotype" w:cs="Arial"/>
          <w:b/>
          <w:bCs/>
          <w:i/>
          <w:sz w:val="24"/>
          <w:szCs w:val="24"/>
        </w:rPr>
        <w:t>” y “</w:t>
      </w:r>
      <w:r w:rsidRPr="00BB20B1">
        <w:rPr>
          <w:rFonts w:ascii="Palatino Linotype" w:hAnsi="Palatino Linotype" w:cs="Arial"/>
          <w:b/>
          <w:bCs/>
          <w:i/>
          <w:sz w:val="24"/>
          <w:szCs w:val="24"/>
        </w:rPr>
        <w:t>Scan2025-02-04_174624.pdf</w:t>
      </w:r>
      <w:r w:rsidR="00730843">
        <w:rPr>
          <w:rFonts w:ascii="Palatino Linotype" w:hAnsi="Palatino Linotype" w:cs="Arial"/>
          <w:b/>
          <w:bCs/>
          <w:i/>
          <w:sz w:val="24"/>
          <w:szCs w:val="24"/>
        </w:rPr>
        <w:t xml:space="preserve">” </w:t>
      </w:r>
      <w:r w:rsidR="00730843">
        <w:rPr>
          <w:rFonts w:ascii="Palatino Linotype" w:hAnsi="Palatino Linotype" w:cs="Arial"/>
          <w:bCs/>
          <w:sz w:val="24"/>
          <w:szCs w:val="24"/>
        </w:rPr>
        <w:t xml:space="preserve">los </w:t>
      </w:r>
      <w:r>
        <w:rPr>
          <w:rFonts w:ascii="Palatino Linotype" w:eastAsia="Times New Roman" w:hAnsi="Palatino Linotype" w:cs="Palatino Linotype"/>
          <w:color w:val="000000"/>
          <w:sz w:val="24"/>
          <w:szCs w:val="24"/>
          <w:lang w:val="es-ES_tradnl" w:eastAsia="es-MX"/>
        </w:rPr>
        <w:t>cual</w:t>
      </w:r>
      <w:r w:rsidR="00730843">
        <w:rPr>
          <w:rFonts w:ascii="Palatino Linotype" w:eastAsia="Times New Roman" w:hAnsi="Palatino Linotype" w:cs="Palatino Linotype"/>
          <w:color w:val="000000"/>
          <w:sz w:val="24"/>
          <w:szCs w:val="24"/>
          <w:lang w:val="es-ES_tradnl" w:eastAsia="es-MX"/>
        </w:rPr>
        <w:t>es</w:t>
      </w:r>
      <w:r>
        <w:rPr>
          <w:rFonts w:ascii="Palatino Linotype" w:eastAsia="Times New Roman" w:hAnsi="Palatino Linotype" w:cs="Palatino Linotype"/>
          <w:color w:val="000000"/>
          <w:sz w:val="24"/>
          <w:szCs w:val="24"/>
          <w:lang w:val="es-ES_tradnl" w:eastAsia="es-MX"/>
        </w:rPr>
        <w:t xml:space="preserve"> no se reproduce</w:t>
      </w:r>
      <w:r w:rsidR="00730843">
        <w:rPr>
          <w:rFonts w:ascii="Palatino Linotype" w:eastAsia="Times New Roman" w:hAnsi="Palatino Linotype" w:cs="Palatino Linotype"/>
          <w:color w:val="000000"/>
          <w:sz w:val="24"/>
          <w:szCs w:val="24"/>
          <w:lang w:val="es-ES_tradnl" w:eastAsia="es-MX"/>
        </w:rPr>
        <w:t>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5FF5521A" w14:textId="77777777" w:rsidR="00BB20B1" w:rsidRPr="00C069FB" w:rsidRDefault="00BB20B1" w:rsidP="00BB20B1">
      <w:pPr>
        <w:spacing w:after="0" w:line="360" w:lineRule="auto"/>
        <w:contextualSpacing/>
        <w:jc w:val="both"/>
        <w:rPr>
          <w:rFonts w:ascii="Palatino Linotype" w:hAnsi="Palatino Linotype"/>
          <w:sz w:val="24"/>
          <w:szCs w:val="24"/>
        </w:rPr>
      </w:pPr>
    </w:p>
    <w:p w14:paraId="615B9100"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10D699E0"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730843">
        <w:rPr>
          <w:rFonts w:ascii="Palatino Linotype" w:eastAsia="Times New Roman" w:hAnsi="Palatino Linotype" w:cs="Palatino Linotype"/>
          <w:color w:val="000000"/>
          <w:sz w:val="24"/>
          <w:szCs w:val="24"/>
          <w:lang w:val="es-ES_tradnl" w:eastAsia="es-MX"/>
        </w:rPr>
        <w:t>diez</w:t>
      </w:r>
      <w:r>
        <w:rPr>
          <w:rFonts w:ascii="Palatino Linotype" w:eastAsia="Times New Roman" w:hAnsi="Palatino Linotype" w:cs="Palatino Linotype"/>
          <w:color w:val="000000"/>
          <w:sz w:val="24"/>
          <w:szCs w:val="24"/>
          <w:lang w:val="es-ES_tradnl" w:eastAsia="es-MX"/>
        </w:rPr>
        <w:t xml:space="preserve"> de febrero de dos mil veinticinco,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sidR="00730843">
        <w:rPr>
          <w:rFonts w:ascii="Palatino Linotype" w:eastAsia="Times New Roman" w:hAnsi="Palatino Linotype" w:cs="Palatino Linotype"/>
          <w:b/>
          <w:color w:val="000000"/>
          <w:sz w:val="24"/>
          <w:szCs w:val="24"/>
          <w:lang w:val="es-ES_tradnl" w:eastAsia="es-MX"/>
        </w:rPr>
        <w:t>00905</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13D9D6EE" w14:textId="77777777" w:rsidR="00730843" w:rsidRDefault="00730843" w:rsidP="00730843">
      <w:pPr>
        <w:ind w:left="567"/>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271736EA" w14:textId="77777777" w:rsidR="00730843" w:rsidRPr="00730843" w:rsidRDefault="00730843" w:rsidP="00730843">
      <w:pPr>
        <w:ind w:left="567"/>
        <w:jc w:val="both"/>
        <w:rPr>
          <w:rFonts w:ascii="Palatino Linotype" w:eastAsia="Times New Roman" w:hAnsi="Palatino Linotype" w:cs="Times New Roman"/>
          <w:i/>
          <w:sz w:val="24"/>
          <w:szCs w:val="24"/>
          <w:lang w:eastAsia="es-MX"/>
        </w:rPr>
      </w:pPr>
      <w:r w:rsidRPr="00730843">
        <w:rPr>
          <w:rFonts w:ascii="Palatino Linotype" w:hAnsi="Palatino Linotype"/>
          <w:i/>
          <w:color w:val="000000"/>
          <w:sz w:val="24"/>
          <w:szCs w:val="24"/>
        </w:rPr>
        <w:t>“Se entregan unas links que no abren y no es la información solicitada.”</w:t>
      </w:r>
      <w:r w:rsidRPr="00BB6139">
        <w:rPr>
          <w:rFonts w:ascii="Palatino Linotype" w:hAnsi="Palatino Linotype"/>
          <w:i/>
          <w:color w:val="000000"/>
          <w:sz w:val="24"/>
          <w:szCs w:val="24"/>
        </w:rPr>
        <w:t xml:space="preserve"> </w:t>
      </w:r>
      <w:r w:rsidRPr="00BB6139">
        <w:rPr>
          <w:rFonts w:ascii="Palatino Linotype" w:eastAsia="Times New Roman" w:hAnsi="Palatino Linotype" w:cs="Palatino Linotype"/>
          <w:i/>
          <w:color w:val="000000"/>
          <w:sz w:val="24"/>
          <w:szCs w:val="24"/>
          <w:lang w:val="es-ES_tradnl" w:eastAsia="es-MX"/>
        </w:rPr>
        <w:t>(Sic)</w:t>
      </w:r>
    </w:p>
    <w:p w14:paraId="40A2694D" w14:textId="77777777" w:rsidR="00BB20B1" w:rsidRDefault="00BB20B1" w:rsidP="00BB20B1">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lastRenderedPageBreak/>
        <w:t xml:space="preserve"> </w:t>
      </w:r>
      <w:r w:rsidRPr="00F444C4">
        <w:rPr>
          <w:rFonts w:ascii="Palatino Linotype" w:eastAsia="Times New Roman" w:hAnsi="Palatino Linotype" w:cs="Palatino Linotype"/>
          <w:b/>
          <w:sz w:val="24"/>
          <w:lang w:val="es-ES_tradnl" w:eastAsia="es-MX"/>
        </w:rPr>
        <w:t>Razones o Motivos de Inconformidad</w:t>
      </w:r>
    </w:p>
    <w:p w14:paraId="31AE94F4" w14:textId="77777777" w:rsidR="00730843" w:rsidRPr="00730843" w:rsidRDefault="00730843" w:rsidP="00BB20B1">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Pr>
          <w:rFonts w:ascii="Palatino Linotype" w:hAnsi="Palatino Linotype"/>
          <w:i/>
          <w:color w:val="000000"/>
          <w:sz w:val="24"/>
          <w:szCs w:val="24"/>
        </w:rPr>
        <w:t>“</w:t>
      </w:r>
      <w:r w:rsidRPr="00730843">
        <w:rPr>
          <w:rFonts w:ascii="Palatino Linotype" w:hAnsi="Palatino Linotype"/>
          <w:i/>
          <w:color w:val="000000"/>
          <w:sz w:val="24"/>
          <w:szCs w:val="24"/>
        </w:rPr>
        <w:t>Una negativa a la Información Pública ya que no abren los link</w:t>
      </w:r>
      <w:r>
        <w:rPr>
          <w:rFonts w:ascii="Palatino Linotype" w:hAnsi="Palatino Linotype"/>
          <w:i/>
          <w:color w:val="000000"/>
          <w:sz w:val="24"/>
          <w:szCs w:val="24"/>
        </w:rPr>
        <w:t xml:space="preserve">” </w:t>
      </w:r>
      <w:r w:rsidRPr="00BB6139">
        <w:rPr>
          <w:rFonts w:ascii="Palatino Linotype" w:eastAsia="Times New Roman" w:hAnsi="Palatino Linotype" w:cs="Palatino Linotype"/>
          <w:i/>
          <w:color w:val="000000"/>
          <w:sz w:val="24"/>
          <w:szCs w:val="24"/>
          <w:lang w:val="es-ES_tradnl" w:eastAsia="es-MX"/>
        </w:rPr>
        <w:t>(Sic)</w:t>
      </w:r>
    </w:p>
    <w:p w14:paraId="11951049" w14:textId="77777777" w:rsidR="00BB20B1" w:rsidRDefault="00BB20B1" w:rsidP="00BB20B1">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1E9E8A7A" w14:textId="77777777" w:rsidR="00BB20B1" w:rsidRDefault="00BB20B1" w:rsidP="00BB20B1">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43332883" w14:textId="77777777" w:rsidR="00BB20B1" w:rsidRPr="008033E1" w:rsidRDefault="00BB20B1" w:rsidP="00BB20B1">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CA5FA4A"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267FB46A"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730843">
        <w:rPr>
          <w:rFonts w:ascii="Palatino Linotype" w:eastAsia="Times New Roman" w:hAnsi="Palatino Linotype" w:cs="Palatino Linotype"/>
          <w:b/>
          <w:color w:val="000000"/>
          <w:sz w:val="24"/>
          <w:szCs w:val="24"/>
          <w:lang w:val="es-ES_tradnl" w:eastAsia="es-MX"/>
        </w:rPr>
        <w:t xml:space="preserve"> veinticuatro</w:t>
      </w:r>
      <w:r>
        <w:rPr>
          <w:rFonts w:ascii="Palatino Linotype" w:eastAsia="Times New Roman" w:hAnsi="Palatino Linotype" w:cs="Palatino Linotype"/>
          <w:b/>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C38FD95"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650404" w14:textId="77777777" w:rsidR="00BB20B1" w:rsidRPr="00633048"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1B57BA7D" w14:textId="77777777" w:rsidR="00BB20B1" w:rsidRPr="008562C9" w:rsidRDefault="00BB20B1" w:rsidP="00BB20B1">
      <w:pPr>
        <w:spacing w:after="0" w:line="360" w:lineRule="auto"/>
        <w:contextualSpacing/>
        <w:jc w:val="both"/>
        <w:rPr>
          <w:rFonts w:ascii="Palatino Linotype" w:hAnsi="Palatino Linotype"/>
          <w:sz w:val="24"/>
          <w:szCs w:val="24"/>
        </w:rPr>
      </w:pPr>
      <w:r w:rsidRPr="00633048">
        <w:rPr>
          <w:rFonts w:ascii="Palatino Linotype" w:eastAsia="Times New Roman" w:hAnsi="Palatino Linotype" w:cs="Palatino Linotype"/>
          <w:color w:val="000000"/>
          <w:sz w:val="24"/>
          <w:szCs w:val="24"/>
          <w:lang w:val="es-ES_tradnl" w:eastAsia="es-MX"/>
        </w:rPr>
        <w:t xml:space="preserve">Una vez abierta la etapa de </w:t>
      </w:r>
      <w:r>
        <w:rPr>
          <w:rFonts w:ascii="Palatino Linotype" w:eastAsia="Times New Roman" w:hAnsi="Palatino Linotype" w:cs="Palatino Linotype"/>
          <w:color w:val="000000"/>
          <w:sz w:val="24"/>
          <w:szCs w:val="24"/>
          <w:lang w:val="es-ES_tradnl" w:eastAsia="es-MX"/>
        </w:rPr>
        <w:t xml:space="preserve">instrucción, el Sujeto Obligado </w:t>
      </w:r>
      <w:r>
        <w:rPr>
          <w:rFonts w:ascii="Palatino Linotype" w:eastAsia="Times New Roman" w:hAnsi="Palatino Linotype" w:cs="Palatino Linotype"/>
          <w:b/>
          <w:color w:val="000000"/>
          <w:sz w:val="24"/>
          <w:szCs w:val="24"/>
          <w:lang w:val="es-ES_tradnl" w:eastAsia="es-MX"/>
        </w:rPr>
        <w:t xml:space="preserve">fue omiso para rendir </w:t>
      </w:r>
      <w:r w:rsidRPr="00BB6139">
        <w:rPr>
          <w:rFonts w:ascii="Palatino Linotype" w:eastAsia="Times New Roman" w:hAnsi="Palatino Linotype" w:cs="Palatino Linotype"/>
          <w:b/>
          <w:color w:val="000000"/>
          <w:sz w:val="24"/>
          <w:szCs w:val="24"/>
          <w:lang w:val="es-ES_tradnl" w:eastAsia="es-MX"/>
        </w:rPr>
        <w:t>su Informe Justificado</w:t>
      </w:r>
      <w:r w:rsidRPr="008562C9">
        <w:rPr>
          <w:rFonts w:ascii="Palatino Linotype" w:eastAsia="Times New Roman" w:hAnsi="Palatino Linotype" w:cs="Palatino Linotype"/>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Por su parte, el Recurrente</w:t>
      </w:r>
      <w:r w:rsidRPr="00633048">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no realizo</w:t>
      </w:r>
      <w:r w:rsidRPr="00633048">
        <w:rPr>
          <w:rFonts w:ascii="Palatino Linotype" w:eastAsia="Times New Roman" w:hAnsi="Palatino Linotype" w:cs="Palatino Linotype"/>
          <w:color w:val="000000"/>
          <w:sz w:val="24"/>
          <w:szCs w:val="24"/>
          <w:lang w:val="es-ES_tradnl" w:eastAsia="es-MX"/>
        </w:rPr>
        <w:t xml:space="preserve"> man</w:t>
      </w:r>
      <w:r>
        <w:rPr>
          <w:rFonts w:ascii="Palatino Linotype" w:eastAsia="Times New Roman" w:hAnsi="Palatino Linotype" w:cs="Palatino Linotype"/>
          <w:color w:val="000000"/>
          <w:sz w:val="24"/>
          <w:szCs w:val="24"/>
          <w:lang w:val="es-ES_tradnl" w:eastAsia="es-MX"/>
        </w:rPr>
        <w:t>ifestaciones o alegatos.</w:t>
      </w:r>
    </w:p>
    <w:p w14:paraId="0F9A0742"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31536A6"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16F3F6A0" w14:textId="5FF265E5" w:rsidR="00BB20B1" w:rsidRPr="00926F45"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976096">
        <w:rPr>
          <w:rFonts w:ascii="Palatino Linotype" w:eastAsia="Times New Roman" w:hAnsi="Palatino Linotype" w:cs="Palatino Linotype"/>
          <w:b/>
          <w:color w:val="000000"/>
          <w:sz w:val="24"/>
          <w:szCs w:val="24"/>
          <w:lang w:val="es-ES_tradnl" w:eastAsia="es-MX"/>
        </w:rPr>
        <w:t>diez</w:t>
      </w:r>
      <w:r w:rsidR="00730843">
        <w:rPr>
          <w:rFonts w:ascii="Palatino Linotype" w:eastAsia="Times New Roman" w:hAnsi="Palatino Linotype" w:cs="Palatino Linotype"/>
          <w:b/>
          <w:color w:val="000000"/>
          <w:sz w:val="24"/>
          <w:szCs w:val="24"/>
          <w:lang w:val="es-ES_tradnl" w:eastAsia="es-MX"/>
        </w:rPr>
        <w:t xml:space="preserve"> de marzo de dos mil veinticinco </w:t>
      </w:r>
      <w:r>
        <w:rPr>
          <w:rFonts w:ascii="Palatino Linotype" w:eastAsia="Times New Roman" w:hAnsi="Palatino Linotype" w:cs="Palatino Linotype"/>
          <w:b/>
          <w:color w:val="000000"/>
          <w:sz w:val="24"/>
          <w:szCs w:val="24"/>
          <w:lang w:val="es-ES_tradnl" w:eastAsia="es-MX"/>
        </w:rPr>
        <w:t>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28492527" w14:textId="77777777" w:rsidR="00BB20B1" w:rsidRPr="00F444C4" w:rsidRDefault="00BB20B1" w:rsidP="00BB20B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19231885"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2706780"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PRIMERO. De la competencia.</w:t>
      </w:r>
    </w:p>
    <w:p w14:paraId="5D3F9AC0"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C209E53"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A66C98B" w14:textId="77777777" w:rsidR="00BB20B1" w:rsidRPr="00F444C4"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44EA8D9" w14:textId="77777777" w:rsidR="00BB20B1" w:rsidRPr="00F444C4" w:rsidRDefault="00BB20B1" w:rsidP="00BB20B1">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B04E05" w14:textId="77777777" w:rsidR="00BB20B1" w:rsidRPr="00F444C4" w:rsidRDefault="00BB20B1" w:rsidP="00BB20B1">
      <w:pPr>
        <w:spacing w:after="0" w:line="360" w:lineRule="auto"/>
        <w:jc w:val="both"/>
        <w:rPr>
          <w:rFonts w:ascii="Palatino Linotype" w:eastAsia="Times New Roman" w:hAnsi="Palatino Linotype" w:cs="Calibri"/>
          <w:sz w:val="24"/>
          <w:lang w:val="es-ES_tradnl" w:eastAsia="es-MX"/>
        </w:rPr>
      </w:pPr>
    </w:p>
    <w:p w14:paraId="0EADF0B5" w14:textId="77777777" w:rsidR="00BB20B1" w:rsidRPr="00DB6E06" w:rsidRDefault="00BB20B1" w:rsidP="00BB20B1">
      <w:pPr>
        <w:autoSpaceDE w:val="0"/>
        <w:autoSpaceDN w:val="0"/>
        <w:adjustRightInd w:val="0"/>
        <w:spacing w:before="240"/>
        <w:rPr>
          <w:rFonts w:ascii="Palatino Linotype" w:hAnsi="Palatino Linotype" w:cs="Arial"/>
          <w:b/>
        </w:rPr>
      </w:pPr>
      <w:r>
        <w:rPr>
          <w:rFonts w:ascii="Palatino Linotype" w:hAnsi="Palatino Linotype" w:cs="Arial"/>
          <w:b/>
          <w:sz w:val="28"/>
          <w:szCs w:val="28"/>
        </w:rPr>
        <w:t xml:space="preserve">TERCERO. </w:t>
      </w:r>
      <w:r w:rsidRPr="00DB6E06">
        <w:rPr>
          <w:rFonts w:ascii="Palatino Linotype" w:hAnsi="Palatino Linotype" w:cs="Arial"/>
          <w:b/>
          <w:sz w:val="28"/>
          <w:szCs w:val="28"/>
        </w:rPr>
        <w:t>Cuestiones de previo y especial pronunciamiento</w:t>
      </w:r>
    </w:p>
    <w:p w14:paraId="41F80FE5" w14:textId="77777777" w:rsidR="00BB20B1" w:rsidRPr="00484932" w:rsidRDefault="00BB20B1" w:rsidP="00BB20B1">
      <w:pPr>
        <w:autoSpaceDE w:val="0"/>
        <w:autoSpaceDN w:val="0"/>
        <w:adjustRightInd w:val="0"/>
        <w:spacing w:before="240" w:line="360" w:lineRule="auto"/>
        <w:jc w:val="both"/>
        <w:rPr>
          <w:rFonts w:ascii="Palatino Linotype" w:hAnsi="Palatino Linotype"/>
          <w:sz w:val="24"/>
          <w:szCs w:val="24"/>
        </w:rPr>
      </w:pPr>
      <w:r w:rsidRPr="00484932">
        <w:rPr>
          <w:rFonts w:ascii="Palatino Linotype" w:hAnsi="Palatino Linotype"/>
          <w:sz w:val="24"/>
          <w:szCs w:val="24"/>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64868A3F" w14:textId="77777777" w:rsidR="00BB20B1" w:rsidRPr="00F8454F" w:rsidRDefault="00BB20B1" w:rsidP="00BB20B1">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18728CB9" w14:textId="77777777" w:rsidR="00BB20B1" w:rsidRPr="00F8454F" w:rsidRDefault="00BB20B1" w:rsidP="00BB20B1">
      <w:pPr>
        <w:numPr>
          <w:ilvl w:val="0"/>
          <w:numId w:val="2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7D8D5604" w14:textId="77777777" w:rsidR="00BB20B1" w:rsidRPr="00F8454F" w:rsidRDefault="00BB20B1" w:rsidP="00BB20B1">
      <w:pPr>
        <w:numPr>
          <w:ilvl w:val="0"/>
          <w:numId w:val="2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3229DC3A" w14:textId="77777777" w:rsidR="00BB20B1" w:rsidRPr="00F8454F" w:rsidRDefault="00BB20B1" w:rsidP="00BB20B1">
      <w:pPr>
        <w:numPr>
          <w:ilvl w:val="0"/>
          <w:numId w:val="2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0AF271D1" w14:textId="77777777" w:rsidR="00BB20B1" w:rsidRPr="00F8454F" w:rsidRDefault="00BB20B1" w:rsidP="00BB20B1">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1205231D" w14:textId="77777777" w:rsidR="00BB20B1" w:rsidRPr="00F8454F" w:rsidRDefault="00BB20B1" w:rsidP="00BB20B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6A20CE3F" w14:textId="77777777" w:rsidR="00BB20B1" w:rsidRPr="00F8454F" w:rsidRDefault="00BB20B1" w:rsidP="00BB20B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0795485E" w14:textId="77777777" w:rsidR="00BB20B1" w:rsidRPr="00F8454F" w:rsidRDefault="00BB20B1" w:rsidP="00BB20B1">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0505ECD5" w14:textId="77777777" w:rsidR="00BB20B1" w:rsidRPr="00F8454F" w:rsidRDefault="00BB20B1" w:rsidP="00BB20B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4F5B6113" w14:textId="77777777" w:rsidR="00BB20B1" w:rsidRPr="00F8454F" w:rsidRDefault="00BB20B1" w:rsidP="00BB20B1">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7FA7EA7E" w14:textId="77777777" w:rsidR="00BB20B1" w:rsidRPr="00F8454F" w:rsidRDefault="00BB20B1" w:rsidP="00BB20B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67DBE6BF" w14:textId="77777777" w:rsidR="00BB20B1" w:rsidRPr="00F8454F" w:rsidRDefault="00BB20B1" w:rsidP="00BB20B1">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lastRenderedPageBreak/>
        <w:t>En caso de que el recurso se interponga de manera electrónica no será indispensable que contengan los requisitos establecidos en las fracciones II, IV, VII y VIII.” [Sic]</w:t>
      </w:r>
    </w:p>
    <w:p w14:paraId="7A301AB4" w14:textId="77777777" w:rsidR="00BB20B1" w:rsidRPr="0034179B" w:rsidRDefault="00BB20B1" w:rsidP="00BB20B1">
      <w:pPr>
        <w:autoSpaceDE w:val="0"/>
        <w:autoSpaceDN w:val="0"/>
        <w:adjustRightInd w:val="0"/>
        <w:spacing w:before="240" w:line="360" w:lineRule="auto"/>
        <w:ind w:left="1080"/>
        <w:jc w:val="both"/>
        <w:rPr>
          <w:rFonts w:ascii="Palatino Linotype" w:hAnsi="Palatino Linotype"/>
          <w:b/>
          <w:i/>
          <w:u w:val="single"/>
        </w:rPr>
      </w:pPr>
    </w:p>
    <w:p w14:paraId="227D6C1F" w14:textId="77777777" w:rsidR="00BB20B1" w:rsidRPr="00484932" w:rsidRDefault="00BB20B1" w:rsidP="00BB20B1">
      <w:pPr>
        <w:spacing w:line="360" w:lineRule="auto"/>
        <w:jc w:val="both"/>
        <w:rPr>
          <w:rFonts w:ascii="Palatino Linotype" w:hAnsi="Palatino Linotype" w:cs="Arial"/>
          <w:sz w:val="24"/>
          <w:szCs w:val="24"/>
        </w:rPr>
      </w:pPr>
      <w:r w:rsidRPr="00484932">
        <w:rPr>
          <w:rFonts w:ascii="Palatino Linotype" w:hAnsi="Palatino Linotype" w:cs="Segoe UI"/>
          <w:sz w:val="24"/>
          <w:szCs w:val="24"/>
        </w:rPr>
        <w:t xml:space="preserve">Cabe señalar que </w:t>
      </w:r>
      <w:r w:rsidRPr="00484932">
        <w:rPr>
          <w:rFonts w:ascii="Palatino Linotype" w:hAnsi="Palatino Linotype" w:cs="Segoe UI"/>
          <w:b/>
          <w:sz w:val="24"/>
          <w:szCs w:val="24"/>
        </w:rPr>
        <w:t>El Recurrente</w:t>
      </w:r>
      <w:r w:rsidRPr="00484932">
        <w:rPr>
          <w:rFonts w:ascii="Palatino Linotype" w:hAnsi="Palatino Linotype" w:cs="Segoe UI"/>
          <w:sz w:val="24"/>
          <w:szCs w:val="24"/>
        </w:rPr>
        <w:t xml:space="preserve"> </w:t>
      </w:r>
      <w:r w:rsidRPr="00484932">
        <w:rPr>
          <w:rFonts w:ascii="Palatino Linotype" w:hAnsi="Palatino Linotype" w:cs="Segoe UI"/>
          <w:sz w:val="24"/>
          <w:szCs w:val="24"/>
          <w:u w:val="single"/>
        </w:rPr>
        <w:t>ejerció su derecho de manera anónima</w:t>
      </w:r>
      <w:r w:rsidRPr="00484932">
        <w:rPr>
          <w:rFonts w:ascii="Palatino Linotype" w:hAnsi="Palatino Linotype"/>
          <w:sz w:val="24"/>
          <w:szCs w:val="24"/>
        </w:rPr>
        <w:t>,</w:t>
      </w:r>
      <w:r w:rsidR="00730843">
        <w:rPr>
          <w:rFonts w:ascii="Palatino Linotype" w:hAnsi="Palatino Linotype"/>
          <w:sz w:val="24"/>
          <w:szCs w:val="24"/>
        </w:rPr>
        <w:t xml:space="preserve"> sin embargo</w:t>
      </w:r>
      <w:r w:rsidRPr="00484932">
        <w:rPr>
          <w:rFonts w:ascii="Palatino Linotype" w:hAnsi="Palatino Linotype"/>
          <w:sz w:val="24"/>
          <w:szCs w:val="24"/>
        </w:rPr>
        <w:t xml:space="preserve"> no sería motivo para desechar las </w:t>
      </w:r>
      <w:r w:rsidRPr="00484932">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0A99723" w14:textId="77777777" w:rsidR="00BB20B1" w:rsidRPr="00F13B52" w:rsidRDefault="00BB20B1" w:rsidP="00BB20B1">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4517E432" w14:textId="77777777" w:rsidR="00BB20B1" w:rsidRPr="0034179B" w:rsidRDefault="00BB20B1" w:rsidP="00BB20B1">
      <w:pPr>
        <w:spacing w:before="240" w:line="360" w:lineRule="auto"/>
        <w:ind w:left="851" w:right="851"/>
        <w:jc w:val="both"/>
        <w:rPr>
          <w:rFonts w:ascii="Palatino Linotype" w:hAnsi="Palatino Linotype" w:cs="Arial"/>
          <w:b/>
          <w:i/>
        </w:rPr>
      </w:pPr>
    </w:p>
    <w:p w14:paraId="409A1AC5" w14:textId="77777777" w:rsidR="00BB20B1" w:rsidRPr="00484932" w:rsidRDefault="00BB20B1" w:rsidP="00BB20B1">
      <w:pPr>
        <w:spacing w:line="360" w:lineRule="auto"/>
        <w:jc w:val="both"/>
        <w:rPr>
          <w:rFonts w:ascii="Palatino Linotype" w:hAnsi="Palatino Linotype"/>
          <w:sz w:val="24"/>
          <w:szCs w:val="24"/>
        </w:rPr>
      </w:pPr>
      <w:r w:rsidRPr="00484932">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484932">
        <w:rPr>
          <w:rFonts w:ascii="Palatino Linotype" w:hAnsi="Palatino Linotype" w:cs="Arial"/>
          <w:sz w:val="24"/>
          <w:szCs w:val="24"/>
        </w:rPr>
        <w:t>vigésimo, vigésimo primero y vigésimo segundo</w:t>
      </w:r>
      <w:r w:rsidRPr="00484932">
        <w:rPr>
          <w:rFonts w:ascii="Palatino Linotype" w:hAnsi="Palatino Linotype"/>
          <w:sz w:val="24"/>
          <w:szCs w:val="24"/>
        </w:rPr>
        <w:t>, de la Constitución Política del Estado Libre y Soberano de México, se establece lo siguiente:</w:t>
      </w:r>
    </w:p>
    <w:p w14:paraId="7301D1C7" w14:textId="77777777" w:rsidR="00BB20B1" w:rsidRPr="00545A72" w:rsidRDefault="00BB20B1" w:rsidP="00BB20B1">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27D9B3CF"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5D3D10E"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lastRenderedPageBreak/>
        <w:t>(…)</w:t>
      </w:r>
    </w:p>
    <w:p w14:paraId="0A080385"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707BBB56"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55CED105"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t>(…)</w:t>
      </w:r>
    </w:p>
    <w:p w14:paraId="7A35938A"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746A1675" w14:textId="77777777" w:rsidR="00BB20B1" w:rsidRPr="00EA0374" w:rsidRDefault="00BB20B1" w:rsidP="00BB20B1">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24EC7420" w14:textId="77777777" w:rsidR="00BB20B1" w:rsidRPr="00545A72" w:rsidRDefault="00BB20B1" w:rsidP="00BB20B1">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1E2FBF93"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8D53CFA" w14:textId="77777777" w:rsidR="00BB20B1" w:rsidRPr="00545A72" w:rsidRDefault="00BB20B1" w:rsidP="00BB20B1">
      <w:pPr>
        <w:spacing w:before="240" w:line="360" w:lineRule="auto"/>
        <w:ind w:left="851" w:right="851"/>
        <w:jc w:val="both"/>
        <w:rPr>
          <w:rFonts w:ascii="Palatino Linotype" w:hAnsi="Palatino Linotype"/>
          <w:i/>
        </w:rPr>
      </w:pPr>
      <w:r w:rsidRPr="00545A72">
        <w:rPr>
          <w:rFonts w:ascii="Palatino Linotype" w:hAnsi="Palatino Linotype"/>
          <w:i/>
        </w:rPr>
        <w:t>(…)</w:t>
      </w:r>
    </w:p>
    <w:p w14:paraId="1790FCBE" w14:textId="77777777" w:rsidR="00BB20B1" w:rsidRPr="00545A72" w:rsidRDefault="00BB20B1" w:rsidP="00BB20B1">
      <w:pPr>
        <w:spacing w:before="240" w:line="360" w:lineRule="auto"/>
        <w:ind w:left="851" w:right="851"/>
        <w:jc w:val="both"/>
        <w:rPr>
          <w:rFonts w:ascii="Palatino Linotype" w:hAnsi="Palatino Linotype"/>
          <w:b/>
          <w:i/>
        </w:rPr>
      </w:pPr>
      <w:proofErr w:type="gramStart"/>
      <w:r w:rsidRPr="00545A72">
        <w:rPr>
          <w:rFonts w:ascii="Palatino Linotype" w:hAnsi="Palatino Linotype"/>
          <w:i/>
        </w:rPr>
        <w:lastRenderedPageBreak/>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26D79D25" w14:textId="32430CB0" w:rsidR="00BB20B1" w:rsidRPr="000958B5" w:rsidRDefault="00BB20B1" w:rsidP="00BB20B1">
      <w:pPr>
        <w:autoSpaceDE w:val="0"/>
        <w:autoSpaceDN w:val="0"/>
        <w:adjustRightInd w:val="0"/>
        <w:spacing w:before="240" w:line="360" w:lineRule="auto"/>
        <w:jc w:val="both"/>
        <w:rPr>
          <w:rFonts w:ascii="Palatino Linotype" w:hAnsi="Palatino Linotype" w:cs="Arial"/>
          <w:sz w:val="24"/>
          <w:szCs w:val="24"/>
        </w:rPr>
      </w:pPr>
      <w:r w:rsidRPr="00484932">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84932">
        <w:rPr>
          <w:rFonts w:ascii="Palatino Linotype" w:hAnsi="Palatino Linotype"/>
          <w:b/>
          <w:sz w:val="24"/>
          <w:szCs w:val="24"/>
          <w:u w:val="single"/>
        </w:rPr>
        <w:t>incluso, la solicitud de acceso a la información pueda ser anónima</w:t>
      </w:r>
      <w:r w:rsidRPr="00484932">
        <w:rPr>
          <w:rFonts w:ascii="Palatino Linotype" w:hAnsi="Palatino Linotype"/>
          <w:sz w:val="24"/>
          <w:szCs w:val="24"/>
        </w:rPr>
        <w:t xml:space="preserve"> o no contener un nombre que identifique al solicitante o que permita tener certeza sobre su identidad. </w:t>
      </w:r>
      <w:r w:rsidRPr="00484932">
        <w:rPr>
          <w:rFonts w:ascii="Palatino Linotype" w:hAnsi="Palatino Linotype" w:cs="Arial"/>
          <w:sz w:val="24"/>
          <w:szCs w:val="24"/>
        </w:rPr>
        <w:t xml:space="preserve">En conclusión, se cubrieron los requisitos de procedencia y </w:t>
      </w:r>
      <w:proofErr w:type="spellStart"/>
      <w:r w:rsidRPr="00484932">
        <w:rPr>
          <w:rFonts w:ascii="Palatino Linotype" w:hAnsi="Palatino Linotype" w:cs="Arial"/>
          <w:sz w:val="24"/>
          <w:szCs w:val="24"/>
        </w:rPr>
        <w:t>procedibilidad</w:t>
      </w:r>
      <w:proofErr w:type="spellEnd"/>
      <w:r w:rsidRPr="00484932">
        <w:rPr>
          <w:rFonts w:ascii="Palatino Linotype" w:hAnsi="Palatino Linotype" w:cs="Arial"/>
          <w:sz w:val="24"/>
          <w:szCs w:val="24"/>
        </w:rPr>
        <w:t xml:space="preserve"> y conforme a las constancias que obran en el expediente.</w:t>
      </w:r>
    </w:p>
    <w:p w14:paraId="38B45C86" w14:textId="77777777" w:rsidR="00BB20B1" w:rsidRPr="00F444C4" w:rsidRDefault="00BB20B1" w:rsidP="00BB20B1">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7A4E507A" w14:textId="77777777" w:rsidR="00BB20B1" w:rsidRPr="00D606ED" w:rsidRDefault="00BB20B1" w:rsidP="00BB20B1">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D606ED">
        <w:rPr>
          <w:rFonts w:ascii="Palatino Linotype" w:hAnsi="Palatino Linotype" w:cs="Palatino Linotype"/>
          <w:color w:val="000000"/>
          <w:sz w:val="24"/>
          <w:szCs w:val="24"/>
          <w:lang w:val="es-ES_tradnl"/>
        </w:rPr>
        <w:t>procedibilidad</w:t>
      </w:r>
      <w:proofErr w:type="spellEnd"/>
      <w:r w:rsidRPr="00D606ED">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9724352" w14:textId="77777777" w:rsidR="00BB20B1" w:rsidRPr="00D606ED" w:rsidRDefault="00BB20B1" w:rsidP="00BB20B1">
      <w:pPr>
        <w:spacing w:line="360" w:lineRule="auto"/>
        <w:contextualSpacing/>
        <w:jc w:val="both"/>
        <w:rPr>
          <w:rFonts w:ascii="Palatino Linotype" w:hAnsi="Palatino Linotype" w:cs="Palatino Linotype"/>
          <w:color w:val="000000"/>
          <w:sz w:val="24"/>
          <w:szCs w:val="24"/>
          <w:lang w:val="es-ES_tradnl"/>
        </w:rPr>
      </w:pPr>
    </w:p>
    <w:p w14:paraId="1F8D62F4" w14:textId="77777777" w:rsidR="00BB20B1" w:rsidRPr="00D606ED" w:rsidRDefault="00BB20B1" w:rsidP="00BB20B1">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D606ED">
        <w:rPr>
          <w:rFonts w:ascii="Palatino Linotype" w:hAnsi="Palatino Linotype" w:cs="Palatino Linotype"/>
          <w:color w:val="000000"/>
          <w:sz w:val="24"/>
          <w:szCs w:val="24"/>
          <w:lang w:val="es-ES_tradnl"/>
        </w:rPr>
        <w:t>Resolutor</w:t>
      </w:r>
      <w:proofErr w:type="spellEnd"/>
      <w:r w:rsidRPr="00D606ED">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w:t>
      </w:r>
      <w:r w:rsidRPr="00D606ED">
        <w:rPr>
          <w:rFonts w:ascii="Palatino Linotype" w:hAnsi="Palatino Linotype" w:cs="Palatino Linotype"/>
          <w:color w:val="000000"/>
          <w:sz w:val="24"/>
          <w:szCs w:val="24"/>
          <w:lang w:val="es-ES_tradnl"/>
        </w:rPr>
        <w:lastRenderedPageBreak/>
        <w:t>una figura procesal adoptada en la ley de la materia</w:t>
      </w:r>
      <w:r w:rsidRPr="00D606ED">
        <w:rPr>
          <w:rFonts w:ascii="Palatino Linotype" w:hAnsi="Palatino Linotype" w:cs="Palatino Linotype"/>
          <w:color w:val="000000"/>
          <w:sz w:val="24"/>
          <w:szCs w:val="24"/>
          <w:vertAlign w:val="superscript"/>
          <w:lang w:val="es-ES_tradnl"/>
        </w:rPr>
        <w:footnoteReference w:id="1"/>
      </w:r>
      <w:r w:rsidRPr="00D606ED">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0E19ED08" w14:textId="77777777" w:rsidR="00BB20B1" w:rsidRPr="00D606ED" w:rsidRDefault="00BB20B1" w:rsidP="00BB20B1">
      <w:pPr>
        <w:spacing w:line="360" w:lineRule="auto"/>
        <w:contextualSpacing/>
        <w:jc w:val="both"/>
        <w:rPr>
          <w:rFonts w:ascii="Palatino Linotype" w:hAnsi="Palatino Linotype" w:cs="Palatino Linotype"/>
          <w:color w:val="000000"/>
          <w:sz w:val="24"/>
          <w:szCs w:val="24"/>
          <w:lang w:val="es-ES_tradnl"/>
        </w:rPr>
      </w:pPr>
    </w:p>
    <w:p w14:paraId="13A6FCD6" w14:textId="77777777" w:rsidR="00BB20B1" w:rsidRPr="00D606ED" w:rsidRDefault="00BB20B1" w:rsidP="00BB20B1">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83E68AD" w14:textId="77777777" w:rsidR="00BB20B1"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D425A89" w14:textId="77777777" w:rsidR="00BB20B1" w:rsidRPr="001B3A3D" w:rsidRDefault="00BB20B1" w:rsidP="00BB20B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QUINTO. </w:t>
      </w:r>
      <w:r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5598219F" w14:textId="77777777" w:rsidR="00BB20B1"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4EA129"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B8977EA" w14:textId="77777777" w:rsidR="00BB20B1"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33CA1391"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5D670F" w14:textId="04763F77" w:rsidR="00BB20B1" w:rsidRPr="00730843" w:rsidRDefault="00730843" w:rsidP="00730843">
      <w:pPr>
        <w:pStyle w:val="Prrafodelista"/>
        <w:numPr>
          <w:ilvl w:val="0"/>
          <w:numId w:val="33"/>
        </w:numPr>
        <w:contextualSpacing/>
        <w:rPr>
          <w:rFonts w:cs="Palatino Linotype"/>
          <w:color w:val="000000"/>
          <w:lang w:val="es-ES_tradnl" w:eastAsia="es-MX"/>
        </w:rPr>
      </w:pPr>
      <w:r>
        <w:rPr>
          <w:rFonts w:cs="Palatino Linotype"/>
          <w:color w:val="000000"/>
        </w:rPr>
        <w:t xml:space="preserve">Estados financieros del ayuntamiento del año 2015 a 2024 en el </w:t>
      </w:r>
      <w:r w:rsidR="00777183">
        <w:rPr>
          <w:rFonts w:cs="Palatino Linotype"/>
          <w:color w:val="000000"/>
        </w:rPr>
        <w:t xml:space="preserve">que </w:t>
      </w:r>
      <w:r>
        <w:rPr>
          <w:rFonts w:cs="Palatino Linotype"/>
          <w:color w:val="000000"/>
        </w:rPr>
        <w:t>se especifique la deuda pública y laudos laborales.</w:t>
      </w:r>
    </w:p>
    <w:p w14:paraId="1C478BEF" w14:textId="77777777" w:rsidR="00730843" w:rsidRPr="009A1F0E" w:rsidRDefault="00730843" w:rsidP="00730843">
      <w:pPr>
        <w:pStyle w:val="Prrafodelista"/>
        <w:ind w:left="1080"/>
        <w:contextualSpacing/>
        <w:rPr>
          <w:rFonts w:cs="Palatino Linotype"/>
          <w:color w:val="000000"/>
          <w:lang w:val="es-ES_tradnl" w:eastAsia="es-MX"/>
        </w:rPr>
      </w:pPr>
    </w:p>
    <w:p w14:paraId="6BEA3DD2" w14:textId="343C686D" w:rsidR="00730843" w:rsidRPr="00AD1327" w:rsidRDefault="00BB20B1" w:rsidP="00BB20B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145295CE" w14:textId="77777777" w:rsidR="00730843" w:rsidRPr="00730843" w:rsidRDefault="00730843" w:rsidP="00730843">
      <w:pPr>
        <w:pStyle w:val="Prrafodelista"/>
        <w:numPr>
          <w:ilvl w:val="0"/>
          <w:numId w:val="34"/>
        </w:numPr>
        <w:contextualSpacing/>
        <w:rPr>
          <w:rFonts w:cs="Palatino Linotype"/>
          <w:color w:val="000000"/>
          <w:lang w:val="es-ES_tradnl" w:eastAsia="es-MX"/>
        </w:rPr>
      </w:pPr>
      <w:r w:rsidRPr="00730843">
        <w:rPr>
          <w:rFonts w:cs="Arial"/>
          <w:b/>
          <w:bCs/>
          <w:i/>
        </w:rPr>
        <w:t>2016</w:t>
      </w:r>
      <w:proofErr w:type="gramStart"/>
      <w:r w:rsidRPr="00730843">
        <w:rPr>
          <w:rFonts w:cs="Arial"/>
          <w:b/>
          <w:bCs/>
          <w:i/>
        </w:rPr>
        <w:t>.pdf</w:t>
      </w:r>
      <w:proofErr w:type="gramEnd"/>
      <w:r>
        <w:rPr>
          <w:rFonts w:cs="Arial"/>
          <w:bCs/>
        </w:rPr>
        <w:t>; Documento que consta de seis fojas en formato PDF en el que se advierte el estado de situación financiera al 31 de diciembre de 2016.</w:t>
      </w:r>
    </w:p>
    <w:p w14:paraId="3F49C4B2" w14:textId="53CD14A5" w:rsidR="00730843" w:rsidRPr="00730843" w:rsidRDefault="001E7677" w:rsidP="001E7677">
      <w:pPr>
        <w:pStyle w:val="Prrafodelista"/>
        <w:tabs>
          <w:tab w:val="left" w:pos="3000"/>
        </w:tabs>
        <w:ind w:left="720"/>
        <w:contextualSpacing/>
        <w:rPr>
          <w:rFonts w:cs="Palatino Linotype"/>
          <w:color w:val="000000"/>
          <w:lang w:val="es-ES_tradnl" w:eastAsia="es-MX"/>
        </w:rPr>
      </w:pPr>
      <w:r>
        <w:rPr>
          <w:rFonts w:cs="Palatino Linotype"/>
          <w:color w:val="000000"/>
          <w:lang w:val="es-ES_tradnl" w:eastAsia="es-MX"/>
        </w:rPr>
        <w:tab/>
      </w:r>
    </w:p>
    <w:p w14:paraId="0C0BB7BC" w14:textId="77777777" w:rsidR="00730843" w:rsidRPr="00730843" w:rsidRDefault="00730843" w:rsidP="00730843">
      <w:pPr>
        <w:pStyle w:val="Prrafodelista"/>
        <w:numPr>
          <w:ilvl w:val="0"/>
          <w:numId w:val="34"/>
        </w:numPr>
        <w:contextualSpacing/>
        <w:rPr>
          <w:rFonts w:cs="Palatino Linotype"/>
          <w:color w:val="000000"/>
          <w:lang w:val="es-ES_tradnl" w:eastAsia="es-MX"/>
        </w:rPr>
      </w:pPr>
      <w:r w:rsidRPr="00730843">
        <w:rPr>
          <w:rFonts w:cs="Arial"/>
          <w:b/>
          <w:bCs/>
          <w:i/>
        </w:rPr>
        <w:t>2015</w:t>
      </w:r>
      <w:proofErr w:type="gramStart"/>
      <w:r w:rsidRPr="00730843">
        <w:rPr>
          <w:rFonts w:cs="Arial"/>
          <w:b/>
          <w:bCs/>
          <w:i/>
        </w:rPr>
        <w:t>.pdf</w:t>
      </w:r>
      <w:proofErr w:type="gramEnd"/>
      <w:r>
        <w:rPr>
          <w:rFonts w:cs="Arial"/>
          <w:b/>
          <w:bCs/>
          <w:i/>
        </w:rPr>
        <w:t xml:space="preserve">; </w:t>
      </w:r>
      <w:r>
        <w:rPr>
          <w:rFonts w:cs="Arial"/>
          <w:bCs/>
        </w:rPr>
        <w:t>Documento que consta de seis fojas en formato PDF en el que se advierte el estado de situación financiera al 31 de diciembre de 2015.</w:t>
      </w:r>
    </w:p>
    <w:p w14:paraId="38945D52" w14:textId="77777777" w:rsidR="00730843" w:rsidRPr="00730843" w:rsidRDefault="00730843" w:rsidP="00730843">
      <w:pPr>
        <w:contextualSpacing/>
        <w:rPr>
          <w:rFonts w:cs="Palatino Linotype"/>
          <w:color w:val="000000"/>
          <w:lang w:val="es-ES_tradnl" w:eastAsia="es-MX"/>
        </w:rPr>
      </w:pPr>
    </w:p>
    <w:p w14:paraId="2ECCEB35" w14:textId="4E30F4C0" w:rsidR="007F169D" w:rsidRDefault="00730843" w:rsidP="007F169D">
      <w:pPr>
        <w:pStyle w:val="Prrafodelista"/>
        <w:numPr>
          <w:ilvl w:val="0"/>
          <w:numId w:val="34"/>
        </w:numPr>
        <w:contextualSpacing/>
        <w:rPr>
          <w:rFonts w:cs="Palatino Linotype"/>
          <w:color w:val="000000"/>
          <w:lang w:val="es-ES_tradnl" w:eastAsia="es-MX"/>
        </w:rPr>
      </w:pPr>
      <w:r w:rsidRPr="00730843">
        <w:rPr>
          <w:rFonts w:cs="Arial"/>
          <w:b/>
          <w:bCs/>
          <w:i/>
        </w:rPr>
        <w:t>00050.pdf</w:t>
      </w:r>
      <w:r w:rsidR="007F169D">
        <w:rPr>
          <w:rFonts w:cs="Arial"/>
          <w:b/>
          <w:bCs/>
          <w:i/>
        </w:rPr>
        <w:t xml:space="preserve">; </w:t>
      </w:r>
      <w:r w:rsidR="007F169D">
        <w:rPr>
          <w:rFonts w:cs="Arial"/>
          <w:bCs/>
        </w:rPr>
        <w:t xml:space="preserve">Documento que consta de una foja en formato PDF de fecha veintitrés de enero de dos mil veinticinco por medio del cual el Tesorero Municipal manifiesta que anexa de manera física los estados de situación financiera de enero a diciembre de los ejercicios 2015 a 2016 anexando links en formato </w:t>
      </w:r>
      <w:r w:rsidR="00777183">
        <w:rPr>
          <w:rFonts w:cs="Arial"/>
          <w:bCs/>
        </w:rPr>
        <w:t>cerrado correspondientes</w:t>
      </w:r>
      <w:r w:rsidR="007F169D">
        <w:rPr>
          <w:rFonts w:cs="Arial"/>
          <w:bCs/>
        </w:rPr>
        <w:t xml:space="preserve"> a los ejercicios 2017 a 2024, en los términos siguientes;</w:t>
      </w:r>
    </w:p>
    <w:p w14:paraId="0668109F" w14:textId="77777777" w:rsidR="007F169D" w:rsidRPr="007F169D" w:rsidRDefault="007F169D" w:rsidP="007F169D">
      <w:pPr>
        <w:pStyle w:val="Prrafodelista"/>
        <w:rPr>
          <w:rFonts w:cs="Palatino Linotype"/>
          <w:color w:val="000000"/>
          <w:lang w:val="es-ES_tradnl" w:eastAsia="es-MX"/>
        </w:rPr>
      </w:pPr>
    </w:p>
    <w:p w14:paraId="2F14AEE5" w14:textId="42CFC8F8" w:rsidR="007F169D" w:rsidRPr="00AD1327" w:rsidRDefault="007F169D" w:rsidP="00AD1327">
      <w:pPr>
        <w:pStyle w:val="Prrafodelista"/>
        <w:ind w:left="720"/>
        <w:contextualSpacing/>
        <w:jc w:val="center"/>
        <w:rPr>
          <w:rFonts w:cs="Palatino Linotype"/>
          <w:color w:val="000000"/>
          <w:lang w:val="es-ES_tradnl" w:eastAsia="es-MX"/>
        </w:rPr>
      </w:pPr>
      <w:r w:rsidRPr="007F169D">
        <w:rPr>
          <w:rFonts w:cs="Palatino Linotype"/>
          <w:noProof/>
          <w:color w:val="000000"/>
          <w:lang w:val="es-MX" w:eastAsia="es-MX"/>
        </w:rPr>
        <w:drawing>
          <wp:inline distT="0" distB="0" distL="0" distR="0" wp14:anchorId="36C4C824" wp14:editId="363EDE00">
            <wp:extent cx="3346170" cy="1110762"/>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3973" cy="1119991"/>
                    </a:xfrm>
                    <a:prstGeom prst="rect">
                      <a:avLst/>
                    </a:prstGeom>
                  </pic:spPr>
                </pic:pic>
              </a:graphicData>
            </a:graphic>
          </wp:inline>
        </w:drawing>
      </w:r>
    </w:p>
    <w:p w14:paraId="47864921" w14:textId="77777777" w:rsidR="00730843" w:rsidRPr="00730843" w:rsidRDefault="00730843" w:rsidP="00730843">
      <w:pPr>
        <w:pStyle w:val="Prrafodelista"/>
        <w:numPr>
          <w:ilvl w:val="0"/>
          <w:numId w:val="34"/>
        </w:numPr>
        <w:contextualSpacing/>
        <w:rPr>
          <w:rFonts w:cs="Palatino Linotype"/>
          <w:color w:val="000000"/>
          <w:lang w:val="es-ES_tradnl" w:eastAsia="es-MX"/>
        </w:rPr>
      </w:pPr>
      <w:r w:rsidRPr="00730843">
        <w:rPr>
          <w:rFonts w:cs="Arial"/>
          <w:b/>
          <w:bCs/>
          <w:i/>
        </w:rPr>
        <w:t>Scan2025-02-04_174624.pdf</w:t>
      </w:r>
      <w:r w:rsidR="007F169D">
        <w:rPr>
          <w:rFonts w:cs="Arial"/>
          <w:b/>
          <w:bCs/>
          <w:i/>
        </w:rPr>
        <w:t xml:space="preserve">; </w:t>
      </w:r>
      <w:r w:rsidR="007F169D">
        <w:rPr>
          <w:rFonts w:cs="Arial"/>
          <w:bCs/>
        </w:rPr>
        <w:t>Documento que consta de una foja en formato PDF de fecha cuatro de febrero de dos mil veinticinco por medio del cual el Titular de la Consejería Jurídica manifiesta que cuenta con treinta y ocho laudos laborales que comprende de los años 2015 a 2024, manifestando que la cifra corresponde a la fecha en que se recibió la solicitud.</w:t>
      </w:r>
    </w:p>
    <w:p w14:paraId="5733B108" w14:textId="77777777" w:rsidR="00730843" w:rsidRDefault="00730843" w:rsidP="00BB20B1">
      <w:pPr>
        <w:spacing w:after="0" w:line="360" w:lineRule="auto"/>
        <w:contextualSpacing/>
        <w:jc w:val="both"/>
        <w:rPr>
          <w:rFonts w:ascii="Palatino Linotype" w:eastAsia="Times New Roman" w:hAnsi="Palatino Linotype" w:cs="Palatino Linotype"/>
          <w:color w:val="000000"/>
          <w:sz w:val="24"/>
          <w:lang w:val="es-ES_tradnl" w:eastAsia="es-MX"/>
        </w:rPr>
      </w:pPr>
    </w:p>
    <w:p w14:paraId="751B7012" w14:textId="77777777" w:rsidR="00BB20B1" w:rsidRDefault="00BB20B1" w:rsidP="00BB20B1">
      <w:pPr>
        <w:spacing w:after="0" w:line="360" w:lineRule="auto"/>
        <w:contextualSpacing/>
        <w:jc w:val="both"/>
        <w:rPr>
          <w:rFonts w:ascii="Palatino Linotype" w:hAnsi="Palatino Linotype" w:cs="Palatino Linotype"/>
          <w:color w:val="000000"/>
          <w:sz w:val="24"/>
          <w:szCs w:val="24"/>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7F169D">
        <w:rPr>
          <w:rFonts w:ascii="Palatino Linotype" w:eastAsia="Times New Roman" w:hAnsi="Palatino Linotype" w:cs="Palatino Linotype"/>
          <w:color w:val="000000"/>
          <w:sz w:val="24"/>
          <w:lang w:val="es-ES_tradnl" w:eastAsia="es-MX"/>
        </w:rPr>
        <w:t>“</w:t>
      </w:r>
      <w:r w:rsidR="007F169D" w:rsidRPr="007F169D">
        <w:rPr>
          <w:rFonts w:ascii="Palatino Linotype" w:hAnsi="Palatino Linotype"/>
          <w:i/>
          <w:color w:val="000000"/>
        </w:rPr>
        <w:t>Se entregan unas links que no abren y no es la información solicitada</w:t>
      </w:r>
      <w:r w:rsidR="007F169D">
        <w:rPr>
          <w:rFonts w:ascii="Palatino Linotype" w:hAnsi="Palatino Linotype"/>
          <w:i/>
          <w:color w:val="000000"/>
        </w:rPr>
        <w:t xml:space="preserve">” </w:t>
      </w:r>
      <w:r>
        <w:rPr>
          <w:rFonts w:ascii="Palatino Linotype" w:eastAsia="Times New Roman" w:hAnsi="Palatino Linotype" w:cs="Palatino Linotype"/>
          <w:color w:val="000000"/>
          <w:sz w:val="24"/>
          <w:lang w:val="es-ES_tradnl" w:eastAsia="es-MX"/>
        </w:rPr>
        <w:t xml:space="preserve">y como motivos de inconformidad </w:t>
      </w:r>
      <w:r w:rsidRPr="005021D8">
        <w:rPr>
          <w:rFonts w:ascii="Palatino Linotype" w:eastAsia="Times New Roman" w:hAnsi="Palatino Linotype" w:cs="Palatino Linotype"/>
          <w:i/>
          <w:color w:val="000000"/>
          <w:sz w:val="24"/>
          <w:szCs w:val="24"/>
          <w:lang w:val="es-ES_tradnl" w:eastAsia="es-MX"/>
        </w:rPr>
        <w:t>“</w:t>
      </w:r>
      <w:r w:rsidR="007F169D" w:rsidRPr="007F169D">
        <w:rPr>
          <w:rFonts w:ascii="Palatino Linotype" w:hAnsi="Palatino Linotype"/>
          <w:i/>
          <w:color w:val="000000"/>
        </w:rPr>
        <w:t>Una negativa a la Información Pública ya que no abren los link</w:t>
      </w:r>
      <w:r w:rsidRPr="00B932DB">
        <w:rPr>
          <w:rFonts w:ascii="Palatino Linotype" w:hAnsi="Palatino Linotype"/>
          <w:i/>
          <w:color w:val="000000"/>
          <w:sz w:val="24"/>
          <w:szCs w:val="24"/>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Pr>
          <w:rFonts w:ascii="Palatino Linotype" w:eastAsia="Times New Roman" w:hAnsi="Palatino Linotype" w:cs="Palatino Linotype"/>
          <w:color w:val="000000"/>
          <w:sz w:val="24"/>
          <w:lang w:val="es-ES_tradnl" w:eastAsia="es-MX"/>
        </w:rPr>
        <w:t xml:space="preserve">Sujeto Obligado no le dio cuenta </w:t>
      </w:r>
      <w:r w:rsidRPr="00B932DB">
        <w:rPr>
          <w:rFonts w:ascii="Palatino Linotype" w:eastAsia="Times New Roman" w:hAnsi="Palatino Linotype" w:cs="Palatino Linotype"/>
          <w:color w:val="000000"/>
          <w:sz w:val="24"/>
          <w:szCs w:val="24"/>
          <w:lang w:val="es-ES_tradnl" w:eastAsia="es-MX"/>
        </w:rPr>
        <w:t xml:space="preserve">de </w:t>
      </w:r>
      <w:r w:rsidR="007F169D">
        <w:rPr>
          <w:rFonts w:ascii="Palatino Linotype" w:hAnsi="Palatino Linotype" w:cs="Palatino Linotype"/>
          <w:color w:val="000000"/>
          <w:sz w:val="24"/>
          <w:szCs w:val="24"/>
        </w:rPr>
        <w:t>los estados financieros del 2017 al 2024.</w:t>
      </w:r>
    </w:p>
    <w:p w14:paraId="38A75F85" w14:textId="77777777" w:rsidR="007F169D" w:rsidRPr="007F169D" w:rsidRDefault="007F169D" w:rsidP="00BB20B1">
      <w:pPr>
        <w:spacing w:after="0" w:line="360" w:lineRule="auto"/>
        <w:contextualSpacing/>
        <w:jc w:val="both"/>
        <w:rPr>
          <w:rFonts w:ascii="Palatino Linotype" w:hAnsi="Palatino Linotype" w:cs="Palatino Linotype"/>
          <w:color w:val="000000"/>
          <w:sz w:val="24"/>
          <w:szCs w:val="24"/>
        </w:rPr>
      </w:pPr>
    </w:p>
    <w:p w14:paraId="08084A43" w14:textId="77777777" w:rsidR="007F169D" w:rsidRPr="007F169D" w:rsidRDefault="007F169D" w:rsidP="007F169D">
      <w:pPr>
        <w:spacing w:line="360" w:lineRule="auto"/>
        <w:ind w:right="49"/>
        <w:jc w:val="both"/>
        <w:rPr>
          <w:rFonts w:ascii="Palatino Linotype" w:eastAsia="Palatino Linotype" w:hAnsi="Palatino Linotype" w:cs="Palatino Linotype"/>
          <w:color w:val="000000"/>
          <w:sz w:val="24"/>
          <w:szCs w:val="24"/>
        </w:rPr>
      </w:pPr>
      <w:r w:rsidRPr="007F169D">
        <w:rPr>
          <w:rFonts w:ascii="Palatino Linotype" w:eastAsia="Palatino Linotype" w:hAnsi="Palatino Linotype" w:cs="Palatino Linotype"/>
          <w:color w:val="000000"/>
          <w:sz w:val="24"/>
          <w:szCs w:val="24"/>
        </w:rPr>
        <w:lastRenderedPageBreak/>
        <w:t xml:space="preserve">De lo anterior, es de precisarse que </w:t>
      </w:r>
      <w:r>
        <w:rPr>
          <w:rFonts w:ascii="Palatino Linotype" w:eastAsia="Palatino Linotype" w:hAnsi="Palatino Linotype" w:cs="Palatino Linotype"/>
          <w:color w:val="000000"/>
          <w:sz w:val="24"/>
          <w:szCs w:val="24"/>
        </w:rPr>
        <w:t xml:space="preserve">el Recurrente únicamente manifestó inconformidad respecto las ligas electrónicas proporcionadas por el Sujeto Obligado es este sentido  es de establecerse que </w:t>
      </w:r>
      <w:r w:rsidRPr="007F169D">
        <w:rPr>
          <w:rFonts w:ascii="Palatino Linotype" w:eastAsia="Palatino Linotype" w:hAnsi="Palatino Linotype" w:cs="Palatino Linotype"/>
          <w:color w:val="000000"/>
          <w:sz w:val="24"/>
          <w:szCs w:val="24"/>
        </w:rPr>
        <w:t>no hubo pronunciamiento por la parte Recurrente respecto a</w:t>
      </w:r>
      <w:r>
        <w:rPr>
          <w:rFonts w:ascii="Palatino Linotype" w:eastAsia="Palatino Linotype" w:hAnsi="Palatino Linotype" w:cs="Palatino Linotype"/>
          <w:color w:val="000000"/>
          <w:sz w:val="24"/>
          <w:szCs w:val="24"/>
        </w:rPr>
        <w:t xml:space="preserve"> los estados financieros de 2015 y 2016 así como la manifestación del número de laudos laborales por lo que</w:t>
      </w:r>
      <w:r w:rsidRPr="007F169D">
        <w:rPr>
          <w:rFonts w:ascii="Palatino Linotype" w:eastAsia="Palatino Linotype" w:hAnsi="Palatino Linotype" w:cs="Palatino Linotype"/>
          <w:color w:val="000000"/>
          <w:sz w:val="24"/>
          <w:szCs w:val="24"/>
        </w:rPr>
        <w:t xml:space="preserve"> debe declararse consentida por el </w:t>
      </w:r>
      <w:r w:rsidRPr="007F169D">
        <w:rPr>
          <w:rFonts w:ascii="Palatino Linotype" w:eastAsia="Palatino Linotype" w:hAnsi="Palatino Linotype" w:cs="Palatino Linotype"/>
          <w:b/>
          <w:color w:val="000000"/>
          <w:sz w:val="24"/>
          <w:szCs w:val="24"/>
        </w:rPr>
        <w:t>RECURRENTE</w:t>
      </w:r>
      <w:r w:rsidRPr="007F169D">
        <w:rPr>
          <w:rFonts w:ascii="Palatino Linotype" w:eastAsia="Palatino Linotype" w:hAnsi="Palatino Linotype" w:cs="Palatino Linotype"/>
          <w:color w:val="000000"/>
          <w:sz w:val="24"/>
          <w:szCs w:val="24"/>
        </w:rPr>
        <w:t>, debido a que no se realizaron manifestaciones de inconformidad, por lo que no pueden producirse efectos jurídicos tendentes a revocar, confirmar o modificar el acto reclamado ya que se infiere un consentimiento del Recurrente</w:t>
      </w:r>
      <w:r w:rsidRPr="007F169D">
        <w:rPr>
          <w:rFonts w:ascii="Palatino Linotype" w:eastAsia="Palatino Linotype" w:hAnsi="Palatino Linotype" w:cs="Palatino Linotype"/>
          <w:b/>
          <w:color w:val="000000"/>
          <w:sz w:val="24"/>
          <w:szCs w:val="24"/>
        </w:rPr>
        <w:t xml:space="preserve"> </w:t>
      </w:r>
      <w:r w:rsidRPr="007F169D">
        <w:rPr>
          <w:rFonts w:ascii="Palatino Linotype" w:eastAsia="Palatino Linotype" w:hAnsi="Palatino Linotype" w:cs="Palatino Linotype"/>
          <w:color w:val="000000"/>
          <w:sz w:val="24"/>
          <w:szCs w:val="24"/>
        </w:rPr>
        <w:t>ante la falta de impugnación eficaz.</w:t>
      </w:r>
    </w:p>
    <w:p w14:paraId="411590C1" w14:textId="77777777" w:rsidR="007F169D" w:rsidRPr="00C05EDE" w:rsidRDefault="007F169D" w:rsidP="007F169D">
      <w:pPr>
        <w:spacing w:line="360" w:lineRule="auto"/>
        <w:ind w:right="49"/>
        <w:jc w:val="both"/>
        <w:rPr>
          <w:rFonts w:ascii="Palatino Linotype" w:eastAsia="Palatino Linotype" w:hAnsi="Palatino Linotype" w:cs="Palatino Linotype"/>
          <w:color w:val="000000"/>
        </w:rPr>
      </w:pPr>
    </w:p>
    <w:p w14:paraId="735F2097" w14:textId="77777777" w:rsidR="007F169D" w:rsidRPr="007F169D" w:rsidRDefault="007F169D" w:rsidP="007F169D">
      <w:pPr>
        <w:spacing w:line="360" w:lineRule="auto"/>
        <w:ind w:right="49"/>
        <w:jc w:val="both"/>
        <w:rPr>
          <w:rFonts w:ascii="Palatino Linotype" w:eastAsia="Palatino Linotype" w:hAnsi="Palatino Linotype" w:cs="Palatino Linotype"/>
          <w:sz w:val="24"/>
          <w:szCs w:val="24"/>
        </w:rPr>
      </w:pPr>
      <w:r w:rsidRPr="007F169D">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237230F3" w14:textId="77777777" w:rsidR="007F169D" w:rsidRPr="007F169D" w:rsidRDefault="007F169D" w:rsidP="007F169D">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6B3337">
        <w:rPr>
          <w:rFonts w:ascii="Palatino Linotype" w:eastAsia="Palatino Linotype" w:hAnsi="Palatino Linotype" w:cs="Palatino Linotype"/>
          <w:b/>
          <w:i/>
          <w:smallCaps/>
          <w:color w:val="000000"/>
        </w:rPr>
        <w:t xml:space="preserve">ACTOS CONSENTIDOS. SON LOS QUE NO SE IMPUGNAN MEDIANTE EL RECURSO IDÓNEO. </w:t>
      </w:r>
      <w:r w:rsidRPr="006B3337">
        <w:rPr>
          <w:rFonts w:ascii="Palatino Linotype" w:eastAsia="Palatino Linotype" w:hAnsi="Palatino Linotype" w:cs="Palatino Linotype"/>
          <w:i/>
          <w:color w:val="000000"/>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39A7394" w14:textId="77777777" w:rsidR="007F2337" w:rsidRDefault="007F2337" w:rsidP="007F169D">
      <w:pPr>
        <w:spacing w:line="360" w:lineRule="auto"/>
        <w:ind w:right="49"/>
        <w:jc w:val="both"/>
        <w:rPr>
          <w:rFonts w:ascii="Palatino Linotype" w:eastAsia="Palatino Linotype" w:hAnsi="Palatino Linotype" w:cs="Palatino Linotype"/>
          <w:color w:val="000000"/>
        </w:rPr>
      </w:pPr>
    </w:p>
    <w:p w14:paraId="6ECCA9EC" w14:textId="3C4BD0EA" w:rsidR="007F169D" w:rsidRPr="006B3337" w:rsidRDefault="007F169D" w:rsidP="007F169D">
      <w:pPr>
        <w:spacing w:line="360" w:lineRule="auto"/>
        <w:ind w:right="49"/>
        <w:jc w:val="both"/>
        <w:rPr>
          <w:rFonts w:ascii="Palatino Linotype" w:eastAsia="Palatino Linotype" w:hAnsi="Palatino Linotype" w:cs="Palatino Linotype"/>
        </w:rPr>
      </w:pPr>
      <w:r w:rsidRPr="006B3337">
        <w:rPr>
          <w:rFonts w:ascii="Palatino Linotype" w:eastAsia="Palatino Linotype" w:hAnsi="Palatino Linotype" w:cs="Palatino Linotype"/>
          <w:color w:val="000000"/>
        </w:rPr>
        <w:t xml:space="preserve">Para </w:t>
      </w:r>
      <w:r w:rsidRPr="006B3337">
        <w:rPr>
          <w:rFonts w:ascii="Palatino Linotype" w:eastAsia="Palatino Linotype" w:hAnsi="Palatino Linotype" w:cs="Palatino Linotype"/>
        </w:rPr>
        <w:t>mayor abundamiento, también resulta aplicable el criterio 01/20 emitido por el Instituto Nacional de Transparencia, Acceso a la Información Pública y Protección de Datos Personales, que a la letra estipula lo siguiente:</w:t>
      </w:r>
    </w:p>
    <w:p w14:paraId="3C9FC629" w14:textId="77777777" w:rsidR="007F169D" w:rsidRPr="006B3337" w:rsidRDefault="007F169D" w:rsidP="007F169D">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6B3337">
        <w:rPr>
          <w:rFonts w:ascii="Palatino Linotype" w:eastAsia="Palatino Linotype" w:hAnsi="Palatino Linotype" w:cs="Palatino Linotype"/>
          <w:b/>
          <w:i/>
          <w:color w:val="000000"/>
        </w:rPr>
        <w:t>Actos consentidos tácitamente. Improcedencia de su análisis.</w:t>
      </w:r>
      <w:r w:rsidRPr="006B3337">
        <w:rPr>
          <w:rFonts w:ascii="Palatino Linotype" w:eastAsia="Palatino Linotype" w:hAnsi="Palatino Linotype" w:cs="Palatino Linotype"/>
          <w:i/>
          <w:color w:val="000000"/>
        </w:rPr>
        <w:t xml:space="preserve"> Si en su recurso de revisión, la persona recurrente no expresó inconformidad alguna con ciertas partes de la </w:t>
      </w:r>
      <w:r w:rsidRPr="006B3337">
        <w:rPr>
          <w:rFonts w:ascii="Palatino Linotype" w:eastAsia="Palatino Linotype" w:hAnsi="Palatino Linotype" w:cs="Palatino Linotype"/>
          <w:i/>
          <w:color w:val="000000"/>
        </w:rPr>
        <w:lastRenderedPageBreak/>
        <w:t>respuesta otorgada, se entienden tácitamente consentidas, por ende, no deben formar parte del estudio de fondo de la resolución que emite el Instituto.</w:t>
      </w:r>
    </w:p>
    <w:p w14:paraId="5881DD72" w14:textId="77777777" w:rsidR="007F169D" w:rsidRDefault="007F169D" w:rsidP="00BB20B1">
      <w:pPr>
        <w:spacing w:after="0" w:line="360" w:lineRule="auto"/>
        <w:contextualSpacing/>
        <w:jc w:val="both"/>
        <w:rPr>
          <w:rFonts w:ascii="Palatino Linotype" w:hAnsi="Palatino Linotype" w:cstheme="minorHAnsi"/>
          <w:color w:val="000000"/>
          <w:sz w:val="24"/>
          <w:szCs w:val="24"/>
        </w:rPr>
      </w:pPr>
    </w:p>
    <w:p w14:paraId="0919545B" w14:textId="77777777" w:rsidR="00BB20B1" w:rsidRPr="00A944B4" w:rsidRDefault="00BB20B1" w:rsidP="00BB20B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2BC5D6CA" w14:textId="77777777" w:rsidR="00BB20B1" w:rsidRPr="00F444C4" w:rsidRDefault="00BB20B1" w:rsidP="00BB20B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5FCDD1E8" w14:textId="77777777" w:rsidR="00BB20B1" w:rsidRPr="00F444C4" w:rsidRDefault="00BB20B1" w:rsidP="00BB20B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5FA98E7" w14:textId="77777777" w:rsidR="00BB20B1" w:rsidRPr="00F444C4" w:rsidRDefault="00BB20B1" w:rsidP="00BB20B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9C8DE24" w14:textId="77777777" w:rsidR="00BB20B1" w:rsidRPr="00F444C4" w:rsidRDefault="00BB20B1" w:rsidP="00BB20B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9FEC740" w14:textId="77777777" w:rsidR="00BB20B1" w:rsidRPr="00F444C4" w:rsidRDefault="00BB20B1" w:rsidP="00BB20B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E2E9041" w14:textId="77777777" w:rsidR="00BB20B1" w:rsidRPr="00F444C4" w:rsidRDefault="00BB20B1" w:rsidP="00BB20B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correspondencia, acuerdos, directivas, directrices, circulares, contratos, convenios, instructivos, notas, memorandos, estadísticas o bien, cualquier otro registro que documente el ejercicio de </w:t>
      </w:r>
      <w:r w:rsidRPr="00F444C4">
        <w:rPr>
          <w:rFonts w:ascii="Palatino Linotype" w:eastAsia="Times New Roman" w:hAnsi="Palatino Linotype" w:cs="Arial"/>
          <w:b/>
          <w:sz w:val="24"/>
          <w:u w:val="single"/>
          <w:lang w:val="es-ES_tradnl" w:eastAsia="es-MX"/>
        </w:rPr>
        <w:lastRenderedPageBreak/>
        <w:t>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B60FBAF" w14:textId="77777777" w:rsidR="00BB20B1" w:rsidRPr="00F444C4" w:rsidRDefault="00BB20B1" w:rsidP="00BB20B1">
      <w:pPr>
        <w:spacing w:after="0" w:line="240" w:lineRule="auto"/>
        <w:rPr>
          <w:rFonts w:ascii="Times New Roman" w:eastAsia="Times New Roman" w:hAnsi="Times New Roman" w:cs="Times New Roman"/>
          <w:sz w:val="24"/>
          <w:szCs w:val="24"/>
          <w:lang w:eastAsia="es-ES"/>
        </w:rPr>
      </w:pPr>
    </w:p>
    <w:p w14:paraId="12A43BE6" w14:textId="77777777" w:rsidR="00BB20B1" w:rsidRPr="00F444C4" w:rsidRDefault="00BB20B1" w:rsidP="00BB20B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19A996E" w14:textId="77777777" w:rsidR="00BB20B1" w:rsidRPr="00F444C4" w:rsidRDefault="00BB20B1" w:rsidP="00BB20B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2FCF79C" w14:textId="77777777" w:rsidR="00BB20B1" w:rsidRPr="00F444C4" w:rsidRDefault="00BB20B1" w:rsidP="00BB20B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1DB41608" w14:textId="77777777" w:rsidR="00BB20B1" w:rsidRPr="00452B4D" w:rsidRDefault="00BB20B1" w:rsidP="00BB20B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5753A55" w14:textId="77777777" w:rsidR="00AB799E" w:rsidRDefault="00AB799E" w:rsidP="00BB20B1">
      <w:pPr>
        <w:spacing w:before="240" w:after="240" w:line="360" w:lineRule="auto"/>
        <w:ind w:right="49"/>
        <w:contextualSpacing/>
        <w:jc w:val="both"/>
        <w:rPr>
          <w:rFonts w:ascii="Palatino Linotype" w:eastAsia="Times New Roman" w:hAnsi="Palatino Linotype" w:cs="Arial"/>
          <w:sz w:val="24"/>
          <w:lang w:val="es-ES_tradnl" w:eastAsia="es-MX"/>
        </w:rPr>
      </w:pPr>
    </w:p>
    <w:p w14:paraId="20BDFC23" w14:textId="76235B5F" w:rsidR="00BB20B1" w:rsidRDefault="00BB20B1" w:rsidP="00BB20B1">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w:t>
      </w:r>
      <w:r w:rsidRPr="00F444C4">
        <w:rPr>
          <w:rFonts w:ascii="Palatino Linotype" w:eastAsia="MS Mincho" w:hAnsi="Palatino Linotype" w:cs="Calibri"/>
          <w:sz w:val="24"/>
          <w:lang w:val="es-ES_tradnl" w:eastAsia="es-MX"/>
        </w:rPr>
        <w:lastRenderedPageBreak/>
        <w:t>forma los Sujeto Obligados no deberán de generar, resumir o efectuar cálculos o practicar investigaciones.</w:t>
      </w:r>
    </w:p>
    <w:p w14:paraId="337E8C47" w14:textId="77777777" w:rsidR="00BB20B1" w:rsidRPr="00F444C4" w:rsidRDefault="00BB20B1" w:rsidP="00BB20B1">
      <w:pPr>
        <w:spacing w:before="240" w:after="240" w:line="360" w:lineRule="auto"/>
        <w:ind w:right="49"/>
        <w:contextualSpacing/>
        <w:jc w:val="both"/>
        <w:rPr>
          <w:rFonts w:ascii="Palatino Linotype" w:eastAsia="MS Mincho" w:hAnsi="Palatino Linotype" w:cs="Calibri"/>
          <w:sz w:val="24"/>
          <w:lang w:val="es-ES_tradnl" w:eastAsia="es-MX"/>
        </w:rPr>
      </w:pPr>
    </w:p>
    <w:p w14:paraId="18D85729" w14:textId="77777777" w:rsidR="00BB20B1" w:rsidRPr="00F444C4" w:rsidRDefault="00BB20B1" w:rsidP="00BB20B1">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con el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3E9491CB" w14:textId="77777777" w:rsidR="00BB20B1" w:rsidRDefault="00BB20B1" w:rsidP="00BB20B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4A9E0AD" w14:textId="77777777" w:rsidR="00BB20B1" w:rsidRPr="00AA7641" w:rsidRDefault="00BB20B1" w:rsidP="00BB20B1">
      <w:pPr>
        <w:spacing w:after="0" w:line="360" w:lineRule="auto"/>
        <w:ind w:left="567" w:right="616"/>
        <w:contextualSpacing/>
        <w:jc w:val="both"/>
        <w:rPr>
          <w:rFonts w:ascii="Palatino Linotype" w:eastAsia="Times New Roman" w:hAnsi="Palatino Linotype" w:cs="Arial"/>
          <w:i/>
          <w:lang w:val="es-ES_tradnl" w:eastAsia="gl-ES"/>
        </w:rPr>
      </w:pPr>
    </w:p>
    <w:p w14:paraId="641D3512" w14:textId="77777777" w:rsidR="00BB20B1" w:rsidRPr="0015656E" w:rsidRDefault="00BB20B1" w:rsidP="00BB20B1">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Pr>
          <w:rFonts w:ascii="Palatino Linotype" w:eastAsia="Times New Roman" w:hAnsi="Palatino Linotype" w:cs="Arial"/>
          <w:sz w:val="24"/>
          <w:lang w:val="es-ES_tradnl" w:eastAsia="es-MX"/>
        </w:rPr>
        <w:t>os datos que obren en su poder:</w:t>
      </w:r>
    </w:p>
    <w:p w14:paraId="4F89E6C7" w14:textId="77777777" w:rsidR="00BB20B1" w:rsidRPr="00F444C4" w:rsidRDefault="00BB20B1" w:rsidP="00BB20B1">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78674811" w14:textId="77777777" w:rsidR="00BB20B1" w:rsidRPr="00F444C4" w:rsidRDefault="00BB20B1" w:rsidP="00BB20B1">
      <w:pPr>
        <w:spacing w:after="0" w:line="360" w:lineRule="auto"/>
        <w:ind w:left="567" w:right="616"/>
        <w:contextualSpacing/>
        <w:jc w:val="both"/>
        <w:rPr>
          <w:rFonts w:ascii="Palatino Linotype" w:eastAsia="Times New Roman" w:hAnsi="Palatino Linotype" w:cs="Arial"/>
          <w:b/>
          <w:i/>
          <w:lang w:val="es-ES_tradnl" w:eastAsia="es-MX"/>
        </w:rPr>
      </w:pPr>
    </w:p>
    <w:p w14:paraId="2D44A3F8" w14:textId="77777777" w:rsidR="00BB20B1" w:rsidRPr="00A944B4" w:rsidRDefault="00BB20B1" w:rsidP="00BB20B1">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3D533B3C" w14:textId="77777777" w:rsidR="00BB20B1" w:rsidRDefault="00BB20B1" w:rsidP="00BB20B1">
      <w:pPr>
        <w:spacing w:line="360" w:lineRule="auto"/>
        <w:jc w:val="both"/>
        <w:rPr>
          <w:rFonts w:ascii="Palatino Linotype" w:hAnsi="Palatino Linotype"/>
          <w:sz w:val="24"/>
          <w:szCs w:val="24"/>
        </w:rPr>
      </w:pPr>
    </w:p>
    <w:p w14:paraId="3D1433FB" w14:textId="5BC9E608" w:rsidR="00BB20B1" w:rsidRDefault="00BB20B1" w:rsidP="004E4193">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resulta pertinente traer a colación los artículos </w:t>
      </w:r>
      <w:r w:rsidR="002D611A">
        <w:rPr>
          <w:rFonts w:ascii="Palatino Linotype" w:hAnsi="Palatino Linotype"/>
          <w:sz w:val="24"/>
          <w:szCs w:val="24"/>
        </w:rPr>
        <w:t>52</w:t>
      </w:r>
      <w:r w:rsidR="002C3122">
        <w:rPr>
          <w:rFonts w:ascii="Palatino Linotype" w:hAnsi="Palatino Linotype"/>
          <w:sz w:val="24"/>
          <w:szCs w:val="24"/>
        </w:rPr>
        <w:t xml:space="preserve">, </w:t>
      </w:r>
      <w:r w:rsidR="008E48B7">
        <w:rPr>
          <w:rFonts w:ascii="Palatino Linotype" w:hAnsi="Palatino Linotype"/>
          <w:sz w:val="24"/>
          <w:szCs w:val="24"/>
        </w:rPr>
        <w:t>5</w:t>
      </w:r>
      <w:r w:rsidR="002D611A">
        <w:rPr>
          <w:rFonts w:ascii="Palatino Linotype" w:hAnsi="Palatino Linotype"/>
          <w:sz w:val="24"/>
          <w:szCs w:val="24"/>
        </w:rPr>
        <w:t>6</w:t>
      </w:r>
      <w:r w:rsidR="008E48B7">
        <w:rPr>
          <w:rFonts w:ascii="Palatino Linotype" w:hAnsi="Palatino Linotype"/>
          <w:sz w:val="24"/>
          <w:szCs w:val="24"/>
        </w:rPr>
        <w:t xml:space="preserve"> </w:t>
      </w:r>
      <w:r w:rsidR="002C3122">
        <w:rPr>
          <w:rFonts w:ascii="Palatino Linotype" w:hAnsi="Palatino Linotype"/>
          <w:sz w:val="24"/>
          <w:szCs w:val="24"/>
        </w:rPr>
        <w:t xml:space="preserve"> y 63 </w:t>
      </w:r>
      <w:r w:rsidR="008E48B7">
        <w:rPr>
          <w:rFonts w:ascii="Palatino Linotype" w:hAnsi="Palatino Linotype"/>
          <w:sz w:val="24"/>
          <w:szCs w:val="24"/>
        </w:rPr>
        <w:t xml:space="preserve">del Bando Municipal Vigente del Sujeto Obligado </w:t>
      </w:r>
      <w:r w:rsidR="002C3122">
        <w:rPr>
          <w:rFonts w:ascii="Palatino Linotype" w:hAnsi="Palatino Linotype"/>
          <w:sz w:val="24"/>
          <w:szCs w:val="24"/>
        </w:rPr>
        <w:t xml:space="preserve">a efecto de advertir que la Tesorería Municipal </w:t>
      </w:r>
      <w:r w:rsidR="0059336E" w:rsidRPr="0059336E">
        <w:rPr>
          <w:rFonts w:ascii="Palatino Linotype" w:hAnsi="Palatino Linotype"/>
          <w:sz w:val="24"/>
          <w:szCs w:val="24"/>
        </w:rPr>
        <w:t xml:space="preserve">es el órgano encargado de la recaudación de los ingresos municipales y </w:t>
      </w:r>
      <w:r w:rsidR="0059336E" w:rsidRPr="0059336E">
        <w:rPr>
          <w:rFonts w:ascii="Palatino Linotype" w:hAnsi="Palatino Linotype"/>
          <w:sz w:val="24"/>
          <w:szCs w:val="24"/>
        </w:rPr>
        <w:lastRenderedPageBreak/>
        <w:t>responsable de realizar las erogaciones que haga el Ayuntamiento</w:t>
      </w:r>
      <w:r w:rsidR="004D5ACA">
        <w:rPr>
          <w:rFonts w:ascii="Palatino Linotype" w:hAnsi="Palatino Linotype"/>
          <w:sz w:val="24"/>
          <w:szCs w:val="24"/>
        </w:rPr>
        <w:t xml:space="preserve">, en los términos siguientes; </w:t>
      </w:r>
    </w:p>
    <w:p w14:paraId="351E888C" w14:textId="77777777" w:rsidR="002D611A" w:rsidRPr="005B5246" w:rsidRDefault="002D611A" w:rsidP="002D611A">
      <w:pPr>
        <w:spacing w:line="360" w:lineRule="auto"/>
        <w:ind w:left="708"/>
        <w:jc w:val="both"/>
        <w:rPr>
          <w:rFonts w:ascii="Palatino Linotype" w:hAnsi="Palatino Linotype"/>
          <w:i/>
        </w:rPr>
      </w:pPr>
      <w:r w:rsidRPr="005B5246">
        <w:rPr>
          <w:rFonts w:ascii="Palatino Linotype" w:hAnsi="Palatino Linotype"/>
          <w:i/>
        </w:rPr>
        <w:t xml:space="preserve">Artículo 52. Son autoridades fiscales del Municipio, las establecidas en el artículo 16 del Código Financiero del Estado de México y Municipios, mismas que son: </w:t>
      </w:r>
    </w:p>
    <w:p w14:paraId="6F692265" w14:textId="77777777" w:rsidR="002D611A" w:rsidRPr="005B5246" w:rsidRDefault="002D611A" w:rsidP="002D611A">
      <w:pPr>
        <w:pStyle w:val="Prrafodelista"/>
        <w:numPr>
          <w:ilvl w:val="0"/>
          <w:numId w:val="35"/>
        </w:numPr>
        <w:rPr>
          <w:i/>
          <w:sz w:val="22"/>
          <w:szCs w:val="22"/>
        </w:rPr>
      </w:pPr>
      <w:r w:rsidRPr="005B5246">
        <w:rPr>
          <w:i/>
          <w:sz w:val="22"/>
          <w:szCs w:val="22"/>
        </w:rPr>
        <w:t xml:space="preserve">El Ayuntamiento;  </w:t>
      </w:r>
    </w:p>
    <w:p w14:paraId="2F597E18" w14:textId="77777777" w:rsidR="002D611A" w:rsidRPr="005B5246" w:rsidRDefault="002D611A" w:rsidP="002D611A">
      <w:pPr>
        <w:pStyle w:val="Prrafodelista"/>
        <w:numPr>
          <w:ilvl w:val="0"/>
          <w:numId w:val="35"/>
        </w:numPr>
        <w:rPr>
          <w:i/>
          <w:sz w:val="22"/>
          <w:szCs w:val="22"/>
        </w:rPr>
      </w:pPr>
      <w:r w:rsidRPr="005B5246">
        <w:rPr>
          <w:i/>
          <w:sz w:val="22"/>
          <w:szCs w:val="22"/>
        </w:rPr>
        <w:t xml:space="preserve">El Presidente Municipal; </w:t>
      </w:r>
    </w:p>
    <w:p w14:paraId="17472CDF" w14:textId="77777777" w:rsidR="002D611A" w:rsidRPr="005B5246" w:rsidRDefault="002D611A" w:rsidP="002D611A">
      <w:pPr>
        <w:pStyle w:val="Prrafodelista"/>
        <w:numPr>
          <w:ilvl w:val="0"/>
          <w:numId w:val="35"/>
        </w:numPr>
        <w:rPr>
          <w:i/>
          <w:sz w:val="22"/>
          <w:szCs w:val="22"/>
        </w:rPr>
      </w:pPr>
      <w:r w:rsidRPr="005B5246">
        <w:rPr>
          <w:i/>
          <w:sz w:val="22"/>
          <w:szCs w:val="22"/>
        </w:rPr>
        <w:t xml:space="preserve"> La Síndica Municipal, y </w:t>
      </w:r>
    </w:p>
    <w:p w14:paraId="20912BCC" w14:textId="77777777" w:rsidR="002D611A" w:rsidRPr="00185209" w:rsidRDefault="002D611A" w:rsidP="002D611A">
      <w:pPr>
        <w:pStyle w:val="Prrafodelista"/>
        <w:numPr>
          <w:ilvl w:val="0"/>
          <w:numId w:val="35"/>
        </w:numPr>
        <w:rPr>
          <w:b/>
          <w:i/>
          <w:sz w:val="22"/>
          <w:szCs w:val="22"/>
        </w:rPr>
      </w:pPr>
      <w:r w:rsidRPr="00185209">
        <w:rPr>
          <w:b/>
          <w:i/>
          <w:sz w:val="22"/>
          <w:szCs w:val="22"/>
        </w:rPr>
        <w:t xml:space="preserve"> El Tesorero Municipal.</w:t>
      </w:r>
    </w:p>
    <w:p w14:paraId="352DB250" w14:textId="77777777" w:rsidR="002D611A" w:rsidRDefault="002D611A" w:rsidP="0068664A">
      <w:pPr>
        <w:spacing w:line="360" w:lineRule="auto"/>
        <w:ind w:left="708"/>
        <w:jc w:val="both"/>
        <w:rPr>
          <w:rFonts w:ascii="Palatino Linotype" w:hAnsi="Palatino Linotype"/>
          <w:i/>
        </w:rPr>
      </w:pPr>
    </w:p>
    <w:p w14:paraId="4B1AED17" w14:textId="553A35C5" w:rsidR="0068664A" w:rsidRPr="005B5246" w:rsidRDefault="0068664A" w:rsidP="0068664A">
      <w:pPr>
        <w:spacing w:line="360" w:lineRule="auto"/>
        <w:ind w:left="708"/>
        <w:jc w:val="both"/>
        <w:rPr>
          <w:rFonts w:ascii="Palatino Linotype" w:hAnsi="Palatino Linotype"/>
          <w:i/>
        </w:rPr>
      </w:pPr>
      <w:r w:rsidRPr="009237AB">
        <w:rPr>
          <w:rFonts w:ascii="Palatino Linotype" w:hAnsi="Palatino Linotype"/>
          <w:b/>
          <w:bCs/>
          <w:i/>
        </w:rPr>
        <w:t>Artículo 56.</w:t>
      </w:r>
      <w:r w:rsidRPr="005B5246">
        <w:rPr>
          <w:rFonts w:ascii="Palatino Linotype" w:hAnsi="Palatino Linotype"/>
          <w:i/>
        </w:rPr>
        <w:t xml:space="preserve"> Para el despacho de los asuntos de la Administración Pública Municipal, el Ayuntamiento contará con Dependencias Administrativas Centralizadas, Organismos Públicos Descentralizados y Organismos Autónomos que se consideren necesarios. El Presidente Municipal para el ejercicio de sus atribuciones y funcionamiento de la Administración Pública Municipal, se auxiliará de las Dependencias, Unidades y Organismos siguientes:</w:t>
      </w:r>
    </w:p>
    <w:p w14:paraId="63065B14"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A) DEPENDENCIAS: </w:t>
      </w:r>
    </w:p>
    <w:p w14:paraId="05E0F24C"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 I. Secretaría del Ayuntamiento; </w:t>
      </w:r>
    </w:p>
    <w:p w14:paraId="21BC13E5" w14:textId="77777777" w:rsidR="0068664A" w:rsidRPr="00185209" w:rsidRDefault="0068664A" w:rsidP="0068664A">
      <w:pPr>
        <w:spacing w:line="360" w:lineRule="auto"/>
        <w:ind w:left="708"/>
        <w:jc w:val="both"/>
        <w:rPr>
          <w:rFonts w:ascii="Palatino Linotype" w:hAnsi="Palatino Linotype"/>
          <w:b/>
          <w:i/>
        </w:rPr>
      </w:pPr>
      <w:r w:rsidRPr="00185209">
        <w:rPr>
          <w:rFonts w:ascii="Palatino Linotype" w:hAnsi="Palatino Linotype"/>
          <w:b/>
          <w:i/>
        </w:rPr>
        <w:t xml:space="preserve">II. Tesorería Municipal; </w:t>
      </w:r>
    </w:p>
    <w:p w14:paraId="4753FA34"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III. Dirección de Administración;</w:t>
      </w:r>
    </w:p>
    <w:p w14:paraId="7BB277B3"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 IV. Dirección de Bienestar Social;</w:t>
      </w:r>
    </w:p>
    <w:p w14:paraId="08A713EE"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 V. Dirección de Campo; </w:t>
      </w:r>
    </w:p>
    <w:p w14:paraId="0CB4355B"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VI. Dirección de Comunicación Social y Gobierno Digital; </w:t>
      </w:r>
    </w:p>
    <w:p w14:paraId="786F97C2"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VII. Dirección de Cultura y Turismo; </w:t>
      </w:r>
    </w:p>
    <w:p w14:paraId="6C1DD40D"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lastRenderedPageBreak/>
        <w:t xml:space="preserve">VIII. Dirección de Desarrollo Económico; </w:t>
      </w:r>
    </w:p>
    <w:p w14:paraId="4F5CEA30"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IX. Dirección de Desarrollo Urbano; </w:t>
      </w:r>
    </w:p>
    <w:p w14:paraId="3A9109D5"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X. Dirección de Ecología y Desarrollo Sostenible; </w:t>
      </w:r>
    </w:p>
    <w:p w14:paraId="6932F469"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XI. Dirección de Educación: XII. Dirección de Gobierno; </w:t>
      </w:r>
    </w:p>
    <w:p w14:paraId="62D75DA6"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XIII. Dirección de Movilidad; </w:t>
      </w:r>
    </w:p>
    <w:p w14:paraId="7B308CA8"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XIV. Dirección de Obras Públicas; </w:t>
      </w:r>
    </w:p>
    <w:p w14:paraId="109103B1"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XV. Dirección de Salud; </w:t>
      </w:r>
    </w:p>
    <w:p w14:paraId="26475E1E"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 xml:space="preserve">XVI. Dirección de Seguridad Pública Municipal; </w:t>
      </w:r>
    </w:p>
    <w:p w14:paraId="1AF25CF3" w14:textId="77777777" w:rsidR="0068664A" w:rsidRPr="005B5246" w:rsidRDefault="0068664A" w:rsidP="0068664A">
      <w:pPr>
        <w:spacing w:line="360" w:lineRule="auto"/>
        <w:ind w:left="708"/>
        <w:jc w:val="both"/>
        <w:rPr>
          <w:rFonts w:ascii="Palatino Linotype" w:hAnsi="Palatino Linotype"/>
          <w:i/>
        </w:rPr>
      </w:pPr>
      <w:r w:rsidRPr="005B5246">
        <w:rPr>
          <w:rFonts w:ascii="Palatino Linotype" w:hAnsi="Palatino Linotype"/>
          <w:i/>
        </w:rPr>
        <w:t>XVII. Dirección de Servicios Públicos;</w:t>
      </w:r>
    </w:p>
    <w:p w14:paraId="3B6B7E11" w14:textId="25D023B3" w:rsidR="002C3122" w:rsidRPr="001C0B8C" w:rsidRDefault="00BA6B3F" w:rsidP="002C3122">
      <w:pPr>
        <w:ind w:left="708"/>
        <w:jc w:val="center"/>
        <w:rPr>
          <w:rFonts w:ascii="Palatino Linotype" w:hAnsi="Palatino Linotype"/>
          <w:b/>
          <w:bCs/>
          <w:i/>
          <w:iCs/>
        </w:rPr>
      </w:pPr>
      <w:r w:rsidRPr="001C0B8C">
        <w:rPr>
          <w:rFonts w:ascii="Palatino Linotype" w:hAnsi="Palatino Linotype"/>
          <w:b/>
          <w:bCs/>
          <w:i/>
          <w:iCs/>
        </w:rPr>
        <w:t>DE LA TESORERÍA MUNICIPAL</w:t>
      </w:r>
    </w:p>
    <w:p w14:paraId="6163DCEE" w14:textId="0CFF5BA5" w:rsidR="0032702C" w:rsidRPr="001C0B8C" w:rsidRDefault="00BA6B3F" w:rsidP="00BA6B3F">
      <w:pPr>
        <w:ind w:left="708"/>
        <w:jc w:val="both"/>
        <w:rPr>
          <w:rFonts w:ascii="Palatino Linotype" w:hAnsi="Palatino Linotype"/>
        </w:rPr>
      </w:pPr>
      <w:r w:rsidRPr="001C0B8C">
        <w:rPr>
          <w:rFonts w:ascii="Palatino Linotype" w:hAnsi="Palatino Linotype"/>
          <w:b/>
          <w:bCs/>
          <w:i/>
          <w:iCs/>
        </w:rPr>
        <w:t>Artículo 63</w:t>
      </w:r>
      <w:r w:rsidRPr="001C0B8C">
        <w:rPr>
          <w:rFonts w:ascii="Palatino Linotype" w:hAnsi="Palatino Linotype"/>
          <w:i/>
          <w:iCs/>
        </w:rPr>
        <w:t>. La Tesorería Municipal es el órgano encargado de la recaudación de los ingresos municipales y responsable de realizar las erogaciones que haga el Ayuntamiento; estará a cargo de un Tesorero Municipal, el cual al tomar posesión de su cargo, recibirá la Hacienda Pública de acuerdo con las previsiones a que se refiere el artículo 19 de la Ley Orgánica Municipal y remitirá un ejemplar de dicha documentación al Ayuntamiento, al Órgano Superior de Fiscalización del Estado de México</w:t>
      </w:r>
      <w:r w:rsidR="002C3122" w:rsidRPr="001C0B8C">
        <w:rPr>
          <w:rFonts w:ascii="Palatino Linotype" w:hAnsi="Palatino Linotype"/>
          <w:i/>
          <w:iCs/>
        </w:rPr>
        <w:t xml:space="preserve"> y al Archivo de la Tesorería. El Tesorero Municipal tendrá las atribuciones que le confiere la Ley Orgánica Municipal, en su artículo 95 y demás disposiciones aplicables</w:t>
      </w:r>
      <w:r w:rsidR="002C3122" w:rsidRPr="001C0B8C">
        <w:rPr>
          <w:rFonts w:ascii="Palatino Linotype" w:hAnsi="Palatino Linotype"/>
        </w:rPr>
        <w:t>.</w:t>
      </w:r>
    </w:p>
    <w:p w14:paraId="467B8DE5" w14:textId="77777777" w:rsidR="002C3122" w:rsidRDefault="002C3122" w:rsidP="00BA6B3F">
      <w:pPr>
        <w:ind w:left="708"/>
        <w:jc w:val="both"/>
      </w:pPr>
    </w:p>
    <w:p w14:paraId="0AD9395F" w14:textId="0E723700" w:rsidR="004D5ACA" w:rsidRPr="00EA55CE" w:rsidRDefault="004D5ACA" w:rsidP="004E4193">
      <w:pPr>
        <w:spacing w:line="360" w:lineRule="auto"/>
        <w:jc w:val="both"/>
        <w:rPr>
          <w:rFonts w:ascii="Palatino Linotype" w:hAnsi="Palatino Linotype"/>
          <w:sz w:val="24"/>
          <w:szCs w:val="24"/>
        </w:rPr>
      </w:pPr>
      <w:r>
        <w:rPr>
          <w:rFonts w:ascii="Palatino Linotype" w:hAnsi="Palatino Linotype"/>
          <w:sz w:val="24"/>
          <w:szCs w:val="24"/>
        </w:rPr>
        <w:t>De lo anterior conforme lo establecido por los artículo</w:t>
      </w:r>
      <w:r w:rsidR="001C0B8C">
        <w:rPr>
          <w:rFonts w:ascii="Palatino Linotype" w:hAnsi="Palatino Linotype"/>
          <w:sz w:val="24"/>
          <w:szCs w:val="24"/>
        </w:rPr>
        <w:t>s</w:t>
      </w:r>
      <w:r>
        <w:rPr>
          <w:rFonts w:ascii="Palatino Linotype" w:hAnsi="Palatino Linotype"/>
          <w:sz w:val="24"/>
          <w:szCs w:val="24"/>
        </w:rPr>
        <w:t xml:space="preserve"> 93 y 95 de la Ley Orgánica Municipal del Estado de México </w:t>
      </w:r>
      <w:r w:rsidR="001C0B8C">
        <w:rPr>
          <w:rFonts w:ascii="Palatino Linotype" w:hAnsi="Palatino Linotype"/>
          <w:sz w:val="24"/>
          <w:szCs w:val="24"/>
        </w:rPr>
        <w:t xml:space="preserve">la Tesorería es la unidad </w:t>
      </w:r>
      <w:r w:rsidR="00EA55CE">
        <w:rPr>
          <w:rFonts w:ascii="Palatino Linotype" w:hAnsi="Palatino Linotype"/>
          <w:sz w:val="24"/>
          <w:szCs w:val="24"/>
        </w:rPr>
        <w:t>administrativa encargada de ll</w:t>
      </w:r>
      <w:r w:rsidR="00EA55CE" w:rsidRPr="00EA55CE">
        <w:rPr>
          <w:rFonts w:ascii="Palatino Linotype" w:hAnsi="Palatino Linotype"/>
          <w:sz w:val="24"/>
          <w:szCs w:val="24"/>
        </w:rPr>
        <w:t>evar los registros contables, financieros y administrativos de los ingresos, egresos, e inventarios</w:t>
      </w:r>
      <w:r w:rsidR="00EA55CE">
        <w:rPr>
          <w:rFonts w:ascii="Palatino Linotype" w:hAnsi="Palatino Linotype"/>
          <w:sz w:val="24"/>
          <w:szCs w:val="24"/>
        </w:rPr>
        <w:t>, g</w:t>
      </w:r>
      <w:r w:rsidR="00EA55CE" w:rsidRPr="00EA55CE">
        <w:rPr>
          <w:rFonts w:ascii="Palatino Linotype" w:hAnsi="Palatino Linotype"/>
          <w:sz w:val="24"/>
          <w:szCs w:val="24"/>
        </w:rPr>
        <w:t xml:space="preserve">losar oportunamente las cuentas del </w:t>
      </w:r>
      <w:r w:rsidR="006C283C" w:rsidRPr="00EA55CE">
        <w:rPr>
          <w:rFonts w:ascii="Palatino Linotype" w:hAnsi="Palatino Linotype"/>
          <w:sz w:val="24"/>
          <w:szCs w:val="24"/>
        </w:rPr>
        <w:t>ayuntamiento,</w:t>
      </w:r>
      <w:r w:rsidR="00EA55CE">
        <w:rPr>
          <w:rFonts w:ascii="Palatino Linotype" w:hAnsi="Palatino Linotype"/>
          <w:sz w:val="24"/>
          <w:szCs w:val="24"/>
        </w:rPr>
        <w:t xml:space="preserve"> así como administrar la hacienda pública municipal</w:t>
      </w:r>
      <w:r w:rsidR="006C283C">
        <w:rPr>
          <w:rFonts w:ascii="Palatino Linotype" w:hAnsi="Palatino Linotype"/>
          <w:sz w:val="24"/>
          <w:szCs w:val="24"/>
        </w:rPr>
        <w:t xml:space="preserve">, conforme los siguiente; </w:t>
      </w:r>
    </w:p>
    <w:p w14:paraId="3CF8D399" w14:textId="30DA61E9" w:rsidR="006C283C" w:rsidRPr="006C283C" w:rsidRDefault="000E54EB" w:rsidP="006C283C">
      <w:pPr>
        <w:spacing w:line="360" w:lineRule="auto"/>
        <w:ind w:left="708"/>
        <w:jc w:val="center"/>
        <w:rPr>
          <w:rFonts w:ascii="Palatino Linotype" w:hAnsi="Palatino Linotype"/>
          <w:b/>
          <w:bCs/>
          <w:i/>
          <w:iCs/>
        </w:rPr>
      </w:pPr>
      <w:r w:rsidRPr="006C283C">
        <w:rPr>
          <w:rFonts w:ascii="Palatino Linotype" w:hAnsi="Palatino Linotype"/>
          <w:b/>
          <w:bCs/>
          <w:i/>
          <w:iCs/>
        </w:rPr>
        <w:t>De la Tesorería Municipal</w:t>
      </w:r>
    </w:p>
    <w:p w14:paraId="60F427EC" w14:textId="1F73EA86" w:rsidR="000E54EB" w:rsidRDefault="000E54EB" w:rsidP="000E54EB">
      <w:pPr>
        <w:spacing w:line="360" w:lineRule="auto"/>
        <w:ind w:left="708"/>
        <w:jc w:val="both"/>
        <w:rPr>
          <w:rFonts w:ascii="Palatino Linotype" w:hAnsi="Palatino Linotype"/>
          <w:i/>
          <w:iCs/>
        </w:rPr>
      </w:pPr>
      <w:r w:rsidRPr="006C283C">
        <w:rPr>
          <w:rFonts w:ascii="Palatino Linotype" w:hAnsi="Palatino Linotype"/>
          <w:b/>
          <w:bCs/>
          <w:i/>
          <w:iCs/>
        </w:rPr>
        <w:lastRenderedPageBreak/>
        <w:t>Artículo 93.-</w:t>
      </w:r>
      <w:r w:rsidRPr="001C0B8C">
        <w:rPr>
          <w:rFonts w:ascii="Palatino Linotype" w:hAnsi="Palatino Linotype"/>
          <w:i/>
          <w:iCs/>
        </w:rPr>
        <w:t xml:space="preserve"> La tesorería municipal es el órgano encargado de la recaudación de los ingresos municipales y responsable de realizar las erogaciones que haga el ayuntamiento.</w:t>
      </w:r>
      <w:r w:rsidRPr="001C0B8C">
        <w:rPr>
          <w:rFonts w:ascii="Palatino Linotype" w:hAnsi="Palatino Linotype"/>
          <w:i/>
          <w:iCs/>
        </w:rPr>
        <w:tab/>
      </w:r>
    </w:p>
    <w:p w14:paraId="037FE7EF" w14:textId="77777777" w:rsidR="006C283C" w:rsidRPr="001C0B8C" w:rsidRDefault="006C283C" w:rsidP="000E54EB">
      <w:pPr>
        <w:spacing w:line="360" w:lineRule="auto"/>
        <w:ind w:left="708"/>
        <w:jc w:val="both"/>
        <w:rPr>
          <w:rFonts w:ascii="Palatino Linotype" w:hAnsi="Palatino Linotype"/>
          <w:i/>
          <w:iCs/>
        </w:rPr>
      </w:pPr>
    </w:p>
    <w:p w14:paraId="45A8D630" w14:textId="3172029B" w:rsidR="000E54EB" w:rsidRPr="001C0B8C" w:rsidRDefault="000E54EB" w:rsidP="000E54EB">
      <w:pPr>
        <w:spacing w:line="360" w:lineRule="auto"/>
        <w:ind w:firstLine="708"/>
        <w:jc w:val="both"/>
        <w:rPr>
          <w:rFonts w:ascii="Palatino Linotype" w:hAnsi="Palatino Linotype"/>
          <w:i/>
          <w:iCs/>
        </w:rPr>
      </w:pPr>
      <w:r w:rsidRPr="006C283C">
        <w:rPr>
          <w:rFonts w:ascii="Palatino Linotype" w:hAnsi="Palatino Linotype"/>
          <w:b/>
          <w:bCs/>
          <w:i/>
          <w:iCs/>
        </w:rPr>
        <w:t>Artículo 95</w:t>
      </w:r>
      <w:r w:rsidRPr="001C0B8C">
        <w:rPr>
          <w:rFonts w:ascii="Palatino Linotype" w:hAnsi="Palatino Linotype"/>
          <w:i/>
          <w:iCs/>
        </w:rPr>
        <w:t>.- Son atribuciones del tesorero municipal:</w:t>
      </w:r>
      <w:r w:rsidRPr="001C0B8C">
        <w:rPr>
          <w:rFonts w:ascii="Palatino Linotype" w:hAnsi="Palatino Linotype"/>
          <w:i/>
          <w:iCs/>
        </w:rPr>
        <w:tab/>
      </w:r>
    </w:p>
    <w:p w14:paraId="6DE9EFC2" w14:textId="77777777" w:rsidR="001C0B8C" w:rsidRPr="001C0B8C" w:rsidRDefault="000E54EB" w:rsidP="000E54EB">
      <w:pPr>
        <w:spacing w:line="360" w:lineRule="auto"/>
        <w:ind w:left="708"/>
        <w:jc w:val="both"/>
        <w:rPr>
          <w:rFonts w:ascii="Palatino Linotype" w:hAnsi="Palatino Linotype"/>
          <w:i/>
          <w:iCs/>
        </w:rPr>
      </w:pPr>
      <w:r w:rsidRPr="001C0B8C">
        <w:rPr>
          <w:rFonts w:ascii="Palatino Linotype" w:hAnsi="Palatino Linotype"/>
          <w:i/>
          <w:iCs/>
        </w:rPr>
        <w:t xml:space="preserve">I. Administrar la hacienda pública municipal, de conformidad con las disposiciones legales aplicables; </w:t>
      </w:r>
    </w:p>
    <w:p w14:paraId="073EA3CC" w14:textId="77777777" w:rsidR="001C0B8C" w:rsidRPr="001C0B8C" w:rsidRDefault="000E54EB" w:rsidP="000E54EB">
      <w:pPr>
        <w:spacing w:line="360" w:lineRule="auto"/>
        <w:ind w:left="708"/>
        <w:jc w:val="both"/>
        <w:rPr>
          <w:rFonts w:ascii="Palatino Linotype" w:hAnsi="Palatino Linotype"/>
          <w:i/>
          <w:iCs/>
        </w:rPr>
      </w:pPr>
      <w:r w:rsidRPr="001C0B8C">
        <w:rPr>
          <w:rFonts w:ascii="Palatino Linotype" w:hAnsi="Palatino Linotype"/>
          <w:i/>
          <w:iCs/>
        </w:rPr>
        <w:t>II. Determinar, liquidar, recaudar, fiscalizar y administrar las contribuciones en los términos de los ordenamientos jurídicos aplicables y, en su caso, aplicar el procedimiento administrativo de ejecución en términos de las disposiciones aplicables;</w:t>
      </w:r>
      <w:r w:rsidR="00C419F4" w:rsidRPr="001C0B8C">
        <w:rPr>
          <w:rFonts w:ascii="Palatino Linotype" w:hAnsi="Palatino Linotype"/>
          <w:i/>
          <w:iCs/>
        </w:rPr>
        <w:t xml:space="preserve"> </w:t>
      </w:r>
    </w:p>
    <w:p w14:paraId="72537004" w14:textId="4BBE3DDE" w:rsidR="001C0B8C" w:rsidRPr="001C0B8C" w:rsidRDefault="001C0B8C" w:rsidP="000E54EB">
      <w:pPr>
        <w:spacing w:line="360" w:lineRule="auto"/>
        <w:ind w:left="708"/>
        <w:jc w:val="both"/>
        <w:rPr>
          <w:rFonts w:ascii="Palatino Linotype" w:hAnsi="Palatino Linotype"/>
          <w:i/>
          <w:iCs/>
        </w:rPr>
      </w:pPr>
      <w:r w:rsidRPr="001C0B8C">
        <w:rPr>
          <w:rFonts w:ascii="Palatino Linotype" w:hAnsi="Palatino Linotype"/>
          <w:i/>
          <w:iCs/>
        </w:rPr>
        <w:t>….</w:t>
      </w:r>
    </w:p>
    <w:p w14:paraId="40038BDF" w14:textId="77777777" w:rsidR="001C0B8C" w:rsidRPr="001C0B8C" w:rsidRDefault="00C419F4" w:rsidP="000E54EB">
      <w:pPr>
        <w:spacing w:line="360" w:lineRule="auto"/>
        <w:ind w:left="708"/>
        <w:jc w:val="both"/>
        <w:rPr>
          <w:rFonts w:ascii="Palatino Linotype" w:hAnsi="Palatino Linotype"/>
          <w:i/>
          <w:iCs/>
        </w:rPr>
      </w:pPr>
      <w:r w:rsidRPr="001C0B8C">
        <w:rPr>
          <w:rFonts w:ascii="Palatino Linotype" w:hAnsi="Palatino Linotype"/>
          <w:i/>
          <w:iCs/>
        </w:rPr>
        <w:t xml:space="preserve">IV. Llevar los registros contables, financieros y administrativos de los ingresos, egresos, e inventarios; </w:t>
      </w:r>
    </w:p>
    <w:p w14:paraId="6C41D424" w14:textId="1D596C9D" w:rsidR="001C0B8C" w:rsidRPr="001C0B8C" w:rsidRDefault="001C0B8C" w:rsidP="000E54EB">
      <w:pPr>
        <w:spacing w:line="360" w:lineRule="auto"/>
        <w:ind w:left="708"/>
        <w:jc w:val="both"/>
        <w:rPr>
          <w:rFonts w:ascii="Palatino Linotype" w:hAnsi="Palatino Linotype"/>
          <w:i/>
          <w:iCs/>
        </w:rPr>
      </w:pPr>
      <w:r w:rsidRPr="001C0B8C">
        <w:rPr>
          <w:rFonts w:ascii="Palatino Linotype" w:hAnsi="Palatino Linotype"/>
          <w:i/>
          <w:iCs/>
        </w:rPr>
        <w:t>…</w:t>
      </w:r>
    </w:p>
    <w:p w14:paraId="6C840672" w14:textId="74EE1252" w:rsidR="000E54EB" w:rsidRPr="001C0B8C" w:rsidRDefault="00C419F4" w:rsidP="000E54EB">
      <w:pPr>
        <w:spacing w:line="360" w:lineRule="auto"/>
        <w:ind w:left="708"/>
        <w:jc w:val="both"/>
        <w:rPr>
          <w:rFonts w:ascii="Palatino Linotype" w:hAnsi="Palatino Linotype"/>
          <w:i/>
          <w:iCs/>
        </w:rPr>
      </w:pPr>
      <w:r w:rsidRPr="001C0B8C">
        <w:rPr>
          <w:rFonts w:ascii="Palatino Linotype" w:hAnsi="Palatino Linotype"/>
          <w:i/>
          <w:iCs/>
        </w:rPr>
        <w:t>XVI. Glosar oportunamente las cuentas del ayuntamiento;</w:t>
      </w:r>
    </w:p>
    <w:p w14:paraId="07876E1D" w14:textId="77777777" w:rsidR="006C283C" w:rsidRDefault="006C283C" w:rsidP="004E4193">
      <w:pPr>
        <w:spacing w:line="360" w:lineRule="auto"/>
        <w:jc w:val="both"/>
        <w:rPr>
          <w:rFonts w:ascii="Palatino Linotype" w:hAnsi="Palatino Linotype"/>
          <w:sz w:val="24"/>
          <w:szCs w:val="24"/>
        </w:rPr>
      </w:pPr>
    </w:p>
    <w:p w14:paraId="4F1F91DE" w14:textId="2099760A" w:rsidR="007B5A96" w:rsidRDefault="007B5A96" w:rsidP="004E4193">
      <w:pPr>
        <w:spacing w:line="360" w:lineRule="auto"/>
        <w:jc w:val="both"/>
        <w:rPr>
          <w:rFonts w:ascii="Palatino Linotype" w:hAnsi="Palatino Linotype"/>
          <w:sz w:val="24"/>
          <w:szCs w:val="24"/>
        </w:rPr>
      </w:pPr>
      <w:r w:rsidRPr="00185209">
        <w:rPr>
          <w:rFonts w:ascii="Palatino Linotype" w:hAnsi="Palatino Linotype"/>
          <w:sz w:val="24"/>
          <w:szCs w:val="24"/>
        </w:rPr>
        <w:t>En ese sentido, se procede a contextualizar la información requerida, para ello, resulta importante traer a colación lo que establece el Manual Único de Contabilidad Gubernamental para las Dependencias y Entidades Públicas del Gobierno y Municipios del Estado de México 202</w:t>
      </w:r>
      <w:r w:rsidR="00822701">
        <w:rPr>
          <w:rFonts w:ascii="Palatino Linotype" w:hAnsi="Palatino Linotype"/>
          <w:sz w:val="24"/>
          <w:szCs w:val="24"/>
        </w:rPr>
        <w:t>5</w:t>
      </w:r>
      <w:r w:rsidRPr="00185209">
        <w:rPr>
          <w:rFonts w:ascii="Palatino Linotype" w:hAnsi="Palatino Linotype"/>
          <w:sz w:val="24"/>
          <w:szCs w:val="24"/>
        </w:rPr>
        <w:t xml:space="preserve">, precisa que los Estados Financieros muestran los hechos con incidencia económica-financiera que ha realizado un ente público durante un periodo determinado y son necesarios para mostrar los resultados del ejercicio presupuestal, así como la situación patrimonial de los mismos. </w:t>
      </w:r>
    </w:p>
    <w:p w14:paraId="6EAC091B" w14:textId="77777777" w:rsidR="006C283C" w:rsidRPr="00185209" w:rsidRDefault="006C283C" w:rsidP="004E4193">
      <w:pPr>
        <w:spacing w:line="360" w:lineRule="auto"/>
        <w:jc w:val="both"/>
        <w:rPr>
          <w:rFonts w:ascii="Palatino Linotype" w:hAnsi="Palatino Linotype"/>
          <w:sz w:val="24"/>
          <w:szCs w:val="24"/>
        </w:rPr>
      </w:pPr>
    </w:p>
    <w:p w14:paraId="092BD1B6" w14:textId="7DBCB3EF" w:rsidR="007B5A96" w:rsidRPr="00185209" w:rsidRDefault="007B5A96" w:rsidP="004E4193">
      <w:pPr>
        <w:spacing w:line="360" w:lineRule="auto"/>
        <w:jc w:val="both"/>
        <w:rPr>
          <w:rFonts w:ascii="Palatino Linotype" w:hAnsi="Palatino Linotype"/>
          <w:sz w:val="24"/>
          <w:szCs w:val="24"/>
        </w:rPr>
      </w:pPr>
      <w:r w:rsidRPr="00185209">
        <w:rPr>
          <w:rFonts w:ascii="Palatino Linotype" w:hAnsi="Palatino Linotype"/>
          <w:sz w:val="24"/>
          <w:szCs w:val="24"/>
        </w:rPr>
        <w:t xml:space="preserve">El objetivo general de los estados </w:t>
      </w:r>
      <w:r w:rsidR="00094F15" w:rsidRPr="00185209">
        <w:rPr>
          <w:rFonts w:ascii="Palatino Linotype" w:hAnsi="Palatino Linotype"/>
          <w:sz w:val="24"/>
          <w:szCs w:val="24"/>
        </w:rPr>
        <w:t>financieros</w:t>
      </w:r>
      <w:r w:rsidRPr="00185209">
        <w:rPr>
          <w:rFonts w:ascii="Palatino Linotype" w:hAnsi="Palatino Linotype"/>
          <w:sz w:val="24"/>
          <w:szCs w:val="24"/>
        </w:rPr>
        <w:t xml:space="preserve"> es proporcionar información sobre la situación financiera, los resultados de la gestión, los flujos de efectivo y el ejercicio de la Ley de Ingresos y del Presupuesto de Egresos, así como de la postura fiscal de los entes públicos.</w:t>
      </w:r>
    </w:p>
    <w:p w14:paraId="5FF87B4D" w14:textId="77777777" w:rsidR="00A57558" w:rsidRDefault="007B5A96" w:rsidP="004E4193">
      <w:pPr>
        <w:spacing w:line="360" w:lineRule="auto"/>
        <w:jc w:val="both"/>
        <w:rPr>
          <w:rFonts w:ascii="Palatino Linotype" w:hAnsi="Palatino Linotype"/>
          <w:sz w:val="24"/>
          <w:szCs w:val="24"/>
        </w:rPr>
      </w:pPr>
      <w:r w:rsidRPr="00185209">
        <w:rPr>
          <w:rFonts w:ascii="Palatino Linotype" w:hAnsi="Palatino Linotype"/>
          <w:sz w:val="24"/>
          <w:szCs w:val="24"/>
        </w:rPr>
        <w:t xml:space="preserve">Asimismo, se entenderá como información financiera, a aquella contable y presupuestaria que se presentará en estados financieros, reportes e informes y, en su caso, de las notas explicativas y de la información necesaria que sea representativa de la situación del ente público. </w:t>
      </w:r>
    </w:p>
    <w:p w14:paraId="28B4CCC8" w14:textId="77777777" w:rsidR="00A57558" w:rsidRDefault="00A57558" w:rsidP="004E4193">
      <w:pPr>
        <w:spacing w:line="360" w:lineRule="auto"/>
        <w:jc w:val="both"/>
        <w:rPr>
          <w:rFonts w:ascii="Palatino Linotype" w:hAnsi="Palatino Linotype"/>
          <w:sz w:val="24"/>
          <w:szCs w:val="24"/>
        </w:rPr>
      </w:pPr>
    </w:p>
    <w:p w14:paraId="6289EFF1" w14:textId="12C09D4D" w:rsidR="007B5A96" w:rsidRPr="00185209" w:rsidRDefault="007B5A96" w:rsidP="004E4193">
      <w:pPr>
        <w:spacing w:line="360" w:lineRule="auto"/>
        <w:jc w:val="both"/>
        <w:rPr>
          <w:rFonts w:ascii="Palatino Linotype" w:hAnsi="Palatino Linotype"/>
          <w:sz w:val="24"/>
          <w:szCs w:val="24"/>
        </w:rPr>
      </w:pPr>
      <w:r w:rsidRPr="00185209">
        <w:rPr>
          <w:rFonts w:ascii="Palatino Linotype" w:hAnsi="Palatino Linotype"/>
          <w:sz w:val="24"/>
          <w:szCs w:val="24"/>
        </w:rPr>
        <w:t>Los entes públicos deberán generar y presentar los siguientes estados e información contable:</w:t>
      </w:r>
    </w:p>
    <w:p w14:paraId="1B5B043F" w14:textId="77777777"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a) Estado de Situación Financiera. </w:t>
      </w:r>
    </w:p>
    <w:p w14:paraId="1FBDD844" w14:textId="77777777"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b) Estado de Actividades para Entidades con fines no lucrativos. </w:t>
      </w:r>
    </w:p>
    <w:p w14:paraId="65973D0F" w14:textId="760E5AC9"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c) Estado de Resultados para Entidades con fines lucrativos. </w:t>
      </w:r>
    </w:p>
    <w:p w14:paraId="19B9A939" w14:textId="77777777"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d) Estado de Variación en la Hacienda Pública. e) Estado de Cambios en la Situación Financiera. </w:t>
      </w:r>
    </w:p>
    <w:p w14:paraId="7775721E" w14:textId="77777777"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f) Estado de Flujos de Efectivo. </w:t>
      </w:r>
    </w:p>
    <w:p w14:paraId="17FCAF3E" w14:textId="77777777"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g) Estado Analítico del Activo. </w:t>
      </w:r>
    </w:p>
    <w:p w14:paraId="2C645B7F" w14:textId="77777777"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 xml:space="preserve">h) Estado Analítico de la Deuda y Otros Pasivos. </w:t>
      </w:r>
    </w:p>
    <w:p w14:paraId="06D447C2" w14:textId="3D59CD7E" w:rsidR="00A57558"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lastRenderedPageBreak/>
        <w:t>i) Informe sobre Pasivos Contingentes</w:t>
      </w:r>
      <w:r w:rsidR="00A57558">
        <w:rPr>
          <w:rFonts w:ascii="Palatino Linotype" w:hAnsi="Palatino Linotype"/>
          <w:sz w:val="24"/>
          <w:szCs w:val="24"/>
        </w:rPr>
        <w:t>.</w:t>
      </w:r>
      <w:r w:rsidRPr="00185209">
        <w:rPr>
          <w:rFonts w:ascii="Palatino Linotype" w:hAnsi="Palatino Linotype"/>
          <w:sz w:val="24"/>
          <w:szCs w:val="24"/>
        </w:rPr>
        <w:t xml:space="preserve"> </w:t>
      </w:r>
    </w:p>
    <w:p w14:paraId="60C6DDDF" w14:textId="2116E823" w:rsidR="007B5A96" w:rsidRDefault="007B5A96" w:rsidP="00A57558">
      <w:pPr>
        <w:spacing w:line="360" w:lineRule="auto"/>
        <w:ind w:left="708"/>
        <w:jc w:val="both"/>
        <w:rPr>
          <w:rFonts w:ascii="Palatino Linotype" w:hAnsi="Palatino Linotype"/>
          <w:sz w:val="24"/>
          <w:szCs w:val="24"/>
        </w:rPr>
      </w:pPr>
      <w:r w:rsidRPr="00185209">
        <w:rPr>
          <w:rFonts w:ascii="Palatino Linotype" w:hAnsi="Palatino Linotype"/>
          <w:sz w:val="24"/>
          <w:szCs w:val="24"/>
        </w:rPr>
        <w:t>j) Notas a los Estados Financieros.</w:t>
      </w:r>
    </w:p>
    <w:p w14:paraId="5D205B42" w14:textId="77777777" w:rsidR="00A57558" w:rsidRPr="00185209" w:rsidRDefault="00A57558" w:rsidP="00A57558">
      <w:pPr>
        <w:spacing w:line="360" w:lineRule="auto"/>
        <w:ind w:left="708"/>
        <w:jc w:val="both"/>
        <w:rPr>
          <w:rFonts w:ascii="Palatino Linotype" w:hAnsi="Palatino Linotype"/>
          <w:sz w:val="24"/>
          <w:szCs w:val="24"/>
        </w:rPr>
      </w:pPr>
    </w:p>
    <w:p w14:paraId="483A8E60" w14:textId="4BFB7BA0" w:rsidR="007B5A96" w:rsidRDefault="00A57558" w:rsidP="004E4193">
      <w:pPr>
        <w:spacing w:line="360" w:lineRule="auto"/>
        <w:jc w:val="both"/>
        <w:rPr>
          <w:rFonts w:ascii="Palatino Linotype" w:hAnsi="Palatino Linotype"/>
          <w:sz w:val="24"/>
          <w:szCs w:val="24"/>
        </w:rPr>
      </w:pPr>
      <w:r>
        <w:rPr>
          <w:rFonts w:ascii="Palatino Linotype" w:hAnsi="Palatino Linotype"/>
          <w:sz w:val="24"/>
          <w:szCs w:val="24"/>
        </w:rPr>
        <w:t>L</w:t>
      </w:r>
      <w:r w:rsidR="007B5A96" w:rsidRPr="00185209">
        <w:rPr>
          <w:rFonts w:ascii="Palatino Linotype" w:hAnsi="Palatino Linotype"/>
          <w:sz w:val="24"/>
          <w:szCs w:val="24"/>
        </w:rPr>
        <w:t xml:space="preserve">a legislatura, a través del Órgano Superior de Fiscalización del Estado de México, controlará, fiscalizará y revisará el ingreso y el gasto público de los Poderes del Estado, Organismos Autónomos, Organismos Auxiliares y demás entes públicos que manejen recurso del Estado y Municipios, </w:t>
      </w:r>
      <w:r w:rsidR="007B5A96" w:rsidRPr="004A618F">
        <w:rPr>
          <w:rFonts w:ascii="Palatino Linotype" w:hAnsi="Palatino Linotype"/>
          <w:b/>
          <w:bCs/>
          <w:sz w:val="24"/>
          <w:szCs w:val="24"/>
        </w:rPr>
        <w:t>a través de los informes trimestrales</w:t>
      </w:r>
      <w:r w:rsidR="007B5A96" w:rsidRPr="00185209">
        <w:rPr>
          <w:rFonts w:ascii="Palatino Linotype" w:hAnsi="Palatino Linotype"/>
          <w:sz w:val="24"/>
          <w:szCs w:val="24"/>
        </w:rPr>
        <w:t>, que son documentos físico y/o electrónicos que trimestralmente deberán presentar, a través de la Secretaría de Finanzas del Poder Ejecutivo y las Tesorerías Municipales o sus equivalentes, dentro de los primeros veinte días hábiles posteriores al término del periodo a informar y para el trimestre correspondiente al cierre del ejercicio fiscal, para lo cual, deberán firmarse conforme a lo establecido en las matrices de firmas.</w:t>
      </w:r>
      <w:r w:rsidR="00B76E8A">
        <w:rPr>
          <w:rFonts w:ascii="Palatino Linotype" w:hAnsi="Palatino Linotype"/>
          <w:sz w:val="24"/>
          <w:szCs w:val="24"/>
        </w:rPr>
        <w:t xml:space="preserve"> Sirva de apoyo la siguiente imagen ilustrativa; </w:t>
      </w:r>
    </w:p>
    <w:p w14:paraId="094BEB32" w14:textId="3C36CD9B" w:rsidR="00B76E8A" w:rsidRPr="00185209" w:rsidRDefault="00803F69" w:rsidP="004E4193">
      <w:pPr>
        <w:spacing w:line="360" w:lineRule="auto"/>
        <w:jc w:val="both"/>
        <w:rPr>
          <w:rFonts w:ascii="Palatino Linotype" w:hAnsi="Palatino Linotype"/>
          <w:sz w:val="24"/>
          <w:szCs w:val="24"/>
        </w:rPr>
      </w:pPr>
      <w:r w:rsidRPr="00803F69">
        <w:rPr>
          <w:rFonts w:ascii="Palatino Linotype" w:hAnsi="Palatino Linotype"/>
          <w:noProof/>
          <w:sz w:val="24"/>
          <w:szCs w:val="24"/>
          <w:lang w:eastAsia="es-MX"/>
        </w:rPr>
        <w:drawing>
          <wp:inline distT="0" distB="0" distL="0" distR="0" wp14:anchorId="1D7A83B6" wp14:editId="3E436B4A">
            <wp:extent cx="5704551" cy="2771775"/>
            <wp:effectExtent l="0" t="0" r="0" b="0"/>
            <wp:docPr id="204712065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20659" name="Imagen 1" descr="Tabla&#10;&#10;El contenido generado por IA puede ser incorrecto."/>
                    <pic:cNvPicPr/>
                  </pic:nvPicPr>
                  <pic:blipFill>
                    <a:blip r:embed="rId8"/>
                    <a:stretch>
                      <a:fillRect/>
                    </a:stretch>
                  </pic:blipFill>
                  <pic:spPr>
                    <a:xfrm>
                      <a:off x="0" y="0"/>
                      <a:ext cx="5708280" cy="2773587"/>
                    </a:xfrm>
                    <a:prstGeom prst="rect">
                      <a:avLst/>
                    </a:prstGeom>
                  </pic:spPr>
                </pic:pic>
              </a:graphicData>
            </a:graphic>
          </wp:inline>
        </w:drawing>
      </w:r>
    </w:p>
    <w:p w14:paraId="0974D4F7" w14:textId="77777777" w:rsidR="0068664A" w:rsidRDefault="0068664A" w:rsidP="004E4193">
      <w:pPr>
        <w:spacing w:line="360" w:lineRule="auto"/>
        <w:jc w:val="both"/>
        <w:rPr>
          <w:rFonts w:ascii="Palatino Linotype" w:hAnsi="Palatino Linotype"/>
          <w:sz w:val="24"/>
          <w:szCs w:val="24"/>
        </w:rPr>
      </w:pPr>
    </w:p>
    <w:p w14:paraId="37E88247" w14:textId="07B35CFA" w:rsidR="007B5A96" w:rsidRPr="005C5F1D" w:rsidRDefault="00506C6D" w:rsidP="007B5A96">
      <w:pPr>
        <w:spacing w:line="360" w:lineRule="auto"/>
        <w:jc w:val="both"/>
        <w:rPr>
          <w:rFonts w:ascii="Palatino Linotype" w:hAnsi="Palatino Linotype"/>
          <w:sz w:val="24"/>
          <w:szCs w:val="24"/>
        </w:rPr>
      </w:pPr>
      <w:r>
        <w:rPr>
          <w:rFonts w:ascii="Palatino Linotype" w:hAnsi="Palatino Linotype"/>
          <w:sz w:val="24"/>
          <w:szCs w:val="24"/>
        </w:rPr>
        <w:t xml:space="preserve">Ahora </w:t>
      </w:r>
      <w:r w:rsidR="009237AB">
        <w:rPr>
          <w:rFonts w:ascii="Palatino Linotype" w:hAnsi="Palatino Linotype"/>
          <w:sz w:val="24"/>
          <w:szCs w:val="24"/>
        </w:rPr>
        <w:t>bien,</w:t>
      </w:r>
      <w:r>
        <w:rPr>
          <w:rFonts w:ascii="Palatino Linotype" w:hAnsi="Palatino Linotype"/>
          <w:sz w:val="24"/>
          <w:szCs w:val="24"/>
        </w:rPr>
        <w:t xml:space="preserve"> respecto la información en comento el Tesorero Municipal </w:t>
      </w:r>
      <w:r w:rsidR="00140E87">
        <w:rPr>
          <w:rFonts w:ascii="Palatino Linotype" w:hAnsi="Palatino Linotype"/>
          <w:sz w:val="24"/>
          <w:szCs w:val="24"/>
        </w:rPr>
        <w:t xml:space="preserve">manifestó que se encontraba en las siguientes ligas electrónicas en formato cerrado, las </w:t>
      </w:r>
      <w:r w:rsidR="007B5A96" w:rsidRPr="00C07CBF">
        <w:rPr>
          <w:rFonts w:ascii="Palatino Linotype" w:hAnsi="Palatino Linotype"/>
          <w:color w:val="222222"/>
          <w:sz w:val="24"/>
          <w:szCs w:val="24"/>
        </w:rPr>
        <w:t>cual</w:t>
      </w:r>
      <w:r w:rsidR="007B5A96">
        <w:rPr>
          <w:rFonts w:ascii="Palatino Linotype" w:hAnsi="Palatino Linotype"/>
          <w:color w:val="222222"/>
          <w:sz w:val="24"/>
          <w:szCs w:val="24"/>
        </w:rPr>
        <w:t>es</w:t>
      </w:r>
      <w:r w:rsidR="007B5A96" w:rsidRPr="00C07CBF">
        <w:rPr>
          <w:rFonts w:ascii="Palatino Linotype" w:hAnsi="Palatino Linotype"/>
          <w:color w:val="222222"/>
          <w:sz w:val="24"/>
          <w:szCs w:val="24"/>
        </w:rPr>
        <w:t xml:space="preserve"> pretendí</w:t>
      </w:r>
      <w:r w:rsidR="007B5A96">
        <w:rPr>
          <w:rFonts w:ascii="Palatino Linotype" w:hAnsi="Palatino Linotype"/>
          <w:color w:val="222222"/>
          <w:sz w:val="24"/>
          <w:szCs w:val="24"/>
        </w:rPr>
        <w:t xml:space="preserve">a </w:t>
      </w:r>
      <w:r w:rsidR="007B5A96" w:rsidRPr="00C07CBF">
        <w:rPr>
          <w:rFonts w:ascii="Palatino Linotype" w:hAnsi="Palatino Linotype"/>
          <w:color w:val="222222"/>
          <w:sz w:val="24"/>
          <w:szCs w:val="24"/>
        </w:rPr>
        <w:t xml:space="preserve">satisfacer el derecho al acceso a la información del Recurrente por lo que es prudente entonces recordar lo </w:t>
      </w:r>
      <w:r w:rsidR="007B5A96" w:rsidRPr="00C07CBF">
        <w:rPr>
          <w:rFonts w:ascii="Palatino Linotype" w:hAnsi="Palatino Linotype"/>
          <w:sz w:val="24"/>
          <w:szCs w:val="24"/>
        </w:rPr>
        <w:t>estipulado en los artículos 11 y 161 de la Ley de Transparencia y Acceso a la Información Pública del</w:t>
      </w:r>
      <w:r w:rsidR="007B5A96">
        <w:rPr>
          <w:rFonts w:ascii="Palatino Linotype" w:hAnsi="Palatino Linotype"/>
          <w:sz w:val="24"/>
          <w:szCs w:val="24"/>
        </w:rPr>
        <w:t xml:space="preserve"> </w:t>
      </w:r>
      <w:r w:rsidR="007B5A96" w:rsidRPr="00C07CBF">
        <w:rPr>
          <w:rFonts w:ascii="Palatino Linotype" w:hAnsi="Palatino Linotype"/>
          <w:sz w:val="24"/>
          <w:szCs w:val="24"/>
        </w:rPr>
        <w:t>Estado de México y Municipios</w:t>
      </w:r>
      <w:r w:rsidR="007B5A96">
        <w:rPr>
          <w:rFonts w:ascii="Palatino Linotype" w:hAnsi="Palatino Linotype"/>
          <w:color w:val="000000"/>
          <w:sz w:val="24"/>
          <w:szCs w:val="24"/>
        </w:rPr>
        <w:t xml:space="preserve">, sirva de referencia la siguiente imagen ilustrativa; </w:t>
      </w:r>
    </w:p>
    <w:p w14:paraId="6DDAB741" w14:textId="28FD1A46" w:rsidR="007B5A96" w:rsidRPr="00B26B78" w:rsidRDefault="00140E87" w:rsidP="007B5A96">
      <w:pPr>
        <w:spacing w:line="360" w:lineRule="auto"/>
        <w:jc w:val="center"/>
        <w:rPr>
          <w:rFonts w:ascii="Palatino Linotype" w:hAnsi="Palatino Linotype"/>
          <w:color w:val="000000"/>
          <w:sz w:val="24"/>
          <w:szCs w:val="24"/>
        </w:rPr>
      </w:pPr>
      <w:r w:rsidRPr="007F169D">
        <w:rPr>
          <w:rFonts w:cs="Palatino Linotype"/>
          <w:noProof/>
          <w:color w:val="000000"/>
          <w:lang w:eastAsia="es-MX"/>
        </w:rPr>
        <w:drawing>
          <wp:inline distT="0" distB="0" distL="0" distR="0" wp14:anchorId="10E5C1C7" wp14:editId="423F8E85">
            <wp:extent cx="4355759" cy="1445895"/>
            <wp:effectExtent l="0" t="0" r="6985" b="1905"/>
            <wp:docPr id="1010883242" name="Imagen 101088324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83242" name="Imagen 1010883242" descr="Texto&#10;&#10;El contenido generado por IA puede ser incorrecto."/>
                    <pic:cNvPicPr/>
                  </pic:nvPicPr>
                  <pic:blipFill>
                    <a:blip r:embed="rId7"/>
                    <a:stretch>
                      <a:fillRect/>
                    </a:stretch>
                  </pic:blipFill>
                  <pic:spPr>
                    <a:xfrm>
                      <a:off x="0" y="0"/>
                      <a:ext cx="4395821" cy="1459193"/>
                    </a:xfrm>
                    <a:prstGeom prst="rect">
                      <a:avLst/>
                    </a:prstGeom>
                  </pic:spPr>
                </pic:pic>
              </a:graphicData>
            </a:graphic>
          </wp:inline>
        </w:drawing>
      </w:r>
    </w:p>
    <w:p w14:paraId="7AB5342B" w14:textId="77777777" w:rsidR="007B5A96" w:rsidRPr="00C07CBF" w:rsidRDefault="007B5A96" w:rsidP="007B5A96">
      <w:pPr>
        <w:spacing w:line="360" w:lineRule="auto"/>
        <w:ind w:left="708"/>
        <w:jc w:val="both"/>
        <w:rPr>
          <w:rFonts w:ascii="Palatino Linotype" w:hAnsi="Palatino Linotype"/>
          <w:i/>
        </w:rPr>
      </w:pPr>
    </w:p>
    <w:p w14:paraId="149F43B2" w14:textId="77777777" w:rsidR="007B5A96" w:rsidRPr="00A22028" w:rsidRDefault="007B5A96" w:rsidP="007B5A96">
      <w:pPr>
        <w:spacing w:line="360" w:lineRule="auto"/>
        <w:ind w:left="708"/>
        <w:jc w:val="both"/>
        <w:rPr>
          <w:rFonts w:ascii="Palatino Linotype" w:hAnsi="Palatino Linotype"/>
          <w:i/>
        </w:rPr>
      </w:pPr>
      <w:r w:rsidRPr="00A22028">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3CF4B0B2" w14:textId="77777777" w:rsidR="007B5A96" w:rsidRPr="00A22028" w:rsidRDefault="007B5A96" w:rsidP="007B5A96">
      <w:pPr>
        <w:spacing w:line="360" w:lineRule="auto"/>
        <w:ind w:left="708"/>
        <w:rPr>
          <w:rFonts w:ascii="Palatino Linotype" w:hAnsi="Palatino Linotype"/>
          <w:i/>
        </w:rPr>
      </w:pPr>
      <w:r w:rsidRPr="00A22028">
        <w:rPr>
          <w:rFonts w:ascii="Palatino Linotype" w:hAnsi="Palatino Linotype"/>
          <w:i/>
        </w:rPr>
        <w:t xml:space="preserve">(…) </w:t>
      </w:r>
    </w:p>
    <w:p w14:paraId="122B7CE0" w14:textId="77777777" w:rsidR="007B5A96" w:rsidRPr="004272EE" w:rsidRDefault="007B5A96" w:rsidP="007B5A96">
      <w:pPr>
        <w:spacing w:line="360" w:lineRule="auto"/>
        <w:ind w:left="708"/>
        <w:jc w:val="both"/>
        <w:rPr>
          <w:rFonts w:ascii="Palatino Linotype" w:hAnsi="Palatino Linotype"/>
          <w:i/>
          <w:u w:val="single"/>
        </w:rPr>
      </w:pPr>
      <w:r w:rsidRPr="00A22028">
        <w:rPr>
          <w:rFonts w:ascii="Palatino Linotype" w:hAnsi="Palatino Linotype"/>
          <w:i/>
        </w:rPr>
        <w:t xml:space="preserve">Artículo 161. </w:t>
      </w:r>
      <w:r w:rsidRPr="00A22028">
        <w:rPr>
          <w:rFonts w:ascii="Palatino Linotype" w:hAnsi="Palatino Linotype"/>
          <w:b/>
          <w:i/>
        </w:rPr>
        <w:t xml:space="preserve">Cuando la información requerida por el solicitante ya esté disponible al público </w:t>
      </w:r>
      <w:r w:rsidRPr="00A22028">
        <w:rPr>
          <w:rFonts w:ascii="Palatino Linotype" w:hAnsi="Palatino Linotype"/>
          <w:i/>
        </w:rPr>
        <w:t xml:space="preserve">en medios impresos, tales como libros, compendios, trípticos, registros públicos, en formatos electrónicos disponibles en Internet o en cualquier otro medio, </w:t>
      </w:r>
      <w:r w:rsidRPr="00A22028">
        <w:rPr>
          <w:rFonts w:ascii="Palatino Linotype" w:hAnsi="Palatino Linotype"/>
          <w:i/>
          <w:u w:val="single"/>
        </w:rPr>
        <w:t xml:space="preserve">se le hará saber por el medio requerido por el solicitante la fuente, el lugar y la forma en que puede consultar, reproducir o </w:t>
      </w:r>
      <w:r w:rsidRPr="00A22028">
        <w:rPr>
          <w:rFonts w:ascii="Palatino Linotype" w:hAnsi="Palatino Linotype"/>
          <w:i/>
          <w:u w:val="single"/>
        </w:rPr>
        <w:lastRenderedPageBreak/>
        <w:t>adquirir dicha información en un plazo no mayor a cinco días hábiles. La fuente deberá ser precisa y concreta y no debe implicar que el solicitante realice una búsqueda en toda la información que se encuentre disponible</w:t>
      </w:r>
    </w:p>
    <w:p w14:paraId="217AB803" w14:textId="77777777" w:rsidR="00140E87" w:rsidRDefault="00140E87" w:rsidP="007B5A96">
      <w:pPr>
        <w:spacing w:line="360" w:lineRule="auto"/>
        <w:jc w:val="both"/>
        <w:rPr>
          <w:rFonts w:ascii="Palatino Linotype" w:hAnsi="Palatino Linotype"/>
          <w:sz w:val="24"/>
          <w:szCs w:val="24"/>
        </w:rPr>
      </w:pPr>
    </w:p>
    <w:p w14:paraId="2962598B" w14:textId="1DF37FCE" w:rsidR="007B5A96" w:rsidRPr="00C07CBF" w:rsidRDefault="007B5A96" w:rsidP="007B5A96">
      <w:pPr>
        <w:spacing w:line="360" w:lineRule="auto"/>
        <w:jc w:val="both"/>
        <w:rPr>
          <w:rFonts w:ascii="Palatino Linotype" w:hAnsi="Palatino Linotype"/>
          <w:sz w:val="24"/>
          <w:szCs w:val="24"/>
        </w:rPr>
      </w:pPr>
      <w:r w:rsidRPr="00C07CBF">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3D11FDDE" w14:textId="77777777" w:rsidR="007B5A96" w:rsidRPr="00283431" w:rsidRDefault="007B5A96" w:rsidP="007B5A96">
      <w:pPr>
        <w:spacing w:line="360" w:lineRule="auto"/>
        <w:rPr>
          <w:rFonts w:ascii="Palatino Linotype" w:hAnsi="Palatino Linotype"/>
        </w:rPr>
      </w:pPr>
      <w:r w:rsidRPr="00283431">
        <w:rPr>
          <w:rFonts w:ascii="Palatino Linotype" w:hAnsi="Palatino Linotype"/>
        </w:rPr>
        <w:t xml:space="preserve"> a) La fuente </w:t>
      </w:r>
    </w:p>
    <w:p w14:paraId="7644F55A" w14:textId="77777777" w:rsidR="007B5A96" w:rsidRPr="00283431" w:rsidRDefault="007B5A96" w:rsidP="007B5A96">
      <w:pPr>
        <w:spacing w:line="360" w:lineRule="auto"/>
        <w:rPr>
          <w:rFonts w:ascii="Palatino Linotype" w:hAnsi="Palatino Linotype"/>
        </w:rPr>
      </w:pPr>
      <w:r w:rsidRPr="00283431">
        <w:rPr>
          <w:rFonts w:ascii="Palatino Linotype" w:hAnsi="Palatino Linotype"/>
        </w:rPr>
        <w:t xml:space="preserve">b) El lugar y </w:t>
      </w:r>
    </w:p>
    <w:p w14:paraId="4E857761" w14:textId="77777777" w:rsidR="007B5A96" w:rsidRPr="00283431" w:rsidRDefault="007B5A96" w:rsidP="007B5A96">
      <w:pPr>
        <w:spacing w:line="360" w:lineRule="auto"/>
        <w:rPr>
          <w:rFonts w:ascii="Palatino Linotype" w:hAnsi="Palatino Linotype"/>
        </w:rPr>
      </w:pPr>
      <w:r>
        <w:rPr>
          <w:rFonts w:ascii="Palatino Linotype" w:hAnsi="Palatino Linotype"/>
        </w:rPr>
        <w:t xml:space="preserve">c) La forma </w:t>
      </w:r>
    </w:p>
    <w:p w14:paraId="71419D7A" w14:textId="77777777" w:rsidR="007B5A96" w:rsidRPr="00283431" w:rsidRDefault="007B5A96" w:rsidP="007B5A96">
      <w:pPr>
        <w:spacing w:line="360" w:lineRule="auto"/>
        <w:rPr>
          <w:rFonts w:ascii="Palatino Linotype" w:hAnsi="Palatino Linotype"/>
        </w:rPr>
      </w:pPr>
      <w:r w:rsidRPr="00283431">
        <w:rPr>
          <w:rFonts w:ascii="Palatino Linotype" w:hAnsi="Palatino Linotype"/>
        </w:rPr>
        <w:t>Asimismo, se establece que la fuente de la información deberá ser:</w:t>
      </w:r>
    </w:p>
    <w:p w14:paraId="7D4337F8" w14:textId="77777777" w:rsidR="007B5A96" w:rsidRPr="00F139AC" w:rsidRDefault="007B5A96" w:rsidP="007B5A96">
      <w:pPr>
        <w:spacing w:line="360" w:lineRule="auto"/>
        <w:rPr>
          <w:rFonts w:ascii="Palatino Linotype" w:hAnsi="Palatino Linotype"/>
          <w:b/>
          <w:bCs/>
        </w:rPr>
      </w:pPr>
      <w:r w:rsidRPr="00F139AC">
        <w:rPr>
          <w:rFonts w:ascii="Palatino Linotype" w:hAnsi="Palatino Linotype"/>
          <w:b/>
          <w:bCs/>
        </w:rPr>
        <w:t xml:space="preserve"> a) Precisa </w:t>
      </w:r>
    </w:p>
    <w:p w14:paraId="16C71F9B" w14:textId="77777777" w:rsidR="007B5A96" w:rsidRPr="00283431" w:rsidRDefault="007B5A96" w:rsidP="007B5A96">
      <w:pPr>
        <w:spacing w:line="360" w:lineRule="auto"/>
        <w:rPr>
          <w:rFonts w:ascii="Palatino Linotype" w:hAnsi="Palatino Linotype"/>
        </w:rPr>
      </w:pPr>
      <w:r w:rsidRPr="00283431">
        <w:rPr>
          <w:rFonts w:ascii="Palatino Linotype" w:hAnsi="Palatino Linotype"/>
        </w:rPr>
        <w:t xml:space="preserve">b) Concreta </w:t>
      </w:r>
    </w:p>
    <w:p w14:paraId="7014302F" w14:textId="77777777" w:rsidR="007B5A96" w:rsidRPr="00F27911" w:rsidRDefault="007B5A96" w:rsidP="007B5A96">
      <w:pPr>
        <w:spacing w:line="360" w:lineRule="auto"/>
        <w:rPr>
          <w:rFonts w:ascii="Palatino Linotype" w:hAnsi="Palatino Linotype"/>
          <w:b/>
        </w:rPr>
      </w:pPr>
      <w:r w:rsidRPr="00283431">
        <w:rPr>
          <w:rFonts w:ascii="Palatino Linotype" w:hAnsi="Palatino Linotype"/>
          <w:b/>
        </w:rPr>
        <w:t>c) Y no debe implicar que el solicitante realice una búsqueda en toda la informac</w:t>
      </w:r>
      <w:r>
        <w:rPr>
          <w:rFonts w:ascii="Palatino Linotype" w:hAnsi="Palatino Linotype"/>
          <w:b/>
        </w:rPr>
        <w:t>ión que se encuentre disponible.</w:t>
      </w:r>
    </w:p>
    <w:p w14:paraId="0F9FDCC1" w14:textId="77777777" w:rsidR="00140E87" w:rsidRDefault="00140E87" w:rsidP="007B5A96">
      <w:pPr>
        <w:spacing w:line="360" w:lineRule="auto"/>
        <w:jc w:val="both"/>
        <w:rPr>
          <w:rFonts w:ascii="Palatino Linotype" w:hAnsi="Palatino Linotype"/>
          <w:color w:val="222222"/>
          <w:sz w:val="24"/>
          <w:szCs w:val="24"/>
        </w:rPr>
      </w:pPr>
    </w:p>
    <w:p w14:paraId="1E76F0B8" w14:textId="7C53C1A7" w:rsidR="007B5A96" w:rsidRPr="00C07CBF" w:rsidRDefault="007B5A96" w:rsidP="007B5A96">
      <w:pPr>
        <w:spacing w:line="360" w:lineRule="auto"/>
        <w:jc w:val="both"/>
        <w:rPr>
          <w:rFonts w:ascii="Palatino Linotype" w:hAnsi="Palatino Linotype" w:cs="Arial"/>
          <w:sz w:val="24"/>
          <w:szCs w:val="24"/>
        </w:rPr>
      </w:pPr>
      <w:r w:rsidRPr="00C07CBF">
        <w:rPr>
          <w:rFonts w:ascii="Palatino Linotype" w:hAnsi="Palatino Linotype"/>
          <w:color w:val="222222"/>
          <w:sz w:val="24"/>
          <w:szCs w:val="24"/>
        </w:rPr>
        <w:t xml:space="preserve">Conforme lo anterior, se considera conveniente señalar que </w:t>
      </w:r>
      <w:r w:rsidRPr="00C07CBF">
        <w:rPr>
          <w:rFonts w:ascii="Palatino Linotype" w:hAnsi="Palatino Linotype"/>
          <w:color w:val="222222"/>
          <w:sz w:val="24"/>
          <w:szCs w:val="24"/>
          <w:lang w:eastAsia="es-MX"/>
        </w:rPr>
        <w:t>e</w:t>
      </w:r>
      <w:r w:rsidRPr="00C07CBF">
        <w:rPr>
          <w:rFonts w:ascii="Palatino Linotype" w:hAnsi="Palatino Linotype"/>
          <w:sz w:val="24"/>
          <w:szCs w:val="24"/>
          <w:lang w:eastAsia="es-MX"/>
        </w:rPr>
        <w:t xml:space="preserve">l artículo 161 de la </w:t>
      </w:r>
      <w:r w:rsidRPr="00C07CBF">
        <w:rPr>
          <w:rFonts w:ascii="Palatino Linotype" w:hAnsi="Palatino Linotype"/>
          <w:color w:val="222222"/>
          <w:sz w:val="24"/>
          <w:szCs w:val="24"/>
          <w:lang w:eastAsia="es-MX"/>
        </w:rPr>
        <w:t xml:space="preserve">de Transparencia y Acceso a la Información Pública del Estado de México y Municipios ya </w:t>
      </w:r>
      <w:r w:rsidRPr="00C07CBF">
        <w:rPr>
          <w:rFonts w:ascii="Palatino Linotype" w:hAnsi="Palatino Linotype"/>
          <w:color w:val="222222"/>
          <w:sz w:val="24"/>
          <w:szCs w:val="24"/>
          <w:lang w:eastAsia="es-MX"/>
        </w:rPr>
        <w:lastRenderedPageBreak/>
        <w:t>antes referido</w:t>
      </w:r>
      <w:r w:rsidRPr="00C07CBF">
        <w:rPr>
          <w:rFonts w:ascii="Palatino Linotype" w:hAnsi="Palatino Linotype"/>
          <w:sz w:val="24"/>
          <w:szCs w:val="24"/>
          <w:lang w:eastAsia="es-MX"/>
        </w:rPr>
        <w:t>,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C07CBF">
        <w:rPr>
          <w:rFonts w:ascii="Palatino Linotype" w:eastAsiaTheme="minorEastAsia" w:hAnsi="Palatino Linotype" w:cs="Arial"/>
          <w:i/>
          <w:sz w:val="24"/>
          <w:szCs w:val="24"/>
          <w:lang w:val="es-ES_tradnl"/>
        </w:rPr>
        <w:t xml:space="preserve"> </w:t>
      </w:r>
      <w:r w:rsidRPr="00C07CBF">
        <w:rPr>
          <w:rFonts w:ascii="Palatino Linotype" w:hAnsi="Palatino Linotype" w:cs="Arial"/>
          <w:sz w:val="24"/>
          <w:szCs w:val="24"/>
        </w:rPr>
        <w:t xml:space="preserve">Aunado a lo anterior, se destaca que </w:t>
      </w:r>
      <w:r w:rsidRPr="005C5F1D">
        <w:rPr>
          <w:rFonts w:ascii="Palatino Linotype" w:hAnsi="Palatino Linotype" w:cs="Arial"/>
          <w:b/>
          <w:sz w:val="24"/>
          <w:szCs w:val="24"/>
        </w:rPr>
        <w:t>las ligas electrónicas proporcionadas en respuesta se encuentran en formato cerrado</w:t>
      </w:r>
      <w:r w:rsidRPr="00C07CBF">
        <w:rPr>
          <w:rFonts w:ascii="Palatino Linotype" w:hAnsi="Palatino Linotype" w:cs="Arial"/>
          <w:sz w:val="24"/>
          <w:szCs w:val="24"/>
        </w:rPr>
        <w:t xml:space="preserve">; es decir, implica que el particular transcriba el mismo, lo que pudiera generar la existencia de un error humano y hacer imposible su consulta. </w:t>
      </w:r>
    </w:p>
    <w:p w14:paraId="53FD75A5" w14:textId="159C7FD5" w:rsidR="007B5A96" w:rsidRDefault="007B5A96" w:rsidP="007B5A96">
      <w:pPr>
        <w:spacing w:line="360" w:lineRule="auto"/>
        <w:jc w:val="both"/>
        <w:rPr>
          <w:rFonts w:ascii="Palatino Linotype" w:hAnsi="Palatino Linotype"/>
          <w:sz w:val="24"/>
          <w:szCs w:val="24"/>
        </w:rPr>
      </w:pPr>
      <w:r w:rsidRPr="00C07CBF">
        <w:rPr>
          <w:rFonts w:ascii="Palatino Linotype" w:eastAsiaTheme="minorEastAsia" w:hAnsi="Palatino Linotype" w:cs="Arial"/>
          <w:sz w:val="24"/>
          <w:szCs w:val="24"/>
          <w:lang w:val="es-ES_tradnl"/>
        </w:rPr>
        <w:t>De lo descrito con anterioridad</w:t>
      </w:r>
      <w:r w:rsidRPr="00C07CBF">
        <w:rPr>
          <w:sz w:val="24"/>
          <w:szCs w:val="24"/>
        </w:rPr>
        <w:t xml:space="preserve"> </w:t>
      </w:r>
      <w:r w:rsidRPr="00C07CBF">
        <w:rPr>
          <w:rFonts w:ascii="Palatino Linotype" w:hAnsi="Palatino Linotype"/>
          <w:sz w:val="24"/>
          <w:szCs w:val="24"/>
        </w:rPr>
        <w:t>es necesario precisar que entonces para tener acceso a la</w:t>
      </w:r>
      <w:r>
        <w:rPr>
          <w:rFonts w:ascii="Palatino Linotype" w:hAnsi="Palatino Linotype"/>
          <w:sz w:val="24"/>
          <w:szCs w:val="24"/>
        </w:rPr>
        <w:t>s</w:t>
      </w:r>
      <w:r w:rsidRPr="00C07CBF">
        <w:rPr>
          <w:rFonts w:ascii="Palatino Linotype" w:hAnsi="Palatino Linotype"/>
          <w:sz w:val="24"/>
          <w:szCs w:val="24"/>
        </w:rPr>
        <w:t xml:space="preserve"> liga</w:t>
      </w:r>
      <w:r>
        <w:rPr>
          <w:rFonts w:ascii="Palatino Linotype" w:hAnsi="Palatino Linotype"/>
          <w:sz w:val="24"/>
          <w:szCs w:val="24"/>
        </w:rPr>
        <w:t>s</w:t>
      </w:r>
      <w:r w:rsidRPr="00C07CBF">
        <w:rPr>
          <w:rFonts w:ascii="Palatino Linotype" w:hAnsi="Palatino Linotype"/>
          <w:sz w:val="24"/>
          <w:szCs w:val="24"/>
        </w:rPr>
        <w:t xml:space="preserve"> proporcionada</w:t>
      </w:r>
      <w:r w:rsidR="00752B75">
        <w:rPr>
          <w:rFonts w:ascii="Palatino Linotype" w:hAnsi="Palatino Linotype"/>
          <w:sz w:val="24"/>
          <w:szCs w:val="24"/>
        </w:rPr>
        <w:t>s</w:t>
      </w:r>
      <w:r w:rsidRPr="00C07CBF">
        <w:rPr>
          <w:rFonts w:ascii="Palatino Linotype" w:hAnsi="Palatino Linotype"/>
          <w:sz w:val="24"/>
          <w:szCs w:val="24"/>
        </w:rPr>
        <w:t xml:space="preserve"> </w:t>
      </w:r>
      <w:proofErr w:type="spellStart"/>
      <w:r w:rsidRPr="00C07CBF">
        <w:rPr>
          <w:rFonts w:ascii="Palatino Linotype" w:hAnsi="Palatino Linotype"/>
          <w:sz w:val="24"/>
          <w:szCs w:val="24"/>
        </w:rPr>
        <w:t>seria</w:t>
      </w:r>
      <w:proofErr w:type="spellEnd"/>
      <w:r w:rsidRPr="00C07CBF">
        <w:rPr>
          <w:rFonts w:ascii="Palatino Linotype" w:hAnsi="Palatino Linotype"/>
          <w:sz w:val="24"/>
          <w:szCs w:val="24"/>
        </w:rPr>
        <w:t xml:space="preserve"> necesario capturar la dirección electrónica carácter por carácter, ya que el documento digitalizado a través del cual se proporcionó la liga </w:t>
      </w:r>
      <w:r w:rsidRPr="00FE03AA">
        <w:rPr>
          <w:rFonts w:ascii="Palatino Linotype" w:hAnsi="Palatino Linotype"/>
          <w:b/>
          <w:sz w:val="24"/>
          <w:szCs w:val="24"/>
        </w:rPr>
        <w:t>no permite editar, modificar o procesar su contenido</w:t>
      </w:r>
      <w:r w:rsidR="00752B75">
        <w:rPr>
          <w:rFonts w:ascii="Palatino Linotype" w:hAnsi="Palatino Linotype"/>
          <w:sz w:val="24"/>
          <w:szCs w:val="24"/>
        </w:rPr>
        <w:t>.</w:t>
      </w:r>
    </w:p>
    <w:p w14:paraId="3D971AA0" w14:textId="77777777" w:rsidR="007B5A96" w:rsidRPr="00C07CBF" w:rsidRDefault="007B5A96" w:rsidP="007B5A96">
      <w:pPr>
        <w:spacing w:line="360" w:lineRule="auto"/>
        <w:jc w:val="both"/>
        <w:rPr>
          <w:rFonts w:ascii="Palatino Linotype" w:hAnsi="Palatino Linotype"/>
          <w:sz w:val="24"/>
          <w:szCs w:val="24"/>
        </w:rPr>
      </w:pPr>
    </w:p>
    <w:p w14:paraId="68E5443D" w14:textId="77777777" w:rsidR="007B5A96" w:rsidRDefault="007B5A96" w:rsidP="007B5A96">
      <w:pPr>
        <w:spacing w:line="360" w:lineRule="auto"/>
        <w:jc w:val="both"/>
        <w:rPr>
          <w:rFonts w:ascii="Palatino Linotype" w:hAnsi="Palatino Linotype" w:cs="Tahoma"/>
          <w:b/>
          <w:bCs/>
          <w:i/>
          <w:sz w:val="24"/>
          <w:szCs w:val="24"/>
        </w:rPr>
      </w:pPr>
      <w:r w:rsidRPr="00C07CBF">
        <w:rPr>
          <w:rFonts w:ascii="Palatino Linotype" w:hAnsi="Palatino Linotype"/>
          <w:sz w:val="24"/>
          <w:szCs w:val="24"/>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r>
        <w:rPr>
          <w:rFonts w:ascii="Palatino Linotype" w:hAnsi="Palatino Linotype"/>
          <w:sz w:val="24"/>
          <w:szCs w:val="24"/>
          <w:lang w:eastAsia="es-MX"/>
        </w:rPr>
        <w:t xml:space="preserve"> </w:t>
      </w:r>
      <w:r w:rsidRPr="00C07CBF">
        <w:rPr>
          <w:rFonts w:ascii="Palatino Linotype" w:eastAsia="Calibri" w:hAnsi="Palatino Linotype" w:cs="Tahoma"/>
          <w:bCs/>
          <w:sz w:val="24"/>
          <w:szCs w:val="24"/>
        </w:rPr>
        <w:t xml:space="preserve">Derivado de lo anterior, se considera necesario precisar que datos abiertos, conforme a la </w:t>
      </w:r>
      <w:r w:rsidRPr="00C07CBF">
        <w:rPr>
          <w:rFonts w:ascii="Palatino Linotype" w:hAnsi="Palatino Linotype" w:cs="Tahoma"/>
          <w:bCs/>
          <w:sz w:val="24"/>
          <w:szCs w:val="24"/>
        </w:rPr>
        <w:t>Carta Internacional de Datos Abiertos</w:t>
      </w:r>
      <w:r w:rsidRPr="00C07CBF">
        <w:rPr>
          <w:rStyle w:val="Refdenotaalpie"/>
          <w:rFonts w:ascii="Palatino Linotype" w:hAnsi="Palatino Linotype" w:cs="Tahoma"/>
          <w:bCs/>
          <w:sz w:val="24"/>
          <w:szCs w:val="24"/>
        </w:rPr>
        <w:footnoteReference w:id="2"/>
      </w:r>
      <w:r w:rsidRPr="00C07CBF">
        <w:rPr>
          <w:rFonts w:ascii="Palatino Linotype" w:eastAsia="Calibri" w:hAnsi="Palatino Linotype" w:cs="Tahoma"/>
          <w:bCs/>
          <w:sz w:val="24"/>
          <w:szCs w:val="24"/>
        </w:rPr>
        <w:t xml:space="preserve"> </w:t>
      </w:r>
      <w:r w:rsidRPr="00C07CBF">
        <w:rPr>
          <w:rFonts w:ascii="Palatino Linotype" w:hAnsi="Palatino Linotype" w:cs="Tahoma"/>
          <w:bCs/>
          <w:i/>
          <w:sz w:val="24"/>
          <w:szCs w:val="24"/>
        </w:rPr>
        <w:t xml:space="preserve">son datos digitales que son puestos a disposición con las características técnicas y jurídicas necesarias para que </w:t>
      </w:r>
      <w:r w:rsidRPr="00C07CBF">
        <w:rPr>
          <w:rFonts w:ascii="Palatino Linotype" w:hAnsi="Palatino Linotype" w:cs="Tahoma"/>
          <w:b/>
          <w:bCs/>
          <w:i/>
          <w:sz w:val="24"/>
          <w:szCs w:val="24"/>
        </w:rPr>
        <w:t xml:space="preserve">puedan ser </w:t>
      </w:r>
      <w:r w:rsidRPr="00C07CBF">
        <w:rPr>
          <w:rFonts w:ascii="Palatino Linotype" w:hAnsi="Palatino Linotype" w:cs="Tahoma"/>
          <w:b/>
          <w:bCs/>
          <w:i/>
          <w:sz w:val="24"/>
          <w:szCs w:val="24"/>
          <w:u w:val="single"/>
        </w:rPr>
        <w:t>usados, reutilizados y redistribuidos</w:t>
      </w:r>
      <w:r w:rsidRPr="00C07CBF">
        <w:rPr>
          <w:rFonts w:ascii="Palatino Linotype" w:hAnsi="Palatino Linotype" w:cs="Tahoma"/>
          <w:b/>
          <w:bCs/>
          <w:i/>
          <w:sz w:val="24"/>
          <w:szCs w:val="24"/>
        </w:rPr>
        <w:t xml:space="preserve"> libremente por cualquier persona, en cualquier momento y en cualquier lugar.</w:t>
      </w:r>
    </w:p>
    <w:p w14:paraId="3E77C961" w14:textId="77777777" w:rsidR="007B5A96" w:rsidRPr="005C5F1D" w:rsidRDefault="007B5A96" w:rsidP="007B5A96">
      <w:pPr>
        <w:spacing w:line="360" w:lineRule="auto"/>
        <w:jc w:val="both"/>
        <w:rPr>
          <w:rFonts w:ascii="Palatino Linotype" w:hAnsi="Palatino Linotype"/>
          <w:sz w:val="24"/>
          <w:szCs w:val="24"/>
          <w:lang w:eastAsia="es-MX"/>
        </w:rPr>
      </w:pPr>
    </w:p>
    <w:p w14:paraId="14755353" w14:textId="77777777" w:rsidR="007B5A96" w:rsidRPr="00C07CBF" w:rsidRDefault="007B5A96" w:rsidP="007B5A96">
      <w:pPr>
        <w:spacing w:line="360" w:lineRule="auto"/>
        <w:jc w:val="both"/>
        <w:rPr>
          <w:rFonts w:ascii="Palatino Linotype" w:hAnsi="Palatino Linotype"/>
          <w:sz w:val="24"/>
          <w:szCs w:val="24"/>
          <w:lang w:eastAsia="es-MX"/>
        </w:rPr>
      </w:pPr>
      <w:r w:rsidRPr="00C07CBF">
        <w:rPr>
          <w:rFonts w:ascii="Palatino Linotype" w:hAnsi="Palatino Linotype"/>
          <w:sz w:val="24"/>
          <w:szCs w:val="24"/>
          <w:lang w:eastAsia="es-MX"/>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40A5CC2" w14:textId="77777777" w:rsidR="007B5A96" w:rsidRPr="00A22028" w:rsidRDefault="007B5A96" w:rsidP="007B5A96">
      <w:pPr>
        <w:spacing w:line="360" w:lineRule="auto"/>
        <w:ind w:left="720"/>
        <w:jc w:val="both"/>
        <w:rPr>
          <w:rFonts w:ascii="Palatino Linotype" w:hAnsi="Palatino Linotype"/>
          <w:i/>
          <w:lang w:eastAsia="es-MX"/>
        </w:rPr>
      </w:pPr>
      <w:r w:rsidRPr="00A22028">
        <w:rPr>
          <w:rFonts w:ascii="Palatino Linotype" w:hAnsi="Palatino Linotype"/>
          <w:lang w:eastAsia="es-MX"/>
        </w:rPr>
        <w:t xml:space="preserve">·         </w:t>
      </w:r>
      <w:r w:rsidRPr="00A22028">
        <w:rPr>
          <w:rFonts w:ascii="Palatino Linotype" w:hAnsi="Palatino Linotype"/>
          <w:b/>
          <w:bCs/>
          <w:i/>
          <w:lang w:eastAsia="es-MX"/>
        </w:rPr>
        <w:t xml:space="preserve">Dato abierto: </w:t>
      </w:r>
      <w:r w:rsidRPr="00A22028">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C9574DD" w14:textId="77777777" w:rsidR="007B5A96" w:rsidRPr="00A22028" w:rsidRDefault="007B5A96" w:rsidP="007B5A96">
      <w:pPr>
        <w:spacing w:line="360" w:lineRule="auto"/>
        <w:ind w:left="720"/>
        <w:jc w:val="both"/>
        <w:rPr>
          <w:rFonts w:ascii="Palatino Linotype" w:hAnsi="Palatino Linotype"/>
          <w:i/>
          <w:lang w:eastAsia="es-MX"/>
        </w:rPr>
      </w:pPr>
      <w:r w:rsidRPr="00A22028">
        <w:rPr>
          <w:rFonts w:ascii="Palatino Linotype" w:hAnsi="Palatino Linotype"/>
          <w:i/>
          <w:lang w:eastAsia="es-MX"/>
        </w:rPr>
        <w:t xml:space="preserve">·         </w:t>
      </w:r>
      <w:r w:rsidRPr="00A22028">
        <w:rPr>
          <w:rFonts w:ascii="Palatino Linotype" w:hAnsi="Palatino Linotype"/>
          <w:b/>
          <w:bCs/>
          <w:i/>
          <w:lang w:eastAsia="es-MX"/>
        </w:rPr>
        <w:t xml:space="preserve">Formato accesible: </w:t>
      </w:r>
      <w:r w:rsidRPr="00A22028">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CB11BD4" w14:textId="77777777" w:rsidR="007B5A96" w:rsidRPr="00920AAE" w:rsidRDefault="007B5A96" w:rsidP="007B5A96">
      <w:pPr>
        <w:spacing w:line="360" w:lineRule="auto"/>
        <w:ind w:left="720"/>
        <w:jc w:val="both"/>
        <w:rPr>
          <w:rFonts w:ascii="Palatino Linotype" w:hAnsi="Palatino Linotype"/>
          <w:i/>
          <w:lang w:eastAsia="es-MX"/>
        </w:rPr>
      </w:pPr>
    </w:p>
    <w:p w14:paraId="518549D0" w14:textId="77777777" w:rsidR="007B5A96" w:rsidRPr="00C07CBF" w:rsidRDefault="007B5A96" w:rsidP="007B5A96">
      <w:pPr>
        <w:spacing w:line="360" w:lineRule="auto"/>
        <w:jc w:val="both"/>
        <w:rPr>
          <w:rFonts w:ascii="Palatino Linotype" w:hAnsi="Palatino Linotype" w:cs="Tahoma"/>
          <w:bCs/>
          <w:sz w:val="24"/>
          <w:szCs w:val="24"/>
        </w:rPr>
      </w:pPr>
      <w:r w:rsidRPr="00C07CBF">
        <w:rPr>
          <w:rFonts w:ascii="Palatino Linotype" w:hAnsi="Palatino Linotype" w:cs="Tahoma"/>
          <w:bCs/>
          <w:sz w:val="24"/>
          <w:szCs w:val="24"/>
        </w:rPr>
        <w:t xml:space="preserve">En este sentido, los datos abiertos cumplen con la finalidad de poder ser utilizados, </w:t>
      </w:r>
      <w:r w:rsidRPr="00C07CBF">
        <w:rPr>
          <w:rFonts w:ascii="Palatino Linotype" w:hAnsi="Palatino Linotype" w:cs="Tahoma"/>
          <w:b/>
          <w:bCs/>
          <w:sz w:val="24"/>
          <w:szCs w:val="24"/>
          <w:u w:val="single"/>
        </w:rPr>
        <w:t xml:space="preserve">reutilizados </w:t>
      </w:r>
      <w:r w:rsidRPr="00C07CBF">
        <w:rPr>
          <w:rFonts w:ascii="Palatino Linotype" w:hAnsi="Palatino Linotype" w:cs="Tahoma"/>
          <w:bCs/>
          <w:sz w:val="24"/>
          <w:szCs w:val="24"/>
        </w:rPr>
        <w:t xml:space="preserve">y redistribuidos; y que el formato de datos abiertos, </w:t>
      </w:r>
      <w:r w:rsidRPr="00C07CBF">
        <w:rPr>
          <w:rFonts w:ascii="Palatino Linotype" w:hAnsi="Palatino Linotype" w:cs="Tahoma"/>
          <w:b/>
          <w:bCs/>
          <w:sz w:val="24"/>
          <w:szCs w:val="24"/>
        </w:rPr>
        <w:t>debe permitir la aplicación y reproducción</w:t>
      </w:r>
      <w:r w:rsidRPr="00C07CBF">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C07CBF">
        <w:rPr>
          <w:rFonts w:ascii="Palatino Linotype" w:hAnsi="Palatino Linotype" w:cs="Tahoma"/>
          <w:bCs/>
          <w:sz w:val="24"/>
          <w:szCs w:val="24"/>
        </w:rPr>
        <w:t>pdf</w:t>
      </w:r>
      <w:proofErr w:type="spellEnd"/>
      <w:r w:rsidRPr="00C07CBF">
        <w:rPr>
          <w:rFonts w:ascii="Palatino Linotype" w:hAnsi="Palatino Linotype" w:cs="Tahoma"/>
          <w:bCs/>
          <w:sz w:val="24"/>
          <w:szCs w:val="24"/>
        </w:rPr>
        <w:t>, no permite seleccionar texto, copiarlo y pegarlo; por tanto, tampoco permite que la información pueda ser utilizada, reutilizada o redistribuida.</w:t>
      </w:r>
    </w:p>
    <w:p w14:paraId="016D9A71" w14:textId="77777777" w:rsidR="007B5A96" w:rsidRPr="00C07CBF" w:rsidRDefault="007B5A96" w:rsidP="007B5A96">
      <w:pPr>
        <w:spacing w:line="360" w:lineRule="auto"/>
        <w:jc w:val="both"/>
        <w:rPr>
          <w:rFonts w:ascii="Palatino Linotype" w:hAnsi="Palatino Linotype" w:cs="Tahoma"/>
          <w:bCs/>
          <w:sz w:val="24"/>
          <w:szCs w:val="24"/>
        </w:rPr>
      </w:pPr>
    </w:p>
    <w:p w14:paraId="64CA876A" w14:textId="4EC6C560" w:rsidR="007B5A96" w:rsidRDefault="007B5A96" w:rsidP="007B5A96">
      <w:pPr>
        <w:spacing w:line="360" w:lineRule="auto"/>
        <w:jc w:val="both"/>
        <w:rPr>
          <w:rFonts w:ascii="Palatino Linotype" w:hAnsi="Palatino Linotype"/>
          <w:sz w:val="24"/>
          <w:szCs w:val="24"/>
          <w:lang w:eastAsia="es-MX"/>
        </w:rPr>
      </w:pPr>
      <w:r>
        <w:rPr>
          <w:rFonts w:ascii="Palatino Linotype" w:hAnsi="Palatino Linotype" w:cs="Arial"/>
          <w:sz w:val="24"/>
          <w:szCs w:val="24"/>
        </w:rPr>
        <w:t xml:space="preserve">Entonces es de precisarse que </w:t>
      </w:r>
      <w:r w:rsidRPr="00C07CBF">
        <w:rPr>
          <w:rFonts w:ascii="Palatino Linotype" w:hAnsi="Palatino Linotype" w:cs="Arial"/>
          <w:sz w:val="24"/>
          <w:szCs w:val="24"/>
        </w:rPr>
        <w:t xml:space="preserve">el </w:t>
      </w:r>
      <w:r w:rsidRPr="00C07CBF">
        <w:rPr>
          <w:rFonts w:ascii="Palatino Linotype" w:hAnsi="Palatino Linotype" w:cs="Arial"/>
          <w:b/>
          <w:sz w:val="24"/>
          <w:szCs w:val="24"/>
        </w:rPr>
        <w:t xml:space="preserve">SUJETO OBLIGADO </w:t>
      </w:r>
      <w:r w:rsidRPr="00C07CBF">
        <w:rPr>
          <w:rFonts w:ascii="Palatino Linotype" w:hAnsi="Palatino Linotype" w:cs="Arial"/>
          <w:sz w:val="24"/>
          <w:szCs w:val="24"/>
        </w:rPr>
        <w:t>mediante respuesta no atendió el derecho de acceso a la información dado que la</w:t>
      </w:r>
      <w:r>
        <w:rPr>
          <w:rFonts w:ascii="Palatino Linotype" w:hAnsi="Palatino Linotype" w:cs="Arial"/>
          <w:sz w:val="24"/>
          <w:szCs w:val="24"/>
        </w:rPr>
        <w:t>s</w:t>
      </w:r>
      <w:r w:rsidRPr="00C07CBF">
        <w:rPr>
          <w:rFonts w:ascii="Palatino Linotype" w:hAnsi="Palatino Linotype" w:cs="Arial"/>
          <w:sz w:val="24"/>
          <w:szCs w:val="24"/>
        </w:rPr>
        <w:t xml:space="preserve"> liga</w:t>
      </w:r>
      <w:r>
        <w:rPr>
          <w:rFonts w:ascii="Palatino Linotype" w:hAnsi="Palatino Linotype" w:cs="Arial"/>
          <w:sz w:val="24"/>
          <w:szCs w:val="24"/>
        </w:rPr>
        <w:t>s</w:t>
      </w:r>
      <w:r w:rsidRPr="00C07CBF">
        <w:rPr>
          <w:rFonts w:ascii="Palatino Linotype" w:hAnsi="Palatino Linotype" w:cs="Arial"/>
          <w:sz w:val="24"/>
          <w:szCs w:val="24"/>
        </w:rPr>
        <w:t xml:space="preserve"> electrónica</w:t>
      </w:r>
      <w:r>
        <w:rPr>
          <w:rFonts w:ascii="Palatino Linotype" w:hAnsi="Palatino Linotype" w:cs="Arial"/>
          <w:sz w:val="24"/>
          <w:szCs w:val="24"/>
        </w:rPr>
        <w:t>s</w:t>
      </w:r>
      <w:r w:rsidRPr="00C07CBF">
        <w:rPr>
          <w:rFonts w:ascii="Palatino Linotype" w:hAnsi="Palatino Linotype" w:cs="Arial"/>
          <w:sz w:val="24"/>
          <w:szCs w:val="24"/>
        </w:rPr>
        <w:t xml:space="preserve"> se encontraba</w:t>
      </w:r>
      <w:r>
        <w:rPr>
          <w:rFonts w:ascii="Palatino Linotype" w:hAnsi="Palatino Linotype" w:cs="Arial"/>
          <w:sz w:val="24"/>
          <w:szCs w:val="24"/>
        </w:rPr>
        <w:t>n</w:t>
      </w:r>
      <w:r w:rsidRPr="00C07CBF">
        <w:rPr>
          <w:rFonts w:ascii="Palatino Linotype" w:hAnsi="Palatino Linotype" w:cs="Arial"/>
          <w:sz w:val="24"/>
          <w:szCs w:val="24"/>
        </w:rPr>
        <w:t xml:space="preserve"> en formato cerrado, no pasando por desapercibido para este Instituto</w:t>
      </w:r>
      <w:r w:rsidRPr="00C07CBF">
        <w:rPr>
          <w:rFonts w:ascii="Palatino Linotype" w:hAnsi="Palatino Linotype"/>
          <w:sz w:val="24"/>
          <w:szCs w:val="24"/>
          <w:lang w:eastAsia="es-MX"/>
        </w:rPr>
        <w:t xml:space="preserve"> que en subsecuentes </w:t>
      </w:r>
      <w:r w:rsidRPr="00C07CBF">
        <w:rPr>
          <w:rFonts w:ascii="Palatino Linotype" w:hAnsi="Palatino Linotype"/>
          <w:sz w:val="24"/>
          <w:szCs w:val="24"/>
          <w:lang w:eastAsia="es-MX"/>
        </w:rPr>
        <w:lastRenderedPageBreak/>
        <w:t xml:space="preserve">ocasiones el </w:t>
      </w:r>
      <w:r w:rsidRPr="00C07CBF">
        <w:rPr>
          <w:rFonts w:ascii="Palatino Linotype" w:hAnsi="Palatino Linotype"/>
          <w:b/>
          <w:sz w:val="24"/>
          <w:szCs w:val="24"/>
          <w:lang w:eastAsia="es-MX"/>
        </w:rPr>
        <w:t xml:space="preserve">Sujeto Obligado </w:t>
      </w:r>
      <w:r w:rsidRPr="00C07CBF">
        <w:rPr>
          <w:rFonts w:ascii="Palatino Linotype" w:hAnsi="Palatino Linotype"/>
          <w:sz w:val="24"/>
          <w:szCs w:val="24"/>
          <w:lang w:eastAsia="es-MX"/>
        </w:rPr>
        <w:t xml:space="preserve">haga entrega en datos abiertos, es decir, en un formato que permita la accesibilidad y facilidad a los Particulares, para obtener la información contenida estas, por </w:t>
      </w:r>
      <w:r>
        <w:rPr>
          <w:rFonts w:ascii="Palatino Linotype" w:hAnsi="Palatino Linotype"/>
          <w:sz w:val="24"/>
          <w:szCs w:val="24"/>
          <w:lang w:eastAsia="es-MX"/>
        </w:rPr>
        <w:t>lo que no se tienen por colmadas</w:t>
      </w:r>
      <w:r w:rsidR="00B3757C">
        <w:rPr>
          <w:rFonts w:ascii="Palatino Linotype" w:hAnsi="Palatino Linotype"/>
          <w:sz w:val="24"/>
          <w:szCs w:val="24"/>
          <w:lang w:eastAsia="es-MX"/>
        </w:rPr>
        <w:t xml:space="preserve">, por lo que resulta dable ordenar </w:t>
      </w:r>
      <w:r w:rsidR="00BD4BA9">
        <w:rPr>
          <w:rFonts w:ascii="Palatino Linotype" w:hAnsi="Palatino Linotype"/>
          <w:sz w:val="24"/>
          <w:szCs w:val="24"/>
          <w:lang w:eastAsia="es-MX"/>
        </w:rPr>
        <w:t xml:space="preserve">de ser procedente en versión pública </w:t>
      </w:r>
      <w:r w:rsidR="00B3757C">
        <w:rPr>
          <w:rFonts w:ascii="Palatino Linotype" w:hAnsi="Palatino Linotype"/>
          <w:sz w:val="24"/>
          <w:szCs w:val="24"/>
          <w:lang w:eastAsia="es-MX"/>
        </w:rPr>
        <w:t xml:space="preserve">los estados financieros del </w:t>
      </w:r>
      <w:r w:rsidR="00BD4BA9">
        <w:rPr>
          <w:rFonts w:ascii="Palatino Linotype" w:hAnsi="Palatino Linotype"/>
          <w:sz w:val="24"/>
          <w:szCs w:val="24"/>
          <w:lang w:eastAsia="es-MX"/>
        </w:rPr>
        <w:t>a</w:t>
      </w:r>
      <w:r w:rsidR="00B3757C">
        <w:rPr>
          <w:rFonts w:ascii="Palatino Linotype" w:hAnsi="Palatino Linotype"/>
          <w:sz w:val="24"/>
          <w:szCs w:val="24"/>
          <w:lang w:eastAsia="es-MX"/>
        </w:rPr>
        <w:t>yuntamiento de los ejercicios 2017 a 2024</w:t>
      </w:r>
      <w:r>
        <w:rPr>
          <w:rFonts w:ascii="Palatino Linotype" w:hAnsi="Palatino Linotype"/>
          <w:sz w:val="24"/>
          <w:szCs w:val="24"/>
          <w:lang w:eastAsia="es-MX"/>
        </w:rPr>
        <w:t>.</w:t>
      </w:r>
    </w:p>
    <w:p w14:paraId="60752073" w14:textId="77777777" w:rsidR="00BB20B1" w:rsidRDefault="00BB20B1" w:rsidP="00BB20B1">
      <w:pPr>
        <w:spacing w:line="360" w:lineRule="auto"/>
        <w:jc w:val="both"/>
      </w:pPr>
    </w:p>
    <w:p w14:paraId="086ABA6A" w14:textId="77777777" w:rsidR="00BB20B1" w:rsidRPr="000E7DC9" w:rsidRDefault="00BB20B1" w:rsidP="00BB20B1">
      <w:pPr>
        <w:spacing w:line="360" w:lineRule="auto"/>
        <w:jc w:val="both"/>
        <w:rPr>
          <w:rFonts w:ascii="Palatino Linotype" w:eastAsia="Times New Roman" w:hAnsi="Palatino Linotype" w:cs="Arial"/>
          <w:b/>
          <w:sz w:val="28"/>
          <w:szCs w:val="24"/>
          <w:lang w:val="es-ES" w:eastAsia="es-ES"/>
        </w:rPr>
      </w:pPr>
      <w:r w:rsidRPr="00DF5079">
        <w:rPr>
          <w:rFonts w:ascii="Palatino Linotype" w:eastAsia="Times New Roman" w:hAnsi="Palatino Linotype" w:cs="Arial"/>
          <w:b/>
          <w:sz w:val="28"/>
          <w:szCs w:val="24"/>
          <w:lang w:val="es-ES" w:eastAsia="es-ES"/>
        </w:rPr>
        <w:t>De la Versión Pública.</w:t>
      </w:r>
    </w:p>
    <w:p w14:paraId="017E37CC" w14:textId="77777777" w:rsidR="00BB20B1" w:rsidRPr="000E7DC9" w:rsidRDefault="00BB20B1" w:rsidP="00BB20B1">
      <w:pPr>
        <w:spacing w:line="360" w:lineRule="auto"/>
        <w:jc w:val="both"/>
        <w:rPr>
          <w:rFonts w:ascii="Palatino Linotype" w:hAnsi="Palatino Linotype"/>
          <w:sz w:val="24"/>
          <w:szCs w:val="24"/>
        </w:rPr>
      </w:pPr>
      <w:r w:rsidRPr="000E7DC9">
        <w:rPr>
          <w:rFonts w:ascii="Palatino Linotype" w:hAnsi="Palatino Linotype"/>
          <w:bCs/>
          <w:sz w:val="24"/>
          <w:szCs w:val="24"/>
        </w:rPr>
        <w:t>A este respecto, los</w:t>
      </w:r>
      <w:r w:rsidRPr="000E7DC9">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622F44EE"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cs="Arial"/>
          <w:b/>
          <w:bCs/>
          <w:i/>
          <w:noProof/>
        </w:rPr>
        <w:t>“</w:t>
      </w:r>
      <w:r w:rsidRPr="00E17D28">
        <w:rPr>
          <w:rFonts w:ascii="Palatino Linotype" w:hAnsi="Palatino Linotype" w:cs="Arial"/>
          <w:b/>
          <w:bCs/>
          <w:i/>
        </w:rPr>
        <w:t xml:space="preserve">Artículo 3. </w:t>
      </w:r>
      <w:r w:rsidRPr="00E17D28">
        <w:rPr>
          <w:rFonts w:ascii="Palatino Linotype" w:hAnsi="Palatino Linotype"/>
          <w:i/>
        </w:rPr>
        <w:t xml:space="preserve">Para los efectos de la presente Ley se entenderá por: </w:t>
      </w:r>
    </w:p>
    <w:p w14:paraId="4A7444AA" w14:textId="77777777" w:rsidR="00BB20B1" w:rsidRPr="00E17D28" w:rsidRDefault="00BB20B1" w:rsidP="00BB20B1">
      <w:pPr>
        <w:ind w:left="567" w:right="567"/>
        <w:jc w:val="both"/>
        <w:rPr>
          <w:rFonts w:ascii="Palatino Linotype" w:hAnsi="Palatino Linotype" w:cs="Arial"/>
          <w:i/>
        </w:rPr>
      </w:pPr>
      <w:r w:rsidRPr="00E17D28">
        <w:rPr>
          <w:rFonts w:ascii="Palatino Linotype" w:hAnsi="Palatino Linotype" w:cs="Arial"/>
          <w:b/>
          <w:i/>
        </w:rPr>
        <w:t>IX.</w:t>
      </w:r>
      <w:r w:rsidRPr="00E17D28">
        <w:rPr>
          <w:rFonts w:ascii="Palatino Linotype" w:hAnsi="Palatino Linotype" w:cs="Arial"/>
          <w:i/>
        </w:rPr>
        <w:t xml:space="preserve"> </w:t>
      </w:r>
      <w:r w:rsidRPr="00E17D28">
        <w:rPr>
          <w:rFonts w:ascii="Palatino Linotype" w:hAnsi="Palatino Linotype" w:cs="Arial"/>
          <w:b/>
          <w:i/>
        </w:rPr>
        <w:t xml:space="preserve">Datos personales: </w:t>
      </w:r>
      <w:r w:rsidRPr="00E17D28">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97B09C4" w14:textId="77777777" w:rsidR="00BB20B1" w:rsidRPr="00E17D28" w:rsidRDefault="00BB20B1" w:rsidP="00BB20B1">
      <w:pPr>
        <w:ind w:left="567" w:right="567"/>
        <w:jc w:val="both"/>
        <w:rPr>
          <w:rFonts w:ascii="Palatino Linotype" w:hAnsi="Palatino Linotype" w:cs="Arial"/>
          <w:i/>
        </w:rPr>
      </w:pPr>
      <w:r w:rsidRPr="00E17D28">
        <w:rPr>
          <w:rFonts w:ascii="Palatino Linotype" w:hAnsi="Palatino Linotype" w:cs="Arial"/>
          <w:b/>
          <w:i/>
        </w:rPr>
        <w:t>XX.</w:t>
      </w:r>
      <w:r w:rsidRPr="00E17D28">
        <w:rPr>
          <w:rFonts w:ascii="Palatino Linotype" w:hAnsi="Palatino Linotype" w:cs="Arial"/>
          <w:i/>
        </w:rPr>
        <w:t xml:space="preserve"> </w:t>
      </w:r>
      <w:r w:rsidRPr="00E17D28">
        <w:rPr>
          <w:rFonts w:ascii="Palatino Linotype" w:hAnsi="Palatino Linotype" w:cs="Arial"/>
          <w:b/>
          <w:i/>
        </w:rPr>
        <w:t>Información clasificada:</w:t>
      </w:r>
      <w:r w:rsidRPr="00E17D28">
        <w:rPr>
          <w:rFonts w:ascii="Palatino Linotype" w:hAnsi="Palatino Linotype" w:cs="Arial"/>
          <w:i/>
        </w:rPr>
        <w:t xml:space="preserve"> Aquella considerada por la presente Ley como reservada o confidencial; </w:t>
      </w:r>
    </w:p>
    <w:p w14:paraId="3032A681" w14:textId="77777777" w:rsidR="00BB20B1" w:rsidRPr="00E17D28" w:rsidRDefault="00BB20B1" w:rsidP="00BB20B1">
      <w:pPr>
        <w:ind w:left="567" w:right="567"/>
        <w:jc w:val="both"/>
        <w:rPr>
          <w:rFonts w:ascii="Palatino Linotype" w:hAnsi="Palatino Linotype" w:cs="Arial"/>
          <w:i/>
        </w:rPr>
      </w:pPr>
      <w:r w:rsidRPr="00E17D28">
        <w:rPr>
          <w:rFonts w:ascii="Palatino Linotype" w:hAnsi="Palatino Linotype" w:cs="Arial"/>
          <w:b/>
          <w:i/>
        </w:rPr>
        <w:t>XXI.</w:t>
      </w:r>
      <w:r w:rsidRPr="00E17D28">
        <w:rPr>
          <w:rFonts w:ascii="Palatino Linotype" w:hAnsi="Palatino Linotype" w:cs="Arial"/>
          <w:i/>
        </w:rPr>
        <w:t xml:space="preserve"> </w:t>
      </w:r>
      <w:r w:rsidRPr="00E17D28">
        <w:rPr>
          <w:rFonts w:ascii="Palatino Linotype" w:hAnsi="Palatino Linotype" w:cs="Arial"/>
          <w:b/>
          <w:i/>
        </w:rPr>
        <w:t>Información confidencial</w:t>
      </w:r>
      <w:r w:rsidRPr="00E17D28">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22A77D6" w14:textId="77777777" w:rsidR="00BB20B1" w:rsidRPr="00E17D28" w:rsidRDefault="00BB20B1" w:rsidP="00BB20B1">
      <w:pPr>
        <w:ind w:left="567" w:right="567"/>
        <w:jc w:val="both"/>
        <w:rPr>
          <w:rFonts w:ascii="Palatino Linotype" w:hAnsi="Palatino Linotype" w:cs="Arial"/>
          <w:i/>
        </w:rPr>
      </w:pPr>
      <w:r w:rsidRPr="00E17D28">
        <w:rPr>
          <w:rFonts w:ascii="Palatino Linotype" w:hAnsi="Palatino Linotype" w:cs="Arial"/>
          <w:b/>
          <w:i/>
        </w:rPr>
        <w:t>XLV. Versión pública:</w:t>
      </w:r>
      <w:r w:rsidRPr="00E17D28">
        <w:rPr>
          <w:rFonts w:ascii="Palatino Linotype" w:hAnsi="Palatino Linotype" w:cs="Arial"/>
          <w:i/>
        </w:rPr>
        <w:t xml:space="preserve"> Documento en el que se elimine, suprime o borra la información clasificada como reservada o confidencial para permitir su acceso. </w:t>
      </w:r>
    </w:p>
    <w:p w14:paraId="5243FF78" w14:textId="77777777" w:rsidR="00BB20B1" w:rsidRPr="00E17D28" w:rsidRDefault="00BB20B1" w:rsidP="00BB20B1">
      <w:pPr>
        <w:ind w:left="567" w:right="567"/>
        <w:jc w:val="both"/>
        <w:rPr>
          <w:rFonts w:ascii="Palatino Linotype" w:hAnsi="Palatino Linotype" w:cs="Arial"/>
          <w:i/>
        </w:rPr>
      </w:pPr>
    </w:p>
    <w:p w14:paraId="15AC7750" w14:textId="77777777" w:rsidR="00BB20B1" w:rsidRPr="00E17D28" w:rsidRDefault="00BB20B1" w:rsidP="00BB20B1">
      <w:pPr>
        <w:ind w:left="567" w:right="567"/>
        <w:jc w:val="both"/>
        <w:rPr>
          <w:rFonts w:ascii="Palatino Linotype" w:hAnsi="Palatino Linotype" w:cs="Arial"/>
          <w:i/>
        </w:rPr>
      </w:pPr>
      <w:r w:rsidRPr="00E17D28">
        <w:rPr>
          <w:rFonts w:ascii="Palatino Linotype" w:hAnsi="Palatino Linotype" w:cs="Arial"/>
          <w:b/>
          <w:i/>
        </w:rPr>
        <w:t>Artículo 51.</w:t>
      </w:r>
      <w:r w:rsidRPr="00E17D28">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17D28">
        <w:rPr>
          <w:rFonts w:ascii="Palatino Linotype" w:hAnsi="Palatino Linotype" w:cs="Arial"/>
          <w:b/>
          <w:i/>
        </w:rPr>
        <w:t xml:space="preserve">y tendrá la responsabilidad </w:t>
      </w:r>
      <w:r w:rsidRPr="00E17D28">
        <w:rPr>
          <w:rFonts w:ascii="Palatino Linotype" w:hAnsi="Palatino Linotype" w:cs="Arial"/>
          <w:b/>
          <w:i/>
        </w:rPr>
        <w:lastRenderedPageBreak/>
        <w:t xml:space="preserve">de verificar en cada caso que la misma no sea confidencial o reservada. </w:t>
      </w:r>
      <w:r w:rsidRPr="00E17D28">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469EDF0" w14:textId="77777777" w:rsidR="00BB20B1" w:rsidRPr="00E17D28" w:rsidRDefault="00BB20B1" w:rsidP="00BB20B1">
      <w:pPr>
        <w:ind w:left="567" w:right="567"/>
        <w:jc w:val="both"/>
        <w:rPr>
          <w:rFonts w:ascii="Palatino Linotype" w:hAnsi="Palatino Linotype" w:cs="Arial"/>
          <w:i/>
        </w:rPr>
      </w:pPr>
    </w:p>
    <w:p w14:paraId="3ED9DAAB" w14:textId="77777777" w:rsidR="00BB20B1" w:rsidRPr="00F11093" w:rsidRDefault="00BB20B1" w:rsidP="00BB20B1">
      <w:pPr>
        <w:ind w:left="567" w:right="567"/>
        <w:jc w:val="both"/>
        <w:rPr>
          <w:rFonts w:ascii="Palatino Linotype" w:hAnsi="Palatino Linotype" w:cs="Arial"/>
          <w:bCs/>
          <w:noProof/>
        </w:rPr>
      </w:pPr>
      <w:r w:rsidRPr="00E17D28">
        <w:rPr>
          <w:rFonts w:ascii="Palatino Linotype" w:hAnsi="Palatino Linotype" w:cs="Arial"/>
          <w:b/>
          <w:i/>
        </w:rPr>
        <w:t>Artículo 52.</w:t>
      </w:r>
      <w:r w:rsidRPr="00E17D2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17D28">
        <w:rPr>
          <w:rFonts w:ascii="Palatino Linotype" w:hAnsi="Palatino Linotype" w:cs="Arial"/>
          <w:bCs/>
          <w:i/>
          <w:noProof/>
        </w:rPr>
        <w:t>”</w:t>
      </w:r>
    </w:p>
    <w:p w14:paraId="46A69ABA" w14:textId="77777777" w:rsidR="00BB20B1" w:rsidRDefault="00BB20B1" w:rsidP="00BB20B1">
      <w:pPr>
        <w:spacing w:line="360" w:lineRule="auto"/>
        <w:jc w:val="both"/>
        <w:rPr>
          <w:rFonts w:ascii="Palatino Linotype" w:hAnsi="Palatino Linotype"/>
          <w:sz w:val="24"/>
          <w:szCs w:val="24"/>
        </w:rPr>
      </w:pPr>
    </w:p>
    <w:p w14:paraId="008AABCA" w14:textId="77777777" w:rsidR="00BB20B1" w:rsidRPr="00937C17"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62ED0C2B" w14:textId="77777777" w:rsidR="00BB20B1" w:rsidRDefault="00BB20B1" w:rsidP="00BB20B1">
      <w:pPr>
        <w:spacing w:line="360" w:lineRule="auto"/>
        <w:jc w:val="both"/>
        <w:rPr>
          <w:rFonts w:ascii="Palatino Linotype" w:hAnsi="Palatino Linotype"/>
          <w:sz w:val="24"/>
          <w:szCs w:val="24"/>
        </w:rPr>
      </w:pPr>
    </w:p>
    <w:p w14:paraId="3AF8B8C5" w14:textId="77777777" w:rsidR="00BB20B1"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72D53920" w14:textId="77777777" w:rsidR="00BB20B1" w:rsidRPr="000E7DC9" w:rsidRDefault="00BB20B1" w:rsidP="00BB20B1">
      <w:pPr>
        <w:spacing w:line="360" w:lineRule="auto"/>
        <w:jc w:val="both"/>
        <w:rPr>
          <w:rFonts w:ascii="Palatino Linotype" w:hAnsi="Palatino Linotype"/>
          <w:sz w:val="24"/>
          <w:szCs w:val="24"/>
        </w:rPr>
      </w:pPr>
    </w:p>
    <w:p w14:paraId="78FD7F7A" w14:textId="77777777" w:rsidR="00BB20B1" w:rsidRDefault="00BB20B1" w:rsidP="00BB20B1">
      <w:pPr>
        <w:spacing w:line="360" w:lineRule="auto"/>
        <w:jc w:val="both"/>
        <w:rPr>
          <w:rFonts w:ascii="Palatino Linotype" w:eastAsia="Arial Unicode MS" w:hAnsi="Palatino Linotype"/>
          <w:sz w:val="24"/>
          <w:szCs w:val="24"/>
        </w:rPr>
      </w:pPr>
      <w:r w:rsidRPr="000E7DC9">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w:t>
      </w:r>
      <w:r w:rsidRPr="000E7DC9">
        <w:rPr>
          <w:rFonts w:ascii="Palatino Linotype" w:eastAsia="Arial Unicode MS" w:hAnsi="Palatino Linotype"/>
          <w:sz w:val="24"/>
          <w:szCs w:val="24"/>
        </w:rPr>
        <w:lastRenderedPageBreak/>
        <w:t xml:space="preserve">XI, de la Ley de Protección de Datos Personales en Posesión de Sujetos Obligados del Estado de México y Municipios; por consiguiente, se trata de información confidencial, que debe ser protegida por </w:t>
      </w:r>
      <w:r w:rsidRPr="000E7DC9">
        <w:rPr>
          <w:rFonts w:ascii="Palatino Linotype" w:eastAsia="Arial Unicode MS" w:hAnsi="Palatino Linotype"/>
          <w:color w:val="000000"/>
          <w:sz w:val="24"/>
          <w:szCs w:val="24"/>
        </w:rPr>
        <w:t>el Sujeto Obligado</w:t>
      </w:r>
      <w:r w:rsidRPr="000E7DC9">
        <w:rPr>
          <w:rFonts w:ascii="Palatino Linotype" w:eastAsia="Arial Unicode MS" w:hAnsi="Palatino Linotype"/>
          <w:sz w:val="24"/>
          <w:szCs w:val="24"/>
        </w:rPr>
        <w:t xml:space="preserve">, en ese contexto, todo dato personal susceptible de clasificación debe ser protegido. </w:t>
      </w:r>
    </w:p>
    <w:p w14:paraId="30105917" w14:textId="77777777" w:rsidR="00BB20B1" w:rsidRPr="009F775C" w:rsidRDefault="00BB20B1" w:rsidP="00BB20B1">
      <w:pPr>
        <w:spacing w:line="360" w:lineRule="auto"/>
        <w:jc w:val="both"/>
        <w:rPr>
          <w:rFonts w:ascii="Palatino Linotype" w:eastAsia="Arial Unicode MS" w:hAnsi="Palatino Linotype"/>
          <w:color w:val="000000"/>
          <w:sz w:val="24"/>
          <w:szCs w:val="24"/>
        </w:rPr>
      </w:pPr>
    </w:p>
    <w:p w14:paraId="7E36A53D" w14:textId="77777777" w:rsidR="00BB20B1" w:rsidRPr="000E7DC9" w:rsidRDefault="00BB20B1" w:rsidP="00BB20B1">
      <w:pPr>
        <w:spacing w:line="360" w:lineRule="auto"/>
        <w:jc w:val="both"/>
        <w:rPr>
          <w:rFonts w:ascii="Palatino Linotype" w:hAnsi="Palatino Linotype" w:cs="Arial"/>
          <w:sz w:val="24"/>
          <w:szCs w:val="24"/>
        </w:rPr>
      </w:pPr>
      <w:r w:rsidRPr="000E7DC9">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w:t>
      </w:r>
      <w:r>
        <w:rPr>
          <w:rFonts w:ascii="Palatino Linotype" w:hAnsi="Palatino Linotype" w:cs="Arial"/>
          <w:sz w:val="24"/>
          <w:szCs w:val="24"/>
        </w:rPr>
        <w:t>08, de rubro y texto siguientes:</w:t>
      </w:r>
    </w:p>
    <w:p w14:paraId="116E05DB" w14:textId="77777777" w:rsidR="00BB20B1" w:rsidRPr="00C474D5" w:rsidRDefault="00BB20B1" w:rsidP="00BB20B1">
      <w:pPr>
        <w:ind w:left="567" w:right="567"/>
        <w:jc w:val="both"/>
        <w:rPr>
          <w:rFonts w:ascii="Palatino Linotype" w:hAnsi="Palatino Linotype" w:cs="Arial"/>
          <w:i/>
        </w:rPr>
      </w:pPr>
      <w:r w:rsidRPr="00E17D28">
        <w:rPr>
          <w:rFonts w:ascii="Palatino Linotype" w:hAnsi="Palatino Linotype" w:cs="Arial"/>
          <w:i/>
        </w:rPr>
        <w:t>"</w:t>
      </w:r>
      <w:r w:rsidRPr="00E17D28">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17D28">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4E35D3A" w14:textId="77777777" w:rsidR="00BB20B1" w:rsidRPr="000E7DC9" w:rsidRDefault="00BB20B1" w:rsidP="00BB20B1">
      <w:pPr>
        <w:spacing w:line="360" w:lineRule="auto"/>
        <w:jc w:val="both"/>
        <w:rPr>
          <w:rFonts w:ascii="Palatino Linotype" w:hAnsi="Palatino Linotype" w:cs="Arial"/>
          <w:sz w:val="24"/>
          <w:szCs w:val="24"/>
        </w:rPr>
      </w:pPr>
      <w:r w:rsidRPr="000E7DC9">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w:t>
      </w:r>
      <w:r w:rsidRPr="000E7DC9">
        <w:rPr>
          <w:rFonts w:ascii="Palatino Linotype" w:hAnsi="Palatino Linotype" w:cs="Arial"/>
          <w:sz w:val="24"/>
          <w:szCs w:val="24"/>
        </w:rPr>
        <w:lastRenderedPageBreak/>
        <w:t xml:space="preserve">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0E7DC9">
        <w:rPr>
          <w:rFonts w:ascii="Palatino Linotype" w:hAnsi="Palatino Linotype" w:cs="Arial"/>
          <w:b/>
          <w:sz w:val="24"/>
          <w:szCs w:val="24"/>
        </w:rPr>
        <w:t>Lineamientos Generales en Materia de Clasificación y Desclasificación de la Información, así como para la Elaboración de Versiones Públicas</w:t>
      </w:r>
      <w:r w:rsidRPr="000E7DC9">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617C5C86" w14:textId="77777777" w:rsidR="00BB20B1" w:rsidRDefault="00BB20B1" w:rsidP="00BB20B1">
      <w:pPr>
        <w:spacing w:line="360" w:lineRule="auto"/>
        <w:jc w:val="both"/>
        <w:rPr>
          <w:rFonts w:ascii="Palatino Linotype" w:hAnsi="Palatino Linotype" w:cs="Arial"/>
          <w:sz w:val="24"/>
          <w:szCs w:val="24"/>
        </w:rPr>
      </w:pPr>
      <w:r w:rsidRPr="000E7DC9">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27234AB" w14:textId="77777777" w:rsidR="00BB20B1" w:rsidRPr="000E7DC9" w:rsidRDefault="00BB20B1" w:rsidP="00BB20B1">
      <w:pPr>
        <w:spacing w:line="360" w:lineRule="auto"/>
        <w:jc w:val="both"/>
        <w:rPr>
          <w:rFonts w:ascii="Palatino Linotype" w:eastAsia="Arial Unicode MS" w:hAnsi="Palatino Linotype"/>
          <w:sz w:val="24"/>
          <w:szCs w:val="24"/>
        </w:rPr>
      </w:pPr>
    </w:p>
    <w:p w14:paraId="425B36D9" w14:textId="77777777" w:rsidR="00BB20B1" w:rsidRPr="000E7DC9"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lang w:val="es-ES_tradnl"/>
        </w:rPr>
        <w:t xml:space="preserve">Por ende, en el presente caso el Sujeto Obligado debe </w:t>
      </w:r>
      <w:r w:rsidRPr="000E7DC9">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0E7DC9">
        <w:rPr>
          <w:rFonts w:ascii="Palatino Linotype" w:hAnsi="Palatino Linotype"/>
          <w:sz w:val="24"/>
          <w:szCs w:val="24"/>
          <w:lang w:val="es-ES_tradnl"/>
        </w:rPr>
        <w:t xml:space="preserve">el Sujeto Obligado </w:t>
      </w:r>
      <w:r w:rsidRPr="000E7DC9">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0E7DC9">
        <w:rPr>
          <w:rFonts w:ascii="Palatino Linotype" w:hAnsi="Palatino Linotype"/>
          <w:sz w:val="24"/>
          <w:szCs w:val="24"/>
          <w:lang w:val="es-ES_tradnl"/>
        </w:rPr>
        <w:t>el Sujeto Obligado</w:t>
      </w:r>
      <w:r w:rsidRPr="000E7DC9">
        <w:rPr>
          <w:rFonts w:ascii="Palatino Linotype" w:hAnsi="Palatino Linotype"/>
          <w:sz w:val="24"/>
          <w:szCs w:val="24"/>
        </w:rPr>
        <w:t xml:space="preserve">, teniendo el deber los primeros, de presentar ante la Unidad de Transparencia la propuesta de clasificación </w:t>
      </w:r>
      <w:r w:rsidRPr="000E7DC9">
        <w:rPr>
          <w:rFonts w:ascii="Palatino Linotype" w:hAnsi="Palatino Linotype"/>
          <w:sz w:val="24"/>
          <w:szCs w:val="24"/>
        </w:rPr>
        <w:lastRenderedPageBreak/>
        <w:t>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053FB8C" w14:textId="77777777" w:rsidR="00BB20B1" w:rsidRPr="000E7DC9" w:rsidRDefault="00BB20B1" w:rsidP="00BB20B1">
      <w:pPr>
        <w:spacing w:line="360" w:lineRule="auto"/>
        <w:jc w:val="both"/>
        <w:rPr>
          <w:rFonts w:ascii="Palatino Linotype" w:hAnsi="Palatino Linotype"/>
          <w:sz w:val="24"/>
          <w:szCs w:val="24"/>
        </w:rPr>
      </w:pPr>
    </w:p>
    <w:p w14:paraId="70E60618" w14:textId="77777777" w:rsidR="00BB20B1" w:rsidRPr="000E7DC9" w:rsidRDefault="00BB20B1" w:rsidP="00BB20B1">
      <w:pPr>
        <w:spacing w:line="360" w:lineRule="auto"/>
        <w:jc w:val="both"/>
        <w:rPr>
          <w:rFonts w:ascii="Palatino Linotype" w:eastAsia="Calibri" w:hAnsi="Palatino Linotype"/>
          <w:sz w:val="24"/>
          <w:szCs w:val="24"/>
        </w:rPr>
      </w:pPr>
      <w:r w:rsidRPr="000E7DC9">
        <w:rPr>
          <w:rFonts w:ascii="Palatino Linotype" w:eastAsia="Calibri" w:hAnsi="Palatino Linotype"/>
          <w:sz w:val="24"/>
          <w:szCs w:val="24"/>
        </w:rPr>
        <w:t xml:space="preserve">Así, es que </w:t>
      </w:r>
      <w:r w:rsidRPr="000E7DC9">
        <w:rPr>
          <w:rFonts w:ascii="Palatino Linotype" w:hAnsi="Palatino Linotype"/>
          <w:sz w:val="24"/>
          <w:szCs w:val="24"/>
          <w:lang w:val="es-ES_tradnl"/>
        </w:rPr>
        <w:t xml:space="preserve">el Sujeto Obligado </w:t>
      </w:r>
      <w:r w:rsidRPr="000E7DC9">
        <w:rPr>
          <w:rFonts w:ascii="Palatino Linotype" w:eastAsia="Calibri" w:hAnsi="Palatino Linotype"/>
          <w:sz w:val="24"/>
          <w:szCs w:val="24"/>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384B790" w14:textId="77777777" w:rsidR="00BB20B1" w:rsidRPr="000E7DC9" w:rsidRDefault="00BB20B1" w:rsidP="00BB20B1">
      <w:pPr>
        <w:spacing w:line="360" w:lineRule="auto"/>
        <w:jc w:val="both"/>
        <w:rPr>
          <w:rFonts w:ascii="Palatino Linotype" w:eastAsia="Calibri" w:hAnsi="Palatino Linotype"/>
          <w:sz w:val="24"/>
          <w:szCs w:val="24"/>
        </w:rPr>
      </w:pPr>
    </w:p>
    <w:p w14:paraId="5582D811" w14:textId="77777777" w:rsidR="00BB20B1" w:rsidRPr="00E25109"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A7EC54"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lastRenderedPageBreak/>
        <w:t xml:space="preserve">“Artículo 49. </w:t>
      </w:r>
      <w:r w:rsidRPr="00E17D28">
        <w:rPr>
          <w:rFonts w:ascii="Palatino Linotype" w:hAnsi="Palatino Linotype"/>
          <w:i/>
        </w:rPr>
        <w:t>Los Comités de Transparencia tendrán las siguientes atribuciones:</w:t>
      </w:r>
    </w:p>
    <w:p w14:paraId="2022186D"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VIII.</w:t>
      </w:r>
      <w:r w:rsidRPr="00E17D28">
        <w:rPr>
          <w:rFonts w:ascii="Palatino Linotype" w:hAnsi="Palatino Linotype"/>
          <w:i/>
        </w:rPr>
        <w:t xml:space="preserve"> Aprobar, modificar o revocar la clasificación de la información;</w:t>
      </w:r>
    </w:p>
    <w:p w14:paraId="570FD321" w14:textId="77777777" w:rsidR="00BB20B1" w:rsidRPr="00E17D28" w:rsidRDefault="00BB20B1" w:rsidP="00BB20B1">
      <w:pPr>
        <w:ind w:left="567" w:right="567"/>
        <w:jc w:val="both"/>
        <w:rPr>
          <w:rFonts w:ascii="Palatino Linotype" w:hAnsi="Palatino Linotype"/>
          <w:i/>
        </w:rPr>
      </w:pPr>
    </w:p>
    <w:p w14:paraId="15238869"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Artículo 132.</w:t>
      </w:r>
      <w:r w:rsidRPr="00E17D28">
        <w:rPr>
          <w:rFonts w:ascii="Palatino Linotype" w:hAnsi="Palatino Linotype"/>
          <w:i/>
        </w:rPr>
        <w:t xml:space="preserve"> La clasificación de la información se llevará a cabo en el momento en que:</w:t>
      </w:r>
    </w:p>
    <w:p w14:paraId="0F34DB72"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I.</w:t>
      </w:r>
      <w:r w:rsidRPr="00E17D28">
        <w:rPr>
          <w:rFonts w:ascii="Palatino Linotype" w:hAnsi="Palatino Linotype"/>
          <w:i/>
        </w:rPr>
        <w:t xml:space="preserve"> Se reciba una solicitud de acceso a la información;</w:t>
      </w:r>
    </w:p>
    <w:p w14:paraId="79D359D6"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II.</w:t>
      </w:r>
      <w:r w:rsidRPr="00E17D28">
        <w:rPr>
          <w:rFonts w:ascii="Palatino Linotype" w:hAnsi="Palatino Linotype"/>
          <w:i/>
        </w:rPr>
        <w:t xml:space="preserve"> Se determine mediante resolución de autoridad competente; o</w:t>
      </w:r>
    </w:p>
    <w:p w14:paraId="3C2A5423" w14:textId="77777777" w:rsidR="00BB20B1" w:rsidRPr="00E17D28" w:rsidRDefault="00BB20B1" w:rsidP="00BB20B1">
      <w:pPr>
        <w:ind w:left="567" w:right="567"/>
        <w:jc w:val="both"/>
        <w:rPr>
          <w:rFonts w:ascii="Palatino Linotype" w:hAnsi="Palatino Linotype"/>
          <w:b/>
          <w:i/>
        </w:rPr>
      </w:pPr>
      <w:r w:rsidRPr="00E17D28">
        <w:rPr>
          <w:rFonts w:ascii="Palatino Linotype" w:hAnsi="Palatino Linotype"/>
          <w:b/>
          <w:i/>
        </w:rPr>
        <w:t>III.</w:t>
      </w:r>
      <w:r w:rsidRPr="00E17D28">
        <w:rPr>
          <w:rFonts w:ascii="Palatino Linotype" w:hAnsi="Palatino Linotype"/>
          <w:i/>
        </w:rPr>
        <w:t xml:space="preserve"> Se generen versiones públicas para dar cumplimiento a las obligaciones de transparencia previstas en esta Ley.</w:t>
      </w:r>
      <w:r w:rsidRPr="00E17D28">
        <w:rPr>
          <w:rFonts w:ascii="Palatino Linotype" w:hAnsi="Palatino Linotype"/>
          <w:b/>
          <w:i/>
        </w:rPr>
        <w:t>”</w:t>
      </w:r>
    </w:p>
    <w:p w14:paraId="3EEAA40C" w14:textId="77777777" w:rsidR="00BB20B1" w:rsidRPr="00E17D28" w:rsidRDefault="00BB20B1" w:rsidP="00BB20B1">
      <w:pPr>
        <w:ind w:right="567"/>
        <w:jc w:val="both"/>
        <w:rPr>
          <w:rFonts w:ascii="Palatino Linotype" w:hAnsi="Palatino Linotype"/>
          <w:b/>
          <w:i/>
        </w:rPr>
      </w:pPr>
    </w:p>
    <w:p w14:paraId="4AA43853"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“Segundo.-</w:t>
      </w:r>
      <w:r w:rsidRPr="00E17D28">
        <w:rPr>
          <w:rFonts w:ascii="Palatino Linotype" w:hAnsi="Palatino Linotype"/>
          <w:i/>
        </w:rPr>
        <w:t xml:space="preserve"> Para efectos de los presentes Lineamientos Generales, se entenderá por:</w:t>
      </w:r>
    </w:p>
    <w:p w14:paraId="1911AB6F"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w:t>
      </w:r>
    </w:p>
    <w:p w14:paraId="55EA8EA6" w14:textId="77777777" w:rsidR="00BB20B1" w:rsidRPr="008678FD" w:rsidRDefault="00BB20B1" w:rsidP="00BB20B1">
      <w:pPr>
        <w:ind w:left="567" w:right="567"/>
        <w:jc w:val="both"/>
        <w:rPr>
          <w:rFonts w:ascii="Palatino Linotype" w:hAnsi="Palatino Linotype"/>
          <w:i/>
        </w:rPr>
      </w:pPr>
      <w:r w:rsidRPr="00E17D28">
        <w:rPr>
          <w:rFonts w:ascii="Palatino Linotype" w:hAnsi="Palatino Linotype"/>
          <w:b/>
          <w:i/>
        </w:rPr>
        <w:t>XVIII.</w:t>
      </w:r>
      <w:r w:rsidRPr="00E17D28">
        <w:rPr>
          <w:rFonts w:ascii="Palatino Linotype" w:hAnsi="Palatino Linotype"/>
          <w:i/>
        </w:rPr>
        <w:t xml:space="preserve"> </w:t>
      </w:r>
      <w:r w:rsidRPr="00E17D28">
        <w:rPr>
          <w:rFonts w:ascii="Palatino Linotype" w:hAnsi="Palatino Linotype"/>
          <w:b/>
          <w:i/>
        </w:rPr>
        <w:t>Versión pública:</w:t>
      </w:r>
      <w:r w:rsidRPr="00E17D28">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6F6187"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Cuarto.</w:t>
      </w:r>
      <w:r w:rsidRPr="00E17D28">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FD4F1D"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Los Sujetos Obligados deberán aplicar, de manera estricta, las excepciones al derecho de acceso a la información y sólo podrán invocarlas cuando acrediten su procedencia.</w:t>
      </w:r>
    </w:p>
    <w:p w14:paraId="01D0C190" w14:textId="77777777" w:rsidR="00BB20B1" w:rsidRPr="00E17D28" w:rsidRDefault="00BB20B1" w:rsidP="00BB20B1">
      <w:pPr>
        <w:ind w:left="567" w:right="567"/>
        <w:jc w:val="both"/>
        <w:rPr>
          <w:rFonts w:ascii="Palatino Linotype" w:hAnsi="Palatino Linotype"/>
          <w:b/>
          <w:i/>
        </w:rPr>
      </w:pPr>
    </w:p>
    <w:p w14:paraId="409E635D"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Quinto.</w:t>
      </w:r>
      <w:r w:rsidRPr="00E17D28">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E17D28">
        <w:rPr>
          <w:rFonts w:ascii="Palatino Linotype" w:hAnsi="Palatino Linotype"/>
          <w:i/>
        </w:rPr>
        <w:lastRenderedPageBreak/>
        <w:t>transparencia, observando lo dispuesto en la Ley General y las demás disposiciones aplicables en la materia.</w:t>
      </w:r>
    </w:p>
    <w:p w14:paraId="1756CD84" w14:textId="77777777" w:rsidR="00BB20B1" w:rsidRPr="00E17D28" w:rsidRDefault="00BB20B1" w:rsidP="00BB20B1">
      <w:pPr>
        <w:ind w:left="567" w:right="567"/>
        <w:jc w:val="both"/>
        <w:rPr>
          <w:rFonts w:ascii="Palatino Linotype" w:hAnsi="Palatino Linotype"/>
          <w:b/>
          <w:i/>
        </w:rPr>
      </w:pPr>
    </w:p>
    <w:p w14:paraId="78170C8D"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Sexto.</w:t>
      </w:r>
      <w:r w:rsidRPr="00E17D28">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74987FE"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La clasificación de información se realizará conforme a un análisis caso por caso, mediante la aplicación de la prueba de daño y de interés público.</w:t>
      </w:r>
    </w:p>
    <w:p w14:paraId="4AF2DE09"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Séptimo.</w:t>
      </w:r>
      <w:r w:rsidRPr="00E17D28">
        <w:rPr>
          <w:rFonts w:ascii="Palatino Linotype" w:hAnsi="Palatino Linotype"/>
          <w:i/>
        </w:rPr>
        <w:t xml:space="preserve"> La clasificación de la información se llevará a cabo en el momento en que:</w:t>
      </w:r>
    </w:p>
    <w:p w14:paraId="623CD30A"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I.</w:t>
      </w:r>
      <w:r w:rsidRPr="00E17D28">
        <w:rPr>
          <w:rFonts w:ascii="Palatino Linotype" w:hAnsi="Palatino Linotype"/>
          <w:i/>
        </w:rPr>
        <w:t xml:space="preserve"> Se reciba una solicitud de acceso a la información;</w:t>
      </w:r>
    </w:p>
    <w:p w14:paraId="52790351"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II.</w:t>
      </w:r>
      <w:r w:rsidRPr="00E17D28">
        <w:rPr>
          <w:rFonts w:ascii="Palatino Linotype" w:hAnsi="Palatino Linotype"/>
          <w:i/>
        </w:rPr>
        <w:t xml:space="preserve"> Se determine mediante resolución de autoridad competente, o</w:t>
      </w:r>
    </w:p>
    <w:p w14:paraId="07812EB8"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III.</w:t>
      </w:r>
      <w:r w:rsidRPr="00E17D28">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1E9F8BA"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07F7ADAC" w14:textId="77777777" w:rsidR="00BB20B1" w:rsidRPr="00E17D28" w:rsidRDefault="00BB20B1" w:rsidP="00BB20B1">
      <w:pPr>
        <w:ind w:left="567" w:right="567"/>
        <w:jc w:val="both"/>
        <w:rPr>
          <w:rFonts w:ascii="Palatino Linotype" w:hAnsi="Palatino Linotype"/>
          <w:b/>
          <w:i/>
        </w:rPr>
      </w:pPr>
    </w:p>
    <w:p w14:paraId="43CE5882"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Octavo.</w:t>
      </w:r>
      <w:r w:rsidRPr="00E17D28">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264676"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7D6A0637"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677D54A7" w14:textId="77777777" w:rsidR="00BB20B1" w:rsidRPr="00E17D28" w:rsidRDefault="00BB20B1" w:rsidP="00BB20B1">
      <w:pPr>
        <w:ind w:left="567" w:right="567"/>
        <w:jc w:val="both"/>
        <w:rPr>
          <w:rFonts w:ascii="Palatino Linotype" w:hAnsi="Palatino Linotype"/>
          <w:i/>
        </w:rPr>
      </w:pPr>
    </w:p>
    <w:p w14:paraId="4E25816E"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0FE32EFB"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Los documentos contenidos en los archivos históricos y los identificados como históricos confidenciales no serán susceptibles de clasificación como reservados.</w:t>
      </w:r>
    </w:p>
    <w:p w14:paraId="198E1ABE" w14:textId="77777777" w:rsidR="00BB20B1" w:rsidRPr="00E17D28" w:rsidRDefault="00BB20B1" w:rsidP="00BB20B1">
      <w:pPr>
        <w:ind w:left="567" w:right="567"/>
        <w:jc w:val="both"/>
        <w:rPr>
          <w:rFonts w:ascii="Palatino Linotype" w:hAnsi="Palatino Linotype"/>
          <w:b/>
          <w:i/>
        </w:rPr>
      </w:pPr>
    </w:p>
    <w:p w14:paraId="7BA4B067"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Noveno.</w:t>
      </w:r>
      <w:r w:rsidRPr="00E17D28">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8106743" w14:textId="77777777" w:rsidR="00BB20B1" w:rsidRPr="00E17D28" w:rsidRDefault="00BB20B1" w:rsidP="00BB20B1">
      <w:pPr>
        <w:ind w:left="567" w:right="567"/>
        <w:jc w:val="both"/>
        <w:rPr>
          <w:rFonts w:ascii="Palatino Linotype" w:hAnsi="Palatino Linotype"/>
          <w:b/>
          <w:i/>
        </w:rPr>
      </w:pPr>
    </w:p>
    <w:p w14:paraId="28565B52"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Décimo.</w:t>
      </w:r>
      <w:r w:rsidRPr="00E17D28">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3FA1483" w14:textId="77777777" w:rsidR="00BB20B1" w:rsidRPr="00E17D28" w:rsidRDefault="00BB20B1" w:rsidP="00BB20B1">
      <w:pPr>
        <w:ind w:left="567" w:right="567"/>
        <w:jc w:val="both"/>
        <w:rPr>
          <w:rFonts w:ascii="Palatino Linotype" w:hAnsi="Palatino Linotype"/>
          <w:i/>
        </w:rPr>
      </w:pPr>
    </w:p>
    <w:p w14:paraId="7BF19025"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7D33E23C" w14:textId="77777777" w:rsidR="00BB20B1" w:rsidRPr="00E17D28" w:rsidRDefault="00BB20B1" w:rsidP="00BB20B1">
      <w:pPr>
        <w:ind w:left="567" w:right="567"/>
        <w:jc w:val="both"/>
        <w:rPr>
          <w:rFonts w:ascii="Palatino Linotype" w:hAnsi="Palatino Linotype"/>
          <w:b/>
          <w:i/>
        </w:rPr>
      </w:pPr>
    </w:p>
    <w:p w14:paraId="4A7B0F4F" w14:textId="77777777" w:rsidR="00BB20B1" w:rsidRPr="00E17D28" w:rsidRDefault="00BB20B1" w:rsidP="00BB20B1">
      <w:pPr>
        <w:ind w:left="567" w:right="567"/>
        <w:jc w:val="both"/>
        <w:rPr>
          <w:rFonts w:ascii="Palatino Linotype" w:hAnsi="Palatino Linotype"/>
          <w:b/>
        </w:rPr>
      </w:pPr>
      <w:r w:rsidRPr="00E17D28">
        <w:rPr>
          <w:rFonts w:ascii="Palatino Linotype" w:hAnsi="Palatino Linotype"/>
          <w:b/>
          <w:i/>
        </w:rPr>
        <w:t>Décimo primero.</w:t>
      </w:r>
      <w:r w:rsidRPr="00E17D28">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17D28">
        <w:rPr>
          <w:rFonts w:ascii="Palatino Linotype" w:hAnsi="Palatino Linotype"/>
          <w:b/>
          <w:i/>
        </w:rPr>
        <w:t>”</w:t>
      </w:r>
    </w:p>
    <w:p w14:paraId="6E0718BF" w14:textId="77777777" w:rsidR="00BB20B1" w:rsidRPr="00E17D28" w:rsidRDefault="00BB20B1" w:rsidP="00BB20B1">
      <w:pPr>
        <w:spacing w:line="360" w:lineRule="auto"/>
        <w:jc w:val="both"/>
        <w:rPr>
          <w:rFonts w:ascii="Palatino Linotype" w:hAnsi="Palatino Linotype" w:cs="Arial"/>
          <w:i/>
        </w:rPr>
      </w:pPr>
    </w:p>
    <w:p w14:paraId="214D496E" w14:textId="77777777" w:rsidR="00BB20B1" w:rsidRPr="000E7DC9"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0E7DC9">
        <w:rPr>
          <w:rFonts w:ascii="Palatino Linotype" w:hAnsi="Palatino Linotype"/>
          <w:sz w:val="24"/>
          <w:szCs w:val="24"/>
        </w:rPr>
        <w:lastRenderedPageBreak/>
        <w:t xml:space="preserve">Municipios permite la elaboración de versiones públicas en las que se suprima aquella información relacionada con la vida privada de particulares mediante el debido Acuerdo fundado y motivado en el que </w:t>
      </w:r>
      <w:r w:rsidRPr="000E7DC9">
        <w:rPr>
          <w:rFonts w:ascii="Palatino Linotype" w:hAnsi="Palatino Linotype"/>
          <w:sz w:val="24"/>
          <w:szCs w:val="24"/>
          <w:lang w:val="es-ES_tradnl"/>
        </w:rPr>
        <w:t>el Sujeto Obligado</w:t>
      </w:r>
      <w:r w:rsidRPr="000E7DC9">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D06C61F" w14:textId="77777777" w:rsidR="00BB20B1"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77EB5FD6" w14:textId="77777777" w:rsidR="00BB20B1" w:rsidRPr="000E7DC9" w:rsidRDefault="00BB20B1" w:rsidP="00BB20B1">
      <w:pPr>
        <w:spacing w:line="360" w:lineRule="auto"/>
        <w:jc w:val="both"/>
        <w:rPr>
          <w:rFonts w:ascii="Palatino Linotype" w:hAnsi="Palatino Linotype"/>
          <w:sz w:val="24"/>
          <w:szCs w:val="24"/>
        </w:rPr>
      </w:pPr>
    </w:p>
    <w:p w14:paraId="1BC88703" w14:textId="77777777" w:rsidR="00BB20B1" w:rsidRPr="000E7DC9"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Al respecto, el máximo tribunal del país ha establecido jurisprudencia respecto a qué debe entenderse por fundamentación y motivación, en los siguientes términos:</w:t>
      </w:r>
    </w:p>
    <w:p w14:paraId="76F031B6" w14:textId="77777777" w:rsidR="00BB20B1" w:rsidRPr="00E17D28" w:rsidRDefault="00BB20B1" w:rsidP="00BB20B1">
      <w:pPr>
        <w:ind w:left="567" w:right="567"/>
        <w:jc w:val="both"/>
        <w:rPr>
          <w:rFonts w:ascii="Palatino Linotype" w:hAnsi="Palatino Linotype"/>
          <w:i/>
        </w:rPr>
      </w:pPr>
      <w:r w:rsidRPr="00E17D28">
        <w:rPr>
          <w:rFonts w:ascii="Palatino Linotype" w:hAnsi="Palatino Linotype"/>
          <w:b/>
          <w:i/>
        </w:rPr>
        <w:t xml:space="preserve">FUNDAMENTACIÓN Y MOTIVACIÓN. </w:t>
      </w:r>
      <w:r w:rsidRPr="00E17D28">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7B01916" w14:textId="77777777" w:rsidR="00BB20B1" w:rsidRPr="000E7DC9" w:rsidRDefault="00BB20B1" w:rsidP="00BB20B1">
      <w:pPr>
        <w:spacing w:line="360" w:lineRule="auto"/>
        <w:jc w:val="both"/>
        <w:rPr>
          <w:rFonts w:ascii="Palatino Linotype" w:hAnsi="Palatino Linotype"/>
          <w:sz w:val="24"/>
          <w:szCs w:val="24"/>
        </w:rPr>
      </w:pPr>
    </w:p>
    <w:p w14:paraId="39BF5881" w14:textId="77777777" w:rsidR="00BB20B1"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CB31BE9" w14:textId="77777777" w:rsidR="00BB20B1" w:rsidRPr="000E7DC9"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7E42ABAF" w14:textId="77777777" w:rsidR="00BB20B1" w:rsidRPr="00FC36F6" w:rsidRDefault="00BB20B1" w:rsidP="00BB20B1">
      <w:pPr>
        <w:ind w:left="567" w:right="567"/>
        <w:jc w:val="both"/>
        <w:rPr>
          <w:rFonts w:ascii="Palatino Linotype" w:hAnsi="Palatino Linotype"/>
          <w:i/>
        </w:rPr>
      </w:pPr>
      <w:r w:rsidRPr="00E17D28">
        <w:rPr>
          <w:rFonts w:ascii="Palatino Linotype" w:hAnsi="Palatino Linotype"/>
          <w:b/>
          <w:i/>
        </w:rPr>
        <w:t>FUNDAMENTACIÓN Y MOTIVACIÓN. EL ASPECTO FORMAL DE LA GARANTÍA Y SU FINALIDAD SE TRADUCEN EN EXPLICAR, JUSTIFICAR, POSIBILITAR LA DEFENSA Y COMUNICAR LA DECISIÓN</w:t>
      </w:r>
      <w:r w:rsidRPr="00E17D28">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EC14418" w14:textId="77777777" w:rsidR="00BB20B1"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75E3FBC" w14:textId="77777777" w:rsidR="00BB20B1" w:rsidRPr="000E7DC9" w:rsidRDefault="00BB20B1" w:rsidP="00BB20B1">
      <w:pPr>
        <w:spacing w:line="360" w:lineRule="auto"/>
        <w:jc w:val="both"/>
        <w:rPr>
          <w:rFonts w:ascii="Palatino Linotype" w:hAnsi="Palatino Linotype"/>
          <w:sz w:val="24"/>
          <w:szCs w:val="24"/>
        </w:rPr>
      </w:pPr>
    </w:p>
    <w:p w14:paraId="35BFE22B" w14:textId="77777777" w:rsidR="00BB20B1" w:rsidRDefault="00BB20B1" w:rsidP="00BB20B1">
      <w:pPr>
        <w:spacing w:line="360" w:lineRule="auto"/>
        <w:jc w:val="both"/>
        <w:rPr>
          <w:rFonts w:ascii="Palatino Linotype" w:hAnsi="Palatino Linotype"/>
          <w:sz w:val="24"/>
          <w:szCs w:val="24"/>
        </w:rPr>
      </w:pPr>
      <w:r w:rsidRPr="000E7DC9">
        <w:rPr>
          <w:rFonts w:ascii="Palatino Linotype" w:hAnsi="Palatino Linotype"/>
          <w:sz w:val="24"/>
          <w:szCs w:val="24"/>
        </w:rPr>
        <w:t>Por lo tanto, la entrega de documentos en su versión pública debe acompañarse necesariamente del Acuerdo del Comité de Transparencia del Sujeto Obligado</w:t>
      </w:r>
      <w:r w:rsidRPr="000E7DC9">
        <w:rPr>
          <w:rFonts w:ascii="Palatino Linotype" w:hAnsi="Palatino Linotype"/>
          <w:b/>
          <w:sz w:val="24"/>
          <w:szCs w:val="24"/>
        </w:rPr>
        <w:t xml:space="preserve"> </w:t>
      </w:r>
      <w:r w:rsidRPr="000E7DC9">
        <w:rPr>
          <w:rFonts w:ascii="Palatino Linotype" w:hAnsi="Palatino Linotype"/>
          <w:sz w:val="24"/>
          <w:szCs w:val="24"/>
        </w:rPr>
        <w:t xml:space="preserve">que la </w:t>
      </w:r>
      <w:r w:rsidRPr="000E7DC9">
        <w:rPr>
          <w:rFonts w:ascii="Palatino Linotype" w:hAnsi="Palatino Linotype"/>
          <w:sz w:val="24"/>
          <w:szCs w:val="24"/>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D54616B" w14:textId="77777777" w:rsidR="00BB20B1" w:rsidRPr="00937C17" w:rsidRDefault="00BB20B1" w:rsidP="00BB20B1">
      <w:pPr>
        <w:spacing w:line="360" w:lineRule="auto"/>
        <w:jc w:val="both"/>
        <w:rPr>
          <w:rFonts w:ascii="Palatino Linotype" w:hAnsi="Palatino Linotype"/>
          <w:sz w:val="24"/>
          <w:szCs w:val="24"/>
        </w:rPr>
      </w:pPr>
    </w:p>
    <w:p w14:paraId="4929F886" w14:textId="085ECA33" w:rsidR="00BB20B1" w:rsidRPr="00BD10AF" w:rsidRDefault="00BB20B1" w:rsidP="00BB20B1">
      <w:pPr>
        <w:tabs>
          <w:tab w:val="left" w:pos="709"/>
        </w:tabs>
        <w:spacing w:before="240" w:line="360" w:lineRule="auto"/>
        <w:ind w:right="51"/>
        <w:jc w:val="both"/>
        <w:rPr>
          <w:rFonts w:ascii="Palatino Linotype" w:hAnsi="Palatino Linotype"/>
          <w:sz w:val="24"/>
          <w:szCs w:val="24"/>
        </w:rPr>
      </w:pPr>
      <w:r w:rsidRPr="00BD10AF">
        <w:rPr>
          <w:rFonts w:ascii="Palatino Linotype" w:hAnsi="Palatino Linotype"/>
          <w:iCs/>
          <w:sz w:val="24"/>
          <w:szCs w:val="24"/>
        </w:rPr>
        <w:t xml:space="preserve">En mérito de lo expuesto </w:t>
      </w:r>
      <w:r w:rsidRPr="00BD10AF">
        <w:rPr>
          <w:rFonts w:ascii="Palatino Linotype" w:hAnsi="Palatino Linotype"/>
          <w:sz w:val="24"/>
          <w:szCs w:val="24"/>
        </w:rPr>
        <w:t xml:space="preserve">en líneas anteriores, resultan </w:t>
      </w:r>
      <w:r w:rsidRPr="006F21D0">
        <w:rPr>
          <w:rFonts w:ascii="Palatino Linotype" w:hAnsi="Palatino Linotype"/>
          <w:i/>
          <w:sz w:val="24"/>
          <w:szCs w:val="24"/>
        </w:rPr>
        <w:t>fundados</w:t>
      </w:r>
      <w:r w:rsidRPr="00BD10AF">
        <w:rPr>
          <w:rFonts w:ascii="Palatino Linotype" w:hAnsi="Palatino Linotype"/>
          <w:sz w:val="24"/>
          <w:szCs w:val="24"/>
        </w:rPr>
        <w:t xml:space="preserve"> los motivos de inconformidad vertidos por </w:t>
      </w:r>
      <w:r>
        <w:rPr>
          <w:rFonts w:ascii="Palatino Linotype" w:hAnsi="Palatino Linotype"/>
          <w:b/>
          <w:sz w:val="24"/>
          <w:szCs w:val="24"/>
        </w:rPr>
        <w:t>el</w:t>
      </w:r>
      <w:r w:rsidRPr="00BD10AF">
        <w:rPr>
          <w:rFonts w:ascii="Palatino Linotype" w:hAnsi="Palatino Linotype"/>
          <w:b/>
          <w:sz w:val="24"/>
          <w:szCs w:val="24"/>
        </w:rPr>
        <w:t xml:space="preserve"> Recurrente, </w:t>
      </w:r>
      <w:r w:rsidRPr="00BD10AF">
        <w:rPr>
          <w:rFonts w:ascii="Palatino Linotype" w:hAnsi="Palatino Linotype"/>
          <w:sz w:val="24"/>
          <w:szCs w:val="24"/>
        </w:rPr>
        <w:t>por ello con fundament</w:t>
      </w:r>
      <w:r>
        <w:rPr>
          <w:rFonts w:ascii="Palatino Linotype" w:hAnsi="Palatino Linotype"/>
          <w:sz w:val="24"/>
          <w:szCs w:val="24"/>
        </w:rPr>
        <w:t xml:space="preserve">o en la </w:t>
      </w:r>
      <w:r w:rsidR="0042251C">
        <w:rPr>
          <w:rFonts w:ascii="Palatino Linotype" w:hAnsi="Palatino Linotype"/>
          <w:i/>
          <w:sz w:val="24"/>
          <w:szCs w:val="24"/>
        </w:rPr>
        <w:t>segunda</w:t>
      </w:r>
      <w:r w:rsidRPr="006F21D0">
        <w:rPr>
          <w:rFonts w:ascii="Palatino Linotype" w:hAnsi="Palatino Linotype"/>
          <w:i/>
          <w:sz w:val="24"/>
          <w:szCs w:val="24"/>
        </w:rPr>
        <w:t xml:space="preserve"> hipótesis</w:t>
      </w:r>
      <w:r>
        <w:rPr>
          <w:rFonts w:ascii="Palatino Linotype" w:hAnsi="Palatino Linotype"/>
          <w:sz w:val="24"/>
          <w:szCs w:val="24"/>
        </w:rPr>
        <w:t xml:space="preserve"> del artículo 186 fracción II</w:t>
      </w:r>
      <w:r w:rsidRPr="00BD10AF">
        <w:rPr>
          <w:rFonts w:ascii="Palatino Linotype" w:hAnsi="Palatino Linotype"/>
          <w:sz w:val="24"/>
          <w:szCs w:val="24"/>
        </w:rPr>
        <w:t xml:space="preserve">I de la Ley de Transparencia y Acceso a la Información Pública del Estado de México y Municipios, se </w:t>
      </w:r>
      <w:r w:rsidR="001C4B24">
        <w:rPr>
          <w:rFonts w:ascii="Palatino Linotype" w:hAnsi="Palatino Linotype"/>
          <w:b/>
          <w:sz w:val="24"/>
          <w:szCs w:val="24"/>
        </w:rPr>
        <w:t>MODIFICA</w:t>
      </w:r>
      <w:r w:rsidRPr="00BD10AF">
        <w:rPr>
          <w:rFonts w:ascii="Palatino Linotype" w:hAnsi="Palatino Linotype"/>
          <w:b/>
          <w:sz w:val="24"/>
          <w:szCs w:val="24"/>
        </w:rPr>
        <w:t xml:space="preserve"> </w:t>
      </w:r>
      <w:r w:rsidRPr="00BD10AF">
        <w:rPr>
          <w:rFonts w:ascii="Palatino Linotype" w:hAnsi="Palatino Linotype"/>
          <w:sz w:val="24"/>
          <w:szCs w:val="24"/>
        </w:rPr>
        <w:t>l</w:t>
      </w:r>
      <w:r w:rsidRPr="00BD10AF">
        <w:rPr>
          <w:szCs w:val="24"/>
        </w:rPr>
        <w:t>a</w:t>
      </w:r>
      <w:r w:rsidRPr="00BD10AF">
        <w:rPr>
          <w:rFonts w:ascii="Palatino Linotype" w:hAnsi="Palatino Linotype"/>
          <w:sz w:val="24"/>
          <w:szCs w:val="24"/>
        </w:rPr>
        <w:t xml:space="preserve"> respuesta a la solicitud de información</w:t>
      </w:r>
      <w:r w:rsidRPr="00BD10AF">
        <w:rPr>
          <w:rFonts w:ascii="Verdana" w:hAnsi="Verdana"/>
          <w:b/>
          <w:bCs/>
          <w:color w:val="FF0000"/>
        </w:rPr>
        <w:t xml:space="preserve"> </w:t>
      </w:r>
      <w:r w:rsidR="001C4B24" w:rsidRPr="001C4B24">
        <w:rPr>
          <w:rFonts w:ascii="Palatino Linotype" w:hAnsi="Palatino Linotype"/>
          <w:b/>
          <w:bCs/>
          <w:sz w:val="24"/>
          <w:szCs w:val="24"/>
        </w:rPr>
        <w:t>00050/CALIMAYA/IP/2025</w:t>
      </w:r>
      <w:r w:rsidR="001E7677">
        <w:rPr>
          <w:rFonts w:ascii="Palatino Linotype" w:hAnsi="Palatino Linotype"/>
          <w:b/>
          <w:bCs/>
          <w:sz w:val="24"/>
          <w:szCs w:val="24"/>
        </w:rPr>
        <w:t xml:space="preserve"> </w:t>
      </w:r>
      <w:r w:rsidRPr="006F21D0">
        <w:rPr>
          <w:rFonts w:ascii="Palatino Linotype" w:hAnsi="Palatino Linotype"/>
          <w:b/>
          <w:bCs/>
        </w:rPr>
        <w:t>que</w:t>
      </w:r>
      <w:r w:rsidRPr="006F21D0">
        <w:rPr>
          <w:rFonts w:ascii="Verdana" w:hAnsi="Verdana"/>
          <w:b/>
          <w:bCs/>
        </w:rPr>
        <w:t xml:space="preserve"> </w:t>
      </w:r>
      <w:r w:rsidRPr="00BD10AF">
        <w:rPr>
          <w:rFonts w:ascii="Palatino Linotype" w:hAnsi="Palatino Linotype"/>
          <w:sz w:val="24"/>
          <w:szCs w:val="24"/>
        </w:rPr>
        <w:t xml:space="preserve">ha sido materia del presente fallo. </w:t>
      </w:r>
    </w:p>
    <w:p w14:paraId="6A2FFE6D" w14:textId="77777777" w:rsidR="00BB20B1" w:rsidRDefault="00BB20B1" w:rsidP="00BB20B1">
      <w:pPr>
        <w:pStyle w:val="Prrafodelista"/>
        <w:spacing w:before="240" w:after="240"/>
        <w:ind w:left="0"/>
      </w:pPr>
      <w:r w:rsidRPr="00BD10AF">
        <w:t>Por lo antes expuesto y fundado es de resolverse y,</w:t>
      </w:r>
      <w:r w:rsidRPr="00F458CF">
        <w:t xml:space="preserve"> </w:t>
      </w:r>
    </w:p>
    <w:p w14:paraId="4E407BF4" w14:textId="77777777" w:rsidR="00BB20B1" w:rsidRPr="0064281B" w:rsidRDefault="00BB20B1" w:rsidP="00BB20B1">
      <w:pPr>
        <w:pStyle w:val="Prrafodelista"/>
        <w:spacing w:before="240" w:after="240"/>
        <w:ind w:left="0"/>
      </w:pPr>
    </w:p>
    <w:p w14:paraId="1AE0301C" w14:textId="77777777" w:rsidR="00BB20B1" w:rsidRPr="00D82022" w:rsidRDefault="00BB20B1" w:rsidP="00BB20B1">
      <w:pPr>
        <w:spacing w:before="240" w:line="360" w:lineRule="auto"/>
        <w:jc w:val="center"/>
        <w:rPr>
          <w:rFonts w:ascii="Palatino Linotype" w:eastAsia="Times New Roman" w:hAnsi="Palatino Linotype"/>
          <w:b/>
          <w:bCs/>
          <w:spacing w:val="60"/>
          <w:sz w:val="28"/>
          <w:szCs w:val="28"/>
          <w:lang w:val="es-ES_tradnl"/>
        </w:rPr>
      </w:pPr>
      <w:r w:rsidRPr="002C307A">
        <w:rPr>
          <w:rFonts w:ascii="Palatino Linotype" w:eastAsia="Times New Roman" w:hAnsi="Palatino Linotype"/>
          <w:b/>
          <w:bCs/>
          <w:spacing w:val="60"/>
          <w:sz w:val="28"/>
          <w:szCs w:val="28"/>
          <w:lang w:val="es-ES_tradnl"/>
        </w:rPr>
        <w:t>SE    RESUELVE</w:t>
      </w:r>
    </w:p>
    <w:p w14:paraId="25A26E4D" w14:textId="277237E0" w:rsidR="00BB20B1" w:rsidRDefault="00BB20B1" w:rsidP="00BB20B1">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sidR="00FE2740">
        <w:rPr>
          <w:rFonts w:ascii="Palatino Linotype" w:hAnsi="Palatino Linotype" w:cs="Arial"/>
          <w:b/>
          <w:sz w:val="24"/>
          <w:szCs w:val="24"/>
        </w:rPr>
        <w:t>MODIFICA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 </w:t>
      </w:r>
      <w:r w:rsidR="001C4B24" w:rsidRPr="001C4B24">
        <w:rPr>
          <w:rFonts w:ascii="Palatino Linotype" w:hAnsi="Palatino Linotype"/>
          <w:b/>
          <w:bCs/>
          <w:sz w:val="24"/>
          <w:szCs w:val="24"/>
        </w:rPr>
        <w:t>00050/CALIMAYA/IP/2025</w:t>
      </w:r>
      <w:r w:rsidR="001C4B24">
        <w:rPr>
          <w:rFonts w:ascii="Palatino Linotype" w:hAnsi="Palatino Linotype"/>
          <w:b/>
          <w:bCs/>
          <w:sz w:val="24"/>
          <w:szCs w:val="24"/>
        </w:rPr>
        <w:t xml:space="preserve"> </w:t>
      </w:r>
      <w:r>
        <w:rPr>
          <w:rFonts w:ascii="Palatino Linotype" w:hAnsi="Palatino Linotype" w:cs="Arial"/>
          <w:sz w:val="24"/>
        </w:rPr>
        <w:t xml:space="preserve">por </w:t>
      </w:r>
      <w:r w:rsidRPr="003C2A5B">
        <w:rPr>
          <w:rFonts w:ascii="Palatino Linotype" w:hAnsi="Palatino Linotype" w:cs="Arial"/>
          <w:sz w:val="24"/>
        </w:rPr>
        <w:t xml:space="preserve">resultar </w:t>
      </w:r>
      <w:r>
        <w:rPr>
          <w:rFonts w:ascii="Palatino Linotype" w:hAnsi="Palatino Linotype" w:cs="Arial"/>
          <w:sz w:val="24"/>
        </w:rPr>
        <w:t xml:space="preserve">fundados </w:t>
      </w:r>
      <w:r>
        <w:rPr>
          <w:rFonts w:ascii="Palatino Linotype" w:hAnsi="Palatino Linotype" w:cs="Arial"/>
          <w:sz w:val="24"/>
        </w:rPr>
        <w:lastRenderedPageBreak/>
        <w:t xml:space="preserve">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QUINTO </w:t>
      </w:r>
      <w:r>
        <w:rPr>
          <w:rFonts w:ascii="Palatino Linotype" w:hAnsi="Palatino Linotype" w:cs="Arial"/>
          <w:sz w:val="24"/>
        </w:rPr>
        <w:t xml:space="preserve">de la presente resolución. </w:t>
      </w:r>
    </w:p>
    <w:p w14:paraId="636E486D" w14:textId="77777777" w:rsidR="00BB20B1" w:rsidRDefault="00BB20B1" w:rsidP="00BB20B1">
      <w:pPr>
        <w:spacing w:before="240" w:line="360" w:lineRule="auto"/>
        <w:jc w:val="both"/>
        <w:rPr>
          <w:rFonts w:ascii="Palatino Linotype" w:hAnsi="Palatino Linotype" w:cs="Arial"/>
          <w:sz w:val="24"/>
        </w:rPr>
      </w:pPr>
    </w:p>
    <w:p w14:paraId="18DD703E" w14:textId="04BEAB5E" w:rsidR="00BB20B1" w:rsidRPr="00A95908" w:rsidRDefault="00BB20B1" w:rsidP="00BB20B1">
      <w:pPr>
        <w:spacing w:line="360" w:lineRule="auto"/>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Pr="003F100D">
        <w:rPr>
          <w:rFonts w:ascii="Palatino Linotype" w:hAnsi="Palatino Linotype" w:cs="Arial"/>
          <w:sz w:val="24"/>
          <w:szCs w:val="24"/>
        </w:rPr>
        <w:t xml:space="preserve"> 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Pr>
          <w:rFonts w:ascii="Palatino Linotype" w:hAnsi="Palatino Linotype" w:cs="Arial"/>
          <w:b/>
          <w:sz w:val="24"/>
          <w:szCs w:val="24"/>
        </w:rPr>
        <w:t>QUIN</w:t>
      </w:r>
      <w:r w:rsidRPr="003F100D">
        <w:rPr>
          <w:rFonts w:ascii="Palatino Linotype" w:hAnsi="Palatino Linotype" w:cs="Arial"/>
          <w:b/>
          <w:sz w:val="24"/>
          <w:szCs w:val="24"/>
        </w:rPr>
        <w:t xml:space="preserve">TO </w:t>
      </w:r>
      <w:r w:rsidRPr="003F100D">
        <w:rPr>
          <w:rFonts w:ascii="Palatino Linotype" w:hAnsi="Palatino Linotype" w:cs="Arial"/>
          <w:sz w:val="24"/>
          <w:szCs w:val="24"/>
        </w:rPr>
        <w:t>de esta resolución</w:t>
      </w:r>
      <w:r w:rsidRPr="003F100D">
        <w:rPr>
          <w:rFonts w:ascii="Palatino Linotype" w:hAnsi="Palatino Linotype" w:cs="Arial"/>
          <w:b/>
          <w:sz w:val="24"/>
          <w:szCs w:val="24"/>
        </w:rPr>
        <w:t xml:space="preserve">, </w:t>
      </w:r>
      <w:r w:rsidR="0047170C">
        <w:rPr>
          <w:rFonts w:ascii="Palatino Linotype" w:hAnsi="Palatino Linotype" w:cs="Arial"/>
          <w:bCs/>
          <w:sz w:val="24"/>
          <w:szCs w:val="24"/>
        </w:rPr>
        <w:t xml:space="preserve">de ser procedente en versión pública </w:t>
      </w:r>
      <w:r w:rsidRPr="003F100D">
        <w:rPr>
          <w:rFonts w:ascii="Palatino Linotype" w:hAnsi="Palatino Linotype" w:cs="Arial"/>
          <w:sz w:val="24"/>
          <w:szCs w:val="24"/>
        </w:rPr>
        <w:t xml:space="preserve">a través del Sistema de Acceso a la Información Mexiquense </w:t>
      </w:r>
      <w:r w:rsidRPr="003F100D">
        <w:rPr>
          <w:rFonts w:ascii="Palatino Linotype" w:hAnsi="Palatino Linotype" w:cs="Arial"/>
          <w:b/>
          <w:sz w:val="24"/>
          <w:szCs w:val="24"/>
        </w:rPr>
        <w:t>(SAIMEX),</w:t>
      </w:r>
      <w:r w:rsidR="00616955">
        <w:rPr>
          <w:rFonts w:ascii="Palatino Linotype" w:hAnsi="Palatino Linotype"/>
          <w:color w:val="000000"/>
          <w:sz w:val="24"/>
          <w:szCs w:val="24"/>
        </w:rPr>
        <w:t xml:space="preserve"> </w:t>
      </w:r>
      <w:r>
        <w:rPr>
          <w:rFonts w:ascii="Palatino Linotype" w:hAnsi="Palatino Linotype" w:cs="Arial"/>
          <w:sz w:val="24"/>
          <w:szCs w:val="24"/>
        </w:rPr>
        <w:t xml:space="preserve">lo siguiente: </w:t>
      </w:r>
    </w:p>
    <w:p w14:paraId="0227AA8E" w14:textId="3FCD0EE4" w:rsidR="00BB20B1" w:rsidRPr="00887284" w:rsidRDefault="0054235C" w:rsidP="00BB20B1">
      <w:pPr>
        <w:pStyle w:val="Prrafodelista"/>
        <w:numPr>
          <w:ilvl w:val="0"/>
          <w:numId w:val="5"/>
        </w:numPr>
        <w:autoSpaceDE w:val="0"/>
        <w:autoSpaceDN w:val="0"/>
        <w:adjustRightInd w:val="0"/>
        <w:rPr>
          <w:iCs/>
        </w:rPr>
      </w:pPr>
      <w:r w:rsidRPr="00887284">
        <w:rPr>
          <w:iCs/>
        </w:rPr>
        <w:t xml:space="preserve">Estados de situación financiera </w:t>
      </w:r>
      <w:r w:rsidR="0047170C" w:rsidRPr="00887284">
        <w:rPr>
          <w:iCs/>
        </w:rPr>
        <w:t xml:space="preserve">generados </w:t>
      </w:r>
      <w:r w:rsidRPr="00887284">
        <w:rPr>
          <w:iCs/>
        </w:rPr>
        <w:t>de</w:t>
      </w:r>
      <w:r w:rsidR="0047170C" w:rsidRPr="00887284">
        <w:rPr>
          <w:iCs/>
        </w:rPr>
        <w:t xml:space="preserve"> los ejercicios </w:t>
      </w:r>
      <w:r w:rsidRPr="00887284">
        <w:rPr>
          <w:iCs/>
        </w:rPr>
        <w:t>2017 a 2024</w:t>
      </w:r>
      <w:r w:rsidR="00BB20B1" w:rsidRPr="00887284">
        <w:rPr>
          <w:iCs/>
        </w:rPr>
        <w:t>.</w:t>
      </w:r>
    </w:p>
    <w:p w14:paraId="6C472205" w14:textId="77777777" w:rsidR="00BB20B1" w:rsidRPr="00F13AC6" w:rsidRDefault="00BB20B1" w:rsidP="00BB20B1">
      <w:pPr>
        <w:autoSpaceDE w:val="0"/>
        <w:autoSpaceDN w:val="0"/>
        <w:adjustRightInd w:val="0"/>
        <w:rPr>
          <w:i/>
          <w:iCs/>
          <w:highlight w:val="yellow"/>
        </w:rPr>
      </w:pPr>
    </w:p>
    <w:p w14:paraId="7FF101BD" w14:textId="17150DBB" w:rsidR="00BB20B1" w:rsidRDefault="00BB20B1" w:rsidP="00BB20B1">
      <w:pPr>
        <w:autoSpaceDE w:val="0"/>
        <w:autoSpaceDN w:val="0"/>
        <w:adjustRightInd w:val="0"/>
        <w:spacing w:line="360" w:lineRule="auto"/>
        <w:ind w:left="708"/>
        <w:jc w:val="both"/>
        <w:rPr>
          <w:rFonts w:ascii="Palatino Linotype" w:hAnsi="Palatino Linotype"/>
          <w:i/>
        </w:rPr>
      </w:pPr>
      <w:r w:rsidRPr="006F21D0">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w:t>
      </w:r>
      <w:r w:rsidR="0054235C">
        <w:rPr>
          <w:rFonts w:ascii="Palatino Linotype" w:hAnsi="Palatino Linotype"/>
          <w:i/>
        </w:rPr>
        <w:t xml:space="preserve"> </w:t>
      </w:r>
      <w:r w:rsidRPr="006F21D0">
        <w:rPr>
          <w:rFonts w:ascii="Palatino Linotype" w:hAnsi="Palatino Linotype"/>
          <w:i/>
        </w:rPr>
        <w:t>dentro del soporte documental respectivo</w:t>
      </w:r>
      <w:r w:rsidR="00070CE5">
        <w:rPr>
          <w:rFonts w:ascii="Palatino Linotype" w:hAnsi="Palatino Linotype"/>
          <w:i/>
        </w:rPr>
        <w:t xml:space="preserve"> y</w:t>
      </w:r>
      <w:r w:rsidRPr="006F21D0">
        <w:rPr>
          <w:rFonts w:ascii="Palatino Linotype" w:hAnsi="Palatino Linotype"/>
          <w:i/>
        </w:rPr>
        <w:t xml:space="preserve"> se ponga a disposición de la parte Recurrente</w:t>
      </w:r>
    </w:p>
    <w:p w14:paraId="22096DC4" w14:textId="77777777" w:rsidR="00BB20B1" w:rsidRPr="00A95908" w:rsidRDefault="00BB20B1" w:rsidP="00BB20B1">
      <w:pPr>
        <w:autoSpaceDE w:val="0"/>
        <w:autoSpaceDN w:val="0"/>
        <w:adjustRightInd w:val="0"/>
        <w:spacing w:line="360" w:lineRule="auto"/>
        <w:jc w:val="both"/>
        <w:rPr>
          <w:rFonts w:ascii="Palatino Linotype" w:hAnsi="Palatino Linotype"/>
          <w:i/>
        </w:rPr>
      </w:pPr>
    </w:p>
    <w:p w14:paraId="5EC4B651" w14:textId="77777777" w:rsidR="00BB20B1" w:rsidRDefault="00BB20B1" w:rsidP="00BB20B1">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B8019F">
        <w:rPr>
          <w:rFonts w:ascii="Palatino Linotype" w:hAnsi="Palatino Linotype" w:cstheme="minorHAnsi"/>
          <w:sz w:val="24"/>
          <w:szCs w:val="24"/>
        </w:rPr>
        <w:t xml:space="preserve">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6F36F4">
        <w:rPr>
          <w:rFonts w:ascii="Palatino Linotype" w:hAnsi="Palatino Linotype" w:cstheme="minorHAnsi"/>
          <w:sz w:val="24"/>
          <w:szCs w:val="24"/>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933185" w14:textId="77777777" w:rsidR="00BB20B1" w:rsidRPr="00F13AC6" w:rsidRDefault="00BB20B1" w:rsidP="00BB20B1">
      <w:pPr>
        <w:spacing w:after="0" w:line="360" w:lineRule="auto"/>
        <w:jc w:val="both"/>
        <w:rPr>
          <w:rFonts w:ascii="Palatino Linotype" w:hAnsi="Palatino Linotype" w:cstheme="minorHAnsi"/>
          <w:sz w:val="24"/>
          <w:szCs w:val="24"/>
        </w:rPr>
      </w:pPr>
    </w:p>
    <w:p w14:paraId="18DF8AF8" w14:textId="77777777" w:rsidR="00BB20B1" w:rsidRDefault="00BB20B1" w:rsidP="00BB20B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2E302CA" w14:textId="77777777" w:rsidR="00BB20B1" w:rsidRPr="0064281B" w:rsidRDefault="00BB20B1" w:rsidP="00BB20B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EEF026" w14:textId="1A078A75" w:rsidR="00BB20B1" w:rsidRDefault="00E5346B" w:rsidP="00BB20B1">
      <w:pPr>
        <w:autoSpaceDE w:val="0"/>
        <w:autoSpaceDN w:val="0"/>
        <w:adjustRightInd w:val="0"/>
        <w:spacing w:line="360" w:lineRule="auto"/>
        <w:jc w:val="both"/>
      </w:pPr>
      <w:r>
        <w:rPr>
          <w:rFonts w:ascii="Palatino Linotype" w:hAnsi="Palatino Linotype" w:cs="Arial"/>
          <w:b/>
          <w:noProof/>
          <w:sz w:val="28"/>
          <w:szCs w:val="28"/>
          <w:lang w:eastAsia="es-MX"/>
        </w:rPr>
        <mc:AlternateContent>
          <mc:Choice Requires="wps">
            <w:drawing>
              <wp:anchor distT="0" distB="0" distL="114300" distR="114300" simplePos="0" relativeHeight="251659264" behindDoc="0" locked="0" layoutInCell="1" allowOverlap="1" wp14:anchorId="2E5760AE" wp14:editId="3AA4C6C6">
                <wp:simplePos x="0" y="0"/>
                <wp:positionH relativeFrom="column">
                  <wp:posOffset>40004</wp:posOffset>
                </wp:positionH>
                <wp:positionV relativeFrom="paragraph">
                  <wp:posOffset>1832610</wp:posOffset>
                </wp:positionV>
                <wp:extent cx="5800725" cy="276225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800725" cy="276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7BB1B5F"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44.3pt" to="459.9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" strokecolor="#5b9bd5 [3204]" strokeweight=".5pt">
                <v:stroke joinstyle="miter"/>
              </v:line>
            </w:pict>
          </mc:Fallback>
        </mc:AlternateContent>
      </w:r>
      <w:r w:rsidR="00BB20B1" w:rsidRPr="005E1878">
        <w:rPr>
          <w:rFonts w:ascii="Palatino Linotype" w:hAnsi="Palatino Linotype" w:cs="Arial"/>
          <w:b/>
          <w:sz w:val="28"/>
          <w:szCs w:val="28"/>
        </w:rPr>
        <w:t xml:space="preserve">QUINTO. </w:t>
      </w:r>
      <w:r w:rsidR="00BB20B1" w:rsidRPr="00B8019F">
        <w:rPr>
          <w:rFonts w:ascii="Palatino Linotype" w:eastAsia="Times New Roman" w:hAnsi="Palatino Linotype" w:cs="Arial"/>
          <w:b/>
          <w:sz w:val="24"/>
          <w:szCs w:val="24"/>
          <w:lang w:eastAsia="es-ES"/>
        </w:rPr>
        <w:t xml:space="preserve">NOTIFÍQUESE </w:t>
      </w:r>
      <w:r w:rsidR="00BB20B1" w:rsidRPr="00B8019F">
        <w:rPr>
          <w:rFonts w:ascii="Palatino Linotype" w:eastAsia="Times New Roman" w:hAnsi="Palatino Linotype" w:cs="Arial"/>
          <w:sz w:val="24"/>
          <w:szCs w:val="24"/>
          <w:lang w:eastAsia="es-ES"/>
        </w:rPr>
        <w:t xml:space="preserve">la presente resolución al </w:t>
      </w:r>
      <w:r w:rsidR="00BB20B1" w:rsidRPr="00B8019F">
        <w:rPr>
          <w:rFonts w:ascii="Palatino Linotype" w:eastAsia="Times New Roman" w:hAnsi="Palatino Linotype" w:cs="Arial"/>
          <w:b/>
          <w:sz w:val="24"/>
          <w:szCs w:val="24"/>
          <w:lang w:eastAsia="es-ES"/>
        </w:rPr>
        <w:t xml:space="preserve">RECURRENTE vía </w:t>
      </w:r>
      <w:r w:rsidR="00BB20B1" w:rsidRPr="00B8019F">
        <w:rPr>
          <w:rFonts w:ascii="Palatino Linotype" w:hAnsi="Palatino Linotype" w:cs="Arial"/>
          <w:sz w:val="24"/>
          <w:szCs w:val="24"/>
        </w:rPr>
        <w:t xml:space="preserve">Sistema de Acceso a la Información Mexiquense </w:t>
      </w:r>
      <w:r w:rsidR="00BB20B1" w:rsidRPr="00B8019F">
        <w:rPr>
          <w:rFonts w:ascii="Palatino Linotype" w:hAnsi="Palatino Linotype" w:cs="Arial"/>
          <w:b/>
          <w:sz w:val="24"/>
          <w:szCs w:val="24"/>
        </w:rPr>
        <w:t xml:space="preserve">(SAIMEX) </w:t>
      </w:r>
      <w:r w:rsidR="00BB20B1" w:rsidRPr="00B8019F">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BB20B1">
        <w:t>.</w:t>
      </w:r>
    </w:p>
    <w:p w14:paraId="28BEDFC3" w14:textId="34A5046F" w:rsidR="00BB20B1" w:rsidRDefault="00BB20B1" w:rsidP="00BB20B1">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39A7EC45" w14:textId="47CDE0C7" w:rsidR="00E5346B" w:rsidRDefault="00E5346B" w:rsidP="00BB20B1">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0350EC1" w14:textId="5214A618" w:rsidR="00E5346B" w:rsidRDefault="00E5346B" w:rsidP="00BB20B1">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7D34B5FD" w14:textId="40C45CC6" w:rsidR="00E5346B" w:rsidRDefault="00E5346B" w:rsidP="00BB20B1">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827E269" w14:textId="6166D9AE" w:rsidR="00E5346B" w:rsidRDefault="00E5346B" w:rsidP="00BB20B1">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1B9D768" w14:textId="77777777" w:rsidR="00E5346B" w:rsidRPr="00B8019F" w:rsidRDefault="00E5346B" w:rsidP="00BB20B1">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3D9B0425" w14:textId="3471D14E" w:rsidR="00BB20B1" w:rsidRPr="0064281B" w:rsidRDefault="00BB20B1" w:rsidP="00BB20B1">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lastRenderedPageBreak/>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xml:space="preserve">, CONFORMADO POR LOS COMISIONADOS JOSÉ MARTÍNEZ VILCHIS, MARÍA DEL ROSARIO MEJÍA AYALA, SHARON CRISTINA MORALES MARTÍNEZ, LUIS GUSTAVO PARRA NORIEGA Y GUADALUPE RAMÍREZ PEÑA, </w:t>
      </w:r>
      <w:r w:rsidRPr="00721D05">
        <w:rPr>
          <w:rFonts w:ascii="Palatino Linotype" w:eastAsia="Times New Roman" w:hAnsi="Palatino Linotype" w:cs="Arial"/>
          <w:b/>
          <w:sz w:val="24"/>
          <w:szCs w:val="24"/>
          <w:lang w:val="es-ES_tradnl" w:eastAsia="es-MX"/>
        </w:rPr>
        <w:t>EN LA</w:t>
      </w:r>
      <w:r w:rsidRPr="00721D05">
        <w:rPr>
          <w:rFonts w:ascii="Palatino Linotype" w:eastAsia="Times New Roman" w:hAnsi="Palatino Linotype" w:cs="Arial"/>
          <w:b/>
          <w:sz w:val="24"/>
          <w:szCs w:val="24"/>
          <w:lang w:val="es-419" w:eastAsia="es-MX"/>
        </w:rPr>
        <w:t xml:space="preserve"> </w:t>
      </w:r>
      <w:r w:rsidR="00FA606B">
        <w:rPr>
          <w:rFonts w:ascii="Palatino Linotype" w:eastAsia="Times New Roman" w:hAnsi="Palatino Linotype" w:cs="Arial"/>
          <w:b/>
          <w:sz w:val="24"/>
          <w:szCs w:val="24"/>
          <w:lang w:val="es-419" w:eastAsia="es-MX"/>
        </w:rPr>
        <w:t>DÉCIMA PRIMERA</w:t>
      </w:r>
      <w:r>
        <w:rPr>
          <w:rFonts w:ascii="Palatino Linotype" w:eastAsia="Times New Roman" w:hAnsi="Palatino Linotype" w:cs="Arial"/>
          <w:b/>
          <w:sz w:val="24"/>
          <w:szCs w:val="24"/>
          <w:lang w:val="es-419" w:eastAsia="es-MX"/>
        </w:rPr>
        <w:t xml:space="preserve"> </w:t>
      </w:r>
      <w:r w:rsidRPr="00721D05">
        <w:rPr>
          <w:rFonts w:ascii="Palatino Linotype" w:eastAsia="Times New Roman" w:hAnsi="Palatino Linotype" w:cs="Arial"/>
          <w:b/>
          <w:sz w:val="24"/>
          <w:szCs w:val="24"/>
          <w:lang w:val="es-419" w:eastAsia="es-MX"/>
        </w:rPr>
        <w:t xml:space="preserve">SESIÓN ORDINARIA CELEBRADA EL </w:t>
      </w:r>
      <w:r w:rsidR="00FA606B">
        <w:rPr>
          <w:rFonts w:ascii="Palatino Linotype" w:eastAsia="Times New Roman" w:hAnsi="Palatino Linotype" w:cs="Arial"/>
          <w:b/>
          <w:sz w:val="24"/>
          <w:szCs w:val="24"/>
          <w:lang w:val="es-419" w:eastAsia="es-MX"/>
        </w:rPr>
        <w:t>VEINTISÉIS</w:t>
      </w:r>
      <w:r>
        <w:rPr>
          <w:rFonts w:ascii="Palatino Linotype" w:eastAsia="Times New Roman" w:hAnsi="Palatino Linotype" w:cs="Arial"/>
          <w:b/>
          <w:sz w:val="24"/>
          <w:szCs w:val="24"/>
          <w:lang w:val="es-419" w:eastAsia="es-MX"/>
        </w:rPr>
        <w:t xml:space="preserve"> DE MARZO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p>
    <w:p w14:paraId="7A0F3E13" w14:textId="7DAB02E6" w:rsidR="00BB20B1" w:rsidRPr="00F444C4" w:rsidRDefault="00E5346B" w:rsidP="00BB20B1">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r w:rsidR="00BB20B1" w:rsidRPr="00F444C4">
        <w:rPr>
          <w:rFonts w:ascii="Palatino Linotype" w:eastAsia="Times New Roman" w:hAnsi="Palatino Linotype" w:cs="Arial"/>
          <w:sz w:val="20"/>
          <w:lang w:val="es-ES_tradnl" w:eastAsia="es-MX"/>
        </w:rPr>
        <w:t>JMV/CCR/NJMB</w:t>
      </w:r>
    </w:p>
    <w:p w14:paraId="35CD48A1" w14:textId="77777777" w:rsidR="00BB20B1" w:rsidRPr="00F444C4" w:rsidRDefault="00BB20B1" w:rsidP="00BB20B1">
      <w:pPr>
        <w:spacing w:after="0" w:line="360" w:lineRule="auto"/>
        <w:jc w:val="both"/>
        <w:rPr>
          <w:rFonts w:ascii="Palatino Linotype" w:eastAsia="Times New Roman" w:hAnsi="Palatino Linotype" w:cs="Arial"/>
          <w:sz w:val="20"/>
          <w:lang w:val="es-ES_tradnl" w:eastAsia="es-MX"/>
        </w:rPr>
      </w:pPr>
    </w:p>
    <w:p w14:paraId="1F68075B" w14:textId="77777777" w:rsidR="00BB20B1" w:rsidRPr="00F444C4" w:rsidRDefault="00BB20B1" w:rsidP="00BB20B1">
      <w:pPr>
        <w:spacing w:after="0" w:line="360" w:lineRule="auto"/>
        <w:jc w:val="both"/>
        <w:rPr>
          <w:rFonts w:ascii="Palatino Linotype" w:eastAsia="Times New Roman" w:hAnsi="Palatino Linotype" w:cs="Arial"/>
          <w:sz w:val="20"/>
          <w:lang w:val="es-ES_tradnl" w:eastAsia="es-MX"/>
        </w:rPr>
      </w:pPr>
    </w:p>
    <w:p w14:paraId="74EEF0BE"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D969C31"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F2BE51"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C7C244F"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189C058"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A4BB0D"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6A8955A"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C7656F1"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F22CB3" w14:textId="77777777" w:rsidR="00BB20B1" w:rsidRPr="00F444C4" w:rsidRDefault="00BB20B1" w:rsidP="00BB20B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FA99E01" w14:textId="77777777" w:rsidR="00BB20B1" w:rsidRPr="00F444C4" w:rsidRDefault="00BB20B1" w:rsidP="00BB20B1">
      <w:pPr>
        <w:spacing w:after="0" w:line="360" w:lineRule="auto"/>
        <w:jc w:val="both"/>
        <w:rPr>
          <w:rFonts w:ascii="Palatino Linotype" w:eastAsia="Times New Roman" w:hAnsi="Palatino Linotype" w:cs="Calibri"/>
          <w:sz w:val="24"/>
          <w:lang w:val="es-ES_tradnl" w:eastAsia="es-MX"/>
        </w:rPr>
      </w:pPr>
    </w:p>
    <w:p w14:paraId="191F5113" w14:textId="77777777" w:rsidR="00BB20B1" w:rsidRPr="00F444C4" w:rsidRDefault="00BB20B1" w:rsidP="00BB20B1">
      <w:pPr>
        <w:spacing w:after="0" w:line="360" w:lineRule="auto"/>
        <w:jc w:val="both"/>
        <w:rPr>
          <w:rFonts w:ascii="Palatino Linotype" w:eastAsia="Times New Roman" w:hAnsi="Palatino Linotype" w:cs="Calibri"/>
          <w:sz w:val="24"/>
          <w:lang w:val="es-ES_tradnl" w:eastAsia="es-MX"/>
        </w:rPr>
      </w:pPr>
    </w:p>
    <w:p w14:paraId="61760F08" w14:textId="77777777" w:rsidR="00BB20B1" w:rsidRPr="00F444C4" w:rsidRDefault="00BB20B1" w:rsidP="00BB20B1">
      <w:pPr>
        <w:spacing w:after="0" w:line="360" w:lineRule="auto"/>
        <w:jc w:val="both"/>
        <w:rPr>
          <w:rFonts w:ascii="Palatino Linotype" w:eastAsia="Times New Roman" w:hAnsi="Palatino Linotype" w:cs="Calibri"/>
          <w:sz w:val="24"/>
          <w:lang w:val="es-ES_tradnl" w:eastAsia="es-MX"/>
        </w:rPr>
      </w:pPr>
    </w:p>
    <w:p w14:paraId="092B8A8A" w14:textId="77777777" w:rsidR="00BB20B1" w:rsidRPr="00F444C4" w:rsidRDefault="00BB20B1" w:rsidP="00BB20B1">
      <w:pPr>
        <w:spacing w:after="0" w:line="360" w:lineRule="auto"/>
        <w:jc w:val="both"/>
        <w:rPr>
          <w:rFonts w:ascii="Palatino Linotype" w:eastAsia="Times New Roman" w:hAnsi="Palatino Linotype" w:cs="Calibri"/>
          <w:sz w:val="24"/>
          <w:lang w:val="es-ES_tradnl" w:eastAsia="es-MX"/>
        </w:rPr>
      </w:pPr>
    </w:p>
    <w:p w14:paraId="666E816F" w14:textId="77777777" w:rsidR="00BB20B1" w:rsidRDefault="00BB20B1" w:rsidP="00BB20B1"/>
    <w:p w14:paraId="38686D18" w14:textId="77777777" w:rsidR="00BB20B1" w:rsidRDefault="00BB20B1" w:rsidP="00BB20B1"/>
    <w:p w14:paraId="192E0F88" w14:textId="77777777" w:rsidR="00BB20B1" w:rsidRDefault="00BB20B1" w:rsidP="00BB20B1"/>
    <w:p w14:paraId="171697C5" w14:textId="77777777" w:rsidR="00BB20B1" w:rsidRDefault="00BB20B1" w:rsidP="00BB20B1"/>
    <w:p w14:paraId="58C91F5B" w14:textId="77777777" w:rsidR="00F21117" w:rsidRDefault="00F21117"/>
    <w:sectPr w:rsidR="00F21117" w:rsidSect="00BB20B1">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93544" w14:textId="77777777" w:rsidR="007C5F29" w:rsidRDefault="007C5F29" w:rsidP="00BB20B1">
      <w:pPr>
        <w:spacing w:after="0" w:line="240" w:lineRule="auto"/>
      </w:pPr>
      <w:r>
        <w:separator/>
      </w:r>
    </w:p>
  </w:endnote>
  <w:endnote w:type="continuationSeparator" w:id="0">
    <w:p w14:paraId="4DFE6381" w14:textId="77777777" w:rsidR="007C5F29" w:rsidRDefault="007C5F29" w:rsidP="00BB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C054" w14:textId="645E55F1" w:rsidR="00BB20B1" w:rsidRPr="00871A91" w:rsidRDefault="00BB20B1" w:rsidP="00BB20B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7073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7073E">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34B8" w14:textId="33841909" w:rsidR="00BB20B1" w:rsidRPr="00871A91" w:rsidRDefault="00BB20B1" w:rsidP="00BB20B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7073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7073E">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09627" w14:textId="77777777" w:rsidR="007C5F29" w:rsidRDefault="007C5F29" w:rsidP="00BB20B1">
      <w:pPr>
        <w:spacing w:after="0" w:line="240" w:lineRule="auto"/>
      </w:pPr>
      <w:r>
        <w:separator/>
      </w:r>
    </w:p>
  </w:footnote>
  <w:footnote w:type="continuationSeparator" w:id="0">
    <w:p w14:paraId="272E153D" w14:textId="77777777" w:rsidR="007C5F29" w:rsidRDefault="007C5F29" w:rsidP="00BB20B1">
      <w:pPr>
        <w:spacing w:after="0" w:line="240" w:lineRule="auto"/>
      </w:pPr>
      <w:r>
        <w:continuationSeparator/>
      </w:r>
    </w:p>
  </w:footnote>
  <w:footnote w:id="1">
    <w:p w14:paraId="6715F06C" w14:textId="77777777" w:rsidR="00BB20B1" w:rsidRPr="0031280C" w:rsidRDefault="00BB20B1" w:rsidP="00BB20B1">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FB5522C" w14:textId="77777777" w:rsidR="00BB20B1" w:rsidRPr="0031280C" w:rsidRDefault="00BB20B1" w:rsidP="00BB20B1">
      <w:pPr>
        <w:rPr>
          <w:rFonts w:cs="Palatino Linotype"/>
          <w:color w:val="000000"/>
          <w:sz w:val="20"/>
          <w:szCs w:val="20"/>
        </w:rPr>
      </w:pPr>
    </w:p>
    <w:p w14:paraId="7A1E543F" w14:textId="77777777" w:rsidR="00BB20B1" w:rsidRPr="0031280C" w:rsidRDefault="00BB20B1" w:rsidP="00BB20B1">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892F529" w14:textId="77777777" w:rsidR="00BB20B1" w:rsidRPr="00783A97" w:rsidRDefault="00BB20B1" w:rsidP="00BB20B1">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8D424E6" w14:textId="77777777" w:rsidR="007B5A96" w:rsidRPr="00BA61D0" w:rsidRDefault="007B5A96" w:rsidP="007B5A96">
      <w:pPr>
        <w:pStyle w:val="Textonotapie"/>
        <w:rPr>
          <w:rFonts w:ascii="Palatino Linotype" w:hAnsi="Palatino Linotype"/>
          <w:i/>
          <w:iCs/>
          <w:sz w:val="18"/>
          <w:szCs w:val="18"/>
        </w:rPr>
      </w:pPr>
      <w:r>
        <w:rPr>
          <w:rStyle w:val="Refdenotaalpie"/>
          <w:rFonts w:eastAsiaTheme="majorEastAsia"/>
        </w:rPr>
        <w:footnoteRef/>
      </w:r>
      <w:r>
        <w:t xml:space="preserve"> </w:t>
      </w:r>
      <w:hyperlink r:id="rId3"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EE92" w14:textId="77777777" w:rsidR="00BB20B1" w:rsidRDefault="0037073E">
    <w:pPr>
      <w:pStyle w:val="Encabezado"/>
    </w:pPr>
    <w:r>
      <w:rPr>
        <w:noProof/>
        <w:lang w:val="es-MX" w:eastAsia="es-MX"/>
      </w:rPr>
      <w:pict w14:anchorId="547F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B20B1" w:rsidRPr="00B17577" w14:paraId="735FB866" w14:textId="77777777" w:rsidTr="00BB20B1">
      <w:trPr>
        <w:trHeight w:val="227"/>
      </w:trPr>
      <w:tc>
        <w:tcPr>
          <w:tcW w:w="5103" w:type="dxa"/>
          <w:hideMark/>
        </w:tcPr>
        <w:p w14:paraId="1E73CBEB" w14:textId="77777777" w:rsidR="00BB20B1" w:rsidRPr="00F70BDE" w:rsidRDefault="00BB20B1" w:rsidP="00BB20B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5B62ABA5" w14:textId="77777777" w:rsidR="00BB20B1" w:rsidRPr="00F70BDE" w:rsidRDefault="00BB20B1" w:rsidP="00BB20B1">
          <w:pPr>
            <w:spacing w:after="120" w:line="240" w:lineRule="auto"/>
            <w:ind w:right="71"/>
            <w:jc w:val="right"/>
            <w:rPr>
              <w:rFonts w:ascii="Palatino Linotype" w:hAnsi="Palatino Linotype" w:cs="Arial"/>
              <w:b/>
              <w:sz w:val="24"/>
              <w:szCs w:val="24"/>
            </w:rPr>
          </w:pPr>
          <w:r>
            <w:rPr>
              <w:rFonts w:ascii="Palatino Linotype" w:hAnsi="Palatino Linotype" w:cs="Arial"/>
              <w:b/>
              <w:bCs/>
              <w:sz w:val="24"/>
              <w:szCs w:val="24"/>
            </w:rPr>
            <w:t>00905/INFOEM/IP/RR/2025</w:t>
          </w:r>
        </w:p>
      </w:tc>
    </w:tr>
    <w:tr w:rsidR="00BB20B1" w14:paraId="0CEE5897" w14:textId="77777777" w:rsidTr="00BB20B1">
      <w:trPr>
        <w:trHeight w:val="242"/>
      </w:trPr>
      <w:tc>
        <w:tcPr>
          <w:tcW w:w="5103" w:type="dxa"/>
          <w:hideMark/>
        </w:tcPr>
        <w:p w14:paraId="3A320AA1" w14:textId="77777777" w:rsidR="00BB20B1" w:rsidRPr="00F70BDE" w:rsidRDefault="00BB20B1" w:rsidP="00BB20B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CCE99C8" w14:textId="77777777" w:rsidR="00BB20B1" w:rsidRPr="00F70BDE" w:rsidRDefault="00BB20B1" w:rsidP="00BB20B1">
          <w:pPr>
            <w:spacing w:after="120" w:line="240" w:lineRule="auto"/>
            <w:ind w:left="-81" w:right="71"/>
            <w:jc w:val="right"/>
            <w:rPr>
              <w:rFonts w:ascii="Palatino Linotype" w:hAnsi="Palatino Linotype" w:cs="Arial"/>
              <w:sz w:val="24"/>
              <w:szCs w:val="24"/>
            </w:rPr>
          </w:pPr>
          <w:r w:rsidRPr="00394BFF">
            <w:rPr>
              <w:rFonts w:ascii="Palatino Linotype" w:hAnsi="Palatino Linotype"/>
              <w:b/>
              <w:bCs/>
              <w:color w:val="000000"/>
              <w:sz w:val="24"/>
              <w:szCs w:val="24"/>
            </w:rPr>
            <w:t xml:space="preserve">Ayuntamiento de </w:t>
          </w:r>
          <w:proofErr w:type="spellStart"/>
          <w:r>
            <w:rPr>
              <w:rFonts w:ascii="Palatino Linotype" w:hAnsi="Palatino Linotype"/>
              <w:b/>
              <w:bCs/>
              <w:color w:val="000000"/>
              <w:sz w:val="24"/>
              <w:szCs w:val="24"/>
            </w:rPr>
            <w:t>Calimaya</w:t>
          </w:r>
          <w:proofErr w:type="spellEnd"/>
        </w:p>
      </w:tc>
    </w:tr>
    <w:tr w:rsidR="00BB20B1" w:rsidRPr="00F63239" w14:paraId="0AF37C08" w14:textId="77777777" w:rsidTr="00BB20B1">
      <w:trPr>
        <w:trHeight w:val="342"/>
      </w:trPr>
      <w:tc>
        <w:tcPr>
          <w:tcW w:w="5103" w:type="dxa"/>
          <w:hideMark/>
        </w:tcPr>
        <w:p w14:paraId="2EC93E8C" w14:textId="77777777" w:rsidR="00BB20B1" w:rsidRPr="00F70BDE" w:rsidRDefault="00BB20B1" w:rsidP="00BB20B1">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9714258" w14:textId="77777777" w:rsidR="00BB20B1" w:rsidRPr="00F70BDE" w:rsidRDefault="00BB20B1" w:rsidP="00BB20B1">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090B20BC" w14:textId="77777777" w:rsidR="00BB20B1" w:rsidRPr="00F70BDE" w:rsidRDefault="00BB20B1" w:rsidP="00BB20B1">
          <w:pPr>
            <w:spacing w:after="120" w:line="240" w:lineRule="auto"/>
            <w:ind w:left="-486" w:right="71" w:firstLine="567"/>
            <w:jc w:val="right"/>
            <w:rPr>
              <w:rFonts w:ascii="Palatino Linotype" w:hAnsi="Palatino Linotype" w:cs="Arial"/>
              <w:sz w:val="24"/>
              <w:szCs w:val="24"/>
            </w:rPr>
          </w:pPr>
        </w:p>
      </w:tc>
    </w:tr>
  </w:tbl>
  <w:p w14:paraId="39E9E712" w14:textId="77777777" w:rsidR="00BB20B1" w:rsidRPr="00871A91" w:rsidRDefault="0037073E">
    <w:pPr>
      <w:pStyle w:val="Encabezado"/>
      <w:rPr>
        <w:sz w:val="2"/>
      </w:rPr>
    </w:pPr>
    <w:r>
      <w:rPr>
        <w:noProof/>
        <w:lang w:val="es-MX" w:eastAsia="es-MX"/>
      </w:rPr>
      <w:pict w14:anchorId="43353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BB20B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B20B1" w:rsidRPr="00F70BDE" w14:paraId="5447FC7E" w14:textId="77777777" w:rsidTr="00BB20B1">
      <w:trPr>
        <w:trHeight w:val="227"/>
      </w:trPr>
      <w:tc>
        <w:tcPr>
          <w:tcW w:w="5103" w:type="dxa"/>
          <w:hideMark/>
        </w:tcPr>
        <w:p w14:paraId="4D3995FD" w14:textId="77777777" w:rsidR="00BB20B1" w:rsidRPr="00F70BDE" w:rsidRDefault="00BB20B1"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53BDADC" w14:textId="77777777" w:rsidR="00BB20B1" w:rsidRPr="00F70BDE" w:rsidRDefault="00BB20B1" w:rsidP="00BB20B1">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0905/INFOEM/IP/RR/2025</w:t>
          </w:r>
        </w:p>
      </w:tc>
    </w:tr>
    <w:tr w:rsidR="00BB20B1" w:rsidRPr="00F70BDE" w14:paraId="3C5442BE" w14:textId="77777777" w:rsidTr="00BB20B1">
      <w:trPr>
        <w:trHeight w:val="227"/>
      </w:trPr>
      <w:tc>
        <w:tcPr>
          <w:tcW w:w="5103" w:type="dxa"/>
        </w:tcPr>
        <w:p w14:paraId="68AE4E0E" w14:textId="77777777" w:rsidR="00BB20B1" w:rsidRPr="00F70BDE" w:rsidRDefault="00BB20B1"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01F55897" w14:textId="583260DB" w:rsidR="00BB20B1" w:rsidRPr="00893BF2" w:rsidRDefault="0037073E" w:rsidP="00BB20B1">
          <w:pPr>
            <w:jc w:val="right"/>
            <w:rPr>
              <w:rFonts w:ascii="Palatino Linotype" w:hAnsi="Palatino Linotype"/>
              <w:sz w:val="24"/>
              <w:szCs w:val="24"/>
            </w:rPr>
          </w:pPr>
          <w:r>
            <w:rPr>
              <w:rFonts w:ascii="Palatino Linotype" w:hAnsi="Palatino Linotype"/>
              <w:sz w:val="24"/>
              <w:szCs w:val="24"/>
            </w:rPr>
            <w:t>XXXX</w:t>
          </w:r>
        </w:p>
      </w:tc>
    </w:tr>
    <w:tr w:rsidR="00BB20B1" w:rsidRPr="00F70BDE" w14:paraId="22CE7F9B" w14:textId="77777777" w:rsidTr="00BB20B1">
      <w:trPr>
        <w:trHeight w:val="242"/>
      </w:trPr>
      <w:tc>
        <w:tcPr>
          <w:tcW w:w="5103" w:type="dxa"/>
          <w:hideMark/>
        </w:tcPr>
        <w:p w14:paraId="07913B1C" w14:textId="77777777" w:rsidR="00BB20B1" w:rsidRPr="00F70BDE" w:rsidRDefault="00BB20B1"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995619C" w14:textId="77777777" w:rsidR="00BB20B1" w:rsidRPr="00394BFF" w:rsidRDefault="00BB20B1" w:rsidP="00BB20B1">
          <w:pPr>
            <w:spacing w:after="120" w:line="240" w:lineRule="auto"/>
            <w:ind w:left="-70" w:right="68"/>
            <w:jc w:val="right"/>
            <w:rPr>
              <w:rFonts w:ascii="Palatino Linotype" w:hAnsi="Palatino Linotype" w:cs="Arial"/>
              <w:sz w:val="24"/>
              <w:szCs w:val="24"/>
            </w:rPr>
          </w:pPr>
          <w:r w:rsidRPr="00394BFF">
            <w:rPr>
              <w:rFonts w:ascii="Palatino Linotype" w:hAnsi="Palatino Linotype"/>
              <w:b/>
              <w:bCs/>
              <w:color w:val="000000"/>
              <w:sz w:val="24"/>
              <w:szCs w:val="24"/>
            </w:rPr>
            <w:t xml:space="preserve">Ayuntamiento de </w:t>
          </w:r>
          <w:proofErr w:type="spellStart"/>
          <w:r>
            <w:rPr>
              <w:rFonts w:ascii="Palatino Linotype" w:hAnsi="Palatino Linotype"/>
              <w:b/>
              <w:bCs/>
              <w:color w:val="000000"/>
              <w:sz w:val="24"/>
              <w:szCs w:val="24"/>
            </w:rPr>
            <w:t>Calimaya</w:t>
          </w:r>
          <w:proofErr w:type="spellEnd"/>
        </w:p>
      </w:tc>
    </w:tr>
    <w:tr w:rsidR="00BB20B1" w:rsidRPr="00F70BDE" w14:paraId="5ABEBF0E" w14:textId="77777777" w:rsidTr="00BB20B1">
      <w:trPr>
        <w:trHeight w:val="342"/>
      </w:trPr>
      <w:tc>
        <w:tcPr>
          <w:tcW w:w="5103" w:type="dxa"/>
          <w:hideMark/>
        </w:tcPr>
        <w:p w14:paraId="6702204B" w14:textId="77777777" w:rsidR="00BB20B1" w:rsidRPr="00F70BDE" w:rsidRDefault="00BB20B1" w:rsidP="00BB20B1">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79DC5EB" w14:textId="77777777" w:rsidR="00BB20B1" w:rsidRPr="00F70BDE" w:rsidRDefault="00BB20B1" w:rsidP="00BB20B1">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2B4717F" w14:textId="77777777" w:rsidR="00BB20B1" w:rsidRPr="00871A91" w:rsidRDefault="00BB20B1">
    <w:pPr>
      <w:pStyle w:val="Encabezado"/>
      <w:rPr>
        <w:sz w:val="2"/>
      </w:rPr>
    </w:pPr>
    <w:r>
      <w:rPr>
        <w:noProof/>
        <w:lang w:val="es-MX" w:eastAsia="es-MX"/>
      </w:rPr>
      <w:drawing>
        <wp:anchor distT="0" distB="0" distL="114300" distR="114300" simplePos="0" relativeHeight="251659264" behindDoc="1" locked="0" layoutInCell="0" allowOverlap="1" wp14:anchorId="6B47F08C" wp14:editId="41E41C1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27DD8"/>
    <w:multiLevelType w:val="hybridMultilevel"/>
    <w:tmpl w:val="E8F48D90"/>
    <w:lvl w:ilvl="0" w:tplc="AD1813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A663AE"/>
    <w:multiLevelType w:val="hybridMultilevel"/>
    <w:tmpl w:val="32C40F4C"/>
    <w:lvl w:ilvl="0" w:tplc="B1A81AB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B8A52C9"/>
    <w:multiLevelType w:val="hybridMultilevel"/>
    <w:tmpl w:val="4394003C"/>
    <w:lvl w:ilvl="0" w:tplc="F724D38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EE2207E"/>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7E13554"/>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0C25B8F"/>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23104513"/>
    <w:multiLevelType w:val="hybridMultilevel"/>
    <w:tmpl w:val="0EDED762"/>
    <w:lvl w:ilvl="0" w:tplc="166EED58">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8733A1"/>
    <w:multiLevelType w:val="hybridMultilevel"/>
    <w:tmpl w:val="C35640EA"/>
    <w:lvl w:ilvl="0" w:tplc="BC3259F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7C44A25"/>
    <w:multiLevelType w:val="hybridMultilevel"/>
    <w:tmpl w:val="16308B40"/>
    <w:lvl w:ilvl="0" w:tplc="24D209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8D1940"/>
    <w:multiLevelType w:val="hybridMultilevel"/>
    <w:tmpl w:val="5C5218C0"/>
    <w:lvl w:ilvl="0" w:tplc="32BCC3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F6435D"/>
    <w:multiLevelType w:val="hybridMultilevel"/>
    <w:tmpl w:val="E572F970"/>
    <w:lvl w:ilvl="0" w:tplc="E2C091EE">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83172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7964EB"/>
    <w:multiLevelType w:val="hybridMultilevel"/>
    <w:tmpl w:val="1BD28FAC"/>
    <w:lvl w:ilvl="0" w:tplc="1BF0087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55FD0235"/>
    <w:multiLevelType w:val="hybridMultilevel"/>
    <w:tmpl w:val="9768F950"/>
    <w:lvl w:ilvl="0" w:tplc="A2C6350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6716C9E"/>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5F11EB"/>
    <w:multiLevelType w:val="hybridMultilevel"/>
    <w:tmpl w:val="C75489EE"/>
    <w:lvl w:ilvl="0" w:tplc="807203B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5AA10D7A"/>
    <w:multiLevelType w:val="multilevel"/>
    <w:tmpl w:val="481A7F5A"/>
    <w:lvl w:ilvl="0">
      <w:start w:val="1"/>
      <w:numFmt w:val="decimal"/>
      <w:lvlText w:val="%1."/>
      <w:lvlJc w:val="left"/>
      <w:pPr>
        <w:ind w:left="644" w:hanging="358"/>
      </w:pPr>
    </w:lvl>
    <w:lvl w:ilvl="1">
      <w:start w:val="1"/>
      <w:numFmt w:val="lowerLetter"/>
      <w:lvlText w:val="%2."/>
      <w:lvlJc w:val="left"/>
      <w:pPr>
        <w:ind w:left="1364" w:hanging="360"/>
      </w:pPr>
      <w:rPr>
        <w:sz w:val="14"/>
        <w:szCs w:val="1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31C077B"/>
    <w:multiLevelType w:val="hybridMultilevel"/>
    <w:tmpl w:val="4C1EAB26"/>
    <w:lvl w:ilvl="0" w:tplc="3ABEF784">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EA48C9"/>
    <w:multiLevelType w:val="multilevel"/>
    <w:tmpl w:val="FFD42C9A"/>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6" w15:restartNumberingAfterBreak="0">
    <w:nsid w:val="65C90F7E"/>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DF3DF3"/>
    <w:multiLevelType w:val="hybridMultilevel"/>
    <w:tmpl w:val="1212AE30"/>
    <w:lvl w:ilvl="0" w:tplc="13421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79C8437D"/>
    <w:multiLevelType w:val="hybridMultilevel"/>
    <w:tmpl w:val="6382CD62"/>
    <w:lvl w:ilvl="0" w:tplc="DBEEF38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7BCB7283"/>
    <w:multiLevelType w:val="hybridMultilevel"/>
    <w:tmpl w:val="406035EC"/>
    <w:lvl w:ilvl="0" w:tplc="7F4AB58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2" w15:restartNumberingAfterBreak="0">
    <w:nsid w:val="7C0A668A"/>
    <w:multiLevelType w:val="hybridMultilevel"/>
    <w:tmpl w:val="DA64CDF8"/>
    <w:lvl w:ilvl="0" w:tplc="EDF8FF9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1B474F"/>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9"/>
  </w:num>
  <w:num w:numId="3">
    <w:abstractNumId w:val="7"/>
  </w:num>
  <w:num w:numId="4">
    <w:abstractNumId w:val="14"/>
  </w:num>
  <w:num w:numId="5">
    <w:abstractNumId w:val="27"/>
  </w:num>
  <w:num w:numId="6">
    <w:abstractNumId w:val="18"/>
  </w:num>
  <w:num w:numId="7">
    <w:abstractNumId w:val="0"/>
  </w:num>
  <w:num w:numId="8">
    <w:abstractNumId w:val="21"/>
  </w:num>
  <w:num w:numId="9">
    <w:abstractNumId w:val="24"/>
  </w:num>
  <w:num w:numId="10">
    <w:abstractNumId w:val="20"/>
  </w:num>
  <w:num w:numId="11">
    <w:abstractNumId w:val="10"/>
  </w:num>
  <w:num w:numId="12">
    <w:abstractNumId w:val="2"/>
  </w:num>
  <w:num w:numId="13">
    <w:abstractNumId w:val="3"/>
  </w:num>
  <w:num w:numId="14">
    <w:abstractNumId w:val="30"/>
  </w:num>
  <w:num w:numId="15">
    <w:abstractNumId w:val="17"/>
  </w:num>
  <w:num w:numId="16">
    <w:abstractNumId w:val="22"/>
  </w:num>
  <w:num w:numId="17">
    <w:abstractNumId w:val="28"/>
  </w:num>
  <w:num w:numId="18">
    <w:abstractNumId w:val="12"/>
  </w:num>
  <w:num w:numId="19">
    <w:abstractNumId w:val="9"/>
  </w:num>
  <w:num w:numId="20">
    <w:abstractNumId w:val="33"/>
  </w:num>
  <w:num w:numId="21">
    <w:abstractNumId w:val="13"/>
  </w:num>
  <w:num w:numId="22">
    <w:abstractNumId w:val="8"/>
  </w:num>
  <w:num w:numId="23">
    <w:abstractNumId w:val="34"/>
  </w:num>
  <w:num w:numId="24">
    <w:abstractNumId w:val="31"/>
  </w:num>
  <w:num w:numId="25">
    <w:abstractNumId w:val="6"/>
  </w:num>
  <w:num w:numId="26">
    <w:abstractNumId w:val="26"/>
  </w:num>
  <w:num w:numId="27">
    <w:abstractNumId w:val="5"/>
  </w:num>
  <w:num w:numId="28">
    <w:abstractNumId w:val="4"/>
  </w:num>
  <w:num w:numId="29">
    <w:abstractNumId w:val="16"/>
  </w:num>
  <w:num w:numId="30">
    <w:abstractNumId w:val="25"/>
  </w:num>
  <w:num w:numId="31">
    <w:abstractNumId w:val="29"/>
  </w:num>
  <w:num w:numId="32">
    <w:abstractNumId w:val="23"/>
  </w:num>
  <w:num w:numId="33">
    <w:abstractNumId w:val="1"/>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B1"/>
    <w:rsid w:val="00070CE5"/>
    <w:rsid w:val="00094F15"/>
    <w:rsid w:val="000958B5"/>
    <w:rsid w:val="000E54EB"/>
    <w:rsid w:val="001063E4"/>
    <w:rsid w:val="00140E87"/>
    <w:rsid w:val="001771CB"/>
    <w:rsid w:val="00185209"/>
    <w:rsid w:val="001C0B8C"/>
    <w:rsid w:val="001C4B24"/>
    <w:rsid w:val="001E7677"/>
    <w:rsid w:val="002B352D"/>
    <w:rsid w:val="002C3122"/>
    <w:rsid w:val="002D611A"/>
    <w:rsid w:val="00313535"/>
    <w:rsid w:val="0032702C"/>
    <w:rsid w:val="0037073E"/>
    <w:rsid w:val="003A242C"/>
    <w:rsid w:val="003B4261"/>
    <w:rsid w:val="003E6B36"/>
    <w:rsid w:val="0042251C"/>
    <w:rsid w:val="0047170C"/>
    <w:rsid w:val="004A618F"/>
    <w:rsid w:val="004D5ACA"/>
    <w:rsid w:val="004E4193"/>
    <w:rsid w:val="00506C6D"/>
    <w:rsid w:val="0054235C"/>
    <w:rsid w:val="0059336E"/>
    <w:rsid w:val="005B5246"/>
    <w:rsid w:val="00616955"/>
    <w:rsid w:val="00670388"/>
    <w:rsid w:val="00676870"/>
    <w:rsid w:val="0068664A"/>
    <w:rsid w:val="006C283C"/>
    <w:rsid w:val="00730843"/>
    <w:rsid w:val="00752B75"/>
    <w:rsid w:val="00777183"/>
    <w:rsid w:val="0079479C"/>
    <w:rsid w:val="007B5A96"/>
    <w:rsid w:val="007C5F29"/>
    <w:rsid w:val="007F169D"/>
    <w:rsid w:val="007F2337"/>
    <w:rsid w:val="00803F69"/>
    <w:rsid w:val="00822701"/>
    <w:rsid w:val="00887284"/>
    <w:rsid w:val="008E48B7"/>
    <w:rsid w:val="00900EBF"/>
    <w:rsid w:val="009237AB"/>
    <w:rsid w:val="00926F45"/>
    <w:rsid w:val="00976096"/>
    <w:rsid w:val="00A57558"/>
    <w:rsid w:val="00A73D3D"/>
    <w:rsid w:val="00A7653F"/>
    <w:rsid w:val="00A943BC"/>
    <w:rsid w:val="00AB799E"/>
    <w:rsid w:val="00AD1327"/>
    <w:rsid w:val="00B3757C"/>
    <w:rsid w:val="00B760B9"/>
    <w:rsid w:val="00B76E8A"/>
    <w:rsid w:val="00BA6B3F"/>
    <w:rsid w:val="00BB20B1"/>
    <w:rsid w:val="00BD4BA9"/>
    <w:rsid w:val="00C419F4"/>
    <w:rsid w:val="00C86924"/>
    <w:rsid w:val="00CA69AF"/>
    <w:rsid w:val="00CA7FDB"/>
    <w:rsid w:val="00E5346B"/>
    <w:rsid w:val="00EA55CE"/>
    <w:rsid w:val="00F21117"/>
    <w:rsid w:val="00F476CC"/>
    <w:rsid w:val="00FA606B"/>
    <w:rsid w:val="00FB2392"/>
    <w:rsid w:val="00FE2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F5D7"/>
  <w15:chartTrackingRefBased/>
  <w15:docId w15:val="{77E06A29-2AF6-4B4B-A353-8D69F8C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20B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BB20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B20B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B20B1"/>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BB20B1"/>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BB20B1"/>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BB20B1"/>
    <w:rPr>
      <w:rFonts w:cs="Times New Roman"/>
      <w:color w:val="0563C1" w:themeColor="hyperlink"/>
      <w:u w:val="single"/>
    </w:rPr>
  </w:style>
  <w:style w:type="paragraph" w:customStyle="1" w:styleId="Default">
    <w:name w:val="Default"/>
    <w:rsid w:val="00BB20B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B20B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B20B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B20B1"/>
    <w:rPr>
      <w:vertAlign w:val="superscript"/>
    </w:rPr>
  </w:style>
  <w:style w:type="table" w:styleId="Tablaconcuadrcula">
    <w:name w:val="Table Grid"/>
    <w:basedOn w:val="Tablanormal"/>
    <w:uiPriority w:val="39"/>
    <w:rsid w:val="00BB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BB20B1"/>
    <w:rPr>
      <w:sz w:val="20"/>
      <w:szCs w:val="20"/>
    </w:rPr>
  </w:style>
  <w:style w:type="paragraph" w:styleId="Textocomentario">
    <w:name w:val="annotation text"/>
    <w:basedOn w:val="Normal"/>
    <w:link w:val="TextocomentarioCar"/>
    <w:uiPriority w:val="99"/>
    <w:semiHidden/>
    <w:unhideWhenUsed/>
    <w:rsid w:val="00BB20B1"/>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BB20B1"/>
    <w:rPr>
      <w:b/>
      <w:bCs/>
      <w:sz w:val="20"/>
      <w:szCs w:val="20"/>
    </w:rPr>
  </w:style>
  <w:style w:type="paragraph" w:styleId="Asuntodelcomentario">
    <w:name w:val="annotation subject"/>
    <w:basedOn w:val="Textocomentario"/>
    <w:next w:val="Textocomentario"/>
    <w:link w:val="AsuntodelcomentarioCar"/>
    <w:uiPriority w:val="99"/>
    <w:semiHidden/>
    <w:unhideWhenUsed/>
    <w:rsid w:val="00BB20B1"/>
    <w:rPr>
      <w:b/>
      <w:bCs/>
    </w:rPr>
  </w:style>
  <w:style w:type="character" w:customStyle="1" w:styleId="TextodegloboCar">
    <w:name w:val="Texto de globo Car"/>
    <w:basedOn w:val="Fuentedeprrafopredeter"/>
    <w:link w:val="Textodeglobo"/>
    <w:uiPriority w:val="99"/>
    <w:semiHidden/>
    <w:rsid w:val="00BB20B1"/>
    <w:rPr>
      <w:rFonts w:ascii="Segoe UI" w:hAnsi="Segoe UI" w:cs="Segoe UI"/>
      <w:sz w:val="18"/>
      <w:szCs w:val="18"/>
    </w:rPr>
  </w:style>
  <w:style w:type="paragraph" w:styleId="Textodeglobo">
    <w:name w:val="Balloon Text"/>
    <w:basedOn w:val="Normal"/>
    <w:link w:val="TextodegloboCar"/>
    <w:uiPriority w:val="99"/>
    <w:semiHidden/>
    <w:unhideWhenUsed/>
    <w:rsid w:val="00BB20B1"/>
    <w:pPr>
      <w:spacing w:after="0" w:line="240" w:lineRule="auto"/>
    </w:pPr>
    <w:rPr>
      <w:rFonts w:ascii="Segoe UI" w:hAnsi="Segoe UI" w:cs="Segoe UI"/>
      <w:sz w:val="18"/>
      <w:szCs w:val="18"/>
    </w:rPr>
  </w:style>
  <w:style w:type="paragraph" w:customStyle="1" w:styleId="Citas">
    <w:name w:val="Citas"/>
    <w:basedOn w:val="Normal"/>
    <w:qFormat/>
    <w:rsid w:val="00BB20B1"/>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BB20B1"/>
  </w:style>
  <w:style w:type="paragraph" w:styleId="Sinespaciado">
    <w:name w:val="No Spacing"/>
    <w:aliases w:val="Francesa,INAI"/>
    <w:link w:val="SinespaciadoCar"/>
    <w:uiPriority w:val="1"/>
    <w:qFormat/>
    <w:rsid w:val="00BB20B1"/>
    <w:pPr>
      <w:spacing w:after="0" w:line="240" w:lineRule="auto"/>
    </w:pPr>
  </w:style>
  <w:style w:type="character" w:customStyle="1" w:styleId="SinespaciadoCar">
    <w:name w:val="Sin espaciado Car"/>
    <w:aliases w:val="Francesa Car,INAI Car"/>
    <w:link w:val="Sinespaciado"/>
    <w:uiPriority w:val="1"/>
    <w:locked/>
    <w:rsid w:val="00BB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8851</Words>
  <Characters>48683</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5</cp:revision>
  <dcterms:created xsi:type="dcterms:W3CDTF">2025-03-27T02:03:00Z</dcterms:created>
  <dcterms:modified xsi:type="dcterms:W3CDTF">2025-04-02T15:05:00Z</dcterms:modified>
</cp:coreProperties>
</file>