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433C" w14:textId="77777777" w:rsidR="00F54819" w:rsidRPr="0024200F" w:rsidRDefault="00F54819" w:rsidP="00F54819">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doce de marzo de dos mil veinticinco.</w:t>
      </w:r>
    </w:p>
    <w:p w14:paraId="03EA0714" w14:textId="77777777" w:rsidR="00F54819" w:rsidRPr="0024200F" w:rsidRDefault="00F54819" w:rsidP="00F54819">
      <w:pPr>
        <w:spacing w:line="360" w:lineRule="auto"/>
        <w:jc w:val="both"/>
        <w:rPr>
          <w:rFonts w:ascii="Palatino Linotype" w:hAnsi="Palatino Linotype"/>
        </w:rPr>
      </w:pPr>
    </w:p>
    <w:p w14:paraId="441E392C" w14:textId="7E152907" w:rsidR="00F54819" w:rsidRPr="002C3EC8" w:rsidRDefault="00F54819" w:rsidP="00F54819">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w:t>
      </w:r>
      <w:r w:rsidR="001050E4">
        <w:rPr>
          <w:rFonts w:ascii="Palatino Linotype" w:hAnsi="Palatino Linotype" w:cs="Arial"/>
          <w:b/>
          <w:bCs/>
          <w:lang w:eastAsia="es-MX"/>
        </w:rPr>
        <w:t>0</w:t>
      </w:r>
      <w:r>
        <w:rPr>
          <w:rFonts w:ascii="Palatino Linotype" w:hAnsi="Palatino Linotype" w:cs="Arial"/>
          <w:b/>
          <w:bCs/>
          <w:lang w:eastAsia="es-MX"/>
        </w:rPr>
        <w:t>615/INFOEM/IP/RR/2025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w:t>
      </w:r>
      <w:r w:rsidR="00B127CD">
        <w:rPr>
          <w:rFonts w:ascii="Palatino Linotype" w:hAnsi="Palatino Linotype"/>
        </w:rPr>
        <w:t>XXXXXXXXXXXXXXXXXX</w:t>
      </w:r>
      <w:bookmarkStart w:id="0" w:name="_GoBack"/>
      <w:bookmarkEnd w:id="0"/>
      <w:r>
        <w:rPr>
          <w:rFonts w:ascii="Palatino Linotype" w:hAnsi="Palatino Linotype"/>
        </w:rPr>
        <w:t>”</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F54819">
        <w:rPr>
          <w:rFonts w:ascii="Palatino Linotype" w:hAnsi="Palatino Linotype"/>
          <w:b/>
        </w:rPr>
        <w:t>Ayuntamiento de Chalco</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56841B95" w14:textId="77777777" w:rsidR="00F54819" w:rsidRDefault="00F54819" w:rsidP="00F54819">
      <w:pPr>
        <w:pStyle w:val="infoemcitas"/>
        <w:jc w:val="center"/>
        <w:rPr>
          <w:b/>
          <w:bCs/>
          <w:i w:val="0"/>
          <w:iCs/>
          <w:sz w:val="28"/>
          <w:szCs w:val="28"/>
        </w:rPr>
      </w:pPr>
    </w:p>
    <w:p w14:paraId="252311BA" w14:textId="77777777" w:rsidR="00F54819" w:rsidRDefault="00F54819" w:rsidP="00F54819">
      <w:pPr>
        <w:pStyle w:val="infoemcitas"/>
        <w:jc w:val="center"/>
        <w:rPr>
          <w:b/>
          <w:bCs/>
          <w:i w:val="0"/>
          <w:iCs/>
          <w:sz w:val="28"/>
          <w:szCs w:val="28"/>
        </w:rPr>
      </w:pPr>
      <w:r w:rsidRPr="002C3EC8">
        <w:rPr>
          <w:b/>
          <w:bCs/>
          <w:i w:val="0"/>
          <w:iCs/>
          <w:sz w:val="28"/>
          <w:szCs w:val="28"/>
        </w:rPr>
        <w:t>A N T E C E D E N T E S   D E L   A S U N T O</w:t>
      </w:r>
    </w:p>
    <w:p w14:paraId="4D6BC3F1" w14:textId="77777777" w:rsidR="00F54819" w:rsidRPr="002C3EC8" w:rsidRDefault="00F54819" w:rsidP="00F54819">
      <w:pPr>
        <w:pStyle w:val="infoemcitas"/>
        <w:jc w:val="center"/>
        <w:rPr>
          <w:b/>
          <w:bCs/>
          <w:i w:val="0"/>
          <w:iCs/>
          <w:sz w:val="28"/>
          <w:szCs w:val="28"/>
        </w:rPr>
      </w:pPr>
    </w:p>
    <w:p w14:paraId="3A48D74F" w14:textId="77777777" w:rsidR="00F54819" w:rsidRPr="002C3EC8" w:rsidRDefault="00F54819" w:rsidP="00F54819">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1778B49D" w14:textId="77777777" w:rsidR="00F54819" w:rsidRPr="00D705FF" w:rsidRDefault="00F54819" w:rsidP="00F54819">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b/>
        </w:rPr>
        <w:t>trece de enero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00005/CHALCO/IP/2025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0CB5A662" w14:textId="77777777" w:rsidR="00F54819" w:rsidRPr="001C7F6F" w:rsidRDefault="00F54819" w:rsidP="00F54819">
      <w:pPr>
        <w:pStyle w:val="INFOEM"/>
        <w:rPr>
          <w:lang w:val="es-ES_tradnl" w:eastAsia="es-ES"/>
        </w:rPr>
      </w:pPr>
      <w:r w:rsidRPr="00D705FF">
        <w:rPr>
          <w:lang w:val="es-ES_tradnl" w:eastAsia="es-ES"/>
        </w:rPr>
        <w:t>“</w:t>
      </w:r>
      <w:r w:rsidRPr="00F54819">
        <w:rPr>
          <w:lang w:val="es-ES" w:eastAsia="es-ES"/>
        </w:rPr>
        <w:t xml:space="preserve">SOLICITO EN COPIA SIMPLE DIGITALIZADA, FACTURAS PAGADAS POR EL GOBIERNOMUNICIPAL DE CHALCO EN LA COMPRA DE </w:t>
      </w:r>
      <w:r w:rsidRPr="00F54819">
        <w:rPr>
          <w:lang w:val="es-ES" w:eastAsia="es-ES"/>
        </w:rPr>
        <w:lastRenderedPageBreak/>
        <w:t>JUGUETES QUE SE REGALARON EL DÍA DE REYES EN DIFERETNES COMUNIDADES DEL MUNICIPIO</w:t>
      </w:r>
      <w:r w:rsidRPr="00D705FF">
        <w:rPr>
          <w:lang w:val="es-ES_tradnl" w:eastAsia="es-ES"/>
        </w:rPr>
        <w:t>” (Sic)</w:t>
      </w:r>
    </w:p>
    <w:p w14:paraId="2FBCABAF" w14:textId="77777777" w:rsidR="00F54819" w:rsidRDefault="00F54819" w:rsidP="00F54819">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7413273F" w14:textId="77777777" w:rsidR="00F54819" w:rsidRPr="00E87D47" w:rsidRDefault="00F54819" w:rsidP="00F54819">
      <w:pPr>
        <w:spacing w:before="240" w:line="360" w:lineRule="auto"/>
        <w:jc w:val="both"/>
        <w:rPr>
          <w:rFonts w:ascii="Palatino Linotype" w:hAnsi="Palatino Linotype"/>
          <w:lang w:val="es-ES_tradnl"/>
        </w:rPr>
      </w:pPr>
    </w:p>
    <w:p w14:paraId="1DD59174" w14:textId="77777777" w:rsidR="00F54819" w:rsidRDefault="00F54819" w:rsidP="00F54819">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2539C278" w14:textId="77777777" w:rsidR="00F54819" w:rsidRPr="00C0731C" w:rsidRDefault="00F54819" w:rsidP="00F54819">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cuatro de febrero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33E63954" w14:textId="77777777" w:rsidR="00F54819" w:rsidRPr="00E818A5" w:rsidRDefault="00F54819" w:rsidP="00F54819">
      <w:pPr>
        <w:spacing w:line="360" w:lineRule="auto"/>
        <w:jc w:val="both"/>
        <w:rPr>
          <w:rFonts w:ascii="Palatino Linotype" w:hAnsi="Palatino Linotype" w:cs="Arial"/>
        </w:rPr>
      </w:pPr>
    </w:p>
    <w:p w14:paraId="22322D26" w14:textId="77777777" w:rsidR="00385BFB" w:rsidRPr="00385BFB" w:rsidRDefault="00F54819" w:rsidP="00385BFB">
      <w:pPr>
        <w:ind w:left="567" w:right="567"/>
        <w:jc w:val="both"/>
        <w:rPr>
          <w:rFonts w:ascii="Palatino Linotype" w:hAnsi="Palatino Linotype" w:cs="Arial"/>
          <w:i/>
        </w:rPr>
      </w:pPr>
      <w:r>
        <w:rPr>
          <w:rFonts w:ascii="Palatino Linotype" w:hAnsi="Palatino Linotype" w:cs="Arial"/>
          <w:i/>
        </w:rPr>
        <w:t>“</w:t>
      </w:r>
      <w:r w:rsidR="00385BFB" w:rsidRPr="00385BFB">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FAD847" w14:textId="77777777" w:rsidR="00F54819" w:rsidRDefault="00385BFB" w:rsidP="00385BFB">
      <w:pPr>
        <w:ind w:left="567" w:right="567"/>
        <w:jc w:val="both"/>
        <w:rPr>
          <w:rFonts w:ascii="Palatino Linotype" w:hAnsi="Palatino Linotype" w:cs="Arial"/>
          <w:i/>
        </w:rPr>
      </w:pPr>
      <w:r w:rsidRPr="00385BFB">
        <w:rPr>
          <w:rFonts w:ascii="Palatino Linotype" w:hAnsi="Palatino Linotype" w:cs="Arial"/>
          <w:i/>
        </w:rPr>
        <w:t>En seguimiento a la solicitud de información registrada con el número de folio 00005/CHALCO/IP/2025, al respecto le informo que, el responsable de atender su requerimiento de información fue el Mtro. Jesús Manuel de la Cruz Guerrero, Tesorero Municipal, quien emitió respuesta en los siguientes términos: “Remito a usted copia simple de la factura pagada número 2010 por compra de juguetes para obsequiar el día de reyes en diferentes comunidades” Por lo anterior sírvase encontrar en archivo .</w:t>
      </w:r>
      <w:proofErr w:type="spellStart"/>
      <w:r w:rsidRPr="00385BFB">
        <w:rPr>
          <w:rFonts w:ascii="Palatino Linotype" w:hAnsi="Palatino Linotype" w:cs="Arial"/>
          <w:i/>
        </w:rPr>
        <w:t>pdf</w:t>
      </w:r>
      <w:proofErr w:type="spellEnd"/>
      <w:r w:rsidRPr="00385BFB">
        <w:rPr>
          <w:rFonts w:ascii="Palatino Linotype" w:hAnsi="Palatino Linotype" w:cs="Arial"/>
          <w:i/>
        </w:rPr>
        <w:t xml:space="preserve"> el documento en comento.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 </w:t>
      </w:r>
      <w:r w:rsidR="00F54819" w:rsidRPr="00667998">
        <w:rPr>
          <w:rFonts w:ascii="Palatino Linotype" w:hAnsi="Palatino Linotype" w:cs="Arial"/>
          <w:i/>
        </w:rPr>
        <w:t>“(Sic).</w:t>
      </w:r>
    </w:p>
    <w:p w14:paraId="274814F4" w14:textId="77777777" w:rsidR="00F54819" w:rsidRDefault="00F54819" w:rsidP="00F54819">
      <w:pPr>
        <w:spacing w:line="360" w:lineRule="auto"/>
        <w:ind w:right="567"/>
        <w:jc w:val="both"/>
        <w:rPr>
          <w:rFonts w:ascii="Palatino Linotype" w:hAnsi="Palatino Linotype" w:cs="Arial"/>
        </w:rPr>
      </w:pPr>
    </w:p>
    <w:p w14:paraId="4A86C93D" w14:textId="4D3C473C" w:rsidR="00F54819" w:rsidRDefault="00F54819" w:rsidP="00F54819">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w:t>
      </w:r>
      <w:r w:rsidR="00385BFB">
        <w:rPr>
          <w:rFonts w:ascii="Palatino Linotype" w:hAnsi="Palatino Linotype" w:cs="Arial"/>
        </w:rPr>
        <w:t>el archivo electrónico denominado</w:t>
      </w:r>
      <w:r>
        <w:rPr>
          <w:rFonts w:ascii="Palatino Linotype" w:hAnsi="Palatino Linotype" w:cs="Arial"/>
        </w:rPr>
        <w:t xml:space="preserve"> “</w:t>
      </w:r>
      <w:r w:rsidR="00385BFB" w:rsidRPr="00385BFB">
        <w:rPr>
          <w:rFonts w:ascii="Palatino Linotype" w:hAnsi="Palatino Linotype" w:cs="Arial"/>
          <w:b/>
          <w:i/>
        </w:rPr>
        <w:t>doc24570120250120144553.pdf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14:paraId="2FE2F66A" w14:textId="77777777" w:rsidR="00F54819" w:rsidRPr="002C3EC8" w:rsidRDefault="00F54819" w:rsidP="00F54819">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3113FE66" w14:textId="1C8598BF" w:rsidR="00F54819" w:rsidRDefault="00F54819" w:rsidP="00F54819">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385BFB">
        <w:rPr>
          <w:rFonts w:ascii="Palatino Linotype" w:hAnsi="Palatino Linotype" w:cs="Arial"/>
          <w:b/>
        </w:rPr>
        <w:t>cinco de febrero</w:t>
      </w:r>
      <w:r>
        <w:rPr>
          <w:rFonts w:ascii="Palatino Linotype" w:hAnsi="Palatino Linotype" w:cs="Arial"/>
          <w:b/>
        </w:rPr>
        <w:t xml:space="preserve">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w:t>
      </w:r>
      <w:r w:rsidR="001050E4">
        <w:rPr>
          <w:rFonts w:ascii="Palatino Linotype" w:hAnsi="Palatino Linotype" w:cs="Arial"/>
          <w:b/>
        </w:rPr>
        <w:t>0</w:t>
      </w:r>
      <w:r>
        <w:rPr>
          <w:rFonts w:ascii="Palatino Linotype" w:hAnsi="Palatino Linotype" w:cs="Arial"/>
          <w:b/>
        </w:rPr>
        <w:t>615/INFOEM/IP/RR/2025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67136A3E" w14:textId="77777777" w:rsidR="00385BFB" w:rsidRDefault="00385BFB" w:rsidP="00F54819">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Acto impugnado:</w:t>
      </w:r>
    </w:p>
    <w:p w14:paraId="6EDFA888" w14:textId="77777777" w:rsidR="00385BFB" w:rsidRPr="007E4713" w:rsidRDefault="00385BFB" w:rsidP="00385BFB">
      <w:pPr>
        <w:pStyle w:val="INFOEM"/>
        <w:ind w:left="720"/>
      </w:pPr>
      <w:r w:rsidRPr="007E4713">
        <w:t>“</w:t>
      </w:r>
      <w:r w:rsidRPr="00385BFB">
        <w:t>SOLICITO EN COPIA SIMPLE DIGITALIZADA, FACTURAS PAGADAS POR EL GOBIERNOMUNICIPAL DE CHALCO EN LA COMPRA DE JUGUETES QUE SE REGALARON EL DÍA DE REYES EN DIFERETNES COMUNIDADES DEL MUNICIPIO.</w:t>
      </w:r>
      <w:r>
        <w:t>” (</w:t>
      </w:r>
      <w:proofErr w:type="gramStart"/>
      <w:r>
        <w:t>sic</w:t>
      </w:r>
      <w:proofErr w:type="gramEnd"/>
      <w:r>
        <w:t>)</w:t>
      </w:r>
    </w:p>
    <w:p w14:paraId="15516BB6" w14:textId="77777777" w:rsidR="00F54819" w:rsidRPr="0033050B" w:rsidRDefault="00F54819" w:rsidP="00F54819">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6F9DD3CC" w14:textId="77777777" w:rsidR="00F54819" w:rsidRPr="007E4713" w:rsidRDefault="00F54819" w:rsidP="00385BFB">
      <w:pPr>
        <w:pStyle w:val="INFOEM"/>
        <w:ind w:left="709"/>
      </w:pPr>
      <w:r w:rsidRPr="007E4713">
        <w:t>“</w:t>
      </w:r>
      <w:r w:rsidR="00385BFB" w:rsidRPr="00385BFB">
        <w:t>La respuesta entrega un factura de diciembre de 2023, sin explícitamente solicitar la información de ese año, requiriendo la información correspondiente al mes de enero de 2025.</w:t>
      </w:r>
      <w:r>
        <w:t>” (</w:t>
      </w:r>
      <w:proofErr w:type="gramStart"/>
      <w:r>
        <w:t>sic</w:t>
      </w:r>
      <w:proofErr w:type="gramEnd"/>
      <w:r>
        <w:t>)</w:t>
      </w:r>
    </w:p>
    <w:p w14:paraId="14D3192C" w14:textId="77777777" w:rsidR="00F54819" w:rsidRDefault="00F54819" w:rsidP="00F54819">
      <w:pPr>
        <w:spacing w:line="360" w:lineRule="auto"/>
        <w:jc w:val="both"/>
        <w:rPr>
          <w:rFonts w:ascii="Palatino Linotype" w:hAnsi="Palatino Linotype" w:cs="Arial"/>
        </w:rPr>
      </w:pPr>
    </w:p>
    <w:p w14:paraId="01795B5E" w14:textId="77777777" w:rsidR="00F54819" w:rsidRPr="002C3EC8" w:rsidRDefault="00F54819" w:rsidP="00F54819">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27B2E956" w14:textId="77777777" w:rsidR="00F54819" w:rsidRDefault="00F54819" w:rsidP="00F54819">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385BFB">
        <w:rPr>
          <w:rFonts w:ascii="Palatino Linotype" w:hAnsi="Palatino Linotype"/>
          <w:b/>
        </w:rPr>
        <w:t>siete</w:t>
      </w:r>
      <w:r>
        <w:rPr>
          <w:rFonts w:ascii="Palatino Linotype" w:hAnsi="Palatino Linotype"/>
          <w:b/>
        </w:rPr>
        <w:t xml:space="preserve"> de febrero de dos mil veinticinco</w:t>
      </w:r>
      <w:r w:rsidRPr="002C3EC8">
        <w:rPr>
          <w:rFonts w:ascii="Palatino Linotype" w:hAnsi="Palatino Linotype"/>
        </w:rPr>
        <w:t xml:space="preserve">, determinándose en ellos, un plazo de siete días para que las </w:t>
      </w:r>
      <w:r w:rsidRPr="002C3EC8">
        <w:rPr>
          <w:rFonts w:ascii="Palatino Linotype" w:hAnsi="Palatino Linotype"/>
        </w:rPr>
        <w:lastRenderedPageBreak/>
        <w:t>partes manifestaran lo que a su derecho corresponda en términos del numeral ya citado.</w:t>
      </w:r>
    </w:p>
    <w:p w14:paraId="15AE46F6" w14:textId="77777777" w:rsidR="00F54819" w:rsidRPr="004C20B7" w:rsidRDefault="00F54819" w:rsidP="00F54819">
      <w:pPr>
        <w:spacing w:before="240" w:line="360" w:lineRule="auto"/>
        <w:jc w:val="both"/>
        <w:rPr>
          <w:rFonts w:ascii="Palatino Linotype" w:hAnsi="Palatino Linotype" w:cs="Arial"/>
          <w:sz w:val="28"/>
        </w:rPr>
      </w:pPr>
    </w:p>
    <w:p w14:paraId="59E50B9E" w14:textId="77777777" w:rsidR="00F54819" w:rsidRPr="00E52C83" w:rsidRDefault="00F54819" w:rsidP="00F54819">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42FB9017" w14:textId="77777777" w:rsidR="00385BFB" w:rsidRPr="00590166" w:rsidRDefault="00385BFB" w:rsidP="00385BFB">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Pr>
          <w:rFonts w:ascii="Palatino Linotype" w:hAnsi="Palatino Linotype" w:cs="Arial"/>
        </w:rPr>
        <w:t>dieciocho de febrero de dos mil veinticinco</w:t>
      </w:r>
      <w:r w:rsidRPr="00D32665">
        <w:rPr>
          <w:rFonts w:ascii="Palatino Linotype" w:hAnsi="Palatino Linotype" w:cs="Arial"/>
        </w:rPr>
        <w:t>, por medio del archivo electrónico “</w:t>
      </w:r>
      <w:r w:rsidRPr="00385BFB">
        <w:rPr>
          <w:rFonts w:ascii="Palatino Linotype" w:hAnsi="Palatino Linotype" w:cs="Arial"/>
          <w:b/>
          <w:i/>
        </w:rPr>
        <w:t>Informe Justificado 615-2025.pdf</w:t>
      </w:r>
      <w:r w:rsidRPr="00D32665">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en el que sustancialmente ratifica su respuesta, mismo que fue</w:t>
      </w:r>
      <w:r w:rsidRPr="00D32665">
        <w:rPr>
          <w:rFonts w:ascii="Palatino Linotype" w:hAnsi="Palatino Linotype" w:cs="Arial"/>
        </w:rPr>
        <w:t xml:space="preserve"> puesto a la vista en fecha </w:t>
      </w:r>
      <w:r>
        <w:rPr>
          <w:rFonts w:ascii="Palatino Linotype" w:hAnsi="Palatino Linotype" w:cs="Arial"/>
        </w:rPr>
        <w:t>veinticinco de febrero de dos mil veinticinco</w:t>
      </w:r>
      <w:r w:rsidRPr="00D32665">
        <w:rPr>
          <w:rFonts w:ascii="Palatino Linotype" w:hAnsi="Palatino Linotype" w:cs="Arial"/>
          <w:b/>
          <w:i/>
        </w:rPr>
        <w:t>.</w:t>
      </w:r>
    </w:p>
    <w:p w14:paraId="47D3A2DD" w14:textId="77777777" w:rsidR="00385BFB" w:rsidRPr="00D32665" w:rsidRDefault="00385BFB" w:rsidP="00385BFB">
      <w:pPr>
        <w:spacing w:line="360" w:lineRule="auto"/>
        <w:jc w:val="both"/>
        <w:rPr>
          <w:rFonts w:ascii="Palatino Linotype" w:hAnsi="Palatino Linotype"/>
        </w:rPr>
      </w:pPr>
    </w:p>
    <w:p w14:paraId="1D1BD054" w14:textId="77777777" w:rsidR="00385BFB" w:rsidRPr="00D32665" w:rsidRDefault="00385BFB" w:rsidP="00385BFB">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14:paraId="4F13EA66" w14:textId="77777777" w:rsidR="00F54819" w:rsidRDefault="00F54819" w:rsidP="00F54819">
      <w:pPr>
        <w:spacing w:line="360" w:lineRule="auto"/>
        <w:jc w:val="both"/>
        <w:rPr>
          <w:rFonts w:ascii="Palatino Linotype" w:hAnsi="Palatino Linotype" w:cs="Arial"/>
          <w:b/>
          <w:sz w:val="28"/>
          <w:szCs w:val="28"/>
        </w:rPr>
      </w:pPr>
    </w:p>
    <w:p w14:paraId="4A143A9F" w14:textId="77777777" w:rsidR="00F54819" w:rsidRPr="002C3EC8" w:rsidRDefault="00F54819" w:rsidP="00F54819">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0519D15D" w14:textId="77777777" w:rsidR="00F54819" w:rsidRDefault="00F54819" w:rsidP="00F54819">
      <w:pPr>
        <w:spacing w:line="360" w:lineRule="auto"/>
        <w:jc w:val="both"/>
        <w:rPr>
          <w:rFonts w:ascii="Palatino Linotype" w:hAnsi="Palatino Linotype" w:cs="Arial"/>
        </w:rPr>
      </w:pPr>
      <w:r w:rsidRPr="002C3EC8">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w:t>
      </w:r>
      <w:r w:rsidR="00385BFB">
        <w:rPr>
          <w:rFonts w:ascii="Palatino Linotype" w:hAnsi="Palatino Linotype" w:cs="Arial"/>
          <w:b/>
        </w:rPr>
        <w:t xml:space="preserve">cuatro de marzo </w:t>
      </w:r>
      <w:r>
        <w:rPr>
          <w:rFonts w:ascii="Palatino Linotype" w:hAnsi="Palatino Linotype" w:cs="Arial"/>
          <w:b/>
        </w:rPr>
        <w:t>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4A8189F7" w14:textId="77777777" w:rsidR="00F54819" w:rsidRDefault="00F54819" w:rsidP="00F54819">
      <w:pPr>
        <w:spacing w:line="360" w:lineRule="auto"/>
        <w:jc w:val="both"/>
        <w:rPr>
          <w:rFonts w:ascii="Palatino Linotype" w:hAnsi="Palatino Linotype" w:cs="Arial"/>
          <w:b/>
          <w:sz w:val="28"/>
          <w:szCs w:val="28"/>
        </w:rPr>
      </w:pPr>
    </w:p>
    <w:p w14:paraId="6696B6DF" w14:textId="77777777" w:rsidR="00F54819" w:rsidRPr="0024200F" w:rsidRDefault="00F54819" w:rsidP="00F54819">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lastRenderedPageBreak/>
        <w:t>CONSIDERANDO</w:t>
      </w:r>
    </w:p>
    <w:p w14:paraId="3EF289AA" w14:textId="77777777" w:rsidR="00F54819" w:rsidRPr="00825F67" w:rsidRDefault="00F54819" w:rsidP="00F54819">
      <w:pPr>
        <w:spacing w:line="360" w:lineRule="auto"/>
        <w:ind w:right="49"/>
        <w:jc w:val="both"/>
        <w:rPr>
          <w:rFonts w:ascii="Palatino Linotype" w:hAnsi="Palatino Linotype"/>
          <w:szCs w:val="28"/>
        </w:rPr>
      </w:pPr>
    </w:p>
    <w:p w14:paraId="799813E0" w14:textId="77777777" w:rsidR="00F54819" w:rsidRPr="002C3EC8" w:rsidRDefault="00F54819" w:rsidP="00F54819">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5A3F5F66" w14:textId="77777777" w:rsidR="00F54819" w:rsidRPr="007C6AB6" w:rsidRDefault="00F54819" w:rsidP="00F54819">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C3BC2F7" w14:textId="77777777" w:rsidR="00F54819" w:rsidRPr="002C3EC8" w:rsidRDefault="00F54819" w:rsidP="00F54819">
      <w:pPr>
        <w:spacing w:before="240" w:line="360" w:lineRule="auto"/>
        <w:jc w:val="both"/>
        <w:rPr>
          <w:rFonts w:ascii="Palatino Linotype" w:eastAsia="Calibri" w:hAnsi="Palatino Linotype"/>
          <w:b/>
          <w:color w:val="000000" w:themeColor="text1"/>
        </w:rPr>
      </w:pPr>
    </w:p>
    <w:p w14:paraId="2BB361B0" w14:textId="77777777" w:rsidR="00F54819" w:rsidRPr="002C3EC8" w:rsidRDefault="00F54819" w:rsidP="00F54819">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1BB75C41" w14:textId="77777777" w:rsidR="00F54819" w:rsidRDefault="00F54819" w:rsidP="00F5481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w:t>
      </w:r>
      <w:r w:rsidRPr="002C3EC8">
        <w:rPr>
          <w:rFonts w:ascii="Palatino Linotype" w:hAnsi="Palatino Linotype" w:cs="Arial"/>
        </w:rPr>
        <w:lastRenderedPageBreak/>
        <w:t>afectación al derecho de acceso a la información pública y garantizando el principio rector de máxima publicidad.</w:t>
      </w:r>
    </w:p>
    <w:p w14:paraId="645AEFBF" w14:textId="77777777" w:rsidR="00F54819" w:rsidRPr="00FF46DA" w:rsidRDefault="00F54819" w:rsidP="00F54819">
      <w:pPr>
        <w:pStyle w:val="Prrafodelista"/>
        <w:autoSpaceDE w:val="0"/>
        <w:autoSpaceDN w:val="0"/>
        <w:adjustRightInd w:val="0"/>
        <w:spacing w:before="240" w:after="160" w:line="360" w:lineRule="auto"/>
        <w:ind w:left="0"/>
        <w:jc w:val="both"/>
        <w:rPr>
          <w:rFonts w:ascii="Palatino Linotype" w:hAnsi="Palatino Linotype" w:cs="Arial"/>
        </w:rPr>
      </w:pPr>
    </w:p>
    <w:p w14:paraId="0FAC4CD4" w14:textId="77777777" w:rsidR="00F54819" w:rsidRPr="002C3EC8" w:rsidRDefault="00F54819" w:rsidP="00F5481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600C1DB5" w14:textId="77777777" w:rsidR="00F54819" w:rsidRPr="002C3EC8" w:rsidRDefault="00F54819" w:rsidP="00F5481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BDC878A" w14:textId="77777777" w:rsidR="00F54819" w:rsidRPr="002C3EC8" w:rsidRDefault="00F54819" w:rsidP="00F54819">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66488A5A" w14:textId="77777777" w:rsidR="00F54819" w:rsidRDefault="00F54819" w:rsidP="00F54819">
      <w:pPr>
        <w:tabs>
          <w:tab w:val="left" w:pos="709"/>
        </w:tabs>
        <w:spacing w:before="240" w:line="360" w:lineRule="auto"/>
        <w:ind w:right="51"/>
        <w:jc w:val="both"/>
        <w:rPr>
          <w:rFonts w:ascii="Palatino Linotype" w:hAnsi="Palatino Linotype"/>
          <w:b/>
          <w:sz w:val="28"/>
          <w:szCs w:val="28"/>
        </w:rPr>
      </w:pPr>
    </w:p>
    <w:p w14:paraId="07F09B01" w14:textId="77777777" w:rsidR="00F54819" w:rsidRPr="002C3EC8" w:rsidRDefault="00F54819" w:rsidP="00F54819">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347735F4" w14:textId="77777777" w:rsidR="00F54819" w:rsidRPr="007379EE" w:rsidRDefault="00F54819" w:rsidP="00F5481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C5D9B25" w14:textId="77777777" w:rsidR="00F54819" w:rsidRDefault="00F54819" w:rsidP="00F54819">
      <w:pPr>
        <w:autoSpaceDE w:val="0"/>
        <w:autoSpaceDN w:val="0"/>
        <w:adjustRightInd w:val="0"/>
        <w:ind w:right="567"/>
        <w:rPr>
          <w:rFonts w:ascii="Palatino Linotype" w:eastAsia="Calibri" w:hAnsi="Palatino Linotype" w:cs="Arial"/>
        </w:rPr>
      </w:pPr>
    </w:p>
    <w:p w14:paraId="0E15BB8D" w14:textId="77777777" w:rsidR="00F54819" w:rsidRDefault="00F54819" w:rsidP="00F5481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72C8D348" w14:textId="77777777" w:rsidR="00F54819" w:rsidRDefault="00F54819" w:rsidP="00F54819">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14:paraId="1D5E60CD" w14:textId="77777777" w:rsidR="00F54819" w:rsidRDefault="00F54819" w:rsidP="00F54819">
      <w:pPr>
        <w:pStyle w:val="Citas"/>
        <w:numPr>
          <w:ilvl w:val="0"/>
          <w:numId w:val="4"/>
        </w:numPr>
        <w:spacing w:before="0" w:after="0" w:line="240" w:lineRule="auto"/>
      </w:pPr>
      <w:r w:rsidRPr="002E7A81">
        <w:t xml:space="preserve">La negativa a la información solicitada; </w:t>
      </w:r>
    </w:p>
    <w:p w14:paraId="48B464D3" w14:textId="77777777" w:rsidR="00F54819" w:rsidRDefault="00F54819" w:rsidP="00F54819">
      <w:pPr>
        <w:pStyle w:val="Citas"/>
        <w:numPr>
          <w:ilvl w:val="0"/>
          <w:numId w:val="4"/>
        </w:numPr>
        <w:spacing w:before="0" w:after="0" w:line="240" w:lineRule="auto"/>
      </w:pPr>
      <w:r w:rsidRPr="002E7A81">
        <w:t xml:space="preserve">La clasificación de la información; </w:t>
      </w:r>
    </w:p>
    <w:p w14:paraId="4B8CD003" w14:textId="77777777" w:rsidR="00F54819" w:rsidRDefault="00F54819" w:rsidP="00F54819">
      <w:pPr>
        <w:pStyle w:val="Citas"/>
        <w:numPr>
          <w:ilvl w:val="0"/>
          <w:numId w:val="4"/>
        </w:numPr>
        <w:spacing w:before="0" w:after="0" w:line="240" w:lineRule="auto"/>
      </w:pPr>
      <w:r w:rsidRPr="002E7A81">
        <w:lastRenderedPageBreak/>
        <w:t xml:space="preserve">La declaración de inexistencia de la información; </w:t>
      </w:r>
    </w:p>
    <w:p w14:paraId="7414E95D" w14:textId="77777777" w:rsidR="00F54819" w:rsidRDefault="00F54819" w:rsidP="00F54819">
      <w:pPr>
        <w:pStyle w:val="Citas"/>
        <w:numPr>
          <w:ilvl w:val="0"/>
          <w:numId w:val="4"/>
        </w:numPr>
        <w:spacing w:before="0" w:after="0" w:line="240" w:lineRule="auto"/>
      </w:pPr>
      <w:r w:rsidRPr="002E7A81">
        <w:t xml:space="preserve">La declaración de incompetencia por el sujeto obligado; </w:t>
      </w:r>
    </w:p>
    <w:p w14:paraId="614992AA" w14:textId="77777777" w:rsidR="00F54819" w:rsidRPr="00957049" w:rsidRDefault="00F54819" w:rsidP="00F54819">
      <w:pPr>
        <w:pStyle w:val="Citas"/>
        <w:numPr>
          <w:ilvl w:val="0"/>
          <w:numId w:val="4"/>
        </w:numPr>
        <w:spacing w:before="0" w:after="0" w:line="240" w:lineRule="auto"/>
        <w:rPr>
          <w:b/>
        </w:rPr>
      </w:pPr>
      <w:r w:rsidRPr="00957049">
        <w:rPr>
          <w:b/>
        </w:rPr>
        <w:t xml:space="preserve">La entrega de información incompleta; </w:t>
      </w:r>
    </w:p>
    <w:p w14:paraId="5E8C6397" w14:textId="77777777" w:rsidR="00F54819" w:rsidRDefault="00F54819" w:rsidP="00F54819">
      <w:pPr>
        <w:pStyle w:val="Citas"/>
        <w:numPr>
          <w:ilvl w:val="0"/>
          <w:numId w:val="4"/>
        </w:numPr>
        <w:spacing w:before="0" w:after="0" w:line="240" w:lineRule="auto"/>
      </w:pPr>
      <w:r w:rsidRPr="002E7A81">
        <w:t xml:space="preserve">La entrega de información que no corresponda con lo solicitado; </w:t>
      </w:r>
    </w:p>
    <w:p w14:paraId="4AD57DE8" w14:textId="77777777" w:rsidR="00F54819" w:rsidRDefault="00F54819" w:rsidP="00F54819">
      <w:pPr>
        <w:pStyle w:val="Citas"/>
        <w:numPr>
          <w:ilvl w:val="0"/>
          <w:numId w:val="4"/>
        </w:numPr>
        <w:spacing w:before="0" w:after="0" w:line="240" w:lineRule="auto"/>
      </w:pPr>
      <w:r w:rsidRPr="002E7A81">
        <w:t xml:space="preserve">La falta de respuesta a una solicitud de acceso a la información; </w:t>
      </w:r>
    </w:p>
    <w:p w14:paraId="7B4C1641" w14:textId="77777777" w:rsidR="00F54819" w:rsidRDefault="00F54819" w:rsidP="00F54819">
      <w:pPr>
        <w:pStyle w:val="Citas"/>
        <w:numPr>
          <w:ilvl w:val="0"/>
          <w:numId w:val="4"/>
        </w:numPr>
        <w:spacing w:before="0" w:after="0" w:line="240" w:lineRule="auto"/>
      </w:pPr>
      <w:r w:rsidRPr="002E7A81">
        <w:t xml:space="preserve">La notificación, entrega o puesta a disposición de información en una modalidad o formato distinto al solicitado; </w:t>
      </w:r>
    </w:p>
    <w:p w14:paraId="30FEA7D0" w14:textId="77777777" w:rsidR="00F54819" w:rsidRDefault="00F54819" w:rsidP="00F54819">
      <w:pPr>
        <w:pStyle w:val="Citas"/>
        <w:numPr>
          <w:ilvl w:val="0"/>
          <w:numId w:val="4"/>
        </w:numPr>
        <w:spacing w:before="0" w:after="0" w:line="240" w:lineRule="auto"/>
      </w:pPr>
      <w:r w:rsidRPr="002E7A81">
        <w:t xml:space="preserve">La entrega o puesta a disposición de información en un formato incomprensible y/o no accesible para el solicitante; </w:t>
      </w:r>
    </w:p>
    <w:p w14:paraId="34789521" w14:textId="77777777" w:rsidR="00F54819" w:rsidRDefault="00F54819" w:rsidP="00F54819">
      <w:pPr>
        <w:pStyle w:val="Citas"/>
        <w:numPr>
          <w:ilvl w:val="0"/>
          <w:numId w:val="4"/>
        </w:numPr>
        <w:spacing w:before="0" w:after="0" w:line="240" w:lineRule="auto"/>
      </w:pPr>
      <w:r w:rsidRPr="002E7A81">
        <w:t xml:space="preserve">Los costos o tiempos de entrega de la información; </w:t>
      </w:r>
    </w:p>
    <w:p w14:paraId="10FDE02B" w14:textId="77777777" w:rsidR="00F54819" w:rsidRDefault="00F54819" w:rsidP="00F54819">
      <w:pPr>
        <w:pStyle w:val="Citas"/>
        <w:numPr>
          <w:ilvl w:val="0"/>
          <w:numId w:val="4"/>
        </w:numPr>
        <w:spacing w:before="0" w:after="0" w:line="240" w:lineRule="auto"/>
      </w:pPr>
      <w:r w:rsidRPr="002E7A81">
        <w:t xml:space="preserve">La falta de trámite a una solicitud; </w:t>
      </w:r>
    </w:p>
    <w:p w14:paraId="768D888A" w14:textId="77777777" w:rsidR="00F54819" w:rsidRDefault="00F54819" w:rsidP="00F54819">
      <w:pPr>
        <w:pStyle w:val="Citas"/>
        <w:numPr>
          <w:ilvl w:val="0"/>
          <w:numId w:val="4"/>
        </w:numPr>
        <w:spacing w:before="0" w:after="0" w:line="240" w:lineRule="auto"/>
      </w:pPr>
      <w:r w:rsidRPr="002E7A81">
        <w:t xml:space="preserve">La negativa a permitir la consulta directa de la información; </w:t>
      </w:r>
    </w:p>
    <w:p w14:paraId="2EBC1BCE" w14:textId="77777777" w:rsidR="00F54819" w:rsidRDefault="00F54819" w:rsidP="00F54819">
      <w:pPr>
        <w:pStyle w:val="Citas"/>
        <w:numPr>
          <w:ilvl w:val="0"/>
          <w:numId w:val="4"/>
        </w:numPr>
        <w:spacing w:before="0" w:after="0" w:line="240" w:lineRule="auto"/>
      </w:pPr>
      <w:r w:rsidRPr="002E7A81">
        <w:t xml:space="preserve">La falta, deficiencia o insuficiencia de la fundamentación y/o motivación en la respuesta; y </w:t>
      </w:r>
    </w:p>
    <w:p w14:paraId="0183897A" w14:textId="77777777" w:rsidR="00F54819" w:rsidRDefault="00F54819" w:rsidP="00F54819">
      <w:pPr>
        <w:pStyle w:val="Citas"/>
        <w:numPr>
          <w:ilvl w:val="0"/>
          <w:numId w:val="4"/>
        </w:numPr>
        <w:spacing w:before="0" w:after="0" w:line="240" w:lineRule="auto"/>
      </w:pPr>
      <w:r w:rsidRPr="002E7A81">
        <w:t xml:space="preserve">La orientación a un trámite específico. </w:t>
      </w:r>
    </w:p>
    <w:p w14:paraId="2E3DC66B" w14:textId="77777777" w:rsidR="00F54819" w:rsidRPr="007379EE" w:rsidRDefault="00F54819" w:rsidP="00F54819">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12F1BA16" w14:textId="77777777" w:rsidR="00F54819" w:rsidRDefault="00F54819" w:rsidP="00F54819">
      <w:pPr>
        <w:autoSpaceDE w:val="0"/>
        <w:autoSpaceDN w:val="0"/>
        <w:adjustRightInd w:val="0"/>
        <w:ind w:right="567"/>
        <w:rPr>
          <w:rFonts w:ascii="Palatino Linotype" w:eastAsia="Calibri" w:hAnsi="Palatino Linotype" w:cs="Arial"/>
        </w:rPr>
      </w:pPr>
    </w:p>
    <w:p w14:paraId="5E7C9A58" w14:textId="77777777" w:rsidR="00F54819" w:rsidRDefault="00F54819" w:rsidP="00F54819">
      <w:pPr>
        <w:autoSpaceDE w:val="0"/>
        <w:autoSpaceDN w:val="0"/>
        <w:adjustRightInd w:val="0"/>
        <w:ind w:right="567"/>
        <w:rPr>
          <w:rFonts w:ascii="Palatino Linotype" w:eastAsia="Calibri" w:hAnsi="Palatino Linotype" w:cs="Arial"/>
        </w:rPr>
      </w:pPr>
    </w:p>
    <w:p w14:paraId="6D3A1AF0" w14:textId="77777777" w:rsidR="00F54819" w:rsidRPr="00CA5FE5" w:rsidRDefault="00F54819" w:rsidP="00F54819">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6928602C" w14:textId="77777777" w:rsidR="00F54819" w:rsidRPr="00B351B7" w:rsidRDefault="00385BFB" w:rsidP="00385BFB">
      <w:pPr>
        <w:pStyle w:val="Prrafodelista"/>
        <w:numPr>
          <w:ilvl w:val="0"/>
          <w:numId w:val="2"/>
        </w:numPr>
        <w:tabs>
          <w:tab w:val="left" w:pos="1828"/>
        </w:tabs>
        <w:spacing w:line="360" w:lineRule="auto"/>
        <w:ind w:left="709"/>
        <w:jc w:val="both"/>
        <w:rPr>
          <w:rFonts w:ascii="Palatino Linotype" w:hAnsi="Palatino Linotype" w:cs="Tahoma"/>
          <w:bCs/>
        </w:rPr>
      </w:pPr>
      <w:r>
        <w:rPr>
          <w:rFonts w:ascii="Palatino Linotype" w:hAnsi="Palatino Linotype" w:cs="Tahoma"/>
          <w:bCs/>
        </w:rPr>
        <w:t xml:space="preserve">Facturas pagadas por la compra de juguetes que regalaron el día de Reyes en diferentes comunidades del Municipio. </w:t>
      </w:r>
    </w:p>
    <w:p w14:paraId="4CFE62E8" w14:textId="77777777" w:rsidR="00F54819" w:rsidRPr="001106D5" w:rsidRDefault="00F54819" w:rsidP="00F54819">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00005/CHALCO/IP/2025</w:t>
      </w:r>
      <w:r w:rsidRPr="001106D5">
        <w:rPr>
          <w:rFonts w:ascii="Palatino Linotype" w:hAnsi="Palatino Linotype" w:cs="Arial"/>
          <w:b/>
        </w:rPr>
        <w:t xml:space="preserve">; </w:t>
      </w:r>
      <w:r w:rsidR="00D420B8">
        <w:rPr>
          <w:rFonts w:ascii="Palatino Linotype" w:hAnsi="Palatino Linotype" w:cs="Arial"/>
        </w:rPr>
        <w:t>a través del</w:t>
      </w:r>
      <w:r>
        <w:rPr>
          <w:rFonts w:ascii="Palatino Linotype" w:hAnsi="Palatino Linotype" w:cs="Arial"/>
        </w:rPr>
        <w:t xml:space="preserve"> archivo electrónico</w:t>
      </w:r>
      <w:r w:rsidRPr="001106D5">
        <w:rPr>
          <w:rFonts w:ascii="Palatino Linotype" w:hAnsi="Palatino Linotype" w:cs="Arial"/>
          <w:b/>
        </w:rPr>
        <w:t>:</w:t>
      </w:r>
    </w:p>
    <w:p w14:paraId="56253FD6" w14:textId="77777777" w:rsidR="00F54819" w:rsidRPr="00D420B8" w:rsidRDefault="00D420B8" w:rsidP="00D420B8">
      <w:pPr>
        <w:pStyle w:val="Sinespaciado"/>
        <w:numPr>
          <w:ilvl w:val="0"/>
          <w:numId w:val="5"/>
        </w:numPr>
        <w:spacing w:before="240" w:line="360" w:lineRule="auto"/>
        <w:jc w:val="both"/>
        <w:rPr>
          <w:rFonts w:ascii="Palatino Linotype" w:hAnsi="Palatino Linotype" w:cs="Arial"/>
          <w:b/>
          <w:i/>
          <w:sz w:val="24"/>
        </w:rPr>
      </w:pPr>
      <w:r w:rsidRPr="00D420B8">
        <w:rPr>
          <w:rFonts w:ascii="Palatino Linotype" w:hAnsi="Palatino Linotype" w:cs="Arial"/>
          <w:b/>
          <w:i/>
          <w:sz w:val="24"/>
        </w:rPr>
        <w:t>doc24570120250120144553.pdf</w:t>
      </w:r>
      <w:r w:rsidR="00F54819">
        <w:rPr>
          <w:rFonts w:ascii="Palatino Linotype" w:hAnsi="Palatino Linotype" w:cs="Arial"/>
          <w:b/>
          <w:i/>
          <w:sz w:val="24"/>
        </w:rPr>
        <w:t xml:space="preserve">: </w:t>
      </w:r>
      <w:r w:rsidR="00F54819">
        <w:rPr>
          <w:rFonts w:ascii="Palatino Linotype" w:hAnsi="Palatino Linotype" w:cs="Arial"/>
          <w:sz w:val="24"/>
        </w:rPr>
        <w:t xml:space="preserve">constante de una foja, en formato </w:t>
      </w:r>
      <w:proofErr w:type="spellStart"/>
      <w:r w:rsidR="00F54819">
        <w:rPr>
          <w:rFonts w:ascii="Palatino Linotype" w:hAnsi="Palatino Linotype" w:cs="Arial"/>
          <w:sz w:val="24"/>
        </w:rPr>
        <w:t>pdf</w:t>
      </w:r>
      <w:proofErr w:type="spellEnd"/>
      <w:r w:rsidR="00F54819">
        <w:rPr>
          <w:rFonts w:ascii="Palatino Linotype" w:hAnsi="Palatino Linotype" w:cs="Arial"/>
          <w:sz w:val="24"/>
        </w:rPr>
        <w:t xml:space="preserve">, contiene </w:t>
      </w:r>
      <w:r>
        <w:rPr>
          <w:rFonts w:ascii="Palatino Linotype" w:hAnsi="Palatino Linotype" w:cs="Arial"/>
          <w:sz w:val="24"/>
        </w:rPr>
        <w:t>una factura</w:t>
      </w:r>
      <w:r w:rsidR="003A01F2">
        <w:rPr>
          <w:rFonts w:ascii="Palatino Linotype" w:hAnsi="Palatino Linotype" w:cs="Arial"/>
          <w:sz w:val="24"/>
        </w:rPr>
        <w:t xml:space="preserve"> parcialmente ilegible</w:t>
      </w:r>
      <w:r>
        <w:rPr>
          <w:rFonts w:ascii="Palatino Linotype" w:hAnsi="Palatino Linotype" w:cs="Arial"/>
          <w:sz w:val="24"/>
        </w:rPr>
        <w:t>, tal como se ilustra:</w:t>
      </w:r>
    </w:p>
    <w:p w14:paraId="6E0EE19C" w14:textId="77777777" w:rsidR="003A01F2" w:rsidRDefault="003A01F2" w:rsidP="003A01F2">
      <w:pPr>
        <w:pStyle w:val="Sinespaciado"/>
        <w:spacing w:before="240" w:line="360" w:lineRule="auto"/>
        <w:ind w:left="720"/>
        <w:jc w:val="center"/>
        <w:rPr>
          <w:rFonts w:ascii="Palatino Linotype" w:hAnsi="Palatino Linotype" w:cs="Arial"/>
          <w:b/>
          <w:i/>
          <w:sz w:val="24"/>
        </w:rPr>
      </w:pPr>
      <w:r>
        <w:rPr>
          <w:rFonts w:ascii="Palatino Linotype" w:hAnsi="Palatino Linotype" w:cs="Arial"/>
          <w:b/>
          <w:i/>
          <w:noProof/>
          <w:sz w:val="24"/>
          <w:lang w:eastAsia="es-MX"/>
        </w:rPr>
        <w:lastRenderedPageBreak/>
        <w:drawing>
          <wp:inline distT="0" distB="0" distL="0" distR="0" wp14:anchorId="4258831E" wp14:editId="58AAE253">
            <wp:extent cx="3514725" cy="46882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ECD4B0.tmp"/>
                    <pic:cNvPicPr/>
                  </pic:nvPicPr>
                  <pic:blipFill>
                    <a:blip r:embed="rId7">
                      <a:extLst>
                        <a:ext uri="{28A0092B-C50C-407E-A947-70E740481C1C}">
                          <a14:useLocalDpi xmlns:a14="http://schemas.microsoft.com/office/drawing/2010/main" val="0"/>
                        </a:ext>
                      </a:extLst>
                    </a:blip>
                    <a:stretch>
                      <a:fillRect/>
                    </a:stretch>
                  </pic:blipFill>
                  <pic:spPr>
                    <a:xfrm>
                      <a:off x="0" y="0"/>
                      <a:ext cx="3520588" cy="4696117"/>
                    </a:xfrm>
                    <a:prstGeom prst="rect">
                      <a:avLst/>
                    </a:prstGeom>
                  </pic:spPr>
                </pic:pic>
              </a:graphicData>
            </a:graphic>
          </wp:inline>
        </w:drawing>
      </w:r>
    </w:p>
    <w:p w14:paraId="4BF21AF4" w14:textId="77777777" w:rsidR="003A01F2" w:rsidRDefault="003A01F2" w:rsidP="003A01F2">
      <w:pPr>
        <w:pStyle w:val="Sinespaciado"/>
        <w:spacing w:before="240" w:line="360" w:lineRule="auto"/>
        <w:ind w:left="720"/>
        <w:jc w:val="center"/>
        <w:rPr>
          <w:rFonts w:ascii="Palatino Linotype" w:hAnsi="Palatino Linotype" w:cs="Arial"/>
          <w:b/>
          <w:i/>
          <w:sz w:val="24"/>
        </w:rPr>
      </w:pPr>
      <w:r>
        <w:rPr>
          <w:rFonts w:ascii="Palatino Linotype" w:hAnsi="Palatino Linotype" w:cs="Arial"/>
          <w:b/>
          <w:i/>
          <w:noProof/>
          <w:sz w:val="24"/>
          <w:lang w:eastAsia="es-MX"/>
        </w:rPr>
        <w:drawing>
          <wp:inline distT="0" distB="0" distL="0" distR="0" wp14:anchorId="2EB96E7C" wp14:editId="1AD046D8">
            <wp:extent cx="3477110" cy="657317"/>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EC1CE1.tmp"/>
                    <pic:cNvPicPr/>
                  </pic:nvPicPr>
                  <pic:blipFill>
                    <a:blip r:embed="rId8">
                      <a:extLst>
                        <a:ext uri="{28A0092B-C50C-407E-A947-70E740481C1C}">
                          <a14:useLocalDpi xmlns:a14="http://schemas.microsoft.com/office/drawing/2010/main" val="0"/>
                        </a:ext>
                      </a:extLst>
                    </a:blip>
                    <a:stretch>
                      <a:fillRect/>
                    </a:stretch>
                  </pic:blipFill>
                  <pic:spPr>
                    <a:xfrm>
                      <a:off x="0" y="0"/>
                      <a:ext cx="3477110" cy="657317"/>
                    </a:xfrm>
                    <a:prstGeom prst="rect">
                      <a:avLst/>
                    </a:prstGeom>
                  </pic:spPr>
                </pic:pic>
              </a:graphicData>
            </a:graphic>
          </wp:inline>
        </w:drawing>
      </w:r>
    </w:p>
    <w:p w14:paraId="2200D118" w14:textId="77777777" w:rsidR="003A01F2" w:rsidRPr="00592AF4" w:rsidRDefault="003A01F2" w:rsidP="003A01F2">
      <w:pPr>
        <w:pStyle w:val="Sinespaciado"/>
        <w:spacing w:before="240" w:line="360" w:lineRule="auto"/>
        <w:ind w:left="720"/>
        <w:rPr>
          <w:rFonts w:ascii="Palatino Linotype" w:hAnsi="Palatino Linotype" w:cs="Arial"/>
          <w:b/>
          <w:i/>
          <w:sz w:val="24"/>
        </w:rPr>
      </w:pPr>
      <w:r>
        <w:rPr>
          <w:rFonts w:ascii="Palatino Linotype" w:hAnsi="Palatino Linotype" w:cs="Arial"/>
          <w:b/>
          <w:i/>
          <w:noProof/>
          <w:sz w:val="24"/>
          <w:lang w:eastAsia="es-MX"/>
        </w:rPr>
        <w:drawing>
          <wp:inline distT="0" distB="0" distL="0" distR="0" wp14:anchorId="433A7DFF" wp14:editId="36007BF3">
            <wp:extent cx="5095875" cy="78664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ECC8E2.tmp"/>
                    <pic:cNvPicPr/>
                  </pic:nvPicPr>
                  <pic:blipFill>
                    <a:blip r:embed="rId9">
                      <a:extLst>
                        <a:ext uri="{28A0092B-C50C-407E-A947-70E740481C1C}">
                          <a14:useLocalDpi xmlns:a14="http://schemas.microsoft.com/office/drawing/2010/main" val="0"/>
                        </a:ext>
                      </a:extLst>
                    </a:blip>
                    <a:stretch>
                      <a:fillRect/>
                    </a:stretch>
                  </pic:blipFill>
                  <pic:spPr>
                    <a:xfrm>
                      <a:off x="0" y="0"/>
                      <a:ext cx="5298049" cy="817855"/>
                    </a:xfrm>
                    <a:prstGeom prst="rect">
                      <a:avLst/>
                    </a:prstGeom>
                  </pic:spPr>
                </pic:pic>
              </a:graphicData>
            </a:graphic>
          </wp:inline>
        </w:drawing>
      </w:r>
    </w:p>
    <w:p w14:paraId="14624004" w14:textId="77777777" w:rsidR="00D420B8" w:rsidRDefault="00D420B8" w:rsidP="00F54819">
      <w:pPr>
        <w:spacing w:line="360" w:lineRule="auto"/>
        <w:jc w:val="both"/>
        <w:rPr>
          <w:rFonts w:ascii="Palatino Linotype" w:hAnsi="Palatino Linotype" w:cs="Arial"/>
          <w:bCs/>
        </w:rPr>
      </w:pPr>
    </w:p>
    <w:p w14:paraId="183E9912" w14:textId="77777777" w:rsidR="00F54819" w:rsidRPr="00AB3BF1" w:rsidRDefault="00F54819" w:rsidP="00F54819">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xml:space="preserve">, interpuso el presente recurso de revisión, señalando sustancialmente como sus razones </w:t>
      </w:r>
      <w:r w:rsidRPr="00124BFD">
        <w:rPr>
          <w:rFonts w:ascii="Palatino Linotype" w:hAnsi="Palatino Linotype" w:cs="Arial"/>
          <w:bCs/>
        </w:rPr>
        <w:lastRenderedPageBreak/>
        <w:t>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3A01F2" w:rsidRPr="003A01F2">
        <w:rPr>
          <w:rFonts w:ascii="Palatino Linotype" w:hAnsi="Palatino Linotype"/>
          <w:i/>
        </w:rPr>
        <w:t>La respuesta entrega un factura de diciembre de 2023, sin explícitamente solicitar la información de ese año, requiriendo la información correspondiente al mes de enero de 2025.</w:t>
      </w:r>
      <w:r w:rsidRPr="00205720">
        <w:rPr>
          <w:rFonts w:ascii="Palatino Linotype" w:hAnsi="Palatino Linotype"/>
          <w:i/>
        </w:rPr>
        <w:t>” (Sic).</w:t>
      </w:r>
    </w:p>
    <w:p w14:paraId="3483032F" w14:textId="77777777" w:rsidR="00F54819" w:rsidRDefault="00F54819" w:rsidP="00F54819">
      <w:pPr>
        <w:spacing w:line="360" w:lineRule="auto"/>
        <w:jc w:val="both"/>
        <w:rPr>
          <w:rFonts w:ascii="Palatino Linotype" w:hAnsi="Palatino Linotype"/>
          <w:i/>
        </w:rPr>
      </w:pPr>
      <w:r>
        <w:rPr>
          <w:rFonts w:ascii="Palatino Linotype" w:hAnsi="Palatino Linotype"/>
          <w:i/>
        </w:rPr>
        <w:t xml:space="preserve"> </w:t>
      </w:r>
    </w:p>
    <w:p w14:paraId="211DEC08" w14:textId="77777777" w:rsidR="00A80B47" w:rsidRDefault="003A01F2" w:rsidP="003A01F2">
      <w:pPr>
        <w:autoSpaceDE w:val="0"/>
        <w:autoSpaceDN w:val="0"/>
        <w:adjustRightInd w:val="0"/>
        <w:spacing w:line="360" w:lineRule="auto"/>
        <w:jc w:val="both"/>
        <w:rPr>
          <w:rFonts w:ascii="Palatino Linotype" w:eastAsia="Calibri" w:hAnsi="Palatino Linotype" w:cs="Calibri"/>
          <w:lang w:val="es-ES_tradnl" w:eastAsia="es-MX"/>
        </w:rPr>
      </w:pPr>
      <w:r w:rsidRPr="00590166">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 denominado</w:t>
      </w:r>
      <w:r w:rsidR="00A80B47">
        <w:rPr>
          <w:rFonts w:ascii="Palatino Linotype" w:eastAsia="Calibri" w:hAnsi="Palatino Linotype" w:cs="Calibri"/>
          <w:lang w:val="es-ES_tradnl" w:eastAsia="es-MX"/>
        </w:rPr>
        <w:t>:</w:t>
      </w:r>
    </w:p>
    <w:p w14:paraId="13F4AD1A" w14:textId="77777777" w:rsidR="003A01F2" w:rsidRPr="00A80B47" w:rsidRDefault="003A01F2" w:rsidP="00A80B47">
      <w:pPr>
        <w:pStyle w:val="Prrafodelista"/>
        <w:numPr>
          <w:ilvl w:val="0"/>
          <w:numId w:val="7"/>
        </w:numPr>
        <w:autoSpaceDE w:val="0"/>
        <w:autoSpaceDN w:val="0"/>
        <w:adjustRightInd w:val="0"/>
        <w:spacing w:line="360" w:lineRule="auto"/>
        <w:ind w:left="284"/>
        <w:jc w:val="both"/>
        <w:rPr>
          <w:rFonts w:ascii="Palatino Linotype" w:hAnsi="Palatino Linotype" w:cs="Arial"/>
          <w:sz w:val="28"/>
        </w:rPr>
      </w:pPr>
      <w:r w:rsidRPr="00A80B47">
        <w:rPr>
          <w:rFonts w:ascii="Palatino Linotype" w:eastAsia="Calibri" w:hAnsi="Palatino Linotype" w:cs="Calibri"/>
          <w:b/>
          <w:i/>
          <w:lang w:val="es-ES_tradnl" w:eastAsia="es-MX"/>
        </w:rPr>
        <w:t>Informes Justificados RR535 S 0006.pdf</w:t>
      </w:r>
      <w:r w:rsidR="00A80B47">
        <w:rPr>
          <w:rFonts w:ascii="Palatino Linotype" w:eastAsia="Calibri" w:hAnsi="Palatino Linotype" w:cs="Calibri"/>
          <w:b/>
          <w:i/>
          <w:lang w:val="es-ES_tradnl" w:eastAsia="es-MX"/>
        </w:rPr>
        <w:t xml:space="preserve">: </w:t>
      </w:r>
      <w:r w:rsidR="00A80B47">
        <w:rPr>
          <w:rFonts w:ascii="Palatino Linotype" w:eastAsia="Calibri" w:hAnsi="Palatino Linotype" w:cs="Calibri"/>
          <w:lang w:val="es-ES_tradnl" w:eastAsia="es-MX"/>
        </w:rPr>
        <w:t xml:space="preserve">contante de dos fojas, en formato </w:t>
      </w:r>
      <w:proofErr w:type="spellStart"/>
      <w:r w:rsidR="00A80B47">
        <w:rPr>
          <w:rFonts w:ascii="Palatino Linotype" w:eastAsia="Calibri" w:hAnsi="Palatino Linotype" w:cs="Calibri"/>
          <w:lang w:val="es-ES_tradnl" w:eastAsia="es-MX"/>
        </w:rPr>
        <w:t>pdf</w:t>
      </w:r>
      <w:proofErr w:type="spellEnd"/>
      <w:r w:rsidR="00A80B47">
        <w:rPr>
          <w:rFonts w:ascii="Palatino Linotype" w:eastAsia="Calibri" w:hAnsi="Palatino Linotype" w:cs="Calibri"/>
          <w:lang w:val="es-ES_tradnl" w:eastAsia="es-MX"/>
        </w:rPr>
        <w:t xml:space="preserve">, </w:t>
      </w:r>
      <w:r w:rsidR="00A80B47" w:rsidRPr="00A80B47">
        <w:rPr>
          <w:rFonts w:ascii="Palatino Linotype" w:eastAsia="Calibri" w:hAnsi="Palatino Linotype" w:cs="Calibri"/>
          <w:lang w:val="es-ES_tradnl" w:eastAsia="es-MX"/>
        </w:rPr>
        <w:t xml:space="preserve">firmado por </w:t>
      </w:r>
      <w:r w:rsidRPr="00A80B47">
        <w:rPr>
          <w:rFonts w:ascii="Palatino Linotype" w:eastAsia="Calibri" w:hAnsi="Palatino Linotype" w:cs="Calibri"/>
          <w:lang w:val="es-ES_tradnl" w:eastAsia="es-MX"/>
        </w:rPr>
        <w:t>l</w:t>
      </w:r>
      <w:r w:rsidR="00A80B47" w:rsidRPr="00A80B47">
        <w:rPr>
          <w:rFonts w:ascii="Palatino Linotype" w:eastAsia="Calibri" w:hAnsi="Palatino Linotype" w:cs="Calibri"/>
          <w:lang w:val="es-ES_tradnl" w:eastAsia="es-MX"/>
        </w:rPr>
        <w:t>a</w:t>
      </w:r>
      <w:r w:rsidRPr="00A80B47">
        <w:rPr>
          <w:rFonts w:ascii="Palatino Linotype" w:eastAsia="Calibri" w:hAnsi="Palatino Linotype" w:cs="Calibri"/>
          <w:lang w:val="es-ES_tradnl" w:eastAsia="es-MX"/>
        </w:rPr>
        <w:t xml:space="preserve"> Titular de la Unidad de Transparencia</w:t>
      </w:r>
      <w:r w:rsidR="00A80B47" w:rsidRPr="00A80B47">
        <w:rPr>
          <w:rFonts w:ascii="Palatino Linotype" w:eastAsia="Calibri" w:hAnsi="Palatino Linotype" w:cs="Calibri"/>
          <w:lang w:val="es-ES_tradnl" w:eastAsia="es-MX"/>
        </w:rPr>
        <w:t xml:space="preserve"> y Acceso a la Información</w:t>
      </w:r>
      <w:r w:rsidRPr="00A80B47">
        <w:rPr>
          <w:rFonts w:ascii="Palatino Linotype" w:eastAsia="Calibri" w:hAnsi="Palatino Linotype" w:cs="Calibri"/>
          <w:lang w:val="es-ES_tradnl" w:eastAsia="es-MX"/>
        </w:rPr>
        <w:t xml:space="preserve">, en el que </w:t>
      </w:r>
      <w:r w:rsidR="00A80B47">
        <w:rPr>
          <w:rFonts w:ascii="Palatino Linotype" w:eastAsia="Calibri" w:hAnsi="Palatino Linotype" w:cs="Calibri"/>
          <w:lang w:val="es-ES_tradnl" w:eastAsia="es-MX"/>
        </w:rPr>
        <w:t>refiere lo siguiente:</w:t>
      </w:r>
    </w:p>
    <w:p w14:paraId="2CA168C8" w14:textId="77777777" w:rsidR="00A80B47" w:rsidRDefault="00A80B47" w:rsidP="00A80B47">
      <w:pPr>
        <w:pStyle w:val="Citas"/>
      </w:pPr>
      <w:r>
        <w:t>“…</w:t>
      </w:r>
    </w:p>
    <w:p w14:paraId="473D8C2F" w14:textId="77777777" w:rsidR="00A80B47" w:rsidRDefault="00A80B47" w:rsidP="00A80B47">
      <w:pPr>
        <w:pStyle w:val="Citas"/>
      </w:pPr>
      <w:r>
        <w:t>Ante dicha solicitud, el Maestro Jesús Manuel de la Cruz Guerrero, Tesorero Municipal, a través del oficio GCH/TM/0107/2025, brindó atención al requerimiento señalando lo siguiente:</w:t>
      </w:r>
    </w:p>
    <w:p w14:paraId="1F37C483" w14:textId="77777777" w:rsidR="00A80B47" w:rsidRDefault="00A80B47" w:rsidP="00A80B47">
      <w:pPr>
        <w:pStyle w:val="Citas"/>
      </w:pPr>
      <w:r>
        <w:t>“En atención al recurso de revisión antes mencionado hago de su conocimiento que, en base al Artículo 12 párrafo segundo de la Ley de Transparencia y Acceso a la Información pública del Estado de México y Municipios, y que toda vez que en su solicitud de información no señalo el año del cual solicitaba la información, le informo que la factura 2010 del ejercicio 2023 corresponde a la compra de juguetes entregados en la gira de reyes de Enero 2024. Ahora bien, por lo que respecta a la información correspondiente al mes de Enero del presente</w:t>
      </w:r>
      <w:r w:rsidR="003801C7">
        <w:t xml:space="preserve"> ejercicio, le informo que el Gobierno de Chalco no ha ejecutado pago alguno por el concepto de su interés.”</w:t>
      </w:r>
    </w:p>
    <w:p w14:paraId="397A9C79" w14:textId="77777777" w:rsidR="003801C7" w:rsidRPr="00A80B47" w:rsidRDefault="003801C7" w:rsidP="00A80B47">
      <w:pPr>
        <w:pStyle w:val="Citas"/>
      </w:pPr>
      <w:r>
        <w:t>…” (Sic)</w:t>
      </w:r>
    </w:p>
    <w:p w14:paraId="2FD1A15B" w14:textId="77777777" w:rsidR="00F54819" w:rsidRPr="00BD0669" w:rsidRDefault="00F54819" w:rsidP="00F54819">
      <w:pPr>
        <w:spacing w:line="360" w:lineRule="auto"/>
        <w:jc w:val="both"/>
        <w:rPr>
          <w:rFonts w:ascii="Palatino Linotype" w:eastAsia="Calibri" w:hAnsi="Palatino Linotype" w:cs="Tahoma"/>
          <w:bCs/>
        </w:rPr>
      </w:pPr>
      <w:r>
        <w:rPr>
          <w:rFonts w:ascii="Palatino Linotype" w:hAnsi="Palatino Linotype" w:cs="Arial"/>
        </w:rPr>
        <w:t xml:space="preserve"> </w:t>
      </w:r>
    </w:p>
    <w:p w14:paraId="1827D9E8" w14:textId="77777777" w:rsidR="00D30009" w:rsidRDefault="00D30009" w:rsidP="00F54819">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lastRenderedPageBreak/>
        <w:t xml:space="preserve">En ese orden de ideas, mediante la red social denominada Facebook del Sujeto Obligado, se logra visualizar que anunciaron la “Gira de los Reyes Magos” en las comunidades del Municipio de Chalco,  en fecha seis de enero de dos mil veinticinco, por otro lado, en la misma fecha transmitieron un video en vivo del espectáculo de los Reyes Magos, tal como se ilustra: </w:t>
      </w:r>
    </w:p>
    <w:p w14:paraId="4BDF5573" w14:textId="77777777" w:rsidR="00D30009" w:rsidRDefault="00D30009" w:rsidP="00F54819">
      <w:pPr>
        <w:pStyle w:val="Sinespaciado"/>
        <w:spacing w:line="360" w:lineRule="auto"/>
        <w:jc w:val="both"/>
        <w:rPr>
          <w:rFonts w:ascii="Palatino Linotype" w:eastAsia="Palatino Linotype" w:hAnsi="Palatino Linotype" w:cs="Palatino Linotype"/>
          <w:color w:val="000000"/>
          <w:sz w:val="24"/>
          <w:lang w:val="es-ES_tradnl" w:eastAsia="es-MX"/>
        </w:rPr>
      </w:pPr>
    </w:p>
    <w:p w14:paraId="51DDF125" w14:textId="77777777" w:rsidR="00D30009" w:rsidRDefault="00B127CD" w:rsidP="00D30009">
      <w:pPr>
        <w:pStyle w:val="Sinespaciado"/>
        <w:spacing w:line="360" w:lineRule="auto"/>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pict w14:anchorId="4B9FE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19.75pt">
            <v:imagedata r:id="rId10" o:title="WhatsApp Image 2025-02-26 at 2" croptop="16876f" cropbottom="17406f"/>
          </v:shape>
        </w:pict>
      </w:r>
      <w:r w:rsidR="00D30009">
        <w:rPr>
          <w:rFonts w:ascii="Palatino Linotype" w:eastAsia="Palatino Linotype" w:hAnsi="Palatino Linotype" w:cs="Palatino Linotype"/>
          <w:color w:val="000000"/>
          <w:sz w:val="24"/>
          <w:lang w:val="es-ES_tradnl" w:eastAsia="es-MX"/>
        </w:rPr>
        <w:t xml:space="preserve"> </w:t>
      </w:r>
      <w:r>
        <w:rPr>
          <w:rFonts w:ascii="Palatino Linotype" w:eastAsia="Palatino Linotype" w:hAnsi="Palatino Linotype" w:cs="Palatino Linotype"/>
          <w:color w:val="000000"/>
          <w:sz w:val="24"/>
          <w:lang w:val="es-ES_tradnl" w:eastAsia="es-MX"/>
        </w:rPr>
        <w:pict w14:anchorId="50FCA60E">
          <v:shape id="_x0000_i1026" type="#_x0000_t75" style="width:171.75pt;height:261.75pt">
            <v:imagedata r:id="rId11" o:title="WhatsApp Image 2025-02-26 at 2"/>
          </v:shape>
        </w:pict>
      </w:r>
    </w:p>
    <w:p w14:paraId="4A790683" w14:textId="77777777" w:rsidR="00D30009" w:rsidRDefault="00B127CD" w:rsidP="00F54819">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lastRenderedPageBreak/>
        <w:pict w14:anchorId="077B41AE">
          <v:shape id="_x0000_i1027" type="#_x0000_t75" style="width:221.25pt;height:225.75pt">
            <v:imagedata r:id="rId12" o:title="WhatsApp Image 2025-02-26 at 2" cropbottom="36015f"/>
          </v:shape>
        </w:pict>
      </w:r>
      <w:r>
        <w:rPr>
          <w:rFonts w:ascii="Palatino Linotype" w:eastAsia="Palatino Linotype" w:hAnsi="Palatino Linotype" w:cs="Palatino Linotype"/>
          <w:color w:val="000000"/>
          <w:sz w:val="24"/>
          <w:lang w:val="es-ES_tradnl" w:eastAsia="es-MX"/>
        </w:rPr>
        <w:pict w14:anchorId="1E93547B">
          <v:shape id="_x0000_i1028" type="#_x0000_t75" style="width:190.5pt;height:236.25pt">
            <v:imagedata r:id="rId12" o:title="WhatsApp Image 2025-02-26 at 2" croptop="29438f"/>
          </v:shape>
        </w:pict>
      </w:r>
    </w:p>
    <w:p w14:paraId="1FFBA2EA" w14:textId="77777777" w:rsidR="00D30009" w:rsidRDefault="00D30009" w:rsidP="00F54819">
      <w:pPr>
        <w:pStyle w:val="Sinespaciado"/>
        <w:spacing w:line="360" w:lineRule="auto"/>
        <w:jc w:val="both"/>
        <w:rPr>
          <w:rFonts w:ascii="Palatino Linotype" w:eastAsia="Palatino Linotype" w:hAnsi="Palatino Linotype" w:cs="Palatino Linotype"/>
          <w:color w:val="000000"/>
          <w:sz w:val="24"/>
          <w:lang w:val="es-ES_tradnl" w:eastAsia="es-MX"/>
        </w:rPr>
      </w:pPr>
    </w:p>
    <w:p w14:paraId="13A59DE3" w14:textId="77777777" w:rsidR="00D30009" w:rsidRDefault="00D30009" w:rsidP="00D30009">
      <w:pPr>
        <w:spacing w:line="360" w:lineRule="auto"/>
        <w:jc w:val="both"/>
        <w:rPr>
          <w:rFonts w:ascii="Palatino Linotype" w:eastAsia="Palatino Linotype" w:hAnsi="Palatino Linotype" w:cs="Palatino Linotype"/>
          <w:color w:val="000000"/>
        </w:rPr>
      </w:pPr>
      <w:r w:rsidRPr="00F12C09">
        <w:rPr>
          <w:rFonts w:ascii="Palatino Linotype" w:eastAsia="Palatino Linotype" w:hAnsi="Palatino Linotype" w:cs="Palatino Linotype"/>
        </w:rPr>
        <w:t xml:space="preserve">Con base a lo anterior, podemos concluir que </w:t>
      </w:r>
      <w:r>
        <w:rPr>
          <w:rFonts w:ascii="Palatino Linotype" w:eastAsia="Palatino Linotype" w:hAnsi="Palatino Linotype" w:cs="Palatino Linotype"/>
        </w:rPr>
        <w:t>el Ayuntamiento de Chalco publicó la realización de dicha gira antes de que la solicitud ingresará al SAIMEX</w:t>
      </w:r>
      <w:r w:rsidRPr="00F12C09">
        <w:rPr>
          <w:rFonts w:ascii="Palatino Linotype" w:eastAsia="Palatino Linotype" w:hAnsi="Palatino Linotype" w:cs="Palatino Linotype"/>
        </w:rPr>
        <w:t xml:space="preserve">, sirve de sustento a lo anterior </w:t>
      </w:r>
      <w:r w:rsidRPr="00F12C09">
        <w:rPr>
          <w:rFonts w:ascii="Palatino Linotype" w:eastAsia="Palatino Linotype" w:hAnsi="Palatino Linotype" w:cs="Palatino Linotype"/>
          <w:color w:val="000000"/>
        </w:rPr>
        <w:t>las siguientes tesis jurisprudenciales</w:t>
      </w:r>
      <w:r w:rsidRPr="00F12C09">
        <w:rPr>
          <w:rFonts w:ascii="Palatino Linotype" w:eastAsia="Palatino Linotype" w:hAnsi="Palatino Linotype" w:cs="Palatino Linotype"/>
        </w:rPr>
        <w:t>:</w:t>
      </w:r>
    </w:p>
    <w:p w14:paraId="53A6CDC1" w14:textId="77777777" w:rsidR="00D30009" w:rsidRPr="00F12C09" w:rsidRDefault="00D30009" w:rsidP="00D30009">
      <w:pPr>
        <w:pStyle w:val="INFOEM"/>
        <w:jc w:val="center"/>
        <w:rPr>
          <w:b/>
        </w:rPr>
      </w:pPr>
      <w:r w:rsidRPr="00F12C09">
        <w:rPr>
          <w:b/>
        </w:rPr>
        <w:t>HECHOS NOTORIOS. CONCEPTOS GENERAL Y JURÍDICO</w:t>
      </w:r>
    </w:p>
    <w:p w14:paraId="4130391C" w14:textId="77777777" w:rsidR="00D30009" w:rsidRPr="00F12C09" w:rsidRDefault="00D30009" w:rsidP="00D30009">
      <w:pPr>
        <w:pStyle w:val="INFOEM"/>
      </w:pPr>
      <w:r w:rsidRPr="00F12C09">
        <w:t xml:space="preserve">Conforme al artículo </w:t>
      </w:r>
      <w:hyperlink r:id="rId13">
        <w:r w:rsidRPr="00F12C09">
          <w:t>88 del Código Federal de Procedimientos Civiles</w:t>
        </w:r>
      </w:hyperlink>
      <w:r w:rsidRPr="00F12C09">
        <w:t xml:space="preserve">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w:t>
      </w:r>
      <w:r w:rsidRPr="00F12C09">
        <w:lastRenderedPageBreak/>
        <w:t>notorio la ley exime de su prueba, por ser del conocimiento público en el medio social donde ocurrió o donde se tramita el procedimiento.</w:t>
      </w:r>
    </w:p>
    <w:p w14:paraId="720BB266" w14:textId="77777777" w:rsidR="00D30009" w:rsidRPr="00F12C09" w:rsidRDefault="00D30009" w:rsidP="00D30009">
      <w:pPr>
        <w:pStyle w:val="INFOEM"/>
      </w:pPr>
      <w:r w:rsidRPr="00F12C09">
        <w:t>Controversia constitucional 24/2005. Cámara de Diputados del Congreso de la Unión. 9 de marzo de 2006. Once votos. Ponente: José Ramón Cossío Díaz. Secretarios: Raúl Manuel Mejía Garza y Laura Patricia Rojas Zamudio.</w:t>
      </w:r>
    </w:p>
    <w:p w14:paraId="45C7DAFB" w14:textId="77777777" w:rsidR="00D30009" w:rsidRPr="00F12C09" w:rsidRDefault="00D30009" w:rsidP="00D30009">
      <w:pPr>
        <w:pStyle w:val="INFOEM"/>
      </w:pPr>
      <w:r w:rsidRPr="00F12C09">
        <w:t>El Tribunal Pleno, el dieciséis de mayo en curso, aprobó, con el número 74/2006, la tesis jurisprudencial que antecede. México, Distrito Federal, a dieciséis de mayo de dos mil seis.</w:t>
      </w:r>
    </w:p>
    <w:p w14:paraId="1F28A6A1" w14:textId="77777777" w:rsidR="00D30009" w:rsidRPr="00F12C09" w:rsidRDefault="00D30009" w:rsidP="00D30009">
      <w:pPr>
        <w:pStyle w:val="INFOEM"/>
      </w:pPr>
      <w:r w:rsidRPr="00F12C09">
        <w:t>Nota: Esta tesis fue objeto de la denuncia relativa a la contradicción de tesis 91/2014, desechada por notoriamente improcedente, mediante acuerdo de 24 de marzo de 2014.”</w:t>
      </w:r>
    </w:p>
    <w:p w14:paraId="758D20FD" w14:textId="77777777" w:rsidR="00D30009" w:rsidRDefault="00D30009" w:rsidP="00D30009">
      <w:pPr>
        <w:pStyle w:val="INFOEM"/>
        <w:rPr>
          <w:sz w:val="24"/>
          <w:szCs w:val="24"/>
        </w:rPr>
      </w:pPr>
      <w:r w:rsidRPr="00F12C09">
        <w:rPr>
          <w:b/>
          <w:sz w:val="24"/>
          <w:szCs w:val="24"/>
        </w:rPr>
        <w:t>PÁGINAS WEB O ELECTRÓNICAS. SU CONTENIDO ES UN HECHO NOTORIO Y SUSCEPTIBLE DE SER VALORADO EN UNA DECISIÓN JUDICIAL.</w:t>
      </w:r>
      <w:r w:rsidRPr="00F12C09">
        <w:rPr>
          <w:rFonts w:ascii="Times New Roman" w:eastAsia="Times New Roman" w:hAnsi="Times New Roman" w:cs="Times New Roman"/>
          <w:b/>
          <w:sz w:val="24"/>
          <w:szCs w:val="24"/>
        </w:rPr>
        <w:t xml:space="preserve"> </w:t>
      </w:r>
      <w:r w:rsidRPr="00F12C09">
        <w:rPr>
          <w:sz w:val="24"/>
          <w:szCs w:val="24"/>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w:t>
      </w:r>
      <w:r w:rsidRPr="00F12C09">
        <w:rPr>
          <w:sz w:val="24"/>
          <w:szCs w:val="24"/>
        </w:rPr>
        <w:lastRenderedPageBreak/>
        <w:t xml:space="preserve">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14:paraId="42377415" w14:textId="77777777" w:rsidR="00D30009" w:rsidRDefault="00D30009" w:rsidP="00D30009">
      <w:pPr>
        <w:pStyle w:val="INFOEM"/>
        <w:rPr>
          <w:sz w:val="24"/>
          <w:szCs w:val="24"/>
        </w:rPr>
      </w:pPr>
      <w:r w:rsidRPr="00F12C09">
        <w:rPr>
          <w:sz w:val="24"/>
          <w:szCs w:val="24"/>
        </w:rPr>
        <w:t xml:space="preserve">TERCER TRIBUNAL COLEGIADO EN MATERIA CIVIL DEL PRIMER CIRCUITO. Amparo en revisión 365/2012. </w:t>
      </w:r>
      <w:proofErr w:type="spellStart"/>
      <w:r w:rsidRPr="00F12C09">
        <w:rPr>
          <w:sz w:val="24"/>
          <w:szCs w:val="24"/>
        </w:rPr>
        <w:t>Mardygras</w:t>
      </w:r>
      <w:proofErr w:type="spellEnd"/>
      <w:r w:rsidRPr="00F12C09">
        <w:rPr>
          <w:sz w:val="24"/>
          <w:szCs w:val="24"/>
        </w:rPr>
        <w:t xml:space="preserve">, S.A. de C.V. 7 de diciembre de 2012. Unanimidad de votos. Ponente: Neófito López Ramos. Secretaria: Ana Lilia Osorno Arroyo. </w:t>
      </w:r>
    </w:p>
    <w:p w14:paraId="646D324D" w14:textId="77777777" w:rsidR="00D30009" w:rsidRDefault="00D30009" w:rsidP="00F54819">
      <w:pPr>
        <w:pStyle w:val="Sinespaciado"/>
        <w:spacing w:line="360" w:lineRule="auto"/>
        <w:jc w:val="both"/>
        <w:rPr>
          <w:rFonts w:ascii="Palatino Linotype" w:eastAsia="Palatino Linotype" w:hAnsi="Palatino Linotype" w:cs="Palatino Linotype"/>
          <w:color w:val="000000"/>
          <w:sz w:val="24"/>
          <w:lang w:val="es-ES_tradnl" w:eastAsia="es-MX"/>
        </w:rPr>
      </w:pPr>
    </w:p>
    <w:p w14:paraId="4C2FAAA9" w14:textId="77777777" w:rsidR="00D30009" w:rsidRDefault="00D30009" w:rsidP="00F54819">
      <w:pPr>
        <w:pStyle w:val="Sinespaciado"/>
        <w:spacing w:line="360" w:lineRule="auto"/>
        <w:jc w:val="both"/>
        <w:rPr>
          <w:rFonts w:ascii="Palatino Linotype" w:eastAsia="Palatino Linotype" w:hAnsi="Palatino Linotype" w:cs="Palatino Linotype"/>
          <w:color w:val="000000"/>
          <w:sz w:val="24"/>
          <w:lang w:val="es-ES_tradnl" w:eastAsia="es-MX"/>
        </w:rPr>
      </w:pPr>
    </w:p>
    <w:p w14:paraId="5BB2E471" w14:textId="77777777" w:rsidR="00F54819" w:rsidRPr="006F1142" w:rsidRDefault="00F54819" w:rsidP="00F54819">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14:paraId="78F2B517" w14:textId="77777777" w:rsidR="00F54819" w:rsidRPr="00177253" w:rsidRDefault="00F54819" w:rsidP="00F54819">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4"/>
        <w:gridCol w:w="4536"/>
        <w:gridCol w:w="1451"/>
      </w:tblGrid>
      <w:tr w:rsidR="00F54819" w14:paraId="353C46EA" w14:textId="77777777" w:rsidTr="00603129">
        <w:trPr>
          <w:trHeight w:val="408"/>
        </w:trPr>
        <w:tc>
          <w:tcPr>
            <w:tcW w:w="3104" w:type="dxa"/>
            <w:shd w:val="clear" w:color="auto" w:fill="E7E6E6" w:themeFill="background2"/>
          </w:tcPr>
          <w:p w14:paraId="121A1EBB" w14:textId="77777777" w:rsidR="00F54819" w:rsidRPr="00E80E99" w:rsidRDefault="00F54819" w:rsidP="00C0432A">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536" w:type="dxa"/>
            <w:shd w:val="clear" w:color="auto" w:fill="E7E6E6" w:themeFill="background2"/>
          </w:tcPr>
          <w:p w14:paraId="0F19AAA7" w14:textId="77777777" w:rsidR="00F54819" w:rsidRPr="00E80E99" w:rsidRDefault="00F54819" w:rsidP="00C0432A">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451" w:type="dxa"/>
            <w:shd w:val="clear" w:color="auto" w:fill="E7E6E6" w:themeFill="background2"/>
          </w:tcPr>
          <w:p w14:paraId="66B47D6A" w14:textId="77777777" w:rsidR="00F54819" w:rsidRPr="00E80E99" w:rsidRDefault="00F54819" w:rsidP="00C0432A">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F54819" w14:paraId="128E80AC" w14:textId="77777777" w:rsidTr="00603129">
        <w:trPr>
          <w:trHeight w:val="1234"/>
        </w:trPr>
        <w:tc>
          <w:tcPr>
            <w:tcW w:w="3104" w:type="dxa"/>
          </w:tcPr>
          <w:p w14:paraId="64795F10" w14:textId="77777777" w:rsidR="00F54819" w:rsidRPr="00603129" w:rsidRDefault="009D44FC" w:rsidP="00603129">
            <w:pPr>
              <w:tabs>
                <w:tab w:val="left" w:pos="1828"/>
              </w:tabs>
              <w:jc w:val="both"/>
              <w:rPr>
                <w:rFonts w:ascii="Palatino Linotype" w:hAnsi="Palatino Linotype" w:cs="Tahoma"/>
                <w:bCs/>
                <w:sz w:val="22"/>
              </w:rPr>
            </w:pPr>
            <w:r w:rsidRPr="00603129">
              <w:rPr>
                <w:rFonts w:ascii="Palatino Linotype" w:hAnsi="Palatino Linotype" w:cs="Tahoma"/>
                <w:bCs/>
                <w:sz w:val="22"/>
              </w:rPr>
              <w:t>Facturas pagadas por la compra de juguetes que regalaron el día de Reyes en diferentes comunidades del Municipio</w:t>
            </w:r>
          </w:p>
        </w:tc>
        <w:tc>
          <w:tcPr>
            <w:tcW w:w="4536" w:type="dxa"/>
          </w:tcPr>
          <w:p w14:paraId="1F40E3C6" w14:textId="77777777" w:rsidR="00F54819" w:rsidRPr="00603129" w:rsidRDefault="009D44FC" w:rsidP="00603129">
            <w:pPr>
              <w:jc w:val="both"/>
              <w:rPr>
                <w:rFonts w:ascii="Palatino Linotype" w:hAnsi="Palatino Linotype"/>
                <w:color w:val="000000"/>
                <w:sz w:val="22"/>
              </w:rPr>
            </w:pPr>
            <w:r w:rsidRPr="00603129">
              <w:rPr>
                <w:rFonts w:ascii="Palatino Linotype" w:hAnsi="Palatino Linotype"/>
                <w:color w:val="000000"/>
                <w:sz w:val="22"/>
              </w:rPr>
              <w:t>Factura por la adquisición de juguetes</w:t>
            </w:r>
            <w:r w:rsidR="00603129" w:rsidRPr="00603129">
              <w:rPr>
                <w:rFonts w:ascii="Palatino Linotype" w:hAnsi="Palatino Linotype"/>
                <w:color w:val="000000"/>
                <w:sz w:val="22"/>
              </w:rPr>
              <w:t xml:space="preserve"> del ejercicio fiscal 2023, mismos que fueron regalados en 2024.</w:t>
            </w:r>
          </w:p>
        </w:tc>
        <w:tc>
          <w:tcPr>
            <w:tcW w:w="1451" w:type="dxa"/>
          </w:tcPr>
          <w:p w14:paraId="176ED92E" w14:textId="77777777" w:rsidR="00F54819" w:rsidRPr="00603129" w:rsidRDefault="00603129" w:rsidP="00C0432A">
            <w:pPr>
              <w:jc w:val="center"/>
              <w:rPr>
                <w:rFonts w:ascii="Palatino Linotype" w:hAnsi="Palatino Linotype"/>
                <w:b/>
                <w:i/>
              </w:rPr>
            </w:pPr>
            <w:r w:rsidRPr="00603129">
              <w:rPr>
                <w:rFonts w:ascii="Palatino Linotype" w:hAnsi="Palatino Linotype"/>
                <w:b/>
                <w:i/>
              </w:rPr>
              <w:t>No</w:t>
            </w:r>
          </w:p>
        </w:tc>
      </w:tr>
    </w:tbl>
    <w:p w14:paraId="7FEAFA7B" w14:textId="77777777" w:rsidR="00F54819" w:rsidRPr="000E2974" w:rsidRDefault="00F54819" w:rsidP="00F54819">
      <w:pPr>
        <w:spacing w:line="360" w:lineRule="auto"/>
        <w:jc w:val="both"/>
        <w:rPr>
          <w:rFonts w:ascii="Palatino Linotype" w:hAnsi="Palatino Linotype"/>
          <w:color w:val="000000"/>
        </w:rPr>
      </w:pPr>
    </w:p>
    <w:p w14:paraId="74984322" w14:textId="77777777" w:rsidR="00DC5526" w:rsidRPr="008E6824" w:rsidRDefault="00DC5526" w:rsidP="00DC5526">
      <w:pPr>
        <w:spacing w:before="240" w:after="240" w:line="360" w:lineRule="auto"/>
        <w:ind w:right="49"/>
        <w:jc w:val="both"/>
        <w:rPr>
          <w:rFonts w:ascii="Palatino Linotype" w:eastAsia="Palatino Linotype" w:hAnsi="Palatino Linotype" w:cs="Palatino Linotype"/>
        </w:rPr>
      </w:pPr>
      <w:r w:rsidRPr="008E6824">
        <w:rPr>
          <w:rFonts w:ascii="Palatino Linotype" w:eastAsia="Palatino Linotype" w:hAnsi="Palatino Linotype" w:cs="Palatino Linotype"/>
        </w:rPr>
        <w:t xml:space="preserve">Ahora bien, sobre la naturaleza de la información, es de mencionar que el particular peticionó </w:t>
      </w:r>
      <w:r w:rsidR="009D44FC">
        <w:rPr>
          <w:rFonts w:ascii="Palatino Linotype" w:eastAsia="Palatino Linotype" w:hAnsi="Palatino Linotype" w:cs="Palatino Linotype"/>
        </w:rPr>
        <w:t>las facturas de los juguetes regalados a las diferentes comunidades por el</w:t>
      </w:r>
      <w:r>
        <w:rPr>
          <w:rFonts w:ascii="Palatino Linotype" w:eastAsia="Palatino Linotype" w:hAnsi="Palatino Linotype" w:cs="Palatino Linotype"/>
        </w:rPr>
        <w:t xml:space="preserve"> Día de Reyes</w:t>
      </w:r>
      <w:r w:rsidRPr="008E6824">
        <w:rPr>
          <w:rFonts w:ascii="Palatino Linotype" w:eastAsia="Palatino Linotype" w:hAnsi="Palatino Linotype" w:cs="Palatino Linotype"/>
        </w:rPr>
        <w:t xml:space="preserve">, acompañado </w:t>
      </w:r>
      <w:r w:rsidR="00341C70">
        <w:rPr>
          <w:rFonts w:ascii="Palatino Linotype" w:eastAsia="Palatino Linotype" w:hAnsi="Palatino Linotype" w:cs="Palatino Linotype"/>
        </w:rPr>
        <w:t xml:space="preserve">de </w:t>
      </w:r>
      <w:r w:rsidRPr="008E6824">
        <w:rPr>
          <w:rFonts w:ascii="Palatino Linotype" w:eastAsia="Palatino Linotype" w:hAnsi="Palatino Linotype" w:cs="Palatino Linotype"/>
        </w:rPr>
        <w:t>facturas</w:t>
      </w:r>
      <w:r w:rsidRPr="008E6824">
        <w:rPr>
          <w:rFonts w:ascii="Palatino Linotype" w:hAnsi="Palatino Linotype"/>
          <w:lang w:val="es-ES_tradnl"/>
        </w:rPr>
        <w:t xml:space="preserve">, </w:t>
      </w:r>
      <w:r w:rsidRPr="008E6824">
        <w:rPr>
          <w:rFonts w:ascii="Palatino Linotype" w:eastAsia="Palatino Linotype" w:hAnsi="Palatino Linotype" w:cs="Palatino Linotype"/>
        </w:rPr>
        <w:t>resulta importante señalar que este término se encuentra definido en el Glosario de Términos Hacendarios que emite el Instituto Hacendario del Estado de México, el cual expresa lo siguiente:</w:t>
      </w:r>
    </w:p>
    <w:p w14:paraId="10545256" w14:textId="77777777" w:rsidR="00DC5526" w:rsidRPr="008E6824" w:rsidRDefault="00DC5526" w:rsidP="00DC5526">
      <w:pPr>
        <w:ind w:left="851" w:right="851"/>
        <w:jc w:val="both"/>
        <w:rPr>
          <w:rFonts w:ascii="Palatino Linotype" w:eastAsia="Palatino Linotype" w:hAnsi="Palatino Linotype" w:cs="Palatino Linotype"/>
          <w:b/>
          <w:i/>
        </w:rPr>
      </w:pPr>
      <w:r w:rsidRPr="008E6824">
        <w:rPr>
          <w:rFonts w:ascii="Palatino Linotype" w:eastAsia="Palatino Linotype" w:hAnsi="Palatino Linotype" w:cs="Palatino Linotype"/>
          <w:i/>
        </w:rPr>
        <w:t>“</w:t>
      </w:r>
      <w:r w:rsidRPr="008E6824">
        <w:rPr>
          <w:rFonts w:ascii="Palatino Linotype" w:eastAsia="Palatino Linotype" w:hAnsi="Palatino Linotype" w:cs="Palatino Linotype"/>
          <w:b/>
          <w:i/>
        </w:rPr>
        <w:t>FACTURA</w:t>
      </w:r>
    </w:p>
    <w:p w14:paraId="0DE75EC6" w14:textId="77777777" w:rsidR="00DC5526" w:rsidRPr="008E6824" w:rsidRDefault="00DC5526" w:rsidP="00DC5526">
      <w:pPr>
        <w:ind w:left="851" w:right="851"/>
        <w:jc w:val="both"/>
        <w:rPr>
          <w:rFonts w:ascii="Palatino Linotype" w:eastAsia="Palatino Linotype" w:hAnsi="Palatino Linotype" w:cs="Palatino Linotype"/>
          <w:i/>
        </w:rPr>
      </w:pPr>
      <w:r w:rsidRPr="008E6824">
        <w:rPr>
          <w:rFonts w:ascii="Palatino Linotype" w:eastAsia="Palatino Linotype" w:hAnsi="Palatino Linotype" w:cs="Palatino Linotype"/>
          <w:i/>
        </w:rPr>
        <w:t xml:space="preserve">Es el documento fiscal que emite la persona física o moral para </w:t>
      </w:r>
      <w:r w:rsidRPr="008E6824">
        <w:rPr>
          <w:rFonts w:ascii="Palatino Linotype" w:eastAsia="Palatino Linotype" w:hAnsi="Palatino Linotype" w:cs="Palatino Linotype"/>
          <w:b/>
          <w:i/>
          <w:u w:val="single"/>
        </w:rPr>
        <w:t>comprobar la venta o adquisición de un bien y/o servicio</w:t>
      </w:r>
      <w:r w:rsidRPr="008E6824">
        <w:rPr>
          <w:rFonts w:ascii="Palatino Linotype" w:eastAsia="Palatino Linotype" w:hAnsi="Palatino Linotype" w:cs="Palatino Linotype"/>
          <w:i/>
        </w:rPr>
        <w:t>.” (Sic) (Énfasis añadido)</w:t>
      </w:r>
    </w:p>
    <w:p w14:paraId="002B87E2" w14:textId="77777777" w:rsidR="00DC5526" w:rsidRPr="008E6824" w:rsidRDefault="00DC5526" w:rsidP="00DC5526">
      <w:pPr>
        <w:ind w:left="851" w:right="851"/>
        <w:jc w:val="both"/>
        <w:rPr>
          <w:rFonts w:ascii="Palatino Linotype" w:eastAsia="Palatino Linotype" w:hAnsi="Palatino Linotype" w:cs="Palatino Linotype"/>
          <w:i/>
        </w:rPr>
      </w:pPr>
    </w:p>
    <w:p w14:paraId="21089430" w14:textId="77777777" w:rsidR="00DC5526" w:rsidRDefault="00DC5526" w:rsidP="00DC5526">
      <w:pPr>
        <w:spacing w:line="360" w:lineRule="auto"/>
        <w:jc w:val="both"/>
        <w:rPr>
          <w:rFonts w:ascii="Palatino Linotype" w:eastAsia="Palatino Linotype" w:hAnsi="Palatino Linotype" w:cs="Palatino Linotype"/>
        </w:rPr>
      </w:pPr>
    </w:p>
    <w:p w14:paraId="6129B9EC" w14:textId="77777777" w:rsidR="00DC5526" w:rsidRPr="008E6824" w:rsidRDefault="00DC5526" w:rsidP="00DC5526">
      <w:pPr>
        <w:spacing w:line="360" w:lineRule="auto"/>
        <w:jc w:val="both"/>
        <w:rPr>
          <w:rFonts w:ascii="Palatino Linotype" w:eastAsia="Palatino Linotype" w:hAnsi="Palatino Linotype" w:cs="Palatino Linotype"/>
        </w:rPr>
      </w:pPr>
      <w:r w:rsidRPr="008E6824">
        <w:rPr>
          <w:rFonts w:ascii="Palatino Linotype" w:eastAsia="Palatino Linotype" w:hAnsi="Palatino Linotype" w:cs="Palatino Linotype"/>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8E6824">
        <w:rPr>
          <w:rFonts w:ascii="Palatino Linotype" w:eastAsia="Palatino Linotype" w:hAnsi="Palatino Linotype" w:cs="Palatino Linotype"/>
          <w:color w:val="000000"/>
        </w:rPr>
        <w:t xml:space="preserve">os recursos económicos del Estado, de los Municipios, así como de los Organismos Autónomos, se administrarán con eficiencia, eficacia y honradez, para cumplir con los objetivos y programas a los que estén destinados. </w:t>
      </w:r>
    </w:p>
    <w:p w14:paraId="18CE7BB6" w14:textId="77777777" w:rsidR="00DC5526" w:rsidRDefault="00DC5526" w:rsidP="00DC5526">
      <w:pPr>
        <w:spacing w:line="360" w:lineRule="auto"/>
        <w:ind w:right="49"/>
        <w:contextualSpacing/>
        <w:jc w:val="both"/>
        <w:rPr>
          <w:rFonts w:ascii="Palatino Linotype" w:hAnsi="Palatino Linotype" w:cs="Arial"/>
        </w:rPr>
      </w:pPr>
    </w:p>
    <w:p w14:paraId="446CBAF3" w14:textId="77777777" w:rsidR="00DC5526" w:rsidRDefault="00DC5526" w:rsidP="00DC5526">
      <w:pPr>
        <w:spacing w:line="360" w:lineRule="auto"/>
        <w:ind w:right="49"/>
        <w:contextualSpacing/>
        <w:jc w:val="both"/>
        <w:rPr>
          <w:rFonts w:ascii="Palatino Linotype" w:hAnsi="Palatino Linotype" w:cs="Arial"/>
        </w:rPr>
      </w:pPr>
      <w:r>
        <w:rPr>
          <w:rFonts w:ascii="Palatino Linotype" w:hAnsi="Palatino Linotype" w:cs="Arial"/>
        </w:rPr>
        <w:t>Ahora bien, el Código Fiscal de Federación en su artículo 29- A, establece los requisitos con los que debe contar un Comprobante Fiscal Digital,  el cual son los siguientes:</w:t>
      </w:r>
    </w:p>
    <w:p w14:paraId="1A4CE135"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Clave del Registro Federal de Contribuyentes de quien los expida. </w:t>
      </w:r>
    </w:p>
    <w:p w14:paraId="12687B6F"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Régimen Fiscal en que tributen conforme a la Ley del ISR.</w:t>
      </w:r>
    </w:p>
    <w:p w14:paraId="4D54083F"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Sí se tiene más de un local o establecimiento, se deberá señalar el domicilio del local o establecimiento en el que se expidan las Facturas Electrónicas. </w:t>
      </w:r>
    </w:p>
    <w:p w14:paraId="2BCD3832"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Contener el número de folio. </w:t>
      </w:r>
    </w:p>
    <w:p w14:paraId="7AF1B1CC"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Sello digital del contribuyente que lo expide. </w:t>
      </w:r>
    </w:p>
    <w:p w14:paraId="253EE4EF"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Lugar y fecha de expedición. </w:t>
      </w:r>
    </w:p>
    <w:p w14:paraId="78E1682E"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lastRenderedPageBreak/>
        <w:t xml:space="preserve"> Clave del Registro Federal de Contribuyentes de la persona a favor de quien se expida. </w:t>
      </w:r>
    </w:p>
    <w:p w14:paraId="7A66B839"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Cantidad, unidad de medida y clase de los bienes, mercancías o descripción del servicio o del uso o goce que amparen. </w:t>
      </w:r>
    </w:p>
    <w:p w14:paraId="51B66B4D"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Valor unitario consignado en número. </w:t>
      </w:r>
    </w:p>
    <w:p w14:paraId="5E3F47E8"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Importe total señalado en número o en letra. </w:t>
      </w:r>
    </w:p>
    <w:p w14:paraId="3CB66E71"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Señalamiento expreso cuando la contraprestación se pague en una sola exhibición o en parcialidades. </w:t>
      </w:r>
    </w:p>
    <w:p w14:paraId="3DB7B2C0"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Cuando proceda, se indicará el monto de los impuestos trasladados desglosados por tasa de impuesto y, en su caso, el monto de los impuestos retenidos. </w:t>
      </w:r>
    </w:p>
    <w:p w14:paraId="4B515773" w14:textId="77777777" w:rsidR="00DC5526" w:rsidRDefault="00DC5526" w:rsidP="00DC5526">
      <w:pPr>
        <w:pStyle w:val="Citas"/>
        <w:numPr>
          <w:ilvl w:val="0"/>
          <w:numId w:val="9"/>
        </w:numPr>
        <w:spacing w:before="0" w:after="0" w:line="240" w:lineRule="auto"/>
        <w:ind w:right="474" w:hanging="153"/>
        <w:rPr>
          <w:lang w:eastAsia="es-ES"/>
        </w:rPr>
      </w:pPr>
      <w:r w:rsidRPr="00327237">
        <w:rPr>
          <w:lang w:eastAsia="es-ES"/>
        </w:rPr>
        <w:t xml:space="preserve">Forma en que se realizó el pago (efectivo, transferencia electrónica de fondos, cheque nominativo o tarjeta de débito, de crédito, de servicio o la denominada </w:t>
      </w:r>
      <w:proofErr w:type="gramStart"/>
      <w:r w:rsidRPr="00327237">
        <w:rPr>
          <w:lang w:eastAsia="es-ES"/>
        </w:rPr>
        <w:t>monedero electrónico</w:t>
      </w:r>
      <w:proofErr w:type="gramEnd"/>
      <w:r w:rsidRPr="00327237">
        <w:rPr>
          <w:lang w:eastAsia="es-ES"/>
        </w:rPr>
        <w:t xml:space="preserve">, indicando al menos los últimos cuatro dígitos del número de cuenta o de la tarjeta correspondiente). </w:t>
      </w:r>
    </w:p>
    <w:p w14:paraId="0A94BF9B" w14:textId="77777777" w:rsidR="00DC5526" w:rsidRPr="00327237" w:rsidRDefault="00DC5526" w:rsidP="00DC5526">
      <w:pPr>
        <w:pStyle w:val="Citas"/>
        <w:numPr>
          <w:ilvl w:val="0"/>
          <w:numId w:val="9"/>
        </w:numPr>
        <w:spacing w:before="0" w:after="0" w:line="240" w:lineRule="auto"/>
        <w:ind w:right="474" w:hanging="153"/>
        <w:rPr>
          <w:lang w:eastAsia="es-ES"/>
        </w:rPr>
      </w:pPr>
      <w:r w:rsidRPr="00327237">
        <w:rPr>
          <w:lang w:eastAsia="es-ES"/>
        </w:rPr>
        <w:t>Número y fecha del documento aduanero, tratándose de ventas de primera mano de mercancías de importación.</w:t>
      </w:r>
    </w:p>
    <w:p w14:paraId="07875535" w14:textId="77777777" w:rsidR="00DC5526" w:rsidRDefault="00DC5526" w:rsidP="00DC5526">
      <w:pPr>
        <w:spacing w:line="360" w:lineRule="auto"/>
        <w:ind w:right="49"/>
        <w:contextualSpacing/>
        <w:jc w:val="both"/>
        <w:rPr>
          <w:rFonts w:ascii="Palatino Linotype" w:hAnsi="Palatino Linotype" w:cs="Arial"/>
        </w:rPr>
      </w:pPr>
    </w:p>
    <w:p w14:paraId="6DDC990F" w14:textId="77777777" w:rsidR="00DC5526" w:rsidRDefault="00DC5526" w:rsidP="00DC5526">
      <w:pPr>
        <w:spacing w:line="360" w:lineRule="auto"/>
        <w:ind w:right="49"/>
        <w:contextualSpacing/>
        <w:jc w:val="both"/>
        <w:rPr>
          <w:rFonts w:ascii="Palatino Linotype" w:hAnsi="Palatino Linotype" w:cs="Arial"/>
        </w:rPr>
      </w:pPr>
      <w:r>
        <w:rPr>
          <w:rFonts w:ascii="Palatino Linotype" w:hAnsi="Palatino Linotype" w:cs="Arial"/>
        </w:rPr>
        <w:t>Por otro lado, en el portal de internet del Servicio de Administración Tributaria establece los requisitos de las facturas</w:t>
      </w:r>
      <w:r>
        <w:rPr>
          <w:rStyle w:val="Refdenotaalpie"/>
          <w:rFonts w:ascii="Palatino Linotype" w:hAnsi="Palatino Linotype" w:cs="Arial"/>
        </w:rPr>
        <w:footnoteReference w:id="2"/>
      </w:r>
      <w:r>
        <w:rPr>
          <w:rFonts w:ascii="Palatino Linotype" w:hAnsi="Palatino Linotype" w:cs="Arial"/>
        </w:rPr>
        <w:t>, tal como se desprende:</w:t>
      </w:r>
    </w:p>
    <w:p w14:paraId="42E8C73D" w14:textId="77777777" w:rsidR="00DC5526" w:rsidRPr="008D208C" w:rsidRDefault="00DC5526" w:rsidP="00DC5526">
      <w:pPr>
        <w:pStyle w:val="INFOEM"/>
        <w:spacing w:before="0" w:after="0" w:line="240" w:lineRule="auto"/>
        <w:rPr>
          <w:sz w:val="24"/>
          <w:lang w:val="es-ES" w:eastAsia="es-ES"/>
        </w:rPr>
      </w:pPr>
      <w:r w:rsidRPr="008D208C">
        <w:rPr>
          <w:sz w:val="24"/>
          <w:lang w:val="es-ES" w:eastAsia="es-ES"/>
        </w:rPr>
        <w:t>Requisitos que deben reunir las facturas que recibas:</w:t>
      </w:r>
    </w:p>
    <w:p w14:paraId="7730537C"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Clave del Registro Federal de Contribuyentes de quien los expida.</w:t>
      </w:r>
    </w:p>
    <w:p w14:paraId="13FFC492"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Régimen Fiscal en que tributen conforme a la Ley del ISR.</w:t>
      </w:r>
    </w:p>
    <w:p w14:paraId="5624C6B7"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Sí se tiene más de un local o establecimiento, se deberá señalar el domicilio del local o establecimiento en el que se expidan las Facturas.</w:t>
      </w:r>
    </w:p>
    <w:p w14:paraId="5BE844BA"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Contener el número de folio asignado por el SAT y el sello digital del SAT.</w:t>
      </w:r>
    </w:p>
    <w:p w14:paraId="78A18323"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Sello digital del contribuyente que lo expide.</w:t>
      </w:r>
    </w:p>
    <w:p w14:paraId="6730C14F"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Lugar y fecha de expedición.</w:t>
      </w:r>
    </w:p>
    <w:p w14:paraId="5474ED9B"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Clave del Registro Federal de Contribuyentes de la persona a favor de quien se expida.</w:t>
      </w:r>
    </w:p>
    <w:p w14:paraId="24CC4175"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Nombre denominación o razón social de la persona a favor de quien se expide el comprobante.</w:t>
      </w:r>
    </w:p>
    <w:p w14:paraId="4AF7D96E"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Régimen fiscal del receptor de comprobante.</w:t>
      </w:r>
    </w:p>
    <w:p w14:paraId="215D2615"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Código postal del domicilio fiscal del receptor del comprobante.</w:t>
      </w:r>
    </w:p>
    <w:p w14:paraId="0D8AB44C"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Uso del comprobante.</w:t>
      </w:r>
    </w:p>
    <w:p w14:paraId="1D3371B9"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lastRenderedPageBreak/>
        <w:t>Cantidad, unidad de medida y clase de los bienes, mercancías o descripción del servicio o del uso o goce que amparen*.</w:t>
      </w:r>
    </w:p>
    <w:p w14:paraId="599E7CD4"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Valor unitario consignado en número.</w:t>
      </w:r>
    </w:p>
    <w:p w14:paraId="3027BAD1"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Importe total señalado en número o en letra.</w:t>
      </w:r>
    </w:p>
    <w:p w14:paraId="7F36A9AE"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Señalamiento expreso cuando la prestación se pague en una sola exhibición o en parcialidades.</w:t>
      </w:r>
    </w:p>
    <w:p w14:paraId="6F187C88"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Cuando proceda, se indicará el monto de los impuestos trasladados, desglosados por tasa de impuesto y, en su caso, el monto de los impuestos retenidos.</w:t>
      </w:r>
    </w:p>
    <w:p w14:paraId="196E6538"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 xml:space="preserve">Forma en que se realizó el pago (efectivo, transferencia electrónica de fondos, </w:t>
      </w:r>
      <w:proofErr w:type="gramStart"/>
      <w:r w:rsidRPr="008D208C">
        <w:rPr>
          <w:sz w:val="24"/>
          <w:lang w:val="es-ES" w:eastAsia="es-ES"/>
        </w:rPr>
        <w:t>cheque nominativos</w:t>
      </w:r>
      <w:proofErr w:type="gramEnd"/>
      <w:r w:rsidRPr="008D208C">
        <w:rPr>
          <w:sz w:val="24"/>
          <w:lang w:val="es-ES" w:eastAsia="es-ES"/>
        </w:rPr>
        <w:t xml:space="preserve"> o tarjeta de débito, de crédito, de servicio o la denominada monedero electrónico que autorice el Servicio de Administración Tributaria).</w:t>
      </w:r>
    </w:p>
    <w:p w14:paraId="3B2DD9E7" w14:textId="77777777" w:rsidR="00DC5526" w:rsidRPr="008D208C" w:rsidRDefault="00DC5526" w:rsidP="00DC5526">
      <w:pPr>
        <w:pStyle w:val="INFOEM"/>
        <w:numPr>
          <w:ilvl w:val="1"/>
          <w:numId w:val="10"/>
        </w:numPr>
        <w:spacing w:before="0" w:after="0" w:line="240" w:lineRule="auto"/>
        <w:ind w:left="1276"/>
        <w:rPr>
          <w:sz w:val="24"/>
          <w:lang w:val="es-ES" w:eastAsia="es-ES"/>
        </w:rPr>
      </w:pPr>
      <w:r w:rsidRPr="008D208C">
        <w:rPr>
          <w:sz w:val="24"/>
          <w:lang w:val="es-ES" w:eastAsia="es-ES"/>
        </w:rPr>
        <w:t>Número y fecha del documento aduanero, tratándose de ventas de primera mano de mercancías de importación.</w:t>
      </w:r>
    </w:p>
    <w:p w14:paraId="690D5479" w14:textId="77777777" w:rsidR="00DC5526" w:rsidRPr="008D208C" w:rsidRDefault="00DC5526" w:rsidP="00DC5526">
      <w:pPr>
        <w:pStyle w:val="INFOEM"/>
        <w:numPr>
          <w:ilvl w:val="0"/>
          <w:numId w:val="10"/>
        </w:numPr>
        <w:spacing w:before="0" w:after="0" w:line="240" w:lineRule="auto"/>
        <w:ind w:left="1276"/>
        <w:rPr>
          <w:sz w:val="24"/>
          <w:lang w:val="es-ES" w:eastAsia="es-ES"/>
        </w:rPr>
      </w:pPr>
      <w:r w:rsidRPr="008D208C">
        <w:rPr>
          <w:sz w:val="24"/>
          <w:lang w:val="es-ES" w:eastAsia="es-ES"/>
        </w:rPr>
        <w:t>*Nota: El SAT pone a tu disposición una herramienta en la que podrás identificar la clave del Producto o Servicio que deseas facturar, para lo cual, deberás dar clic aquí.</w:t>
      </w:r>
    </w:p>
    <w:p w14:paraId="3F6E92D4" w14:textId="77777777" w:rsidR="00DC5526" w:rsidRPr="008D208C" w:rsidRDefault="00DC5526" w:rsidP="00DC5526">
      <w:pPr>
        <w:pStyle w:val="INFOEM"/>
        <w:spacing w:before="0" w:after="0" w:line="240" w:lineRule="auto"/>
        <w:ind w:left="1276"/>
        <w:rPr>
          <w:sz w:val="24"/>
          <w:lang w:val="es-ES" w:eastAsia="es-ES"/>
        </w:rPr>
      </w:pPr>
    </w:p>
    <w:p w14:paraId="1003A5F0" w14:textId="77777777" w:rsidR="00DC5526" w:rsidRPr="008D208C" w:rsidRDefault="00DC5526" w:rsidP="00DC5526">
      <w:pPr>
        <w:pStyle w:val="INFOEM"/>
        <w:spacing w:before="0" w:after="0" w:line="240" w:lineRule="auto"/>
        <w:rPr>
          <w:b/>
          <w:sz w:val="24"/>
          <w:lang w:val="es-ES" w:eastAsia="es-ES"/>
        </w:rPr>
      </w:pPr>
      <w:r w:rsidRPr="008D208C">
        <w:rPr>
          <w:b/>
          <w:sz w:val="24"/>
          <w:lang w:val="es-ES" w:eastAsia="es-ES"/>
        </w:rPr>
        <w:t>Además, debe contener los siguientes datos:</w:t>
      </w:r>
    </w:p>
    <w:p w14:paraId="77019045" w14:textId="77777777" w:rsidR="00DC5526" w:rsidRPr="008D208C" w:rsidRDefault="00DC5526" w:rsidP="00DC5526">
      <w:pPr>
        <w:pStyle w:val="INFOEM"/>
        <w:numPr>
          <w:ilvl w:val="1"/>
          <w:numId w:val="11"/>
        </w:numPr>
        <w:spacing w:before="0" w:after="0" w:line="240" w:lineRule="auto"/>
        <w:ind w:left="1418"/>
        <w:rPr>
          <w:sz w:val="24"/>
          <w:lang w:val="es-ES" w:eastAsia="es-ES"/>
        </w:rPr>
      </w:pPr>
      <w:r w:rsidRPr="008D208C">
        <w:rPr>
          <w:sz w:val="24"/>
          <w:lang w:val="es-ES" w:eastAsia="es-ES"/>
        </w:rPr>
        <w:t>Fecha y hora de certificación.</w:t>
      </w:r>
    </w:p>
    <w:p w14:paraId="1208AE17" w14:textId="77777777" w:rsidR="00DC5526" w:rsidRPr="008D208C" w:rsidRDefault="00DC5526" w:rsidP="00DC5526">
      <w:pPr>
        <w:pStyle w:val="INFOEM"/>
        <w:numPr>
          <w:ilvl w:val="1"/>
          <w:numId w:val="11"/>
        </w:numPr>
        <w:spacing w:before="0" w:after="0" w:line="240" w:lineRule="auto"/>
        <w:ind w:left="1418"/>
        <w:rPr>
          <w:sz w:val="24"/>
          <w:lang w:val="es-ES" w:eastAsia="es-ES"/>
        </w:rPr>
      </w:pPr>
      <w:r w:rsidRPr="008D208C">
        <w:rPr>
          <w:sz w:val="24"/>
          <w:lang w:val="es-ES" w:eastAsia="es-ES"/>
        </w:rPr>
        <w:t>Número de serie del certificado digital del SAT con el que se realizó el sellado.</w:t>
      </w:r>
    </w:p>
    <w:p w14:paraId="720B681E" w14:textId="77777777" w:rsidR="00DC5526" w:rsidRPr="008D208C" w:rsidRDefault="00DC5526" w:rsidP="00DC5526">
      <w:pPr>
        <w:pStyle w:val="INFOEM"/>
        <w:spacing w:before="0" w:after="0" w:line="240" w:lineRule="auto"/>
        <w:ind w:left="1276"/>
        <w:rPr>
          <w:sz w:val="24"/>
          <w:lang w:val="es-ES" w:eastAsia="es-ES"/>
        </w:rPr>
      </w:pPr>
    </w:p>
    <w:p w14:paraId="3AA636D8" w14:textId="77777777" w:rsidR="00DC5526" w:rsidRPr="008D208C" w:rsidRDefault="00DC5526" w:rsidP="00DC5526">
      <w:pPr>
        <w:pStyle w:val="INFOEM"/>
        <w:spacing w:before="0" w:after="0" w:line="240" w:lineRule="auto"/>
        <w:rPr>
          <w:b/>
          <w:sz w:val="24"/>
          <w:lang w:val="es-ES" w:eastAsia="es-ES"/>
        </w:rPr>
      </w:pPr>
      <w:r w:rsidRPr="008D208C">
        <w:rPr>
          <w:b/>
          <w:sz w:val="24"/>
          <w:lang w:val="es-ES" w:eastAsia="es-ES"/>
        </w:rPr>
        <w:t>La representación impresa además debe contener los requisitos contenidos en la Resolución Miscelánea Fiscal vigente:</w:t>
      </w:r>
    </w:p>
    <w:p w14:paraId="1592BE55" w14:textId="77777777" w:rsidR="00DC5526" w:rsidRPr="008D208C" w:rsidRDefault="00DC5526" w:rsidP="00DC5526">
      <w:pPr>
        <w:pStyle w:val="INFOEM"/>
        <w:numPr>
          <w:ilvl w:val="1"/>
          <w:numId w:val="12"/>
        </w:numPr>
        <w:spacing w:before="0" w:after="0" w:line="240" w:lineRule="auto"/>
        <w:ind w:left="1418"/>
        <w:rPr>
          <w:sz w:val="24"/>
          <w:lang w:val="es-ES" w:eastAsia="es-ES"/>
        </w:rPr>
      </w:pPr>
      <w:r w:rsidRPr="008D208C">
        <w:rPr>
          <w:sz w:val="24"/>
          <w:lang w:val="es-ES" w:eastAsia="es-ES"/>
        </w:rPr>
        <w:t>Código de barras generado conforme al rubro I.D del Anexo 20 o el número de folio fiscal del comprobante.</w:t>
      </w:r>
    </w:p>
    <w:p w14:paraId="399C8FC2" w14:textId="77777777" w:rsidR="00DC5526" w:rsidRPr="008D208C" w:rsidRDefault="00DC5526" w:rsidP="00DC5526">
      <w:pPr>
        <w:pStyle w:val="INFOEM"/>
        <w:numPr>
          <w:ilvl w:val="1"/>
          <w:numId w:val="12"/>
        </w:numPr>
        <w:spacing w:before="0" w:after="0" w:line="240" w:lineRule="auto"/>
        <w:ind w:left="1418"/>
        <w:rPr>
          <w:sz w:val="24"/>
          <w:lang w:val="es-ES" w:eastAsia="es-ES"/>
        </w:rPr>
      </w:pPr>
      <w:r w:rsidRPr="008D208C">
        <w:rPr>
          <w:sz w:val="24"/>
          <w:lang w:val="es-ES" w:eastAsia="es-ES"/>
        </w:rPr>
        <w:t>Número de serie del CSD del emisor y del SAT.</w:t>
      </w:r>
    </w:p>
    <w:p w14:paraId="4643C6E4" w14:textId="77777777" w:rsidR="00DC5526" w:rsidRPr="008D208C" w:rsidRDefault="00DC5526" w:rsidP="00DC5526">
      <w:pPr>
        <w:pStyle w:val="INFOEM"/>
        <w:numPr>
          <w:ilvl w:val="1"/>
          <w:numId w:val="12"/>
        </w:numPr>
        <w:spacing w:before="0" w:after="0" w:line="240" w:lineRule="auto"/>
        <w:ind w:left="1418"/>
        <w:rPr>
          <w:b/>
          <w:sz w:val="24"/>
          <w:lang w:val="es-ES" w:eastAsia="es-ES"/>
        </w:rPr>
      </w:pPr>
      <w:r w:rsidRPr="008D208C">
        <w:rPr>
          <w:b/>
          <w:sz w:val="24"/>
          <w:lang w:val="es-ES" w:eastAsia="es-ES"/>
        </w:rPr>
        <w:t>La leyenda “Este documento es una representación impresa de un CFDI”.</w:t>
      </w:r>
    </w:p>
    <w:p w14:paraId="3131E242" w14:textId="77777777" w:rsidR="00DC5526" w:rsidRPr="008D208C" w:rsidRDefault="00DC5526" w:rsidP="00DC5526">
      <w:pPr>
        <w:pStyle w:val="INFOEM"/>
        <w:numPr>
          <w:ilvl w:val="1"/>
          <w:numId w:val="12"/>
        </w:numPr>
        <w:spacing w:before="0" w:after="0" w:line="240" w:lineRule="auto"/>
        <w:ind w:left="1418"/>
        <w:rPr>
          <w:sz w:val="24"/>
          <w:lang w:val="es-ES" w:eastAsia="es-ES"/>
        </w:rPr>
      </w:pPr>
      <w:r w:rsidRPr="008D208C">
        <w:rPr>
          <w:sz w:val="24"/>
          <w:lang w:val="es-ES" w:eastAsia="es-ES"/>
        </w:rPr>
        <w:t>Fecha y hora de emisión y de certificación de la Factura en adición a lo señalado en el artículo 29-A, fracción III del CFF.</w:t>
      </w:r>
    </w:p>
    <w:p w14:paraId="61C1D81D" w14:textId="77777777" w:rsidR="00DC5526" w:rsidRPr="008D208C" w:rsidRDefault="00DC5526" w:rsidP="00DC5526">
      <w:pPr>
        <w:pStyle w:val="INFOEM"/>
        <w:numPr>
          <w:ilvl w:val="1"/>
          <w:numId w:val="12"/>
        </w:numPr>
        <w:spacing w:before="0" w:after="0" w:line="240" w:lineRule="auto"/>
        <w:ind w:left="1418"/>
        <w:rPr>
          <w:sz w:val="24"/>
          <w:lang w:val="es-ES" w:eastAsia="es-ES"/>
        </w:rPr>
      </w:pPr>
      <w:r w:rsidRPr="008D208C">
        <w:rPr>
          <w:sz w:val="24"/>
          <w:lang w:val="es-ES" w:eastAsia="es-ES"/>
        </w:rPr>
        <w:t>Cadena original del complemento de certificación digital del SAT.</w:t>
      </w:r>
    </w:p>
    <w:p w14:paraId="648CBE14" w14:textId="77777777" w:rsidR="00DC5526" w:rsidRDefault="00DC5526" w:rsidP="00DC5526">
      <w:pPr>
        <w:widowControl w:val="0"/>
        <w:spacing w:line="360" w:lineRule="auto"/>
        <w:jc w:val="both"/>
        <w:rPr>
          <w:rFonts w:ascii="Palatino Linotype" w:hAnsi="Palatino Linotype" w:cs="Tahoma"/>
        </w:rPr>
      </w:pPr>
    </w:p>
    <w:p w14:paraId="0664F48A" w14:textId="77777777" w:rsidR="00DC5526" w:rsidRDefault="00DC5526" w:rsidP="00F54819">
      <w:pPr>
        <w:spacing w:line="360" w:lineRule="auto"/>
        <w:jc w:val="both"/>
        <w:rPr>
          <w:rFonts w:ascii="Palatino Linotype" w:hAnsi="Palatino Linotype" w:cs="Arial"/>
        </w:rPr>
      </w:pPr>
    </w:p>
    <w:p w14:paraId="6A05FB7E" w14:textId="77777777" w:rsidR="009D44FC" w:rsidRPr="009D44FC" w:rsidRDefault="009D44FC" w:rsidP="009D44FC">
      <w:pPr>
        <w:spacing w:line="360" w:lineRule="auto"/>
        <w:ind w:right="49"/>
        <w:contextualSpacing/>
        <w:jc w:val="both"/>
        <w:rPr>
          <w:rFonts w:ascii="Palatino Linotype" w:eastAsia="Calibri" w:hAnsi="Palatino Linotype" w:cs="Arial"/>
        </w:rPr>
      </w:pPr>
      <w:r w:rsidRPr="009D44FC">
        <w:rPr>
          <w:rFonts w:ascii="Palatino Linotype" w:eastAsia="Calibri" w:hAnsi="Palatino Linotype" w:cs="Arial"/>
        </w:rPr>
        <w:lastRenderedPageBreak/>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028DF4CF" w14:textId="77777777" w:rsidR="009D44FC" w:rsidRPr="009D44FC" w:rsidRDefault="009D44FC" w:rsidP="009D44FC">
      <w:pPr>
        <w:spacing w:line="360" w:lineRule="auto"/>
        <w:ind w:right="49"/>
        <w:jc w:val="both"/>
        <w:rPr>
          <w:rFonts w:ascii="Palatino Linotype" w:eastAsia="Calibri" w:hAnsi="Palatino Linotype" w:cs="Arial"/>
        </w:rPr>
      </w:pPr>
    </w:p>
    <w:p w14:paraId="1AF5491F" w14:textId="77777777" w:rsidR="009D44FC" w:rsidRPr="009D44FC" w:rsidRDefault="009D44FC" w:rsidP="009D44FC">
      <w:pPr>
        <w:ind w:left="567" w:right="567"/>
        <w:jc w:val="both"/>
        <w:rPr>
          <w:rFonts w:ascii="Palatino Linotype" w:eastAsia="Calibri" w:hAnsi="Palatino Linotype"/>
          <w:b/>
          <w:i/>
        </w:rPr>
      </w:pPr>
      <w:r w:rsidRPr="009D44FC">
        <w:rPr>
          <w:rFonts w:ascii="Palatino Linotype" w:eastAsia="Calibri" w:hAnsi="Palatino Linotype" w:cs="Arial"/>
          <w:bCs/>
          <w:i/>
          <w:color w:val="000000"/>
        </w:rPr>
        <w:t>“</w:t>
      </w:r>
      <w:r w:rsidRPr="009D44FC">
        <w:rPr>
          <w:rFonts w:ascii="Palatino Linotype" w:eastAsia="Calibri" w:hAnsi="Palatino Linotype"/>
          <w:b/>
          <w:i/>
        </w:rPr>
        <w:t>Artículo 342.-</w:t>
      </w:r>
      <w:r w:rsidRPr="009D44FC">
        <w:rPr>
          <w:rFonts w:ascii="Palatino Linotype" w:eastAsia="Calibri" w:hAnsi="Palatino Linotype"/>
          <w:i/>
        </w:rPr>
        <w:t xml:space="preserve"> </w:t>
      </w:r>
      <w:r w:rsidRPr="009D44FC">
        <w:rPr>
          <w:rFonts w:ascii="Palatino Linotype" w:eastAsia="Calibri" w:hAnsi="Palatino Linotype"/>
          <w:b/>
          <w:i/>
        </w:rPr>
        <w:t xml:space="preserve">El registro contable del efecto patrimonial y presupuestal de las operaciones financieras, se realizará conforme al sistema y a las disposiciones que se aprueben en materia </w:t>
      </w:r>
      <w:r w:rsidRPr="009D44FC">
        <w:rPr>
          <w:rFonts w:ascii="Palatino Linotype" w:eastAsia="Calibri" w:hAnsi="Palatino Linotype"/>
          <w:i/>
        </w:rPr>
        <w:t xml:space="preserve">de </w:t>
      </w:r>
      <w:r w:rsidRPr="009D44FC">
        <w:rPr>
          <w:rFonts w:ascii="Palatino Linotype" w:eastAsia="Calibri" w:hAnsi="Palatino Linotype" w:cs="Arial"/>
          <w:i/>
          <w:color w:val="000000"/>
        </w:rPr>
        <w:t>planeación</w:t>
      </w:r>
      <w:r w:rsidRPr="009D44FC">
        <w:rPr>
          <w:rFonts w:ascii="Palatino Linotype" w:eastAsia="Calibri" w:hAnsi="Palatino Linotype"/>
          <w:i/>
        </w:rPr>
        <w:t>,</w:t>
      </w:r>
      <w:r w:rsidRPr="009D44FC">
        <w:rPr>
          <w:rFonts w:ascii="Palatino Linotype" w:eastAsia="Calibri" w:hAnsi="Palatino Linotype"/>
          <w:b/>
          <w:i/>
        </w:rPr>
        <w:t xml:space="preserve"> programación, presupuestación</w:t>
      </w:r>
      <w:r w:rsidRPr="009D44FC">
        <w:rPr>
          <w:rFonts w:ascii="Palatino Linotype" w:eastAsia="Calibri" w:hAnsi="Palatino Linotype"/>
          <w:i/>
        </w:rPr>
        <w:t xml:space="preserve">, evaluación y </w:t>
      </w:r>
      <w:r w:rsidRPr="009D44FC">
        <w:rPr>
          <w:rFonts w:ascii="Palatino Linotype" w:eastAsia="Calibri" w:hAnsi="Palatino Linotype" w:cs="Arial"/>
          <w:b/>
          <w:i/>
          <w:color w:val="000000"/>
        </w:rPr>
        <w:t>contabilidad</w:t>
      </w:r>
      <w:r w:rsidRPr="009D44FC">
        <w:rPr>
          <w:rFonts w:ascii="Palatino Linotype" w:eastAsia="Calibri" w:hAnsi="Palatino Linotype"/>
          <w:b/>
          <w:i/>
        </w:rPr>
        <w:t xml:space="preserve"> gubernamental.</w:t>
      </w:r>
      <w:r w:rsidRPr="009D44FC">
        <w:rPr>
          <w:rFonts w:ascii="Palatino Linotype" w:eastAsia="Calibri" w:hAnsi="Palatino Linotype"/>
          <w:i/>
        </w:rPr>
        <w:t xml:space="preserve"> </w:t>
      </w:r>
    </w:p>
    <w:p w14:paraId="4F02EC46" w14:textId="77777777" w:rsidR="009D44FC" w:rsidRPr="009D44FC" w:rsidRDefault="009D44FC" w:rsidP="009D44FC">
      <w:pPr>
        <w:ind w:left="567" w:right="567"/>
        <w:jc w:val="both"/>
        <w:rPr>
          <w:rFonts w:ascii="Palatino Linotype" w:eastAsia="Calibri" w:hAnsi="Palatino Linotype"/>
          <w:b/>
          <w:i/>
        </w:rPr>
      </w:pPr>
      <w:r w:rsidRPr="009D44FC">
        <w:rPr>
          <w:rFonts w:ascii="Palatino Linotype" w:eastAsia="Calibri" w:hAnsi="Palatino Linotype" w:cs="Arial"/>
          <w:b/>
          <w:bCs/>
          <w:i/>
          <w:color w:val="000000"/>
        </w:rPr>
        <w:t>…</w:t>
      </w:r>
    </w:p>
    <w:p w14:paraId="3E2F2B3F" w14:textId="77777777" w:rsidR="009D44FC" w:rsidRPr="009D44FC" w:rsidRDefault="009D44FC" w:rsidP="009D44FC">
      <w:pPr>
        <w:ind w:left="567" w:right="567"/>
        <w:jc w:val="both"/>
        <w:rPr>
          <w:rFonts w:ascii="Palatino Linotype" w:eastAsia="Calibri" w:hAnsi="Palatino Linotype"/>
          <w:i/>
        </w:rPr>
      </w:pPr>
      <w:r w:rsidRPr="009D44FC">
        <w:rPr>
          <w:rFonts w:ascii="Palatino Linotype" w:eastAsia="Calibri" w:hAnsi="Palatino Linotype"/>
          <w:b/>
          <w:i/>
        </w:rPr>
        <w:t>Artículo 343.-</w:t>
      </w:r>
      <w:r w:rsidRPr="009D44FC">
        <w:rPr>
          <w:rFonts w:ascii="Palatino Linotype" w:eastAsia="Calibri" w:hAnsi="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29AE65B" w14:textId="77777777" w:rsidR="009D44FC" w:rsidRPr="009D44FC" w:rsidRDefault="009D44FC" w:rsidP="009D44FC">
      <w:pPr>
        <w:ind w:left="567" w:right="567"/>
        <w:jc w:val="both"/>
        <w:rPr>
          <w:rFonts w:ascii="Palatino Linotype" w:eastAsia="Calibri" w:hAnsi="Palatino Linotype"/>
          <w:i/>
        </w:rPr>
      </w:pPr>
      <w:r w:rsidRPr="009D44FC">
        <w:rPr>
          <w:rFonts w:ascii="Palatino Linotype" w:eastAsia="Calibri" w:hAnsi="Palatino Linotype"/>
          <w:i/>
        </w:rPr>
        <w:t xml:space="preserve">El sistema de contabilidad sobre base acumulativa total se sustentará en los postulados básicos y el marco conceptual de la contabilidad gubernamental. </w:t>
      </w:r>
    </w:p>
    <w:p w14:paraId="7B83FC0F" w14:textId="77777777" w:rsidR="009D44FC" w:rsidRPr="009D44FC" w:rsidRDefault="009D44FC" w:rsidP="009D44FC">
      <w:pPr>
        <w:ind w:left="567" w:right="567"/>
        <w:jc w:val="both"/>
        <w:rPr>
          <w:rFonts w:ascii="Palatino Linotype" w:eastAsia="Calibri" w:hAnsi="Palatino Linotype"/>
          <w:i/>
        </w:rPr>
      </w:pPr>
    </w:p>
    <w:p w14:paraId="1169C4D6" w14:textId="77777777" w:rsidR="009D44FC" w:rsidRPr="009D44FC" w:rsidRDefault="009D44FC" w:rsidP="009D44FC">
      <w:pPr>
        <w:ind w:left="567" w:right="567"/>
        <w:jc w:val="both"/>
        <w:rPr>
          <w:rFonts w:ascii="Palatino Linotype" w:eastAsia="Calibri" w:hAnsi="Palatino Linotype"/>
          <w:i/>
        </w:rPr>
      </w:pPr>
      <w:r w:rsidRPr="009D44FC">
        <w:rPr>
          <w:rFonts w:ascii="Palatino Linotype" w:eastAsia="Calibri" w:hAnsi="Palatino Linotype"/>
          <w:b/>
          <w:i/>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9D44FC">
        <w:rPr>
          <w:rFonts w:ascii="Palatino Linotype" w:eastAsia="Calibri" w:hAnsi="Palatino Linotype"/>
          <w:i/>
        </w:rPr>
        <w:t xml:space="preserve">en el caso de los Municipios se hará por la Tesorería. </w:t>
      </w:r>
    </w:p>
    <w:p w14:paraId="21B1031C" w14:textId="77777777" w:rsidR="009D44FC" w:rsidRPr="009D44FC" w:rsidRDefault="009D44FC" w:rsidP="009D44FC">
      <w:pPr>
        <w:autoSpaceDE w:val="0"/>
        <w:autoSpaceDN w:val="0"/>
        <w:adjustRightInd w:val="0"/>
        <w:ind w:left="567" w:right="567"/>
        <w:jc w:val="both"/>
        <w:rPr>
          <w:rFonts w:ascii="Palatino Linotype" w:eastAsia="Calibri" w:hAnsi="Palatino Linotype"/>
          <w:i/>
        </w:rPr>
      </w:pPr>
      <w:r w:rsidRPr="009D44FC">
        <w:rPr>
          <w:rFonts w:ascii="Palatino Linotype" w:eastAsia="Calibri" w:hAnsi="Palatino Linotype"/>
          <w:i/>
        </w:rPr>
        <w:t xml:space="preserve">Derogado. </w:t>
      </w:r>
    </w:p>
    <w:p w14:paraId="1ED119F2" w14:textId="77777777" w:rsidR="009D44FC" w:rsidRPr="009D44FC" w:rsidRDefault="009D44FC" w:rsidP="009D44FC">
      <w:pPr>
        <w:autoSpaceDE w:val="0"/>
        <w:autoSpaceDN w:val="0"/>
        <w:adjustRightInd w:val="0"/>
        <w:ind w:left="567" w:right="567"/>
        <w:jc w:val="both"/>
        <w:rPr>
          <w:rFonts w:ascii="Palatino Linotype" w:eastAsia="Calibri" w:hAnsi="Palatino Linotype"/>
          <w:i/>
        </w:rPr>
      </w:pPr>
    </w:p>
    <w:p w14:paraId="56DD2B69" w14:textId="77777777" w:rsidR="009D44FC" w:rsidRPr="009D44FC" w:rsidRDefault="009D44FC" w:rsidP="009D44FC">
      <w:pPr>
        <w:ind w:left="567" w:right="567"/>
        <w:jc w:val="both"/>
        <w:rPr>
          <w:rFonts w:ascii="Palatino Linotype" w:eastAsia="Calibri" w:hAnsi="Palatino Linotype"/>
          <w:i/>
        </w:rPr>
      </w:pPr>
      <w:r w:rsidRPr="009D44FC">
        <w:rPr>
          <w:rFonts w:ascii="Palatino Linotype" w:eastAsia="Calibri" w:hAnsi="Palatino Linotype"/>
          <w:b/>
          <w:i/>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9D44FC">
        <w:rPr>
          <w:rFonts w:ascii="Palatino Linotype" w:eastAsia="Calibri" w:hAnsi="Palatino Linotype"/>
          <w:i/>
        </w:rPr>
        <w:t xml:space="preserve"> a partir del ejercicio presupuestal siguiente al que corresponda, en el caso de los municipios se hará por la Tesorería. </w:t>
      </w:r>
    </w:p>
    <w:p w14:paraId="7DD73475" w14:textId="77777777" w:rsidR="009D44FC" w:rsidRPr="009D44FC" w:rsidRDefault="009D44FC" w:rsidP="009D44FC">
      <w:pPr>
        <w:autoSpaceDE w:val="0"/>
        <w:autoSpaceDN w:val="0"/>
        <w:adjustRightInd w:val="0"/>
        <w:ind w:left="567" w:right="567"/>
        <w:jc w:val="both"/>
        <w:rPr>
          <w:rFonts w:ascii="Palatino Linotype" w:eastAsia="Calibri" w:hAnsi="Palatino Linotype"/>
          <w:i/>
        </w:rPr>
      </w:pPr>
      <w:r w:rsidRPr="009D44FC">
        <w:rPr>
          <w:rFonts w:ascii="Palatino Linotype" w:eastAsia="Calibri" w:hAnsi="Palatino Linotype"/>
          <w:i/>
        </w:rPr>
        <w:t>…</w:t>
      </w:r>
    </w:p>
    <w:p w14:paraId="44045A20" w14:textId="77777777" w:rsidR="009D44FC" w:rsidRPr="009D44FC" w:rsidRDefault="009D44FC" w:rsidP="009D44FC">
      <w:pPr>
        <w:ind w:left="567" w:right="567"/>
        <w:jc w:val="both"/>
        <w:rPr>
          <w:rFonts w:ascii="Palatino Linotype" w:eastAsia="Calibri" w:hAnsi="Palatino Linotype"/>
          <w:i/>
        </w:rPr>
      </w:pPr>
      <w:r w:rsidRPr="009D44FC">
        <w:rPr>
          <w:rFonts w:ascii="Palatino Linotype" w:eastAsia="Calibri" w:hAnsi="Palatino Linotype"/>
          <w:b/>
          <w:i/>
        </w:rPr>
        <w:t>Artículo 345.-</w:t>
      </w:r>
      <w:r w:rsidRPr="009D44FC">
        <w:rPr>
          <w:rFonts w:ascii="Palatino Linotype" w:eastAsia="Calibri" w:hAnsi="Palatino Linotype"/>
          <w:i/>
        </w:rPr>
        <w:t xml:space="preserve"> </w:t>
      </w:r>
      <w:r w:rsidRPr="009D44FC">
        <w:rPr>
          <w:rFonts w:ascii="Palatino Linotype" w:eastAsia="Calibri" w:hAnsi="Palatino Linotype"/>
          <w:b/>
          <w:i/>
        </w:rPr>
        <w:t xml:space="preserve">Las Dependencias, Entidades Públicas y unidades administrativas deberán conservar la documentación contable del año en </w:t>
      </w:r>
      <w:r w:rsidRPr="009D44FC">
        <w:rPr>
          <w:rFonts w:ascii="Palatino Linotype" w:eastAsia="Calibri" w:hAnsi="Palatino Linotype"/>
          <w:b/>
          <w:i/>
        </w:rPr>
        <w:lastRenderedPageBreak/>
        <w:t>curso y la de ejercicios anteriores cuyas cuentas públicas hayan sido revisadas y fiscalizadas por la Legislatura</w:t>
      </w:r>
      <w:r w:rsidRPr="009D44FC">
        <w:rPr>
          <w:rFonts w:ascii="Palatino Linotype" w:eastAsia="Calibri" w:hAnsi="Palatino Linotype"/>
          <w:i/>
        </w:rPr>
        <w:t xml:space="preserve">, la remitirán en un plazo que no excederá de seis meses al Archivo Contable Gubernamental. </w:t>
      </w:r>
      <w:r w:rsidRPr="009D44FC">
        <w:rPr>
          <w:rFonts w:ascii="Palatino Linotype" w:eastAsia="Calibri" w:hAnsi="Palatino Linotype"/>
          <w:b/>
          <w:i/>
        </w:rPr>
        <w:t>Tratándose de los comprobantes fiscales digitales, estos deberán estar agregados en forma electrónica en cada póliza de registro contable</w:t>
      </w:r>
      <w:r w:rsidRPr="009D44FC">
        <w:rPr>
          <w:rFonts w:ascii="Palatino Linotype" w:eastAsia="Calibri" w:hAnsi="Palatino Linotype"/>
          <w:i/>
        </w:rPr>
        <w:t xml:space="preserve">. </w:t>
      </w:r>
    </w:p>
    <w:p w14:paraId="76024D92" w14:textId="77777777" w:rsidR="009D44FC" w:rsidRPr="009D44FC" w:rsidRDefault="009D44FC" w:rsidP="009D44FC">
      <w:pPr>
        <w:ind w:left="567" w:right="567"/>
        <w:jc w:val="both"/>
        <w:rPr>
          <w:rFonts w:ascii="Palatino Linotype" w:eastAsia="Calibri" w:hAnsi="Palatino Linotype" w:cs="Arial"/>
          <w:bCs/>
          <w:i/>
          <w:color w:val="000000"/>
        </w:rPr>
      </w:pPr>
      <w:r w:rsidRPr="009D44FC">
        <w:rPr>
          <w:rFonts w:ascii="Palatino Linotype" w:eastAsia="Calibri" w:hAnsi="Palatino Linotype"/>
          <w:i/>
        </w:rPr>
        <w:t>El plazo señalado en el párrafo anterior, empezará a contar a partir de la publicación en el Periódico Oficial, del decreto correspondiente.</w:t>
      </w:r>
      <w:r w:rsidRPr="009D44FC">
        <w:rPr>
          <w:rFonts w:ascii="Palatino Linotype" w:eastAsia="Calibri" w:hAnsi="Palatino Linotype" w:cs="Arial"/>
          <w:bCs/>
          <w:i/>
          <w:color w:val="000000"/>
        </w:rPr>
        <w:t xml:space="preserve"> “</w:t>
      </w:r>
      <w:r w:rsidRPr="009D44FC">
        <w:rPr>
          <w:rFonts w:ascii="Palatino Linotype" w:eastAsia="Calibri" w:hAnsi="Palatino Linotype" w:cs="Arial"/>
          <w:i/>
        </w:rPr>
        <w:t>(Sic)</w:t>
      </w:r>
      <w:r w:rsidRPr="009D44FC">
        <w:rPr>
          <w:rFonts w:ascii="Palatino Linotype" w:eastAsia="Calibri" w:hAnsi="Palatino Linotype" w:cs="Arial"/>
          <w:bCs/>
          <w:i/>
          <w:color w:val="000000"/>
        </w:rPr>
        <w:t xml:space="preserve"> </w:t>
      </w:r>
    </w:p>
    <w:p w14:paraId="5166D2F9" w14:textId="77777777" w:rsidR="009D44FC" w:rsidRPr="009D44FC" w:rsidRDefault="009D44FC" w:rsidP="009D44FC">
      <w:pPr>
        <w:ind w:left="567" w:right="567"/>
        <w:jc w:val="both"/>
        <w:rPr>
          <w:rFonts w:ascii="Palatino Linotype" w:eastAsia="Calibri" w:hAnsi="Palatino Linotype" w:cs="Arial"/>
          <w:bCs/>
          <w:i/>
          <w:color w:val="000000"/>
        </w:rPr>
      </w:pPr>
    </w:p>
    <w:p w14:paraId="70B87AE3" w14:textId="77777777" w:rsidR="009D44FC" w:rsidRPr="009D44FC" w:rsidRDefault="009D44FC" w:rsidP="009D44FC">
      <w:pPr>
        <w:ind w:left="567" w:right="567"/>
        <w:jc w:val="right"/>
        <w:rPr>
          <w:rFonts w:ascii="Palatino Linotype" w:eastAsia="Calibri" w:hAnsi="Palatino Linotype" w:cs="Arial"/>
          <w:bCs/>
          <w:color w:val="000000"/>
        </w:rPr>
      </w:pPr>
      <w:r w:rsidRPr="009D44FC">
        <w:rPr>
          <w:rFonts w:ascii="Palatino Linotype" w:eastAsia="Calibri" w:hAnsi="Palatino Linotype" w:cs="Arial"/>
          <w:bCs/>
          <w:color w:val="000000"/>
        </w:rPr>
        <w:t>(Énfasis añadido)</w:t>
      </w:r>
    </w:p>
    <w:p w14:paraId="704F4DE6" w14:textId="77777777" w:rsidR="00F54819" w:rsidRPr="009E63DA" w:rsidRDefault="00F54819" w:rsidP="00F54819">
      <w:pPr>
        <w:spacing w:line="360" w:lineRule="auto"/>
        <w:jc w:val="both"/>
        <w:rPr>
          <w:rFonts w:ascii="Palatino Linotype" w:hAnsi="Palatino Linotype" w:cs="Arial"/>
        </w:rPr>
      </w:pPr>
      <w:r w:rsidRPr="009E63DA">
        <w:rPr>
          <w:rFonts w:ascii="Palatino Linotype" w:hAnsi="Palatino Linotype" w:cs="Arial"/>
        </w:rPr>
        <w:t>Ahora bien, en atención a lo dispuesto por los artículos 3, frac</w:t>
      </w:r>
      <w:r>
        <w:rPr>
          <w:rFonts w:ascii="Palatino Linotype" w:hAnsi="Palatino Linotype" w:cs="Arial"/>
        </w:rPr>
        <w:t xml:space="preserve">ción XI, 8 </w:t>
      </w:r>
      <w:r w:rsidRPr="009E63DA">
        <w:rPr>
          <w:rFonts w:ascii="Palatino Linotype" w:hAnsi="Palatino Linotype" w:cs="Arial"/>
        </w:rPr>
        <w:t xml:space="preserve">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2D6C5F13" w14:textId="77777777" w:rsidR="00F54819" w:rsidRPr="009E63DA" w:rsidRDefault="00F54819" w:rsidP="00F54819">
      <w:pPr>
        <w:ind w:left="567" w:right="567"/>
        <w:jc w:val="both"/>
        <w:rPr>
          <w:rFonts w:ascii="Palatino Linotype" w:hAnsi="Palatino Linotype"/>
        </w:rPr>
      </w:pPr>
    </w:p>
    <w:p w14:paraId="318832BF" w14:textId="77777777" w:rsidR="00F54819" w:rsidRPr="009E63DA" w:rsidRDefault="00F54819" w:rsidP="00F54819">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510F90DE" w14:textId="77777777" w:rsidR="00F54819" w:rsidRPr="009E63DA" w:rsidRDefault="00F54819" w:rsidP="00F54819">
      <w:pPr>
        <w:ind w:left="851" w:right="851"/>
        <w:jc w:val="both"/>
        <w:rPr>
          <w:rFonts w:ascii="Palatino Linotype" w:hAnsi="Palatino Linotype"/>
          <w:i/>
        </w:rPr>
      </w:pPr>
      <w:r w:rsidRPr="009E63DA">
        <w:rPr>
          <w:rFonts w:ascii="Palatino Linotype" w:hAnsi="Palatino Linotype"/>
          <w:i/>
        </w:rPr>
        <w:t>…</w:t>
      </w:r>
    </w:p>
    <w:p w14:paraId="5D35796D" w14:textId="77777777" w:rsidR="00F54819" w:rsidRPr="009E63DA" w:rsidRDefault="00F54819" w:rsidP="00F54819">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67803033" w14:textId="77777777" w:rsidR="00F54819" w:rsidRPr="009E63DA" w:rsidRDefault="00F54819" w:rsidP="00F54819">
      <w:pPr>
        <w:ind w:left="851" w:right="851"/>
        <w:jc w:val="both"/>
        <w:rPr>
          <w:rFonts w:ascii="Palatino Linotype" w:hAnsi="Palatino Linotype"/>
          <w:i/>
        </w:rPr>
      </w:pPr>
    </w:p>
    <w:p w14:paraId="3BC5FA0E" w14:textId="77777777" w:rsidR="00F54819" w:rsidRPr="009E63DA" w:rsidRDefault="00F54819" w:rsidP="00F54819">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516C9A5" w14:textId="77777777" w:rsidR="00F54819" w:rsidRPr="009E63DA" w:rsidRDefault="00F54819" w:rsidP="00F54819">
      <w:pPr>
        <w:ind w:left="851" w:right="851"/>
        <w:jc w:val="both"/>
        <w:rPr>
          <w:rFonts w:ascii="Palatino Linotype" w:hAnsi="Palatino Linotype"/>
          <w:bCs/>
          <w:i/>
        </w:rPr>
      </w:pPr>
    </w:p>
    <w:p w14:paraId="4642A19F" w14:textId="77777777" w:rsidR="00F54819" w:rsidRPr="009E63DA" w:rsidRDefault="00F54819" w:rsidP="00F54819">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w:t>
      </w:r>
      <w:r w:rsidRPr="009E63DA">
        <w:rPr>
          <w:rFonts w:ascii="Palatino Linotype" w:hAnsi="Palatino Linotype"/>
          <w:bCs/>
          <w:i/>
        </w:rPr>
        <w:lastRenderedPageBreak/>
        <w:t>temporalmente por razones de interés público, en los términos de las causas legítimas y estrictamente necesarias previstas por esta Ley.</w:t>
      </w:r>
    </w:p>
    <w:p w14:paraId="053F3312" w14:textId="77777777" w:rsidR="00F54819" w:rsidRPr="009E63DA" w:rsidRDefault="00F54819" w:rsidP="00F54819">
      <w:pPr>
        <w:ind w:left="851" w:right="851"/>
        <w:jc w:val="both"/>
        <w:rPr>
          <w:rFonts w:ascii="Palatino Linotype" w:hAnsi="Palatino Linotype"/>
          <w:bCs/>
          <w:i/>
        </w:rPr>
      </w:pPr>
    </w:p>
    <w:p w14:paraId="6496F900" w14:textId="77777777" w:rsidR="00F54819" w:rsidRDefault="00F54819" w:rsidP="00F54819">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0EDB6F70" w14:textId="77777777" w:rsidR="00F54819" w:rsidRPr="009E63DA" w:rsidRDefault="00F54819" w:rsidP="00F54819">
      <w:pPr>
        <w:ind w:left="851" w:right="851"/>
        <w:jc w:val="both"/>
        <w:rPr>
          <w:rFonts w:ascii="Palatino Linotype" w:hAnsi="Palatino Linotype"/>
          <w:bCs/>
          <w:i/>
        </w:rPr>
      </w:pPr>
    </w:p>
    <w:p w14:paraId="134EC786" w14:textId="77777777" w:rsidR="00F54819" w:rsidRPr="009E63DA" w:rsidRDefault="00F54819" w:rsidP="00F54819">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50491D1F" w14:textId="77777777" w:rsidR="00F54819" w:rsidRPr="009E63DA" w:rsidRDefault="00F54819" w:rsidP="00F54819">
      <w:pPr>
        <w:ind w:left="851" w:right="851"/>
        <w:jc w:val="both"/>
        <w:rPr>
          <w:rFonts w:ascii="Palatino Linotype" w:hAnsi="Palatino Linotype"/>
          <w:i/>
        </w:rPr>
      </w:pPr>
    </w:p>
    <w:p w14:paraId="1FEF0601" w14:textId="77777777" w:rsidR="00F54819" w:rsidRPr="003B0D26" w:rsidRDefault="00F54819" w:rsidP="00F54819">
      <w:pPr>
        <w:ind w:left="851" w:right="851"/>
        <w:jc w:val="both"/>
        <w:rPr>
          <w:rFonts w:ascii="Palatino Linotype" w:hAnsi="Palatino Linotype"/>
          <w:i/>
        </w:rPr>
      </w:pPr>
      <w:r w:rsidRPr="003B0D26">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FC622BD" w14:textId="77777777" w:rsidR="00F54819" w:rsidRPr="009E63DA" w:rsidRDefault="00F54819" w:rsidP="00F54819">
      <w:pPr>
        <w:jc w:val="both"/>
        <w:rPr>
          <w:rFonts w:ascii="Palatino Linotype" w:hAnsi="Palatino Linotype"/>
        </w:rPr>
      </w:pPr>
    </w:p>
    <w:p w14:paraId="5F2F8659" w14:textId="77777777" w:rsidR="00F54819" w:rsidRDefault="00F54819" w:rsidP="00F54819">
      <w:pPr>
        <w:spacing w:line="360" w:lineRule="auto"/>
        <w:jc w:val="both"/>
        <w:rPr>
          <w:rFonts w:ascii="Palatino Linotype" w:eastAsia="Calibri" w:hAnsi="Palatino Linotype" w:cs="Arial"/>
          <w:color w:val="000000"/>
          <w:lang w:val="es-ES_tradnl" w:eastAsia="es-MX"/>
        </w:rPr>
      </w:pPr>
    </w:p>
    <w:p w14:paraId="3D41EE6E" w14:textId="77777777" w:rsidR="00F54819" w:rsidRDefault="00F54819" w:rsidP="00F54819">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9E63DA">
        <w:rPr>
          <w:rFonts w:ascii="Palatino Linotype" w:eastAsia="Calibri" w:hAnsi="Palatino Linotype" w:cs="Arial"/>
          <w:i/>
          <w:color w:val="000000"/>
          <w:lang w:val="es-ES_tradnl" w:eastAsia="es-MX"/>
        </w:rPr>
        <w:t>ad hoc</w:t>
      </w:r>
      <w:r w:rsidRPr="009E63DA">
        <w:rPr>
          <w:rFonts w:ascii="Palatino Linotype" w:eastAsia="Calibri" w:hAnsi="Palatino Linotype" w:cs="Arial"/>
          <w:color w:val="000000"/>
          <w:lang w:val="es-ES_tradnl" w:eastAsia="es-MX"/>
        </w:rPr>
        <w:t xml:space="preserve">, para satisfacer el derecho de acceso a la información </w:t>
      </w:r>
      <w:r w:rsidRPr="00DE65DA">
        <w:rPr>
          <w:rFonts w:ascii="Palatino Linotype" w:eastAsia="Calibri" w:hAnsi="Palatino Linotype" w:cs="Arial"/>
          <w:color w:val="000000"/>
          <w:lang w:val="es-ES_tradnl" w:eastAsia="es-MX"/>
        </w:rPr>
        <w:t>pública.</w:t>
      </w:r>
    </w:p>
    <w:p w14:paraId="2564D398" w14:textId="77777777" w:rsidR="006913BC" w:rsidRDefault="006913BC" w:rsidP="00F54819">
      <w:pPr>
        <w:spacing w:line="360" w:lineRule="auto"/>
        <w:jc w:val="both"/>
        <w:rPr>
          <w:rFonts w:ascii="Palatino Linotype" w:eastAsia="Calibri" w:hAnsi="Palatino Linotype" w:cs="Arial"/>
          <w:color w:val="000000"/>
          <w:lang w:val="es-ES_tradnl" w:eastAsia="es-MX"/>
        </w:rPr>
      </w:pPr>
    </w:p>
    <w:p w14:paraId="28163BB2" w14:textId="77777777" w:rsidR="00F54819" w:rsidRDefault="00F54819" w:rsidP="00F54819">
      <w:pPr>
        <w:spacing w:line="360" w:lineRule="auto"/>
        <w:jc w:val="both"/>
        <w:rPr>
          <w:rFonts w:ascii="Palatino Linotype" w:eastAsia="Calibri" w:hAnsi="Palatino Linotype" w:cs="Arial"/>
          <w:color w:val="000000"/>
          <w:lang w:val="es-ES_tradnl" w:eastAsia="es-MX"/>
        </w:rPr>
      </w:pPr>
      <w:r>
        <w:rPr>
          <w:rFonts w:ascii="Palatino Linotype" w:eastAsia="Calibri" w:hAnsi="Palatino Linotype" w:cs="Arial"/>
          <w:color w:val="000000"/>
          <w:lang w:val="es-ES_tradnl" w:eastAsia="es-MX"/>
        </w:rPr>
        <w:t xml:space="preserve">Mientras que el artículo 18 de la </w:t>
      </w:r>
      <w:r w:rsidRPr="009E63DA">
        <w:rPr>
          <w:rFonts w:ascii="Palatino Linotype" w:hAnsi="Palatino Linotype" w:cs="Arial"/>
          <w:bCs/>
        </w:rPr>
        <w:t>Ley de Transparencia y Acceso a la Información Pública del Estado de México y Municipios</w:t>
      </w:r>
      <w:r>
        <w:rPr>
          <w:rFonts w:ascii="Palatino Linotype" w:hAnsi="Palatino Linotype" w:cs="Arial"/>
          <w:bCs/>
        </w:rPr>
        <w:t>, establece que los Sujetos Obligados deberán documentar todo acto que derive de las funciones, facultades y competencias, tal como se transcribe:</w:t>
      </w:r>
    </w:p>
    <w:p w14:paraId="77FCEE75" w14:textId="77777777" w:rsidR="00F54819" w:rsidRPr="009E63DA" w:rsidRDefault="00F54819" w:rsidP="00F54819">
      <w:pPr>
        <w:ind w:left="567" w:right="567"/>
        <w:jc w:val="both"/>
        <w:rPr>
          <w:rFonts w:ascii="Palatino Linotype" w:eastAsia="Calibri" w:hAnsi="Palatino Linotype" w:cs="Arial"/>
          <w:i/>
          <w:color w:val="000000"/>
          <w:sz w:val="2"/>
          <w:lang w:val="es-ES_tradnl" w:eastAsia="es-MX"/>
        </w:rPr>
      </w:pPr>
    </w:p>
    <w:p w14:paraId="3D54F3B1" w14:textId="77777777" w:rsidR="00F54819" w:rsidRDefault="00F54819" w:rsidP="00F54819">
      <w:pPr>
        <w:rPr>
          <w:rFonts w:ascii="Palatino Linotype" w:hAnsi="Palatino Linotype" w:cs="Arial"/>
          <w:noProof/>
          <w:color w:val="000000"/>
          <w:lang w:eastAsia="es-MX"/>
        </w:rPr>
      </w:pPr>
    </w:p>
    <w:p w14:paraId="7F15AA6F" w14:textId="77777777" w:rsidR="00F54819" w:rsidRPr="003B0D26" w:rsidRDefault="00F54819" w:rsidP="00F54819">
      <w:pPr>
        <w:ind w:left="851" w:right="851"/>
        <w:jc w:val="both"/>
        <w:rPr>
          <w:rFonts w:ascii="Palatino Linotype" w:hAnsi="Palatino Linotype"/>
          <w:b/>
          <w:i/>
          <w:u w:val="single"/>
        </w:rPr>
      </w:pPr>
      <w:r w:rsidRPr="003B0D26">
        <w:rPr>
          <w:rFonts w:ascii="Palatino Linotype" w:hAnsi="Palatino Linotype"/>
          <w:b/>
          <w:i/>
          <w:u w:val="single"/>
        </w:rPr>
        <w:lastRenderedPageBreak/>
        <w:t>Artículo 18. Los sujetos obligados deberán documentar todo acto que derive del ejercicio de sus facultades, competencias o funciones, considerando desde su origen la eventual publicidad y reutilización de la información que generen.</w:t>
      </w:r>
    </w:p>
    <w:p w14:paraId="7D385C0E" w14:textId="77777777" w:rsidR="00F54819" w:rsidRDefault="00F54819" w:rsidP="00F54819">
      <w:pPr>
        <w:rPr>
          <w:rFonts w:ascii="Palatino Linotype" w:eastAsia="Palatino Linotype" w:hAnsi="Palatino Linotype" w:cs="Palatino Linotype"/>
          <w:color w:val="000000"/>
        </w:rPr>
      </w:pPr>
    </w:p>
    <w:p w14:paraId="76308F7A" w14:textId="77777777" w:rsidR="00F54819" w:rsidRDefault="00F54819" w:rsidP="00F54819">
      <w:pPr>
        <w:rPr>
          <w:rFonts w:ascii="Palatino Linotype" w:hAnsi="Palatino Linotype" w:cs="Arial"/>
          <w:noProof/>
          <w:color w:val="000000"/>
          <w:lang w:eastAsia="es-MX"/>
        </w:rPr>
      </w:pPr>
    </w:p>
    <w:p w14:paraId="3FFD280B" w14:textId="77777777" w:rsidR="00F54819" w:rsidRPr="00386A5B" w:rsidRDefault="00F54819" w:rsidP="00F54819">
      <w:pPr>
        <w:rPr>
          <w:rFonts w:ascii="Palatino Linotype" w:eastAsia="Calibri" w:hAnsi="Palatino Linotype" w:cs="Calibri"/>
          <w:b/>
          <w:i/>
          <w:sz w:val="28"/>
          <w:szCs w:val="22"/>
          <w:lang w:val="es-ES_tradnl" w:eastAsia="es-MX"/>
        </w:rPr>
      </w:pPr>
      <w:r w:rsidRPr="00386A5B">
        <w:rPr>
          <w:rFonts w:ascii="Palatino Linotype" w:eastAsia="Calibri" w:hAnsi="Palatino Linotype" w:cs="Calibri"/>
          <w:b/>
          <w:i/>
          <w:sz w:val="28"/>
          <w:szCs w:val="22"/>
          <w:lang w:val="es-ES_tradnl" w:eastAsia="es-MX"/>
        </w:rPr>
        <w:t>Versión Pública General</w:t>
      </w:r>
    </w:p>
    <w:p w14:paraId="6DF5F70C" w14:textId="77777777" w:rsidR="009D44FC" w:rsidRDefault="009D44FC" w:rsidP="009D44FC">
      <w:pPr>
        <w:tabs>
          <w:tab w:val="left" w:pos="7938"/>
        </w:tabs>
        <w:spacing w:before="240" w:after="240" w:line="360" w:lineRule="auto"/>
        <w:jc w:val="both"/>
        <w:rPr>
          <w:rFonts w:ascii="Palatino Linotype" w:eastAsia="Arial Unicode MS" w:hAnsi="Palatino Linotype" w:cs="Arial"/>
        </w:rPr>
      </w:pPr>
      <w:r>
        <w:rPr>
          <w:rFonts w:ascii="Palatino Linotype" w:eastAsia="Arial Unicode MS" w:hAnsi="Palatino Linotype" w:cs="Arial"/>
        </w:rPr>
        <w:t>N</w:t>
      </w:r>
      <w:r w:rsidRPr="001571EB">
        <w:rPr>
          <w:rFonts w:ascii="Palatino Linotype" w:eastAsia="Arial Unicode MS" w:hAnsi="Palatino Linotype" w:cs="Arial"/>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10138B63" w14:textId="77777777" w:rsidR="009D44FC" w:rsidRPr="00E60DEF" w:rsidRDefault="009D44FC" w:rsidP="009D44FC">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14:paraId="58D70A8A" w14:textId="77777777" w:rsidR="009D44FC" w:rsidRPr="00E60DEF" w:rsidRDefault="009D44FC" w:rsidP="009D44FC">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14:paraId="4CBC251A" w14:textId="77777777" w:rsidR="009D44FC" w:rsidRPr="001571EB" w:rsidRDefault="009D44FC" w:rsidP="009D44FC">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68E82F88" w14:textId="77777777" w:rsidR="009D44FC" w:rsidRPr="001571EB" w:rsidRDefault="009D44FC" w:rsidP="009D44FC">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2E74737C" w14:textId="77777777" w:rsidR="009D44FC" w:rsidRPr="001571EB" w:rsidRDefault="009D44FC" w:rsidP="009D44FC">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447F3849" w14:textId="77777777" w:rsidR="009D44FC" w:rsidRPr="001571EB" w:rsidRDefault="009D44FC" w:rsidP="009D44FC">
      <w:pPr>
        <w:spacing w:before="240" w:line="360" w:lineRule="auto"/>
        <w:ind w:left="851" w:right="851"/>
        <w:jc w:val="both"/>
        <w:rPr>
          <w:rFonts w:ascii="Palatino Linotype" w:hAnsi="Palatino Linotype" w:cs="Arial"/>
          <w:b/>
          <w:i/>
        </w:rPr>
      </w:pPr>
      <w:r w:rsidRPr="001571EB">
        <w:rPr>
          <w:rFonts w:ascii="Palatino Linotype" w:hAnsi="Palatino Linotype" w:cs="Arial"/>
          <w:i/>
        </w:rPr>
        <w:lastRenderedPageBreak/>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14:paraId="5F9F12FF" w14:textId="77777777" w:rsidR="009D44FC" w:rsidRPr="001571EB" w:rsidRDefault="009D44FC" w:rsidP="009D44FC">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74A8AF9A" w14:textId="77777777" w:rsidR="009D44FC" w:rsidRPr="001571EB" w:rsidRDefault="009D44FC" w:rsidP="009D44FC">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14:paraId="0665A787" w14:textId="77777777" w:rsidR="009D44FC" w:rsidRPr="001571EB" w:rsidRDefault="009D44FC" w:rsidP="009D44FC">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04D88DD5" w14:textId="77777777" w:rsidR="009D44FC" w:rsidRPr="00E60DEF" w:rsidRDefault="009D44FC" w:rsidP="009D44FC">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02C5E92B" w14:textId="77777777" w:rsidR="009D44FC" w:rsidRPr="001571EB" w:rsidRDefault="009D44FC" w:rsidP="009D44FC">
      <w:pPr>
        <w:spacing w:before="240" w:line="360" w:lineRule="auto"/>
        <w:ind w:left="851" w:right="851"/>
        <w:jc w:val="both"/>
        <w:rPr>
          <w:rFonts w:ascii="Palatino Linotype" w:hAnsi="Palatino Linotype" w:cs="Arial"/>
          <w:b/>
          <w:i/>
        </w:rPr>
      </w:pPr>
      <w:r>
        <w:rPr>
          <w:rFonts w:ascii="Palatino Linotype" w:hAnsi="Palatino Linotype" w:cs="Arial"/>
          <w:b/>
          <w:i/>
        </w:rPr>
        <w:t>(…)</w:t>
      </w:r>
    </w:p>
    <w:p w14:paraId="7D8EC05A" w14:textId="77777777" w:rsidR="009D44FC" w:rsidRDefault="009D44FC" w:rsidP="009D44FC">
      <w:pPr>
        <w:spacing w:before="240" w:line="360" w:lineRule="auto"/>
        <w:ind w:left="851" w:right="851"/>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68764391" w14:textId="77777777" w:rsidR="009D44FC" w:rsidRDefault="009D44FC" w:rsidP="009D44FC">
      <w:pPr>
        <w:spacing w:line="360" w:lineRule="auto"/>
        <w:ind w:right="51"/>
        <w:jc w:val="both"/>
        <w:rPr>
          <w:rFonts w:ascii="Palatino Linotype" w:eastAsia="Arial Unicode MS" w:hAnsi="Palatino Linotype" w:cs="Arial"/>
        </w:rPr>
      </w:pPr>
    </w:p>
    <w:p w14:paraId="1C0B00CC" w14:textId="77777777" w:rsidR="009D44FC" w:rsidRPr="001571EB" w:rsidRDefault="009D44FC" w:rsidP="009D44FC">
      <w:pPr>
        <w:spacing w:line="360" w:lineRule="auto"/>
        <w:ind w:right="51"/>
        <w:jc w:val="both"/>
        <w:rPr>
          <w:rFonts w:ascii="Palatino Linotype" w:hAnsi="Palatino Linotype" w:cs="Arial"/>
        </w:rPr>
      </w:pPr>
      <w:r w:rsidRPr="001571EB">
        <w:rPr>
          <w:rFonts w:ascii="Palatino Linotype" w:eastAsia="Arial Unicode MS" w:hAnsi="Palatino Linotype" w:cs="Arial"/>
        </w:rPr>
        <w:t xml:space="preserve">Verbigracia, previo a poner a disposición la información correspondiente debe considerarse que tiene carácter de confidencial </w:t>
      </w:r>
      <w:r w:rsidRPr="001571EB">
        <w:rPr>
          <w:rFonts w:ascii="Palatino Linotype" w:hAnsi="Palatino Linotype" w:cs="Arial"/>
        </w:rPr>
        <w:t xml:space="preserve">el </w:t>
      </w:r>
      <w:r w:rsidRPr="00BA3B27">
        <w:rPr>
          <w:rFonts w:ascii="Palatino Linotype" w:hAnsi="Palatino Linotype" w:cs="Arial"/>
          <w:b/>
        </w:rPr>
        <w:t>Registro Federal de Contribuyentes (RFC) que no sean de proveedores</w:t>
      </w:r>
      <w:r w:rsidRPr="001571EB">
        <w:rPr>
          <w:rFonts w:ascii="Palatino Linotype" w:hAnsi="Palatino Linotype" w:cs="Arial"/>
        </w:rPr>
        <w:t xml:space="preserve">, cuenta bancaria, la Clave Única de Registro de Población (CURP), domicilio particular, teléfono particular, el nombre de las personas físicas que no tengan la calidad de servidor público  o aquellos que no reciban recursos </w:t>
      </w:r>
      <w:r w:rsidRPr="001571EB">
        <w:rPr>
          <w:rFonts w:ascii="Palatino Linotype" w:hAnsi="Palatino Linotype" w:cs="Arial"/>
        </w:rPr>
        <w:lastRenderedPageBreak/>
        <w:t>públicos, entre otros considerados como datos personales en términos de la normatividad aplicable.</w:t>
      </w:r>
    </w:p>
    <w:p w14:paraId="6D2A53E5" w14:textId="77777777" w:rsidR="009D44FC" w:rsidRDefault="009D44FC" w:rsidP="009D44FC">
      <w:pPr>
        <w:spacing w:before="240" w:after="240" w:line="360" w:lineRule="auto"/>
        <w:ind w:right="-91"/>
        <w:jc w:val="both"/>
        <w:rPr>
          <w:rFonts w:ascii="Palatino Linotype" w:hAnsi="Palatino Linotype" w:cs="Arial"/>
          <w:lang w:eastAsia="es-MX"/>
        </w:rPr>
      </w:pPr>
      <w:r w:rsidRPr="001571EB">
        <w:rPr>
          <w:rFonts w:ascii="Palatino Linotype" w:hAnsi="Palatino Linotype" w:cs="Arial"/>
          <w:lang w:eastAsia="es-MX"/>
        </w:rPr>
        <w:t xml:space="preserve">Lo anterior es compartido por el ahora </w:t>
      </w:r>
      <w:r w:rsidRPr="001571EB">
        <w:rPr>
          <w:rFonts w:ascii="Palatino Linotype" w:hAnsi="Palatino Linotype" w:cs="Arial"/>
          <w:b/>
          <w:bCs/>
          <w:lang w:eastAsia="es-MX"/>
        </w:rPr>
        <w:t>Instituto Nacional de Transparencia, Acceso a la Información y Protección de Datos Personales</w:t>
      </w:r>
      <w:r w:rsidRPr="001571EB">
        <w:rPr>
          <w:rFonts w:ascii="Palatino Linotype" w:hAnsi="Palatino Linotype" w:cs="Arial"/>
          <w:lang w:eastAsia="es-MX"/>
        </w:rPr>
        <w:t xml:space="preserve"> (INAI), conforme al criterio </w:t>
      </w:r>
      <w:r>
        <w:rPr>
          <w:rFonts w:ascii="Palatino Linotype" w:hAnsi="Palatino Linotype" w:cs="Arial"/>
          <w:b/>
          <w:lang w:eastAsia="es-MX"/>
        </w:rPr>
        <w:t>004/2021</w:t>
      </w:r>
      <w:r w:rsidRPr="00E60DEF">
        <w:rPr>
          <w:rFonts w:ascii="Palatino Linotype" w:hAnsi="Palatino Linotype" w:cs="Arial"/>
          <w:b/>
          <w:lang w:eastAsia="es-MX"/>
        </w:rPr>
        <w:t>,</w:t>
      </w:r>
      <w:r w:rsidRPr="001571EB">
        <w:rPr>
          <w:rFonts w:ascii="Palatino Linotype" w:hAnsi="Palatino Linotype" w:cs="Arial"/>
          <w:lang w:eastAsia="es-MX"/>
        </w:rPr>
        <w:t xml:space="preserve"> el cual es del tenor literal siguiente:</w:t>
      </w:r>
    </w:p>
    <w:p w14:paraId="0BE16477" w14:textId="77777777" w:rsidR="009D44FC" w:rsidRDefault="009D44FC" w:rsidP="009D44FC">
      <w:pPr>
        <w:autoSpaceDE w:val="0"/>
        <w:autoSpaceDN w:val="0"/>
        <w:adjustRightInd w:val="0"/>
        <w:spacing w:before="240" w:line="360" w:lineRule="auto"/>
        <w:ind w:left="851" w:right="851"/>
        <w:jc w:val="center"/>
        <w:rPr>
          <w:rFonts w:ascii="Palatino Linotype" w:hAnsi="Palatino Linotype" w:cs="Arial"/>
          <w:b/>
          <w:bCs/>
          <w:i/>
        </w:rPr>
      </w:pPr>
      <w:r w:rsidRPr="001571EB">
        <w:rPr>
          <w:rFonts w:ascii="Palatino Linotype" w:hAnsi="Palatino Linotype" w:cs="Arial"/>
          <w:bCs/>
          <w:i/>
        </w:rPr>
        <w:t>“</w:t>
      </w:r>
      <w:r w:rsidRPr="00BA3B27">
        <w:rPr>
          <w:rFonts w:ascii="Palatino Linotype" w:hAnsi="Palatino Linotype" w:cs="Arial"/>
          <w:b/>
          <w:bCs/>
          <w:i/>
        </w:rPr>
        <w:t>Registro Federal de Contribuyentes (RFC) de personas fís</w:t>
      </w:r>
      <w:r>
        <w:rPr>
          <w:rFonts w:ascii="Palatino Linotype" w:hAnsi="Palatino Linotype" w:cs="Arial"/>
          <w:b/>
          <w:bCs/>
          <w:i/>
        </w:rPr>
        <w:t>icas proveedores o contratistas</w:t>
      </w:r>
      <w:r w:rsidRPr="001571EB">
        <w:rPr>
          <w:rFonts w:ascii="Palatino Linotype" w:hAnsi="Palatino Linotype" w:cs="Arial"/>
          <w:b/>
          <w:bCs/>
          <w:i/>
        </w:rPr>
        <w:t>.</w:t>
      </w:r>
    </w:p>
    <w:p w14:paraId="60D7EED6" w14:textId="77777777" w:rsidR="009D44FC" w:rsidRDefault="009D44FC" w:rsidP="009D44FC">
      <w:pPr>
        <w:autoSpaceDE w:val="0"/>
        <w:autoSpaceDN w:val="0"/>
        <w:adjustRightInd w:val="0"/>
        <w:spacing w:before="240" w:line="360" w:lineRule="auto"/>
        <w:ind w:left="851" w:right="851"/>
        <w:jc w:val="both"/>
        <w:rPr>
          <w:rFonts w:ascii="Palatino Linotype" w:hAnsi="Palatino Linotype" w:cs="Arial"/>
          <w:bCs/>
          <w:i/>
        </w:rPr>
      </w:pPr>
      <w:r w:rsidRPr="00BA3B27">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56F27E21" w14:textId="77777777" w:rsidR="009D44FC" w:rsidRPr="00BA3B27" w:rsidRDefault="009D44FC" w:rsidP="009D44FC">
      <w:pPr>
        <w:autoSpaceDE w:val="0"/>
        <w:autoSpaceDN w:val="0"/>
        <w:adjustRightInd w:val="0"/>
        <w:spacing w:before="240" w:line="360" w:lineRule="auto"/>
        <w:ind w:left="851" w:right="851"/>
        <w:jc w:val="both"/>
        <w:rPr>
          <w:rFonts w:ascii="Palatino Linotype" w:hAnsi="Palatino Linotype" w:cs="Arial"/>
          <w:b/>
          <w:i/>
        </w:rPr>
      </w:pPr>
      <w:r w:rsidRPr="00BA3B27">
        <w:rPr>
          <w:rFonts w:ascii="Palatino Linotype" w:hAnsi="Palatino Linotype" w:cs="Arial"/>
          <w:b/>
          <w:i/>
        </w:rPr>
        <w:t>Precedentes:</w:t>
      </w:r>
    </w:p>
    <w:p w14:paraId="2FDD9187" w14:textId="77777777" w:rsidR="009D44FC" w:rsidRPr="00BA3B27" w:rsidRDefault="009D44FC" w:rsidP="009D44FC">
      <w:pPr>
        <w:numPr>
          <w:ilvl w:val="0"/>
          <w:numId w:val="13"/>
        </w:numPr>
        <w:autoSpaceDE w:val="0"/>
        <w:autoSpaceDN w:val="0"/>
        <w:adjustRightInd w:val="0"/>
        <w:spacing w:before="240" w:after="160" w:line="360" w:lineRule="auto"/>
        <w:ind w:right="851"/>
        <w:jc w:val="both"/>
        <w:rPr>
          <w:rFonts w:ascii="Palatino Linotype" w:hAnsi="Palatino Linotype" w:cs="Arial"/>
          <w:i/>
        </w:rPr>
      </w:pPr>
      <w:r w:rsidRPr="00BA3B27">
        <w:rPr>
          <w:rFonts w:ascii="Palatino Linotype" w:hAnsi="Palatino Linotype" w:cs="Arial"/>
          <w:i/>
        </w:rPr>
        <w:t>Acceso a la información Pública. RRA 3639/19.</w:t>
      </w:r>
      <w:r w:rsidRPr="00BA3B27">
        <w:rPr>
          <w:rFonts w:ascii="Palatino Linotype" w:hAnsi="Palatino Linotype" w:cs="Arial"/>
          <w:bCs/>
          <w:i/>
        </w:rPr>
        <w:t xml:space="preserve"> </w:t>
      </w:r>
      <w:r w:rsidRPr="00BA3B27">
        <w:rPr>
          <w:rFonts w:ascii="Palatino Linotype" w:hAnsi="Palatino Linotype" w:cs="Arial"/>
          <w:i/>
        </w:rPr>
        <w:t xml:space="preserve">Sesión del 10 de julio de 2019. Votación por mayoría. Con voto disidente del Comisionado Joel Salas Suárez. Instituto para la Protección del Ahorro Bancario. Comisionada Ponente María Patricia </w:t>
      </w:r>
      <w:proofErr w:type="spellStart"/>
      <w:r w:rsidRPr="00BA3B27">
        <w:rPr>
          <w:rFonts w:ascii="Palatino Linotype" w:hAnsi="Palatino Linotype" w:cs="Arial"/>
          <w:i/>
        </w:rPr>
        <w:t>Kurczyn</w:t>
      </w:r>
      <w:proofErr w:type="spellEnd"/>
      <w:r w:rsidRPr="00BA3B27">
        <w:rPr>
          <w:rFonts w:ascii="Palatino Linotype" w:hAnsi="Palatino Linotype" w:cs="Arial"/>
          <w:i/>
        </w:rPr>
        <w:t xml:space="preserve"> Villalobos.</w:t>
      </w:r>
    </w:p>
    <w:p w14:paraId="6224C434" w14:textId="77777777" w:rsidR="009D44FC" w:rsidRPr="00BA3B27" w:rsidRDefault="009D44FC" w:rsidP="009D44FC">
      <w:pPr>
        <w:numPr>
          <w:ilvl w:val="0"/>
          <w:numId w:val="13"/>
        </w:numPr>
        <w:autoSpaceDE w:val="0"/>
        <w:autoSpaceDN w:val="0"/>
        <w:adjustRightInd w:val="0"/>
        <w:spacing w:before="240" w:after="160" w:line="360" w:lineRule="auto"/>
        <w:ind w:right="851"/>
        <w:jc w:val="both"/>
        <w:rPr>
          <w:rFonts w:ascii="Palatino Linotype" w:hAnsi="Palatino Linotype" w:cs="Arial"/>
          <w:bCs/>
          <w:i/>
        </w:rPr>
      </w:pPr>
      <w:r w:rsidRPr="00BA3B27">
        <w:rPr>
          <w:rFonts w:ascii="Palatino Linotype" w:hAnsi="Palatino Linotype" w:cs="Arial"/>
          <w:i/>
        </w:rPr>
        <w:t>Acceso a la información Pública. RRA 7709/19.</w:t>
      </w:r>
      <w:r w:rsidRPr="00BA3B27">
        <w:rPr>
          <w:rFonts w:ascii="Palatino Linotype" w:hAnsi="Palatino Linotype" w:cs="Arial"/>
          <w:bCs/>
          <w:i/>
        </w:rPr>
        <w:t xml:space="preserve"> </w:t>
      </w:r>
      <w:r w:rsidRPr="00BA3B27">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3787E8C4" w14:textId="77777777" w:rsidR="009D44FC" w:rsidRPr="00BA3B27" w:rsidRDefault="009D44FC" w:rsidP="009D44FC">
      <w:pPr>
        <w:numPr>
          <w:ilvl w:val="0"/>
          <w:numId w:val="13"/>
        </w:numPr>
        <w:autoSpaceDE w:val="0"/>
        <w:autoSpaceDN w:val="0"/>
        <w:adjustRightInd w:val="0"/>
        <w:spacing w:before="240" w:after="160" w:line="360" w:lineRule="auto"/>
        <w:ind w:left="851" w:right="851"/>
        <w:jc w:val="both"/>
        <w:rPr>
          <w:rFonts w:ascii="Palatino Linotype" w:hAnsi="Palatino Linotype" w:cs="Arial"/>
          <w:b/>
          <w:i/>
        </w:rPr>
      </w:pPr>
      <w:r w:rsidRPr="00BA3B27">
        <w:rPr>
          <w:rFonts w:ascii="Palatino Linotype" w:hAnsi="Palatino Linotype" w:cs="Arial"/>
          <w:i/>
        </w:rPr>
        <w:lastRenderedPageBreak/>
        <w:t>Acceso a la información Pública. RRA 5774/19.</w:t>
      </w:r>
      <w:r w:rsidRPr="00BA3B27">
        <w:rPr>
          <w:rFonts w:ascii="Palatino Linotype" w:hAnsi="Palatino Linotype" w:cs="Arial"/>
          <w:bCs/>
          <w:i/>
        </w:rPr>
        <w:t xml:space="preserve"> </w:t>
      </w:r>
      <w:r w:rsidRPr="00BA3B27">
        <w:rPr>
          <w:rFonts w:ascii="Palatino Linotype" w:hAnsi="Palatino Linotype" w:cs="Arial"/>
          <w:i/>
        </w:rPr>
        <w:t>Sesión del 21 de agosto de 2019. Votación por mayoría. Con voto disidente del Comisionado Joel Salas Suárez. Secretaría de Marina. Comisionada Ponente Blanca Lilia Ibarra Cadena.” [Sic]</w:t>
      </w:r>
    </w:p>
    <w:p w14:paraId="73F973ED" w14:textId="77777777" w:rsidR="009D44FC" w:rsidRPr="001571EB" w:rsidRDefault="009D44FC" w:rsidP="009D44FC">
      <w:pPr>
        <w:autoSpaceDE w:val="0"/>
        <w:autoSpaceDN w:val="0"/>
        <w:adjustRightInd w:val="0"/>
        <w:spacing w:before="120" w:after="120"/>
        <w:ind w:left="567" w:right="850"/>
        <w:jc w:val="both"/>
        <w:rPr>
          <w:rFonts w:ascii="Palatino Linotype" w:hAnsi="Palatino Linotype" w:cs="Arial"/>
          <w:i/>
        </w:rPr>
      </w:pPr>
    </w:p>
    <w:p w14:paraId="43E14B4D" w14:textId="77777777" w:rsidR="009D44FC" w:rsidRPr="001571EB" w:rsidRDefault="009D44FC" w:rsidP="009D44FC">
      <w:pPr>
        <w:spacing w:before="240" w:after="240" w:line="360" w:lineRule="auto"/>
        <w:jc w:val="both"/>
        <w:rPr>
          <w:rFonts w:ascii="Palatino Linotype" w:hAnsi="Palatino Linotype" w:cs="Arial"/>
          <w:lang w:eastAsia="es-MX"/>
        </w:rPr>
      </w:pPr>
      <w:r w:rsidRPr="001571EB">
        <w:rPr>
          <w:rFonts w:ascii="Palatino Linotype" w:hAnsi="Palatino Linotype" w:cs="Arial"/>
          <w:lang w:eastAsia="es-MX"/>
        </w:rPr>
        <w:t xml:space="preserve">Así, el RFC se vincula al nombre de su titular, permite identificar la edad de la persona, su fecha de nacimiento, así como su </w:t>
      </w:r>
      <w:proofErr w:type="spellStart"/>
      <w:r w:rsidRPr="001571EB">
        <w:rPr>
          <w:rFonts w:ascii="Palatino Linotype" w:hAnsi="Palatino Linotype" w:cs="Arial"/>
          <w:lang w:eastAsia="es-MX"/>
        </w:rPr>
        <w:t>homoclave</w:t>
      </w:r>
      <w:proofErr w:type="spellEnd"/>
      <w:r w:rsidRPr="001571EB">
        <w:rPr>
          <w:rFonts w:ascii="Palatino Linotype" w:hAnsi="Palatino Linotype" w:cs="Arial"/>
          <w:lang w:eastAsia="es-MX"/>
        </w:rPr>
        <w:t>, la cual es única e irrepetible y determina justamente la identificación de dicha persona para efectos fiscales, por lo éste constituye un dato personal que concierne a una persona física identificada e identificable.</w:t>
      </w:r>
    </w:p>
    <w:p w14:paraId="35129AB8" w14:textId="77777777" w:rsidR="009D44FC" w:rsidRPr="001571EB" w:rsidRDefault="009D44FC" w:rsidP="009D44FC">
      <w:pPr>
        <w:spacing w:before="240" w:after="240" w:line="360" w:lineRule="auto"/>
        <w:jc w:val="both"/>
        <w:rPr>
          <w:rFonts w:ascii="Palatino Linotype" w:eastAsia="Calibri" w:hAnsi="Palatino Linotype" w:cs="Arial"/>
          <w:lang w:eastAsia="es-MX"/>
        </w:rPr>
      </w:pPr>
      <w:r w:rsidRPr="001571EB">
        <w:rPr>
          <w:rFonts w:ascii="Palatino Linotype" w:hAnsi="Palatino Linotype" w:cs="Arial"/>
          <w:lang w:eastAsia="es-MX"/>
        </w:rPr>
        <w:t xml:space="preserve">En cuanto a la </w:t>
      </w:r>
      <w:r w:rsidRPr="001571EB">
        <w:rPr>
          <w:rFonts w:ascii="Palatino Linotype" w:hAnsi="Palatino Linotype" w:cs="Arial"/>
        </w:rPr>
        <w:t xml:space="preserve">Clave Única de Registro de Población (CURP) en virtud de que éste se </w:t>
      </w:r>
      <w:r w:rsidRPr="001571EB">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5C66534" w14:textId="77777777" w:rsidR="009D44FC" w:rsidRDefault="009D44FC" w:rsidP="009D44FC">
      <w:pPr>
        <w:spacing w:before="240" w:after="240" w:line="360" w:lineRule="auto"/>
        <w:ind w:right="-91"/>
        <w:jc w:val="both"/>
        <w:rPr>
          <w:rFonts w:ascii="Palatino Linotype" w:hAnsi="Palatino Linotype" w:cs="Arial"/>
        </w:rPr>
      </w:pPr>
      <w:r w:rsidRPr="001571EB">
        <w:rPr>
          <w:rFonts w:ascii="Palatino Linotype" w:hAnsi="Palatino Linotype" w:cs="Arial"/>
        </w:rPr>
        <w:t xml:space="preserve">Argumento que es compartido por el </w:t>
      </w:r>
      <w:r w:rsidRPr="001571EB">
        <w:rPr>
          <w:rStyle w:val="Textoennegrita"/>
          <w:rFonts w:ascii="Palatino Linotype" w:hAnsi="Palatino Linotype" w:cs="Arial"/>
        </w:rPr>
        <w:t xml:space="preserve">Instituto Nacional de Transparencia, Acceso a la Información y Protección de Datos Personales, conforme al </w:t>
      </w:r>
      <w:r w:rsidRPr="001571EB">
        <w:rPr>
          <w:rFonts w:ascii="Palatino Linotype" w:hAnsi="Palatino Linotype" w:cs="Arial"/>
        </w:rPr>
        <w:t xml:space="preserve">criterio número 18/17 el cual refiere: </w:t>
      </w:r>
    </w:p>
    <w:p w14:paraId="472545FF" w14:textId="77777777" w:rsidR="009D44FC" w:rsidRDefault="009D44FC" w:rsidP="009D44FC">
      <w:pPr>
        <w:autoSpaceDE w:val="0"/>
        <w:autoSpaceDN w:val="0"/>
        <w:adjustRightInd w:val="0"/>
        <w:spacing w:before="240" w:line="360" w:lineRule="auto"/>
        <w:ind w:left="851" w:right="851"/>
        <w:jc w:val="center"/>
        <w:rPr>
          <w:rFonts w:ascii="Palatino Linotype" w:hAnsi="Palatino Linotype" w:cs="Arial"/>
          <w:b/>
          <w:bCs/>
          <w:i/>
          <w:lang w:eastAsia="es-MX"/>
        </w:rPr>
      </w:pPr>
      <w:r w:rsidRPr="001571EB">
        <w:rPr>
          <w:rFonts w:ascii="Palatino Linotype" w:hAnsi="Palatino Linotype" w:cs="Arial"/>
          <w:bCs/>
          <w:i/>
          <w:lang w:eastAsia="es-MX"/>
        </w:rPr>
        <w:t>“</w:t>
      </w:r>
      <w:r w:rsidRPr="001571EB">
        <w:rPr>
          <w:rFonts w:ascii="Palatino Linotype" w:hAnsi="Palatino Linotype" w:cs="Arial"/>
          <w:b/>
          <w:bCs/>
          <w:i/>
          <w:lang w:eastAsia="es-MX"/>
        </w:rPr>
        <w:t>CLAVE ÚNICA DE REGISTRO DE POBLACIÓN (CURP).</w:t>
      </w:r>
    </w:p>
    <w:p w14:paraId="7BFB13C3" w14:textId="77777777" w:rsidR="009D44FC" w:rsidRPr="001571EB" w:rsidRDefault="009D44FC" w:rsidP="009D44FC">
      <w:pPr>
        <w:autoSpaceDE w:val="0"/>
        <w:autoSpaceDN w:val="0"/>
        <w:adjustRightInd w:val="0"/>
        <w:spacing w:before="240" w:line="360" w:lineRule="auto"/>
        <w:ind w:left="851" w:right="851"/>
        <w:jc w:val="both"/>
        <w:rPr>
          <w:rFonts w:ascii="Palatino Linotype" w:hAnsi="Palatino Linotype" w:cs="Arial"/>
          <w:b/>
          <w:bCs/>
          <w:i/>
          <w:lang w:eastAsia="es-MX"/>
        </w:rPr>
      </w:pPr>
      <w:r w:rsidRPr="001571EB">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w:t>
      </w:r>
      <w:r w:rsidRPr="001571EB">
        <w:rPr>
          <w:rFonts w:ascii="Palatino Linotype" w:hAnsi="Palatino Linotype" w:cs="Arial"/>
          <w:bCs/>
          <w:i/>
          <w:lang w:eastAsia="es-MX"/>
        </w:rPr>
        <w:lastRenderedPageBreak/>
        <w:t xml:space="preserve">constituyen información que distingue plenamente a una persona física del resto de los habitantes del país, por lo que la CURP está considerada como información confidencial”. </w:t>
      </w:r>
    </w:p>
    <w:p w14:paraId="6A320EA8" w14:textId="77777777" w:rsidR="009D44FC" w:rsidRPr="001571EB" w:rsidRDefault="009D44FC" w:rsidP="009D44FC">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i/>
          <w:lang w:eastAsia="es-MX"/>
        </w:rPr>
        <w:t xml:space="preserve"> </w:t>
      </w:r>
      <w:r w:rsidRPr="001571EB">
        <w:rPr>
          <w:rFonts w:ascii="Palatino Linotype" w:hAnsi="Palatino Linotype" w:cs="Arial"/>
          <w:b/>
          <w:i/>
          <w:lang w:eastAsia="es-MX"/>
        </w:rPr>
        <w:t>Resoluciones:</w:t>
      </w:r>
    </w:p>
    <w:p w14:paraId="1D6935C0" w14:textId="77777777" w:rsidR="009D44FC" w:rsidRPr="001571EB" w:rsidRDefault="009D44FC" w:rsidP="009D44FC">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3995/16. </w:t>
      </w:r>
      <w:r w:rsidRPr="001571EB">
        <w:rPr>
          <w:rFonts w:ascii="Palatino Linotype" w:hAnsi="Palatino Linotype" w:cs="Arial"/>
          <w:i/>
          <w:lang w:eastAsia="es-MX"/>
        </w:rPr>
        <w:t xml:space="preserve">Secretaría de la Defensa Nacional. 1 de febrero de 2017. Por unanimidad. Comisionado Ponente </w:t>
      </w:r>
      <w:proofErr w:type="spellStart"/>
      <w:r w:rsidRPr="001571EB">
        <w:rPr>
          <w:rFonts w:ascii="Palatino Linotype" w:hAnsi="Palatino Linotype" w:cs="Arial"/>
          <w:i/>
          <w:lang w:eastAsia="es-MX"/>
        </w:rPr>
        <w:t>Rosendoevgueni</w:t>
      </w:r>
      <w:proofErr w:type="spellEnd"/>
      <w:r w:rsidRPr="001571EB">
        <w:rPr>
          <w:rFonts w:ascii="Palatino Linotype" w:hAnsi="Palatino Linotype" w:cs="Arial"/>
          <w:i/>
          <w:lang w:eastAsia="es-MX"/>
        </w:rPr>
        <w:t xml:space="preserve"> Monterrey </w:t>
      </w:r>
      <w:proofErr w:type="spellStart"/>
      <w:r w:rsidRPr="001571EB">
        <w:rPr>
          <w:rFonts w:ascii="Palatino Linotype" w:hAnsi="Palatino Linotype" w:cs="Arial"/>
          <w:i/>
          <w:lang w:eastAsia="es-MX"/>
        </w:rPr>
        <w:t>Chepov</w:t>
      </w:r>
      <w:proofErr w:type="spellEnd"/>
      <w:r w:rsidRPr="001571EB">
        <w:rPr>
          <w:rFonts w:ascii="Palatino Linotype" w:hAnsi="Palatino Linotype" w:cs="Arial"/>
          <w:i/>
          <w:lang w:eastAsia="es-MX"/>
        </w:rPr>
        <w:t>.</w:t>
      </w:r>
    </w:p>
    <w:p w14:paraId="683FBDBF" w14:textId="77777777" w:rsidR="009D44FC" w:rsidRPr="001571EB" w:rsidRDefault="009D44FC" w:rsidP="009D44FC">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w:t>
      </w:r>
      <w:r w:rsidRPr="001571EB">
        <w:rPr>
          <w:rFonts w:ascii="Palatino Linotype" w:hAnsi="Palatino Linotype" w:cs="Arial"/>
          <w:b/>
          <w:bCs/>
          <w:i/>
          <w:lang w:eastAsia="es-MX"/>
        </w:rPr>
        <w:t xml:space="preserve">0937/17. </w:t>
      </w:r>
      <w:r w:rsidRPr="001571EB">
        <w:rPr>
          <w:rFonts w:ascii="Palatino Linotype" w:hAnsi="Palatino Linotype" w:cs="Arial"/>
          <w:bCs/>
          <w:i/>
          <w:lang w:eastAsia="es-MX"/>
        </w:rPr>
        <w:t xml:space="preserve">Senado de la República. </w:t>
      </w:r>
      <w:r w:rsidRPr="001571EB">
        <w:rPr>
          <w:rFonts w:ascii="Palatino Linotype" w:hAnsi="Palatino Linotype" w:cs="Arial"/>
          <w:bCs/>
          <w:i/>
          <w:lang w:val="es-ES_tradnl" w:eastAsia="es-MX"/>
        </w:rPr>
        <w:t xml:space="preserve">15 de marzo de 2017. Por unanimidad. Comisionada Ponente Ximena Puente de la Mora. </w:t>
      </w:r>
    </w:p>
    <w:p w14:paraId="705F2EA9" w14:textId="77777777" w:rsidR="009D44FC" w:rsidRDefault="009D44FC" w:rsidP="009D44FC">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0478/17. </w:t>
      </w:r>
      <w:r w:rsidRPr="001571EB">
        <w:rPr>
          <w:rFonts w:ascii="Palatino Linotype" w:hAnsi="Palatino Linotype" w:cs="Arial"/>
          <w:i/>
          <w:lang w:eastAsia="es-MX"/>
        </w:rPr>
        <w:t>Secretaría de Relaciones Exteriores. 26 de abril de 2017. Por unanimidad. Comisionada Ponente Areli Cano Guadiana.</w:t>
      </w:r>
      <w:r>
        <w:rPr>
          <w:rFonts w:ascii="Palatino Linotype" w:hAnsi="Palatino Linotype" w:cs="Arial"/>
          <w:i/>
          <w:lang w:eastAsia="es-MX"/>
        </w:rPr>
        <w:t xml:space="preserve">” </w:t>
      </w:r>
      <w:r>
        <w:rPr>
          <w:rFonts w:ascii="Palatino Linotype" w:hAnsi="Palatino Linotype" w:cs="Arial"/>
          <w:b/>
          <w:i/>
          <w:lang w:eastAsia="es-MX"/>
        </w:rPr>
        <w:t>[Sic]</w:t>
      </w:r>
    </w:p>
    <w:p w14:paraId="0E8E0747" w14:textId="77777777" w:rsidR="009D44FC" w:rsidRDefault="009D44FC" w:rsidP="009D44FC">
      <w:pPr>
        <w:spacing w:line="360" w:lineRule="auto"/>
        <w:ind w:right="51"/>
        <w:jc w:val="both"/>
        <w:rPr>
          <w:rFonts w:ascii="Palatino Linotype" w:hAnsi="Palatino Linotype" w:cs="Arial"/>
        </w:rPr>
      </w:pPr>
    </w:p>
    <w:p w14:paraId="79B9E843" w14:textId="77777777" w:rsidR="009D44FC" w:rsidRPr="00032831" w:rsidRDefault="009D44FC" w:rsidP="009D44FC">
      <w:pPr>
        <w:spacing w:line="360" w:lineRule="auto"/>
        <w:jc w:val="both"/>
        <w:rPr>
          <w:rFonts w:ascii="Palatino Linotype" w:eastAsia="Calibri" w:hAnsi="Palatino Linotype"/>
          <w:color w:val="000000"/>
        </w:rPr>
      </w:pPr>
      <w:r w:rsidRPr="00032831">
        <w:rPr>
          <w:rFonts w:ascii="Palatino Linotype" w:eastAsia="Calibri" w:hAnsi="Palatino Linotype"/>
          <w:color w:val="000000"/>
        </w:rPr>
        <w:t xml:space="preserve">Asimismo, el artículo 2°, fracción III, de la Ley General de Títulos y Operaciones de Crédito establece que los actos y las operaciones que regula esta Ley General, se regirán por los </w:t>
      </w:r>
      <w:r w:rsidRPr="00032831">
        <w:rPr>
          <w:rFonts w:ascii="Palatino Linotype" w:eastAsia="Calibri" w:hAnsi="Palatino Linotype"/>
          <w:b/>
          <w:bCs/>
          <w:color w:val="000000"/>
        </w:rPr>
        <w:t>usos bancarios y mercantiles</w:t>
      </w:r>
      <w:r w:rsidRPr="00032831">
        <w:rPr>
          <w:rFonts w:ascii="Palatino Linotype" w:eastAsia="Calibri" w:hAnsi="Palatino Linotype"/>
          <w:color w:val="000000"/>
        </w:rPr>
        <w:t xml:space="preserve">, es así que, a manera de contextualización la cuenta bancaria y estado de cuenta se definen como: </w:t>
      </w:r>
    </w:p>
    <w:p w14:paraId="6C103864" w14:textId="77777777" w:rsidR="009D44FC" w:rsidRPr="00032831" w:rsidRDefault="009D44FC" w:rsidP="009D44FC">
      <w:pPr>
        <w:spacing w:line="360" w:lineRule="auto"/>
        <w:jc w:val="both"/>
        <w:rPr>
          <w:rFonts w:ascii="Palatino Linotype" w:eastAsia="Calibri" w:hAnsi="Palatino Linotype"/>
          <w:color w:val="000000"/>
        </w:rPr>
      </w:pPr>
    </w:p>
    <w:p w14:paraId="45503D74" w14:textId="77777777" w:rsidR="009D44FC" w:rsidRPr="00032831" w:rsidRDefault="009D44FC" w:rsidP="009D44FC">
      <w:pPr>
        <w:numPr>
          <w:ilvl w:val="0"/>
          <w:numId w:val="14"/>
        </w:numPr>
        <w:spacing w:line="360" w:lineRule="auto"/>
        <w:contextualSpacing/>
        <w:jc w:val="both"/>
        <w:rPr>
          <w:rFonts w:ascii="Palatino Linotype" w:hAnsi="Palatino Linotype"/>
          <w:color w:val="000000"/>
        </w:rPr>
      </w:pPr>
      <w:r w:rsidRPr="00032831">
        <w:rPr>
          <w:rFonts w:ascii="Palatino Linotype" w:hAnsi="Palatino Linotype"/>
          <w:b/>
          <w:bCs/>
          <w:color w:val="000000"/>
        </w:rPr>
        <w:t>Cuenta bancaria:</w:t>
      </w:r>
      <w:r w:rsidRPr="00032831">
        <w:rPr>
          <w:rFonts w:ascii="Palatino Linotype" w:hAnsi="Palatino Linotype"/>
          <w:color w:val="000000"/>
        </w:rPr>
        <w:t xml:space="preserve"> Una cuenta bancaria es un registro que mantiene un banco, en el que guarda dinero y contabiliza todas las entradas y salidas de efectivo, así como los créditos en curso, inversiones y productos relacionados.</w:t>
      </w:r>
    </w:p>
    <w:p w14:paraId="32525EFD" w14:textId="77777777" w:rsidR="009D44FC" w:rsidRPr="00C8686C" w:rsidRDefault="009D44FC" w:rsidP="009D44FC">
      <w:pPr>
        <w:spacing w:line="360" w:lineRule="auto"/>
        <w:ind w:right="51"/>
        <w:jc w:val="both"/>
        <w:rPr>
          <w:rFonts w:ascii="Palatino Linotype" w:hAnsi="Palatino Linotype" w:cs="Arial"/>
        </w:rPr>
      </w:pPr>
    </w:p>
    <w:p w14:paraId="1D12CD34" w14:textId="77777777" w:rsidR="009D44FC" w:rsidRPr="00032831" w:rsidRDefault="009D44FC" w:rsidP="009D44FC">
      <w:pPr>
        <w:spacing w:line="360" w:lineRule="auto"/>
        <w:jc w:val="both"/>
        <w:rPr>
          <w:rFonts w:ascii="Palatino Linotype" w:eastAsia="Calibri" w:hAnsi="Palatino Linotype" w:cs="Tahoma"/>
          <w:bCs/>
          <w:color w:val="000000"/>
        </w:rPr>
      </w:pPr>
      <w:r w:rsidRPr="00032831">
        <w:rPr>
          <w:rFonts w:ascii="Palatino Linotype" w:eastAsia="Calibri" w:hAnsi="Palatino Linotype" w:cs="Tahoma"/>
          <w:bCs/>
          <w:color w:val="000000"/>
        </w:rPr>
        <w:t xml:space="preserve">En relación a los </w:t>
      </w:r>
      <w:r w:rsidRPr="00032831">
        <w:rPr>
          <w:rFonts w:ascii="Palatino Linotype" w:eastAsia="Calibri" w:hAnsi="Palatino Linotype" w:cs="Tahoma"/>
          <w:b/>
          <w:bCs/>
          <w:color w:val="000000"/>
          <w:u w:val="single"/>
        </w:rPr>
        <w:t>números de cuenta bancarias</w:t>
      </w:r>
      <w:r w:rsidRPr="00032831">
        <w:rPr>
          <w:rFonts w:ascii="Palatino Linotype" w:eastAsia="Calibri" w:hAnsi="Palatino Linotype" w:cs="Tahoma"/>
          <w:bCs/>
          <w:color w:val="000000"/>
        </w:rPr>
        <w:t xml:space="preserve"> del </w:t>
      </w:r>
      <w:r w:rsidRPr="00032831">
        <w:rPr>
          <w:rFonts w:ascii="Palatino Linotype" w:eastAsia="Calibri" w:hAnsi="Palatino Linotype" w:cs="Tahoma"/>
          <w:b/>
          <w:bCs/>
          <w:color w:val="000000"/>
        </w:rPr>
        <w:t>Sujeto Obligado</w:t>
      </w:r>
      <w:r w:rsidRPr="00032831">
        <w:rPr>
          <w:rFonts w:ascii="Palatino Linotype" w:eastAsia="Calibri" w:hAnsi="Palatino Linotype" w:cs="Tahoma"/>
          <w:bCs/>
          <w:color w:val="000000"/>
        </w:rPr>
        <w:t xml:space="preserve">, en </w:t>
      </w:r>
      <w:r w:rsidRPr="00032831">
        <w:rPr>
          <w:rFonts w:ascii="Palatino Linotype" w:hAnsi="Palatino Linotype"/>
        </w:rPr>
        <w:t xml:space="preserve">donde se transfieren recursos públicos, </w:t>
      </w:r>
      <w:r w:rsidRPr="00032831">
        <w:rPr>
          <w:rFonts w:ascii="Palatino Linotype" w:hAnsi="Palatino Linotype"/>
          <w:b/>
          <w:u w:val="single"/>
        </w:rPr>
        <w:t>son considerados como información pública</w:t>
      </w:r>
      <w:r w:rsidRPr="00032831">
        <w:rPr>
          <w:rFonts w:ascii="Palatino Linotype" w:hAnsi="Palatino Linotype"/>
        </w:rPr>
        <w:t xml:space="preserve">, pues su difusión favorece la rendición de cuentas al transparentar la forma en que se </w:t>
      </w:r>
      <w:r w:rsidRPr="00032831">
        <w:rPr>
          <w:rFonts w:ascii="Palatino Linotype" w:hAnsi="Palatino Linotype"/>
        </w:rPr>
        <w:lastRenderedPageBreak/>
        <w:t>administrar los recursos públicos; situación que se robustece con el Criterio 11/17, del Instituto Nacional de Transparencia, Acceso a la Información y Protección de Datos Personales, que a la letra precisa:</w:t>
      </w:r>
    </w:p>
    <w:p w14:paraId="75570DB1" w14:textId="77777777" w:rsidR="009D44FC" w:rsidRPr="00C8686C" w:rsidRDefault="009D44FC" w:rsidP="009D44FC">
      <w:pPr>
        <w:spacing w:line="360" w:lineRule="auto"/>
        <w:jc w:val="both"/>
        <w:rPr>
          <w:rFonts w:ascii="Palatino Linotype" w:hAnsi="Palatino Linotype"/>
        </w:rPr>
      </w:pPr>
    </w:p>
    <w:p w14:paraId="27B53C48" w14:textId="77777777" w:rsidR="009D44FC" w:rsidRPr="00C8686C" w:rsidRDefault="009D44FC" w:rsidP="009D44FC">
      <w:pPr>
        <w:ind w:left="567" w:right="567"/>
        <w:jc w:val="both"/>
        <w:rPr>
          <w:rFonts w:ascii="Palatino Linotype" w:hAnsi="Palatino Linotype"/>
          <w:i/>
          <w:iCs/>
          <w:szCs w:val="20"/>
        </w:rPr>
      </w:pPr>
      <w:r w:rsidRPr="00C8686C">
        <w:rPr>
          <w:rFonts w:ascii="Palatino Linotype" w:hAnsi="Palatino Linotype"/>
          <w:b/>
          <w:i/>
          <w:iCs/>
          <w:szCs w:val="20"/>
        </w:rPr>
        <w:t>“Cuentas bancarias y/o CLABE interbancaria de sujetos obligados que reciben y/o transfieren recursos públicos, son información pública.</w:t>
      </w:r>
      <w:r w:rsidRPr="00C8686C">
        <w:rPr>
          <w:rFonts w:ascii="Palatino Linotype" w:hAnsi="Palatino Linotype"/>
          <w:i/>
          <w:iCs/>
          <w:szCs w:val="20"/>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ED66F18" w14:textId="77777777" w:rsidR="009D44FC" w:rsidRPr="00C8686C" w:rsidRDefault="009D44FC" w:rsidP="009D44FC">
      <w:pPr>
        <w:spacing w:line="360" w:lineRule="auto"/>
        <w:ind w:right="51"/>
        <w:jc w:val="both"/>
        <w:rPr>
          <w:rFonts w:ascii="Palatino Linotype" w:hAnsi="Palatino Linotype" w:cs="Arial"/>
        </w:rPr>
      </w:pPr>
    </w:p>
    <w:p w14:paraId="3370DCDD" w14:textId="77777777" w:rsidR="009D44FC" w:rsidRPr="00032831" w:rsidRDefault="009D44FC" w:rsidP="009D44FC">
      <w:pPr>
        <w:spacing w:line="360" w:lineRule="auto"/>
        <w:jc w:val="both"/>
        <w:rPr>
          <w:rFonts w:ascii="Palatino Linotype" w:hAnsi="Palatino Linotype"/>
        </w:rPr>
      </w:pPr>
      <w:r w:rsidRPr="00032831">
        <w:rPr>
          <w:rFonts w:ascii="Palatino Linotype" w:hAnsi="Palatino Linotype" w:cs="Arial"/>
        </w:rPr>
        <w:t xml:space="preserve">Por otro lado, el </w:t>
      </w:r>
      <w:r w:rsidRPr="00032831">
        <w:rPr>
          <w:rFonts w:ascii="Palatino Linotype" w:hAnsi="Palatino Linotype"/>
        </w:rPr>
        <w:t>Criterio 11/17 establece que el número de cuenta de particulares es información confidencial, del Instituto Nacional de Transparencia, Acceso a la Información y Protección de Datos Personales, que a la letra precisa:</w:t>
      </w:r>
    </w:p>
    <w:p w14:paraId="0BD5C88E" w14:textId="77777777" w:rsidR="009D44FC" w:rsidRPr="00C8686C" w:rsidRDefault="009D44FC" w:rsidP="009D44FC">
      <w:pPr>
        <w:pStyle w:val="Citas"/>
        <w:rPr>
          <w:b/>
        </w:rPr>
      </w:pPr>
      <w:bookmarkStart w:id="1" w:name="_Toc103270313"/>
      <w:r w:rsidRPr="00C8686C">
        <w:rPr>
          <w:b/>
        </w:rPr>
        <w:t>CRITERIO: 10/17.- Cuentas bancarias y/o CLABE interbancaria de personas físicas y morales privadas.</w:t>
      </w:r>
      <w:bookmarkEnd w:id="1"/>
    </w:p>
    <w:p w14:paraId="237BA0E4" w14:textId="77777777" w:rsidR="009D44FC" w:rsidRPr="00C8686C" w:rsidRDefault="009D44FC" w:rsidP="009D44FC">
      <w:pPr>
        <w:pStyle w:val="Citas"/>
      </w:pPr>
      <w:r w:rsidRPr="00220CF2">
        <w:rPr>
          <w:b/>
        </w:rPr>
        <w:t>El número de cuenta bancaria y/o CLABE interbancaria de particulares es información confidencial</w:t>
      </w:r>
      <w:r w:rsidRPr="00C8686C">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58D8123C" w14:textId="77777777" w:rsidR="009D44FC" w:rsidRDefault="009D44FC" w:rsidP="00F54819">
      <w:pPr>
        <w:autoSpaceDE w:val="0"/>
        <w:autoSpaceDN w:val="0"/>
        <w:adjustRightInd w:val="0"/>
        <w:spacing w:before="240" w:line="360" w:lineRule="auto"/>
        <w:jc w:val="both"/>
        <w:rPr>
          <w:rFonts w:ascii="Palatino Linotype" w:hAnsi="Palatino Linotype" w:cs="Arial"/>
        </w:rPr>
      </w:pPr>
    </w:p>
    <w:p w14:paraId="7440659B" w14:textId="77777777" w:rsidR="00F54819" w:rsidRDefault="00F54819" w:rsidP="00F54819">
      <w:pPr>
        <w:autoSpaceDE w:val="0"/>
        <w:autoSpaceDN w:val="0"/>
        <w:adjustRightInd w:val="0"/>
        <w:spacing w:before="240" w:line="360" w:lineRule="auto"/>
        <w:jc w:val="both"/>
        <w:rPr>
          <w:rFonts w:ascii="Palatino Linotype" w:eastAsia="Calibri" w:hAnsi="Palatino Linotype" w:cs="Arial"/>
          <w:szCs w:val="22"/>
          <w:lang w:val="es-ES_tradnl" w:eastAsia="es-MX"/>
        </w:rPr>
      </w:pPr>
      <w:r w:rsidRPr="00386A5B">
        <w:rPr>
          <w:rFonts w:ascii="Palatino Linotype" w:eastAsia="Calibri" w:hAnsi="Palatino Linotype" w:cs="Arial"/>
          <w:szCs w:val="22"/>
          <w:lang w:val="es-ES_tradnl" w:eastAsia="es-MX"/>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386A5B">
        <w:rPr>
          <w:rFonts w:ascii="Palatino Linotype" w:eastAsia="Calibri" w:hAnsi="Palatino Linotype" w:cs="Arial"/>
          <w:b/>
          <w:szCs w:val="22"/>
          <w:lang w:val="es-ES_tradnl" w:eastAsia="es-MX"/>
        </w:rPr>
        <w:t>LINEAMIENTOS GENERALES EN MATERIA DE CLASIFICACIÓN Y DESCLASIFICACIÓN DE LA INFORMACIÓN, ASÍ COMO PARA LA ELABORACIÓN DE VERSIONES PÚBLICAS,</w:t>
      </w:r>
      <w:r w:rsidRPr="00386A5B">
        <w:rPr>
          <w:rFonts w:ascii="Palatino Linotype" w:eastAsia="Calibri" w:hAnsi="Palatino Linotype" w:cs="Arial"/>
          <w:szCs w:val="22"/>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r>
        <w:rPr>
          <w:rFonts w:ascii="Palatino Linotype" w:eastAsia="Calibri" w:hAnsi="Palatino Linotype" w:cs="Arial"/>
          <w:szCs w:val="22"/>
          <w:lang w:val="es-ES_tradnl" w:eastAsia="es-MX"/>
        </w:rPr>
        <w:t>.</w:t>
      </w:r>
    </w:p>
    <w:p w14:paraId="6586D508" w14:textId="77777777" w:rsidR="00F54819" w:rsidRDefault="00F54819" w:rsidP="00F54819">
      <w:pPr>
        <w:autoSpaceDE w:val="0"/>
        <w:autoSpaceDN w:val="0"/>
        <w:adjustRightInd w:val="0"/>
        <w:spacing w:before="240" w:line="360" w:lineRule="auto"/>
        <w:jc w:val="both"/>
        <w:rPr>
          <w:rFonts w:ascii="Palatino Linotype" w:eastAsia="Calibri" w:hAnsi="Palatino Linotype" w:cs="Arial"/>
          <w:szCs w:val="22"/>
          <w:lang w:val="es-ES_tradnl" w:eastAsia="es-MX"/>
        </w:rPr>
      </w:pPr>
    </w:p>
    <w:p w14:paraId="00A77923" w14:textId="77777777" w:rsidR="00F54819" w:rsidRPr="009A71E1" w:rsidRDefault="00F54819" w:rsidP="00F54819">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sidR="00B405AA">
        <w:rPr>
          <w:rFonts w:ascii="Palatino Linotype" w:eastAsiaTheme="minorHAnsi" w:hAnsi="Palatino Linotype" w:cstheme="minorBidi"/>
          <w:lang w:val="es-MX" w:eastAsia="en-US"/>
        </w:rPr>
        <w:t>primera</w:t>
      </w:r>
      <w:r w:rsidRPr="009A71E1">
        <w:rPr>
          <w:rFonts w:ascii="Palatino Linotype" w:eastAsiaTheme="minorHAnsi" w:hAnsi="Palatino Linotype" w:cstheme="minorBidi"/>
          <w:lang w:val="es-MX" w:eastAsia="en-US"/>
        </w:rPr>
        <w:t xml:space="preserve"> hipótesis del artículo 186 fracción III de la Ley de Transparencia y Acceso a la Información Pública del Estado de México y Municipios, se </w:t>
      </w:r>
      <w:r w:rsidR="00B405AA">
        <w:rPr>
          <w:rFonts w:ascii="Palatino Linotype" w:eastAsiaTheme="minorHAnsi" w:hAnsi="Palatino Linotype" w:cstheme="minorBidi"/>
          <w:b/>
          <w:lang w:val="es-MX" w:eastAsia="en-US"/>
        </w:rPr>
        <w:t>REVO</w:t>
      </w:r>
      <w:r>
        <w:rPr>
          <w:rFonts w:ascii="Palatino Linotype" w:eastAsiaTheme="minorHAnsi" w:hAnsi="Palatino Linotype" w:cstheme="minorBidi"/>
          <w:b/>
          <w:lang w:val="es-MX" w:eastAsia="en-US"/>
        </w:rPr>
        <w:t>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Pr>
          <w:rFonts w:ascii="Palatino Linotype" w:hAnsi="Palatino Linotype"/>
          <w:b/>
          <w:bCs/>
        </w:rPr>
        <w:t>00005/CHALCO/IP/2025</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14:paraId="33DEF667" w14:textId="77777777" w:rsidR="00F54819" w:rsidRPr="009A71E1" w:rsidRDefault="00F54819" w:rsidP="00F54819">
      <w:pPr>
        <w:spacing w:line="360" w:lineRule="auto"/>
        <w:jc w:val="both"/>
        <w:rPr>
          <w:rFonts w:ascii="Palatino Linotype" w:eastAsiaTheme="minorHAnsi" w:hAnsi="Palatino Linotype" w:cstheme="minorBidi"/>
          <w:lang w:val="es-MX" w:eastAsia="en-US"/>
        </w:rPr>
      </w:pPr>
    </w:p>
    <w:p w14:paraId="0B9F9A39" w14:textId="77777777" w:rsidR="00F54819" w:rsidRDefault="00F54819" w:rsidP="00F54819">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04EC42A8" w14:textId="77777777" w:rsidR="00F54819" w:rsidRPr="009A71E1" w:rsidRDefault="00F54819" w:rsidP="00F54819">
      <w:pPr>
        <w:spacing w:line="360" w:lineRule="auto"/>
        <w:jc w:val="both"/>
        <w:rPr>
          <w:rFonts w:ascii="Palatino Linotype" w:hAnsi="Palatino Linotype"/>
          <w:lang w:val="es-MX"/>
        </w:rPr>
      </w:pPr>
    </w:p>
    <w:p w14:paraId="76C5DCDD" w14:textId="77777777" w:rsidR="00F54819" w:rsidRPr="009A71E1" w:rsidRDefault="00F54819" w:rsidP="00F54819">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1FB70AD4" w14:textId="77777777" w:rsidR="00F54819" w:rsidRDefault="00F54819" w:rsidP="00F54819">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4C271E89" w14:textId="77777777" w:rsidR="00F54819" w:rsidRPr="00165D42" w:rsidRDefault="00F54819" w:rsidP="00F54819">
      <w:pPr>
        <w:spacing w:line="360" w:lineRule="auto"/>
        <w:jc w:val="both"/>
        <w:rPr>
          <w:rFonts w:ascii="Palatino Linotype" w:hAnsi="Palatino Linotype" w:cs="Arial"/>
        </w:rPr>
      </w:pPr>
      <w:r w:rsidRPr="008C27E8">
        <w:rPr>
          <w:rFonts w:ascii="Palatino Linotype" w:hAnsi="Palatino Linotype" w:cs="Arial"/>
          <w:b/>
          <w:sz w:val="28"/>
          <w:szCs w:val="28"/>
        </w:rPr>
        <w:lastRenderedPageBreak/>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sidR="00B405AA">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00005/CHALCO/IP/2025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w:t>
      </w:r>
      <w:r w:rsidRPr="00165D42">
        <w:rPr>
          <w:rFonts w:ascii="Palatino Linotype" w:hAnsi="Palatino Linotype" w:cs="Arial"/>
          <w:b/>
        </w:rPr>
        <w:t xml:space="preserve">fundados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13CB5E77" w14:textId="77777777" w:rsidR="00F54819" w:rsidRPr="00165D42" w:rsidRDefault="00F54819" w:rsidP="00F54819">
      <w:pPr>
        <w:spacing w:line="360" w:lineRule="auto"/>
        <w:jc w:val="both"/>
        <w:rPr>
          <w:rFonts w:ascii="Palatino Linotype" w:hAnsi="Palatino Linotype" w:cs="Arial"/>
        </w:rPr>
      </w:pPr>
    </w:p>
    <w:p w14:paraId="7BF3B5E5" w14:textId="77777777" w:rsidR="00F54819" w:rsidRDefault="00F54819" w:rsidP="00F54819">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sidR="002E10C4">
        <w:rPr>
          <w:rFonts w:ascii="Palatino Linotype" w:hAnsi="Palatino Linotype" w:cs="Tahoma"/>
        </w:rPr>
        <w:t xml:space="preserve">previa búsqueda exhaustiva y razonable, </w:t>
      </w:r>
      <w:r>
        <w:rPr>
          <w:rFonts w:ascii="Palatino Linotype" w:hAnsi="Palatino Linotype" w:cs="Tahoma"/>
        </w:rPr>
        <w:t xml:space="preserve">en versión pública de ser procedente, de </w:t>
      </w:r>
      <w:r w:rsidRPr="00165D42">
        <w:rPr>
          <w:rFonts w:ascii="Palatino Linotype" w:hAnsi="Palatino Linotype" w:cs="Tahoma"/>
        </w:rPr>
        <w:t>lo siguiente:</w:t>
      </w:r>
    </w:p>
    <w:p w14:paraId="4F961B03" w14:textId="77777777" w:rsidR="00F54819" w:rsidRDefault="009D44FC" w:rsidP="00F54819">
      <w:pPr>
        <w:pStyle w:val="Prrafodelista"/>
        <w:numPr>
          <w:ilvl w:val="3"/>
          <w:numId w:val="3"/>
        </w:numPr>
        <w:spacing w:before="240" w:line="360" w:lineRule="auto"/>
        <w:ind w:left="567" w:right="72"/>
        <w:jc w:val="both"/>
        <w:rPr>
          <w:rFonts w:ascii="Palatino Linotype" w:hAnsi="Palatino Linotype" w:cs="Arial"/>
        </w:rPr>
      </w:pPr>
      <w:r>
        <w:rPr>
          <w:rFonts w:ascii="Palatino Linotype" w:hAnsi="Palatino Linotype" w:cs="Arial"/>
        </w:rPr>
        <w:t xml:space="preserve">Facturas pagadas por </w:t>
      </w:r>
      <w:r w:rsidR="00603129">
        <w:rPr>
          <w:rFonts w:ascii="Palatino Linotype" w:hAnsi="Palatino Linotype" w:cs="Arial"/>
        </w:rPr>
        <w:t>adquisición de</w:t>
      </w:r>
      <w:r>
        <w:rPr>
          <w:rFonts w:ascii="Palatino Linotype" w:hAnsi="Palatino Linotype" w:cs="Arial"/>
        </w:rPr>
        <w:t xml:space="preserve"> los juguetes que se regalaron en la “Gira de los Reyes Magos”</w:t>
      </w:r>
      <w:r w:rsidR="00603129">
        <w:rPr>
          <w:rFonts w:ascii="Palatino Linotype" w:hAnsi="Palatino Linotype" w:cs="Arial"/>
        </w:rPr>
        <w:t xml:space="preserve"> 2025</w:t>
      </w:r>
      <w:r>
        <w:rPr>
          <w:rFonts w:ascii="Palatino Linotype" w:hAnsi="Palatino Linotype" w:cs="Arial"/>
        </w:rPr>
        <w:t>, al  trece de enero de dos mil veinticinco.</w:t>
      </w:r>
    </w:p>
    <w:p w14:paraId="4C970FA4" w14:textId="77777777" w:rsidR="00F54819" w:rsidRDefault="00F54819" w:rsidP="00F54819">
      <w:pPr>
        <w:pStyle w:val="INFOEM"/>
        <w:spacing w:before="0" w:after="0"/>
        <w:ind w:left="720" w:right="567"/>
        <w:rPr>
          <w:sz w:val="24"/>
          <w:szCs w:val="24"/>
        </w:rPr>
      </w:pPr>
    </w:p>
    <w:p w14:paraId="5A3FE057" w14:textId="77777777" w:rsidR="00F54819" w:rsidRDefault="00F54819" w:rsidP="00F54819">
      <w:pPr>
        <w:pStyle w:val="INFOEM"/>
        <w:spacing w:before="0" w:after="0"/>
        <w:ind w:left="720" w:right="567"/>
        <w:rPr>
          <w:sz w:val="24"/>
          <w:szCs w:val="24"/>
        </w:rPr>
      </w:pPr>
      <w:r w:rsidRPr="00C960DD">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F8E5AAC" w14:textId="77777777" w:rsidR="00F54819" w:rsidRDefault="00F54819" w:rsidP="00F54819">
      <w:pPr>
        <w:pStyle w:val="INFOEM"/>
        <w:spacing w:before="0" w:after="0"/>
        <w:ind w:left="720" w:right="567"/>
        <w:rPr>
          <w:sz w:val="24"/>
          <w:szCs w:val="24"/>
        </w:rPr>
      </w:pPr>
    </w:p>
    <w:p w14:paraId="733955FE" w14:textId="77777777" w:rsidR="00F54819" w:rsidRPr="00FF7BF1" w:rsidRDefault="00F54819" w:rsidP="00F54819">
      <w:pPr>
        <w:pStyle w:val="INFOEM"/>
        <w:spacing w:before="0" w:after="0"/>
        <w:ind w:left="720" w:right="567"/>
        <w:rPr>
          <w:sz w:val="24"/>
          <w:szCs w:val="24"/>
        </w:rPr>
      </w:pPr>
    </w:p>
    <w:p w14:paraId="79A4E57C" w14:textId="77777777" w:rsidR="00F54819" w:rsidRPr="00DC5E29" w:rsidRDefault="00F54819" w:rsidP="00F54819">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(SAIMEX),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w:t>
      </w:r>
      <w:r w:rsidRPr="00DC5E29">
        <w:rPr>
          <w:rFonts w:ascii="Palatino Linotype" w:hAnsi="Palatino Linotype" w:cs="Tahoma"/>
        </w:rPr>
        <w:lastRenderedPageBreak/>
        <w:t>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04BBC2" w14:textId="77777777" w:rsidR="00F54819" w:rsidRPr="00DC5E29" w:rsidRDefault="00F54819" w:rsidP="00F54819">
      <w:pPr>
        <w:spacing w:line="360" w:lineRule="auto"/>
        <w:ind w:right="-595"/>
        <w:jc w:val="both"/>
        <w:rPr>
          <w:rFonts w:ascii="Palatino Linotype" w:hAnsi="Palatino Linotype" w:cs="Tahoma"/>
          <w:bCs/>
        </w:rPr>
      </w:pPr>
    </w:p>
    <w:p w14:paraId="3EA3E91A" w14:textId="77777777" w:rsidR="00F54819" w:rsidRDefault="00F54819" w:rsidP="00F54819">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31326C4E" w14:textId="77777777" w:rsidR="00F54819" w:rsidRPr="00DC5E29" w:rsidRDefault="00F54819" w:rsidP="00F54819">
      <w:pPr>
        <w:autoSpaceDE w:val="0"/>
        <w:autoSpaceDN w:val="0"/>
        <w:adjustRightInd w:val="0"/>
        <w:spacing w:line="360" w:lineRule="auto"/>
        <w:jc w:val="both"/>
        <w:rPr>
          <w:rFonts w:ascii="Palatino Linotype" w:hAnsi="Palatino Linotype" w:cs="Arial"/>
        </w:rPr>
      </w:pPr>
    </w:p>
    <w:p w14:paraId="7671A85A" w14:textId="77777777" w:rsidR="00F54819" w:rsidRDefault="00F54819" w:rsidP="00F54819">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154717F" w14:textId="77777777" w:rsidR="00F54819" w:rsidRDefault="00F54819" w:rsidP="00F54819">
      <w:pPr>
        <w:spacing w:line="360" w:lineRule="auto"/>
        <w:jc w:val="both"/>
        <w:rPr>
          <w:rFonts w:ascii="Palatino Linotype" w:hAnsi="Palatino Linotype" w:cs="Arial"/>
        </w:rPr>
      </w:pPr>
    </w:p>
    <w:p w14:paraId="1F92BEB9" w14:textId="6E0AEA17" w:rsidR="00F54819" w:rsidRPr="007C3942" w:rsidRDefault="00F54819" w:rsidP="00F54819">
      <w:pPr>
        <w:spacing w:line="360" w:lineRule="auto"/>
        <w:jc w:val="both"/>
        <w:rPr>
          <w:rFonts w:ascii="Palatino Linotype" w:hAnsi="Palatino Linotype" w:cs="Arial"/>
        </w:rPr>
      </w:pPr>
      <w:r w:rsidRPr="007C3942">
        <w:rPr>
          <w:rFonts w:ascii="Palatino Linotype" w:hAnsi="Palatino Linotype" w:cs="Arial"/>
        </w:rPr>
        <w:t xml:space="preserve">ASÍ LO RESUELVE, POR </w:t>
      </w:r>
      <w:r w:rsidR="00FC335B">
        <w:rPr>
          <w:rFonts w:ascii="Palatino Linotype" w:hAnsi="Palatino Linotype" w:cs="Arial"/>
        </w:rPr>
        <w:t>MAYORÍA</w:t>
      </w:r>
      <w:r w:rsidRPr="007C3942">
        <w:rPr>
          <w:rFonts w:ascii="Palatino Linotype" w:hAnsi="Palatino Linotype" w:cs="Arial"/>
        </w:rPr>
        <w:t xml:space="preserve">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Y GUADALUPE RAMÍREZ PEÑA</w:t>
      </w:r>
      <w:r w:rsidR="00151DEA">
        <w:rPr>
          <w:rFonts w:ascii="Palatino Linotype" w:hAnsi="Palatino Linotype" w:cs="Arial"/>
        </w:rPr>
        <w:t xml:space="preserve"> (</w:t>
      </w:r>
      <w:r w:rsidR="001050E4">
        <w:rPr>
          <w:rFonts w:ascii="Palatino Linotype" w:hAnsi="Palatino Linotype" w:cs="Arial"/>
        </w:rPr>
        <w:t xml:space="preserve">EMITIENDO </w:t>
      </w:r>
      <w:r w:rsidR="00151DEA">
        <w:rPr>
          <w:rFonts w:ascii="Palatino Linotype" w:hAnsi="Palatino Linotype" w:cs="Arial"/>
        </w:rPr>
        <w:t>VOTO DISIDENTE)</w:t>
      </w:r>
      <w:r w:rsidRPr="007C3942">
        <w:rPr>
          <w:rFonts w:ascii="Palatino Linotype" w:hAnsi="Palatino Linotype" w:cs="Arial"/>
        </w:rPr>
        <w:t xml:space="preserve">, EN LA </w:t>
      </w:r>
      <w:r w:rsidR="009D44FC">
        <w:rPr>
          <w:rFonts w:ascii="Palatino Linotype" w:hAnsi="Palatino Linotype" w:cs="Arial"/>
        </w:rPr>
        <w:t>NOVENA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9D44FC">
        <w:rPr>
          <w:rFonts w:ascii="Palatino Linotype" w:hAnsi="Palatino Linotype" w:cs="Arial"/>
        </w:rPr>
        <w:t xml:space="preserve">DOCE DE </w:t>
      </w:r>
      <w:r w:rsidR="009D44FC">
        <w:rPr>
          <w:rFonts w:ascii="Palatino Linotype" w:hAnsi="Palatino Linotype" w:cs="Arial"/>
        </w:rPr>
        <w:lastRenderedPageBreak/>
        <w:t>MARZO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1050E4" w:rsidRPr="001050E4">
        <w:rPr>
          <w:rFonts w:ascii="Palatino Linotype" w:hAnsi="Palatino Linotype" w:cs="Arial"/>
        </w:rPr>
        <w:t>------------------------------------------------------------------------------------------------------------------------------------------------------------------------------------------------------------------------------------------------------------------------------------------------------------------------------------------------------------------------------------------------------------------------------------------------------------------------------------------------------------------------------------------------------------------------------------------------------------------------------------------------------------------------------------------------------------------------------------------------------------------------------------------------------------------------------------------------------------------------------------------------------------------------------------------------------------------------------------------------------------------------------------------------------------------------------------------------------------------------------------------------------------------------------------------------------------------------------------------------------------------------------------------------------------------------------------------------------------------------------------------------------------------------------------------------------------------------------------------------------------------------------------------------------------------------------------------------------------------------------------------------------------------------------------------------------------------------------------------------------------------------------------------------------------------------------------------------------------------------------------------------------------------------------------------------------------------------------------------------------------------------------------------------------------------------------------------------------------------------------------</w:t>
      </w:r>
    </w:p>
    <w:p w14:paraId="5BAB91C7" w14:textId="77777777" w:rsidR="00F54819" w:rsidRDefault="00F54819" w:rsidP="00F54819">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009D44FC">
        <w:rPr>
          <w:rFonts w:ascii="Palatino Linotype" w:hAnsi="Palatino Linotype" w:cs="Arial"/>
          <w:sz w:val="16"/>
        </w:rPr>
        <w:t>JMV/CCR/</w:t>
      </w:r>
      <w:r w:rsidR="00FC335B">
        <w:rPr>
          <w:rFonts w:ascii="Palatino Linotype" w:hAnsi="Palatino Linotype" w:cs="Arial"/>
          <w:sz w:val="16"/>
        </w:rPr>
        <w:t>LMST</w:t>
      </w:r>
    </w:p>
    <w:p w14:paraId="60046B13" w14:textId="77777777" w:rsidR="00F54819" w:rsidRDefault="00F54819" w:rsidP="00F54819"/>
    <w:p w14:paraId="248CB017" w14:textId="77777777" w:rsidR="00F54819" w:rsidRDefault="00F54819" w:rsidP="00F54819"/>
    <w:p w14:paraId="444C2352" w14:textId="77777777" w:rsidR="00F54819" w:rsidRDefault="00F54819" w:rsidP="00F54819"/>
    <w:p w14:paraId="37F3C6C6" w14:textId="77777777" w:rsidR="00F54819" w:rsidRDefault="00F54819" w:rsidP="00F54819"/>
    <w:p w14:paraId="1E1D666F" w14:textId="77777777" w:rsidR="00F54819" w:rsidRDefault="00F54819" w:rsidP="00F54819"/>
    <w:p w14:paraId="68EF7542" w14:textId="77777777" w:rsidR="00F54819" w:rsidRDefault="00F54819" w:rsidP="00F54819"/>
    <w:p w14:paraId="45724303" w14:textId="77777777" w:rsidR="00F54819" w:rsidRDefault="00F54819" w:rsidP="00F54819"/>
    <w:p w14:paraId="4B81A25B" w14:textId="77777777" w:rsidR="00F54819" w:rsidRDefault="00F54819" w:rsidP="00F54819"/>
    <w:p w14:paraId="473E55D9" w14:textId="77777777" w:rsidR="00F54819" w:rsidRDefault="00F54819" w:rsidP="00F54819"/>
    <w:p w14:paraId="3D70490A" w14:textId="77777777" w:rsidR="00F54819" w:rsidRDefault="00F54819" w:rsidP="00F54819"/>
    <w:p w14:paraId="17AECAFE" w14:textId="77777777" w:rsidR="00F54819" w:rsidRDefault="00F54819" w:rsidP="00F54819"/>
    <w:p w14:paraId="27AE3B41" w14:textId="77777777" w:rsidR="00F54819" w:rsidRDefault="00F54819" w:rsidP="00F54819"/>
    <w:p w14:paraId="6224034E" w14:textId="77777777" w:rsidR="00F54819" w:rsidRDefault="00F54819" w:rsidP="00F54819"/>
    <w:p w14:paraId="1A9FA73F" w14:textId="77777777" w:rsidR="00F54819" w:rsidRDefault="00F54819" w:rsidP="00F54819"/>
    <w:p w14:paraId="79DFE28A" w14:textId="77777777" w:rsidR="00F54819" w:rsidRDefault="00F54819" w:rsidP="00F54819"/>
    <w:p w14:paraId="1D02D35A" w14:textId="77777777" w:rsidR="00F54819" w:rsidRDefault="00F54819" w:rsidP="00F54819"/>
    <w:p w14:paraId="1072EA0E" w14:textId="77777777" w:rsidR="00F54819" w:rsidRDefault="00F54819" w:rsidP="00F54819"/>
    <w:p w14:paraId="2389E411" w14:textId="77777777" w:rsidR="00F54819" w:rsidRDefault="00F54819" w:rsidP="00F54819"/>
    <w:p w14:paraId="7BFF36DD" w14:textId="77777777" w:rsidR="00F54819" w:rsidRDefault="00F54819" w:rsidP="00F54819"/>
    <w:p w14:paraId="08E8C28F" w14:textId="77777777" w:rsidR="00F54819" w:rsidRDefault="00F54819" w:rsidP="00F54819"/>
    <w:p w14:paraId="647CAE9B" w14:textId="77777777" w:rsidR="00F54819" w:rsidRDefault="00F54819" w:rsidP="00F54819"/>
    <w:p w14:paraId="1E43552A" w14:textId="77777777" w:rsidR="00F54819" w:rsidRDefault="00F54819" w:rsidP="00F54819"/>
    <w:p w14:paraId="1826F278" w14:textId="77777777" w:rsidR="00F54819" w:rsidRDefault="00F54819" w:rsidP="00F54819"/>
    <w:p w14:paraId="2930A0A4" w14:textId="77777777" w:rsidR="00F54819" w:rsidRDefault="00F54819" w:rsidP="00F54819"/>
    <w:p w14:paraId="498F6C26" w14:textId="77777777" w:rsidR="00F54819" w:rsidRDefault="00F54819" w:rsidP="00F54819"/>
    <w:p w14:paraId="1E34CCF7" w14:textId="77777777" w:rsidR="00F54819" w:rsidRDefault="00F54819" w:rsidP="00F54819"/>
    <w:p w14:paraId="6AA7ED6E" w14:textId="77777777" w:rsidR="00F54819" w:rsidRDefault="00F54819" w:rsidP="00F54819"/>
    <w:p w14:paraId="474C7CA9" w14:textId="77777777" w:rsidR="00F54819" w:rsidRDefault="00F54819" w:rsidP="00F54819"/>
    <w:p w14:paraId="5C574838" w14:textId="77777777" w:rsidR="00F54819" w:rsidRDefault="00F54819" w:rsidP="00F54819"/>
    <w:p w14:paraId="1B7A6A9B" w14:textId="77777777" w:rsidR="00047956" w:rsidRDefault="00047956"/>
    <w:sectPr w:rsidR="00047956" w:rsidSect="00C0432A">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6527" w14:textId="77777777" w:rsidR="009D44FC" w:rsidRDefault="009D44FC" w:rsidP="00F54819">
      <w:r>
        <w:separator/>
      </w:r>
    </w:p>
  </w:endnote>
  <w:endnote w:type="continuationSeparator" w:id="0">
    <w:p w14:paraId="19A806EB" w14:textId="77777777" w:rsidR="009D44FC" w:rsidRDefault="009D44FC" w:rsidP="00F5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25B5" w14:textId="77777777" w:rsidR="009D44FC" w:rsidRPr="00A2780F" w:rsidRDefault="009D44FC" w:rsidP="00C0432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127CD">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127CD">
      <w:rPr>
        <w:rFonts w:ascii="Arial" w:hAnsi="Arial" w:cs="Arial"/>
        <w:b/>
        <w:bCs/>
        <w:noProof/>
        <w:sz w:val="20"/>
        <w:szCs w:val="20"/>
      </w:rPr>
      <w:t>31</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CADFB" w14:textId="77777777" w:rsidR="009D44FC" w:rsidRPr="00070856" w:rsidRDefault="009D44FC" w:rsidP="00C0432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127CD">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127CD">
      <w:rPr>
        <w:rFonts w:ascii="Arial" w:hAnsi="Arial" w:cs="Arial"/>
        <w:b/>
        <w:bCs/>
        <w:noProof/>
        <w:sz w:val="20"/>
        <w:szCs w:val="20"/>
      </w:rPr>
      <w:t>31</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CA43" w14:textId="77777777" w:rsidR="009D44FC" w:rsidRDefault="009D44FC" w:rsidP="00F54819">
      <w:r>
        <w:separator/>
      </w:r>
    </w:p>
  </w:footnote>
  <w:footnote w:type="continuationSeparator" w:id="0">
    <w:p w14:paraId="7039B97A" w14:textId="77777777" w:rsidR="009D44FC" w:rsidRDefault="009D44FC" w:rsidP="00F54819">
      <w:r>
        <w:continuationSeparator/>
      </w:r>
    </w:p>
  </w:footnote>
  <w:footnote w:id="1">
    <w:p w14:paraId="33DD9B56" w14:textId="77777777" w:rsidR="009D44FC" w:rsidRPr="005552A8" w:rsidRDefault="009D44FC" w:rsidP="00F54819">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79D0423" w14:textId="77777777" w:rsidR="009D44FC" w:rsidRPr="005552A8" w:rsidRDefault="009D44FC" w:rsidP="00F5481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DB4A102" w14:textId="77777777" w:rsidR="009D44FC" w:rsidRDefault="009D44FC" w:rsidP="00DC5526">
      <w:pPr>
        <w:pStyle w:val="Textonotapie"/>
      </w:pPr>
      <w:r>
        <w:rPr>
          <w:rStyle w:val="Refdenotaalpie"/>
        </w:rPr>
        <w:footnoteRef/>
      </w:r>
      <w:r>
        <w:t xml:space="preserve"> </w:t>
      </w:r>
      <w:hyperlink r:id="rId3" w:history="1">
        <w:r w:rsidRPr="00715EC3">
          <w:rPr>
            <w:rStyle w:val="Hipervnculo"/>
          </w:rPr>
          <w:t>http://omawww.sat.gob.mx/factura/Paginas/solicita_requisitos.htm</w:t>
        </w:r>
      </w:hyperlink>
    </w:p>
    <w:p w14:paraId="5591B1F3" w14:textId="77777777" w:rsidR="009D44FC" w:rsidRDefault="009D44FC" w:rsidP="00DC552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9D44FC" w:rsidRPr="008F2CCC" w14:paraId="0E795B62" w14:textId="77777777" w:rsidTr="00C0432A">
      <w:tc>
        <w:tcPr>
          <w:tcW w:w="3620" w:type="dxa"/>
          <w:shd w:val="clear" w:color="auto" w:fill="auto"/>
        </w:tcPr>
        <w:p w14:paraId="436CD159" w14:textId="77777777" w:rsidR="009D44FC" w:rsidRPr="007E5FC4" w:rsidRDefault="009D44FC" w:rsidP="00C0432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40A82AA9" w14:textId="5CCD70BA" w:rsidR="009D44FC" w:rsidRPr="00664658" w:rsidRDefault="009D44FC" w:rsidP="00F5481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050E4">
            <w:rPr>
              <w:rFonts w:ascii="Palatino Linotype" w:hAnsi="Palatino Linotype"/>
              <w:b/>
              <w:sz w:val="22"/>
              <w:szCs w:val="22"/>
              <w:lang w:val="es-ES_tradnl"/>
            </w:rPr>
            <w:t>0</w:t>
          </w:r>
          <w:r>
            <w:rPr>
              <w:rFonts w:ascii="Palatino Linotype" w:hAnsi="Palatino Linotype"/>
              <w:b/>
              <w:sz w:val="22"/>
              <w:szCs w:val="22"/>
              <w:lang w:val="es-ES_tradnl"/>
            </w:rPr>
            <w:t>615/INFOEM/IP/RR/2025</w:t>
          </w:r>
        </w:p>
      </w:tc>
    </w:tr>
    <w:tr w:rsidR="009D44FC" w:rsidRPr="008F2CCC" w14:paraId="11E8420B" w14:textId="77777777" w:rsidTr="00C0432A">
      <w:tc>
        <w:tcPr>
          <w:tcW w:w="3620" w:type="dxa"/>
          <w:shd w:val="clear" w:color="auto" w:fill="auto"/>
        </w:tcPr>
        <w:p w14:paraId="60B364BD" w14:textId="77777777" w:rsidR="009D44FC" w:rsidRPr="007E5FC4" w:rsidRDefault="009D44FC" w:rsidP="00C0432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5D2C91F5" w14:textId="77777777" w:rsidR="009D44FC" w:rsidRPr="00664658" w:rsidRDefault="009D44FC" w:rsidP="00C0432A">
          <w:pPr>
            <w:spacing w:line="276" w:lineRule="auto"/>
            <w:jc w:val="right"/>
            <w:rPr>
              <w:rFonts w:ascii="Palatino Linotype" w:hAnsi="Palatino Linotype"/>
              <w:b/>
              <w:sz w:val="22"/>
              <w:szCs w:val="22"/>
              <w:lang w:val="es-ES_tradnl"/>
            </w:rPr>
          </w:pPr>
          <w:r w:rsidRPr="00F54819">
            <w:rPr>
              <w:rFonts w:ascii="Palatino Linotype" w:hAnsi="Palatino Linotype"/>
              <w:b/>
              <w:sz w:val="22"/>
              <w:szCs w:val="22"/>
            </w:rPr>
            <w:t>Ayuntamiento de Chalco</w:t>
          </w:r>
        </w:p>
      </w:tc>
    </w:tr>
    <w:tr w:rsidR="009D44FC" w:rsidRPr="008F2CCC" w14:paraId="71C0BC2C" w14:textId="77777777" w:rsidTr="00C0432A">
      <w:trPr>
        <w:trHeight w:val="228"/>
      </w:trPr>
      <w:tc>
        <w:tcPr>
          <w:tcW w:w="3620" w:type="dxa"/>
          <w:shd w:val="clear" w:color="auto" w:fill="auto"/>
        </w:tcPr>
        <w:p w14:paraId="163A51E7" w14:textId="77777777" w:rsidR="009D44FC" w:rsidRPr="007E5FC4" w:rsidRDefault="009D44FC" w:rsidP="00C0432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5664BD58" w14:textId="77777777" w:rsidR="009D44FC" w:rsidRPr="00664658" w:rsidRDefault="009D44FC" w:rsidP="00C0432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9FFD0B5" w14:textId="77777777" w:rsidR="009D44FC" w:rsidRDefault="009D44FC" w:rsidP="00C0432A">
    <w:pPr>
      <w:pStyle w:val="Encabezado"/>
      <w:tabs>
        <w:tab w:val="clear" w:pos="4252"/>
        <w:tab w:val="clear" w:pos="8504"/>
        <w:tab w:val="left" w:pos="2326"/>
      </w:tabs>
      <w:rPr>
        <w:rFonts w:ascii="Palatino Linotype" w:hAnsi="Palatino Linotype"/>
        <w:sz w:val="20"/>
      </w:rPr>
    </w:pPr>
  </w:p>
  <w:p w14:paraId="35F678CF" w14:textId="77777777" w:rsidR="009D44FC" w:rsidRPr="001779E0" w:rsidRDefault="009D44FC" w:rsidP="00C0432A">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8A99EAF" wp14:editId="2E3973B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9D44FC" w:rsidRPr="008F2CCC" w14:paraId="2A81D57E" w14:textId="77777777" w:rsidTr="00C0432A">
      <w:tc>
        <w:tcPr>
          <w:tcW w:w="2977" w:type="dxa"/>
          <w:shd w:val="clear" w:color="auto" w:fill="auto"/>
        </w:tcPr>
        <w:p w14:paraId="523A5923" w14:textId="77777777" w:rsidR="009D44FC" w:rsidRPr="007E5FC4" w:rsidRDefault="009D44FC" w:rsidP="00C0432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237A6BAF" w14:textId="69F7A6F8" w:rsidR="009D44FC" w:rsidRPr="008F2CCC" w:rsidRDefault="009D44FC" w:rsidP="00F5481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050E4">
            <w:rPr>
              <w:rFonts w:ascii="Palatino Linotype" w:hAnsi="Palatino Linotype"/>
              <w:b/>
              <w:sz w:val="22"/>
              <w:szCs w:val="22"/>
              <w:lang w:val="es-ES_tradnl"/>
            </w:rPr>
            <w:t>0</w:t>
          </w:r>
          <w:r>
            <w:rPr>
              <w:rFonts w:ascii="Palatino Linotype" w:hAnsi="Palatino Linotype"/>
              <w:b/>
              <w:sz w:val="22"/>
              <w:szCs w:val="22"/>
              <w:lang w:val="es-ES_tradnl"/>
            </w:rPr>
            <w:t>615/INFOEM/IP/RR/2025</w:t>
          </w:r>
        </w:p>
      </w:tc>
    </w:tr>
    <w:tr w:rsidR="009D44FC" w:rsidRPr="008F2CCC" w14:paraId="7C66D966" w14:textId="77777777" w:rsidTr="00C0432A">
      <w:tc>
        <w:tcPr>
          <w:tcW w:w="2977" w:type="dxa"/>
          <w:shd w:val="clear" w:color="auto" w:fill="auto"/>
          <w:vAlign w:val="center"/>
        </w:tcPr>
        <w:p w14:paraId="51E81019" w14:textId="77777777" w:rsidR="009D44FC" w:rsidRPr="007E5FC4" w:rsidRDefault="009D44FC" w:rsidP="00C0432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4EBE7A4E" w14:textId="6FB1680B" w:rsidR="009D44FC" w:rsidRPr="008F2CCC" w:rsidRDefault="00B127CD" w:rsidP="00C0432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w:t>
          </w:r>
        </w:p>
      </w:tc>
    </w:tr>
    <w:tr w:rsidR="009D44FC" w:rsidRPr="008F2CCC" w14:paraId="3B44F8D9" w14:textId="77777777" w:rsidTr="00C0432A">
      <w:trPr>
        <w:trHeight w:val="228"/>
      </w:trPr>
      <w:tc>
        <w:tcPr>
          <w:tcW w:w="2977" w:type="dxa"/>
          <w:shd w:val="clear" w:color="auto" w:fill="auto"/>
        </w:tcPr>
        <w:p w14:paraId="10AF20CF" w14:textId="77777777" w:rsidR="009D44FC" w:rsidRPr="007E5FC4" w:rsidRDefault="009D44FC" w:rsidP="00C0432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298A5754" w14:textId="77777777" w:rsidR="009D44FC" w:rsidRPr="00DC41C8" w:rsidRDefault="009D44FC" w:rsidP="00C0432A">
          <w:pPr>
            <w:spacing w:line="360" w:lineRule="auto"/>
            <w:jc w:val="right"/>
            <w:rPr>
              <w:rFonts w:ascii="Palatino Linotype" w:hAnsi="Palatino Linotype"/>
              <w:b/>
              <w:sz w:val="22"/>
              <w:szCs w:val="22"/>
            </w:rPr>
          </w:pPr>
          <w:r w:rsidRPr="00F54819">
            <w:rPr>
              <w:rFonts w:ascii="Palatino Linotype" w:hAnsi="Palatino Linotype"/>
              <w:b/>
              <w:sz w:val="22"/>
              <w:szCs w:val="22"/>
            </w:rPr>
            <w:t>Ayuntamiento de Chalco</w:t>
          </w:r>
        </w:p>
      </w:tc>
    </w:tr>
    <w:tr w:rsidR="009D44FC" w:rsidRPr="008F2CCC" w14:paraId="60C52A4B" w14:textId="77777777" w:rsidTr="00C0432A">
      <w:tc>
        <w:tcPr>
          <w:tcW w:w="2977" w:type="dxa"/>
          <w:shd w:val="clear" w:color="auto" w:fill="auto"/>
        </w:tcPr>
        <w:p w14:paraId="600B73AC" w14:textId="77777777" w:rsidR="009D44FC" w:rsidRPr="007E5FC4" w:rsidRDefault="009D44FC" w:rsidP="00C0432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32617B55" w14:textId="77777777" w:rsidR="009D44FC" w:rsidRPr="008F2CCC" w:rsidRDefault="009D44FC" w:rsidP="00C0432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6F464DA" w14:textId="77777777" w:rsidR="009D44FC" w:rsidRPr="009F1AB6" w:rsidRDefault="009D44FC">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D193302" wp14:editId="7AC6B368">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571"/>
    <w:multiLevelType w:val="hybridMultilevel"/>
    <w:tmpl w:val="E648E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233F590A"/>
    <w:multiLevelType w:val="hybridMultilevel"/>
    <w:tmpl w:val="1F6E2442"/>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31A00747"/>
    <w:multiLevelType w:val="hybridMultilevel"/>
    <w:tmpl w:val="81F63510"/>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15">
      <w:start w:val="1"/>
      <w:numFmt w:val="upperLetter"/>
      <w:lvlText w:val="%3."/>
      <w:lvlJc w:val="left"/>
      <w:pPr>
        <w:ind w:left="3011" w:hanging="360"/>
      </w:pPr>
      <w:rPr>
        <w:rFont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C9F62EE"/>
    <w:multiLevelType w:val="hybridMultilevel"/>
    <w:tmpl w:val="5ED81048"/>
    <w:lvl w:ilvl="0" w:tplc="080A0013">
      <w:start w:val="1"/>
      <w:numFmt w:val="upperRoman"/>
      <w:lvlText w:val="%1."/>
      <w:lvlJc w:val="right"/>
      <w:pPr>
        <w:ind w:left="720" w:hanging="360"/>
      </w:pPr>
    </w:lvl>
    <w:lvl w:ilvl="1" w:tplc="1EF8854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C95B4A"/>
    <w:multiLevelType w:val="hybridMultilevel"/>
    <w:tmpl w:val="E5E87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B83E7B"/>
    <w:multiLevelType w:val="hybridMultilevel"/>
    <w:tmpl w:val="07F24C78"/>
    <w:lvl w:ilvl="0" w:tplc="FDF68862">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DE78CA"/>
    <w:multiLevelType w:val="hybridMultilevel"/>
    <w:tmpl w:val="6832DC24"/>
    <w:lvl w:ilvl="0" w:tplc="9FDA03B4">
      <w:start w:val="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984745"/>
    <w:multiLevelType w:val="hybridMultilevel"/>
    <w:tmpl w:val="31120BC2"/>
    <w:lvl w:ilvl="0" w:tplc="080A0001">
      <w:start w:val="1"/>
      <w:numFmt w:val="bullet"/>
      <w:lvlText w:val=""/>
      <w:lvlJc w:val="left"/>
      <w:pPr>
        <w:ind w:left="720" w:hanging="360"/>
      </w:pPr>
      <w:rPr>
        <w:rFonts w:ascii="Symbol" w:hAnsi="Symbol" w:hint="default"/>
      </w:rPr>
    </w:lvl>
    <w:lvl w:ilvl="1" w:tplc="4E2C7F9C">
      <w:numFmt w:val="bullet"/>
      <w:lvlText w:val="•"/>
      <w:lvlJc w:val="left"/>
      <w:pPr>
        <w:ind w:left="1440" w:hanging="360"/>
      </w:pPr>
      <w:rPr>
        <w:rFonts w:ascii="Palatino Linotype" w:eastAsia="Times New Roman" w:hAnsi="Palatino Linotyp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9B51ED"/>
    <w:multiLevelType w:val="hybridMultilevel"/>
    <w:tmpl w:val="CEF2B896"/>
    <w:lvl w:ilvl="0" w:tplc="080A0001">
      <w:start w:val="1"/>
      <w:numFmt w:val="bullet"/>
      <w:lvlText w:val=""/>
      <w:lvlJc w:val="left"/>
      <w:pPr>
        <w:ind w:left="1571" w:hanging="360"/>
      </w:pPr>
      <w:rPr>
        <w:rFonts w:ascii="Symbol" w:hAnsi="Symbol" w:hint="default"/>
      </w:rPr>
    </w:lvl>
    <w:lvl w:ilvl="1" w:tplc="CFD2295E">
      <w:numFmt w:val="bullet"/>
      <w:lvlText w:val="•"/>
      <w:lvlJc w:val="left"/>
      <w:pPr>
        <w:ind w:left="2291" w:hanging="360"/>
      </w:pPr>
      <w:rPr>
        <w:rFonts w:ascii="Palatino Linotype" w:eastAsiaTheme="minorHAnsi" w:hAnsi="Palatino Linotype" w:cstheme="minorBidi"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11"/>
  </w:num>
  <w:num w:numId="6">
    <w:abstractNumId w:val="12"/>
  </w:num>
  <w:num w:numId="7">
    <w:abstractNumId w:val="10"/>
  </w:num>
  <w:num w:numId="8">
    <w:abstractNumId w:val="13"/>
  </w:num>
  <w:num w:numId="9">
    <w:abstractNumId w:val="9"/>
  </w:num>
  <w:num w:numId="10">
    <w:abstractNumId w:val="14"/>
  </w:num>
  <w:num w:numId="11">
    <w:abstractNumId w:val="7"/>
  </w:num>
  <w:num w:numId="12">
    <w:abstractNumId w:val="6"/>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19"/>
    <w:rsid w:val="00047956"/>
    <w:rsid w:val="001050E4"/>
    <w:rsid w:val="00151DEA"/>
    <w:rsid w:val="00174D2D"/>
    <w:rsid w:val="002E10C4"/>
    <w:rsid w:val="00341C70"/>
    <w:rsid w:val="003801C7"/>
    <w:rsid w:val="00385BFB"/>
    <w:rsid w:val="003A01F2"/>
    <w:rsid w:val="00603129"/>
    <w:rsid w:val="006913BC"/>
    <w:rsid w:val="009D44FC"/>
    <w:rsid w:val="00A80B47"/>
    <w:rsid w:val="00B127CD"/>
    <w:rsid w:val="00B405AA"/>
    <w:rsid w:val="00C0432A"/>
    <w:rsid w:val="00D30009"/>
    <w:rsid w:val="00D420B8"/>
    <w:rsid w:val="00DC5526"/>
    <w:rsid w:val="00F54819"/>
    <w:rsid w:val="00FC33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F8DDC5D"/>
  <w15:chartTrackingRefBased/>
  <w15:docId w15:val="{1862FDD6-165B-4F03-8702-D77B4523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81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F54819"/>
    <w:rPr>
      <w:rFonts w:eastAsiaTheme="minorEastAsia"/>
      <w:sz w:val="24"/>
      <w:szCs w:val="24"/>
      <w:lang w:val="es-ES_tradnl" w:eastAsia="es-ES"/>
    </w:rPr>
  </w:style>
  <w:style w:type="paragraph" w:styleId="Piedepgina">
    <w:name w:val="footer"/>
    <w:basedOn w:val="Normal"/>
    <w:link w:val="PiedepginaCar"/>
    <w:uiPriority w:val="99"/>
    <w:unhideWhenUsed/>
    <w:rsid w:val="00F5481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F5481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5481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54819"/>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F54819"/>
    <w:pPr>
      <w:spacing w:after="0" w:line="240" w:lineRule="auto"/>
    </w:pPr>
  </w:style>
  <w:style w:type="character" w:customStyle="1" w:styleId="SinespaciadoCar">
    <w:name w:val="Sin espaciado Car"/>
    <w:aliases w:val="Francesa Car,INAI Car"/>
    <w:link w:val="Sinespaciado"/>
    <w:uiPriority w:val="1"/>
    <w:locked/>
    <w:rsid w:val="00F54819"/>
  </w:style>
  <w:style w:type="character" w:styleId="Hipervnculo">
    <w:name w:val="Hyperlink"/>
    <w:aliases w:val="Hipervínculo1,Hipervínculo11,Hipervínculo12,Hipervínculo13,Hipervínculo14,Hipervínculo15"/>
    <w:basedOn w:val="Fuentedeprrafopredeter"/>
    <w:uiPriority w:val="99"/>
    <w:unhideWhenUsed/>
    <w:rsid w:val="00F54819"/>
    <w:rPr>
      <w:color w:val="0563C1" w:themeColor="hyperlink"/>
      <w:u w:val="single"/>
    </w:rPr>
  </w:style>
  <w:style w:type="paragraph" w:customStyle="1" w:styleId="INFOEM">
    <w:name w:val="INFOEM"/>
    <w:basedOn w:val="Normal"/>
    <w:qFormat/>
    <w:rsid w:val="00F54819"/>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F5481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54819"/>
    <w:rPr>
      <w:vertAlign w:val="superscript"/>
    </w:rPr>
  </w:style>
  <w:style w:type="paragraph" w:customStyle="1" w:styleId="infoemcitas">
    <w:name w:val="infoem citas"/>
    <w:basedOn w:val="Normal"/>
    <w:qFormat/>
    <w:rsid w:val="00F54819"/>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F5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5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F5481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notapie">
    <w:name w:val="footnote text"/>
    <w:basedOn w:val="Normal"/>
    <w:link w:val="TextonotapieCar"/>
    <w:uiPriority w:val="99"/>
    <w:semiHidden/>
    <w:unhideWhenUsed/>
    <w:rsid w:val="00DC5526"/>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DC5526"/>
    <w:rPr>
      <w:sz w:val="20"/>
      <w:szCs w:val="20"/>
    </w:rPr>
  </w:style>
  <w:style w:type="character" w:styleId="Textoennegrita">
    <w:name w:val="Strong"/>
    <w:uiPriority w:val="22"/>
    <w:qFormat/>
    <w:rsid w:val="009D4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omawww.sat.gob.mx/factura/Paginas/solicita_requisitos.htm"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31</Pages>
  <Words>6800</Words>
  <Characters>37400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11</cp:revision>
  <dcterms:created xsi:type="dcterms:W3CDTF">2025-02-26T19:19:00Z</dcterms:created>
  <dcterms:modified xsi:type="dcterms:W3CDTF">2025-03-26T23:57:00Z</dcterms:modified>
</cp:coreProperties>
</file>