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7DAD8D" w14:textId="47D3F25D" w:rsidR="00551637" w:rsidRPr="0024200F" w:rsidRDefault="00551637" w:rsidP="00551637">
      <w:pPr>
        <w:spacing w:line="360" w:lineRule="auto"/>
        <w:jc w:val="both"/>
        <w:rPr>
          <w:rFonts w:ascii="Palatino Linotype" w:hAnsi="Palatino Linotype"/>
        </w:rPr>
      </w:pPr>
      <w:r w:rsidRPr="0024200F">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Pr>
          <w:rFonts w:ascii="Palatino Linotype" w:hAnsi="Palatino Linotype"/>
        </w:rPr>
        <w:t>a</w:t>
      </w:r>
      <w:r w:rsidRPr="0024200F">
        <w:rPr>
          <w:rFonts w:ascii="Palatino Linotype" w:hAnsi="Palatino Linotype"/>
        </w:rPr>
        <w:t xml:space="preserve"> </w:t>
      </w:r>
      <w:r w:rsidR="00073A85">
        <w:rPr>
          <w:rFonts w:ascii="Palatino Linotype" w:hAnsi="Palatino Linotype"/>
        </w:rPr>
        <w:t xml:space="preserve">veinte de marzo </w:t>
      </w:r>
      <w:r>
        <w:rPr>
          <w:rFonts w:ascii="Palatino Linotype" w:hAnsi="Palatino Linotype"/>
        </w:rPr>
        <w:t>de dos mil veinticinco.</w:t>
      </w:r>
    </w:p>
    <w:p w14:paraId="5577CEAA" w14:textId="77777777" w:rsidR="00551637" w:rsidRPr="0024200F" w:rsidRDefault="00551637" w:rsidP="00551637">
      <w:pPr>
        <w:spacing w:line="360" w:lineRule="auto"/>
        <w:jc w:val="both"/>
        <w:rPr>
          <w:rFonts w:ascii="Palatino Linotype" w:hAnsi="Palatino Linotype"/>
        </w:rPr>
      </w:pPr>
    </w:p>
    <w:p w14:paraId="704044CB" w14:textId="231EEC39" w:rsidR="00551637" w:rsidRPr="002C3EC8" w:rsidRDefault="00551637" w:rsidP="00551637">
      <w:pPr>
        <w:tabs>
          <w:tab w:val="left" w:pos="1701"/>
        </w:tabs>
        <w:spacing w:before="240" w:line="360" w:lineRule="auto"/>
        <w:jc w:val="both"/>
        <w:rPr>
          <w:rFonts w:ascii="Palatino Linotype" w:hAnsi="Palatino Linotype" w:cs="Arial"/>
          <w:sz w:val="28"/>
        </w:rPr>
      </w:pPr>
      <w:r w:rsidRPr="002C3EC8">
        <w:rPr>
          <w:rFonts w:ascii="Palatino Linotype" w:hAnsi="Palatino Linotype" w:cs="Arial"/>
          <w:b/>
        </w:rPr>
        <w:t>VISTO</w:t>
      </w:r>
      <w:r w:rsidR="00BA1798">
        <w:rPr>
          <w:rFonts w:ascii="Palatino Linotype" w:hAnsi="Palatino Linotype" w:cs="Arial"/>
        </w:rPr>
        <w:t xml:space="preserve"> </w:t>
      </w:r>
      <w:r>
        <w:rPr>
          <w:rFonts w:ascii="Palatino Linotype" w:hAnsi="Palatino Linotype" w:cs="Arial"/>
        </w:rPr>
        <w:t>l</w:t>
      </w:r>
      <w:r w:rsidR="00BA1798">
        <w:rPr>
          <w:rFonts w:ascii="Palatino Linotype" w:hAnsi="Palatino Linotype" w:cs="Arial"/>
        </w:rPr>
        <w:t>os</w:t>
      </w:r>
      <w:r w:rsidRPr="002C3EC8">
        <w:rPr>
          <w:rFonts w:ascii="Palatino Linotype" w:hAnsi="Palatino Linotype" w:cs="Arial"/>
        </w:rPr>
        <w:t xml:space="preserve"> expediente</w:t>
      </w:r>
      <w:r w:rsidR="00BA1798">
        <w:rPr>
          <w:rFonts w:ascii="Palatino Linotype" w:hAnsi="Palatino Linotype" w:cs="Arial"/>
        </w:rPr>
        <w:t>s</w:t>
      </w:r>
      <w:r>
        <w:rPr>
          <w:rFonts w:ascii="Palatino Linotype" w:hAnsi="Palatino Linotype" w:cs="Arial"/>
        </w:rPr>
        <w:t xml:space="preserve"> electrónico</w:t>
      </w:r>
      <w:r w:rsidR="00BA1798">
        <w:rPr>
          <w:rFonts w:ascii="Palatino Linotype" w:hAnsi="Palatino Linotype" w:cs="Arial"/>
        </w:rPr>
        <w:t>s</w:t>
      </w:r>
      <w:r>
        <w:rPr>
          <w:rFonts w:ascii="Palatino Linotype" w:hAnsi="Palatino Linotype" w:cs="Arial"/>
        </w:rPr>
        <w:t xml:space="preserve"> formado</w:t>
      </w:r>
      <w:bookmarkStart w:id="0" w:name="_GoBack"/>
      <w:bookmarkEnd w:id="0"/>
      <w:r w:rsidR="00BA1798">
        <w:rPr>
          <w:rFonts w:ascii="Palatino Linotype" w:hAnsi="Palatino Linotype" w:cs="Arial"/>
        </w:rPr>
        <w:t>s</w:t>
      </w:r>
      <w:r w:rsidRPr="002C3EC8">
        <w:rPr>
          <w:rFonts w:ascii="Palatino Linotype" w:hAnsi="Palatino Linotype" w:cs="Arial"/>
        </w:rPr>
        <w:t xml:space="preserve"> con motivo</w:t>
      </w:r>
      <w:r>
        <w:rPr>
          <w:rFonts w:ascii="Palatino Linotype" w:hAnsi="Palatino Linotype" w:cs="Arial"/>
        </w:rPr>
        <w:t xml:space="preserve"> del recurso de revisión número</w:t>
      </w:r>
      <w:r w:rsidRPr="002C3EC8">
        <w:rPr>
          <w:rFonts w:ascii="Palatino Linotype" w:hAnsi="Palatino Linotype" w:cs="Arial"/>
          <w:b/>
        </w:rPr>
        <w:t xml:space="preserve"> </w:t>
      </w:r>
      <w:r w:rsidR="00904AB5">
        <w:rPr>
          <w:rFonts w:ascii="Palatino Linotype" w:hAnsi="Palatino Linotype" w:cs="Arial"/>
          <w:b/>
        </w:rPr>
        <w:t>0</w:t>
      </w:r>
      <w:r w:rsidR="00FE50A3">
        <w:rPr>
          <w:rFonts w:ascii="Palatino Linotype" w:hAnsi="Palatino Linotype" w:cs="Arial"/>
          <w:b/>
          <w:bCs/>
          <w:lang w:eastAsia="es-MX"/>
        </w:rPr>
        <w:t>1130</w:t>
      </w:r>
      <w:r w:rsidR="00E87D47">
        <w:rPr>
          <w:rFonts w:ascii="Palatino Linotype" w:hAnsi="Palatino Linotype" w:cs="Arial"/>
          <w:b/>
          <w:bCs/>
          <w:lang w:eastAsia="es-MX"/>
        </w:rPr>
        <w:t>/INFOEM/IP/RR/2025</w:t>
      </w:r>
      <w:r w:rsidRPr="002C3EC8">
        <w:rPr>
          <w:rFonts w:ascii="Palatino Linotype" w:hAnsi="Palatino Linotype" w:cs="Arial"/>
          <w:b/>
          <w:bCs/>
          <w:lang w:eastAsia="es-MX"/>
        </w:rPr>
        <w:t xml:space="preserve">, </w:t>
      </w:r>
      <w:r w:rsidR="009A5E85" w:rsidRPr="009A5E85">
        <w:rPr>
          <w:rFonts w:ascii="Palatino Linotype" w:eastAsia="Palatino Linotype" w:hAnsi="Palatino Linotype" w:cs="Palatino Linotype"/>
          <w:color w:val="000000" w:themeColor="text1"/>
        </w:rPr>
        <w:t xml:space="preserve">interpuesto por </w:t>
      </w:r>
      <w:r w:rsidR="00F66586">
        <w:rPr>
          <w:rFonts w:ascii="Palatino Linotype" w:eastAsia="Palatino Linotype" w:hAnsi="Palatino Linotype" w:cs="Palatino Linotype"/>
          <w:color w:val="000000" w:themeColor="text1"/>
        </w:rPr>
        <w:t>persona que señala nombre</w:t>
      </w:r>
      <w:r w:rsidRPr="002C3EC8">
        <w:rPr>
          <w:rFonts w:ascii="Palatino Linotype" w:hAnsi="Palatino Linotype"/>
        </w:rPr>
        <w:t>,</w:t>
      </w:r>
      <w:r>
        <w:rPr>
          <w:rFonts w:ascii="Palatino Linotype" w:hAnsi="Palatino Linotype"/>
        </w:rPr>
        <w:t xml:space="preserve"> en lo sucesivo</w:t>
      </w:r>
      <w:r w:rsidRPr="002C3EC8">
        <w:rPr>
          <w:rFonts w:ascii="Palatino Linotype" w:hAnsi="Palatino Linotype"/>
        </w:rPr>
        <w:t>,</w:t>
      </w:r>
      <w:r>
        <w:rPr>
          <w:rFonts w:ascii="Palatino Linotype" w:hAnsi="Palatino Linotype"/>
        </w:rPr>
        <w:t xml:space="preserve"> la parte</w:t>
      </w:r>
      <w:r w:rsidRPr="002C3EC8">
        <w:rPr>
          <w:rFonts w:ascii="Palatino Linotype" w:hAnsi="Palatino Linotype"/>
        </w:rPr>
        <w:t xml:space="preserve"> </w:t>
      </w:r>
      <w:r w:rsidRPr="002C3EC8">
        <w:rPr>
          <w:rFonts w:ascii="Palatino Linotype" w:hAnsi="Palatino Linotype"/>
          <w:b/>
        </w:rPr>
        <w:t>Recurrente</w:t>
      </w:r>
      <w:r>
        <w:rPr>
          <w:rFonts w:ascii="Palatino Linotype" w:hAnsi="Palatino Linotype"/>
        </w:rPr>
        <w:t>, en contra de la respuesta</w:t>
      </w:r>
      <w:r w:rsidRPr="002C3EC8">
        <w:rPr>
          <w:rFonts w:ascii="Palatino Linotype" w:hAnsi="Palatino Linotype"/>
        </w:rPr>
        <w:t xml:space="preserve"> del </w:t>
      </w:r>
      <w:r w:rsidR="00D23487" w:rsidRPr="00D23487">
        <w:rPr>
          <w:rFonts w:ascii="Palatino Linotype" w:hAnsi="Palatino Linotype"/>
          <w:b/>
        </w:rPr>
        <w:t>Organismo Público Descent</w:t>
      </w:r>
      <w:r w:rsidR="00D23487">
        <w:rPr>
          <w:rFonts w:ascii="Palatino Linotype" w:hAnsi="Palatino Linotype"/>
          <w:b/>
        </w:rPr>
        <w:t>ralizado para la Prestación de l</w:t>
      </w:r>
      <w:r w:rsidR="00D23487" w:rsidRPr="00D23487">
        <w:rPr>
          <w:rFonts w:ascii="Palatino Linotype" w:hAnsi="Palatino Linotype"/>
          <w:b/>
        </w:rPr>
        <w:t>os Servicios de Agua Potable Alcantarillado y Saneamiento del Municipio de Naucalpan de Juárez</w:t>
      </w:r>
      <w:r w:rsidRPr="002C3EC8">
        <w:rPr>
          <w:rFonts w:ascii="Palatino Linotype" w:hAnsi="Palatino Linotype"/>
        </w:rPr>
        <w:t xml:space="preserve">, en lo subsecuente el </w:t>
      </w:r>
      <w:r w:rsidRPr="002C3EC8">
        <w:rPr>
          <w:rFonts w:ascii="Palatino Linotype" w:hAnsi="Palatino Linotype"/>
          <w:b/>
        </w:rPr>
        <w:t>Sujeto Obligado</w:t>
      </w:r>
      <w:r w:rsidRPr="002C3EC8">
        <w:rPr>
          <w:rFonts w:ascii="Palatino Linotype" w:hAnsi="Palatino Linotype"/>
        </w:rPr>
        <w:t>, se procede a dictar la presente resolución.</w:t>
      </w:r>
    </w:p>
    <w:p w14:paraId="6C9C154E" w14:textId="77777777" w:rsidR="00551637" w:rsidRDefault="00551637" w:rsidP="00551637">
      <w:pPr>
        <w:pStyle w:val="infoemcitas"/>
        <w:jc w:val="center"/>
        <w:rPr>
          <w:b/>
          <w:bCs/>
          <w:i w:val="0"/>
          <w:iCs/>
          <w:sz w:val="28"/>
          <w:szCs w:val="28"/>
        </w:rPr>
      </w:pPr>
    </w:p>
    <w:p w14:paraId="3AEA5164" w14:textId="77777777" w:rsidR="00551637" w:rsidRDefault="00551637" w:rsidP="00551637">
      <w:pPr>
        <w:pStyle w:val="infoemcitas"/>
        <w:jc w:val="center"/>
        <w:rPr>
          <w:b/>
          <w:bCs/>
          <w:i w:val="0"/>
          <w:iCs/>
          <w:sz w:val="28"/>
          <w:szCs w:val="28"/>
        </w:rPr>
      </w:pPr>
      <w:r w:rsidRPr="002C3EC8">
        <w:rPr>
          <w:b/>
          <w:bCs/>
          <w:i w:val="0"/>
          <w:iCs/>
          <w:sz w:val="28"/>
          <w:szCs w:val="28"/>
        </w:rPr>
        <w:t>A N T E C E D E N T E S   D E L   A S U N T O</w:t>
      </w:r>
    </w:p>
    <w:p w14:paraId="4A412D23" w14:textId="77777777" w:rsidR="00551637" w:rsidRPr="002C3EC8" w:rsidRDefault="00551637" w:rsidP="00551637">
      <w:pPr>
        <w:pStyle w:val="infoemcitas"/>
        <w:jc w:val="center"/>
        <w:rPr>
          <w:b/>
          <w:bCs/>
          <w:i w:val="0"/>
          <w:iCs/>
          <w:sz w:val="28"/>
          <w:szCs w:val="28"/>
        </w:rPr>
      </w:pPr>
    </w:p>
    <w:p w14:paraId="416D8051" w14:textId="0D255293" w:rsidR="00551637" w:rsidRPr="002C3EC8" w:rsidRDefault="00551637" w:rsidP="00551637">
      <w:pPr>
        <w:spacing w:before="240" w:after="240" w:line="360" w:lineRule="auto"/>
        <w:jc w:val="both"/>
        <w:rPr>
          <w:rFonts w:ascii="Palatino Linotype" w:hAnsi="Palatino Linotype"/>
        </w:rPr>
      </w:pPr>
      <w:r w:rsidRPr="002C3EC8">
        <w:rPr>
          <w:rFonts w:ascii="Palatino Linotype" w:hAnsi="Palatino Linotype" w:cs="Arial"/>
          <w:b/>
          <w:sz w:val="28"/>
        </w:rPr>
        <w:t>PRIMERO.</w:t>
      </w:r>
      <w:r w:rsidRPr="002C3EC8">
        <w:rPr>
          <w:rFonts w:ascii="Palatino Linotype" w:hAnsi="Palatino Linotype" w:cs="Arial"/>
        </w:rPr>
        <w:t xml:space="preserve"> </w:t>
      </w:r>
      <w:r w:rsidRPr="002C3EC8">
        <w:rPr>
          <w:rFonts w:ascii="Palatino Linotype" w:hAnsi="Palatino Linotype"/>
          <w:b/>
          <w:sz w:val="28"/>
          <w:szCs w:val="28"/>
        </w:rPr>
        <w:t xml:space="preserve">De </w:t>
      </w:r>
      <w:r>
        <w:rPr>
          <w:rFonts w:ascii="Palatino Linotype" w:hAnsi="Palatino Linotype"/>
          <w:b/>
          <w:sz w:val="28"/>
          <w:szCs w:val="28"/>
        </w:rPr>
        <w:t xml:space="preserve">la </w:t>
      </w:r>
      <w:r w:rsidRPr="002C3EC8">
        <w:rPr>
          <w:rFonts w:ascii="Palatino Linotype" w:hAnsi="Palatino Linotype"/>
          <w:b/>
          <w:sz w:val="28"/>
          <w:szCs w:val="28"/>
        </w:rPr>
        <w:t>Solicitud de Información.</w:t>
      </w:r>
    </w:p>
    <w:p w14:paraId="20E06CC8" w14:textId="19199DED" w:rsidR="00551637" w:rsidRPr="00D705FF" w:rsidRDefault="00551637" w:rsidP="00551637">
      <w:pPr>
        <w:spacing w:before="240" w:line="360" w:lineRule="auto"/>
        <w:jc w:val="both"/>
        <w:rPr>
          <w:rFonts w:ascii="Palatino Linotype" w:hAnsi="Palatino Linotype" w:cs="Arial"/>
        </w:rPr>
      </w:pPr>
      <w:r w:rsidRPr="00D705FF">
        <w:rPr>
          <w:rFonts w:ascii="Palatino Linotype" w:hAnsi="Palatino Linotype" w:cs="Arial"/>
        </w:rPr>
        <w:t xml:space="preserve">Con fecha </w:t>
      </w:r>
      <w:r w:rsidR="00D23487">
        <w:rPr>
          <w:rFonts w:ascii="Palatino Linotype" w:hAnsi="Palatino Linotype" w:cs="Arial"/>
          <w:b/>
        </w:rPr>
        <w:t>veinticuatro</w:t>
      </w:r>
      <w:r w:rsidR="00A91DC8">
        <w:rPr>
          <w:rFonts w:ascii="Palatino Linotype" w:hAnsi="Palatino Linotype" w:cs="Arial"/>
          <w:b/>
        </w:rPr>
        <w:t xml:space="preserve"> de enero de dos mil veinticinco</w:t>
      </w:r>
      <w:r>
        <w:rPr>
          <w:rFonts w:ascii="Palatino Linotype" w:hAnsi="Palatino Linotype" w:cs="Arial"/>
        </w:rPr>
        <w:t xml:space="preserve">, </w:t>
      </w:r>
      <w:r w:rsidRPr="00D705FF">
        <w:rPr>
          <w:rFonts w:ascii="Palatino Linotype" w:hAnsi="Palatino Linotype" w:cs="Arial"/>
        </w:rPr>
        <w:t>l</w:t>
      </w:r>
      <w:r>
        <w:rPr>
          <w:rFonts w:ascii="Palatino Linotype" w:hAnsi="Palatino Linotype" w:cs="Arial"/>
        </w:rPr>
        <w:t>a parte</w:t>
      </w:r>
      <w:r w:rsidRPr="00D705FF">
        <w:rPr>
          <w:rFonts w:ascii="Palatino Linotype" w:hAnsi="Palatino Linotype" w:cs="Arial"/>
          <w:b/>
        </w:rPr>
        <w:t xml:space="preserve"> Recurrente </w:t>
      </w:r>
      <w:r w:rsidRPr="00D705FF">
        <w:rPr>
          <w:rFonts w:ascii="Palatino Linotype" w:hAnsi="Palatino Linotype" w:cs="Arial"/>
        </w:rPr>
        <w:t>presentó a través del Sistema de Acceso a la Información Mexiquense (</w:t>
      </w:r>
      <w:r w:rsidRPr="00D705FF">
        <w:rPr>
          <w:rFonts w:ascii="Palatino Linotype" w:hAnsi="Palatino Linotype" w:cs="Arial"/>
          <w:b/>
        </w:rPr>
        <w:t>SAIMEX)</w:t>
      </w:r>
      <w:r w:rsidRPr="00D705FF">
        <w:rPr>
          <w:rFonts w:ascii="Palatino Linotype" w:hAnsi="Palatino Linotype" w:cs="Arial"/>
        </w:rPr>
        <w:t xml:space="preserve"> ante </w:t>
      </w:r>
      <w:r w:rsidRPr="00D705FF">
        <w:rPr>
          <w:rFonts w:ascii="Palatino Linotype" w:hAnsi="Palatino Linotype" w:cs="Arial"/>
          <w:b/>
        </w:rPr>
        <w:t>El Sujeto Obligado</w:t>
      </w:r>
      <w:r w:rsidRPr="00D705FF">
        <w:rPr>
          <w:rFonts w:ascii="Palatino Linotype" w:hAnsi="Palatino Linotype" w:cs="Arial"/>
        </w:rPr>
        <w:t>, solicitud de acceso a la información pública, registrada</w:t>
      </w:r>
      <w:r w:rsidR="00A91DC8">
        <w:rPr>
          <w:rFonts w:ascii="Palatino Linotype" w:hAnsi="Palatino Linotype" w:cs="Arial"/>
        </w:rPr>
        <w:t xml:space="preserve"> bajo </w:t>
      </w:r>
      <w:r w:rsidR="00AB5650">
        <w:rPr>
          <w:rFonts w:ascii="Palatino Linotype" w:hAnsi="Palatino Linotype" w:cs="Arial"/>
        </w:rPr>
        <w:t>el</w:t>
      </w:r>
      <w:r w:rsidRPr="00D705FF">
        <w:rPr>
          <w:rFonts w:ascii="Palatino Linotype" w:hAnsi="Palatino Linotype" w:cs="Arial"/>
        </w:rPr>
        <w:t xml:space="preserve"> número de expediente </w:t>
      </w:r>
      <w:r w:rsidR="00D23487" w:rsidRPr="00D23487">
        <w:rPr>
          <w:rFonts w:ascii="Palatino Linotype" w:hAnsi="Palatino Linotype" w:cs="Arial"/>
          <w:b/>
        </w:rPr>
        <w:t>00026/OASNAUCAL/IP/2025</w:t>
      </w:r>
      <w:r w:rsidRPr="00D705FF">
        <w:rPr>
          <w:rFonts w:ascii="Palatino Linotype" w:hAnsi="Palatino Linotype" w:cs="Arial"/>
          <w:b/>
        </w:rPr>
        <w:t xml:space="preserve">, </w:t>
      </w:r>
      <w:r w:rsidRPr="00D705FF">
        <w:rPr>
          <w:rFonts w:ascii="Palatino Linotype" w:hAnsi="Palatino Linotype" w:cs="Arial"/>
        </w:rPr>
        <w:t>mediante la cual solicitó información en el tenor siguiente:</w:t>
      </w:r>
      <w:r w:rsidR="00D23487">
        <w:rPr>
          <w:rFonts w:ascii="Palatino Linotype" w:hAnsi="Palatino Linotype" w:cs="Arial"/>
        </w:rPr>
        <w:t xml:space="preserve"> </w:t>
      </w:r>
    </w:p>
    <w:p w14:paraId="67CB1B51" w14:textId="31A5E68E" w:rsidR="00551637" w:rsidRDefault="00551637" w:rsidP="00551637">
      <w:pPr>
        <w:pStyle w:val="INFOEM"/>
        <w:rPr>
          <w:lang w:val="es-ES_tradnl" w:eastAsia="es-ES"/>
        </w:rPr>
      </w:pPr>
      <w:r w:rsidRPr="00D705FF">
        <w:rPr>
          <w:lang w:val="es-ES_tradnl" w:eastAsia="es-ES"/>
        </w:rPr>
        <w:lastRenderedPageBreak/>
        <w:t>“</w:t>
      </w:r>
      <w:r w:rsidR="00457ED0" w:rsidRPr="00457ED0">
        <w:rPr>
          <w:lang w:val="es-ES" w:eastAsia="es-ES"/>
        </w:rPr>
        <w:t>¿Cuál ha sido el costo total de energía de los años 2021, 2022, 2023, 2024?</w:t>
      </w:r>
      <w:r w:rsidRPr="00D705FF">
        <w:rPr>
          <w:lang w:val="es-ES_tradnl" w:eastAsia="es-ES"/>
        </w:rPr>
        <w:t>” (Sic)</w:t>
      </w:r>
    </w:p>
    <w:p w14:paraId="59845D9D" w14:textId="77777777" w:rsidR="00A91DC8" w:rsidRPr="001C7F6F" w:rsidRDefault="00A91DC8" w:rsidP="00E7152E">
      <w:pPr>
        <w:pStyle w:val="INFOEM"/>
        <w:spacing w:before="0"/>
        <w:rPr>
          <w:lang w:val="es-ES_tradnl" w:eastAsia="es-ES"/>
        </w:rPr>
      </w:pPr>
    </w:p>
    <w:p w14:paraId="460841C7" w14:textId="6789F5AF" w:rsidR="00551637" w:rsidRDefault="00551637" w:rsidP="00551637">
      <w:pPr>
        <w:spacing w:before="240" w:line="360" w:lineRule="auto"/>
        <w:jc w:val="both"/>
        <w:rPr>
          <w:rFonts w:ascii="Palatino Linotype" w:hAnsi="Palatino Linotype"/>
          <w:lang w:val="es-ES_tradnl"/>
        </w:rPr>
      </w:pPr>
      <w:r w:rsidRPr="002C3EC8">
        <w:rPr>
          <w:rFonts w:ascii="Palatino Linotype" w:hAnsi="Palatino Linotype"/>
          <w:b/>
          <w:lang w:val="es-ES_tradnl"/>
        </w:rPr>
        <w:t>Modalidad de entrega:</w:t>
      </w:r>
      <w:r w:rsidR="00BC2B74">
        <w:rPr>
          <w:rFonts w:ascii="Palatino Linotype" w:hAnsi="Palatino Linotype"/>
          <w:lang w:val="es-ES_tradnl"/>
        </w:rPr>
        <w:t xml:space="preserve"> A través del SAIMEX</w:t>
      </w:r>
      <w:r w:rsidR="00AB5650">
        <w:rPr>
          <w:rFonts w:ascii="Palatino Linotype" w:hAnsi="Palatino Linotype"/>
          <w:lang w:val="es-ES_tradnl"/>
        </w:rPr>
        <w:t>.</w:t>
      </w:r>
    </w:p>
    <w:p w14:paraId="45D03ECB" w14:textId="77777777" w:rsidR="00E87D47" w:rsidRPr="00E87D47" w:rsidRDefault="00E87D47" w:rsidP="000E52D8">
      <w:pPr>
        <w:spacing w:line="360" w:lineRule="auto"/>
        <w:jc w:val="both"/>
        <w:rPr>
          <w:rFonts w:ascii="Palatino Linotype" w:hAnsi="Palatino Linotype"/>
          <w:lang w:val="es-ES_tradnl"/>
        </w:rPr>
      </w:pPr>
    </w:p>
    <w:p w14:paraId="6241CBC4" w14:textId="20404E43" w:rsidR="00E7152E" w:rsidRDefault="00551637" w:rsidP="00201376">
      <w:pPr>
        <w:spacing w:line="360" w:lineRule="auto"/>
        <w:jc w:val="both"/>
        <w:rPr>
          <w:rFonts w:ascii="Palatino Linotype" w:hAnsi="Palatino Linotype" w:cs="Arial"/>
          <w:b/>
          <w:sz w:val="28"/>
        </w:rPr>
      </w:pPr>
      <w:r>
        <w:rPr>
          <w:rFonts w:ascii="Palatino Linotype" w:hAnsi="Palatino Linotype" w:cs="Arial"/>
          <w:b/>
          <w:sz w:val="28"/>
        </w:rPr>
        <w:t xml:space="preserve">SEGUNDO. </w:t>
      </w:r>
      <w:r w:rsidR="00E7152E">
        <w:rPr>
          <w:rFonts w:ascii="Palatino Linotype" w:hAnsi="Palatino Linotype" w:cs="Arial"/>
          <w:b/>
          <w:sz w:val="28"/>
        </w:rPr>
        <w:t>De la solicitud de aclaración del Sujeto Obligado</w:t>
      </w:r>
    </w:p>
    <w:p w14:paraId="59117FC9" w14:textId="30ED4978" w:rsidR="00756285" w:rsidRDefault="00E7152E" w:rsidP="00551637">
      <w:pPr>
        <w:spacing w:before="240" w:line="360" w:lineRule="auto"/>
        <w:jc w:val="both"/>
        <w:rPr>
          <w:rFonts w:ascii="Palatino Linotype" w:eastAsiaTheme="minorHAnsi" w:hAnsi="Palatino Linotype" w:cstheme="minorBidi"/>
          <w:szCs w:val="22"/>
          <w:lang w:val="es-MX" w:eastAsia="en-US"/>
        </w:rPr>
      </w:pPr>
      <w:r w:rsidRPr="00201376">
        <w:rPr>
          <w:rFonts w:ascii="Palatino Linotype" w:eastAsiaTheme="minorHAnsi" w:hAnsi="Palatino Linotype" w:cstheme="minorBidi"/>
          <w:szCs w:val="22"/>
          <w:lang w:val="es-MX" w:eastAsia="en-US"/>
        </w:rPr>
        <w:t>En fecha veintisiete de enero de dos mil veinticinco</w:t>
      </w:r>
      <w:r w:rsidR="00201376">
        <w:rPr>
          <w:rFonts w:ascii="Palatino Linotype" w:eastAsiaTheme="minorHAnsi" w:hAnsi="Palatino Linotype" w:cstheme="minorBidi"/>
          <w:szCs w:val="22"/>
          <w:lang w:val="es-MX" w:eastAsia="en-US"/>
        </w:rPr>
        <w:t xml:space="preserve">, el Titular de la Unidad de Transparencia manifestó a la parte Recurrente </w:t>
      </w:r>
      <w:r w:rsidR="001F442D">
        <w:rPr>
          <w:rFonts w:ascii="Palatino Linotype" w:eastAsiaTheme="minorHAnsi" w:hAnsi="Palatino Linotype" w:cstheme="minorBidi"/>
          <w:szCs w:val="22"/>
          <w:lang w:val="es-MX" w:eastAsia="en-US"/>
        </w:rPr>
        <w:t>que de conformidad al artículo 159 de la Ley de Transparencia y Acceso a la Información Pública del Estado de México y Municipios</w:t>
      </w:r>
      <w:r w:rsidR="009F6D48">
        <w:rPr>
          <w:rFonts w:ascii="Palatino Linotype" w:eastAsiaTheme="minorHAnsi" w:hAnsi="Palatino Linotype" w:cstheme="minorBidi"/>
          <w:szCs w:val="22"/>
          <w:lang w:val="es-MX" w:eastAsia="en-US"/>
        </w:rPr>
        <w:t>, en</w:t>
      </w:r>
      <w:r w:rsidR="0022516A">
        <w:rPr>
          <w:rFonts w:ascii="Palatino Linotype" w:eastAsiaTheme="minorHAnsi" w:hAnsi="Palatino Linotype" w:cstheme="minorBidi"/>
          <w:szCs w:val="22"/>
          <w:lang w:val="es-MX" w:eastAsia="en-US"/>
        </w:rPr>
        <w:t xml:space="preserve"> </w:t>
      </w:r>
      <w:r w:rsidR="009F6D48">
        <w:rPr>
          <w:rFonts w:ascii="Palatino Linotype" w:eastAsiaTheme="minorHAnsi" w:hAnsi="Palatino Linotype" w:cstheme="minorBidi"/>
          <w:szCs w:val="22"/>
          <w:lang w:val="es-MX" w:eastAsia="en-US"/>
        </w:rPr>
        <w:t>el plazo legal establecido precisará “</w:t>
      </w:r>
      <w:r w:rsidR="009F6D48" w:rsidRPr="009F6D48">
        <w:rPr>
          <w:rFonts w:ascii="Palatino Linotype" w:eastAsiaTheme="minorHAnsi" w:hAnsi="Palatino Linotype" w:cstheme="minorBidi"/>
          <w:szCs w:val="22"/>
          <w:lang w:val="es-MX" w:eastAsia="en-US"/>
        </w:rPr>
        <w:t>que tipo de energía total es la información solicitada</w:t>
      </w:r>
      <w:r w:rsidR="009F6D48">
        <w:rPr>
          <w:rFonts w:ascii="Palatino Linotype" w:eastAsiaTheme="minorHAnsi" w:hAnsi="Palatino Linotype" w:cstheme="minorBidi"/>
          <w:szCs w:val="22"/>
          <w:lang w:val="es-MX" w:eastAsia="en-US"/>
        </w:rPr>
        <w:t>”</w:t>
      </w:r>
      <w:r w:rsidR="00756285">
        <w:rPr>
          <w:rFonts w:ascii="Palatino Linotype" w:eastAsiaTheme="minorHAnsi" w:hAnsi="Palatino Linotype" w:cstheme="minorBidi"/>
          <w:szCs w:val="22"/>
          <w:lang w:val="es-MX" w:eastAsia="en-US"/>
        </w:rPr>
        <w:t>.</w:t>
      </w:r>
    </w:p>
    <w:p w14:paraId="1A28606E" w14:textId="443BAF84" w:rsidR="00756285" w:rsidRPr="00201376" w:rsidRDefault="00756285" w:rsidP="00551637">
      <w:pPr>
        <w:spacing w:before="240" w:line="360" w:lineRule="auto"/>
        <w:jc w:val="both"/>
        <w:rPr>
          <w:rFonts w:ascii="Palatino Linotype" w:eastAsiaTheme="minorHAnsi" w:hAnsi="Palatino Linotype" w:cstheme="minorBidi"/>
          <w:szCs w:val="22"/>
          <w:lang w:val="es-MX" w:eastAsia="en-US"/>
        </w:rPr>
      </w:pPr>
      <w:r>
        <w:rPr>
          <w:rFonts w:ascii="Palatino Linotype" w:eastAsiaTheme="minorHAnsi" w:hAnsi="Palatino Linotype" w:cstheme="minorBidi"/>
          <w:szCs w:val="22"/>
          <w:lang w:val="es-MX" w:eastAsia="en-US"/>
        </w:rPr>
        <w:t xml:space="preserve">Bajo esa circunstancia, la parte  Recurrente en fecha </w:t>
      </w:r>
      <w:r w:rsidR="00CD4D16">
        <w:rPr>
          <w:rFonts w:ascii="Palatino Linotype" w:eastAsiaTheme="minorHAnsi" w:hAnsi="Palatino Linotype" w:cstheme="minorBidi"/>
          <w:szCs w:val="22"/>
          <w:lang w:val="es-MX" w:eastAsia="en-US"/>
        </w:rPr>
        <w:t xml:space="preserve">veintiocho de enero de dos mil veinticinco, manifestó en el apartado de los datos a corregir, aclarar o ampliar que: </w:t>
      </w:r>
      <w:r w:rsidR="00CD4D16" w:rsidRPr="00CD4D16">
        <w:rPr>
          <w:rFonts w:ascii="Palatino Linotype" w:eastAsiaTheme="minorHAnsi" w:hAnsi="Palatino Linotype" w:cstheme="minorBidi"/>
          <w:i/>
          <w:szCs w:val="22"/>
          <w:lang w:val="es-MX" w:eastAsia="en-US"/>
        </w:rPr>
        <w:t>“¿Cuál ha sido el costo de energía eléctrica que consume el Organismo, por todas sus instalaciones, es decir Pozos, Tanques, Rebombeos, Oficinas Administrativas de los años 2021, 2022, 2023 y 2024?”</w:t>
      </w:r>
    </w:p>
    <w:p w14:paraId="6105C0DE" w14:textId="3AB2EB14" w:rsidR="00551637" w:rsidRDefault="00C803C4" w:rsidP="00551637">
      <w:pPr>
        <w:spacing w:before="240" w:line="360" w:lineRule="auto"/>
        <w:jc w:val="both"/>
        <w:rPr>
          <w:rFonts w:ascii="Palatino Linotype" w:hAnsi="Palatino Linotype" w:cs="Arial"/>
          <w:b/>
          <w:sz w:val="28"/>
        </w:rPr>
      </w:pPr>
      <w:r>
        <w:rPr>
          <w:rFonts w:ascii="Palatino Linotype" w:hAnsi="Palatino Linotype" w:cs="Arial"/>
          <w:b/>
          <w:sz w:val="28"/>
          <w:szCs w:val="20"/>
        </w:rPr>
        <w:t xml:space="preserve">Tercero. </w:t>
      </w:r>
      <w:r w:rsidR="00551637">
        <w:rPr>
          <w:rFonts w:ascii="Palatino Linotype" w:hAnsi="Palatino Linotype" w:cs="Arial"/>
          <w:b/>
          <w:sz w:val="28"/>
          <w:szCs w:val="20"/>
        </w:rPr>
        <w:t>De la respuesta</w:t>
      </w:r>
      <w:r w:rsidR="00AB5650">
        <w:rPr>
          <w:rFonts w:ascii="Palatino Linotype" w:hAnsi="Palatino Linotype" w:cs="Arial"/>
          <w:b/>
          <w:sz w:val="28"/>
          <w:szCs w:val="20"/>
        </w:rPr>
        <w:t xml:space="preserve"> </w:t>
      </w:r>
      <w:r w:rsidR="00551637">
        <w:rPr>
          <w:rFonts w:ascii="Palatino Linotype" w:hAnsi="Palatino Linotype" w:cs="Arial"/>
          <w:b/>
          <w:sz w:val="28"/>
          <w:szCs w:val="20"/>
        </w:rPr>
        <w:t>o entrega de la información</w:t>
      </w:r>
      <w:r w:rsidR="00551637" w:rsidRPr="00165D6E">
        <w:rPr>
          <w:rFonts w:ascii="Palatino Linotype" w:hAnsi="Palatino Linotype" w:cs="Arial"/>
          <w:b/>
          <w:sz w:val="28"/>
          <w:szCs w:val="20"/>
        </w:rPr>
        <w:t>.</w:t>
      </w:r>
    </w:p>
    <w:p w14:paraId="34C4FDA9" w14:textId="6180073C" w:rsidR="00551637" w:rsidRPr="00C0731C" w:rsidRDefault="00551637" w:rsidP="00551637">
      <w:pPr>
        <w:pStyle w:val="Sinespaciado"/>
        <w:spacing w:line="360" w:lineRule="auto"/>
        <w:jc w:val="both"/>
        <w:rPr>
          <w:rFonts w:ascii="Palatino Linotype" w:hAnsi="Palatino Linotype" w:cs="Arial"/>
          <w:b/>
          <w:sz w:val="24"/>
        </w:rPr>
      </w:pPr>
      <w:r w:rsidRPr="009062B2">
        <w:rPr>
          <w:rFonts w:ascii="Palatino Linotype" w:hAnsi="Palatino Linotype"/>
          <w:sz w:val="24"/>
        </w:rPr>
        <w:t xml:space="preserve">De las constancias que obran en </w:t>
      </w:r>
      <w:r w:rsidR="00AB5650">
        <w:rPr>
          <w:rFonts w:ascii="Palatino Linotype" w:hAnsi="Palatino Linotype"/>
          <w:sz w:val="24"/>
        </w:rPr>
        <w:t>el</w:t>
      </w:r>
      <w:r w:rsidRPr="009062B2">
        <w:rPr>
          <w:rFonts w:ascii="Palatino Linotype" w:hAnsi="Palatino Linotype"/>
          <w:sz w:val="24"/>
        </w:rPr>
        <w:t xml:space="preserve"> expediente electrónico, se advierte que el </w:t>
      </w:r>
      <w:r w:rsidRPr="009062B2">
        <w:rPr>
          <w:rFonts w:ascii="Palatino Linotype" w:hAnsi="Palatino Linotype" w:cs="Arial"/>
          <w:sz w:val="24"/>
        </w:rPr>
        <w:t xml:space="preserve">día </w:t>
      </w:r>
      <w:r w:rsidR="000733E0">
        <w:rPr>
          <w:rFonts w:ascii="Palatino Linotype" w:hAnsi="Palatino Linotype" w:cs="Arial"/>
          <w:b/>
          <w:sz w:val="24"/>
        </w:rPr>
        <w:t>once de febrero</w:t>
      </w:r>
      <w:r>
        <w:rPr>
          <w:rFonts w:ascii="Palatino Linotype" w:hAnsi="Palatino Linotype" w:cs="Arial"/>
          <w:b/>
          <w:sz w:val="24"/>
        </w:rPr>
        <w:t xml:space="preserve"> de dos mil veinticinco</w:t>
      </w:r>
      <w:r w:rsidRPr="009062B2">
        <w:rPr>
          <w:rFonts w:ascii="Palatino Linotype" w:hAnsi="Palatino Linotype" w:cs="Arial"/>
          <w:sz w:val="24"/>
        </w:rPr>
        <w:t xml:space="preserve">, el </w:t>
      </w:r>
      <w:r w:rsidRPr="009062B2">
        <w:rPr>
          <w:rFonts w:ascii="Palatino Linotype" w:hAnsi="Palatino Linotype" w:cs="Arial"/>
          <w:b/>
          <w:sz w:val="24"/>
        </w:rPr>
        <w:t>Sujeto Obligado</w:t>
      </w:r>
      <w:r w:rsidRPr="009062B2">
        <w:rPr>
          <w:rFonts w:ascii="Palatino Linotype" w:hAnsi="Palatino Linotype" w:cs="Arial"/>
          <w:sz w:val="24"/>
        </w:rPr>
        <w:t xml:space="preserve"> dio respuesta a la solicitud de información en los siguientes términos: </w:t>
      </w:r>
    </w:p>
    <w:p w14:paraId="0443FD49" w14:textId="77777777" w:rsidR="00551637" w:rsidRPr="00E818A5" w:rsidRDefault="00551637" w:rsidP="00551637">
      <w:pPr>
        <w:spacing w:line="360" w:lineRule="auto"/>
        <w:jc w:val="both"/>
        <w:rPr>
          <w:rFonts w:ascii="Palatino Linotype" w:hAnsi="Palatino Linotype" w:cs="Arial"/>
        </w:rPr>
      </w:pPr>
    </w:p>
    <w:p w14:paraId="3CE8771F" w14:textId="77777777" w:rsidR="000733E0" w:rsidRPr="000733E0" w:rsidRDefault="00BF0F5C" w:rsidP="000733E0">
      <w:pPr>
        <w:spacing w:line="360" w:lineRule="auto"/>
        <w:ind w:left="709" w:right="474"/>
        <w:jc w:val="right"/>
        <w:rPr>
          <w:rFonts w:ascii="Palatino Linotype" w:hAnsi="Palatino Linotype" w:cs="Arial"/>
          <w:i/>
        </w:rPr>
      </w:pPr>
      <w:r>
        <w:rPr>
          <w:rFonts w:ascii="Palatino Linotype" w:hAnsi="Palatino Linotype" w:cs="Arial"/>
          <w:i/>
        </w:rPr>
        <w:lastRenderedPageBreak/>
        <w:t>“</w:t>
      </w:r>
      <w:r w:rsidR="000733E0" w:rsidRPr="000733E0">
        <w:rPr>
          <w:rFonts w:ascii="Palatino Linotype" w:hAnsi="Palatino Linotype" w:cs="Arial"/>
          <w:i/>
        </w:rPr>
        <w:t>Folio de la solicitud: 00026/OASNAUCAL/IP/2025</w:t>
      </w:r>
    </w:p>
    <w:p w14:paraId="3D2EBF59" w14:textId="77777777" w:rsidR="000733E0" w:rsidRDefault="000733E0" w:rsidP="00772272">
      <w:pPr>
        <w:spacing w:line="360" w:lineRule="auto"/>
        <w:ind w:left="709" w:right="474"/>
        <w:jc w:val="both"/>
        <w:rPr>
          <w:rFonts w:ascii="Palatino Linotype" w:hAnsi="Palatino Linotype" w:cs="Arial"/>
          <w:i/>
        </w:rPr>
      </w:pPr>
      <w:r w:rsidRPr="000733E0">
        <w:rPr>
          <w:rFonts w:ascii="Palatino Linotype" w:hAnsi="Palatino Linotype" w:cs="Arial"/>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CBFC49F" w14:textId="77777777" w:rsidR="00772272" w:rsidRPr="000733E0" w:rsidRDefault="00772272" w:rsidP="000733E0">
      <w:pPr>
        <w:spacing w:line="360" w:lineRule="auto"/>
        <w:ind w:left="709" w:right="474"/>
        <w:jc w:val="right"/>
        <w:rPr>
          <w:rFonts w:ascii="Palatino Linotype" w:hAnsi="Palatino Linotype" w:cs="Arial"/>
          <w:i/>
        </w:rPr>
      </w:pPr>
    </w:p>
    <w:p w14:paraId="456F8010" w14:textId="77777777" w:rsidR="000733E0" w:rsidRPr="000733E0" w:rsidRDefault="000733E0" w:rsidP="00772272">
      <w:pPr>
        <w:spacing w:line="360" w:lineRule="auto"/>
        <w:ind w:left="709" w:right="474"/>
        <w:jc w:val="both"/>
        <w:rPr>
          <w:rFonts w:ascii="Palatino Linotype" w:hAnsi="Palatino Linotype" w:cs="Arial"/>
          <w:i/>
        </w:rPr>
      </w:pPr>
      <w:r w:rsidRPr="000733E0">
        <w:rPr>
          <w:rFonts w:ascii="Palatino Linotype" w:hAnsi="Palatino Linotype" w:cs="Arial"/>
          <w:i/>
        </w:rPr>
        <w:t>SE ATIENDE SOLICITUD EN TIEMPO Y FORMA</w:t>
      </w:r>
    </w:p>
    <w:p w14:paraId="6190D1A2" w14:textId="77777777" w:rsidR="000733E0" w:rsidRPr="000733E0" w:rsidRDefault="000733E0" w:rsidP="00772272">
      <w:pPr>
        <w:spacing w:line="360" w:lineRule="auto"/>
        <w:ind w:left="709" w:right="474"/>
        <w:jc w:val="both"/>
        <w:rPr>
          <w:rFonts w:ascii="Palatino Linotype" w:hAnsi="Palatino Linotype" w:cs="Arial"/>
          <w:i/>
        </w:rPr>
      </w:pPr>
      <w:r w:rsidRPr="000733E0">
        <w:rPr>
          <w:rFonts w:ascii="Palatino Linotype" w:hAnsi="Palatino Linotype" w:cs="Arial"/>
          <w:i/>
        </w:rPr>
        <w:t>ATENTAMENTE</w:t>
      </w:r>
    </w:p>
    <w:p w14:paraId="5AC2A0D9" w14:textId="0BC71C4E" w:rsidR="00BF0F5C" w:rsidRDefault="000733E0" w:rsidP="00772272">
      <w:pPr>
        <w:spacing w:line="360" w:lineRule="auto"/>
        <w:ind w:left="709" w:right="474"/>
        <w:jc w:val="both"/>
        <w:rPr>
          <w:rFonts w:ascii="Palatino Linotype" w:hAnsi="Palatino Linotype" w:cs="Arial"/>
          <w:i/>
        </w:rPr>
      </w:pPr>
      <w:r w:rsidRPr="000733E0">
        <w:rPr>
          <w:rFonts w:ascii="Palatino Linotype" w:hAnsi="Palatino Linotype" w:cs="Arial"/>
          <w:i/>
        </w:rPr>
        <w:t>C. FRANCISCO JAVIER ESTRADA VARGAS</w:t>
      </w:r>
      <w:r w:rsidR="00BF0F5C">
        <w:rPr>
          <w:rFonts w:ascii="Palatino Linotype" w:hAnsi="Palatino Linotype" w:cs="Arial"/>
          <w:i/>
        </w:rPr>
        <w:t>”</w:t>
      </w:r>
      <w:r w:rsidR="00BF0F5C" w:rsidRPr="00BF0F5C">
        <w:rPr>
          <w:rFonts w:ascii="Palatino Linotype" w:hAnsi="Palatino Linotype" w:cs="Arial"/>
          <w:i/>
        </w:rPr>
        <w:t xml:space="preserve"> </w:t>
      </w:r>
    </w:p>
    <w:p w14:paraId="4F1167FF" w14:textId="77777777" w:rsidR="00BF0F5C" w:rsidRDefault="00BF0F5C" w:rsidP="00BF0F5C">
      <w:pPr>
        <w:spacing w:line="360" w:lineRule="auto"/>
        <w:jc w:val="both"/>
        <w:rPr>
          <w:rFonts w:ascii="Palatino Linotype" w:hAnsi="Palatino Linotype" w:cs="Arial"/>
        </w:rPr>
      </w:pPr>
    </w:p>
    <w:p w14:paraId="6442D5A0" w14:textId="4D4A8783" w:rsidR="001F229D" w:rsidRDefault="001F229D" w:rsidP="00BF0F5C">
      <w:pPr>
        <w:spacing w:line="360" w:lineRule="auto"/>
        <w:jc w:val="both"/>
        <w:rPr>
          <w:rFonts w:ascii="Palatino Linotype" w:hAnsi="Palatino Linotype" w:cs="Arial"/>
        </w:rPr>
      </w:pPr>
      <w:r>
        <w:rPr>
          <w:rFonts w:ascii="Palatino Linotype" w:hAnsi="Palatino Linotype" w:cs="Arial"/>
        </w:rPr>
        <w:t xml:space="preserve">Adicionalmente, el </w:t>
      </w:r>
      <w:r w:rsidRPr="00020D94">
        <w:rPr>
          <w:rFonts w:ascii="Palatino Linotype" w:hAnsi="Palatino Linotype" w:cs="Arial"/>
          <w:b/>
        </w:rPr>
        <w:t>Sujeto Obligado</w:t>
      </w:r>
      <w:r>
        <w:rPr>
          <w:rFonts w:ascii="Palatino Linotype" w:hAnsi="Palatino Linotype" w:cs="Arial"/>
        </w:rPr>
        <w:t xml:space="preserve"> adjuntó </w:t>
      </w:r>
      <w:r w:rsidR="00772272">
        <w:rPr>
          <w:rFonts w:ascii="Palatino Linotype" w:hAnsi="Palatino Linotype" w:cs="Arial"/>
        </w:rPr>
        <w:t>el</w:t>
      </w:r>
      <w:r>
        <w:rPr>
          <w:rFonts w:ascii="Palatino Linotype" w:hAnsi="Palatino Linotype" w:cs="Arial"/>
        </w:rPr>
        <w:t xml:space="preserve"> archivo electrónico denominado “</w:t>
      </w:r>
      <w:r w:rsidR="00772272" w:rsidRPr="00772272">
        <w:rPr>
          <w:rFonts w:ascii="Palatino Linotype" w:hAnsi="Palatino Linotype" w:cs="Arial"/>
          <w:b/>
          <w:i/>
        </w:rPr>
        <w:t>SGT O 032 2025 resp sol 00026.pdf</w:t>
      </w:r>
      <w:r>
        <w:rPr>
          <w:rFonts w:ascii="Palatino Linotype" w:hAnsi="Palatino Linotype" w:cs="Arial"/>
          <w:b/>
          <w:i/>
        </w:rPr>
        <w:t xml:space="preserve">”, </w:t>
      </w:r>
      <w:r>
        <w:rPr>
          <w:rFonts w:ascii="Palatino Linotype" w:hAnsi="Palatino Linotype" w:cs="Arial"/>
        </w:rPr>
        <w:t>mismo</w:t>
      </w:r>
      <w:r w:rsidR="00BF0F5C">
        <w:rPr>
          <w:rFonts w:ascii="Palatino Linotype" w:hAnsi="Palatino Linotype" w:cs="Arial"/>
        </w:rPr>
        <w:t>s</w:t>
      </w:r>
      <w:r>
        <w:rPr>
          <w:rFonts w:ascii="Palatino Linotype" w:hAnsi="Palatino Linotype" w:cs="Arial"/>
        </w:rPr>
        <w:t xml:space="preserve"> que no se reproducen por ser del conocimiento de las partes, sin embargo, serán materia de estudio en el considerando respectivo. </w:t>
      </w:r>
    </w:p>
    <w:p w14:paraId="6873E588" w14:textId="77777777" w:rsidR="001F229D" w:rsidRDefault="001F229D" w:rsidP="004F3D62">
      <w:pPr>
        <w:ind w:right="567"/>
        <w:jc w:val="both"/>
        <w:rPr>
          <w:rFonts w:ascii="Palatino Linotype" w:hAnsi="Palatino Linotype" w:cs="Arial"/>
          <w:i/>
        </w:rPr>
      </w:pPr>
    </w:p>
    <w:p w14:paraId="413983EC" w14:textId="6D0093BE" w:rsidR="00551637" w:rsidRPr="002C3EC8" w:rsidRDefault="004234A6" w:rsidP="00551637">
      <w:pPr>
        <w:spacing w:before="240" w:line="360" w:lineRule="auto"/>
        <w:jc w:val="both"/>
        <w:rPr>
          <w:rFonts w:ascii="Palatino Linotype" w:hAnsi="Palatino Linotype" w:cs="Arial"/>
          <w:b/>
          <w:sz w:val="28"/>
        </w:rPr>
      </w:pPr>
      <w:r>
        <w:rPr>
          <w:rFonts w:ascii="Palatino Linotype" w:hAnsi="Palatino Linotype" w:cs="Arial"/>
          <w:b/>
          <w:sz w:val="28"/>
        </w:rPr>
        <w:t>CUARTO</w:t>
      </w:r>
      <w:r w:rsidR="00551637" w:rsidRPr="002C3EC8">
        <w:rPr>
          <w:rFonts w:ascii="Palatino Linotype" w:hAnsi="Palatino Linotype" w:cs="Arial"/>
          <w:b/>
          <w:sz w:val="28"/>
        </w:rPr>
        <w:t xml:space="preserve">. </w:t>
      </w:r>
      <w:r w:rsidR="00551637" w:rsidRPr="002C3EC8">
        <w:rPr>
          <w:rFonts w:ascii="Palatino Linotype" w:hAnsi="Palatino Linotype"/>
          <w:b/>
          <w:sz w:val="28"/>
        </w:rPr>
        <w:t>De</w:t>
      </w:r>
      <w:r w:rsidR="004F3D62">
        <w:rPr>
          <w:rFonts w:ascii="Palatino Linotype" w:hAnsi="Palatino Linotype"/>
          <w:b/>
          <w:sz w:val="28"/>
        </w:rPr>
        <w:t>l</w:t>
      </w:r>
      <w:r w:rsidR="0002503C">
        <w:rPr>
          <w:rFonts w:ascii="Palatino Linotype" w:hAnsi="Palatino Linotype"/>
          <w:b/>
          <w:sz w:val="28"/>
        </w:rPr>
        <w:t xml:space="preserve"> </w:t>
      </w:r>
      <w:r w:rsidR="00551637" w:rsidRPr="002C3EC8">
        <w:rPr>
          <w:rFonts w:ascii="Palatino Linotype" w:hAnsi="Palatino Linotype"/>
          <w:b/>
          <w:sz w:val="28"/>
        </w:rPr>
        <w:t>recurso de revisión.</w:t>
      </w:r>
    </w:p>
    <w:p w14:paraId="5686D5B1" w14:textId="23ADE496" w:rsidR="00551637" w:rsidRDefault="00551637" w:rsidP="00551637">
      <w:pPr>
        <w:spacing w:before="240" w:line="360" w:lineRule="auto"/>
        <w:jc w:val="both"/>
        <w:rPr>
          <w:rFonts w:ascii="Palatino Linotype" w:hAnsi="Palatino Linotype" w:cs="Arial"/>
        </w:rPr>
      </w:pPr>
      <w:r>
        <w:rPr>
          <w:rFonts w:ascii="Palatino Linotype" w:hAnsi="Palatino Linotype" w:cs="Arial"/>
        </w:rPr>
        <w:t>Inconforme con la respuesta notificada</w:t>
      </w:r>
      <w:r w:rsidRPr="002C3EC8">
        <w:rPr>
          <w:rFonts w:ascii="Palatino Linotype" w:hAnsi="Palatino Linotype" w:cs="Arial"/>
        </w:rPr>
        <w:t xml:space="preserve"> por </w:t>
      </w:r>
      <w:r w:rsidRPr="002C3EC8">
        <w:rPr>
          <w:rFonts w:ascii="Palatino Linotype" w:hAnsi="Palatino Linotype" w:cs="Arial"/>
          <w:b/>
        </w:rPr>
        <w:t xml:space="preserve">El Sujeto Obligado, </w:t>
      </w:r>
      <w:r>
        <w:rPr>
          <w:rFonts w:ascii="Palatino Linotype" w:hAnsi="Palatino Linotype" w:cs="Arial"/>
        </w:rPr>
        <w:t>l</w:t>
      </w:r>
      <w:r w:rsidR="00D533A4">
        <w:rPr>
          <w:rFonts w:ascii="Palatino Linotype" w:hAnsi="Palatino Linotype" w:cs="Arial"/>
        </w:rPr>
        <w:t>a</w:t>
      </w:r>
      <w:r w:rsidRPr="002C3EC8">
        <w:rPr>
          <w:rFonts w:ascii="Palatino Linotype" w:hAnsi="Palatino Linotype" w:cs="Arial"/>
          <w:b/>
        </w:rPr>
        <w:t xml:space="preserve"> Recurrente </w:t>
      </w:r>
      <w:r w:rsidRPr="002C3EC8">
        <w:rPr>
          <w:rFonts w:ascii="Palatino Linotype" w:hAnsi="Palatino Linotype" w:cs="Arial"/>
        </w:rPr>
        <w:t xml:space="preserve">interpuso recurso de revisión, en fecha </w:t>
      </w:r>
      <w:r w:rsidR="00772272">
        <w:rPr>
          <w:rFonts w:ascii="Palatino Linotype" w:hAnsi="Palatino Linotype" w:cs="Arial"/>
          <w:b/>
        </w:rPr>
        <w:t>doce</w:t>
      </w:r>
      <w:r w:rsidR="00736965">
        <w:rPr>
          <w:rFonts w:ascii="Palatino Linotype" w:hAnsi="Palatino Linotype" w:cs="Arial"/>
          <w:b/>
        </w:rPr>
        <w:t xml:space="preserve"> de febrero </w:t>
      </w:r>
      <w:r>
        <w:rPr>
          <w:rFonts w:ascii="Palatino Linotype" w:hAnsi="Palatino Linotype" w:cs="Arial"/>
          <w:b/>
        </w:rPr>
        <w:t>de dos mil veinticinco</w:t>
      </w:r>
      <w:r w:rsidRPr="002C3EC8">
        <w:rPr>
          <w:rFonts w:ascii="Palatino Linotype" w:hAnsi="Palatino Linotype" w:cs="Arial"/>
        </w:rPr>
        <w:t xml:space="preserve">, </w:t>
      </w:r>
      <w:r>
        <w:rPr>
          <w:rFonts w:ascii="Palatino Linotype" w:hAnsi="Palatino Linotype" w:cs="Arial"/>
        </w:rPr>
        <w:t>el cual fue registrado</w:t>
      </w:r>
      <w:r w:rsidRPr="002C3EC8">
        <w:rPr>
          <w:rFonts w:ascii="Palatino Linotype" w:hAnsi="Palatino Linotype" w:cs="Arial"/>
        </w:rPr>
        <w:t xml:space="preserve"> </w:t>
      </w:r>
      <w:r>
        <w:rPr>
          <w:rFonts w:ascii="Palatino Linotype" w:hAnsi="Palatino Linotype" w:cs="Arial"/>
        </w:rPr>
        <w:t>en el sistema electrónico con el</w:t>
      </w:r>
      <w:r w:rsidRPr="002C3EC8">
        <w:rPr>
          <w:rFonts w:ascii="Palatino Linotype" w:hAnsi="Palatino Linotype" w:cs="Arial"/>
        </w:rPr>
        <w:t xml:space="preserve"> expediente</w:t>
      </w:r>
      <w:r>
        <w:rPr>
          <w:rFonts w:ascii="Palatino Linotype" w:hAnsi="Palatino Linotype" w:cs="Arial"/>
        </w:rPr>
        <w:t xml:space="preserve"> número</w:t>
      </w:r>
      <w:r w:rsidRPr="002C3EC8">
        <w:rPr>
          <w:rFonts w:ascii="Palatino Linotype" w:hAnsi="Palatino Linotype" w:cs="Arial"/>
        </w:rPr>
        <w:t xml:space="preserve"> </w:t>
      </w:r>
      <w:r w:rsidR="00904AB5">
        <w:rPr>
          <w:rFonts w:ascii="Palatino Linotype" w:hAnsi="Palatino Linotype" w:cs="Arial"/>
          <w:b/>
        </w:rPr>
        <w:t>0</w:t>
      </w:r>
      <w:r w:rsidR="00772272">
        <w:rPr>
          <w:rFonts w:ascii="Palatino Linotype" w:hAnsi="Palatino Linotype" w:cs="Arial"/>
          <w:b/>
        </w:rPr>
        <w:t>1130</w:t>
      </w:r>
      <w:r w:rsidR="00E87D47">
        <w:rPr>
          <w:rFonts w:ascii="Palatino Linotype" w:hAnsi="Palatino Linotype" w:cs="Arial"/>
          <w:b/>
        </w:rPr>
        <w:t>/INFOEM/IP/RR/2025</w:t>
      </w:r>
      <w:r w:rsidRPr="002C3EC8">
        <w:rPr>
          <w:rFonts w:ascii="Palatino Linotype" w:hAnsi="Palatino Linotype" w:cs="Arial"/>
          <w:b/>
        </w:rPr>
        <w:t xml:space="preserve">; </w:t>
      </w:r>
      <w:r w:rsidRPr="002C3EC8">
        <w:rPr>
          <w:rFonts w:ascii="Palatino Linotype" w:hAnsi="Palatino Linotype" w:cs="Arial"/>
        </w:rPr>
        <w:t xml:space="preserve">en </w:t>
      </w:r>
      <w:r w:rsidR="004F3D62">
        <w:rPr>
          <w:rFonts w:ascii="Palatino Linotype" w:hAnsi="Palatino Linotype" w:cs="Arial"/>
        </w:rPr>
        <w:t>el</w:t>
      </w:r>
      <w:r w:rsidRPr="002C3EC8">
        <w:rPr>
          <w:rFonts w:ascii="Palatino Linotype" w:hAnsi="Palatino Linotype" w:cs="Arial"/>
        </w:rPr>
        <w:t xml:space="preserve"> cual arguye las siguientes manifestaciones:</w:t>
      </w:r>
    </w:p>
    <w:p w14:paraId="36FD90E8" w14:textId="74E9889E" w:rsidR="00FD1690" w:rsidRDefault="00551637" w:rsidP="00772272">
      <w:pPr>
        <w:pStyle w:val="Prrafodelista"/>
        <w:numPr>
          <w:ilvl w:val="0"/>
          <w:numId w:val="2"/>
        </w:numPr>
        <w:spacing w:before="240" w:line="360" w:lineRule="auto"/>
        <w:jc w:val="both"/>
        <w:rPr>
          <w:rFonts w:ascii="Palatino Linotype" w:hAnsi="Palatino Linotype" w:cs="Arial"/>
          <w:b/>
          <w:i/>
        </w:rPr>
      </w:pPr>
      <w:r>
        <w:rPr>
          <w:rFonts w:ascii="Palatino Linotype" w:hAnsi="Palatino Linotype" w:cs="Arial"/>
          <w:b/>
          <w:i/>
        </w:rPr>
        <w:t xml:space="preserve">Acto impugnado </w:t>
      </w:r>
      <w:r w:rsidR="00FD1690" w:rsidRPr="00FD1690">
        <w:rPr>
          <w:rFonts w:ascii="Palatino Linotype" w:hAnsi="Palatino Linotype" w:cs="Arial"/>
          <w:i/>
        </w:rPr>
        <w:t>“</w:t>
      </w:r>
      <w:r w:rsidR="00772272" w:rsidRPr="00772272">
        <w:rPr>
          <w:rFonts w:ascii="Palatino Linotype" w:hAnsi="Palatino Linotype" w:cs="Arial"/>
          <w:i/>
        </w:rPr>
        <w:t>Información no precisada</w:t>
      </w:r>
      <w:r w:rsidR="00FD1690" w:rsidRPr="00FD1690">
        <w:rPr>
          <w:rFonts w:ascii="Palatino Linotype" w:hAnsi="Palatino Linotype" w:cs="Arial"/>
          <w:i/>
        </w:rPr>
        <w:t>” (sic)</w:t>
      </w:r>
    </w:p>
    <w:p w14:paraId="38ACDFBC" w14:textId="77777777" w:rsidR="00551637" w:rsidRPr="0033050B" w:rsidRDefault="00551637" w:rsidP="00736965">
      <w:pPr>
        <w:pStyle w:val="Prrafodelista"/>
        <w:numPr>
          <w:ilvl w:val="0"/>
          <w:numId w:val="2"/>
        </w:numPr>
        <w:spacing w:before="240" w:line="360" w:lineRule="auto"/>
        <w:ind w:left="284" w:firstLine="0"/>
        <w:jc w:val="both"/>
        <w:rPr>
          <w:rFonts w:ascii="Palatino Linotype" w:hAnsi="Palatino Linotype" w:cs="Arial"/>
          <w:b/>
          <w:i/>
        </w:rPr>
      </w:pPr>
      <w:r w:rsidRPr="0033050B">
        <w:rPr>
          <w:rFonts w:ascii="Palatino Linotype" w:hAnsi="Palatino Linotype" w:cs="Arial"/>
          <w:b/>
          <w:i/>
        </w:rPr>
        <w:lastRenderedPageBreak/>
        <w:t>Razones o motivos de inconformidad</w:t>
      </w:r>
    </w:p>
    <w:p w14:paraId="5B1005C3" w14:textId="500B166A" w:rsidR="00551637" w:rsidRPr="007E4713" w:rsidRDefault="00551637" w:rsidP="00736965">
      <w:pPr>
        <w:pStyle w:val="INFOEM"/>
        <w:ind w:left="284"/>
      </w:pPr>
      <w:r w:rsidRPr="007E4713">
        <w:t>“</w:t>
      </w:r>
      <w:r w:rsidR="00772272" w:rsidRPr="00772272">
        <w:t>Derivado del análisis del cuestionamiento respondido por el Sujeto Obligado en lo correspondiente a ¿Cuál ha sido el costo de energía eléctrica que consume el Organismo, por todas sus instalaciones, es decir Pozos, Tanques, Rebombeos, Oficinas Administrativas de los años 2021, 2022, 2023, 2024 el Sujeto Obligado contesta la COBERTURA DE AGUA POTABLE durante los años en cuestión, mas no realiza énfasis en si la información es la precisada!</w:t>
      </w:r>
      <w:r>
        <w:t>” (sic)</w:t>
      </w:r>
    </w:p>
    <w:p w14:paraId="4DCE026D" w14:textId="41C74C3E" w:rsidR="004F3D62" w:rsidRPr="009E6263" w:rsidRDefault="009E6263" w:rsidP="009E6263">
      <w:pPr>
        <w:spacing w:line="360" w:lineRule="auto"/>
        <w:jc w:val="both"/>
        <w:rPr>
          <w:rFonts w:ascii="Palatino Linotype" w:hAnsi="Palatino Linotype"/>
        </w:rPr>
      </w:pPr>
      <w:r w:rsidRPr="009E6263">
        <w:rPr>
          <w:rFonts w:ascii="Palatino Linotype" w:hAnsi="Palatino Linotype"/>
        </w:rPr>
        <w:t>A s</w:t>
      </w:r>
      <w:r>
        <w:rPr>
          <w:rFonts w:ascii="Palatino Linotype" w:hAnsi="Palatino Linotype"/>
        </w:rPr>
        <w:t>u escrito de agravios,</w:t>
      </w:r>
      <w:r w:rsidR="008B327F">
        <w:rPr>
          <w:rFonts w:ascii="Palatino Linotype" w:hAnsi="Palatino Linotype"/>
        </w:rPr>
        <w:t xml:space="preserve"> </w:t>
      </w:r>
      <w:r w:rsidRPr="009E6263">
        <w:rPr>
          <w:rFonts w:ascii="Palatino Linotype" w:hAnsi="Palatino Linotype"/>
        </w:rPr>
        <w:t xml:space="preserve">la parte Recurrente, </w:t>
      </w:r>
      <w:r>
        <w:rPr>
          <w:rFonts w:ascii="Palatino Linotype" w:hAnsi="Palatino Linotype"/>
        </w:rPr>
        <w:t xml:space="preserve">adjunta el oficio de respuesta </w:t>
      </w:r>
      <w:r w:rsidR="008B327F">
        <w:rPr>
          <w:rFonts w:ascii="Palatino Linotype" w:hAnsi="Palatino Linotype"/>
        </w:rPr>
        <w:t>notificado.</w:t>
      </w:r>
    </w:p>
    <w:p w14:paraId="5CACA688" w14:textId="32DE92C1" w:rsidR="00551637" w:rsidRPr="002C3EC8" w:rsidRDefault="004234A6" w:rsidP="00551637">
      <w:pPr>
        <w:spacing w:before="240" w:line="360" w:lineRule="auto"/>
        <w:jc w:val="both"/>
        <w:rPr>
          <w:rFonts w:ascii="Palatino Linotype" w:hAnsi="Palatino Linotype" w:cs="Arial"/>
          <w:b/>
        </w:rPr>
      </w:pPr>
      <w:r>
        <w:rPr>
          <w:rFonts w:ascii="Palatino Linotype" w:hAnsi="Palatino Linotype" w:cs="Arial"/>
          <w:b/>
          <w:sz w:val="28"/>
        </w:rPr>
        <w:t>QUINTO</w:t>
      </w:r>
      <w:r w:rsidR="00551637" w:rsidRPr="002C3EC8">
        <w:rPr>
          <w:rFonts w:ascii="Palatino Linotype" w:hAnsi="Palatino Linotype" w:cs="Arial"/>
          <w:b/>
        </w:rPr>
        <w:t xml:space="preserve">. </w:t>
      </w:r>
      <w:r w:rsidR="00551637" w:rsidRPr="002C3EC8">
        <w:rPr>
          <w:rFonts w:ascii="Palatino Linotype" w:hAnsi="Palatino Linotype" w:cs="Arial"/>
          <w:b/>
          <w:sz w:val="28"/>
          <w:szCs w:val="28"/>
        </w:rPr>
        <w:t>Del turno</w:t>
      </w:r>
      <w:r w:rsidR="00551637">
        <w:rPr>
          <w:rFonts w:ascii="Palatino Linotype" w:hAnsi="Palatino Linotype" w:cs="Arial"/>
          <w:b/>
          <w:sz w:val="28"/>
          <w:szCs w:val="28"/>
        </w:rPr>
        <w:t xml:space="preserve"> y admisión</w:t>
      </w:r>
      <w:r w:rsidR="00551637" w:rsidRPr="002C3EC8">
        <w:rPr>
          <w:rFonts w:ascii="Palatino Linotype" w:hAnsi="Palatino Linotype" w:cs="Arial"/>
          <w:b/>
          <w:sz w:val="28"/>
          <w:szCs w:val="28"/>
        </w:rPr>
        <w:t xml:space="preserve"> del recurso de revisión.</w:t>
      </w:r>
    </w:p>
    <w:p w14:paraId="667DA15F" w14:textId="58BBB6CE" w:rsidR="00551637" w:rsidRDefault="00551637" w:rsidP="00551637">
      <w:pPr>
        <w:spacing w:before="240" w:line="360" w:lineRule="auto"/>
        <w:jc w:val="both"/>
        <w:rPr>
          <w:rFonts w:ascii="Palatino Linotype" w:hAnsi="Palatino Linotype" w:cs="Arial"/>
          <w:sz w:val="28"/>
        </w:rPr>
      </w:pPr>
      <w:r>
        <w:rPr>
          <w:rFonts w:ascii="Palatino Linotype" w:hAnsi="Palatino Linotype"/>
        </w:rPr>
        <w:t>El medio de impugnación fue turnado</w:t>
      </w:r>
      <w:r w:rsidR="00F7753C">
        <w:rPr>
          <w:rFonts w:ascii="Palatino Linotype" w:hAnsi="Palatino Linotype"/>
        </w:rPr>
        <w:t>s</w:t>
      </w:r>
      <w:r>
        <w:rPr>
          <w:rFonts w:ascii="Palatino Linotype" w:hAnsi="Palatino Linotype"/>
        </w:rPr>
        <w:t xml:space="preserve"> al Comisionado Presidente</w:t>
      </w:r>
      <w:r w:rsidRPr="002C3EC8">
        <w:rPr>
          <w:rFonts w:ascii="Palatino Linotype" w:hAnsi="Palatino Linotype"/>
        </w:rPr>
        <w:t xml:space="preserve"> </w:t>
      </w:r>
      <w:r>
        <w:rPr>
          <w:rFonts w:ascii="Palatino Linotype" w:hAnsi="Palatino Linotype"/>
          <w:b/>
        </w:rPr>
        <w:t>José Martínez Vilchis,</w:t>
      </w:r>
      <w:r w:rsidRPr="002C3EC8">
        <w:rPr>
          <w:rFonts w:ascii="Palatino Linotype" w:hAnsi="Palatino Linotype"/>
        </w:rPr>
        <w:t xml:space="preserve"> por medio del sistema elect</w:t>
      </w:r>
      <w:r>
        <w:rPr>
          <w:rFonts w:ascii="Palatino Linotype" w:hAnsi="Palatino Linotype"/>
        </w:rPr>
        <w:t>rónico SAIMEX, en términos del artículo</w:t>
      </w:r>
      <w:r w:rsidRPr="002C3EC8">
        <w:rPr>
          <w:rFonts w:ascii="Palatino Linotype" w:hAnsi="Palatino Linotype"/>
        </w:rPr>
        <w:t xml:space="preserve"> 185, fracción I, de la Ley de Transparencia y Acceso a la información Pública del Estado de México y Mu</w:t>
      </w:r>
      <w:r>
        <w:rPr>
          <w:rFonts w:ascii="Palatino Linotype" w:hAnsi="Palatino Linotype"/>
        </w:rPr>
        <w:t>nicipios, de</w:t>
      </w:r>
      <w:r w:rsidR="00E84992">
        <w:rPr>
          <w:rFonts w:ascii="Palatino Linotype" w:hAnsi="Palatino Linotype"/>
        </w:rPr>
        <w:t xml:space="preserve"> </w:t>
      </w:r>
      <w:r>
        <w:rPr>
          <w:rFonts w:ascii="Palatino Linotype" w:hAnsi="Palatino Linotype"/>
        </w:rPr>
        <w:t>l</w:t>
      </w:r>
      <w:r w:rsidR="00E84992">
        <w:rPr>
          <w:rFonts w:ascii="Palatino Linotype" w:hAnsi="Palatino Linotype"/>
        </w:rPr>
        <w:t>os</w:t>
      </w:r>
      <w:r>
        <w:rPr>
          <w:rFonts w:ascii="Palatino Linotype" w:hAnsi="Palatino Linotype"/>
        </w:rPr>
        <w:t xml:space="preserve"> cual</w:t>
      </w:r>
      <w:r w:rsidR="00E84992">
        <w:rPr>
          <w:rFonts w:ascii="Palatino Linotype" w:hAnsi="Palatino Linotype"/>
        </w:rPr>
        <w:t>es</w:t>
      </w:r>
      <w:r>
        <w:rPr>
          <w:rFonts w:ascii="Palatino Linotype" w:hAnsi="Palatino Linotype"/>
        </w:rPr>
        <w:t xml:space="preserve"> recayó acuerdo</w:t>
      </w:r>
      <w:r w:rsidRPr="002C3EC8">
        <w:rPr>
          <w:rFonts w:ascii="Palatino Linotype" w:hAnsi="Palatino Linotype"/>
        </w:rPr>
        <w:t xml:space="preserve"> de </w:t>
      </w:r>
      <w:r w:rsidRPr="00E52C83">
        <w:rPr>
          <w:rFonts w:ascii="Palatino Linotype" w:hAnsi="Palatino Linotype"/>
          <w:b/>
        </w:rPr>
        <w:t>admisión</w:t>
      </w:r>
      <w:r>
        <w:rPr>
          <w:rFonts w:ascii="Palatino Linotype" w:hAnsi="Palatino Linotype"/>
        </w:rPr>
        <w:t xml:space="preserve"> en fecha</w:t>
      </w:r>
      <w:r w:rsidR="00E84992">
        <w:rPr>
          <w:rFonts w:ascii="Palatino Linotype" w:hAnsi="Palatino Linotype"/>
          <w:b/>
        </w:rPr>
        <w:t xml:space="preserve"> </w:t>
      </w:r>
      <w:r w:rsidR="008B327F">
        <w:rPr>
          <w:rFonts w:ascii="Palatino Linotype" w:hAnsi="Palatino Linotype"/>
          <w:b/>
        </w:rPr>
        <w:t>diecisiete</w:t>
      </w:r>
      <w:r w:rsidR="00E87D47">
        <w:rPr>
          <w:rFonts w:ascii="Palatino Linotype" w:hAnsi="Palatino Linotype"/>
          <w:b/>
        </w:rPr>
        <w:t xml:space="preserve"> de febrero</w:t>
      </w:r>
      <w:r>
        <w:rPr>
          <w:rFonts w:ascii="Palatino Linotype" w:hAnsi="Palatino Linotype"/>
          <w:b/>
        </w:rPr>
        <w:t xml:space="preserve"> de dos mil veinticinco</w:t>
      </w:r>
      <w:r w:rsidRPr="002C3EC8">
        <w:rPr>
          <w:rFonts w:ascii="Palatino Linotype" w:hAnsi="Palatino Linotype"/>
        </w:rPr>
        <w:t>, determinándose en ellos, un plazo de siete días para que las partes manifestaran lo que a su derecho corresponda en términos del numeral ya citado.</w:t>
      </w:r>
    </w:p>
    <w:p w14:paraId="7CA49DEA" w14:textId="77777777" w:rsidR="00551637" w:rsidRPr="004C20B7" w:rsidRDefault="00551637" w:rsidP="00551637">
      <w:pPr>
        <w:spacing w:before="240" w:line="360" w:lineRule="auto"/>
        <w:jc w:val="both"/>
        <w:rPr>
          <w:rFonts w:ascii="Palatino Linotype" w:hAnsi="Palatino Linotype" w:cs="Arial"/>
          <w:sz w:val="28"/>
        </w:rPr>
      </w:pPr>
    </w:p>
    <w:p w14:paraId="524B0322" w14:textId="0186E44B" w:rsidR="00551637" w:rsidRPr="00E52C83" w:rsidRDefault="004234A6" w:rsidP="00551637">
      <w:pPr>
        <w:pStyle w:val="Prrafodelista"/>
        <w:spacing w:line="360" w:lineRule="auto"/>
        <w:ind w:left="0"/>
        <w:jc w:val="both"/>
        <w:rPr>
          <w:rFonts w:ascii="Palatino Linotype" w:hAnsi="Palatino Linotype" w:cs="Arial"/>
          <w:b/>
          <w:sz w:val="28"/>
          <w:szCs w:val="28"/>
        </w:rPr>
      </w:pPr>
      <w:r>
        <w:rPr>
          <w:rFonts w:ascii="Palatino Linotype" w:hAnsi="Palatino Linotype" w:cs="Arial"/>
          <w:b/>
          <w:sz w:val="28"/>
        </w:rPr>
        <w:t>SEXTO</w:t>
      </w:r>
      <w:r w:rsidR="00551637" w:rsidRPr="002C3EC8">
        <w:rPr>
          <w:rFonts w:ascii="Palatino Linotype" w:hAnsi="Palatino Linotype" w:cs="Arial"/>
          <w:b/>
          <w:sz w:val="28"/>
          <w:szCs w:val="28"/>
        </w:rPr>
        <w:t>. De la etapa de instrucción.</w:t>
      </w:r>
    </w:p>
    <w:p w14:paraId="3716DA18" w14:textId="13A7D623" w:rsidR="00E87D47" w:rsidRPr="00E87D47" w:rsidRDefault="00E87D47" w:rsidP="00E87D47">
      <w:pPr>
        <w:spacing w:line="360" w:lineRule="auto"/>
        <w:jc w:val="both"/>
        <w:rPr>
          <w:rFonts w:ascii="Palatino Linotype" w:eastAsia="Calibri" w:hAnsi="Palatino Linotype" w:cs="Calibri"/>
          <w:lang w:val="es-MX" w:eastAsia="es-MX"/>
        </w:rPr>
      </w:pPr>
      <w:r w:rsidRPr="00E87D47">
        <w:rPr>
          <w:rFonts w:ascii="Palatino Linotype" w:eastAsia="Calibri" w:hAnsi="Palatino Linotype" w:cs="Arial"/>
          <w:lang w:val="es-MX" w:eastAsia="es-MX"/>
        </w:rPr>
        <w:t xml:space="preserve">De las constancias que obran en el expediente electrónico del SAIMEX, se advierte que el Sujeto Obligado </w:t>
      </w:r>
      <w:r w:rsidR="008B327F">
        <w:rPr>
          <w:rFonts w:ascii="Palatino Linotype" w:eastAsia="Calibri" w:hAnsi="Palatino Linotype" w:cs="Arial"/>
          <w:lang w:val="es-MX" w:eastAsia="es-MX"/>
        </w:rPr>
        <w:t>fue omiso en emitir su informe justificado</w:t>
      </w:r>
      <w:r w:rsidR="004B2351">
        <w:rPr>
          <w:rFonts w:ascii="Palatino Linotype" w:eastAsia="Calibri" w:hAnsi="Palatino Linotype" w:cs="Arial"/>
          <w:lang w:val="es-MX" w:eastAsia="es-MX"/>
        </w:rPr>
        <w:t>.</w:t>
      </w:r>
      <w:r w:rsidRPr="00E87D47">
        <w:rPr>
          <w:rFonts w:ascii="Palatino Linotype" w:eastAsia="Calibri" w:hAnsi="Palatino Linotype" w:cs="Arial"/>
          <w:lang w:val="es-MX" w:eastAsia="es-MX"/>
        </w:rPr>
        <w:t xml:space="preserve">De igual manera, se </w:t>
      </w:r>
      <w:r w:rsidRPr="00E87D47">
        <w:rPr>
          <w:rFonts w:ascii="Palatino Linotype" w:eastAsia="Calibri" w:hAnsi="Palatino Linotype" w:cs="Arial"/>
          <w:lang w:val="es-MX" w:eastAsia="es-MX"/>
        </w:rPr>
        <w:lastRenderedPageBreak/>
        <w:t>advierte que l</w:t>
      </w:r>
      <w:r w:rsidR="00D533A4">
        <w:rPr>
          <w:rFonts w:ascii="Palatino Linotype" w:eastAsia="Calibri" w:hAnsi="Palatino Linotype" w:cs="Arial"/>
          <w:lang w:val="es-MX" w:eastAsia="es-MX"/>
        </w:rPr>
        <w:t>a</w:t>
      </w:r>
      <w:r w:rsidRPr="00E87D47">
        <w:rPr>
          <w:rFonts w:ascii="Palatino Linotype" w:eastAsia="Calibri" w:hAnsi="Palatino Linotype" w:cs="Arial"/>
          <w:lang w:val="es-MX" w:eastAsia="es-MX"/>
        </w:rPr>
        <w:t xml:space="preserve"> Recurrente</w:t>
      </w:r>
      <w:r w:rsidRPr="00E87D47">
        <w:rPr>
          <w:rFonts w:ascii="Palatino Linotype" w:eastAsia="Calibri" w:hAnsi="Palatino Linotype" w:cs="Arial"/>
          <w:b/>
          <w:lang w:val="es-MX" w:eastAsia="es-MX"/>
        </w:rPr>
        <w:t>,</w:t>
      </w:r>
      <w:r w:rsidRPr="00E87D47">
        <w:rPr>
          <w:rFonts w:ascii="Palatino Linotype" w:eastAsia="Calibri" w:hAnsi="Palatino Linotype" w:cs="Arial"/>
          <w:lang w:val="es-MX" w:eastAsia="es-MX"/>
        </w:rPr>
        <w:t xml:space="preserve"> omitió rendir dentro del término de Ley, las manifestaciones que a sus intereses conviniera.</w:t>
      </w:r>
    </w:p>
    <w:p w14:paraId="02B9A157" w14:textId="77777777" w:rsidR="00AB1C05" w:rsidRDefault="00AB1C05" w:rsidP="00E87D47">
      <w:pPr>
        <w:spacing w:line="360" w:lineRule="auto"/>
        <w:jc w:val="both"/>
        <w:rPr>
          <w:rFonts w:ascii="Palatino Linotype" w:hAnsi="Palatino Linotype" w:cs="Arial"/>
          <w:b/>
          <w:sz w:val="28"/>
          <w:szCs w:val="28"/>
        </w:rPr>
      </w:pPr>
    </w:p>
    <w:p w14:paraId="1EC89BE2" w14:textId="2F1421DF" w:rsidR="00551637" w:rsidRPr="002C3EC8" w:rsidRDefault="004234A6" w:rsidP="00551637">
      <w:pPr>
        <w:spacing w:line="360" w:lineRule="auto"/>
        <w:jc w:val="both"/>
        <w:rPr>
          <w:rFonts w:ascii="Palatino Linotype" w:hAnsi="Palatino Linotype" w:cs="Arial"/>
          <w:b/>
          <w:sz w:val="28"/>
          <w:szCs w:val="28"/>
        </w:rPr>
      </w:pPr>
      <w:r>
        <w:rPr>
          <w:rFonts w:ascii="Palatino Linotype" w:hAnsi="Palatino Linotype" w:cs="Arial"/>
          <w:b/>
          <w:sz w:val="28"/>
          <w:szCs w:val="28"/>
        </w:rPr>
        <w:t>SÉPTIMO</w:t>
      </w:r>
      <w:r w:rsidR="00551637" w:rsidRPr="002C3EC8">
        <w:rPr>
          <w:rFonts w:ascii="Palatino Linotype" w:hAnsi="Palatino Linotype" w:cs="Arial"/>
          <w:b/>
          <w:sz w:val="28"/>
          <w:szCs w:val="28"/>
        </w:rPr>
        <w:t>. Del Cierre de Instrucción.</w:t>
      </w:r>
    </w:p>
    <w:p w14:paraId="1110F7F5" w14:textId="59EF10EE" w:rsidR="00551637" w:rsidRDefault="00551637" w:rsidP="00551637">
      <w:pPr>
        <w:spacing w:line="360" w:lineRule="auto"/>
        <w:jc w:val="both"/>
        <w:rPr>
          <w:rFonts w:ascii="Palatino Linotype" w:hAnsi="Palatino Linotype" w:cs="Arial"/>
        </w:rPr>
      </w:pPr>
      <w:r w:rsidRPr="002C3EC8">
        <w:rPr>
          <w:rFonts w:ascii="Palatino Linotype" w:hAnsi="Palatino Linotype" w:cs="Arial"/>
        </w:rPr>
        <w:t xml:space="preserve">Por lo que una vez transcurrido el periodo otorgado a las partes de siete días hábiles para realizar sus manifestaciones en el acuerdo de admisión, y no habiendo prueba pendiente por desahogar, ni que documentos que integrar </w:t>
      </w:r>
      <w:r w:rsidR="001C350E">
        <w:rPr>
          <w:rFonts w:ascii="Palatino Linotype" w:hAnsi="Palatino Linotype" w:cs="Arial"/>
          <w:b/>
        </w:rPr>
        <w:t>seis de marzo</w:t>
      </w:r>
      <w:r>
        <w:rPr>
          <w:rFonts w:ascii="Palatino Linotype" w:hAnsi="Palatino Linotype" w:cs="Arial"/>
          <w:b/>
        </w:rPr>
        <w:t xml:space="preserve"> de dos mil veinticinco</w:t>
      </w:r>
      <w:r w:rsidRPr="002C3EC8">
        <w:rPr>
          <w:rFonts w:ascii="Palatino Linotype" w:hAnsi="Palatino Linotype" w:cs="Arial"/>
        </w:rPr>
        <w:t>, en términos del artículo 185 fracción VI de la Ley de Transparencia y Acceso a la Información Pública del Estado de México y Municipios, ordenándose turnar el expediente a la resolución que en derecho proceda.</w:t>
      </w:r>
    </w:p>
    <w:p w14:paraId="53053716" w14:textId="77777777" w:rsidR="00551637" w:rsidRDefault="00551637" w:rsidP="00551637">
      <w:pPr>
        <w:spacing w:line="360" w:lineRule="auto"/>
        <w:jc w:val="both"/>
        <w:rPr>
          <w:rFonts w:ascii="Palatino Linotype" w:hAnsi="Palatino Linotype" w:cs="Arial"/>
          <w:b/>
          <w:sz w:val="28"/>
          <w:szCs w:val="28"/>
        </w:rPr>
      </w:pPr>
    </w:p>
    <w:p w14:paraId="0A1F32F8" w14:textId="77777777" w:rsidR="00551637" w:rsidRPr="0024200F" w:rsidRDefault="00551637" w:rsidP="00551637">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CONSIDERANDO</w:t>
      </w:r>
    </w:p>
    <w:p w14:paraId="69F2FDC0" w14:textId="77777777" w:rsidR="00551637" w:rsidRPr="00825F67" w:rsidRDefault="00551637" w:rsidP="00551637">
      <w:pPr>
        <w:spacing w:line="360" w:lineRule="auto"/>
        <w:ind w:right="49"/>
        <w:jc w:val="both"/>
        <w:rPr>
          <w:rFonts w:ascii="Palatino Linotype" w:hAnsi="Palatino Linotype"/>
          <w:szCs w:val="28"/>
        </w:rPr>
      </w:pPr>
    </w:p>
    <w:p w14:paraId="29FDAEA7" w14:textId="77777777" w:rsidR="00551637" w:rsidRPr="002C3EC8" w:rsidRDefault="00551637" w:rsidP="00551637">
      <w:pPr>
        <w:spacing w:before="240" w:line="360" w:lineRule="auto"/>
        <w:jc w:val="both"/>
        <w:rPr>
          <w:rFonts w:ascii="Palatino Linotype" w:hAnsi="Palatino Linotype" w:cs="Arial"/>
          <w:sz w:val="28"/>
          <w:szCs w:val="28"/>
        </w:rPr>
      </w:pPr>
      <w:r w:rsidRPr="002C3EC8">
        <w:rPr>
          <w:rFonts w:ascii="Palatino Linotype" w:hAnsi="Palatino Linotype" w:cs="Arial"/>
          <w:b/>
          <w:sz w:val="28"/>
        </w:rPr>
        <w:t>PRIMERO.</w:t>
      </w:r>
      <w:r w:rsidRPr="002C3EC8">
        <w:rPr>
          <w:rFonts w:ascii="Palatino Linotype" w:hAnsi="Palatino Linotype" w:cs="Arial"/>
          <w:b/>
        </w:rPr>
        <w:t xml:space="preserve"> </w:t>
      </w:r>
      <w:r w:rsidRPr="002C3EC8">
        <w:rPr>
          <w:rFonts w:ascii="Palatino Linotype" w:hAnsi="Palatino Linotype" w:cs="Arial"/>
          <w:b/>
          <w:sz w:val="28"/>
          <w:szCs w:val="28"/>
        </w:rPr>
        <w:t>De la competencia</w:t>
      </w:r>
      <w:r w:rsidRPr="002C3EC8">
        <w:rPr>
          <w:rFonts w:ascii="Palatino Linotype" w:hAnsi="Palatino Linotype" w:cs="Arial"/>
          <w:sz w:val="28"/>
          <w:szCs w:val="28"/>
        </w:rPr>
        <w:t>.</w:t>
      </w:r>
    </w:p>
    <w:p w14:paraId="042218D5" w14:textId="2B4CF0A6" w:rsidR="00551637" w:rsidRPr="007C6AB6" w:rsidRDefault="00551637" w:rsidP="00551637">
      <w:pPr>
        <w:tabs>
          <w:tab w:val="left" w:pos="3402"/>
        </w:tabs>
        <w:spacing w:line="360" w:lineRule="auto"/>
        <w:jc w:val="both"/>
        <w:rPr>
          <w:rFonts w:ascii="Palatino Linotype" w:hAnsi="Palatino Linotype"/>
        </w:rPr>
      </w:pPr>
      <w:r w:rsidRPr="007C6AB6">
        <w:rPr>
          <w:rFonts w:ascii="Palatino Linotype" w:hAnsi="Palatino Linotype"/>
        </w:rPr>
        <w:t xml:space="preserve">Este Instituto de Transparencia, Acceso a la Información Pública y Protección de Datos Personales del Estado de México, es competente para conocer y resolver el presente recurso de revisión interpuesto por </w:t>
      </w:r>
      <w:r w:rsidR="00D533A4">
        <w:rPr>
          <w:rFonts w:ascii="Palatino Linotype" w:hAnsi="Palatino Linotype"/>
        </w:rPr>
        <w:t>la</w:t>
      </w:r>
      <w:r w:rsidRPr="007C6AB6">
        <w:rPr>
          <w:rFonts w:ascii="Palatino Linotype" w:hAnsi="Palatino Linotype"/>
        </w:rPr>
        <w:t xml:space="preserve"> Recurrente conforme a lo dispuesto en los artículos 6, apartado A, fracción IV de la Constitución Política de los Estados Unidos Mexicanos; 5, párrafos trigésimo tercero</w:t>
      </w:r>
      <w:r>
        <w:rPr>
          <w:rFonts w:ascii="Palatino Linotype" w:hAnsi="Palatino Linotype"/>
        </w:rPr>
        <w:t xml:space="preserve"> y </w:t>
      </w:r>
      <w:r w:rsidRPr="007C6AB6">
        <w:rPr>
          <w:rFonts w:ascii="Palatino Linotype" w:hAnsi="Palatino Linotype"/>
        </w:rPr>
        <w:t xml:space="preserve">trigésimo </w:t>
      </w:r>
      <w:r>
        <w:rPr>
          <w:rFonts w:ascii="Palatino Linotype" w:hAnsi="Palatino Linotype"/>
        </w:rPr>
        <w:t>cuarto</w:t>
      </w:r>
      <w:r w:rsidRPr="007C6AB6">
        <w:rPr>
          <w:rFonts w:ascii="Palatino Linotype" w:hAnsi="Palatino Linotype"/>
        </w:rPr>
        <w:t xml:space="preserve">, fracciones IV y V, de la Constitución Política del Estado Libre y Soberano de México; artículos 1, 2 fracción II, 13, 29, 36 fracciones I y II, 176, 178, 179, 181 párrafo tercero y 185 de la Ley de </w:t>
      </w:r>
      <w:r w:rsidRPr="007C6AB6">
        <w:rPr>
          <w:rFonts w:ascii="Palatino Linotype" w:hAnsi="Palatino Linotype"/>
        </w:rPr>
        <w:lastRenderedPageBreak/>
        <w:t>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2B1F66E4" w14:textId="77777777" w:rsidR="00551637" w:rsidRPr="002C3EC8" w:rsidRDefault="00551637" w:rsidP="00551637">
      <w:pPr>
        <w:spacing w:before="240" w:line="360" w:lineRule="auto"/>
        <w:jc w:val="both"/>
        <w:rPr>
          <w:rFonts w:ascii="Palatino Linotype" w:eastAsia="Calibri" w:hAnsi="Palatino Linotype"/>
          <w:b/>
          <w:color w:val="000000" w:themeColor="text1"/>
        </w:rPr>
      </w:pPr>
    </w:p>
    <w:p w14:paraId="6EBB058D" w14:textId="77777777" w:rsidR="00551637" w:rsidRPr="002C3EC8" w:rsidRDefault="00551637" w:rsidP="00551637">
      <w:pPr>
        <w:pStyle w:val="Prrafodelista"/>
        <w:autoSpaceDE w:val="0"/>
        <w:autoSpaceDN w:val="0"/>
        <w:adjustRightInd w:val="0"/>
        <w:spacing w:before="240" w:after="160" w:line="360" w:lineRule="auto"/>
        <w:ind w:left="0"/>
        <w:jc w:val="both"/>
        <w:rPr>
          <w:rFonts w:ascii="Palatino Linotype" w:hAnsi="Palatino Linotype" w:cs="Arial"/>
          <w:b/>
        </w:rPr>
      </w:pPr>
      <w:r w:rsidRPr="002C3EC8">
        <w:rPr>
          <w:rFonts w:ascii="Palatino Linotype" w:hAnsi="Palatino Linotype" w:cs="Arial"/>
          <w:b/>
          <w:sz w:val="28"/>
        </w:rPr>
        <w:t>SEGUNDO</w:t>
      </w:r>
      <w:r w:rsidRPr="002C3EC8">
        <w:rPr>
          <w:rFonts w:ascii="Palatino Linotype" w:hAnsi="Palatino Linotype" w:cs="Arial"/>
          <w:b/>
        </w:rPr>
        <w:t xml:space="preserve">. </w:t>
      </w:r>
      <w:r>
        <w:rPr>
          <w:rFonts w:ascii="Palatino Linotype" w:hAnsi="Palatino Linotype" w:cs="Arial"/>
          <w:b/>
          <w:sz w:val="28"/>
          <w:szCs w:val="28"/>
        </w:rPr>
        <w:t xml:space="preserve">Sobre los alcances del </w:t>
      </w:r>
      <w:r w:rsidRPr="002C3EC8">
        <w:rPr>
          <w:rFonts w:ascii="Palatino Linotype" w:hAnsi="Palatino Linotype" w:cs="Arial"/>
          <w:b/>
          <w:sz w:val="28"/>
          <w:szCs w:val="28"/>
        </w:rPr>
        <w:t>recurso</w:t>
      </w:r>
      <w:r>
        <w:rPr>
          <w:rFonts w:ascii="Palatino Linotype" w:hAnsi="Palatino Linotype" w:cs="Arial"/>
          <w:b/>
          <w:sz w:val="28"/>
          <w:szCs w:val="28"/>
        </w:rPr>
        <w:t xml:space="preserve"> </w:t>
      </w:r>
      <w:r w:rsidRPr="002C3EC8">
        <w:rPr>
          <w:rFonts w:ascii="Palatino Linotype" w:hAnsi="Palatino Linotype" w:cs="Arial"/>
          <w:b/>
          <w:sz w:val="28"/>
          <w:szCs w:val="28"/>
        </w:rPr>
        <w:t>de revisión.</w:t>
      </w:r>
      <w:r w:rsidRPr="002C3EC8">
        <w:rPr>
          <w:rFonts w:ascii="Palatino Linotype" w:hAnsi="Palatino Linotype" w:cs="Arial"/>
          <w:b/>
        </w:rPr>
        <w:t xml:space="preserve"> </w:t>
      </w:r>
    </w:p>
    <w:p w14:paraId="17D0F26E" w14:textId="77777777" w:rsidR="00551637" w:rsidRDefault="00551637" w:rsidP="00551637">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28CEA64D" w14:textId="77777777" w:rsidR="004B2351" w:rsidRDefault="004B2351" w:rsidP="00551637">
      <w:pPr>
        <w:pStyle w:val="Prrafodelista"/>
        <w:autoSpaceDE w:val="0"/>
        <w:autoSpaceDN w:val="0"/>
        <w:adjustRightInd w:val="0"/>
        <w:spacing w:before="240" w:after="160" w:line="360" w:lineRule="auto"/>
        <w:ind w:left="0"/>
        <w:jc w:val="both"/>
        <w:rPr>
          <w:rFonts w:ascii="Palatino Linotype" w:hAnsi="Palatino Linotype" w:cs="Arial"/>
          <w:b/>
          <w:sz w:val="28"/>
        </w:rPr>
      </w:pPr>
    </w:p>
    <w:p w14:paraId="48A72ED9" w14:textId="77777777" w:rsidR="00551637" w:rsidRPr="002C3EC8" w:rsidRDefault="00551637" w:rsidP="00551637">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Pr>
          <w:rFonts w:ascii="Palatino Linotype" w:hAnsi="Palatino Linotype" w:cs="Arial"/>
          <w:b/>
          <w:sz w:val="28"/>
        </w:rPr>
        <w:t>TERCERO</w:t>
      </w:r>
      <w:r w:rsidRPr="002C3EC8">
        <w:rPr>
          <w:rFonts w:ascii="Palatino Linotype" w:hAnsi="Palatino Linotype" w:cs="Arial"/>
          <w:b/>
        </w:rPr>
        <w:t xml:space="preserve">. </w:t>
      </w:r>
      <w:r w:rsidRPr="002C3EC8">
        <w:rPr>
          <w:rFonts w:ascii="Palatino Linotype" w:hAnsi="Palatino Linotype" w:cs="Arial"/>
          <w:b/>
          <w:sz w:val="28"/>
          <w:szCs w:val="28"/>
        </w:rPr>
        <w:t>De las causas de improcedencia.</w:t>
      </w:r>
    </w:p>
    <w:p w14:paraId="50BD1BDD" w14:textId="77777777" w:rsidR="00551637" w:rsidRPr="002C3EC8" w:rsidRDefault="00551637" w:rsidP="00551637">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 xml:space="preserve">En el procedimiento de acceso a la información y de los medios de impugnación de la materia, se advierten diversos supuestos de procedibilidad, los cuales deben estudiarse con la finalidad de dar cumplimiento a los principios de legalidad y objetividad </w:t>
      </w:r>
      <w:r w:rsidRPr="002C3EC8">
        <w:rPr>
          <w:rFonts w:ascii="Palatino Linotype" w:hAnsi="Palatino Linotype" w:cs="Arial"/>
        </w:rPr>
        <w:lastRenderedPageBreak/>
        <w:t>inmersos en el artículo 9 de Ley de Transparencia y Acceso a la Información Pública del Estado de México y Municipios, en correlación con la seguridad jurídica que debe generar lo actuado ante este Organismo garante.</w:t>
      </w:r>
    </w:p>
    <w:p w14:paraId="01E2CFBF" w14:textId="77777777" w:rsidR="00551637" w:rsidRPr="002C3EC8" w:rsidRDefault="00551637" w:rsidP="00551637">
      <w:pPr>
        <w:pStyle w:val="Prrafodelista"/>
        <w:autoSpaceDE w:val="0"/>
        <w:autoSpaceDN w:val="0"/>
        <w:adjustRightInd w:val="0"/>
        <w:spacing w:line="360" w:lineRule="auto"/>
        <w:ind w:left="0"/>
        <w:jc w:val="both"/>
        <w:rPr>
          <w:rFonts w:ascii="Palatino Linotype" w:hAnsi="Palatino Linotype" w:cs="Arial"/>
        </w:rPr>
      </w:pPr>
      <w:r w:rsidRPr="002C3EC8">
        <w:rPr>
          <w:rFonts w:ascii="Palatino Linotype" w:hAnsi="Palatino Linotype" w:cs="Arial"/>
        </w:rPr>
        <w:t>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2C3EC8">
        <w:rPr>
          <w:rStyle w:val="Refdenotaalpie"/>
          <w:rFonts w:ascii="Palatino Linotype" w:hAnsi="Palatino Linotype" w:cs="Arial"/>
        </w:rPr>
        <w:footnoteReference w:id="1"/>
      </w:r>
      <w:r w:rsidRPr="002C3EC8">
        <w:rPr>
          <w:rFonts w:ascii="Palatino Linotype" w:hAnsi="Palatino Linotype" w:cs="Arial"/>
        </w:rPr>
        <w:t xml:space="preserve">. Así las cosas, del análisis de los expedientes electrónicos no se advierte ninguna causa de improcedencia que se </w:t>
      </w:r>
      <w:r w:rsidRPr="002C3EC8">
        <w:rPr>
          <w:rFonts w:ascii="Palatino Linotype" w:hAnsi="Palatino Linotype" w:cs="Arial"/>
        </w:rPr>
        <w:lastRenderedPageBreak/>
        <w:t>actualice ni mucho menos alguna hecha valer por alguna de las partes, procediendo al estudio del fondo del asunto, en los siguientes términos.</w:t>
      </w:r>
    </w:p>
    <w:p w14:paraId="7548796C" w14:textId="77777777" w:rsidR="00551637" w:rsidRDefault="00551637" w:rsidP="004C5195">
      <w:pPr>
        <w:tabs>
          <w:tab w:val="left" w:pos="709"/>
        </w:tabs>
        <w:spacing w:line="360" w:lineRule="auto"/>
        <w:ind w:right="51"/>
        <w:jc w:val="both"/>
        <w:rPr>
          <w:rFonts w:ascii="Palatino Linotype" w:hAnsi="Palatino Linotype"/>
          <w:b/>
          <w:sz w:val="28"/>
          <w:szCs w:val="28"/>
        </w:rPr>
      </w:pPr>
    </w:p>
    <w:p w14:paraId="7867166D" w14:textId="77777777" w:rsidR="00551637" w:rsidRPr="002C3EC8" w:rsidRDefault="00551637" w:rsidP="00551637">
      <w:pPr>
        <w:tabs>
          <w:tab w:val="left" w:pos="709"/>
        </w:tabs>
        <w:spacing w:before="240" w:line="360" w:lineRule="auto"/>
        <w:ind w:right="51"/>
        <w:jc w:val="both"/>
        <w:rPr>
          <w:rFonts w:ascii="Palatino Linotype" w:hAnsi="Palatino Linotype"/>
          <w:b/>
          <w:sz w:val="28"/>
          <w:szCs w:val="28"/>
        </w:rPr>
      </w:pPr>
      <w:r>
        <w:rPr>
          <w:rFonts w:ascii="Palatino Linotype" w:hAnsi="Palatino Linotype"/>
          <w:b/>
          <w:sz w:val="28"/>
          <w:szCs w:val="28"/>
        </w:rPr>
        <w:t>CUAR</w:t>
      </w:r>
      <w:r w:rsidRPr="002C3EC8">
        <w:rPr>
          <w:rFonts w:ascii="Palatino Linotype" w:hAnsi="Palatino Linotype"/>
          <w:b/>
          <w:sz w:val="28"/>
          <w:szCs w:val="28"/>
        </w:rPr>
        <w:t xml:space="preserve">TO. Estudio y resolución del asunto </w:t>
      </w:r>
      <w:r w:rsidRPr="002C3EC8">
        <w:rPr>
          <w:rFonts w:ascii="Palatino Linotype" w:hAnsi="Palatino Linotype"/>
          <w:b/>
          <w:sz w:val="28"/>
          <w:szCs w:val="28"/>
        </w:rPr>
        <w:tab/>
      </w:r>
    </w:p>
    <w:p w14:paraId="25D43DA0" w14:textId="77777777" w:rsidR="00551637" w:rsidRPr="007379EE" w:rsidRDefault="00551637" w:rsidP="00551637">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7379EE">
        <w:rPr>
          <w:rFonts w:ascii="Palatino Linotype" w:eastAsia="Palatino Linotype" w:hAnsi="Palatino Linotype" w:cs="Palatino Linotype"/>
          <w:color w:val="000000"/>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7E324905" w14:textId="77777777" w:rsidR="0091141C" w:rsidRDefault="0091141C" w:rsidP="0091141C">
      <w:pPr>
        <w:spacing w:line="360" w:lineRule="auto"/>
        <w:jc w:val="both"/>
        <w:rPr>
          <w:rFonts w:ascii="Palatino Linotype" w:eastAsiaTheme="minorHAnsi" w:hAnsi="Palatino Linotype" w:cs="Arial"/>
          <w:highlight w:val="yellow"/>
          <w:lang w:val="es-MX" w:eastAsia="en-US"/>
        </w:rPr>
      </w:pPr>
    </w:p>
    <w:p w14:paraId="6E8840CD" w14:textId="709E265A" w:rsidR="0091141C" w:rsidRPr="0091141C" w:rsidRDefault="0091141C" w:rsidP="0091141C">
      <w:pPr>
        <w:spacing w:line="360" w:lineRule="auto"/>
        <w:jc w:val="both"/>
        <w:rPr>
          <w:rFonts w:ascii="Palatino Linotype" w:hAnsi="Palatino Linotype"/>
          <w:lang w:val="es-MX"/>
        </w:rPr>
      </w:pPr>
      <w:r w:rsidRPr="0091141C">
        <w:rPr>
          <w:rFonts w:ascii="Palatino Linotype" w:eastAsiaTheme="minorHAnsi" w:hAnsi="Palatino Linotype" w:cs="Arial"/>
          <w:lang w:val="es-MX" w:eastAsia="en-US"/>
        </w:rPr>
        <w:t xml:space="preserve">En este tenor, es necesario subrayar que </w:t>
      </w:r>
      <w:r w:rsidRPr="0091141C">
        <w:rPr>
          <w:rFonts w:ascii="Palatino Linotype" w:hAnsi="Palatino Linotype"/>
          <w:lang w:val="es-MX"/>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7C2AF620" w14:textId="77777777" w:rsidR="0091141C" w:rsidRPr="0091141C" w:rsidRDefault="0091141C" w:rsidP="0091141C">
      <w:pPr>
        <w:spacing w:line="360" w:lineRule="auto"/>
        <w:jc w:val="both"/>
        <w:rPr>
          <w:rFonts w:ascii="Palatino Linotype" w:hAnsi="Palatino Linotype"/>
          <w:lang w:val="es-MX"/>
        </w:rPr>
      </w:pPr>
    </w:p>
    <w:p w14:paraId="17311AFF" w14:textId="77777777" w:rsidR="0091141C" w:rsidRPr="0091141C" w:rsidRDefault="0091141C" w:rsidP="0091141C">
      <w:pPr>
        <w:spacing w:line="360" w:lineRule="auto"/>
        <w:ind w:left="851" w:right="851"/>
        <w:jc w:val="both"/>
        <w:rPr>
          <w:rFonts w:ascii="Palatino Linotype" w:hAnsi="Palatino Linotype"/>
          <w:i/>
          <w:sz w:val="22"/>
          <w:szCs w:val="22"/>
          <w:lang w:val="es-MX"/>
        </w:rPr>
      </w:pPr>
      <w:r w:rsidRPr="0091141C">
        <w:rPr>
          <w:rFonts w:ascii="Palatino Linotype" w:hAnsi="Palatino Linotype"/>
          <w:b/>
          <w:i/>
          <w:sz w:val="22"/>
          <w:szCs w:val="22"/>
          <w:lang w:val="es-MX"/>
        </w:rPr>
        <w:t>“Artículo 4.</w:t>
      </w:r>
      <w:r w:rsidRPr="0091141C">
        <w:rPr>
          <w:rFonts w:ascii="Palatino Linotype" w:hAnsi="Palatino Linotype"/>
          <w:i/>
          <w:sz w:val="22"/>
          <w:szCs w:val="22"/>
          <w:lang w:val="es-MX"/>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51E5555E" w14:textId="77777777" w:rsidR="0091141C" w:rsidRPr="0091141C" w:rsidRDefault="0091141C" w:rsidP="0091141C">
      <w:pPr>
        <w:spacing w:line="360" w:lineRule="auto"/>
        <w:ind w:left="851" w:right="851"/>
        <w:jc w:val="both"/>
        <w:rPr>
          <w:rFonts w:ascii="Palatino Linotype" w:hAnsi="Palatino Linotype"/>
          <w:i/>
          <w:sz w:val="22"/>
          <w:szCs w:val="22"/>
          <w:lang w:val="es-MX"/>
        </w:rPr>
      </w:pPr>
      <w:r w:rsidRPr="0091141C">
        <w:rPr>
          <w:rFonts w:ascii="Palatino Linotype" w:hAnsi="Palatino Linotype"/>
          <w:i/>
          <w:sz w:val="22"/>
          <w:szCs w:val="22"/>
          <w:lang w:val="es-MX"/>
        </w:rPr>
        <w:lastRenderedPageBreak/>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608E1D8" w14:textId="77777777" w:rsidR="0091141C" w:rsidRPr="0091141C" w:rsidRDefault="0091141C" w:rsidP="0091141C">
      <w:pPr>
        <w:spacing w:line="360" w:lineRule="auto"/>
        <w:ind w:left="851" w:right="851"/>
        <w:jc w:val="both"/>
        <w:rPr>
          <w:rFonts w:ascii="Palatino Linotype" w:hAnsi="Palatino Linotype"/>
          <w:i/>
          <w:sz w:val="22"/>
          <w:szCs w:val="22"/>
          <w:lang w:val="es-MX"/>
        </w:rPr>
      </w:pPr>
      <w:r w:rsidRPr="0091141C">
        <w:rPr>
          <w:rFonts w:ascii="Palatino Linotype" w:hAnsi="Palatino Linotype"/>
          <w:i/>
          <w:sz w:val="22"/>
          <w:szCs w:val="22"/>
          <w:lang w:val="es-MX"/>
        </w:rPr>
        <w:t>Los sujetos obligados deben poner en práctica, políticas y programas de acceso a la información que se apeguen a criterios de publicidad, veracidad, oportunidad, precisión y suficiencia en beneficio de los solicitantes.</w:t>
      </w:r>
    </w:p>
    <w:p w14:paraId="7DCD0E7B" w14:textId="77777777" w:rsidR="0091141C" w:rsidRPr="0091141C" w:rsidRDefault="0091141C" w:rsidP="0091141C">
      <w:pPr>
        <w:spacing w:line="360" w:lineRule="auto"/>
        <w:ind w:left="851" w:right="851"/>
        <w:jc w:val="both"/>
        <w:rPr>
          <w:rFonts w:ascii="Palatino Linotype" w:hAnsi="Palatino Linotype"/>
          <w:i/>
          <w:sz w:val="22"/>
          <w:szCs w:val="22"/>
          <w:lang w:val="es-MX"/>
        </w:rPr>
      </w:pPr>
      <w:r w:rsidRPr="0091141C">
        <w:rPr>
          <w:rFonts w:ascii="Palatino Linotype" w:hAnsi="Palatino Linotype"/>
          <w:b/>
          <w:i/>
          <w:sz w:val="22"/>
          <w:szCs w:val="22"/>
          <w:lang w:val="es-MX"/>
        </w:rPr>
        <w:t>Artículo 12.</w:t>
      </w:r>
      <w:r w:rsidRPr="0091141C">
        <w:rPr>
          <w:rFonts w:ascii="Palatino Linotype" w:hAnsi="Palatino Linotype"/>
          <w:i/>
          <w:sz w:val="22"/>
          <w:szCs w:val="22"/>
          <w:lang w:val="es-MX"/>
        </w:rPr>
        <w:t xml:space="preserve"> Quienes generen, recopilen, administren, manejen, procesen, archiven o conserven información pública serán responsables de la misma en los términos de las disposiciones jurídicas aplicables.</w:t>
      </w:r>
    </w:p>
    <w:p w14:paraId="3EB17DEB" w14:textId="77777777" w:rsidR="0091141C" w:rsidRPr="0091141C" w:rsidRDefault="0091141C" w:rsidP="0091141C">
      <w:pPr>
        <w:spacing w:line="360" w:lineRule="auto"/>
        <w:ind w:left="851" w:right="851"/>
        <w:jc w:val="both"/>
        <w:rPr>
          <w:rFonts w:ascii="Palatino Linotype" w:hAnsi="Palatino Linotype"/>
          <w:i/>
          <w:sz w:val="22"/>
          <w:szCs w:val="22"/>
          <w:lang w:val="es-MX"/>
        </w:rPr>
      </w:pPr>
      <w:r w:rsidRPr="0091141C">
        <w:rPr>
          <w:rFonts w:ascii="Palatino Linotype" w:hAnsi="Palatino Linotype"/>
          <w:i/>
          <w:sz w:val="22"/>
          <w:szCs w:val="22"/>
          <w:lang w:val="es-MX"/>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3A387651" w14:textId="77777777" w:rsidR="0091141C" w:rsidRPr="0091141C" w:rsidRDefault="0091141C" w:rsidP="0091141C">
      <w:pPr>
        <w:spacing w:line="360" w:lineRule="auto"/>
        <w:ind w:left="851" w:right="851"/>
        <w:jc w:val="both"/>
        <w:rPr>
          <w:rFonts w:ascii="Palatino Linotype" w:hAnsi="Palatino Linotype"/>
          <w:i/>
          <w:sz w:val="22"/>
          <w:szCs w:val="22"/>
          <w:lang w:val="es-MX"/>
        </w:rPr>
      </w:pPr>
      <w:r w:rsidRPr="0091141C">
        <w:rPr>
          <w:rFonts w:ascii="Palatino Linotype" w:hAnsi="Palatino Linotype"/>
          <w:i/>
          <w:sz w:val="22"/>
          <w:szCs w:val="22"/>
          <w:lang w:val="es-MX"/>
        </w:rPr>
        <w:t>(…)</w:t>
      </w:r>
    </w:p>
    <w:p w14:paraId="231FC204" w14:textId="77777777" w:rsidR="0091141C" w:rsidRPr="0091141C" w:rsidRDefault="0091141C" w:rsidP="0091141C">
      <w:pPr>
        <w:spacing w:line="360" w:lineRule="auto"/>
        <w:ind w:left="851" w:right="851"/>
        <w:jc w:val="both"/>
        <w:rPr>
          <w:rFonts w:ascii="Palatino Linotype" w:hAnsi="Palatino Linotype"/>
          <w:b/>
          <w:i/>
          <w:sz w:val="22"/>
          <w:szCs w:val="22"/>
          <w:lang w:val="es-MX"/>
        </w:rPr>
      </w:pPr>
      <w:r w:rsidRPr="0091141C">
        <w:rPr>
          <w:rFonts w:ascii="Palatino Linotype" w:hAnsi="Palatino Linotype"/>
          <w:b/>
          <w:i/>
          <w:sz w:val="22"/>
          <w:szCs w:val="22"/>
          <w:lang w:val="es-MX"/>
        </w:rPr>
        <w:t xml:space="preserve">Artículo 24. </w:t>
      </w:r>
    </w:p>
    <w:p w14:paraId="1462DCF6" w14:textId="77777777" w:rsidR="0091141C" w:rsidRPr="0091141C" w:rsidRDefault="0091141C" w:rsidP="0091141C">
      <w:pPr>
        <w:spacing w:line="360" w:lineRule="auto"/>
        <w:ind w:left="851" w:right="851"/>
        <w:jc w:val="both"/>
        <w:rPr>
          <w:rFonts w:ascii="Palatino Linotype" w:hAnsi="Palatino Linotype"/>
          <w:i/>
          <w:sz w:val="22"/>
          <w:szCs w:val="22"/>
          <w:lang w:val="es-MX"/>
        </w:rPr>
      </w:pPr>
      <w:r w:rsidRPr="0091141C">
        <w:rPr>
          <w:rFonts w:ascii="Palatino Linotype" w:hAnsi="Palatino Linotype"/>
          <w:i/>
          <w:sz w:val="22"/>
          <w:szCs w:val="22"/>
          <w:lang w:val="es-MX"/>
        </w:rPr>
        <w:t>(…)</w:t>
      </w:r>
    </w:p>
    <w:p w14:paraId="2FC3841D" w14:textId="77777777" w:rsidR="0091141C" w:rsidRPr="0091141C" w:rsidRDefault="0091141C" w:rsidP="0091141C">
      <w:pPr>
        <w:spacing w:line="360" w:lineRule="auto"/>
        <w:ind w:left="851" w:right="851"/>
        <w:jc w:val="both"/>
        <w:rPr>
          <w:rFonts w:ascii="Palatino Linotype" w:hAnsi="Palatino Linotype"/>
          <w:i/>
          <w:sz w:val="22"/>
          <w:szCs w:val="22"/>
          <w:lang w:val="es-MX"/>
        </w:rPr>
      </w:pPr>
      <w:r w:rsidRPr="0091141C">
        <w:rPr>
          <w:rFonts w:ascii="Palatino Linotype" w:hAnsi="Palatino Linotype"/>
          <w:i/>
          <w:sz w:val="22"/>
          <w:szCs w:val="22"/>
          <w:lang w:val="es-MX"/>
        </w:rPr>
        <w:t>Los sujetos obligados solo proporcionarán la información pública que generen, administren o posean en el ejercicio de sus atribuciones.”</w:t>
      </w:r>
    </w:p>
    <w:p w14:paraId="7AB00F98" w14:textId="77777777" w:rsidR="0091141C" w:rsidRPr="0091141C" w:rsidRDefault="0091141C" w:rsidP="0091141C">
      <w:pPr>
        <w:spacing w:line="360" w:lineRule="auto"/>
        <w:ind w:left="851" w:right="851"/>
        <w:jc w:val="both"/>
        <w:rPr>
          <w:rFonts w:ascii="Palatino Linotype" w:hAnsi="Palatino Linotype"/>
          <w:i/>
          <w:sz w:val="22"/>
          <w:szCs w:val="22"/>
          <w:lang w:val="es-MX"/>
        </w:rPr>
      </w:pPr>
      <w:r w:rsidRPr="0091141C">
        <w:rPr>
          <w:rFonts w:ascii="Palatino Linotype" w:hAnsi="Palatino Linotype"/>
          <w:i/>
          <w:sz w:val="22"/>
          <w:szCs w:val="22"/>
          <w:lang w:val="es-MX"/>
        </w:rPr>
        <w:lastRenderedPageBreak/>
        <w:t>(…)</w:t>
      </w:r>
    </w:p>
    <w:p w14:paraId="4F5329DC" w14:textId="77777777" w:rsidR="0091141C" w:rsidRPr="0091141C" w:rsidRDefault="0091141C" w:rsidP="0091141C">
      <w:pPr>
        <w:spacing w:line="360" w:lineRule="auto"/>
        <w:ind w:left="851" w:right="851"/>
        <w:jc w:val="both"/>
        <w:rPr>
          <w:rFonts w:ascii="Palatino Linotype" w:hAnsi="Palatino Linotype"/>
          <w:i/>
          <w:sz w:val="22"/>
          <w:szCs w:val="22"/>
          <w:lang w:val="es-MX"/>
        </w:rPr>
      </w:pPr>
      <w:r w:rsidRPr="0091141C">
        <w:rPr>
          <w:rFonts w:ascii="Palatino Linotype" w:hAnsi="Palatino Linotype"/>
          <w:b/>
          <w:i/>
          <w:sz w:val="22"/>
          <w:szCs w:val="22"/>
          <w:lang w:val="es-MX"/>
        </w:rPr>
        <w:t>Artículo 160.</w:t>
      </w:r>
      <w:r w:rsidRPr="0091141C">
        <w:rPr>
          <w:rFonts w:ascii="Palatino Linotype" w:hAnsi="Palatino Linotype"/>
          <w:i/>
          <w:sz w:val="22"/>
          <w:szCs w:val="22"/>
          <w:lang w:val="es-MX"/>
        </w:rPr>
        <w:t xml:space="preserve"> Los sujetos obligados deberán otorgar acceso a los documentos que se </w:t>
      </w:r>
      <w:r w:rsidRPr="0091141C">
        <w:rPr>
          <w:rFonts w:ascii="Palatino Linotype" w:hAnsi="Palatino Linotype"/>
          <w:b/>
          <w:i/>
          <w:sz w:val="22"/>
          <w:szCs w:val="22"/>
          <w:lang w:val="es-MX"/>
        </w:rPr>
        <w:t xml:space="preserve"> </w:t>
      </w:r>
      <w:r w:rsidRPr="0091141C">
        <w:rPr>
          <w:rFonts w:ascii="Palatino Linotype" w:hAnsi="Palatino Linotype"/>
          <w:i/>
          <w:sz w:val="22"/>
          <w:szCs w:val="22"/>
          <w:lang w:val="es-MX"/>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4479CFA3" w14:textId="77777777" w:rsidR="0091141C" w:rsidRPr="0091141C" w:rsidRDefault="0091141C" w:rsidP="0091141C">
      <w:pPr>
        <w:spacing w:line="360" w:lineRule="auto"/>
        <w:ind w:left="851" w:right="851"/>
        <w:jc w:val="both"/>
        <w:rPr>
          <w:rFonts w:ascii="Palatino Linotype" w:hAnsi="Palatino Linotype"/>
          <w:b/>
          <w:i/>
          <w:sz w:val="22"/>
          <w:szCs w:val="22"/>
          <w:lang w:val="es-MX"/>
        </w:rPr>
      </w:pPr>
      <w:r w:rsidRPr="0091141C">
        <w:rPr>
          <w:rFonts w:ascii="Palatino Linotype" w:hAnsi="Palatino Linotype"/>
          <w:i/>
          <w:sz w:val="22"/>
          <w:szCs w:val="22"/>
          <w:lang w:val="es-MX"/>
        </w:rPr>
        <w:t>En caso que la información solicitada consista en bases de datos se deberá privilegiar la entrega de la misma en formatos abiertos.”</w:t>
      </w:r>
      <w:r w:rsidRPr="0091141C">
        <w:rPr>
          <w:rFonts w:ascii="Palatino Linotype" w:hAnsi="Palatino Linotype"/>
          <w:b/>
          <w:i/>
          <w:sz w:val="22"/>
          <w:szCs w:val="22"/>
          <w:lang w:val="es-MX"/>
        </w:rPr>
        <w:t>[Sic]</w:t>
      </w:r>
    </w:p>
    <w:p w14:paraId="101F7D94" w14:textId="77777777" w:rsidR="0091141C" w:rsidRPr="0091141C" w:rsidRDefault="0091141C" w:rsidP="0091141C">
      <w:pPr>
        <w:spacing w:line="360" w:lineRule="auto"/>
        <w:jc w:val="both"/>
        <w:rPr>
          <w:rFonts w:ascii="Palatino Linotype" w:hAnsi="Palatino Linotype"/>
          <w:lang w:val="es-MX"/>
        </w:rPr>
      </w:pPr>
    </w:p>
    <w:p w14:paraId="232156AE" w14:textId="77777777" w:rsidR="0091141C" w:rsidRPr="0091141C" w:rsidRDefault="0091141C" w:rsidP="0091141C">
      <w:pPr>
        <w:spacing w:line="360" w:lineRule="auto"/>
        <w:jc w:val="both"/>
        <w:rPr>
          <w:rFonts w:ascii="Palatino Linotype" w:hAnsi="Palatino Linotype"/>
          <w:lang w:val="es-MX"/>
        </w:rPr>
      </w:pPr>
      <w:r w:rsidRPr="0091141C">
        <w:rPr>
          <w:rFonts w:ascii="Palatino Linotype" w:hAnsi="Palatino Linotype"/>
          <w:lang w:val="es-MX"/>
        </w:rPr>
        <w:t xml:space="preserve">Así que la obligación de los </w:t>
      </w:r>
      <w:r w:rsidRPr="0091141C">
        <w:rPr>
          <w:rFonts w:ascii="Palatino Linotype" w:hAnsi="Palatino Linotype"/>
          <w:b/>
          <w:lang w:val="es-MX"/>
        </w:rPr>
        <w:t>Sujetos Obligados</w:t>
      </w:r>
      <w:r w:rsidRPr="0091141C">
        <w:rPr>
          <w:rFonts w:ascii="Palatino Linotype" w:hAnsi="Palatino Linotype"/>
          <w:lang w:val="es-MX"/>
        </w:rPr>
        <w:t xml:space="preserve">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91141C">
        <w:rPr>
          <w:rFonts w:ascii="Palatino Linotype" w:hAnsi="Palatino Linotype"/>
          <w:bCs/>
          <w:lang w:val="es-MX"/>
        </w:rPr>
        <w:t>de la Ley local en la materia, que se reproduce de la siguiente forma</w:t>
      </w:r>
      <w:r w:rsidRPr="0091141C">
        <w:rPr>
          <w:rFonts w:ascii="Palatino Linotype" w:hAnsi="Palatino Linotype"/>
          <w:lang w:val="es-MX"/>
        </w:rPr>
        <w:t>:</w:t>
      </w:r>
    </w:p>
    <w:p w14:paraId="510728BA" w14:textId="77777777" w:rsidR="0091141C" w:rsidRPr="0091141C" w:rsidRDefault="0091141C" w:rsidP="0091141C">
      <w:pPr>
        <w:spacing w:line="360" w:lineRule="auto"/>
        <w:jc w:val="both"/>
        <w:rPr>
          <w:rFonts w:ascii="Palatino Linotype" w:hAnsi="Palatino Linotype"/>
          <w:lang w:val="es-MX"/>
        </w:rPr>
      </w:pPr>
    </w:p>
    <w:p w14:paraId="1AB24768" w14:textId="77777777" w:rsidR="0091141C" w:rsidRPr="0091141C" w:rsidRDefault="0091141C" w:rsidP="0091141C">
      <w:pPr>
        <w:spacing w:line="360" w:lineRule="auto"/>
        <w:ind w:left="851" w:right="851"/>
        <w:jc w:val="both"/>
        <w:rPr>
          <w:rFonts w:ascii="Palatino Linotype" w:hAnsi="Palatino Linotype" w:cs="Arial"/>
          <w:b/>
          <w:i/>
          <w:sz w:val="22"/>
          <w:szCs w:val="22"/>
          <w:lang w:val="es-MX"/>
        </w:rPr>
      </w:pPr>
      <w:r w:rsidRPr="0091141C">
        <w:rPr>
          <w:rFonts w:ascii="Palatino Linotype" w:hAnsi="Palatino Linotype" w:cs="Arial"/>
          <w:i/>
          <w:sz w:val="22"/>
          <w:szCs w:val="22"/>
          <w:lang w:val="es-MX"/>
        </w:rPr>
        <w:t>“</w:t>
      </w:r>
      <w:r w:rsidRPr="0091141C">
        <w:rPr>
          <w:rFonts w:ascii="Palatino Linotype" w:hAnsi="Palatino Linotype" w:cs="Arial"/>
          <w:b/>
          <w:bCs/>
          <w:i/>
          <w:sz w:val="22"/>
          <w:szCs w:val="22"/>
          <w:lang w:val="es-MX"/>
        </w:rPr>
        <w:t>Artículo 166</w:t>
      </w:r>
      <w:r w:rsidRPr="0091141C">
        <w:rPr>
          <w:rFonts w:ascii="Palatino Linotype" w:hAnsi="Palatino Linotype" w:cs="Arial"/>
          <w:i/>
          <w:sz w:val="22"/>
          <w:szCs w:val="22"/>
          <w:lang w:val="es-MX"/>
        </w:rPr>
        <w:t xml:space="preserve">. La obligación de acceso a la información pública se tendrá por cumplida cuando el solicitante tenga a su disposición la información requerida, o cuando realice la consulta de la misma en el lugar en el que ésta se localice.” </w:t>
      </w:r>
      <w:r w:rsidRPr="0091141C">
        <w:rPr>
          <w:rFonts w:ascii="Palatino Linotype" w:hAnsi="Palatino Linotype" w:cs="Arial"/>
          <w:b/>
          <w:i/>
          <w:sz w:val="22"/>
          <w:szCs w:val="22"/>
          <w:lang w:val="es-MX"/>
        </w:rPr>
        <w:t>[Sic]</w:t>
      </w:r>
    </w:p>
    <w:p w14:paraId="5A4CD780" w14:textId="77777777" w:rsidR="00551637" w:rsidRDefault="00551637" w:rsidP="00551637">
      <w:pPr>
        <w:autoSpaceDE w:val="0"/>
        <w:autoSpaceDN w:val="0"/>
        <w:adjustRightInd w:val="0"/>
        <w:ind w:right="567"/>
        <w:rPr>
          <w:rFonts w:ascii="Palatino Linotype" w:eastAsia="Calibri" w:hAnsi="Palatino Linotype" w:cs="Arial"/>
        </w:rPr>
      </w:pPr>
    </w:p>
    <w:p w14:paraId="7098474D" w14:textId="77777777" w:rsidR="0091141C" w:rsidRPr="0091141C" w:rsidRDefault="0091141C" w:rsidP="0091141C">
      <w:pPr>
        <w:spacing w:line="360" w:lineRule="auto"/>
        <w:jc w:val="both"/>
        <w:rPr>
          <w:rFonts w:ascii="Palatino Linotype" w:eastAsia="Palatino Linotype" w:hAnsi="Palatino Linotype" w:cs="Palatino Linotype"/>
          <w:lang w:val="es-ES_tradnl" w:eastAsia="es-MX"/>
        </w:rPr>
      </w:pPr>
      <w:r w:rsidRPr="0091141C">
        <w:rPr>
          <w:rFonts w:ascii="Palatino Linotype" w:eastAsia="Palatino Linotype" w:hAnsi="Palatino Linotype" w:cs="Palatino Linotype"/>
          <w:lang w:val="es-ES_tradnl" w:eastAsia="es-MX"/>
        </w:rPr>
        <w:t>En ese orden de ideas, la Ley de Transparencia y Acceso a la Información Pública del Estado de México y Municipios, prevé en su artículo 23, fracción IV, lo siguiente:</w:t>
      </w:r>
    </w:p>
    <w:p w14:paraId="1CF459AC" w14:textId="77777777" w:rsidR="0091141C" w:rsidRPr="0091141C" w:rsidRDefault="0091141C" w:rsidP="0091141C">
      <w:pPr>
        <w:spacing w:line="360" w:lineRule="auto"/>
        <w:jc w:val="both"/>
        <w:rPr>
          <w:rFonts w:ascii="Palatino Linotype" w:eastAsia="Palatino Linotype" w:hAnsi="Palatino Linotype" w:cs="Palatino Linotype"/>
          <w:lang w:val="es-ES_tradnl" w:eastAsia="es-MX"/>
        </w:rPr>
      </w:pPr>
    </w:p>
    <w:p w14:paraId="6520E955" w14:textId="77777777" w:rsidR="0091141C" w:rsidRPr="0091141C" w:rsidRDefault="0091141C" w:rsidP="0091141C">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eastAsia="es-MX"/>
        </w:rPr>
      </w:pPr>
      <w:r w:rsidRPr="0091141C">
        <w:rPr>
          <w:rFonts w:ascii="Palatino Linotype" w:eastAsia="Palatino Linotype" w:hAnsi="Palatino Linotype" w:cs="Palatino Linotype"/>
          <w:b/>
          <w:i/>
          <w:color w:val="000000"/>
          <w:sz w:val="22"/>
          <w:lang w:val="es-ES_tradnl" w:eastAsia="es-MX"/>
        </w:rPr>
        <w:t>Artículo 23.</w:t>
      </w:r>
      <w:r w:rsidRPr="0091141C">
        <w:rPr>
          <w:rFonts w:ascii="Palatino Linotype" w:eastAsia="Palatino Linotype" w:hAnsi="Palatino Linotype" w:cs="Palatino Linotype"/>
          <w:i/>
          <w:color w:val="000000"/>
          <w:sz w:val="22"/>
          <w:lang w:val="es-ES_tradnl" w:eastAsia="es-MX"/>
        </w:rPr>
        <w:t xml:space="preserve"> Son sujetos obligados a transparentar y permitir el acceso a su información y proteger los datos personales que obren en su poder:</w:t>
      </w:r>
    </w:p>
    <w:p w14:paraId="3AA45784" w14:textId="77777777" w:rsidR="0091141C" w:rsidRPr="0091141C" w:rsidRDefault="0091141C" w:rsidP="0091141C">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eastAsia="es-MX"/>
        </w:rPr>
      </w:pPr>
      <w:r w:rsidRPr="0091141C">
        <w:rPr>
          <w:rFonts w:ascii="Palatino Linotype" w:eastAsia="Palatino Linotype" w:hAnsi="Palatino Linotype" w:cs="Palatino Linotype"/>
          <w:i/>
          <w:color w:val="000000"/>
          <w:sz w:val="22"/>
          <w:lang w:val="es-ES_tradnl" w:eastAsia="es-MX"/>
        </w:rPr>
        <w:lastRenderedPageBreak/>
        <w:t>[…]</w:t>
      </w:r>
    </w:p>
    <w:p w14:paraId="4DBE4389" w14:textId="77777777" w:rsidR="0091141C" w:rsidRPr="0091141C" w:rsidRDefault="0091141C" w:rsidP="0091141C">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eastAsia="es-MX"/>
        </w:rPr>
      </w:pPr>
      <w:r w:rsidRPr="0091141C">
        <w:rPr>
          <w:rFonts w:ascii="Palatino Linotype" w:eastAsia="Palatino Linotype" w:hAnsi="Palatino Linotype" w:cs="Palatino Linotype"/>
          <w:b/>
          <w:bCs/>
          <w:i/>
          <w:color w:val="000000"/>
          <w:sz w:val="22"/>
          <w:lang w:val="es-ES_tradnl" w:eastAsia="es-MX"/>
        </w:rPr>
        <w:t xml:space="preserve">IV. </w:t>
      </w:r>
      <w:r w:rsidRPr="0091141C">
        <w:rPr>
          <w:rFonts w:ascii="Palatino Linotype" w:eastAsia="Palatino Linotype" w:hAnsi="Palatino Linotype" w:cs="Palatino Linotype"/>
          <w:i/>
          <w:color w:val="000000"/>
          <w:sz w:val="22"/>
          <w:lang w:val="es-ES_tradnl" w:eastAsia="es-MX"/>
        </w:rPr>
        <w:t>Los ayuntamientos y las dependencias, organismos, órganos y entidades de la administración municipal;</w:t>
      </w:r>
    </w:p>
    <w:p w14:paraId="1731BDC8" w14:textId="77777777" w:rsidR="0091141C" w:rsidRPr="0091141C" w:rsidRDefault="0091141C" w:rsidP="0091141C">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eastAsia="es-MX"/>
        </w:rPr>
      </w:pPr>
      <w:r w:rsidRPr="0091141C">
        <w:rPr>
          <w:rFonts w:ascii="Palatino Linotype" w:eastAsia="Palatino Linotype" w:hAnsi="Palatino Linotype" w:cs="Palatino Linotype"/>
          <w:i/>
          <w:color w:val="000000"/>
          <w:sz w:val="22"/>
          <w:lang w:val="es-ES_tradnl" w:eastAsia="es-MX"/>
        </w:rPr>
        <w:t>[…]</w:t>
      </w:r>
    </w:p>
    <w:p w14:paraId="50F42211" w14:textId="77777777" w:rsidR="00551637" w:rsidRDefault="00551637" w:rsidP="00551637">
      <w:pPr>
        <w:autoSpaceDE w:val="0"/>
        <w:autoSpaceDN w:val="0"/>
        <w:adjustRightInd w:val="0"/>
        <w:ind w:right="567"/>
        <w:rPr>
          <w:rFonts w:ascii="Palatino Linotype" w:eastAsia="Calibri" w:hAnsi="Palatino Linotype" w:cs="Arial"/>
        </w:rPr>
      </w:pPr>
    </w:p>
    <w:p w14:paraId="35CA4492" w14:textId="0AB6F933" w:rsidR="00D41F0F" w:rsidRDefault="00D41F0F" w:rsidP="00E3264F">
      <w:pPr>
        <w:autoSpaceDE w:val="0"/>
        <w:autoSpaceDN w:val="0"/>
        <w:adjustRightInd w:val="0"/>
        <w:spacing w:line="360" w:lineRule="auto"/>
        <w:ind w:right="49"/>
        <w:jc w:val="both"/>
        <w:rPr>
          <w:rFonts w:ascii="Palatino Linotype" w:eastAsia="Calibri" w:hAnsi="Palatino Linotype" w:cs="Arial"/>
        </w:rPr>
      </w:pPr>
      <w:r>
        <w:rPr>
          <w:rFonts w:ascii="Palatino Linotype" w:eastAsia="Calibri" w:hAnsi="Palatino Linotype" w:cs="Arial"/>
        </w:rPr>
        <w:t xml:space="preserve">En este sentido, se resalta que el OAPAS forma parte de la </w:t>
      </w:r>
      <w:r w:rsidR="00690CAA">
        <w:rPr>
          <w:rFonts w:ascii="Palatino Linotype" w:eastAsia="Calibri" w:hAnsi="Palatino Linotype" w:cs="Arial"/>
        </w:rPr>
        <w:t>administración</w:t>
      </w:r>
      <w:r>
        <w:rPr>
          <w:rFonts w:ascii="Palatino Linotype" w:eastAsia="Calibri" w:hAnsi="Palatino Linotype" w:cs="Arial"/>
        </w:rPr>
        <w:t xml:space="preserve"> pública descentra</w:t>
      </w:r>
      <w:r w:rsidR="00690CAA">
        <w:rPr>
          <w:rFonts w:ascii="Palatino Linotype" w:eastAsia="Calibri" w:hAnsi="Palatino Linotype" w:cs="Arial"/>
        </w:rPr>
        <w:t xml:space="preserve">lizada </w:t>
      </w:r>
      <w:r w:rsidR="00E3264F">
        <w:rPr>
          <w:rFonts w:ascii="Palatino Linotype" w:eastAsia="Calibri" w:hAnsi="Palatino Linotype" w:cs="Arial"/>
        </w:rPr>
        <w:t>y es la entidad responsable de operar los servicios de suministro, drenaje y alcantarillado municipal.</w:t>
      </w:r>
    </w:p>
    <w:p w14:paraId="6B00F8AF" w14:textId="60F3AECC" w:rsidR="00D41F0F" w:rsidRPr="00F54677" w:rsidRDefault="00E3264F" w:rsidP="00690CAA">
      <w:pPr>
        <w:autoSpaceDE w:val="0"/>
        <w:autoSpaceDN w:val="0"/>
        <w:adjustRightInd w:val="0"/>
        <w:spacing w:line="360" w:lineRule="auto"/>
        <w:ind w:right="567"/>
        <w:rPr>
          <w:rFonts w:ascii="Palatino Linotype" w:eastAsia="Calibri" w:hAnsi="Palatino Linotype" w:cs="Arial"/>
          <w:i/>
          <w:iCs/>
        </w:rPr>
      </w:pPr>
      <w:r w:rsidRPr="00F54677">
        <w:rPr>
          <w:rFonts w:ascii="Palatino Linotype" w:eastAsia="Calibri" w:hAnsi="Palatino Linotype" w:cs="Arial"/>
          <w:i/>
          <w:iCs/>
        </w:rPr>
        <w:t xml:space="preserve">Del Bando Municipal </w:t>
      </w:r>
      <w:r w:rsidR="00F54677">
        <w:rPr>
          <w:rFonts w:ascii="Palatino Linotype" w:eastAsia="Calibri" w:hAnsi="Palatino Linotype" w:cs="Arial"/>
          <w:i/>
          <w:iCs/>
        </w:rPr>
        <w:t>2025</w:t>
      </w:r>
    </w:p>
    <w:p w14:paraId="74B676FA" w14:textId="0524D4DC" w:rsidR="00E3264F" w:rsidRPr="00E3264F" w:rsidRDefault="00E3264F" w:rsidP="00E3264F">
      <w:pPr>
        <w:autoSpaceDE w:val="0"/>
        <w:autoSpaceDN w:val="0"/>
        <w:adjustRightInd w:val="0"/>
        <w:spacing w:line="360" w:lineRule="auto"/>
        <w:ind w:left="851" w:right="567"/>
        <w:jc w:val="both"/>
        <w:rPr>
          <w:rFonts w:ascii="Palatino Linotype" w:eastAsia="Calibri" w:hAnsi="Palatino Linotype" w:cs="Arial"/>
          <w:i/>
          <w:iCs/>
          <w:sz w:val="22"/>
          <w:szCs w:val="22"/>
        </w:rPr>
      </w:pPr>
      <w:r w:rsidRPr="00E3264F">
        <w:rPr>
          <w:rFonts w:ascii="Palatino Linotype" w:eastAsia="Calibri" w:hAnsi="Palatino Linotype" w:cs="Arial"/>
          <w:b/>
          <w:bCs/>
          <w:i/>
          <w:iCs/>
          <w:sz w:val="22"/>
          <w:szCs w:val="22"/>
        </w:rPr>
        <w:t>Artículo 125.</w:t>
      </w:r>
      <w:r w:rsidRPr="00E3264F">
        <w:rPr>
          <w:rFonts w:ascii="Palatino Linotype" w:eastAsia="Calibri" w:hAnsi="Palatino Linotype" w:cs="Arial"/>
          <w:i/>
          <w:iCs/>
          <w:sz w:val="22"/>
          <w:szCs w:val="22"/>
        </w:rPr>
        <w:t xml:space="preserve"> El OAPAS forma parte de la Administración Pública Municipal</w:t>
      </w:r>
      <w:r>
        <w:rPr>
          <w:rFonts w:ascii="Palatino Linotype" w:eastAsia="Calibri" w:hAnsi="Palatino Linotype" w:cs="Arial"/>
          <w:i/>
          <w:iCs/>
          <w:sz w:val="22"/>
          <w:szCs w:val="22"/>
        </w:rPr>
        <w:t xml:space="preserve"> D</w:t>
      </w:r>
      <w:r w:rsidRPr="00E3264F">
        <w:rPr>
          <w:rFonts w:ascii="Palatino Linotype" w:eastAsia="Calibri" w:hAnsi="Palatino Linotype" w:cs="Arial"/>
          <w:i/>
          <w:iCs/>
          <w:sz w:val="22"/>
          <w:szCs w:val="22"/>
        </w:rPr>
        <w:t>escentralizada.</w:t>
      </w:r>
    </w:p>
    <w:p w14:paraId="5A5A9332" w14:textId="49BE9E1B" w:rsidR="00E3264F" w:rsidRPr="00E3264F" w:rsidRDefault="00E3264F" w:rsidP="00E3264F">
      <w:pPr>
        <w:autoSpaceDE w:val="0"/>
        <w:autoSpaceDN w:val="0"/>
        <w:adjustRightInd w:val="0"/>
        <w:spacing w:line="360" w:lineRule="auto"/>
        <w:ind w:left="851" w:right="567"/>
        <w:jc w:val="both"/>
        <w:rPr>
          <w:rFonts w:ascii="Palatino Linotype" w:eastAsia="Calibri" w:hAnsi="Palatino Linotype" w:cs="Arial"/>
          <w:i/>
          <w:iCs/>
          <w:sz w:val="22"/>
          <w:szCs w:val="22"/>
        </w:rPr>
      </w:pPr>
      <w:r w:rsidRPr="00E3264F">
        <w:rPr>
          <w:rFonts w:ascii="Palatino Linotype" w:eastAsia="Calibri" w:hAnsi="Palatino Linotype" w:cs="Arial"/>
          <w:i/>
          <w:iCs/>
          <w:sz w:val="22"/>
          <w:szCs w:val="22"/>
        </w:rPr>
        <w:t>Es la Entidad responsable de administrar y operar los servicios, conservar, dar mantenimiento, rehabilitar y ampliar los sistemas de suministro, de drenaje y de</w:t>
      </w:r>
      <w:r w:rsidR="00F54677">
        <w:rPr>
          <w:rFonts w:ascii="Palatino Linotype" w:eastAsia="Calibri" w:hAnsi="Palatino Linotype" w:cs="Arial"/>
          <w:i/>
          <w:iCs/>
          <w:sz w:val="22"/>
          <w:szCs w:val="22"/>
        </w:rPr>
        <w:t xml:space="preserve"> </w:t>
      </w:r>
      <w:r w:rsidRPr="00E3264F">
        <w:rPr>
          <w:rFonts w:ascii="Palatino Linotype" w:eastAsia="Calibri" w:hAnsi="Palatino Linotype" w:cs="Arial"/>
          <w:i/>
          <w:iCs/>
          <w:sz w:val="22"/>
          <w:szCs w:val="22"/>
        </w:rPr>
        <w:t>alcantarillado, y en su caso, el tratamiento de aguas y su reúso.</w:t>
      </w:r>
    </w:p>
    <w:p w14:paraId="2DCC8E64" w14:textId="5030FF62" w:rsidR="00E3264F" w:rsidRPr="00E3264F" w:rsidRDefault="00E3264F" w:rsidP="00E3264F">
      <w:pPr>
        <w:autoSpaceDE w:val="0"/>
        <w:autoSpaceDN w:val="0"/>
        <w:adjustRightInd w:val="0"/>
        <w:spacing w:line="360" w:lineRule="auto"/>
        <w:ind w:left="851" w:right="567"/>
        <w:jc w:val="both"/>
        <w:rPr>
          <w:rFonts w:ascii="Palatino Linotype" w:eastAsia="Calibri" w:hAnsi="Palatino Linotype" w:cs="Arial"/>
          <w:i/>
          <w:iCs/>
          <w:sz w:val="22"/>
          <w:szCs w:val="22"/>
        </w:rPr>
      </w:pPr>
      <w:r w:rsidRPr="00E3264F">
        <w:rPr>
          <w:rFonts w:ascii="Palatino Linotype" w:eastAsia="Calibri" w:hAnsi="Palatino Linotype" w:cs="Arial"/>
          <w:i/>
          <w:iCs/>
          <w:sz w:val="22"/>
          <w:szCs w:val="22"/>
        </w:rPr>
        <w:t>Es autoridad fiscal conforme a lo dispuesto en el Código Financiero y ejerce los actos de autoridad que le señale la Ley del Agua, su Reglamento, su Reglamento Orgánico y demás disposiciones jurídicas aplicables.</w:t>
      </w:r>
    </w:p>
    <w:p w14:paraId="7F7A20EA" w14:textId="6C8EEF79" w:rsidR="00E3264F" w:rsidRPr="00E3264F" w:rsidRDefault="00E3264F" w:rsidP="00E3264F">
      <w:pPr>
        <w:autoSpaceDE w:val="0"/>
        <w:autoSpaceDN w:val="0"/>
        <w:adjustRightInd w:val="0"/>
        <w:spacing w:line="360" w:lineRule="auto"/>
        <w:ind w:left="851" w:right="567"/>
        <w:jc w:val="both"/>
        <w:rPr>
          <w:rFonts w:ascii="Palatino Linotype" w:eastAsia="Calibri" w:hAnsi="Palatino Linotype" w:cs="Arial"/>
          <w:i/>
          <w:iCs/>
          <w:sz w:val="22"/>
          <w:szCs w:val="22"/>
        </w:rPr>
      </w:pPr>
      <w:r w:rsidRPr="00E3264F">
        <w:rPr>
          <w:rFonts w:ascii="Palatino Linotype" w:eastAsia="Calibri" w:hAnsi="Palatino Linotype" w:cs="Arial"/>
          <w:i/>
          <w:iCs/>
          <w:sz w:val="22"/>
          <w:szCs w:val="22"/>
        </w:rPr>
        <w:t>Cuenta con personalidad jurídica y patrimonio propio, así como con autonomía técnica y administrativa para el manejo de sus recursos, para la prestación de los servicios a su cargo.</w:t>
      </w:r>
    </w:p>
    <w:p w14:paraId="30FA894C" w14:textId="4EEA9D5B" w:rsidR="00E3264F" w:rsidRPr="00E3264F" w:rsidRDefault="00E3264F" w:rsidP="00E3264F">
      <w:pPr>
        <w:autoSpaceDE w:val="0"/>
        <w:autoSpaceDN w:val="0"/>
        <w:adjustRightInd w:val="0"/>
        <w:spacing w:line="360" w:lineRule="auto"/>
        <w:ind w:left="851" w:right="567"/>
        <w:jc w:val="both"/>
        <w:rPr>
          <w:rFonts w:ascii="Palatino Linotype" w:eastAsia="Calibri" w:hAnsi="Palatino Linotype" w:cs="Arial"/>
          <w:i/>
          <w:iCs/>
          <w:sz w:val="22"/>
          <w:szCs w:val="22"/>
        </w:rPr>
      </w:pPr>
      <w:r w:rsidRPr="00E3264F">
        <w:rPr>
          <w:rFonts w:ascii="Palatino Linotype" w:eastAsia="Calibri" w:hAnsi="Palatino Linotype" w:cs="Arial"/>
          <w:i/>
          <w:iCs/>
          <w:sz w:val="22"/>
          <w:szCs w:val="22"/>
        </w:rPr>
        <w:t xml:space="preserve">Su patrimonio está constituido por los ingresos propios que resulten de la prestación de los servicios a su cargo, los bienes muebles e inmuebles así como las aportaciones, donaciones y subsidios que les sean entregados por los gobiernos federal, estatal o del propio Municipio, y por otras personas físicas o jurídica colectivas, los bienes y derechos </w:t>
      </w:r>
      <w:r w:rsidRPr="00E3264F">
        <w:rPr>
          <w:rFonts w:ascii="Palatino Linotype" w:eastAsia="Calibri" w:hAnsi="Palatino Linotype" w:cs="Arial"/>
          <w:i/>
          <w:iCs/>
          <w:sz w:val="22"/>
          <w:szCs w:val="22"/>
        </w:rPr>
        <w:lastRenderedPageBreak/>
        <w:t>que adquieran por cualquier medio legal, los demás ingresos y sus accesorios que resulten de la aplicación de la Ley, su Reglamento y su Reglamento Orgánico.</w:t>
      </w:r>
    </w:p>
    <w:p w14:paraId="0A4B789E" w14:textId="00CF1D5B" w:rsidR="00D41F0F" w:rsidRPr="00E3264F" w:rsidRDefault="00E3264F" w:rsidP="00E3264F">
      <w:pPr>
        <w:autoSpaceDE w:val="0"/>
        <w:autoSpaceDN w:val="0"/>
        <w:adjustRightInd w:val="0"/>
        <w:spacing w:line="360" w:lineRule="auto"/>
        <w:ind w:left="851" w:right="567"/>
        <w:jc w:val="both"/>
        <w:rPr>
          <w:rFonts w:ascii="Palatino Linotype" w:eastAsia="Calibri" w:hAnsi="Palatino Linotype" w:cs="Arial"/>
          <w:i/>
          <w:iCs/>
          <w:sz w:val="22"/>
          <w:szCs w:val="22"/>
        </w:rPr>
      </w:pPr>
      <w:r w:rsidRPr="00E3264F">
        <w:rPr>
          <w:rFonts w:ascii="Palatino Linotype" w:eastAsia="Calibri" w:hAnsi="Palatino Linotype" w:cs="Arial"/>
          <w:i/>
          <w:iCs/>
          <w:sz w:val="22"/>
          <w:szCs w:val="22"/>
        </w:rPr>
        <w:t>La administración del OAPAS estará a cargo de un Consejo Directivo y un Director General, quienes ejercerán las atribuciones y facultades que se les confieren, en la forma y términos precisados en su Reglamento Orgánico y demás normatividad aplicable.</w:t>
      </w:r>
      <w:r w:rsidRPr="00E3264F">
        <w:rPr>
          <w:rFonts w:ascii="Palatino Linotype" w:eastAsia="Calibri" w:hAnsi="Palatino Linotype" w:cs="Arial"/>
          <w:i/>
          <w:iCs/>
          <w:sz w:val="22"/>
          <w:szCs w:val="22"/>
        </w:rPr>
        <w:cr/>
      </w:r>
    </w:p>
    <w:p w14:paraId="40CBB47A" w14:textId="77777777" w:rsidR="00551637" w:rsidRDefault="00551637" w:rsidP="00551637">
      <w:pPr>
        <w:spacing w:line="360" w:lineRule="auto"/>
        <w:jc w:val="both"/>
        <w:rPr>
          <w:rFonts w:ascii="Palatino Linotype" w:hAnsi="Palatino Linotype" w:cs="Tahoma"/>
          <w:bCs/>
        </w:rPr>
      </w:pPr>
      <w:r w:rsidRPr="00A779C7">
        <w:rPr>
          <w:rFonts w:ascii="Palatino Linotype" w:hAnsi="Palatino Linotype" w:cs="Tahoma"/>
          <w:bCs/>
        </w:rPr>
        <w:t xml:space="preserve">Bajo estas líneas argumentativas, al retomar y delimitar </w:t>
      </w:r>
      <w:r w:rsidRPr="00CA5FE5">
        <w:rPr>
          <w:rFonts w:ascii="Palatino Linotype" w:hAnsi="Palatino Linotype" w:cs="Tahoma"/>
          <w:bCs/>
        </w:rPr>
        <w:t xml:space="preserve">los requerimientos del ahora </w:t>
      </w:r>
      <w:r w:rsidRPr="00CA5FE5">
        <w:rPr>
          <w:rFonts w:ascii="Palatino Linotype" w:hAnsi="Palatino Linotype" w:cs="Tahoma"/>
          <w:b/>
          <w:bCs/>
        </w:rPr>
        <w:t>Recurrente</w:t>
      </w:r>
      <w:r w:rsidRPr="00CA5FE5">
        <w:rPr>
          <w:rFonts w:ascii="Palatino Linotype" w:hAnsi="Palatino Linotype" w:cs="Tahoma"/>
          <w:bCs/>
        </w:rPr>
        <w:t>, de manera objetiva se precisa que requiere la siguiente información:</w:t>
      </w:r>
    </w:p>
    <w:p w14:paraId="10E6D643" w14:textId="77777777" w:rsidR="00FE06CB" w:rsidRDefault="00FE06CB" w:rsidP="00551637">
      <w:pPr>
        <w:spacing w:line="360" w:lineRule="auto"/>
        <w:jc w:val="both"/>
        <w:rPr>
          <w:rFonts w:ascii="Palatino Linotype" w:hAnsi="Palatino Linotype" w:cs="Tahoma"/>
          <w:bCs/>
        </w:rPr>
      </w:pPr>
    </w:p>
    <w:p w14:paraId="451094B9" w14:textId="1E238845" w:rsidR="007A55B5" w:rsidRDefault="00FE06CB" w:rsidP="00FE06CB">
      <w:pPr>
        <w:spacing w:line="360" w:lineRule="auto"/>
        <w:ind w:left="284" w:right="332"/>
        <w:jc w:val="both"/>
        <w:rPr>
          <w:rFonts w:ascii="Palatino Linotype" w:hAnsi="Palatino Linotype" w:cs="Tahoma"/>
          <w:bCs/>
        </w:rPr>
      </w:pPr>
      <w:r>
        <w:rPr>
          <w:rFonts w:ascii="Palatino Linotype" w:hAnsi="Palatino Linotype" w:cs="Tahoma"/>
          <w:bCs/>
        </w:rPr>
        <w:t xml:space="preserve">1.- </w:t>
      </w:r>
      <w:r w:rsidRPr="00FE06CB">
        <w:rPr>
          <w:rFonts w:ascii="Palatino Linotype" w:hAnsi="Palatino Linotype" w:cs="Tahoma"/>
          <w:bCs/>
        </w:rPr>
        <w:t>¿Cuál ha sido el costo de energía eléctrica que consume el Organismo, por todas sus instalaciones, es decir Pozos, Tanques, Rebombeos, Oficinas Administrativas de los años 2021, 2022, 2023 y 2024?</w:t>
      </w:r>
    </w:p>
    <w:p w14:paraId="542F8FD7" w14:textId="77777777" w:rsidR="00FE06CB" w:rsidRDefault="00FE06CB" w:rsidP="00551637">
      <w:pPr>
        <w:spacing w:line="360" w:lineRule="auto"/>
        <w:jc w:val="both"/>
        <w:rPr>
          <w:rFonts w:ascii="Palatino Linotype" w:hAnsi="Palatino Linotype" w:cs="Tahoma"/>
          <w:bCs/>
        </w:rPr>
      </w:pPr>
    </w:p>
    <w:p w14:paraId="2DB68A05" w14:textId="15D0F115" w:rsidR="00551637" w:rsidRPr="001106D5" w:rsidRDefault="00551637" w:rsidP="00F7325D">
      <w:pPr>
        <w:spacing w:line="360" w:lineRule="auto"/>
        <w:jc w:val="both"/>
        <w:rPr>
          <w:rFonts w:ascii="Palatino Linotype" w:hAnsi="Palatino Linotype" w:cs="Arial"/>
          <w:b/>
        </w:rPr>
      </w:pPr>
      <w:r w:rsidRPr="001106D5">
        <w:rPr>
          <w:rFonts w:ascii="Palatino Linotype" w:hAnsi="Palatino Linotype" w:cs="Arial"/>
        </w:rPr>
        <w:t xml:space="preserve">De conformidad con las constancias que obran en </w:t>
      </w:r>
      <w:r>
        <w:rPr>
          <w:rFonts w:ascii="Palatino Linotype" w:hAnsi="Palatino Linotype" w:cs="Arial"/>
        </w:rPr>
        <w:t>el expediente electrónico</w:t>
      </w:r>
      <w:r w:rsidRPr="001106D5">
        <w:rPr>
          <w:rFonts w:ascii="Palatino Linotype" w:hAnsi="Palatino Linotype" w:cs="Arial"/>
        </w:rPr>
        <w:t xml:space="preserve">, se observa que el </w:t>
      </w:r>
      <w:r w:rsidRPr="001106D5">
        <w:rPr>
          <w:rFonts w:ascii="Palatino Linotype" w:hAnsi="Palatino Linotype" w:cs="Arial"/>
          <w:b/>
        </w:rPr>
        <w:t>Sujeto Obligado</w:t>
      </w:r>
      <w:r>
        <w:rPr>
          <w:rFonts w:ascii="Palatino Linotype" w:hAnsi="Palatino Linotype" w:cs="Arial"/>
        </w:rPr>
        <w:t xml:space="preserve"> dio respuesta</w:t>
      </w:r>
      <w:r w:rsidRPr="001106D5">
        <w:rPr>
          <w:rFonts w:ascii="Palatino Linotype" w:hAnsi="Palatino Linotype" w:cs="Arial"/>
        </w:rPr>
        <w:t xml:space="preserve"> por medio del sistema SAIMEX, a la solicitud de información</w:t>
      </w:r>
      <w:r w:rsidRPr="001106D5">
        <w:rPr>
          <w:rFonts w:ascii="Palatino Linotype" w:eastAsia="Palatino Linotype" w:hAnsi="Palatino Linotype" w:cs="Palatino Linotype"/>
          <w:b/>
          <w:color w:val="000000"/>
        </w:rPr>
        <w:t xml:space="preserve"> </w:t>
      </w:r>
      <w:r w:rsidR="00C97CC5" w:rsidRPr="00C97CC5">
        <w:rPr>
          <w:rFonts w:ascii="Palatino Linotype" w:hAnsi="Palatino Linotype" w:cs="Arial"/>
          <w:b/>
        </w:rPr>
        <w:t>00026/OASNAUCAL/IP/2025</w:t>
      </w:r>
      <w:r w:rsidRPr="001106D5">
        <w:rPr>
          <w:rFonts w:ascii="Palatino Linotype" w:hAnsi="Palatino Linotype" w:cs="Arial"/>
          <w:b/>
        </w:rPr>
        <w:t xml:space="preserve">; </w:t>
      </w:r>
      <w:r>
        <w:rPr>
          <w:rFonts w:ascii="Palatino Linotype" w:hAnsi="Palatino Linotype" w:cs="Arial"/>
        </w:rPr>
        <w:t xml:space="preserve">a través </w:t>
      </w:r>
      <w:r w:rsidR="00E70D85">
        <w:rPr>
          <w:rFonts w:ascii="Palatino Linotype" w:hAnsi="Palatino Linotype" w:cs="Arial"/>
        </w:rPr>
        <w:t>del archivo electrónico “</w:t>
      </w:r>
      <w:r w:rsidR="00E70D85" w:rsidRPr="00E70D85">
        <w:rPr>
          <w:rFonts w:ascii="Palatino Linotype" w:hAnsi="Palatino Linotype" w:cs="Arial"/>
        </w:rPr>
        <w:t>SGT O 032 2025 resp sol 00026.pdf</w:t>
      </w:r>
      <w:r w:rsidR="00E70D85">
        <w:rPr>
          <w:rFonts w:ascii="Palatino Linotype" w:hAnsi="Palatino Linotype" w:cs="Arial"/>
        </w:rPr>
        <w:t>” que consta de</w:t>
      </w:r>
      <w:r w:rsidRPr="001106D5">
        <w:rPr>
          <w:rFonts w:ascii="Palatino Linotype" w:hAnsi="Palatino Linotype" w:cs="Arial"/>
          <w:b/>
        </w:rPr>
        <w:t>:</w:t>
      </w:r>
    </w:p>
    <w:p w14:paraId="0BBD82E1" w14:textId="54C584E3" w:rsidR="00E70D85" w:rsidRPr="00795FCC" w:rsidRDefault="004D6D9B" w:rsidP="00AD43BC">
      <w:pPr>
        <w:pStyle w:val="Sinespaciado"/>
        <w:numPr>
          <w:ilvl w:val="0"/>
          <w:numId w:val="10"/>
        </w:numPr>
        <w:spacing w:before="240" w:line="360" w:lineRule="auto"/>
        <w:jc w:val="both"/>
        <w:rPr>
          <w:rFonts w:ascii="Palatino Linotype" w:hAnsi="Palatino Linotype" w:cs="Arial"/>
          <w:b/>
          <w:sz w:val="24"/>
        </w:rPr>
      </w:pPr>
      <w:r w:rsidRPr="00885353">
        <w:rPr>
          <w:rFonts w:ascii="Palatino Linotype" w:hAnsi="Palatino Linotype" w:cs="Arial"/>
          <w:i/>
          <w:sz w:val="24"/>
        </w:rPr>
        <w:t>Oficio número</w:t>
      </w:r>
      <w:r w:rsidRPr="00885353">
        <w:rPr>
          <w:rFonts w:ascii="Palatino Linotype" w:hAnsi="Palatino Linotype" w:cs="Arial"/>
          <w:b/>
          <w:i/>
          <w:sz w:val="24"/>
        </w:rPr>
        <w:t xml:space="preserve"> </w:t>
      </w:r>
      <w:r w:rsidR="00E70D85">
        <w:rPr>
          <w:rFonts w:ascii="Palatino Linotype" w:hAnsi="Palatino Linotype" w:cs="Arial"/>
          <w:b/>
          <w:sz w:val="24"/>
        </w:rPr>
        <w:t>SGT/O/032/2025</w:t>
      </w:r>
      <w:r w:rsidR="00E70D85">
        <w:rPr>
          <w:rFonts w:ascii="Palatino Linotype" w:hAnsi="Palatino Linotype" w:cs="Arial"/>
          <w:sz w:val="24"/>
        </w:rPr>
        <w:t xml:space="preserve">, de fecha </w:t>
      </w:r>
      <w:r w:rsidR="00AC44F3">
        <w:rPr>
          <w:rFonts w:ascii="Palatino Linotype" w:hAnsi="Palatino Linotype" w:cs="Arial"/>
          <w:sz w:val="24"/>
        </w:rPr>
        <w:t xml:space="preserve">11 de febrero de 2025, en el cual el encargado del Despacho de la Subgerencia de Transparencia comenta que </w:t>
      </w:r>
      <w:r w:rsidR="00175331">
        <w:rPr>
          <w:rFonts w:ascii="Palatino Linotype" w:hAnsi="Palatino Linotype" w:cs="Arial"/>
          <w:sz w:val="24"/>
        </w:rPr>
        <w:t xml:space="preserve">“una vez realizado el proceso interno para la obtención de la información, siendo este solicitado a la Dirección de Construcción y Operación Hidráulica </w:t>
      </w:r>
      <w:r w:rsidR="00795FCC">
        <w:rPr>
          <w:rFonts w:ascii="Palatino Linotype" w:hAnsi="Palatino Linotype" w:cs="Arial"/>
          <w:sz w:val="24"/>
        </w:rPr>
        <w:t xml:space="preserve">por ser considerado de sus facultades y atribuciones, responden </w:t>
      </w:r>
      <w:r w:rsidR="006A34BB">
        <w:rPr>
          <w:rFonts w:ascii="Palatino Linotype" w:hAnsi="Palatino Linotype" w:cs="Arial"/>
          <w:sz w:val="24"/>
        </w:rPr>
        <w:t>lo siguiente</w:t>
      </w:r>
      <w:r w:rsidR="00795FCC">
        <w:rPr>
          <w:rFonts w:ascii="Palatino Linotype" w:hAnsi="Palatino Linotype" w:cs="Arial"/>
          <w:sz w:val="24"/>
        </w:rPr>
        <w:t xml:space="preserve">: </w:t>
      </w:r>
    </w:p>
    <w:p w14:paraId="42A2478D" w14:textId="7C0067FA" w:rsidR="00492582" w:rsidRDefault="006A34BB" w:rsidP="00551637">
      <w:pPr>
        <w:spacing w:line="360" w:lineRule="auto"/>
        <w:jc w:val="both"/>
        <w:rPr>
          <w:rFonts w:ascii="Palatino Linotype" w:hAnsi="Palatino Linotype" w:cs="Arial"/>
          <w:bCs/>
        </w:rPr>
      </w:pPr>
      <w:r>
        <w:rPr>
          <w:rFonts w:ascii="Palatino Linotype" w:hAnsi="Palatino Linotype" w:cs="Arial"/>
          <w:b/>
          <w:noProof/>
          <w:lang w:val="es-MX" w:eastAsia="es-MX"/>
        </w:rPr>
        <w:lastRenderedPageBreak/>
        <w:drawing>
          <wp:anchor distT="0" distB="0" distL="114300" distR="114300" simplePos="0" relativeHeight="251684864" behindDoc="0" locked="0" layoutInCell="1" allowOverlap="1" wp14:anchorId="2BE39161" wp14:editId="0BBC94E8">
            <wp:simplePos x="0" y="0"/>
            <wp:positionH relativeFrom="column">
              <wp:posOffset>482260</wp:posOffset>
            </wp:positionH>
            <wp:positionV relativeFrom="paragraph">
              <wp:posOffset>256511</wp:posOffset>
            </wp:positionV>
            <wp:extent cx="4794885" cy="1835785"/>
            <wp:effectExtent l="0" t="0" r="571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FC3A0.tmp"/>
                    <pic:cNvPicPr/>
                  </pic:nvPicPr>
                  <pic:blipFill>
                    <a:blip r:embed="rId8">
                      <a:extLst>
                        <a:ext uri="{28A0092B-C50C-407E-A947-70E740481C1C}">
                          <a14:useLocalDpi xmlns:a14="http://schemas.microsoft.com/office/drawing/2010/main" val="0"/>
                        </a:ext>
                      </a:extLst>
                    </a:blip>
                    <a:stretch>
                      <a:fillRect/>
                    </a:stretch>
                  </pic:blipFill>
                  <pic:spPr>
                    <a:xfrm>
                      <a:off x="0" y="0"/>
                      <a:ext cx="4794885" cy="1835785"/>
                    </a:xfrm>
                    <a:prstGeom prst="rect">
                      <a:avLst/>
                    </a:prstGeom>
                  </pic:spPr>
                </pic:pic>
              </a:graphicData>
            </a:graphic>
            <wp14:sizeRelH relativeFrom="margin">
              <wp14:pctWidth>0</wp14:pctWidth>
            </wp14:sizeRelH>
            <wp14:sizeRelV relativeFrom="margin">
              <wp14:pctHeight>0</wp14:pctHeight>
            </wp14:sizeRelV>
          </wp:anchor>
        </w:drawing>
      </w:r>
    </w:p>
    <w:p w14:paraId="25DFD85C" w14:textId="77777777" w:rsidR="006A34BB" w:rsidRDefault="006A34BB" w:rsidP="00551637">
      <w:pPr>
        <w:spacing w:line="360" w:lineRule="auto"/>
        <w:jc w:val="both"/>
        <w:rPr>
          <w:rFonts w:ascii="Palatino Linotype" w:hAnsi="Palatino Linotype" w:cs="Arial"/>
          <w:bCs/>
        </w:rPr>
      </w:pPr>
    </w:p>
    <w:p w14:paraId="177C01F0" w14:textId="77777777" w:rsidR="006A34BB" w:rsidRDefault="006A34BB" w:rsidP="00551637">
      <w:pPr>
        <w:spacing w:line="360" w:lineRule="auto"/>
        <w:jc w:val="both"/>
        <w:rPr>
          <w:rFonts w:ascii="Palatino Linotype" w:hAnsi="Palatino Linotype" w:cs="Arial"/>
          <w:bCs/>
        </w:rPr>
      </w:pPr>
    </w:p>
    <w:p w14:paraId="0B6316BA" w14:textId="77777777" w:rsidR="006A34BB" w:rsidRDefault="006A34BB" w:rsidP="00551637">
      <w:pPr>
        <w:spacing w:line="360" w:lineRule="auto"/>
        <w:jc w:val="both"/>
        <w:rPr>
          <w:rFonts w:ascii="Palatino Linotype" w:hAnsi="Palatino Linotype" w:cs="Arial"/>
          <w:bCs/>
        </w:rPr>
      </w:pPr>
    </w:p>
    <w:p w14:paraId="736B9C6F" w14:textId="77777777" w:rsidR="006A34BB" w:rsidRDefault="006A34BB" w:rsidP="00551637">
      <w:pPr>
        <w:spacing w:line="360" w:lineRule="auto"/>
        <w:jc w:val="both"/>
        <w:rPr>
          <w:rFonts w:ascii="Palatino Linotype" w:hAnsi="Palatino Linotype" w:cs="Arial"/>
          <w:bCs/>
        </w:rPr>
      </w:pPr>
    </w:p>
    <w:p w14:paraId="025D3761" w14:textId="77777777" w:rsidR="006A34BB" w:rsidRDefault="006A34BB" w:rsidP="00551637">
      <w:pPr>
        <w:spacing w:line="360" w:lineRule="auto"/>
        <w:jc w:val="both"/>
        <w:rPr>
          <w:rFonts w:ascii="Palatino Linotype" w:hAnsi="Palatino Linotype" w:cs="Arial"/>
          <w:bCs/>
        </w:rPr>
      </w:pPr>
    </w:p>
    <w:p w14:paraId="4D222AD3" w14:textId="77777777" w:rsidR="006A34BB" w:rsidRDefault="006A34BB" w:rsidP="00551637">
      <w:pPr>
        <w:spacing w:line="360" w:lineRule="auto"/>
        <w:jc w:val="both"/>
        <w:rPr>
          <w:rFonts w:ascii="Palatino Linotype" w:hAnsi="Palatino Linotype" w:cs="Arial"/>
          <w:bCs/>
        </w:rPr>
      </w:pPr>
    </w:p>
    <w:p w14:paraId="32D1CF66" w14:textId="77777777" w:rsidR="006A34BB" w:rsidRDefault="006A34BB" w:rsidP="00551637">
      <w:pPr>
        <w:spacing w:line="360" w:lineRule="auto"/>
        <w:jc w:val="both"/>
        <w:rPr>
          <w:rFonts w:ascii="Palatino Linotype" w:hAnsi="Palatino Linotype" w:cs="Arial"/>
          <w:bCs/>
        </w:rPr>
      </w:pPr>
    </w:p>
    <w:p w14:paraId="173F1209" w14:textId="0050C85E" w:rsidR="00551637" w:rsidRDefault="00551637" w:rsidP="00551637">
      <w:pPr>
        <w:spacing w:line="360" w:lineRule="auto"/>
        <w:jc w:val="both"/>
        <w:rPr>
          <w:rFonts w:ascii="Palatino Linotype" w:hAnsi="Palatino Linotype"/>
          <w:i/>
        </w:rPr>
      </w:pPr>
      <w:r w:rsidRPr="00124BFD">
        <w:rPr>
          <w:rFonts w:ascii="Palatino Linotype" w:hAnsi="Palatino Linotype" w:cs="Arial"/>
          <w:bCs/>
        </w:rPr>
        <w:t xml:space="preserve">Es así como, derivado de la respuesta emitida por </w:t>
      </w:r>
      <w:r w:rsidRPr="00124BFD">
        <w:rPr>
          <w:rFonts w:ascii="Palatino Linotype" w:hAnsi="Palatino Linotype" w:cs="Arial"/>
          <w:b/>
          <w:bCs/>
        </w:rPr>
        <w:t>El Sujeto Obligado</w:t>
      </w:r>
      <w:r w:rsidRPr="00124BFD">
        <w:rPr>
          <w:rFonts w:ascii="Palatino Linotype" w:hAnsi="Palatino Linotype" w:cs="Arial"/>
          <w:bCs/>
        </w:rPr>
        <w:t xml:space="preserve">, </w:t>
      </w:r>
      <w:r>
        <w:rPr>
          <w:rFonts w:ascii="Palatino Linotype" w:hAnsi="Palatino Linotype" w:cs="Arial"/>
          <w:b/>
          <w:bCs/>
        </w:rPr>
        <w:t>l</w:t>
      </w:r>
      <w:r w:rsidR="00D533A4">
        <w:rPr>
          <w:rFonts w:ascii="Palatino Linotype" w:hAnsi="Palatino Linotype" w:cs="Arial"/>
          <w:b/>
          <w:bCs/>
        </w:rPr>
        <w:t>a</w:t>
      </w:r>
      <w:r>
        <w:rPr>
          <w:rFonts w:ascii="Palatino Linotype" w:hAnsi="Palatino Linotype" w:cs="Arial"/>
          <w:b/>
          <w:bCs/>
        </w:rPr>
        <w:t xml:space="preserve"> Recurrente</w:t>
      </w:r>
      <w:r w:rsidRPr="00124BFD">
        <w:rPr>
          <w:rFonts w:ascii="Palatino Linotype" w:hAnsi="Palatino Linotype" w:cs="Arial"/>
          <w:bCs/>
        </w:rPr>
        <w:t>, interpuso el presente recurso de revisión, señalando sustancialmente como sus razones o motivos de inconformidad, lo siguiente:</w:t>
      </w:r>
      <w:r w:rsidRPr="00124BFD" w:rsidDel="00107C3B">
        <w:rPr>
          <w:rFonts w:ascii="Palatino Linotype" w:hAnsi="Palatino Linotype"/>
          <w:b/>
          <w:i/>
        </w:rPr>
        <w:t xml:space="preserve"> </w:t>
      </w:r>
    </w:p>
    <w:p w14:paraId="43E77B48" w14:textId="202B4DD3" w:rsidR="00BF084A" w:rsidRDefault="00890737" w:rsidP="005B6DF4">
      <w:pPr>
        <w:spacing w:line="360" w:lineRule="auto"/>
        <w:jc w:val="both"/>
        <w:rPr>
          <w:rFonts w:ascii="Palatino Linotype" w:hAnsi="Palatino Linotype"/>
        </w:rPr>
      </w:pPr>
      <w:r>
        <w:rPr>
          <w:rFonts w:ascii="Palatino Linotype" w:hAnsi="Palatino Linotype"/>
        </w:rPr>
        <w:t>Acto impugnado: “</w:t>
      </w:r>
      <w:r w:rsidR="00F64D20" w:rsidRPr="00F64D20">
        <w:rPr>
          <w:rFonts w:ascii="Palatino Linotype" w:hAnsi="Palatino Linotype"/>
          <w:i/>
        </w:rPr>
        <w:t>Información no precisada</w:t>
      </w:r>
      <w:r>
        <w:rPr>
          <w:rFonts w:ascii="Palatino Linotype" w:hAnsi="Palatino Linotype"/>
        </w:rPr>
        <w:t>”</w:t>
      </w:r>
      <w:r w:rsidRPr="00890737">
        <w:t xml:space="preserve"> </w:t>
      </w:r>
      <w:r w:rsidRPr="00890737">
        <w:rPr>
          <w:rFonts w:ascii="Palatino Linotype" w:hAnsi="Palatino Linotype"/>
        </w:rPr>
        <w:t>(sic)</w:t>
      </w:r>
    </w:p>
    <w:p w14:paraId="17ABD938" w14:textId="34C313DF" w:rsidR="005B6DF4" w:rsidRPr="005B6DF4" w:rsidRDefault="005B6DF4" w:rsidP="005B6DF4">
      <w:pPr>
        <w:spacing w:line="360" w:lineRule="auto"/>
        <w:jc w:val="both"/>
        <w:rPr>
          <w:rFonts w:ascii="Palatino Linotype" w:hAnsi="Palatino Linotype"/>
        </w:rPr>
      </w:pPr>
      <w:r w:rsidRPr="005B6DF4">
        <w:rPr>
          <w:rFonts w:ascii="Palatino Linotype" w:hAnsi="Palatino Linotype"/>
        </w:rPr>
        <w:t>Razones o motivos de inconformidad</w:t>
      </w:r>
      <w:r>
        <w:rPr>
          <w:rFonts w:ascii="Palatino Linotype" w:hAnsi="Palatino Linotype"/>
        </w:rPr>
        <w:t xml:space="preserve">: </w:t>
      </w:r>
      <w:r w:rsidR="00890737">
        <w:rPr>
          <w:rFonts w:ascii="Palatino Linotype" w:hAnsi="Palatino Linotype"/>
        </w:rPr>
        <w:t>“</w:t>
      </w:r>
      <w:r w:rsidR="00F64D20" w:rsidRPr="00F64D20">
        <w:rPr>
          <w:rFonts w:ascii="Palatino Linotype" w:hAnsi="Palatino Linotype"/>
          <w:i/>
        </w:rPr>
        <w:t xml:space="preserve">Derivado del análisis del cuestionamiento respondido por el Sujeto Obligado en lo correspondiente a ¿Cuál ha sido el costo de energía eléctrica que consume el Organismo, por todas sus instalaciones, es decir Pozos, Tanques, Rebombeos, Oficinas Administrativas de los años 2021, 2022, 2023, 2024 el Sujeto Obligado </w:t>
      </w:r>
      <w:r w:rsidR="00F64D20" w:rsidRPr="00F64D20">
        <w:rPr>
          <w:rFonts w:ascii="Palatino Linotype" w:hAnsi="Palatino Linotype"/>
          <w:i/>
          <w:u w:val="single"/>
        </w:rPr>
        <w:t>contesta la COBERTURA DE AGUA POTABLE durante los años en cuestión, mas no realiza énfasis en si la información es la precisada</w:t>
      </w:r>
      <w:r w:rsidR="00F64D20" w:rsidRPr="00F64D20">
        <w:rPr>
          <w:rFonts w:ascii="Palatino Linotype" w:hAnsi="Palatino Linotype"/>
          <w:i/>
        </w:rPr>
        <w:t>!</w:t>
      </w:r>
      <w:r w:rsidRPr="005B6DF4">
        <w:rPr>
          <w:rFonts w:ascii="Palatino Linotype" w:hAnsi="Palatino Linotype"/>
        </w:rPr>
        <w:t>” (sic)</w:t>
      </w:r>
    </w:p>
    <w:p w14:paraId="36B8EA33" w14:textId="77777777" w:rsidR="005B6DF4" w:rsidRPr="005B6DF4" w:rsidRDefault="005B6DF4" w:rsidP="005B6DF4">
      <w:pPr>
        <w:spacing w:line="360" w:lineRule="auto"/>
        <w:jc w:val="both"/>
        <w:rPr>
          <w:rFonts w:ascii="Palatino Linotype" w:hAnsi="Palatino Linotype"/>
        </w:rPr>
      </w:pPr>
    </w:p>
    <w:p w14:paraId="7FDE71F7" w14:textId="402E5A80" w:rsidR="005B6DF4" w:rsidRDefault="005B6DF4" w:rsidP="005B6DF4">
      <w:pPr>
        <w:spacing w:line="360" w:lineRule="auto"/>
        <w:jc w:val="both"/>
        <w:rPr>
          <w:rFonts w:ascii="Palatino Linotype" w:hAnsi="Palatino Linotype"/>
        </w:rPr>
      </w:pPr>
      <w:r>
        <w:rPr>
          <w:rFonts w:ascii="Palatino Linotype" w:hAnsi="Palatino Linotype"/>
        </w:rPr>
        <w:t>Inconformidad que sustenta la procedencia de</w:t>
      </w:r>
      <w:r w:rsidR="009222E7">
        <w:rPr>
          <w:rFonts w:ascii="Palatino Linotype" w:hAnsi="Palatino Linotype"/>
        </w:rPr>
        <w:t xml:space="preserve">l </w:t>
      </w:r>
      <w:r>
        <w:rPr>
          <w:rFonts w:ascii="Palatino Linotype" w:hAnsi="Palatino Linotype"/>
        </w:rPr>
        <w:t xml:space="preserve">recurso de revisión </w:t>
      </w:r>
      <w:r w:rsidR="006158B1">
        <w:rPr>
          <w:rFonts w:ascii="Palatino Linotype" w:hAnsi="Palatino Linotype"/>
        </w:rPr>
        <w:t xml:space="preserve">en la </w:t>
      </w:r>
      <w:r w:rsidR="00F64D20">
        <w:rPr>
          <w:rFonts w:ascii="Palatino Linotype" w:hAnsi="Palatino Linotype"/>
        </w:rPr>
        <w:t xml:space="preserve">fracción </w:t>
      </w:r>
      <w:r w:rsidR="005C0B1B">
        <w:rPr>
          <w:rFonts w:ascii="Palatino Linotype" w:hAnsi="Palatino Linotype"/>
        </w:rPr>
        <w:t>V</w:t>
      </w:r>
      <w:r w:rsidR="00A847E5">
        <w:rPr>
          <w:rFonts w:ascii="Palatino Linotype" w:hAnsi="Palatino Linotype"/>
        </w:rPr>
        <w:t>I</w:t>
      </w:r>
      <w:r w:rsidR="006158B1">
        <w:rPr>
          <w:rFonts w:ascii="Palatino Linotype" w:hAnsi="Palatino Linotype"/>
        </w:rPr>
        <w:t xml:space="preserve"> del artículo 179 de la Ley de Transparencia y Acceso a la Información Pública del Estado de México y Municipios</w:t>
      </w:r>
      <w:r w:rsidR="009222E7">
        <w:rPr>
          <w:rFonts w:ascii="Palatino Linotype" w:hAnsi="Palatino Linotype"/>
        </w:rPr>
        <w:t>, la cual versa en:</w:t>
      </w:r>
    </w:p>
    <w:p w14:paraId="13C719A1" w14:textId="77777777" w:rsidR="006158B1" w:rsidRDefault="006158B1" w:rsidP="005B6DF4">
      <w:pPr>
        <w:spacing w:line="360" w:lineRule="auto"/>
        <w:jc w:val="both"/>
        <w:rPr>
          <w:rFonts w:ascii="Palatino Linotype" w:hAnsi="Palatino Linotype"/>
        </w:rPr>
      </w:pPr>
    </w:p>
    <w:p w14:paraId="582EE391" w14:textId="77777777" w:rsidR="006158B1" w:rsidRPr="006158B1" w:rsidRDefault="006158B1" w:rsidP="006158B1">
      <w:pPr>
        <w:tabs>
          <w:tab w:val="left" w:pos="709"/>
        </w:tabs>
        <w:spacing w:line="276" w:lineRule="auto"/>
        <w:ind w:left="851" w:right="567"/>
        <w:jc w:val="both"/>
        <w:rPr>
          <w:rFonts w:ascii="Palatino Linotype" w:hAnsi="Palatino Linotype"/>
          <w:bCs/>
          <w:i/>
          <w:iCs/>
          <w:color w:val="000000"/>
          <w:sz w:val="22"/>
          <w:szCs w:val="22"/>
          <w:lang w:val="es-ES_tradnl"/>
        </w:rPr>
      </w:pPr>
      <w:r w:rsidRPr="006158B1">
        <w:rPr>
          <w:rFonts w:ascii="Palatino Linotype" w:hAnsi="Palatino Linotype"/>
          <w:b/>
          <w:i/>
          <w:iCs/>
          <w:color w:val="000000"/>
          <w:sz w:val="22"/>
          <w:szCs w:val="22"/>
          <w:lang w:val="es-ES_tradnl"/>
        </w:rPr>
        <w:t>Artículo 179.</w:t>
      </w:r>
      <w:r w:rsidRPr="006158B1">
        <w:rPr>
          <w:rFonts w:ascii="Palatino Linotype" w:hAnsi="Palatino Linotype"/>
          <w:bCs/>
          <w:i/>
          <w:iCs/>
          <w:color w:val="000000"/>
          <w:sz w:val="22"/>
          <w:szCs w:val="22"/>
          <w:lang w:val="es-ES_tradnl"/>
        </w:rPr>
        <w:t xml:space="preserve"> El recurso de revisión es un medio de protección que la Ley otorga a los particulares, para hacer valer su derecho de acceso a la información pública, y procederá en contra de las siguientes causas:</w:t>
      </w:r>
    </w:p>
    <w:p w14:paraId="19DD26B7" w14:textId="77777777" w:rsidR="006158B1" w:rsidRPr="006158B1" w:rsidRDefault="006158B1" w:rsidP="006158B1">
      <w:pPr>
        <w:tabs>
          <w:tab w:val="left" w:pos="709"/>
        </w:tabs>
        <w:spacing w:line="276" w:lineRule="auto"/>
        <w:ind w:left="851" w:right="567"/>
        <w:jc w:val="both"/>
        <w:rPr>
          <w:rFonts w:ascii="Palatino Linotype" w:hAnsi="Palatino Linotype"/>
          <w:bCs/>
          <w:i/>
          <w:iCs/>
          <w:color w:val="000000"/>
          <w:sz w:val="22"/>
          <w:szCs w:val="22"/>
          <w:lang w:val="es-ES_tradnl"/>
        </w:rPr>
      </w:pPr>
    </w:p>
    <w:p w14:paraId="2C9EC359" w14:textId="4DC096F6" w:rsidR="005C0B1B" w:rsidRPr="00A847E5" w:rsidRDefault="00A847E5" w:rsidP="005C0B1B">
      <w:pPr>
        <w:tabs>
          <w:tab w:val="left" w:pos="709"/>
        </w:tabs>
        <w:spacing w:line="276" w:lineRule="auto"/>
        <w:ind w:left="1571" w:right="567" w:hanging="720"/>
        <w:jc w:val="both"/>
        <w:rPr>
          <w:rFonts w:ascii="Palatino Linotype" w:hAnsi="Palatino Linotype"/>
          <w:i/>
          <w:iCs/>
          <w:color w:val="000000"/>
          <w:sz w:val="22"/>
          <w:szCs w:val="22"/>
          <w:lang w:val="es-ES_tradnl"/>
        </w:rPr>
      </w:pPr>
      <w:r w:rsidRPr="00A847E5">
        <w:rPr>
          <w:rFonts w:ascii="Palatino Linotype" w:hAnsi="Palatino Linotype"/>
          <w:b/>
          <w:bCs/>
          <w:i/>
          <w:iCs/>
          <w:color w:val="000000"/>
          <w:sz w:val="22"/>
          <w:szCs w:val="22"/>
          <w:lang w:val="es-ES_tradnl"/>
        </w:rPr>
        <w:t xml:space="preserve">VI. </w:t>
      </w:r>
      <w:r w:rsidRPr="00A847E5">
        <w:rPr>
          <w:rFonts w:ascii="Palatino Linotype" w:hAnsi="Palatino Linotype"/>
          <w:i/>
          <w:iCs/>
          <w:color w:val="000000"/>
          <w:sz w:val="22"/>
          <w:szCs w:val="22"/>
          <w:lang w:val="es-ES_tradnl"/>
        </w:rPr>
        <w:t>La entrega de información que no corresponda con lo solicitado;</w:t>
      </w:r>
    </w:p>
    <w:p w14:paraId="637F4EC8" w14:textId="77777777" w:rsidR="006270F2" w:rsidRDefault="006270F2" w:rsidP="00551637">
      <w:pPr>
        <w:spacing w:line="360" w:lineRule="auto"/>
        <w:jc w:val="both"/>
        <w:rPr>
          <w:rFonts w:ascii="Palatino Linotype" w:hAnsi="Palatino Linotype"/>
        </w:rPr>
      </w:pPr>
    </w:p>
    <w:p w14:paraId="39F92638" w14:textId="263BF242" w:rsidR="00DC72FA" w:rsidRDefault="006270F2" w:rsidP="00551637">
      <w:pPr>
        <w:spacing w:line="360" w:lineRule="auto"/>
        <w:jc w:val="both"/>
        <w:rPr>
          <w:rFonts w:ascii="Palatino Linotype" w:hAnsi="Palatino Linotype"/>
        </w:rPr>
      </w:pPr>
      <w:r>
        <w:rPr>
          <w:rFonts w:ascii="Palatino Linotype" w:hAnsi="Palatino Linotype"/>
        </w:rPr>
        <w:t xml:space="preserve">Conforme a la </w:t>
      </w:r>
      <w:r w:rsidRPr="00105B24">
        <w:rPr>
          <w:rFonts w:ascii="Palatino Linotype" w:hAnsi="Palatino Linotype"/>
        </w:rPr>
        <w:t>narrativa</w:t>
      </w:r>
      <w:r>
        <w:rPr>
          <w:rFonts w:ascii="Palatino Linotype" w:hAnsi="Palatino Linotype"/>
        </w:rPr>
        <w:t xml:space="preserve"> de antecedentes, </w:t>
      </w:r>
      <w:r w:rsidR="00105B24" w:rsidRPr="00105B24">
        <w:rPr>
          <w:rFonts w:ascii="Palatino Linotype" w:hAnsi="Palatino Linotype"/>
        </w:rPr>
        <w:t xml:space="preserve">se manifiesta que el Sujeto Obligado no presentó su informe justificado, ni el Recurrente manifestaciones al respecto, sin que ello sea óbice para analizar y resolver el presente recurso </w:t>
      </w:r>
      <w:r w:rsidR="00105B24" w:rsidRPr="005F3E10">
        <w:rPr>
          <w:rFonts w:ascii="Palatino Linotype" w:hAnsi="Palatino Linotype"/>
        </w:rPr>
        <w:t>de revisión</w:t>
      </w:r>
      <w:r w:rsidR="00105B24" w:rsidRPr="00105B24">
        <w:rPr>
          <w:rFonts w:ascii="Palatino Linotype" w:hAnsi="Palatino Linotype"/>
        </w:rPr>
        <w:t>.</w:t>
      </w:r>
    </w:p>
    <w:p w14:paraId="64550562" w14:textId="77777777" w:rsidR="00105B24" w:rsidRDefault="00105B24" w:rsidP="00551637">
      <w:pPr>
        <w:spacing w:line="360" w:lineRule="auto"/>
        <w:jc w:val="both"/>
        <w:rPr>
          <w:rFonts w:ascii="Palatino Linotype" w:hAnsi="Palatino Linotype"/>
        </w:rPr>
      </w:pPr>
    </w:p>
    <w:p w14:paraId="2CBC6562" w14:textId="71C9F191" w:rsidR="00105B24" w:rsidRDefault="0046584E" w:rsidP="00551637">
      <w:pPr>
        <w:spacing w:line="360" w:lineRule="auto"/>
        <w:jc w:val="both"/>
        <w:rPr>
          <w:rFonts w:ascii="Palatino Linotype" w:hAnsi="Palatino Linotype"/>
        </w:rPr>
      </w:pPr>
      <w:r>
        <w:rPr>
          <w:rFonts w:ascii="Palatino Linotype" w:hAnsi="Palatino Linotype"/>
        </w:rPr>
        <w:t>Acto seguido, se procede a</w:t>
      </w:r>
      <w:r w:rsidR="00590E2A">
        <w:rPr>
          <w:rFonts w:ascii="Palatino Linotype" w:hAnsi="Palatino Linotype"/>
        </w:rPr>
        <w:t>l análisis de la respuesta y las razones o motivos de inconformidad a efecto de verificar la existencia de omisiones en el derecho de acceso a la información pública del solicitante.  En este sentido se rescata que el Titular de la Unidad de Transparencia</w:t>
      </w:r>
      <w:r w:rsidR="007C2A65">
        <w:rPr>
          <w:rFonts w:ascii="Palatino Linotype" w:hAnsi="Palatino Linotype"/>
        </w:rPr>
        <w:t xml:space="preserve">, manifestó que la información fue solicitada al </w:t>
      </w:r>
      <w:r w:rsidR="00A96407">
        <w:rPr>
          <w:rFonts w:ascii="Palatino Linotype" w:hAnsi="Palatino Linotype"/>
        </w:rPr>
        <w:t>director</w:t>
      </w:r>
      <w:r w:rsidR="007C2A65">
        <w:rPr>
          <w:rFonts w:ascii="Palatino Linotype" w:hAnsi="Palatino Linotype"/>
        </w:rPr>
        <w:t xml:space="preserve"> de Construcción y Operación Hidráulica, el cual </w:t>
      </w:r>
      <w:r w:rsidR="00A96407">
        <w:rPr>
          <w:rFonts w:ascii="Palatino Linotype" w:hAnsi="Palatino Linotype"/>
        </w:rPr>
        <w:t>de conformidad a</w:t>
      </w:r>
      <w:r w:rsidR="00897C5E">
        <w:rPr>
          <w:rFonts w:ascii="Palatino Linotype" w:hAnsi="Palatino Linotype"/>
        </w:rPr>
        <w:t xml:space="preserve">l </w:t>
      </w:r>
      <w:r w:rsidR="00897C5E" w:rsidRPr="00897C5E">
        <w:rPr>
          <w:rFonts w:ascii="Palatino Linotype" w:hAnsi="Palatino Linotype"/>
        </w:rPr>
        <w:t>Reglamento Orgánico</w:t>
      </w:r>
      <w:r w:rsidR="00897C5E">
        <w:rPr>
          <w:rFonts w:ascii="Palatino Linotype" w:hAnsi="Palatino Linotype"/>
        </w:rPr>
        <w:t xml:space="preserve"> del Sujeto Obligado tiene atribuciones y facultades para </w:t>
      </w:r>
      <w:r w:rsidR="001C778C">
        <w:rPr>
          <w:rFonts w:ascii="Palatino Linotype" w:hAnsi="Palatino Linotype"/>
        </w:rPr>
        <w:t>hacer los trámites de contratación y suministro de energía eléctrica del Organismo, así como realizar estudios de consumo de energía eléctrica.</w:t>
      </w:r>
    </w:p>
    <w:p w14:paraId="12029ED2" w14:textId="77777777" w:rsidR="00A96407" w:rsidRDefault="00A96407" w:rsidP="00551637">
      <w:pPr>
        <w:spacing w:line="360" w:lineRule="auto"/>
        <w:jc w:val="both"/>
        <w:rPr>
          <w:rFonts w:ascii="Palatino Linotype" w:hAnsi="Palatino Linotype"/>
        </w:rPr>
      </w:pPr>
    </w:p>
    <w:p w14:paraId="3DBAE04A" w14:textId="77777777" w:rsidR="00C87378" w:rsidRPr="001C778C" w:rsidRDefault="00C87378" w:rsidP="001C778C">
      <w:pPr>
        <w:spacing w:line="276" w:lineRule="auto"/>
        <w:ind w:left="851" w:right="616"/>
        <w:jc w:val="center"/>
        <w:rPr>
          <w:rFonts w:ascii="Palatino Linotype" w:hAnsi="Palatino Linotype"/>
          <w:b/>
          <w:bCs/>
          <w:i/>
          <w:iCs/>
          <w:sz w:val="22"/>
          <w:szCs w:val="22"/>
        </w:rPr>
      </w:pPr>
      <w:r w:rsidRPr="001C778C">
        <w:rPr>
          <w:rFonts w:ascii="Palatino Linotype" w:hAnsi="Palatino Linotype"/>
          <w:b/>
          <w:bCs/>
          <w:i/>
          <w:iCs/>
          <w:sz w:val="22"/>
          <w:szCs w:val="22"/>
        </w:rPr>
        <w:t>CAPÍTULO SEGUNDO</w:t>
      </w:r>
    </w:p>
    <w:p w14:paraId="453B513F" w14:textId="77777777" w:rsidR="00C87378" w:rsidRPr="001C778C" w:rsidRDefault="00C87378" w:rsidP="001C778C">
      <w:pPr>
        <w:spacing w:line="276" w:lineRule="auto"/>
        <w:ind w:left="851" w:right="616"/>
        <w:jc w:val="center"/>
        <w:rPr>
          <w:rFonts w:ascii="Palatino Linotype" w:hAnsi="Palatino Linotype"/>
          <w:b/>
          <w:bCs/>
          <w:i/>
          <w:iCs/>
          <w:sz w:val="22"/>
          <w:szCs w:val="22"/>
        </w:rPr>
      </w:pPr>
      <w:r w:rsidRPr="001C778C">
        <w:rPr>
          <w:rFonts w:ascii="Palatino Linotype" w:hAnsi="Palatino Linotype"/>
          <w:b/>
          <w:bCs/>
          <w:i/>
          <w:iCs/>
          <w:sz w:val="22"/>
          <w:szCs w:val="22"/>
        </w:rPr>
        <w:t>DE LA ESTRUCTURA ADMINISTRATIVA DEL ORGANISMO</w:t>
      </w:r>
    </w:p>
    <w:p w14:paraId="52F788A2" w14:textId="1542B841" w:rsidR="00C87378" w:rsidRPr="001C778C" w:rsidRDefault="00C87378" w:rsidP="001C778C">
      <w:pPr>
        <w:spacing w:line="276" w:lineRule="auto"/>
        <w:ind w:left="851" w:right="616"/>
        <w:jc w:val="both"/>
        <w:rPr>
          <w:rFonts w:ascii="Palatino Linotype" w:hAnsi="Palatino Linotype"/>
          <w:i/>
          <w:iCs/>
          <w:sz w:val="22"/>
          <w:szCs w:val="22"/>
        </w:rPr>
      </w:pPr>
      <w:r w:rsidRPr="001C778C">
        <w:rPr>
          <w:rFonts w:ascii="Palatino Linotype" w:hAnsi="Palatino Linotype"/>
          <w:b/>
          <w:bCs/>
          <w:i/>
          <w:iCs/>
          <w:sz w:val="22"/>
          <w:szCs w:val="22"/>
        </w:rPr>
        <w:t xml:space="preserve">Artículo 27.- </w:t>
      </w:r>
      <w:r w:rsidRPr="001C778C">
        <w:rPr>
          <w:rFonts w:ascii="Palatino Linotype" w:hAnsi="Palatino Linotype"/>
          <w:i/>
          <w:iCs/>
          <w:sz w:val="22"/>
          <w:szCs w:val="22"/>
        </w:rPr>
        <w:t>Para el despacho de los asuntos de su competencia, el Director General tendrá la asistencia de las siguientes áreas administrativas que integran la estructura orgánica:</w:t>
      </w:r>
    </w:p>
    <w:p w14:paraId="03237E6D" w14:textId="77777777" w:rsidR="00C87378" w:rsidRPr="001C778C" w:rsidRDefault="00C87378" w:rsidP="001C778C">
      <w:pPr>
        <w:spacing w:line="276" w:lineRule="auto"/>
        <w:ind w:left="851" w:right="616"/>
        <w:jc w:val="both"/>
        <w:rPr>
          <w:rFonts w:ascii="Palatino Linotype" w:hAnsi="Palatino Linotype"/>
          <w:i/>
          <w:iCs/>
          <w:sz w:val="22"/>
          <w:szCs w:val="22"/>
        </w:rPr>
      </w:pPr>
    </w:p>
    <w:p w14:paraId="7D418850" w14:textId="5874DD75" w:rsidR="00C87378" w:rsidRPr="001C778C" w:rsidRDefault="00C87378" w:rsidP="001C778C">
      <w:pPr>
        <w:spacing w:line="276" w:lineRule="auto"/>
        <w:ind w:left="851" w:right="616"/>
        <w:jc w:val="both"/>
        <w:rPr>
          <w:rFonts w:ascii="Palatino Linotype" w:hAnsi="Palatino Linotype"/>
          <w:i/>
          <w:iCs/>
          <w:sz w:val="22"/>
          <w:szCs w:val="22"/>
        </w:rPr>
      </w:pPr>
      <w:r w:rsidRPr="001C778C">
        <w:rPr>
          <w:rFonts w:ascii="Palatino Linotype" w:hAnsi="Palatino Linotype"/>
          <w:i/>
          <w:iCs/>
          <w:sz w:val="22"/>
          <w:szCs w:val="22"/>
        </w:rPr>
        <w:t>DIRECCIÓN GENERAL:</w:t>
      </w:r>
    </w:p>
    <w:p w14:paraId="5617609E" w14:textId="77777777" w:rsidR="00C87378" w:rsidRPr="001C778C" w:rsidRDefault="00C87378" w:rsidP="001C778C">
      <w:pPr>
        <w:spacing w:line="276" w:lineRule="auto"/>
        <w:ind w:left="851" w:right="616"/>
        <w:jc w:val="both"/>
        <w:rPr>
          <w:rFonts w:ascii="Palatino Linotype" w:hAnsi="Palatino Linotype"/>
          <w:i/>
          <w:iCs/>
          <w:sz w:val="22"/>
          <w:szCs w:val="22"/>
        </w:rPr>
      </w:pPr>
      <w:r w:rsidRPr="001C778C">
        <w:rPr>
          <w:rFonts w:ascii="Palatino Linotype" w:hAnsi="Palatino Linotype"/>
          <w:i/>
          <w:iCs/>
          <w:sz w:val="22"/>
          <w:szCs w:val="22"/>
        </w:rPr>
        <w:t>I.I. Gerencia de Gobierno Digital;</w:t>
      </w:r>
    </w:p>
    <w:p w14:paraId="59E27B78" w14:textId="77777777" w:rsidR="00C87378" w:rsidRPr="001C778C" w:rsidRDefault="00C87378" w:rsidP="001C778C">
      <w:pPr>
        <w:spacing w:line="276" w:lineRule="auto"/>
        <w:ind w:left="851" w:right="616"/>
        <w:jc w:val="both"/>
        <w:rPr>
          <w:rFonts w:ascii="Palatino Linotype" w:hAnsi="Palatino Linotype"/>
          <w:i/>
          <w:iCs/>
          <w:sz w:val="22"/>
          <w:szCs w:val="22"/>
        </w:rPr>
      </w:pPr>
      <w:r w:rsidRPr="001C778C">
        <w:rPr>
          <w:rFonts w:ascii="Palatino Linotype" w:hAnsi="Palatino Linotype"/>
          <w:i/>
          <w:iCs/>
          <w:sz w:val="22"/>
          <w:szCs w:val="22"/>
        </w:rPr>
        <w:t>I.II. Subgerencia de Relaciones Públicas;</w:t>
      </w:r>
    </w:p>
    <w:p w14:paraId="60A77DEA" w14:textId="77777777" w:rsidR="00C87378" w:rsidRPr="001C778C" w:rsidRDefault="00C87378" w:rsidP="001C778C">
      <w:pPr>
        <w:spacing w:line="276" w:lineRule="auto"/>
        <w:ind w:left="851" w:right="616"/>
        <w:jc w:val="both"/>
        <w:rPr>
          <w:rFonts w:ascii="Palatino Linotype" w:hAnsi="Palatino Linotype"/>
          <w:i/>
          <w:iCs/>
          <w:sz w:val="22"/>
          <w:szCs w:val="22"/>
        </w:rPr>
      </w:pPr>
      <w:r w:rsidRPr="001C778C">
        <w:rPr>
          <w:rFonts w:ascii="Palatino Linotype" w:hAnsi="Palatino Linotype"/>
          <w:i/>
          <w:iCs/>
          <w:sz w:val="22"/>
          <w:szCs w:val="22"/>
        </w:rPr>
        <w:t>I.III Subgerencia de Transparencia;</w:t>
      </w:r>
    </w:p>
    <w:p w14:paraId="14965340" w14:textId="77777777" w:rsidR="00C87378" w:rsidRPr="001C778C" w:rsidRDefault="00C87378" w:rsidP="001C778C">
      <w:pPr>
        <w:spacing w:line="276" w:lineRule="auto"/>
        <w:ind w:left="851" w:right="616"/>
        <w:jc w:val="both"/>
        <w:rPr>
          <w:rFonts w:ascii="Palatino Linotype" w:hAnsi="Palatino Linotype"/>
          <w:i/>
          <w:iCs/>
          <w:sz w:val="22"/>
          <w:szCs w:val="22"/>
        </w:rPr>
      </w:pPr>
      <w:r w:rsidRPr="001C778C">
        <w:rPr>
          <w:rFonts w:ascii="Palatino Linotype" w:hAnsi="Palatino Linotype"/>
          <w:i/>
          <w:iCs/>
          <w:sz w:val="22"/>
          <w:szCs w:val="22"/>
        </w:rPr>
        <w:t>I.IV. Subgerencia de Planeación, Evaluación y Calidad; y</w:t>
      </w:r>
    </w:p>
    <w:p w14:paraId="66047E89" w14:textId="77777777" w:rsidR="00C87378" w:rsidRPr="001C778C" w:rsidRDefault="00C87378" w:rsidP="001C778C">
      <w:pPr>
        <w:spacing w:line="276" w:lineRule="auto"/>
        <w:ind w:left="851" w:right="616"/>
        <w:jc w:val="both"/>
        <w:rPr>
          <w:rFonts w:ascii="Palatino Linotype" w:hAnsi="Palatino Linotype"/>
          <w:i/>
          <w:iCs/>
          <w:sz w:val="22"/>
          <w:szCs w:val="22"/>
        </w:rPr>
      </w:pPr>
      <w:r w:rsidRPr="001C778C">
        <w:rPr>
          <w:rFonts w:ascii="Palatino Linotype" w:hAnsi="Palatino Linotype"/>
          <w:i/>
          <w:iCs/>
          <w:sz w:val="22"/>
          <w:szCs w:val="22"/>
        </w:rPr>
        <w:t>I.V. Subgerencia de Factibilidades.</w:t>
      </w:r>
    </w:p>
    <w:p w14:paraId="55774820" w14:textId="17E4D780" w:rsidR="00C87378" w:rsidRPr="001C778C" w:rsidRDefault="00C87378" w:rsidP="001C778C">
      <w:pPr>
        <w:spacing w:line="276" w:lineRule="auto"/>
        <w:ind w:left="851" w:right="616"/>
        <w:jc w:val="both"/>
        <w:rPr>
          <w:rFonts w:ascii="Palatino Linotype" w:hAnsi="Palatino Linotype"/>
          <w:i/>
          <w:iCs/>
          <w:sz w:val="22"/>
          <w:szCs w:val="22"/>
        </w:rPr>
      </w:pPr>
      <w:r w:rsidRPr="001C778C">
        <w:rPr>
          <w:rFonts w:ascii="Palatino Linotype" w:hAnsi="Palatino Linotype"/>
          <w:i/>
          <w:iCs/>
          <w:sz w:val="22"/>
          <w:szCs w:val="22"/>
        </w:rPr>
        <w:t>SECRETARÍA TÉCNICA.</w:t>
      </w:r>
    </w:p>
    <w:p w14:paraId="5C16E537" w14:textId="7CEE796B" w:rsidR="00C87378" w:rsidRPr="001C778C" w:rsidRDefault="00C87378" w:rsidP="001C778C">
      <w:pPr>
        <w:spacing w:line="276" w:lineRule="auto"/>
        <w:ind w:left="851" w:right="616"/>
        <w:jc w:val="both"/>
        <w:rPr>
          <w:rFonts w:ascii="Palatino Linotype" w:hAnsi="Palatino Linotype"/>
          <w:i/>
          <w:iCs/>
          <w:sz w:val="22"/>
          <w:szCs w:val="22"/>
        </w:rPr>
      </w:pPr>
      <w:r w:rsidRPr="001C778C">
        <w:rPr>
          <w:rFonts w:ascii="Palatino Linotype" w:hAnsi="Palatino Linotype"/>
          <w:i/>
          <w:iCs/>
          <w:sz w:val="22"/>
          <w:szCs w:val="22"/>
        </w:rPr>
        <w:t>CONTRALORÍA INTERNA:</w:t>
      </w:r>
    </w:p>
    <w:p w14:paraId="756456E7" w14:textId="77777777" w:rsidR="00C87378" w:rsidRPr="001C778C" w:rsidRDefault="00C87378" w:rsidP="001C778C">
      <w:pPr>
        <w:spacing w:line="276" w:lineRule="auto"/>
        <w:ind w:left="851" w:right="616"/>
        <w:jc w:val="both"/>
        <w:rPr>
          <w:rFonts w:ascii="Palatino Linotype" w:hAnsi="Palatino Linotype"/>
          <w:i/>
          <w:iCs/>
          <w:sz w:val="22"/>
          <w:szCs w:val="22"/>
        </w:rPr>
      </w:pPr>
      <w:r w:rsidRPr="001C778C">
        <w:rPr>
          <w:rFonts w:ascii="Palatino Linotype" w:hAnsi="Palatino Linotype"/>
          <w:i/>
          <w:iCs/>
          <w:sz w:val="22"/>
          <w:szCs w:val="22"/>
        </w:rPr>
        <w:t>III.I. Subgerencia de Auditoría Financiera y Administrativa;</w:t>
      </w:r>
    </w:p>
    <w:p w14:paraId="2566D9A6" w14:textId="77777777" w:rsidR="00C87378" w:rsidRPr="001C778C" w:rsidRDefault="00C87378" w:rsidP="001C778C">
      <w:pPr>
        <w:spacing w:line="276" w:lineRule="auto"/>
        <w:ind w:left="851" w:right="616"/>
        <w:jc w:val="both"/>
        <w:rPr>
          <w:rFonts w:ascii="Palatino Linotype" w:hAnsi="Palatino Linotype"/>
          <w:i/>
          <w:iCs/>
          <w:sz w:val="22"/>
          <w:szCs w:val="22"/>
        </w:rPr>
      </w:pPr>
      <w:r w:rsidRPr="001C778C">
        <w:rPr>
          <w:rFonts w:ascii="Palatino Linotype" w:hAnsi="Palatino Linotype"/>
          <w:i/>
          <w:iCs/>
          <w:sz w:val="22"/>
          <w:szCs w:val="22"/>
        </w:rPr>
        <w:t>III.II. Subgerencia de Control de Obra;</w:t>
      </w:r>
    </w:p>
    <w:p w14:paraId="75B88759" w14:textId="77777777" w:rsidR="00C87378" w:rsidRPr="001C778C" w:rsidRDefault="00C87378" w:rsidP="001C778C">
      <w:pPr>
        <w:spacing w:line="276" w:lineRule="auto"/>
        <w:ind w:left="851" w:right="616"/>
        <w:jc w:val="both"/>
        <w:rPr>
          <w:rFonts w:ascii="Palatino Linotype" w:hAnsi="Palatino Linotype"/>
          <w:i/>
          <w:iCs/>
          <w:sz w:val="22"/>
          <w:szCs w:val="22"/>
        </w:rPr>
      </w:pPr>
      <w:r w:rsidRPr="001C778C">
        <w:rPr>
          <w:rFonts w:ascii="Palatino Linotype" w:hAnsi="Palatino Linotype"/>
          <w:i/>
          <w:iCs/>
          <w:sz w:val="22"/>
          <w:szCs w:val="22"/>
        </w:rPr>
        <w:t>III.II Bis. Subgerencia de Investigación; y</w:t>
      </w:r>
    </w:p>
    <w:p w14:paraId="432D5D90" w14:textId="77777777" w:rsidR="00C87378" w:rsidRPr="001C778C" w:rsidRDefault="00C87378" w:rsidP="001C778C">
      <w:pPr>
        <w:spacing w:line="276" w:lineRule="auto"/>
        <w:ind w:left="851" w:right="616"/>
        <w:jc w:val="both"/>
        <w:rPr>
          <w:rFonts w:ascii="Palatino Linotype" w:hAnsi="Palatino Linotype"/>
          <w:i/>
          <w:iCs/>
          <w:sz w:val="22"/>
          <w:szCs w:val="22"/>
        </w:rPr>
      </w:pPr>
      <w:r w:rsidRPr="001C778C">
        <w:rPr>
          <w:rFonts w:ascii="Palatino Linotype" w:hAnsi="Palatino Linotype"/>
          <w:i/>
          <w:iCs/>
          <w:sz w:val="22"/>
          <w:szCs w:val="22"/>
        </w:rPr>
        <w:t>III.III. Subgerencia de Responsabilidades.</w:t>
      </w:r>
    </w:p>
    <w:p w14:paraId="3E6B3D72" w14:textId="5EB0D589" w:rsidR="00C87378" w:rsidRPr="001C778C" w:rsidRDefault="00C87378" w:rsidP="001C778C">
      <w:pPr>
        <w:spacing w:line="276" w:lineRule="auto"/>
        <w:ind w:left="851" w:right="616"/>
        <w:jc w:val="both"/>
        <w:rPr>
          <w:rFonts w:ascii="Palatino Linotype" w:hAnsi="Palatino Linotype"/>
          <w:i/>
          <w:iCs/>
          <w:sz w:val="22"/>
          <w:szCs w:val="22"/>
        </w:rPr>
      </w:pPr>
      <w:r w:rsidRPr="001C778C">
        <w:rPr>
          <w:rFonts w:ascii="Palatino Linotype" w:hAnsi="Palatino Linotype"/>
          <w:i/>
          <w:iCs/>
          <w:sz w:val="22"/>
          <w:szCs w:val="22"/>
        </w:rPr>
        <w:t>DIRECCIÓN JURÍDICA:</w:t>
      </w:r>
    </w:p>
    <w:p w14:paraId="332119FA" w14:textId="77777777" w:rsidR="00C87378" w:rsidRPr="001C778C" w:rsidRDefault="00C87378" w:rsidP="001C778C">
      <w:pPr>
        <w:spacing w:line="276" w:lineRule="auto"/>
        <w:ind w:left="851" w:right="616"/>
        <w:jc w:val="both"/>
        <w:rPr>
          <w:rFonts w:ascii="Palatino Linotype" w:hAnsi="Palatino Linotype"/>
          <w:i/>
          <w:iCs/>
          <w:sz w:val="22"/>
          <w:szCs w:val="22"/>
        </w:rPr>
      </w:pPr>
      <w:r w:rsidRPr="001C778C">
        <w:rPr>
          <w:rFonts w:ascii="Palatino Linotype" w:hAnsi="Palatino Linotype"/>
          <w:i/>
          <w:iCs/>
          <w:sz w:val="22"/>
          <w:szCs w:val="22"/>
        </w:rPr>
        <w:t>IV.I. Subgerencia de Penal, Civil y Laboral; y</w:t>
      </w:r>
    </w:p>
    <w:p w14:paraId="17EE6450" w14:textId="77777777" w:rsidR="00C87378" w:rsidRPr="001C778C" w:rsidRDefault="00C87378" w:rsidP="001C778C">
      <w:pPr>
        <w:spacing w:line="276" w:lineRule="auto"/>
        <w:ind w:left="851" w:right="616"/>
        <w:jc w:val="both"/>
        <w:rPr>
          <w:rFonts w:ascii="Palatino Linotype" w:hAnsi="Palatino Linotype"/>
          <w:i/>
          <w:iCs/>
          <w:sz w:val="22"/>
          <w:szCs w:val="22"/>
        </w:rPr>
      </w:pPr>
      <w:r w:rsidRPr="001C778C">
        <w:rPr>
          <w:rFonts w:ascii="Palatino Linotype" w:hAnsi="Palatino Linotype"/>
          <w:i/>
          <w:iCs/>
          <w:sz w:val="22"/>
          <w:szCs w:val="22"/>
        </w:rPr>
        <w:t>IV.II. Subgerencia de lo Contencioso y Procedimientos Administrativos.</w:t>
      </w:r>
    </w:p>
    <w:p w14:paraId="2F8B1865" w14:textId="1DCF313B" w:rsidR="00C87378" w:rsidRPr="001C778C" w:rsidRDefault="00C87378" w:rsidP="001C778C">
      <w:pPr>
        <w:spacing w:line="276" w:lineRule="auto"/>
        <w:ind w:left="851" w:right="616"/>
        <w:jc w:val="both"/>
        <w:rPr>
          <w:rFonts w:ascii="Palatino Linotype" w:hAnsi="Palatino Linotype"/>
          <w:b/>
          <w:bCs/>
          <w:i/>
          <w:iCs/>
          <w:sz w:val="22"/>
          <w:szCs w:val="22"/>
        </w:rPr>
      </w:pPr>
      <w:r w:rsidRPr="001C778C">
        <w:rPr>
          <w:rFonts w:ascii="Palatino Linotype" w:hAnsi="Palatino Linotype"/>
          <w:b/>
          <w:bCs/>
          <w:i/>
          <w:iCs/>
          <w:sz w:val="22"/>
          <w:szCs w:val="22"/>
        </w:rPr>
        <w:t>DIRECCIÓN DE CONSTRUCCIÓN Y OPERACIÓN HIDRÁULICA:</w:t>
      </w:r>
    </w:p>
    <w:p w14:paraId="0633B18A" w14:textId="77777777" w:rsidR="00C87378" w:rsidRPr="001C778C" w:rsidRDefault="00C87378" w:rsidP="001C778C">
      <w:pPr>
        <w:spacing w:line="276" w:lineRule="auto"/>
        <w:ind w:left="851" w:right="616"/>
        <w:jc w:val="both"/>
        <w:rPr>
          <w:rFonts w:ascii="Palatino Linotype" w:hAnsi="Palatino Linotype"/>
          <w:i/>
          <w:iCs/>
          <w:sz w:val="22"/>
          <w:szCs w:val="22"/>
        </w:rPr>
      </w:pPr>
      <w:r w:rsidRPr="001C778C">
        <w:rPr>
          <w:rFonts w:ascii="Palatino Linotype" w:hAnsi="Palatino Linotype"/>
          <w:i/>
          <w:iCs/>
          <w:sz w:val="22"/>
          <w:szCs w:val="22"/>
        </w:rPr>
        <w:t>V.I. Gerencia de Operación Hidráulica:</w:t>
      </w:r>
    </w:p>
    <w:p w14:paraId="082E9C41" w14:textId="77777777" w:rsidR="00C87378" w:rsidRPr="001C778C" w:rsidRDefault="00C87378" w:rsidP="001C778C">
      <w:pPr>
        <w:spacing w:line="276" w:lineRule="auto"/>
        <w:ind w:left="851" w:right="616"/>
        <w:jc w:val="both"/>
        <w:rPr>
          <w:rFonts w:ascii="Palatino Linotype" w:hAnsi="Palatino Linotype"/>
          <w:i/>
          <w:iCs/>
          <w:sz w:val="22"/>
          <w:szCs w:val="22"/>
        </w:rPr>
      </w:pPr>
      <w:r w:rsidRPr="001C778C">
        <w:rPr>
          <w:rFonts w:ascii="Palatino Linotype" w:hAnsi="Palatino Linotype"/>
          <w:i/>
          <w:iCs/>
          <w:sz w:val="22"/>
          <w:szCs w:val="22"/>
        </w:rPr>
        <w:t>V.I.I. Subgerencia de Drenaje y Alcantarillado;</w:t>
      </w:r>
    </w:p>
    <w:p w14:paraId="7F2D2806" w14:textId="77777777" w:rsidR="00C87378" w:rsidRPr="001C778C" w:rsidRDefault="00C87378" w:rsidP="001C778C">
      <w:pPr>
        <w:spacing w:line="276" w:lineRule="auto"/>
        <w:ind w:left="851" w:right="616"/>
        <w:jc w:val="both"/>
        <w:rPr>
          <w:rFonts w:ascii="Palatino Linotype" w:hAnsi="Palatino Linotype"/>
          <w:i/>
          <w:iCs/>
          <w:sz w:val="22"/>
          <w:szCs w:val="22"/>
        </w:rPr>
      </w:pPr>
      <w:r w:rsidRPr="001C778C">
        <w:rPr>
          <w:rFonts w:ascii="Palatino Linotype" w:hAnsi="Palatino Linotype"/>
          <w:i/>
          <w:iCs/>
          <w:sz w:val="22"/>
          <w:szCs w:val="22"/>
        </w:rPr>
        <w:t>V</w:t>
      </w:r>
      <w:r w:rsidRPr="006C56D8">
        <w:rPr>
          <w:rFonts w:ascii="Palatino Linotype" w:hAnsi="Palatino Linotype"/>
          <w:b/>
          <w:bCs/>
          <w:i/>
          <w:iCs/>
          <w:sz w:val="22"/>
          <w:szCs w:val="22"/>
        </w:rPr>
        <w:t>.I.II. Subgerencia de Electromecánica</w:t>
      </w:r>
      <w:r w:rsidRPr="001C778C">
        <w:rPr>
          <w:rFonts w:ascii="Palatino Linotype" w:hAnsi="Palatino Linotype"/>
          <w:i/>
          <w:iCs/>
          <w:sz w:val="22"/>
          <w:szCs w:val="22"/>
        </w:rPr>
        <w:t>;</w:t>
      </w:r>
    </w:p>
    <w:p w14:paraId="02657A26" w14:textId="77777777" w:rsidR="00C87378" w:rsidRPr="001C778C" w:rsidRDefault="00C87378" w:rsidP="001C778C">
      <w:pPr>
        <w:spacing w:line="276" w:lineRule="auto"/>
        <w:ind w:left="851" w:right="616"/>
        <w:jc w:val="both"/>
        <w:rPr>
          <w:rFonts w:ascii="Palatino Linotype" w:hAnsi="Palatino Linotype"/>
          <w:i/>
          <w:iCs/>
          <w:sz w:val="22"/>
          <w:szCs w:val="22"/>
        </w:rPr>
      </w:pPr>
      <w:r w:rsidRPr="001C778C">
        <w:rPr>
          <w:rFonts w:ascii="Palatino Linotype" w:hAnsi="Palatino Linotype"/>
          <w:i/>
          <w:iCs/>
          <w:sz w:val="22"/>
          <w:szCs w:val="22"/>
        </w:rPr>
        <w:t>V.I.III. Subgerencia de Efluentes y Calidad del Agua; y</w:t>
      </w:r>
    </w:p>
    <w:p w14:paraId="21B7E432" w14:textId="77777777" w:rsidR="00C87378" w:rsidRPr="001C778C" w:rsidRDefault="00C87378" w:rsidP="001C778C">
      <w:pPr>
        <w:spacing w:line="276" w:lineRule="auto"/>
        <w:ind w:left="851" w:right="616"/>
        <w:jc w:val="both"/>
        <w:rPr>
          <w:rFonts w:ascii="Palatino Linotype" w:hAnsi="Palatino Linotype"/>
          <w:i/>
          <w:iCs/>
          <w:sz w:val="22"/>
          <w:szCs w:val="22"/>
        </w:rPr>
      </w:pPr>
      <w:r w:rsidRPr="001C778C">
        <w:rPr>
          <w:rFonts w:ascii="Palatino Linotype" w:hAnsi="Palatino Linotype"/>
          <w:i/>
          <w:iCs/>
          <w:sz w:val="22"/>
          <w:szCs w:val="22"/>
        </w:rPr>
        <w:t>V.I.IV. Subgerencia de Agua Potable.</w:t>
      </w:r>
      <w:r w:rsidRPr="001C778C">
        <w:rPr>
          <w:rFonts w:ascii="Palatino Linotype" w:hAnsi="Palatino Linotype"/>
          <w:i/>
          <w:iCs/>
          <w:sz w:val="22"/>
          <w:szCs w:val="22"/>
        </w:rPr>
        <w:cr/>
      </w:r>
    </w:p>
    <w:p w14:paraId="1E5D1A1A" w14:textId="20A2D451" w:rsidR="00C87378" w:rsidRPr="001C778C" w:rsidRDefault="00C87378" w:rsidP="001C778C">
      <w:pPr>
        <w:spacing w:line="276" w:lineRule="auto"/>
        <w:ind w:left="851" w:right="616"/>
        <w:jc w:val="right"/>
        <w:rPr>
          <w:rFonts w:ascii="Palatino Linotype" w:hAnsi="Palatino Linotype"/>
          <w:i/>
          <w:iCs/>
          <w:sz w:val="22"/>
          <w:szCs w:val="22"/>
        </w:rPr>
      </w:pPr>
      <w:r w:rsidRPr="001C778C">
        <w:rPr>
          <w:rFonts w:ascii="Palatino Linotype" w:hAnsi="Palatino Linotype"/>
          <w:i/>
          <w:iCs/>
          <w:sz w:val="22"/>
          <w:szCs w:val="22"/>
        </w:rPr>
        <w:t>(…)</w:t>
      </w:r>
    </w:p>
    <w:p w14:paraId="479F5065" w14:textId="05C2E37C" w:rsidR="00C87378" w:rsidRPr="001C778C" w:rsidRDefault="00C87378" w:rsidP="001C778C">
      <w:pPr>
        <w:spacing w:line="276" w:lineRule="auto"/>
        <w:ind w:left="851" w:right="616"/>
        <w:jc w:val="both"/>
        <w:rPr>
          <w:rFonts w:ascii="Palatino Linotype" w:hAnsi="Palatino Linotype"/>
          <w:i/>
          <w:iCs/>
          <w:sz w:val="22"/>
          <w:szCs w:val="22"/>
        </w:rPr>
      </w:pPr>
      <w:r w:rsidRPr="001C778C">
        <w:rPr>
          <w:rFonts w:ascii="Palatino Linotype" w:hAnsi="Palatino Linotype"/>
          <w:i/>
          <w:iCs/>
          <w:sz w:val="22"/>
          <w:szCs w:val="22"/>
        </w:rPr>
        <w:t>DIRECCIÓN DE ADMINISTRACIÓN</w:t>
      </w:r>
    </w:p>
    <w:p w14:paraId="45DC0497" w14:textId="77777777" w:rsidR="00C87378" w:rsidRPr="001C778C" w:rsidRDefault="00C87378" w:rsidP="001C778C">
      <w:pPr>
        <w:spacing w:line="276" w:lineRule="auto"/>
        <w:ind w:left="851" w:right="616"/>
        <w:jc w:val="both"/>
        <w:rPr>
          <w:rFonts w:ascii="Palatino Linotype" w:hAnsi="Palatino Linotype"/>
          <w:i/>
          <w:iCs/>
          <w:sz w:val="22"/>
          <w:szCs w:val="22"/>
        </w:rPr>
      </w:pPr>
      <w:r w:rsidRPr="001C778C">
        <w:rPr>
          <w:rFonts w:ascii="Palatino Linotype" w:hAnsi="Palatino Linotype"/>
          <w:i/>
          <w:iCs/>
          <w:sz w:val="22"/>
          <w:szCs w:val="22"/>
        </w:rPr>
        <w:t>VII.I. Gerencia de Administración:</w:t>
      </w:r>
    </w:p>
    <w:p w14:paraId="24A8DCCA" w14:textId="77777777" w:rsidR="00C87378" w:rsidRPr="001C778C" w:rsidRDefault="00C87378" w:rsidP="001C778C">
      <w:pPr>
        <w:spacing w:line="276" w:lineRule="auto"/>
        <w:ind w:left="851" w:right="616"/>
        <w:jc w:val="both"/>
        <w:rPr>
          <w:rFonts w:ascii="Palatino Linotype" w:hAnsi="Palatino Linotype"/>
          <w:i/>
          <w:iCs/>
          <w:sz w:val="22"/>
          <w:szCs w:val="22"/>
        </w:rPr>
      </w:pPr>
      <w:r w:rsidRPr="001C778C">
        <w:rPr>
          <w:rFonts w:ascii="Palatino Linotype" w:hAnsi="Palatino Linotype"/>
          <w:i/>
          <w:iCs/>
          <w:sz w:val="22"/>
          <w:szCs w:val="22"/>
        </w:rPr>
        <w:t>VII.I.I. Subgerencia de Recursos Humanos;</w:t>
      </w:r>
    </w:p>
    <w:p w14:paraId="7D2AF33E" w14:textId="77777777" w:rsidR="00C87378" w:rsidRPr="001C778C" w:rsidRDefault="00C87378" w:rsidP="001C778C">
      <w:pPr>
        <w:spacing w:line="276" w:lineRule="auto"/>
        <w:ind w:left="851" w:right="616"/>
        <w:jc w:val="both"/>
        <w:rPr>
          <w:rFonts w:ascii="Palatino Linotype" w:hAnsi="Palatino Linotype"/>
          <w:i/>
          <w:iCs/>
          <w:sz w:val="22"/>
          <w:szCs w:val="22"/>
        </w:rPr>
      </w:pPr>
      <w:r w:rsidRPr="001C778C">
        <w:rPr>
          <w:rFonts w:ascii="Palatino Linotype" w:hAnsi="Palatino Linotype"/>
          <w:i/>
          <w:iCs/>
          <w:sz w:val="22"/>
          <w:szCs w:val="22"/>
        </w:rPr>
        <w:t>VII.I.II. Subgerencia de Recursos Materiales; y</w:t>
      </w:r>
    </w:p>
    <w:p w14:paraId="0093381E" w14:textId="73C284C3" w:rsidR="00A96407" w:rsidRPr="001C778C" w:rsidRDefault="00C87378" w:rsidP="001C778C">
      <w:pPr>
        <w:spacing w:line="276" w:lineRule="auto"/>
        <w:ind w:left="851" w:right="616"/>
        <w:jc w:val="both"/>
        <w:rPr>
          <w:rFonts w:ascii="Palatino Linotype" w:hAnsi="Palatino Linotype"/>
          <w:i/>
          <w:iCs/>
          <w:sz w:val="22"/>
          <w:szCs w:val="22"/>
        </w:rPr>
      </w:pPr>
      <w:r w:rsidRPr="001C778C">
        <w:rPr>
          <w:rFonts w:ascii="Palatino Linotype" w:hAnsi="Palatino Linotype"/>
          <w:i/>
          <w:iCs/>
          <w:sz w:val="22"/>
          <w:szCs w:val="22"/>
        </w:rPr>
        <w:t>VII.I.III. Subgerencia de Patrimonio.</w:t>
      </w:r>
    </w:p>
    <w:p w14:paraId="3369D673" w14:textId="77777777" w:rsidR="00C87378" w:rsidRPr="001C778C" w:rsidRDefault="00C87378" w:rsidP="001C778C">
      <w:pPr>
        <w:spacing w:line="276" w:lineRule="auto"/>
        <w:ind w:left="851" w:right="616"/>
        <w:jc w:val="both"/>
        <w:rPr>
          <w:rFonts w:ascii="Palatino Linotype" w:hAnsi="Palatino Linotype"/>
          <w:i/>
          <w:iCs/>
          <w:sz w:val="22"/>
          <w:szCs w:val="22"/>
        </w:rPr>
      </w:pPr>
      <w:r w:rsidRPr="001C778C">
        <w:rPr>
          <w:rFonts w:ascii="Palatino Linotype" w:hAnsi="Palatino Linotype"/>
          <w:i/>
          <w:iCs/>
          <w:sz w:val="22"/>
          <w:szCs w:val="22"/>
        </w:rPr>
        <w:t xml:space="preserve">VII.II </w:t>
      </w:r>
      <w:r w:rsidRPr="00443F3F">
        <w:rPr>
          <w:rFonts w:ascii="Palatino Linotype" w:hAnsi="Palatino Linotype"/>
          <w:b/>
          <w:bCs/>
          <w:i/>
          <w:iCs/>
          <w:sz w:val="22"/>
          <w:szCs w:val="22"/>
        </w:rPr>
        <w:t>DIRECCIÓN DE FINANZAS</w:t>
      </w:r>
    </w:p>
    <w:p w14:paraId="7E54CB5F" w14:textId="77777777" w:rsidR="00C87378" w:rsidRPr="001C778C" w:rsidRDefault="00C87378" w:rsidP="001C778C">
      <w:pPr>
        <w:spacing w:line="276" w:lineRule="auto"/>
        <w:ind w:left="851" w:right="616"/>
        <w:jc w:val="both"/>
        <w:rPr>
          <w:rFonts w:ascii="Palatino Linotype" w:hAnsi="Palatino Linotype"/>
          <w:i/>
          <w:iCs/>
          <w:sz w:val="22"/>
          <w:szCs w:val="22"/>
        </w:rPr>
      </w:pPr>
      <w:r w:rsidRPr="001C778C">
        <w:rPr>
          <w:rFonts w:ascii="Palatino Linotype" w:hAnsi="Palatino Linotype"/>
          <w:i/>
          <w:iCs/>
          <w:sz w:val="22"/>
          <w:szCs w:val="22"/>
        </w:rPr>
        <w:t>VII.II.I Gerencia de Finanzas:</w:t>
      </w:r>
    </w:p>
    <w:p w14:paraId="160AF44D" w14:textId="77777777" w:rsidR="00C87378" w:rsidRPr="001C778C" w:rsidRDefault="00C87378" w:rsidP="001C778C">
      <w:pPr>
        <w:spacing w:line="276" w:lineRule="auto"/>
        <w:ind w:left="851" w:right="616"/>
        <w:jc w:val="both"/>
        <w:rPr>
          <w:rFonts w:ascii="Palatino Linotype" w:hAnsi="Palatino Linotype"/>
          <w:i/>
          <w:iCs/>
          <w:sz w:val="22"/>
          <w:szCs w:val="22"/>
        </w:rPr>
      </w:pPr>
      <w:r w:rsidRPr="001C778C">
        <w:rPr>
          <w:rFonts w:ascii="Palatino Linotype" w:hAnsi="Palatino Linotype"/>
          <w:i/>
          <w:iCs/>
          <w:sz w:val="22"/>
          <w:szCs w:val="22"/>
        </w:rPr>
        <w:lastRenderedPageBreak/>
        <w:t>VII.II.II Subgerencia de Contabilidad; y,</w:t>
      </w:r>
    </w:p>
    <w:p w14:paraId="5FB487F1" w14:textId="77777777" w:rsidR="00DC16B4" w:rsidRPr="001C778C" w:rsidRDefault="00C87378" w:rsidP="001C778C">
      <w:pPr>
        <w:spacing w:line="276" w:lineRule="auto"/>
        <w:ind w:left="851" w:right="616"/>
        <w:jc w:val="both"/>
        <w:rPr>
          <w:rFonts w:ascii="Palatino Linotype" w:hAnsi="Palatino Linotype"/>
          <w:i/>
          <w:iCs/>
          <w:sz w:val="22"/>
          <w:szCs w:val="22"/>
        </w:rPr>
      </w:pPr>
      <w:r w:rsidRPr="001C778C">
        <w:rPr>
          <w:rFonts w:ascii="Palatino Linotype" w:hAnsi="Palatino Linotype"/>
          <w:i/>
          <w:iCs/>
          <w:sz w:val="22"/>
          <w:szCs w:val="22"/>
        </w:rPr>
        <w:t>VII.II.III. Subgerencia de Tesorería.</w:t>
      </w:r>
      <w:r w:rsidRPr="001C778C">
        <w:rPr>
          <w:rFonts w:ascii="Palatino Linotype" w:hAnsi="Palatino Linotype"/>
          <w:i/>
          <w:iCs/>
          <w:sz w:val="22"/>
          <w:szCs w:val="22"/>
        </w:rPr>
        <w:cr/>
      </w:r>
    </w:p>
    <w:p w14:paraId="3026796A" w14:textId="77777777" w:rsidR="00DC16B4" w:rsidRPr="001C778C" w:rsidRDefault="00DC16B4" w:rsidP="001C778C">
      <w:pPr>
        <w:spacing w:line="276" w:lineRule="auto"/>
        <w:ind w:left="851" w:right="616"/>
        <w:jc w:val="center"/>
        <w:rPr>
          <w:rFonts w:ascii="Palatino Linotype" w:hAnsi="Palatino Linotype"/>
          <w:b/>
          <w:bCs/>
          <w:i/>
          <w:iCs/>
          <w:sz w:val="22"/>
          <w:szCs w:val="22"/>
        </w:rPr>
      </w:pPr>
      <w:r w:rsidRPr="001C778C">
        <w:rPr>
          <w:rFonts w:ascii="Palatino Linotype" w:hAnsi="Palatino Linotype"/>
          <w:b/>
          <w:bCs/>
          <w:i/>
          <w:iCs/>
          <w:sz w:val="22"/>
          <w:szCs w:val="22"/>
        </w:rPr>
        <w:t>CAPÍTULO NOVENO</w:t>
      </w:r>
    </w:p>
    <w:p w14:paraId="4F0CB7A4" w14:textId="77777777" w:rsidR="00DC16B4" w:rsidRPr="001C778C" w:rsidRDefault="00DC16B4" w:rsidP="001C778C">
      <w:pPr>
        <w:spacing w:line="276" w:lineRule="auto"/>
        <w:ind w:left="851" w:right="616"/>
        <w:jc w:val="center"/>
        <w:rPr>
          <w:rFonts w:ascii="Palatino Linotype" w:hAnsi="Palatino Linotype"/>
          <w:b/>
          <w:bCs/>
          <w:i/>
          <w:iCs/>
          <w:sz w:val="22"/>
          <w:szCs w:val="22"/>
        </w:rPr>
      </w:pPr>
      <w:r w:rsidRPr="001C778C">
        <w:rPr>
          <w:rFonts w:ascii="Palatino Linotype" w:hAnsi="Palatino Linotype"/>
          <w:b/>
          <w:bCs/>
          <w:i/>
          <w:iCs/>
          <w:sz w:val="22"/>
          <w:szCs w:val="22"/>
        </w:rPr>
        <w:t>DE LA DIRECCIÓN DE CONSTRUCCIÓN Y OPERACIÓN HIDRÁULICA</w:t>
      </w:r>
    </w:p>
    <w:p w14:paraId="43658B8B" w14:textId="653E5DD5" w:rsidR="00DC16B4" w:rsidRPr="001C778C" w:rsidRDefault="00DC16B4" w:rsidP="001C778C">
      <w:pPr>
        <w:spacing w:line="276" w:lineRule="auto"/>
        <w:ind w:left="851" w:right="616"/>
        <w:jc w:val="both"/>
        <w:rPr>
          <w:rFonts w:ascii="Palatino Linotype" w:hAnsi="Palatino Linotype"/>
          <w:i/>
          <w:iCs/>
          <w:sz w:val="22"/>
          <w:szCs w:val="22"/>
        </w:rPr>
      </w:pPr>
      <w:r w:rsidRPr="001C778C">
        <w:rPr>
          <w:rFonts w:ascii="Palatino Linotype" w:hAnsi="Palatino Linotype"/>
          <w:b/>
          <w:bCs/>
          <w:i/>
          <w:iCs/>
          <w:sz w:val="22"/>
          <w:szCs w:val="22"/>
        </w:rPr>
        <w:t>Artículo 44.-</w:t>
      </w:r>
      <w:r w:rsidRPr="001C778C">
        <w:rPr>
          <w:rFonts w:ascii="Palatino Linotype" w:hAnsi="Palatino Linotype"/>
          <w:i/>
          <w:iCs/>
          <w:sz w:val="22"/>
          <w:szCs w:val="22"/>
        </w:rPr>
        <w:t xml:space="preserve"> La Dirección de Construcción y Operación Hidráulica estará a cargo de un titular, a quien se le denominará Director de Construcción y Operación Hidráulica, responderá directamente del desempeño de sus funciones ante el Director General y tendrá las siguientes atribuciones y facultades relativas a su cargo:</w:t>
      </w:r>
    </w:p>
    <w:p w14:paraId="73B98F2D" w14:textId="77777777" w:rsidR="00DC16B4" w:rsidRPr="001C778C" w:rsidRDefault="00DC16B4" w:rsidP="001C778C">
      <w:pPr>
        <w:spacing w:line="276" w:lineRule="auto"/>
        <w:ind w:left="851" w:right="616"/>
        <w:jc w:val="both"/>
        <w:rPr>
          <w:rFonts w:ascii="Palatino Linotype" w:hAnsi="Palatino Linotype"/>
          <w:i/>
          <w:iCs/>
          <w:sz w:val="22"/>
          <w:szCs w:val="22"/>
        </w:rPr>
      </w:pPr>
    </w:p>
    <w:p w14:paraId="68348E43" w14:textId="2E8C6329" w:rsidR="00DC16B4" w:rsidRPr="001C778C" w:rsidRDefault="00DC16B4" w:rsidP="001C778C">
      <w:pPr>
        <w:spacing w:line="276" w:lineRule="auto"/>
        <w:ind w:left="851" w:right="616"/>
        <w:jc w:val="both"/>
        <w:rPr>
          <w:rFonts w:ascii="Palatino Linotype" w:hAnsi="Palatino Linotype"/>
          <w:i/>
          <w:iCs/>
          <w:sz w:val="22"/>
          <w:szCs w:val="22"/>
        </w:rPr>
      </w:pPr>
      <w:r w:rsidRPr="001C778C">
        <w:rPr>
          <w:rFonts w:ascii="Palatino Linotype" w:hAnsi="Palatino Linotype"/>
          <w:i/>
          <w:iCs/>
          <w:sz w:val="22"/>
          <w:szCs w:val="22"/>
        </w:rPr>
        <w:t>Representar al Organismo, ante las instancias de la Administración Pública Centralizada y Descentralizada, Federal, Estatales o Municipales;</w:t>
      </w:r>
      <w:r w:rsidRPr="001C778C">
        <w:rPr>
          <w:rFonts w:ascii="Palatino Linotype" w:hAnsi="Palatino Linotype"/>
          <w:i/>
          <w:iCs/>
          <w:sz w:val="22"/>
          <w:szCs w:val="22"/>
        </w:rPr>
        <w:cr/>
      </w:r>
    </w:p>
    <w:p w14:paraId="772483B6" w14:textId="77777777" w:rsidR="00B51BB0" w:rsidRPr="001C778C" w:rsidRDefault="00B51BB0" w:rsidP="001C778C">
      <w:pPr>
        <w:spacing w:line="276" w:lineRule="auto"/>
        <w:ind w:left="851" w:right="616"/>
        <w:jc w:val="both"/>
        <w:rPr>
          <w:rFonts w:ascii="Palatino Linotype" w:hAnsi="Palatino Linotype"/>
          <w:i/>
          <w:iCs/>
          <w:sz w:val="22"/>
          <w:szCs w:val="22"/>
        </w:rPr>
      </w:pPr>
      <w:r w:rsidRPr="001C778C">
        <w:rPr>
          <w:rFonts w:ascii="Palatino Linotype" w:hAnsi="Palatino Linotype"/>
          <w:b/>
          <w:bCs/>
          <w:i/>
          <w:iCs/>
          <w:sz w:val="22"/>
          <w:szCs w:val="22"/>
        </w:rPr>
        <w:t>XXII.</w:t>
      </w:r>
      <w:r w:rsidRPr="001C778C">
        <w:rPr>
          <w:rFonts w:ascii="Palatino Linotype" w:hAnsi="Palatino Linotype"/>
          <w:i/>
          <w:iCs/>
          <w:sz w:val="22"/>
          <w:szCs w:val="22"/>
        </w:rPr>
        <w:t xml:space="preserve"> Gestionar y/o asignar al personal para realizar los trámites que sean necesarios ante la Comisión Federal de Electricidad para la contratación y el suministro de energía eléctrica en las instalaciones del Organismo; </w:t>
      </w:r>
    </w:p>
    <w:p w14:paraId="3212D26E" w14:textId="77777777" w:rsidR="00B51BB0" w:rsidRPr="001C778C" w:rsidRDefault="00B51BB0" w:rsidP="001C778C">
      <w:pPr>
        <w:spacing w:line="276" w:lineRule="auto"/>
        <w:ind w:left="851" w:right="616"/>
        <w:jc w:val="both"/>
        <w:rPr>
          <w:rFonts w:ascii="Palatino Linotype" w:hAnsi="Palatino Linotype"/>
          <w:i/>
          <w:iCs/>
          <w:sz w:val="22"/>
          <w:szCs w:val="22"/>
        </w:rPr>
      </w:pPr>
    </w:p>
    <w:p w14:paraId="6BD9BFE7" w14:textId="4EDDE7CF" w:rsidR="00DC16B4" w:rsidRPr="001C778C" w:rsidRDefault="00B51BB0" w:rsidP="001C778C">
      <w:pPr>
        <w:spacing w:line="276" w:lineRule="auto"/>
        <w:ind w:left="851" w:right="616"/>
        <w:jc w:val="both"/>
        <w:rPr>
          <w:rFonts w:ascii="Palatino Linotype" w:hAnsi="Palatino Linotype"/>
          <w:i/>
          <w:iCs/>
          <w:sz w:val="22"/>
          <w:szCs w:val="22"/>
        </w:rPr>
      </w:pPr>
      <w:r w:rsidRPr="001C778C">
        <w:rPr>
          <w:rFonts w:ascii="Palatino Linotype" w:hAnsi="Palatino Linotype"/>
          <w:b/>
          <w:bCs/>
          <w:i/>
          <w:iCs/>
          <w:sz w:val="22"/>
          <w:szCs w:val="22"/>
        </w:rPr>
        <w:t>XXIII.</w:t>
      </w:r>
      <w:r w:rsidRPr="001C778C">
        <w:rPr>
          <w:rFonts w:ascii="Palatino Linotype" w:hAnsi="Palatino Linotype"/>
          <w:i/>
          <w:iCs/>
          <w:sz w:val="22"/>
          <w:szCs w:val="22"/>
        </w:rPr>
        <w:t xml:space="preserve"> Efectuar y/o asignar al personal encargado para realizar estudios a fin de hacer más eficiente el consumo de energía eléctrica;</w:t>
      </w:r>
    </w:p>
    <w:p w14:paraId="7A259E1C" w14:textId="77777777" w:rsidR="00DC16B4" w:rsidRDefault="00DC16B4" w:rsidP="00C87378">
      <w:pPr>
        <w:spacing w:line="360" w:lineRule="auto"/>
        <w:jc w:val="both"/>
        <w:rPr>
          <w:rFonts w:ascii="Palatino Linotype" w:hAnsi="Palatino Linotype"/>
        </w:rPr>
      </w:pPr>
    </w:p>
    <w:p w14:paraId="0E797B3E" w14:textId="5A250F32" w:rsidR="00DC16B4" w:rsidRDefault="006C56D8" w:rsidP="00C87378">
      <w:pPr>
        <w:spacing w:line="360" w:lineRule="auto"/>
        <w:jc w:val="both"/>
        <w:rPr>
          <w:rFonts w:ascii="Palatino Linotype" w:hAnsi="Palatino Linotype"/>
        </w:rPr>
      </w:pPr>
      <w:r>
        <w:rPr>
          <w:rFonts w:ascii="Palatino Linotype" w:hAnsi="Palatino Linotype"/>
        </w:rPr>
        <w:t xml:space="preserve">Particularmente, la subgerencia de electromecánica tiene atribuciones para administrar y controlar el servicio de energía eléctrica y suministros energéticos </w:t>
      </w:r>
      <w:r w:rsidR="00267303">
        <w:rPr>
          <w:rFonts w:ascii="Palatino Linotype" w:hAnsi="Palatino Linotype"/>
        </w:rPr>
        <w:t>a las diversas áreas del Organismo, de conformidad con el artículo 49 fracción XI, del ya citado Reglamento Orgánico.</w:t>
      </w:r>
    </w:p>
    <w:p w14:paraId="4BC94A3B" w14:textId="77777777" w:rsidR="00267303" w:rsidRDefault="00267303" w:rsidP="00C87378">
      <w:pPr>
        <w:spacing w:line="360" w:lineRule="auto"/>
        <w:jc w:val="both"/>
        <w:rPr>
          <w:rFonts w:ascii="Palatino Linotype" w:hAnsi="Palatino Linotype"/>
        </w:rPr>
      </w:pPr>
    </w:p>
    <w:p w14:paraId="5B773256" w14:textId="51C2397C" w:rsidR="00267303" w:rsidRPr="00E81DBB" w:rsidRDefault="00267303" w:rsidP="00E81DBB">
      <w:pPr>
        <w:spacing w:line="360" w:lineRule="auto"/>
        <w:ind w:left="851" w:right="616"/>
        <w:jc w:val="both"/>
        <w:rPr>
          <w:rFonts w:ascii="Palatino Linotype" w:hAnsi="Palatino Linotype"/>
          <w:i/>
          <w:iCs/>
          <w:sz w:val="22"/>
          <w:szCs w:val="22"/>
        </w:rPr>
      </w:pPr>
      <w:r w:rsidRPr="00E81DBB">
        <w:rPr>
          <w:rFonts w:ascii="Palatino Linotype" w:hAnsi="Palatino Linotype"/>
          <w:b/>
          <w:bCs/>
          <w:i/>
          <w:iCs/>
          <w:sz w:val="22"/>
          <w:szCs w:val="22"/>
        </w:rPr>
        <w:t>Artículo 49.-</w:t>
      </w:r>
      <w:r w:rsidRPr="00E81DBB">
        <w:rPr>
          <w:rFonts w:ascii="Palatino Linotype" w:hAnsi="Palatino Linotype"/>
          <w:i/>
          <w:iCs/>
          <w:sz w:val="22"/>
          <w:szCs w:val="22"/>
        </w:rPr>
        <w:t xml:space="preserve"> La Subgerencia de Electromecánica estará a cargo de un titular, a</w:t>
      </w:r>
      <w:r w:rsidR="00E81DBB">
        <w:rPr>
          <w:rFonts w:ascii="Palatino Linotype" w:hAnsi="Palatino Linotype"/>
          <w:i/>
          <w:iCs/>
          <w:sz w:val="22"/>
          <w:szCs w:val="22"/>
        </w:rPr>
        <w:t xml:space="preserve"> </w:t>
      </w:r>
      <w:r w:rsidRPr="00E81DBB">
        <w:rPr>
          <w:rFonts w:ascii="Palatino Linotype" w:hAnsi="Palatino Linotype"/>
          <w:i/>
          <w:iCs/>
          <w:sz w:val="22"/>
          <w:szCs w:val="22"/>
        </w:rPr>
        <w:t>quien se le denominará Subgerente de Electromecánica, responderá</w:t>
      </w:r>
      <w:r w:rsidR="00E81DBB">
        <w:rPr>
          <w:rFonts w:ascii="Palatino Linotype" w:hAnsi="Palatino Linotype"/>
          <w:i/>
          <w:iCs/>
          <w:sz w:val="22"/>
          <w:szCs w:val="22"/>
        </w:rPr>
        <w:t xml:space="preserve"> </w:t>
      </w:r>
      <w:r w:rsidRPr="00E81DBB">
        <w:rPr>
          <w:rFonts w:ascii="Palatino Linotype" w:hAnsi="Palatino Linotype"/>
          <w:i/>
          <w:iCs/>
          <w:sz w:val="22"/>
          <w:szCs w:val="22"/>
        </w:rPr>
        <w:t xml:space="preserve">directamente del </w:t>
      </w:r>
      <w:r w:rsidRPr="00E81DBB">
        <w:rPr>
          <w:rFonts w:ascii="Palatino Linotype" w:hAnsi="Palatino Linotype"/>
          <w:i/>
          <w:iCs/>
          <w:sz w:val="22"/>
          <w:szCs w:val="22"/>
        </w:rPr>
        <w:lastRenderedPageBreak/>
        <w:t>desempeño de sus funciones ante el Gerente de Operación</w:t>
      </w:r>
      <w:r w:rsidR="00E81DBB">
        <w:rPr>
          <w:rFonts w:ascii="Palatino Linotype" w:hAnsi="Palatino Linotype"/>
          <w:i/>
          <w:iCs/>
          <w:sz w:val="22"/>
          <w:szCs w:val="22"/>
        </w:rPr>
        <w:t xml:space="preserve"> </w:t>
      </w:r>
      <w:r w:rsidRPr="00E81DBB">
        <w:rPr>
          <w:rFonts w:ascii="Palatino Linotype" w:hAnsi="Palatino Linotype"/>
          <w:i/>
          <w:iCs/>
          <w:sz w:val="22"/>
          <w:szCs w:val="22"/>
        </w:rPr>
        <w:t xml:space="preserve">Hidráulica y tendrá las siguientes atribuciones y facultades relativas a su cargo: </w:t>
      </w:r>
    </w:p>
    <w:p w14:paraId="06D2F52C" w14:textId="77777777" w:rsidR="00267303" w:rsidRPr="00E81DBB" w:rsidRDefault="00267303" w:rsidP="00E81DBB">
      <w:pPr>
        <w:spacing w:line="360" w:lineRule="auto"/>
        <w:ind w:left="851" w:right="616"/>
        <w:jc w:val="both"/>
        <w:rPr>
          <w:rFonts w:ascii="Palatino Linotype" w:hAnsi="Palatino Linotype"/>
          <w:i/>
          <w:iCs/>
          <w:sz w:val="22"/>
          <w:szCs w:val="22"/>
        </w:rPr>
      </w:pPr>
      <w:r w:rsidRPr="00E81DBB">
        <w:rPr>
          <w:rFonts w:ascii="Palatino Linotype" w:hAnsi="Palatino Linotype"/>
          <w:i/>
          <w:iCs/>
          <w:sz w:val="22"/>
          <w:szCs w:val="22"/>
        </w:rPr>
        <w:t xml:space="preserve"> </w:t>
      </w:r>
    </w:p>
    <w:p w14:paraId="7EF3FEB1" w14:textId="58BB6EFE" w:rsidR="00267303" w:rsidRPr="00E81DBB" w:rsidRDefault="00267303" w:rsidP="00E81DBB">
      <w:pPr>
        <w:spacing w:line="360" w:lineRule="auto"/>
        <w:ind w:left="851" w:right="616"/>
        <w:jc w:val="both"/>
        <w:rPr>
          <w:rFonts w:ascii="Palatino Linotype" w:hAnsi="Palatino Linotype"/>
          <w:i/>
          <w:iCs/>
          <w:sz w:val="22"/>
          <w:szCs w:val="22"/>
        </w:rPr>
      </w:pPr>
      <w:r w:rsidRPr="00E81DBB">
        <w:rPr>
          <w:rFonts w:ascii="Palatino Linotype" w:hAnsi="Palatino Linotype"/>
          <w:i/>
          <w:iCs/>
          <w:sz w:val="22"/>
          <w:szCs w:val="22"/>
        </w:rPr>
        <w:t>I. Mantener en óptimas condiciones de operación los equipos</w:t>
      </w:r>
      <w:r w:rsidR="00E81DBB" w:rsidRPr="00E81DBB">
        <w:rPr>
          <w:rFonts w:ascii="Palatino Linotype" w:hAnsi="Palatino Linotype"/>
          <w:i/>
          <w:iCs/>
          <w:sz w:val="22"/>
          <w:szCs w:val="22"/>
        </w:rPr>
        <w:t xml:space="preserve"> </w:t>
      </w:r>
      <w:r w:rsidRPr="00E81DBB">
        <w:rPr>
          <w:rFonts w:ascii="Palatino Linotype" w:hAnsi="Palatino Linotype"/>
          <w:i/>
          <w:iCs/>
          <w:sz w:val="22"/>
          <w:szCs w:val="22"/>
        </w:rPr>
        <w:t>electromecánicos de los pozos, cárcamos, y rebombeos de agua</w:t>
      </w:r>
      <w:r w:rsidR="00E81DBB" w:rsidRPr="00E81DBB">
        <w:rPr>
          <w:rFonts w:ascii="Palatino Linotype" w:hAnsi="Palatino Linotype"/>
          <w:i/>
          <w:iCs/>
          <w:sz w:val="22"/>
          <w:szCs w:val="22"/>
        </w:rPr>
        <w:t xml:space="preserve"> </w:t>
      </w:r>
      <w:r w:rsidRPr="00E81DBB">
        <w:rPr>
          <w:rFonts w:ascii="Palatino Linotype" w:hAnsi="Palatino Linotype"/>
          <w:i/>
          <w:iCs/>
          <w:sz w:val="22"/>
          <w:szCs w:val="22"/>
        </w:rPr>
        <w:t>potable;</w:t>
      </w:r>
    </w:p>
    <w:p w14:paraId="3EA1366F" w14:textId="77777777" w:rsidR="00E81DBB" w:rsidRPr="00E81DBB" w:rsidRDefault="00E81DBB" w:rsidP="00E81DBB">
      <w:pPr>
        <w:spacing w:line="360" w:lineRule="auto"/>
        <w:ind w:left="851" w:right="616"/>
        <w:jc w:val="both"/>
        <w:rPr>
          <w:rFonts w:ascii="Palatino Linotype" w:hAnsi="Palatino Linotype"/>
          <w:i/>
          <w:iCs/>
          <w:sz w:val="22"/>
          <w:szCs w:val="22"/>
        </w:rPr>
      </w:pPr>
    </w:p>
    <w:p w14:paraId="20AE71DC" w14:textId="2A91545A" w:rsidR="00267303" w:rsidRPr="00E81DBB" w:rsidRDefault="00E81DBB" w:rsidP="00E81DBB">
      <w:pPr>
        <w:spacing w:line="360" w:lineRule="auto"/>
        <w:ind w:left="851" w:right="616"/>
        <w:jc w:val="both"/>
        <w:rPr>
          <w:rFonts w:ascii="Palatino Linotype" w:hAnsi="Palatino Linotype"/>
          <w:i/>
          <w:iCs/>
          <w:sz w:val="22"/>
          <w:szCs w:val="22"/>
        </w:rPr>
      </w:pPr>
      <w:r w:rsidRPr="00E81DBB">
        <w:rPr>
          <w:rFonts w:ascii="Palatino Linotype" w:hAnsi="Palatino Linotype"/>
          <w:b/>
          <w:bCs/>
          <w:i/>
          <w:iCs/>
          <w:sz w:val="22"/>
          <w:szCs w:val="22"/>
        </w:rPr>
        <w:t>XI.</w:t>
      </w:r>
      <w:r w:rsidRPr="00E81DBB">
        <w:rPr>
          <w:rFonts w:ascii="Palatino Linotype" w:hAnsi="Palatino Linotype"/>
          <w:i/>
          <w:iCs/>
          <w:sz w:val="22"/>
          <w:szCs w:val="22"/>
        </w:rPr>
        <w:t xml:space="preserve"> </w:t>
      </w:r>
      <w:r w:rsidRPr="00E81DBB">
        <w:rPr>
          <w:rFonts w:ascii="Palatino Linotype" w:hAnsi="Palatino Linotype"/>
          <w:i/>
          <w:iCs/>
          <w:sz w:val="22"/>
          <w:szCs w:val="22"/>
          <w:u w:val="single"/>
        </w:rPr>
        <w:t>Administrar y controlar el servicio de energía eléctrica y suministros de energéticos proporcionados a las diversas áreas del Organismo</w:t>
      </w:r>
      <w:r w:rsidRPr="00E81DBB">
        <w:rPr>
          <w:rFonts w:ascii="Palatino Linotype" w:hAnsi="Palatino Linotype"/>
          <w:i/>
          <w:iCs/>
          <w:sz w:val="22"/>
          <w:szCs w:val="22"/>
        </w:rPr>
        <w:t>;</w:t>
      </w:r>
    </w:p>
    <w:p w14:paraId="071154A2" w14:textId="77777777" w:rsidR="00DC16B4" w:rsidRPr="00E81DBB" w:rsidRDefault="00DC16B4" w:rsidP="00E81DBB">
      <w:pPr>
        <w:spacing w:line="360" w:lineRule="auto"/>
        <w:ind w:left="851" w:right="616"/>
        <w:jc w:val="both"/>
        <w:rPr>
          <w:rFonts w:ascii="Palatino Linotype" w:hAnsi="Palatino Linotype"/>
          <w:i/>
          <w:iCs/>
          <w:sz w:val="22"/>
          <w:szCs w:val="22"/>
        </w:rPr>
      </w:pPr>
    </w:p>
    <w:p w14:paraId="79C17CFC" w14:textId="6996462C" w:rsidR="00DC16B4" w:rsidRDefault="00E81DBB" w:rsidP="00C87378">
      <w:pPr>
        <w:spacing w:line="360" w:lineRule="auto"/>
        <w:jc w:val="both"/>
        <w:rPr>
          <w:rFonts w:ascii="Palatino Linotype" w:hAnsi="Palatino Linotype"/>
        </w:rPr>
      </w:pPr>
      <w:r>
        <w:rPr>
          <w:rFonts w:ascii="Palatino Linotype" w:hAnsi="Palatino Linotype"/>
        </w:rPr>
        <w:t>De ello se arriba a</w:t>
      </w:r>
      <w:r w:rsidR="00E74B36">
        <w:rPr>
          <w:rFonts w:ascii="Palatino Linotype" w:hAnsi="Palatino Linotype"/>
        </w:rPr>
        <w:t xml:space="preserve"> la</w:t>
      </w:r>
      <w:r>
        <w:rPr>
          <w:rFonts w:ascii="Palatino Linotype" w:hAnsi="Palatino Linotype"/>
        </w:rPr>
        <w:t xml:space="preserve"> conclusión que la respuesta fue proporcionada por el Servidor Público Habilitado Competente, </w:t>
      </w:r>
      <w:r w:rsidR="00B5467A">
        <w:rPr>
          <w:rFonts w:ascii="Palatino Linotype" w:hAnsi="Palatino Linotype"/>
        </w:rPr>
        <w:t xml:space="preserve">sin embargo no debe perder de vista que existe </w:t>
      </w:r>
      <w:r w:rsidR="004758A0">
        <w:rPr>
          <w:rFonts w:ascii="Palatino Linotype" w:hAnsi="Palatino Linotype"/>
        </w:rPr>
        <w:t xml:space="preserve">una Dirección de Finanzas, la cual </w:t>
      </w:r>
      <w:r w:rsidR="001C1345">
        <w:rPr>
          <w:rFonts w:ascii="Palatino Linotype" w:hAnsi="Palatino Linotype"/>
        </w:rPr>
        <w:t>también resulta competente, desde el aspecto financiero del Organismo, ya que tiene entre sus atribuciones integrar y elaborar los presupuesto</w:t>
      </w:r>
      <w:r w:rsidR="00DA2B6A">
        <w:rPr>
          <w:rFonts w:ascii="Palatino Linotype" w:hAnsi="Palatino Linotype"/>
        </w:rPr>
        <w:t>s</w:t>
      </w:r>
      <w:r w:rsidR="001C1345">
        <w:rPr>
          <w:rFonts w:ascii="Palatino Linotype" w:hAnsi="Palatino Linotype"/>
        </w:rPr>
        <w:t xml:space="preserve"> de ingresos y egresos</w:t>
      </w:r>
      <w:r w:rsidR="00E74B36">
        <w:rPr>
          <w:rFonts w:ascii="Palatino Linotype" w:hAnsi="Palatino Linotype"/>
        </w:rPr>
        <w:t>, así como sus modificaciones.</w:t>
      </w:r>
    </w:p>
    <w:p w14:paraId="15899C51" w14:textId="77777777" w:rsidR="00952D59" w:rsidRDefault="00952D59" w:rsidP="00C87378">
      <w:pPr>
        <w:spacing w:line="360" w:lineRule="auto"/>
        <w:jc w:val="both"/>
        <w:rPr>
          <w:rFonts w:ascii="Palatino Linotype" w:hAnsi="Palatino Linotype"/>
        </w:rPr>
      </w:pPr>
    </w:p>
    <w:p w14:paraId="39A34694" w14:textId="41C57AF9" w:rsidR="00E50B0F" w:rsidRPr="00E50B0F" w:rsidRDefault="00E50B0F" w:rsidP="00E50B0F">
      <w:pPr>
        <w:spacing w:line="360" w:lineRule="auto"/>
        <w:ind w:left="851" w:right="616"/>
        <w:jc w:val="center"/>
        <w:rPr>
          <w:rFonts w:ascii="Palatino Linotype" w:hAnsi="Palatino Linotype"/>
          <w:b/>
          <w:bCs/>
          <w:i/>
          <w:iCs/>
          <w:sz w:val="22"/>
          <w:szCs w:val="22"/>
        </w:rPr>
      </w:pPr>
      <w:r w:rsidRPr="00E50B0F">
        <w:rPr>
          <w:rFonts w:ascii="Palatino Linotype" w:hAnsi="Palatino Linotype"/>
          <w:b/>
          <w:bCs/>
          <w:i/>
          <w:iCs/>
          <w:sz w:val="22"/>
          <w:szCs w:val="22"/>
        </w:rPr>
        <w:t>DE LA DIRECCIÓN DE FINANZAS</w:t>
      </w:r>
    </w:p>
    <w:p w14:paraId="42C53B91" w14:textId="48EFBC2B" w:rsidR="00E74B36" w:rsidRPr="00E50B0F" w:rsidRDefault="00E50B0F" w:rsidP="00E50B0F">
      <w:pPr>
        <w:spacing w:line="360" w:lineRule="auto"/>
        <w:ind w:left="851" w:right="616"/>
        <w:jc w:val="both"/>
        <w:rPr>
          <w:rFonts w:ascii="Palatino Linotype" w:hAnsi="Palatino Linotype"/>
          <w:i/>
          <w:iCs/>
          <w:sz w:val="22"/>
          <w:szCs w:val="22"/>
        </w:rPr>
      </w:pPr>
      <w:r w:rsidRPr="00E50B0F">
        <w:rPr>
          <w:rFonts w:ascii="Palatino Linotype" w:hAnsi="Palatino Linotype"/>
          <w:b/>
          <w:bCs/>
          <w:i/>
          <w:iCs/>
          <w:sz w:val="22"/>
          <w:szCs w:val="22"/>
        </w:rPr>
        <w:t xml:space="preserve">Artículo 66 Bis. - </w:t>
      </w:r>
      <w:r w:rsidRPr="00E50B0F">
        <w:rPr>
          <w:rFonts w:ascii="Palatino Linotype" w:hAnsi="Palatino Linotype"/>
          <w:i/>
          <w:iCs/>
          <w:sz w:val="22"/>
          <w:szCs w:val="22"/>
        </w:rPr>
        <w:t>La Dirección de Finanzas estará a cargo de un titular, a quien se</w:t>
      </w:r>
      <w:r>
        <w:rPr>
          <w:rFonts w:ascii="Palatino Linotype" w:hAnsi="Palatino Linotype"/>
          <w:i/>
          <w:iCs/>
          <w:sz w:val="22"/>
          <w:szCs w:val="22"/>
        </w:rPr>
        <w:t xml:space="preserve"> </w:t>
      </w:r>
      <w:r w:rsidRPr="00E50B0F">
        <w:rPr>
          <w:rFonts w:ascii="Palatino Linotype" w:hAnsi="Palatino Linotype"/>
          <w:i/>
          <w:iCs/>
          <w:sz w:val="22"/>
          <w:szCs w:val="22"/>
        </w:rPr>
        <w:t>le denominará Director de Finanzas, responderá directamente del desempeño</w:t>
      </w:r>
      <w:r>
        <w:rPr>
          <w:rFonts w:ascii="Palatino Linotype" w:hAnsi="Palatino Linotype"/>
          <w:i/>
          <w:iCs/>
          <w:sz w:val="22"/>
          <w:szCs w:val="22"/>
        </w:rPr>
        <w:t xml:space="preserve"> </w:t>
      </w:r>
      <w:r w:rsidRPr="00E50B0F">
        <w:rPr>
          <w:rFonts w:ascii="Palatino Linotype" w:hAnsi="Palatino Linotype"/>
          <w:i/>
          <w:iCs/>
          <w:sz w:val="22"/>
          <w:szCs w:val="22"/>
        </w:rPr>
        <w:t>de sus funciones ante el Director General y tendrá las siguientes atribuciones y</w:t>
      </w:r>
      <w:r>
        <w:rPr>
          <w:rFonts w:ascii="Palatino Linotype" w:hAnsi="Palatino Linotype"/>
          <w:i/>
          <w:iCs/>
          <w:sz w:val="22"/>
          <w:szCs w:val="22"/>
        </w:rPr>
        <w:t xml:space="preserve"> </w:t>
      </w:r>
      <w:r w:rsidRPr="00E50B0F">
        <w:rPr>
          <w:rFonts w:ascii="Palatino Linotype" w:hAnsi="Palatino Linotype"/>
          <w:i/>
          <w:iCs/>
          <w:sz w:val="22"/>
          <w:szCs w:val="22"/>
        </w:rPr>
        <w:t>facultades relativas a su cargo:</w:t>
      </w:r>
    </w:p>
    <w:p w14:paraId="6353254A" w14:textId="77777777" w:rsidR="00E50B0F" w:rsidRPr="00E50B0F" w:rsidRDefault="00E50B0F" w:rsidP="00E50B0F">
      <w:pPr>
        <w:spacing w:line="360" w:lineRule="auto"/>
        <w:ind w:left="851" w:right="616"/>
        <w:jc w:val="both"/>
        <w:rPr>
          <w:rFonts w:ascii="Palatino Linotype" w:hAnsi="Palatino Linotype"/>
          <w:i/>
          <w:iCs/>
          <w:sz w:val="22"/>
          <w:szCs w:val="22"/>
        </w:rPr>
      </w:pPr>
    </w:p>
    <w:p w14:paraId="7BE852CC" w14:textId="423079A7" w:rsidR="00E50B0F" w:rsidRDefault="00E50B0F" w:rsidP="00E50B0F">
      <w:pPr>
        <w:spacing w:line="360" w:lineRule="auto"/>
        <w:ind w:left="851" w:right="616"/>
        <w:jc w:val="both"/>
        <w:rPr>
          <w:rFonts w:ascii="Palatino Linotype" w:hAnsi="Palatino Linotype"/>
          <w:i/>
          <w:iCs/>
          <w:sz w:val="22"/>
          <w:szCs w:val="22"/>
        </w:rPr>
      </w:pPr>
      <w:r w:rsidRPr="00E50B0F">
        <w:rPr>
          <w:rFonts w:ascii="Palatino Linotype" w:hAnsi="Palatino Linotype"/>
          <w:b/>
          <w:bCs/>
          <w:i/>
          <w:iCs/>
          <w:sz w:val="22"/>
          <w:szCs w:val="22"/>
        </w:rPr>
        <w:t>III.</w:t>
      </w:r>
      <w:r w:rsidRPr="00E50B0F">
        <w:rPr>
          <w:rFonts w:ascii="Palatino Linotype" w:hAnsi="Palatino Linotype"/>
          <w:i/>
          <w:iCs/>
          <w:sz w:val="22"/>
          <w:szCs w:val="22"/>
        </w:rPr>
        <w:t xml:space="preserve"> </w:t>
      </w:r>
      <w:r w:rsidRPr="00DA2B6A">
        <w:rPr>
          <w:rFonts w:ascii="Palatino Linotype" w:hAnsi="Palatino Linotype"/>
          <w:i/>
          <w:iCs/>
          <w:sz w:val="22"/>
          <w:szCs w:val="22"/>
          <w:u w:val="single"/>
        </w:rPr>
        <w:t xml:space="preserve">Integrar y elaborar a través de la Gerencia de Finanzas, auxiliada por la Subgerencia de Contabilidad; y presentar al Comisario y al Consejo Directivo, por conducto directo del Director General, así como al Órgano Superior de Fiscalización del Estado de </w:t>
      </w:r>
      <w:r w:rsidRPr="00DA2B6A">
        <w:rPr>
          <w:rFonts w:ascii="Palatino Linotype" w:hAnsi="Palatino Linotype"/>
          <w:i/>
          <w:iCs/>
          <w:sz w:val="22"/>
          <w:szCs w:val="22"/>
          <w:u w:val="single"/>
        </w:rPr>
        <w:lastRenderedPageBreak/>
        <w:t>México, el Presupuesto de Ingresos y Egresos y la modificación y/o modificaciones a los mismos para la autorización de cada ejercicio fiscal</w:t>
      </w:r>
      <w:r w:rsidRPr="00E50B0F">
        <w:rPr>
          <w:rFonts w:ascii="Palatino Linotype" w:hAnsi="Palatino Linotype"/>
          <w:i/>
          <w:iCs/>
          <w:sz w:val="22"/>
          <w:szCs w:val="22"/>
        </w:rPr>
        <w:t>;</w:t>
      </w:r>
    </w:p>
    <w:p w14:paraId="098C622B" w14:textId="0569BD72" w:rsidR="00083AA3" w:rsidRDefault="00083AA3" w:rsidP="00083AA3">
      <w:pPr>
        <w:spacing w:line="360" w:lineRule="auto"/>
        <w:ind w:left="851" w:right="616"/>
        <w:jc w:val="both"/>
        <w:rPr>
          <w:rFonts w:ascii="Palatino Linotype" w:hAnsi="Palatino Linotype"/>
          <w:i/>
          <w:iCs/>
          <w:sz w:val="22"/>
          <w:szCs w:val="22"/>
        </w:rPr>
      </w:pPr>
      <w:r w:rsidRPr="00083AA3">
        <w:rPr>
          <w:rFonts w:ascii="Palatino Linotype" w:hAnsi="Palatino Linotype"/>
          <w:b/>
          <w:bCs/>
          <w:i/>
          <w:iCs/>
          <w:sz w:val="22"/>
          <w:szCs w:val="22"/>
        </w:rPr>
        <w:t>VIII.</w:t>
      </w:r>
      <w:r w:rsidRPr="00083AA3">
        <w:rPr>
          <w:rFonts w:ascii="Palatino Linotype" w:hAnsi="Palatino Linotype"/>
          <w:i/>
          <w:iCs/>
          <w:sz w:val="22"/>
          <w:szCs w:val="22"/>
        </w:rPr>
        <w:t xml:space="preserve"> Establecer controles internos apegados a la normatividad para </w:t>
      </w:r>
      <w:r w:rsidRPr="00DA2B6A">
        <w:rPr>
          <w:rFonts w:ascii="Palatino Linotype" w:hAnsi="Palatino Linotype"/>
          <w:i/>
          <w:iCs/>
          <w:sz w:val="22"/>
          <w:szCs w:val="22"/>
          <w:u w:val="single"/>
        </w:rPr>
        <w:t>el registro de operaciones contables, financieras</w:t>
      </w:r>
      <w:r w:rsidRPr="00083AA3">
        <w:rPr>
          <w:rFonts w:ascii="Palatino Linotype" w:hAnsi="Palatino Linotype"/>
          <w:i/>
          <w:iCs/>
          <w:sz w:val="22"/>
          <w:szCs w:val="22"/>
        </w:rPr>
        <w:t>, y;</w:t>
      </w:r>
    </w:p>
    <w:p w14:paraId="35F9B596" w14:textId="14986900" w:rsidR="00083AA3" w:rsidRDefault="00083AA3" w:rsidP="00083AA3">
      <w:pPr>
        <w:spacing w:line="360" w:lineRule="auto"/>
        <w:ind w:left="851" w:right="616"/>
        <w:jc w:val="both"/>
        <w:rPr>
          <w:rFonts w:ascii="Palatino Linotype" w:hAnsi="Palatino Linotype"/>
          <w:i/>
          <w:iCs/>
          <w:sz w:val="22"/>
          <w:szCs w:val="22"/>
        </w:rPr>
      </w:pPr>
      <w:r w:rsidRPr="00DA2B6A">
        <w:rPr>
          <w:rFonts w:ascii="Palatino Linotype" w:hAnsi="Palatino Linotype"/>
          <w:b/>
          <w:bCs/>
          <w:i/>
          <w:iCs/>
          <w:sz w:val="22"/>
          <w:szCs w:val="22"/>
        </w:rPr>
        <w:t>X.</w:t>
      </w:r>
      <w:r w:rsidRPr="00083AA3">
        <w:rPr>
          <w:rFonts w:ascii="Palatino Linotype" w:hAnsi="Palatino Linotype"/>
          <w:i/>
          <w:iCs/>
          <w:sz w:val="22"/>
          <w:szCs w:val="22"/>
        </w:rPr>
        <w:t xml:space="preserve"> </w:t>
      </w:r>
      <w:r w:rsidRPr="00DA2B6A">
        <w:rPr>
          <w:rFonts w:ascii="Palatino Linotype" w:hAnsi="Palatino Linotype"/>
          <w:i/>
          <w:iCs/>
          <w:sz w:val="22"/>
          <w:szCs w:val="22"/>
          <w:u w:val="single"/>
        </w:rPr>
        <w:t>Vigilar que el registro de las operaciones reúna todos los requisitos de</w:t>
      </w:r>
      <w:r w:rsidR="00DA2B6A" w:rsidRPr="00DA2B6A">
        <w:rPr>
          <w:rFonts w:ascii="Palatino Linotype" w:hAnsi="Palatino Linotype"/>
          <w:i/>
          <w:iCs/>
          <w:sz w:val="22"/>
          <w:szCs w:val="22"/>
          <w:u w:val="single"/>
        </w:rPr>
        <w:t xml:space="preserve"> </w:t>
      </w:r>
      <w:r w:rsidRPr="00DA2B6A">
        <w:rPr>
          <w:rFonts w:ascii="Palatino Linotype" w:hAnsi="Palatino Linotype"/>
          <w:i/>
          <w:iCs/>
          <w:sz w:val="22"/>
          <w:szCs w:val="22"/>
          <w:u w:val="single"/>
        </w:rPr>
        <w:t>validez y confiabilidad contable y fiscal establecidas</w:t>
      </w:r>
      <w:r w:rsidRPr="00083AA3">
        <w:rPr>
          <w:rFonts w:ascii="Palatino Linotype" w:hAnsi="Palatino Linotype"/>
          <w:i/>
          <w:iCs/>
          <w:sz w:val="22"/>
          <w:szCs w:val="22"/>
        </w:rPr>
        <w:t>;</w:t>
      </w:r>
    </w:p>
    <w:p w14:paraId="0A502052" w14:textId="7C231980" w:rsidR="00083AA3" w:rsidRPr="00E50B0F" w:rsidRDefault="00BB1304" w:rsidP="00083AA3">
      <w:pPr>
        <w:spacing w:line="360" w:lineRule="auto"/>
        <w:ind w:left="851" w:right="616"/>
        <w:jc w:val="both"/>
        <w:rPr>
          <w:rFonts w:ascii="Palatino Linotype" w:hAnsi="Palatino Linotype"/>
          <w:i/>
          <w:iCs/>
          <w:sz w:val="22"/>
          <w:szCs w:val="22"/>
        </w:rPr>
      </w:pPr>
      <w:r w:rsidRPr="00DA2B6A">
        <w:rPr>
          <w:rFonts w:ascii="Palatino Linotype" w:hAnsi="Palatino Linotype"/>
          <w:b/>
          <w:bCs/>
          <w:i/>
          <w:iCs/>
          <w:sz w:val="22"/>
          <w:szCs w:val="22"/>
        </w:rPr>
        <w:t>X</w:t>
      </w:r>
      <w:r w:rsidR="00083AA3" w:rsidRPr="00DA2B6A">
        <w:rPr>
          <w:rFonts w:ascii="Palatino Linotype" w:hAnsi="Palatino Linotype"/>
          <w:b/>
          <w:bCs/>
          <w:i/>
          <w:iCs/>
          <w:sz w:val="22"/>
          <w:szCs w:val="22"/>
        </w:rPr>
        <w:t>I</w:t>
      </w:r>
      <w:r w:rsidRPr="00DA2B6A">
        <w:rPr>
          <w:rFonts w:ascii="Palatino Linotype" w:hAnsi="Palatino Linotype"/>
          <w:b/>
          <w:bCs/>
          <w:i/>
          <w:iCs/>
          <w:sz w:val="22"/>
          <w:szCs w:val="22"/>
        </w:rPr>
        <w:t>.</w:t>
      </w:r>
      <w:r>
        <w:rPr>
          <w:rFonts w:ascii="Palatino Linotype" w:hAnsi="Palatino Linotype"/>
          <w:i/>
          <w:iCs/>
          <w:sz w:val="22"/>
          <w:szCs w:val="22"/>
        </w:rPr>
        <w:t xml:space="preserve"> </w:t>
      </w:r>
      <w:r w:rsidR="00083AA3" w:rsidRPr="00DA2B6A">
        <w:rPr>
          <w:rFonts w:ascii="Palatino Linotype" w:hAnsi="Palatino Linotype"/>
          <w:i/>
          <w:iCs/>
          <w:sz w:val="22"/>
          <w:szCs w:val="22"/>
          <w:u w:val="single"/>
        </w:rPr>
        <w:t>Vigilar y controlar el suministro oportuno de los recursos materiales y</w:t>
      </w:r>
      <w:r w:rsidR="00DA2B6A" w:rsidRPr="00DA2B6A">
        <w:rPr>
          <w:rFonts w:ascii="Palatino Linotype" w:hAnsi="Palatino Linotype"/>
          <w:i/>
          <w:iCs/>
          <w:sz w:val="22"/>
          <w:szCs w:val="22"/>
          <w:u w:val="single"/>
        </w:rPr>
        <w:t xml:space="preserve"> </w:t>
      </w:r>
      <w:r w:rsidR="00083AA3" w:rsidRPr="00DA2B6A">
        <w:rPr>
          <w:rFonts w:ascii="Palatino Linotype" w:hAnsi="Palatino Linotype"/>
          <w:i/>
          <w:iCs/>
          <w:sz w:val="22"/>
          <w:szCs w:val="22"/>
          <w:u w:val="single"/>
        </w:rPr>
        <w:t>financieros a las áreas administrativas</w:t>
      </w:r>
      <w:r w:rsidR="00083AA3" w:rsidRPr="00083AA3">
        <w:rPr>
          <w:rFonts w:ascii="Palatino Linotype" w:hAnsi="Palatino Linotype"/>
          <w:i/>
          <w:iCs/>
          <w:sz w:val="22"/>
          <w:szCs w:val="22"/>
        </w:rPr>
        <w:t>, de conformidad con el</w:t>
      </w:r>
      <w:r w:rsidR="00DA2B6A">
        <w:rPr>
          <w:rFonts w:ascii="Palatino Linotype" w:hAnsi="Palatino Linotype"/>
          <w:i/>
          <w:iCs/>
          <w:sz w:val="22"/>
          <w:szCs w:val="22"/>
        </w:rPr>
        <w:t xml:space="preserve"> </w:t>
      </w:r>
      <w:r w:rsidR="00083AA3" w:rsidRPr="00083AA3">
        <w:rPr>
          <w:rFonts w:ascii="Palatino Linotype" w:hAnsi="Palatino Linotype"/>
          <w:i/>
          <w:iCs/>
          <w:sz w:val="22"/>
          <w:szCs w:val="22"/>
        </w:rPr>
        <w:t>presupuesto de egresos autorizado;</w:t>
      </w:r>
    </w:p>
    <w:p w14:paraId="7A6E25CD" w14:textId="77777777" w:rsidR="00E50B0F" w:rsidRDefault="00E50B0F" w:rsidP="00C87378">
      <w:pPr>
        <w:spacing w:line="360" w:lineRule="auto"/>
        <w:jc w:val="both"/>
        <w:rPr>
          <w:rFonts w:ascii="Palatino Linotype" w:hAnsi="Palatino Linotype"/>
        </w:rPr>
      </w:pPr>
    </w:p>
    <w:p w14:paraId="24C28B45" w14:textId="04EFB136" w:rsidR="00E74B36" w:rsidRDefault="00E74B36" w:rsidP="00C87378">
      <w:pPr>
        <w:spacing w:line="360" w:lineRule="auto"/>
        <w:jc w:val="both"/>
        <w:rPr>
          <w:rFonts w:ascii="Palatino Linotype" w:hAnsi="Palatino Linotype"/>
        </w:rPr>
      </w:pPr>
      <w:r>
        <w:rPr>
          <w:rFonts w:ascii="Palatino Linotype" w:hAnsi="Palatino Linotype"/>
        </w:rPr>
        <w:t>Lo cual indudablemente hace pensar que conoce acerca de los costos totales por concepto de energía eléctrica por anualidad.</w:t>
      </w:r>
    </w:p>
    <w:p w14:paraId="0A1C337B" w14:textId="77777777" w:rsidR="00952D59" w:rsidRPr="00985A7F" w:rsidRDefault="00952D59" w:rsidP="00985A7F">
      <w:pPr>
        <w:spacing w:line="360" w:lineRule="auto"/>
        <w:jc w:val="both"/>
        <w:rPr>
          <w:rFonts w:ascii="Palatino Linotype" w:hAnsi="Palatino Linotype"/>
          <w:sz w:val="28"/>
          <w:szCs w:val="28"/>
        </w:rPr>
      </w:pPr>
    </w:p>
    <w:p w14:paraId="60062A35" w14:textId="77777777" w:rsidR="00D832C0" w:rsidRPr="00D832C0" w:rsidRDefault="00D832C0" w:rsidP="00985A7F">
      <w:pPr>
        <w:spacing w:line="360" w:lineRule="auto"/>
        <w:ind w:right="-28"/>
        <w:jc w:val="both"/>
        <w:rPr>
          <w:rFonts w:ascii="Palatino Linotype" w:eastAsia="Palatino Linotype" w:hAnsi="Palatino Linotype" w:cs="Palatino Linotype"/>
          <w:color w:val="000000"/>
          <w:lang w:val="es-MX" w:eastAsia="es-MX"/>
        </w:rPr>
      </w:pPr>
      <w:r w:rsidRPr="00D832C0">
        <w:rPr>
          <w:rFonts w:ascii="Palatino Linotype" w:eastAsia="Palatino Linotype" w:hAnsi="Palatino Linotype" w:cs="Palatino Linotype"/>
          <w:color w:val="000000"/>
          <w:lang w:val="es-MX" w:eastAsia="es-MX"/>
        </w:rPr>
        <w:t>En ese orden de ideas, de conformidad con el artículo 100 y 101, fracción II, de dicho ordenamiento jurídico, el Presupuesto de Egresos, deberá contener las previsiones de gasto público y se conformará, entre otras cosas, por la</w:t>
      </w:r>
      <w:r w:rsidRPr="00D832C0">
        <w:rPr>
          <w:rFonts w:ascii="Palatino Linotype" w:eastAsia="Palatino Linotype" w:hAnsi="Palatino Linotype" w:cs="Palatino Linotype"/>
          <w:b/>
          <w:color w:val="000000"/>
          <w:lang w:val="es-MX" w:eastAsia="es-MX"/>
        </w:rPr>
        <w:t xml:space="preserve"> estimación de los ingresos y gastos del ejercicio fiscal calendarizados.</w:t>
      </w:r>
    </w:p>
    <w:p w14:paraId="678E1B67" w14:textId="77777777" w:rsidR="00D832C0" w:rsidRPr="00D832C0" w:rsidRDefault="00D832C0" w:rsidP="00985A7F">
      <w:pPr>
        <w:spacing w:line="360" w:lineRule="auto"/>
        <w:jc w:val="both"/>
        <w:rPr>
          <w:rFonts w:ascii="Palatino Linotype" w:eastAsia="Palatino Linotype" w:hAnsi="Palatino Linotype" w:cs="Palatino Linotype"/>
          <w:color w:val="0D0D0D"/>
          <w:lang w:val="es-MX" w:eastAsia="es-MX"/>
        </w:rPr>
      </w:pPr>
    </w:p>
    <w:p w14:paraId="51BE2AB0" w14:textId="066AE95C" w:rsidR="00D832C0" w:rsidRPr="00D832C0" w:rsidRDefault="00D832C0" w:rsidP="00985A7F">
      <w:pPr>
        <w:spacing w:line="360" w:lineRule="auto"/>
        <w:jc w:val="both"/>
        <w:rPr>
          <w:rFonts w:ascii="Palatino Linotype" w:eastAsia="Palatino Linotype" w:hAnsi="Palatino Linotype" w:cs="Palatino Linotype"/>
          <w:color w:val="000000"/>
          <w:lang w:val="es-MX" w:eastAsia="es-MX"/>
        </w:rPr>
      </w:pPr>
      <w:r w:rsidRPr="00D832C0">
        <w:rPr>
          <w:rFonts w:ascii="Palatino Linotype" w:eastAsia="Palatino Linotype" w:hAnsi="Palatino Linotype" w:cs="Palatino Linotype"/>
          <w:color w:val="000000"/>
          <w:lang w:val="es-MX" w:eastAsia="es-MX"/>
        </w:rPr>
        <w:t>Así, el Manual para la Planeación, Programación y Presupuesto de Egresos Municipal</w:t>
      </w:r>
      <w:r w:rsidRPr="00985A7F">
        <w:rPr>
          <w:rStyle w:val="Refdenotaalpie"/>
          <w:rFonts w:ascii="Palatino Linotype" w:eastAsia="Palatino Linotype" w:hAnsi="Palatino Linotype" w:cs="Palatino Linotype"/>
          <w:color w:val="000000"/>
          <w:lang w:val="es-MX" w:eastAsia="es-MX"/>
        </w:rPr>
        <w:footnoteReference w:id="2"/>
      </w:r>
      <w:r w:rsidRPr="00D832C0">
        <w:rPr>
          <w:rFonts w:ascii="Palatino Linotype" w:eastAsia="Palatino Linotype" w:hAnsi="Palatino Linotype" w:cs="Palatino Linotype"/>
          <w:color w:val="000000"/>
          <w:lang w:val="es-MX" w:eastAsia="es-MX"/>
        </w:rPr>
        <w:t xml:space="preserve"> para el ejercicio fiscal dos mil veintitrés y para el dos mil veinticuatro, establece que el Presupuesto es la estimación financiera anticipada de los ingresos y egresos del </w:t>
      </w:r>
      <w:r w:rsidRPr="00D832C0">
        <w:rPr>
          <w:rFonts w:ascii="Palatino Linotype" w:eastAsia="Palatino Linotype" w:hAnsi="Palatino Linotype" w:cs="Palatino Linotype"/>
          <w:color w:val="000000"/>
          <w:lang w:val="es-MX" w:eastAsia="es-MX"/>
        </w:rPr>
        <w:lastRenderedPageBreak/>
        <w:t>gobierno, necesarios para cumplir con los objetivos establecidos; además, que el mismo involucra planes, políticas, programas, proyectos, estrategias y objetivos del municipio.</w:t>
      </w:r>
    </w:p>
    <w:p w14:paraId="07788DD7" w14:textId="77777777" w:rsidR="00D832C0" w:rsidRPr="00D832C0" w:rsidRDefault="00D832C0" w:rsidP="00985A7F">
      <w:pPr>
        <w:tabs>
          <w:tab w:val="left" w:pos="4962"/>
        </w:tabs>
        <w:spacing w:line="360" w:lineRule="auto"/>
        <w:jc w:val="both"/>
        <w:rPr>
          <w:rFonts w:ascii="Palatino Linotype" w:eastAsia="Palatino Linotype" w:hAnsi="Palatino Linotype" w:cs="Palatino Linotype"/>
          <w:color w:val="000000"/>
          <w:lang w:val="es-MX" w:eastAsia="es-MX"/>
        </w:rPr>
      </w:pPr>
    </w:p>
    <w:p w14:paraId="36E613CC" w14:textId="77777777" w:rsidR="00D832C0" w:rsidRPr="00D832C0" w:rsidRDefault="00D832C0" w:rsidP="00985A7F">
      <w:pPr>
        <w:tabs>
          <w:tab w:val="left" w:pos="4962"/>
        </w:tabs>
        <w:spacing w:line="360" w:lineRule="auto"/>
        <w:jc w:val="both"/>
        <w:rPr>
          <w:rFonts w:ascii="Palatino Linotype" w:eastAsia="Palatino Linotype" w:hAnsi="Palatino Linotype" w:cs="Palatino Linotype"/>
          <w:color w:val="000000"/>
          <w:lang w:val="es-MX" w:eastAsia="es-MX"/>
        </w:rPr>
      </w:pPr>
      <w:r w:rsidRPr="00D832C0">
        <w:rPr>
          <w:rFonts w:ascii="Palatino Linotype" w:eastAsia="Palatino Linotype" w:hAnsi="Palatino Linotype" w:cs="Palatino Linotype"/>
          <w:color w:val="000000"/>
          <w:lang w:val="es-MX" w:eastAsia="es-MX"/>
        </w:rPr>
        <w:t>Asimismo, el Glosario de Términos, de dichos Manuales, establecen que el presupuesto es la estimación financiera anticipada de los egresos e ingresos del gobierno, necesario para cumplir con los propósitos de un programa determinado; por otra parte, establece lo siguiente:</w:t>
      </w:r>
    </w:p>
    <w:p w14:paraId="339256C5" w14:textId="77777777" w:rsidR="00D832C0" w:rsidRPr="00D832C0" w:rsidRDefault="00D832C0" w:rsidP="00D832C0">
      <w:pPr>
        <w:spacing w:line="360" w:lineRule="auto"/>
        <w:jc w:val="both"/>
        <w:rPr>
          <w:rFonts w:ascii="Palatino Linotype" w:eastAsia="Palatino Linotype" w:hAnsi="Palatino Linotype" w:cs="Palatino Linotype"/>
          <w:color w:val="000000"/>
          <w:sz w:val="22"/>
          <w:szCs w:val="22"/>
          <w:lang w:val="es-MX" w:eastAsia="es-MX"/>
        </w:rPr>
      </w:pPr>
    </w:p>
    <w:p w14:paraId="10179F5B" w14:textId="77777777" w:rsidR="00D832C0" w:rsidRPr="00D832C0" w:rsidRDefault="00D832C0" w:rsidP="00D832C0">
      <w:pPr>
        <w:numPr>
          <w:ilvl w:val="0"/>
          <w:numId w:val="36"/>
        </w:numPr>
        <w:pBdr>
          <w:top w:val="nil"/>
          <w:left w:val="nil"/>
          <w:bottom w:val="nil"/>
          <w:right w:val="nil"/>
          <w:between w:val="nil"/>
        </w:pBdr>
        <w:spacing w:after="160" w:line="360" w:lineRule="auto"/>
        <w:jc w:val="both"/>
        <w:rPr>
          <w:rFonts w:ascii="Palatino Linotype" w:eastAsia="Palatino Linotype" w:hAnsi="Palatino Linotype" w:cs="Palatino Linotype"/>
          <w:color w:val="000000"/>
          <w:sz w:val="22"/>
          <w:szCs w:val="22"/>
          <w:lang w:val="es-MX" w:eastAsia="es-MX"/>
        </w:rPr>
      </w:pPr>
      <w:r w:rsidRPr="00D832C0">
        <w:rPr>
          <w:rFonts w:ascii="Palatino Linotype" w:eastAsia="Palatino Linotype" w:hAnsi="Palatino Linotype" w:cs="Palatino Linotype"/>
          <w:b/>
          <w:color w:val="000000"/>
          <w:sz w:val="22"/>
          <w:szCs w:val="22"/>
          <w:lang w:val="es-MX" w:eastAsia="es-MX"/>
        </w:rPr>
        <w:t xml:space="preserve">Presupuesto Autorizado: </w:t>
      </w:r>
      <w:r w:rsidRPr="00D832C0">
        <w:rPr>
          <w:rFonts w:ascii="Palatino Linotype" w:eastAsia="Palatino Linotype" w:hAnsi="Palatino Linotype" w:cs="Palatino Linotype"/>
          <w:color w:val="000000"/>
          <w:sz w:val="22"/>
          <w:szCs w:val="22"/>
          <w:lang w:val="es-MX" w:eastAsia="es-MX"/>
        </w:rPr>
        <w:t>Es el monto de recursos que se autoriza ejercer en un ejercicio fiscal, a través del Decreto del Presupuesto de Egresos.</w:t>
      </w:r>
    </w:p>
    <w:p w14:paraId="75492D16" w14:textId="77777777" w:rsidR="00D832C0" w:rsidRPr="00D832C0" w:rsidRDefault="00D832C0" w:rsidP="00D832C0">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sz w:val="22"/>
          <w:szCs w:val="22"/>
          <w:lang w:val="es-MX" w:eastAsia="es-MX"/>
        </w:rPr>
      </w:pPr>
    </w:p>
    <w:p w14:paraId="1353ACB1" w14:textId="77777777" w:rsidR="00D832C0" w:rsidRPr="00D832C0" w:rsidRDefault="00D832C0" w:rsidP="00D832C0">
      <w:pPr>
        <w:numPr>
          <w:ilvl w:val="0"/>
          <w:numId w:val="36"/>
        </w:numPr>
        <w:pBdr>
          <w:top w:val="nil"/>
          <w:left w:val="nil"/>
          <w:bottom w:val="nil"/>
          <w:right w:val="nil"/>
          <w:between w:val="nil"/>
        </w:pBdr>
        <w:spacing w:after="160" w:line="360" w:lineRule="auto"/>
        <w:jc w:val="both"/>
        <w:rPr>
          <w:rFonts w:ascii="Palatino Linotype" w:eastAsia="Palatino Linotype" w:hAnsi="Palatino Linotype" w:cs="Palatino Linotype"/>
          <w:color w:val="000000"/>
          <w:sz w:val="22"/>
          <w:szCs w:val="22"/>
          <w:lang w:val="es-MX" w:eastAsia="es-MX"/>
        </w:rPr>
      </w:pPr>
      <w:r w:rsidRPr="00D832C0">
        <w:rPr>
          <w:rFonts w:ascii="Palatino Linotype" w:eastAsia="Palatino Linotype" w:hAnsi="Palatino Linotype" w:cs="Palatino Linotype"/>
          <w:color w:val="000000"/>
          <w:sz w:val="22"/>
          <w:szCs w:val="22"/>
          <w:lang w:val="es-MX" w:eastAsia="es-MX"/>
        </w:rPr>
        <w:t xml:space="preserve"> </w:t>
      </w:r>
      <w:r w:rsidRPr="00D832C0">
        <w:rPr>
          <w:rFonts w:ascii="Palatino Linotype" w:eastAsia="Palatino Linotype" w:hAnsi="Palatino Linotype" w:cs="Palatino Linotype"/>
          <w:b/>
          <w:color w:val="000000"/>
          <w:sz w:val="22"/>
          <w:szCs w:val="22"/>
          <w:lang w:val="es-MX" w:eastAsia="es-MX"/>
        </w:rPr>
        <w:t>Presupuesto Ejercido</w:t>
      </w:r>
      <w:r w:rsidRPr="00D832C0">
        <w:rPr>
          <w:rFonts w:ascii="Palatino Linotype" w:eastAsia="Palatino Linotype" w:hAnsi="Palatino Linotype" w:cs="Palatino Linotype"/>
          <w:color w:val="000000"/>
          <w:sz w:val="22"/>
          <w:szCs w:val="22"/>
          <w:lang w:val="es-MX" w:eastAsia="es-MX"/>
        </w:rPr>
        <w:t>: Es el importe de erogaciones realizadas, respaldadas por los documentos comprobatorios presentados a la dependencia una vez autorizadas para su pago, con cargo al presupuesto autorizado.</w:t>
      </w:r>
    </w:p>
    <w:p w14:paraId="0C14B3FB" w14:textId="77777777" w:rsidR="00D832C0" w:rsidRPr="00D832C0" w:rsidRDefault="00D832C0" w:rsidP="00D832C0">
      <w:pPr>
        <w:tabs>
          <w:tab w:val="left" w:pos="4962"/>
        </w:tabs>
        <w:spacing w:line="360" w:lineRule="auto"/>
        <w:jc w:val="both"/>
        <w:rPr>
          <w:rFonts w:ascii="Palatino Linotype" w:eastAsia="Palatino Linotype" w:hAnsi="Palatino Linotype" w:cs="Palatino Linotype"/>
          <w:color w:val="000000"/>
          <w:sz w:val="22"/>
          <w:szCs w:val="22"/>
          <w:lang w:val="es-MX" w:eastAsia="es-MX"/>
        </w:rPr>
      </w:pPr>
    </w:p>
    <w:p w14:paraId="11496812" w14:textId="77777777" w:rsidR="00D832C0" w:rsidRPr="00D832C0" w:rsidRDefault="00D832C0" w:rsidP="00D832C0">
      <w:pPr>
        <w:spacing w:line="360" w:lineRule="auto"/>
        <w:ind w:right="-93"/>
        <w:jc w:val="both"/>
        <w:rPr>
          <w:rFonts w:ascii="Palatino Linotype" w:eastAsia="Palatino Linotype" w:hAnsi="Palatino Linotype" w:cs="Palatino Linotype"/>
          <w:color w:val="000000"/>
          <w:lang w:val="es-MX" w:eastAsia="es-MX"/>
        </w:rPr>
      </w:pPr>
      <w:r w:rsidRPr="00D832C0">
        <w:rPr>
          <w:rFonts w:ascii="Palatino Linotype" w:eastAsia="Palatino Linotype" w:hAnsi="Palatino Linotype" w:cs="Palatino Linotype"/>
          <w:color w:val="000000"/>
          <w:lang w:val="es-MX" w:eastAsia="es-MX"/>
        </w:rPr>
        <w:t>Además, los Manuales citados, contienen el Clasificador por Objeto del Gasto Estatal y Municipal, la cual establece la estructura del Clasificador por Objeto del Gasto, que se conforma de la siguiente manera:</w:t>
      </w:r>
    </w:p>
    <w:p w14:paraId="482A43BE" w14:textId="77777777" w:rsidR="00D832C0" w:rsidRPr="00D832C0" w:rsidRDefault="00D832C0" w:rsidP="00D832C0">
      <w:pPr>
        <w:spacing w:line="360" w:lineRule="auto"/>
        <w:ind w:right="-93"/>
        <w:jc w:val="both"/>
        <w:rPr>
          <w:rFonts w:ascii="Palatino Linotype" w:eastAsia="Palatino Linotype" w:hAnsi="Palatino Linotype" w:cs="Palatino Linotype"/>
          <w:color w:val="000000"/>
          <w:sz w:val="22"/>
          <w:szCs w:val="22"/>
          <w:lang w:val="es-MX" w:eastAsia="es-MX"/>
        </w:rPr>
      </w:pPr>
    </w:p>
    <w:p w14:paraId="1875BBA0" w14:textId="77777777" w:rsidR="00D832C0" w:rsidRPr="00D832C0" w:rsidRDefault="00D832C0" w:rsidP="00D832C0">
      <w:pPr>
        <w:numPr>
          <w:ilvl w:val="0"/>
          <w:numId w:val="37"/>
        </w:numPr>
        <w:pBdr>
          <w:top w:val="nil"/>
          <w:left w:val="nil"/>
          <w:bottom w:val="nil"/>
          <w:right w:val="nil"/>
          <w:between w:val="nil"/>
        </w:pBdr>
        <w:spacing w:after="160" w:line="360" w:lineRule="auto"/>
        <w:ind w:right="-93"/>
        <w:jc w:val="both"/>
        <w:rPr>
          <w:rFonts w:ascii="Palatino Linotype" w:eastAsia="Palatino Linotype" w:hAnsi="Palatino Linotype" w:cs="Palatino Linotype"/>
          <w:b/>
          <w:color w:val="000000"/>
          <w:sz w:val="22"/>
          <w:szCs w:val="22"/>
          <w:lang w:val="es-MX" w:eastAsia="es-MX"/>
        </w:rPr>
      </w:pPr>
      <w:r w:rsidRPr="00D832C0">
        <w:rPr>
          <w:rFonts w:ascii="Palatino Linotype" w:eastAsia="Palatino Linotype" w:hAnsi="Palatino Linotype" w:cs="Palatino Linotype"/>
          <w:b/>
          <w:color w:val="000000"/>
          <w:sz w:val="22"/>
          <w:szCs w:val="22"/>
          <w:lang w:val="es-MX" w:eastAsia="es-MX"/>
        </w:rPr>
        <w:t xml:space="preserve">Capítulo: </w:t>
      </w:r>
      <w:r w:rsidRPr="00D832C0">
        <w:rPr>
          <w:rFonts w:ascii="Palatino Linotype" w:eastAsia="Palatino Linotype" w:hAnsi="Palatino Linotype" w:cs="Palatino Linotype"/>
          <w:color w:val="000000"/>
          <w:sz w:val="22"/>
          <w:szCs w:val="22"/>
          <w:lang w:val="es-MX" w:eastAsia="es-MX"/>
        </w:rPr>
        <w:t>Es el mayor nivel de agregación que identifica el conjunto homogéneo y ordenado de los bienes y servicios requeridos por los entes públicos, es el primer dígito de la codificación;</w:t>
      </w:r>
    </w:p>
    <w:p w14:paraId="77AB964E" w14:textId="77777777" w:rsidR="00D832C0" w:rsidRPr="00D832C0" w:rsidRDefault="00D832C0" w:rsidP="00D832C0">
      <w:pPr>
        <w:pBdr>
          <w:top w:val="nil"/>
          <w:left w:val="nil"/>
          <w:bottom w:val="nil"/>
          <w:right w:val="nil"/>
          <w:between w:val="nil"/>
        </w:pBdr>
        <w:spacing w:line="360" w:lineRule="auto"/>
        <w:ind w:left="720" w:right="-93"/>
        <w:jc w:val="both"/>
        <w:rPr>
          <w:rFonts w:ascii="Palatino Linotype" w:eastAsia="Palatino Linotype" w:hAnsi="Palatino Linotype" w:cs="Palatino Linotype"/>
          <w:b/>
          <w:color w:val="000000"/>
          <w:sz w:val="22"/>
          <w:szCs w:val="22"/>
          <w:lang w:val="es-MX" w:eastAsia="es-MX"/>
        </w:rPr>
      </w:pPr>
    </w:p>
    <w:p w14:paraId="0CB21C7C" w14:textId="77777777" w:rsidR="00D832C0" w:rsidRPr="00D832C0" w:rsidRDefault="00D832C0" w:rsidP="00D832C0">
      <w:pPr>
        <w:numPr>
          <w:ilvl w:val="0"/>
          <w:numId w:val="37"/>
        </w:numPr>
        <w:pBdr>
          <w:top w:val="nil"/>
          <w:left w:val="nil"/>
          <w:bottom w:val="nil"/>
          <w:right w:val="nil"/>
          <w:between w:val="nil"/>
        </w:pBdr>
        <w:spacing w:after="160" w:line="360" w:lineRule="auto"/>
        <w:ind w:right="-93"/>
        <w:jc w:val="both"/>
        <w:rPr>
          <w:rFonts w:ascii="Palatino Linotype" w:eastAsia="Palatino Linotype" w:hAnsi="Palatino Linotype" w:cs="Palatino Linotype"/>
          <w:b/>
          <w:color w:val="000000"/>
          <w:sz w:val="22"/>
          <w:szCs w:val="22"/>
          <w:lang w:val="es-MX" w:eastAsia="es-MX"/>
        </w:rPr>
      </w:pPr>
      <w:r w:rsidRPr="00D832C0">
        <w:rPr>
          <w:rFonts w:ascii="Palatino Linotype" w:eastAsia="Palatino Linotype" w:hAnsi="Palatino Linotype" w:cs="Palatino Linotype"/>
          <w:b/>
          <w:color w:val="000000"/>
          <w:sz w:val="22"/>
          <w:szCs w:val="22"/>
          <w:lang w:val="es-MX" w:eastAsia="es-MX"/>
        </w:rPr>
        <w:t xml:space="preserve">Concepto (Subcapítulo): </w:t>
      </w:r>
      <w:r w:rsidRPr="00D832C0">
        <w:rPr>
          <w:rFonts w:ascii="Palatino Linotype" w:eastAsia="Palatino Linotype" w:hAnsi="Palatino Linotype" w:cs="Palatino Linotype"/>
          <w:color w:val="000000"/>
          <w:sz w:val="22"/>
          <w:szCs w:val="22"/>
          <w:lang w:val="es-MX" w:eastAsia="es-MX"/>
        </w:rPr>
        <w:t>Son los subconjuntos homogéneos y ordenados en forma específica, producto de la desagregación de los bienes y servicios, incluidos en cada capítulo, por lo que, es el segundo dígito de la estructura, y</w:t>
      </w:r>
    </w:p>
    <w:p w14:paraId="27FB7520" w14:textId="77777777" w:rsidR="00D832C0" w:rsidRPr="00D832C0" w:rsidRDefault="00D832C0" w:rsidP="00D832C0">
      <w:pPr>
        <w:pBdr>
          <w:top w:val="nil"/>
          <w:left w:val="nil"/>
          <w:bottom w:val="nil"/>
          <w:right w:val="nil"/>
          <w:between w:val="nil"/>
        </w:pBdr>
        <w:spacing w:line="360" w:lineRule="auto"/>
        <w:ind w:left="720"/>
        <w:jc w:val="both"/>
        <w:rPr>
          <w:rFonts w:ascii="Palatino Linotype" w:eastAsia="Palatino Linotype" w:hAnsi="Palatino Linotype" w:cs="Palatino Linotype"/>
          <w:b/>
          <w:color w:val="000000"/>
          <w:sz w:val="22"/>
          <w:szCs w:val="22"/>
          <w:lang w:val="es-MX" w:eastAsia="es-MX"/>
        </w:rPr>
      </w:pPr>
    </w:p>
    <w:p w14:paraId="74C90950" w14:textId="77777777" w:rsidR="00D832C0" w:rsidRPr="00D832C0" w:rsidRDefault="00D832C0" w:rsidP="00D832C0">
      <w:pPr>
        <w:numPr>
          <w:ilvl w:val="0"/>
          <w:numId w:val="37"/>
        </w:numPr>
        <w:pBdr>
          <w:top w:val="nil"/>
          <w:left w:val="nil"/>
          <w:bottom w:val="nil"/>
          <w:right w:val="nil"/>
          <w:between w:val="nil"/>
        </w:pBdr>
        <w:spacing w:after="160" w:line="360" w:lineRule="auto"/>
        <w:ind w:right="-93"/>
        <w:jc w:val="both"/>
        <w:rPr>
          <w:rFonts w:ascii="Palatino Linotype" w:eastAsia="Palatino Linotype" w:hAnsi="Palatino Linotype" w:cs="Palatino Linotype"/>
          <w:color w:val="000000"/>
          <w:sz w:val="22"/>
          <w:szCs w:val="22"/>
          <w:lang w:val="es-MX" w:eastAsia="es-MX"/>
        </w:rPr>
      </w:pPr>
      <w:r w:rsidRPr="00D832C0">
        <w:rPr>
          <w:rFonts w:ascii="Palatino Linotype" w:eastAsia="Palatino Linotype" w:hAnsi="Palatino Linotype" w:cs="Palatino Linotype"/>
          <w:b/>
          <w:color w:val="000000"/>
          <w:sz w:val="22"/>
          <w:szCs w:val="22"/>
          <w:lang w:val="es-MX" w:eastAsia="es-MX"/>
        </w:rPr>
        <w:t xml:space="preserve">Partida: </w:t>
      </w:r>
      <w:r w:rsidRPr="00D832C0">
        <w:rPr>
          <w:rFonts w:ascii="Palatino Linotype" w:eastAsia="Palatino Linotype" w:hAnsi="Palatino Linotype" w:cs="Palatino Linotype"/>
          <w:color w:val="000000"/>
          <w:sz w:val="22"/>
          <w:szCs w:val="22"/>
          <w:lang w:val="es-MX" w:eastAsia="es-MX"/>
        </w:rPr>
        <w:t>Corresponde al nivel de agregación más específico en el cual se describen las expresiones concretas y detalladas de los bienes y servicios que se adquieren, el cual se subdivide en:</w:t>
      </w:r>
    </w:p>
    <w:p w14:paraId="5F774735" w14:textId="77777777" w:rsidR="00D832C0" w:rsidRPr="00D832C0" w:rsidRDefault="00D832C0" w:rsidP="00D832C0">
      <w:pPr>
        <w:pBdr>
          <w:top w:val="nil"/>
          <w:left w:val="nil"/>
          <w:bottom w:val="nil"/>
          <w:right w:val="nil"/>
          <w:between w:val="nil"/>
        </w:pBdr>
        <w:spacing w:line="360" w:lineRule="auto"/>
        <w:ind w:left="1440" w:right="-93"/>
        <w:jc w:val="both"/>
        <w:rPr>
          <w:rFonts w:ascii="Palatino Linotype" w:eastAsia="Palatino Linotype" w:hAnsi="Palatino Linotype" w:cs="Palatino Linotype"/>
          <w:b/>
          <w:color w:val="000000"/>
          <w:sz w:val="22"/>
          <w:szCs w:val="22"/>
          <w:lang w:val="es-MX" w:eastAsia="es-MX"/>
        </w:rPr>
      </w:pPr>
    </w:p>
    <w:p w14:paraId="7DF3B3E9" w14:textId="77777777" w:rsidR="00D832C0" w:rsidRPr="00D832C0" w:rsidRDefault="00D832C0" w:rsidP="00D832C0">
      <w:pPr>
        <w:numPr>
          <w:ilvl w:val="0"/>
          <w:numId w:val="38"/>
        </w:numPr>
        <w:pBdr>
          <w:top w:val="nil"/>
          <w:left w:val="nil"/>
          <w:bottom w:val="nil"/>
          <w:right w:val="nil"/>
          <w:between w:val="nil"/>
        </w:pBdr>
        <w:spacing w:after="160" w:line="360" w:lineRule="auto"/>
        <w:ind w:right="-93"/>
        <w:jc w:val="both"/>
        <w:rPr>
          <w:rFonts w:ascii="Palatino Linotype" w:eastAsia="Palatino Linotype" w:hAnsi="Palatino Linotype" w:cs="Palatino Linotype"/>
          <w:b/>
          <w:color w:val="000000"/>
          <w:sz w:val="22"/>
          <w:szCs w:val="22"/>
          <w:lang w:val="es-MX" w:eastAsia="es-MX"/>
        </w:rPr>
      </w:pPr>
      <w:r w:rsidRPr="00D832C0">
        <w:rPr>
          <w:rFonts w:ascii="Palatino Linotype" w:eastAsia="Palatino Linotype" w:hAnsi="Palatino Linotype" w:cs="Palatino Linotype"/>
          <w:b/>
          <w:color w:val="000000"/>
          <w:sz w:val="22"/>
          <w:szCs w:val="22"/>
          <w:lang w:val="es-MX" w:eastAsia="es-MX"/>
        </w:rPr>
        <w:t xml:space="preserve">Genérica: </w:t>
      </w:r>
      <w:r w:rsidRPr="00D832C0">
        <w:rPr>
          <w:rFonts w:ascii="Palatino Linotype" w:eastAsia="Palatino Linotype" w:hAnsi="Palatino Linotype" w:cs="Palatino Linotype"/>
          <w:color w:val="000000"/>
          <w:sz w:val="22"/>
          <w:szCs w:val="22"/>
          <w:lang w:val="es-MX" w:eastAsia="es-MX"/>
        </w:rPr>
        <w:t>Se refiere al tercer dígito, el cual busca la armonización de todos los niveles de gobierno, y</w:t>
      </w:r>
    </w:p>
    <w:p w14:paraId="0949F4EC" w14:textId="77777777" w:rsidR="00D832C0" w:rsidRPr="00D832C0" w:rsidRDefault="00D832C0" w:rsidP="00D832C0">
      <w:pPr>
        <w:pBdr>
          <w:top w:val="nil"/>
          <w:left w:val="nil"/>
          <w:bottom w:val="nil"/>
          <w:right w:val="nil"/>
          <w:between w:val="nil"/>
        </w:pBdr>
        <w:spacing w:line="360" w:lineRule="auto"/>
        <w:ind w:left="1440" w:right="-93"/>
        <w:jc w:val="both"/>
        <w:rPr>
          <w:rFonts w:ascii="Palatino Linotype" w:eastAsia="Palatino Linotype" w:hAnsi="Palatino Linotype" w:cs="Palatino Linotype"/>
          <w:color w:val="000000"/>
          <w:sz w:val="22"/>
          <w:szCs w:val="22"/>
          <w:lang w:val="es-MX" w:eastAsia="es-MX"/>
        </w:rPr>
      </w:pPr>
    </w:p>
    <w:p w14:paraId="7545BE33" w14:textId="77777777" w:rsidR="00D832C0" w:rsidRPr="00D832C0" w:rsidRDefault="00D832C0" w:rsidP="00D832C0">
      <w:pPr>
        <w:numPr>
          <w:ilvl w:val="0"/>
          <w:numId w:val="38"/>
        </w:numPr>
        <w:pBdr>
          <w:top w:val="nil"/>
          <w:left w:val="nil"/>
          <w:bottom w:val="nil"/>
          <w:right w:val="nil"/>
          <w:between w:val="nil"/>
        </w:pBdr>
        <w:spacing w:after="160" w:line="360" w:lineRule="auto"/>
        <w:ind w:right="-93"/>
        <w:jc w:val="both"/>
        <w:rPr>
          <w:rFonts w:ascii="Palatino Linotype" w:eastAsia="Palatino Linotype" w:hAnsi="Palatino Linotype" w:cs="Palatino Linotype"/>
          <w:color w:val="000000"/>
          <w:sz w:val="22"/>
          <w:szCs w:val="22"/>
          <w:lang w:val="es-MX" w:eastAsia="es-MX"/>
        </w:rPr>
      </w:pPr>
      <w:r w:rsidRPr="00D832C0">
        <w:rPr>
          <w:rFonts w:ascii="Palatino Linotype" w:eastAsia="Palatino Linotype" w:hAnsi="Palatino Linotype" w:cs="Palatino Linotype"/>
          <w:b/>
          <w:color w:val="000000"/>
          <w:sz w:val="22"/>
          <w:szCs w:val="22"/>
          <w:lang w:val="es-MX" w:eastAsia="es-MX"/>
        </w:rPr>
        <w:t xml:space="preserve">Específica: </w:t>
      </w:r>
      <w:r w:rsidRPr="00D832C0">
        <w:rPr>
          <w:rFonts w:ascii="Palatino Linotype" w:eastAsia="Palatino Linotype" w:hAnsi="Palatino Linotype" w:cs="Palatino Linotype"/>
          <w:color w:val="000000"/>
          <w:sz w:val="22"/>
          <w:szCs w:val="22"/>
          <w:lang w:val="es-MX" w:eastAsia="es-MX"/>
        </w:rPr>
        <w:t>Es el cuarto digito, mismo que permite a las unidades administrativas, generar su apertura, conservando la estructura básica, con el fin de mantener la armonización contable.</w:t>
      </w:r>
    </w:p>
    <w:p w14:paraId="0F9E9AC6" w14:textId="77777777" w:rsidR="00D832C0" w:rsidRPr="00D832C0" w:rsidRDefault="00D832C0" w:rsidP="00D832C0">
      <w:pPr>
        <w:spacing w:line="360" w:lineRule="auto"/>
        <w:jc w:val="both"/>
        <w:rPr>
          <w:rFonts w:ascii="Palatino Linotype" w:eastAsia="Palatino Linotype" w:hAnsi="Palatino Linotype" w:cs="Palatino Linotype"/>
          <w:color w:val="000000"/>
          <w:sz w:val="22"/>
          <w:szCs w:val="22"/>
          <w:lang w:val="es-MX" w:eastAsia="es-MX"/>
        </w:rPr>
      </w:pPr>
    </w:p>
    <w:p w14:paraId="52A4554D" w14:textId="77777777" w:rsidR="00D832C0" w:rsidRPr="00D832C0" w:rsidRDefault="00D832C0" w:rsidP="00D832C0">
      <w:pPr>
        <w:shd w:val="clear" w:color="auto" w:fill="FFFFFF"/>
        <w:spacing w:after="160" w:line="360" w:lineRule="auto"/>
        <w:jc w:val="both"/>
        <w:rPr>
          <w:rFonts w:ascii="Palatino Linotype" w:eastAsia="Palatino Linotype" w:hAnsi="Palatino Linotype" w:cs="Palatino Linotype"/>
          <w:color w:val="000000"/>
          <w:lang w:val="es-MX" w:eastAsia="es-MX"/>
        </w:rPr>
      </w:pPr>
      <w:r w:rsidRPr="00D832C0">
        <w:rPr>
          <w:rFonts w:ascii="Palatino Linotype" w:eastAsia="Palatino Linotype" w:hAnsi="Palatino Linotype" w:cs="Palatino Linotype"/>
          <w:color w:val="000000"/>
          <w:lang w:val="es-MX" w:eastAsia="es-MX"/>
        </w:rPr>
        <w:t xml:space="preserve">En ese orden de ideas, el Clasificador por Objeto del Gasto Municipal, entre las que se encuentra la </w:t>
      </w:r>
      <w:r w:rsidRPr="00D832C0">
        <w:rPr>
          <w:rFonts w:ascii="Palatino Linotype" w:eastAsia="Palatino Linotype" w:hAnsi="Palatino Linotype" w:cs="Palatino Linotype"/>
          <w:b/>
          <w:color w:val="000000"/>
          <w:lang w:val="es-MX" w:eastAsia="es-MX"/>
        </w:rPr>
        <w:t>3000, correspondiente a</w:t>
      </w:r>
      <w:r w:rsidRPr="00D832C0">
        <w:rPr>
          <w:rFonts w:ascii="Palatino Linotype" w:eastAsia="Palatino Linotype" w:hAnsi="Palatino Linotype" w:cs="Palatino Linotype"/>
          <w:color w:val="000000"/>
          <w:lang w:val="es-MX" w:eastAsia="es-MX"/>
        </w:rPr>
        <w:t xml:space="preserve"> </w:t>
      </w:r>
      <w:r w:rsidRPr="00D832C0">
        <w:rPr>
          <w:rFonts w:ascii="Palatino Linotype" w:eastAsia="Palatino Linotype" w:hAnsi="Palatino Linotype" w:cs="Palatino Linotype"/>
          <w:b/>
          <w:color w:val="000000"/>
          <w:lang w:val="es-MX" w:eastAsia="es-MX"/>
        </w:rPr>
        <w:t xml:space="preserve">Servicios Generales, </w:t>
      </w:r>
      <w:r w:rsidRPr="00D832C0">
        <w:rPr>
          <w:rFonts w:ascii="Palatino Linotype" w:eastAsia="Palatino Linotype" w:hAnsi="Palatino Linotype" w:cs="Palatino Linotype"/>
          <w:color w:val="000000"/>
          <w:lang w:val="es-MX" w:eastAsia="es-MX"/>
        </w:rPr>
        <w:t xml:space="preserve">la cual contiene la partida </w:t>
      </w:r>
      <w:r w:rsidRPr="00D832C0">
        <w:rPr>
          <w:rFonts w:ascii="Palatino Linotype" w:eastAsia="Palatino Linotype" w:hAnsi="Palatino Linotype" w:cs="Palatino Linotype"/>
          <w:b/>
          <w:color w:val="000000"/>
          <w:lang w:val="es-MX" w:eastAsia="es-MX"/>
        </w:rPr>
        <w:t>3100 Servicios Básicos</w:t>
      </w:r>
      <w:r w:rsidRPr="00D832C0">
        <w:rPr>
          <w:rFonts w:ascii="Palatino Linotype" w:eastAsia="Palatino Linotype" w:hAnsi="Palatino Linotype" w:cs="Palatino Linotype"/>
          <w:color w:val="000000"/>
          <w:lang w:val="es-MX" w:eastAsia="es-MX"/>
        </w:rPr>
        <w:t xml:space="preserve">, que son las asignaciones destinadas a cubrir las erogaciones por concepto de servicios básicos necesarios para el funcionamiento de los entes públicos. Comprende servicios tales como: postal, telegráfico, telefónico, </w:t>
      </w:r>
      <w:r w:rsidRPr="00D832C0">
        <w:rPr>
          <w:rFonts w:ascii="Palatino Linotype" w:eastAsia="Palatino Linotype" w:hAnsi="Palatino Linotype" w:cs="Palatino Linotype"/>
          <w:color w:val="000000"/>
          <w:u w:val="single"/>
          <w:lang w:val="es-MX" w:eastAsia="es-MX"/>
        </w:rPr>
        <w:t xml:space="preserve">energía </w:t>
      </w:r>
      <w:r w:rsidRPr="00D832C0">
        <w:rPr>
          <w:rFonts w:ascii="Palatino Linotype" w:eastAsia="Palatino Linotype" w:hAnsi="Palatino Linotype" w:cs="Palatino Linotype"/>
          <w:color w:val="000000"/>
          <w:u w:val="single"/>
          <w:lang w:val="es-MX" w:eastAsia="es-MX"/>
        </w:rPr>
        <w:lastRenderedPageBreak/>
        <w:t>eléctrica</w:t>
      </w:r>
      <w:r w:rsidRPr="00D832C0">
        <w:rPr>
          <w:rFonts w:ascii="Palatino Linotype" w:eastAsia="Palatino Linotype" w:hAnsi="Palatino Linotype" w:cs="Palatino Linotype"/>
          <w:color w:val="000000"/>
          <w:lang w:val="es-MX" w:eastAsia="es-MX"/>
        </w:rPr>
        <w:t>, agua, transmisión de datos, radiocomunicaciones y otros análogos, la cual se subdivide en las siguientes:</w:t>
      </w:r>
    </w:p>
    <w:p w14:paraId="05694DBB" w14:textId="77777777" w:rsidR="00D832C0" w:rsidRPr="00D832C0" w:rsidRDefault="00D832C0" w:rsidP="00D832C0">
      <w:pPr>
        <w:shd w:val="clear" w:color="auto" w:fill="FFFFFF"/>
        <w:spacing w:line="360" w:lineRule="auto"/>
        <w:jc w:val="both"/>
        <w:rPr>
          <w:rFonts w:ascii="Palatino Linotype" w:eastAsia="Palatino Linotype" w:hAnsi="Palatino Linotype" w:cs="Palatino Linotype"/>
          <w:color w:val="000000"/>
          <w:sz w:val="22"/>
          <w:szCs w:val="22"/>
          <w:lang w:val="es-MX" w:eastAsia="es-MX"/>
        </w:rPr>
      </w:pPr>
    </w:p>
    <w:p w14:paraId="33D7C1D8" w14:textId="77777777" w:rsidR="00D832C0" w:rsidRPr="00D832C0" w:rsidRDefault="00D832C0" w:rsidP="00D832C0">
      <w:pPr>
        <w:numPr>
          <w:ilvl w:val="0"/>
          <w:numId w:val="39"/>
        </w:numPr>
        <w:shd w:val="clear" w:color="auto" w:fill="FFFFFF"/>
        <w:spacing w:after="160" w:line="360" w:lineRule="auto"/>
        <w:jc w:val="both"/>
        <w:rPr>
          <w:rFonts w:ascii="Palatino Linotype" w:eastAsia="Palatino Linotype" w:hAnsi="Palatino Linotype" w:cs="Palatino Linotype"/>
          <w:color w:val="000000"/>
          <w:sz w:val="22"/>
          <w:szCs w:val="22"/>
          <w:lang w:val="es-MX" w:eastAsia="es-MX"/>
        </w:rPr>
      </w:pPr>
      <w:r w:rsidRPr="00D832C0">
        <w:rPr>
          <w:rFonts w:ascii="Palatino Linotype" w:eastAsia="Palatino Linotype" w:hAnsi="Palatino Linotype" w:cs="Palatino Linotype"/>
          <w:b/>
          <w:color w:val="000000"/>
          <w:sz w:val="22"/>
          <w:szCs w:val="22"/>
          <w:lang w:val="es-MX" w:eastAsia="es-MX"/>
        </w:rPr>
        <w:t>3110 Energía eléctrica.</w:t>
      </w:r>
      <w:r w:rsidRPr="00D832C0">
        <w:rPr>
          <w:rFonts w:ascii="Palatino Linotype" w:eastAsia="Palatino Linotype" w:hAnsi="Palatino Linotype" w:cs="Palatino Linotype"/>
          <w:color w:val="000000"/>
          <w:sz w:val="22"/>
          <w:szCs w:val="22"/>
          <w:lang w:val="es-MX" w:eastAsia="es-MX"/>
        </w:rPr>
        <w:t xml:space="preserve"> Asignaciones destinadas a cubrir el importe del consumo de energía eléctrica, necesarios para el funcionamiento de las instalaciones oficiales. Incluye alumbrado público, y</w:t>
      </w:r>
    </w:p>
    <w:p w14:paraId="77345D2C" w14:textId="77777777" w:rsidR="00D832C0" w:rsidRPr="00D832C0" w:rsidRDefault="00D832C0" w:rsidP="00D832C0">
      <w:pPr>
        <w:numPr>
          <w:ilvl w:val="0"/>
          <w:numId w:val="39"/>
        </w:numPr>
        <w:shd w:val="clear" w:color="auto" w:fill="FFFFFF"/>
        <w:spacing w:after="160" w:line="360" w:lineRule="auto"/>
        <w:jc w:val="both"/>
        <w:rPr>
          <w:rFonts w:ascii="Palatino Linotype" w:eastAsia="Palatino Linotype" w:hAnsi="Palatino Linotype" w:cs="Palatino Linotype"/>
          <w:color w:val="000000"/>
          <w:sz w:val="22"/>
          <w:szCs w:val="22"/>
          <w:lang w:val="es-MX" w:eastAsia="es-MX"/>
        </w:rPr>
      </w:pPr>
      <w:r w:rsidRPr="00D832C0">
        <w:rPr>
          <w:rFonts w:ascii="Palatino Linotype" w:eastAsia="Palatino Linotype" w:hAnsi="Palatino Linotype" w:cs="Palatino Linotype"/>
          <w:b/>
          <w:color w:val="000000"/>
          <w:sz w:val="22"/>
          <w:szCs w:val="22"/>
          <w:lang w:val="es-MX" w:eastAsia="es-MX"/>
        </w:rPr>
        <w:t xml:space="preserve">3111 Servicio de energía eléctrica. </w:t>
      </w:r>
      <w:r w:rsidRPr="00D832C0">
        <w:rPr>
          <w:rFonts w:ascii="Palatino Linotype" w:eastAsia="Palatino Linotype" w:hAnsi="Palatino Linotype" w:cs="Palatino Linotype"/>
          <w:color w:val="000000"/>
          <w:sz w:val="22"/>
          <w:szCs w:val="22"/>
          <w:lang w:val="es-MX" w:eastAsia="es-MX"/>
        </w:rPr>
        <w:t>Asignaciones para pagar el servicio de energía eléctrica de instalaciones oficiales.</w:t>
      </w:r>
    </w:p>
    <w:p w14:paraId="2EE75BCB" w14:textId="164E47D2" w:rsidR="00D832C0" w:rsidRPr="00D832C0" w:rsidRDefault="007C725E" w:rsidP="00D832C0">
      <w:pPr>
        <w:numPr>
          <w:ilvl w:val="0"/>
          <w:numId w:val="39"/>
        </w:numPr>
        <w:shd w:val="clear" w:color="auto" w:fill="FFFFFF"/>
        <w:spacing w:after="160" w:line="360" w:lineRule="auto"/>
        <w:jc w:val="both"/>
        <w:rPr>
          <w:rFonts w:ascii="Palatino Linotype" w:eastAsia="Palatino Linotype" w:hAnsi="Palatino Linotype" w:cs="Palatino Linotype"/>
          <w:color w:val="000000"/>
          <w:sz w:val="22"/>
          <w:szCs w:val="22"/>
          <w:lang w:val="es-MX" w:eastAsia="es-MX"/>
        </w:rPr>
      </w:pPr>
      <w:r>
        <w:rPr>
          <w:rFonts w:ascii="Palatino Linotype" w:hAnsi="Palatino Linotype"/>
          <w:noProof/>
          <w:lang w:val="es-MX" w:eastAsia="es-MX"/>
        </w:rPr>
        <w:drawing>
          <wp:anchor distT="0" distB="0" distL="114300" distR="114300" simplePos="0" relativeHeight="251689984" behindDoc="0" locked="0" layoutInCell="1" allowOverlap="1" wp14:anchorId="027F5B0F" wp14:editId="1AFC5DA9">
            <wp:simplePos x="0" y="0"/>
            <wp:positionH relativeFrom="margin">
              <wp:align>right</wp:align>
            </wp:positionH>
            <wp:positionV relativeFrom="paragraph">
              <wp:posOffset>680654</wp:posOffset>
            </wp:positionV>
            <wp:extent cx="5605145" cy="1434465"/>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9">
                      <a:extLst>
                        <a:ext uri="{28A0092B-C50C-407E-A947-70E740481C1C}">
                          <a14:useLocalDpi xmlns:a14="http://schemas.microsoft.com/office/drawing/2010/main" val="0"/>
                        </a:ext>
                      </a:extLst>
                    </a:blip>
                    <a:stretch>
                      <a:fillRect/>
                    </a:stretch>
                  </pic:blipFill>
                  <pic:spPr>
                    <a:xfrm>
                      <a:off x="0" y="0"/>
                      <a:ext cx="5605145" cy="1434465"/>
                    </a:xfrm>
                    <a:prstGeom prst="rect">
                      <a:avLst/>
                    </a:prstGeom>
                  </pic:spPr>
                </pic:pic>
              </a:graphicData>
            </a:graphic>
            <wp14:sizeRelH relativeFrom="margin">
              <wp14:pctWidth>0</wp14:pctWidth>
            </wp14:sizeRelH>
            <wp14:sizeRelV relativeFrom="margin">
              <wp14:pctHeight>0</wp14:pctHeight>
            </wp14:sizeRelV>
          </wp:anchor>
        </w:drawing>
      </w:r>
      <w:r w:rsidR="00D832C0" w:rsidRPr="00D832C0">
        <w:rPr>
          <w:rFonts w:ascii="Palatino Linotype" w:eastAsia="Palatino Linotype" w:hAnsi="Palatino Linotype" w:cs="Palatino Linotype"/>
          <w:b/>
          <w:color w:val="000000"/>
          <w:sz w:val="22"/>
          <w:szCs w:val="22"/>
          <w:lang w:val="es-MX" w:eastAsia="es-MX"/>
        </w:rPr>
        <w:t>3112 Servicio de energía eléctrica para alumbrado público.</w:t>
      </w:r>
      <w:r w:rsidR="00D832C0" w:rsidRPr="00D832C0">
        <w:rPr>
          <w:rFonts w:ascii="Palatino Linotype" w:eastAsia="Palatino Linotype" w:hAnsi="Palatino Linotype" w:cs="Palatino Linotype"/>
          <w:color w:val="000000"/>
          <w:sz w:val="22"/>
          <w:szCs w:val="22"/>
          <w:lang w:val="es-MX" w:eastAsia="es-MX"/>
        </w:rPr>
        <w:t xml:space="preserve"> Asignación para el pago del servicio de alumbrado público.</w:t>
      </w:r>
    </w:p>
    <w:p w14:paraId="545242FA" w14:textId="600E0E7A" w:rsidR="00D832C0" w:rsidRDefault="00D832C0" w:rsidP="00C87378">
      <w:pPr>
        <w:spacing w:line="360" w:lineRule="auto"/>
        <w:jc w:val="both"/>
        <w:rPr>
          <w:rFonts w:ascii="Palatino Linotype" w:hAnsi="Palatino Linotype"/>
        </w:rPr>
      </w:pPr>
    </w:p>
    <w:p w14:paraId="44E5ABD4" w14:textId="77777777" w:rsidR="00952D59" w:rsidRPr="00952D59" w:rsidRDefault="00952D59" w:rsidP="00952D59">
      <w:pPr>
        <w:spacing w:line="360" w:lineRule="auto"/>
        <w:ind w:right="49"/>
        <w:contextualSpacing/>
        <w:jc w:val="both"/>
        <w:rPr>
          <w:rFonts w:ascii="Palatino Linotype" w:hAnsi="Palatino Linotype" w:cs="Arial"/>
        </w:rPr>
      </w:pPr>
      <w:r w:rsidRPr="00952D59">
        <w:rPr>
          <w:rFonts w:ascii="Palatino Linotype" w:hAnsi="Palatino Linotype" w:cs="Arial"/>
        </w:rPr>
        <w:t>Aunado a lo anterior, los artículos 342, 343, 344 y 345 del Código Financiero del Estado de México y Municipios disponen el sistema y las políticas que deben seguirse para llevar el registro contable y presupuestal de las operaciones financieras, en los siguientes términos:</w:t>
      </w:r>
    </w:p>
    <w:p w14:paraId="39FDB577" w14:textId="77777777" w:rsidR="00952D59" w:rsidRPr="00952D59" w:rsidRDefault="00952D59" w:rsidP="00952D59">
      <w:pPr>
        <w:spacing w:line="360" w:lineRule="auto"/>
        <w:ind w:right="49"/>
        <w:jc w:val="both"/>
        <w:rPr>
          <w:rFonts w:ascii="Palatino Linotype" w:hAnsi="Palatino Linotype" w:cs="Arial"/>
        </w:rPr>
      </w:pPr>
    </w:p>
    <w:p w14:paraId="55275AB7" w14:textId="77777777" w:rsidR="00952D59" w:rsidRPr="00952D59" w:rsidRDefault="00952D59" w:rsidP="00952D59">
      <w:pPr>
        <w:ind w:left="567" w:right="567"/>
        <w:jc w:val="both"/>
        <w:rPr>
          <w:rFonts w:ascii="Palatino Linotype" w:hAnsi="Palatino Linotype"/>
          <w:b/>
          <w:i/>
          <w:sz w:val="22"/>
          <w:szCs w:val="22"/>
          <w:lang w:eastAsia="en-US"/>
        </w:rPr>
      </w:pPr>
      <w:r w:rsidRPr="00952D59">
        <w:rPr>
          <w:rFonts w:ascii="Palatino Linotype" w:hAnsi="Palatino Linotype" w:cs="Arial"/>
          <w:bCs/>
          <w:i/>
          <w:color w:val="000000"/>
          <w:sz w:val="22"/>
          <w:szCs w:val="22"/>
          <w:lang w:eastAsia="en-US"/>
        </w:rPr>
        <w:lastRenderedPageBreak/>
        <w:t>“</w:t>
      </w:r>
      <w:r w:rsidRPr="00952D59">
        <w:rPr>
          <w:rFonts w:ascii="Palatino Linotype" w:hAnsi="Palatino Linotype"/>
          <w:b/>
          <w:i/>
          <w:sz w:val="22"/>
          <w:szCs w:val="22"/>
          <w:lang w:eastAsia="en-US"/>
        </w:rPr>
        <w:t>Artículo 342.-</w:t>
      </w:r>
      <w:r w:rsidRPr="00952D59">
        <w:rPr>
          <w:rFonts w:ascii="Palatino Linotype" w:hAnsi="Palatino Linotype"/>
          <w:i/>
          <w:sz w:val="22"/>
          <w:szCs w:val="22"/>
          <w:lang w:eastAsia="en-US"/>
        </w:rPr>
        <w:t xml:space="preserve"> </w:t>
      </w:r>
      <w:r w:rsidRPr="00952D59">
        <w:rPr>
          <w:rFonts w:ascii="Palatino Linotype" w:hAnsi="Palatino Linotype"/>
          <w:b/>
          <w:i/>
          <w:sz w:val="22"/>
          <w:szCs w:val="22"/>
          <w:lang w:eastAsia="en-US"/>
        </w:rPr>
        <w:t xml:space="preserve">El registro contable del efecto patrimonial y presupuestal de las operaciones financieras, se realizará conforme al sistema y a las disposiciones que se aprueben en materia </w:t>
      </w:r>
      <w:r w:rsidRPr="00952D59">
        <w:rPr>
          <w:rFonts w:ascii="Palatino Linotype" w:hAnsi="Palatino Linotype"/>
          <w:i/>
          <w:sz w:val="22"/>
          <w:szCs w:val="22"/>
          <w:lang w:eastAsia="en-US"/>
        </w:rPr>
        <w:t xml:space="preserve">de </w:t>
      </w:r>
      <w:r w:rsidRPr="00952D59">
        <w:rPr>
          <w:rFonts w:ascii="Palatino Linotype" w:hAnsi="Palatino Linotype" w:cs="Arial"/>
          <w:i/>
          <w:color w:val="000000"/>
          <w:sz w:val="22"/>
          <w:szCs w:val="22"/>
          <w:lang w:eastAsia="en-US"/>
        </w:rPr>
        <w:t>planeación</w:t>
      </w:r>
      <w:r w:rsidRPr="00952D59">
        <w:rPr>
          <w:rFonts w:ascii="Palatino Linotype" w:hAnsi="Palatino Linotype"/>
          <w:i/>
          <w:sz w:val="22"/>
          <w:szCs w:val="22"/>
          <w:lang w:eastAsia="en-US"/>
        </w:rPr>
        <w:t>,</w:t>
      </w:r>
      <w:r w:rsidRPr="00952D59">
        <w:rPr>
          <w:rFonts w:ascii="Palatino Linotype" w:hAnsi="Palatino Linotype"/>
          <w:b/>
          <w:i/>
          <w:sz w:val="22"/>
          <w:szCs w:val="22"/>
          <w:lang w:eastAsia="en-US"/>
        </w:rPr>
        <w:t xml:space="preserve"> programación, presupuestación</w:t>
      </w:r>
      <w:r w:rsidRPr="00952D59">
        <w:rPr>
          <w:rFonts w:ascii="Palatino Linotype" w:hAnsi="Palatino Linotype"/>
          <w:i/>
          <w:sz w:val="22"/>
          <w:szCs w:val="22"/>
          <w:lang w:eastAsia="en-US"/>
        </w:rPr>
        <w:t xml:space="preserve">, evaluación y </w:t>
      </w:r>
      <w:r w:rsidRPr="00952D59">
        <w:rPr>
          <w:rFonts w:ascii="Palatino Linotype" w:hAnsi="Palatino Linotype" w:cs="Arial"/>
          <w:b/>
          <w:i/>
          <w:color w:val="000000"/>
          <w:sz w:val="22"/>
          <w:szCs w:val="22"/>
          <w:lang w:eastAsia="en-US"/>
        </w:rPr>
        <w:t>contabilidad</w:t>
      </w:r>
      <w:r w:rsidRPr="00952D59">
        <w:rPr>
          <w:rFonts w:ascii="Palatino Linotype" w:hAnsi="Palatino Linotype"/>
          <w:b/>
          <w:i/>
          <w:sz w:val="22"/>
          <w:szCs w:val="22"/>
          <w:lang w:eastAsia="en-US"/>
        </w:rPr>
        <w:t xml:space="preserve"> gubernamental.</w:t>
      </w:r>
      <w:r w:rsidRPr="00952D59">
        <w:rPr>
          <w:rFonts w:ascii="Palatino Linotype" w:hAnsi="Palatino Linotype"/>
          <w:i/>
          <w:sz w:val="22"/>
          <w:szCs w:val="22"/>
          <w:lang w:eastAsia="en-US"/>
        </w:rPr>
        <w:t xml:space="preserve"> </w:t>
      </w:r>
    </w:p>
    <w:p w14:paraId="61CFF911" w14:textId="77777777" w:rsidR="00952D59" w:rsidRPr="00952D59" w:rsidRDefault="00952D59" w:rsidP="00952D59">
      <w:pPr>
        <w:ind w:left="567" w:right="567"/>
        <w:jc w:val="both"/>
        <w:rPr>
          <w:rFonts w:ascii="Palatino Linotype" w:hAnsi="Palatino Linotype"/>
          <w:b/>
          <w:i/>
          <w:sz w:val="22"/>
          <w:szCs w:val="22"/>
          <w:lang w:eastAsia="en-US"/>
        </w:rPr>
      </w:pPr>
      <w:r w:rsidRPr="00952D59">
        <w:rPr>
          <w:rFonts w:ascii="Palatino Linotype" w:hAnsi="Palatino Linotype" w:cs="Arial"/>
          <w:b/>
          <w:bCs/>
          <w:i/>
          <w:color w:val="000000"/>
          <w:sz w:val="22"/>
          <w:szCs w:val="22"/>
          <w:lang w:eastAsia="en-US"/>
        </w:rPr>
        <w:t>…</w:t>
      </w:r>
    </w:p>
    <w:p w14:paraId="0292F22C" w14:textId="77777777" w:rsidR="00952D59" w:rsidRPr="00952D59" w:rsidRDefault="00952D59" w:rsidP="00952D59">
      <w:pPr>
        <w:ind w:left="567" w:right="567"/>
        <w:jc w:val="both"/>
        <w:rPr>
          <w:rFonts w:ascii="Palatino Linotype" w:hAnsi="Palatino Linotype"/>
          <w:i/>
          <w:sz w:val="22"/>
          <w:szCs w:val="22"/>
          <w:lang w:eastAsia="en-US"/>
        </w:rPr>
      </w:pPr>
      <w:r w:rsidRPr="00952D59">
        <w:rPr>
          <w:rFonts w:ascii="Palatino Linotype" w:hAnsi="Palatino Linotype"/>
          <w:b/>
          <w:i/>
          <w:sz w:val="22"/>
          <w:szCs w:val="22"/>
          <w:lang w:eastAsia="en-US"/>
        </w:rPr>
        <w:t>Artículo 343.-</w:t>
      </w:r>
      <w:r w:rsidRPr="00952D59">
        <w:rPr>
          <w:rFonts w:ascii="Palatino Linotype" w:hAnsi="Palatino Linotype"/>
          <w:i/>
          <w:sz w:val="22"/>
          <w:szCs w:val="22"/>
          <w:lang w:eastAsia="en-US"/>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14:paraId="5A613229" w14:textId="77777777" w:rsidR="00952D59" w:rsidRPr="00952D59" w:rsidRDefault="00952D59" w:rsidP="00952D59">
      <w:pPr>
        <w:ind w:left="567" w:right="567"/>
        <w:jc w:val="both"/>
        <w:rPr>
          <w:rFonts w:ascii="Palatino Linotype" w:hAnsi="Palatino Linotype"/>
          <w:i/>
          <w:sz w:val="22"/>
          <w:szCs w:val="22"/>
          <w:lang w:eastAsia="en-US"/>
        </w:rPr>
      </w:pPr>
      <w:r w:rsidRPr="00952D59">
        <w:rPr>
          <w:rFonts w:ascii="Palatino Linotype" w:hAnsi="Palatino Linotype"/>
          <w:i/>
          <w:sz w:val="22"/>
          <w:szCs w:val="22"/>
          <w:lang w:eastAsia="en-US"/>
        </w:rPr>
        <w:t xml:space="preserve">El sistema de contabilidad sobre base acumulativa total se sustentará en los postulados básicos y el marco conceptual de la contabilidad gubernamental. </w:t>
      </w:r>
    </w:p>
    <w:p w14:paraId="5DCE473B" w14:textId="77777777" w:rsidR="00952D59" w:rsidRPr="00952D59" w:rsidRDefault="00952D59" w:rsidP="00952D59">
      <w:pPr>
        <w:ind w:left="567" w:right="567"/>
        <w:jc w:val="both"/>
        <w:rPr>
          <w:rFonts w:ascii="Palatino Linotype" w:hAnsi="Palatino Linotype"/>
          <w:i/>
          <w:sz w:val="22"/>
          <w:szCs w:val="22"/>
          <w:lang w:eastAsia="en-US"/>
        </w:rPr>
      </w:pPr>
    </w:p>
    <w:p w14:paraId="4D8F8856" w14:textId="77777777" w:rsidR="00952D59" w:rsidRPr="00952D59" w:rsidRDefault="00952D59" w:rsidP="00952D59">
      <w:pPr>
        <w:ind w:left="567" w:right="567"/>
        <w:jc w:val="both"/>
        <w:rPr>
          <w:rFonts w:ascii="Palatino Linotype" w:hAnsi="Palatino Linotype"/>
          <w:i/>
          <w:sz w:val="22"/>
          <w:szCs w:val="22"/>
          <w:lang w:eastAsia="en-US"/>
        </w:rPr>
      </w:pPr>
      <w:r w:rsidRPr="00952D59">
        <w:rPr>
          <w:rFonts w:ascii="Palatino Linotype" w:hAnsi="Palatino Linotype"/>
          <w:b/>
          <w:i/>
          <w:sz w:val="22"/>
          <w:szCs w:val="22"/>
          <w:lang w:eastAsia="en-US"/>
        </w:rPr>
        <w:t xml:space="preserve">Artículo 344.- Las Dependencias, Entidades Públicas y unidades administrativas registrarán contablemente el efecto patrimonial y presupuestal de las operaciones financieras que realicen, en el momento en que ocurran, con base en el sistema y políticas de registro establecidas, </w:t>
      </w:r>
      <w:r w:rsidRPr="00952D59">
        <w:rPr>
          <w:rFonts w:ascii="Palatino Linotype" w:hAnsi="Palatino Linotype"/>
          <w:i/>
          <w:sz w:val="22"/>
          <w:szCs w:val="22"/>
          <w:lang w:eastAsia="en-US"/>
        </w:rPr>
        <w:t xml:space="preserve">en el caso de los Municipios se hará por la Tesorería. </w:t>
      </w:r>
    </w:p>
    <w:p w14:paraId="166E2648" w14:textId="77777777" w:rsidR="00952D59" w:rsidRPr="00952D59" w:rsidRDefault="00952D59" w:rsidP="00952D59">
      <w:pPr>
        <w:autoSpaceDE w:val="0"/>
        <w:autoSpaceDN w:val="0"/>
        <w:adjustRightInd w:val="0"/>
        <w:ind w:left="567" w:right="567"/>
        <w:jc w:val="both"/>
        <w:rPr>
          <w:rFonts w:ascii="Palatino Linotype" w:hAnsi="Palatino Linotype"/>
          <w:i/>
          <w:sz w:val="22"/>
          <w:szCs w:val="22"/>
          <w:lang w:eastAsia="en-US"/>
        </w:rPr>
      </w:pPr>
      <w:r w:rsidRPr="00952D59">
        <w:rPr>
          <w:rFonts w:ascii="Palatino Linotype" w:hAnsi="Palatino Linotype"/>
          <w:i/>
          <w:sz w:val="22"/>
          <w:szCs w:val="22"/>
          <w:lang w:eastAsia="en-US"/>
        </w:rPr>
        <w:t xml:space="preserve">Derogado. </w:t>
      </w:r>
    </w:p>
    <w:p w14:paraId="1ABF663C" w14:textId="77777777" w:rsidR="00952D59" w:rsidRPr="00952D59" w:rsidRDefault="00952D59" w:rsidP="00952D59">
      <w:pPr>
        <w:autoSpaceDE w:val="0"/>
        <w:autoSpaceDN w:val="0"/>
        <w:adjustRightInd w:val="0"/>
        <w:ind w:left="567" w:right="567"/>
        <w:jc w:val="both"/>
        <w:rPr>
          <w:rFonts w:ascii="Palatino Linotype" w:hAnsi="Palatino Linotype"/>
          <w:i/>
          <w:sz w:val="22"/>
          <w:szCs w:val="22"/>
          <w:lang w:eastAsia="en-US"/>
        </w:rPr>
      </w:pPr>
    </w:p>
    <w:p w14:paraId="3BC1C99D" w14:textId="77777777" w:rsidR="00952D59" w:rsidRPr="00952D59" w:rsidRDefault="00952D59" w:rsidP="00952D59">
      <w:pPr>
        <w:ind w:left="567" w:right="567"/>
        <w:jc w:val="both"/>
        <w:rPr>
          <w:rFonts w:ascii="Palatino Linotype" w:hAnsi="Palatino Linotype"/>
          <w:i/>
          <w:sz w:val="22"/>
          <w:szCs w:val="22"/>
          <w:lang w:eastAsia="en-US"/>
        </w:rPr>
      </w:pPr>
      <w:r w:rsidRPr="00952D59">
        <w:rPr>
          <w:rFonts w:ascii="Palatino Linotype" w:hAnsi="Palatino Linotype"/>
          <w:b/>
          <w:i/>
          <w:sz w:val="22"/>
          <w:szCs w:val="22"/>
          <w:lang w:eastAsia="en-US"/>
        </w:rPr>
        <w:t>Todo registro contable y presupuestal deberá estar soportado con los documentos comprobatorios originales, los que deberán permanecer en custodia y conservación de las dependencias, entidades públicas y unidades administrativas que ejercieron el gasto, y a disposición del Órgano Superior de Fiscalización del Estado de México y de los órganos de control interno, por un término de cinco años contados</w:t>
      </w:r>
      <w:r w:rsidRPr="00952D59">
        <w:rPr>
          <w:rFonts w:ascii="Palatino Linotype" w:hAnsi="Palatino Linotype"/>
          <w:i/>
          <w:sz w:val="22"/>
          <w:szCs w:val="22"/>
          <w:lang w:eastAsia="en-US"/>
        </w:rPr>
        <w:t xml:space="preserve"> a partir del ejercicio presupuestal siguiente al que corresponda, en el caso de los municipios se hará por la Tesorería. </w:t>
      </w:r>
    </w:p>
    <w:p w14:paraId="14606042" w14:textId="77777777" w:rsidR="00952D59" w:rsidRPr="00952D59" w:rsidRDefault="00952D59" w:rsidP="00952D59">
      <w:pPr>
        <w:autoSpaceDE w:val="0"/>
        <w:autoSpaceDN w:val="0"/>
        <w:adjustRightInd w:val="0"/>
        <w:ind w:left="567" w:right="567"/>
        <w:jc w:val="both"/>
        <w:rPr>
          <w:rFonts w:ascii="Palatino Linotype" w:hAnsi="Palatino Linotype"/>
          <w:i/>
          <w:sz w:val="22"/>
          <w:szCs w:val="22"/>
          <w:lang w:eastAsia="en-US"/>
        </w:rPr>
      </w:pPr>
      <w:r w:rsidRPr="00952D59">
        <w:rPr>
          <w:rFonts w:ascii="Palatino Linotype" w:hAnsi="Palatino Linotype"/>
          <w:i/>
          <w:sz w:val="22"/>
          <w:szCs w:val="22"/>
          <w:lang w:eastAsia="en-US"/>
        </w:rPr>
        <w:t>…</w:t>
      </w:r>
    </w:p>
    <w:p w14:paraId="50597DBF" w14:textId="77777777" w:rsidR="00952D59" w:rsidRPr="00952D59" w:rsidRDefault="00952D59" w:rsidP="00952D59">
      <w:pPr>
        <w:ind w:left="567" w:right="567"/>
        <w:jc w:val="both"/>
        <w:rPr>
          <w:rFonts w:ascii="Palatino Linotype" w:hAnsi="Palatino Linotype"/>
          <w:i/>
          <w:sz w:val="22"/>
          <w:szCs w:val="22"/>
          <w:lang w:eastAsia="en-US"/>
        </w:rPr>
      </w:pPr>
      <w:r w:rsidRPr="00952D59">
        <w:rPr>
          <w:rFonts w:ascii="Palatino Linotype" w:hAnsi="Palatino Linotype"/>
          <w:b/>
          <w:i/>
          <w:sz w:val="22"/>
          <w:szCs w:val="22"/>
          <w:lang w:eastAsia="en-US"/>
        </w:rPr>
        <w:t>Artículo 345.-</w:t>
      </w:r>
      <w:r w:rsidRPr="00952D59">
        <w:rPr>
          <w:rFonts w:ascii="Palatino Linotype" w:hAnsi="Palatino Linotype"/>
          <w:i/>
          <w:sz w:val="22"/>
          <w:szCs w:val="22"/>
          <w:lang w:eastAsia="en-US"/>
        </w:rPr>
        <w:t xml:space="preserve"> </w:t>
      </w:r>
      <w:r w:rsidRPr="00952D59">
        <w:rPr>
          <w:rFonts w:ascii="Palatino Linotype" w:hAnsi="Palatino Linotype"/>
          <w:b/>
          <w:i/>
          <w:sz w:val="22"/>
          <w:szCs w:val="22"/>
          <w:lang w:eastAsia="en-US"/>
        </w:rPr>
        <w:t>Las Dependencias, Entidades Públicas y unidades administrativas deberán conservar la documentación contable del año en curso y la de ejercicios anteriores cuyas cuentas públicas hayan sido revisadas y fiscalizadas por la Legislatura</w:t>
      </w:r>
      <w:r w:rsidRPr="00952D59">
        <w:rPr>
          <w:rFonts w:ascii="Palatino Linotype" w:hAnsi="Palatino Linotype"/>
          <w:i/>
          <w:sz w:val="22"/>
          <w:szCs w:val="22"/>
          <w:lang w:eastAsia="en-US"/>
        </w:rPr>
        <w:t xml:space="preserve">, la remitirán en un plazo que no excederá de seis meses al Archivo Contable Gubernamental. </w:t>
      </w:r>
      <w:r w:rsidRPr="00952D59">
        <w:rPr>
          <w:rFonts w:ascii="Palatino Linotype" w:hAnsi="Palatino Linotype"/>
          <w:b/>
          <w:i/>
          <w:sz w:val="22"/>
          <w:szCs w:val="22"/>
          <w:lang w:eastAsia="en-US"/>
        </w:rPr>
        <w:t>Tratándose de los comprobantes fiscales digitales, estos deberán estar agregados en forma electrónica en cada póliza de registro contable</w:t>
      </w:r>
      <w:r w:rsidRPr="00952D59">
        <w:rPr>
          <w:rFonts w:ascii="Palatino Linotype" w:hAnsi="Palatino Linotype"/>
          <w:i/>
          <w:sz w:val="22"/>
          <w:szCs w:val="22"/>
          <w:lang w:eastAsia="en-US"/>
        </w:rPr>
        <w:t xml:space="preserve">. </w:t>
      </w:r>
    </w:p>
    <w:p w14:paraId="1439E3F4" w14:textId="77777777" w:rsidR="00952D59" w:rsidRPr="00952D59" w:rsidRDefault="00952D59" w:rsidP="00952D59">
      <w:pPr>
        <w:ind w:left="567" w:right="567"/>
        <w:jc w:val="both"/>
        <w:rPr>
          <w:rFonts w:ascii="Palatino Linotype" w:hAnsi="Palatino Linotype" w:cs="Arial"/>
          <w:bCs/>
          <w:i/>
          <w:color w:val="000000"/>
          <w:sz w:val="22"/>
          <w:szCs w:val="22"/>
          <w:lang w:eastAsia="en-US"/>
        </w:rPr>
      </w:pPr>
      <w:r w:rsidRPr="00952D59">
        <w:rPr>
          <w:rFonts w:ascii="Palatino Linotype" w:hAnsi="Palatino Linotype"/>
          <w:i/>
          <w:sz w:val="22"/>
          <w:szCs w:val="22"/>
          <w:lang w:eastAsia="en-US"/>
        </w:rPr>
        <w:t>El plazo señalado en el párrafo anterior, empezará a contar a partir de la publicación en el Periódico Oficial, del decreto correspondiente.</w:t>
      </w:r>
      <w:r w:rsidRPr="00952D59">
        <w:rPr>
          <w:rFonts w:ascii="Palatino Linotype" w:hAnsi="Palatino Linotype" w:cs="Arial"/>
          <w:bCs/>
          <w:i/>
          <w:color w:val="000000"/>
          <w:sz w:val="22"/>
          <w:szCs w:val="22"/>
          <w:lang w:eastAsia="en-US"/>
        </w:rPr>
        <w:t xml:space="preserve"> “</w:t>
      </w:r>
      <w:r w:rsidRPr="00952D59">
        <w:rPr>
          <w:rFonts w:ascii="Palatino Linotype" w:hAnsi="Palatino Linotype" w:cs="Arial"/>
          <w:i/>
          <w:sz w:val="22"/>
          <w:szCs w:val="22"/>
          <w:lang w:eastAsia="en-US"/>
        </w:rPr>
        <w:t>(Sic)</w:t>
      </w:r>
      <w:r w:rsidRPr="00952D59">
        <w:rPr>
          <w:rFonts w:ascii="Palatino Linotype" w:hAnsi="Palatino Linotype" w:cs="Arial"/>
          <w:bCs/>
          <w:i/>
          <w:color w:val="000000"/>
          <w:sz w:val="22"/>
          <w:szCs w:val="22"/>
          <w:lang w:eastAsia="en-US"/>
        </w:rPr>
        <w:t xml:space="preserve"> </w:t>
      </w:r>
    </w:p>
    <w:p w14:paraId="0BEAB9C5" w14:textId="77777777" w:rsidR="00952D59" w:rsidRPr="00952D59" w:rsidRDefault="00952D59" w:rsidP="00952D59">
      <w:pPr>
        <w:ind w:left="567" w:right="567"/>
        <w:jc w:val="both"/>
        <w:rPr>
          <w:rFonts w:ascii="Palatino Linotype" w:hAnsi="Palatino Linotype" w:cs="Arial"/>
          <w:bCs/>
          <w:i/>
          <w:color w:val="000000"/>
          <w:sz w:val="22"/>
          <w:szCs w:val="22"/>
          <w:lang w:eastAsia="en-US"/>
        </w:rPr>
      </w:pPr>
    </w:p>
    <w:p w14:paraId="46E581E6" w14:textId="77777777" w:rsidR="00952D59" w:rsidRPr="00952D59" w:rsidRDefault="00952D59" w:rsidP="00952D59">
      <w:pPr>
        <w:ind w:left="567" w:right="567"/>
        <w:jc w:val="right"/>
        <w:rPr>
          <w:rFonts w:ascii="Palatino Linotype" w:hAnsi="Palatino Linotype" w:cs="Arial"/>
          <w:bCs/>
          <w:color w:val="000000"/>
          <w:sz w:val="22"/>
          <w:szCs w:val="22"/>
          <w:lang w:eastAsia="en-US"/>
        </w:rPr>
      </w:pPr>
      <w:r w:rsidRPr="00952D59">
        <w:rPr>
          <w:rFonts w:ascii="Palatino Linotype" w:hAnsi="Palatino Linotype" w:cs="Arial"/>
          <w:bCs/>
          <w:color w:val="000000"/>
          <w:sz w:val="22"/>
          <w:szCs w:val="22"/>
          <w:lang w:eastAsia="en-US"/>
        </w:rPr>
        <w:t>(Énfasis añadido)</w:t>
      </w:r>
    </w:p>
    <w:p w14:paraId="6DB52B65" w14:textId="77777777" w:rsidR="00952D59" w:rsidRPr="00952D59" w:rsidRDefault="00952D59" w:rsidP="00952D59">
      <w:pPr>
        <w:spacing w:line="360" w:lineRule="auto"/>
        <w:ind w:right="850"/>
        <w:jc w:val="both"/>
        <w:rPr>
          <w:rFonts w:ascii="Palatino Linotype" w:hAnsi="Palatino Linotype" w:cs="Arial"/>
          <w:bCs/>
          <w:color w:val="000000"/>
          <w:szCs w:val="22"/>
          <w:lang w:eastAsia="en-US"/>
        </w:rPr>
      </w:pPr>
    </w:p>
    <w:p w14:paraId="5A4EAF89" w14:textId="77777777" w:rsidR="00952D59" w:rsidRPr="00952D59" w:rsidRDefault="00952D59" w:rsidP="00952D59">
      <w:pPr>
        <w:spacing w:line="360" w:lineRule="auto"/>
        <w:contextualSpacing/>
        <w:jc w:val="both"/>
        <w:rPr>
          <w:rFonts w:ascii="Palatino Linotype" w:hAnsi="Palatino Linotype" w:cs="Arial"/>
          <w:bCs/>
          <w:color w:val="000000"/>
        </w:rPr>
      </w:pPr>
      <w:r w:rsidRPr="00952D59">
        <w:rPr>
          <w:rFonts w:ascii="Palatino Linotype" w:hAnsi="Palatino Linotype" w:cs="Arial"/>
        </w:rPr>
        <w:t>De una interpretación sistemática de los artículos transcritos, se desprende primeramente que el</w:t>
      </w:r>
      <w:r w:rsidRPr="00952D59">
        <w:rPr>
          <w:rFonts w:ascii="Palatino Linotype" w:hAnsi="Palatino Linotype" w:cs="Arial"/>
          <w:bCs/>
          <w:color w:val="000000"/>
        </w:rPr>
        <w:t xml:space="preserve"> registro contable del efecto patrimonial y presupuestal de las operaciones financieras se realizará conforme al sistema y a las disposiciones que se aprueben en materia de planeación, programación, presupuestación, evaluación y contabilidad gubernamental.</w:t>
      </w:r>
    </w:p>
    <w:p w14:paraId="17B0FFB3" w14:textId="77777777" w:rsidR="00952D59" w:rsidRPr="00952D59" w:rsidRDefault="00952D59" w:rsidP="00952D59">
      <w:pPr>
        <w:spacing w:line="360" w:lineRule="auto"/>
        <w:jc w:val="both"/>
        <w:rPr>
          <w:rFonts w:ascii="Palatino Linotype" w:hAnsi="Palatino Linotype" w:cs="Arial"/>
          <w:bCs/>
          <w:color w:val="000000"/>
        </w:rPr>
      </w:pPr>
    </w:p>
    <w:p w14:paraId="7C4E4333" w14:textId="77777777" w:rsidR="00952D59" w:rsidRPr="00952D59" w:rsidRDefault="00952D59" w:rsidP="00952D59">
      <w:pPr>
        <w:spacing w:line="360" w:lineRule="auto"/>
        <w:contextualSpacing/>
        <w:jc w:val="both"/>
        <w:rPr>
          <w:rFonts w:ascii="Palatino Linotype" w:hAnsi="Palatino Linotype" w:cs="Arial"/>
          <w:bCs/>
          <w:color w:val="000000"/>
        </w:rPr>
      </w:pPr>
      <w:r w:rsidRPr="00952D59">
        <w:rPr>
          <w:rFonts w:ascii="Palatino Linotype" w:hAnsi="Palatino Linotype" w:cs="Arial"/>
        </w:rPr>
        <w:t>Al respecto, si bien es cierto que el Código Financiero del Estado de México y Municipios establece la obligación de los Municipios para llevar los registros contables y presupuestales; también lo es que, dicho ordenamiento jurídico no establece que debemos entender por registro contable y presupuestal</w:t>
      </w:r>
      <w:r w:rsidRPr="00952D59">
        <w:rPr>
          <w:rFonts w:ascii="Palatino Linotype" w:hAnsi="Palatino Linotype" w:cs="Arial"/>
          <w:lang w:eastAsia="es-MX"/>
        </w:rPr>
        <w:t xml:space="preserve">; sin embargo,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 </w:t>
      </w:r>
    </w:p>
    <w:p w14:paraId="6174FF2D" w14:textId="77777777" w:rsidR="00952D59" w:rsidRPr="00952D59" w:rsidRDefault="00952D59" w:rsidP="00952D59">
      <w:pPr>
        <w:spacing w:line="360" w:lineRule="auto"/>
        <w:jc w:val="both"/>
        <w:rPr>
          <w:rFonts w:ascii="Palatino Linotype" w:hAnsi="Palatino Linotype" w:cs="Arial"/>
          <w:bCs/>
          <w:color w:val="000000"/>
        </w:rPr>
      </w:pPr>
    </w:p>
    <w:p w14:paraId="606E40BB" w14:textId="77777777" w:rsidR="00952D59" w:rsidRPr="00952D59" w:rsidRDefault="00952D59" w:rsidP="00952D59">
      <w:pPr>
        <w:ind w:left="567" w:right="567"/>
        <w:jc w:val="both"/>
        <w:rPr>
          <w:rFonts w:ascii="Palatino Linotype" w:hAnsi="Palatino Linotype" w:cs="Arial"/>
          <w:b/>
          <w:i/>
          <w:sz w:val="22"/>
          <w:szCs w:val="22"/>
          <w:lang w:eastAsia="es-MX"/>
        </w:rPr>
      </w:pPr>
      <w:r w:rsidRPr="00952D59">
        <w:rPr>
          <w:rFonts w:ascii="Palatino Linotype" w:hAnsi="Palatino Linotype" w:cs="Arial"/>
          <w:b/>
          <w:i/>
          <w:sz w:val="22"/>
          <w:szCs w:val="22"/>
          <w:lang w:eastAsia="es-MX"/>
        </w:rPr>
        <w:t xml:space="preserve">“REGISTRO CONTABLE </w:t>
      </w:r>
    </w:p>
    <w:p w14:paraId="00B6288B" w14:textId="77777777" w:rsidR="00952D59" w:rsidRPr="00952D59" w:rsidRDefault="00952D59" w:rsidP="00952D59">
      <w:pPr>
        <w:ind w:left="567" w:right="567"/>
        <w:jc w:val="both"/>
        <w:rPr>
          <w:rFonts w:ascii="Palatino Linotype" w:hAnsi="Palatino Linotype" w:cs="Arial"/>
          <w:i/>
          <w:sz w:val="22"/>
          <w:szCs w:val="22"/>
          <w:lang w:eastAsia="en-US"/>
        </w:rPr>
      </w:pPr>
      <w:r w:rsidRPr="00952D59">
        <w:rPr>
          <w:rFonts w:ascii="Palatino Linotype" w:hAnsi="Palatino Linotype" w:cs="Arial"/>
          <w:i/>
          <w:sz w:val="22"/>
          <w:szCs w:val="22"/>
          <w:lang w:eastAsia="es-MX"/>
        </w:rPr>
        <w:t xml:space="preserve">Asiento que se realiza en los libros de contabilidad de las actividades relacionadas con el ingreso y egresos de un ente económico.” </w:t>
      </w:r>
      <w:r w:rsidRPr="00952D59">
        <w:rPr>
          <w:rFonts w:ascii="Palatino Linotype" w:hAnsi="Palatino Linotype" w:cs="Arial"/>
          <w:i/>
          <w:sz w:val="22"/>
          <w:szCs w:val="22"/>
          <w:lang w:eastAsia="en-US"/>
        </w:rPr>
        <w:t>(Sic)</w:t>
      </w:r>
    </w:p>
    <w:p w14:paraId="673E1178" w14:textId="77777777" w:rsidR="00952D59" w:rsidRPr="00952D59" w:rsidRDefault="00952D59" w:rsidP="00952D59">
      <w:pPr>
        <w:ind w:left="567" w:right="567"/>
        <w:jc w:val="both"/>
        <w:rPr>
          <w:rFonts w:ascii="Palatino Linotype" w:hAnsi="Palatino Linotype" w:cs="Arial"/>
          <w:i/>
          <w:sz w:val="22"/>
          <w:szCs w:val="22"/>
          <w:lang w:eastAsia="es-MX"/>
        </w:rPr>
      </w:pPr>
    </w:p>
    <w:p w14:paraId="5331128B" w14:textId="77777777" w:rsidR="00952D59" w:rsidRPr="00952D59" w:rsidRDefault="00952D59" w:rsidP="00952D59">
      <w:pPr>
        <w:ind w:left="567" w:right="567"/>
        <w:jc w:val="both"/>
        <w:rPr>
          <w:rFonts w:ascii="Palatino Linotype" w:hAnsi="Palatino Linotype" w:cs="Arial"/>
          <w:b/>
          <w:i/>
          <w:sz w:val="22"/>
          <w:szCs w:val="22"/>
          <w:lang w:eastAsia="es-MX"/>
        </w:rPr>
      </w:pPr>
      <w:r w:rsidRPr="00952D59">
        <w:rPr>
          <w:rFonts w:ascii="Palatino Linotype" w:hAnsi="Palatino Linotype" w:cs="Arial"/>
          <w:b/>
          <w:i/>
          <w:sz w:val="22"/>
          <w:szCs w:val="22"/>
          <w:lang w:eastAsia="es-MX"/>
        </w:rPr>
        <w:t>“REGISTRO PRESUPUESTARIO</w:t>
      </w:r>
    </w:p>
    <w:p w14:paraId="1CA13DA8" w14:textId="77777777" w:rsidR="00952D59" w:rsidRPr="00952D59" w:rsidRDefault="00952D59" w:rsidP="00952D59">
      <w:pPr>
        <w:ind w:left="567" w:right="567"/>
        <w:jc w:val="both"/>
        <w:rPr>
          <w:rFonts w:ascii="Palatino Linotype" w:hAnsi="Palatino Linotype" w:cs="Arial"/>
          <w:i/>
          <w:sz w:val="22"/>
          <w:szCs w:val="22"/>
          <w:lang w:eastAsia="en-US"/>
        </w:rPr>
      </w:pPr>
      <w:r w:rsidRPr="00952D59">
        <w:rPr>
          <w:rFonts w:ascii="Palatino Linotype" w:hAnsi="Palatino Linotype" w:cs="Arial"/>
          <w:i/>
          <w:sz w:val="22"/>
          <w:szCs w:val="22"/>
          <w:lang w:eastAsia="es-MX"/>
        </w:rPr>
        <w:lastRenderedPageBreak/>
        <w:t xml:space="preserve">Asiento contable de las erogaciones realizadas por las dependencias y entidades con relación a la asignación, modificación y ejercicio de los recursos presupuestarios que se les hayan autorizado.” </w:t>
      </w:r>
      <w:r w:rsidRPr="00952D59">
        <w:rPr>
          <w:rFonts w:ascii="Palatino Linotype" w:hAnsi="Palatino Linotype" w:cs="Arial"/>
          <w:i/>
          <w:sz w:val="22"/>
          <w:szCs w:val="22"/>
          <w:lang w:eastAsia="en-US"/>
        </w:rPr>
        <w:t>(Sic)</w:t>
      </w:r>
    </w:p>
    <w:p w14:paraId="70C723BB" w14:textId="77777777" w:rsidR="00952D59" w:rsidRPr="00952D59" w:rsidRDefault="00952D59" w:rsidP="00952D59">
      <w:pPr>
        <w:spacing w:line="360" w:lineRule="auto"/>
        <w:ind w:right="899"/>
        <w:jc w:val="both"/>
        <w:rPr>
          <w:rFonts w:ascii="Palatino Linotype" w:hAnsi="Palatino Linotype" w:cs="Arial"/>
          <w:i/>
          <w:sz w:val="22"/>
          <w:szCs w:val="22"/>
          <w:lang w:eastAsia="es-MX"/>
        </w:rPr>
      </w:pPr>
    </w:p>
    <w:p w14:paraId="22B2A4A3" w14:textId="77777777" w:rsidR="00952D59" w:rsidRPr="00952D59" w:rsidRDefault="00952D59" w:rsidP="00952D59">
      <w:pPr>
        <w:spacing w:line="360" w:lineRule="auto"/>
        <w:contextualSpacing/>
        <w:jc w:val="both"/>
        <w:rPr>
          <w:rFonts w:ascii="Palatino Linotype" w:hAnsi="Palatino Linotype" w:cs="Arial"/>
          <w:bCs/>
          <w:color w:val="000000"/>
        </w:rPr>
      </w:pPr>
      <w:r w:rsidRPr="00952D59">
        <w:rPr>
          <w:rFonts w:ascii="Palatino Linotype" w:hAnsi="Palatino Linotype" w:cs="Arial"/>
          <w:bCs/>
          <w:color w:val="000000"/>
        </w:rPr>
        <w:t xml:space="preserve">Por otra parte, se establece que el sistema de contabilidad sobre base acumulativa total se sustentará en los principios de contabilidad gubernamental, igualmente señalan que los </w:t>
      </w:r>
      <w:r w:rsidRPr="00952D59">
        <w:rPr>
          <w:rFonts w:ascii="Palatino Linotype" w:hAnsi="Palatino Linotype" w:cs="Arial"/>
          <w:b/>
          <w:bCs/>
          <w:color w:val="000000"/>
        </w:rPr>
        <w:t>sujetos obligados</w:t>
      </w:r>
      <w:r w:rsidRPr="00952D59">
        <w:rPr>
          <w:rFonts w:ascii="Palatino Linotype" w:hAnsi="Palatino Linotype" w:cs="Arial"/>
          <w:bCs/>
          <w:color w:val="000000"/>
        </w:rPr>
        <w:t xml:space="preserve"> deben contar con una unidad administrativa que registra contablemente el efecto patrimonial y presupuestal de las operaciones financieras que realizan, en el momento en que ocurran, con base en el sistema y políticas de registro establecidas.</w:t>
      </w:r>
    </w:p>
    <w:p w14:paraId="3A62C3AD" w14:textId="77777777" w:rsidR="00952D59" w:rsidRPr="00952D59" w:rsidRDefault="00952D59" w:rsidP="00952D59">
      <w:pPr>
        <w:spacing w:line="360" w:lineRule="auto"/>
        <w:contextualSpacing/>
        <w:jc w:val="both"/>
        <w:rPr>
          <w:rFonts w:ascii="Palatino Linotype" w:hAnsi="Palatino Linotype" w:cs="Arial"/>
          <w:bCs/>
          <w:color w:val="000000"/>
        </w:rPr>
      </w:pPr>
    </w:p>
    <w:p w14:paraId="79F9A21B" w14:textId="77777777" w:rsidR="00952D59" w:rsidRPr="00952D59" w:rsidRDefault="00952D59" w:rsidP="00952D59">
      <w:pPr>
        <w:autoSpaceDE w:val="0"/>
        <w:autoSpaceDN w:val="0"/>
        <w:adjustRightInd w:val="0"/>
        <w:spacing w:line="360" w:lineRule="auto"/>
        <w:jc w:val="both"/>
        <w:rPr>
          <w:rFonts w:ascii="Palatino Linotype" w:hAnsi="Palatino Linotype" w:cs="Arial"/>
          <w:szCs w:val="22"/>
          <w:lang w:eastAsia="es-MX"/>
        </w:rPr>
      </w:pPr>
      <w:r w:rsidRPr="00952D59">
        <w:rPr>
          <w:rFonts w:ascii="Palatino Linotype" w:hAnsi="Palatino Linotype" w:cs="Arial"/>
          <w:szCs w:val="22"/>
          <w:lang w:eastAsia="es-MX"/>
        </w:rPr>
        <w:t xml:space="preserve">Correlativo a lo anterior, es preciso referir una definición de </w:t>
      </w:r>
      <w:r w:rsidRPr="00952D59">
        <w:rPr>
          <w:rFonts w:ascii="Palatino Linotype" w:hAnsi="Palatino Linotype" w:cs="Arial"/>
          <w:i/>
          <w:szCs w:val="22"/>
          <w:lang w:eastAsia="es-MX"/>
        </w:rPr>
        <w:t>póliza contable</w:t>
      </w:r>
      <w:r w:rsidRPr="00952D59">
        <w:rPr>
          <w:rFonts w:ascii="Palatino Linotype" w:hAnsi="Palatino Linotype" w:cs="Arial"/>
          <w:szCs w:val="22"/>
          <w:lang w:eastAsia="es-MX"/>
        </w:rPr>
        <w:t xml:space="preserve">, la cual, primeramente, no está definida en el Código Financiero del Estado de México y Municipios; no obstante, los ya mencionados Glosarios la definen como: </w:t>
      </w:r>
    </w:p>
    <w:p w14:paraId="78CCD2FA" w14:textId="77777777" w:rsidR="00952D59" w:rsidRPr="00952D59" w:rsidRDefault="00952D59" w:rsidP="00952D59">
      <w:pPr>
        <w:autoSpaceDE w:val="0"/>
        <w:autoSpaceDN w:val="0"/>
        <w:adjustRightInd w:val="0"/>
        <w:spacing w:line="360" w:lineRule="auto"/>
        <w:jc w:val="both"/>
        <w:rPr>
          <w:rFonts w:ascii="Palatino Linotype" w:hAnsi="Palatino Linotype" w:cs="Arial"/>
          <w:szCs w:val="22"/>
          <w:lang w:eastAsia="es-MX"/>
        </w:rPr>
      </w:pPr>
    </w:p>
    <w:p w14:paraId="64C6B3AF" w14:textId="77777777" w:rsidR="00952D59" w:rsidRPr="00952D59" w:rsidRDefault="00952D59" w:rsidP="00952D59">
      <w:pPr>
        <w:ind w:left="567" w:right="567"/>
        <w:jc w:val="both"/>
        <w:rPr>
          <w:rFonts w:ascii="Palatino Linotype" w:hAnsi="Palatino Linotype" w:cs="Arial"/>
          <w:b/>
          <w:i/>
          <w:sz w:val="22"/>
          <w:szCs w:val="22"/>
          <w:lang w:eastAsia="es-MX"/>
        </w:rPr>
      </w:pPr>
      <w:r w:rsidRPr="00952D59">
        <w:rPr>
          <w:rFonts w:ascii="Palatino Linotype" w:hAnsi="Palatino Linotype" w:cs="Arial"/>
          <w:i/>
          <w:sz w:val="22"/>
          <w:szCs w:val="22"/>
          <w:lang w:eastAsia="es-MX"/>
        </w:rPr>
        <w:t>“</w:t>
      </w:r>
      <w:r w:rsidRPr="00952D59">
        <w:rPr>
          <w:rFonts w:ascii="Palatino Linotype" w:hAnsi="Palatino Linotype" w:cs="Arial"/>
          <w:b/>
          <w:i/>
          <w:sz w:val="22"/>
          <w:szCs w:val="22"/>
          <w:lang w:eastAsia="es-MX"/>
        </w:rPr>
        <w:t>PÓLIZA CONTABLE</w:t>
      </w:r>
    </w:p>
    <w:p w14:paraId="35E82BF3" w14:textId="77777777" w:rsidR="00952D59" w:rsidRPr="00952D59" w:rsidRDefault="00952D59" w:rsidP="00952D59">
      <w:pPr>
        <w:ind w:left="567" w:right="567"/>
        <w:jc w:val="both"/>
        <w:rPr>
          <w:rFonts w:ascii="Palatino Linotype" w:hAnsi="Palatino Linotype" w:cs="Arial"/>
          <w:i/>
          <w:sz w:val="22"/>
          <w:szCs w:val="22"/>
          <w:lang w:eastAsia="es-MX"/>
        </w:rPr>
      </w:pPr>
      <w:r w:rsidRPr="00952D59">
        <w:rPr>
          <w:rFonts w:ascii="Palatino Linotype" w:hAnsi="Palatino Linotype" w:cs="Arial"/>
          <w:i/>
          <w:sz w:val="22"/>
          <w:szCs w:val="22"/>
          <w:lang w:eastAsia="es-MX"/>
        </w:rPr>
        <w:t>Documento en el cual se asientan en forma individual todas y cada una de las operaciones desarrolladas por una institución, así como la información necesaria para la identificación de dichas operaciones.” (sic)</w:t>
      </w:r>
    </w:p>
    <w:p w14:paraId="26EAC7EB" w14:textId="77777777" w:rsidR="00952D59" w:rsidRPr="00952D59" w:rsidRDefault="00952D59" w:rsidP="00952D59">
      <w:pPr>
        <w:spacing w:line="360" w:lineRule="auto"/>
        <w:ind w:left="567" w:right="618"/>
        <w:jc w:val="both"/>
        <w:rPr>
          <w:rFonts w:ascii="Palatino Linotype" w:hAnsi="Palatino Linotype" w:cs="Arial"/>
          <w:i/>
          <w:sz w:val="22"/>
          <w:szCs w:val="22"/>
          <w:lang w:eastAsia="es-MX"/>
        </w:rPr>
      </w:pPr>
    </w:p>
    <w:p w14:paraId="18045685" w14:textId="77777777" w:rsidR="00952D59" w:rsidRPr="00952D59" w:rsidRDefault="00952D59" w:rsidP="00952D59">
      <w:pPr>
        <w:spacing w:line="360" w:lineRule="auto"/>
        <w:contextualSpacing/>
        <w:jc w:val="both"/>
        <w:rPr>
          <w:rFonts w:ascii="Palatino Linotype" w:hAnsi="Palatino Linotype" w:cs="Arial"/>
          <w:lang w:eastAsia="es-MX"/>
        </w:rPr>
      </w:pPr>
      <w:r w:rsidRPr="00952D59">
        <w:rPr>
          <w:rFonts w:ascii="Palatino Linotype" w:hAnsi="Palatino Linotype" w:cs="Arial"/>
          <w:lang w:eastAsia="es-MX"/>
        </w:rPr>
        <w:t xml:space="preserve">Así, se advierte que la </w:t>
      </w:r>
      <w:r w:rsidRPr="00952D59">
        <w:rPr>
          <w:rFonts w:ascii="Palatino Linotype" w:hAnsi="Palatino Linotype" w:cs="Arial"/>
          <w:i/>
          <w:lang w:eastAsia="es-MX"/>
        </w:rPr>
        <w:t>póliza contable</w:t>
      </w:r>
      <w:r w:rsidRPr="00952D59">
        <w:rPr>
          <w:rFonts w:ascii="Palatino Linotype" w:hAnsi="Palatino Linotype" w:cs="Arial"/>
          <w:lang w:eastAsia="es-MX"/>
        </w:rPr>
        <w:t xml:space="preserve"> constituye un registro contable y presupuestal con el que cuentan los Municipios para el registro de sus operaciones relacionadas con sus ingresos y egresos y se anexan los documentos o comprobantes que justifiquen las anotaciones y cantidades en ellas registradas, lo que permite la identificación plena de dichas operaciones.</w:t>
      </w:r>
    </w:p>
    <w:p w14:paraId="7977DF1D" w14:textId="77777777" w:rsidR="00952D59" w:rsidRPr="00952D59" w:rsidRDefault="00952D59" w:rsidP="00952D59">
      <w:pPr>
        <w:spacing w:line="360" w:lineRule="auto"/>
        <w:jc w:val="both"/>
        <w:rPr>
          <w:rFonts w:ascii="Palatino Linotype" w:hAnsi="Palatino Linotype" w:cs="Arial"/>
          <w:lang w:eastAsia="es-MX"/>
        </w:rPr>
      </w:pPr>
    </w:p>
    <w:p w14:paraId="06B76196" w14:textId="77777777" w:rsidR="00952D59" w:rsidRDefault="00952D59" w:rsidP="00952D59">
      <w:pPr>
        <w:spacing w:line="360" w:lineRule="auto"/>
        <w:contextualSpacing/>
        <w:jc w:val="both"/>
        <w:rPr>
          <w:rFonts w:ascii="Palatino Linotype" w:hAnsi="Palatino Linotype" w:cs="Arial"/>
          <w:lang w:eastAsia="es-MX"/>
        </w:rPr>
      </w:pPr>
      <w:r w:rsidRPr="00952D59">
        <w:rPr>
          <w:rFonts w:ascii="Palatino Linotype" w:hAnsi="Palatino Linotype" w:cs="Arial"/>
          <w:lang w:eastAsia="es-MX"/>
        </w:rPr>
        <w:t xml:space="preserve">En este sentido, existen diversos tipos de pólizas contables de acuerdo con las operaciones realizadas, dentro de las cuales, encontramos las llamadas </w:t>
      </w:r>
      <w:r w:rsidRPr="00952D59">
        <w:rPr>
          <w:rFonts w:ascii="Palatino Linotype" w:hAnsi="Palatino Linotype" w:cs="Arial"/>
          <w:i/>
          <w:lang w:eastAsia="es-MX"/>
        </w:rPr>
        <w:t>pólizas de egresos</w:t>
      </w:r>
      <w:r w:rsidRPr="00952D59">
        <w:rPr>
          <w:rFonts w:ascii="Palatino Linotype" w:hAnsi="Palatino Linotype" w:cs="Arial"/>
          <w:lang w:eastAsia="es-MX"/>
        </w:rPr>
        <w:t xml:space="preserve">, en las cuales se anotan diariamente las operaciones que representan egresos, es decir, salidas de dinero para </w:t>
      </w:r>
      <w:r w:rsidRPr="00952D59">
        <w:rPr>
          <w:rFonts w:ascii="Palatino Linotype" w:hAnsi="Palatino Linotype" w:cs="Arial"/>
          <w:b/>
          <w:lang w:eastAsia="es-MX"/>
        </w:rPr>
        <w:t>el sujeto obligado</w:t>
      </w:r>
      <w:r w:rsidRPr="00952D59">
        <w:rPr>
          <w:rFonts w:ascii="Palatino Linotype" w:hAnsi="Palatino Linotype" w:cs="Arial"/>
          <w:lang w:eastAsia="es-MX"/>
        </w:rPr>
        <w:t xml:space="preserve">, la cual, además debe encontrarse acompañada de las documentales que sirven de soporte de dicho movimiento. </w:t>
      </w:r>
    </w:p>
    <w:p w14:paraId="17D43EFE" w14:textId="77777777" w:rsidR="005701B8" w:rsidRPr="00952D59" w:rsidRDefault="005701B8" w:rsidP="00952D59">
      <w:pPr>
        <w:spacing w:line="360" w:lineRule="auto"/>
        <w:contextualSpacing/>
        <w:jc w:val="both"/>
        <w:rPr>
          <w:rFonts w:ascii="Palatino Linotype" w:hAnsi="Palatino Linotype" w:cs="Arial"/>
          <w:lang w:eastAsia="es-MX"/>
        </w:rPr>
      </w:pPr>
    </w:p>
    <w:p w14:paraId="065F4ABF" w14:textId="3E82913A" w:rsidR="00826499" w:rsidRDefault="00826499" w:rsidP="00C87378">
      <w:pPr>
        <w:spacing w:line="360" w:lineRule="auto"/>
        <w:jc w:val="both"/>
        <w:rPr>
          <w:rFonts w:ascii="Palatino Linotype" w:hAnsi="Palatino Linotype"/>
        </w:rPr>
      </w:pPr>
      <w:r>
        <w:rPr>
          <w:rFonts w:ascii="Palatino Linotype" w:hAnsi="Palatino Linotype"/>
        </w:rPr>
        <w:t>Efectivamente de la respuesta, se advierten que la Dirección de Construcción y Operación Hidráulica, manifiestan los costos por cobertura de agua potable, sin embargo, no se especifica en la respuesta que aquellos correspondan a los costos totales solicitados, o bien, como se infiere y presume corresponden únicamente al concepto de bombeo de agua potable.</w:t>
      </w:r>
    </w:p>
    <w:p w14:paraId="241174CA" w14:textId="77777777" w:rsidR="00BA56CA" w:rsidRDefault="00BA56CA" w:rsidP="00C87378">
      <w:pPr>
        <w:spacing w:line="360" w:lineRule="auto"/>
        <w:jc w:val="both"/>
        <w:rPr>
          <w:rFonts w:ascii="Palatino Linotype" w:hAnsi="Palatino Linotype"/>
        </w:rPr>
      </w:pPr>
    </w:p>
    <w:p w14:paraId="3F313963" w14:textId="1E19A1C5" w:rsidR="009D00C3" w:rsidRPr="009D00C3" w:rsidRDefault="009D00C3" w:rsidP="009D00C3">
      <w:pPr>
        <w:spacing w:line="360" w:lineRule="auto"/>
        <w:jc w:val="both"/>
        <w:rPr>
          <w:rFonts w:ascii="Palatino Linotype" w:eastAsia="Calibri" w:hAnsi="Palatino Linotype" w:cs="Tahoma"/>
          <w:lang w:val="es-MX"/>
        </w:rPr>
      </w:pPr>
      <w:r w:rsidRPr="009D00C3">
        <w:rPr>
          <w:rFonts w:ascii="Palatino Linotype" w:hAnsi="Palatino Linotype"/>
          <w:lang w:val="es-MX"/>
        </w:rPr>
        <w:t>Dicho lo anterior</w:t>
      </w:r>
      <w:r w:rsidRPr="009D00C3">
        <w:rPr>
          <w:rFonts w:ascii="Palatino Linotype" w:hAnsi="Palatino Linotype"/>
        </w:rPr>
        <w:t xml:space="preserve">, de la respuesta proporcionada por </w:t>
      </w:r>
      <w:r w:rsidRPr="009D00C3">
        <w:rPr>
          <w:rFonts w:ascii="Palatino Linotype" w:hAnsi="Palatino Linotype"/>
          <w:bCs/>
        </w:rPr>
        <w:t>el</w:t>
      </w:r>
      <w:r w:rsidRPr="009D00C3">
        <w:rPr>
          <w:rFonts w:ascii="Palatino Linotype" w:hAnsi="Palatino Linotype"/>
          <w:b/>
        </w:rPr>
        <w:t xml:space="preserve"> SUJETO OBLIGADO</w:t>
      </w:r>
      <w:r w:rsidRPr="009D00C3">
        <w:rPr>
          <w:rFonts w:ascii="Palatino Linotype" w:hAnsi="Palatino Linotype"/>
        </w:rPr>
        <w:t xml:space="preserve">, se advierte que fue omiso en realizar una debida tramitación a la solicitud de mérito, pues al obviarse la documentación requerida, no se dio cabal cumplimiento al principio de </w:t>
      </w:r>
      <w:r w:rsidRPr="009D00C3">
        <w:rPr>
          <w:rFonts w:ascii="Palatino Linotype" w:hAnsi="Palatino Linotype"/>
          <w:b/>
        </w:rPr>
        <w:t>exhaustividad</w:t>
      </w:r>
      <w:r w:rsidRPr="009D00C3">
        <w:rPr>
          <w:rFonts w:ascii="Palatino Linotype" w:hAnsi="Palatino Linotype"/>
        </w:rPr>
        <w:t xml:space="preserve">; </w:t>
      </w:r>
      <w:r w:rsidRPr="009D00C3">
        <w:rPr>
          <w:rFonts w:ascii="Palatino Linotype" w:hAnsi="Palatino Linotype" w:cs="Tahoma"/>
          <w:lang w:val="es-MX"/>
        </w:rPr>
        <w:t>sobre el tema</w:t>
      </w:r>
      <w:r w:rsidRPr="009D00C3">
        <w:rPr>
          <w:rFonts w:ascii="Palatino Linotype" w:eastAsia="Calibri" w:hAnsi="Palatino Linotype" w:cs="Tahoma"/>
          <w:lang w:val="es-MX"/>
        </w:rPr>
        <w:t>, e</w:t>
      </w:r>
      <w:r w:rsidRPr="009D00C3">
        <w:rPr>
          <w:rFonts w:ascii="Palatino Linotype" w:hAnsi="Palatino Linotype" w:cs="Tahoma"/>
          <w:lang w:val="es-MX"/>
        </w:rPr>
        <w:t xml:space="preserve">l artículo 1.8, fracción XIII, del Código Administrativo del Estado de México, establece que para que tenga validez, todo acto administrativo deberá resolver todos los puntos propuestos por los interesados. </w:t>
      </w:r>
      <w:r w:rsidRPr="009D00C3">
        <w:rPr>
          <w:rFonts w:ascii="Palatino Linotype" w:eastAsia="Calibri" w:hAnsi="Palatino Linotype" w:cs="Tahoma"/>
          <w:lang w:val="es-MX" w:eastAsia="es-MX"/>
        </w:rPr>
        <w:t>Situación que se robustece, con el Criterio 02/17, del Instituto Nacional de Transparencia, Acceso a la Información y Protección de Datos Personales, el cual establece lo siguiente:</w:t>
      </w:r>
    </w:p>
    <w:p w14:paraId="5E735B36" w14:textId="77777777" w:rsidR="009D00C3" w:rsidRPr="009D00C3" w:rsidRDefault="009D00C3" w:rsidP="009D00C3">
      <w:pPr>
        <w:autoSpaceDE w:val="0"/>
        <w:autoSpaceDN w:val="0"/>
        <w:adjustRightInd w:val="0"/>
        <w:spacing w:line="360" w:lineRule="auto"/>
        <w:jc w:val="both"/>
        <w:rPr>
          <w:rFonts w:ascii="Palatino Linotype" w:eastAsia="Calibri" w:hAnsi="Palatino Linotype" w:cs="Tahoma"/>
          <w:lang w:val="es-MX" w:eastAsia="es-MX"/>
        </w:rPr>
      </w:pPr>
    </w:p>
    <w:p w14:paraId="0A7F1511" w14:textId="77777777" w:rsidR="009D00C3" w:rsidRPr="009D00C3" w:rsidRDefault="009D00C3" w:rsidP="009D00C3">
      <w:pPr>
        <w:ind w:left="567" w:right="567"/>
        <w:jc w:val="both"/>
        <w:rPr>
          <w:rFonts w:ascii="Palatino Linotype" w:eastAsia="Calibri" w:hAnsi="Palatino Linotype" w:cs="Tahoma"/>
          <w:bCs/>
          <w:i/>
          <w:sz w:val="20"/>
          <w:szCs w:val="20"/>
          <w:lang w:val="es-MX"/>
        </w:rPr>
      </w:pPr>
      <w:r w:rsidRPr="009D00C3">
        <w:rPr>
          <w:rFonts w:ascii="Palatino Linotype" w:eastAsia="Calibri" w:hAnsi="Palatino Linotype" w:cs="Tahoma"/>
          <w:b/>
          <w:bCs/>
          <w:i/>
          <w:sz w:val="20"/>
          <w:szCs w:val="20"/>
          <w:lang w:val="es-MX"/>
        </w:rPr>
        <w:lastRenderedPageBreak/>
        <w:t xml:space="preserve">“Congruencia y exhaustividad. Sus alcances para garantizar el derecho de acceso a la información. </w:t>
      </w:r>
      <w:r w:rsidRPr="009D00C3">
        <w:rPr>
          <w:rFonts w:ascii="Palatino Linotype" w:eastAsia="Calibri" w:hAnsi="Palatino Linotype" w:cs="Tahoma"/>
          <w:bCs/>
          <w:i/>
          <w:sz w:val="20"/>
          <w:szCs w:val="20"/>
          <w:lang w:val="es-MX"/>
        </w:rPr>
        <w:t xml:space="preserve">De conformidad con el artículo </w:t>
      </w:r>
      <w:r w:rsidRPr="009D00C3">
        <w:rPr>
          <w:rFonts w:ascii="Palatino Linotype" w:eastAsia="Calibri" w:hAnsi="Palatino Linotype" w:cs="Tahoma"/>
          <w:bCs/>
          <w:i/>
          <w:sz w:val="20"/>
          <w:szCs w:val="20"/>
          <w:lang w:val="es-ES_tradnl"/>
        </w:rPr>
        <w:t>3 de la Ley Federal de Procedimiento Administrativo</w:t>
      </w:r>
      <w:r w:rsidRPr="009D00C3">
        <w:rPr>
          <w:rFonts w:ascii="Palatino Linotype" w:eastAsia="Calibri" w:hAnsi="Palatino Linotype" w:cs="Tahoma"/>
          <w:bCs/>
          <w:i/>
          <w:sz w:val="20"/>
          <w:szCs w:val="20"/>
          <w:lang w:val="es-MX"/>
        </w:rPr>
        <w:t xml:space="preserve">,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9D00C3">
        <w:rPr>
          <w:rFonts w:ascii="Palatino Linotype" w:eastAsia="Calibri" w:hAnsi="Palatino Linotype" w:cs="Tahoma"/>
          <w:b/>
          <w:bCs/>
          <w:i/>
          <w:sz w:val="20"/>
          <w:szCs w:val="20"/>
          <w:lang w:val="es-MX"/>
        </w:rPr>
        <w:t>la exhaustividad significa que dicha respuesta se refiera expresamente a cada uno de los puntos solicitados</w:t>
      </w:r>
      <w:r w:rsidRPr="009D00C3">
        <w:rPr>
          <w:rFonts w:ascii="Palatino Linotype" w:eastAsia="Calibri" w:hAnsi="Palatino Linotype" w:cs="Tahoma"/>
          <w:bCs/>
          <w:i/>
          <w:sz w:val="20"/>
          <w:szCs w:val="20"/>
          <w:lang w:val="es-MX"/>
        </w:rPr>
        <w:t xml:space="preserve">. Por lo anterior, los sujetos obligados cumplirán con los principios de congruencia y exhaustividad, cuando las respuestas que emitan guarden una relación lógica con lo solicitado y </w:t>
      </w:r>
      <w:r w:rsidRPr="009D00C3">
        <w:rPr>
          <w:rFonts w:ascii="Palatino Linotype" w:eastAsia="Calibri" w:hAnsi="Palatino Linotype" w:cs="Tahoma"/>
          <w:b/>
          <w:bCs/>
          <w:i/>
          <w:sz w:val="20"/>
          <w:szCs w:val="20"/>
          <w:lang w:val="es-MX"/>
        </w:rPr>
        <w:t>atiendan de manera puntual y expresa, cada uno de los contenidos de información.”</w:t>
      </w:r>
    </w:p>
    <w:p w14:paraId="4857D69C" w14:textId="77777777" w:rsidR="009D00C3" w:rsidRPr="009D00C3" w:rsidRDefault="009D00C3" w:rsidP="009D00C3">
      <w:pPr>
        <w:autoSpaceDE w:val="0"/>
        <w:autoSpaceDN w:val="0"/>
        <w:adjustRightInd w:val="0"/>
        <w:spacing w:line="360" w:lineRule="auto"/>
        <w:jc w:val="both"/>
        <w:rPr>
          <w:rFonts w:ascii="Palatino Linotype" w:eastAsia="Calibri" w:hAnsi="Palatino Linotype" w:cs="Tahoma"/>
          <w:lang w:val="es-MX" w:eastAsia="es-MX"/>
        </w:rPr>
      </w:pPr>
    </w:p>
    <w:p w14:paraId="6CD109AB" w14:textId="67F8A53D" w:rsidR="009D00C3" w:rsidRDefault="009D00C3" w:rsidP="009D00C3">
      <w:pPr>
        <w:widowControl w:val="0"/>
        <w:autoSpaceDE w:val="0"/>
        <w:autoSpaceDN w:val="0"/>
        <w:adjustRightInd w:val="0"/>
        <w:spacing w:line="360" w:lineRule="auto"/>
        <w:jc w:val="both"/>
        <w:rPr>
          <w:rFonts w:ascii="Palatino Linotype" w:hAnsi="Palatino Linotype" w:cs="Tahoma"/>
          <w:bCs/>
          <w:lang w:val="es-ES_tradnl" w:eastAsia="es-MX"/>
        </w:rPr>
      </w:pPr>
      <w:r w:rsidRPr="009D00C3">
        <w:rPr>
          <w:rFonts w:ascii="Palatino Linotype" w:hAnsi="Palatino Linotype" w:cs="Tahoma"/>
          <w:lang w:val="es-MX" w:eastAsia="es-MX"/>
        </w:rPr>
        <w:t xml:space="preserve">De lo citado, se desprende que </w:t>
      </w:r>
      <w:r w:rsidRPr="009D00C3">
        <w:rPr>
          <w:rFonts w:ascii="Palatino Linotype" w:hAnsi="Palatino Linotype" w:cs="Tahoma"/>
          <w:bCs/>
          <w:lang w:val="es-MX" w:eastAsia="es-MX"/>
        </w:rPr>
        <w:t xml:space="preserve">todo acto administrativo debe apegarse al </w:t>
      </w:r>
      <w:r w:rsidRPr="009D00C3">
        <w:rPr>
          <w:rFonts w:ascii="Palatino Linotype" w:hAnsi="Palatino Linotype" w:cs="Tahoma"/>
          <w:b/>
          <w:bCs/>
          <w:lang w:val="es-MX" w:eastAsia="es-MX"/>
        </w:rPr>
        <w:t>principio de exhaustividad</w:t>
      </w:r>
      <w:r w:rsidRPr="009D00C3">
        <w:rPr>
          <w:rFonts w:ascii="Palatino Linotype" w:hAnsi="Palatino Linotype" w:cs="Tahoma"/>
          <w:bCs/>
          <w:lang w:val="es-MX" w:eastAsia="es-MX"/>
        </w:rPr>
        <w:t xml:space="preserve">, </w:t>
      </w:r>
      <w:r w:rsidRPr="009D00C3">
        <w:rPr>
          <w:rFonts w:ascii="Palatino Linotype" w:hAnsi="Palatino Linotype" w:cs="Tahoma"/>
          <w:bCs/>
          <w:lang w:val="es-ES_tradnl" w:eastAsia="es-MX"/>
        </w:rPr>
        <w:t xml:space="preserve">entendiendo por éste que se pronuncie expresamente </w:t>
      </w:r>
      <w:r w:rsidR="00F52FEF">
        <w:rPr>
          <w:rFonts w:ascii="Palatino Linotype" w:hAnsi="Palatino Linotype" w:cs="Tahoma"/>
          <w:bCs/>
          <w:lang w:val="es-ES_tradnl" w:eastAsia="es-MX"/>
        </w:rPr>
        <w:t>sobre el total de los puntos que integran la solicitud</w:t>
      </w:r>
      <w:r w:rsidRPr="009D00C3">
        <w:rPr>
          <w:rFonts w:ascii="Palatino Linotype" w:hAnsi="Palatino Linotype" w:cs="Tahoma"/>
          <w:bCs/>
          <w:lang w:val="es-ES_tradnl" w:eastAsia="es-MX"/>
        </w:rPr>
        <w:t xml:space="preserve">, lo cual en materia de transparencia y acceso a la información pública se traduce en que, las respuestas que emitan los sujetos obligados, </w:t>
      </w:r>
      <w:r w:rsidRPr="009D00C3">
        <w:rPr>
          <w:rFonts w:ascii="Palatino Linotype" w:hAnsi="Palatino Linotype" w:cs="Tahoma"/>
          <w:b/>
          <w:bCs/>
          <w:lang w:val="es-ES_tradnl" w:eastAsia="es-MX"/>
        </w:rPr>
        <w:t>deben guardar una relación lógica con lo solicitado, analizando y decidiendo –de manera íntegra- sobre todos los puntos requeridos, a fin de satisfacer la solicitud correspondiente</w:t>
      </w:r>
      <w:r w:rsidRPr="009D00C3">
        <w:rPr>
          <w:rFonts w:ascii="Palatino Linotype" w:hAnsi="Palatino Linotype" w:cs="Tahoma"/>
          <w:bCs/>
          <w:lang w:val="es-ES_tradnl" w:eastAsia="es-MX"/>
        </w:rPr>
        <w:t>.</w:t>
      </w:r>
    </w:p>
    <w:p w14:paraId="3B53465B" w14:textId="77777777" w:rsidR="009A7E37" w:rsidRPr="009D00C3" w:rsidRDefault="009A7E37" w:rsidP="009D00C3">
      <w:pPr>
        <w:widowControl w:val="0"/>
        <w:autoSpaceDE w:val="0"/>
        <w:autoSpaceDN w:val="0"/>
        <w:adjustRightInd w:val="0"/>
        <w:spacing w:line="360" w:lineRule="auto"/>
        <w:jc w:val="both"/>
        <w:rPr>
          <w:rFonts w:ascii="Palatino Linotype" w:hAnsi="Palatino Linotype" w:cs="Tahoma"/>
          <w:bCs/>
          <w:lang w:val="es-ES_tradnl" w:eastAsia="es-MX"/>
        </w:rPr>
      </w:pPr>
    </w:p>
    <w:p w14:paraId="6CD931A6" w14:textId="260B4664" w:rsidR="009A7E37" w:rsidRPr="009A7E37" w:rsidRDefault="005701B8" w:rsidP="009A7E37">
      <w:pPr>
        <w:spacing w:line="360" w:lineRule="auto"/>
        <w:jc w:val="both"/>
        <w:rPr>
          <w:rFonts w:ascii="Palatino Linotype" w:hAnsi="Palatino Linotype" w:cs="Tahoma"/>
          <w:iCs/>
          <w:lang w:val="es-MX"/>
        </w:rPr>
      </w:pPr>
      <w:r w:rsidRPr="008D7B7F">
        <w:rPr>
          <w:rFonts w:ascii="Palatino Linotype" w:hAnsi="Palatino Linotype" w:cs="Tahoma"/>
          <w:iCs/>
          <w:lang w:val="es-MX"/>
        </w:rPr>
        <w:t xml:space="preserve">Aunado a lo anterior, se menciona que la </w:t>
      </w:r>
      <w:r w:rsidRPr="009A7E37">
        <w:rPr>
          <w:rFonts w:ascii="Palatino Linotype" w:hAnsi="Palatino Linotype" w:cs="Tahoma"/>
          <w:iCs/>
          <w:lang w:val="es-MX"/>
        </w:rPr>
        <w:t>Comisión Federal de Electricidad</w:t>
      </w:r>
      <w:r w:rsidRPr="008D7B7F">
        <w:rPr>
          <w:rFonts w:ascii="Palatino Linotype" w:hAnsi="Palatino Linotype" w:cs="Tahoma"/>
          <w:iCs/>
          <w:lang w:val="es-MX"/>
        </w:rPr>
        <w:t xml:space="preserve">, expide recibos de pago por concepto de </w:t>
      </w:r>
      <w:r w:rsidR="009A7E37" w:rsidRPr="009A7E37">
        <w:rPr>
          <w:rFonts w:ascii="Palatino Linotype" w:hAnsi="Palatino Linotype" w:cs="Tahoma"/>
          <w:iCs/>
          <w:lang w:val="es-MX"/>
        </w:rPr>
        <w:t xml:space="preserve"> </w:t>
      </w:r>
      <w:r w:rsidR="00E454B3" w:rsidRPr="008D7B7F">
        <w:rPr>
          <w:rFonts w:ascii="Palatino Linotype" w:hAnsi="Palatino Linotype" w:cs="Tahoma"/>
          <w:iCs/>
          <w:lang w:val="es-MX"/>
        </w:rPr>
        <w:t>energía eléctrica suministrada</w:t>
      </w:r>
      <w:r w:rsidR="009A7E37" w:rsidRPr="009A7E37">
        <w:rPr>
          <w:rFonts w:ascii="Palatino Linotype" w:hAnsi="Palatino Linotype" w:cs="Tahoma"/>
          <w:iCs/>
          <w:lang w:val="es-MX"/>
        </w:rPr>
        <w:t xml:space="preserve"> por la serían los recibos expedidos por dicho ente, así como, su comprobante del pago realizado por el </w:t>
      </w:r>
      <w:r w:rsidR="00806A7D" w:rsidRPr="008D7B7F">
        <w:rPr>
          <w:rFonts w:ascii="Palatino Linotype" w:hAnsi="Palatino Linotype" w:cs="Tahoma"/>
          <w:iCs/>
          <w:lang w:val="es-MX"/>
        </w:rPr>
        <w:t>Organismo</w:t>
      </w:r>
      <w:r w:rsidR="009A7E37" w:rsidRPr="009A7E37">
        <w:rPr>
          <w:rFonts w:ascii="Palatino Linotype" w:hAnsi="Palatino Linotype" w:cs="Tahoma"/>
          <w:iCs/>
          <w:lang w:val="es-MX"/>
        </w:rPr>
        <w:t xml:space="preserve">, por ello, se trae a colación un ejemplo del primero: </w:t>
      </w:r>
    </w:p>
    <w:p w14:paraId="635299CD" w14:textId="77777777" w:rsidR="009A7E37" w:rsidRPr="009A7E37" w:rsidRDefault="009A7E37" w:rsidP="009A7E37">
      <w:pPr>
        <w:spacing w:line="360" w:lineRule="auto"/>
        <w:jc w:val="both"/>
        <w:rPr>
          <w:rFonts w:ascii="Palatino Linotype" w:hAnsi="Palatino Linotype" w:cs="Tahoma"/>
          <w:iCs/>
          <w:sz w:val="22"/>
          <w:szCs w:val="22"/>
          <w:lang w:val="es-MX"/>
        </w:rPr>
      </w:pPr>
    </w:p>
    <w:p w14:paraId="72E327E9" w14:textId="77777777" w:rsidR="009A7E37" w:rsidRPr="009A7E37" w:rsidRDefault="009A7E37" w:rsidP="009A7E37">
      <w:pPr>
        <w:spacing w:line="360" w:lineRule="auto"/>
        <w:jc w:val="center"/>
        <w:rPr>
          <w:rFonts w:ascii="Palatino Linotype" w:hAnsi="Palatino Linotype" w:cs="Tahoma"/>
          <w:iCs/>
          <w:sz w:val="22"/>
          <w:szCs w:val="22"/>
          <w:lang w:val="es-MX"/>
        </w:rPr>
      </w:pPr>
      <w:r w:rsidRPr="009A7E37">
        <w:rPr>
          <w:rFonts w:ascii="Palatino Linotype" w:hAnsi="Palatino Linotype" w:cs="Tahoma"/>
          <w:iCs/>
          <w:noProof/>
          <w:sz w:val="22"/>
          <w:szCs w:val="22"/>
          <w:lang w:val="es-MX" w:eastAsia="es-MX"/>
        </w:rPr>
        <w:lastRenderedPageBreak/>
        <w:drawing>
          <wp:inline distT="0" distB="0" distL="0" distR="0" wp14:anchorId="12B56850" wp14:editId="546F7B03">
            <wp:extent cx="4078605" cy="1713230"/>
            <wp:effectExtent l="0" t="0" r="0" b="12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78605" cy="1713230"/>
                    </a:xfrm>
                    <a:prstGeom prst="rect">
                      <a:avLst/>
                    </a:prstGeom>
                    <a:noFill/>
                  </pic:spPr>
                </pic:pic>
              </a:graphicData>
            </a:graphic>
          </wp:inline>
        </w:drawing>
      </w:r>
    </w:p>
    <w:p w14:paraId="0F7EF8B4" w14:textId="77777777" w:rsidR="009A7E37" w:rsidRPr="009A7E37" w:rsidRDefault="009A7E37" w:rsidP="009A7E37">
      <w:pPr>
        <w:spacing w:line="360" w:lineRule="auto"/>
        <w:jc w:val="both"/>
        <w:rPr>
          <w:rFonts w:ascii="Palatino Linotype" w:hAnsi="Palatino Linotype" w:cs="Tahoma"/>
          <w:iCs/>
          <w:sz w:val="22"/>
          <w:szCs w:val="22"/>
          <w:lang w:val="es-MX"/>
        </w:rPr>
      </w:pPr>
    </w:p>
    <w:p w14:paraId="1517C9F7" w14:textId="77777777" w:rsidR="009A7E37" w:rsidRPr="009A7E37" w:rsidRDefault="009A7E37" w:rsidP="009A7E37">
      <w:pPr>
        <w:spacing w:line="360" w:lineRule="auto"/>
        <w:jc w:val="both"/>
        <w:rPr>
          <w:rFonts w:ascii="Palatino Linotype" w:hAnsi="Palatino Linotype" w:cs="Tahoma"/>
          <w:iCs/>
          <w:lang w:val="es-MX"/>
        </w:rPr>
      </w:pPr>
      <w:r w:rsidRPr="009A7E37">
        <w:rPr>
          <w:rFonts w:ascii="Palatino Linotype" w:hAnsi="Palatino Linotype" w:cs="Tahoma"/>
          <w:iCs/>
          <w:lang w:val="es-MX"/>
        </w:rPr>
        <w:t xml:space="preserve">Además, se logra observar que entre sus datos principales se encuentra la ubicación del suministro, número de servicio, tarifa y medición, </w:t>
      </w:r>
      <w:r w:rsidRPr="009A7E37">
        <w:rPr>
          <w:rFonts w:ascii="Palatino Linotype" w:hAnsi="Palatino Linotype" w:cs="Tahoma"/>
          <w:b/>
          <w:bCs/>
          <w:iCs/>
          <w:lang w:val="es-MX"/>
        </w:rPr>
        <w:t xml:space="preserve">total a pagar </w:t>
      </w:r>
      <w:r w:rsidRPr="009A7E37">
        <w:rPr>
          <w:rFonts w:ascii="Palatino Linotype" w:hAnsi="Palatino Linotype" w:cs="Tahoma"/>
          <w:iCs/>
          <w:lang w:val="es-MX"/>
        </w:rPr>
        <w:t xml:space="preserve">y período facturado, y límite de pago, como se observa a continuación: </w:t>
      </w:r>
    </w:p>
    <w:p w14:paraId="4CABC187" w14:textId="77777777" w:rsidR="009A7E37" w:rsidRPr="009A7E37" w:rsidRDefault="009A7E37" w:rsidP="009A7E37">
      <w:pPr>
        <w:spacing w:line="360" w:lineRule="auto"/>
        <w:jc w:val="both"/>
        <w:rPr>
          <w:rFonts w:ascii="Palatino Linotype" w:hAnsi="Palatino Linotype" w:cs="Tahoma"/>
          <w:iCs/>
          <w:sz w:val="22"/>
          <w:szCs w:val="22"/>
          <w:lang w:val="es-MX"/>
        </w:rPr>
      </w:pPr>
    </w:p>
    <w:p w14:paraId="742C25BE" w14:textId="77777777" w:rsidR="009A7E37" w:rsidRPr="009A7E37" w:rsidRDefault="009A7E37" w:rsidP="009A7E37">
      <w:pPr>
        <w:spacing w:line="360" w:lineRule="auto"/>
        <w:ind w:left="567"/>
        <w:jc w:val="both"/>
        <w:rPr>
          <w:rFonts w:ascii="Palatino Linotype" w:hAnsi="Palatino Linotype" w:cs="Tahoma"/>
          <w:iCs/>
          <w:sz w:val="22"/>
          <w:szCs w:val="22"/>
          <w:lang w:val="es-MX"/>
        </w:rPr>
      </w:pPr>
      <w:r w:rsidRPr="009A7E37">
        <w:rPr>
          <w:rFonts w:ascii="Palatino Linotype" w:hAnsi="Palatino Linotype" w:cs="Tahoma"/>
          <w:iCs/>
          <w:noProof/>
          <w:sz w:val="22"/>
          <w:szCs w:val="22"/>
          <w:lang w:val="es-MX" w:eastAsia="es-MX"/>
        </w:rPr>
        <w:drawing>
          <wp:inline distT="0" distB="0" distL="0" distR="0" wp14:anchorId="53CEF389" wp14:editId="4561B99E">
            <wp:extent cx="5005070" cy="1676400"/>
            <wp:effectExtent l="0" t="0" r="508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5070" cy="1676400"/>
                    </a:xfrm>
                    <a:prstGeom prst="rect">
                      <a:avLst/>
                    </a:prstGeom>
                    <a:noFill/>
                  </pic:spPr>
                </pic:pic>
              </a:graphicData>
            </a:graphic>
          </wp:inline>
        </w:drawing>
      </w:r>
    </w:p>
    <w:p w14:paraId="5CB0D1B9" w14:textId="77777777" w:rsidR="009A7E37" w:rsidRPr="009A7E37" w:rsidRDefault="009A7E37" w:rsidP="009A7E37">
      <w:pPr>
        <w:spacing w:line="360" w:lineRule="auto"/>
        <w:ind w:left="567"/>
        <w:jc w:val="both"/>
        <w:rPr>
          <w:rFonts w:ascii="Palatino Linotype" w:hAnsi="Palatino Linotype" w:cs="Tahoma"/>
          <w:iCs/>
          <w:sz w:val="22"/>
          <w:szCs w:val="22"/>
          <w:lang w:val="es-MX"/>
        </w:rPr>
      </w:pPr>
      <w:r w:rsidRPr="009A7E37">
        <w:rPr>
          <w:rFonts w:eastAsia="Calibri" w:cs="Tahoma"/>
          <w:bCs/>
          <w:noProof/>
          <w:sz w:val="20"/>
          <w:szCs w:val="20"/>
          <w:lang w:val="es-MX" w:eastAsia="es-MX"/>
        </w:rPr>
        <w:lastRenderedPageBreak/>
        <mc:AlternateContent>
          <mc:Choice Requires="wps">
            <w:drawing>
              <wp:anchor distT="0" distB="0" distL="114300" distR="114300" simplePos="0" relativeHeight="251686912" behindDoc="0" locked="0" layoutInCell="1" allowOverlap="1" wp14:anchorId="511ABCFC" wp14:editId="09D1008B">
                <wp:simplePos x="0" y="0"/>
                <wp:positionH relativeFrom="column">
                  <wp:posOffset>429895</wp:posOffset>
                </wp:positionH>
                <wp:positionV relativeFrom="paragraph">
                  <wp:posOffset>1330325</wp:posOffset>
                </wp:positionV>
                <wp:extent cx="2247900" cy="504825"/>
                <wp:effectExtent l="19050" t="19050" r="19050" b="28575"/>
                <wp:wrapNone/>
                <wp:docPr id="37" name="Rectángulo 37"/>
                <wp:cNvGraphicFramePr/>
                <a:graphic xmlns:a="http://schemas.openxmlformats.org/drawingml/2006/main">
                  <a:graphicData uri="http://schemas.microsoft.com/office/word/2010/wordprocessingShape">
                    <wps:wsp>
                      <wps:cNvSpPr/>
                      <wps:spPr>
                        <a:xfrm>
                          <a:off x="0" y="0"/>
                          <a:ext cx="2247900" cy="50482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rect w14:anchorId="2311086D" id="Rectángulo 37" o:spid="_x0000_s1026" style="position:absolute;margin-left:33.85pt;margin-top:104.75pt;width:177pt;height:39.7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" filled="f" strokecolor="windowText" strokeweight="2.25pt"/>
            </w:pict>
          </mc:Fallback>
        </mc:AlternateContent>
      </w:r>
      <w:r w:rsidRPr="009A7E37">
        <w:rPr>
          <w:rFonts w:eastAsia="Calibri" w:cs="Tahoma"/>
          <w:bCs/>
          <w:noProof/>
          <w:sz w:val="20"/>
          <w:szCs w:val="20"/>
          <w:lang w:val="es-MX" w:eastAsia="es-MX"/>
        </w:rPr>
        <w:drawing>
          <wp:inline distT="0" distB="0" distL="0" distR="0" wp14:anchorId="320E84AD" wp14:editId="7204B2D1">
            <wp:extent cx="5100915" cy="2377440"/>
            <wp:effectExtent l="0" t="0" r="5080" b="3810"/>
            <wp:docPr id="40" name="Imagen 40"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n 40" descr="Interfaz de usuario gráfica, Texto, Aplicación, Correo electrónico&#10;&#10;Descripción generada automáticamente"/>
                    <pic:cNvPicPr/>
                  </pic:nvPicPr>
                  <pic:blipFill rotWithShape="1">
                    <a:blip r:embed="rId12"/>
                    <a:srcRect t="45924"/>
                    <a:stretch/>
                  </pic:blipFill>
                  <pic:spPr bwMode="auto">
                    <a:xfrm>
                      <a:off x="0" y="0"/>
                      <a:ext cx="5101618" cy="2377768"/>
                    </a:xfrm>
                    <a:prstGeom prst="rect">
                      <a:avLst/>
                    </a:prstGeom>
                    <a:ln>
                      <a:noFill/>
                    </a:ln>
                    <a:extLst>
                      <a:ext uri="{53640926-AAD7-44D8-BBD7-CCE9431645EC}">
                        <a14:shadowObscured xmlns:a14="http://schemas.microsoft.com/office/drawing/2010/main"/>
                      </a:ext>
                    </a:extLst>
                  </pic:spPr>
                </pic:pic>
              </a:graphicData>
            </a:graphic>
          </wp:inline>
        </w:drawing>
      </w:r>
    </w:p>
    <w:p w14:paraId="066A8F09" w14:textId="77777777" w:rsidR="009A7E37" w:rsidRPr="009A7E37" w:rsidRDefault="009A7E37" w:rsidP="009A7E37">
      <w:pPr>
        <w:spacing w:line="360" w:lineRule="auto"/>
        <w:jc w:val="both"/>
        <w:rPr>
          <w:rFonts w:ascii="Palatino Linotype" w:hAnsi="Palatino Linotype" w:cs="Tahoma"/>
          <w:iCs/>
          <w:sz w:val="22"/>
          <w:szCs w:val="22"/>
          <w:lang w:val="es-MX"/>
        </w:rPr>
      </w:pPr>
    </w:p>
    <w:p w14:paraId="6CE4154C" w14:textId="17669E2C" w:rsidR="00BA56CA" w:rsidRDefault="009A7E37" w:rsidP="009A7E37">
      <w:pPr>
        <w:spacing w:line="360" w:lineRule="auto"/>
        <w:jc w:val="both"/>
        <w:rPr>
          <w:rFonts w:ascii="Palatino Linotype" w:hAnsi="Palatino Linotype"/>
        </w:rPr>
      </w:pPr>
      <w:r w:rsidRPr="009A7E37">
        <w:rPr>
          <w:rFonts w:ascii="Palatino Linotype" w:hAnsi="Palatino Linotype" w:cs="Tahoma"/>
          <w:iCs/>
          <w:sz w:val="22"/>
          <w:szCs w:val="22"/>
          <w:lang w:val="es-MX"/>
        </w:rPr>
        <w:t xml:space="preserve">Es por lo anterior, se considera procedente ordenar la entrega, previa búsqueda exhaustiva y razonable, </w:t>
      </w:r>
      <w:r w:rsidR="00A42D61">
        <w:rPr>
          <w:rFonts w:ascii="Palatino Linotype" w:hAnsi="Palatino Linotype" w:cs="Tahoma"/>
          <w:iCs/>
          <w:sz w:val="22"/>
          <w:szCs w:val="22"/>
          <w:lang w:val="es-MX"/>
        </w:rPr>
        <w:t>los documentos donde consten los costos</w:t>
      </w:r>
      <w:r w:rsidRPr="009A7E37">
        <w:rPr>
          <w:rFonts w:ascii="Palatino Linotype" w:hAnsi="Palatino Linotype" w:cs="Tahoma"/>
          <w:iCs/>
          <w:sz w:val="22"/>
          <w:szCs w:val="22"/>
          <w:lang w:val="es-MX"/>
        </w:rPr>
        <w:t xml:space="preserve"> </w:t>
      </w:r>
      <w:r w:rsidR="00CF1A4E">
        <w:rPr>
          <w:rFonts w:ascii="Palatino Linotype" w:hAnsi="Palatino Linotype" w:cs="Tahoma"/>
          <w:iCs/>
          <w:sz w:val="22"/>
          <w:szCs w:val="22"/>
          <w:lang w:val="es-MX"/>
        </w:rPr>
        <w:t xml:space="preserve">totales </w:t>
      </w:r>
      <w:r w:rsidRPr="009A7E37">
        <w:rPr>
          <w:rFonts w:ascii="Palatino Linotype" w:hAnsi="Palatino Linotype" w:cs="Tahoma"/>
          <w:iCs/>
          <w:sz w:val="22"/>
          <w:szCs w:val="22"/>
          <w:lang w:val="es-MX"/>
        </w:rPr>
        <w:t xml:space="preserve">por consumo de energía </w:t>
      </w:r>
      <w:r w:rsidR="00A42D61">
        <w:rPr>
          <w:rFonts w:ascii="Palatino Linotype" w:hAnsi="Palatino Linotype" w:cs="Tahoma"/>
          <w:iCs/>
          <w:sz w:val="22"/>
          <w:szCs w:val="22"/>
          <w:lang w:val="es-MX"/>
        </w:rPr>
        <w:t xml:space="preserve">eléctrica de los años </w:t>
      </w:r>
      <w:r w:rsidR="00185414">
        <w:rPr>
          <w:rFonts w:ascii="Palatino Linotype" w:hAnsi="Palatino Linotype" w:cs="Tahoma"/>
          <w:iCs/>
          <w:sz w:val="22"/>
          <w:szCs w:val="22"/>
          <w:lang w:val="es-MX"/>
        </w:rPr>
        <w:t>2021, 2022, 2023 y 2024.</w:t>
      </w:r>
    </w:p>
    <w:p w14:paraId="6BE1831A" w14:textId="77777777" w:rsidR="00A42D61" w:rsidRDefault="00A42D61" w:rsidP="00C87378">
      <w:pPr>
        <w:spacing w:line="360" w:lineRule="auto"/>
        <w:jc w:val="both"/>
        <w:rPr>
          <w:rFonts w:ascii="Palatino Linotype" w:hAnsi="Palatino Linotype"/>
        </w:rPr>
      </w:pPr>
    </w:p>
    <w:p w14:paraId="1E19B141" w14:textId="5385C0B1" w:rsidR="00BA56CA" w:rsidRDefault="00A42D61" w:rsidP="00C87378">
      <w:pPr>
        <w:spacing w:line="360" w:lineRule="auto"/>
        <w:jc w:val="both"/>
        <w:rPr>
          <w:rFonts w:ascii="Palatino Linotype" w:hAnsi="Palatino Linotype"/>
        </w:rPr>
      </w:pPr>
      <w:r w:rsidRPr="00A42D61">
        <w:rPr>
          <w:rFonts w:ascii="Palatino Linotype" w:hAnsi="Palatino Linotype"/>
        </w:rPr>
        <w:t>Finalmente, no pasa desapercibido mencionar que la información solicitada, podría contener datos confidenciales: por lo que, en su caso deberá entregar versión pública en la que se eliminen estos, junto con el acuerdo del Comité de Transparencia, en el que funde y motive la eliminación de la información, de conformidad con lo establecido en los artículos 49, fracciones II y VIII, 128, 132, fracción I, 138, 143 y 149 de la Ley de Transparencia y Acceso a la Información Pública de Estado de México y Municipios.</w:t>
      </w:r>
    </w:p>
    <w:p w14:paraId="0E1533D9" w14:textId="77777777" w:rsidR="00930B3B" w:rsidRDefault="00930B3B" w:rsidP="00930B3B">
      <w:pPr>
        <w:rPr>
          <w:rFonts w:ascii="Palatino Linotype" w:eastAsia="Calibri" w:hAnsi="Palatino Linotype" w:cs="Calibri"/>
          <w:b/>
          <w:i/>
          <w:sz w:val="28"/>
          <w:szCs w:val="22"/>
          <w:lang w:val="es-ES_tradnl" w:eastAsia="es-MX"/>
        </w:rPr>
      </w:pPr>
    </w:p>
    <w:p w14:paraId="73D2A6EC" w14:textId="250D662B" w:rsidR="00930B3B" w:rsidRPr="00386A5B" w:rsidRDefault="00930B3B" w:rsidP="00930B3B">
      <w:pPr>
        <w:rPr>
          <w:rFonts w:ascii="Palatino Linotype" w:eastAsia="Calibri" w:hAnsi="Palatino Linotype" w:cs="Calibri"/>
          <w:b/>
          <w:i/>
          <w:sz w:val="28"/>
          <w:szCs w:val="22"/>
          <w:lang w:val="es-ES_tradnl" w:eastAsia="es-MX"/>
        </w:rPr>
      </w:pPr>
      <w:r w:rsidRPr="00386A5B">
        <w:rPr>
          <w:rFonts w:ascii="Palatino Linotype" w:eastAsia="Calibri" w:hAnsi="Palatino Linotype" w:cs="Calibri"/>
          <w:b/>
          <w:i/>
          <w:sz w:val="28"/>
          <w:szCs w:val="22"/>
          <w:lang w:val="es-ES_tradnl" w:eastAsia="es-MX"/>
        </w:rPr>
        <w:t>Versión Pública General</w:t>
      </w:r>
    </w:p>
    <w:p w14:paraId="735A9D2D" w14:textId="77777777" w:rsidR="00930B3B" w:rsidRDefault="00930B3B" w:rsidP="00930B3B">
      <w:pPr>
        <w:tabs>
          <w:tab w:val="left" w:pos="7938"/>
        </w:tabs>
        <w:spacing w:before="240" w:after="240" w:line="360" w:lineRule="auto"/>
        <w:jc w:val="both"/>
        <w:rPr>
          <w:rFonts w:ascii="Palatino Linotype" w:eastAsia="Arial Unicode MS" w:hAnsi="Palatino Linotype" w:cs="Arial"/>
        </w:rPr>
      </w:pPr>
      <w:r>
        <w:rPr>
          <w:rFonts w:ascii="Palatino Linotype" w:eastAsia="Arial Unicode MS" w:hAnsi="Palatino Linotype" w:cs="Arial"/>
        </w:rPr>
        <w:lastRenderedPageBreak/>
        <w:t>N</w:t>
      </w:r>
      <w:r w:rsidRPr="001571EB">
        <w:rPr>
          <w:rFonts w:ascii="Palatino Linotype" w:eastAsia="Arial Unicode MS" w:hAnsi="Palatino Linotype" w:cs="Arial"/>
        </w:rPr>
        <w:t>o pasa desapercibido que la información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tal excepción a la publicidad, atiende a la coexistencia de datos públicos e información que tenga el carácter de confidencial (datos personales) o reservada, por lo que debe privilegiarse el acceso a la información bajo el principio de máxima divulgación, empero sin violar el derecho a la protección de datos personales, cuyo fundamento legal aplicable se encuentra inmerso en los numerales de la Ley de la materia, que a la letra esgrimen:</w:t>
      </w:r>
    </w:p>
    <w:p w14:paraId="764CB869" w14:textId="77777777" w:rsidR="00930B3B" w:rsidRPr="00E60DEF" w:rsidRDefault="00930B3B" w:rsidP="00930B3B">
      <w:pPr>
        <w:spacing w:before="240" w:line="360" w:lineRule="auto"/>
        <w:ind w:left="851" w:right="851"/>
        <w:jc w:val="both"/>
        <w:rPr>
          <w:rFonts w:ascii="Palatino Linotype" w:hAnsi="Palatino Linotype" w:cs="Arial"/>
          <w:i/>
        </w:rPr>
      </w:pPr>
      <w:r w:rsidRPr="00E60DEF">
        <w:rPr>
          <w:rFonts w:ascii="Palatino Linotype" w:hAnsi="Palatino Linotype" w:cs="Arial"/>
          <w:i/>
        </w:rPr>
        <w:t>“Artículo 3. Para los efectos de la presente Ley se entenderá por:</w:t>
      </w:r>
    </w:p>
    <w:p w14:paraId="784B9817" w14:textId="77777777" w:rsidR="00930B3B" w:rsidRPr="00E60DEF" w:rsidRDefault="00930B3B" w:rsidP="00930B3B">
      <w:pPr>
        <w:spacing w:before="240" w:line="360" w:lineRule="auto"/>
        <w:ind w:left="851" w:right="851"/>
        <w:jc w:val="both"/>
        <w:rPr>
          <w:rFonts w:ascii="Palatino Linotype" w:hAnsi="Palatino Linotype" w:cs="Arial"/>
          <w:i/>
        </w:rPr>
      </w:pPr>
      <w:r>
        <w:rPr>
          <w:rFonts w:ascii="Palatino Linotype" w:hAnsi="Palatino Linotype" w:cs="Arial"/>
          <w:i/>
        </w:rPr>
        <w:t>(</w:t>
      </w:r>
      <w:r w:rsidRPr="00E60DEF">
        <w:rPr>
          <w:rFonts w:ascii="Palatino Linotype" w:hAnsi="Palatino Linotype" w:cs="Arial"/>
          <w:i/>
        </w:rPr>
        <w:t>…</w:t>
      </w:r>
      <w:r>
        <w:rPr>
          <w:rFonts w:ascii="Palatino Linotype" w:hAnsi="Palatino Linotype" w:cs="Arial"/>
          <w:i/>
        </w:rPr>
        <w:t>)</w:t>
      </w:r>
    </w:p>
    <w:p w14:paraId="0716A59E" w14:textId="77777777" w:rsidR="00930B3B" w:rsidRPr="001571EB" w:rsidRDefault="00930B3B" w:rsidP="00930B3B">
      <w:pPr>
        <w:spacing w:before="240" w:line="360" w:lineRule="auto"/>
        <w:ind w:left="851" w:right="851"/>
        <w:jc w:val="both"/>
        <w:rPr>
          <w:rFonts w:ascii="Palatino Linotype" w:hAnsi="Palatino Linotype" w:cs="Arial"/>
          <w:b/>
          <w:i/>
        </w:rPr>
      </w:pPr>
      <w:r w:rsidRPr="00E60DEF">
        <w:rPr>
          <w:rFonts w:ascii="Palatino Linotype" w:hAnsi="Palatino Linotype" w:cs="Arial"/>
          <w:b/>
          <w:i/>
          <w:u w:val="single"/>
        </w:rPr>
        <w:t>IX. Datos personales:</w:t>
      </w:r>
      <w:r w:rsidRPr="001571EB">
        <w:rPr>
          <w:rFonts w:ascii="Palatino Linotype" w:hAnsi="Palatino Linotype" w:cs="Arial"/>
          <w:b/>
          <w:i/>
        </w:rPr>
        <w:t xml:space="preserve"> </w:t>
      </w:r>
      <w:r w:rsidRPr="00E60DEF">
        <w:rPr>
          <w:rFonts w:ascii="Palatino Linotype" w:hAnsi="Palatino Linotype" w:cs="Arial"/>
          <w:i/>
        </w:rPr>
        <w:t>La información concerniente a una persona, identificada o identificable según lo dispuesto por la Ley de Protección de Datos Personales del Estado de México;</w:t>
      </w:r>
    </w:p>
    <w:p w14:paraId="0ADC4A3C" w14:textId="77777777" w:rsidR="00930B3B" w:rsidRPr="001571EB" w:rsidRDefault="00930B3B" w:rsidP="00930B3B">
      <w:pPr>
        <w:spacing w:before="240" w:line="360" w:lineRule="auto"/>
        <w:ind w:left="851" w:right="851"/>
        <w:jc w:val="both"/>
        <w:rPr>
          <w:rFonts w:ascii="Palatino Linotype" w:hAnsi="Palatino Linotype" w:cs="Arial"/>
          <w:b/>
          <w:i/>
        </w:rPr>
      </w:pPr>
      <w:r>
        <w:rPr>
          <w:rFonts w:ascii="Palatino Linotype" w:hAnsi="Palatino Linotype" w:cs="Arial"/>
          <w:b/>
          <w:i/>
        </w:rPr>
        <w:t>(</w:t>
      </w:r>
      <w:r w:rsidRPr="001571EB">
        <w:rPr>
          <w:rFonts w:ascii="Palatino Linotype" w:hAnsi="Palatino Linotype" w:cs="Arial"/>
          <w:b/>
          <w:i/>
        </w:rPr>
        <w:t>…</w:t>
      </w:r>
      <w:r>
        <w:rPr>
          <w:rFonts w:ascii="Palatino Linotype" w:hAnsi="Palatino Linotype" w:cs="Arial"/>
          <w:b/>
          <w:i/>
        </w:rPr>
        <w:t>)</w:t>
      </w:r>
    </w:p>
    <w:p w14:paraId="40189D3D" w14:textId="77777777" w:rsidR="00930B3B" w:rsidRPr="001571EB" w:rsidRDefault="00930B3B" w:rsidP="00930B3B">
      <w:pPr>
        <w:spacing w:before="240" w:line="360" w:lineRule="auto"/>
        <w:ind w:left="851" w:right="851"/>
        <w:jc w:val="both"/>
        <w:rPr>
          <w:rFonts w:ascii="Palatino Linotype" w:hAnsi="Palatino Linotype" w:cs="Arial"/>
          <w:b/>
          <w:i/>
        </w:rPr>
      </w:pPr>
      <w:r w:rsidRPr="00E60DEF">
        <w:rPr>
          <w:rFonts w:ascii="Palatino Linotype" w:hAnsi="Palatino Linotype" w:cs="Arial"/>
          <w:b/>
          <w:i/>
          <w:u w:val="single"/>
        </w:rPr>
        <w:t>XLV. Versión pública:</w:t>
      </w:r>
      <w:r w:rsidRPr="001571EB">
        <w:rPr>
          <w:rFonts w:ascii="Palatino Linotype" w:hAnsi="Palatino Linotype" w:cs="Arial"/>
          <w:b/>
          <w:i/>
        </w:rPr>
        <w:t xml:space="preserve"> </w:t>
      </w:r>
      <w:r w:rsidRPr="00E60DEF">
        <w:rPr>
          <w:rFonts w:ascii="Palatino Linotype" w:hAnsi="Palatino Linotype" w:cs="Arial"/>
          <w:i/>
        </w:rPr>
        <w:t>Documento en el que se elimine, suprime o borra la información clasificada como reservada o confidencial para permitir su acceso.</w:t>
      </w:r>
    </w:p>
    <w:p w14:paraId="0B5504E8" w14:textId="77777777" w:rsidR="00930B3B" w:rsidRPr="001571EB" w:rsidRDefault="00930B3B" w:rsidP="00930B3B">
      <w:pPr>
        <w:spacing w:before="240" w:line="360" w:lineRule="auto"/>
        <w:ind w:left="851" w:right="851"/>
        <w:jc w:val="both"/>
        <w:rPr>
          <w:rFonts w:ascii="Palatino Linotype" w:hAnsi="Palatino Linotype" w:cs="Arial"/>
          <w:b/>
          <w:i/>
        </w:rPr>
      </w:pPr>
      <w:r w:rsidRPr="001571EB">
        <w:rPr>
          <w:rFonts w:ascii="Palatino Linotype" w:hAnsi="Palatino Linotype" w:cs="Arial"/>
          <w:i/>
        </w:rPr>
        <w:t xml:space="preserve">Artículo 122. </w:t>
      </w:r>
      <w:r w:rsidRPr="00E60DEF">
        <w:rPr>
          <w:rFonts w:ascii="Palatino Linotype" w:hAnsi="Palatino Linotype" w:cs="Arial"/>
          <w:b/>
          <w:i/>
          <w:u w:val="single"/>
        </w:rPr>
        <w:t xml:space="preserve">La clasificación es el proceso mediante el cual el sujeto obligado determina que la información en su poder actualiza alguno </w:t>
      </w:r>
      <w:r w:rsidRPr="00E60DEF">
        <w:rPr>
          <w:rFonts w:ascii="Palatino Linotype" w:hAnsi="Palatino Linotype" w:cs="Arial"/>
          <w:b/>
          <w:i/>
          <w:u w:val="single"/>
        </w:rPr>
        <w:lastRenderedPageBreak/>
        <w:t>de los supuestos de reserva o confidencialidad, de conformidad con lo dispuesto en el presente título.</w:t>
      </w:r>
    </w:p>
    <w:p w14:paraId="57A9E04B" w14:textId="77777777" w:rsidR="00930B3B" w:rsidRPr="001571EB" w:rsidRDefault="00930B3B" w:rsidP="00930B3B">
      <w:pPr>
        <w:spacing w:before="240" w:line="360" w:lineRule="auto"/>
        <w:ind w:left="851" w:right="851"/>
        <w:jc w:val="both"/>
        <w:rPr>
          <w:rFonts w:ascii="Palatino Linotype" w:hAnsi="Palatino Linotype" w:cs="Arial"/>
          <w:i/>
        </w:rPr>
      </w:pPr>
      <w:r w:rsidRPr="001571EB">
        <w:rPr>
          <w:rFonts w:ascii="Palatino Linotype" w:hAnsi="Palatino Linotype" w:cs="Arial"/>
          <w:i/>
        </w:rPr>
        <w:t>[…]</w:t>
      </w:r>
    </w:p>
    <w:p w14:paraId="2B0E76F0" w14:textId="77777777" w:rsidR="00930B3B" w:rsidRPr="001571EB" w:rsidRDefault="00930B3B" w:rsidP="00930B3B">
      <w:pPr>
        <w:spacing w:before="240" w:line="360" w:lineRule="auto"/>
        <w:ind w:left="851" w:right="851"/>
        <w:jc w:val="both"/>
        <w:rPr>
          <w:rFonts w:ascii="Palatino Linotype" w:hAnsi="Palatino Linotype" w:cs="Arial"/>
          <w:i/>
        </w:rPr>
      </w:pPr>
      <w:r w:rsidRPr="001571EB">
        <w:rPr>
          <w:rFonts w:ascii="Palatino Linotype" w:hAnsi="Palatino Linotype" w:cs="Arial"/>
          <w:i/>
        </w:rPr>
        <w:t>Artículo 132. La clasificación de la información se llevará a cabo en el momento en que:</w:t>
      </w:r>
    </w:p>
    <w:p w14:paraId="64F598EC" w14:textId="77777777" w:rsidR="00930B3B" w:rsidRPr="001571EB" w:rsidRDefault="00930B3B" w:rsidP="00930B3B">
      <w:pPr>
        <w:spacing w:before="240" w:line="360" w:lineRule="auto"/>
        <w:ind w:left="851" w:right="851"/>
        <w:jc w:val="both"/>
        <w:rPr>
          <w:rFonts w:ascii="Palatino Linotype" w:hAnsi="Palatino Linotype" w:cs="Arial"/>
          <w:i/>
        </w:rPr>
      </w:pPr>
      <w:r w:rsidRPr="001571EB">
        <w:rPr>
          <w:rFonts w:ascii="Palatino Linotype" w:hAnsi="Palatino Linotype" w:cs="Arial"/>
          <w:i/>
        </w:rPr>
        <w:t>[…]</w:t>
      </w:r>
    </w:p>
    <w:p w14:paraId="3CF8775E" w14:textId="77777777" w:rsidR="00930B3B" w:rsidRPr="00E60DEF" w:rsidRDefault="00930B3B" w:rsidP="00930B3B">
      <w:pPr>
        <w:spacing w:before="240" w:line="360" w:lineRule="auto"/>
        <w:ind w:left="851" w:right="851"/>
        <w:jc w:val="both"/>
        <w:rPr>
          <w:rFonts w:ascii="Palatino Linotype" w:hAnsi="Palatino Linotype" w:cs="Arial"/>
          <w:b/>
          <w:i/>
          <w:u w:val="single"/>
        </w:rPr>
      </w:pPr>
      <w:r w:rsidRPr="00E60DEF">
        <w:rPr>
          <w:rFonts w:ascii="Palatino Linotype" w:hAnsi="Palatino Linotype" w:cs="Arial"/>
          <w:b/>
          <w:i/>
          <w:u w:val="single"/>
        </w:rPr>
        <w:t>II. Se determine mediante resolución de autoridad competente; o</w:t>
      </w:r>
    </w:p>
    <w:p w14:paraId="23081EA0" w14:textId="77777777" w:rsidR="00930B3B" w:rsidRPr="001571EB" w:rsidRDefault="00930B3B" w:rsidP="00930B3B">
      <w:pPr>
        <w:spacing w:before="240" w:line="360" w:lineRule="auto"/>
        <w:ind w:left="851" w:right="851"/>
        <w:jc w:val="both"/>
        <w:rPr>
          <w:rFonts w:ascii="Palatino Linotype" w:hAnsi="Palatino Linotype" w:cs="Arial"/>
          <w:b/>
          <w:i/>
        </w:rPr>
      </w:pPr>
      <w:r>
        <w:rPr>
          <w:rFonts w:ascii="Palatino Linotype" w:hAnsi="Palatino Linotype" w:cs="Arial"/>
          <w:b/>
          <w:i/>
        </w:rPr>
        <w:t>(…)</w:t>
      </w:r>
    </w:p>
    <w:p w14:paraId="098BB2ED" w14:textId="77777777" w:rsidR="00930B3B" w:rsidRDefault="00930B3B" w:rsidP="00930B3B">
      <w:pPr>
        <w:spacing w:before="240" w:line="360" w:lineRule="auto"/>
        <w:ind w:left="851" w:right="851"/>
        <w:jc w:val="both"/>
        <w:rPr>
          <w:rFonts w:ascii="Palatino Linotype" w:hAnsi="Palatino Linotype" w:cs="Arial"/>
          <w:b/>
          <w:i/>
        </w:rPr>
      </w:pPr>
      <w:r w:rsidRPr="00E60DEF">
        <w:rPr>
          <w:rFonts w:ascii="Palatino Linotype" w:hAnsi="Palatino Linotype" w:cs="Arial"/>
          <w:i/>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w:t>
      </w:r>
      <w:r w:rsidRPr="001571EB">
        <w:rPr>
          <w:rFonts w:ascii="Palatino Linotype" w:hAnsi="Palatino Linotype" w:cs="Arial"/>
          <w:b/>
          <w:i/>
        </w:rPr>
        <w:t xml:space="preserve"> </w:t>
      </w:r>
      <w:r w:rsidRPr="001571EB">
        <w:rPr>
          <w:rFonts w:ascii="Palatino Linotype" w:hAnsi="Palatino Linotype" w:cs="Arial"/>
          <w:b/>
          <w:i/>
          <w:u w:val="single"/>
        </w:rPr>
        <w:t>de manera genérica y fundando y motivando su clasificación.</w:t>
      </w:r>
      <w:r>
        <w:rPr>
          <w:rFonts w:ascii="Palatino Linotype" w:hAnsi="Palatino Linotype" w:cs="Arial"/>
          <w:b/>
          <w:i/>
          <w:u w:val="single"/>
        </w:rPr>
        <w:t xml:space="preserve">” </w:t>
      </w:r>
      <w:r w:rsidRPr="00E60DEF">
        <w:rPr>
          <w:rFonts w:ascii="Palatino Linotype" w:hAnsi="Palatino Linotype" w:cs="Arial"/>
          <w:b/>
          <w:i/>
        </w:rPr>
        <w:t>[Sic]</w:t>
      </w:r>
    </w:p>
    <w:p w14:paraId="4F5BD68F" w14:textId="77777777" w:rsidR="00930B3B" w:rsidRDefault="00930B3B" w:rsidP="00930B3B">
      <w:pPr>
        <w:spacing w:line="360" w:lineRule="auto"/>
        <w:ind w:right="51"/>
        <w:jc w:val="both"/>
        <w:rPr>
          <w:rFonts w:ascii="Palatino Linotype" w:eastAsia="Arial Unicode MS" w:hAnsi="Palatino Linotype" w:cs="Arial"/>
        </w:rPr>
      </w:pPr>
    </w:p>
    <w:p w14:paraId="11430917" w14:textId="77777777" w:rsidR="00930B3B" w:rsidRPr="001571EB" w:rsidRDefault="00930B3B" w:rsidP="00930B3B">
      <w:pPr>
        <w:spacing w:line="360" w:lineRule="auto"/>
        <w:ind w:right="51"/>
        <w:jc w:val="both"/>
        <w:rPr>
          <w:rFonts w:ascii="Palatino Linotype" w:hAnsi="Palatino Linotype" w:cs="Arial"/>
        </w:rPr>
      </w:pPr>
      <w:r w:rsidRPr="001571EB">
        <w:rPr>
          <w:rFonts w:ascii="Palatino Linotype" w:eastAsia="Arial Unicode MS" w:hAnsi="Palatino Linotype" w:cs="Arial"/>
        </w:rPr>
        <w:t xml:space="preserve">Verbigracia, previo a poner a disposición la información correspondiente debe considerarse que tiene carácter de confidencial </w:t>
      </w:r>
      <w:r w:rsidRPr="001571EB">
        <w:rPr>
          <w:rFonts w:ascii="Palatino Linotype" w:hAnsi="Palatino Linotype" w:cs="Arial"/>
        </w:rPr>
        <w:t xml:space="preserve">el </w:t>
      </w:r>
      <w:r w:rsidRPr="00BA3B27">
        <w:rPr>
          <w:rFonts w:ascii="Palatino Linotype" w:hAnsi="Palatino Linotype" w:cs="Arial"/>
          <w:b/>
        </w:rPr>
        <w:t>Registro Federal de Contribuyentes (RFC) que no sean de proveedores</w:t>
      </w:r>
      <w:r w:rsidRPr="001571EB">
        <w:rPr>
          <w:rFonts w:ascii="Palatino Linotype" w:hAnsi="Palatino Linotype" w:cs="Arial"/>
        </w:rPr>
        <w:t xml:space="preserve">, cuenta bancaria, la Clave Única de Registro de Población (CURP), domicilio particular, teléfono particular, el nombre de las personas </w:t>
      </w:r>
      <w:r w:rsidRPr="001571EB">
        <w:rPr>
          <w:rFonts w:ascii="Palatino Linotype" w:hAnsi="Palatino Linotype" w:cs="Arial"/>
        </w:rPr>
        <w:lastRenderedPageBreak/>
        <w:t>físicas que no tengan la calidad de servidor público  o aquellos que no reciban recursos públicos, entre otros considerados como datos personales en términos de la normatividad aplicable.</w:t>
      </w:r>
    </w:p>
    <w:p w14:paraId="53C0625D" w14:textId="77777777" w:rsidR="00930B3B" w:rsidRDefault="00930B3B" w:rsidP="00930B3B">
      <w:pPr>
        <w:spacing w:before="240" w:after="240" w:line="360" w:lineRule="auto"/>
        <w:ind w:right="-91"/>
        <w:jc w:val="both"/>
        <w:rPr>
          <w:rFonts w:ascii="Palatino Linotype" w:hAnsi="Palatino Linotype" w:cs="Arial"/>
          <w:lang w:eastAsia="es-MX"/>
        </w:rPr>
      </w:pPr>
      <w:r w:rsidRPr="001571EB">
        <w:rPr>
          <w:rFonts w:ascii="Palatino Linotype" w:hAnsi="Palatino Linotype" w:cs="Arial"/>
          <w:lang w:eastAsia="es-MX"/>
        </w:rPr>
        <w:t xml:space="preserve">Lo anterior es compartido por el ahora </w:t>
      </w:r>
      <w:r w:rsidRPr="001571EB">
        <w:rPr>
          <w:rFonts w:ascii="Palatino Linotype" w:hAnsi="Palatino Linotype" w:cs="Arial"/>
          <w:b/>
          <w:bCs/>
          <w:lang w:eastAsia="es-MX"/>
        </w:rPr>
        <w:t>Instituto Nacional de Transparencia, Acceso a la Información y Protección de Datos Personales</w:t>
      </w:r>
      <w:r w:rsidRPr="001571EB">
        <w:rPr>
          <w:rFonts w:ascii="Palatino Linotype" w:hAnsi="Palatino Linotype" w:cs="Arial"/>
          <w:lang w:eastAsia="es-MX"/>
        </w:rPr>
        <w:t xml:space="preserve"> (INAI), conforme al criterio </w:t>
      </w:r>
      <w:r>
        <w:rPr>
          <w:rFonts w:ascii="Palatino Linotype" w:hAnsi="Palatino Linotype" w:cs="Arial"/>
          <w:b/>
          <w:lang w:eastAsia="es-MX"/>
        </w:rPr>
        <w:t>004/2021</w:t>
      </w:r>
      <w:r w:rsidRPr="00E60DEF">
        <w:rPr>
          <w:rFonts w:ascii="Palatino Linotype" w:hAnsi="Palatino Linotype" w:cs="Arial"/>
          <w:b/>
          <w:lang w:eastAsia="es-MX"/>
        </w:rPr>
        <w:t>,</w:t>
      </w:r>
      <w:r w:rsidRPr="001571EB">
        <w:rPr>
          <w:rFonts w:ascii="Palatino Linotype" w:hAnsi="Palatino Linotype" w:cs="Arial"/>
          <w:lang w:eastAsia="es-MX"/>
        </w:rPr>
        <w:t xml:space="preserve"> el cual es del tenor literal siguiente:</w:t>
      </w:r>
    </w:p>
    <w:p w14:paraId="168A6DAB" w14:textId="77777777" w:rsidR="00930B3B" w:rsidRDefault="00930B3B" w:rsidP="00930B3B">
      <w:pPr>
        <w:autoSpaceDE w:val="0"/>
        <w:autoSpaceDN w:val="0"/>
        <w:adjustRightInd w:val="0"/>
        <w:spacing w:before="240" w:line="360" w:lineRule="auto"/>
        <w:ind w:left="851" w:right="851"/>
        <w:jc w:val="center"/>
        <w:rPr>
          <w:rFonts w:ascii="Palatino Linotype" w:hAnsi="Palatino Linotype" w:cs="Arial"/>
          <w:b/>
          <w:bCs/>
          <w:i/>
        </w:rPr>
      </w:pPr>
      <w:r w:rsidRPr="001571EB">
        <w:rPr>
          <w:rFonts w:ascii="Palatino Linotype" w:hAnsi="Palatino Linotype" w:cs="Arial"/>
          <w:bCs/>
          <w:i/>
        </w:rPr>
        <w:t>“</w:t>
      </w:r>
      <w:r w:rsidRPr="00BA3B27">
        <w:rPr>
          <w:rFonts w:ascii="Palatino Linotype" w:hAnsi="Palatino Linotype" w:cs="Arial"/>
          <w:b/>
          <w:bCs/>
          <w:i/>
        </w:rPr>
        <w:t>Registro Federal de Contribuyentes (RFC) de personas fís</w:t>
      </w:r>
      <w:r>
        <w:rPr>
          <w:rFonts w:ascii="Palatino Linotype" w:hAnsi="Palatino Linotype" w:cs="Arial"/>
          <w:b/>
          <w:bCs/>
          <w:i/>
        </w:rPr>
        <w:t>icas proveedores o contratistas</w:t>
      </w:r>
      <w:r w:rsidRPr="001571EB">
        <w:rPr>
          <w:rFonts w:ascii="Palatino Linotype" w:hAnsi="Palatino Linotype" w:cs="Arial"/>
          <w:b/>
          <w:bCs/>
          <w:i/>
        </w:rPr>
        <w:t>.</w:t>
      </w:r>
    </w:p>
    <w:p w14:paraId="579DF177" w14:textId="77777777" w:rsidR="00930B3B" w:rsidRDefault="00930B3B" w:rsidP="00930B3B">
      <w:pPr>
        <w:autoSpaceDE w:val="0"/>
        <w:autoSpaceDN w:val="0"/>
        <w:adjustRightInd w:val="0"/>
        <w:spacing w:before="240" w:line="360" w:lineRule="auto"/>
        <w:ind w:left="851" w:right="851"/>
        <w:jc w:val="both"/>
        <w:rPr>
          <w:rFonts w:ascii="Palatino Linotype" w:hAnsi="Palatino Linotype" w:cs="Arial"/>
          <w:bCs/>
          <w:i/>
        </w:rPr>
      </w:pPr>
      <w:r w:rsidRPr="00BA3B27">
        <w:rPr>
          <w:rFonts w:ascii="Palatino Linotype" w:hAnsi="Palatino Linotype" w:cs="Arial"/>
          <w:bCs/>
          <w:i/>
        </w:rPr>
        <w:t xml:space="preserve">El RFC de contratistas o proveedores de sujetos obligados debe ser público, ya que al tratarse de personas relacionadas con contrataciones públicas, su difusión favorece la transparencia con la que deben administrarse los recursos públicos, en términos del artículo 134 de la Constitución Política de los Estados Unidos Mexicanos. </w:t>
      </w:r>
    </w:p>
    <w:p w14:paraId="614552D9" w14:textId="77777777" w:rsidR="00930B3B" w:rsidRPr="00BA3B27" w:rsidRDefault="00930B3B" w:rsidP="00930B3B">
      <w:pPr>
        <w:autoSpaceDE w:val="0"/>
        <w:autoSpaceDN w:val="0"/>
        <w:adjustRightInd w:val="0"/>
        <w:spacing w:before="240" w:line="360" w:lineRule="auto"/>
        <w:ind w:left="851" w:right="851"/>
        <w:jc w:val="both"/>
        <w:rPr>
          <w:rFonts w:ascii="Palatino Linotype" w:hAnsi="Palatino Linotype" w:cs="Arial"/>
          <w:b/>
          <w:i/>
        </w:rPr>
      </w:pPr>
      <w:r w:rsidRPr="00BA3B27">
        <w:rPr>
          <w:rFonts w:ascii="Palatino Linotype" w:hAnsi="Palatino Linotype" w:cs="Arial"/>
          <w:b/>
          <w:i/>
        </w:rPr>
        <w:t>Precedentes:</w:t>
      </w:r>
    </w:p>
    <w:p w14:paraId="3B8828E5" w14:textId="77777777" w:rsidR="00930B3B" w:rsidRPr="00BA3B27" w:rsidRDefault="00930B3B" w:rsidP="00930B3B">
      <w:pPr>
        <w:numPr>
          <w:ilvl w:val="0"/>
          <w:numId w:val="44"/>
        </w:numPr>
        <w:autoSpaceDE w:val="0"/>
        <w:autoSpaceDN w:val="0"/>
        <w:adjustRightInd w:val="0"/>
        <w:spacing w:before="240" w:after="160" w:line="360" w:lineRule="auto"/>
        <w:ind w:right="851"/>
        <w:jc w:val="both"/>
        <w:rPr>
          <w:rFonts w:ascii="Palatino Linotype" w:hAnsi="Palatino Linotype" w:cs="Arial"/>
          <w:i/>
        </w:rPr>
      </w:pPr>
      <w:r w:rsidRPr="00BA3B27">
        <w:rPr>
          <w:rFonts w:ascii="Palatino Linotype" w:hAnsi="Palatino Linotype" w:cs="Arial"/>
          <w:i/>
        </w:rPr>
        <w:t>Acceso a la información Pública. RRA 3639/19.</w:t>
      </w:r>
      <w:r w:rsidRPr="00BA3B27">
        <w:rPr>
          <w:rFonts w:ascii="Palatino Linotype" w:hAnsi="Palatino Linotype" w:cs="Arial"/>
          <w:bCs/>
          <w:i/>
        </w:rPr>
        <w:t xml:space="preserve"> </w:t>
      </w:r>
      <w:r w:rsidRPr="00BA3B27">
        <w:rPr>
          <w:rFonts w:ascii="Palatino Linotype" w:hAnsi="Palatino Linotype" w:cs="Arial"/>
          <w:i/>
        </w:rPr>
        <w:t>Sesión del 10 de julio de 2019. Votación por mayoría. Con voto disidente del Comisionado Joel Salas Suárez. Instituto para la Protección del Ahorro Bancario. Comisionada Ponente María Patricia Kurczyn Villalobos.</w:t>
      </w:r>
    </w:p>
    <w:p w14:paraId="7195BFC4" w14:textId="77777777" w:rsidR="00930B3B" w:rsidRPr="00BA3B27" w:rsidRDefault="00930B3B" w:rsidP="00930B3B">
      <w:pPr>
        <w:numPr>
          <w:ilvl w:val="0"/>
          <w:numId w:val="44"/>
        </w:numPr>
        <w:autoSpaceDE w:val="0"/>
        <w:autoSpaceDN w:val="0"/>
        <w:adjustRightInd w:val="0"/>
        <w:spacing w:before="240" w:after="160" w:line="360" w:lineRule="auto"/>
        <w:ind w:right="851"/>
        <w:jc w:val="both"/>
        <w:rPr>
          <w:rFonts w:ascii="Palatino Linotype" w:hAnsi="Palatino Linotype" w:cs="Arial"/>
          <w:bCs/>
          <w:i/>
        </w:rPr>
      </w:pPr>
      <w:r w:rsidRPr="00BA3B27">
        <w:rPr>
          <w:rFonts w:ascii="Palatino Linotype" w:hAnsi="Palatino Linotype" w:cs="Arial"/>
          <w:i/>
        </w:rPr>
        <w:lastRenderedPageBreak/>
        <w:t>Acceso a la información Pública. RRA 7709/19.</w:t>
      </w:r>
      <w:r w:rsidRPr="00BA3B27">
        <w:rPr>
          <w:rFonts w:ascii="Palatino Linotype" w:hAnsi="Palatino Linotype" w:cs="Arial"/>
          <w:bCs/>
          <w:i/>
        </w:rPr>
        <w:t xml:space="preserve"> </w:t>
      </w:r>
      <w:r w:rsidRPr="00BA3B27">
        <w:rPr>
          <w:rFonts w:ascii="Palatino Linotype" w:hAnsi="Palatino Linotype" w:cs="Arial"/>
          <w:i/>
        </w:rPr>
        <w:t>Sesión del 13 de agosto de 2019. Votación por unanimidad. Con voto particular de la Comisionada Josefina Román Vergara. Suprema Corte de Justicia de la Nación. Comisionada Ponente Josefina Román Vergara.</w:t>
      </w:r>
    </w:p>
    <w:p w14:paraId="18EAB598" w14:textId="77777777" w:rsidR="00930B3B" w:rsidRPr="00BA3B27" w:rsidRDefault="00930B3B" w:rsidP="00930B3B">
      <w:pPr>
        <w:numPr>
          <w:ilvl w:val="0"/>
          <w:numId w:val="44"/>
        </w:numPr>
        <w:autoSpaceDE w:val="0"/>
        <w:autoSpaceDN w:val="0"/>
        <w:adjustRightInd w:val="0"/>
        <w:spacing w:before="240" w:after="160" w:line="360" w:lineRule="auto"/>
        <w:ind w:left="851" w:right="851"/>
        <w:jc w:val="both"/>
        <w:rPr>
          <w:rFonts w:ascii="Palatino Linotype" w:hAnsi="Palatino Linotype" w:cs="Arial"/>
          <w:b/>
          <w:i/>
        </w:rPr>
      </w:pPr>
      <w:r w:rsidRPr="00BA3B27">
        <w:rPr>
          <w:rFonts w:ascii="Palatino Linotype" w:hAnsi="Palatino Linotype" w:cs="Arial"/>
          <w:i/>
        </w:rPr>
        <w:t>Acceso a la información Pública. RRA 5774/19.</w:t>
      </w:r>
      <w:r w:rsidRPr="00BA3B27">
        <w:rPr>
          <w:rFonts w:ascii="Palatino Linotype" w:hAnsi="Palatino Linotype" w:cs="Arial"/>
          <w:bCs/>
          <w:i/>
        </w:rPr>
        <w:t xml:space="preserve"> </w:t>
      </w:r>
      <w:r w:rsidRPr="00BA3B27">
        <w:rPr>
          <w:rFonts w:ascii="Palatino Linotype" w:hAnsi="Palatino Linotype" w:cs="Arial"/>
          <w:i/>
        </w:rPr>
        <w:t>Sesión del 21 de agosto de 2019. Votación por mayoría. Con voto disidente del Comisionado Joel Salas Suárez. Secretaría de Marina. Comisionada Ponente Blanca Lilia Ibarra Cadena.” [Sic]</w:t>
      </w:r>
    </w:p>
    <w:p w14:paraId="7F455790" w14:textId="77777777" w:rsidR="00930B3B" w:rsidRPr="001571EB" w:rsidRDefault="00930B3B" w:rsidP="00930B3B">
      <w:pPr>
        <w:autoSpaceDE w:val="0"/>
        <w:autoSpaceDN w:val="0"/>
        <w:adjustRightInd w:val="0"/>
        <w:spacing w:before="120" w:after="120"/>
        <w:ind w:left="567" w:right="850"/>
        <w:jc w:val="both"/>
        <w:rPr>
          <w:rFonts w:ascii="Palatino Linotype" w:hAnsi="Palatino Linotype" w:cs="Arial"/>
          <w:i/>
        </w:rPr>
      </w:pPr>
    </w:p>
    <w:p w14:paraId="223D3D3B" w14:textId="77777777" w:rsidR="00930B3B" w:rsidRPr="001571EB" w:rsidRDefault="00930B3B" w:rsidP="00930B3B">
      <w:pPr>
        <w:spacing w:before="240" w:after="240" w:line="360" w:lineRule="auto"/>
        <w:jc w:val="both"/>
        <w:rPr>
          <w:rFonts w:ascii="Palatino Linotype" w:hAnsi="Palatino Linotype" w:cs="Arial"/>
          <w:lang w:eastAsia="es-MX"/>
        </w:rPr>
      </w:pPr>
      <w:r w:rsidRPr="001571EB">
        <w:rPr>
          <w:rFonts w:ascii="Palatino Linotype" w:hAnsi="Palatino Linotype" w:cs="Arial"/>
          <w:lang w:eastAsia="es-MX"/>
        </w:rPr>
        <w:t>Así, el RFC se vincula al nombre de su titular, permite identificar la edad de la persona, su fecha de nacimiento, así como su homoclave, la cual es única e irrepetible y determina justamente la identificación de dicha persona para efectos fiscales, por lo éste constituye un dato personal que concierne a una persona física identificada e identificable.</w:t>
      </w:r>
    </w:p>
    <w:p w14:paraId="2262B51C" w14:textId="77777777" w:rsidR="00930B3B" w:rsidRPr="001571EB" w:rsidRDefault="00930B3B" w:rsidP="00930B3B">
      <w:pPr>
        <w:spacing w:before="240" w:after="240" w:line="360" w:lineRule="auto"/>
        <w:jc w:val="both"/>
        <w:rPr>
          <w:rFonts w:ascii="Palatino Linotype" w:eastAsia="Calibri" w:hAnsi="Palatino Linotype" w:cs="Arial"/>
          <w:lang w:eastAsia="es-MX"/>
        </w:rPr>
      </w:pPr>
      <w:r w:rsidRPr="001571EB">
        <w:rPr>
          <w:rFonts w:ascii="Palatino Linotype" w:hAnsi="Palatino Linotype" w:cs="Arial"/>
          <w:lang w:eastAsia="es-MX"/>
        </w:rPr>
        <w:t xml:space="preserve">En cuanto a la </w:t>
      </w:r>
      <w:r w:rsidRPr="001571EB">
        <w:rPr>
          <w:rFonts w:ascii="Palatino Linotype" w:hAnsi="Palatino Linotype" w:cs="Arial"/>
        </w:rPr>
        <w:t xml:space="preserve">Clave Única de Registro de Población (CURP) en virtud de que éste se </w:t>
      </w:r>
      <w:r w:rsidRPr="001571EB">
        <w:rPr>
          <w:rFonts w:ascii="Palatino Linotype" w:eastAsia="Calibri" w:hAnsi="Palatino Linotype" w:cs="Arial"/>
          <w:lang w:eastAsia="es-MX"/>
        </w:rPr>
        <w:t>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3FCAC13F" w14:textId="77777777" w:rsidR="00930B3B" w:rsidRDefault="00930B3B" w:rsidP="00930B3B">
      <w:pPr>
        <w:spacing w:before="240" w:after="240" w:line="360" w:lineRule="auto"/>
        <w:ind w:right="-91"/>
        <w:jc w:val="both"/>
        <w:rPr>
          <w:rFonts w:ascii="Palatino Linotype" w:hAnsi="Palatino Linotype" w:cs="Arial"/>
        </w:rPr>
      </w:pPr>
      <w:r w:rsidRPr="001571EB">
        <w:rPr>
          <w:rFonts w:ascii="Palatino Linotype" w:hAnsi="Palatino Linotype" w:cs="Arial"/>
        </w:rPr>
        <w:lastRenderedPageBreak/>
        <w:t xml:space="preserve">Argumento que es compartido por el </w:t>
      </w:r>
      <w:r w:rsidRPr="001571EB">
        <w:rPr>
          <w:rStyle w:val="Textoennegrita"/>
          <w:rFonts w:ascii="Palatino Linotype" w:hAnsi="Palatino Linotype" w:cs="Arial"/>
        </w:rPr>
        <w:t xml:space="preserve">Instituto Nacional de Transparencia, Acceso a la Información y Protección de Datos Personales, conforme al </w:t>
      </w:r>
      <w:r w:rsidRPr="001571EB">
        <w:rPr>
          <w:rFonts w:ascii="Palatino Linotype" w:hAnsi="Palatino Linotype" w:cs="Arial"/>
        </w:rPr>
        <w:t xml:space="preserve">criterio número 18/17 el cual refiere: </w:t>
      </w:r>
    </w:p>
    <w:p w14:paraId="60647210" w14:textId="77777777" w:rsidR="00930B3B" w:rsidRDefault="00930B3B" w:rsidP="00930B3B">
      <w:pPr>
        <w:autoSpaceDE w:val="0"/>
        <w:autoSpaceDN w:val="0"/>
        <w:adjustRightInd w:val="0"/>
        <w:spacing w:before="240" w:line="360" w:lineRule="auto"/>
        <w:ind w:left="851" w:right="851"/>
        <w:jc w:val="center"/>
        <w:rPr>
          <w:rFonts w:ascii="Palatino Linotype" w:hAnsi="Palatino Linotype" w:cs="Arial"/>
          <w:b/>
          <w:bCs/>
          <w:i/>
          <w:lang w:eastAsia="es-MX"/>
        </w:rPr>
      </w:pPr>
      <w:r w:rsidRPr="001571EB">
        <w:rPr>
          <w:rFonts w:ascii="Palatino Linotype" w:hAnsi="Palatino Linotype" w:cs="Arial"/>
          <w:bCs/>
          <w:i/>
          <w:lang w:eastAsia="es-MX"/>
        </w:rPr>
        <w:t>“</w:t>
      </w:r>
      <w:r w:rsidRPr="001571EB">
        <w:rPr>
          <w:rFonts w:ascii="Palatino Linotype" w:hAnsi="Palatino Linotype" w:cs="Arial"/>
          <w:b/>
          <w:bCs/>
          <w:i/>
          <w:lang w:eastAsia="es-MX"/>
        </w:rPr>
        <w:t>CLAVE ÚNICA DE REGISTRO DE POBLACIÓN (CURP).</w:t>
      </w:r>
    </w:p>
    <w:p w14:paraId="0878CA66" w14:textId="77777777" w:rsidR="00930B3B" w:rsidRPr="001571EB" w:rsidRDefault="00930B3B" w:rsidP="00930B3B">
      <w:pPr>
        <w:autoSpaceDE w:val="0"/>
        <w:autoSpaceDN w:val="0"/>
        <w:adjustRightInd w:val="0"/>
        <w:spacing w:before="240" w:line="360" w:lineRule="auto"/>
        <w:ind w:left="851" w:right="851"/>
        <w:jc w:val="both"/>
        <w:rPr>
          <w:rFonts w:ascii="Palatino Linotype" w:hAnsi="Palatino Linotype" w:cs="Arial"/>
          <w:b/>
          <w:bCs/>
          <w:i/>
          <w:lang w:eastAsia="es-MX"/>
        </w:rPr>
      </w:pPr>
      <w:r w:rsidRPr="001571EB">
        <w:rPr>
          <w:rFonts w:ascii="Palatino Linotype" w:hAnsi="Palatino Linotype" w:cs="Arial"/>
          <w:bCs/>
          <w:i/>
          <w:lang w:eastAsia="es-MX"/>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1CF964D4" w14:textId="77777777" w:rsidR="00930B3B" w:rsidRPr="001571EB" w:rsidRDefault="00930B3B" w:rsidP="00930B3B">
      <w:pPr>
        <w:autoSpaceDE w:val="0"/>
        <w:autoSpaceDN w:val="0"/>
        <w:adjustRightInd w:val="0"/>
        <w:spacing w:before="240" w:line="360" w:lineRule="auto"/>
        <w:ind w:left="851" w:right="851"/>
        <w:jc w:val="both"/>
        <w:rPr>
          <w:rFonts w:ascii="Palatino Linotype" w:hAnsi="Palatino Linotype" w:cs="Arial"/>
          <w:b/>
          <w:i/>
          <w:lang w:eastAsia="es-MX"/>
        </w:rPr>
      </w:pPr>
      <w:r w:rsidRPr="001571EB">
        <w:rPr>
          <w:rFonts w:ascii="Palatino Linotype" w:hAnsi="Palatino Linotype" w:cs="Arial"/>
          <w:i/>
          <w:lang w:eastAsia="es-MX"/>
        </w:rPr>
        <w:t xml:space="preserve"> </w:t>
      </w:r>
      <w:r w:rsidRPr="001571EB">
        <w:rPr>
          <w:rFonts w:ascii="Palatino Linotype" w:hAnsi="Palatino Linotype" w:cs="Arial"/>
          <w:b/>
          <w:i/>
          <w:lang w:eastAsia="es-MX"/>
        </w:rPr>
        <w:t>Resoluciones:</w:t>
      </w:r>
    </w:p>
    <w:p w14:paraId="269DCE37" w14:textId="77777777" w:rsidR="00930B3B" w:rsidRPr="001571EB" w:rsidRDefault="00930B3B" w:rsidP="00930B3B">
      <w:pPr>
        <w:autoSpaceDE w:val="0"/>
        <w:autoSpaceDN w:val="0"/>
        <w:adjustRightInd w:val="0"/>
        <w:spacing w:before="240" w:line="360" w:lineRule="auto"/>
        <w:ind w:left="851" w:right="851"/>
        <w:jc w:val="both"/>
        <w:rPr>
          <w:rFonts w:ascii="Palatino Linotype" w:hAnsi="Palatino Linotype" w:cs="Arial"/>
          <w:b/>
          <w:i/>
          <w:lang w:eastAsia="es-MX"/>
        </w:rPr>
      </w:pPr>
      <w:r w:rsidRPr="001571EB">
        <w:rPr>
          <w:rFonts w:ascii="Palatino Linotype" w:hAnsi="Palatino Linotype" w:cs="Arial"/>
          <w:b/>
          <w:i/>
          <w:lang w:eastAsia="es-MX"/>
        </w:rPr>
        <w:t xml:space="preserve">RRA 3995/16. </w:t>
      </w:r>
      <w:r w:rsidRPr="001571EB">
        <w:rPr>
          <w:rFonts w:ascii="Palatino Linotype" w:hAnsi="Palatino Linotype" w:cs="Arial"/>
          <w:i/>
          <w:lang w:eastAsia="es-MX"/>
        </w:rPr>
        <w:t>Secretaría de la Defensa Nacional. 1 de febrero de 2017. Por unanimidad. Comisionado Ponente Rosendoevgueni Monterrey Chepov.</w:t>
      </w:r>
    </w:p>
    <w:p w14:paraId="0EFCEC79" w14:textId="77777777" w:rsidR="00930B3B" w:rsidRPr="001571EB" w:rsidRDefault="00930B3B" w:rsidP="00930B3B">
      <w:pPr>
        <w:autoSpaceDE w:val="0"/>
        <w:autoSpaceDN w:val="0"/>
        <w:adjustRightInd w:val="0"/>
        <w:spacing w:before="240" w:line="360" w:lineRule="auto"/>
        <w:ind w:left="851" w:right="851"/>
        <w:jc w:val="both"/>
        <w:rPr>
          <w:rFonts w:ascii="Palatino Linotype" w:hAnsi="Palatino Linotype" w:cs="Arial"/>
          <w:b/>
          <w:i/>
          <w:lang w:eastAsia="es-MX"/>
        </w:rPr>
      </w:pPr>
      <w:r w:rsidRPr="001571EB">
        <w:rPr>
          <w:rFonts w:ascii="Palatino Linotype" w:hAnsi="Palatino Linotype" w:cs="Arial"/>
          <w:b/>
          <w:i/>
          <w:lang w:eastAsia="es-MX"/>
        </w:rPr>
        <w:t xml:space="preserve">RRA </w:t>
      </w:r>
      <w:r w:rsidRPr="001571EB">
        <w:rPr>
          <w:rFonts w:ascii="Palatino Linotype" w:hAnsi="Palatino Linotype" w:cs="Arial"/>
          <w:b/>
          <w:bCs/>
          <w:i/>
          <w:lang w:eastAsia="es-MX"/>
        </w:rPr>
        <w:t xml:space="preserve">0937/17. </w:t>
      </w:r>
      <w:r w:rsidRPr="001571EB">
        <w:rPr>
          <w:rFonts w:ascii="Palatino Linotype" w:hAnsi="Palatino Linotype" w:cs="Arial"/>
          <w:bCs/>
          <w:i/>
          <w:lang w:eastAsia="es-MX"/>
        </w:rPr>
        <w:t xml:space="preserve">Senado de la República. </w:t>
      </w:r>
      <w:r w:rsidRPr="001571EB">
        <w:rPr>
          <w:rFonts w:ascii="Palatino Linotype" w:hAnsi="Palatino Linotype" w:cs="Arial"/>
          <w:bCs/>
          <w:i/>
          <w:lang w:val="es-ES_tradnl" w:eastAsia="es-MX"/>
        </w:rPr>
        <w:t xml:space="preserve">15 de marzo de 2017. Por unanimidad. Comisionada Ponente Ximena Puente de la Mora. </w:t>
      </w:r>
    </w:p>
    <w:p w14:paraId="1808A54B" w14:textId="77777777" w:rsidR="00930B3B" w:rsidRDefault="00930B3B" w:rsidP="00930B3B">
      <w:pPr>
        <w:autoSpaceDE w:val="0"/>
        <w:autoSpaceDN w:val="0"/>
        <w:adjustRightInd w:val="0"/>
        <w:spacing w:before="240" w:line="360" w:lineRule="auto"/>
        <w:ind w:left="851" w:right="851"/>
        <w:jc w:val="both"/>
        <w:rPr>
          <w:rFonts w:ascii="Palatino Linotype" w:hAnsi="Palatino Linotype" w:cs="Arial"/>
          <w:b/>
          <w:i/>
          <w:lang w:eastAsia="es-MX"/>
        </w:rPr>
      </w:pPr>
      <w:r w:rsidRPr="001571EB">
        <w:rPr>
          <w:rFonts w:ascii="Palatino Linotype" w:hAnsi="Palatino Linotype" w:cs="Arial"/>
          <w:b/>
          <w:i/>
          <w:lang w:eastAsia="es-MX"/>
        </w:rPr>
        <w:t xml:space="preserve">RRA 0478/17. </w:t>
      </w:r>
      <w:r w:rsidRPr="001571EB">
        <w:rPr>
          <w:rFonts w:ascii="Palatino Linotype" w:hAnsi="Palatino Linotype" w:cs="Arial"/>
          <w:i/>
          <w:lang w:eastAsia="es-MX"/>
        </w:rPr>
        <w:t>Secretaría de Relaciones Exteriores. 26 de abril de 2017. Por unanimidad. Comisionada Ponente Areli Cano Guadiana.</w:t>
      </w:r>
      <w:r>
        <w:rPr>
          <w:rFonts w:ascii="Palatino Linotype" w:hAnsi="Palatino Linotype" w:cs="Arial"/>
          <w:i/>
          <w:lang w:eastAsia="es-MX"/>
        </w:rPr>
        <w:t xml:space="preserve">” </w:t>
      </w:r>
      <w:r>
        <w:rPr>
          <w:rFonts w:ascii="Palatino Linotype" w:hAnsi="Palatino Linotype" w:cs="Arial"/>
          <w:b/>
          <w:i/>
          <w:lang w:eastAsia="es-MX"/>
        </w:rPr>
        <w:t>[Sic]</w:t>
      </w:r>
    </w:p>
    <w:p w14:paraId="1EB9DEBA" w14:textId="77777777" w:rsidR="00930B3B" w:rsidRDefault="00930B3B" w:rsidP="00930B3B">
      <w:pPr>
        <w:spacing w:line="360" w:lineRule="auto"/>
        <w:ind w:right="51"/>
        <w:jc w:val="both"/>
        <w:rPr>
          <w:rFonts w:ascii="Palatino Linotype" w:hAnsi="Palatino Linotype" w:cs="Arial"/>
        </w:rPr>
      </w:pPr>
    </w:p>
    <w:p w14:paraId="5BA24D0D" w14:textId="77777777" w:rsidR="00930B3B" w:rsidRPr="00032831" w:rsidRDefault="00930B3B" w:rsidP="00930B3B">
      <w:pPr>
        <w:spacing w:line="360" w:lineRule="auto"/>
        <w:jc w:val="both"/>
        <w:rPr>
          <w:rFonts w:ascii="Palatino Linotype" w:eastAsia="Calibri" w:hAnsi="Palatino Linotype"/>
          <w:color w:val="000000"/>
        </w:rPr>
      </w:pPr>
      <w:r w:rsidRPr="00032831">
        <w:rPr>
          <w:rFonts w:ascii="Palatino Linotype" w:eastAsia="Calibri" w:hAnsi="Palatino Linotype"/>
          <w:color w:val="000000"/>
        </w:rPr>
        <w:lastRenderedPageBreak/>
        <w:t xml:space="preserve">Asimismo, el artículo 2°, fracción III, de la Ley General de Títulos y Operaciones de Crédito establece que los actos y las operaciones que regula esta Ley General, se regirán por los </w:t>
      </w:r>
      <w:r w:rsidRPr="00032831">
        <w:rPr>
          <w:rFonts w:ascii="Palatino Linotype" w:eastAsia="Calibri" w:hAnsi="Palatino Linotype"/>
          <w:b/>
          <w:bCs/>
          <w:color w:val="000000"/>
        </w:rPr>
        <w:t>usos bancarios y mercantiles</w:t>
      </w:r>
      <w:r w:rsidRPr="00032831">
        <w:rPr>
          <w:rFonts w:ascii="Palatino Linotype" w:eastAsia="Calibri" w:hAnsi="Palatino Linotype"/>
          <w:color w:val="000000"/>
        </w:rPr>
        <w:t xml:space="preserve">, es así que, a manera de contextualización la cuenta bancaria y estado de cuenta se definen como: </w:t>
      </w:r>
    </w:p>
    <w:p w14:paraId="7C72D07F" w14:textId="77777777" w:rsidR="00930B3B" w:rsidRPr="00032831" w:rsidRDefault="00930B3B" w:rsidP="00930B3B">
      <w:pPr>
        <w:spacing w:line="360" w:lineRule="auto"/>
        <w:jc w:val="both"/>
        <w:rPr>
          <w:rFonts w:ascii="Palatino Linotype" w:eastAsia="Calibri" w:hAnsi="Palatino Linotype"/>
          <w:color w:val="000000"/>
        </w:rPr>
      </w:pPr>
    </w:p>
    <w:p w14:paraId="5BB5A41A" w14:textId="77777777" w:rsidR="00930B3B" w:rsidRPr="00032831" w:rsidRDefault="00930B3B" w:rsidP="00930B3B">
      <w:pPr>
        <w:numPr>
          <w:ilvl w:val="0"/>
          <w:numId w:val="45"/>
        </w:numPr>
        <w:spacing w:line="360" w:lineRule="auto"/>
        <w:contextualSpacing/>
        <w:jc w:val="both"/>
        <w:rPr>
          <w:rFonts w:ascii="Palatino Linotype" w:hAnsi="Palatino Linotype"/>
          <w:color w:val="000000"/>
        </w:rPr>
      </w:pPr>
      <w:r w:rsidRPr="00032831">
        <w:rPr>
          <w:rFonts w:ascii="Palatino Linotype" w:hAnsi="Palatino Linotype"/>
          <w:b/>
          <w:bCs/>
          <w:color w:val="000000"/>
        </w:rPr>
        <w:t>Cuenta bancaria:</w:t>
      </w:r>
      <w:r w:rsidRPr="00032831">
        <w:rPr>
          <w:rFonts w:ascii="Palatino Linotype" w:hAnsi="Palatino Linotype"/>
          <w:color w:val="000000"/>
        </w:rPr>
        <w:t xml:space="preserve"> Una cuenta bancaria es un registro que mantiene un banco, en el que guarda dinero y contabiliza todas las entradas y salidas de efectivo, así como los créditos en curso, inversiones y productos relacionados.</w:t>
      </w:r>
    </w:p>
    <w:p w14:paraId="62655EF9" w14:textId="77777777" w:rsidR="00930B3B" w:rsidRPr="00C8686C" w:rsidRDefault="00930B3B" w:rsidP="00930B3B">
      <w:pPr>
        <w:spacing w:line="360" w:lineRule="auto"/>
        <w:ind w:right="51"/>
        <w:jc w:val="both"/>
        <w:rPr>
          <w:rFonts w:ascii="Palatino Linotype" w:hAnsi="Palatino Linotype" w:cs="Arial"/>
        </w:rPr>
      </w:pPr>
    </w:p>
    <w:p w14:paraId="65F95504" w14:textId="77777777" w:rsidR="00930B3B" w:rsidRPr="00032831" w:rsidRDefault="00930B3B" w:rsidP="00930B3B">
      <w:pPr>
        <w:spacing w:line="360" w:lineRule="auto"/>
        <w:jc w:val="both"/>
        <w:rPr>
          <w:rFonts w:ascii="Palatino Linotype" w:eastAsia="Calibri" w:hAnsi="Palatino Linotype" w:cs="Tahoma"/>
          <w:bCs/>
          <w:color w:val="000000"/>
        </w:rPr>
      </w:pPr>
      <w:r w:rsidRPr="00032831">
        <w:rPr>
          <w:rFonts w:ascii="Palatino Linotype" w:eastAsia="Calibri" w:hAnsi="Palatino Linotype" w:cs="Tahoma"/>
          <w:bCs/>
          <w:color w:val="000000"/>
        </w:rPr>
        <w:t xml:space="preserve">En relación a los </w:t>
      </w:r>
      <w:r w:rsidRPr="00032831">
        <w:rPr>
          <w:rFonts w:ascii="Palatino Linotype" w:eastAsia="Calibri" w:hAnsi="Palatino Linotype" w:cs="Tahoma"/>
          <w:b/>
          <w:bCs/>
          <w:color w:val="000000"/>
          <w:u w:val="single"/>
        </w:rPr>
        <w:t>números de cuenta bancarias</w:t>
      </w:r>
      <w:r w:rsidRPr="00032831">
        <w:rPr>
          <w:rFonts w:ascii="Palatino Linotype" w:eastAsia="Calibri" w:hAnsi="Palatino Linotype" w:cs="Tahoma"/>
          <w:bCs/>
          <w:color w:val="000000"/>
        </w:rPr>
        <w:t xml:space="preserve"> del </w:t>
      </w:r>
      <w:r w:rsidRPr="00032831">
        <w:rPr>
          <w:rFonts w:ascii="Palatino Linotype" w:eastAsia="Calibri" w:hAnsi="Palatino Linotype" w:cs="Tahoma"/>
          <w:b/>
          <w:bCs/>
          <w:color w:val="000000"/>
        </w:rPr>
        <w:t>Sujeto Obligado</w:t>
      </w:r>
      <w:r w:rsidRPr="00032831">
        <w:rPr>
          <w:rFonts w:ascii="Palatino Linotype" w:eastAsia="Calibri" w:hAnsi="Palatino Linotype" w:cs="Tahoma"/>
          <w:bCs/>
          <w:color w:val="000000"/>
        </w:rPr>
        <w:t xml:space="preserve">, en </w:t>
      </w:r>
      <w:r w:rsidRPr="00032831">
        <w:rPr>
          <w:rFonts w:ascii="Palatino Linotype" w:hAnsi="Palatino Linotype"/>
        </w:rPr>
        <w:t xml:space="preserve">donde se transfieren recursos públicos, </w:t>
      </w:r>
      <w:r w:rsidRPr="00032831">
        <w:rPr>
          <w:rFonts w:ascii="Palatino Linotype" w:hAnsi="Palatino Linotype"/>
          <w:b/>
          <w:u w:val="single"/>
        </w:rPr>
        <w:t>son considerados como información pública</w:t>
      </w:r>
      <w:r w:rsidRPr="00032831">
        <w:rPr>
          <w:rFonts w:ascii="Palatino Linotype" w:hAnsi="Palatino Linotype"/>
        </w:rPr>
        <w:t>, pues su difusión favorece la rendición de cuentas al transparentar la forma en que se administrar los recursos públicos; situación que se robustece con el Criterio 11/17, del Instituto Nacional de Transparencia, Acceso a la Información y Protección de Datos Personales, que a la letra precisa:</w:t>
      </w:r>
    </w:p>
    <w:p w14:paraId="293F5D23" w14:textId="77777777" w:rsidR="00930B3B" w:rsidRPr="00C8686C" w:rsidRDefault="00930B3B" w:rsidP="00930B3B">
      <w:pPr>
        <w:spacing w:line="360" w:lineRule="auto"/>
        <w:jc w:val="both"/>
        <w:rPr>
          <w:rFonts w:ascii="Palatino Linotype" w:hAnsi="Palatino Linotype"/>
        </w:rPr>
      </w:pPr>
    </w:p>
    <w:p w14:paraId="7EE4C3A7" w14:textId="77777777" w:rsidR="00930B3B" w:rsidRPr="00C8686C" w:rsidRDefault="00930B3B" w:rsidP="00930B3B">
      <w:pPr>
        <w:ind w:left="567" w:right="567"/>
        <w:jc w:val="both"/>
        <w:rPr>
          <w:rFonts w:ascii="Palatino Linotype" w:hAnsi="Palatino Linotype"/>
          <w:i/>
          <w:iCs/>
          <w:szCs w:val="20"/>
        </w:rPr>
      </w:pPr>
      <w:r w:rsidRPr="00C8686C">
        <w:rPr>
          <w:rFonts w:ascii="Palatino Linotype" w:hAnsi="Palatino Linotype"/>
          <w:b/>
          <w:i/>
          <w:iCs/>
          <w:szCs w:val="20"/>
        </w:rPr>
        <w:t>“Cuentas bancarias y/o CLABE interbancaria de sujetos obligados que reciben y/o transfieren recursos públicos, son información pública.</w:t>
      </w:r>
      <w:r w:rsidRPr="00C8686C">
        <w:rPr>
          <w:rFonts w:ascii="Palatino Linotype" w:hAnsi="Palatino Linotype"/>
          <w:i/>
          <w:iCs/>
          <w:szCs w:val="20"/>
        </w:rPr>
        <w:t xml:space="preserve">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2932E9DC" w14:textId="77777777" w:rsidR="00930B3B" w:rsidRPr="00C8686C" w:rsidRDefault="00930B3B" w:rsidP="00930B3B">
      <w:pPr>
        <w:spacing w:line="360" w:lineRule="auto"/>
        <w:ind w:right="51"/>
        <w:jc w:val="both"/>
        <w:rPr>
          <w:rFonts w:ascii="Palatino Linotype" w:hAnsi="Palatino Linotype" w:cs="Arial"/>
        </w:rPr>
      </w:pPr>
    </w:p>
    <w:p w14:paraId="21427112" w14:textId="77777777" w:rsidR="00930B3B" w:rsidRPr="00032831" w:rsidRDefault="00930B3B" w:rsidP="00930B3B">
      <w:pPr>
        <w:spacing w:line="360" w:lineRule="auto"/>
        <w:jc w:val="both"/>
        <w:rPr>
          <w:rFonts w:ascii="Palatino Linotype" w:hAnsi="Palatino Linotype"/>
        </w:rPr>
      </w:pPr>
      <w:r w:rsidRPr="00032831">
        <w:rPr>
          <w:rFonts w:ascii="Palatino Linotype" w:hAnsi="Palatino Linotype" w:cs="Arial"/>
        </w:rPr>
        <w:lastRenderedPageBreak/>
        <w:t xml:space="preserve">Por otro lado, el </w:t>
      </w:r>
      <w:r w:rsidRPr="00032831">
        <w:rPr>
          <w:rFonts w:ascii="Palatino Linotype" w:hAnsi="Palatino Linotype"/>
        </w:rPr>
        <w:t>Criterio 11/17 establece que el número de cuenta de particulares es información confidencial, del Instituto Nacional de Transparencia, Acceso a la Información y Protección de Datos Personales, que a la letra precisa:</w:t>
      </w:r>
    </w:p>
    <w:p w14:paraId="0CF87258" w14:textId="77777777" w:rsidR="00930B3B" w:rsidRPr="00C8686C" w:rsidRDefault="00930B3B" w:rsidP="00930B3B">
      <w:pPr>
        <w:pStyle w:val="Citas"/>
        <w:rPr>
          <w:b/>
        </w:rPr>
      </w:pPr>
      <w:bookmarkStart w:id="1" w:name="_Toc103270313"/>
      <w:r w:rsidRPr="00C8686C">
        <w:rPr>
          <w:b/>
        </w:rPr>
        <w:t>CRITERIO: 10/17.- Cuentas bancarias y/o CLABE interbancaria de personas físicas y morales privadas.</w:t>
      </w:r>
      <w:bookmarkEnd w:id="1"/>
    </w:p>
    <w:p w14:paraId="3247534A" w14:textId="77777777" w:rsidR="00930B3B" w:rsidRPr="00C8686C" w:rsidRDefault="00930B3B" w:rsidP="00930B3B">
      <w:pPr>
        <w:pStyle w:val="Citas"/>
      </w:pPr>
      <w:r w:rsidRPr="00220CF2">
        <w:rPr>
          <w:b/>
        </w:rPr>
        <w:t>El número de cuenta bancaria y/o CLABE interbancaria de particulares es información confidencial</w:t>
      </w:r>
      <w:r w:rsidRPr="00C8686C">
        <w:t xml:space="preserve">,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 </w:t>
      </w:r>
    </w:p>
    <w:p w14:paraId="755315FF" w14:textId="77777777" w:rsidR="00930B3B" w:rsidRDefault="00930B3B" w:rsidP="00930B3B">
      <w:pPr>
        <w:autoSpaceDE w:val="0"/>
        <w:autoSpaceDN w:val="0"/>
        <w:adjustRightInd w:val="0"/>
        <w:spacing w:before="240" w:line="360" w:lineRule="auto"/>
        <w:jc w:val="both"/>
        <w:rPr>
          <w:rFonts w:ascii="Palatino Linotype" w:hAnsi="Palatino Linotype" w:cs="Arial"/>
        </w:rPr>
      </w:pPr>
    </w:p>
    <w:p w14:paraId="0F7FC8DB" w14:textId="77777777" w:rsidR="00930B3B" w:rsidRDefault="00930B3B" w:rsidP="00930B3B">
      <w:pPr>
        <w:autoSpaceDE w:val="0"/>
        <w:autoSpaceDN w:val="0"/>
        <w:adjustRightInd w:val="0"/>
        <w:spacing w:before="240" w:line="360" w:lineRule="auto"/>
        <w:jc w:val="both"/>
        <w:rPr>
          <w:rFonts w:ascii="Palatino Linotype" w:eastAsia="Calibri" w:hAnsi="Palatino Linotype" w:cs="Arial"/>
          <w:szCs w:val="22"/>
          <w:lang w:val="es-ES_tradnl" w:eastAsia="es-MX"/>
        </w:rPr>
      </w:pPr>
      <w:r w:rsidRPr="00386A5B">
        <w:rPr>
          <w:rFonts w:ascii="Palatino Linotype" w:eastAsia="Calibri" w:hAnsi="Palatino Linotype" w:cs="Arial"/>
          <w:szCs w:val="22"/>
          <w:lang w:val="es-ES_tradnl" w:eastAsia="es-MX"/>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386A5B">
        <w:rPr>
          <w:rFonts w:ascii="Palatino Linotype" w:eastAsia="Calibri" w:hAnsi="Palatino Linotype" w:cs="Arial"/>
          <w:b/>
          <w:szCs w:val="22"/>
          <w:lang w:val="es-ES_tradnl" w:eastAsia="es-MX"/>
        </w:rPr>
        <w:t xml:space="preserve">LINEAMIENTOS GENERALES EN MATERIA DE CLASIFICACIÓN Y DESCLASIFICACIÓN DE LA INFORMACIÓN, ASÍ COMO </w:t>
      </w:r>
      <w:r w:rsidRPr="00386A5B">
        <w:rPr>
          <w:rFonts w:ascii="Palatino Linotype" w:eastAsia="Calibri" w:hAnsi="Palatino Linotype" w:cs="Arial"/>
          <w:b/>
          <w:szCs w:val="22"/>
          <w:lang w:val="es-ES_tradnl" w:eastAsia="es-MX"/>
        </w:rPr>
        <w:lastRenderedPageBreak/>
        <w:t>PARA LA ELABORACIÓN DE VERSIONES PÚBLICAS,</w:t>
      </w:r>
      <w:r w:rsidRPr="00386A5B">
        <w:rPr>
          <w:rFonts w:ascii="Palatino Linotype" w:eastAsia="Calibri" w:hAnsi="Palatino Linotype" w:cs="Arial"/>
          <w:szCs w:val="22"/>
          <w:lang w:val="es-ES_tradnl" w:eastAsia="es-MX"/>
        </w:rPr>
        <w:t xml:space="preserve"> publicados en el Diario Oficial de la Federación en fecha quince de abril de dos mil dieciséis, mediante Acuerdo del Consejo Nacional del Sistema Nacional de Transparencia, Acceso a la Información Pública y Protección de Datos Personales</w:t>
      </w:r>
      <w:r>
        <w:rPr>
          <w:rFonts w:ascii="Palatino Linotype" w:eastAsia="Calibri" w:hAnsi="Palatino Linotype" w:cs="Arial"/>
          <w:szCs w:val="22"/>
          <w:lang w:val="es-ES_tradnl" w:eastAsia="es-MX"/>
        </w:rPr>
        <w:t>.</w:t>
      </w:r>
    </w:p>
    <w:p w14:paraId="34493EB8" w14:textId="77777777" w:rsidR="00930B3B" w:rsidRDefault="00930B3B" w:rsidP="00930B3B">
      <w:pPr>
        <w:autoSpaceDE w:val="0"/>
        <w:autoSpaceDN w:val="0"/>
        <w:adjustRightInd w:val="0"/>
        <w:spacing w:before="240" w:line="360" w:lineRule="auto"/>
        <w:jc w:val="both"/>
        <w:rPr>
          <w:rFonts w:ascii="Palatino Linotype" w:eastAsia="Calibri" w:hAnsi="Palatino Linotype" w:cs="Arial"/>
          <w:szCs w:val="22"/>
          <w:lang w:val="es-ES_tradnl" w:eastAsia="es-MX"/>
        </w:rPr>
      </w:pPr>
    </w:p>
    <w:p w14:paraId="59292C23" w14:textId="77777777" w:rsidR="00930B3B" w:rsidRPr="009A71E1" w:rsidRDefault="00930B3B" w:rsidP="00930B3B">
      <w:pPr>
        <w:spacing w:line="360" w:lineRule="auto"/>
        <w:jc w:val="both"/>
        <w:rPr>
          <w:rFonts w:ascii="Palatino Linotype" w:eastAsiaTheme="minorHAnsi" w:hAnsi="Palatino Linotype" w:cstheme="minorBidi"/>
          <w:lang w:val="es-MX" w:eastAsia="en-US"/>
        </w:rPr>
      </w:pPr>
    </w:p>
    <w:p w14:paraId="55F15B7F" w14:textId="7B1A1B16" w:rsidR="00551637" w:rsidRPr="009A71E1" w:rsidRDefault="001077A3" w:rsidP="00551637">
      <w:pPr>
        <w:spacing w:line="360" w:lineRule="auto"/>
        <w:jc w:val="both"/>
        <w:rPr>
          <w:rFonts w:ascii="Palatino Linotype" w:eastAsiaTheme="minorHAnsi" w:hAnsi="Palatino Linotype" w:cstheme="minorBidi"/>
          <w:lang w:val="es-MX" w:eastAsia="en-US"/>
        </w:rPr>
      </w:pPr>
      <w:r>
        <w:rPr>
          <w:rFonts w:ascii="Palatino Linotype" w:eastAsiaTheme="minorHAnsi" w:hAnsi="Palatino Linotype" w:cstheme="minorBidi"/>
          <w:lang w:val="es-MX" w:eastAsia="en-US"/>
        </w:rPr>
        <w:t>E</w:t>
      </w:r>
      <w:r w:rsidR="00551637" w:rsidRPr="009A71E1">
        <w:rPr>
          <w:rFonts w:ascii="Palatino Linotype" w:eastAsiaTheme="minorHAnsi" w:hAnsi="Palatino Linotype" w:cstheme="minorBidi"/>
          <w:lang w:val="es-MX" w:eastAsia="en-US"/>
        </w:rPr>
        <w:t xml:space="preserve">n mérito de lo expuesto en líneas anteriores, al resultar fundados los motivos de inconformidad vertidos por </w:t>
      </w:r>
      <w:r w:rsidR="00AB0492">
        <w:rPr>
          <w:rFonts w:ascii="Palatino Linotype" w:eastAsiaTheme="minorHAnsi" w:hAnsi="Palatino Linotype" w:cstheme="minorBidi"/>
          <w:b/>
          <w:lang w:val="es-MX" w:eastAsia="en-US"/>
        </w:rPr>
        <w:t>el</w:t>
      </w:r>
      <w:r w:rsidR="00551637">
        <w:rPr>
          <w:rFonts w:ascii="Palatino Linotype" w:eastAsiaTheme="minorHAnsi" w:hAnsi="Palatino Linotype" w:cstheme="minorBidi"/>
          <w:b/>
          <w:lang w:val="es-MX" w:eastAsia="en-US"/>
        </w:rPr>
        <w:t xml:space="preserve"> Recurrente</w:t>
      </w:r>
      <w:r w:rsidR="00551637" w:rsidRPr="009A71E1">
        <w:rPr>
          <w:rFonts w:ascii="Palatino Linotype" w:eastAsiaTheme="minorHAnsi" w:hAnsi="Palatino Linotype" w:cstheme="minorBidi"/>
          <w:lang w:val="es-MX" w:eastAsia="en-US"/>
        </w:rPr>
        <w:t xml:space="preserve">, con fundamento en la </w:t>
      </w:r>
      <w:r w:rsidR="00C10F27">
        <w:rPr>
          <w:rFonts w:ascii="Palatino Linotype" w:eastAsiaTheme="minorHAnsi" w:hAnsi="Palatino Linotype" w:cstheme="minorBidi"/>
          <w:i/>
          <w:iCs/>
          <w:lang w:val="es-MX" w:eastAsia="en-US"/>
        </w:rPr>
        <w:t>primera</w:t>
      </w:r>
      <w:r w:rsidR="00551637" w:rsidRPr="005E5618">
        <w:rPr>
          <w:rFonts w:ascii="Palatino Linotype" w:eastAsiaTheme="minorHAnsi" w:hAnsi="Palatino Linotype" w:cstheme="minorBidi"/>
          <w:i/>
          <w:iCs/>
          <w:lang w:val="es-MX" w:eastAsia="en-US"/>
        </w:rPr>
        <w:t xml:space="preserve"> hipótesis</w:t>
      </w:r>
      <w:r w:rsidR="00551637" w:rsidRPr="009A71E1">
        <w:rPr>
          <w:rFonts w:ascii="Palatino Linotype" w:eastAsiaTheme="minorHAnsi" w:hAnsi="Palatino Linotype" w:cstheme="minorBidi"/>
          <w:lang w:val="es-MX" w:eastAsia="en-US"/>
        </w:rPr>
        <w:t xml:space="preserve"> del artículo 186 fracción III de la Ley de Transparencia y Acceso a la Información Pública del Estado de México y Municipios, se </w:t>
      </w:r>
      <w:r w:rsidR="00C10F27">
        <w:rPr>
          <w:rFonts w:ascii="Palatino Linotype" w:eastAsiaTheme="minorHAnsi" w:hAnsi="Palatino Linotype" w:cstheme="minorBidi"/>
          <w:b/>
          <w:lang w:val="es-MX" w:eastAsia="en-US"/>
        </w:rPr>
        <w:t>REVOCA</w:t>
      </w:r>
      <w:r w:rsidR="00551637" w:rsidRPr="009A71E1">
        <w:rPr>
          <w:rFonts w:ascii="Palatino Linotype" w:eastAsiaTheme="minorHAnsi" w:hAnsi="Palatino Linotype" w:cstheme="minorBidi"/>
          <w:b/>
          <w:lang w:val="es-MX" w:eastAsia="en-US"/>
        </w:rPr>
        <w:t xml:space="preserve"> </w:t>
      </w:r>
      <w:r w:rsidR="00551637" w:rsidRPr="009A71E1">
        <w:rPr>
          <w:rFonts w:ascii="Palatino Linotype" w:eastAsiaTheme="minorHAnsi" w:hAnsi="Palatino Linotype" w:cstheme="minorBidi"/>
          <w:lang w:val="es-MX" w:eastAsia="en-US"/>
        </w:rPr>
        <w:t xml:space="preserve">la respuesta emitida a la solicitud de información </w:t>
      </w:r>
      <w:r w:rsidR="00C10F27" w:rsidRPr="00C10F27">
        <w:rPr>
          <w:rFonts w:ascii="Palatino Linotype" w:hAnsi="Palatino Linotype"/>
          <w:b/>
          <w:bCs/>
        </w:rPr>
        <w:t>00026/OASNAUCAL/IP/2025</w:t>
      </w:r>
      <w:r w:rsidR="00551637" w:rsidRPr="008C4CE2">
        <w:rPr>
          <w:rFonts w:ascii="Palatino Linotype" w:eastAsiaTheme="minorHAnsi" w:hAnsi="Palatino Linotype"/>
          <w:b/>
          <w:bCs/>
        </w:rPr>
        <w:t>,</w:t>
      </w:r>
      <w:r w:rsidR="00551637" w:rsidRPr="009A71E1">
        <w:rPr>
          <w:rFonts w:ascii="Palatino Linotype" w:eastAsiaTheme="minorHAnsi" w:hAnsi="Palatino Linotype" w:cs="Arial"/>
          <w:lang w:val="es-MX" w:eastAsia="en-US"/>
        </w:rPr>
        <w:t xml:space="preserve"> </w:t>
      </w:r>
      <w:r w:rsidR="00551637" w:rsidRPr="009A71E1">
        <w:rPr>
          <w:rFonts w:ascii="Palatino Linotype" w:eastAsiaTheme="minorHAnsi" w:hAnsi="Palatino Linotype" w:cstheme="minorBidi"/>
          <w:lang w:val="es-MX" w:eastAsia="en-US"/>
        </w:rPr>
        <w:t>que ha sido materia del presente fallo.</w:t>
      </w:r>
    </w:p>
    <w:p w14:paraId="274FF240" w14:textId="77777777" w:rsidR="00551637" w:rsidRPr="009A71E1" w:rsidRDefault="00551637" w:rsidP="00551637">
      <w:pPr>
        <w:spacing w:line="360" w:lineRule="auto"/>
        <w:jc w:val="both"/>
        <w:rPr>
          <w:rFonts w:ascii="Palatino Linotype" w:eastAsiaTheme="minorHAnsi" w:hAnsi="Palatino Linotype" w:cstheme="minorBidi"/>
          <w:lang w:val="es-MX" w:eastAsia="en-US"/>
        </w:rPr>
      </w:pPr>
    </w:p>
    <w:p w14:paraId="410D564B" w14:textId="77777777" w:rsidR="00551637" w:rsidRDefault="00551637" w:rsidP="00551637">
      <w:pPr>
        <w:spacing w:line="360" w:lineRule="auto"/>
        <w:jc w:val="both"/>
        <w:rPr>
          <w:rFonts w:ascii="Palatino Linotype" w:hAnsi="Palatino Linotype"/>
          <w:lang w:val="es-MX"/>
        </w:rPr>
      </w:pPr>
      <w:r w:rsidRPr="009A71E1">
        <w:rPr>
          <w:rFonts w:ascii="Palatino Linotype" w:hAnsi="Palatino Linotype"/>
          <w:lang w:val="es-MX"/>
        </w:rPr>
        <w:t>Por lo antes expuesto y fundado es de resolverse y,</w:t>
      </w:r>
    </w:p>
    <w:p w14:paraId="37B45B4E" w14:textId="77777777" w:rsidR="00551637" w:rsidRPr="009A71E1" w:rsidRDefault="00551637" w:rsidP="00551637">
      <w:pPr>
        <w:spacing w:line="360" w:lineRule="auto"/>
        <w:jc w:val="both"/>
        <w:rPr>
          <w:rFonts w:ascii="Palatino Linotype" w:hAnsi="Palatino Linotype"/>
          <w:lang w:val="es-MX"/>
        </w:rPr>
      </w:pPr>
    </w:p>
    <w:p w14:paraId="1D1F93EF" w14:textId="77777777" w:rsidR="00551637" w:rsidRPr="009A71E1" w:rsidRDefault="00551637" w:rsidP="00551637">
      <w:pPr>
        <w:spacing w:line="360" w:lineRule="auto"/>
        <w:jc w:val="center"/>
        <w:rPr>
          <w:rFonts w:ascii="Palatino Linotype" w:hAnsi="Palatino Linotype"/>
          <w:bCs/>
          <w:spacing w:val="60"/>
          <w:lang w:val="es-ES_tradnl"/>
        </w:rPr>
      </w:pPr>
      <w:r w:rsidRPr="009A71E1">
        <w:rPr>
          <w:rFonts w:ascii="Palatino Linotype" w:hAnsi="Palatino Linotype"/>
          <w:b/>
          <w:bCs/>
          <w:spacing w:val="60"/>
          <w:sz w:val="28"/>
          <w:lang w:val="es-ES_tradnl"/>
        </w:rPr>
        <w:t>SE    RESUELVE</w:t>
      </w:r>
    </w:p>
    <w:p w14:paraId="5F7AEE12" w14:textId="77777777" w:rsidR="00551637" w:rsidRDefault="00551637" w:rsidP="00551637">
      <w:pPr>
        <w:autoSpaceDE w:val="0"/>
        <w:autoSpaceDN w:val="0"/>
        <w:adjustRightInd w:val="0"/>
        <w:spacing w:line="360" w:lineRule="auto"/>
        <w:ind w:right="49"/>
        <w:jc w:val="both"/>
        <w:rPr>
          <w:rFonts w:ascii="Palatino Linotype" w:eastAsiaTheme="minorHAnsi" w:hAnsi="Palatino Linotype" w:cs="Arial"/>
          <w:sz w:val="28"/>
          <w:szCs w:val="28"/>
          <w:lang w:val="es-ES_tradnl" w:eastAsia="en-US"/>
        </w:rPr>
      </w:pPr>
    </w:p>
    <w:p w14:paraId="0A0C15DD" w14:textId="10C0C1DB" w:rsidR="00551637" w:rsidRPr="00165D42" w:rsidRDefault="00551637" w:rsidP="00551637">
      <w:pPr>
        <w:spacing w:line="360" w:lineRule="auto"/>
        <w:jc w:val="both"/>
        <w:rPr>
          <w:rFonts w:ascii="Palatino Linotype" w:hAnsi="Palatino Linotype" w:cs="Arial"/>
        </w:rPr>
      </w:pPr>
      <w:r w:rsidRPr="008C27E8">
        <w:rPr>
          <w:rFonts w:ascii="Palatino Linotype" w:hAnsi="Palatino Linotype" w:cs="Arial"/>
          <w:b/>
          <w:sz w:val="28"/>
          <w:szCs w:val="28"/>
        </w:rPr>
        <w:t>PRIMERO</w:t>
      </w:r>
      <w:r w:rsidRPr="008C27E8">
        <w:rPr>
          <w:rFonts w:ascii="Palatino Linotype" w:hAnsi="Palatino Linotype" w:cs="Arial"/>
          <w:sz w:val="32"/>
          <w:szCs w:val="28"/>
        </w:rPr>
        <w:t>.</w:t>
      </w:r>
      <w:r w:rsidRPr="008C27E8">
        <w:rPr>
          <w:rFonts w:ascii="Palatino Linotype" w:hAnsi="Palatino Linotype" w:cs="Arial"/>
        </w:rPr>
        <w:t xml:space="preserve"> </w:t>
      </w:r>
      <w:r w:rsidRPr="00165D42">
        <w:rPr>
          <w:rFonts w:ascii="Palatino Linotype" w:hAnsi="Palatino Linotype" w:cs="Arial"/>
        </w:rPr>
        <w:t>Se</w:t>
      </w:r>
      <w:r w:rsidRPr="00165D42">
        <w:rPr>
          <w:rFonts w:ascii="Palatino Linotype" w:hAnsi="Palatino Linotype" w:cs="Arial"/>
          <w:b/>
        </w:rPr>
        <w:t xml:space="preserve"> </w:t>
      </w:r>
      <w:r w:rsidR="00C10F27">
        <w:rPr>
          <w:rFonts w:ascii="Palatino Linotype" w:hAnsi="Palatino Linotype" w:cs="Arial"/>
          <w:b/>
        </w:rPr>
        <w:t>REVOCA</w:t>
      </w:r>
      <w:r w:rsidRPr="00165D42">
        <w:rPr>
          <w:rFonts w:ascii="Palatino Linotype" w:hAnsi="Palatino Linotype" w:cs="Arial"/>
          <w:b/>
        </w:rPr>
        <w:t xml:space="preserve"> </w:t>
      </w:r>
      <w:r w:rsidRPr="00165D42">
        <w:rPr>
          <w:rFonts w:ascii="Palatino Linotype" w:hAnsi="Palatino Linotype" w:cs="Arial"/>
        </w:rPr>
        <w:t xml:space="preserve">la respuesta del </w:t>
      </w:r>
      <w:r w:rsidRPr="00165D42">
        <w:rPr>
          <w:rFonts w:ascii="Palatino Linotype" w:hAnsi="Palatino Linotype" w:cs="Arial"/>
          <w:b/>
        </w:rPr>
        <w:t>Sujeto Obligado</w:t>
      </w:r>
      <w:r w:rsidRPr="00165D42">
        <w:rPr>
          <w:rFonts w:ascii="Palatino Linotype" w:hAnsi="Palatino Linotype" w:cs="Arial"/>
        </w:rPr>
        <w:t xml:space="preserve"> a la solicitud</w:t>
      </w:r>
      <w:r w:rsidR="00083843">
        <w:rPr>
          <w:rFonts w:ascii="Palatino Linotype" w:hAnsi="Palatino Linotype" w:cs="Arial"/>
        </w:rPr>
        <w:t xml:space="preserve"> </w:t>
      </w:r>
      <w:r w:rsidRPr="00165D42">
        <w:rPr>
          <w:rFonts w:ascii="Palatino Linotype" w:hAnsi="Palatino Linotype" w:cs="Arial"/>
        </w:rPr>
        <w:t>de acceso a la información pública</w:t>
      </w:r>
      <w:r w:rsidR="00A611D6" w:rsidRPr="00A611D6">
        <w:rPr>
          <w:rFonts w:ascii="Palatino Linotype" w:hAnsi="Palatino Linotype"/>
          <w:b/>
          <w:bCs/>
        </w:rPr>
        <w:t xml:space="preserve"> </w:t>
      </w:r>
      <w:r w:rsidR="00C10F27" w:rsidRPr="00C10F27">
        <w:rPr>
          <w:rFonts w:ascii="Palatino Linotype" w:hAnsi="Palatino Linotype"/>
          <w:b/>
          <w:bCs/>
        </w:rPr>
        <w:t>00026/OASNAUCAL/IP/2025</w:t>
      </w:r>
      <w:r w:rsidRPr="00165D42">
        <w:rPr>
          <w:rFonts w:ascii="Palatino Linotype" w:hAnsi="Palatino Linotype" w:cs="Arial"/>
        </w:rPr>
        <w:t>,</w:t>
      </w:r>
      <w:r w:rsidRPr="00165D42">
        <w:rPr>
          <w:rFonts w:ascii="Palatino Linotype" w:hAnsi="Palatino Linotype" w:cs="Tahoma"/>
          <w:b/>
        </w:rPr>
        <w:t xml:space="preserve"> </w:t>
      </w:r>
      <w:r w:rsidRPr="00165D42">
        <w:rPr>
          <w:rFonts w:ascii="Palatino Linotype" w:hAnsi="Palatino Linotype" w:cs="Arial"/>
        </w:rPr>
        <w:t>por resultar</w:t>
      </w:r>
      <w:r>
        <w:rPr>
          <w:rFonts w:ascii="Palatino Linotype" w:hAnsi="Palatino Linotype" w:cs="Arial"/>
        </w:rPr>
        <w:t xml:space="preserve"> </w:t>
      </w:r>
      <w:r w:rsidRPr="00165D42">
        <w:rPr>
          <w:rFonts w:ascii="Palatino Linotype" w:hAnsi="Palatino Linotype" w:cs="Arial"/>
          <w:b/>
        </w:rPr>
        <w:t xml:space="preserve">fundados </w:t>
      </w:r>
      <w:r w:rsidRPr="00165D42">
        <w:rPr>
          <w:rFonts w:ascii="Palatino Linotype" w:hAnsi="Palatino Linotype" w:cs="Arial"/>
        </w:rPr>
        <w:t>los motivos de inconformidad vertidos por la</w:t>
      </w:r>
      <w:r>
        <w:rPr>
          <w:rFonts w:ascii="Palatino Linotype" w:hAnsi="Palatino Linotype" w:cs="Arial"/>
        </w:rPr>
        <w:t xml:space="preserve"> parte</w:t>
      </w:r>
      <w:r w:rsidRPr="00165D42">
        <w:rPr>
          <w:rFonts w:ascii="Palatino Linotype" w:hAnsi="Palatino Linotype" w:cs="Arial"/>
        </w:rPr>
        <w:t xml:space="preserve"> </w:t>
      </w:r>
      <w:r w:rsidRPr="00165D42">
        <w:rPr>
          <w:rFonts w:ascii="Palatino Linotype" w:hAnsi="Palatino Linotype" w:cs="Arial"/>
          <w:b/>
        </w:rPr>
        <w:t>Recurrente</w:t>
      </w:r>
      <w:r>
        <w:rPr>
          <w:rFonts w:ascii="Palatino Linotype" w:hAnsi="Palatino Linotype" w:cs="Arial"/>
        </w:rPr>
        <w:t>, en términos del considerando</w:t>
      </w:r>
      <w:r w:rsidRPr="00165D42">
        <w:rPr>
          <w:rFonts w:ascii="Palatino Linotype" w:hAnsi="Palatino Linotype" w:cs="Arial"/>
          <w:b/>
        </w:rPr>
        <w:t xml:space="preserve"> CUARTO </w:t>
      </w:r>
      <w:r w:rsidRPr="00165D42">
        <w:rPr>
          <w:rFonts w:ascii="Palatino Linotype" w:hAnsi="Palatino Linotype" w:cs="Arial"/>
        </w:rPr>
        <w:t>de la presente Resolución.</w:t>
      </w:r>
    </w:p>
    <w:p w14:paraId="0CAF734A" w14:textId="77777777" w:rsidR="00551637" w:rsidRPr="00165D42" w:rsidRDefault="00551637" w:rsidP="00551637">
      <w:pPr>
        <w:spacing w:line="360" w:lineRule="auto"/>
        <w:jc w:val="both"/>
        <w:rPr>
          <w:rFonts w:ascii="Palatino Linotype" w:hAnsi="Palatino Linotype" w:cs="Arial"/>
        </w:rPr>
      </w:pPr>
    </w:p>
    <w:p w14:paraId="41E6939B" w14:textId="37FE66BD" w:rsidR="00551637" w:rsidRDefault="00551637" w:rsidP="00551637">
      <w:pPr>
        <w:spacing w:line="360" w:lineRule="auto"/>
        <w:jc w:val="both"/>
        <w:rPr>
          <w:rFonts w:ascii="Palatino Linotype" w:hAnsi="Palatino Linotype" w:cs="Tahoma"/>
        </w:rPr>
      </w:pPr>
      <w:r w:rsidRPr="00165D42">
        <w:rPr>
          <w:rFonts w:ascii="Palatino Linotype" w:hAnsi="Palatino Linotype" w:cs="Arial"/>
          <w:b/>
          <w:sz w:val="28"/>
        </w:rPr>
        <w:lastRenderedPageBreak/>
        <w:t>SEGUNDO</w:t>
      </w:r>
      <w:r w:rsidRPr="00165D42">
        <w:rPr>
          <w:rFonts w:ascii="Palatino Linotype" w:hAnsi="Palatino Linotype" w:cs="Arial"/>
          <w:b/>
        </w:rPr>
        <w:t>.</w:t>
      </w:r>
      <w:r w:rsidRPr="00165D42">
        <w:rPr>
          <w:rFonts w:ascii="Palatino Linotype" w:hAnsi="Palatino Linotype" w:cs="Tahoma"/>
        </w:rPr>
        <w:t xml:space="preserve"> Se </w:t>
      </w:r>
      <w:r w:rsidRPr="00165D42">
        <w:rPr>
          <w:rFonts w:ascii="Palatino Linotype" w:hAnsi="Palatino Linotype" w:cs="Tahoma"/>
          <w:b/>
        </w:rPr>
        <w:t>ORDENA</w:t>
      </w:r>
      <w:r w:rsidRPr="00165D42">
        <w:rPr>
          <w:rFonts w:ascii="Palatino Linotype" w:hAnsi="Palatino Linotype" w:cs="Tahoma"/>
        </w:rPr>
        <w:t xml:space="preserve"> al </w:t>
      </w:r>
      <w:r w:rsidRPr="00165D42">
        <w:rPr>
          <w:rFonts w:ascii="Palatino Linotype" w:hAnsi="Palatino Linotype" w:cs="Tahoma"/>
          <w:b/>
        </w:rPr>
        <w:t>Sujeto Obligado,</w:t>
      </w:r>
      <w:r w:rsidRPr="00165D42">
        <w:rPr>
          <w:rFonts w:ascii="Palatino Linotype" w:hAnsi="Palatino Linotype" w:cs="Tahoma"/>
        </w:rPr>
        <w:t xml:space="preserve"> </w:t>
      </w:r>
      <w:r>
        <w:rPr>
          <w:rFonts w:ascii="Palatino Linotype" w:hAnsi="Palatino Linotype" w:cs="Tahoma"/>
        </w:rPr>
        <w:t>haga entrega a la parte</w:t>
      </w:r>
      <w:r w:rsidRPr="00165D42">
        <w:rPr>
          <w:rFonts w:ascii="Palatino Linotype" w:hAnsi="Palatino Linotype" w:cs="Tahoma"/>
        </w:rPr>
        <w:t xml:space="preserve"> </w:t>
      </w:r>
      <w:r w:rsidRPr="00165D42">
        <w:rPr>
          <w:rFonts w:ascii="Palatino Linotype" w:hAnsi="Palatino Linotype" w:cs="Tahoma"/>
          <w:b/>
        </w:rPr>
        <w:t>Recurrente</w:t>
      </w:r>
      <w:r w:rsidRPr="00165D42">
        <w:rPr>
          <w:rFonts w:ascii="Palatino Linotype" w:hAnsi="Palatino Linotype" w:cs="Tahoma"/>
        </w:rPr>
        <w:t>, a través del Sistema de Acceso a la Información Mexiquense (</w:t>
      </w:r>
      <w:r w:rsidRPr="00165D42">
        <w:rPr>
          <w:rFonts w:ascii="Palatino Linotype" w:hAnsi="Palatino Linotype" w:cs="Tahoma"/>
          <w:b/>
        </w:rPr>
        <w:t>SAIMEX</w:t>
      </w:r>
      <w:r w:rsidRPr="00165D42">
        <w:rPr>
          <w:rFonts w:ascii="Palatino Linotype" w:hAnsi="Palatino Linotype" w:cs="Tahoma"/>
        </w:rPr>
        <w:t xml:space="preserve">), </w:t>
      </w:r>
      <w:r w:rsidR="00447D59">
        <w:rPr>
          <w:rFonts w:ascii="Palatino Linotype" w:hAnsi="Palatino Linotype" w:cs="Tahoma"/>
        </w:rPr>
        <w:t xml:space="preserve">previa búsqueda exhaustiva y razonable, </w:t>
      </w:r>
      <w:r>
        <w:rPr>
          <w:rFonts w:ascii="Palatino Linotype" w:hAnsi="Palatino Linotype" w:cs="Tahoma"/>
        </w:rPr>
        <w:t xml:space="preserve">en versión </w:t>
      </w:r>
      <w:r w:rsidR="00C10F27">
        <w:rPr>
          <w:rFonts w:ascii="Palatino Linotype" w:hAnsi="Palatino Linotype" w:cs="Tahoma"/>
        </w:rPr>
        <w:t>pública</w:t>
      </w:r>
      <w:r w:rsidR="00447D59">
        <w:rPr>
          <w:rFonts w:ascii="Palatino Linotype" w:hAnsi="Palatino Linotype" w:cs="Tahoma"/>
        </w:rPr>
        <w:t xml:space="preserve"> de ser procedente</w:t>
      </w:r>
      <w:r w:rsidR="00C10F27">
        <w:rPr>
          <w:rFonts w:ascii="Palatino Linotype" w:hAnsi="Palatino Linotype" w:cs="Tahoma"/>
        </w:rPr>
        <w:t xml:space="preserve">, </w:t>
      </w:r>
      <w:r>
        <w:rPr>
          <w:rFonts w:ascii="Palatino Linotype" w:hAnsi="Palatino Linotype" w:cs="Tahoma"/>
        </w:rPr>
        <w:t xml:space="preserve">de </w:t>
      </w:r>
      <w:r w:rsidRPr="00165D42">
        <w:rPr>
          <w:rFonts w:ascii="Palatino Linotype" w:hAnsi="Palatino Linotype" w:cs="Tahoma"/>
        </w:rPr>
        <w:t>lo siguiente:</w:t>
      </w:r>
    </w:p>
    <w:p w14:paraId="3BB857C0" w14:textId="479F3691" w:rsidR="00F46252" w:rsidRPr="00F46252" w:rsidRDefault="00F46252" w:rsidP="00F46252">
      <w:pPr>
        <w:spacing w:line="360" w:lineRule="auto"/>
        <w:jc w:val="both"/>
        <w:rPr>
          <w:rFonts w:ascii="Palatino Linotype" w:hAnsi="Palatino Linotype" w:cs="Tahoma"/>
        </w:rPr>
      </w:pPr>
    </w:p>
    <w:p w14:paraId="63DD6FB2" w14:textId="2FC5C49E" w:rsidR="00241E5D" w:rsidRPr="00DE7052" w:rsidRDefault="00241E5D" w:rsidP="00241E5D">
      <w:pPr>
        <w:pStyle w:val="Prrafodelista"/>
        <w:numPr>
          <w:ilvl w:val="0"/>
          <w:numId w:val="27"/>
        </w:numPr>
        <w:spacing w:line="360" w:lineRule="auto"/>
        <w:jc w:val="both"/>
        <w:rPr>
          <w:rFonts w:ascii="Palatino Linotype" w:hAnsi="Palatino Linotype" w:cs="Tahoma"/>
        </w:rPr>
      </w:pPr>
      <w:r>
        <w:rPr>
          <w:rFonts w:ascii="Palatino Linotype" w:hAnsi="Palatino Linotype" w:cs="Tahoma"/>
        </w:rPr>
        <w:t xml:space="preserve">Documentos </w:t>
      </w:r>
      <w:r w:rsidR="00BA4412" w:rsidRPr="00BA4412">
        <w:rPr>
          <w:rFonts w:ascii="Palatino Linotype" w:hAnsi="Palatino Linotype" w:cs="Tahoma"/>
          <w:bCs/>
        </w:rPr>
        <w:t>donde conste el costo total de energía eléctrica</w:t>
      </w:r>
      <w:r w:rsidR="00BA4412">
        <w:rPr>
          <w:rFonts w:ascii="Palatino Linotype" w:hAnsi="Palatino Linotype" w:cs="Tahoma"/>
          <w:b/>
        </w:rPr>
        <w:t xml:space="preserve"> </w:t>
      </w:r>
      <w:r w:rsidR="00DE7052" w:rsidRPr="00DE7052">
        <w:rPr>
          <w:rFonts w:ascii="Palatino Linotype" w:hAnsi="Palatino Linotype" w:cs="Tahoma"/>
          <w:bCs/>
        </w:rPr>
        <w:t>del Sujeto Obligado, de los años 2021, 2022, 2023 y 2024.</w:t>
      </w:r>
    </w:p>
    <w:p w14:paraId="33C72AD7" w14:textId="77777777" w:rsidR="00DE7052" w:rsidRPr="00DE7052" w:rsidRDefault="00DE7052" w:rsidP="00DE7052">
      <w:pPr>
        <w:pStyle w:val="Prrafodelista"/>
        <w:spacing w:line="360" w:lineRule="auto"/>
        <w:ind w:left="720"/>
        <w:jc w:val="both"/>
        <w:rPr>
          <w:rFonts w:ascii="Palatino Linotype" w:hAnsi="Palatino Linotype" w:cs="Tahoma"/>
        </w:rPr>
      </w:pPr>
    </w:p>
    <w:p w14:paraId="110777C5" w14:textId="34F0E5B6" w:rsidR="00DE7052" w:rsidRDefault="00DE7052" w:rsidP="00DE7052">
      <w:pPr>
        <w:pStyle w:val="INFOEM"/>
        <w:spacing w:before="0" w:after="0"/>
        <w:ind w:left="720" w:right="567"/>
        <w:rPr>
          <w:sz w:val="24"/>
          <w:szCs w:val="24"/>
        </w:rPr>
      </w:pPr>
      <w:r>
        <w:rPr>
          <w:sz w:val="24"/>
          <w:szCs w:val="24"/>
        </w:rPr>
        <w:t>De ser necesaria la</w:t>
      </w:r>
      <w:r w:rsidRPr="00C960DD">
        <w:rPr>
          <w:sz w:val="24"/>
          <w:szCs w:val="24"/>
        </w:rPr>
        <w:t xml:space="preserve">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23688472" w14:textId="77777777" w:rsidR="00DE7052" w:rsidRPr="00DE7052" w:rsidRDefault="00DE7052" w:rsidP="00DE7052">
      <w:pPr>
        <w:spacing w:line="360" w:lineRule="auto"/>
        <w:jc w:val="both"/>
        <w:rPr>
          <w:rFonts w:ascii="Palatino Linotype" w:hAnsi="Palatino Linotype" w:cs="Tahoma"/>
        </w:rPr>
      </w:pPr>
    </w:p>
    <w:p w14:paraId="581D4857" w14:textId="77777777" w:rsidR="007F7D86" w:rsidRDefault="007F7D86" w:rsidP="00551637">
      <w:pPr>
        <w:spacing w:line="360" w:lineRule="auto"/>
        <w:jc w:val="both"/>
        <w:rPr>
          <w:rFonts w:ascii="Palatino Linotype" w:hAnsi="Palatino Linotype" w:cs="Arial"/>
          <w:b/>
          <w:sz w:val="28"/>
        </w:rPr>
      </w:pPr>
    </w:p>
    <w:p w14:paraId="7C5CD0D2" w14:textId="77777777" w:rsidR="00551637" w:rsidRPr="00DC5E29" w:rsidRDefault="00551637" w:rsidP="00551637">
      <w:pPr>
        <w:spacing w:line="360" w:lineRule="auto"/>
        <w:jc w:val="both"/>
        <w:rPr>
          <w:rFonts w:ascii="Palatino Linotype" w:hAnsi="Palatino Linotype" w:cs="Tahoma"/>
          <w:bCs/>
        </w:rPr>
      </w:pPr>
      <w:r w:rsidRPr="00DC5E29">
        <w:rPr>
          <w:rFonts w:ascii="Palatino Linotype" w:hAnsi="Palatino Linotype" w:cs="Arial"/>
          <w:b/>
          <w:sz w:val="28"/>
        </w:rPr>
        <w:t>TERCERO</w:t>
      </w:r>
      <w:r w:rsidRPr="00DC5E29">
        <w:rPr>
          <w:rFonts w:ascii="Palatino Linotype" w:hAnsi="Palatino Linotype" w:cs="Arial"/>
          <w:b/>
        </w:rPr>
        <w:t>.</w:t>
      </w:r>
      <w:r w:rsidRPr="00DC5E29">
        <w:rPr>
          <w:rFonts w:ascii="Palatino Linotype" w:hAnsi="Palatino Linotype" w:cs="Arial"/>
        </w:rPr>
        <w:t xml:space="preserve"> </w:t>
      </w:r>
      <w:r w:rsidRPr="00DC5E29">
        <w:rPr>
          <w:rFonts w:ascii="Palatino Linotype" w:hAnsi="Palatino Linotype" w:cs="Tahoma"/>
          <w:b/>
        </w:rPr>
        <w:t>NOTIFÍQUESE</w:t>
      </w:r>
      <w:r>
        <w:rPr>
          <w:rFonts w:ascii="Palatino Linotype" w:hAnsi="Palatino Linotype" w:cs="Tahoma"/>
          <w:b/>
        </w:rPr>
        <w:t xml:space="preserve"> </w:t>
      </w:r>
      <w:r w:rsidRPr="00DC5E29">
        <w:rPr>
          <w:rFonts w:ascii="Palatino Linotype" w:hAnsi="Palatino Linotype" w:cs="Arial"/>
        </w:rPr>
        <w:t>a través del Sistema de Acceso a la Inf</w:t>
      </w:r>
      <w:r>
        <w:rPr>
          <w:rFonts w:ascii="Palatino Linotype" w:hAnsi="Palatino Linotype" w:cs="Arial"/>
        </w:rPr>
        <w:t xml:space="preserve">ormación Mexiquense (SAIMEX), </w:t>
      </w:r>
      <w:r w:rsidRPr="00DC5E29">
        <w:rPr>
          <w:rFonts w:ascii="Palatino Linotype" w:hAnsi="Palatino Linotype" w:cs="Tahoma"/>
        </w:rPr>
        <w:t xml:space="preserve">la presente Resolución al Titular de la Unidad de Transparencia del </w:t>
      </w:r>
      <w:r w:rsidRPr="00DC5E29">
        <w:rPr>
          <w:rFonts w:ascii="Palatino Linotype" w:hAnsi="Palatino Linotype" w:cs="Tahoma"/>
          <w:b/>
        </w:rPr>
        <w:t>Sujeto Obligado</w:t>
      </w:r>
      <w:r w:rsidRPr="00DC5E29">
        <w:rPr>
          <w:rFonts w:ascii="Palatino Linotype" w:hAnsi="Palatino Linotype" w:cs="Tahoma"/>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w:t>
      </w:r>
      <w:r>
        <w:rPr>
          <w:rFonts w:ascii="Palatino Linotype" w:hAnsi="Palatino Linotype" w:cs="Tahoma"/>
        </w:rPr>
        <w:t xml:space="preserve"> la presente y, </w:t>
      </w:r>
      <w:r w:rsidRPr="00E24C8E">
        <w:rPr>
          <w:rFonts w:ascii="Palatino Linotype" w:eastAsia="Palatino Linotype" w:hAnsi="Palatino Linotype" w:cs="Palatino Linotype"/>
          <w:b/>
          <w:color w:val="000000"/>
          <w:lang w:val="es-ES_tradnl" w:eastAsia="es-MX"/>
        </w:rPr>
        <w:t xml:space="preserve">se le apercibe que en caso de negarse a cumplir la presente resolución o hacerlo de manera parcial, se le impondrá </w:t>
      </w:r>
      <w:r w:rsidRPr="00E24C8E">
        <w:rPr>
          <w:rFonts w:ascii="Palatino Linotype" w:eastAsia="Palatino Linotype" w:hAnsi="Palatino Linotype" w:cs="Palatino Linotype"/>
          <w:b/>
          <w:color w:val="000000"/>
          <w:lang w:val="es-ES_tradnl" w:eastAsia="es-MX"/>
        </w:rPr>
        <w:lastRenderedPageBreak/>
        <w:t>una medida de apremio de conformidad con lo previsto en los artículos 198, 200, fracción III; 214, 215 y 216 de la Ley  de Transparencia y Acceso a la Información Pública del Estado de México y Municipios.</w:t>
      </w:r>
    </w:p>
    <w:p w14:paraId="0FC40D4A" w14:textId="77777777" w:rsidR="00551637" w:rsidRPr="00DC5E29" w:rsidRDefault="00551637" w:rsidP="00551637">
      <w:pPr>
        <w:spacing w:line="360" w:lineRule="auto"/>
        <w:ind w:right="-595"/>
        <w:jc w:val="both"/>
        <w:rPr>
          <w:rFonts w:ascii="Palatino Linotype" w:hAnsi="Palatino Linotype" w:cs="Tahoma"/>
          <w:bCs/>
        </w:rPr>
      </w:pPr>
    </w:p>
    <w:p w14:paraId="6F3E933E" w14:textId="7D7E7102" w:rsidR="00551637" w:rsidRDefault="00551637" w:rsidP="00551637">
      <w:pPr>
        <w:autoSpaceDE w:val="0"/>
        <w:autoSpaceDN w:val="0"/>
        <w:adjustRightInd w:val="0"/>
        <w:spacing w:line="360" w:lineRule="auto"/>
        <w:jc w:val="both"/>
        <w:rPr>
          <w:rFonts w:ascii="Palatino Linotype" w:hAnsi="Palatino Linotype" w:cs="Arial"/>
        </w:rPr>
      </w:pPr>
      <w:r w:rsidRPr="00DC5E29">
        <w:rPr>
          <w:rFonts w:ascii="Palatino Linotype" w:hAnsi="Palatino Linotype" w:cs="Arial"/>
          <w:b/>
          <w:sz w:val="28"/>
          <w:szCs w:val="28"/>
        </w:rPr>
        <w:t>CUARTO.</w:t>
      </w:r>
      <w:r w:rsidRPr="00DC5E29">
        <w:rPr>
          <w:rFonts w:ascii="Palatino Linotype" w:hAnsi="Palatino Linotype" w:cs="Arial"/>
          <w:b/>
        </w:rPr>
        <w:t xml:space="preserve"> </w:t>
      </w:r>
      <w:r w:rsidRPr="00DC5E29">
        <w:rPr>
          <w:rFonts w:ascii="Palatino Linotype" w:hAnsi="Palatino Linotype" w:cs="Arial"/>
        </w:rPr>
        <w:t xml:space="preserve">De conformidad con el artículo 198 de la Ley de Transparencia y Acceso a la Información Pública del Estado de México y Municipios, de considerarlo procedente, el </w:t>
      </w:r>
      <w:r w:rsidRPr="00DC5E29">
        <w:rPr>
          <w:rFonts w:ascii="Palatino Linotype" w:hAnsi="Palatino Linotype" w:cs="Arial"/>
          <w:b/>
        </w:rPr>
        <w:t>Sujeto Obligado</w:t>
      </w:r>
      <w:r w:rsidRPr="00DC5E29">
        <w:rPr>
          <w:rFonts w:ascii="Palatino Linotype" w:hAnsi="Palatino Linotype" w:cs="Arial"/>
        </w:rPr>
        <w:t xml:space="preserve"> de manera fundada y motivada, podrá solicitar una ampliación de plazo</w:t>
      </w:r>
      <w:r w:rsidR="00EE1F8C">
        <w:rPr>
          <w:rFonts w:ascii="Palatino Linotype" w:hAnsi="Palatino Linotype" w:cs="Arial"/>
        </w:rPr>
        <w:t>, vía SAIMEX,</w:t>
      </w:r>
      <w:r w:rsidRPr="00DC5E29">
        <w:rPr>
          <w:rFonts w:ascii="Palatino Linotype" w:hAnsi="Palatino Linotype" w:cs="Arial"/>
        </w:rPr>
        <w:t xml:space="preserve"> para el cumplimiento de la presente resolución.</w:t>
      </w:r>
    </w:p>
    <w:p w14:paraId="4EA396AD" w14:textId="77777777" w:rsidR="00551637" w:rsidRPr="00DC5E29" w:rsidRDefault="00551637" w:rsidP="00551637">
      <w:pPr>
        <w:autoSpaceDE w:val="0"/>
        <w:autoSpaceDN w:val="0"/>
        <w:adjustRightInd w:val="0"/>
        <w:spacing w:line="360" w:lineRule="auto"/>
        <w:jc w:val="both"/>
        <w:rPr>
          <w:rFonts w:ascii="Palatino Linotype" w:hAnsi="Palatino Linotype" w:cs="Arial"/>
        </w:rPr>
      </w:pPr>
    </w:p>
    <w:p w14:paraId="74D84D13" w14:textId="18F68BAA" w:rsidR="00551637" w:rsidRDefault="00904AB5" w:rsidP="00551637">
      <w:pPr>
        <w:autoSpaceDE w:val="0"/>
        <w:autoSpaceDN w:val="0"/>
        <w:adjustRightInd w:val="0"/>
        <w:spacing w:line="360" w:lineRule="auto"/>
        <w:jc w:val="both"/>
        <w:rPr>
          <w:rFonts w:ascii="Palatino Linotype" w:hAnsi="Palatino Linotype" w:cs="Arial"/>
        </w:rPr>
      </w:pPr>
      <w:r>
        <w:rPr>
          <w:rFonts w:ascii="Palatino Linotype" w:hAnsi="Palatino Linotype"/>
          <w:b/>
          <w:noProof/>
          <w:sz w:val="28"/>
          <w:szCs w:val="28"/>
          <w:lang w:val="es-MX" w:eastAsia="es-MX"/>
        </w:rPr>
        <mc:AlternateContent>
          <mc:Choice Requires="wps">
            <w:drawing>
              <wp:anchor distT="0" distB="0" distL="114300" distR="114300" simplePos="0" relativeHeight="251691008" behindDoc="0" locked="0" layoutInCell="1" allowOverlap="1" wp14:anchorId="4558A963" wp14:editId="74A68DE1">
                <wp:simplePos x="0" y="0"/>
                <wp:positionH relativeFrom="column">
                  <wp:posOffset>24764</wp:posOffset>
                </wp:positionH>
                <wp:positionV relativeFrom="paragraph">
                  <wp:posOffset>1797049</wp:posOffset>
                </wp:positionV>
                <wp:extent cx="5743575" cy="2276475"/>
                <wp:effectExtent l="0" t="0" r="28575" b="28575"/>
                <wp:wrapNone/>
                <wp:docPr id="3" name="Conector recto 3"/>
                <wp:cNvGraphicFramePr/>
                <a:graphic xmlns:a="http://schemas.openxmlformats.org/drawingml/2006/main">
                  <a:graphicData uri="http://schemas.microsoft.com/office/word/2010/wordprocessingShape">
                    <wps:wsp>
                      <wps:cNvCnPr/>
                      <wps:spPr>
                        <a:xfrm>
                          <a:off x="0" y="0"/>
                          <a:ext cx="5743575" cy="2276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355BC3C7" id="Conector recto 3"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95pt,141.5pt" to="454.2pt,3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" strokecolor="#5b9bd5 [3204]" strokeweight=".5pt">
                <v:stroke joinstyle="miter"/>
              </v:line>
            </w:pict>
          </mc:Fallback>
        </mc:AlternateContent>
      </w:r>
      <w:r w:rsidR="00551637" w:rsidRPr="00DC5E29">
        <w:rPr>
          <w:rFonts w:ascii="Palatino Linotype" w:hAnsi="Palatino Linotype"/>
          <w:b/>
          <w:sz w:val="28"/>
          <w:szCs w:val="28"/>
        </w:rPr>
        <w:t>QUINTO</w:t>
      </w:r>
      <w:r w:rsidR="00551637" w:rsidRPr="00DC5E29">
        <w:rPr>
          <w:rFonts w:ascii="Palatino Linotype" w:hAnsi="Palatino Linotype"/>
          <w:b/>
        </w:rPr>
        <w:t xml:space="preserve">. </w:t>
      </w:r>
      <w:r w:rsidR="00551637" w:rsidRPr="00DC5E29">
        <w:rPr>
          <w:rFonts w:ascii="Palatino Linotype" w:hAnsi="Palatino Linotype" w:cs="Arial"/>
          <w:b/>
        </w:rPr>
        <w:t>NOTIFÍQUESE</w:t>
      </w:r>
      <w:r w:rsidR="00551637" w:rsidRPr="00DC5E29">
        <w:rPr>
          <w:rFonts w:ascii="Palatino Linotype" w:hAnsi="Palatino Linotype" w:cs="Arial"/>
        </w:rPr>
        <w:t xml:space="preserve"> a través del Sistema de Acceso a la Inf</w:t>
      </w:r>
      <w:r w:rsidR="00551637">
        <w:rPr>
          <w:rFonts w:ascii="Palatino Linotype" w:hAnsi="Palatino Linotype" w:cs="Arial"/>
        </w:rPr>
        <w:t>ormación Mexiquense (SAIMEX), al</w:t>
      </w:r>
      <w:r w:rsidR="00551637" w:rsidRPr="00DC5E29">
        <w:rPr>
          <w:rFonts w:ascii="Palatino Linotype" w:hAnsi="Palatino Linotype" w:cs="Arial"/>
        </w:rPr>
        <w:t xml:space="preserve"> </w:t>
      </w:r>
      <w:r w:rsidR="00551637" w:rsidRPr="00DC5E29">
        <w:rPr>
          <w:rFonts w:ascii="Palatino Linotype" w:hAnsi="Palatino Linotype" w:cs="Arial"/>
          <w:b/>
        </w:rPr>
        <w:t>Recurrente</w:t>
      </w:r>
      <w:r w:rsidR="00551637" w:rsidRPr="00DC5E29">
        <w:rPr>
          <w:rFonts w:ascii="Palatino Linotype" w:hAnsi="Palatino Linotype" w:cs="Arial"/>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2911D720" w14:textId="400BEB4E" w:rsidR="00551637" w:rsidRDefault="00551637" w:rsidP="00551637">
      <w:pPr>
        <w:spacing w:line="360" w:lineRule="auto"/>
        <w:jc w:val="both"/>
        <w:rPr>
          <w:rFonts w:ascii="Palatino Linotype" w:hAnsi="Palatino Linotype" w:cs="Arial"/>
        </w:rPr>
      </w:pPr>
    </w:p>
    <w:p w14:paraId="244ED519" w14:textId="6B77818F" w:rsidR="00904AB5" w:rsidRDefault="00904AB5" w:rsidP="00551637">
      <w:pPr>
        <w:spacing w:line="360" w:lineRule="auto"/>
        <w:jc w:val="both"/>
        <w:rPr>
          <w:rFonts w:ascii="Palatino Linotype" w:hAnsi="Palatino Linotype" w:cs="Arial"/>
        </w:rPr>
      </w:pPr>
    </w:p>
    <w:p w14:paraId="62B22EFA" w14:textId="5FAC3A6B" w:rsidR="00904AB5" w:rsidRDefault="00904AB5" w:rsidP="00551637">
      <w:pPr>
        <w:spacing w:line="360" w:lineRule="auto"/>
        <w:jc w:val="both"/>
        <w:rPr>
          <w:rFonts w:ascii="Palatino Linotype" w:hAnsi="Palatino Linotype" w:cs="Arial"/>
        </w:rPr>
      </w:pPr>
    </w:p>
    <w:p w14:paraId="6D4A0AE3" w14:textId="7650BC5D" w:rsidR="00904AB5" w:rsidRDefault="00904AB5" w:rsidP="00551637">
      <w:pPr>
        <w:spacing w:line="360" w:lineRule="auto"/>
        <w:jc w:val="both"/>
        <w:rPr>
          <w:rFonts w:ascii="Palatino Linotype" w:hAnsi="Palatino Linotype" w:cs="Arial"/>
        </w:rPr>
      </w:pPr>
    </w:p>
    <w:p w14:paraId="125722D1" w14:textId="5156CAD9" w:rsidR="00904AB5" w:rsidRDefault="00904AB5" w:rsidP="00551637">
      <w:pPr>
        <w:spacing w:line="360" w:lineRule="auto"/>
        <w:jc w:val="both"/>
        <w:rPr>
          <w:rFonts w:ascii="Palatino Linotype" w:hAnsi="Palatino Linotype" w:cs="Arial"/>
        </w:rPr>
      </w:pPr>
    </w:p>
    <w:p w14:paraId="09B0D13C" w14:textId="5D74FB6E" w:rsidR="00904AB5" w:rsidRDefault="00904AB5" w:rsidP="00551637">
      <w:pPr>
        <w:spacing w:line="360" w:lineRule="auto"/>
        <w:jc w:val="both"/>
        <w:rPr>
          <w:rFonts w:ascii="Palatino Linotype" w:hAnsi="Palatino Linotype" w:cs="Arial"/>
        </w:rPr>
      </w:pPr>
    </w:p>
    <w:p w14:paraId="6BDE8F4A" w14:textId="77777777" w:rsidR="00904AB5" w:rsidRDefault="00904AB5" w:rsidP="00551637">
      <w:pPr>
        <w:spacing w:line="360" w:lineRule="auto"/>
        <w:jc w:val="both"/>
        <w:rPr>
          <w:rFonts w:ascii="Palatino Linotype" w:hAnsi="Palatino Linotype" w:cs="Arial"/>
        </w:rPr>
      </w:pPr>
    </w:p>
    <w:p w14:paraId="2C76BEF8" w14:textId="2B0ACAE2" w:rsidR="00551637" w:rsidRDefault="00551637" w:rsidP="00552207">
      <w:pPr>
        <w:spacing w:line="360" w:lineRule="auto"/>
        <w:jc w:val="both"/>
        <w:rPr>
          <w:rFonts w:ascii="Palatino Linotype" w:hAnsi="Palatino Linotype" w:cs="Arial"/>
          <w:sz w:val="16"/>
        </w:rPr>
      </w:pPr>
      <w:r w:rsidRPr="007C3942">
        <w:rPr>
          <w:rFonts w:ascii="Palatino Linotype" w:hAnsi="Palatino Linotype" w:cs="Arial"/>
        </w:rPr>
        <w:lastRenderedPageBreak/>
        <w:t>ASÍ LO RESUELVE, POR UNANIMIDAD DE VOTOS EL PLENO DEL</w:t>
      </w:r>
      <w:r w:rsidRPr="007C3942">
        <w:rPr>
          <w:rFonts w:ascii="Palatino Linotype" w:eastAsia="Arial Unicode MS" w:hAnsi="Palatino Linotype" w:cs="Arial"/>
        </w:rPr>
        <w:t xml:space="preserve"> INSTITUTO DE TRANSPARENCIA, ACCESO A LA INFORMACIÓN PÚBLICA Y PROTECCIÓN DE DATOS PERSONALES DEL ESTADO DE MÉXICO Y MUNICIPIOS</w:t>
      </w:r>
      <w:r w:rsidRPr="007C3942">
        <w:rPr>
          <w:rFonts w:ascii="Palatino Linotype" w:hAnsi="Palatino Linotype" w:cs="Arial"/>
        </w:rPr>
        <w:t>, CONFORMADO POR LOS COMISIONADOS JOSÉ MARTÍNEZ VILCHIS, MARÍA DEL ROSARIO MEJÍA AYALA, SHARON CRISTINA MORALES MARTÍNEZ, LUIS GUSTAVO PARRA NORIEGA</w:t>
      </w:r>
      <w:r>
        <w:rPr>
          <w:rFonts w:ascii="Palatino Linotype" w:hAnsi="Palatino Linotype" w:cs="Arial"/>
        </w:rPr>
        <w:t xml:space="preserve"> </w:t>
      </w:r>
      <w:r w:rsidRPr="007C3942">
        <w:rPr>
          <w:rFonts w:ascii="Palatino Linotype" w:hAnsi="Palatino Linotype" w:cs="Arial"/>
        </w:rPr>
        <w:t xml:space="preserve">Y GUADALUPE RAMÍREZ PEÑA, EN LA </w:t>
      </w:r>
      <w:r w:rsidR="00073A85">
        <w:rPr>
          <w:rFonts w:ascii="Palatino Linotype" w:hAnsi="Palatino Linotype" w:cs="Arial"/>
        </w:rPr>
        <w:t>DÉCIMA</w:t>
      </w:r>
      <w:r>
        <w:rPr>
          <w:rFonts w:ascii="Palatino Linotype" w:hAnsi="Palatino Linotype" w:cs="Arial"/>
        </w:rPr>
        <w:t xml:space="preserve"> </w:t>
      </w:r>
      <w:r w:rsidRPr="007C3942">
        <w:rPr>
          <w:rFonts w:ascii="Palatino Linotype" w:hAnsi="Palatino Linotype" w:cs="Arial"/>
        </w:rPr>
        <w:t>SESIÓN ORDINARIA CELEBRADA EL</w:t>
      </w:r>
      <w:r>
        <w:rPr>
          <w:rFonts w:ascii="Palatino Linotype" w:hAnsi="Palatino Linotype" w:cs="Arial"/>
        </w:rPr>
        <w:t xml:space="preserve"> </w:t>
      </w:r>
      <w:r w:rsidR="00073A85">
        <w:rPr>
          <w:rFonts w:ascii="Palatino Linotype" w:hAnsi="Palatino Linotype" w:cs="Arial"/>
        </w:rPr>
        <w:t>VEINTE DE MARZO</w:t>
      </w:r>
      <w:r>
        <w:rPr>
          <w:rFonts w:ascii="Palatino Linotype" w:hAnsi="Palatino Linotype" w:cs="Arial"/>
        </w:rPr>
        <w:t xml:space="preserve"> DE DOS MIL VEINTICINCO</w:t>
      </w:r>
      <w:r w:rsidRPr="007C3942">
        <w:rPr>
          <w:rFonts w:ascii="Palatino Linotype" w:hAnsi="Palatino Linotype" w:cs="Arial"/>
        </w:rPr>
        <w:t>, ANTE EL SECRETARIO TÉCNICO DEL PLENO, ALEXIS TAPIA RAMÍREZ. ------------------------------------------</w:t>
      </w:r>
      <w:r>
        <w:rPr>
          <w:rFonts w:ascii="Palatino Linotype" w:hAnsi="Palatino Linotype" w:cs="Arial"/>
        </w:rPr>
        <w:t>-------------</w:t>
      </w:r>
      <w:r w:rsidRPr="007C3942">
        <w:rPr>
          <w:rFonts w:ascii="Palatino Linotype" w:hAnsi="Palatino Linotype" w:cs="Arial"/>
        </w:rPr>
        <w:t>----------------------</w:t>
      </w:r>
      <w:r>
        <w:rPr>
          <w:rFonts w:ascii="Palatino Linotype" w:hAnsi="Palatino Linotype" w:cs="Arial"/>
        </w:rPr>
        <w:t>-----------</w:t>
      </w:r>
      <w:r w:rsidR="00904AB5" w:rsidRPr="00692461">
        <w:rPr>
          <w:rFonts w:ascii="Palatino Linotype" w:hAnsi="Palatino Linotype" w:cs="Arial"/>
        </w:rPr>
        <w:t>---------------------------------------------------------------------------------------</w:t>
      </w:r>
      <w:r w:rsidR="00904AB5">
        <w:rPr>
          <w:rFonts w:ascii="Palatino Linotype" w:hAnsi="Palatino Linotype" w:cs="Arial"/>
        </w:rPr>
        <w:t>---------------------------</w:t>
      </w:r>
      <w:r w:rsidR="00904AB5" w:rsidRPr="00692461">
        <w:rPr>
          <w:rFonts w:ascii="Palatino Linotype" w:hAnsi="Palatino Linotype" w:cs="Arial"/>
        </w:rPr>
        <w:t>---------------------------------------------------------------------------------------</w:t>
      </w:r>
      <w:r w:rsidR="00904AB5">
        <w:rPr>
          <w:rFonts w:ascii="Palatino Linotype" w:hAnsi="Palatino Linotype" w:cs="Arial"/>
        </w:rPr>
        <w:t>---------------------------</w:t>
      </w:r>
      <w:r w:rsidR="00904AB5" w:rsidRPr="00692461">
        <w:rPr>
          <w:rFonts w:ascii="Palatino Linotype" w:hAnsi="Palatino Linotype" w:cs="Arial"/>
        </w:rPr>
        <w:t>---------------------------------------------------------------------------------------</w:t>
      </w:r>
      <w:r w:rsidR="00904AB5">
        <w:rPr>
          <w:rFonts w:ascii="Palatino Linotype" w:hAnsi="Palatino Linotype" w:cs="Arial"/>
        </w:rPr>
        <w:t>---------------------------</w:t>
      </w:r>
      <w:r w:rsidR="00904AB5" w:rsidRPr="00692461">
        <w:rPr>
          <w:rFonts w:ascii="Palatino Linotype" w:hAnsi="Palatino Linotype" w:cs="Arial"/>
        </w:rPr>
        <w:t>---------------------------------------------------------------------------------------</w:t>
      </w:r>
      <w:r w:rsidR="00904AB5">
        <w:rPr>
          <w:rFonts w:ascii="Palatino Linotype" w:hAnsi="Palatino Linotype" w:cs="Arial"/>
        </w:rPr>
        <w:t>---------------------------</w:t>
      </w:r>
      <w:r w:rsidR="00904AB5" w:rsidRPr="00692461">
        <w:rPr>
          <w:rFonts w:ascii="Palatino Linotype" w:hAnsi="Palatino Linotype" w:cs="Arial"/>
        </w:rPr>
        <w:t>---------------------------------------------------------------------------------------</w:t>
      </w:r>
      <w:r w:rsidR="00904AB5">
        <w:rPr>
          <w:rFonts w:ascii="Palatino Linotype" w:hAnsi="Palatino Linotype" w:cs="Arial"/>
        </w:rPr>
        <w:t>---------------------------</w:t>
      </w:r>
      <w:r w:rsidR="00904AB5" w:rsidRPr="00692461">
        <w:rPr>
          <w:rFonts w:ascii="Palatino Linotype" w:hAnsi="Palatino Linotype" w:cs="Arial"/>
        </w:rPr>
        <w:t>---------------------------------------------------------------------------------------</w:t>
      </w:r>
      <w:r w:rsidR="00904AB5">
        <w:rPr>
          <w:rFonts w:ascii="Palatino Linotype" w:hAnsi="Palatino Linotype" w:cs="Arial"/>
        </w:rPr>
        <w:t>---------------------------</w:t>
      </w:r>
      <w:r w:rsidR="00904AB5" w:rsidRPr="00692461">
        <w:rPr>
          <w:rFonts w:ascii="Palatino Linotype" w:hAnsi="Palatino Linotype" w:cs="Arial"/>
        </w:rPr>
        <w:t>---------------------------------------------------------------------------------------</w:t>
      </w:r>
      <w:r w:rsidR="00904AB5">
        <w:rPr>
          <w:rFonts w:ascii="Palatino Linotype" w:hAnsi="Palatino Linotype" w:cs="Arial"/>
        </w:rPr>
        <w:t>---------------------------</w:t>
      </w:r>
      <w:r w:rsidR="00904AB5" w:rsidRPr="00692461">
        <w:rPr>
          <w:rFonts w:ascii="Palatino Linotype" w:hAnsi="Palatino Linotype" w:cs="Arial"/>
        </w:rPr>
        <w:t>---------------------------------------------------------------------------------------</w:t>
      </w:r>
      <w:r w:rsidR="00904AB5">
        <w:rPr>
          <w:rFonts w:ascii="Palatino Linotype" w:hAnsi="Palatino Linotype" w:cs="Arial"/>
        </w:rPr>
        <w:t>---------------------------</w:t>
      </w:r>
      <w:r w:rsidR="00904AB5" w:rsidRPr="00692461">
        <w:rPr>
          <w:rFonts w:ascii="Palatino Linotype" w:hAnsi="Palatino Linotype" w:cs="Arial"/>
        </w:rPr>
        <w:t>---------------------------------------------------------------------------------------</w:t>
      </w:r>
      <w:r w:rsidR="00904AB5">
        <w:rPr>
          <w:rFonts w:ascii="Palatino Linotype" w:hAnsi="Palatino Linotype" w:cs="Arial"/>
        </w:rPr>
        <w:t>---------------------------</w:t>
      </w:r>
      <w:r w:rsidR="00904AB5" w:rsidRPr="00692461">
        <w:rPr>
          <w:rFonts w:ascii="Palatino Linotype" w:hAnsi="Palatino Linotype" w:cs="Arial"/>
        </w:rPr>
        <w:t>---------------------------------------------------------------------------------------</w:t>
      </w:r>
      <w:r w:rsidR="00904AB5">
        <w:rPr>
          <w:rFonts w:ascii="Palatino Linotype" w:hAnsi="Palatino Linotype" w:cs="Arial"/>
        </w:rPr>
        <w:t>---------------------------</w:t>
      </w:r>
      <w:r w:rsidR="00904AB5" w:rsidRPr="00692461">
        <w:rPr>
          <w:rFonts w:ascii="Palatino Linotype" w:hAnsi="Palatino Linotype" w:cs="Arial"/>
        </w:rPr>
        <w:t>---------------------------------------------------------------------------------------</w:t>
      </w:r>
      <w:r w:rsidR="00904AB5">
        <w:rPr>
          <w:rFonts w:ascii="Palatino Linotype" w:hAnsi="Palatino Linotype" w:cs="Arial"/>
        </w:rPr>
        <w:t>---------------------------</w:t>
      </w:r>
      <w:r w:rsidR="00904AB5" w:rsidRPr="00692461">
        <w:rPr>
          <w:rFonts w:ascii="Palatino Linotype" w:hAnsi="Palatino Linotype" w:cs="Arial"/>
        </w:rPr>
        <w:t>---------------------------------------------------------------------------------------</w:t>
      </w:r>
      <w:r w:rsidR="00904AB5">
        <w:rPr>
          <w:rFonts w:ascii="Palatino Linotype" w:hAnsi="Palatino Linotype" w:cs="Arial"/>
        </w:rPr>
        <w:t>---------------------------</w:t>
      </w:r>
      <w:r w:rsidR="00904AB5" w:rsidRPr="00692461">
        <w:rPr>
          <w:rFonts w:ascii="Palatino Linotype" w:hAnsi="Palatino Linotype" w:cs="Arial"/>
        </w:rPr>
        <w:t>---------------------------------------------------------------------------------------</w:t>
      </w:r>
      <w:r w:rsidR="00904AB5">
        <w:rPr>
          <w:rFonts w:ascii="Palatino Linotype" w:hAnsi="Palatino Linotype" w:cs="Arial"/>
        </w:rPr>
        <w:t>-------------------------------------</w:t>
      </w:r>
    </w:p>
    <w:p w14:paraId="6288E97D" w14:textId="77777777" w:rsidR="00551637" w:rsidRDefault="00551637" w:rsidP="00551637"/>
    <w:p w14:paraId="39723F7F" w14:textId="77777777" w:rsidR="00551637" w:rsidRDefault="00551637" w:rsidP="00551637"/>
    <w:p w14:paraId="6EFAB1DE" w14:textId="77777777" w:rsidR="00551637" w:rsidRDefault="00551637" w:rsidP="00551637"/>
    <w:p w14:paraId="22867D79" w14:textId="77777777" w:rsidR="00551637" w:rsidRDefault="00551637" w:rsidP="00551637"/>
    <w:p w14:paraId="1C884D1F" w14:textId="77777777" w:rsidR="00551637" w:rsidRDefault="00551637" w:rsidP="00551637"/>
    <w:p w14:paraId="340360A6" w14:textId="77777777" w:rsidR="00551637" w:rsidRDefault="00551637" w:rsidP="00551637"/>
    <w:p w14:paraId="009F979A" w14:textId="77777777" w:rsidR="00551637" w:rsidRDefault="00551637" w:rsidP="00551637"/>
    <w:p w14:paraId="05879384" w14:textId="77777777" w:rsidR="00551637" w:rsidRDefault="00551637" w:rsidP="00551637"/>
    <w:p w14:paraId="3D32D4A5" w14:textId="77777777" w:rsidR="00551637" w:rsidRDefault="00551637" w:rsidP="00551637"/>
    <w:p w14:paraId="62148AEC" w14:textId="77777777" w:rsidR="00551637" w:rsidRDefault="00551637" w:rsidP="00551637"/>
    <w:p w14:paraId="49227D8A" w14:textId="77777777" w:rsidR="00551637" w:rsidRDefault="00551637" w:rsidP="00551637"/>
    <w:p w14:paraId="4B36EFFF" w14:textId="77777777" w:rsidR="00551637" w:rsidRDefault="00551637" w:rsidP="00551637"/>
    <w:p w14:paraId="15A1F3D0" w14:textId="77777777" w:rsidR="00551637" w:rsidRDefault="00551637" w:rsidP="00551637"/>
    <w:p w14:paraId="011334CE" w14:textId="77777777" w:rsidR="00551637" w:rsidRDefault="00551637" w:rsidP="00551637"/>
    <w:p w14:paraId="58DD65D4" w14:textId="77777777" w:rsidR="00551637" w:rsidRDefault="00551637" w:rsidP="00551637"/>
    <w:p w14:paraId="40984930" w14:textId="77777777" w:rsidR="00551637" w:rsidRDefault="00551637" w:rsidP="00551637"/>
    <w:p w14:paraId="2D3C8D35" w14:textId="77777777" w:rsidR="00551637" w:rsidRDefault="00551637" w:rsidP="00551637"/>
    <w:p w14:paraId="0701EAC5" w14:textId="77777777" w:rsidR="00551637" w:rsidRDefault="00551637" w:rsidP="00551637"/>
    <w:p w14:paraId="6F984A1A" w14:textId="77777777" w:rsidR="00551637" w:rsidRDefault="00551637" w:rsidP="00551637"/>
    <w:p w14:paraId="405FACAC" w14:textId="77777777" w:rsidR="00551637" w:rsidRDefault="00551637" w:rsidP="00551637"/>
    <w:p w14:paraId="31702B9C" w14:textId="77777777" w:rsidR="00551637" w:rsidRDefault="00551637" w:rsidP="00551637"/>
    <w:p w14:paraId="3745D371" w14:textId="77777777" w:rsidR="00551637" w:rsidRDefault="00551637" w:rsidP="00551637"/>
    <w:p w14:paraId="0CCD72BE" w14:textId="77777777" w:rsidR="00551637" w:rsidRDefault="00551637" w:rsidP="00551637"/>
    <w:p w14:paraId="40B78A96" w14:textId="77777777" w:rsidR="00551637" w:rsidRDefault="00551637" w:rsidP="00551637"/>
    <w:p w14:paraId="5C4C72BC" w14:textId="77777777" w:rsidR="00551637" w:rsidRDefault="00551637" w:rsidP="00551637"/>
    <w:p w14:paraId="7BDA72C1" w14:textId="77777777" w:rsidR="00551637" w:rsidRDefault="00551637" w:rsidP="00551637"/>
    <w:p w14:paraId="06715BDD" w14:textId="77777777" w:rsidR="00551637" w:rsidRDefault="00551637" w:rsidP="00551637"/>
    <w:p w14:paraId="45DDE99A" w14:textId="77777777" w:rsidR="006E574D" w:rsidRDefault="006E574D" w:rsidP="00551637"/>
    <w:p w14:paraId="6D579B40" w14:textId="77777777" w:rsidR="006E574D" w:rsidRDefault="006E574D" w:rsidP="00551637"/>
    <w:p w14:paraId="54EBCC14" w14:textId="77777777" w:rsidR="006E574D" w:rsidRDefault="006E574D" w:rsidP="00551637"/>
    <w:p w14:paraId="26672A7B" w14:textId="77777777" w:rsidR="006E574D" w:rsidRDefault="006E574D" w:rsidP="00551637"/>
    <w:p w14:paraId="50340617" w14:textId="0ED75370" w:rsidR="006E574D" w:rsidRDefault="006E574D" w:rsidP="00551637"/>
    <w:p w14:paraId="76DA89ED" w14:textId="77777777" w:rsidR="006E574D" w:rsidRDefault="006E574D" w:rsidP="00551637"/>
    <w:p w14:paraId="38EA46AE" w14:textId="77777777" w:rsidR="006E574D" w:rsidRDefault="006E574D" w:rsidP="00551637"/>
    <w:p w14:paraId="0EA6452D" w14:textId="77777777" w:rsidR="00551637" w:rsidRDefault="00551637" w:rsidP="00551637"/>
    <w:p w14:paraId="1BB87929" w14:textId="77777777" w:rsidR="00BA5FE4" w:rsidRDefault="00BA5FE4"/>
    <w:sectPr w:rsidR="00BA5FE4" w:rsidSect="00592AF4">
      <w:headerReference w:type="default" r:id="rId13"/>
      <w:footerReference w:type="default" r:id="rId14"/>
      <w:headerReference w:type="first" r:id="rId15"/>
      <w:footerReference w:type="first" r:id="rId16"/>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D7BC0" w14:textId="77777777" w:rsidR="00554F3C" w:rsidRDefault="00554F3C" w:rsidP="00551637">
      <w:r>
        <w:separator/>
      </w:r>
    </w:p>
  </w:endnote>
  <w:endnote w:type="continuationSeparator" w:id="0">
    <w:p w14:paraId="4630A32B" w14:textId="77777777" w:rsidR="00554F3C" w:rsidRDefault="00554F3C" w:rsidP="00551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9A0BC" w14:textId="2630BE67" w:rsidR="00CD4D16" w:rsidRPr="00A2780F" w:rsidRDefault="00CD4D16" w:rsidP="00592AF4">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712765">
      <w:rPr>
        <w:rFonts w:ascii="Arial" w:hAnsi="Arial" w:cs="Arial"/>
        <w:b/>
        <w:bCs/>
        <w:noProof/>
        <w:sz w:val="20"/>
        <w:szCs w:val="20"/>
      </w:rPr>
      <w:t>6</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712765">
      <w:rPr>
        <w:rFonts w:ascii="Arial" w:hAnsi="Arial" w:cs="Arial"/>
        <w:b/>
        <w:bCs/>
        <w:noProof/>
        <w:sz w:val="20"/>
        <w:szCs w:val="20"/>
      </w:rPr>
      <w:t>40</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3402F" w14:textId="636101F3" w:rsidR="00CD4D16" w:rsidRPr="00070856" w:rsidRDefault="00CD4D16" w:rsidP="00592AF4">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712765">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712765">
      <w:rPr>
        <w:rFonts w:ascii="Arial" w:hAnsi="Arial" w:cs="Arial"/>
        <w:b/>
        <w:bCs/>
        <w:noProof/>
        <w:sz w:val="20"/>
        <w:szCs w:val="20"/>
      </w:rPr>
      <w:t>40</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019B42" w14:textId="77777777" w:rsidR="00554F3C" w:rsidRDefault="00554F3C" w:rsidP="00551637">
      <w:r>
        <w:separator/>
      </w:r>
    </w:p>
  </w:footnote>
  <w:footnote w:type="continuationSeparator" w:id="0">
    <w:p w14:paraId="424A3952" w14:textId="77777777" w:rsidR="00554F3C" w:rsidRDefault="00554F3C" w:rsidP="00551637">
      <w:r>
        <w:continuationSeparator/>
      </w:r>
    </w:p>
  </w:footnote>
  <w:footnote w:id="1">
    <w:p w14:paraId="100702EA" w14:textId="77777777" w:rsidR="00CD4D16" w:rsidRPr="005552A8" w:rsidRDefault="00CD4D16" w:rsidP="00551637">
      <w:pPr>
        <w:jc w:val="both"/>
        <w:rPr>
          <w:rFonts w:ascii="Palatino Linotype"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78079290" w14:textId="77777777" w:rsidR="00CD4D16" w:rsidRPr="005552A8" w:rsidRDefault="00CD4D16" w:rsidP="00551637">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4E873095" w14:textId="632408AD" w:rsidR="00D832C0" w:rsidRDefault="00D832C0">
      <w:pPr>
        <w:pStyle w:val="Textonotapie"/>
      </w:pPr>
      <w:r>
        <w:rPr>
          <w:rStyle w:val="Refdenotaalpie"/>
        </w:rPr>
        <w:footnoteRef/>
      </w:r>
      <w:r>
        <w:t xml:space="preserve"> </w:t>
      </w:r>
      <w:hyperlink r:id="rId3" w:history="1">
        <w:r w:rsidR="007C725E" w:rsidRPr="009C0074">
          <w:rPr>
            <w:rStyle w:val="Hipervnculo"/>
          </w:rPr>
          <w:t>https://legislacion.edomex.gob.mx/sites/legislacion.edomex.gob.mx/files/files/pdf/gct/2023/noviembre/nov012/nov012a.pdf</w:t>
        </w:r>
      </w:hyperlink>
      <w:r w:rsidR="007C725E">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CD4D16" w:rsidRPr="008F2CCC" w14:paraId="3F39DACA" w14:textId="77777777" w:rsidTr="00592AF4">
      <w:tc>
        <w:tcPr>
          <w:tcW w:w="3620" w:type="dxa"/>
          <w:shd w:val="clear" w:color="auto" w:fill="auto"/>
        </w:tcPr>
        <w:p w14:paraId="31DC1505" w14:textId="77777777" w:rsidR="00CD4D16" w:rsidRPr="007E5FC4" w:rsidRDefault="00CD4D16" w:rsidP="00592AF4">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14:paraId="631F34CF" w14:textId="6744678D" w:rsidR="00CD4D16" w:rsidRPr="00664658" w:rsidRDefault="00904AB5" w:rsidP="009A5E85">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CD4D16">
            <w:rPr>
              <w:rFonts w:ascii="Palatino Linotype" w:hAnsi="Palatino Linotype"/>
              <w:b/>
              <w:sz w:val="22"/>
              <w:szCs w:val="22"/>
              <w:lang w:val="es-ES_tradnl"/>
            </w:rPr>
            <w:t>1130/INFOEM/IP/RR/2025</w:t>
          </w:r>
        </w:p>
      </w:tc>
    </w:tr>
    <w:tr w:rsidR="00CD4D16" w:rsidRPr="008F2CCC" w14:paraId="016B2B14" w14:textId="77777777" w:rsidTr="00592AF4">
      <w:tc>
        <w:tcPr>
          <w:tcW w:w="3620" w:type="dxa"/>
          <w:shd w:val="clear" w:color="auto" w:fill="auto"/>
        </w:tcPr>
        <w:p w14:paraId="298B5F4F" w14:textId="77777777" w:rsidR="00CD4D16" w:rsidRPr="007E5FC4" w:rsidRDefault="00CD4D16" w:rsidP="00592AF4">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14:paraId="62D43110" w14:textId="75BE46AE" w:rsidR="00CD4D16" w:rsidRPr="00664658" w:rsidRDefault="00CD4D16" w:rsidP="00592AF4">
          <w:pPr>
            <w:spacing w:line="276" w:lineRule="auto"/>
            <w:jc w:val="right"/>
            <w:rPr>
              <w:rFonts w:ascii="Palatino Linotype" w:hAnsi="Palatino Linotype"/>
              <w:b/>
              <w:sz w:val="22"/>
              <w:szCs w:val="22"/>
              <w:lang w:val="es-ES_tradnl"/>
            </w:rPr>
          </w:pPr>
          <w:r w:rsidRPr="00FE50A3">
            <w:rPr>
              <w:rFonts w:ascii="Palatino Linotype" w:hAnsi="Palatino Linotype"/>
              <w:b/>
              <w:sz w:val="22"/>
              <w:szCs w:val="22"/>
            </w:rPr>
            <w:t>Organismo Público Descentralizado para la P</w:t>
          </w:r>
          <w:r w:rsidR="00FE06CB">
            <w:rPr>
              <w:rFonts w:ascii="Palatino Linotype" w:hAnsi="Palatino Linotype"/>
              <w:b/>
              <w:sz w:val="22"/>
              <w:szCs w:val="22"/>
            </w:rPr>
            <w:t>restación de l</w:t>
          </w:r>
          <w:r w:rsidRPr="00FE50A3">
            <w:rPr>
              <w:rFonts w:ascii="Palatino Linotype" w:hAnsi="Palatino Linotype"/>
              <w:b/>
              <w:sz w:val="22"/>
              <w:szCs w:val="22"/>
            </w:rPr>
            <w:t>os Servicios de Agua Potable Alcantarillado y Saneamiento del Municipio de Naucalpan de Juárez</w:t>
          </w:r>
        </w:p>
      </w:tc>
    </w:tr>
    <w:tr w:rsidR="00CD4D16" w:rsidRPr="008F2CCC" w14:paraId="7BD330AF" w14:textId="77777777" w:rsidTr="00592AF4">
      <w:trPr>
        <w:trHeight w:val="228"/>
      </w:trPr>
      <w:tc>
        <w:tcPr>
          <w:tcW w:w="3620" w:type="dxa"/>
          <w:shd w:val="clear" w:color="auto" w:fill="auto"/>
        </w:tcPr>
        <w:p w14:paraId="07603FD6" w14:textId="77777777" w:rsidR="00CD4D16" w:rsidRPr="007E5FC4" w:rsidRDefault="00CD4D16" w:rsidP="00592AF4">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14:paraId="127DB69C" w14:textId="77777777" w:rsidR="00CD4D16" w:rsidRPr="00664658" w:rsidRDefault="00CD4D16" w:rsidP="00592AF4">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6FFF9FFF" w14:textId="77777777" w:rsidR="00CD4D16" w:rsidRDefault="00CD4D16" w:rsidP="00592AF4">
    <w:pPr>
      <w:pStyle w:val="Encabezado"/>
      <w:tabs>
        <w:tab w:val="clear" w:pos="4252"/>
        <w:tab w:val="clear" w:pos="8504"/>
        <w:tab w:val="left" w:pos="2326"/>
      </w:tabs>
      <w:rPr>
        <w:rFonts w:ascii="Palatino Linotype" w:hAnsi="Palatino Linotype"/>
        <w:sz w:val="20"/>
      </w:rPr>
    </w:pPr>
  </w:p>
  <w:p w14:paraId="3CA9E9F4" w14:textId="77777777" w:rsidR="00CD4D16" w:rsidRPr="001779E0" w:rsidRDefault="00CD4D16" w:rsidP="00592AF4">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3E4103AC" wp14:editId="5F36A989">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CD4D16" w:rsidRPr="008F2CCC" w14:paraId="2F554068" w14:textId="77777777" w:rsidTr="00592AF4">
      <w:tc>
        <w:tcPr>
          <w:tcW w:w="2977" w:type="dxa"/>
          <w:shd w:val="clear" w:color="auto" w:fill="auto"/>
        </w:tcPr>
        <w:p w14:paraId="5F18BE33" w14:textId="77777777" w:rsidR="00CD4D16" w:rsidRPr="007E5FC4" w:rsidRDefault="00CD4D16" w:rsidP="00592AF4">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14:paraId="53459440" w14:textId="159E61E5" w:rsidR="00CD4D16" w:rsidRPr="008F2CCC" w:rsidRDefault="00904AB5" w:rsidP="009A5E85">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CD4D16">
            <w:rPr>
              <w:rFonts w:ascii="Palatino Linotype" w:hAnsi="Palatino Linotype"/>
              <w:b/>
              <w:sz w:val="22"/>
              <w:szCs w:val="22"/>
              <w:lang w:val="es-ES_tradnl"/>
            </w:rPr>
            <w:t>1130/INFOEM/IP/RR/2025</w:t>
          </w:r>
        </w:p>
      </w:tc>
    </w:tr>
    <w:tr w:rsidR="00CD4D16" w:rsidRPr="008F2CCC" w14:paraId="1C498BAB" w14:textId="77777777" w:rsidTr="00592AF4">
      <w:tc>
        <w:tcPr>
          <w:tcW w:w="2977" w:type="dxa"/>
          <w:shd w:val="clear" w:color="auto" w:fill="auto"/>
          <w:vAlign w:val="center"/>
        </w:tcPr>
        <w:p w14:paraId="7494917F" w14:textId="77777777" w:rsidR="00CD4D16" w:rsidRPr="007E5FC4" w:rsidRDefault="00CD4D16" w:rsidP="00592AF4">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14:paraId="029EAC6D" w14:textId="0DBC3C5F" w:rsidR="00CD4D16" w:rsidRPr="008F2CCC" w:rsidRDefault="00712765" w:rsidP="00592AF4">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XXXX</w:t>
          </w:r>
        </w:p>
      </w:tc>
    </w:tr>
    <w:tr w:rsidR="00CD4D16" w:rsidRPr="008F2CCC" w14:paraId="0BEAB71D" w14:textId="77777777" w:rsidTr="00592AF4">
      <w:trPr>
        <w:trHeight w:val="228"/>
      </w:trPr>
      <w:tc>
        <w:tcPr>
          <w:tcW w:w="2977" w:type="dxa"/>
          <w:shd w:val="clear" w:color="auto" w:fill="auto"/>
        </w:tcPr>
        <w:p w14:paraId="4C7FF032" w14:textId="77777777" w:rsidR="00CD4D16" w:rsidRPr="007E5FC4" w:rsidRDefault="00CD4D16" w:rsidP="00592AF4">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14:paraId="632E8D2C" w14:textId="20AAE795" w:rsidR="00CD4D16" w:rsidRPr="00DC41C8" w:rsidRDefault="00CD4D16" w:rsidP="00FE50A3">
          <w:pPr>
            <w:jc w:val="right"/>
            <w:rPr>
              <w:rFonts w:ascii="Palatino Linotype" w:hAnsi="Palatino Linotype"/>
              <w:b/>
              <w:sz w:val="22"/>
              <w:szCs w:val="22"/>
            </w:rPr>
          </w:pPr>
          <w:r w:rsidRPr="00FE50A3">
            <w:rPr>
              <w:rFonts w:ascii="Palatino Linotype" w:hAnsi="Palatino Linotype"/>
              <w:b/>
              <w:sz w:val="22"/>
              <w:szCs w:val="22"/>
            </w:rPr>
            <w:t>Organismo Público Descent</w:t>
          </w:r>
          <w:r w:rsidR="00FE06CB">
            <w:rPr>
              <w:rFonts w:ascii="Palatino Linotype" w:hAnsi="Palatino Linotype"/>
              <w:b/>
              <w:sz w:val="22"/>
              <w:szCs w:val="22"/>
            </w:rPr>
            <w:t>ralizado para la Prestación de l</w:t>
          </w:r>
          <w:r w:rsidRPr="00FE50A3">
            <w:rPr>
              <w:rFonts w:ascii="Palatino Linotype" w:hAnsi="Palatino Linotype"/>
              <w:b/>
              <w:sz w:val="22"/>
              <w:szCs w:val="22"/>
            </w:rPr>
            <w:t>os Servicios de Agua Potable Alcantarillado y Saneamiento del Municipio de Naucalpan de Juárez</w:t>
          </w:r>
        </w:p>
      </w:tc>
    </w:tr>
    <w:tr w:rsidR="00CD4D16" w:rsidRPr="008F2CCC" w14:paraId="3403CAFA" w14:textId="77777777" w:rsidTr="00592AF4">
      <w:tc>
        <w:tcPr>
          <w:tcW w:w="2977" w:type="dxa"/>
          <w:shd w:val="clear" w:color="auto" w:fill="auto"/>
        </w:tcPr>
        <w:p w14:paraId="467F9D1D" w14:textId="77777777" w:rsidR="00CD4D16" w:rsidRPr="007E5FC4" w:rsidRDefault="00CD4D16" w:rsidP="00592AF4">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14:paraId="28BB499D" w14:textId="77777777" w:rsidR="00CD4D16" w:rsidRPr="008F2CCC" w:rsidRDefault="00CD4D16" w:rsidP="00592AF4">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108EA27A" w14:textId="77777777" w:rsidR="00CD4D16" w:rsidRPr="009F1AB6" w:rsidRDefault="00CD4D16">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4F12D49F" wp14:editId="2073A829">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2401D"/>
    <w:multiLevelType w:val="multilevel"/>
    <w:tmpl w:val="C6F089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755AA3"/>
    <w:multiLevelType w:val="hybridMultilevel"/>
    <w:tmpl w:val="279263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A91571"/>
    <w:multiLevelType w:val="hybridMultilevel"/>
    <w:tmpl w:val="219E2442"/>
    <w:lvl w:ilvl="0" w:tplc="85385C3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194FE3"/>
    <w:multiLevelType w:val="hybridMultilevel"/>
    <w:tmpl w:val="11F674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7866F8"/>
    <w:multiLevelType w:val="hybridMultilevel"/>
    <w:tmpl w:val="0C4ADB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406A48"/>
    <w:multiLevelType w:val="multilevel"/>
    <w:tmpl w:val="264C816C"/>
    <w:lvl w:ilvl="0">
      <w:start w:val="1"/>
      <w:numFmt w:val="decimal"/>
      <w:lvlText w:val="%1."/>
      <w:lvlJc w:val="left"/>
      <w:pPr>
        <w:ind w:left="928" w:hanging="360"/>
      </w:pPr>
      <w:rPr>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097132E"/>
    <w:multiLevelType w:val="multilevel"/>
    <w:tmpl w:val="2130A218"/>
    <w:lvl w:ilvl="0">
      <w:start w:val="1"/>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17F750D"/>
    <w:multiLevelType w:val="hybridMultilevel"/>
    <w:tmpl w:val="3E4086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763CCF"/>
    <w:multiLevelType w:val="hybridMultilevel"/>
    <w:tmpl w:val="D584B0C0"/>
    <w:lvl w:ilvl="0" w:tplc="7DBAA7A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1" w15:restartNumberingAfterBreak="0">
    <w:nsid w:val="1DAF7DD3"/>
    <w:multiLevelType w:val="multilevel"/>
    <w:tmpl w:val="C94A966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75E0287"/>
    <w:multiLevelType w:val="multilevel"/>
    <w:tmpl w:val="2AE605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C2F523E"/>
    <w:multiLevelType w:val="hybridMultilevel"/>
    <w:tmpl w:val="2EDC11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C420D3C"/>
    <w:multiLevelType w:val="hybridMultilevel"/>
    <w:tmpl w:val="C218B35A"/>
    <w:lvl w:ilvl="0" w:tplc="8938C7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EBA5260"/>
    <w:multiLevelType w:val="multilevel"/>
    <w:tmpl w:val="DB304A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10B3B5B"/>
    <w:multiLevelType w:val="hybridMultilevel"/>
    <w:tmpl w:val="C34855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BF6493"/>
    <w:multiLevelType w:val="hybridMultilevel"/>
    <w:tmpl w:val="40D6AFE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34317490"/>
    <w:multiLevelType w:val="hybridMultilevel"/>
    <w:tmpl w:val="66DA59C0"/>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43A4008"/>
    <w:multiLevelType w:val="hybridMultilevel"/>
    <w:tmpl w:val="C5084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CA24DC3"/>
    <w:multiLevelType w:val="hybridMultilevel"/>
    <w:tmpl w:val="85A0EA7E"/>
    <w:lvl w:ilvl="0" w:tplc="B0100C9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C033CF"/>
    <w:multiLevelType w:val="hybridMultilevel"/>
    <w:tmpl w:val="B450E564"/>
    <w:lvl w:ilvl="0" w:tplc="EF5A03A8">
      <w:start w:val="3"/>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41CD0BC3"/>
    <w:multiLevelType w:val="hybridMultilevel"/>
    <w:tmpl w:val="9648B0D0"/>
    <w:lvl w:ilvl="0" w:tplc="C8782542">
      <w:start w:val="1"/>
      <w:numFmt w:val="lowerLetter"/>
      <w:lvlText w:val="%1)"/>
      <w:lvlJc w:val="left"/>
      <w:pPr>
        <w:ind w:left="1065" w:hanging="70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306766A"/>
    <w:multiLevelType w:val="multilevel"/>
    <w:tmpl w:val="40B48C68"/>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43B83E7B"/>
    <w:multiLevelType w:val="hybridMultilevel"/>
    <w:tmpl w:val="AB44F07C"/>
    <w:lvl w:ilvl="0" w:tplc="5FF8436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C8C5A5B"/>
    <w:multiLevelType w:val="hybridMultilevel"/>
    <w:tmpl w:val="8E5254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389657B"/>
    <w:multiLevelType w:val="multilevel"/>
    <w:tmpl w:val="CC847A78"/>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4D774DD"/>
    <w:multiLevelType w:val="hybridMultilevel"/>
    <w:tmpl w:val="31201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6A95D62"/>
    <w:multiLevelType w:val="hybridMultilevel"/>
    <w:tmpl w:val="E870CE70"/>
    <w:lvl w:ilvl="0" w:tplc="3DD0B46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D5E33FF"/>
    <w:multiLevelType w:val="hybridMultilevel"/>
    <w:tmpl w:val="1C0A1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D606C47"/>
    <w:multiLevelType w:val="hybridMultilevel"/>
    <w:tmpl w:val="3D02C07E"/>
    <w:lvl w:ilvl="0" w:tplc="5D26F58A">
      <w:start w:val="1"/>
      <w:numFmt w:val="upperRoman"/>
      <w:lvlText w:val="%1."/>
      <w:lvlJc w:val="left"/>
      <w:pPr>
        <w:ind w:left="1571" w:hanging="72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1" w15:restartNumberingAfterBreak="0">
    <w:nsid w:val="627F7F4E"/>
    <w:multiLevelType w:val="hybridMultilevel"/>
    <w:tmpl w:val="A4AA80B4"/>
    <w:lvl w:ilvl="0" w:tplc="7574538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48643C4"/>
    <w:multiLevelType w:val="multilevel"/>
    <w:tmpl w:val="07E09C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52E5339"/>
    <w:multiLevelType w:val="hybridMultilevel"/>
    <w:tmpl w:val="EA9CE0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69664B5"/>
    <w:multiLevelType w:val="hybridMultilevel"/>
    <w:tmpl w:val="6EE48E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7556ABC"/>
    <w:multiLevelType w:val="hybridMultilevel"/>
    <w:tmpl w:val="274851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BDE78CA"/>
    <w:multiLevelType w:val="hybridMultilevel"/>
    <w:tmpl w:val="6832DC24"/>
    <w:lvl w:ilvl="0" w:tplc="9FDA03B4">
      <w:start w:val="8"/>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F2538BC"/>
    <w:multiLevelType w:val="hybridMultilevel"/>
    <w:tmpl w:val="A6E2C0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0245C7E"/>
    <w:multiLevelType w:val="hybridMultilevel"/>
    <w:tmpl w:val="2550F174"/>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3CE7B48"/>
    <w:multiLevelType w:val="multilevel"/>
    <w:tmpl w:val="835600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4104C8D"/>
    <w:multiLevelType w:val="multilevel"/>
    <w:tmpl w:val="F9FE5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6EB70D1"/>
    <w:multiLevelType w:val="hybridMultilevel"/>
    <w:tmpl w:val="07E2AEC2"/>
    <w:lvl w:ilvl="0" w:tplc="09C8896A">
      <w:start w:val="3"/>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2" w15:restartNumberingAfterBreak="0">
    <w:nsid w:val="78146778"/>
    <w:multiLevelType w:val="hybridMultilevel"/>
    <w:tmpl w:val="445E4EEA"/>
    <w:lvl w:ilvl="0" w:tplc="1180DB5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9DE0570"/>
    <w:multiLevelType w:val="hybridMultilevel"/>
    <w:tmpl w:val="27425850"/>
    <w:lvl w:ilvl="0" w:tplc="2048CF3E">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4" w15:restartNumberingAfterBreak="0">
    <w:nsid w:val="7FE67E2E"/>
    <w:multiLevelType w:val="hybridMultilevel"/>
    <w:tmpl w:val="E204383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3"/>
  </w:num>
  <w:num w:numId="2">
    <w:abstractNumId w:val="6"/>
  </w:num>
  <w:num w:numId="3">
    <w:abstractNumId w:val="17"/>
  </w:num>
  <w:num w:numId="4">
    <w:abstractNumId w:val="2"/>
  </w:num>
  <w:num w:numId="5">
    <w:abstractNumId w:val="10"/>
  </w:num>
  <w:num w:numId="6">
    <w:abstractNumId w:val="41"/>
  </w:num>
  <w:num w:numId="7">
    <w:abstractNumId w:val="43"/>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24"/>
  </w:num>
  <w:num w:numId="11">
    <w:abstractNumId w:val="29"/>
  </w:num>
  <w:num w:numId="12">
    <w:abstractNumId w:val="36"/>
  </w:num>
  <w:num w:numId="13">
    <w:abstractNumId w:val="22"/>
  </w:num>
  <w:num w:numId="14">
    <w:abstractNumId w:val="35"/>
  </w:num>
  <w:num w:numId="15">
    <w:abstractNumId w:val="21"/>
  </w:num>
  <w:num w:numId="16">
    <w:abstractNumId w:val="30"/>
  </w:num>
  <w:num w:numId="17">
    <w:abstractNumId w:val="11"/>
  </w:num>
  <w:num w:numId="18">
    <w:abstractNumId w:val="28"/>
  </w:num>
  <w:num w:numId="19">
    <w:abstractNumId w:val="5"/>
  </w:num>
  <w:num w:numId="20">
    <w:abstractNumId w:val="26"/>
  </w:num>
  <w:num w:numId="21">
    <w:abstractNumId w:val="32"/>
  </w:num>
  <w:num w:numId="22">
    <w:abstractNumId w:val="12"/>
  </w:num>
  <w:num w:numId="23">
    <w:abstractNumId w:val="40"/>
  </w:num>
  <w:num w:numId="24">
    <w:abstractNumId w:val="1"/>
  </w:num>
  <w:num w:numId="25">
    <w:abstractNumId w:val="20"/>
  </w:num>
  <w:num w:numId="26">
    <w:abstractNumId w:val="25"/>
  </w:num>
  <w:num w:numId="27">
    <w:abstractNumId w:val="9"/>
  </w:num>
  <w:num w:numId="28">
    <w:abstractNumId w:val="31"/>
  </w:num>
  <w:num w:numId="29">
    <w:abstractNumId w:val="37"/>
  </w:num>
  <w:num w:numId="30">
    <w:abstractNumId w:val="38"/>
  </w:num>
  <w:num w:numId="31">
    <w:abstractNumId w:val="18"/>
  </w:num>
  <w:num w:numId="32">
    <w:abstractNumId w:val="8"/>
  </w:num>
  <w:num w:numId="33">
    <w:abstractNumId w:val="4"/>
  </w:num>
  <w:num w:numId="34">
    <w:abstractNumId w:val="42"/>
  </w:num>
  <w:num w:numId="35">
    <w:abstractNumId w:val="14"/>
  </w:num>
  <w:num w:numId="36">
    <w:abstractNumId w:val="15"/>
  </w:num>
  <w:num w:numId="37">
    <w:abstractNumId w:val="39"/>
  </w:num>
  <w:num w:numId="38">
    <w:abstractNumId w:val="23"/>
  </w:num>
  <w:num w:numId="39">
    <w:abstractNumId w:val="0"/>
  </w:num>
  <w:num w:numId="40">
    <w:abstractNumId w:val="16"/>
  </w:num>
  <w:num w:numId="41">
    <w:abstractNumId w:val="33"/>
  </w:num>
  <w:num w:numId="42">
    <w:abstractNumId w:val="27"/>
  </w:num>
  <w:num w:numId="43">
    <w:abstractNumId w:val="34"/>
  </w:num>
  <w:num w:numId="44">
    <w:abstractNumId w:val="7"/>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637"/>
    <w:rsid w:val="00002B53"/>
    <w:rsid w:val="00002E12"/>
    <w:rsid w:val="00011853"/>
    <w:rsid w:val="00020A06"/>
    <w:rsid w:val="0002367D"/>
    <w:rsid w:val="0002503C"/>
    <w:rsid w:val="00035239"/>
    <w:rsid w:val="00042D98"/>
    <w:rsid w:val="0004463F"/>
    <w:rsid w:val="000466E0"/>
    <w:rsid w:val="0004777B"/>
    <w:rsid w:val="000533EB"/>
    <w:rsid w:val="00053DCC"/>
    <w:rsid w:val="00056A60"/>
    <w:rsid w:val="000572FB"/>
    <w:rsid w:val="00063138"/>
    <w:rsid w:val="00066AEF"/>
    <w:rsid w:val="00070D1F"/>
    <w:rsid w:val="000733E0"/>
    <w:rsid w:val="0007353C"/>
    <w:rsid w:val="00073A85"/>
    <w:rsid w:val="00083843"/>
    <w:rsid w:val="00083AA3"/>
    <w:rsid w:val="00092220"/>
    <w:rsid w:val="00093941"/>
    <w:rsid w:val="0009425B"/>
    <w:rsid w:val="0009539D"/>
    <w:rsid w:val="00097C3B"/>
    <w:rsid w:val="000B4088"/>
    <w:rsid w:val="000B6E56"/>
    <w:rsid w:val="000C0484"/>
    <w:rsid w:val="000C47A6"/>
    <w:rsid w:val="000C6703"/>
    <w:rsid w:val="000D008D"/>
    <w:rsid w:val="000D16E0"/>
    <w:rsid w:val="000D29F8"/>
    <w:rsid w:val="000D6189"/>
    <w:rsid w:val="000D643C"/>
    <w:rsid w:val="000E52D8"/>
    <w:rsid w:val="000E6AE0"/>
    <w:rsid w:val="000E7D5A"/>
    <w:rsid w:val="000F039A"/>
    <w:rsid w:val="000F3AA9"/>
    <w:rsid w:val="000F3ECE"/>
    <w:rsid w:val="000F601B"/>
    <w:rsid w:val="00105B24"/>
    <w:rsid w:val="00106ACE"/>
    <w:rsid w:val="001077A3"/>
    <w:rsid w:val="0011562F"/>
    <w:rsid w:val="001242FE"/>
    <w:rsid w:val="00126FD3"/>
    <w:rsid w:val="00142106"/>
    <w:rsid w:val="00142FA6"/>
    <w:rsid w:val="00144E0B"/>
    <w:rsid w:val="0015020E"/>
    <w:rsid w:val="0016064E"/>
    <w:rsid w:val="001626C3"/>
    <w:rsid w:val="001634BE"/>
    <w:rsid w:val="00171535"/>
    <w:rsid w:val="00175331"/>
    <w:rsid w:val="0017671D"/>
    <w:rsid w:val="00181937"/>
    <w:rsid w:val="001830BE"/>
    <w:rsid w:val="00185414"/>
    <w:rsid w:val="0019151B"/>
    <w:rsid w:val="001A183B"/>
    <w:rsid w:val="001A2CFE"/>
    <w:rsid w:val="001B4F69"/>
    <w:rsid w:val="001B6F17"/>
    <w:rsid w:val="001C1345"/>
    <w:rsid w:val="001C350E"/>
    <w:rsid w:val="001C6445"/>
    <w:rsid w:val="001C778C"/>
    <w:rsid w:val="001D223A"/>
    <w:rsid w:val="001E68C6"/>
    <w:rsid w:val="001F229D"/>
    <w:rsid w:val="001F442D"/>
    <w:rsid w:val="00201376"/>
    <w:rsid w:val="00202738"/>
    <w:rsid w:val="00211B9C"/>
    <w:rsid w:val="00215131"/>
    <w:rsid w:val="00221A3C"/>
    <w:rsid w:val="0022516A"/>
    <w:rsid w:val="002254F5"/>
    <w:rsid w:val="00225CA1"/>
    <w:rsid w:val="00227784"/>
    <w:rsid w:val="00231464"/>
    <w:rsid w:val="00241E5D"/>
    <w:rsid w:val="00246FB1"/>
    <w:rsid w:val="00247627"/>
    <w:rsid w:val="00247D07"/>
    <w:rsid w:val="00262325"/>
    <w:rsid w:val="002650D8"/>
    <w:rsid w:val="00267303"/>
    <w:rsid w:val="00272544"/>
    <w:rsid w:val="00282896"/>
    <w:rsid w:val="00285249"/>
    <w:rsid w:val="00285276"/>
    <w:rsid w:val="002A32C4"/>
    <w:rsid w:val="002A3A19"/>
    <w:rsid w:val="002A568B"/>
    <w:rsid w:val="002A6746"/>
    <w:rsid w:val="002A7D27"/>
    <w:rsid w:val="002B3EC5"/>
    <w:rsid w:val="002B3F3F"/>
    <w:rsid w:val="002D540E"/>
    <w:rsid w:val="002D60A7"/>
    <w:rsid w:val="002D6D2C"/>
    <w:rsid w:val="002E7F6A"/>
    <w:rsid w:val="00310D4D"/>
    <w:rsid w:val="00316BCC"/>
    <w:rsid w:val="0032532B"/>
    <w:rsid w:val="00344D8B"/>
    <w:rsid w:val="00346132"/>
    <w:rsid w:val="00355CF2"/>
    <w:rsid w:val="00360A0A"/>
    <w:rsid w:val="00366C7C"/>
    <w:rsid w:val="0037208C"/>
    <w:rsid w:val="003721E1"/>
    <w:rsid w:val="0037652C"/>
    <w:rsid w:val="00384DAF"/>
    <w:rsid w:val="003947D1"/>
    <w:rsid w:val="003A1122"/>
    <w:rsid w:val="003A3148"/>
    <w:rsid w:val="003A6366"/>
    <w:rsid w:val="003B0D26"/>
    <w:rsid w:val="003C0E48"/>
    <w:rsid w:val="003C19C0"/>
    <w:rsid w:val="003C6381"/>
    <w:rsid w:val="003D2672"/>
    <w:rsid w:val="003D2C20"/>
    <w:rsid w:val="003D76E4"/>
    <w:rsid w:val="003E007F"/>
    <w:rsid w:val="003E4438"/>
    <w:rsid w:val="003F71F2"/>
    <w:rsid w:val="00403CB7"/>
    <w:rsid w:val="0042017E"/>
    <w:rsid w:val="00420CCA"/>
    <w:rsid w:val="004234A6"/>
    <w:rsid w:val="004368EE"/>
    <w:rsid w:val="00443F3F"/>
    <w:rsid w:val="00447D59"/>
    <w:rsid w:val="00450496"/>
    <w:rsid w:val="00457ED0"/>
    <w:rsid w:val="00461CA2"/>
    <w:rsid w:val="004641FD"/>
    <w:rsid w:val="0046584E"/>
    <w:rsid w:val="004712BD"/>
    <w:rsid w:val="004758A0"/>
    <w:rsid w:val="00486EA3"/>
    <w:rsid w:val="00491718"/>
    <w:rsid w:val="00492582"/>
    <w:rsid w:val="0049483B"/>
    <w:rsid w:val="0049521B"/>
    <w:rsid w:val="004A2F8A"/>
    <w:rsid w:val="004B2351"/>
    <w:rsid w:val="004C5195"/>
    <w:rsid w:val="004C7CE4"/>
    <w:rsid w:val="004D655D"/>
    <w:rsid w:val="004D6D9B"/>
    <w:rsid w:val="004F3D62"/>
    <w:rsid w:val="004F4182"/>
    <w:rsid w:val="004F47F2"/>
    <w:rsid w:val="00507909"/>
    <w:rsid w:val="00512506"/>
    <w:rsid w:val="00522697"/>
    <w:rsid w:val="00530BCC"/>
    <w:rsid w:val="0053329B"/>
    <w:rsid w:val="005406B4"/>
    <w:rsid w:val="005425F9"/>
    <w:rsid w:val="005432B5"/>
    <w:rsid w:val="005448D5"/>
    <w:rsid w:val="00546E78"/>
    <w:rsid w:val="00551637"/>
    <w:rsid w:val="00552207"/>
    <w:rsid w:val="00554F3C"/>
    <w:rsid w:val="005607C3"/>
    <w:rsid w:val="00561F00"/>
    <w:rsid w:val="00564FBB"/>
    <w:rsid w:val="00565622"/>
    <w:rsid w:val="005701B8"/>
    <w:rsid w:val="0058512C"/>
    <w:rsid w:val="005855DA"/>
    <w:rsid w:val="00590E2A"/>
    <w:rsid w:val="00592AF4"/>
    <w:rsid w:val="005A149C"/>
    <w:rsid w:val="005B0C41"/>
    <w:rsid w:val="005B192E"/>
    <w:rsid w:val="005B6DF4"/>
    <w:rsid w:val="005C0B1B"/>
    <w:rsid w:val="005C24EE"/>
    <w:rsid w:val="005D65C4"/>
    <w:rsid w:val="005D7B2E"/>
    <w:rsid w:val="005E2B40"/>
    <w:rsid w:val="005E5618"/>
    <w:rsid w:val="005F3E10"/>
    <w:rsid w:val="005F5CE7"/>
    <w:rsid w:val="00602A78"/>
    <w:rsid w:val="00603CC3"/>
    <w:rsid w:val="0060621A"/>
    <w:rsid w:val="006158B1"/>
    <w:rsid w:val="00615B05"/>
    <w:rsid w:val="00617C6B"/>
    <w:rsid w:val="00617CD3"/>
    <w:rsid w:val="006270F2"/>
    <w:rsid w:val="00627D15"/>
    <w:rsid w:val="0063668C"/>
    <w:rsid w:val="00640C44"/>
    <w:rsid w:val="00642E6E"/>
    <w:rsid w:val="00643FB0"/>
    <w:rsid w:val="00645416"/>
    <w:rsid w:val="00647C9C"/>
    <w:rsid w:val="00662243"/>
    <w:rsid w:val="0066346A"/>
    <w:rsid w:val="00683A31"/>
    <w:rsid w:val="00690CAA"/>
    <w:rsid w:val="00694654"/>
    <w:rsid w:val="006A34BB"/>
    <w:rsid w:val="006A7ABE"/>
    <w:rsid w:val="006C56D8"/>
    <w:rsid w:val="006C7ACD"/>
    <w:rsid w:val="006E2652"/>
    <w:rsid w:val="006E574D"/>
    <w:rsid w:val="006F1650"/>
    <w:rsid w:val="006F4978"/>
    <w:rsid w:val="007030F7"/>
    <w:rsid w:val="0071102A"/>
    <w:rsid w:val="00712765"/>
    <w:rsid w:val="00713AB0"/>
    <w:rsid w:val="007206E8"/>
    <w:rsid w:val="007256FE"/>
    <w:rsid w:val="00736965"/>
    <w:rsid w:val="00740212"/>
    <w:rsid w:val="00745C85"/>
    <w:rsid w:val="00754333"/>
    <w:rsid w:val="00754D1E"/>
    <w:rsid w:val="00756285"/>
    <w:rsid w:val="00760B53"/>
    <w:rsid w:val="00770223"/>
    <w:rsid w:val="0077081E"/>
    <w:rsid w:val="00772272"/>
    <w:rsid w:val="00782445"/>
    <w:rsid w:val="00784890"/>
    <w:rsid w:val="00793B6B"/>
    <w:rsid w:val="00793D88"/>
    <w:rsid w:val="00795FCC"/>
    <w:rsid w:val="007A3270"/>
    <w:rsid w:val="007A55B5"/>
    <w:rsid w:val="007B1B7E"/>
    <w:rsid w:val="007B3B5F"/>
    <w:rsid w:val="007C0901"/>
    <w:rsid w:val="007C2A65"/>
    <w:rsid w:val="007C405E"/>
    <w:rsid w:val="007C4661"/>
    <w:rsid w:val="007C725E"/>
    <w:rsid w:val="007D6406"/>
    <w:rsid w:val="007D7CB7"/>
    <w:rsid w:val="007E016E"/>
    <w:rsid w:val="007E2F43"/>
    <w:rsid w:val="007F2479"/>
    <w:rsid w:val="007F475C"/>
    <w:rsid w:val="007F7D86"/>
    <w:rsid w:val="00806A7D"/>
    <w:rsid w:val="00807CDC"/>
    <w:rsid w:val="0081397F"/>
    <w:rsid w:val="008149E8"/>
    <w:rsid w:val="00826499"/>
    <w:rsid w:val="00840F7D"/>
    <w:rsid w:val="00844FC8"/>
    <w:rsid w:val="008556A4"/>
    <w:rsid w:val="008625ED"/>
    <w:rsid w:val="0086482E"/>
    <w:rsid w:val="00870624"/>
    <w:rsid w:val="008720EC"/>
    <w:rsid w:val="00881206"/>
    <w:rsid w:val="00885353"/>
    <w:rsid w:val="00890737"/>
    <w:rsid w:val="00891A39"/>
    <w:rsid w:val="00894BCF"/>
    <w:rsid w:val="008959D1"/>
    <w:rsid w:val="00897C5E"/>
    <w:rsid w:val="008B0093"/>
    <w:rsid w:val="008B29F6"/>
    <w:rsid w:val="008B327F"/>
    <w:rsid w:val="008B5331"/>
    <w:rsid w:val="008C0DA8"/>
    <w:rsid w:val="008C46DC"/>
    <w:rsid w:val="008D2DE2"/>
    <w:rsid w:val="008D4712"/>
    <w:rsid w:val="008D4E28"/>
    <w:rsid w:val="008D592E"/>
    <w:rsid w:val="008D5BDD"/>
    <w:rsid w:val="008D7B7F"/>
    <w:rsid w:val="008E3B05"/>
    <w:rsid w:val="008F549A"/>
    <w:rsid w:val="00904AB5"/>
    <w:rsid w:val="0091141C"/>
    <w:rsid w:val="00913F9D"/>
    <w:rsid w:val="00914F8A"/>
    <w:rsid w:val="009169A9"/>
    <w:rsid w:val="009222E7"/>
    <w:rsid w:val="009268D1"/>
    <w:rsid w:val="0092755F"/>
    <w:rsid w:val="00930B3B"/>
    <w:rsid w:val="0093161D"/>
    <w:rsid w:val="00936684"/>
    <w:rsid w:val="00943E27"/>
    <w:rsid w:val="00950F82"/>
    <w:rsid w:val="00951F7D"/>
    <w:rsid w:val="009525B2"/>
    <w:rsid w:val="00952D59"/>
    <w:rsid w:val="00955C89"/>
    <w:rsid w:val="0096478D"/>
    <w:rsid w:val="00972822"/>
    <w:rsid w:val="0097584C"/>
    <w:rsid w:val="00985A7F"/>
    <w:rsid w:val="00992512"/>
    <w:rsid w:val="00993873"/>
    <w:rsid w:val="00995826"/>
    <w:rsid w:val="009A1783"/>
    <w:rsid w:val="009A35D7"/>
    <w:rsid w:val="009A3B25"/>
    <w:rsid w:val="009A3C3B"/>
    <w:rsid w:val="009A5E85"/>
    <w:rsid w:val="009A7E37"/>
    <w:rsid w:val="009C0373"/>
    <w:rsid w:val="009C0F27"/>
    <w:rsid w:val="009C4005"/>
    <w:rsid w:val="009D00C3"/>
    <w:rsid w:val="009D2B8A"/>
    <w:rsid w:val="009E4C00"/>
    <w:rsid w:val="009E5F37"/>
    <w:rsid w:val="009E6263"/>
    <w:rsid w:val="009F6D48"/>
    <w:rsid w:val="009F7AA3"/>
    <w:rsid w:val="00A10F83"/>
    <w:rsid w:val="00A161F2"/>
    <w:rsid w:val="00A263EE"/>
    <w:rsid w:val="00A3041F"/>
    <w:rsid w:val="00A401F1"/>
    <w:rsid w:val="00A40261"/>
    <w:rsid w:val="00A42D61"/>
    <w:rsid w:val="00A53E26"/>
    <w:rsid w:val="00A5465C"/>
    <w:rsid w:val="00A600D3"/>
    <w:rsid w:val="00A611D6"/>
    <w:rsid w:val="00A6181F"/>
    <w:rsid w:val="00A62E9D"/>
    <w:rsid w:val="00A74248"/>
    <w:rsid w:val="00A76456"/>
    <w:rsid w:val="00A82791"/>
    <w:rsid w:val="00A847E5"/>
    <w:rsid w:val="00A8538D"/>
    <w:rsid w:val="00A8636C"/>
    <w:rsid w:val="00A90D54"/>
    <w:rsid w:val="00A91DC8"/>
    <w:rsid w:val="00A96407"/>
    <w:rsid w:val="00A96E8D"/>
    <w:rsid w:val="00AA482D"/>
    <w:rsid w:val="00AB0492"/>
    <w:rsid w:val="00AB1C05"/>
    <w:rsid w:val="00AB28FB"/>
    <w:rsid w:val="00AB3232"/>
    <w:rsid w:val="00AB5650"/>
    <w:rsid w:val="00AB7F61"/>
    <w:rsid w:val="00AC2736"/>
    <w:rsid w:val="00AC44F3"/>
    <w:rsid w:val="00AD1007"/>
    <w:rsid w:val="00AD2555"/>
    <w:rsid w:val="00AD3049"/>
    <w:rsid w:val="00AD3690"/>
    <w:rsid w:val="00AD43BC"/>
    <w:rsid w:val="00AE7320"/>
    <w:rsid w:val="00AF0DE4"/>
    <w:rsid w:val="00AF499B"/>
    <w:rsid w:val="00B00BD1"/>
    <w:rsid w:val="00B0689B"/>
    <w:rsid w:val="00B14726"/>
    <w:rsid w:val="00B151C7"/>
    <w:rsid w:val="00B15F74"/>
    <w:rsid w:val="00B17278"/>
    <w:rsid w:val="00B3718C"/>
    <w:rsid w:val="00B4433E"/>
    <w:rsid w:val="00B45285"/>
    <w:rsid w:val="00B46444"/>
    <w:rsid w:val="00B47F0A"/>
    <w:rsid w:val="00B51BB0"/>
    <w:rsid w:val="00B51F60"/>
    <w:rsid w:val="00B5434B"/>
    <w:rsid w:val="00B5467A"/>
    <w:rsid w:val="00B60075"/>
    <w:rsid w:val="00B63D2F"/>
    <w:rsid w:val="00B63F3E"/>
    <w:rsid w:val="00B85494"/>
    <w:rsid w:val="00B96273"/>
    <w:rsid w:val="00BA1798"/>
    <w:rsid w:val="00BA1DE7"/>
    <w:rsid w:val="00BA32A6"/>
    <w:rsid w:val="00BA367A"/>
    <w:rsid w:val="00BA4412"/>
    <w:rsid w:val="00BA5034"/>
    <w:rsid w:val="00BA56CA"/>
    <w:rsid w:val="00BA5FE4"/>
    <w:rsid w:val="00BB1304"/>
    <w:rsid w:val="00BB3D4B"/>
    <w:rsid w:val="00BC2B74"/>
    <w:rsid w:val="00BC6739"/>
    <w:rsid w:val="00BD0669"/>
    <w:rsid w:val="00BD20FD"/>
    <w:rsid w:val="00BD7F88"/>
    <w:rsid w:val="00BE4801"/>
    <w:rsid w:val="00BF084A"/>
    <w:rsid w:val="00BF0F5C"/>
    <w:rsid w:val="00BF5A69"/>
    <w:rsid w:val="00C0555A"/>
    <w:rsid w:val="00C10F27"/>
    <w:rsid w:val="00C11D9A"/>
    <w:rsid w:val="00C22DA1"/>
    <w:rsid w:val="00C31EDF"/>
    <w:rsid w:val="00C414DE"/>
    <w:rsid w:val="00C461C4"/>
    <w:rsid w:val="00C5659F"/>
    <w:rsid w:val="00C56DD9"/>
    <w:rsid w:val="00C62558"/>
    <w:rsid w:val="00C678E1"/>
    <w:rsid w:val="00C71135"/>
    <w:rsid w:val="00C732D2"/>
    <w:rsid w:val="00C803C4"/>
    <w:rsid w:val="00C80AFD"/>
    <w:rsid w:val="00C87378"/>
    <w:rsid w:val="00C90FF5"/>
    <w:rsid w:val="00C92B6C"/>
    <w:rsid w:val="00C97CC5"/>
    <w:rsid w:val="00CA3EE3"/>
    <w:rsid w:val="00CB7AE5"/>
    <w:rsid w:val="00CC0A9D"/>
    <w:rsid w:val="00CC6B75"/>
    <w:rsid w:val="00CD4D16"/>
    <w:rsid w:val="00CD55DC"/>
    <w:rsid w:val="00CF1A4E"/>
    <w:rsid w:val="00CF237E"/>
    <w:rsid w:val="00CF2CD6"/>
    <w:rsid w:val="00CF788B"/>
    <w:rsid w:val="00D07F5B"/>
    <w:rsid w:val="00D23487"/>
    <w:rsid w:val="00D41F0F"/>
    <w:rsid w:val="00D533A4"/>
    <w:rsid w:val="00D56390"/>
    <w:rsid w:val="00D571F9"/>
    <w:rsid w:val="00D6595F"/>
    <w:rsid w:val="00D711D6"/>
    <w:rsid w:val="00D73F1B"/>
    <w:rsid w:val="00D80A26"/>
    <w:rsid w:val="00D832C0"/>
    <w:rsid w:val="00D83FFC"/>
    <w:rsid w:val="00D918CD"/>
    <w:rsid w:val="00DA2B6A"/>
    <w:rsid w:val="00DA459E"/>
    <w:rsid w:val="00DB47C0"/>
    <w:rsid w:val="00DB4B8A"/>
    <w:rsid w:val="00DC16B4"/>
    <w:rsid w:val="00DC2E22"/>
    <w:rsid w:val="00DC39DD"/>
    <w:rsid w:val="00DC72FA"/>
    <w:rsid w:val="00DD6A09"/>
    <w:rsid w:val="00DE3729"/>
    <w:rsid w:val="00DE3C98"/>
    <w:rsid w:val="00DE7052"/>
    <w:rsid w:val="00DF39AF"/>
    <w:rsid w:val="00E01293"/>
    <w:rsid w:val="00E0286A"/>
    <w:rsid w:val="00E05F56"/>
    <w:rsid w:val="00E12BD2"/>
    <w:rsid w:val="00E141E9"/>
    <w:rsid w:val="00E14D26"/>
    <w:rsid w:val="00E21B61"/>
    <w:rsid w:val="00E23606"/>
    <w:rsid w:val="00E27505"/>
    <w:rsid w:val="00E3264F"/>
    <w:rsid w:val="00E37B50"/>
    <w:rsid w:val="00E43372"/>
    <w:rsid w:val="00E454B3"/>
    <w:rsid w:val="00E50B0F"/>
    <w:rsid w:val="00E6419A"/>
    <w:rsid w:val="00E64833"/>
    <w:rsid w:val="00E65082"/>
    <w:rsid w:val="00E70D85"/>
    <w:rsid w:val="00E7152E"/>
    <w:rsid w:val="00E71BA2"/>
    <w:rsid w:val="00E74B36"/>
    <w:rsid w:val="00E81DBB"/>
    <w:rsid w:val="00E84992"/>
    <w:rsid w:val="00E862C3"/>
    <w:rsid w:val="00E87D47"/>
    <w:rsid w:val="00E900D4"/>
    <w:rsid w:val="00E910DB"/>
    <w:rsid w:val="00E9306B"/>
    <w:rsid w:val="00EB51A5"/>
    <w:rsid w:val="00EB639B"/>
    <w:rsid w:val="00EB7CB0"/>
    <w:rsid w:val="00EC0712"/>
    <w:rsid w:val="00EC5D9A"/>
    <w:rsid w:val="00ED15DD"/>
    <w:rsid w:val="00EE1F8C"/>
    <w:rsid w:val="00EF36B2"/>
    <w:rsid w:val="00F01833"/>
    <w:rsid w:val="00F035A8"/>
    <w:rsid w:val="00F05DAF"/>
    <w:rsid w:val="00F2013A"/>
    <w:rsid w:val="00F23B2D"/>
    <w:rsid w:val="00F242C6"/>
    <w:rsid w:val="00F24BE4"/>
    <w:rsid w:val="00F257E4"/>
    <w:rsid w:val="00F40820"/>
    <w:rsid w:val="00F410DE"/>
    <w:rsid w:val="00F46252"/>
    <w:rsid w:val="00F47A39"/>
    <w:rsid w:val="00F52FEF"/>
    <w:rsid w:val="00F53DE0"/>
    <w:rsid w:val="00F54677"/>
    <w:rsid w:val="00F64D20"/>
    <w:rsid w:val="00F657E3"/>
    <w:rsid w:val="00F65816"/>
    <w:rsid w:val="00F66586"/>
    <w:rsid w:val="00F710BA"/>
    <w:rsid w:val="00F726A0"/>
    <w:rsid w:val="00F730EB"/>
    <w:rsid w:val="00F7325D"/>
    <w:rsid w:val="00F7753C"/>
    <w:rsid w:val="00F82756"/>
    <w:rsid w:val="00F926D0"/>
    <w:rsid w:val="00FA46C1"/>
    <w:rsid w:val="00FB3387"/>
    <w:rsid w:val="00FB53B5"/>
    <w:rsid w:val="00FD1690"/>
    <w:rsid w:val="00FD4295"/>
    <w:rsid w:val="00FD703D"/>
    <w:rsid w:val="00FE06CB"/>
    <w:rsid w:val="00FE50A3"/>
    <w:rsid w:val="00FF159C"/>
    <w:rsid w:val="00FF46E6"/>
    <w:rsid w:val="00FF5C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414A1C"/>
  <w15:chartTrackingRefBased/>
  <w15:docId w15:val="{593224D2-023E-4B3B-938A-0244BA551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E5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51637"/>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551637"/>
    <w:rPr>
      <w:rFonts w:eastAsiaTheme="minorEastAsia"/>
      <w:sz w:val="24"/>
      <w:szCs w:val="24"/>
      <w:lang w:val="es-ES_tradnl" w:eastAsia="es-ES"/>
    </w:rPr>
  </w:style>
  <w:style w:type="paragraph" w:styleId="Piedepgina">
    <w:name w:val="footer"/>
    <w:basedOn w:val="Normal"/>
    <w:link w:val="PiedepginaCar"/>
    <w:uiPriority w:val="99"/>
    <w:unhideWhenUsed/>
    <w:rsid w:val="00551637"/>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551637"/>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51637"/>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51637"/>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551637"/>
    <w:pPr>
      <w:spacing w:after="0" w:line="240" w:lineRule="auto"/>
    </w:pPr>
  </w:style>
  <w:style w:type="character" w:customStyle="1" w:styleId="SinespaciadoCar">
    <w:name w:val="Sin espaciado Car"/>
    <w:aliases w:val="Francesa Car,INAI Car"/>
    <w:link w:val="Sinespaciado"/>
    <w:uiPriority w:val="1"/>
    <w:locked/>
    <w:rsid w:val="00551637"/>
  </w:style>
  <w:style w:type="character" w:styleId="Hipervnculo">
    <w:name w:val="Hyperlink"/>
    <w:aliases w:val="Hipervínculo1,Hipervínculo11,Hipervínculo12,Hipervínculo13,Hipervínculo14,Hipervínculo15"/>
    <w:basedOn w:val="Fuentedeprrafopredeter"/>
    <w:uiPriority w:val="99"/>
    <w:unhideWhenUsed/>
    <w:rsid w:val="00551637"/>
    <w:rPr>
      <w:color w:val="0563C1" w:themeColor="hyperlink"/>
      <w:u w:val="single"/>
    </w:rPr>
  </w:style>
  <w:style w:type="paragraph" w:customStyle="1" w:styleId="INFOEM">
    <w:name w:val="INFOEM"/>
    <w:basedOn w:val="Normal"/>
    <w:qFormat/>
    <w:rsid w:val="00551637"/>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character" w:customStyle="1" w:styleId="apple-converted-space">
    <w:name w:val="apple-converted-space"/>
    <w:basedOn w:val="Fuentedeprrafopredeter"/>
    <w:rsid w:val="00551637"/>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551637"/>
    <w:rPr>
      <w:vertAlign w:val="superscript"/>
    </w:rPr>
  </w:style>
  <w:style w:type="paragraph" w:customStyle="1" w:styleId="infoemcitas">
    <w:name w:val="infoem citas"/>
    <w:basedOn w:val="Normal"/>
    <w:qFormat/>
    <w:rsid w:val="00551637"/>
    <w:pPr>
      <w:spacing w:before="240" w:after="160" w:line="360" w:lineRule="auto"/>
      <w:ind w:left="851" w:right="851"/>
      <w:jc w:val="both"/>
    </w:pPr>
    <w:rPr>
      <w:rFonts w:ascii="Palatino Linotype" w:eastAsiaTheme="minorHAnsi" w:hAnsi="Palatino Linotype" w:cstheme="minorBidi"/>
      <w:i/>
      <w:sz w:val="22"/>
      <w:szCs w:val="22"/>
      <w:lang w:val="es-MX" w:eastAsia="en-US"/>
    </w:rPr>
  </w:style>
  <w:style w:type="table" w:styleId="Tablaconcuadrcula">
    <w:name w:val="Table Grid"/>
    <w:basedOn w:val="Tablanormal"/>
    <w:uiPriority w:val="39"/>
    <w:rsid w:val="00551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551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551637"/>
    <w:pPr>
      <w:spacing w:before="240" w:after="160" w:line="360" w:lineRule="auto"/>
      <w:ind w:left="851" w:right="851"/>
      <w:jc w:val="both"/>
    </w:pPr>
    <w:rPr>
      <w:rFonts w:ascii="Palatino Linotype" w:eastAsiaTheme="minorHAnsi" w:hAnsi="Palatino Linotype" w:cs="Arial"/>
      <w:i/>
      <w:sz w:val="22"/>
      <w:szCs w:val="22"/>
      <w:lang w:val="es-MX" w:eastAsia="en-US"/>
    </w:rPr>
  </w:style>
  <w:style w:type="character" w:customStyle="1" w:styleId="Mencinsinresolver1">
    <w:name w:val="Mención sin resolver1"/>
    <w:basedOn w:val="Fuentedeprrafopredeter"/>
    <w:uiPriority w:val="99"/>
    <w:semiHidden/>
    <w:unhideWhenUsed/>
    <w:rsid w:val="00AB3232"/>
    <w:rPr>
      <w:color w:val="605E5C"/>
      <w:shd w:val="clear" w:color="auto" w:fill="E1DFDD"/>
    </w:rPr>
  </w:style>
  <w:style w:type="character" w:styleId="Refdecomentario">
    <w:name w:val="annotation reference"/>
    <w:basedOn w:val="Fuentedeprrafopredeter"/>
    <w:uiPriority w:val="99"/>
    <w:semiHidden/>
    <w:unhideWhenUsed/>
    <w:rsid w:val="0060621A"/>
    <w:rPr>
      <w:sz w:val="16"/>
      <w:szCs w:val="16"/>
    </w:rPr>
  </w:style>
  <w:style w:type="paragraph" w:styleId="Textocomentario">
    <w:name w:val="annotation text"/>
    <w:basedOn w:val="Normal"/>
    <w:link w:val="TextocomentarioCar"/>
    <w:uiPriority w:val="99"/>
    <w:semiHidden/>
    <w:unhideWhenUsed/>
    <w:rsid w:val="0060621A"/>
    <w:rPr>
      <w:sz w:val="20"/>
      <w:szCs w:val="20"/>
    </w:rPr>
  </w:style>
  <w:style w:type="character" w:customStyle="1" w:styleId="TextocomentarioCar">
    <w:name w:val="Texto comentario Car"/>
    <w:basedOn w:val="Fuentedeprrafopredeter"/>
    <w:link w:val="Textocomentario"/>
    <w:uiPriority w:val="99"/>
    <w:semiHidden/>
    <w:rsid w:val="0060621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0621A"/>
    <w:rPr>
      <w:b/>
      <w:bCs/>
    </w:rPr>
  </w:style>
  <w:style w:type="character" w:customStyle="1" w:styleId="AsuntodelcomentarioCar">
    <w:name w:val="Asunto del comentario Car"/>
    <w:basedOn w:val="TextocomentarioCar"/>
    <w:link w:val="Asuntodelcomentario"/>
    <w:uiPriority w:val="99"/>
    <w:semiHidden/>
    <w:rsid w:val="0060621A"/>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60621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621A"/>
    <w:rPr>
      <w:rFonts w:ascii="Segoe UI" w:eastAsia="Times New Roman" w:hAnsi="Segoe UI" w:cs="Segoe UI"/>
      <w:sz w:val="18"/>
      <w:szCs w:val="18"/>
      <w:lang w:val="es-ES" w:eastAsia="es-ES"/>
    </w:rPr>
  </w:style>
  <w:style w:type="table" w:customStyle="1" w:styleId="Tablaconcuadrcula11">
    <w:name w:val="Tabla con cuadrícula11"/>
    <w:basedOn w:val="Tablanormal"/>
    <w:next w:val="Tablaconcuadrcula"/>
    <w:uiPriority w:val="59"/>
    <w:rsid w:val="007C4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0D4D"/>
    <w:pPr>
      <w:autoSpaceDE w:val="0"/>
      <w:autoSpaceDN w:val="0"/>
      <w:adjustRightInd w:val="0"/>
      <w:spacing w:after="0" w:line="240" w:lineRule="auto"/>
    </w:pPr>
    <w:rPr>
      <w:rFonts w:ascii="Bookman Old Style" w:hAnsi="Bookman Old Style" w:cs="Bookman Old Style"/>
      <w:color w:val="000000"/>
      <w:sz w:val="24"/>
      <w:szCs w:val="24"/>
    </w:rPr>
  </w:style>
  <w:style w:type="paragraph" w:styleId="Textonotapie">
    <w:name w:val="footnote text"/>
    <w:basedOn w:val="Normal"/>
    <w:link w:val="TextonotapieCar"/>
    <w:uiPriority w:val="99"/>
    <w:semiHidden/>
    <w:unhideWhenUsed/>
    <w:rsid w:val="00D83FFC"/>
    <w:rPr>
      <w:sz w:val="20"/>
      <w:szCs w:val="20"/>
    </w:rPr>
  </w:style>
  <w:style w:type="character" w:customStyle="1" w:styleId="TextonotapieCar">
    <w:name w:val="Texto nota pie Car"/>
    <w:basedOn w:val="Fuentedeprrafopredeter"/>
    <w:link w:val="Textonotapie"/>
    <w:uiPriority w:val="99"/>
    <w:semiHidden/>
    <w:rsid w:val="00D83FFC"/>
    <w:rPr>
      <w:rFonts w:ascii="Times New Roman" w:eastAsia="Times New Roman" w:hAnsi="Times New Roman" w:cs="Times New Roman"/>
      <w:sz w:val="20"/>
      <w:szCs w:val="20"/>
      <w:lang w:val="es-ES" w:eastAsia="es-ES"/>
    </w:rPr>
  </w:style>
  <w:style w:type="character" w:customStyle="1" w:styleId="UnresolvedMention">
    <w:name w:val="Unresolved Mention"/>
    <w:basedOn w:val="Fuentedeprrafopredeter"/>
    <w:uiPriority w:val="99"/>
    <w:semiHidden/>
    <w:unhideWhenUsed/>
    <w:rsid w:val="007C725E"/>
    <w:rPr>
      <w:color w:val="605E5C"/>
      <w:shd w:val="clear" w:color="auto" w:fill="E1DFDD"/>
    </w:rPr>
  </w:style>
  <w:style w:type="character" w:styleId="Textoennegrita">
    <w:name w:val="Strong"/>
    <w:uiPriority w:val="22"/>
    <w:qFormat/>
    <w:rsid w:val="00930B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392">
      <w:bodyDiv w:val="1"/>
      <w:marLeft w:val="0"/>
      <w:marRight w:val="0"/>
      <w:marTop w:val="0"/>
      <w:marBottom w:val="0"/>
      <w:divBdr>
        <w:top w:val="none" w:sz="0" w:space="0" w:color="auto"/>
        <w:left w:val="none" w:sz="0" w:space="0" w:color="auto"/>
        <w:bottom w:val="none" w:sz="0" w:space="0" w:color="auto"/>
        <w:right w:val="none" w:sz="0" w:space="0" w:color="auto"/>
      </w:divBdr>
    </w:div>
    <w:div w:id="6298041">
      <w:bodyDiv w:val="1"/>
      <w:marLeft w:val="0"/>
      <w:marRight w:val="0"/>
      <w:marTop w:val="0"/>
      <w:marBottom w:val="0"/>
      <w:divBdr>
        <w:top w:val="none" w:sz="0" w:space="0" w:color="auto"/>
        <w:left w:val="none" w:sz="0" w:space="0" w:color="auto"/>
        <w:bottom w:val="none" w:sz="0" w:space="0" w:color="auto"/>
        <w:right w:val="none" w:sz="0" w:space="0" w:color="auto"/>
      </w:divBdr>
    </w:div>
    <w:div w:id="179052010">
      <w:bodyDiv w:val="1"/>
      <w:marLeft w:val="0"/>
      <w:marRight w:val="0"/>
      <w:marTop w:val="0"/>
      <w:marBottom w:val="0"/>
      <w:divBdr>
        <w:top w:val="none" w:sz="0" w:space="0" w:color="auto"/>
        <w:left w:val="none" w:sz="0" w:space="0" w:color="auto"/>
        <w:bottom w:val="none" w:sz="0" w:space="0" w:color="auto"/>
        <w:right w:val="none" w:sz="0" w:space="0" w:color="auto"/>
      </w:divBdr>
    </w:div>
    <w:div w:id="184366317">
      <w:bodyDiv w:val="1"/>
      <w:marLeft w:val="0"/>
      <w:marRight w:val="0"/>
      <w:marTop w:val="0"/>
      <w:marBottom w:val="0"/>
      <w:divBdr>
        <w:top w:val="none" w:sz="0" w:space="0" w:color="auto"/>
        <w:left w:val="none" w:sz="0" w:space="0" w:color="auto"/>
        <w:bottom w:val="none" w:sz="0" w:space="0" w:color="auto"/>
        <w:right w:val="none" w:sz="0" w:space="0" w:color="auto"/>
      </w:divBdr>
    </w:div>
    <w:div w:id="193277660">
      <w:bodyDiv w:val="1"/>
      <w:marLeft w:val="0"/>
      <w:marRight w:val="0"/>
      <w:marTop w:val="0"/>
      <w:marBottom w:val="0"/>
      <w:divBdr>
        <w:top w:val="none" w:sz="0" w:space="0" w:color="auto"/>
        <w:left w:val="none" w:sz="0" w:space="0" w:color="auto"/>
        <w:bottom w:val="none" w:sz="0" w:space="0" w:color="auto"/>
        <w:right w:val="none" w:sz="0" w:space="0" w:color="auto"/>
      </w:divBdr>
    </w:div>
    <w:div w:id="353121220">
      <w:bodyDiv w:val="1"/>
      <w:marLeft w:val="0"/>
      <w:marRight w:val="0"/>
      <w:marTop w:val="0"/>
      <w:marBottom w:val="0"/>
      <w:divBdr>
        <w:top w:val="none" w:sz="0" w:space="0" w:color="auto"/>
        <w:left w:val="none" w:sz="0" w:space="0" w:color="auto"/>
        <w:bottom w:val="none" w:sz="0" w:space="0" w:color="auto"/>
        <w:right w:val="none" w:sz="0" w:space="0" w:color="auto"/>
      </w:divBdr>
    </w:div>
    <w:div w:id="478768596">
      <w:bodyDiv w:val="1"/>
      <w:marLeft w:val="0"/>
      <w:marRight w:val="0"/>
      <w:marTop w:val="0"/>
      <w:marBottom w:val="0"/>
      <w:divBdr>
        <w:top w:val="none" w:sz="0" w:space="0" w:color="auto"/>
        <w:left w:val="none" w:sz="0" w:space="0" w:color="auto"/>
        <w:bottom w:val="none" w:sz="0" w:space="0" w:color="auto"/>
        <w:right w:val="none" w:sz="0" w:space="0" w:color="auto"/>
      </w:divBdr>
    </w:div>
    <w:div w:id="528841142">
      <w:bodyDiv w:val="1"/>
      <w:marLeft w:val="0"/>
      <w:marRight w:val="0"/>
      <w:marTop w:val="0"/>
      <w:marBottom w:val="0"/>
      <w:divBdr>
        <w:top w:val="none" w:sz="0" w:space="0" w:color="auto"/>
        <w:left w:val="none" w:sz="0" w:space="0" w:color="auto"/>
        <w:bottom w:val="none" w:sz="0" w:space="0" w:color="auto"/>
        <w:right w:val="none" w:sz="0" w:space="0" w:color="auto"/>
      </w:divBdr>
    </w:div>
    <w:div w:id="570627875">
      <w:bodyDiv w:val="1"/>
      <w:marLeft w:val="0"/>
      <w:marRight w:val="0"/>
      <w:marTop w:val="0"/>
      <w:marBottom w:val="0"/>
      <w:divBdr>
        <w:top w:val="none" w:sz="0" w:space="0" w:color="auto"/>
        <w:left w:val="none" w:sz="0" w:space="0" w:color="auto"/>
        <w:bottom w:val="none" w:sz="0" w:space="0" w:color="auto"/>
        <w:right w:val="none" w:sz="0" w:space="0" w:color="auto"/>
      </w:divBdr>
    </w:div>
    <w:div w:id="621884078">
      <w:bodyDiv w:val="1"/>
      <w:marLeft w:val="0"/>
      <w:marRight w:val="0"/>
      <w:marTop w:val="0"/>
      <w:marBottom w:val="0"/>
      <w:divBdr>
        <w:top w:val="none" w:sz="0" w:space="0" w:color="auto"/>
        <w:left w:val="none" w:sz="0" w:space="0" w:color="auto"/>
        <w:bottom w:val="none" w:sz="0" w:space="0" w:color="auto"/>
        <w:right w:val="none" w:sz="0" w:space="0" w:color="auto"/>
      </w:divBdr>
    </w:div>
    <w:div w:id="735123815">
      <w:bodyDiv w:val="1"/>
      <w:marLeft w:val="0"/>
      <w:marRight w:val="0"/>
      <w:marTop w:val="0"/>
      <w:marBottom w:val="0"/>
      <w:divBdr>
        <w:top w:val="none" w:sz="0" w:space="0" w:color="auto"/>
        <w:left w:val="none" w:sz="0" w:space="0" w:color="auto"/>
        <w:bottom w:val="none" w:sz="0" w:space="0" w:color="auto"/>
        <w:right w:val="none" w:sz="0" w:space="0" w:color="auto"/>
      </w:divBdr>
    </w:div>
    <w:div w:id="796682756">
      <w:bodyDiv w:val="1"/>
      <w:marLeft w:val="0"/>
      <w:marRight w:val="0"/>
      <w:marTop w:val="0"/>
      <w:marBottom w:val="0"/>
      <w:divBdr>
        <w:top w:val="none" w:sz="0" w:space="0" w:color="auto"/>
        <w:left w:val="none" w:sz="0" w:space="0" w:color="auto"/>
        <w:bottom w:val="none" w:sz="0" w:space="0" w:color="auto"/>
        <w:right w:val="none" w:sz="0" w:space="0" w:color="auto"/>
      </w:divBdr>
    </w:div>
    <w:div w:id="833103963">
      <w:bodyDiv w:val="1"/>
      <w:marLeft w:val="0"/>
      <w:marRight w:val="0"/>
      <w:marTop w:val="0"/>
      <w:marBottom w:val="0"/>
      <w:divBdr>
        <w:top w:val="none" w:sz="0" w:space="0" w:color="auto"/>
        <w:left w:val="none" w:sz="0" w:space="0" w:color="auto"/>
        <w:bottom w:val="none" w:sz="0" w:space="0" w:color="auto"/>
        <w:right w:val="none" w:sz="0" w:space="0" w:color="auto"/>
      </w:divBdr>
    </w:div>
    <w:div w:id="874005154">
      <w:bodyDiv w:val="1"/>
      <w:marLeft w:val="0"/>
      <w:marRight w:val="0"/>
      <w:marTop w:val="0"/>
      <w:marBottom w:val="0"/>
      <w:divBdr>
        <w:top w:val="none" w:sz="0" w:space="0" w:color="auto"/>
        <w:left w:val="none" w:sz="0" w:space="0" w:color="auto"/>
        <w:bottom w:val="none" w:sz="0" w:space="0" w:color="auto"/>
        <w:right w:val="none" w:sz="0" w:space="0" w:color="auto"/>
      </w:divBdr>
    </w:div>
    <w:div w:id="893125644">
      <w:bodyDiv w:val="1"/>
      <w:marLeft w:val="0"/>
      <w:marRight w:val="0"/>
      <w:marTop w:val="0"/>
      <w:marBottom w:val="0"/>
      <w:divBdr>
        <w:top w:val="none" w:sz="0" w:space="0" w:color="auto"/>
        <w:left w:val="none" w:sz="0" w:space="0" w:color="auto"/>
        <w:bottom w:val="none" w:sz="0" w:space="0" w:color="auto"/>
        <w:right w:val="none" w:sz="0" w:space="0" w:color="auto"/>
      </w:divBdr>
    </w:div>
    <w:div w:id="1104811126">
      <w:bodyDiv w:val="1"/>
      <w:marLeft w:val="0"/>
      <w:marRight w:val="0"/>
      <w:marTop w:val="0"/>
      <w:marBottom w:val="0"/>
      <w:divBdr>
        <w:top w:val="none" w:sz="0" w:space="0" w:color="auto"/>
        <w:left w:val="none" w:sz="0" w:space="0" w:color="auto"/>
        <w:bottom w:val="none" w:sz="0" w:space="0" w:color="auto"/>
        <w:right w:val="none" w:sz="0" w:space="0" w:color="auto"/>
      </w:divBdr>
    </w:div>
    <w:div w:id="1347170999">
      <w:bodyDiv w:val="1"/>
      <w:marLeft w:val="0"/>
      <w:marRight w:val="0"/>
      <w:marTop w:val="0"/>
      <w:marBottom w:val="0"/>
      <w:divBdr>
        <w:top w:val="none" w:sz="0" w:space="0" w:color="auto"/>
        <w:left w:val="none" w:sz="0" w:space="0" w:color="auto"/>
        <w:bottom w:val="none" w:sz="0" w:space="0" w:color="auto"/>
        <w:right w:val="none" w:sz="0" w:space="0" w:color="auto"/>
      </w:divBdr>
    </w:div>
    <w:div w:id="1399279085">
      <w:bodyDiv w:val="1"/>
      <w:marLeft w:val="0"/>
      <w:marRight w:val="0"/>
      <w:marTop w:val="0"/>
      <w:marBottom w:val="0"/>
      <w:divBdr>
        <w:top w:val="none" w:sz="0" w:space="0" w:color="auto"/>
        <w:left w:val="none" w:sz="0" w:space="0" w:color="auto"/>
        <w:bottom w:val="none" w:sz="0" w:space="0" w:color="auto"/>
        <w:right w:val="none" w:sz="0" w:space="0" w:color="auto"/>
      </w:divBdr>
    </w:div>
    <w:div w:id="1404176407">
      <w:bodyDiv w:val="1"/>
      <w:marLeft w:val="0"/>
      <w:marRight w:val="0"/>
      <w:marTop w:val="0"/>
      <w:marBottom w:val="0"/>
      <w:divBdr>
        <w:top w:val="none" w:sz="0" w:space="0" w:color="auto"/>
        <w:left w:val="none" w:sz="0" w:space="0" w:color="auto"/>
        <w:bottom w:val="none" w:sz="0" w:space="0" w:color="auto"/>
        <w:right w:val="none" w:sz="0" w:space="0" w:color="auto"/>
      </w:divBdr>
    </w:div>
    <w:div w:id="1414426806">
      <w:bodyDiv w:val="1"/>
      <w:marLeft w:val="0"/>
      <w:marRight w:val="0"/>
      <w:marTop w:val="0"/>
      <w:marBottom w:val="0"/>
      <w:divBdr>
        <w:top w:val="none" w:sz="0" w:space="0" w:color="auto"/>
        <w:left w:val="none" w:sz="0" w:space="0" w:color="auto"/>
        <w:bottom w:val="none" w:sz="0" w:space="0" w:color="auto"/>
        <w:right w:val="none" w:sz="0" w:space="0" w:color="auto"/>
      </w:divBdr>
    </w:div>
    <w:div w:id="1432579930">
      <w:bodyDiv w:val="1"/>
      <w:marLeft w:val="0"/>
      <w:marRight w:val="0"/>
      <w:marTop w:val="0"/>
      <w:marBottom w:val="0"/>
      <w:divBdr>
        <w:top w:val="none" w:sz="0" w:space="0" w:color="auto"/>
        <w:left w:val="none" w:sz="0" w:space="0" w:color="auto"/>
        <w:bottom w:val="none" w:sz="0" w:space="0" w:color="auto"/>
        <w:right w:val="none" w:sz="0" w:space="0" w:color="auto"/>
      </w:divBdr>
    </w:div>
    <w:div w:id="1487553363">
      <w:bodyDiv w:val="1"/>
      <w:marLeft w:val="0"/>
      <w:marRight w:val="0"/>
      <w:marTop w:val="0"/>
      <w:marBottom w:val="0"/>
      <w:divBdr>
        <w:top w:val="none" w:sz="0" w:space="0" w:color="auto"/>
        <w:left w:val="none" w:sz="0" w:space="0" w:color="auto"/>
        <w:bottom w:val="none" w:sz="0" w:space="0" w:color="auto"/>
        <w:right w:val="none" w:sz="0" w:space="0" w:color="auto"/>
      </w:divBdr>
    </w:div>
    <w:div w:id="1494682763">
      <w:bodyDiv w:val="1"/>
      <w:marLeft w:val="0"/>
      <w:marRight w:val="0"/>
      <w:marTop w:val="0"/>
      <w:marBottom w:val="0"/>
      <w:divBdr>
        <w:top w:val="none" w:sz="0" w:space="0" w:color="auto"/>
        <w:left w:val="none" w:sz="0" w:space="0" w:color="auto"/>
        <w:bottom w:val="none" w:sz="0" w:space="0" w:color="auto"/>
        <w:right w:val="none" w:sz="0" w:space="0" w:color="auto"/>
      </w:divBdr>
    </w:div>
    <w:div w:id="1530100125">
      <w:bodyDiv w:val="1"/>
      <w:marLeft w:val="0"/>
      <w:marRight w:val="0"/>
      <w:marTop w:val="0"/>
      <w:marBottom w:val="0"/>
      <w:divBdr>
        <w:top w:val="none" w:sz="0" w:space="0" w:color="auto"/>
        <w:left w:val="none" w:sz="0" w:space="0" w:color="auto"/>
        <w:bottom w:val="none" w:sz="0" w:space="0" w:color="auto"/>
        <w:right w:val="none" w:sz="0" w:space="0" w:color="auto"/>
      </w:divBdr>
    </w:div>
    <w:div w:id="1535845047">
      <w:bodyDiv w:val="1"/>
      <w:marLeft w:val="0"/>
      <w:marRight w:val="0"/>
      <w:marTop w:val="0"/>
      <w:marBottom w:val="0"/>
      <w:divBdr>
        <w:top w:val="none" w:sz="0" w:space="0" w:color="auto"/>
        <w:left w:val="none" w:sz="0" w:space="0" w:color="auto"/>
        <w:bottom w:val="none" w:sz="0" w:space="0" w:color="auto"/>
        <w:right w:val="none" w:sz="0" w:space="0" w:color="auto"/>
      </w:divBdr>
    </w:div>
    <w:div w:id="1583640056">
      <w:bodyDiv w:val="1"/>
      <w:marLeft w:val="0"/>
      <w:marRight w:val="0"/>
      <w:marTop w:val="0"/>
      <w:marBottom w:val="0"/>
      <w:divBdr>
        <w:top w:val="none" w:sz="0" w:space="0" w:color="auto"/>
        <w:left w:val="none" w:sz="0" w:space="0" w:color="auto"/>
        <w:bottom w:val="none" w:sz="0" w:space="0" w:color="auto"/>
        <w:right w:val="none" w:sz="0" w:space="0" w:color="auto"/>
      </w:divBdr>
    </w:div>
    <w:div w:id="1636059038">
      <w:bodyDiv w:val="1"/>
      <w:marLeft w:val="0"/>
      <w:marRight w:val="0"/>
      <w:marTop w:val="0"/>
      <w:marBottom w:val="0"/>
      <w:divBdr>
        <w:top w:val="none" w:sz="0" w:space="0" w:color="auto"/>
        <w:left w:val="none" w:sz="0" w:space="0" w:color="auto"/>
        <w:bottom w:val="none" w:sz="0" w:space="0" w:color="auto"/>
        <w:right w:val="none" w:sz="0" w:space="0" w:color="auto"/>
      </w:divBdr>
    </w:div>
    <w:div w:id="1702316758">
      <w:bodyDiv w:val="1"/>
      <w:marLeft w:val="0"/>
      <w:marRight w:val="0"/>
      <w:marTop w:val="0"/>
      <w:marBottom w:val="0"/>
      <w:divBdr>
        <w:top w:val="none" w:sz="0" w:space="0" w:color="auto"/>
        <w:left w:val="none" w:sz="0" w:space="0" w:color="auto"/>
        <w:bottom w:val="none" w:sz="0" w:space="0" w:color="auto"/>
        <w:right w:val="none" w:sz="0" w:space="0" w:color="auto"/>
      </w:divBdr>
    </w:div>
    <w:div w:id="1711342272">
      <w:bodyDiv w:val="1"/>
      <w:marLeft w:val="0"/>
      <w:marRight w:val="0"/>
      <w:marTop w:val="0"/>
      <w:marBottom w:val="0"/>
      <w:divBdr>
        <w:top w:val="none" w:sz="0" w:space="0" w:color="auto"/>
        <w:left w:val="none" w:sz="0" w:space="0" w:color="auto"/>
        <w:bottom w:val="none" w:sz="0" w:space="0" w:color="auto"/>
        <w:right w:val="none" w:sz="0" w:space="0" w:color="auto"/>
      </w:divBdr>
    </w:div>
    <w:div w:id="1719012623">
      <w:bodyDiv w:val="1"/>
      <w:marLeft w:val="0"/>
      <w:marRight w:val="0"/>
      <w:marTop w:val="0"/>
      <w:marBottom w:val="0"/>
      <w:divBdr>
        <w:top w:val="none" w:sz="0" w:space="0" w:color="auto"/>
        <w:left w:val="none" w:sz="0" w:space="0" w:color="auto"/>
        <w:bottom w:val="none" w:sz="0" w:space="0" w:color="auto"/>
        <w:right w:val="none" w:sz="0" w:space="0" w:color="auto"/>
      </w:divBdr>
    </w:div>
    <w:div w:id="1800491535">
      <w:bodyDiv w:val="1"/>
      <w:marLeft w:val="0"/>
      <w:marRight w:val="0"/>
      <w:marTop w:val="0"/>
      <w:marBottom w:val="0"/>
      <w:divBdr>
        <w:top w:val="none" w:sz="0" w:space="0" w:color="auto"/>
        <w:left w:val="none" w:sz="0" w:space="0" w:color="auto"/>
        <w:bottom w:val="none" w:sz="0" w:space="0" w:color="auto"/>
        <w:right w:val="none" w:sz="0" w:space="0" w:color="auto"/>
      </w:divBdr>
    </w:div>
    <w:div w:id="1934509972">
      <w:bodyDiv w:val="1"/>
      <w:marLeft w:val="0"/>
      <w:marRight w:val="0"/>
      <w:marTop w:val="0"/>
      <w:marBottom w:val="0"/>
      <w:divBdr>
        <w:top w:val="none" w:sz="0" w:space="0" w:color="auto"/>
        <w:left w:val="none" w:sz="0" w:space="0" w:color="auto"/>
        <w:bottom w:val="none" w:sz="0" w:space="0" w:color="auto"/>
        <w:right w:val="none" w:sz="0" w:space="0" w:color="auto"/>
      </w:divBdr>
    </w:div>
    <w:div w:id="2033064533">
      <w:bodyDiv w:val="1"/>
      <w:marLeft w:val="0"/>
      <w:marRight w:val="0"/>
      <w:marTop w:val="0"/>
      <w:marBottom w:val="0"/>
      <w:divBdr>
        <w:top w:val="none" w:sz="0" w:space="0" w:color="auto"/>
        <w:left w:val="none" w:sz="0" w:space="0" w:color="auto"/>
        <w:bottom w:val="none" w:sz="0" w:space="0" w:color="auto"/>
        <w:right w:val="none" w:sz="0" w:space="0" w:color="auto"/>
      </w:divBdr>
    </w:div>
    <w:div w:id="2060128714">
      <w:bodyDiv w:val="1"/>
      <w:marLeft w:val="0"/>
      <w:marRight w:val="0"/>
      <w:marTop w:val="0"/>
      <w:marBottom w:val="0"/>
      <w:divBdr>
        <w:top w:val="none" w:sz="0" w:space="0" w:color="auto"/>
        <w:left w:val="none" w:sz="0" w:space="0" w:color="auto"/>
        <w:bottom w:val="none" w:sz="0" w:space="0" w:color="auto"/>
        <w:right w:val="none" w:sz="0" w:space="0" w:color="auto"/>
      </w:divBdr>
    </w:div>
    <w:div w:id="209906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legislacion.edomex.gob.mx/sites/legislacion.edomex.gob.mx/files/files/pdf/gct/2023/noviembre/nov012/nov012a.pdf" TargetMode="External"/><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BA184-C096-4F08-8BDB-F3FD9C79F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40</Pages>
  <Words>7684</Words>
  <Characters>42267</Characters>
  <Application>Microsoft Office Word</Application>
  <DocSecurity>0</DocSecurity>
  <Lines>352</Lines>
  <Paragraphs>99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49852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INFOEM557</cp:lastModifiedBy>
  <cp:revision>62</cp:revision>
  <dcterms:created xsi:type="dcterms:W3CDTF">2025-03-07T20:30:00Z</dcterms:created>
  <dcterms:modified xsi:type="dcterms:W3CDTF">2025-04-01T18:38:00Z</dcterms:modified>
</cp:coreProperties>
</file>