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bookmarkStart w:colFirst="0" w:colLast="0" w:name="_heading=h.6pgo6nijtfnm"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a </w:t>
      </w:r>
      <w:r w:rsidDel="00000000" w:rsidR="00000000" w:rsidRPr="00000000">
        <w:rPr>
          <w:rFonts w:ascii="Palatino Linotype" w:cs="Palatino Linotype" w:eastAsia="Palatino Linotype" w:hAnsi="Palatino Linotype"/>
          <w:b w:val="1"/>
          <w:bCs w:val="1"/>
          <w:sz w:val="22"/>
          <w:szCs w:val="22"/>
          <w:rtl w:val="0"/>
        </w:rPr>
        <w:t xml:space="preserve">diez de diciembre de dos mil veinticinco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tabs>
          <w:tab w:val="left" w:leader="none" w:pos="581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bCs w:val="1"/>
          <w:sz w:val="22"/>
          <w:szCs w:val="22"/>
          <w:rtl w:val="0"/>
        </w:rPr>
        <w:t xml:space="preserve">13024/INFOEM/IP/RR/2025</w:t>
      </w:r>
      <w:r w:rsidDel="00000000" w:rsidR="00000000" w:rsidRPr="00000000">
        <w:rPr>
          <w:rFonts w:ascii="Palatino Linotype" w:cs="Palatino Linotype" w:eastAsia="Palatino Linotype" w:hAnsi="Palatino Linotype"/>
          <w:sz w:val="22"/>
          <w:szCs w:val="22"/>
          <w:rtl w:val="0"/>
        </w:rPr>
        <w:t xml:space="preserve">, interpuesto por</w:t>
      </w:r>
      <w:r w:rsidDel="00000000" w:rsidR="00000000" w:rsidRPr="00000000">
        <w:rPr>
          <w:rFonts w:ascii="Palatino Linotype" w:cs="Palatino Linotype" w:eastAsia="Palatino Linotype" w:hAnsi="Palatino Linotype"/>
          <w:b w:val="1"/>
          <w:bCs w:val="1"/>
          <w:sz w:val="22"/>
          <w:szCs w:val="22"/>
          <w:rtl w:val="0"/>
        </w:rPr>
        <w:t xml:space="preserve"> un particular de manera anónima </w:t>
      </w:r>
      <w:r w:rsidDel="00000000" w:rsidR="00000000" w:rsidRPr="00000000">
        <w:rPr>
          <w:rFonts w:ascii="Palatino Linotype" w:cs="Palatino Linotype" w:eastAsia="Palatino Linotype" w:hAnsi="Palatino Linotype"/>
          <w:sz w:val="22"/>
          <w:szCs w:val="22"/>
          <w:rtl w:val="0"/>
        </w:rPr>
        <w:t xml:space="preserve">en lo sucesivo,</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la solicitud de información con número de folio</w:t>
      </w:r>
      <w:r w:rsidDel="00000000" w:rsidR="00000000" w:rsidRPr="00000000">
        <w:rPr>
          <w:rFonts w:ascii="Palatino Linotype" w:cs="Palatino Linotype" w:eastAsia="Palatino Linotype" w:hAnsi="Palatino Linotype"/>
          <w:b w:val="1"/>
          <w:bCs w:val="1"/>
          <w:sz w:val="22"/>
          <w:szCs w:val="22"/>
          <w:rtl w:val="0"/>
        </w:rPr>
        <w:t xml:space="preserve"> 05072/TOLUCA/IP/2025, </w:t>
      </w:r>
      <w:r w:rsidDel="00000000" w:rsidR="00000000" w:rsidRPr="00000000">
        <w:rPr>
          <w:rFonts w:ascii="Palatino Linotype" w:cs="Palatino Linotype" w:eastAsia="Palatino Linotype" w:hAnsi="Palatino Linotype"/>
          <w:sz w:val="22"/>
          <w:szCs w:val="22"/>
          <w:rtl w:val="0"/>
        </w:rPr>
        <w:t xml:space="preserve">por parte del </w:t>
      </w:r>
      <w:r w:rsidDel="00000000" w:rsidR="00000000" w:rsidRPr="00000000">
        <w:rPr>
          <w:rFonts w:ascii="Palatino Linotype" w:cs="Palatino Linotype" w:eastAsia="Palatino Linotype" w:hAnsi="Palatino Linotype"/>
          <w:b w:val="1"/>
          <w:bCs w:val="1"/>
          <w:sz w:val="22"/>
          <w:szCs w:val="22"/>
          <w:rtl w:val="0"/>
        </w:rPr>
        <w:t xml:space="preserve">Ayuntamiento de Toluca,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4">
      <w:pPr>
        <w:spacing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 A N T E C E D E N T E S</w:t>
      </w:r>
    </w:p>
    <w:p w:rsidR="00000000" w:rsidDel="00000000" w:rsidP="00000000" w:rsidRDefault="00000000" w:rsidRPr="00000000" w14:paraId="00000005">
      <w:pPr>
        <w:spacing w:line="360" w:lineRule="auto"/>
        <w:jc w:val="center"/>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06">
      <w:pPr>
        <w:spacing w:line="360" w:lineRule="auto"/>
        <w:jc w:val="both"/>
        <w:rPr>
          <w:rFonts w:ascii="Palatino Linotype" w:cs="Palatino Linotype" w:eastAsia="Palatino Linotype" w:hAnsi="Palatino Linotype"/>
          <w:sz w:val="22"/>
          <w:szCs w:val="22"/>
        </w:rPr>
      </w:pPr>
      <w:bookmarkStart w:colFirst="0" w:colLast="0" w:name="_heading=h.4d34og8" w:id="1"/>
      <w:bookmarkEnd w:id="1"/>
      <w:r w:rsidDel="00000000" w:rsidR="00000000" w:rsidRPr="00000000">
        <w:rPr>
          <w:rFonts w:ascii="Palatino Linotype" w:cs="Palatino Linotype" w:eastAsia="Palatino Linotype" w:hAnsi="Palatino Linotype"/>
          <w:b w:val="1"/>
          <w:bCs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veintitrés de octubre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bCs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ante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solicitud de acceso a la información pública, mediante la cual requirió la información siguiente: </w:t>
      </w:r>
    </w:p>
    <w:p w:rsidR="00000000" w:rsidDel="00000000" w:rsidP="00000000" w:rsidRDefault="00000000" w:rsidRPr="00000000" w14:paraId="00000007">
      <w:pPr>
        <w:ind w:left="567" w:right="902" w:firstLine="0"/>
        <w:jc w:val="both"/>
        <w:rPr>
          <w:rFonts w:ascii="Palatino Linotype" w:cs="Palatino Linotype" w:eastAsia="Palatino Linotype" w:hAnsi="Palatino Linotype"/>
          <w:i w:val="1"/>
          <w:iCs w:val="1"/>
          <w:sz w:val="22"/>
          <w:szCs w:val="22"/>
        </w:rPr>
      </w:pPr>
      <w:bookmarkStart w:colFirst="0" w:colLast="0" w:name="_heading=h.gjdgxs" w:id="2"/>
      <w:bookmarkEnd w:id="2"/>
      <w:r w:rsidDel="00000000" w:rsidR="00000000" w:rsidRPr="00000000">
        <w:rPr>
          <w:rtl w:val="0"/>
        </w:rPr>
      </w:r>
    </w:p>
    <w:p w:rsidR="00000000" w:rsidDel="00000000" w:rsidP="00000000" w:rsidRDefault="00000000" w:rsidRPr="00000000" w14:paraId="00000008">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“Quiero conocer de cual es la razón porque la quinta regidora no asistencia a los eventos del presidente municipal, o en su caso a cuales ha asistido” (Sic) </w:t>
      </w:r>
      <w:r w:rsidDel="00000000" w:rsidR="00000000" w:rsidRPr="00000000">
        <w:rPr>
          <w:rtl w:val="0"/>
        </w:rPr>
      </w:r>
    </w:p>
    <w:p w:rsidR="00000000" w:rsidDel="00000000" w:rsidP="00000000" w:rsidRDefault="00000000" w:rsidRPr="00000000" w14:paraId="00000009">
      <w:pPr>
        <w:spacing w:line="360" w:lineRule="auto"/>
        <w:jc w:val="both"/>
        <w:rPr>
          <w:rFonts w:ascii="Palatino Linotype" w:cs="Palatino Linotype" w:eastAsia="Palatino Linotype" w:hAnsi="Palatino Linotype"/>
          <w:b w:val="1"/>
          <w:bCs w:val="1"/>
          <w:sz w:val="22"/>
          <w:szCs w:val="22"/>
        </w:rPr>
      </w:pPr>
      <w:bookmarkStart w:colFirst="0" w:colLast="0" w:name="_heading=h.3dy6vkm" w:id="3"/>
      <w:bookmarkEnd w:id="3"/>
      <w:r w:rsidDel="00000000" w:rsidR="00000000" w:rsidRPr="00000000">
        <w:rPr>
          <w:rtl w:val="0"/>
        </w:rPr>
      </w:r>
    </w:p>
    <w:p w:rsidR="00000000" w:rsidDel="00000000" w:rsidP="00000000" w:rsidRDefault="00000000" w:rsidRPr="00000000" w14:paraId="0000000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Modalidad de Entrega: </w:t>
      </w:r>
      <w:r w:rsidDel="00000000" w:rsidR="00000000" w:rsidRPr="00000000">
        <w:rPr>
          <w:rFonts w:ascii="Palatino Linotype" w:cs="Palatino Linotype" w:eastAsia="Palatino Linotype" w:hAnsi="Palatino Linotype"/>
          <w:sz w:val="22"/>
          <w:szCs w:val="22"/>
          <w:rtl w:val="0"/>
        </w:rPr>
        <w:t xml:space="preserve">A través del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0B">
      <w:pPr>
        <w:pBdr>
          <w:top w:space="0" w:sz="0" w:val="nil"/>
          <w:left w:space="0" w:sz="0" w:val="nil"/>
          <w:bottom w:space="0" w:sz="0" w:val="nil"/>
          <w:right w:space="0" w:sz="0" w:val="nil"/>
          <w:between w:space="0" w:sz="0" w:val="nil"/>
        </w:pBdr>
        <w:tabs>
          <w:tab w:val="left" w:leader="none" w:pos="3119"/>
        </w:tabs>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left" w:leader="none" w:pos="311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2. Respuesta.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once de noviembre de dos mil veinticinco</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bCs w:val="1"/>
          <w:sz w:val="22"/>
          <w:szCs w:val="22"/>
          <w:rtl w:val="0"/>
        </w:rPr>
        <w:t xml:space="preserve"> Sujeto Obligado </w:t>
      </w:r>
      <w:r w:rsidDel="00000000" w:rsidR="00000000" w:rsidRPr="00000000">
        <w:rPr>
          <w:rFonts w:ascii="Palatino Linotype" w:cs="Palatino Linotype" w:eastAsia="Palatino Linotype" w:hAnsi="Palatino Linotype"/>
          <w:sz w:val="22"/>
          <w:szCs w:val="22"/>
          <w:rtl w:val="0"/>
        </w:rPr>
        <w:t xml:space="preserve">notificó a la persona solicitante, la respuesta a su solicitud de información en los términos siguientes:</w:t>
      </w:r>
    </w:p>
    <w:p w:rsidR="00000000" w:rsidDel="00000000" w:rsidP="00000000" w:rsidRDefault="00000000" w:rsidRPr="00000000" w14:paraId="0000000D">
      <w:pPr>
        <w:spacing w:line="276" w:lineRule="auto"/>
        <w:ind w:left="567" w:right="900"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0E">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F">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atención a la solicitud con folio 05072/TOLUCA/IP/2025, me permito adjuntar al presente la respuesta correspondiente de la QUINTA REGIDURÍA, Sin más por el momento, reciba un saludo.</w:t>
      </w:r>
    </w:p>
    <w:p w:rsidR="00000000" w:rsidDel="00000000" w:rsidP="00000000" w:rsidRDefault="00000000" w:rsidRPr="00000000" w14:paraId="00000010">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ATENTAMENTE</w:t>
      </w:r>
    </w:p>
    <w:p w:rsidR="00000000" w:rsidDel="00000000" w:rsidP="00000000" w:rsidRDefault="00000000" w:rsidRPr="00000000" w14:paraId="00000011">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Dr. Nahum Miguel Mendoza Morales”</w:t>
      </w:r>
    </w:p>
    <w:p w:rsidR="00000000" w:rsidDel="00000000" w:rsidP="00000000" w:rsidRDefault="00000000" w:rsidRPr="00000000" w14:paraId="00000012">
      <w:pPr>
        <w:spacing w:line="360" w:lineRule="auto"/>
        <w:ind w:left="567" w:right="49" w:firstLine="0"/>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13">
      <w:pPr>
        <w:spacing w:line="360" w:lineRule="auto"/>
        <w:ind w:left="851" w:right="61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Archivos adjuntos:</w:t>
      </w:r>
    </w:p>
    <w:p w:rsidR="00000000" w:rsidDel="00000000" w:rsidP="00000000" w:rsidRDefault="00000000" w:rsidRPr="00000000" w14:paraId="00000014">
      <w:pPr>
        <w:spacing w:line="3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“05072-TOLUCA-IP-2025.pdf”: </w:t>
      </w:r>
      <w:r w:rsidDel="00000000" w:rsidR="00000000" w:rsidRPr="00000000">
        <w:rPr>
          <w:rFonts w:ascii="Palatino Linotype" w:cs="Palatino Linotype" w:eastAsia="Palatino Linotype" w:hAnsi="Palatino Linotype"/>
          <w:sz w:val="22"/>
          <w:szCs w:val="22"/>
          <w:rtl w:val="0"/>
        </w:rPr>
        <w:t xml:space="preserve">Oficio suscrito por el Quinto Regidor de Toluca, en el que informó que en virtud, de la condición médica que presenta se le dificulta el acceso a los eventos del presidente municipal, motivando así algunas inasistencias a los mismos, cabe mencionar que de acuerdo al artículo 55 Ley Orgánica Municipal del Estado de México y 2.4 del Código Reglamentario Municipal misma que señalan las atribuciones de un regidor no mencionan la obligación de asistir a los eventos.</w:t>
      </w:r>
    </w:p>
    <w:p w:rsidR="00000000" w:rsidDel="00000000" w:rsidP="00000000" w:rsidRDefault="00000000" w:rsidRPr="00000000" w14:paraId="0000001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doce de noviembre de dos mil veinticinco, la parte Recurrente</w:t>
      </w:r>
      <w:r w:rsidDel="00000000" w:rsidR="00000000" w:rsidRPr="00000000">
        <w:rPr>
          <w:rFonts w:ascii="Palatino Linotype" w:cs="Palatino Linotype" w:eastAsia="Palatino Linotype" w:hAnsi="Palatino Linotype"/>
          <w:sz w:val="22"/>
          <w:szCs w:val="22"/>
          <w:rtl w:val="0"/>
        </w:rPr>
        <w:t xml:space="preserve"> interpuso el recurso de revisión a través de </w:t>
      </w:r>
      <w:r w:rsidDel="00000000" w:rsidR="00000000" w:rsidRPr="00000000">
        <w:rPr>
          <w:rFonts w:ascii="Palatino Linotype" w:cs="Palatino Linotype" w:eastAsia="Palatino Linotype" w:hAnsi="Palatino Linotype"/>
          <w:b w:val="1"/>
          <w:bCs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donde se manifestó de la siguiente manera:</w:t>
      </w:r>
    </w:p>
    <w:p w:rsidR="00000000" w:rsidDel="00000000" w:rsidP="00000000" w:rsidRDefault="00000000" w:rsidRPr="00000000" w14:paraId="00000016">
      <w:pPr>
        <w:tabs>
          <w:tab w:val="left" w:leader="none" w:pos="2745"/>
        </w:tabs>
        <w:spacing w:line="276" w:lineRule="auto"/>
        <w:ind w:left="567" w:right="900" w:firstLine="0"/>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745"/>
        </w:tabs>
        <w:spacing w:after="0" w:before="0" w:line="276" w:lineRule="auto"/>
        <w:ind w:left="851" w:right="616" w:hanging="360"/>
        <w:jc w:val="both"/>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Acto impugnado: </w:t>
      </w: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“Abo se entega información” (Sic)</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45"/>
        </w:tabs>
        <w:spacing w:after="0" w:before="0" w:line="276" w:lineRule="auto"/>
        <w:ind w:left="851" w:right="616" w:firstLine="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spacing w:line="276" w:lineRule="auto"/>
        <w:ind w:left="851" w:right="616" w:firstLine="0"/>
        <w:jc w:val="both"/>
        <w:rPr>
          <w:rFonts w:ascii="Palatino Linotype" w:cs="Palatino Linotype" w:eastAsia="Palatino Linotype" w:hAnsi="Palatino Linotype"/>
          <w:sz w:val="22"/>
          <w:szCs w:val="22"/>
        </w:rPr>
      </w:pPr>
      <w:bookmarkStart w:colFirst="0" w:colLast="0" w:name="_heading=h.30j0zll" w:id="4"/>
      <w:bookmarkEnd w:id="4"/>
      <w:r w:rsidDel="00000000" w:rsidR="00000000" w:rsidRPr="00000000">
        <w:rPr>
          <w:rFonts w:ascii="Palatino Linotype" w:cs="Palatino Linotype" w:eastAsia="Palatino Linotype" w:hAnsi="Palatino Linotype"/>
          <w:b w:val="1"/>
          <w:bCs w:val="1"/>
          <w:sz w:val="22"/>
          <w:szCs w:val="22"/>
          <w:rtl w:val="0"/>
        </w:rPr>
        <w:t xml:space="preserve">b) Razones o motivos de inconformidad</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iCs w:val="1"/>
          <w:sz w:val="22"/>
          <w:szCs w:val="22"/>
          <w:rtl w:val="0"/>
        </w:rPr>
        <w:t xml:space="preserve">“Violan mis derechos humanos” (Sic)</w:t>
      </w:r>
      <w:r w:rsidDel="00000000" w:rsidR="00000000" w:rsidRPr="00000000">
        <w:rPr>
          <w:rtl w:val="0"/>
        </w:rPr>
      </w:r>
    </w:p>
    <w:p w:rsidR="00000000" w:rsidDel="00000000" w:rsidP="00000000" w:rsidRDefault="00000000" w:rsidRPr="00000000" w14:paraId="0000001A">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1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bCs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1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D">
      <w:pPr>
        <w:spacing w:line="360" w:lineRule="auto"/>
        <w:jc w:val="both"/>
        <w:rPr>
          <w:rFonts w:ascii="Palatino Linotype" w:cs="Palatino Linotype" w:eastAsia="Palatino Linotype" w:hAnsi="Palatino Linotype"/>
          <w:sz w:val="22"/>
          <w:szCs w:val="22"/>
        </w:rPr>
      </w:pPr>
      <w:bookmarkStart w:colFirst="0" w:colLast="0" w:name="_heading=h.2s8eyo1" w:id="5"/>
      <w:bookmarkEnd w:id="5"/>
      <w:r w:rsidDel="00000000" w:rsidR="00000000" w:rsidRPr="00000000">
        <w:rPr>
          <w:rFonts w:ascii="Palatino Linotype" w:cs="Palatino Linotype" w:eastAsia="Palatino Linotype" w:hAnsi="Palatino Linotype"/>
          <w:b w:val="1"/>
          <w:bCs w:val="1"/>
          <w:sz w:val="22"/>
          <w:szCs w:val="22"/>
          <w:rtl w:val="0"/>
        </w:rPr>
        <w:t xml:space="preserve">5. Admisión del Recurso de revisión.</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bCs w:val="1"/>
          <w:sz w:val="22"/>
          <w:szCs w:val="22"/>
          <w:rtl w:val="0"/>
        </w:rPr>
        <w:t xml:space="preserve"> dieciocho de noviembre de dos mil veinticinco,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presentara su informe justificado.</w:t>
      </w:r>
    </w:p>
    <w:p w:rsidR="00000000" w:rsidDel="00000000" w:rsidP="00000000" w:rsidRDefault="00000000" w:rsidRPr="00000000" w14:paraId="0000001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F">
      <w:pPr>
        <w:widowControl w:val="0"/>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6. Manifestaciones e Informe Justificado.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bCs w:val="1"/>
          <w:sz w:val="22"/>
          <w:szCs w:val="22"/>
          <w:rtl w:val="0"/>
        </w:rPr>
        <w:t xml:space="preserve">veintisiete y veintiocho de noviembre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remitió, a través del SAIMEX su informe justificado, mediante el cual ratificó en lo sustancial la respuesta emitida en primera instancia.</w:t>
      </w:r>
    </w:p>
    <w:p w:rsidR="00000000" w:rsidDel="00000000" w:rsidP="00000000" w:rsidRDefault="00000000" w:rsidRPr="00000000" w14:paraId="0000002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1">
      <w:pPr>
        <w:widowControl w:val="0"/>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analizada la información, se hizo del conocimiento de la persona solicitante en fecha </w:t>
      </w:r>
      <w:r w:rsidDel="00000000" w:rsidR="00000000" w:rsidRPr="00000000">
        <w:rPr>
          <w:rFonts w:ascii="Palatino Linotype" w:cs="Palatino Linotype" w:eastAsia="Palatino Linotype" w:hAnsi="Palatino Linotype"/>
          <w:b w:val="1"/>
          <w:bCs w:val="1"/>
          <w:sz w:val="22"/>
          <w:szCs w:val="22"/>
          <w:rtl w:val="0"/>
        </w:rPr>
        <w:t xml:space="preserve">cuatro de diciembre de dos mil veinticinco</w:t>
      </w:r>
      <w:r w:rsidDel="00000000" w:rsidR="00000000" w:rsidRPr="00000000">
        <w:rPr>
          <w:rFonts w:ascii="Palatino Linotype" w:cs="Palatino Linotype" w:eastAsia="Palatino Linotype" w:hAnsi="Palatino Linotype"/>
          <w:sz w:val="22"/>
          <w:szCs w:val="22"/>
          <w:rtl w:val="0"/>
        </w:rPr>
        <w:t xml:space="preserve">, a efecto de que manifestara lo que a su derecho estimara conveniente, siendo omisa en ejercer dicha prerrogativa</w:t>
      </w:r>
    </w:p>
    <w:p w:rsidR="00000000" w:rsidDel="00000000" w:rsidP="00000000" w:rsidRDefault="00000000" w:rsidRPr="00000000" w14:paraId="00000022">
      <w:pPr>
        <w:widowControl w:val="0"/>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7.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bCs w:val="1"/>
          <w:sz w:val="22"/>
          <w:szCs w:val="22"/>
          <w:rtl w:val="0"/>
        </w:rPr>
        <w:t xml:space="preserve">diez de diciembre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6">
      <w:pPr>
        <w:widowControl w:val="0"/>
        <w:spacing w:line="360" w:lineRule="auto"/>
        <w:jc w:val="center"/>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27">
      <w:pPr>
        <w:widowControl w:val="0"/>
        <w:spacing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II. C O N S I D E R A N D O S</w:t>
      </w:r>
    </w:p>
    <w:p w:rsidR="00000000" w:rsidDel="00000000" w:rsidP="00000000" w:rsidRDefault="00000000" w:rsidRPr="00000000" w14:paraId="00000028">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2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w:t>
      </w:r>
      <w:r w:rsidDel="00000000" w:rsidR="00000000" w:rsidRPr="00000000">
        <w:rPr>
          <w:rFonts w:ascii="Palatino Linotype" w:cs="Palatino Linotype" w:eastAsia="Palatino Linotype" w:hAnsi="Palatino Linotype"/>
          <w:b w:val="1"/>
          <w:bCs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conforme a lo dispuesto en los artículos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B">
      <w:pPr>
        <w:spacing w:line="360" w:lineRule="auto"/>
        <w:jc w:val="both"/>
        <w:rPr>
          <w:rFonts w:ascii="Palatino Linotype" w:cs="Palatino Linotype" w:eastAsia="Palatino Linotype" w:hAnsi="Palatino Linotype"/>
          <w:sz w:val="22"/>
          <w:szCs w:val="22"/>
        </w:rPr>
      </w:pPr>
      <w:bookmarkStart w:colFirst="0" w:colLast="0" w:name="_heading=h.tyjcwt" w:id="6"/>
      <w:bookmarkEnd w:id="6"/>
      <w:r w:rsidDel="00000000" w:rsidR="00000000" w:rsidRPr="00000000">
        <w:rPr>
          <w:rFonts w:ascii="Palatino Linotype" w:cs="Palatino Linotype" w:eastAsia="Palatino Linotype" w:hAnsi="Palatino Linotype"/>
          <w:b w:val="1"/>
          <w:bCs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remitió la respuesta a la solicitud de información el </w:t>
      </w:r>
      <w:r w:rsidDel="00000000" w:rsidR="00000000" w:rsidRPr="00000000">
        <w:rPr>
          <w:rFonts w:ascii="Palatino Linotype" w:cs="Palatino Linotype" w:eastAsia="Palatino Linotype" w:hAnsi="Palatino Linotype"/>
          <w:b w:val="1"/>
          <w:bCs w:val="1"/>
          <w:sz w:val="22"/>
          <w:szCs w:val="22"/>
          <w:rtl w:val="0"/>
        </w:rPr>
        <w:t xml:space="preserve">once de noviembre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de dos mil veinticinco,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tuvo por presentado el día </w:t>
      </w:r>
      <w:r w:rsidDel="00000000" w:rsidR="00000000" w:rsidRPr="00000000">
        <w:rPr>
          <w:rFonts w:ascii="Palatino Linotype" w:cs="Palatino Linotype" w:eastAsia="Palatino Linotype" w:hAnsi="Palatino Linotype"/>
          <w:b w:val="1"/>
          <w:bCs w:val="1"/>
          <w:sz w:val="22"/>
          <w:szCs w:val="22"/>
          <w:rtl w:val="0"/>
        </w:rPr>
        <w:t xml:space="preserve">doce de noviembre de dos mil veinticinco, </w:t>
      </w:r>
      <w:r w:rsidDel="00000000" w:rsidR="00000000" w:rsidRPr="00000000">
        <w:rPr>
          <w:rFonts w:ascii="Palatino Linotype" w:cs="Palatino Linotype" w:eastAsia="Palatino Linotype" w:hAnsi="Palatino Linotype"/>
          <w:sz w:val="22"/>
          <w:szCs w:val="22"/>
          <w:rtl w:val="0"/>
        </w:rPr>
        <w:t xml:space="preserve">esto es, el </w:t>
      </w:r>
      <w:r w:rsidDel="00000000" w:rsidR="00000000" w:rsidRPr="00000000">
        <w:rPr>
          <w:rFonts w:ascii="Palatino Linotype" w:cs="Palatino Linotype" w:eastAsia="Palatino Linotype" w:hAnsi="Palatino Linotype"/>
          <w:b w:val="1"/>
          <w:bCs w:val="1"/>
          <w:sz w:val="22"/>
          <w:szCs w:val="22"/>
          <w:rtl w:val="0"/>
        </w:rPr>
        <w:t xml:space="preserve">primer día hábil en el que tuvo conocimiento de la respuesta impugnada.</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E">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2F">
      <w:pPr>
        <w:spacing w:line="360" w:lineRule="auto"/>
        <w:jc w:val="both"/>
        <w:rPr>
          <w:rFonts w:ascii="Palatino Linotype" w:cs="Palatino Linotype" w:eastAsia="Palatino Linotype" w:hAnsi="Palatino Linotype"/>
          <w:sz w:val="22"/>
          <w:szCs w:val="22"/>
        </w:rPr>
      </w:pPr>
      <w:bookmarkStart w:colFirst="0" w:colLast="0" w:name="_heading=h.3znysh7" w:id="7"/>
      <w:bookmarkEnd w:id="7"/>
      <w:r w:rsidDel="00000000" w:rsidR="00000000" w:rsidRPr="00000000">
        <w:rPr>
          <w:rFonts w:ascii="Palatino Linotype" w:cs="Palatino Linotype" w:eastAsia="Palatino Linotype" w:hAnsi="Palatino Linotype"/>
          <w:sz w:val="22"/>
          <w:szCs w:val="22"/>
          <w:rtl w:val="0"/>
        </w:rPr>
        <w:t xml:space="preserve">En este sentido, se concluye que el presente recurso de revisión se encuentra dentro de los márgenes temporales previstos en las disposiciones legales referidas.</w:t>
      </w:r>
    </w:p>
    <w:p w:rsidR="00000000" w:rsidDel="00000000" w:rsidP="00000000" w:rsidRDefault="00000000" w:rsidRPr="00000000" w14:paraId="0000003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1">
      <w:pPr>
        <w:spacing w:line="360" w:lineRule="auto"/>
        <w:ind w:right="142"/>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por cuanto hace a la procedibilidad del recurso de revisión, es de suma importancia señalar que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u w:val="single"/>
          <w:rtl w:val="0"/>
        </w:rPr>
        <w:t xml:space="preserve">fue omisa en proporcionar nombre o  seudónimo</w:t>
      </w:r>
      <w:r w:rsidDel="00000000" w:rsidR="00000000" w:rsidRPr="00000000">
        <w:rPr>
          <w:rFonts w:ascii="Palatino Linotype" w:cs="Palatino Linotype" w:eastAsia="Palatino Linotype" w:hAnsi="Palatino Linotype"/>
          <w:sz w:val="22"/>
          <w:szCs w:val="22"/>
          <w:rtl w:val="0"/>
        </w:rPr>
        <w:t xml:space="preserve"> con el que desea que se le identifique</w:t>
      </w:r>
      <w:r w:rsidDel="00000000" w:rsidR="00000000" w:rsidRPr="00000000">
        <w:rPr>
          <w:rFonts w:ascii="Palatino Linotype" w:cs="Palatino Linotype" w:eastAsia="Palatino Linotype" w:hAnsi="Palatino Linotype"/>
          <w:b w:val="1"/>
          <w:bCs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como se advierte en el detalle de seguimiento del SAIMEX, no obstante, el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32">
      <w:pPr>
        <w:spacing w:line="276" w:lineRule="auto"/>
        <w:ind w:left="851" w:right="902"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33">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Las solicitudes </w:t>
      </w:r>
      <w:r w:rsidDel="00000000" w:rsidR="00000000" w:rsidRPr="00000000">
        <w:rPr>
          <w:rFonts w:ascii="Palatino Linotype" w:cs="Palatino Linotype" w:eastAsia="Palatino Linotype" w:hAnsi="Palatino Linotype"/>
          <w:i w:val="1"/>
          <w:iCs w:val="1"/>
          <w:sz w:val="22"/>
          <w:szCs w:val="22"/>
          <w:rtl w:val="0"/>
        </w:rPr>
        <w:t xml:space="preserve">anónimas, con </w:t>
      </w:r>
      <w:r w:rsidDel="00000000" w:rsidR="00000000" w:rsidRPr="00000000">
        <w:rPr>
          <w:rFonts w:ascii="Palatino Linotype" w:cs="Palatino Linotype" w:eastAsia="Palatino Linotype" w:hAnsi="Palatino Linotype"/>
          <w:b w:val="1"/>
          <w:bCs w:val="1"/>
          <w:i w:val="1"/>
          <w:iCs w:val="1"/>
          <w:sz w:val="22"/>
          <w:szCs w:val="22"/>
          <w:rtl w:val="0"/>
        </w:rPr>
        <w:t xml:space="preserve">nombre incompleto o seudónimo</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iCs w:val="1"/>
          <w:sz w:val="22"/>
          <w:szCs w:val="22"/>
          <w:rtl w:val="0"/>
        </w:rPr>
        <w:t xml:space="preserve">. No podrá requerirse información adicional con motivo del nombre proporcionado por el solicitante."(Énfasis añadido)</w:t>
      </w:r>
    </w:p>
    <w:p w:rsidR="00000000" w:rsidDel="00000000" w:rsidP="00000000" w:rsidRDefault="00000000" w:rsidRPr="00000000" w14:paraId="00000034">
      <w:pPr>
        <w:tabs>
          <w:tab w:val="left" w:leader="none" w:pos="7938"/>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5">
      <w:pPr>
        <w:tabs>
          <w:tab w:val="left" w:leader="none" w:pos="7938"/>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36">
      <w:pPr>
        <w:tabs>
          <w:tab w:val="left" w:leader="none" w:pos="7938"/>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advierte que resulta procedente la interposición del recurso, según lo manifestado por </w:t>
      </w:r>
      <w:r w:rsidDel="00000000" w:rsidR="00000000" w:rsidRPr="00000000">
        <w:rPr>
          <w:rFonts w:ascii="Palatino Linotype" w:cs="Palatino Linotype" w:eastAsia="Palatino Linotype" w:hAnsi="Palatino Linotype"/>
          <w:b w:val="1"/>
          <w:bCs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sus motivos de inconformidad, de acuerdo al artículo 179, fracción I del ordenamiento legal citado, que a la letra dice: </w:t>
      </w:r>
    </w:p>
    <w:p w:rsidR="00000000" w:rsidDel="00000000" w:rsidP="00000000" w:rsidRDefault="00000000" w:rsidRPr="00000000" w14:paraId="00000038">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39">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179.</w:t>
      </w:r>
      <w:r w:rsidDel="00000000" w:rsidR="00000000" w:rsidRPr="00000000">
        <w:rPr>
          <w:rFonts w:ascii="Palatino Linotype" w:cs="Palatino Linotype" w:eastAsia="Palatino Linotype" w:hAnsi="Palatino Linotype"/>
          <w:i w:val="1"/>
          <w:iCs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A">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u w:val="single"/>
          <w:rtl w:val="0"/>
        </w:rPr>
        <w:t xml:space="preserve">I. La negativa a la información solicitada;</w:t>
      </w:r>
      <w:r w:rsidDel="00000000" w:rsidR="00000000" w:rsidRPr="00000000">
        <w:rPr>
          <w:rFonts w:ascii="Palatino Linotype" w:cs="Palatino Linotype" w:eastAsia="Palatino Linotype" w:hAnsi="Palatino Linotype"/>
          <w:b w:val="1"/>
          <w:bCs w:val="1"/>
          <w:i w:val="1"/>
          <w:iCs w:val="1"/>
          <w:sz w:val="22"/>
          <w:szCs w:val="22"/>
          <w:rtl w:val="0"/>
        </w:rPr>
        <w:t xml:space="preserve">” </w:t>
      </w:r>
    </w:p>
    <w:p w:rsidR="00000000" w:rsidDel="00000000" w:rsidP="00000000" w:rsidRDefault="00000000" w:rsidRPr="00000000" w14:paraId="0000003B">
      <w:pPr>
        <w:spacing w:line="276" w:lineRule="auto"/>
        <w:ind w:left="851" w:right="616" w:firstLine="0"/>
        <w:jc w:val="both"/>
        <w:rPr>
          <w:rFonts w:ascii="Palatino Linotype" w:cs="Palatino Linotype" w:eastAsia="Palatino Linotype" w:hAnsi="Palatino Linotype"/>
          <w:b w:val="1"/>
          <w:bCs w:val="1"/>
          <w:i w:val="1"/>
          <w:iCs w:val="1"/>
          <w:sz w:val="22"/>
          <w:szCs w:val="22"/>
          <w:u w:val="single"/>
        </w:rPr>
      </w:pPr>
      <w:r w:rsidDel="00000000" w:rsidR="00000000" w:rsidRPr="00000000">
        <w:rPr>
          <w:rFonts w:ascii="Palatino Linotype" w:cs="Palatino Linotype" w:eastAsia="Palatino Linotype" w:hAnsi="Palatino Linotype"/>
          <w:i w:val="1"/>
          <w:iCs w:val="1"/>
          <w:sz w:val="22"/>
          <w:szCs w:val="22"/>
          <w:rtl w:val="0"/>
        </w:rPr>
        <w:t xml:space="preserve">(Énfasis añadido)</w:t>
      </w:r>
      <w:r w:rsidDel="00000000" w:rsidR="00000000" w:rsidRPr="00000000">
        <w:rPr>
          <w:rtl w:val="0"/>
        </w:rPr>
      </w:r>
    </w:p>
    <w:p w:rsidR="00000000" w:rsidDel="00000000" w:rsidP="00000000" w:rsidRDefault="00000000" w:rsidRPr="00000000" w14:paraId="0000003C">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3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bCs w:val="1"/>
          <w:sz w:val="22"/>
          <w:szCs w:val="22"/>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sz w:val="22"/>
          <w:szCs w:val="22"/>
          <w:rtl w:val="0"/>
        </w:rPr>
        <w:t xml:space="preserve">de </w:t>
      </w:r>
      <w:r w:rsidDel="00000000" w:rsidR="00000000" w:rsidRPr="00000000">
        <w:rPr>
          <w:rFonts w:ascii="Palatino Linotype" w:cs="Palatino Linotype" w:eastAsia="Palatino Linotype" w:hAnsi="Palatino Linotype"/>
          <w:b w:val="1"/>
          <w:bCs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en caso de ser procedente, ordenar la entrega de información.</w:t>
      </w:r>
    </w:p>
    <w:p w:rsidR="00000000" w:rsidDel="00000000" w:rsidP="00000000" w:rsidRDefault="00000000" w:rsidRPr="00000000" w14:paraId="0000003E">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bookmarkStart w:colFirst="0" w:colLast="0" w:name="_heading=h.2et92p0" w:id="8"/>
      <w:bookmarkEnd w:id="8"/>
      <w:r w:rsidDel="00000000" w:rsidR="00000000" w:rsidRPr="00000000">
        <w:rPr>
          <w:rFonts w:ascii="Palatino Linotype" w:cs="Palatino Linotype" w:eastAsia="Palatino Linotype" w:hAnsi="Palatino Linotype"/>
          <w:b w:val="1"/>
          <w:bCs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Antes de entrar al análisis de los pronunciamientos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40">
      <w:pPr>
        <w:pBdr>
          <w:top w:space="0" w:sz="0" w:val="nil"/>
          <w:left w:space="0" w:sz="0" w:val="nil"/>
          <w:bottom w:space="0" w:sz="0" w:val="nil"/>
          <w:right w:space="0" w:sz="0" w:val="nil"/>
          <w:between w:space="0" w:sz="0" w:val="nil"/>
        </w:pBdr>
        <w:ind w:left="851" w:right="850" w:firstLine="0"/>
        <w:jc w:val="both"/>
        <w:rPr>
          <w:rFonts w:ascii="Palatino Linotype" w:cs="Palatino Linotype" w:eastAsia="Palatino Linotype" w:hAnsi="Palatino Linotype"/>
          <w:b w:val="1"/>
          <w:bCs w:val="1"/>
          <w:i w:val="1"/>
          <w:iCs w:val="1"/>
          <w:sz w:val="22"/>
          <w:szCs w:val="22"/>
          <w:u w:val="single"/>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iCs w:val="1"/>
          <w:sz w:val="22"/>
          <w:szCs w:val="22"/>
          <w:rtl w:val="0"/>
        </w:rPr>
        <w:t xml:space="preserve">, así como de las garantías para su protección, cuyo ejercicio no podrá restringirse ni suspenderse, salvo en los casos y bajo las condiciones que esta Constitución establece.</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iCs w:val="1"/>
          <w:sz w:val="22"/>
          <w:szCs w:val="22"/>
          <w:rtl w:val="0"/>
        </w:rPr>
        <w:t xml:space="preserve"> En consecuencia, el Estado deberá prevenir, investigar, sancionar y reparar las violaciones a los derechos humanos, en los términos que establezca la ley</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6o.</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 en el ámbito de sus respectivas competencias, se regirán por los siguientes principios y bases:</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I.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iCs w:val="1"/>
          <w:sz w:val="22"/>
          <w:szCs w:val="22"/>
          <w:rtl w:val="0"/>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bCs w:val="1"/>
          <w:i w:val="1"/>
          <w:iCs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iCs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 La información que se refiere a la vida privada y los datos personales será protegida en los términos y con las excepciones que fijen las leyes. Para tal efecto, los sujetos obligados contarán con las facultades suficientes para su atención.</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III.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iCs w:val="1"/>
          <w:sz w:val="22"/>
          <w:szCs w:val="22"/>
          <w:rtl w:val="0"/>
        </w:rPr>
        <w:t xml:space="preserve"> a sus datos personales o a la rectificación de éstos.</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w:t>
      </w:r>
      <w:r w:rsidDel="00000000" w:rsidR="00000000" w:rsidRPr="00000000">
        <w:rPr>
          <w:rFonts w:ascii="Palatino Linotype" w:cs="Palatino Linotype" w:eastAsia="Palatino Linotype" w:hAnsi="Palatino Linotype"/>
          <w:i w:val="1"/>
          <w:iCs w:val="1"/>
          <w:sz w:val="22"/>
          <w:szCs w:val="22"/>
          <w:rtl w:val="0"/>
        </w:rPr>
        <w:t xml:space="preserve"> Se establecerán mecanismos de acceso a la información pública y procedimientos de revisión expeditos que se sustanciarán ante las instancias competentes en los términos que fija esta Constitución y las leyes.</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 </w:t>
      </w:r>
      <w:r w:rsidDel="00000000" w:rsidR="00000000" w:rsidRPr="00000000">
        <w:rPr>
          <w:rFonts w:ascii="Palatino Linotype" w:cs="Palatino Linotype" w:eastAsia="Palatino Linotype" w:hAnsi="Palatino Linotype"/>
          <w:i w:val="1"/>
          <w:iCs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VI. </w:t>
      </w:r>
      <w:r w:rsidDel="00000000" w:rsidR="00000000" w:rsidRPr="00000000">
        <w:rPr>
          <w:rFonts w:ascii="Palatino Linotype" w:cs="Palatino Linotype" w:eastAsia="Palatino Linotype" w:hAnsi="Palatino Linotype"/>
          <w:i w:val="1"/>
          <w:iCs w:val="1"/>
          <w:sz w:val="22"/>
          <w:szCs w:val="22"/>
          <w:rtl w:val="0"/>
        </w:rPr>
        <w:t xml:space="preserve">Las leyes determinarán la manera en que los sujetos obligados deberán hacer pública la información relativa a los recursos públicos que entreguen a personas físicas o morales.</w:t>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VII. </w:t>
      </w:r>
      <w:r w:rsidDel="00000000" w:rsidR="00000000" w:rsidRPr="00000000">
        <w:rPr>
          <w:rFonts w:ascii="Palatino Linotype" w:cs="Palatino Linotype" w:eastAsia="Palatino Linotype" w:hAnsi="Palatino Linotype"/>
          <w:i w:val="1"/>
          <w:iCs w:val="1"/>
          <w:sz w:val="22"/>
          <w:szCs w:val="22"/>
          <w:rtl w:val="0"/>
        </w:rPr>
        <w:t xml:space="preserve">La inobservancia a las disposiciones en materia de acceso a la información pública será sancionada en los términos que dispongan las leyes. [...]”</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52">
      <w:pPr>
        <w:pBdr>
          <w:top w:space="0" w:sz="0" w:val="nil"/>
          <w:left w:space="0" w:sz="0" w:val="nil"/>
          <w:bottom w:space="0" w:sz="0" w:val="nil"/>
          <w:right w:space="0" w:sz="0" w:val="nil"/>
          <w:between w:space="0" w:sz="0" w:val="nil"/>
        </w:pBdr>
        <w:ind w:left="709" w:right="760"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4</w:t>
      </w:r>
      <w:r w:rsidDel="00000000" w:rsidR="00000000" w:rsidRPr="00000000">
        <w:rPr>
          <w:rFonts w:ascii="Palatino Linotype" w:cs="Palatino Linotype" w:eastAsia="Palatino Linotype" w:hAnsi="Palatino Linotype"/>
          <w:i w:val="1"/>
          <w:iCs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12</w:t>
      </w:r>
      <w:r w:rsidDel="00000000" w:rsidR="00000000" w:rsidRPr="00000000">
        <w:rPr>
          <w:rFonts w:ascii="Palatino Linotype" w:cs="Palatino Linotype" w:eastAsia="Palatino Linotype" w:hAnsi="Palatino Linotype"/>
          <w:i w:val="1"/>
          <w:iCs w:val="1"/>
          <w:sz w:val="22"/>
          <w:szCs w:val="22"/>
          <w:rtl w:val="0"/>
        </w:rPr>
        <w:t xml:space="preserve">. Quienes generen, recopilen, administren, manejen, procesen, archiven o conserven información pública serán responsables de la misma en los términos de las disposiciones jurídicas aplicables. </w:t>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el derecho de acceso a la información pública se satisface en aquellos casos en que se entregue documento en que conste la información requerida, toda vez que, los Sujetos Obligados</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no tienen el deber de generar, poseer o administrar la información pública con el grado de detalle solicitado; esto es, que no tienen el deber de generar un documento </w:t>
      </w:r>
      <w:r w:rsidDel="00000000" w:rsidR="00000000" w:rsidRPr="00000000">
        <w:rPr>
          <w:rFonts w:ascii="Palatino Linotype" w:cs="Palatino Linotype" w:eastAsia="Palatino Linotype" w:hAnsi="Palatino Linotype"/>
          <w:i w:val="1"/>
          <w:iCs w:val="1"/>
          <w:sz w:val="22"/>
          <w:szCs w:val="22"/>
          <w:rtl w:val="0"/>
        </w:rPr>
        <w:t xml:space="preserve">ad hoc</w:t>
      </w:r>
      <w:r w:rsidDel="00000000" w:rsidR="00000000" w:rsidRPr="00000000">
        <w:rPr>
          <w:rFonts w:ascii="Palatino Linotype" w:cs="Palatino Linotype" w:eastAsia="Palatino Linotype" w:hAnsi="Palatino Linotype"/>
          <w:sz w:val="22"/>
          <w:szCs w:val="22"/>
          <w:rtl w:val="0"/>
        </w:rPr>
        <w:t xml:space="preserve">, para satisfacer el derecho de acceso a la información pública, como así lo establece el criterio orientador 03/17 emitido por el entonces Instituto Nacional de Transparencia, Acceso a la Información Pública y Protección de Datos Personales, el cual señala lo siguiente:</w:t>
      </w:r>
    </w:p>
    <w:p w:rsidR="00000000" w:rsidDel="00000000" w:rsidP="00000000" w:rsidRDefault="00000000" w:rsidRPr="00000000" w14:paraId="0000005D">
      <w:pPr>
        <w:pBdr>
          <w:top w:space="0" w:sz="0" w:val="nil"/>
          <w:left w:space="0" w:sz="0" w:val="nil"/>
          <w:bottom w:space="0" w:sz="0" w:val="nil"/>
          <w:right w:space="0" w:sz="0" w:val="nil"/>
          <w:between w:space="0" w:sz="0" w:val="nil"/>
        </w:pBdr>
        <w:ind w:left="567" w:right="900" w:firstLine="0"/>
        <w:jc w:val="both"/>
        <w:rPr>
          <w:rFonts w:ascii="Palatino Linotype" w:cs="Palatino Linotype" w:eastAsia="Palatino Linotype" w:hAnsi="Palatino Linotype"/>
          <w:b w:val="1"/>
          <w:bCs w:val="1"/>
          <w:i w:val="1"/>
          <w:iCs w:val="1"/>
          <w:sz w:val="22"/>
          <w:szCs w:val="22"/>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03/17</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“NO EXISTE OBLIGACIÓN DE ELABORAR DOCUMENTOS AD HOC PARA ATENDER LAS SOLICITUDES DE ACCESO A LA INFORMACIÓN.</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67">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3. </w:t>
      </w:r>
      <w:r w:rsidDel="00000000" w:rsidR="00000000" w:rsidRPr="00000000">
        <w:rPr>
          <w:rFonts w:ascii="Palatino Linotype" w:cs="Palatino Linotype" w:eastAsia="Palatino Linotype" w:hAnsi="Palatino Linotype"/>
          <w:i w:val="1"/>
          <w:iCs w:val="1"/>
          <w:sz w:val="22"/>
          <w:szCs w:val="22"/>
          <w:rtl w:val="0"/>
        </w:rPr>
        <w:t xml:space="preserve">Para los efectos de la presente Ley se entenderá por:</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 Documento:</w:t>
      </w:r>
      <w:r w:rsidDel="00000000" w:rsidR="00000000" w:rsidRPr="00000000">
        <w:rPr>
          <w:rFonts w:ascii="Palatino Linotype" w:cs="Palatino Linotype" w:eastAsia="Palatino Linotype" w:hAnsi="Palatino Linotype"/>
          <w:i w:val="1"/>
          <w:iCs w:val="1"/>
          <w:sz w:val="22"/>
          <w:szCs w:val="22"/>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6D">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CRITERIO 0002-11</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iCs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En consecuencia el acceso a la información se refiere a que se cumplan cualquiera de los siguientes tres supuestos:</w:t>
      </w:r>
      <w:r w:rsidDel="00000000" w:rsidR="00000000" w:rsidRPr="00000000">
        <w:rPr>
          <w:rtl w:val="0"/>
        </w:rPr>
      </w:r>
    </w:p>
    <w:p w:rsidR="00000000" w:rsidDel="00000000" w:rsidP="00000000" w:rsidRDefault="00000000" w:rsidRPr="00000000" w14:paraId="00000071">
      <w:pPr>
        <w:numPr>
          <w:ilvl w:val="0"/>
          <w:numId w:val="2"/>
        </w:numPr>
        <w:pBdr>
          <w:top w:space="0" w:sz="0" w:val="nil"/>
          <w:left w:space="0" w:sz="0" w:val="nil"/>
          <w:bottom w:space="0" w:sz="0" w:val="nil"/>
          <w:right w:space="0" w:sz="0" w:val="nil"/>
          <w:between w:space="0" w:sz="0" w:val="nil"/>
        </w:pBdr>
        <w:spacing w:line="276" w:lineRule="auto"/>
        <w:ind w:left="851" w:right="616" w:hanging="283"/>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72">
      <w:pPr>
        <w:numPr>
          <w:ilvl w:val="0"/>
          <w:numId w:val="2"/>
        </w:numPr>
        <w:pBdr>
          <w:top w:space="0" w:sz="0" w:val="nil"/>
          <w:left w:space="0" w:sz="0" w:val="nil"/>
          <w:bottom w:space="0" w:sz="0" w:val="nil"/>
          <w:right w:space="0" w:sz="0" w:val="nil"/>
          <w:between w:space="0" w:sz="0" w:val="nil"/>
        </w:pBdr>
        <w:spacing w:line="276" w:lineRule="auto"/>
        <w:ind w:left="851" w:right="616" w:hanging="283"/>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76" w:lineRule="auto"/>
        <w:ind w:left="851" w:right="616" w:hanging="28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3. </w:t>
      </w:r>
      <w:r w:rsidDel="00000000" w:rsidR="00000000" w:rsidRPr="00000000">
        <w:rPr>
          <w:rFonts w:ascii="Palatino Linotype" w:cs="Palatino Linotype" w:eastAsia="Palatino Linotype" w:hAnsi="Palatino Linotype"/>
          <w:b w:val="1"/>
          <w:bCs w:val="1"/>
          <w:i w:val="1"/>
          <w:iCs w:val="1"/>
          <w:sz w:val="22"/>
          <w:szCs w:val="22"/>
          <w:rtl w:val="0"/>
        </w:rPr>
        <w:t xml:space="preserve">Que se trate de información registrada en cualquier soporte documental, que en ejercicio de las atribuciones conferidas, se encuentre en posesión de los Sujetos Obligados.” </w:t>
      </w:r>
      <w:r w:rsidDel="00000000" w:rsidR="00000000" w:rsidRPr="00000000">
        <w:rPr>
          <w:rFonts w:ascii="Palatino Linotype" w:cs="Palatino Linotype" w:eastAsia="Palatino Linotype" w:hAnsi="Palatino Linotype"/>
          <w:i w:val="1"/>
          <w:iCs w:val="1"/>
          <w:sz w:val="22"/>
          <w:szCs w:val="22"/>
          <w:rtl w:val="0"/>
        </w:rPr>
        <w:t xml:space="preserve">(Énfasis añadido)</w:t>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ahí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para profundizar en el estudio del presente asunto, es conveniente recordar que de un análisis a la solicitud de información, se advierte que la parte solicitante requirió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le proporcionara lo siguiente:</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9">
      <w:pPr>
        <w:numPr>
          <w:ilvl w:val="0"/>
          <w:numId w:val="1"/>
        </w:numPr>
        <w:pBdr>
          <w:top w:space="0" w:sz="0" w:val="nil"/>
          <w:left w:space="0" w:sz="0" w:val="nil"/>
          <w:bottom w:space="0" w:sz="0" w:val="nil"/>
          <w:right w:space="0" w:sz="0" w:val="nil"/>
          <w:between w:space="0" w:sz="0" w:val="nil"/>
        </w:pBdr>
        <w:spacing w:line="360" w:lineRule="auto"/>
        <w:ind w:left="851" w:right="616" w:hanging="36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Cuál es la razón por la que la quinta regidora no asiste a los eventos del presidente municipal o en su caso a cuales ha asistido.</w:t>
      </w:r>
    </w:p>
    <w:p w:rsidR="00000000" w:rsidDel="00000000" w:rsidP="00000000" w:rsidRDefault="00000000" w:rsidRPr="00000000" w14:paraId="0000007A">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pronunció por conducto del Quinto Regidor de Toluca, mismo que informó que en virtud, de la condición médica que presenta se le dificulta el acceso a los eventos del presidente municipal, motivando así algunas inasistencias a los mismos, cabe mencionar que de acuerdo al artículo 55 Ley Orgánica Municipal del Estado de México y 2.4 del Código Reglamentario Municipal misma que señalan las atribuciones de un regidor no mencionan la obligación de asistir a los eventos.</w:t>
      </w:r>
    </w:p>
    <w:p w:rsidR="00000000" w:rsidDel="00000000" w:rsidP="00000000" w:rsidRDefault="00000000" w:rsidRPr="00000000" w14:paraId="0000007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esta tesitura, una vez conocida la respuesta emitida por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parte</w:t>
      </w:r>
      <w:r w:rsidDel="00000000" w:rsidR="00000000" w:rsidRPr="00000000">
        <w:rPr>
          <w:rFonts w:ascii="Palatino Linotype" w:cs="Palatino Linotype" w:eastAsia="Palatino Linotype" w:hAnsi="Palatino Linotype"/>
          <w:b w:val="1"/>
          <w:bCs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al no estar conforme con los términos de la misma, interpuso el recurso de revisión que nos ocupa, inconformándose medularmente respecto de la negativa a entregar la información.</w:t>
      </w:r>
    </w:p>
    <w:p w:rsidR="00000000" w:rsidDel="00000000" w:rsidP="00000000" w:rsidRDefault="00000000" w:rsidRPr="00000000" w14:paraId="0000007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las cosas, durante la etapa de manifestaciones e informe justificado, se tiene que el Sujeto Obligado ratificó su respuesta inicial, mientras que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fue omisa en pronunciarse en esta etapa, por lo que se tuvo por precluido su derecho y se procede a emitir la resolución que conforme a derecho corresponda. </w:t>
      </w:r>
    </w:p>
    <w:p w:rsidR="00000000" w:rsidDel="00000000" w:rsidP="00000000" w:rsidRDefault="00000000" w:rsidRPr="00000000" w14:paraId="0000008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expuestas las posturas de las partes, tenemos que la parte Recurrente desea conocer información de la Quinta Regiduría de Toluca, </w:t>
      </w:r>
    </w:p>
    <w:p w:rsidR="00000000" w:rsidDel="00000000" w:rsidP="00000000" w:rsidRDefault="00000000" w:rsidRPr="00000000" w14:paraId="0000008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Expuestas las posturas de las partes, es importante destacar que el artículo 12 de la Ley en la materia, establece que </w:t>
      </w:r>
      <w:r w:rsidDel="00000000" w:rsidR="00000000" w:rsidRPr="00000000">
        <w:rPr>
          <w:rFonts w:ascii="Palatino Linotype" w:cs="Palatino Linotype" w:eastAsia="Palatino Linotype" w:hAnsi="Palatino Linotype"/>
          <w:sz w:val="22"/>
          <w:szCs w:val="22"/>
          <w:u w:val="single"/>
          <w:rtl w:val="0"/>
        </w:rPr>
        <w:t xml:space="preserve">los sujetos obligados proporcionarán la información pública que se les requiera y que obre en sus archivos</w:t>
      </w:r>
      <w:r w:rsidDel="00000000" w:rsidR="00000000" w:rsidRPr="00000000">
        <w:rPr>
          <w:rFonts w:ascii="Palatino Linotype" w:cs="Palatino Linotype" w:eastAsia="Palatino Linotype" w:hAnsi="Palatino Linotype"/>
          <w:sz w:val="22"/>
          <w:szCs w:val="22"/>
          <w:rtl w:val="0"/>
        </w:rPr>
        <w:t xml:space="preserve">, en el estado en que esta se encuentre, de tal forma que, es necesario traer a contexto los artículos 2.3 y 2.4 Bis del Código Reglamentario Municipal de Toluca, en los cuales se establece que el Ayuntamiento contará con un cuerpo colegiado denominado Ayuntamiento que se integrará por el presidente municipal, dos síndicos, y doce regidores; asimismo, las y los síndicos y regidores, además de las atribuciones que les confiere la Ley Orgánica Municipal, contarán con las siguientes atribuciones:</w:t>
      </w:r>
    </w:p>
    <w:p w:rsidR="00000000" w:rsidDel="00000000" w:rsidP="00000000" w:rsidRDefault="00000000" w:rsidRPr="00000000" w14:paraId="00000084">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85">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2.3</w:t>
      </w:r>
      <w:r w:rsidDel="00000000" w:rsidR="00000000" w:rsidRPr="00000000">
        <w:rPr>
          <w:rFonts w:ascii="Palatino Linotype" w:cs="Palatino Linotype" w:eastAsia="Palatino Linotype" w:hAnsi="Palatino Linotype"/>
          <w:i w:val="1"/>
          <w:iCs w:val="1"/>
          <w:sz w:val="22"/>
          <w:szCs w:val="22"/>
          <w:rtl w:val="0"/>
        </w:rPr>
        <w:t xml:space="preserve">. De acuerdo a las disposiciones jurídicas aplicables, </w:t>
      </w:r>
      <w:r w:rsidDel="00000000" w:rsidR="00000000" w:rsidRPr="00000000">
        <w:rPr>
          <w:rFonts w:ascii="Palatino Linotype" w:cs="Palatino Linotype" w:eastAsia="Palatino Linotype" w:hAnsi="Palatino Linotype"/>
          <w:b w:val="1"/>
          <w:bCs w:val="1"/>
          <w:i w:val="1"/>
          <w:iCs w:val="1"/>
          <w:sz w:val="22"/>
          <w:szCs w:val="22"/>
          <w:rtl w:val="0"/>
        </w:rPr>
        <w:t xml:space="preserve">el Ayuntamiento será integrado por:</w:t>
      </w:r>
    </w:p>
    <w:p w:rsidR="00000000" w:rsidDel="00000000" w:rsidP="00000000" w:rsidRDefault="00000000" w:rsidRPr="00000000" w14:paraId="00000086">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La Presidencia Municipal;</w:t>
      </w:r>
    </w:p>
    <w:p w:rsidR="00000000" w:rsidDel="00000000" w:rsidP="00000000" w:rsidRDefault="00000000" w:rsidRPr="00000000" w14:paraId="00000087">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Dos Sindicaturas, una de mayoría relativa y uno de representación proporcional; y</w:t>
      </w:r>
    </w:p>
    <w:p w:rsidR="00000000" w:rsidDel="00000000" w:rsidP="00000000" w:rsidRDefault="00000000" w:rsidRPr="00000000" w14:paraId="00000088">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 Doce Regidurías, siete de mayoría relativa y cinco de representación proporcional.</w:t>
      </w:r>
    </w:p>
    <w:p w:rsidR="00000000" w:rsidDel="00000000" w:rsidP="00000000" w:rsidRDefault="00000000" w:rsidRPr="00000000" w14:paraId="00000089">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8A">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2.4 Bis. </w:t>
      </w:r>
      <w:r w:rsidDel="00000000" w:rsidR="00000000" w:rsidRPr="00000000">
        <w:rPr>
          <w:rFonts w:ascii="Palatino Linotype" w:cs="Palatino Linotype" w:eastAsia="Palatino Linotype" w:hAnsi="Palatino Linotype"/>
          <w:i w:val="1"/>
          <w:iCs w:val="1"/>
          <w:sz w:val="22"/>
          <w:szCs w:val="22"/>
          <w:rtl w:val="0"/>
        </w:rPr>
        <w:t xml:space="preserve">Las personas titulares de las Sindicaturas y de </w:t>
      </w:r>
      <w:r w:rsidDel="00000000" w:rsidR="00000000" w:rsidRPr="00000000">
        <w:rPr>
          <w:rFonts w:ascii="Palatino Linotype" w:cs="Palatino Linotype" w:eastAsia="Palatino Linotype" w:hAnsi="Palatino Linotype"/>
          <w:b w:val="1"/>
          <w:bCs w:val="1"/>
          <w:i w:val="1"/>
          <w:iCs w:val="1"/>
          <w:sz w:val="22"/>
          <w:szCs w:val="22"/>
          <w:rtl w:val="0"/>
        </w:rPr>
        <w:t xml:space="preserve">las Regidurías</w:t>
      </w:r>
      <w:r w:rsidDel="00000000" w:rsidR="00000000" w:rsidRPr="00000000">
        <w:rPr>
          <w:rFonts w:ascii="Palatino Linotype" w:cs="Palatino Linotype" w:eastAsia="Palatino Linotype" w:hAnsi="Palatino Linotype"/>
          <w:i w:val="1"/>
          <w:iCs w:val="1"/>
          <w:sz w:val="22"/>
          <w:szCs w:val="22"/>
          <w:rtl w:val="0"/>
        </w:rPr>
        <w:t xml:space="preserve">, además de </w:t>
      </w:r>
      <w:r w:rsidDel="00000000" w:rsidR="00000000" w:rsidRPr="00000000">
        <w:rPr>
          <w:rFonts w:ascii="Palatino Linotype" w:cs="Palatino Linotype" w:eastAsia="Palatino Linotype" w:hAnsi="Palatino Linotype"/>
          <w:b w:val="1"/>
          <w:bCs w:val="1"/>
          <w:i w:val="1"/>
          <w:iCs w:val="1"/>
          <w:sz w:val="22"/>
          <w:szCs w:val="22"/>
          <w:rtl w:val="0"/>
        </w:rPr>
        <w:t xml:space="preserve">las atribuciones que</w:t>
      </w:r>
      <w:r w:rsidDel="00000000" w:rsidR="00000000" w:rsidRPr="00000000">
        <w:rPr>
          <w:rFonts w:ascii="Palatino Linotype" w:cs="Palatino Linotype" w:eastAsia="Palatino Linotype" w:hAnsi="Palatino Linotype"/>
          <w:i w:val="1"/>
          <w:iCs w:val="1"/>
          <w:sz w:val="22"/>
          <w:szCs w:val="22"/>
          <w:rtl w:val="0"/>
        </w:rPr>
        <w:t xml:space="preserve"> les confiere la Ley Orgánica Municipal del Estado de </w:t>
      </w:r>
      <w:r w:rsidDel="00000000" w:rsidR="00000000" w:rsidRPr="00000000">
        <w:rPr>
          <w:rFonts w:ascii="Palatino Linotype" w:cs="Palatino Linotype" w:eastAsia="Palatino Linotype" w:hAnsi="Palatino Linotype"/>
          <w:b w:val="1"/>
          <w:bCs w:val="1"/>
          <w:i w:val="1"/>
          <w:iCs w:val="1"/>
          <w:sz w:val="22"/>
          <w:szCs w:val="22"/>
          <w:rtl w:val="0"/>
        </w:rPr>
        <w:t xml:space="preserve">México, tendrán las siguientes:</w:t>
      </w:r>
    </w:p>
    <w:p w:rsidR="00000000" w:rsidDel="00000000" w:rsidP="00000000" w:rsidRDefault="00000000" w:rsidRPr="00000000" w14:paraId="0000008B">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 Asistir con puntualidad a las sesiones de Cabildo;</w:t>
      </w:r>
    </w:p>
    <w:p w:rsidR="00000000" w:rsidDel="00000000" w:rsidP="00000000" w:rsidRDefault="00000000" w:rsidRPr="00000000" w14:paraId="0000008C">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 Formular, las propuestas que juzguen pertinentes;</w:t>
      </w:r>
    </w:p>
    <w:p w:rsidR="00000000" w:rsidDel="00000000" w:rsidP="00000000" w:rsidRDefault="00000000" w:rsidRPr="00000000" w14:paraId="0000008D">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 Cumplir oportunamente con las obligaciones y comisiones que les hayan sido encomendadas;</w:t>
      </w:r>
    </w:p>
    <w:p w:rsidR="00000000" w:rsidDel="00000000" w:rsidP="00000000" w:rsidRDefault="00000000" w:rsidRPr="00000000" w14:paraId="0000008E">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IV. Rendir por escrito, de manera trimestral, los informes de las actividades realizadas con motivo de sus comisiones y de las que les sean encomendadas por la Presidenta o el Presidente Municipal;</w:t>
      </w:r>
    </w:p>
    <w:p w:rsidR="00000000" w:rsidDel="00000000" w:rsidP="00000000" w:rsidRDefault="00000000" w:rsidRPr="00000000" w14:paraId="0000008F">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 Fomentar la participación ciudadana en apoyo a los programas que implemente el Ayuntamiento; y</w:t>
      </w:r>
    </w:p>
    <w:p w:rsidR="00000000" w:rsidDel="00000000" w:rsidP="00000000" w:rsidRDefault="00000000" w:rsidRPr="00000000" w14:paraId="00000090">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 Las demás que resulten procedentes</w:t>
      </w:r>
      <w:r w:rsidDel="00000000" w:rsidR="00000000" w:rsidRPr="00000000">
        <w:rPr>
          <w:rFonts w:ascii="Palatino Linotype" w:cs="Palatino Linotype" w:eastAsia="Palatino Linotype" w:hAnsi="Palatino Linotype"/>
          <w:i w:val="1"/>
          <w:iCs w:val="1"/>
          <w:sz w:val="22"/>
          <w:szCs w:val="22"/>
          <w:rtl w:val="0"/>
        </w:rPr>
        <w:t xml:space="preserve">, conforme a los ordenamientos jurídicos y acuerdos del Ayuntamiento.”</w:t>
      </w:r>
    </w:p>
    <w:p w:rsidR="00000000" w:rsidDel="00000000" w:rsidP="00000000" w:rsidRDefault="00000000" w:rsidRPr="00000000" w14:paraId="00000091">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(Énfasis Añadido)</w:t>
      </w:r>
    </w:p>
    <w:p w:rsidR="00000000" w:rsidDel="00000000" w:rsidP="00000000" w:rsidRDefault="00000000" w:rsidRPr="00000000" w14:paraId="0000009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anterior, se logra colegir que el particular pretende acceder a información respecto de la Quinta Regiduría, consistente en conocer la razón por la que no asiste a los eventos del presidente municipal o en su caso a cuales ha asistido, sin embargo de la normativa citada con anterioridad, no se advierte que las Regidurías cuenten con obligación para asistir a los eventos del presidente municipal, así como tampoco, tiene obligación de documentar a cuáles de ellos se ha asistido. </w:t>
      </w:r>
    </w:p>
    <w:p w:rsidR="00000000" w:rsidDel="00000000" w:rsidP="00000000" w:rsidRDefault="00000000" w:rsidRPr="00000000" w14:paraId="0000009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5">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Sobre el tema, cabe precisar que de conformidad con los artículos 6°, apartado A, de la Constitución Política de los Estados Unidos Mexicanos, 5° de la Constitución Política del Estado Libre y Soberano de México, 4° de la Ley General de Transparencia y Acceso a la Información Pública y 4° de la Ley de Transparencia y Acceso a la Información Pública del Estado de México y Municipios, toda la información </w:t>
      </w:r>
      <w:r w:rsidDel="00000000" w:rsidR="00000000" w:rsidRPr="00000000">
        <w:rPr>
          <w:rFonts w:ascii="Palatino Linotype" w:cs="Palatino Linotype" w:eastAsia="Palatino Linotype" w:hAnsi="Palatino Linotype"/>
          <w:b w:val="1"/>
          <w:bCs w:val="1"/>
          <w:sz w:val="22"/>
          <w:szCs w:val="22"/>
          <w:rtl w:val="0"/>
        </w:rPr>
        <w:t xml:space="preserve">generada, obtenida, adquirida, transformada </w:t>
      </w:r>
      <w:r w:rsidDel="00000000" w:rsidR="00000000" w:rsidRPr="00000000">
        <w:rPr>
          <w:rFonts w:ascii="Palatino Linotype" w:cs="Palatino Linotype" w:eastAsia="Palatino Linotype" w:hAnsi="Palatino Linotype"/>
          <w:sz w:val="22"/>
          <w:szCs w:val="22"/>
          <w:rtl w:val="0"/>
        </w:rPr>
        <w:t xml:space="preserve">por los sujetos obligados, o en su caso, </w:t>
      </w:r>
      <w:r w:rsidDel="00000000" w:rsidR="00000000" w:rsidRPr="00000000">
        <w:rPr>
          <w:rFonts w:ascii="Palatino Linotype" w:cs="Palatino Linotype" w:eastAsia="Palatino Linotype" w:hAnsi="Palatino Linotype"/>
          <w:b w:val="1"/>
          <w:bCs w:val="1"/>
          <w:sz w:val="22"/>
          <w:szCs w:val="22"/>
          <w:rtl w:val="0"/>
        </w:rPr>
        <w:t xml:space="preserve">la tengan en su posesión, será pública y accesible para cualquier persona. </w:t>
      </w:r>
      <w:r w:rsidDel="00000000" w:rsidR="00000000" w:rsidRPr="00000000">
        <w:rPr>
          <w:rFonts w:ascii="Palatino Linotype" w:cs="Palatino Linotype" w:eastAsia="Palatino Linotype" w:hAnsi="Palatino Linotype"/>
          <w:sz w:val="22"/>
          <w:szCs w:val="22"/>
          <w:rtl w:val="0"/>
        </w:rPr>
        <w:t xml:space="preserve">Así, se advierte que el derecho de acceso a la información, consiste en una prerrogativa de cualquier persona, a solicitar información pública que conste en </w:t>
      </w:r>
      <w:r w:rsidDel="00000000" w:rsidR="00000000" w:rsidRPr="00000000">
        <w:rPr>
          <w:rFonts w:ascii="Palatino Linotype" w:cs="Palatino Linotype" w:eastAsia="Palatino Linotype" w:hAnsi="Palatino Linotype"/>
          <w:b w:val="1"/>
          <w:bCs w:val="1"/>
          <w:sz w:val="22"/>
          <w:szCs w:val="22"/>
          <w:rtl w:val="0"/>
        </w:rPr>
        <w:t xml:space="preserve">documentos generados, obtenidos, adquiridos, transformados o que tengan en posesión los sujetos obligados.</w:t>
      </w:r>
    </w:p>
    <w:p w:rsidR="00000000" w:rsidDel="00000000" w:rsidP="00000000" w:rsidRDefault="00000000" w:rsidRPr="00000000" w14:paraId="0000009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el artículo 3°, fracción VII, de la Ley General Transparencia, con relación al 3°, fracción XI, de la Ley Local de Transparencia, establecen que los documentos son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9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9">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Además, el artículo 3°, fracción XII, de la Ley de Transparencia y Acceso a la Información Pública del Estado de México y Municipio, establece que un documento electrónico es aquel </w:t>
      </w:r>
      <w:r w:rsidDel="00000000" w:rsidR="00000000" w:rsidRPr="00000000">
        <w:rPr>
          <w:rFonts w:ascii="Palatino Linotype" w:cs="Palatino Linotype" w:eastAsia="Palatino Linotype" w:hAnsi="Palatino Linotype"/>
          <w:b w:val="1"/>
          <w:bCs w:val="1"/>
          <w:sz w:val="22"/>
          <w:szCs w:val="22"/>
          <w:rtl w:val="0"/>
        </w:rPr>
        <w:t xml:space="preserve">soporte escrito con caracteres alfanuméricos, archivo de imagen, video, audio o cualquier otro formato tecnológicamente disponible, que contenga información.  </w:t>
      </w:r>
    </w:p>
    <w:p w:rsidR="00000000" w:rsidDel="00000000" w:rsidP="00000000" w:rsidRDefault="00000000" w:rsidRPr="00000000" w14:paraId="0000009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se puede afirmar que, mediante el derecho de acceso a la información pública, los solicitantes pueden acceder a toda aquella información generada por los Sujetos Obligados, es decir, la ciudadanía puede allegarse de aquellos documentos que obren en los archivos por las dependencias gubernamentales.</w:t>
      </w:r>
    </w:p>
    <w:p w:rsidR="00000000" w:rsidDel="00000000" w:rsidP="00000000" w:rsidRDefault="00000000" w:rsidRPr="00000000" w14:paraId="0000009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se robustece pues de conformidad con los 12, 24, último párrafo, y 160 de la Ley de Transparencia y Acceso a la Información Pública del Estado de México y Municipios, los Sujetos Obligados sólo entregarán la información que obre en sus archivos y no estarán obligados a procesarla, resumirla, efectuar cálculos o practicar investigaciones.</w:t>
      </w:r>
    </w:p>
    <w:p w:rsidR="00000000" w:rsidDel="00000000" w:rsidP="00000000" w:rsidRDefault="00000000" w:rsidRPr="00000000" w14:paraId="0000009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tales circunstancias, se colige que los sujetos obligados únicamente están constreñidos a proporcionar </w:t>
      </w:r>
      <w:r w:rsidDel="00000000" w:rsidR="00000000" w:rsidRPr="00000000">
        <w:rPr>
          <w:rFonts w:ascii="Palatino Linotype" w:cs="Palatino Linotype" w:eastAsia="Palatino Linotype" w:hAnsi="Palatino Linotype"/>
          <w:b w:val="1"/>
          <w:bCs w:val="1"/>
          <w:sz w:val="22"/>
          <w:szCs w:val="22"/>
          <w:rtl w:val="0"/>
        </w:rPr>
        <w:t xml:space="preserve">la documentación que obre en sus archivos</w:t>
      </w:r>
      <w:r w:rsidDel="00000000" w:rsidR="00000000" w:rsidRPr="00000000">
        <w:rPr>
          <w:rFonts w:ascii="Palatino Linotype" w:cs="Palatino Linotype" w:eastAsia="Palatino Linotype" w:hAnsi="Palatino Linotype"/>
          <w:sz w:val="22"/>
          <w:szCs w:val="22"/>
          <w:rtl w:val="0"/>
        </w:rPr>
        <w:t xml:space="preserve">; por lo que, no están obligados a generar o elaborar documentos </w:t>
      </w:r>
      <w:r w:rsidDel="00000000" w:rsidR="00000000" w:rsidRPr="00000000">
        <w:rPr>
          <w:rFonts w:ascii="Palatino Linotype" w:cs="Palatino Linotype" w:eastAsia="Palatino Linotype" w:hAnsi="Palatino Linotype"/>
          <w:i w:val="1"/>
          <w:iCs w:val="1"/>
          <w:sz w:val="22"/>
          <w:szCs w:val="22"/>
          <w:rtl w:val="0"/>
        </w:rPr>
        <w:t xml:space="preserve">ad hoc, </w:t>
      </w:r>
      <w:r w:rsidDel="00000000" w:rsidR="00000000" w:rsidRPr="00000000">
        <w:rPr>
          <w:rFonts w:ascii="Palatino Linotype" w:cs="Palatino Linotype" w:eastAsia="Palatino Linotype" w:hAnsi="Palatino Linotype"/>
          <w:sz w:val="22"/>
          <w:szCs w:val="22"/>
          <w:rtl w:val="0"/>
        </w:rPr>
        <w:t xml:space="preserve">como es el caso de proporcionar respuesta a un cuestionamiento. Robustece lo anterior el Criterio de Interpretación, con clave de control SO/013/2017, de la Segunda Época, emitido por el Instituto Nacional de Transparencia, Acceso a la Información y Protección de Datos Personales, que a continuación se cita:</w:t>
      </w:r>
    </w:p>
    <w:p w:rsidR="00000000" w:rsidDel="00000000" w:rsidP="00000000" w:rsidRDefault="00000000" w:rsidRPr="00000000" w14:paraId="000000A0">
      <w:pPr>
        <w:tabs>
          <w:tab w:val="left" w:leader="none" w:pos="7938"/>
        </w:tabs>
        <w:ind w:left="851" w:right="902" w:firstLine="0"/>
        <w:jc w:val="both"/>
        <w:rPr>
          <w:rFonts w:ascii="Palatino Linotype" w:cs="Palatino Linotype" w:eastAsia="Palatino Linotype" w:hAnsi="Palatino Linotype"/>
          <w:b w:val="1"/>
          <w:bCs w:val="1"/>
          <w:i w:val="1"/>
          <w:iCs w:val="1"/>
          <w:sz w:val="22"/>
          <w:szCs w:val="22"/>
        </w:rPr>
      </w:pPr>
      <w:r w:rsidDel="00000000" w:rsidR="00000000" w:rsidRPr="00000000">
        <w:rPr>
          <w:rtl w:val="0"/>
        </w:rPr>
      </w:r>
    </w:p>
    <w:p w:rsidR="00000000" w:rsidDel="00000000" w:rsidP="00000000" w:rsidRDefault="00000000" w:rsidRPr="00000000" w14:paraId="000000A1">
      <w:pPr>
        <w:tabs>
          <w:tab w:val="left" w:leader="none" w:pos="7655"/>
        </w:tabs>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“No existe obligación de elaborar documentos ad hoc para atender las solicitudes de acceso a la información. </w:t>
      </w:r>
      <w:r w:rsidDel="00000000" w:rsidR="00000000" w:rsidRPr="00000000">
        <w:rPr>
          <w:rFonts w:ascii="Palatino Linotype" w:cs="Palatino Linotype" w:eastAsia="Palatino Linotype" w:hAnsi="Palatino Linotype"/>
          <w:i w:val="1"/>
          <w:iCs w:val="1"/>
          <w:sz w:val="22"/>
          <w:szCs w:val="22"/>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w:t>
      </w:r>
      <w:r w:rsidDel="00000000" w:rsidR="00000000" w:rsidRPr="00000000">
        <w:rPr>
          <w:rtl w:val="0"/>
        </w:rPr>
      </w:r>
    </w:p>
    <w:p w:rsidR="00000000" w:rsidDel="00000000" w:rsidP="00000000" w:rsidRDefault="00000000" w:rsidRPr="00000000" w14:paraId="000000A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3">
      <w:pPr>
        <w:spacing w:line="360" w:lineRule="auto"/>
        <w:jc w:val="both"/>
        <w:rPr>
          <w:rFonts w:ascii="Palatino Linotype" w:cs="Palatino Linotype" w:eastAsia="Palatino Linotype" w:hAnsi="Palatino Linotype"/>
          <w:b w:val="1"/>
          <w:bCs w:val="1"/>
          <w:sz w:val="22"/>
          <w:szCs w:val="22"/>
          <w:u w:val="single"/>
        </w:rPr>
      </w:pPr>
      <w:r w:rsidDel="00000000" w:rsidR="00000000" w:rsidRPr="00000000">
        <w:rPr>
          <w:rFonts w:ascii="Palatino Linotype" w:cs="Palatino Linotype" w:eastAsia="Palatino Linotype" w:hAnsi="Palatino Linotype"/>
          <w:sz w:val="22"/>
          <w:szCs w:val="22"/>
          <w:rtl w:val="0"/>
        </w:rPr>
        <w:t xml:space="preserve">Conforme a lo anterior, </w:t>
      </w:r>
      <w:r w:rsidDel="00000000" w:rsidR="00000000" w:rsidRPr="00000000">
        <w:rPr>
          <w:rFonts w:ascii="Palatino Linotype" w:cs="Palatino Linotype" w:eastAsia="Palatino Linotype" w:hAnsi="Palatino Linotype"/>
          <w:b w:val="1"/>
          <w:bCs w:val="1"/>
          <w:sz w:val="22"/>
          <w:szCs w:val="22"/>
          <w:rtl w:val="0"/>
        </w:rPr>
        <w:t xml:space="preserve">se advierte que la respuesta al cuestionamiento planteado por la persona solicitante constituye una consulta</w:t>
      </w:r>
      <w:r w:rsidDel="00000000" w:rsidR="00000000" w:rsidRPr="00000000">
        <w:rPr>
          <w:rFonts w:ascii="Palatino Linotype" w:cs="Palatino Linotype" w:eastAsia="Palatino Linotype" w:hAnsi="Palatino Linotype"/>
          <w:sz w:val="22"/>
          <w:szCs w:val="22"/>
          <w:rtl w:val="0"/>
        </w:rPr>
        <w:t xml:space="preserve"> y no así una solicitud de acceso a información pública que pueda ser atendida mediante una expresión documental, pues corresponde con una pregunta que implicaría elaborar un documento </w:t>
      </w:r>
      <w:r w:rsidDel="00000000" w:rsidR="00000000" w:rsidRPr="00000000">
        <w:rPr>
          <w:rFonts w:ascii="Palatino Linotype" w:cs="Palatino Linotype" w:eastAsia="Palatino Linotype" w:hAnsi="Palatino Linotype"/>
          <w:i w:val="1"/>
          <w:iCs w:val="1"/>
          <w:sz w:val="22"/>
          <w:szCs w:val="22"/>
          <w:rtl w:val="0"/>
        </w:rPr>
        <w:t xml:space="preserve">ad hoc</w:t>
      </w:r>
      <w:r w:rsidDel="00000000" w:rsidR="00000000" w:rsidRPr="00000000">
        <w:rPr>
          <w:rFonts w:ascii="Palatino Linotype" w:cs="Palatino Linotype" w:eastAsia="Palatino Linotype" w:hAnsi="Palatino Linotype"/>
          <w:sz w:val="22"/>
          <w:szCs w:val="22"/>
          <w:rtl w:val="0"/>
        </w:rPr>
        <w:t xml:space="preserve">, ya que la persona solicitante requiere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se manifieste sobre una situación específica y determinada, lo cual no obra en un documento generado previamente, pues en el presente caso quiere saber la </w:t>
      </w:r>
      <w:r w:rsidDel="00000000" w:rsidR="00000000" w:rsidRPr="00000000">
        <w:rPr>
          <w:rFonts w:ascii="Palatino Linotype" w:cs="Palatino Linotype" w:eastAsia="Palatino Linotype" w:hAnsi="Palatino Linotype"/>
          <w:b w:val="1"/>
          <w:bCs w:val="1"/>
          <w:sz w:val="22"/>
          <w:szCs w:val="22"/>
          <w:u w:val="single"/>
          <w:rtl w:val="0"/>
        </w:rPr>
        <w:t xml:space="preserve">razón por la que el quinto regidor no asiste a los eventos del presidente municipal o en su caso a cuales ha asistido. </w:t>
      </w:r>
    </w:p>
    <w:p w:rsidR="00000000" w:rsidDel="00000000" w:rsidP="00000000" w:rsidRDefault="00000000" w:rsidRPr="00000000" w14:paraId="000000A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toma relevancia, pues según Trujillo, Humberto (2019), en el “Diccionario de Transparencia y Acceso a la Información Pública” (p. 122), el derecho de petición, es un prerrogativa constitucional que tienen las personas para solicitar o reclamar a las autoridades públicas; por lo que, las instancias deben recibirlas y realizar una respuesta. </w:t>
      </w:r>
    </w:p>
    <w:p w:rsidR="00000000" w:rsidDel="00000000" w:rsidP="00000000" w:rsidRDefault="00000000" w:rsidRPr="00000000" w14:paraId="000000A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la Jurisprudencia XXI.1o.P.A. J/27, de los Tribunales Colegiados de Circuito, localizada en la página 1406, del Semanario Judicial de la Federación y su Gaceta, Tomo XXXIII, marzo 2011, Novena Época, que establece lo siguiente:</w:t>
      </w:r>
    </w:p>
    <w:p w:rsidR="00000000" w:rsidDel="00000000" w:rsidP="00000000" w:rsidRDefault="00000000" w:rsidRPr="00000000" w14:paraId="000000A8">
      <w:pPr>
        <w:ind w:left="567" w:right="567" w:firstLine="0"/>
        <w:jc w:val="both"/>
        <w:rPr>
          <w:rFonts w:ascii="Palatino Linotype" w:cs="Palatino Linotype" w:eastAsia="Palatino Linotype" w:hAnsi="Palatino Linotype"/>
          <w:b w:val="1"/>
          <w:bCs w:val="1"/>
          <w:i w:val="1"/>
          <w:iCs w:val="1"/>
          <w:sz w:val="22"/>
          <w:szCs w:val="22"/>
        </w:rPr>
      </w:pPr>
      <w:r w:rsidDel="00000000" w:rsidR="00000000" w:rsidRPr="00000000">
        <w:rPr>
          <w:rtl w:val="0"/>
        </w:rPr>
      </w:r>
    </w:p>
    <w:p w:rsidR="00000000" w:rsidDel="00000000" w:rsidP="00000000" w:rsidRDefault="00000000" w:rsidRPr="00000000" w14:paraId="000000A9">
      <w:pPr>
        <w:spacing w:line="276" w:lineRule="auto"/>
        <w:ind w:left="851"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“DERECHO DE PETICIÓN. SUS ELEMENTOS. </w:t>
      </w:r>
      <w:r w:rsidDel="00000000" w:rsidR="00000000" w:rsidRPr="00000000">
        <w:rPr>
          <w:rFonts w:ascii="Palatino Linotype" w:cs="Palatino Linotype" w:eastAsia="Palatino Linotype" w:hAnsi="Palatino Linotype"/>
          <w:i w:val="1"/>
          <w:iCs w:val="1"/>
          <w:sz w:val="22"/>
          <w:szCs w:val="22"/>
          <w:rtl w:val="0"/>
        </w:rPr>
        <w:t xml:space="preserve">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promovente, sino que está en libertad de resolver de conformidad con los ordenamientos que resulten aplicables al caso, y la respuesta o trámite que se dé a la petición debe ser comunicada precisamente por la autoridad ante quien se ejercitó el derecho, y no por otra diversa.”</w:t>
      </w:r>
      <w:r w:rsidDel="00000000" w:rsidR="00000000" w:rsidRPr="00000000">
        <w:rPr>
          <w:rtl w:val="0"/>
        </w:rPr>
      </w:r>
    </w:p>
    <w:p w:rsidR="00000000" w:rsidDel="00000000" w:rsidP="00000000" w:rsidRDefault="00000000" w:rsidRPr="00000000" w14:paraId="000000A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 Jurisprudencia citada, se advierte que el derecho de petición, es una prerrogativa individual consagrada en el artículo 8° de la Constitución Política de los Estados Unidos Mexicanos, con el fin de que cualquier ciudadano o persona, presente una petición de manera pacífica y respetuosa (pregunta, consulta, duda, acción, entre otros), ante una autoridad, por lo que, tiene derecho de recibir una respuesta.</w:t>
      </w:r>
    </w:p>
    <w:p w:rsidR="00000000" w:rsidDel="00000000" w:rsidP="00000000" w:rsidRDefault="00000000" w:rsidRPr="00000000" w14:paraId="000000A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circunstancia, se puede colegir que el requerimiento de información realizado por la persona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no cumple con las características de una solicitud de información pública, no obstante, en aras de garantizar el derecho de acceso a la información de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emitió un pronunciamiento a través del Quinto Regidor, en los siguientes términos: </w:t>
      </w:r>
    </w:p>
    <w:p w:rsidR="00000000" w:rsidDel="00000000" w:rsidP="00000000" w:rsidRDefault="00000000" w:rsidRPr="00000000" w14:paraId="000000AE">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493353" cy="5360288"/>
            <wp:effectExtent b="0" l="0" r="0" t="0"/>
            <wp:docPr id="208329642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493353" cy="5360288"/>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0">
      <w:pPr>
        <w:tabs>
          <w:tab w:val="left" w:leader="none" w:pos="709"/>
        </w:tabs>
        <w:spacing w:line="360" w:lineRule="auto"/>
        <w:ind w:right="4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tenor, al haberse pronunciado el Servidor Público Habilitado del que se requiere la información, éste Organismo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rsidR="00000000" w:rsidDel="00000000" w:rsidP="00000000" w:rsidRDefault="00000000" w:rsidRPr="00000000" w14:paraId="000000B1">
      <w:pPr>
        <w:tabs>
          <w:tab w:val="left" w:leader="none" w:pos="709"/>
        </w:tabs>
        <w:spacing w:line="360" w:lineRule="auto"/>
        <w:ind w:right="4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Sirviendo de apoyo a lo anterior por analogía, el criterio orientador 31-10 emitido por el entonces Instituto Nacional de Transparencia, Acceso a la Información y Protección de Datos Personales, que a la letra dice:</w:t>
      </w:r>
    </w:p>
    <w:p w:rsidR="00000000" w:rsidDel="00000000" w:rsidP="00000000" w:rsidRDefault="00000000" w:rsidRPr="00000000" w14:paraId="000000B3">
      <w:pPr>
        <w:ind w:left="567"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B4">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iCs w:val="1"/>
          <w:sz w:val="22"/>
          <w:szCs w:val="22"/>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93"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93" w:firstLine="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Aunado a lo anterior se advierte que el particular en la solicitud de información requirió de manera específica la razón por la que la quinta regidora no asiste a los eventos del presidente municipal o en su caso a cuales ha asistido, de este modo cabe precisar que, pidió un documento </w:t>
      </w: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ad hoc</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mismo que fue elaborado por el </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para dar cabal cumplimiento al derecho de acceso a la información del particular aún y </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cuando no es una obligación de las autoridades</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tal y como lo señala el Criterio 09-10, emitido por el entonces Pleno del Instituto Nacional de Transparencia, Acceso a la Información y Protección de Datos Personales, referido con anterioridad, por lo tanto, en razón de que los requerimientos formulados por el </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Recurrente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fueron atendidos por el </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el Pleno de este Instituto determina infundados</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los motivos o razones de inconformidad esgrimidos por el </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Recurrente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y lo procedente es </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Confirmar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la respuesta emitida a la solicitud de información número </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13024/INFOEM/IP/2025.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93" w:firstLine="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III. R E S U E L V E</w:t>
      </w:r>
      <w:r w:rsidDel="00000000" w:rsidR="00000000" w:rsidRPr="00000000">
        <w:rPr>
          <w:rtl w:val="0"/>
        </w:rPr>
      </w:r>
    </w:p>
    <w:p w:rsidR="00000000" w:rsidDel="00000000" w:rsidP="00000000" w:rsidRDefault="00000000" w:rsidRPr="00000000" w14:paraId="000000BB">
      <w:pPr>
        <w:spacing w:line="360" w:lineRule="auto"/>
        <w:jc w:val="both"/>
        <w:rPr>
          <w:rFonts w:ascii="Palatino Linotype" w:cs="Palatino Linotype" w:eastAsia="Palatino Linotype" w:hAnsi="Palatino Linotype"/>
          <w:b w:val="1"/>
          <w:bCs w:val="1"/>
          <w:sz w:val="22"/>
          <w:szCs w:val="22"/>
        </w:rPr>
      </w:pPr>
      <w:bookmarkStart w:colFirst="0" w:colLast="0" w:name="_heading=h.26in1rg" w:id="9"/>
      <w:bookmarkEnd w:id="9"/>
      <w:r w:rsidDel="00000000" w:rsidR="00000000" w:rsidRPr="00000000">
        <w:rPr>
          <w:rtl w:val="0"/>
        </w:rPr>
      </w:r>
    </w:p>
    <w:p w:rsidR="00000000" w:rsidDel="00000000" w:rsidP="00000000" w:rsidRDefault="00000000" w:rsidRPr="00000000" w14:paraId="000000B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w:t>
      </w:r>
      <w:r w:rsidDel="00000000" w:rsidR="00000000" w:rsidRPr="00000000">
        <w:rPr>
          <w:rFonts w:ascii="Palatino Linotype" w:cs="Palatino Linotype" w:eastAsia="Palatino Linotype" w:hAnsi="Palatino Linotype"/>
          <w:sz w:val="22"/>
          <w:szCs w:val="22"/>
          <w:rtl w:val="0"/>
        </w:rPr>
        <w:t xml:space="preserve"> Resultan </w:t>
      </w:r>
      <w:r w:rsidDel="00000000" w:rsidR="00000000" w:rsidRPr="00000000">
        <w:rPr>
          <w:rFonts w:ascii="Palatino Linotype" w:cs="Palatino Linotype" w:eastAsia="Palatino Linotype" w:hAnsi="Palatino Linotype"/>
          <w:b w:val="1"/>
          <w:bCs w:val="1"/>
          <w:sz w:val="22"/>
          <w:szCs w:val="22"/>
          <w:rtl w:val="0"/>
        </w:rPr>
        <w:t xml:space="preserve">infundados</w:t>
      </w:r>
      <w:r w:rsidDel="00000000" w:rsidR="00000000" w:rsidRPr="00000000">
        <w:rPr>
          <w:rFonts w:ascii="Palatino Linotype" w:cs="Palatino Linotype" w:eastAsia="Palatino Linotype" w:hAnsi="Palatino Linotype"/>
          <w:sz w:val="22"/>
          <w:szCs w:val="22"/>
          <w:rtl w:val="0"/>
        </w:rPr>
        <w:t xml:space="preserve"> los motivos de inconformidad aducidos por la parte</w:t>
      </w:r>
      <w:r w:rsidDel="00000000" w:rsidR="00000000" w:rsidRPr="00000000">
        <w:rPr>
          <w:rFonts w:ascii="Palatino Linotype" w:cs="Palatino Linotype" w:eastAsia="Palatino Linotype" w:hAnsi="Palatino Linotype"/>
          <w:b w:val="1"/>
          <w:bCs w:val="1"/>
          <w:sz w:val="22"/>
          <w:szCs w:val="22"/>
          <w:rtl w:val="0"/>
        </w:rPr>
        <w:t xml:space="preserve"> Recurrente </w:t>
      </w:r>
      <w:r w:rsidDel="00000000" w:rsidR="00000000" w:rsidRPr="00000000">
        <w:rPr>
          <w:rFonts w:ascii="Palatino Linotype" w:cs="Palatino Linotype" w:eastAsia="Palatino Linotype" w:hAnsi="Palatino Linotype"/>
          <w:sz w:val="22"/>
          <w:szCs w:val="22"/>
          <w:rtl w:val="0"/>
        </w:rPr>
        <w:t xml:space="preserve">en el recurso de revisión </w:t>
      </w:r>
      <w:r w:rsidDel="00000000" w:rsidR="00000000" w:rsidRPr="00000000">
        <w:rPr>
          <w:rFonts w:ascii="Palatino Linotype" w:cs="Palatino Linotype" w:eastAsia="Palatino Linotype" w:hAnsi="Palatino Linotype"/>
          <w:b w:val="1"/>
          <w:bCs w:val="1"/>
          <w:sz w:val="22"/>
          <w:szCs w:val="22"/>
          <w:rtl w:val="0"/>
        </w:rPr>
        <w:t xml:space="preserve">13024/INFOEM/IP/RR/2025</w:t>
      </w:r>
      <w:r w:rsidDel="00000000" w:rsidR="00000000" w:rsidRPr="00000000">
        <w:rPr>
          <w:rFonts w:ascii="Palatino Linotype" w:cs="Palatino Linotype" w:eastAsia="Palatino Linotype" w:hAnsi="Palatino Linotype"/>
          <w:sz w:val="22"/>
          <w:szCs w:val="22"/>
          <w:rtl w:val="0"/>
        </w:rPr>
        <w:t xml:space="preserve">; por lo que, en términos de los argumentos señalados en el </w:t>
      </w:r>
      <w:r w:rsidDel="00000000" w:rsidR="00000000" w:rsidRPr="00000000">
        <w:rPr>
          <w:rFonts w:ascii="Palatino Linotype" w:cs="Palatino Linotype" w:eastAsia="Palatino Linotype" w:hAnsi="Palatino Linotype"/>
          <w:b w:val="1"/>
          <w:bCs w:val="1"/>
          <w:sz w:val="22"/>
          <w:szCs w:val="22"/>
          <w:rtl w:val="0"/>
        </w:rPr>
        <w:t xml:space="preserve">Considerando Cuarto</w:t>
      </w:r>
      <w:r w:rsidDel="00000000" w:rsidR="00000000" w:rsidRPr="00000000">
        <w:rPr>
          <w:rFonts w:ascii="Palatino Linotype" w:cs="Palatino Linotype" w:eastAsia="Palatino Linotype" w:hAnsi="Palatino Linotype"/>
          <w:sz w:val="22"/>
          <w:szCs w:val="22"/>
          <w:rtl w:val="0"/>
        </w:rPr>
        <w:t xml:space="preserve">, se </w:t>
      </w:r>
      <w:r w:rsidDel="00000000" w:rsidR="00000000" w:rsidRPr="00000000">
        <w:rPr>
          <w:rFonts w:ascii="Palatino Linotype" w:cs="Palatino Linotype" w:eastAsia="Palatino Linotype" w:hAnsi="Palatino Linotype"/>
          <w:b w:val="1"/>
          <w:bCs w:val="1"/>
          <w:sz w:val="22"/>
          <w:szCs w:val="22"/>
          <w:rtl w:val="0"/>
        </w:rPr>
        <w:t xml:space="preserve">Confirma</w:t>
      </w:r>
      <w:r w:rsidDel="00000000" w:rsidR="00000000" w:rsidRPr="00000000">
        <w:rPr>
          <w:rFonts w:ascii="Palatino Linotype" w:cs="Palatino Linotype" w:eastAsia="Palatino Linotype" w:hAnsi="Palatino Linotype"/>
          <w:sz w:val="22"/>
          <w:szCs w:val="22"/>
          <w:rtl w:val="0"/>
        </w:rPr>
        <w:t xml:space="preserve"> la respuesta emitida por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tl w:val="0"/>
        </w:rPr>
      </w:r>
    </w:p>
    <w:p w:rsidR="00000000" w:rsidDel="00000000" w:rsidP="00000000" w:rsidRDefault="00000000" w:rsidRPr="00000000" w14:paraId="000000BD">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Segundo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al Titular de la Unidad de Transparencia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presente resolución para su conocimiento.</w:t>
      </w:r>
    </w:p>
    <w:p w:rsidR="00000000" w:rsidDel="00000000" w:rsidP="00000000" w:rsidRDefault="00000000" w:rsidRPr="00000000" w14:paraId="000000BF">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Notifíquese </w:t>
      </w:r>
      <w:r w:rsidDel="00000000" w:rsidR="00000000" w:rsidRPr="00000000">
        <w:rPr>
          <w:rFonts w:ascii="Palatino Linotype" w:cs="Palatino Linotype" w:eastAsia="Palatino Linotype" w:hAnsi="Palatino Linotype"/>
          <w:sz w:val="22"/>
          <w:szCs w:val="22"/>
          <w:rtl w:val="0"/>
        </w:rPr>
        <w:t xml:space="preserve">vía</w:t>
      </w:r>
      <w:r w:rsidDel="00000000" w:rsidR="00000000" w:rsidRPr="00000000">
        <w:rPr>
          <w:rFonts w:ascii="Palatino Linotype" w:cs="Palatino Linotype" w:eastAsia="Palatino Linotype" w:hAnsi="Palatino Linotype"/>
          <w:b w:val="1"/>
          <w:bCs w:val="1"/>
          <w:sz w:val="22"/>
          <w:szCs w:val="22"/>
          <w:rtl w:val="0"/>
        </w:rPr>
        <w:t xml:space="preserve"> SAIMEX </w:t>
      </w:r>
      <w:r w:rsidDel="00000000" w:rsidR="00000000" w:rsidRPr="00000000">
        <w:rPr>
          <w:rFonts w:ascii="Palatino Linotype" w:cs="Palatino Linotype" w:eastAsia="Palatino Linotype" w:hAnsi="Palatino Linotype"/>
          <w:sz w:val="22"/>
          <w:szCs w:val="22"/>
          <w:rtl w:val="0"/>
        </w:rPr>
        <w:t xml:space="preserve">a la parte</w:t>
      </w:r>
      <w:r w:rsidDel="00000000" w:rsidR="00000000" w:rsidRPr="00000000">
        <w:rPr>
          <w:rFonts w:ascii="Palatino Linotype" w:cs="Palatino Linotype" w:eastAsia="Palatino Linotype" w:hAnsi="Palatino Linotype"/>
          <w:b w:val="1"/>
          <w:bCs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0C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2">
      <w:pPr>
        <w:spacing w:line="360" w:lineRule="auto"/>
        <w:jc w:val="both"/>
        <w:rPr>
          <w:rFonts w:ascii="Palatino Linotype" w:cs="Palatino Linotype" w:eastAsia="Palatino Linotype" w:hAnsi="Palatino Linotype"/>
          <w:sz w:val="22"/>
          <w:szCs w:val="22"/>
        </w:rPr>
      </w:pPr>
      <w:bookmarkStart w:colFirst="0" w:colLast="0" w:name="_heading=h.oxz92w2agzdg" w:id="10"/>
      <w:bookmarkEnd w:id="10"/>
      <w:r w:rsidDel="00000000" w:rsidR="00000000" w:rsidRPr="00000000">
        <w:rPr>
          <w:rFonts w:ascii="Palatino Linotype" w:cs="Palatino Linotype" w:eastAsia="Palatino Linotype" w:hAnsi="Palatino Linotype"/>
          <w:sz w:val="22"/>
          <w:szCs w:val="22"/>
          <w:rtl w:val="0"/>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Y GUADALUPE RAMÍREZ PEÑA; EN LA CUADRAGÉSIMA CUARTA SESIÓN ORDINARIA CELEBRADA EL DIEZ DE DICIEMBRE DE DOS MIL VEINTICINCO, ANTE EL SECRETARIO TÉCNICO DEL PLENO ALEXIS TAPIA RAMÍREZ.</w:t>
      </w:r>
    </w:p>
    <w:p w:rsidR="00000000" w:rsidDel="00000000" w:rsidP="00000000" w:rsidRDefault="00000000" w:rsidRPr="00000000" w14:paraId="000000C3">
      <w:pPr>
        <w:spacing w:line="360" w:lineRule="auto"/>
        <w:ind w:right="14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4">
      <w:pPr>
        <w:spacing w:line="360" w:lineRule="auto"/>
        <w:ind w:right="14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5">
      <w:pPr>
        <w:spacing w:line="360" w:lineRule="auto"/>
        <w:ind w:right="14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left" w:leader="none" w:pos="851"/>
        </w:tabs>
        <w:spacing w:line="360" w:lineRule="auto"/>
        <w:ind w:right="49"/>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left" w:leader="none" w:pos="851"/>
        </w:tabs>
        <w:spacing w:line="360" w:lineRule="auto"/>
        <w:ind w:right="49"/>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C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9">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CA">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CB">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C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9">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Página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Página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A">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-1080130</wp:posOffset>
          </wp:positionH>
          <wp:positionV relativeFrom="paragraph">
            <wp:posOffset>-488272</wp:posOffset>
          </wp:positionV>
          <wp:extent cx="7809865" cy="10165715"/>
          <wp:effectExtent b="0" l="0" r="0" t="0"/>
          <wp:wrapNone/>
          <wp:docPr id="20832964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811.0" w:type="dxa"/>
      <w:jc w:val="left"/>
      <w:tblInd w:w="3261.0" w:type="dxa"/>
      <w:tblLayout w:type="fixed"/>
      <w:tblLook w:val="0400"/>
    </w:tblPr>
    <w:tblGrid>
      <w:gridCol w:w="2489"/>
      <w:gridCol w:w="3322"/>
      <w:tblGridChange w:id="0">
        <w:tblGrid>
          <w:gridCol w:w="2489"/>
          <w:gridCol w:w="3322"/>
        </w:tblGrid>
      </w:tblGridChange>
    </w:tblGrid>
    <w:tr>
      <w:trPr>
        <w:cantSplit w:val="0"/>
        <w:tblHeader w:val="0"/>
      </w:trPr>
      <w:tc>
        <w:tcPr>
          <w:shd w:fill="auto" w:val="clear"/>
        </w:tcPr>
        <w:p w:rsidR="00000000" w:rsidDel="00000000" w:rsidP="00000000" w:rsidRDefault="00000000" w:rsidRPr="00000000" w14:paraId="000000DB">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Recurso de Revisión:</w:t>
          </w:r>
        </w:p>
      </w:tc>
      <w:tc>
        <w:tcPr>
          <w:shd w:fill="auto" w:val="clear"/>
          <w:vAlign w:val="center"/>
        </w:tcPr>
        <w:p w:rsidR="00000000" w:rsidDel="00000000" w:rsidP="00000000" w:rsidRDefault="00000000" w:rsidRPr="00000000" w14:paraId="000000DC">
          <w:pPr>
            <w:ind w:left="-53" w:right="175"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13024/INFOEM/IP/RR/2025</w:t>
          </w:r>
        </w:p>
      </w:tc>
    </w:tr>
    <w:tr>
      <w:trPr>
        <w:cantSplit w:val="0"/>
        <w:trHeight w:val="228" w:hRule="atLeast"/>
        <w:tblHeader w:val="0"/>
      </w:trPr>
      <w:tc>
        <w:tcPr>
          <w:shd w:fill="auto" w:val="clear"/>
          <w:vAlign w:val="center"/>
        </w:tcPr>
        <w:p w:rsidR="00000000" w:rsidDel="00000000" w:rsidP="00000000" w:rsidRDefault="00000000" w:rsidRPr="00000000" w14:paraId="000000DD">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Sujeto Obligado:</w:t>
          </w:r>
        </w:p>
      </w:tc>
      <w:tc>
        <w:tcPr>
          <w:shd w:fill="auto" w:val="clear"/>
          <w:vAlign w:val="center"/>
        </w:tcPr>
        <w:p w:rsidR="00000000" w:rsidDel="00000000" w:rsidP="00000000" w:rsidRDefault="00000000" w:rsidRPr="00000000" w14:paraId="000000DE">
          <w:pPr>
            <w:ind w:left="-45" w:right="-541"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Ayuntamiento de Toluca</w:t>
          </w:r>
        </w:p>
      </w:tc>
    </w:tr>
    <w:tr>
      <w:trPr>
        <w:cantSplit w:val="0"/>
        <w:tblHeader w:val="0"/>
      </w:trPr>
      <w:tc>
        <w:tcPr>
          <w:shd w:fill="auto" w:val="clear"/>
          <w:vAlign w:val="center"/>
        </w:tcPr>
        <w:p w:rsidR="00000000" w:rsidDel="00000000" w:rsidP="00000000" w:rsidRDefault="00000000" w:rsidRPr="00000000" w14:paraId="000000DF">
          <w:pPr>
            <w:ind w:right="-108"/>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Comisionada Ponente:</w:t>
          </w:r>
        </w:p>
      </w:tc>
      <w:tc>
        <w:tcPr>
          <w:shd w:fill="auto" w:val="clear"/>
          <w:vAlign w:val="center"/>
        </w:tcPr>
        <w:p w:rsidR="00000000" w:rsidDel="00000000" w:rsidP="00000000" w:rsidRDefault="00000000" w:rsidRPr="00000000" w14:paraId="000000E0">
          <w:pPr>
            <w:ind w:left="-53" w:right="175"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Guadalupe Ramírez Peña</w:t>
          </w:r>
        </w:p>
      </w:tc>
    </w:tr>
  </w:tbl>
  <w:p w:rsidR="00000000" w:rsidDel="00000000" w:rsidP="00000000" w:rsidRDefault="00000000" w:rsidRPr="00000000" w14:paraId="000000E1">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-1080125</wp:posOffset>
          </wp:positionH>
          <wp:positionV relativeFrom="paragraph">
            <wp:posOffset>-369900</wp:posOffset>
          </wp:positionV>
          <wp:extent cx="7809865" cy="10165715"/>
          <wp:effectExtent b="0" l="0" r="0" t="0"/>
          <wp:wrapNone/>
          <wp:docPr id="208329642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6095.0" w:type="dxa"/>
      <w:jc w:val="left"/>
      <w:tblInd w:w="3261.0" w:type="dxa"/>
      <w:tblLayout w:type="fixed"/>
      <w:tblLook w:val="0400"/>
    </w:tblPr>
    <w:tblGrid>
      <w:gridCol w:w="2489"/>
      <w:gridCol w:w="3606"/>
      <w:tblGridChange w:id="0">
        <w:tblGrid>
          <w:gridCol w:w="2489"/>
          <w:gridCol w:w="3606"/>
        </w:tblGrid>
      </w:tblGridChange>
    </w:tblGrid>
    <w:tr>
      <w:trPr>
        <w:cantSplit w:val="0"/>
        <w:tblHeader w:val="0"/>
      </w:trPr>
      <w:tc>
        <w:tcPr>
          <w:shd w:fill="auto" w:val="clear"/>
        </w:tcPr>
        <w:p w:rsidR="00000000" w:rsidDel="00000000" w:rsidP="00000000" w:rsidRDefault="00000000" w:rsidRPr="00000000" w14:paraId="000000E3">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Recurso de Revisión:</w:t>
          </w:r>
        </w:p>
      </w:tc>
      <w:tc>
        <w:tcPr>
          <w:shd w:fill="auto" w:val="clear"/>
          <w:vAlign w:val="center"/>
        </w:tcPr>
        <w:p w:rsidR="00000000" w:rsidDel="00000000" w:rsidP="00000000" w:rsidRDefault="00000000" w:rsidRPr="00000000" w14:paraId="000000E4">
          <w:pPr>
            <w:ind w:right="175"/>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13024/INFOEM/IP/RR/2025</w:t>
          </w:r>
        </w:p>
      </w:tc>
    </w:tr>
    <w:tr>
      <w:trPr>
        <w:cantSplit w:val="0"/>
        <w:tblHeader w:val="0"/>
      </w:trPr>
      <w:tc>
        <w:tcPr>
          <w:shd w:fill="auto" w:val="clear"/>
        </w:tcPr>
        <w:p w:rsidR="00000000" w:rsidDel="00000000" w:rsidP="00000000" w:rsidRDefault="00000000" w:rsidRPr="00000000" w14:paraId="000000E5">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Recurrente:</w:t>
          </w:r>
        </w:p>
      </w:tc>
      <w:tc>
        <w:tcPr>
          <w:shd w:fill="auto" w:val="clear"/>
          <w:vAlign w:val="center"/>
        </w:tcPr>
        <w:p w:rsidR="00000000" w:rsidDel="00000000" w:rsidP="00000000" w:rsidRDefault="00000000" w:rsidRPr="00000000" w14:paraId="000000E6">
          <w:pPr>
            <w:ind w:right="175"/>
            <w:jc w:val="both"/>
            <w:rPr>
              <w:rFonts w:ascii="Palatino Linotype" w:cs="Palatino Linotype" w:eastAsia="Palatino Linotype" w:hAnsi="Palatino Linotype"/>
              <w:b w:val="1"/>
              <w:bCs w:val="1"/>
              <w:sz w:val="22"/>
              <w:szCs w:val="22"/>
            </w:rPr>
          </w:pPr>
          <w:r w:rsidDel="00000000" w:rsidR="00000000" w:rsidRPr="00000000">
            <w:rPr>
              <w:rtl w:val="0"/>
            </w:rPr>
          </w:r>
        </w:p>
      </w:tc>
    </w:tr>
    <w:tr>
      <w:trPr>
        <w:cantSplit w:val="0"/>
        <w:trHeight w:val="228" w:hRule="atLeast"/>
        <w:tblHeader w:val="0"/>
      </w:trPr>
      <w:tc>
        <w:tcPr>
          <w:shd w:fill="auto" w:val="clear"/>
          <w:vAlign w:val="center"/>
        </w:tcPr>
        <w:p w:rsidR="00000000" w:rsidDel="00000000" w:rsidP="00000000" w:rsidRDefault="00000000" w:rsidRPr="00000000" w14:paraId="000000E7">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Sujeto Obligado:</w:t>
          </w:r>
        </w:p>
      </w:tc>
      <w:tc>
        <w:tcPr>
          <w:shd w:fill="auto" w:val="clear"/>
          <w:vAlign w:val="center"/>
        </w:tcPr>
        <w:p w:rsidR="00000000" w:rsidDel="00000000" w:rsidP="00000000" w:rsidRDefault="00000000" w:rsidRPr="00000000" w14:paraId="000000E8">
          <w:pPr>
            <w:ind w:right="-398"/>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Ayuntamiento de Toluca</w:t>
          </w:r>
        </w:p>
      </w:tc>
    </w:tr>
    <w:tr>
      <w:trPr>
        <w:cantSplit w:val="0"/>
        <w:tblHeader w:val="0"/>
      </w:trPr>
      <w:tc>
        <w:tcPr>
          <w:shd w:fill="auto" w:val="clear"/>
          <w:vAlign w:val="center"/>
        </w:tcPr>
        <w:p w:rsidR="00000000" w:rsidDel="00000000" w:rsidP="00000000" w:rsidRDefault="00000000" w:rsidRPr="00000000" w14:paraId="000000E9">
          <w:pPr>
            <w:ind w:right="-108"/>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Comisionada Ponente:</w:t>
          </w:r>
        </w:p>
      </w:tc>
      <w:tc>
        <w:tcPr>
          <w:shd w:fill="auto" w:val="clear"/>
          <w:vAlign w:val="center"/>
        </w:tcPr>
        <w:p w:rsidR="00000000" w:rsidDel="00000000" w:rsidP="00000000" w:rsidRDefault="00000000" w:rsidRPr="00000000" w14:paraId="000000EA">
          <w:pPr>
            <w:ind w:right="175"/>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Guadalupe Ramírez Peña</w:t>
          </w:r>
        </w:p>
      </w:tc>
    </w:tr>
  </w:tbl>
  <w:p w:rsidR="00000000" w:rsidDel="00000000" w:rsidP="00000000" w:rsidRDefault="00000000" w:rsidRPr="00000000" w14:paraId="000000E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lowerLetter"/>
      <w:lvlText w:val="%1)"/>
      <w:lvlJc w:val="left"/>
      <w:pPr>
        <w:ind w:left="927" w:hanging="360"/>
      </w:pPr>
      <w:rPr>
        <w:b w:val="1"/>
        <w:bCs w:val="1"/>
        <w:i w:val="0"/>
        <w:iCs w:val="0"/>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bCs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bCs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bCs w:val="1"/>
      <w:i w:val="1"/>
      <w:iCs w:val="1"/>
      <w:sz w:val="26"/>
      <w:szCs w:val="26"/>
    </w:rPr>
  </w:style>
  <w:style w:type="paragraph" w:styleId="Heading6">
    <w:name w:val="heading 6"/>
    <w:basedOn w:val="Normal"/>
    <w:next w:val="Normal"/>
    <w:pPr>
      <w:spacing w:after="60" w:before="240" w:lineRule="auto"/>
      <w:ind w:left="4320" w:hanging="720"/>
    </w:pPr>
    <w:rPr>
      <w:b w:val="1"/>
      <w:bCs w:val="1"/>
      <w:sz w:val="22"/>
      <w:szCs w:val="22"/>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a" w:customStyle="1">
    <w:basedOn w:val="TableNormal9"/>
    <w:tblPr>
      <w:tblStyleRowBandSize w:val="1"/>
      <w:tblStyleColBandSize w:val="1"/>
      <w:tblCellMar>
        <w:left w:w="115.0" w:type="dxa"/>
        <w:right w:w="115.0" w:type="dxa"/>
      </w:tblCellMar>
    </w:tblPr>
  </w:style>
  <w:style w:type="table" w:styleId="a0" w:customStyle="1">
    <w:basedOn w:val="TableNormal9"/>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0D197B"/>
    <w:pPr>
      <w:tabs>
        <w:tab w:val="center" w:pos="4419"/>
        <w:tab w:val="right" w:pos="8838"/>
      </w:tabs>
    </w:pPr>
  </w:style>
  <w:style w:type="character" w:styleId="EncabezadoCar" w:customStyle="1">
    <w:name w:val="Encabezado Car"/>
    <w:basedOn w:val="Fuentedeprrafopredeter"/>
    <w:link w:val="Encabezado"/>
    <w:uiPriority w:val="99"/>
    <w:rsid w:val="000D197B"/>
  </w:style>
  <w:style w:type="paragraph" w:styleId="Piedepgina">
    <w:name w:val="footer"/>
    <w:basedOn w:val="Normal"/>
    <w:link w:val="PiedepginaCar"/>
    <w:uiPriority w:val="99"/>
    <w:unhideWhenUsed w:val="1"/>
    <w:rsid w:val="000D197B"/>
    <w:pPr>
      <w:tabs>
        <w:tab w:val="center" w:pos="4419"/>
        <w:tab w:val="right" w:pos="8838"/>
      </w:tabs>
    </w:pPr>
  </w:style>
  <w:style w:type="character" w:styleId="PiedepginaCar" w:customStyle="1">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43334"/>
    <w:pPr>
      <w:ind w:left="720"/>
      <w:contextualSpacing w:val="1"/>
    </w:pPr>
  </w:style>
  <w:style w:type="paragraph" w:styleId="NormalWeb">
    <w:name w:val="Normal (Web)"/>
    <w:basedOn w:val="Normal"/>
    <w:uiPriority w:val="99"/>
    <w:unhideWhenUsed w:val="1"/>
    <w:rsid w:val="00476335"/>
    <w:pPr>
      <w:spacing w:after="100" w:afterAutospacing="1" w:before="100" w:before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806B5C"/>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806B5C"/>
    <w:rPr>
      <w:rFonts w:asciiTheme="minorHAnsi" w:cstheme="minorBidi" w:eastAsiaTheme="minorHAnsi" w:hAnsiTheme="minorHAns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val="1"/>
    <w:qFormat w:val="1"/>
    <w:rsid w:val="00806B5C"/>
    <w:rPr>
      <w:vertAlign w:val="superscript"/>
    </w:rPr>
  </w:style>
  <w:style w:type="table" w:styleId="a1" w:customStyle="1">
    <w:basedOn w:val="TableNormal9"/>
    <w:tblPr>
      <w:tblStyleRowBandSize w:val="1"/>
      <w:tblStyleColBandSize w:val="1"/>
      <w:tblCellMar>
        <w:left w:w="115.0" w:type="dxa"/>
        <w:right w:w="115.0" w:type="dxa"/>
      </w:tblCellMar>
    </w:tblPr>
  </w:style>
  <w:style w:type="table" w:styleId="a2" w:customStyle="1">
    <w:basedOn w:val="TableNormal9"/>
    <w:tblPr>
      <w:tblStyleRowBandSize w:val="1"/>
      <w:tblStyleColBandSize w:val="1"/>
      <w:tblCellMar>
        <w:left w:w="115.0" w:type="dxa"/>
        <w:right w:w="115.0" w:type="dxa"/>
      </w:tblCellMar>
    </w:tblPr>
  </w:style>
  <w:style w:type="character" w:styleId="Hipervnculo">
    <w:name w:val="Hyperlink"/>
    <w:basedOn w:val="Fuentedeprrafopredeter"/>
    <w:uiPriority w:val="99"/>
    <w:unhideWhenUsed w:val="1"/>
    <w:rsid w:val="00504D6C"/>
    <w:rPr>
      <w:color w:val="0000ff" w:themeColor="hyperlink"/>
      <w:u w:val="single"/>
    </w:rPr>
  </w:style>
  <w:style w:type="character" w:styleId="Hipervnculovisitado">
    <w:name w:val="FollowedHyperlink"/>
    <w:basedOn w:val="Fuentedeprrafopredeter"/>
    <w:uiPriority w:val="99"/>
    <w:semiHidden w:val="1"/>
    <w:unhideWhenUsed w:val="1"/>
    <w:rsid w:val="00504D6C"/>
    <w:rPr>
      <w:color w:val="800080" w:themeColor="followedHyperlink"/>
      <w:u w:val="single"/>
    </w:rPr>
  </w:style>
  <w:style w:type="table" w:styleId="Tablaconcuadrcula">
    <w:name w:val="Table Grid"/>
    <w:basedOn w:val="Tablanormal"/>
    <w:uiPriority w:val="39"/>
    <w:rsid w:val="00134AD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3" w:customStyle="1">
    <w:basedOn w:val="TableNormal8"/>
    <w:tblPr>
      <w:tblStyleRowBandSize w:val="1"/>
      <w:tblStyleColBandSize w:val="1"/>
      <w:tblCellMar>
        <w:left w:w="115.0" w:type="dxa"/>
        <w:right w:w="115.0" w:type="dxa"/>
      </w:tblCellMar>
    </w:tblPr>
  </w:style>
  <w:style w:type="table" w:styleId="a4" w:customStyle="1">
    <w:basedOn w:val="TableNormal8"/>
    <w:tblPr>
      <w:tblStyleRowBandSize w:val="1"/>
      <w:tblStyleColBandSize w:val="1"/>
      <w:tblCellMar>
        <w:left w:w="115.0" w:type="dxa"/>
        <w:right w:w="115.0" w:type="dxa"/>
      </w:tblCellMar>
    </w:tblPr>
  </w:style>
  <w:style w:type="paragraph" w:styleId="Listaconvietas3">
    <w:name w:val="List Bullet 3"/>
    <w:basedOn w:val="Normal"/>
    <w:uiPriority w:val="99"/>
    <w:unhideWhenUsed w:val="1"/>
    <w:rsid w:val="005E017B"/>
    <w:pPr>
      <w:numPr>
        <w:numId w:val="2"/>
      </w:numPr>
      <w:contextualSpacing w:val="1"/>
    </w:pPr>
  </w:style>
  <w:style w:type="character" w:styleId="yt-core-attributed-string--link-inherit-color" w:customStyle="1">
    <w:name w:val="yt-core-attributed-string--link-inherit-color"/>
    <w:basedOn w:val="Fuentedeprrafopredeter"/>
    <w:rsid w:val="00EA0BEF"/>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val="1"/>
    <w:locked w:val="1"/>
    <w:rsid w:val="00452086"/>
  </w:style>
  <w:style w:type="character" w:styleId="Mencinsinresolver1" w:customStyle="1">
    <w:name w:val="Mención sin resolver1"/>
    <w:basedOn w:val="Fuentedeprrafopredeter"/>
    <w:uiPriority w:val="99"/>
    <w:semiHidden w:val="1"/>
    <w:unhideWhenUsed w:val="1"/>
    <w:rsid w:val="00C64B15"/>
    <w:rPr>
      <w:color w:val="605e5c"/>
      <w:shd w:color="auto" w:fill="e1dfdd" w:val="clear"/>
    </w:rPr>
  </w:style>
  <w:style w:type="paragraph" w:styleId="Default" w:customStyle="1">
    <w:name w:val="Default"/>
    <w:rsid w:val="00B92077"/>
    <w:pPr>
      <w:autoSpaceDE w:val="0"/>
      <w:autoSpaceDN w:val="0"/>
      <w:adjustRightInd w:val="0"/>
    </w:pPr>
    <w:rPr>
      <w:rFonts w:ascii="Arial" w:cs="Arial" w:hAnsi="Arial"/>
      <w:color w:val="000000"/>
    </w:rPr>
  </w:style>
  <w:style w:type="character" w:styleId="Mencinsinresolver2" w:customStyle="1">
    <w:name w:val="Mención sin resolver2"/>
    <w:basedOn w:val="Fuentedeprrafopredeter"/>
    <w:uiPriority w:val="99"/>
    <w:semiHidden w:val="1"/>
    <w:unhideWhenUsed w:val="1"/>
    <w:rsid w:val="00251B93"/>
    <w:rPr>
      <w:color w:val="605e5c"/>
      <w:shd w:color="auto" w:fill="e1dfdd" w:val="clear"/>
    </w:rPr>
  </w:style>
  <w:style w:type="paragraph" w:styleId="Textodeglobo">
    <w:name w:val="Balloon Text"/>
    <w:basedOn w:val="Normal"/>
    <w:link w:val="TextodegloboCar"/>
    <w:uiPriority w:val="99"/>
    <w:semiHidden w:val="1"/>
    <w:unhideWhenUsed w:val="1"/>
    <w:rsid w:val="00DD0D64"/>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DD0D64"/>
    <w:rPr>
      <w:rFonts w:ascii="Segoe UI" w:cs="Segoe UI" w:hAnsi="Segoe UI"/>
      <w:sz w:val="18"/>
      <w:szCs w:val="18"/>
    </w:rPr>
  </w:style>
  <w:style w:type="paragraph" w:styleId="Sinespaciado">
    <w:name w:val="No Spacing"/>
    <w:aliases w:val="Francesa"/>
    <w:link w:val="SinespaciadoCar"/>
    <w:uiPriority w:val="1"/>
    <w:qFormat w:val="1"/>
    <w:rsid w:val="000D0148"/>
    <w:rPr>
      <w:rFonts w:asciiTheme="minorHAnsi" w:cstheme="minorBidi" w:eastAsiaTheme="minorHAnsi" w:hAnsiTheme="minorHAnsi"/>
      <w:sz w:val="22"/>
      <w:szCs w:val="22"/>
      <w:lang w:eastAsia="en-US"/>
    </w:rPr>
  </w:style>
  <w:style w:type="character" w:styleId="SinespaciadoCar" w:customStyle="1">
    <w:name w:val="Sin espaciado Car"/>
    <w:aliases w:val="Francesa Car"/>
    <w:link w:val="Sinespaciado"/>
    <w:uiPriority w:val="1"/>
    <w:locked w:val="1"/>
    <w:rsid w:val="000D0148"/>
    <w:rPr>
      <w:rFonts w:asciiTheme="minorHAnsi" w:cstheme="minorBidi" w:eastAsiaTheme="minorHAnsi" w:hAnsiTheme="minorHAnsi"/>
      <w:sz w:val="22"/>
      <w:szCs w:val="22"/>
      <w:lang w:eastAsia="en-US"/>
    </w:rPr>
  </w:style>
  <w:style w:type="paragraph" w:styleId="rtejustify" w:customStyle="1">
    <w:name w:val="rtejustify"/>
    <w:basedOn w:val="Normal"/>
    <w:rsid w:val="00876EB7"/>
    <w:pPr>
      <w:spacing w:after="100" w:afterAutospacing="1" w:before="100" w:beforeAutospacing="1"/>
    </w:pPr>
  </w:style>
  <w:style w:type="table" w:styleId="a5" w:customStyle="1">
    <w:basedOn w:val="TableNormal7"/>
    <w:tblPr>
      <w:tblStyleRowBandSize w:val="1"/>
      <w:tblStyleColBandSize w:val="1"/>
      <w:tblCellMar>
        <w:left w:w="108.0" w:type="dxa"/>
        <w:right w:w="108.0" w:type="dxa"/>
      </w:tblCellMar>
    </w:tblPr>
  </w:style>
  <w:style w:type="table" w:styleId="a6" w:customStyle="1">
    <w:basedOn w:val="TableNormal7"/>
    <w:tblPr>
      <w:tblStyleRowBandSize w:val="1"/>
      <w:tblStyleColBandSize w:val="1"/>
      <w:tblCellMar>
        <w:left w:w="108.0" w:type="dxa"/>
        <w:right w:w="108.0" w:type="dxa"/>
      </w:tblCellMar>
    </w:tblPr>
  </w:style>
  <w:style w:type="table" w:styleId="a7" w:customStyle="1">
    <w:basedOn w:val="TableNormal7"/>
    <w:tblPr>
      <w:tblStyleRowBandSize w:val="1"/>
      <w:tblStyleColBandSize w:val="1"/>
      <w:tblCellMar>
        <w:left w:w="108.0" w:type="dxa"/>
        <w:right w:w="108.0" w:type="dxa"/>
      </w:tblCellMar>
    </w:tblPr>
  </w:style>
  <w:style w:type="table" w:styleId="a8" w:customStyle="1">
    <w:basedOn w:val="TableNormal7"/>
    <w:tblPr>
      <w:tblStyleRowBandSize w:val="1"/>
      <w:tblStyleColBandSize w:val="1"/>
      <w:tblCellMar>
        <w:left w:w="108.0" w:type="dxa"/>
        <w:right w:w="108.0" w:type="dxa"/>
      </w:tblCellMar>
    </w:tblPr>
  </w:style>
  <w:style w:type="table" w:styleId="a9" w:customStyle="1">
    <w:basedOn w:val="TableNormal7"/>
    <w:tblPr>
      <w:tblStyleRowBandSize w:val="1"/>
      <w:tblStyleColBandSize w:val="1"/>
      <w:tblCellMar>
        <w:left w:w="108.0" w:type="dxa"/>
        <w:right w:w="108.0" w:type="dxa"/>
      </w:tblCellMar>
    </w:tblPr>
  </w:style>
  <w:style w:type="table" w:styleId="aa" w:customStyle="1">
    <w:basedOn w:val="TableNormal7"/>
    <w:tblPr>
      <w:tblStyleRowBandSize w:val="1"/>
      <w:tblStyleColBandSize w:val="1"/>
      <w:tblCellMar>
        <w:left w:w="115.0" w:type="dxa"/>
        <w:right w:w="115.0" w:type="dxa"/>
      </w:tblCellMar>
    </w:tblPr>
  </w:style>
  <w:style w:type="table" w:styleId="ab" w:customStyle="1">
    <w:basedOn w:val="TableNormal7"/>
    <w:tblPr>
      <w:tblStyleRowBandSize w:val="1"/>
      <w:tblStyleColBandSize w:val="1"/>
      <w:tblCellMar>
        <w:left w:w="115.0" w:type="dxa"/>
        <w:right w:w="115.0" w:type="dxa"/>
      </w:tblCellMar>
    </w:tblPr>
  </w:style>
  <w:style w:type="table" w:styleId="ac" w:customStyle="1">
    <w:basedOn w:val="TableNormal6"/>
    <w:tblPr>
      <w:tblStyleRowBandSize w:val="1"/>
      <w:tblStyleColBandSize w:val="1"/>
      <w:tblCellMar>
        <w:left w:w="108.0" w:type="dxa"/>
        <w:right w:w="108.0" w:type="dxa"/>
      </w:tblCellMar>
    </w:tblPr>
  </w:style>
  <w:style w:type="table" w:styleId="ad" w:customStyle="1">
    <w:basedOn w:val="TableNormal6"/>
    <w:tblPr>
      <w:tblStyleRowBandSize w:val="1"/>
      <w:tblStyleColBandSize w:val="1"/>
      <w:tblCellMar>
        <w:left w:w="115.0" w:type="dxa"/>
        <w:right w:w="115.0" w:type="dxa"/>
      </w:tblCellMar>
    </w:tblPr>
  </w:style>
  <w:style w:type="table" w:styleId="ae" w:customStyle="1">
    <w:basedOn w:val="TableNormal6"/>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left w:w="115.0" w:type="dxa"/>
        <w:right w:w="115.0" w:type="dxa"/>
      </w:tblCellMar>
    </w:tblPr>
  </w:style>
  <w:style w:type="table" w:styleId="af1" w:customStyle="1">
    <w:basedOn w:val="TableNormal5"/>
    <w:tblPr>
      <w:tblStyleRowBandSize w:val="1"/>
      <w:tblStyleColBandSize w:val="1"/>
      <w:tblCellMar>
        <w:left w:w="115.0" w:type="dxa"/>
        <w:right w:w="115.0" w:type="dxa"/>
      </w:tblCellMar>
    </w:tblPr>
  </w:style>
  <w:style w:type="table" w:styleId="af2" w:customStyle="1">
    <w:basedOn w:val="TableNormal4"/>
    <w:tblPr>
      <w:tblStyleRowBandSize w:val="1"/>
      <w:tblStyleColBandSize w:val="1"/>
      <w:tblCellMar>
        <w:left w:w="115.0" w:type="dxa"/>
        <w:right w:w="115.0" w:type="dxa"/>
      </w:tblCellMar>
    </w:tblPr>
  </w:style>
  <w:style w:type="table" w:styleId="af3" w:customStyle="1">
    <w:basedOn w:val="TableNormal4"/>
    <w:tblPr>
      <w:tblStyleRowBandSize w:val="1"/>
      <w:tblStyleColBandSize w:val="1"/>
      <w:tblCellMar>
        <w:left w:w="115.0" w:type="dxa"/>
        <w:right w:w="115.0" w:type="dxa"/>
      </w:tblCellMar>
    </w:tblPr>
  </w:style>
  <w:style w:type="table" w:styleId="af4" w:customStyle="1">
    <w:basedOn w:val="TableNormal3"/>
    <w:tblPr>
      <w:tblStyleRowBandSize w:val="1"/>
      <w:tblStyleColBandSize w:val="1"/>
      <w:tblCellMar>
        <w:left w:w="115.0" w:type="dxa"/>
        <w:right w:w="115.0" w:type="dxa"/>
      </w:tblCellMar>
    </w:tblPr>
  </w:style>
  <w:style w:type="table" w:styleId="af5" w:customStyle="1">
    <w:basedOn w:val="TableNormal3"/>
    <w:tblPr>
      <w:tblStyleRowBandSize w:val="1"/>
      <w:tblStyleColBandSize w:val="1"/>
      <w:tblCellMar>
        <w:left w:w="115.0" w:type="dxa"/>
        <w:right w:w="115.0" w:type="dxa"/>
      </w:tblCellMar>
    </w:tblPr>
  </w:style>
  <w:style w:type="paragraph" w:styleId="Listaconvietas">
    <w:name w:val="List Bullet"/>
    <w:basedOn w:val="Normal"/>
    <w:uiPriority w:val="99"/>
    <w:unhideWhenUsed w:val="1"/>
    <w:rsid w:val="00CA1155"/>
    <w:pPr>
      <w:numPr>
        <w:numId w:val="3"/>
      </w:numPr>
      <w:contextualSpacing w:val="1"/>
    </w:pPr>
    <w:rPr>
      <w:lang w:eastAsia="es-ES"/>
    </w:rPr>
  </w:style>
  <w:style w:type="table" w:styleId="af6" w:customStyle="1">
    <w:basedOn w:val="TableNormal2"/>
    <w:tblPr>
      <w:tblStyleRowBandSize w:val="1"/>
      <w:tblStyleColBandSize w:val="1"/>
      <w:tblCellMar>
        <w:left w:w="115.0" w:type="dxa"/>
        <w:right w:w="115.0" w:type="dxa"/>
      </w:tblCellMar>
    </w:tblPr>
  </w:style>
  <w:style w:type="table" w:styleId="af7" w:customStyle="1">
    <w:basedOn w:val="TableNormal2"/>
    <w:tblPr>
      <w:tblStyleRowBandSize w:val="1"/>
      <w:tblStyleColBandSize w:val="1"/>
      <w:tblCellMar>
        <w:left w:w="115.0" w:type="dxa"/>
        <w:right w:w="115.0" w:type="dxa"/>
      </w:tblCellMar>
    </w:tblPr>
  </w:style>
  <w:style w:type="table" w:styleId="af8" w:customStyle="1">
    <w:basedOn w:val="TableNormal1"/>
    <w:tblPr>
      <w:tblStyleRowBandSize w:val="1"/>
      <w:tblStyleColBandSize w:val="1"/>
      <w:tblCellMar>
        <w:left w:w="115.0" w:type="dxa"/>
        <w:right w:w="115.0" w:type="dxa"/>
      </w:tblCellMar>
    </w:tblPr>
  </w:style>
  <w:style w:type="table" w:styleId="af9" w:customStyle="1">
    <w:basedOn w:val="TableNormal1"/>
    <w:tblPr>
      <w:tblStyleRowBandSize w:val="1"/>
      <w:tblStyleColBandSize w:val="1"/>
      <w:tblCellMar>
        <w:left w:w="115.0" w:type="dxa"/>
        <w:right w:w="115.0" w:type="dxa"/>
      </w:tblCellMar>
    </w:tblPr>
  </w:style>
  <w:style w:type="table" w:styleId="afa" w:customStyle="1">
    <w:basedOn w:val="TableNormal0"/>
    <w:tblPr>
      <w:tblStyleRowBandSize w:val="1"/>
      <w:tblStyleColBandSize w:val="1"/>
      <w:tblCellMar>
        <w:left w:w="115.0" w:type="dxa"/>
        <w:right w:w="115.0" w:type="dxa"/>
      </w:tblCellMar>
    </w:tblPr>
  </w:style>
  <w:style w:type="table" w:styleId="afb"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3RMHtF+S4z6Pb097teE3owhOA==">CgMxLjAyDmguNnBnbzZuaWp0Zm5tMgloLjRkMzRvZzgyCGguZ2pkZ3hzMgloLjNkeTZ2a20yCWguMzBqMHpsbDIJaC4yczhleW8xMghoLnR5amN3dDIJaC4zem55c2g3MgloLjJldDkycDAyCWguMjZpbjFyZzIOaC5veHo5MncyYWd6ZGc4AHIhMUcxanY3Y0RXWjdaclNwNlZyXy00cDIwQXpsY0VCNDdV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2026-01-20T19:41:00Z</dcterms:created>
  <dc:creator>USUARIO</dc:creator>
</cp:coreProperties>
</file>