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DA" w:rsidRDefault="00941208">
      <w:pPr>
        <w:spacing w:line="360" w:lineRule="auto"/>
        <w:jc w:val="both"/>
        <w:rPr>
          <w:rFonts w:ascii="Palatino Linotype" w:eastAsia="Palatino Linotype" w:hAnsi="Palatino Linotype" w:cs="Palatino Linotype"/>
          <w:sz w:val="22"/>
          <w:szCs w:val="22"/>
        </w:rPr>
      </w:pPr>
      <w:bookmarkStart w:id="0" w:name="_GoBack"/>
      <w:bookmarkEnd w:id="0"/>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sz w:val="22"/>
          <w:szCs w:val="22"/>
        </w:rPr>
        <w:t>uno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 octubre de dos mil veinticinco</w:t>
      </w:r>
      <w:r>
        <w:rPr>
          <w:rFonts w:ascii="Palatino Linotype" w:eastAsia="Palatino Linotype" w:hAnsi="Palatino Linotype" w:cs="Palatino Linotype"/>
          <w:sz w:val="22"/>
          <w:szCs w:val="22"/>
        </w:rPr>
        <w:t xml:space="preserve">.  </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Visto</w:t>
      </w:r>
      <w:r>
        <w:rPr>
          <w:rFonts w:ascii="Palatino Linotype" w:eastAsia="Palatino Linotype" w:hAnsi="Palatino Linotype" w:cs="Palatino Linotype"/>
          <w:sz w:val="22"/>
          <w:szCs w:val="22"/>
        </w:rPr>
        <w:t xml:space="preserve"> el expediente relativo al recurso de revisión </w:t>
      </w:r>
      <w:r>
        <w:rPr>
          <w:rFonts w:ascii="Palatino Linotype" w:eastAsia="Palatino Linotype" w:hAnsi="Palatino Linotype" w:cs="Palatino Linotype"/>
          <w:b/>
          <w:sz w:val="22"/>
          <w:szCs w:val="22"/>
        </w:rPr>
        <w:t>08944/INFOEM/IP/RR/2025</w:t>
      </w:r>
      <w:r>
        <w:rPr>
          <w:rFonts w:ascii="Palatino Linotype" w:eastAsia="Palatino Linotype" w:hAnsi="Palatino Linotype" w:cs="Palatino Linotype"/>
          <w:sz w:val="22"/>
          <w:szCs w:val="22"/>
        </w:rPr>
        <w:t xml:space="preserve">, interpuesto por </w:t>
      </w:r>
      <w:r>
        <w:rPr>
          <w:rFonts w:ascii="Palatino Linotype" w:eastAsia="Palatino Linotype" w:hAnsi="Palatino Linotype" w:cs="Palatino Linotype"/>
          <w:b/>
          <w:sz w:val="22"/>
          <w:szCs w:val="22"/>
        </w:rPr>
        <w:t xml:space="preserve">Un Usuario que no proporcionó su nombre, </w:t>
      </w:r>
      <w:r>
        <w:rPr>
          <w:rFonts w:ascii="Palatino Linotype" w:eastAsia="Palatino Linotype" w:hAnsi="Palatino Linotype" w:cs="Palatino Linotype"/>
          <w:sz w:val="22"/>
          <w:szCs w:val="22"/>
        </w:rPr>
        <w:t>en lo sucesivo se le denominará la parte</w:t>
      </w:r>
      <w:r>
        <w:rPr>
          <w:rFonts w:ascii="Palatino Linotype" w:eastAsia="Palatino Linotype" w:hAnsi="Palatino Linotype" w:cs="Palatino Linotype"/>
          <w:b/>
          <w:sz w:val="22"/>
          <w:szCs w:val="22"/>
        </w:rPr>
        <w:t xml:space="preserve"> RECURRENTE</w:t>
      </w:r>
      <w:r>
        <w:rPr>
          <w:rFonts w:ascii="Palatino Linotype" w:eastAsia="Palatino Linotype" w:hAnsi="Palatino Linotype" w:cs="Palatino Linotype"/>
          <w:sz w:val="22"/>
          <w:szCs w:val="22"/>
        </w:rPr>
        <w:t>, en contra de la respuesta a su solicitud de información con número de foli</w:t>
      </w:r>
      <w:r>
        <w:rPr>
          <w:rFonts w:ascii="Palatino Linotype" w:eastAsia="Palatino Linotype" w:hAnsi="Palatino Linotype" w:cs="Palatino Linotype"/>
          <w:sz w:val="22"/>
          <w:szCs w:val="22"/>
        </w:rPr>
        <w:t>o</w:t>
      </w:r>
      <w:r>
        <w:rPr>
          <w:rFonts w:ascii="Palatino Linotype" w:eastAsia="Palatino Linotype" w:hAnsi="Palatino Linotype" w:cs="Palatino Linotype"/>
          <w:b/>
          <w:sz w:val="22"/>
          <w:szCs w:val="22"/>
        </w:rPr>
        <w:t xml:space="preserve"> 03720/TOLUCA/IP/2025</w:t>
      </w:r>
      <w:r>
        <w:rPr>
          <w:rFonts w:ascii="Palatino Linotype" w:eastAsia="Palatino Linotype" w:hAnsi="Palatino Linotype" w:cs="Palatino Linotype"/>
          <w:sz w:val="22"/>
          <w:szCs w:val="22"/>
        </w:rPr>
        <w:t xml:space="preserve">, por parte del </w:t>
      </w:r>
      <w:r>
        <w:rPr>
          <w:rFonts w:ascii="Palatino Linotype" w:eastAsia="Palatino Linotype" w:hAnsi="Palatino Linotype" w:cs="Palatino Linotype"/>
          <w:b/>
          <w:sz w:val="22"/>
          <w:szCs w:val="22"/>
        </w:rPr>
        <w:t>Ayuntamiento de Toluca</w:t>
      </w:r>
      <w:r>
        <w:rPr>
          <w:rFonts w:ascii="Palatino Linotype" w:eastAsia="Palatino Linotype" w:hAnsi="Palatino Linotype" w:cs="Palatino Linotype"/>
          <w:sz w:val="22"/>
          <w:szCs w:val="22"/>
        </w:rPr>
        <w:t xml:space="preserve"> en lo sucesivo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se procede a dictar la presente resolución, con base en los siguientes:</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 N T E C E D E N T E S:</w:t>
      </w:r>
    </w:p>
    <w:p w:rsidR="00AD70DA" w:rsidRDefault="00AD70DA">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AD70DA" w:rsidRDefault="00941208">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Solicitud de acceso a la información. </w:t>
      </w:r>
      <w:r>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b/>
          <w:sz w:val="22"/>
          <w:szCs w:val="22"/>
        </w:rPr>
        <w:t>veintisiete d</w:t>
      </w:r>
      <w:r>
        <w:rPr>
          <w:rFonts w:ascii="Palatino Linotype" w:eastAsia="Palatino Linotype" w:hAnsi="Palatino Linotype" w:cs="Palatino Linotype"/>
          <w:b/>
          <w:sz w:val="22"/>
          <w:szCs w:val="22"/>
        </w:rPr>
        <w:t>e junio de dos mil veinticinco</w:t>
      </w:r>
      <w:r>
        <w:rPr>
          <w:rFonts w:ascii="Palatino Linotype" w:eastAsia="Palatino Linotype" w:hAnsi="Palatino Linotype" w:cs="Palatino Linotype"/>
          <w:sz w:val="22"/>
          <w:szCs w:val="22"/>
        </w:rPr>
        <w:t xml:space="preserve">,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formuló solicitud de acceso a información pública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a través del Sistema de Acceso a la Información Mexiquense, en adelante </w:t>
      </w:r>
      <w:r>
        <w:rPr>
          <w:rFonts w:ascii="Palatino Linotype" w:eastAsia="Palatino Linotype" w:hAnsi="Palatino Linotype" w:cs="Palatino Linotype"/>
          <w:b/>
          <w:sz w:val="22"/>
          <w:szCs w:val="22"/>
        </w:rPr>
        <w:t>SAIMEX</w:t>
      </w:r>
      <w:r>
        <w:rPr>
          <w:rFonts w:ascii="Palatino Linotype" w:eastAsia="Palatino Linotype" w:hAnsi="Palatino Linotype" w:cs="Palatino Linotype"/>
          <w:sz w:val="22"/>
          <w:szCs w:val="22"/>
        </w:rPr>
        <w:t>, requiriéndole lo siguiente:</w:t>
      </w:r>
    </w:p>
    <w:p w:rsidR="00AD70DA" w:rsidRDefault="00AD70DA">
      <w:pPr>
        <w:spacing w:line="360" w:lineRule="auto"/>
        <w:ind w:left="709" w:right="900"/>
        <w:jc w:val="both"/>
        <w:rPr>
          <w:rFonts w:ascii="Palatino Linotype" w:eastAsia="Palatino Linotype" w:hAnsi="Palatino Linotype" w:cs="Palatino Linotype"/>
          <w:i/>
          <w:sz w:val="22"/>
          <w:szCs w:val="22"/>
        </w:rPr>
      </w:pPr>
    </w:p>
    <w:p w:rsidR="00AD70DA" w:rsidRDefault="00941208">
      <w:pPr>
        <w:spacing w:line="360" w:lineRule="auto"/>
        <w:ind w:left="709"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“solicitar los nombres y cargos de los integrantes del consejo de participación ciudadana (copaci) como delgados de las distintas comunidades que conforman el municipio”(Sic)</w:t>
      </w:r>
    </w:p>
    <w:p w:rsidR="00AD70DA" w:rsidRDefault="00AD70DA">
      <w:pPr>
        <w:spacing w:line="360" w:lineRule="auto"/>
        <w:jc w:val="both"/>
        <w:rPr>
          <w:rFonts w:ascii="Palatino Linotype" w:eastAsia="Palatino Linotype" w:hAnsi="Palatino Linotype" w:cs="Palatino Linotype"/>
          <w:b/>
          <w:sz w:val="22"/>
          <w:szCs w:val="22"/>
        </w:rPr>
      </w:pPr>
    </w:p>
    <w:p w:rsidR="00AD70DA" w:rsidRDefault="00941208">
      <w:pPr>
        <w:spacing w:line="360" w:lineRule="auto"/>
        <w:jc w:val="both"/>
        <w:rPr>
          <w:rFonts w:ascii="Palatino Linotype" w:eastAsia="Palatino Linotype" w:hAnsi="Palatino Linotype" w:cs="Palatino Linotype"/>
          <w:strike/>
          <w:sz w:val="22"/>
          <w:szCs w:val="22"/>
        </w:rPr>
      </w:pPr>
      <w:r>
        <w:rPr>
          <w:rFonts w:ascii="Palatino Linotype" w:eastAsia="Palatino Linotype" w:hAnsi="Palatino Linotype" w:cs="Palatino Linotype"/>
          <w:b/>
          <w:sz w:val="22"/>
          <w:szCs w:val="22"/>
        </w:rPr>
        <w:t xml:space="preserve">Modalidad elegida para la entrega de la información: </w:t>
      </w:r>
      <w:r>
        <w:rPr>
          <w:rFonts w:ascii="Palatino Linotype" w:eastAsia="Palatino Linotype" w:hAnsi="Palatino Linotype" w:cs="Palatino Linotype"/>
          <w:sz w:val="22"/>
          <w:szCs w:val="22"/>
        </w:rPr>
        <w:t>a través del Sistema de Acc</w:t>
      </w:r>
      <w:r>
        <w:rPr>
          <w:rFonts w:ascii="Palatino Linotype" w:eastAsia="Palatino Linotype" w:hAnsi="Palatino Linotype" w:cs="Palatino Linotype"/>
          <w:sz w:val="22"/>
          <w:szCs w:val="22"/>
        </w:rPr>
        <w:t>eso a la Información Mexiquense (SAIMEX).</w:t>
      </w:r>
    </w:p>
    <w:p w:rsidR="00AD70DA" w:rsidRDefault="00AD70DA">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rsidR="00AD70DA" w:rsidRDefault="0094120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Pr>
          <w:rFonts w:ascii="Palatino Linotype" w:eastAsia="Palatino Linotype" w:hAnsi="Palatino Linotype" w:cs="Palatino Linotype"/>
          <w:b/>
          <w:sz w:val="22"/>
          <w:szCs w:val="22"/>
        </w:rPr>
        <w:lastRenderedPageBreak/>
        <w:t xml:space="preserve">Respuesta. </w:t>
      </w:r>
      <w:r>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b/>
          <w:sz w:val="22"/>
          <w:szCs w:val="22"/>
        </w:rPr>
        <w:t>dieciocho de julio de dos mil veinticinco</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rsidR="00AD70DA" w:rsidRDefault="00AD70D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D70DA" w:rsidRDefault="0094120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la solicitud con folio 03720/TOLUCA/IP/2025, me permito adjuntar al presente la respuesta correspondiente, Sin más por el momento, reciba un saludo.</w:t>
      </w:r>
    </w:p>
    <w:p w:rsidR="00AD70DA" w:rsidRDefault="0094120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AD70DA" w:rsidRDefault="0094120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Dr. Nahum Miguel Mendoza Morales”</w:t>
      </w:r>
    </w:p>
    <w:p w:rsidR="00AD70DA" w:rsidRDefault="00AD70D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Asimismo, adjuntó los documentos electrónicos </w:t>
      </w:r>
      <w:r>
        <w:rPr>
          <w:rFonts w:ascii="Palatino Linotype" w:eastAsia="Palatino Linotype" w:hAnsi="Palatino Linotype" w:cs="Palatino Linotype"/>
          <w:sz w:val="22"/>
          <w:szCs w:val="22"/>
        </w:rPr>
        <w:t xml:space="preserve">denominados </w:t>
      </w:r>
      <w:r>
        <w:rPr>
          <w:rFonts w:ascii="Palatino Linotype" w:eastAsia="Palatino Linotype" w:hAnsi="Palatino Linotype" w:cs="Palatino Linotype"/>
          <w:b/>
          <w:sz w:val="22"/>
          <w:szCs w:val="22"/>
        </w:rPr>
        <w:t>Listado Delegados.pdf</w:t>
      </w:r>
    </w:p>
    <w:p w:rsidR="00AD70DA" w:rsidRDefault="0094120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Of 2492_Sol03720.pdf; Listado Consejo de Participación Ciudadana 2025.pdf;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RESPUESTA SOLICITUD 262.pdf, </w:t>
      </w:r>
      <w:r>
        <w:rPr>
          <w:rFonts w:ascii="Palatino Linotype" w:eastAsia="Palatino Linotype" w:hAnsi="Palatino Linotype" w:cs="Palatino Linotype"/>
          <w:sz w:val="22"/>
          <w:szCs w:val="22"/>
        </w:rPr>
        <w:t>cuyo contenido será analizado en el considerando correspondiente.</w:t>
      </w:r>
    </w:p>
    <w:p w:rsidR="00AD70DA" w:rsidRDefault="00AD70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AD70DA" w:rsidRDefault="00941208">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Interposición del recurso de revisión. </w:t>
      </w:r>
      <w:r>
        <w:rPr>
          <w:rFonts w:ascii="Palatino Linotype" w:eastAsia="Palatino Linotype" w:hAnsi="Palatino Linotype" w:cs="Palatino Linotype"/>
          <w:color w:val="000000"/>
          <w:sz w:val="22"/>
          <w:szCs w:val="22"/>
        </w:rPr>
        <w:t>Inconforme</w:t>
      </w:r>
      <w:r>
        <w:rPr>
          <w:rFonts w:ascii="Palatino Linotype" w:eastAsia="Palatino Linotype" w:hAnsi="Palatino Linotype" w:cs="Palatino Linotype"/>
          <w:color w:val="000000"/>
          <w:sz w:val="22"/>
          <w:szCs w:val="22"/>
        </w:rPr>
        <w:t xml:space="preserve"> con la respuesta del </w:t>
      </w:r>
      <w:r>
        <w:rPr>
          <w:rFonts w:ascii="Palatino Linotype" w:eastAsia="Palatino Linotype" w:hAnsi="Palatino Linotype" w:cs="Palatino Linotype"/>
          <w:b/>
          <w:color w:val="000000"/>
          <w:sz w:val="22"/>
          <w:szCs w:val="22"/>
        </w:rPr>
        <w:t>SUJETO OBLIGADO, la parte RECURRENTE</w:t>
      </w:r>
      <w:r>
        <w:rPr>
          <w:rFonts w:ascii="Palatino Linotype" w:eastAsia="Palatino Linotype" w:hAnsi="Palatino Linotype" w:cs="Palatino Linotype"/>
          <w:color w:val="000000"/>
          <w:sz w:val="22"/>
          <w:szCs w:val="22"/>
        </w:rPr>
        <w:t xml:space="preserve"> interpuso recurso de revisión a través del SAIMEX en fecha </w:t>
      </w:r>
      <w:r>
        <w:rPr>
          <w:rFonts w:ascii="Palatino Linotype" w:eastAsia="Palatino Linotype" w:hAnsi="Palatino Linotype" w:cs="Palatino Linotype"/>
          <w:b/>
          <w:color w:val="000000"/>
          <w:sz w:val="22"/>
          <w:szCs w:val="22"/>
        </w:rPr>
        <w:t>veintidós de julio de dos mil veinticinco</w:t>
      </w:r>
      <w:r>
        <w:rPr>
          <w:rFonts w:ascii="Palatino Linotype" w:eastAsia="Palatino Linotype" w:hAnsi="Palatino Linotype" w:cs="Palatino Linotype"/>
          <w:color w:val="000000"/>
          <w:sz w:val="22"/>
          <w:szCs w:val="22"/>
        </w:rPr>
        <w:t xml:space="preserve">; sin embargo, al ser día inhábil, se tuvo por presentado el </w:t>
      </w:r>
      <w:r>
        <w:rPr>
          <w:rFonts w:ascii="Palatino Linotype" w:eastAsia="Palatino Linotype" w:hAnsi="Palatino Linotype" w:cs="Palatino Linotype"/>
          <w:b/>
          <w:color w:val="000000"/>
          <w:sz w:val="22"/>
          <w:szCs w:val="22"/>
        </w:rPr>
        <w:t>cuatro de agosto de dos mil veinticinco</w:t>
      </w:r>
      <w:r>
        <w:rPr>
          <w:rFonts w:ascii="Palatino Linotype" w:eastAsia="Palatino Linotype" w:hAnsi="Palatino Linotype" w:cs="Palatino Linotype"/>
          <w:color w:val="000000"/>
          <w:sz w:val="22"/>
          <w:szCs w:val="22"/>
        </w:rPr>
        <w:t>, a través del cual expresó lo siguiente:</w:t>
      </w:r>
    </w:p>
    <w:p w:rsidR="00AD70DA" w:rsidRDefault="00941208">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Acto impugnado. </w:t>
      </w:r>
      <w:r>
        <w:rPr>
          <w:rFonts w:ascii="Palatino Linotype" w:eastAsia="Palatino Linotype" w:hAnsi="Palatino Linotype" w:cs="Palatino Linotype"/>
          <w:i/>
          <w:sz w:val="22"/>
          <w:szCs w:val="22"/>
        </w:rPr>
        <w:t xml:space="preserve">“La respuesta la información esta incompleta no atiende mi solicitud de acuerdo a lo solicitado.”. </w:t>
      </w:r>
    </w:p>
    <w:p w:rsidR="00AD70DA" w:rsidRDefault="00AD70DA">
      <w:pPr>
        <w:spacing w:line="276" w:lineRule="auto"/>
        <w:ind w:left="851" w:right="616"/>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Motivos de inconformidad. </w:t>
      </w:r>
      <w:r>
        <w:rPr>
          <w:rFonts w:ascii="Palatino Linotype" w:eastAsia="Palatino Linotype" w:hAnsi="Palatino Linotype" w:cs="Palatino Linotype"/>
          <w:i/>
          <w:sz w:val="22"/>
          <w:szCs w:val="22"/>
        </w:rPr>
        <w:t>“La respuesta la información esta incompleta no atiende mi solicitud de acuerdo a lo solicitado.”. (sic)</w:t>
      </w:r>
    </w:p>
    <w:p w:rsidR="00AD70DA" w:rsidRDefault="00AD70D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rsidR="00AD70DA" w:rsidRDefault="0094120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Turno. </w:t>
      </w:r>
      <w:r>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w:t>
      </w:r>
      <w:r>
        <w:rPr>
          <w:rFonts w:ascii="Palatino Linotype" w:eastAsia="Palatino Linotype" w:hAnsi="Palatino Linotype" w:cs="Palatino Linotype"/>
          <w:sz w:val="22"/>
          <w:szCs w:val="22"/>
        </w:rPr>
        <w:t xml:space="preserve">el recurso de revisión número </w:t>
      </w:r>
      <w:r>
        <w:rPr>
          <w:rFonts w:ascii="Palatino Linotype" w:eastAsia="Palatino Linotype" w:hAnsi="Palatino Linotype" w:cs="Palatino Linotype"/>
          <w:b/>
          <w:sz w:val="22"/>
          <w:szCs w:val="22"/>
        </w:rPr>
        <w:t>08944/INFOEM/IP/RR/2025</w:t>
      </w:r>
      <w:r>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2"/>
          <w:szCs w:val="22"/>
        </w:rPr>
        <w:t>Guadalupe Ramíre</w:t>
      </w:r>
      <w:r>
        <w:rPr>
          <w:rFonts w:ascii="Palatino Linotype" w:eastAsia="Palatino Linotype" w:hAnsi="Palatino Linotype" w:cs="Palatino Linotype"/>
          <w:b/>
          <w:sz w:val="22"/>
          <w:szCs w:val="22"/>
        </w:rPr>
        <w:t>z Peña</w:t>
      </w:r>
      <w:r>
        <w:rPr>
          <w:rFonts w:ascii="Palatino Linotype" w:eastAsia="Palatino Linotype" w:hAnsi="Palatino Linotype" w:cs="Palatino Linotype"/>
          <w:sz w:val="22"/>
          <w:szCs w:val="22"/>
        </w:rPr>
        <w:t>, para su análisis, estudio, elaboración del proyecto y presentación ante el Pleno de este Instituto.</w:t>
      </w:r>
    </w:p>
    <w:p w:rsidR="00AD70DA" w:rsidRDefault="00AD70D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AD70DA" w:rsidRDefault="0094120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Pr>
          <w:rFonts w:ascii="Palatino Linotype" w:eastAsia="Palatino Linotype" w:hAnsi="Palatino Linotype" w:cs="Palatino Linotype"/>
          <w:b/>
          <w:sz w:val="22"/>
          <w:szCs w:val="22"/>
        </w:rPr>
        <w:t xml:space="preserve">Admisión del recurso de revisión: </w:t>
      </w:r>
      <w:r>
        <w:rPr>
          <w:rFonts w:ascii="Palatino Linotype" w:eastAsia="Palatino Linotype" w:hAnsi="Palatino Linotype" w:cs="Palatino Linotype"/>
          <w:sz w:val="22"/>
          <w:szCs w:val="22"/>
        </w:rPr>
        <w:t xml:space="preserve">En fecha </w:t>
      </w:r>
      <w:r>
        <w:rPr>
          <w:rFonts w:ascii="Palatino Linotype" w:eastAsia="Palatino Linotype" w:hAnsi="Palatino Linotype" w:cs="Palatino Linotype"/>
          <w:b/>
          <w:sz w:val="22"/>
          <w:szCs w:val="22"/>
        </w:rPr>
        <w:t>ocho de agosto de dos mil veinticinco</w:t>
      </w:r>
      <w:r>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sz w:val="22"/>
          <w:szCs w:val="22"/>
        </w:rPr>
        <w:t>SU</w:t>
      </w:r>
      <w:r>
        <w:rPr>
          <w:rFonts w:ascii="Palatino Linotype" w:eastAsia="Palatino Linotype" w:hAnsi="Palatino Linotype" w:cs="Palatino Linotype"/>
          <w:b/>
          <w:sz w:val="22"/>
          <w:szCs w:val="22"/>
        </w:rPr>
        <w:t>JETO OBLIGADO</w:t>
      </w:r>
      <w:r>
        <w:rPr>
          <w:rFonts w:ascii="Palatino Linotype" w:eastAsia="Palatino Linotype" w:hAnsi="Palatino Linotype" w:cs="Palatino Linotype"/>
          <w:sz w:val="22"/>
          <w:szCs w:val="22"/>
        </w:rPr>
        <w:t xml:space="preserve"> presentara su informe justificado.</w:t>
      </w:r>
    </w:p>
    <w:p w:rsidR="00AD70DA" w:rsidRDefault="00AD70D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AD70DA" w:rsidRDefault="0094120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Manifestaciones.</w:t>
      </w:r>
      <w:r>
        <w:rPr>
          <w:rFonts w:ascii="Palatino Linotype" w:eastAsia="Palatino Linotype" w:hAnsi="Palatino Linotype" w:cs="Palatino Linotype"/>
          <w:sz w:val="22"/>
          <w:szCs w:val="22"/>
        </w:rPr>
        <w:t xml:space="preserve"> De las constancias que obran en el expediente electrónico del SAIMEX, se aprecia que el Sujeto Obligado rindió informe justificado el </w:t>
      </w:r>
      <w:r>
        <w:rPr>
          <w:rFonts w:ascii="Palatino Linotype" w:eastAsia="Palatino Linotype" w:hAnsi="Palatino Linotype" w:cs="Palatino Linotype"/>
          <w:b/>
          <w:sz w:val="22"/>
          <w:szCs w:val="22"/>
        </w:rPr>
        <w:t>diecinueve de agosto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 dos mil veinticinco,</w:t>
      </w:r>
      <w:r>
        <w:rPr>
          <w:rFonts w:ascii="Palatino Linotype" w:eastAsia="Palatino Linotype" w:hAnsi="Palatino Linotype" w:cs="Palatino Linotype"/>
          <w:sz w:val="22"/>
          <w:szCs w:val="22"/>
        </w:rPr>
        <w:t xml:space="preserve"> a través d</w:t>
      </w:r>
      <w:r>
        <w:rPr>
          <w:rFonts w:ascii="Palatino Linotype" w:eastAsia="Palatino Linotype" w:hAnsi="Palatino Linotype" w:cs="Palatino Linotype"/>
          <w:sz w:val="22"/>
          <w:szCs w:val="22"/>
        </w:rPr>
        <w:t xml:space="preserve">e los documentos electrónicos denominados </w:t>
      </w:r>
      <w:r>
        <w:rPr>
          <w:rFonts w:ascii="Palatino Linotype" w:eastAsia="Palatino Linotype" w:hAnsi="Palatino Linotype" w:cs="Palatino Linotype"/>
          <w:b/>
          <w:sz w:val="22"/>
          <w:szCs w:val="22"/>
        </w:rPr>
        <w:t xml:space="preserve">ANEXOS 8944-2025.pdf; y Ratificacion 8944_2025.pdf, </w:t>
      </w:r>
      <w:r>
        <w:rPr>
          <w:rFonts w:ascii="Palatino Linotype" w:eastAsia="Palatino Linotype" w:hAnsi="Palatino Linotype" w:cs="Palatino Linotype"/>
          <w:sz w:val="22"/>
          <w:szCs w:val="22"/>
        </w:rPr>
        <w:t xml:space="preserve">mediante el cual se ratifica la respuesta inicial. El contenido del informe justificado se puso a disposición del Recurrente </w:t>
      </w:r>
      <w:r>
        <w:rPr>
          <w:rFonts w:ascii="Palatino Linotype" w:eastAsia="Palatino Linotype" w:hAnsi="Palatino Linotype" w:cs="Palatino Linotype"/>
          <w:b/>
          <w:sz w:val="22"/>
          <w:szCs w:val="22"/>
        </w:rPr>
        <w:t>el veintitrés de septiembre de dos mil veinticinco.</w:t>
      </w:r>
    </w:p>
    <w:p w:rsidR="00AD70DA" w:rsidRDefault="00AD70D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rsidR="00AD70DA" w:rsidRDefault="0094120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Ampliación del plazo.</w:t>
      </w:r>
      <w:r>
        <w:rPr>
          <w:rFonts w:ascii="Palatino Linotype" w:eastAsia="Palatino Linotype" w:hAnsi="Palatino Linotype" w:cs="Palatino Linotype"/>
          <w:sz w:val="22"/>
          <w:szCs w:val="22"/>
        </w:rPr>
        <w:t xml:space="preserve"> En fecha </w:t>
      </w:r>
      <w:r>
        <w:rPr>
          <w:rFonts w:ascii="Palatino Linotype" w:eastAsia="Palatino Linotype" w:hAnsi="Palatino Linotype" w:cs="Palatino Linotype"/>
          <w:b/>
          <w:sz w:val="22"/>
          <w:szCs w:val="22"/>
        </w:rPr>
        <w:t>veintitrés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 septiembre de dos mil veinticinco</w:t>
      </w:r>
      <w:r>
        <w:rPr>
          <w:rFonts w:ascii="Palatino Linotype" w:eastAsia="Palatino Linotype" w:hAnsi="Palatino Linotype" w:cs="Palatino Linotype"/>
          <w:sz w:val="22"/>
          <w:szCs w:val="22"/>
        </w:rPr>
        <w:t xml:space="preserve">, con fundamento en el artículo 181, párrafo tercero de la Ley de Transparencia y Acceso a la Información Pública del Estado </w:t>
      </w:r>
      <w:r>
        <w:rPr>
          <w:rFonts w:ascii="Palatino Linotype" w:eastAsia="Palatino Linotype" w:hAnsi="Palatino Linotype" w:cs="Palatino Linotype"/>
          <w:sz w:val="22"/>
          <w:szCs w:val="22"/>
        </w:rPr>
        <w:t>de México y Municipios, se acordó la ampliación del plazo para su resolución.</w:t>
      </w:r>
    </w:p>
    <w:p w:rsidR="00AD70DA" w:rsidRDefault="00AD70DA">
      <w:pPr>
        <w:pBdr>
          <w:top w:val="nil"/>
          <w:left w:val="nil"/>
          <w:bottom w:val="nil"/>
          <w:right w:val="nil"/>
          <w:between w:val="nil"/>
        </w:pBdr>
        <w:ind w:left="708"/>
        <w:rPr>
          <w:rFonts w:ascii="Palatino Linotype" w:eastAsia="Palatino Linotype" w:hAnsi="Palatino Linotype" w:cs="Palatino Linotype"/>
          <w:color w:val="000000"/>
          <w:sz w:val="22"/>
          <w:szCs w:val="22"/>
        </w:rPr>
      </w:pPr>
    </w:p>
    <w:p w:rsidR="00AD70DA" w:rsidRDefault="00941208">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Cierre de instrucción. </w:t>
      </w: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veintinueve de septiembre de dos mil veinticinco</w:t>
      </w:r>
      <w:r>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rsidR="00AD70DA" w:rsidRDefault="00AD70D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razón de que fue debidamente sustanciado el exped</w:t>
      </w:r>
      <w:r>
        <w:rPr>
          <w:rFonts w:ascii="Palatino Linotype" w:eastAsia="Palatino Linotype" w:hAnsi="Palatino Linotype" w:cs="Palatino Linotype"/>
          <w:sz w:val="22"/>
          <w:szCs w:val="22"/>
        </w:rPr>
        <w:t xml:space="preserve">iente electrónico y no existe diligencia pendiente de desahogo, se emite la Resolución que conforme a Derecho proceda, de acuerdo con los siguientes: </w:t>
      </w:r>
    </w:p>
    <w:p w:rsidR="00AD70DA" w:rsidRDefault="0094120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Pr>
          <w:rFonts w:ascii="Palatino Linotype" w:eastAsia="Palatino Linotype" w:hAnsi="Palatino Linotype" w:cs="Palatino Linotype"/>
          <w:b/>
          <w:sz w:val="22"/>
          <w:szCs w:val="22"/>
        </w:rPr>
        <w:t>C O N S I D E R A N D O:</w:t>
      </w:r>
    </w:p>
    <w:p w:rsidR="00AD70DA" w:rsidRDefault="00AD70DA">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 Competencia.</w:t>
      </w:r>
      <w:r>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w:t>
      </w:r>
      <w:r>
        <w:rPr>
          <w:rFonts w:ascii="Palatino Linotype" w:eastAsia="Palatino Linotype" w:hAnsi="Palatino Linotype" w:cs="Palatino Linotype"/>
          <w:sz w:val="22"/>
          <w:szCs w:val="22"/>
        </w:rPr>
        <w:t>puesto en los artículos 6, apartado A de la Constitución Política de los Estados Unidos Mexicanos; 5 párrafos trigésimo noveno, cuadragésimo y cuadragésimo primero fracciones IV y V de la Constitución Política del Estado Libre y Soberano de México; 2, frac</w:t>
      </w:r>
      <w:r>
        <w:rPr>
          <w:rFonts w:ascii="Palatino Linotype" w:eastAsia="Palatino Linotype" w:hAnsi="Palatino Linotype" w:cs="Palatino Linotype"/>
          <w:sz w:val="22"/>
          <w:szCs w:val="22"/>
        </w:rPr>
        <w:t>ción II; 29, 36 fracciones I y II; 176, 178, 181, 185, fracción I, 186 y 188 de la Ley Transparencia y Acceso a la Información Pública del Estado de México y Municipios; 9, fracciones I y XXIII y 11 del Reglamento Interior del Instituto de Transparencia, A</w:t>
      </w:r>
      <w:r>
        <w:rPr>
          <w:rFonts w:ascii="Palatino Linotype" w:eastAsia="Palatino Linotype" w:hAnsi="Palatino Linotype" w:cs="Palatino Linotype"/>
          <w:sz w:val="22"/>
          <w:szCs w:val="22"/>
        </w:rPr>
        <w:t>cceso a la Información Pública y Protección de Datos Personales del Estado de México y Municipios.</w:t>
      </w:r>
    </w:p>
    <w:p w:rsidR="00AD70DA" w:rsidRDefault="00AD70DA">
      <w:pPr>
        <w:spacing w:line="360" w:lineRule="auto"/>
        <w:jc w:val="both"/>
        <w:rPr>
          <w:rFonts w:ascii="Palatino Linotype" w:eastAsia="Palatino Linotype" w:hAnsi="Palatino Linotype" w:cs="Palatino Linotype"/>
          <w:b/>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Oportunidad y Procedibilidad del Recurso de Revisión</w:t>
      </w:r>
      <w:r>
        <w:rPr>
          <w:rFonts w:ascii="Palatino Linotype" w:eastAsia="Palatino Linotype" w:hAnsi="Palatino Linotype" w:cs="Palatino Linotype"/>
          <w:sz w:val="22"/>
          <w:szCs w:val="22"/>
        </w:rPr>
        <w:t>. Previo al estudio del fondo del asunto, se procede a analizar los requisitos de oportunidad y</w:t>
      </w:r>
      <w:r>
        <w:rPr>
          <w:rFonts w:ascii="Palatino Linotype" w:eastAsia="Palatino Linotype" w:hAnsi="Palatino Linotype" w:cs="Palatino Linotype"/>
          <w:sz w:val="22"/>
          <w:szCs w:val="22"/>
        </w:rPr>
        <w:t xml:space="preserve"> procedibilidad que debe reunir el recurso de revisión interpuesto, previstos en los artículos 178 y 180 de la Ley de Transparencia y Acceso a la Información Pública del Estado de México y Municipios.</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recurso de revisión fue interpuesto dentro del plaz</w:t>
      </w:r>
      <w:r>
        <w:rPr>
          <w:rFonts w:ascii="Palatino Linotype" w:eastAsia="Palatino Linotype" w:hAnsi="Palatino Linotype" w:cs="Palatino Linotype"/>
          <w:sz w:val="22"/>
          <w:szCs w:val="22"/>
        </w:rPr>
        <w:t xml:space="preserve">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su respuesta a la solicitud de información el dieciocho</w:t>
      </w:r>
      <w:r>
        <w:rPr>
          <w:rFonts w:ascii="Palatino Linotype" w:eastAsia="Palatino Linotype" w:hAnsi="Palatino Linotype" w:cs="Palatino Linotype"/>
          <w:b/>
          <w:sz w:val="22"/>
          <w:szCs w:val="22"/>
        </w:rPr>
        <w:t xml:space="preserve"> de julio de </w:t>
      </w:r>
      <w:r>
        <w:rPr>
          <w:rFonts w:ascii="Palatino Linotype" w:eastAsia="Palatino Linotype" w:hAnsi="Palatino Linotype" w:cs="Palatino Linotype"/>
          <w:b/>
          <w:sz w:val="22"/>
          <w:szCs w:val="22"/>
        </w:rPr>
        <w:t>dos mil veinticinco</w:t>
      </w:r>
      <w:r>
        <w:rPr>
          <w:rFonts w:ascii="Palatino Linotype" w:eastAsia="Palatino Linotype" w:hAnsi="Palatino Linotype" w:cs="Palatino Linotype"/>
          <w:sz w:val="22"/>
          <w:szCs w:val="22"/>
        </w:rPr>
        <w:t xml:space="preserve"> y el recurso se tuvo por presentado el </w:t>
      </w:r>
      <w:r>
        <w:rPr>
          <w:rFonts w:ascii="Palatino Linotype" w:eastAsia="Palatino Linotype" w:hAnsi="Palatino Linotype" w:cs="Palatino Linotype"/>
          <w:b/>
          <w:sz w:val="22"/>
          <w:szCs w:val="22"/>
        </w:rPr>
        <w:t>cuatro de agosto de dos mil veinticinco</w:t>
      </w:r>
      <w:r>
        <w:rPr>
          <w:rFonts w:ascii="Palatino Linotype" w:eastAsia="Palatino Linotype" w:hAnsi="Palatino Linotype" w:cs="Palatino Linotype"/>
          <w:sz w:val="22"/>
          <w:szCs w:val="22"/>
        </w:rPr>
        <w:t xml:space="preserve">, esto es al </w:t>
      </w:r>
      <w:r>
        <w:rPr>
          <w:rFonts w:ascii="Palatino Linotype" w:eastAsia="Palatino Linotype" w:hAnsi="Palatino Linotype" w:cs="Palatino Linotype"/>
          <w:b/>
          <w:sz w:val="22"/>
          <w:szCs w:val="22"/>
        </w:rPr>
        <w:t>primer</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día</w:t>
      </w:r>
      <w:r>
        <w:rPr>
          <w:rFonts w:ascii="Palatino Linotype" w:eastAsia="Palatino Linotype" w:hAnsi="Palatino Linotype" w:cs="Palatino Linotype"/>
          <w:sz w:val="22"/>
          <w:szCs w:val="22"/>
        </w:rPr>
        <w:t xml:space="preserve"> que se tuvo conocimiento de la solicitud.</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De acuerdo con el análisis efectuado se advierte que resulta procedente la interposición del recurso y se concluye la acreditación plena de todos y cada uno de los elementos formales exigidos por el artículo 180 de la Ley de Transparencia y Acceso a la Inf</w:t>
      </w:r>
      <w:r>
        <w:rPr>
          <w:rFonts w:ascii="Palatino Linotype" w:eastAsia="Palatino Linotype" w:hAnsi="Palatino Linotype" w:cs="Palatino Linotype"/>
          <w:sz w:val="22"/>
          <w:szCs w:val="22"/>
        </w:rPr>
        <w:t xml:space="preserve">ormación Pública del Estado de México y Municipios en vigor, en atención a que fue presentado mediante el formato visible </w:t>
      </w:r>
      <w:r>
        <w:rPr>
          <w:rFonts w:ascii="Palatino Linotype" w:eastAsia="Palatino Linotype" w:hAnsi="Palatino Linotype" w:cs="Palatino Linotype"/>
          <w:b/>
          <w:sz w:val="22"/>
          <w:szCs w:val="22"/>
        </w:rPr>
        <w:t>EL SAIMEX.</w:t>
      </w:r>
    </w:p>
    <w:p w:rsidR="00AD70DA" w:rsidRDefault="0094120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por cuanto hace a la procedibilidad del recurso de revisión, es de suma importancia señalar que </w:t>
      </w:r>
      <w:r>
        <w:rPr>
          <w:rFonts w:ascii="Palatino Linotype" w:eastAsia="Palatino Linotype" w:hAnsi="Palatino Linotype" w:cs="Palatino Linotype"/>
          <w:b/>
          <w:color w:val="000000"/>
          <w:sz w:val="22"/>
          <w:szCs w:val="22"/>
        </w:rPr>
        <w:t>la parte</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Recurrent</w:t>
      </w:r>
      <w:r>
        <w:rPr>
          <w:rFonts w:ascii="Palatino Linotype" w:eastAsia="Palatino Linotype" w:hAnsi="Palatino Linotype" w:cs="Palatino Linotype"/>
          <w:b/>
          <w:color w:val="000000"/>
          <w:sz w:val="22"/>
          <w:szCs w:val="22"/>
        </w:rPr>
        <w:t>e</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u w:val="single"/>
        </w:rPr>
        <w:t>no proporcionó nombre o seudónimo</w:t>
      </w:r>
      <w:r>
        <w:rPr>
          <w:rFonts w:ascii="Palatino Linotype" w:eastAsia="Palatino Linotype" w:hAnsi="Palatino Linotype" w:cs="Palatino Linotype"/>
          <w:color w:val="000000"/>
          <w:sz w:val="22"/>
          <w:szCs w:val="22"/>
        </w:rPr>
        <w:t xml:space="preserve"> con el que desea que se le identifique</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como se advierte en el detalle de seguimiento del SAIMEX, no obstante lo anterior, no proporcionar el nombre no es motivo para archivar la solicitud de acceso a la información públ</w:t>
      </w:r>
      <w:r>
        <w:rPr>
          <w:rFonts w:ascii="Palatino Linotype" w:eastAsia="Palatino Linotype" w:hAnsi="Palatino Linotype" w:cs="Palatino Linotype"/>
          <w:color w:val="000000"/>
          <w:sz w:val="22"/>
          <w:szCs w:val="22"/>
        </w:rPr>
        <w:t>ica como concluida, conforme a lo previsto en el artículo 155, penúltimo párrafo de la Ley de Transparencia y Acceso a la Información Pública del Estado de México y Municipios que establece lo siguiente:</w:t>
      </w:r>
    </w:p>
    <w:p w:rsidR="00AD70DA" w:rsidRDefault="00941208">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Las solicitudes </w:t>
      </w:r>
      <w:r>
        <w:rPr>
          <w:rFonts w:ascii="Palatino Linotype" w:eastAsia="Palatino Linotype" w:hAnsi="Palatino Linotype" w:cs="Palatino Linotype"/>
          <w:i/>
          <w:color w:val="000000"/>
          <w:sz w:val="22"/>
          <w:szCs w:val="22"/>
        </w:rPr>
        <w:t xml:space="preserve">anónimas, con </w:t>
      </w:r>
      <w:r>
        <w:rPr>
          <w:rFonts w:ascii="Palatino Linotype" w:eastAsia="Palatino Linotype" w:hAnsi="Palatino Linotype" w:cs="Palatino Linotype"/>
          <w:b/>
          <w:i/>
          <w:color w:val="000000"/>
          <w:sz w:val="22"/>
          <w:szCs w:val="22"/>
        </w:rPr>
        <w:t>nombre incompleto o seudónimo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serán procedentes para su trámite por parte del sujeto obligado ante quien se presente</w:t>
      </w:r>
      <w:r>
        <w:rPr>
          <w:rFonts w:ascii="Palatino Linotype" w:eastAsia="Palatino Linotype" w:hAnsi="Palatino Linotype" w:cs="Palatino Linotype"/>
          <w:i/>
          <w:color w:val="000000"/>
          <w:sz w:val="22"/>
          <w:szCs w:val="22"/>
        </w:rPr>
        <w:t>. No podrá requerirse información adicional con motivo del nombre proporcionado por el solicitante."(Énfasis añadido)</w:t>
      </w: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resulta proc</w:t>
      </w:r>
      <w:r>
        <w:rPr>
          <w:rFonts w:ascii="Palatino Linotype" w:eastAsia="Palatino Linotype" w:hAnsi="Palatino Linotype" w:cs="Palatino Linotype"/>
          <w:sz w:val="22"/>
          <w:szCs w:val="22"/>
        </w:rPr>
        <w:t>edente la interposición del recurso de revisión al rubro anotado, toda vez que se actualiza las hipótesis previstas en el artículo 179, fracción V de la ley de la materia, que a la letra dice:</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w:t>
      </w:r>
      <w:r>
        <w:rPr>
          <w:rFonts w:ascii="Palatino Linotype" w:eastAsia="Palatino Linotype" w:hAnsi="Palatino Linotype" w:cs="Palatino Linotype"/>
          <w:i/>
          <w:sz w:val="22"/>
          <w:szCs w:val="22"/>
        </w:rPr>
        <w:t>n que la Ley otorga a los particulares, para hacer valer su derecho de acceso a la información pública, y procederá en contra de las siguientes causas:</w:t>
      </w:r>
    </w:p>
    <w:p w:rsidR="00AD70DA" w:rsidRDefault="00AD70DA">
      <w:pPr>
        <w:spacing w:line="276" w:lineRule="auto"/>
        <w:ind w:left="567" w:right="616"/>
        <w:jc w:val="both"/>
        <w:rPr>
          <w:rFonts w:ascii="Palatino Linotype" w:eastAsia="Palatino Linotype" w:hAnsi="Palatino Linotype" w:cs="Palatino Linotype"/>
          <w:i/>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w:t>
      </w:r>
    </w:p>
    <w:p w:rsidR="00AD70DA" w:rsidRDefault="00941208">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AD70DA" w:rsidRDefault="00AD70DA">
      <w:pPr>
        <w:spacing w:line="360" w:lineRule="auto"/>
        <w:ind w:left="567" w:right="616"/>
        <w:jc w:val="both"/>
        <w:rPr>
          <w:rFonts w:ascii="Palatino Linotype" w:eastAsia="Palatino Linotype" w:hAnsi="Palatino Linotype" w:cs="Palatino Linotype"/>
          <w:i/>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Materia de Revisión</w:t>
      </w:r>
      <w:r>
        <w:rPr>
          <w:rFonts w:ascii="Palatino Linotype" w:eastAsia="Palatino Linotype" w:hAnsi="Palatino Linotype" w:cs="Palatino Linotype"/>
          <w:sz w:val="22"/>
          <w:szCs w:val="22"/>
        </w:rPr>
        <w:t>: De las constancias que in</w:t>
      </w:r>
      <w:r>
        <w:rPr>
          <w:rFonts w:ascii="Palatino Linotype" w:eastAsia="Palatino Linotype" w:hAnsi="Palatino Linotype" w:cs="Palatino Linotype"/>
          <w:sz w:val="22"/>
          <w:szCs w:val="22"/>
        </w:rPr>
        <w:t>tegran el expediente electrónico se advierte que el tema sobre el que este Instituto se pronunciará será en determinar si se actualiza la fracción V del artículo 179 de la Ley de Transparencia y Acceso a la Información Pública del Estado de México y Munici</w:t>
      </w:r>
      <w:r>
        <w:rPr>
          <w:rFonts w:ascii="Palatino Linotype" w:eastAsia="Palatino Linotype" w:hAnsi="Palatino Linotype" w:cs="Palatino Linotype"/>
          <w:sz w:val="22"/>
          <w:szCs w:val="22"/>
        </w:rPr>
        <w:t xml:space="preserve">pios.  </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Estudio de fondo del asunto.</w:t>
      </w:r>
      <w:r>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w:t>
      </w:r>
      <w:r>
        <w:rPr>
          <w:rFonts w:ascii="Palatino Linotype" w:eastAsia="Palatino Linotype" w:hAnsi="Palatino Linotype" w:cs="Palatino Linotype"/>
          <w:sz w:val="22"/>
          <w:szCs w:val="22"/>
        </w:rPr>
        <w:t>onales de los cuales el Estado Mexicano se ha adherido, sin oponer reserva alguna sobre lo que nos interesa, adoptando dichas disposiciones al Derecho Interno, específicamente a nivel Constitucional, tal y como lo prevén los arábigos 1 párrafos primero, se</w:t>
      </w:r>
      <w:r>
        <w:rPr>
          <w:rFonts w:ascii="Palatino Linotype" w:eastAsia="Palatino Linotype" w:hAnsi="Palatino Linotype" w:cs="Palatino Linotype"/>
          <w:sz w:val="22"/>
          <w:szCs w:val="22"/>
        </w:rPr>
        <w:t>gundo y tercero y 6 apartado A fracciones I, II, III, IV, V, VI y VII que a la letra señalan:</w:t>
      </w:r>
    </w:p>
    <w:p w:rsidR="00AD70DA" w:rsidRDefault="00AD70DA">
      <w:pPr>
        <w:ind w:left="567" w:right="560"/>
        <w:jc w:val="both"/>
        <w:rPr>
          <w:rFonts w:ascii="Palatino Linotype" w:eastAsia="Palatino Linotype" w:hAnsi="Palatino Linotype" w:cs="Palatino Linotype"/>
          <w:i/>
          <w:sz w:val="22"/>
          <w:szCs w:val="22"/>
        </w:rPr>
      </w:pP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1o.</w:t>
      </w:r>
      <w:r>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w:t>
      </w:r>
      <w:r>
        <w:rPr>
          <w:rFonts w:ascii="Palatino Linotype" w:eastAsia="Palatino Linotype" w:hAnsi="Palatino Linotype" w:cs="Palatino Linotype"/>
          <w:i/>
          <w:sz w:val="22"/>
          <w:szCs w:val="22"/>
        </w:rPr>
        <w:t>s de los que el Estado Mexicano sea parte, así como de las garantías para su protección, cuyo ejercicio no podrá restringirse ni suspenderse, salvo en los casos y bajo las condiciones que esta Constitución establece.</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Todas las autoridades, en el ámbito de s</w:t>
      </w:r>
      <w:r>
        <w:rPr>
          <w:rFonts w:ascii="Palatino Linotype" w:eastAsia="Palatino Linotype" w:hAnsi="Palatino Linotype" w:cs="Palatino Linotype"/>
          <w:i/>
          <w:sz w:val="22"/>
          <w:szCs w:val="22"/>
        </w:rPr>
        <w:t>us competencias, tienen la obligación de promover, respetar, proteger y garantizar los derechos humanos de conformidad con los principios de universalidad, interdependencia, indivisibilidad y progresividad. En consecuencia, el Estado deberá prevenir, inves</w:t>
      </w:r>
      <w:r>
        <w:rPr>
          <w:rFonts w:ascii="Palatino Linotype" w:eastAsia="Palatino Linotype" w:hAnsi="Palatino Linotype" w:cs="Palatino Linotype"/>
          <w:i/>
          <w:sz w:val="22"/>
          <w:szCs w:val="22"/>
        </w:rPr>
        <w:t>tigar, sancionar y reparar las violaciones a los derechos humanos, en los términos que establezca la ley</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D70DA" w:rsidRDefault="00941208">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6o.</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 Toda la información en posesión de cualquier autorid</w:t>
      </w:r>
      <w:r>
        <w:rPr>
          <w:rFonts w:ascii="Palatino Linotype" w:eastAsia="Palatino Linotype" w:hAnsi="Palatino Linotype" w:cs="Palatino Linotype"/>
          <w:i/>
          <w:sz w:val="22"/>
          <w:szCs w:val="22"/>
        </w:rPr>
        <w:t>ad, entidad, órgano y organismo de los Poderes Ejecutivo, Legislativo y Judicial, órganos autónomos, partidos políticos, fideicomisos y fondos públicos, así como de cualquier persona física, moral o sindicato que reciba y ejerza recursos públicos o realice</w:t>
      </w:r>
      <w:r>
        <w:rPr>
          <w:rFonts w:ascii="Palatino Linotype" w:eastAsia="Palatino Linotype" w:hAnsi="Palatino Linotype" w:cs="Palatino Linotype"/>
          <w:i/>
          <w:sz w:val="22"/>
          <w:szCs w:val="22"/>
        </w:rPr>
        <w:t xml:space="preserve"> actos de autoridad en el ámbito federal, estatal y municipal, es pública y sólo podrá ser reservada temporalmente por razones de interés público y seguridad nacional, en los términos que fijen las leyes. En la interpretación de este derecho deberá prevale</w:t>
      </w:r>
      <w:r>
        <w:rPr>
          <w:rFonts w:ascii="Palatino Linotype" w:eastAsia="Palatino Linotype" w:hAnsi="Palatino Linotype" w:cs="Palatino Linotype"/>
          <w:i/>
          <w:sz w:val="22"/>
          <w:szCs w:val="22"/>
        </w:rPr>
        <w:t>cer el principio de máxima publicidad. Los sujetos obligados deberán documentar todo acto que derive del ejercicio de sus facultades, competencias o funciones, la ley determinará los supuestos específicos bajo los cuales procederá la declaración de inexist</w:t>
      </w:r>
      <w:r>
        <w:rPr>
          <w:rFonts w:ascii="Palatino Linotype" w:eastAsia="Palatino Linotype" w:hAnsi="Palatino Linotype" w:cs="Palatino Linotype"/>
          <w:i/>
          <w:sz w:val="22"/>
          <w:szCs w:val="22"/>
        </w:rPr>
        <w:t>encia de la información.</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III. Toda persona, sin necesidad de acreditar interés alguno o justificar su uti</w:t>
      </w:r>
      <w:r>
        <w:rPr>
          <w:rFonts w:ascii="Palatino Linotype" w:eastAsia="Palatino Linotype" w:hAnsi="Palatino Linotype" w:cs="Palatino Linotype"/>
          <w:i/>
          <w:sz w:val="22"/>
          <w:szCs w:val="22"/>
        </w:rPr>
        <w:t>lización, tendrá acceso gratuito a la información pública, a sus datos personales o a la rectificación de éstos.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w:t>
      </w:r>
      <w:r>
        <w:rPr>
          <w:rFonts w:ascii="Palatino Linotype" w:eastAsia="Palatino Linotype" w:hAnsi="Palatino Linotype" w:cs="Palatino Linotype"/>
          <w:i/>
          <w:sz w:val="22"/>
          <w:szCs w:val="22"/>
        </w:rPr>
        <w:t>omos especializados e imparciales que establece esta Constitución.</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w:t>
      </w:r>
      <w:r>
        <w:rPr>
          <w:rFonts w:ascii="Palatino Linotype" w:eastAsia="Palatino Linotype" w:hAnsi="Palatino Linotype" w:cs="Palatino Linotype"/>
          <w:i/>
          <w:sz w:val="22"/>
          <w:szCs w:val="22"/>
        </w:rPr>
        <w:t>ctualizada sobre el ejercicio de los recursos públicos y los indicadores que permitan rendir cuenta del cumplimiento de sus objetivos y de los resultados obtenidos.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VI. Las leyes determinarán la manera en que los sujetos obligados deberán hacer pública la</w:t>
      </w:r>
      <w:r>
        <w:rPr>
          <w:rFonts w:ascii="Palatino Linotype" w:eastAsia="Palatino Linotype" w:hAnsi="Palatino Linotype" w:cs="Palatino Linotype"/>
          <w:i/>
          <w:sz w:val="22"/>
          <w:szCs w:val="22"/>
        </w:rPr>
        <w:t xml:space="preserve"> información relativa a los recursos públicos que entreguen a personas físicas o morales.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rsidR="00AD70DA" w:rsidRDefault="00AD70DA">
      <w:pPr>
        <w:ind w:left="567" w:right="560"/>
        <w:jc w:val="both"/>
        <w:rPr>
          <w:rFonts w:ascii="Palatino Linotype" w:eastAsia="Palatino Linotype" w:hAnsi="Palatino Linotype" w:cs="Palatino Linotype"/>
          <w:i/>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Esto es, que </w:t>
      </w:r>
      <w:r>
        <w:rPr>
          <w:rFonts w:ascii="Palatino Linotype" w:eastAsia="Palatino Linotype" w:hAnsi="Palatino Linotype" w:cs="Palatino Linotype"/>
          <w:sz w:val="22"/>
          <w:szCs w:val="22"/>
        </w:rPr>
        <w:t>cualquier persona tiene el derecho al acceso de la información pública, información que consiste en aquella que sea generada, obtenida, adquirida, transformada, administrada o en posesión de los Sujetos Obligados, como así también lo señala la Ley de Trans</w:t>
      </w:r>
      <w:r>
        <w:rPr>
          <w:rFonts w:ascii="Palatino Linotype" w:eastAsia="Palatino Linotype" w:hAnsi="Palatino Linotype" w:cs="Palatino Linotype"/>
          <w:sz w:val="22"/>
          <w:szCs w:val="22"/>
        </w:rPr>
        <w:t>parencia y Acceso a la Información Pública del Estado de México y Municipios en su artículo 4, que toda la información generada, obtenida, adquirida, transformada, administrada o en posesión de los sujetos obligados, es pública y accesible, de manera perma</w:t>
      </w:r>
      <w:r>
        <w:rPr>
          <w:rFonts w:ascii="Palatino Linotype" w:eastAsia="Palatino Linotype" w:hAnsi="Palatino Linotype" w:cs="Palatino Linotype"/>
          <w:sz w:val="22"/>
          <w:szCs w:val="22"/>
        </w:rPr>
        <w:t>nente a cualquier persona, privilegiando el principio de máxima publicidad, como así lo establece dicha determinación, que a continuación se transcribe para un mejor entendimiento:</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w:t>
      </w:r>
      <w:r>
        <w:rPr>
          <w:rFonts w:ascii="Palatino Linotype" w:eastAsia="Palatino Linotype" w:hAnsi="Palatino Linotype" w:cs="Palatino Linotype"/>
          <w:i/>
          <w:sz w:val="22"/>
          <w:szCs w:val="22"/>
        </w:rPr>
        <w:t xml:space="preserve">errogativa de las personas para buscar, difundir, investigar, recabar, recibir y solicitar información pública, sin necesidad de acreditar personalidad ni interés jurídico. </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w:t>
      </w:r>
      <w:r>
        <w:rPr>
          <w:rFonts w:ascii="Palatino Linotype" w:eastAsia="Palatino Linotype" w:hAnsi="Palatino Linotype" w:cs="Palatino Linotype"/>
          <w:i/>
          <w:sz w:val="22"/>
          <w:szCs w:val="22"/>
        </w:rPr>
        <w:t xml:space="preserve"> posesión de los sujetos obligados es pública y accesible de manera permanente a cualquier persona, en los términos y condiciones que se establezcan en los tratados internacionales de los que el Estado mexicano sea parte, en la Ley General, la presente Ley</w:t>
      </w:r>
      <w:r>
        <w:rPr>
          <w:rFonts w:ascii="Palatino Linotype" w:eastAsia="Palatino Linotype" w:hAnsi="Palatino Linotype" w:cs="Palatino Linotype"/>
          <w:i/>
          <w:sz w:val="22"/>
          <w:szCs w:val="22"/>
        </w:rPr>
        <w:t xml:space="preserve"> y demás disposiciones de la materia, privilegiando el principio de máxima publicidad de la información. Solo podrá ser clasificada excepcionalmente Ley de Transparencia y Acceso a la Información Pública del Estado de México y Municipios 29 como reservada </w:t>
      </w:r>
      <w:r>
        <w:rPr>
          <w:rFonts w:ascii="Palatino Linotype" w:eastAsia="Palatino Linotype" w:hAnsi="Palatino Linotype" w:cs="Palatino Linotype"/>
          <w:i/>
          <w:sz w:val="22"/>
          <w:szCs w:val="22"/>
        </w:rPr>
        <w:t>temporalmente por razones de interés público, en los términos de las causas legítimas y estrictamente necesarias previstas por esta Ley.</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w:t>
      </w:r>
      <w:r>
        <w:rPr>
          <w:rFonts w:ascii="Palatino Linotype" w:eastAsia="Palatino Linotype" w:hAnsi="Palatino Linotype" w:cs="Palatino Linotype"/>
          <w:i/>
          <w:sz w:val="22"/>
          <w:szCs w:val="22"/>
        </w:rPr>
        <w:t>ios de publicidad, veracidad, oportunidad, precisión y suficiencia en beneficio de los solicitantes.”</w:t>
      </w:r>
    </w:p>
    <w:p w:rsidR="00AD70DA" w:rsidRDefault="00AD70DA">
      <w:pPr>
        <w:spacing w:line="360" w:lineRule="auto"/>
        <w:ind w:left="567" w:right="560"/>
        <w:jc w:val="both"/>
        <w:rPr>
          <w:rFonts w:ascii="Palatino Linotype" w:eastAsia="Palatino Linotype" w:hAnsi="Palatino Linotype" w:cs="Palatino Linotype"/>
          <w:i/>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w:t>
      </w:r>
      <w:r>
        <w:rPr>
          <w:rFonts w:ascii="Palatino Linotype" w:eastAsia="Palatino Linotype" w:hAnsi="Palatino Linotype" w:cs="Palatino Linotype"/>
          <w:sz w:val="22"/>
          <w:szCs w:val="22"/>
        </w:rPr>
        <w:t>e les hagan de su conocimiento y proporcionar la información pública que obren en su poder como así lo establece el artículo 12 de la Ley de Transparencia y Acceso a la Información Pública del Estado de México y Municipios, el cual a la letra dice:</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w:t>
      </w:r>
      <w:r>
        <w:rPr>
          <w:rFonts w:ascii="Palatino Linotype" w:eastAsia="Palatino Linotype" w:hAnsi="Palatino Linotype" w:cs="Palatino Linotype"/>
          <w:b/>
          <w:i/>
          <w:sz w:val="22"/>
          <w:szCs w:val="22"/>
        </w:rPr>
        <w:t>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w:t>
      </w:r>
      <w:r>
        <w:rPr>
          <w:rFonts w:ascii="Palatino Linotype" w:eastAsia="Palatino Linotype" w:hAnsi="Palatino Linotype" w:cs="Palatino Linotype"/>
          <w:i/>
          <w:sz w:val="22"/>
          <w:szCs w:val="22"/>
        </w:rPr>
        <w:t xml:space="preserve"> pública que se les requiera y que obre en sus archivos y en el estado en que ésta se encuentre. La obligación de proporcionar información no comprende el procesamiento de la misma, ni el presentarla conforme al interés del solicitante; no estarán obligado</w:t>
      </w:r>
      <w:r>
        <w:rPr>
          <w:rFonts w:ascii="Palatino Linotype" w:eastAsia="Palatino Linotype" w:hAnsi="Palatino Linotype" w:cs="Palatino Linotype"/>
          <w:i/>
          <w:sz w:val="22"/>
          <w:szCs w:val="22"/>
        </w:rPr>
        <w:t xml:space="preserve">s a generarla, resumirla, efectuar cálculos o practicar investigaciones.” </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 no tienen el deber de generar, poseer o administrar la infor</w:t>
      </w:r>
      <w:r>
        <w:rPr>
          <w:rFonts w:ascii="Palatino Linotype" w:eastAsia="Palatino Linotype" w:hAnsi="Palatino Linotype" w:cs="Palatino Linotype"/>
          <w:sz w:val="22"/>
          <w:szCs w:val="22"/>
        </w:rPr>
        <w:t>mación pública con el grado de detalle solicitado; esto es, que no tienen el deber de generar un documento ad hoc, para satisfacer el derecho de acceso a la información pública, como así lo establece el Criterio  Orientador 03/17 emitido por el entonces In</w:t>
      </w:r>
      <w:r>
        <w:rPr>
          <w:rFonts w:ascii="Palatino Linotype" w:eastAsia="Palatino Linotype" w:hAnsi="Palatino Linotype" w:cs="Palatino Linotype"/>
          <w:sz w:val="22"/>
          <w:szCs w:val="22"/>
        </w:rPr>
        <w:t>stituto Nacional de Transparencia, Acceso a la Información Pública y Protección de Datos Personales, el cual señala lo siguiente:</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03/17</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Pr>
          <w:rFonts w:ascii="Palatino Linotype" w:eastAsia="Palatino Linotype" w:hAnsi="Palatino Linotype" w:cs="Palatino Linotype"/>
          <w:i/>
          <w:sz w:val="22"/>
          <w:szCs w:val="22"/>
        </w:rPr>
        <w:t>L</w:t>
      </w:r>
      <w:r>
        <w:rPr>
          <w:rFonts w:ascii="Palatino Linotype" w:eastAsia="Palatino Linotype" w:hAnsi="Palatino Linotype" w:cs="Palatino Linotype"/>
          <w:i/>
          <w:sz w:val="22"/>
          <w:szCs w:val="22"/>
        </w:rPr>
        <w:t>os artículos 129 de la Ley General de Transparencia y Acceso a la Información Pública y 130, párrafo cuarto, de la Ley Federal de Transparencia y Acceso a la Información Pública, señalan que los sujetos obligados deberán otorgar acceso a los documentos que</w:t>
      </w:r>
      <w:r>
        <w:rPr>
          <w:rFonts w:ascii="Palatino Linotype" w:eastAsia="Palatino Linotype" w:hAnsi="Palatino Linotype" w:cs="Palatino Linotype"/>
          <w:i/>
          <w:sz w:val="22"/>
          <w:szCs w:val="22"/>
        </w:rPr>
        <w:t xml:space="preserve"> se encuentren en sus archivos o que estén obligados a documentar, de acuerdo con sus facultades, competencias o funciones, conforme a Las características físicas de la información o del lugar donde se encuentre. Por lo anterior, los sujetos obligados debe</w:t>
      </w:r>
      <w:r>
        <w:rPr>
          <w:rFonts w:ascii="Palatino Linotype" w:eastAsia="Palatino Linotype" w:hAnsi="Palatino Linotype" w:cs="Palatino Linotype"/>
          <w:i/>
          <w:sz w:val="22"/>
          <w:szCs w:val="22"/>
        </w:rPr>
        <w:t>n garantizar el derecho de acceso a la información del particular, proporcionando la información con la que cuentan en el formato en que la misma obre en sus archivos; sin necesidad de elaborar documentos ad hoc para atender las solicitudes de información.</w:t>
      </w:r>
      <w:r>
        <w:rPr>
          <w:rFonts w:ascii="Palatino Linotype" w:eastAsia="Palatino Linotype" w:hAnsi="Palatino Linotype" w:cs="Palatino Linotype"/>
          <w:i/>
          <w:sz w:val="22"/>
          <w:szCs w:val="22"/>
        </w:rPr>
        <w:t>"</w:t>
      </w:r>
    </w:p>
    <w:p w:rsidR="00AD70DA" w:rsidRDefault="00AD70DA">
      <w:pPr>
        <w:spacing w:line="360" w:lineRule="auto"/>
        <w:ind w:left="567" w:right="560"/>
        <w:jc w:val="both"/>
        <w:rPr>
          <w:rFonts w:ascii="Palatino Linotype" w:eastAsia="Palatino Linotype" w:hAnsi="Palatino Linotype" w:cs="Palatino Linotype"/>
          <w:b/>
          <w:i/>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Pr>
          <w:rFonts w:ascii="Palatino Linotype" w:eastAsia="Palatino Linotype" w:hAnsi="Palatino Linotype" w:cs="Palatino Linotype"/>
          <w:sz w:val="22"/>
          <w:szCs w:val="22"/>
        </w:rPr>
        <w:t>consiguiente, la información pública se encuentra a disposición de cualquier persona, lo que implica que es deber de los Sujetos Obligados, garantizar el Derecho de Acceso a la Información Pública.</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Siempre y cuando no se trate de información reservada o c</w:t>
      </w:r>
      <w:r>
        <w:rPr>
          <w:rFonts w:ascii="Palatino Linotype" w:eastAsia="Palatino Linotype" w:hAnsi="Palatino Linotype" w:cs="Palatino Linotype"/>
          <w:sz w:val="22"/>
          <w:szCs w:val="22"/>
        </w:rPr>
        <w:t>lasificada, que difundirla pondría en riesgo la seguridad jurídica y física del titular de la información, debiendo tener audacia los Sujetos Obligados para cuidar esta información a través del acuerdo clasificatorio del comité de transparencia y la versió</w:t>
      </w:r>
      <w:r>
        <w:rPr>
          <w:rFonts w:ascii="Palatino Linotype" w:eastAsia="Palatino Linotype" w:hAnsi="Palatino Linotype" w:cs="Palatino Linotype"/>
          <w:sz w:val="22"/>
          <w:szCs w:val="22"/>
        </w:rPr>
        <w:t>n pública que emita el servidor público habilitado de cada Sujeto Obligado; como así se establece en la Ley de Transparencia y Acceso a la Información Pública del Estado de México y Municipios.</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conclusión, el derecho de acceso a la información pública,</w:t>
      </w:r>
      <w:r>
        <w:rPr>
          <w:rFonts w:ascii="Palatino Linotype" w:eastAsia="Palatino Linotype" w:hAnsi="Palatino Linotype" w:cs="Palatino Linotype"/>
          <w:sz w:val="22"/>
          <w:szCs w:val="22"/>
        </w:rPr>
        <w:t xml:space="preserve"> consiste en que la información solicitada conste en un documento en cualquiera de sus formas, a saber: expedientes, reportes, estudios, actas, resoluciones, oficios, correspondencia, acuerdos, directivas, directrices, circulares, contratos, convenios, ins</w:t>
      </w:r>
      <w:r>
        <w:rPr>
          <w:rFonts w:ascii="Palatino Linotype" w:eastAsia="Palatino Linotype" w:hAnsi="Palatino Linotype" w:cs="Palatino Linotype"/>
          <w:sz w:val="22"/>
          <w:szCs w:val="22"/>
        </w:rPr>
        <w:t>tructivos, notas, memorandos, estadísticas o bien, cualquier otro registro que documente el ejercicio de las facultades, funciones y competencias de los Sujetos Obligados; los que, podrán estar en cualquier medio, sea escrito, impreso, sonoro, visual, elec</w:t>
      </w:r>
      <w:r>
        <w:rPr>
          <w:rFonts w:ascii="Palatino Linotype" w:eastAsia="Palatino Linotype" w:hAnsi="Palatino Linotype" w:cs="Palatino Linotype"/>
          <w:sz w:val="22"/>
          <w:szCs w:val="22"/>
        </w:rPr>
        <w:t xml:space="preserve">trónico, informático u holográfico de conformidad con el artículo 3, fracción XI de la Ley de la materia, el cual señala lo siguiente: </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w:t>
      </w:r>
      <w:r>
        <w:rPr>
          <w:rFonts w:ascii="Palatino Linotype" w:eastAsia="Palatino Linotype" w:hAnsi="Palatino Linotype" w:cs="Palatino Linotype"/>
          <w:i/>
          <w:sz w:val="22"/>
          <w:szCs w:val="22"/>
        </w:rPr>
        <w:t>io de las facultades, funciones y competencias de los sujetos obligados, sus servidores públicos e integrantes, sin importar su fuente o fecha de elaboración. Los documentos podrán estar en cualquier medio, sea escrito, impreso, sonoro, visual, electrónico</w:t>
      </w:r>
      <w:r>
        <w:rPr>
          <w:rFonts w:ascii="Palatino Linotype" w:eastAsia="Palatino Linotype" w:hAnsi="Palatino Linotype" w:cs="Palatino Linotype"/>
          <w:i/>
          <w:sz w:val="22"/>
          <w:szCs w:val="22"/>
        </w:rPr>
        <w:t xml:space="preserve">, informático u holográfico…” </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w:t>
      </w:r>
      <w:r>
        <w:rPr>
          <w:rFonts w:ascii="Palatino Linotype" w:eastAsia="Palatino Linotype" w:hAnsi="Palatino Linotype" w:cs="Palatino Linotype"/>
          <w:sz w:val="22"/>
          <w:szCs w:val="22"/>
        </w:rPr>
        <w:t>licado en el Periódico Oficial del Gobierno del Estado Libre y Soberano de México “Gaceta del Gobierno”, el diecinueve de octubre de dos mil once, cuyo rubro y texto refieren lo siguiente:</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0002-11</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w:t>
      </w:r>
      <w:r>
        <w:rPr>
          <w:rFonts w:ascii="Palatino Linotype" w:eastAsia="Palatino Linotype" w:hAnsi="Palatino Linotype" w:cs="Palatino Linotype"/>
          <w:b/>
          <w:i/>
          <w:sz w:val="22"/>
          <w:szCs w:val="22"/>
        </w:rPr>
        <w:t>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w:t>
      </w:r>
      <w:r>
        <w:rPr>
          <w:rFonts w:ascii="Palatino Linotype" w:eastAsia="Palatino Linotype" w:hAnsi="Palatino Linotype" w:cs="Palatino Linotype"/>
          <w:i/>
          <w:sz w:val="22"/>
          <w:szCs w:val="22"/>
        </w:rPr>
        <w:t>l acceso a los archivos, registros y documentos públicos, administrados, generados o en posesión de los órganos u organismos públicos, en virtud del ejercicio de sus funciones de derecho público, sin importar su fuente, soporte o fecha de elaboración.</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w:t>
      </w:r>
      <w:r>
        <w:rPr>
          <w:rFonts w:ascii="Palatino Linotype" w:eastAsia="Palatino Linotype" w:hAnsi="Palatino Linotype" w:cs="Palatino Linotype"/>
          <w:i/>
          <w:sz w:val="22"/>
          <w:szCs w:val="22"/>
        </w:rPr>
        <w:t>onsecuencia el acceso a la información se refiere a que se cumplan cualquiera de los siguientes tres supuestos: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w:t>
      </w:r>
      <w:r>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w:t>
      </w:r>
      <w:r>
        <w:rPr>
          <w:rFonts w:ascii="Palatino Linotype" w:eastAsia="Palatino Linotype" w:hAnsi="Palatino Linotype" w:cs="Palatino Linotype"/>
          <w:i/>
          <w:sz w:val="22"/>
          <w:szCs w:val="22"/>
        </w:rPr>
        <w:t xml:space="preserve"> Sujetos Obligados;</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w:t>
      </w:r>
      <w:r>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rsidR="00AD70DA" w:rsidRDefault="00941208">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w:t>
      </w:r>
      <w:r>
        <w:rPr>
          <w:rFonts w:ascii="Palatino Linotype" w:eastAsia="Palatino Linotype" w:hAnsi="Palatino Linotype" w:cs="Palatino Linotype"/>
          <w:i/>
          <w:sz w:val="22"/>
          <w:szCs w:val="22"/>
        </w:rPr>
        <w:t xml:space="preserve">umental, que en ejercicio de las atribuciones conferidas, se encuentre en posesión de los Sujetos Obligados.” </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w:t>
      </w:r>
      <w:r>
        <w:rPr>
          <w:rFonts w:ascii="Palatino Linotype" w:eastAsia="Palatino Linotype" w:hAnsi="Palatino Linotype" w:cs="Palatino Linotype"/>
          <w:sz w:val="22"/>
          <w:szCs w:val="22"/>
        </w:rPr>
        <w:t>ual se relaciona con aquella que se genere de acuerdo con sus facultades, atribuciones señaladas por la Ley en la materia, así como de interés público, es decir, aquella que resulta relevante o beneficiosa para la sociedad y no simplemente de interés indiv</w:t>
      </w:r>
      <w:r>
        <w:rPr>
          <w:rFonts w:ascii="Palatino Linotype" w:eastAsia="Palatino Linotype" w:hAnsi="Palatino Linotype" w:cs="Palatino Linotype"/>
          <w:sz w:val="22"/>
          <w:szCs w:val="22"/>
        </w:rPr>
        <w:t>idual y cuya divulgación resulta útil para que el público comprenda las actividades que llevan a cabo los Sujetos Obligados.</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las actuaciones que integran el expediente electrónico, se procede al análisis de los agravios hechos valer por la parte Recurr</w:t>
      </w:r>
      <w:r>
        <w:rPr>
          <w:rFonts w:ascii="Palatino Linotype" w:eastAsia="Palatino Linotype" w:hAnsi="Palatino Linotype" w:cs="Palatino Linotype"/>
          <w:sz w:val="22"/>
          <w:szCs w:val="22"/>
        </w:rPr>
        <w:t>ente, relativos a la entrega negativa de la información contemplada en la fracción V del artículo 179 de la Ley de Transparencia y Acceso a la Información Pública del Estado de México y Municipios.</w:t>
      </w:r>
    </w:p>
    <w:p w:rsidR="00AD70DA" w:rsidRDefault="00AD70DA">
      <w:pPr>
        <w:spacing w:line="276" w:lineRule="auto"/>
        <w:ind w:left="851" w:right="616"/>
        <w:jc w:val="both"/>
        <w:rPr>
          <w:rFonts w:ascii="Palatino Linotype" w:eastAsia="Palatino Linotype" w:hAnsi="Palatino Linotype" w:cs="Palatino Linotype"/>
          <w:b/>
          <w:i/>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Dicho lo anterior, es de recordar que la pretensión de la</w:t>
      </w:r>
      <w:r>
        <w:rPr>
          <w:rFonts w:ascii="Palatino Linotype" w:eastAsia="Palatino Linotype" w:hAnsi="Palatino Linotype" w:cs="Palatino Linotype"/>
          <w:sz w:val="22"/>
          <w:szCs w:val="22"/>
        </w:rPr>
        <w:t xml:space="preserve"> parte Recurrente es obtener acceso a la siguiente información:</w:t>
      </w:r>
    </w:p>
    <w:p w:rsidR="00AD70DA" w:rsidRDefault="00AD70DA">
      <w:pPr>
        <w:spacing w:line="360" w:lineRule="auto"/>
        <w:ind w:right="49"/>
        <w:jc w:val="both"/>
        <w:rPr>
          <w:rFonts w:ascii="Palatino Linotype" w:eastAsia="Palatino Linotype" w:hAnsi="Palatino Linotype" w:cs="Palatino Linotype"/>
          <w:sz w:val="22"/>
          <w:szCs w:val="22"/>
        </w:rPr>
      </w:pPr>
    </w:p>
    <w:p w:rsidR="00AD70DA" w:rsidRDefault="00941208">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Nombres y cargos de los integrantes del consejo de participación ciudadana (COPACI) y delegados de las distintas comunidades que conforman el municipio</w:t>
      </w:r>
    </w:p>
    <w:p w:rsidR="00AD70DA" w:rsidRDefault="00AD70DA">
      <w:p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derivado de la naturaleza </w:t>
      </w:r>
      <w:r>
        <w:rPr>
          <w:rFonts w:ascii="Palatino Linotype" w:eastAsia="Palatino Linotype" w:hAnsi="Palatino Linotype" w:cs="Palatino Linotype"/>
          <w:sz w:val="22"/>
          <w:szCs w:val="22"/>
        </w:rPr>
        <w:t xml:space="preserve">de la información solicitada, es necesario traer a contexto la Ley Orgánica Municipal del Estado de México, se advierte que los delegados son autoridades auxiliares, como se observa a continuación: </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56.-</w:t>
      </w:r>
      <w:r>
        <w:rPr>
          <w:rFonts w:ascii="Palatino Linotype" w:eastAsia="Palatino Linotype" w:hAnsi="Palatino Linotype" w:cs="Palatino Linotype"/>
          <w:i/>
          <w:sz w:val="22"/>
          <w:szCs w:val="22"/>
        </w:rPr>
        <w:t xml:space="preserve"> Son autoridades auxiliares municipales, las personas titulares de las delegaciones, subdelegaciones, jefaturas de sector, de sección y de manzana que designe el Ayuntamiento. Para la elección y designación de autoridades auxiliares, se deberá observar en </w:t>
      </w:r>
      <w:r>
        <w:rPr>
          <w:rFonts w:ascii="Palatino Linotype" w:eastAsia="Palatino Linotype" w:hAnsi="Palatino Linotype" w:cs="Palatino Linotype"/>
          <w:i/>
          <w:sz w:val="22"/>
          <w:szCs w:val="22"/>
        </w:rPr>
        <w:t xml:space="preserve">todo momento los principios de igualdad, equidad y garantizar la paridad de género. </w:t>
      </w:r>
    </w:p>
    <w:p w:rsidR="00AD70DA" w:rsidRDefault="00AD70DA">
      <w:pPr>
        <w:spacing w:line="276" w:lineRule="auto"/>
        <w:ind w:left="567" w:right="616"/>
        <w:jc w:val="both"/>
        <w:rPr>
          <w:rFonts w:ascii="Palatino Linotype" w:eastAsia="Palatino Linotype" w:hAnsi="Palatino Linotype" w:cs="Palatino Linotype"/>
          <w:i/>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57.-</w:t>
      </w:r>
      <w:r>
        <w:rPr>
          <w:rFonts w:ascii="Palatino Linotype" w:eastAsia="Palatino Linotype" w:hAnsi="Palatino Linotype" w:cs="Palatino Linotype"/>
          <w:i/>
          <w:sz w:val="22"/>
          <w:szCs w:val="22"/>
        </w:rPr>
        <w:t xml:space="preserve"> Las autoridades auxiliares municipales ejercerán, en sus respectivas jurisdicciones, las atribuciones que les delegue el Ayuntamiento, para mantener el orde</w:t>
      </w:r>
      <w:r>
        <w:rPr>
          <w:rFonts w:ascii="Palatino Linotype" w:eastAsia="Palatino Linotype" w:hAnsi="Palatino Linotype" w:cs="Palatino Linotype"/>
          <w:i/>
          <w:sz w:val="22"/>
          <w:szCs w:val="22"/>
        </w:rPr>
        <w:t xml:space="preserve">n, la tranquilidad, la paz social, la seguridad y la protección de las personas vecinas, conforme a lo establecido en esta Ley, el Bando Municipal y los reglamentos respectivos. </w:t>
      </w:r>
    </w:p>
    <w:p w:rsidR="00AD70DA" w:rsidRDefault="00AD70DA">
      <w:pPr>
        <w:spacing w:line="276" w:lineRule="auto"/>
        <w:ind w:left="567" w:right="616"/>
        <w:jc w:val="both"/>
        <w:rPr>
          <w:rFonts w:ascii="Palatino Linotype" w:eastAsia="Palatino Linotype" w:hAnsi="Palatino Linotype" w:cs="Palatino Linotype"/>
          <w:i/>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Corresponde a las personas titulares de las delegaciones: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Vigilar el</w:t>
      </w:r>
      <w:r>
        <w:rPr>
          <w:rFonts w:ascii="Palatino Linotype" w:eastAsia="Palatino Linotype" w:hAnsi="Palatino Linotype" w:cs="Palatino Linotype"/>
          <w:i/>
          <w:sz w:val="22"/>
          <w:szCs w:val="22"/>
        </w:rPr>
        <w:t xml:space="preserve"> cumplimiento del bando municipal, de las disposiciones reglamentarias que expida el ayuntamiento y reportar a la dependencia administrativa correspondiente, las violaciones a las mismas;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Coadyuvar con el ayuntamiento en la elaboración y ejecución del</w:t>
      </w:r>
      <w:r>
        <w:rPr>
          <w:rFonts w:ascii="Palatino Linotype" w:eastAsia="Palatino Linotype" w:hAnsi="Palatino Linotype" w:cs="Palatino Linotype"/>
          <w:i/>
          <w:sz w:val="22"/>
          <w:szCs w:val="22"/>
        </w:rPr>
        <w:t xml:space="preserve"> Plan de Desarrollo Municipal y de los programas que de él se deriven;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Auxiliar al secretario del ayuntamiento con la información que requiera para expedir certificaciones; </w:t>
      </w:r>
    </w:p>
    <w:p w:rsidR="00AD70DA" w:rsidRDefault="00941208">
      <w:pPr>
        <w:spacing w:line="276" w:lineRule="auto"/>
        <w:ind w:left="567"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d). Informar anualmente a sus representados y al ayuntamiento, sobre la admin</w:t>
      </w:r>
      <w:r>
        <w:rPr>
          <w:rFonts w:ascii="Palatino Linotype" w:eastAsia="Palatino Linotype" w:hAnsi="Palatino Linotype" w:cs="Palatino Linotype"/>
          <w:b/>
          <w:i/>
          <w:sz w:val="22"/>
          <w:szCs w:val="22"/>
          <w:u w:val="single"/>
        </w:rPr>
        <w:t xml:space="preserve">istración de los recursos que en su caso tenga encomendados, y del estado que guardan los asuntos a su cargo;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Elaborar los programas de trabajo para las delegaciones y subdelegaciones, con la asesoría del ayuntamiento.</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f) vigilar el estado de los can</w:t>
      </w:r>
      <w:r>
        <w:rPr>
          <w:rFonts w:ascii="Palatino Linotype" w:eastAsia="Palatino Linotype" w:hAnsi="Palatino Linotype" w:cs="Palatino Linotype"/>
          <w:i/>
          <w:sz w:val="22"/>
          <w:szCs w:val="22"/>
        </w:rPr>
        <w:t xml:space="preserve">ales, vasos colectores, barrancas, canales alcantarillados y demás desagües e informar al ayuntamiento para la realización de acciones correctivas.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g) Emitir opinión motivada no vinculante, respecto a la autorización de la instalación de nuevos establecim</w:t>
      </w:r>
      <w:r>
        <w:rPr>
          <w:rFonts w:ascii="Palatino Linotype" w:eastAsia="Palatino Linotype" w:hAnsi="Palatino Linotype" w:cs="Palatino Linotype"/>
          <w:i/>
          <w:sz w:val="22"/>
          <w:szCs w:val="22"/>
        </w:rPr>
        <w:t xml:space="preserve">ientos comerciales, licencias de construcción y cambios de uso de suelo en sus comunidades.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Corresponde a las personas titulares de las jefaturas de sector, de sección y de manzana:</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Colaborar para mantener el orden, la seguridad y la tranquilidad </w:t>
      </w:r>
      <w:r>
        <w:rPr>
          <w:rFonts w:ascii="Palatino Linotype" w:eastAsia="Palatino Linotype" w:hAnsi="Palatino Linotype" w:cs="Palatino Linotype"/>
          <w:i/>
          <w:sz w:val="22"/>
          <w:szCs w:val="22"/>
        </w:rPr>
        <w:t xml:space="preserve">de los vecinos del lugar, reportando ante los cuerpos de seguridad pública, a las personas jueces cívicos las conductas que requieran de su intervención;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Elaborar y mantener actualizado el censo de vecinos de la demarcación correspondiente;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Infor</w:t>
      </w:r>
      <w:r>
        <w:rPr>
          <w:rFonts w:ascii="Palatino Linotype" w:eastAsia="Palatino Linotype" w:hAnsi="Palatino Linotype" w:cs="Palatino Linotype"/>
          <w:i/>
          <w:sz w:val="22"/>
          <w:szCs w:val="22"/>
        </w:rPr>
        <w:t xml:space="preserve">mar al delegado las deficiencias que presenten los servicios públicos municipales;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Participar en la preservación y restauración del medio ambiente, así como en la protección civil de los vecinos</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Las personas titulares de las delegacion</w:t>
      </w:r>
      <w:r>
        <w:rPr>
          <w:rFonts w:ascii="Palatino Linotype" w:eastAsia="Palatino Linotype" w:hAnsi="Palatino Linotype" w:cs="Palatino Linotype"/>
          <w:i/>
          <w:sz w:val="22"/>
          <w:szCs w:val="22"/>
        </w:rPr>
        <w:t>es y subdelegaciones municipales no pueden:</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Cobrar contribuciones municipales sin la autorización expresa de la ley; II. Autorizar ningún tipo de licencia de construcción y alineamiento o para la apertura de establecimientos;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Mantener detenidas a </w:t>
      </w:r>
      <w:r>
        <w:rPr>
          <w:rFonts w:ascii="Palatino Linotype" w:eastAsia="Palatino Linotype" w:hAnsi="Palatino Linotype" w:cs="Palatino Linotype"/>
          <w:i/>
          <w:sz w:val="22"/>
          <w:szCs w:val="22"/>
        </w:rPr>
        <w:t xml:space="preserve">las personas, sin conocimiento de las autoridades municipales; IV. Poner en libertad a los detenidos en flagrancia por delito del fuero común o federal;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Autorizar inhumaciones y exhumaciones; </w:t>
      </w: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Hacer lo que no esté previsto en esta Ley y en otros or</w:t>
      </w:r>
      <w:r>
        <w:rPr>
          <w:rFonts w:ascii="Palatino Linotype" w:eastAsia="Palatino Linotype" w:hAnsi="Palatino Linotype" w:cs="Palatino Linotype"/>
          <w:i/>
          <w:sz w:val="22"/>
          <w:szCs w:val="22"/>
        </w:rPr>
        <w:t>denamientos municipales.</w:t>
      </w:r>
    </w:p>
    <w:p w:rsidR="00AD70DA" w:rsidRDefault="00AD70DA">
      <w:pPr>
        <w:spacing w:line="276" w:lineRule="auto"/>
        <w:ind w:left="567" w:right="616"/>
        <w:jc w:val="both"/>
        <w:rPr>
          <w:rFonts w:ascii="Palatino Linotype" w:eastAsia="Palatino Linotype" w:hAnsi="Palatino Linotype" w:cs="Palatino Linotype"/>
          <w:b/>
          <w:i/>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 Bis.- Las personas titulares de delegaciones y subdelegaciones permanecerán en su encargo tres años y su elección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será el último domingo del mes de marzo del primer año de gobierno del Ayuntamiento respectivo</w:t>
      </w:r>
      <w:r>
        <w:rPr>
          <w:rFonts w:ascii="Palatino Linotype" w:eastAsia="Palatino Linotype" w:hAnsi="Palatino Linotype" w:cs="Palatino Linotype"/>
          <w:i/>
          <w:sz w:val="22"/>
          <w:szCs w:val="22"/>
        </w:rPr>
        <w:t>; de confo</w:t>
      </w:r>
      <w:r>
        <w:rPr>
          <w:rFonts w:ascii="Palatino Linotype" w:eastAsia="Palatino Linotype" w:hAnsi="Palatino Linotype" w:cs="Palatino Linotype"/>
          <w:i/>
          <w:sz w:val="22"/>
          <w:szCs w:val="22"/>
        </w:rPr>
        <w:t>rmidad con la convocatoria que deberá ser expedida por el Ayuntamiento al menos diez días antes del inicio de registro de las planillas y deberá contemplar cinco días posteriores al registro de las mismas, las cuales contarán con tres días posteriores al c</w:t>
      </w:r>
      <w:r>
        <w:rPr>
          <w:rFonts w:ascii="Palatino Linotype" w:eastAsia="Palatino Linotype" w:hAnsi="Palatino Linotype" w:cs="Palatino Linotype"/>
          <w:i/>
          <w:sz w:val="22"/>
          <w:szCs w:val="22"/>
        </w:rPr>
        <w:t xml:space="preserve">ierre del registro de planillas de las personas titulares de las delegaciones y subdelegaciones para subsanar las inconsistencias que se presenten. </w:t>
      </w:r>
    </w:p>
    <w:p w:rsidR="00AD70DA" w:rsidRDefault="00AD70DA">
      <w:pPr>
        <w:spacing w:line="276" w:lineRule="auto"/>
        <w:ind w:left="567" w:right="616"/>
        <w:jc w:val="both"/>
        <w:rPr>
          <w:rFonts w:ascii="Palatino Linotype" w:eastAsia="Palatino Linotype" w:hAnsi="Palatino Linotype" w:cs="Palatino Linotype"/>
          <w:i/>
          <w:sz w:val="22"/>
          <w:szCs w:val="22"/>
        </w:rPr>
      </w:pPr>
    </w:p>
    <w:p w:rsidR="00AD70DA" w:rsidRDefault="00941208">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convocatoria deberá señalar los datos específicos de las elecciones y ser publicada y difundida por los</w:t>
      </w:r>
      <w:r>
        <w:rPr>
          <w:rFonts w:ascii="Palatino Linotype" w:eastAsia="Palatino Linotype" w:hAnsi="Palatino Linotype" w:cs="Palatino Linotype"/>
          <w:i/>
          <w:sz w:val="22"/>
          <w:szCs w:val="22"/>
        </w:rPr>
        <w:t xml:space="preserve"> medios adecuados y suficientes a partir de su expedición por los ayuntamientos en cada una de las delegaciones municipales correspondientes. Los nombramientos de las autoridades auxiliares serán firmados por las personas titulares de la Presidencia Munici</w:t>
      </w:r>
      <w:r>
        <w:rPr>
          <w:rFonts w:ascii="Palatino Linotype" w:eastAsia="Palatino Linotype" w:hAnsi="Palatino Linotype" w:cs="Palatino Linotype"/>
          <w:i/>
          <w:sz w:val="22"/>
          <w:szCs w:val="22"/>
        </w:rPr>
        <w:t>pal y la Secretaría del Ayuntamiento, entregándose a más tardar el día en que entren en funciones, que será el 15 de abril del mismo año.</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de lo anterior, se advierte que en las delimitaciones territoriales de los municipios, en sus delegaciones deben contar con autoridades auxiliares, denominados delegados, los cuales durarán en su cargo tres años y serán elector por eleccion</w:t>
      </w:r>
      <w:r>
        <w:rPr>
          <w:rFonts w:ascii="Palatino Linotype" w:eastAsia="Palatino Linotype" w:hAnsi="Palatino Linotype" w:cs="Palatino Linotype"/>
          <w:sz w:val="22"/>
          <w:szCs w:val="22"/>
        </w:rPr>
        <w:t>es que estarán establecidas por convocatorias previas emitidas por los Ayuntamientos.</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 Ley Orgánica Municipal del Estado de México establecen en sus artículos 64 fracción II y 72 que, </w:t>
      </w:r>
      <w:r>
        <w:rPr>
          <w:rFonts w:ascii="Palatino Linotype" w:eastAsia="Palatino Linotype" w:hAnsi="Palatino Linotype" w:cs="Palatino Linotype"/>
          <w:b/>
          <w:sz w:val="22"/>
          <w:szCs w:val="22"/>
        </w:rPr>
        <w:t>para el eficaz desempeño de sus funciones públicas, así c</w:t>
      </w:r>
      <w:r>
        <w:rPr>
          <w:rFonts w:ascii="Palatino Linotype" w:eastAsia="Palatino Linotype" w:hAnsi="Palatino Linotype" w:cs="Palatino Linotype"/>
          <w:b/>
          <w:sz w:val="22"/>
          <w:szCs w:val="22"/>
        </w:rPr>
        <w:t>omo para la gestión, promoción y ejecución de los planes y programas municipales en las diversas materias</w:t>
      </w:r>
      <w:r>
        <w:rPr>
          <w:rFonts w:ascii="Palatino Linotype" w:eastAsia="Palatino Linotype" w:hAnsi="Palatino Linotype" w:cs="Palatino Linotype"/>
          <w:sz w:val="22"/>
          <w:szCs w:val="22"/>
        </w:rPr>
        <w:t xml:space="preserve">, los </w:t>
      </w:r>
      <w:r>
        <w:rPr>
          <w:rFonts w:ascii="Palatino Linotype" w:eastAsia="Palatino Linotype" w:hAnsi="Palatino Linotype" w:cs="Palatino Linotype"/>
          <w:b/>
          <w:sz w:val="22"/>
          <w:szCs w:val="22"/>
        </w:rPr>
        <w:t xml:space="preserve">ayuntamientos podrán auxiliarse de </w:t>
      </w:r>
      <w:r>
        <w:rPr>
          <w:rFonts w:ascii="Palatino Linotype" w:eastAsia="Palatino Linotype" w:hAnsi="Palatino Linotype" w:cs="Palatino Linotype"/>
          <w:b/>
          <w:sz w:val="22"/>
          <w:szCs w:val="22"/>
          <w:u w:val="single"/>
        </w:rPr>
        <w:t>Consejos de Participación Ciudadana</w:t>
      </w:r>
      <w:r>
        <w:rPr>
          <w:rFonts w:ascii="Palatino Linotype" w:eastAsia="Palatino Linotype" w:hAnsi="Palatino Linotype" w:cs="Palatino Linotype"/>
          <w:b/>
          <w:sz w:val="22"/>
          <w:szCs w:val="22"/>
        </w:rPr>
        <w:t>. </w:t>
      </w:r>
    </w:p>
    <w:p w:rsidR="00AD70DA" w:rsidRDefault="00AD70DA">
      <w:pPr>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conviene traer a colación el contenido de los artículos 73, 7</w:t>
      </w:r>
      <w:r>
        <w:rPr>
          <w:rFonts w:ascii="Palatino Linotype" w:eastAsia="Palatino Linotype" w:hAnsi="Palatino Linotype" w:cs="Palatino Linotype"/>
          <w:color w:val="000000"/>
          <w:sz w:val="22"/>
          <w:szCs w:val="22"/>
        </w:rPr>
        <w:t>4 y 76 de la citada Ley Orgánica, los cuales exponen lo siguiente: </w:t>
      </w:r>
    </w:p>
    <w:p w:rsidR="00AD70DA" w:rsidRDefault="00AD70DA">
      <w:pPr>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73.-</w:t>
      </w:r>
      <w:r>
        <w:rPr>
          <w:rFonts w:ascii="Palatino Linotype" w:eastAsia="Palatino Linotype" w:hAnsi="Palatino Linotype" w:cs="Palatino Linotype"/>
          <w:i/>
          <w:color w:val="000000"/>
          <w:sz w:val="22"/>
          <w:szCs w:val="22"/>
        </w:rPr>
        <w:t xml:space="preserve"> Cada consejo de participación ciudadana municipal se </w:t>
      </w:r>
      <w:r>
        <w:rPr>
          <w:rFonts w:ascii="Palatino Linotype" w:eastAsia="Palatino Linotype" w:hAnsi="Palatino Linotype" w:cs="Palatino Linotype"/>
          <w:b/>
          <w:i/>
          <w:color w:val="000000"/>
          <w:sz w:val="22"/>
          <w:szCs w:val="22"/>
          <w:u w:val="single"/>
        </w:rPr>
        <w:t>integrará hasta con cinco personas vecinas del municipio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con sus respectivos suplentes del mismo género o mujer, </w:t>
      </w:r>
      <w:r>
        <w:rPr>
          <w:rFonts w:ascii="Palatino Linotype" w:eastAsia="Palatino Linotype" w:hAnsi="Palatino Linotype" w:cs="Palatino Linotype"/>
          <w:b/>
          <w:i/>
          <w:color w:val="000000"/>
          <w:sz w:val="22"/>
          <w:szCs w:val="22"/>
          <w:u w:val="single"/>
        </w:rPr>
        <w:t>la integración de estos deberá observar los principios de igualdad, equidad y garantizar la paridad de género</w:t>
      </w:r>
      <w:r>
        <w:rPr>
          <w:rFonts w:ascii="Palatino Linotype" w:eastAsia="Palatino Linotype" w:hAnsi="Palatino Linotype" w:cs="Palatino Linotype"/>
          <w:i/>
          <w:color w:val="000000"/>
          <w:sz w:val="22"/>
          <w:szCs w:val="22"/>
        </w:rPr>
        <w:t>. De entre las personas que conformen el consejo una estará a cargo de la presidencia, una de la secretaría y una de la tesorería, en su caso dos v</w:t>
      </w:r>
      <w:r>
        <w:rPr>
          <w:rFonts w:ascii="Palatino Linotype" w:eastAsia="Palatino Linotype" w:hAnsi="Palatino Linotype" w:cs="Palatino Linotype"/>
          <w:i/>
          <w:color w:val="000000"/>
          <w:sz w:val="22"/>
          <w:szCs w:val="22"/>
        </w:rPr>
        <w:t xml:space="preserve">ocales, que </w:t>
      </w:r>
      <w:r>
        <w:rPr>
          <w:rFonts w:ascii="Palatino Linotype" w:eastAsia="Palatino Linotype" w:hAnsi="Palatino Linotype" w:cs="Palatino Linotype"/>
          <w:b/>
          <w:i/>
          <w:color w:val="000000"/>
          <w:sz w:val="22"/>
          <w:szCs w:val="22"/>
          <w:u w:val="single"/>
        </w:rPr>
        <w:t>serán electos en las diversas localidades</w:t>
      </w:r>
      <w:r>
        <w:rPr>
          <w:rFonts w:ascii="Palatino Linotype" w:eastAsia="Palatino Linotype" w:hAnsi="Palatino Linotype" w:cs="Palatino Linotype"/>
          <w:i/>
          <w:color w:val="000000"/>
          <w:sz w:val="22"/>
          <w:szCs w:val="22"/>
          <w:u w:val="single"/>
        </w:rPr>
        <w:t xml:space="preserve"> </w:t>
      </w:r>
      <w:r>
        <w:rPr>
          <w:rFonts w:ascii="Palatino Linotype" w:eastAsia="Palatino Linotype" w:hAnsi="Palatino Linotype" w:cs="Palatino Linotype"/>
          <w:b/>
          <w:i/>
          <w:color w:val="000000"/>
          <w:sz w:val="22"/>
          <w:szCs w:val="22"/>
          <w:u w:val="single"/>
        </w:rPr>
        <w:t>por habitantes de la comunidad</w:t>
      </w:r>
      <w:r>
        <w:rPr>
          <w:rFonts w:ascii="Palatino Linotype" w:eastAsia="Palatino Linotype" w:hAnsi="Palatino Linotype" w:cs="Palatino Linotype"/>
          <w:i/>
          <w:color w:val="000000"/>
          <w:sz w:val="22"/>
          <w:szCs w:val="22"/>
          <w:u w:val="single"/>
        </w:rPr>
        <w:t xml:space="preserve">, </w:t>
      </w:r>
      <w:r>
        <w:rPr>
          <w:rFonts w:ascii="Palatino Linotype" w:eastAsia="Palatino Linotype" w:hAnsi="Palatino Linotype" w:cs="Palatino Linotype"/>
          <w:b/>
          <w:i/>
          <w:color w:val="000000"/>
          <w:sz w:val="22"/>
          <w:szCs w:val="22"/>
          <w:u w:val="single"/>
        </w:rPr>
        <w:t>entre el segundo domingo de marzo y el 30 de ese mes del año inmediato siguiente a la elección del ayuntamiento</w:t>
      </w:r>
      <w:r>
        <w:rPr>
          <w:rFonts w:ascii="Palatino Linotype" w:eastAsia="Palatino Linotype" w:hAnsi="Palatino Linotype" w:cs="Palatino Linotype"/>
          <w:i/>
          <w:color w:val="000000"/>
          <w:sz w:val="22"/>
          <w:szCs w:val="22"/>
        </w:rPr>
        <w:t xml:space="preserve">, en la </w:t>
      </w:r>
      <w:r>
        <w:rPr>
          <w:rFonts w:ascii="Palatino Linotype" w:eastAsia="Palatino Linotype" w:hAnsi="Palatino Linotype" w:cs="Palatino Linotype"/>
          <w:b/>
          <w:i/>
          <w:color w:val="000000"/>
          <w:sz w:val="22"/>
          <w:szCs w:val="22"/>
          <w:u w:val="single"/>
        </w:rPr>
        <w:t>forma y términos que éste determine en la convocato</w:t>
      </w:r>
      <w:r>
        <w:rPr>
          <w:rFonts w:ascii="Palatino Linotype" w:eastAsia="Palatino Linotype" w:hAnsi="Palatino Linotype" w:cs="Palatino Linotype"/>
          <w:b/>
          <w:i/>
          <w:color w:val="000000"/>
          <w:sz w:val="22"/>
          <w:szCs w:val="22"/>
          <w:u w:val="single"/>
        </w:rPr>
        <w:t>ria</w:t>
      </w:r>
      <w:r>
        <w:rPr>
          <w:rFonts w:ascii="Palatino Linotype" w:eastAsia="Palatino Linotype" w:hAnsi="Palatino Linotype" w:cs="Palatino Linotype"/>
          <w:i/>
          <w:color w:val="000000"/>
          <w:sz w:val="22"/>
          <w:szCs w:val="22"/>
        </w:rPr>
        <w:t xml:space="preserve"> que deberá aprobar y publicar el ayuntamiento en los lugares más visibles y concurridos de cada comunidad, cuando menos quince días antes de la elección.</w:t>
      </w:r>
    </w:p>
    <w:p w:rsidR="00AD70DA" w:rsidRDefault="00AD70DA">
      <w:pPr>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El ayuntamiento expedirá los nombramientos respectivos firmados por la persona titular de la pres</w:t>
      </w:r>
      <w:r>
        <w:rPr>
          <w:rFonts w:ascii="Palatino Linotype" w:eastAsia="Palatino Linotype" w:hAnsi="Palatino Linotype" w:cs="Palatino Linotype"/>
          <w:i/>
          <w:color w:val="000000"/>
          <w:sz w:val="22"/>
          <w:szCs w:val="22"/>
        </w:rPr>
        <w:t>idencia municipal y la persona titular de la secretaría del ayuntamiento, entregándose a las personas electas a más tardar el día en que entren en funciones, que será el día 15 de abril del mismo año.</w:t>
      </w:r>
    </w:p>
    <w:p w:rsidR="00AD70DA" w:rsidRDefault="00AD70DA">
      <w:pPr>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 xml:space="preserve">Las personas integrantes del consejo de participación </w:t>
      </w:r>
      <w:r>
        <w:rPr>
          <w:rFonts w:ascii="Palatino Linotype" w:eastAsia="Palatino Linotype" w:hAnsi="Palatino Linotype" w:cs="Palatino Linotype"/>
          <w:b/>
          <w:i/>
          <w:color w:val="000000"/>
          <w:sz w:val="22"/>
          <w:szCs w:val="22"/>
        </w:rPr>
        <w:t>ciudadana que hayan participado en la gestión que termina no podrán ser electos a ningún cargo del consejo de participación ciudadana para el periodo inmediato siguiente.</w:t>
      </w:r>
    </w:p>
    <w:p w:rsidR="00AD70DA" w:rsidRDefault="00AD70DA">
      <w:pPr>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74.-</w:t>
      </w:r>
      <w:r>
        <w:rPr>
          <w:rFonts w:ascii="Palatino Linotype" w:eastAsia="Palatino Linotype" w:hAnsi="Palatino Linotype" w:cs="Palatino Linotype"/>
          <w:i/>
          <w:color w:val="000000"/>
          <w:sz w:val="22"/>
          <w:szCs w:val="22"/>
        </w:rPr>
        <w:t xml:space="preserve"> Los </w:t>
      </w:r>
      <w:r>
        <w:rPr>
          <w:rFonts w:ascii="Palatino Linotype" w:eastAsia="Palatino Linotype" w:hAnsi="Palatino Linotype" w:cs="Palatino Linotype"/>
          <w:b/>
          <w:i/>
          <w:color w:val="000000"/>
          <w:sz w:val="22"/>
          <w:szCs w:val="22"/>
        </w:rPr>
        <w:t>consejos de participación ciudadana</w:t>
      </w:r>
      <w:r>
        <w:rPr>
          <w:rFonts w:ascii="Palatino Linotype" w:eastAsia="Palatino Linotype" w:hAnsi="Palatino Linotype" w:cs="Palatino Linotype"/>
          <w:i/>
          <w:color w:val="000000"/>
          <w:sz w:val="22"/>
          <w:szCs w:val="22"/>
        </w:rPr>
        <w:t xml:space="preserve">, como órganos de comunicación </w:t>
      </w:r>
      <w:r>
        <w:rPr>
          <w:rFonts w:ascii="Palatino Linotype" w:eastAsia="Palatino Linotype" w:hAnsi="Palatino Linotype" w:cs="Palatino Linotype"/>
          <w:i/>
          <w:color w:val="000000"/>
          <w:sz w:val="22"/>
          <w:szCs w:val="22"/>
        </w:rPr>
        <w:t xml:space="preserve">y colaboración entre la comunidad y las autoridades, </w:t>
      </w:r>
      <w:r>
        <w:rPr>
          <w:rFonts w:ascii="Palatino Linotype" w:eastAsia="Palatino Linotype" w:hAnsi="Palatino Linotype" w:cs="Palatino Linotype"/>
          <w:b/>
          <w:i/>
          <w:color w:val="000000"/>
          <w:sz w:val="22"/>
          <w:szCs w:val="22"/>
        </w:rPr>
        <w:t>tendrán las siguientes atribuciones:</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I. Promover la participación ciudadana en la realización de los programas municipales;</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II. </w:t>
      </w:r>
      <w:r>
        <w:rPr>
          <w:rFonts w:ascii="Palatino Linotype" w:eastAsia="Palatino Linotype" w:hAnsi="Palatino Linotype" w:cs="Palatino Linotype"/>
          <w:b/>
          <w:i/>
          <w:color w:val="000000"/>
          <w:sz w:val="22"/>
          <w:szCs w:val="22"/>
        </w:rPr>
        <w:t>Coadyuvar para el cumplimiento eficaz de los planes y programas municipales</w:t>
      </w:r>
      <w:r>
        <w:rPr>
          <w:rFonts w:ascii="Palatino Linotype" w:eastAsia="Palatino Linotype" w:hAnsi="Palatino Linotype" w:cs="Palatino Linotype"/>
          <w:b/>
          <w:i/>
          <w:color w:val="000000"/>
          <w:sz w:val="22"/>
          <w:szCs w:val="22"/>
        </w:rPr>
        <w:t xml:space="preserve"> aprobados;</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III. </w:t>
      </w:r>
      <w:r>
        <w:rPr>
          <w:rFonts w:ascii="Palatino Linotype" w:eastAsia="Palatino Linotype" w:hAnsi="Palatino Linotype" w:cs="Palatino Linotype"/>
          <w:b/>
          <w:i/>
          <w:color w:val="000000"/>
          <w:sz w:val="22"/>
          <w:szCs w:val="22"/>
        </w:rPr>
        <w:t>Proponer al ayuntamiento las acciones tendientes a integrar o modificar los planes y programas municipales;</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IV. Participar en la supervisión de la prestación de los servicios públicos;</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V. Informar al menos una vez cada tres meses a sus representados y al ayuntamiento sobre sus proyectos, las actividades realizadas y, en su caso, el estado de cuenta de las aportaciones económicas que estén a su cargo.</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VI. Emitir opinión motivada no vincul</w:t>
      </w:r>
      <w:r>
        <w:rPr>
          <w:rFonts w:ascii="Palatino Linotype" w:eastAsia="Palatino Linotype" w:hAnsi="Palatino Linotype" w:cs="Palatino Linotype"/>
          <w:i/>
          <w:color w:val="000000"/>
          <w:sz w:val="22"/>
          <w:szCs w:val="22"/>
        </w:rPr>
        <w:t>ante, respecto a la autorización de nuevos proyectos inmobiliarios, comerciales, habitacionales o industriales y respecto de la autorización de giros mercantiles.</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rsidR="00AD70DA" w:rsidRDefault="00941208">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76.-</w:t>
      </w:r>
      <w:r>
        <w:rPr>
          <w:rFonts w:ascii="Palatino Linotype" w:eastAsia="Palatino Linotype" w:hAnsi="Palatino Linotype" w:cs="Palatino Linotype"/>
          <w:i/>
          <w:color w:val="000000"/>
          <w:sz w:val="22"/>
          <w:szCs w:val="22"/>
        </w:rPr>
        <w:t xml:space="preserve"> Los miembros de los consejos podrán ser removidos, en cualquier tiempo por el</w:t>
      </w:r>
      <w:r>
        <w:rPr>
          <w:rFonts w:ascii="Palatino Linotype" w:eastAsia="Palatino Linotype" w:hAnsi="Palatino Linotype" w:cs="Palatino Linotype"/>
          <w:i/>
          <w:color w:val="000000"/>
          <w:sz w:val="22"/>
          <w:szCs w:val="22"/>
        </w:rPr>
        <w:t xml:space="preserve"> ayuntamiento, por justa causa con el voto aprobatorio de las dos terceras partes y previa garantía de audiencia, en cuyo caso se llamará a los suplentes.”</w:t>
      </w:r>
    </w:p>
    <w:p w:rsidR="00AD70DA" w:rsidRDefault="00AD70DA">
      <w:pPr>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consejos de participación ciudadana municipal se integrarán por hasta cinco personas vecinas de</w:t>
      </w:r>
      <w:r>
        <w:rPr>
          <w:rFonts w:ascii="Palatino Linotype" w:eastAsia="Palatino Linotype" w:hAnsi="Palatino Linotype" w:cs="Palatino Linotype"/>
          <w:sz w:val="22"/>
          <w:szCs w:val="22"/>
        </w:rPr>
        <w:t>l municipio, con sus respectivos suplentes, quienes serán electos entre el segundo y el treinta de marzo del año siguiente a la elección del ayuntamiento. Los cargos del consejo incluirán una presidencia, una secretaría, una tesorería y, en su caso, dos vo</w:t>
      </w:r>
      <w:r>
        <w:rPr>
          <w:rFonts w:ascii="Palatino Linotype" w:eastAsia="Palatino Linotype" w:hAnsi="Palatino Linotype" w:cs="Palatino Linotype"/>
          <w:sz w:val="22"/>
          <w:szCs w:val="22"/>
        </w:rPr>
        <w:t xml:space="preserve">cales, elegidos por los habitantes de la comunidad según las condiciones que determine el Ayuntamiento. </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lo anterior, se advierte la fuente obligacional de los Ayuntamientos para contar con información relacionada con autoridades auxiliares como Delega</w:t>
      </w:r>
      <w:r>
        <w:rPr>
          <w:rFonts w:ascii="Palatino Linotype" w:eastAsia="Palatino Linotype" w:hAnsi="Palatino Linotype" w:cs="Palatino Linotype"/>
          <w:sz w:val="22"/>
          <w:szCs w:val="22"/>
        </w:rPr>
        <w:t>dos y Consejos de Participación Ciudadana, los cuales serán electos previa convocatoria por el Ayuntamiento.</w:t>
      </w:r>
    </w:p>
    <w:p w:rsidR="00AD70DA" w:rsidRDefault="00AD70DA">
      <w:pPr>
        <w:spacing w:line="360" w:lineRule="auto"/>
        <w:jc w:val="both"/>
        <w:rPr>
          <w:rFonts w:ascii="Palatino Linotype" w:eastAsia="Palatino Linotype" w:hAnsi="Palatino Linotype" w:cs="Palatino Linotype"/>
          <w:sz w:val="22"/>
          <w:szCs w:val="22"/>
        </w:rPr>
      </w:pP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Establecido lo anterior, el Sujeto Obligado, a través del Secretario Particular de Presidencia entregó lo siguiente:</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Listado de Consejo de Parti</w:t>
      </w:r>
      <w:r>
        <w:rPr>
          <w:rFonts w:ascii="Palatino Linotype" w:eastAsia="Palatino Linotype" w:hAnsi="Palatino Linotype" w:cs="Palatino Linotype"/>
          <w:color w:val="000000"/>
          <w:sz w:val="22"/>
          <w:szCs w:val="22"/>
        </w:rPr>
        <w:t>cipación Ciudadana 2025; y,</w:t>
      </w:r>
    </w:p>
    <w:p w:rsidR="00AD70DA" w:rsidRDefault="0094120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Listado de Delegados 2025.</w:t>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Ambos listados contienen número consecutivo delegación a la que corresponde, nombre completo de los integrantes, puesto y nivel; se inserta imagen de referencia:</w:t>
      </w:r>
    </w:p>
    <w:p w:rsidR="00AD70DA" w:rsidRDefault="00AD70DA">
      <w:pPr>
        <w:spacing w:line="360" w:lineRule="auto"/>
        <w:jc w:val="both"/>
        <w:rPr>
          <w:rFonts w:ascii="Palatino Linotype" w:eastAsia="Palatino Linotype" w:hAnsi="Palatino Linotype" w:cs="Palatino Linotype"/>
          <w:sz w:val="22"/>
          <w:szCs w:val="22"/>
        </w:rPr>
      </w:pP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4810593" cy="3644142"/>
            <wp:effectExtent l="0" t="0" r="0" b="0"/>
            <wp:docPr id="1865659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10593" cy="3644142"/>
                    </a:xfrm>
                    <a:prstGeom prst="rect">
                      <a:avLst/>
                    </a:prstGeom>
                    <a:ln/>
                  </pic:spPr>
                </pic:pic>
              </a:graphicData>
            </a:graphic>
          </wp:inline>
        </w:drawing>
      </w:r>
    </w:p>
    <w:p w:rsidR="00AD70DA" w:rsidRDefault="00941208">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183519" cy="3794678"/>
            <wp:effectExtent l="0" t="0" r="0" b="0"/>
            <wp:docPr id="18656592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183519" cy="3794678"/>
                    </a:xfrm>
                    <a:prstGeom prst="rect">
                      <a:avLst/>
                    </a:prstGeom>
                    <a:ln/>
                  </pic:spPr>
                </pic:pic>
              </a:graphicData>
            </a:graphic>
          </wp:inline>
        </w:drawing>
      </w:r>
    </w:p>
    <w:p w:rsidR="00AD70DA" w:rsidRDefault="00941208">
      <w:pPr>
        <w:spacing w:line="360" w:lineRule="auto"/>
        <w:ind w:right="-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información proporcionada por el Sujeto Obligado se encuentra en apego a la conformación territorial del Ayuntamiento de Toluca, de acuerdo a lo que dispone el Bando Municipal en el artículo 34, cuyo contenido es el siguiente:</w:t>
      </w:r>
    </w:p>
    <w:p w:rsidR="00AD70DA" w:rsidRDefault="00AD70DA">
      <w:pPr>
        <w:spacing w:line="360" w:lineRule="auto"/>
        <w:ind w:right="-7"/>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Artículo 34. Para el cump</w:t>
      </w:r>
      <w:r>
        <w:rPr>
          <w:rFonts w:ascii="Palatino Linotype" w:eastAsia="Palatino Linotype" w:hAnsi="Palatino Linotype" w:cs="Palatino Linotype"/>
          <w:i/>
          <w:sz w:val="22"/>
          <w:szCs w:val="22"/>
        </w:rPr>
        <w:t>limiento de sus funciones políticas y administrativas, el municipio cuenta con la siguiente división territorial: 85 circunscripciones territoriales divididas en 48 delegaciones y 37 subdelegaciones las cuales son:</w:t>
      </w: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612130" cy="2403475"/>
            <wp:effectExtent l="0" t="0" r="0" b="0"/>
            <wp:docPr id="1865659235" name="image7.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7.png" descr="Tabla&#10;&#10;El contenido generado por IA puede ser incorrecto."/>
                    <pic:cNvPicPr preferRelativeResize="0"/>
                  </pic:nvPicPr>
                  <pic:blipFill>
                    <a:blip r:embed="rId10"/>
                    <a:srcRect/>
                    <a:stretch>
                      <a:fillRect/>
                    </a:stretch>
                  </pic:blipFill>
                  <pic:spPr>
                    <a:xfrm>
                      <a:off x="0" y="0"/>
                      <a:ext cx="5612130" cy="2403475"/>
                    </a:xfrm>
                    <a:prstGeom prst="rect">
                      <a:avLst/>
                    </a:prstGeom>
                    <a:ln/>
                  </pic:spPr>
                </pic:pic>
              </a:graphicData>
            </a:graphic>
          </wp:inline>
        </w:drawing>
      </w: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306167" cy="5620536"/>
            <wp:effectExtent l="0" t="0" r="0" b="0"/>
            <wp:docPr id="1865659238" name="image6.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Tabla&#10;&#10;El contenido generado por IA puede ser incorrecto."/>
                    <pic:cNvPicPr preferRelativeResize="0"/>
                  </pic:nvPicPr>
                  <pic:blipFill>
                    <a:blip r:embed="rId11"/>
                    <a:srcRect/>
                    <a:stretch>
                      <a:fillRect/>
                    </a:stretch>
                  </pic:blipFill>
                  <pic:spPr>
                    <a:xfrm>
                      <a:off x="0" y="0"/>
                      <a:ext cx="5306167" cy="5620536"/>
                    </a:xfrm>
                    <a:prstGeom prst="rect">
                      <a:avLst/>
                    </a:prstGeom>
                    <a:ln/>
                  </pic:spPr>
                </pic:pic>
              </a:graphicData>
            </a:graphic>
          </wp:inline>
        </w:drawing>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287114" cy="5496693"/>
            <wp:effectExtent l="0" t="0" r="0" b="0"/>
            <wp:docPr id="1865659237" name="image4.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Tabla&#10;&#10;El contenido generado por IA puede ser incorrecto."/>
                    <pic:cNvPicPr preferRelativeResize="0"/>
                  </pic:nvPicPr>
                  <pic:blipFill>
                    <a:blip r:embed="rId12"/>
                    <a:srcRect/>
                    <a:stretch>
                      <a:fillRect/>
                    </a:stretch>
                  </pic:blipFill>
                  <pic:spPr>
                    <a:xfrm>
                      <a:off x="0" y="0"/>
                      <a:ext cx="5287114" cy="5496693"/>
                    </a:xfrm>
                    <a:prstGeom prst="rect">
                      <a:avLst/>
                    </a:prstGeom>
                    <a:ln/>
                  </pic:spPr>
                </pic:pic>
              </a:graphicData>
            </a:graphic>
          </wp:inline>
        </w:drawing>
      </w:r>
    </w:p>
    <w:p w:rsidR="00AD70DA" w:rsidRDefault="00AD70DA">
      <w:pPr>
        <w:spacing w:line="360" w:lineRule="auto"/>
        <w:jc w:val="both"/>
        <w:rPr>
          <w:rFonts w:ascii="Palatino Linotype" w:eastAsia="Palatino Linotype" w:hAnsi="Palatino Linotype" w:cs="Palatino Linotype"/>
          <w:sz w:val="22"/>
          <w:szCs w:val="22"/>
        </w:rPr>
      </w:pPr>
    </w:p>
    <w:p w:rsidR="00AD70DA" w:rsidRDefault="0094120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706274" cy="4629798"/>
            <wp:effectExtent l="0" t="0" r="0" b="0"/>
            <wp:docPr id="1865659239"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3"/>
                    <a:srcRect/>
                    <a:stretch>
                      <a:fillRect/>
                    </a:stretch>
                  </pic:blipFill>
                  <pic:spPr>
                    <a:xfrm>
                      <a:off x="0" y="0"/>
                      <a:ext cx="5706274" cy="4629798"/>
                    </a:xfrm>
                    <a:prstGeom prst="rect">
                      <a:avLst/>
                    </a:prstGeom>
                    <a:ln/>
                  </pic:spPr>
                </pic:pic>
              </a:graphicData>
            </a:graphic>
          </wp:inline>
        </w:drawing>
      </w:r>
    </w:p>
    <w:p w:rsidR="00AD70DA" w:rsidRDefault="00AD70DA">
      <w:pPr>
        <w:spacing w:line="360" w:lineRule="auto"/>
        <w:ind w:right="-7"/>
        <w:jc w:val="both"/>
        <w:rPr>
          <w:rFonts w:ascii="Palatino Linotype" w:eastAsia="Palatino Linotype" w:hAnsi="Palatino Linotype" w:cs="Palatino Linotype"/>
          <w:sz w:val="22"/>
          <w:szCs w:val="22"/>
        </w:rPr>
      </w:pPr>
    </w:p>
    <w:p w:rsidR="00AD70DA" w:rsidRDefault="00941208">
      <w:pPr>
        <w:spacing w:line="360" w:lineRule="auto"/>
        <w:ind w:right="-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que, al haber entregado</w:t>
      </w:r>
      <w:r>
        <w:rPr>
          <w:rFonts w:ascii="Palatino Linotype" w:eastAsia="Palatino Linotype" w:hAnsi="Palatino Linotype" w:cs="Palatino Linotype"/>
          <w:sz w:val="22"/>
          <w:szCs w:val="22"/>
        </w:rPr>
        <w:t xml:space="preserve"> la información de las autoridades auxiliares de todas las delegaciones que corresponden al Ayuntamiento de Toluca, es decir de las 48 delegaciones, se determina que se proporcionó la información completa. </w:t>
      </w:r>
    </w:p>
    <w:p w:rsidR="00AD70DA" w:rsidRDefault="00AD70DA">
      <w:pPr>
        <w:spacing w:line="360" w:lineRule="auto"/>
        <w:ind w:right="-7"/>
        <w:jc w:val="both"/>
        <w:rPr>
          <w:rFonts w:ascii="Palatino Linotype" w:eastAsia="Palatino Linotype" w:hAnsi="Palatino Linotype" w:cs="Palatino Linotype"/>
          <w:sz w:val="22"/>
          <w:szCs w:val="22"/>
        </w:rPr>
      </w:pPr>
    </w:p>
    <w:p w:rsidR="00AD70DA" w:rsidRDefault="00941208">
      <w:pPr>
        <w:spacing w:line="360" w:lineRule="auto"/>
        <w:ind w:right="-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así que, al haber existido un pronunciamiento</w:t>
      </w:r>
      <w:r>
        <w:rPr>
          <w:rFonts w:ascii="Palatino Linotype" w:eastAsia="Palatino Linotype" w:hAnsi="Palatino Linotype" w:cs="Palatino Linotype"/>
          <w:sz w:val="22"/>
          <w:szCs w:val="22"/>
        </w:rPr>
        <w:t xml:space="preserve"> por parte del Sujeto Obligado, proporcionando la información que requirió el particular, es que no se puede dudar de la veracidad de la información proporcionada.</w:t>
      </w:r>
    </w:p>
    <w:p w:rsidR="00AD70DA" w:rsidRDefault="00AD70DA">
      <w:pPr>
        <w:spacing w:line="360" w:lineRule="auto"/>
        <w:ind w:right="-7"/>
        <w:jc w:val="both"/>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rsidR="00AD70DA" w:rsidRDefault="00AD70DA">
      <w:pPr>
        <w:pBdr>
          <w:top w:val="nil"/>
          <w:left w:val="nil"/>
          <w:bottom w:val="nil"/>
          <w:right w:val="nil"/>
          <w:between w:val="nil"/>
        </w:pBdr>
        <w:ind w:left="720"/>
        <w:rPr>
          <w:rFonts w:ascii="Palatino Linotype" w:eastAsia="Palatino Linotype" w:hAnsi="Palatino Linotype" w:cs="Palatino Linotype"/>
          <w:sz w:val="22"/>
          <w:szCs w:val="22"/>
        </w:rPr>
      </w:pPr>
    </w:p>
    <w:p w:rsidR="00AD70DA" w:rsidRDefault="00941208">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w:t>
      </w:r>
      <w:r>
        <w:rPr>
          <w:rFonts w:ascii="Palatino Linotype" w:eastAsia="Palatino Linotype" w:hAnsi="Palatino Linotype" w:cs="Palatino Linotype"/>
          <w:b/>
          <w:i/>
          <w:sz w:val="22"/>
          <w:szCs w:val="22"/>
        </w:rPr>
        <w:t>o cuenta con facultades para pronunciarse respecto de la veracidad de los documentos proporcionados por los sujetos obligados.</w:t>
      </w:r>
      <w:r>
        <w:rPr>
          <w:rFonts w:ascii="Palatino Linotype" w:eastAsia="Palatino Linotype" w:hAnsi="Palatino Linotype" w:cs="Palatino Linotype"/>
          <w:i/>
          <w:sz w:val="22"/>
          <w:szCs w:val="22"/>
        </w:rPr>
        <w:t> El Instituto Federal de Acceso a la Información y Protección de Datos es un órgano de la Administración Pública Federal con auton</w:t>
      </w:r>
      <w:r>
        <w:rPr>
          <w:rFonts w:ascii="Palatino Linotype" w:eastAsia="Palatino Linotype" w:hAnsi="Palatino Linotype" w:cs="Palatino Linotype"/>
          <w:i/>
          <w:sz w:val="22"/>
          <w:szCs w:val="22"/>
        </w:rPr>
        <w:t>omía operativa, presupuestaria y de decisión, encargado de promover y difundir el ejercicio del derecho de acceso a la información; resolver sobre la negativa de las solicitudes de acceso a la información; y proteger los datos personales en poder de las de</w:t>
      </w:r>
      <w:r>
        <w:rPr>
          <w:rFonts w:ascii="Palatino Linotype" w:eastAsia="Palatino Linotype" w:hAnsi="Palatino Linotype" w:cs="Palatino Linotype"/>
          <w:i/>
          <w:sz w:val="22"/>
          <w:szCs w:val="22"/>
        </w:rPr>
        <w:t>pendencias y entidades. Sin embargo, no está facultado para pronunciarse sobre la veracidad de la información proporcionada por las autoridades en respuesta a las solicitudes de información que les presentan los particulares, en virtud de que en los artícu</w:t>
      </w:r>
      <w:r>
        <w:rPr>
          <w:rFonts w:ascii="Palatino Linotype" w:eastAsia="Palatino Linotype" w:hAnsi="Palatino Linotype" w:cs="Palatino Linotype"/>
          <w:i/>
          <w:sz w:val="22"/>
          <w:szCs w:val="22"/>
        </w:rPr>
        <w:t>los 49 y 50 de la Ley Federal de Transparencia y Acceso a la Información Pública Gubernamental no se prevé una causal que permita al Instituto Federal de Acceso a la Información y Protección de Datos conocer, vía recurso revisión, al respecto.”</w:t>
      </w:r>
    </w:p>
    <w:p w:rsidR="00AD70DA" w:rsidRDefault="00AD70DA">
      <w:pPr>
        <w:spacing w:line="360" w:lineRule="auto"/>
        <w:ind w:right="567"/>
        <w:jc w:val="both"/>
        <w:rPr>
          <w:rFonts w:ascii="Palatino Linotype" w:eastAsia="Palatino Linotype" w:hAnsi="Palatino Linotype" w:cs="Palatino Linotype"/>
          <w:sz w:val="22"/>
          <w:szCs w:val="22"/>
        </w:rPr>
      </w:pPr>
    </w:p>
    <w:p w:rsidR="00AD70DA" w:rsidRDefault="0094120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Órgan</w:t>
      </w:r>
      <w:r>
        <w:rPr>
          <w:rFonts w:ascii="Palatino Linotype" w:eastAsia="Palatino Linotype" w:hAnsi="Palatino Linotype" w:cs="Palatino Linotype"/>
          <w:sz w:val="22"/>
          <w:szCs w:val="22"/>
        </w:rPr>
        <w:t xml:space="preserve">o Garante carece de facultades para dudar de la veracidad sobre la información proporcionada por el Sujeto Obligado, en consecuencia, debe declararse atendido dicho requerimiento. </w:t>
      </w:r>
    </w:p>
    <w:p w:rsidR="00AD70DA" w:rsidRDefault="00AD70D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AD70DA" w:rsidRDefault="00941208">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dentro del recurso de revisión </w:t>
      </w:r>
      <w:r>
        <w:rPr>
          <w:rFonts w:ascii="Palatino Linotype" w:eastAsia="Palatino Linotype" w:hAnsi="Palatino Linotype" w:cs="Palatino Linotype"/>
          <w:b/>
          <w:sz w:val="22"/>
          <w:szCs w:val="22"/>
        </w:rPr>
        <w:t>08944/INFOEM/IP/RR/2025</w:t>
      </w:r>
      <w:r>
        <w:rPr>
          <w:rFonts w:ascii="Palatino Linotype" w:eastAsia="Palatino Linotype" w:hAnsi="Palatino Linotype" w:cs="Palatino Linotype"/>
          <w:sz w:val="22"/>
          <w:szCs w:val="22"/>
        </w:rPr>
        <w:t>; por ello, y con fundamento en la fracción II</w:t>
      </w:r>
      <w:r>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Pr>
          <w:rFonts w:ascii="Palatino Linotype" w:eastAsia="Palatino Linotype" w:hAnsi="Palatino Linotype" w:cs="Palatino Linotype"/>
          <w:b/>
          <w:sz w:val="22"/>
          <w:szCs w:val="22"/>
        </w:rPr>
        <w:t xml:space="preserve">CONFIRMA </w:t>
      </w:r>
      <w:r>
        <w:rPr>
          <w:rFonts w:ascii="Palatino Linotype" w:eastAsia="Palatino Linotype" w:hAnsi="Palatino Linotype" w:cs="Palatino Linotype"/>
          <w:sz w:val="22"/>
          <w:szCs w:val="22"/>
        </w:rPr>
        <w:t xml:space="preserve">la respuesta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a la solicitud de información </w:t>
      </w:r>
      <w:r>
        <w:rPr>
          <w:rFonts w:ascii="Palatino Linotype" w:eastAsia="Palatino Linotype" w:hAnsi="Palatino Linotype" w:cs="Palatino Linotype"/>
          <w:b/>
          <w:sz w:val="22"/>
          <w:szCs w:val="22"/>
        </w:rPr>
        <w:t>03720/TOLUCA/IP/2025</w:t>
      </w:r>
    </w:p>
    <w:p w:rsidR="00AD70DA" w:rsidRDefault="00941208">
      <w:pPr>
        <w:spacing w:line="360" w:lineRule="auto"/>
        <w:ind w:right="49"/>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III.</w:t>
      </w:r>
      <w:r>
        <w:rPr>
          <w:rFonts w:ascii="Palatino Linotype" w:eastAsia="Palatino Linotype" w:hAnsi="Palatino Linotype" w:cs="Palatino Linotype"/>
          <w:b/>
          <w:sz w:val="22"/>
          <w:szCs w:val="22"/>
        </w:rPr>
        <w:tab/>
        <w:t>R E S U E L V E:</w:t>
      </w:r>
    </w:p>
    <w:p w:rsidR="00AD70DA" w:rsidRDefault="00941208">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Resul</w:t>
      </w:r>
      <w:r>
        <w:rPr>
          <w:rFonts w:ascii="Palatino Linotype" w:eastAsia="Palatino Linotype" w:hAnsi="Palatino Linotype" w:cs="Palatino Linotype"/>
          <w:sz w:val="22"/>
          <w:szCs w:val="22"/>
        </w:rPr>
        <w:t xml:space="preserve">tan </w:t>
      </w:r>
      <w:r>
        <w:rPr>
          <w:rFonts w:ascii="Palatino Linotype" w:eastAsia="Palatino Linotype" w:hAnsi="Palatino Linotype" w:cs="Palatino Linotype"/>
          <w:b/>
          <w:sz w:val="22"/>
          <w:szCs w:val="22"/>
        </w:rPr>
        <w:t>infundadas</w:t>
      </w:r>
      <w:r>
        <w:rPr>
          <w:rFonts w:ascii="Palatino Linotype" w:eastAsia="Palatino Linotype" w:hAnsi="Palatino Linotype" w:cs="Palatino Linotype"/>
          <w:sz w:val="22"/>
          <w:szCs w:val="22"/>
        </w:rPr>
        <w:t xml:space="preserve"> las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razones o motivos de inconformidad hechos valer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el Recurso de Revisión </w:t>
      </w:r>
      <w:r>
        <w:rPr>
          <w:rFonts w:ascii="Palatino Linotype" w:eastAsia="Palatino Linotype" w:hAnsi="Palatino Linotype" w:cs="Palatino Linotype"/>
          <w:b/>
          <w:sz w:val="22"/>
          <w:szCs w:val="22"/>
        </w:rPr>
        <w:t xml:space="preserve">08944/INFOEM/IP/RR/2025 </w:t>
      </w:r>
      <w:r>
        <w:rPr>
          <w:rFonts w:ascii="Palatino Linotype" w:eastAsia="Palatino Linotype" w:hAnsi="Palatino Linotype" w:cs="Palatino Linotype"/>
          <w:sz w:val="22"/>
          <w:szCs w:val="22"/>
        </w:rPr>
        <w:t xml:space="preserve">por lo que, en términos del Considerando </w:t>
      </w: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de la presente resolución se </w:t>
      </w:r>
      <w:r>
        <w:rPr>
          <w:rFonts w:ascii="Palatino Linotype" w:eastAsia="Palatino Linotype" w:hAnsi="Palatino Linotype" w:cs="Palatino Linotype"/>
          <w:b/>
          <w:sz w:val="22"/>
          <w:szCs w:val="22"/>
        </w:rPr>
        <w:t xml:space="preserve">Confirma </w:t>
      </w:r>
      <w:r>
        <w:rPr>
          <w:rFonts w:ascii="Palatino Linotype" w:eastAsia="Palatino Linotype" w:hAnsi="Palatino Linotype" w:cs="Palatino Linotype"/>
          <w:sz w:val="22"/>
          <w:szCs w:val="22"/>
        </w:rPr>
        <w:t xml:space="preserve">la respuesta emitida por el </w:t>
      </w:r>
      <w:r>
        <w:rPr>
          <w:rFonts w:ascii="Palatino Linotype" w:eastAsia="Palatino Linotype" w:hAnsi="Palatino Linotype" w:cs="Palatino Linotype"/>
          <w:b/>
          <w:sz w:val="22"/>
          <w:szCs w:val="22"/>
        </w:rPr>
        <w:t>Sujeto Obligado. </w:t>
      </w:r>
    </w:p>
    <w:p w:rsidR="00AD70DA" w:rsidRDefault="00941208">
      <w:pPr>
        <w:spacing w:before="240" w:after="240"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Notifíquese vía SAIMEX</w:t>
      </w:r>
      <w:r>
        <w:rPr>
          <w:rFonts w:ascii="Palatino Linotype" w:eastAsia="Palatino Linotype" w:hAnsi="Palatino Linotype" w:cs="Palatino Linotype"/>
          <w:sz w:val="22"/>
          <w:szCs w:val="22"/>
        </w:rPr>
        <w:t xml:space="preserve">, la presente resolución al Titular de la Unidad de Transparencia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para su conocimiento.</w:t>
      </w:r>
    </w:p>
    <w:p w:rsidR="00AD70DA" w:rsidRDefault="00941208">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vía SAIMEX</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a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la presente resolución, así como, que de co</w:t>
      </w:r>
      <w:r>
        <w:rPr>
          <w:rFonts w:ascii="Palatino Linotype" w:eastAsia="Palatino Linotype" w:hAnsi="Palatino Linotype" w:cs="Palatino Linotype"/>
          <w:sz w:val="22"/>
          <w:szCs w:val="22"/>
        </w:rPr>
        <w:t>nformidad con lo establecido en el artículo 196 de la Ley de Transparencia y Acceso a la Información Pública del Estado de México y Municipios podrá impugnarla, vía Juicio de Amparo en los términos de las leyes aplicables. </w:t>
      </w:r>
    </w:p>
    <w:p w:rsidR="00AD70DA" w:rsidRDefault="00941208">
      <w:pPr>
        <w:spacing w:line="360" w:lineRule="auto"/>
        <w:jc w:val="both"/>
        <w:rPr>
          <w:rFonts w:ascii="Palatino Linotype" w:eastAsia="Palatino Linotype" w:hAnsi="Palatino Linotype" w:cs="Palatino Linotype"/>
          <w:sz w:val="22"/>
          <w:szCs w:val="22"/>
        </w:rPr>
        <w:sectPr w:rsidR="00AD70DA">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bookmarkStart w:id="4" w:name="_heading=h.8nz6kcjhlyo" w:colFirst="0" w:colLast="0"/>
      <w:bookmarkEnd w:id="4"/>
      <w:r>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sz w:val="22"/>
          <w:szCs w:val="22"/>
        </w:rPr>
        <w:t xml:space="preserve">MEJÍA AYALA, SHARON CRISTINA MORALES MARTÍNEZ, LUIS GUSTAVO PARRA NORIEGA Y GUADALUPE RAMÍREZ PEÑA; EN LA TRIGÉSIMA QUINTA SESIÓN ORDINARIA CELEBRADA EL UNO DE OCTUBRE DE DOS MIL VEINTICINCO, ANTE EL SECRETARIO TÉCNICO DEL PLENO ALEXIS TAPIA RAMÍREZ.      </w:t>
      </w:r>
      <w:r>
        <w:rPr>
          <w:rFonts w:ascii="Palatino Linotype" w:eastAsia="Palatino Linotype" w:hAnsi="Palatino Linotype" w:cs="Palatino Linotype"/>
          <w:sz w:val="22"/>
          <w:szCs w:val="22"/>
        </w:rPr>
        <w:t xml:space="preserve">                        </w:t>
      </w:r>
    </w:p>
    <w:p w:rsidR="00AD70DA" w:rsidRDefault="00AD70DA">
      <w:pPr>
        <w:spacing w:line="360" w:lineRule="auto"/>
        <w:jc w:val="both"/>
        <w:rPr>
          <w:rFonts w:ascii="Palatino Linotype" w:eastAsia="Palatino Linotype" w:hAnsi="Palatino Linotype" w:cs="Palatino Linotype"/>
          <w:sz w:val="22"/>
          <w:szCs w:val="22"/>
        </w:rPr>
      </w:pPr>
    </w:p>
    <w:sectPr w:rsidR="00AD70DA">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1208">
      <w:r>
        <w:separator/>
      </w:r>
    </w:p>
  </w:endnote>
  <w:endnote w:type="continuationSeparator" w:id="0">
    <w:p w:rsidR="00000000" w:rsidRDefault="0094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DA" w:rsidRDefault="0094120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AD70DA" w:rsidRDefault="00AD70DA">
    <w:pPr>
      <w:pBdr>
        <w:top w:val="nil"/>
        <w:left w:val="nil"/>
        <w:bottom w:val="nil"/>
        <w:right w:val="nil"/>
        <w:between w:val="nil"/>
      </w:pBdr>
      <w:tabs>
        <w:tab w:val="center" w:pos="4252"/>
        <w:tab w:val="right" w:pos="8504"/>
      </w:tabs>
      <w:rPr>
        <w:color w:val="000000"/>
      </w:rPr>
    </w:pPr>
  </w:p>
  <w:p w:rsidR="00AD70DA" w:rsidRDefault="00AD70D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DA" w:rsidRDefault="0094120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AD70DA" w:rsidRDefault="00AD70D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1208">
      <w:r>
        <w:separator/>
      </w:r>
    </w:p>
  </w:footnote>
  <w:footnote w:type="continuationSeparator" w:id="0">
    <w:p w:rsidR="00000000" w:rsidRDefault="009412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DA" w:rsidRDefault="00941208">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-638172</wp:posOffset>
          </wp:positionH>
          <wp:positionV relativeFrom="paragraph">
            <wp:posOffset>-450211</wp:posOffset>
          </wp:positionV>
          <wp:extent cx="7809876" cy="10165823"/>
          <wp:effectExtent l="0" t="0" r="0" b="0"/>
          <wp:wrapNone/>
          <wp:docPr id="1865659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AD70DA">
      <w:tc>
        <w:tcPr>
          <w:tcW w:w="2551" w:type="dxa"/>
          <w:vAlign w:val="center"/>
        </w:tcPr>
        <w:p w:rsidR="00AD70DA" w:rsidRDefault="009412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AD70DA" w:rsidRDefault="009412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08944/INFOEM/IP/RR/2025</w:t>
          </w:r>
        </w:p>
      </w:tc>
    </w:tr>
    <w:tr w:rsidR="00AD70DA">
      <w:trPr>
        <w:trHeight w:val="228"/>
      </w:trPr>
      <w:tc>
        <w:tcPr>
          <w:tcW w:w="2551" w:type="dxa"/>
          <w:vAlign w:val="center"/>
        </w:tcPr>
        <w:p w:rsidR="00AD70DA" w:rsidRDefault="009412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AD70DA" w:rsidRDefault="009412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D70DA">
      <w:tc>
        <w:tcPr>
          <w:tcW w:w="2551" w:type="dxa"/>
          <w:vAlign w:val="center"/>
        </w:tcPr>
        <w:p w:rsidR="00AD70DA" w:rsidRDefault="009412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AD70DA" w:rsidRDefault="0094120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D70DA" w:rsidRDefault="0094120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DA" w:rsidRDefault="0094120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-798189</wp:posOffset>
          </wp:positionH>
          <wp:positionV relativeFrom="paragraph">
            <wp:posOffset>-399410</wp:posOffset>
          </wp:positionV>
          <wp:extent cx="7809876" cy="10165823"/>
          <wp:effectExtent l="0" t="0" r="0" b="0"/>
          <wp:wrapNone/>
          <wp:docPr id="1865659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AD70DA">
      <w:trPr>
        <w:gridAfter w:val="1"/>
        <w:wAfter w:w="283" w:type="dxa"/>
      </w:trPr>
      <w:tc>
        <w:tcPr>
          <w:tcW w:w="2551" w:type="dxa"/>
          <w:vAlign w:val="center"/>
        </w:tcPr>
        <w:p w:rsidR="00AD70DA" w:rsidRDefault="009412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AD70DA" w:rsidRDefault="009412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08944/INFOEM/IP/RR/2025 </w:t>
          </w:r>
        </w:p>
      </w:tc>
    </w:tr>
    <w:tr w:rsidR="00AD70DA">
      <w:tc>
        <w:tcPr>
          <w:tcW w:w="2551" w:type="dxa"/>
          <w:vAlign w:val="center"/>
        </w:tcPr>
        <w:p w:rsidR="00AD70DA" w:rsidRDefault="0094120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rsidR="00AD70DA" w:rsidRDefault="00AD70DA">
          <w:pPr>
            <w:ind w:right="-533"/>
            <w:jc w:val="both"/>
            <w:rPr>
              <w:rFonts w:ascii="Palatino Linotype" w:eastAsia="Palatino Linotype" w:hAnsi="Palatino Linotype" w:cs="Palatino Linotype"/>
              <w:b/>
              <w:sz w:val="22"/>
              <w:szCs w:val="22"/>
            </w:rPr>
          </w:pPr>
        </w:p>
      </w:tc>
    </w:tr>
    <w:tr w:rsidR="00AD70DA">
      <w:trPr>
        <w:gridAfter w:val="1"/>
        <w:wAfter w:w="283" w:type="dxa"/>
        <w:trHeight w:val="228"/>
      </w:trPr>
      <w:tc>
        <w:tcPr>
          <w:tcW w:w="2551" w:type="dxa"/>
          <w:vAlign w:val="center"/>
        </w:tcPr>
        <w:p w:rsidR="00AD70DA" w:rsidRDefault="009412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AD70DA" w:rsidRDefault="0094120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D70DA">
      <w:trPr>
        <w:gridAfter w:val="1"/>
        <w:wAfter w:w="283" w:type="dxa"/>
      </w:trPr>
      <w:tc>
        <w:tcPr>
          <w:tcW w:w="2551" w:type="dxa"/>
          <w:vAlign w:val="center"/>
        </w:tcPr>
        <w:p w:rsidR="00AD70DA" w:rsidRDefault="009412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AD70DA" w:rsidRDefault="0094120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D70DA" w:rsidRDefault="00AD70D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DA" w:rsidRDefault="00AD70DA">
    <w:pPr>
      <w:pBdr>
        <w:top w:val="nil"/>
        <w:left w:val="nil"/>
        <w:bottom w:val="nil"/>
        <w:right w:val="nil"/>
        <w:between w:val="nil"/>
      </w:pBdr>
      <w:tabs>
        <w:tab w:val="center" w:pos="4252"/>
        <w:tab w:val="right" w:pos="8504"/>
      </w:tabs>
      <w:jc w:val="both"/>
      <w:rPr>
        <w:rFonts w:ascii="Calibri" w:eastAsia="Calibri" w:hAnsi="Calibri" w:cs="Calibri"/>
        <w:color w:val="000000"/>
      </w:rPr>
    </w:pPr>
  </w:p>
  <w:p w:rsidR="00AD70DA" w:rsidRDefault="00AD70D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AEE"/>
    <w:multiLevelType w:val="multilevel"/>
    <w:tmpl w:val="D89C5CB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390A75B6"/>
    <w:multiLevelType w:val="multilevel"/>
    <w:tmpl w:val="1CCC1576"/>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BF7C4D"/>
    <w:multiLevelType w:val="multilevel"/>
    <w:tmpl w:val="F1029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477A71"/>
    <w:multiLevelType w:val="multilevel"/>
    <w:tmpl w:val="43B8543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DA"/>
    <w:rsid w:val="00941208"/>
    <w:rsid w:val="00AD7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68422-79E2-4976-879C-C2A78B87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Revisin">
    <w:name w:val="Revision"/>
    <w:hidden/>
    <w:uiPriority w:val="99"/>
    <w:semiHidden/>
    <w:rsid w:val="00935961"/>
    <w:rPr>
      <w:lang w:val="es-ES"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5HxNVLY1Xta0aWsDGSZOBTDmg==">CgMxLjAyCWguM3pueXNoNzIIaC5namRneHMyCWguMzBqMHpsbDINaC44bno2a2NqaGx5bzgAakcKNXN1Z2dlc3RJZEltcG9ydDI4NzZiMzc2LTNhNzQtNDE5ZC1iZTgxLWRiM2EzMWRjZDVhOV8xEg5LYXJlbSBTw6FuY2hlenIhMTF6NTEwNEoxQWpUS3owd21OcWlDem9HNzBFblpEWnRH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5449</Words>
  <Characters>29973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dcterms:created xsi:type="dcterms:W3CDTF">2025-11-12T17:24:00Z</dcterms:created>
  <dcterms:modified xsi:type="dcterms:W3CDTF">2025-11-12T17:24:00Z</dcterms:modified>
</cp:coreProperties>
</file>