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C44286D" w:rsidR="00662C69" w:rsidRPr="00041EA6" w:rsidRDefault="009B11D6" w:rsidP="00617DA2">
      <w:pPr>
        <w:tabs>
          <w:tab w:val="left" w:pos="3465"/>
        </w:tabs>
        <w:spacing w:line="360" w:lineRule="auto"/>
        <w:jc w:val="both"/>
        <w:rPr>
          <w:rFonts w:ascii="Palatino Linotype" w:hAnsi="Palatino Linotype"/>
          <w:color w:val="000000" w:themeColor="text1"/>
        </w:rPr>
      </w:pPr>
      <w:bookmarkStart w:id="0" w:name="_GoBack"/>
      <w:bookmarkEnd w:id="0"/>
      <w:r w:rsidRPr="00041EA6">
        <w:rPr>
          <w:rFonts w:ascii="Palatino Linotype" w:hAnsi="Palatino Linotype"/>
          <w:color w:val="000000" w:themeColor="text1"/>
        </w:rPr>
        <w:t>R</w:t>
      </w:r>
      <w:r w:rsidR="00662C69" w:rsidRPr="00041EA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41EA6">
        <w:rPr>
          <w:rFonts w:ascii="Palatino Linotype" w:hAnsi="Palatino Linotype"/>
          <w:color w:val="000000" w:themeColor="text1"/>
        </w:rPr>
        <w:t>icipios, con</w:t>
      </w:r>
      <w:r w:rsidR="00662C69" w:rsidRPr="00041EA6">
        <w:rPr>
          <w:rFonts w:ascii="Palatino Linotype" w:hAnsi="Palatino Linotype"/>
          <w:color w:val="000000" w:themeColor="text1"/>
        </w:rPr>
        <w:t xml:space="preserve"> </w:t>
      </w:r>
      <w:r w:rsidR="00485DB6" w:rsidRPr="00041EA6">
        <w:rPr>
          <w:rFonts w:ascii="Palatino Linotype" w:hAnsi="Palatino Linotype"/>
          <w:color w:val="000000" w:themeColor="text1"/>
        </w:rPr>
        <w:t xml:space="preserve">domicilio </w:t>
      </w:r>
      <w:r w:rsidR="00662C69" w:rsidRPr="00041EA6">
        <w:rPr>
          <w:rFonts w:ascii="Palatino Linotype" w:hAnsi="Palatino Linotype"/>
          <w:color w:val="000000" w:themeColor="text1"/>
        </w:rPr>
        <w:t xml:space="preserve">en Metepec, Estado de México; </w:t>
      </w:r>
      <w:r w:rsidR="00713E17" w:rsidRPr="00713E17">
        <w:rPr>
          <w:rFonts w:ascii="Palatino Linotype" w:hAnsi="Palatino Linotype"/>
          <w:b/>
          <w:color w:val="000000" w:themeColor="text1"/>
        </w:rPr>
        <w:t>de fecha</w:t>
      </w:r>
      <w:r w:rsidR="00713E17">
        <w:rPr>
          <w:rFonts w:ascii="Palatino Linotype" w:hAnsi="Palatino Linotype"/>
          <w:color w:val="000000" w:themeColor="text1"/>
        </w:rPr>
        <w:t xml:space="preserve"> </w:t>
      </w:r>
      <w:r w:rsidR="0000026A" w:rsidRPr="00041EA6">
        <w:rPr>
          <w:rFonts w:ascii="Palatino Linotype" w:hAnsi="Palatino Linotype"/>
          <w:b/>
          <w:color w:val="000000" w:themeColor="text1"/>
        </w:rPr>
        <w:t>seis</w:t>
      </w:r>
      <w:r w:rsidR="00713E17">
        <w:rPr>
          <w:rFonts w:ascii="Palatino Linotype" w:hAnsi="Palatino Linotype"/>
          <w:b/>
          <w:color w:val="000000" w:themeColor="text1"/>
        </w:rPr>
        <w:t xml:space="preserve"> (06)</w:t>
      </w:r>
      <w:r w:rsidR="0000026A" w:rsidRPr="00041EA6">
        <w:rPr>
          <w:rFonts w:ascii="Palatino Linotype" w:hAnsi="Palatino Linotype"/>
          <w:b/>
          <w:color w:val="000000" w:themeColor="text1"/>
        </w:rPr>
        <w:t xml:space="preserve"> de agosto de dos mil veinticinco</w:t>
      </w:r>
      <w:r w:rsidR="0000026A" w:rsidRPr="00041EA6">
        <w:rPr>
          <w:rFonts w:ascii="Palatino Linotype" w:hAnsi="Palatino Linotype"/>
          <w:color w:val="000000" w:themeColor="text1"/>
        </w:rPr>
        <w:t>.</w:t>
      </w:r>
    </w:p>
    <w:p w14:paraId="1181C59D" w14:textId="77777777" w:rsidR="00B31E90" w:rsidRPr="00041EA6" w:rsidRDefault="00B31E90" w:rsidP="00617DA2">
      <w:pPr>
        <w:tabs>
          <w:tab w:val="left" w:pos="3465"/>
        </w:tabs>
        <w:spacing w:line="360" w:lineRule="auto"/>
        <w:jc w:val="both"/>
        <w:rPr>
          <w:rFonts w:ascii="Palatino Linotype" w:hAnsi="Palatino Linotype"/>
          <w:color w:val="000000" w:themeColor="text1"/>
        </w:rPr>
      </w:pPr>
    </w:p>
    <w:p w14:paraId="04F87235" w14:textId="5E6B7E96" w:rsidR="005F0007" w:rsidRPr="00041EA6" w:rsidRDefault="00662C69" w:rsidP="00617DA2">
      <w:pPr>
        <w:spacing w:line="360" w:lineRule="auto"/>
        <w:jc w:val="both"/>
        <w:rPr>
          <w:rFonts w:ascii="Palatino Linotype" w:eastAsia="Times New Roman" w:hAnsi="Palatino Linotype" w:cs="Times New Roman"/>
          <w:color w:val="000000" w:themeColor="text1"/>
        </w:rPr>
      </w:pPr>
      <w:r w:rsidRPr="00041EA6">
        <w:rPr>
          <w:rFonts w:ascii="Palatino Linotype" w:hAnsi="Palatino Linotype"/>
          <w:b/>
          <w:color w:val="000000" w:themeColor="text1"/>
        </w:rPr>
        <w:t>VISTO</w:t>
      </w:r>
      <w:r w:rsidRPr="00041EA6">
        <w:rPr>
          <w:rFonts w:ascii="Palatino Linotype" w:hAnsi="Palatino Linotype"/>
          <w:color w:val="000000" w:themeColor="text1"/>
        </w:rPr>
        <w:t xml:space="preserve"> el expediente electrónico for</w:t>
      </w:r>
      <w:r w:rsidR="00D37494" w:rsidRPr="00041EA6">
        <w:rPr>
          <w:rFonts w:ascii="Palatino Linotype" w:hAnsi="Palatino Linotype"/>
          <w:color w:val="000000" w:themeColor="text1"/>
        </w:rPr>
        <w:t>mado con motivo del</w:t>
      </w:r>
      <w:r w:rsidRPr="00041EA6">
        <w:rPr>
          <w:rFonts w:ascii="Palatino Linotype" w:hAnsi="Palatino Linotype"/>
          <w:color w:val="000000" w:themeColor="text1"/>
        </w:rPr>
        <w:t xml:space="preserve"> recurso de revisión </w:t>
      </w:r>
      <w:r w:rsidR="0000026A" w:rsidRPr="00041EA6">
        <w:rPr>
          <w:rFonts w:ascii="Palatino Linotype" w:hAnsi="Palatino Linotype"/>
          <w:b/>
        </w:rPr>
        <w:t>06573/INFOEM/IP/RR/2025</w:t>
      </w:r>
      <w:r w:rsidR="005F1362" w:rsidRPr="00041EA6">
        <w:rPr>
          <w:rFonts w:ascii="Palatino Linotype" w:eastAsia="Times New Roman" w:hAnsi="Palatino Linotype" w:cs="Arial"/>
          <w:bCs/>
          <w:color w:val="000000" w:themeColor="text1"/>
        </w:rPr>
        <w:t xml:space="preserve">, </w:t>
      </w:r>
      <w:r w:rsidR="006B31E7" w:rsidRPr="00041EA6">
        <w:rPr>
          <w:rFonts w:ascii="Palatino Linotype" w:eastAsia="Times New Roman" w:hAnsi="Palatino Linotype" w:cs="Times New Roman"/>
          <w:color w:val="000000" w:themeColor="text1"/>
        </w:rPr>
        <w:t>interpuesto por</w:t>
      </w:r>
      <w:r w:rsidR="0078249C" w:rsidRPr="00041EA6">
        <w:rPr>
          <w:rFonts w:ascii="Palatino Linotype" w:eastAsia="Times New Roman" w:hAnsi="Palatino Linotype" w:cs="Times New Roman"/>
          <w:color w:val="000000" w:themeColor="text1"/>
        </w:rPr>
        <w:t xml:space="preserve"> </w:t>
      </w:r>
      <w:r w:rsidR="0000026A" w:rsidRPr="00041EA6">
        <w:rPr>
          <w:rFonts w:ascii="Palatino Linotype" w:hAnsi="Palatino Linotype"/>
          <w:b/>
        </w:rPr>
        <w:t>una persona que no proporcionó datos de identificación</w:t>
      </w:r>
      <w:r w:rsidR="004D10C2" w:rsidRPr="00041EA6">
        <w:rPr>
          <w:rFonts w:ascii="Palatino Linotype" w:eastAsia="Times New Roman" w:hAnsi="Palatino Linotype" w:cs="Times New Roman"/>
          <w:color w:val="000000" w:themeColor="text1"/>
        </w:rPr>
        <w:t>,</w:t>
      </w:r>
      <w:r w:rsidR="00D0377B" w:rsidRPr="00041EA6">
        <w:rPr>
          <w:rFonts w:ascii="Palatino Linotype" w:eastAsia="Times New Roman" w:hAnsi="Palatino Linotype" w:cs="Times New Roman"/>
          <w:color w:val="000000" w:themeColor="text1"/>
        </w:rPr>
        <w:t xml:space="preserve"> </w:t>
      </w:r>
      <w:r w:rsidR="00617DA2" w:rsidRPr="00041EA6">
        <w:rPr>
          <w:rFonts w:ascii="Palatino Linotype" w:eastAsia="Times New Roman" w:hAnsi="Palatino Linotype" w:cs="Times New Roman"/>
          <w:color w:val="000000" w:themeColor="text1"/>
        </w:rPr>
        <w:t>en adelante EL</w:t>
      </w:r>
      <w:r w:rsidR="00E92215" w:rsidRPr="00041EA6">
        <w:rPr>
          <w:rFonts w:ascii="Palatino Linotype" w:eastAsia="Times New Roman" w:hAnsi="Palatino Linotype" w:cs="Times New Roman"/>
          <w:color w:val="000000" w:themeColor="text1"/>
        </w:rPr>
        <w:t xml:space="preserve"> </w:t>
      </w:r>
      <w:r w:rsidR="006B31E7" w:rsidRPr="00041EA6">
        <w:rPr>
          <w:rFonts w:ascii="Palatino Linotype" w:eastAsia="Times New Roman" w:hAnsi="Palatino Linotype" w:cs="Times New Roman"/>
          <w:b/>
          <w:bCs/>
          <w:color w:val="000000" w:themeColor="text1"/>
        </w:rPr>
        <w:t>RECURRENTE</w:t>
      </w:r>
      <w:r w:rsidR="00E647FF" w:rsidRPr="00041EA6">
        <w:rPr>
          <w:rFonts w:ascii="Palatino Linotype" w:eastAsia="Times New Roman" w:hAnsi="Palatino Linotype" w:cs="Arial"/>
          <w:color w:val="000000" w:themeColor="text1"/>
        </w:rPr>
        <w:t>;</w:t>
      </w:r>
      <w:r w:rsidR="005F1362" w:rsidRPr="00041EA6">
        <w:rPr>
          <w:rFonts w:ascii="Palatino Linotype" w:eastAsia="Times New Roman" w:hAnsi="Palatino Linotype" w:cs="Arial"/>
          <w:color w:val="000000" w:themeColor="text1"/>
        </w:rPr>
        <w:t xml:space="preserve"> en contra de la respuesta del</w:t>
      </w:r>
      <w:r w:rsidR="002C1007" w:rsidRPr="00041EA6">
        <w:rPr>
          <w:rFonts w:ascii="Palatino Linotype" w:eastAsia="Times New Roman" w:hAnsi="Palatino Linotype" w:cs="Arial"/>
          <w:color w:val="000000" w:themeColor="text1"/>
        </w:rPr>
        <w:t xml:space="preserve"> </w:t>
      </w:r>
      <w:r w:rsidR="006C61C3" w:rsidRPr="00041EA6">
        <w:rPr>
          <w:rFonts w:ascii="Palatino Linotype" w:eastAsia="Calibri" w:hAnsi="Palatino Linotype" w:cs="Arial"/>
          <w:b/>
          <w:bCs/>
          <w:lang w:val="es-ES"/>
        </w:rPr>
        <w:t xml:space="preserve">Ayuntamiento de </w:t>
      </w:r>
      <w:r w:rsidR="0000026A" w:rsidRPr="00041EA6">
        <w:rPr>
          <w:rFonts w:ascii="Palatino Linotype" w:eastAsia="Calibri" w:hAnsi="Palatino Linotype" w:cs="Arial"/>
          <w:b/>
          <w:bCs/>
          <w:lang w:val="es-ES"/>
        </w:rPr>
        <w:t>Toluca</w:t>
      </w:r>
      <w:r w:rsidR="009572EE" w:rsidRPr="00041EA6">
        <w:rPr>
          <w:rFonts w:ascii="Palatino Linotype" w:eastAsia="Calibri" w:hAnsi="Palatino Linotype" w:cs="Arial"/>
          <w:color w:val="000000" w:themeColor="text1"/>
          <w:lang w:val="es-ES"/>
        </w:rPr>
        <w:t>,</w:t>
      </w:r>
      <w:r w:rsidR="005F1362" w:rsidRPr="00041EA6">
        <w:rPr>
          <w:rFonts w:ascii="Palatino Linotype" w:eastAsia="Calibri" w:hAnsi="Palatino Linotype" w:cs="Arial"/>
          <w:color w:val="000000" w:themeColor="text1"/>
          <w:lang w:val="es-ES"/>
        </w:rPr>
        <w:t xml:space="preserve"> </w:t>
      </w:r>
      <w:r w:rsidR="005F1362" w:rsidRPr="00041EA6">
        <w:rPr>
          <w:rFonts w:ascii="Palatino Linotype" w:eastAsia="Times New Roman" w:hAnsi="Palatino Linotype" w:cs="Times New Roman"/>
          <w:color w:val="000000" w:themeColor="text1"/>
        </w:rPr>
        <w:t>en lo sucesivo el</w:t>
      </w:r>
      <w:r w:rsidR="005F1362" w:rsidRPr="00041EA6">
        <w:rPr>
          <w:rFonts w:ascii="Palatino Linotype" w:eastAsia="Times New Roman" w:hAnsi="Palatino Linotype" w:cs="Times New Roman"/>
          <w:b/>
          <w:color w:val="000000" w:themeColor="text1"/>
        </w:rPr>
        <w:t xml:space="preserve"> SUJETO OBLIGADO, </w:t>
      </w:r>
      <w:r w:rsidR="005F1362" w:rsidRPr="00041EA6">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041EA6" w:rsidRDefault="003F1A79" w:rsidP="00617DA2">
      <w:pPr>
        <w:spacing w:line="360" w:lineRule="auto"/>
        <w:jc w:val="both"/>
        <w:rPr>
          <w:rFonts w:ascii="Palatino Linotype" w:eastAsia="Times New Roman" w:hAnsi="Palatino Linotype" w:cs="Times New Roman"/>
          <w:color w:val="000000" w:themeColor="text1"/>
        </w:rPr>
      </w:pPr>
    </w:p>
    <w:p w14:paraId="769E1410" w14:textId="25E1B89A" w:rsidR="00587366" w:rsidRPr="00041EA6" w:rsidRDefault="00662C69" w:rsidP="00617DA2">
      <w:pPr>
        <w:pStyle w:val="Ttulo1"/>
        <w:spacing w:before="0" w:line="360" w:lineRule="auto"/>
        <w:jc w:val="center"/>
        <w:rPr>
          <w:b/>
          <w:color w:val="000000" w:themeColor="text1"/>
          <w:szCs w:val="24"/>
        </w:rPr>
      </w:pPr>
      <w:bookmarkStart w:id="1" w:name="_Toc461555884"/>
      <w:bookmarkStart w:id="2" w:name="_Toc466371847"/>
      <w:bookmarkStart w:id="3" w:name="_Toc87456484"/>
      <w:r w:rsidRPr="00041EA6">
        <w:rPr>
          <w:b/>
          <w:color w:val="000000" w:themeColor="text1"/>
          <w:szCs w:val="24"/>
        </w:rPr>
        <w:t>A</w:t>
      </w:r>
      <w:r w:rsidR="00C967DD" w:rsidRPr="00041EA6">
        <w:rPr>
          <w:b/>
          <w:color w:val="000000" w:themeColor="text1"/>
          <w:szCs w:val="24"/>
        </w:rPr>
        <w:t xml:space="preserve"> </w:t>
      </w:r>
      <w:r w:rsidRPr="00041EA6">
        <w:rPr>
          <w:b/>
          <w:color w:val="000000" w:themeColor="text1"/>
          <w:szCs w:val="24"/>
        </w:rPr>
        <w:t>N</w:t>
      </w:r>
      <w:r w:rsidR="00C967DD" w:rsidRPr="00041EA6">
        <w:rPr>
          <w:b/>
          <w:color w:val="000000" w:themeColor="text1"/>
          <w:szCs w:val="24"/>
        </w:rPr>
        <w:t xml:space="preserve"> </w:t>
      </w:r>
      <w:r w:rsidRPr="00041EA6">
        <w:rPr>
          <w:b/>
          <w:color w:val="000000" w:themeColor="text1"/>
          <w:szCs w:val="24"/>
        </w:rPr>
        <w:t>T</w:t>
      </w:r>
      <w:r w:rsidR="00C967DD" w:rsidRPr="00041EA6">
        <w:rPr>
          <w:b/>
          <w:color w:val="000000" w:themeColor="text1"/>
          <w:szCs w:val="24"/>
        </w:rPr>
        <w:t xml:space="preserve"> </w:t>
      </w:r>
      <w:r w:rsidRPr="00041EA6">
        <w:rPr>
          <w:b/>
          <w:color w:val="000000" w:themeColor="text1"/>
          <w:szCs w:val="24"/>
        </w:rPr>
        <w:t>E</w:t>
      </w:r>
      <w:r w:rsidR="00C967DD" w:rsidRPr="00041EA6">
        <w:rPr>
          <w:b/>
          <w:color w:val="000000" w:themeColor="text1"/>
          <w:szCs w:val="24"/>
        </w:rPr>
        <w:t xml:space="preserve"> </w:t>
      </w:r>
      <w:r w:rsidRPr="00041EA6">
        <w:rPr>
          <w:b/>
          <w:color w:val="000000" w:themeColor="text1"/>
          <w:szCs w:val="24"/>
        </w:rPr>
        <w:t>C</w:t>
      </w:r>
      <w:r w:rsidR="00C967DD" w:rsidRPr="00041EA6">
        <w:rPr>
          <w:b/>
          <w:color w:val="000000" w:themeColor="text1"/>
          <w:szCs w:val="24"/>
        </w:rPr>
        <w:t xml:space="preserve"> </w:t>
      </w:r>
      <w:r w:rsidRPr="00041EA6">
        <w:rPr>
          <w:b/>
          <w:color w:val="000000" w:themeColor="text1"/>
          <w:szCs w:val="24"/>
        </w:rPr>
        <w:t>E</w:t>
      </w:r>
      <w:r w:rsidR="00C967DD" w:rsidRPr="00041EA6">
        <w:rPr>
          <w:b/>
          <w:color w:val="000000" w:themeColor="text1"/>
          <w:szCs w:val="24"/>
        </w:rPr>
        <w:t xml:space="preserve"> </w:t>
      </w:r>
      <w:r w:rsidRPr="00041EA6">
        <w:rPr>
          <w:b/>
          <w:color w:val="000000" w:themeColor="text1"/>
          <w:szCs w:val="24"/>
        </w:rPr>
        <w:t>D</w:t>
      </w:r>
      <w:r w:rsidR="00C967DD" w:rsidRPr="00041EA6">
        <w:rPr>
          <w:b/>
          <w:color w:val="000000" w:themeColor="text1"/>
          <w:szCs w:val="24"/>
        </w:rPr>
        <w:t xml:space="preserve"> </w:t>
      </w:r>
      <w:r w:rsidRPr="00041EA6">
        <w:rPr>
          <w:b/>
          <w:color w:val="000000" w:themeColor="text1"/>
          <w:szCs w:val="24"/>
        </w:rPr>
        <w:t>E</w:t>
      </w:r>
      <w:r w:rsidR="00C967DD" w:rsidRPr="00041EA6">
        <w:rPr>
          <w:b/>
          <w:color w:val="000000" w:themeColor="text1"/>
          <w:szCs w:val="24"/>
        </w:rPr>
        <w:t xml:space="preserve"> </w:t>
      </w:r>
      <w:r w:rsidRPr="00041EA6">
        <w:rPr>
          <w:b/>
          <w:color w:val="000000" w:themeColor="text1"/>
          <w:szCs w:val="24"/>
        </w:rPr>
        <w:t>N</w:t>
      </w:r>
      <w:r w:rsidR="00C967DD" w:rsidRPr="00041EA6">
        <w:rPr>
          <w:b/>
          <w:color w:val="000000" w:themeColor="text1"/>
          <w:szCs w:val="24"/>
        </w:rPr>
        <w:t xml:space="preserve"> </w:t>
      </w:r>
      <w:r w:rsidRPr="00041EA6">
        <w:rPr>
          <w:b/>
          <w:color w:val="000000" w:themeColor="text1"/>
          <w:szCs w:val="24"/>
        </w:rPr>
        <w:t>T</w:t>
      </w:r>
      <w:r w:rsidR="00C967DD" w:rsidRPr="00041EA6">
        <w:rPr>
          <w:b/>
          <w:color w:val="000000" w:themeColor="text1"/>
          <w:szCs w:val="24"/>
        </w:rPr>
        <w:t xml:space="preserve"> </w:t>
      </w:r>
      <w:r w:rsidRPr="00041EA6">
        <w:rPr>
          <w:b/>
          <w:color w:val="000000" w:themeColor="text1"/>
          <w:szCs w:val="24"/>
        </w:rPr>
        <w:t>E</w:t>
      </w:r>
      <w:r w:rsidR="00C967DD" w:rsidRPr="00041EA6">
        <w:rPr>
          <w:b/>
          <w:color w:val="000000" w:themeColor="text1"/>
          <w:szCs w:val="24"/>
        </w:rPr>
        <w:t xml:space="preserve"> </w:t>
      </w:r>
      <w:r w:rsidRPr="00041EA6">
        <w:rPr>
          <w:b/>
          <w:color w:val="000000" w:themeColor="text1"/>
          <w:szCs w:val="24"/>
        </w:rPr>
        <w:t>S</w:t>
      </w:r>
      <w:bookmarkEnd w:id="1"/>
      <w:bookmarkEnd w:id="2"/>
      <w:bookmarkEnd w:id="3"/>
    </w:p>
    <w:p w14:paraId="5F73BCCB" w14:textId="77777777" w:rsidR="003F1A79" w:rsidRPr="00041EA6" w:rsidRDefault="003F1A79" w:rsidP="00617DA2">
      <w:pPr>
        <w:rPr>
          <w:rFonts w:ascii="Palatino Linotype" w:hAnsi="Palatino Linotype"/>
          <w:lang w:eastAsia="en-US"/>
        </w:rPr>
      </w:pPr>
    </w:p>
    <w:p w14:paraId="402A4C0A" w14:textId="67C0728C" w:rsidR="00D9392E" w:rsidRPr="00041EA6" w:rsidRDefault="005F0007" w:rsidP="00617DA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41EA6">
        <w:rPr>
          <w:rFonts w:ascii="Palatino Linotype" w:eastAsia="Calibri" w:hAnsi="Palatino Linotype" w:cs="Arial"/>
          <w:color w:val="000000" w:themeColor="text1"/>
          <w:lang w:val="es-ES"/>
        </w:rPr>
        <w:t>El</w:t>
      </w:r>
      <w:r w:rsidR="00D9392E" w:rsidRPr="00041EA6">
        <w:rPr>
          <w:rFonts w:ascii="Palatino Linotype" w:eastAsia="Calibri" w:hAnsi="Palatino Linotype" w:cs="Arial"/>
          <w:color w:val="000000" w:themeColor="text1"/>
          <w:lang w:val="es-ES"/>
        </w:rPr>
        <w:t xml:space="preserve"> </w:t>
      </w:r>
      <w:r w:rsidR="000D5BBA" w:rsidRPr="00041EA6">
        <w:rPr>
          <w:rFonts w:ascii="Palatino Linotype" w:eastAsia="Calibri" w:hAnsi="Palatino Linotype" w:cs="Arial"/>
          <w:color w:val="000000" w:themeColor="text1"/>
          <w:lang w:val="es-ES"/>
        </w:rPr>
        <w:t>veinte</w:t>
      </w:r>
      <w:r w:rsidR="0000026A" w:rsidRPr="00041EA6">
        <w:rPr>
          <w:rFonts w:ascii="Palatino Linotype" w:eastAsia="Calibri" w:hAnsi="Palatino Linotype" w:cs="Arial"/>
          <w:color w:val="000000" w:themeColor="text1"/>
          <w:lang w:val="es-ES"/>
        </w:rPr>
        <w:t xml:space="preserve"> de abril</w:t>
      </w:r>
      <w:r w:rsidR="00B31E90" w:rsidRPr="00041EA6">
        <w:rPr>
          <w:rFonts w:ascii="Palatino Linotype" w:eastAsia="Calibri" w:hAnsi="Palatino Linotype" w:cs="Arial"/>
          <w:color w:val="000000" w:themeColor="text1"/>
          <w:lang w:val="es-ES"/>
        </w:rPr>
        <w:t xml:space="preserve"> de dos mil veinti</w:t>
      </w:r>
      <w:r w:rsidR="0000026A" w:rsidRPr="00041EA6">
        <w:rPr>
          <w:rFonts w:ascii="Palatino Linotype" w:eastAsia="Calibri" w:hAnsi="Palatino Linotype" w:cs="Arial"/>
          <w:color w:val="000000" w:themeColor="text1"/>
          <w:lang w:val="es-ES"/>
        </w:rPr>
        <w:t>cinco</w:t>
      </w:r>
      <w:r w:rsidR="005F1362" w:rsidRPr="00041EA6">
        <w:rPr>
          <w:rFonts w:ascii="Palatino Linotype" w:eastAsia="Calibri" w:hAnsi="Palatino Linotype" w:cs="Arial"/>
          <w:color w:val="000000" w:themeColor="text1"/>
          <w:lang w:val="es-ES"/>
        </w:rPr>
        <w:t xml:space="preserve">, </w:t>
      </w:r>
      <w:r w:rsidR="004E197E" w:rsidRPr="00041EA6">
        <w:rPr>
          <w:rFonts w:ascii="Palatino Linotype" w:eastAsia="Calibri" w:hAnsi="Palatino Linotype" w:cs="Arial"/>
          <w:color w:val="000000" w:themeColor="text1"/>
          <w:lang w:val="es-ES"/>
        </w:rPr>
        <w:t>el</w:t>
      </w:r>
      <w:r w:rsidR="00B31E90" w:rsidRPr="00041EA6">
        <w:rPr>
          <w:rFonts w:ascii="Palatino Linotype" w:hAnsi="Palatino Linotype"/>
          <w:color w:val="000000" w:themeColor="text1"/>
        </w:rPr>
        <w:t xml:space="preserve"> particular</w:t>
      </w:r>
      <w:r w:rsidR="005F1362" w:rsidRPr="00041EA6">
        <w:rPr>
          <w:rFonts w:ascii="Palatino Linotype" w:hAnsi="Palatino Linotype"/>
          <w:color w:val="000000" w:themeColor="text1"/>
        </w:rPr>
        <w:t xml:space="preserve"> presentó</w:t>
      </w:r>
      <w:r w:rsidR="005F1362" w:rsidRPr="00041EA6">
        <w:rPr>
          <w:rFonts w:ascii="Palatino Linotype" w:hAnsi="Palatino Linotype"/>
          <w:b/>
          <w:color w:val="000000" w:themeColor="text1"/>
        </w:rPr>
        <w:t xml:space="preserve"> </w:t>
      </w:r>
      <w:r w:rsidR="00127E68" w:rsidRPr="00041EA6">
        <w:rPr>
          <w:rFonts w:ascii="Palatino Linotype" w:hAnsi="Palatino Linotype"/>
          <w:bCs/>
          <w:color w:val="000000" w:themeColor="text1"/>
        </w:rPr>
        <w:t xml:space="preserve">a través </w:t>
      </w:r>
      <w:r w:rsidR="00994E0F" w:rsidRPr="00041EA6">
        <w:rPr>
          <w:rFonts w:ascii="Palatino Linotype" w:hAnsi="Palatino Linotype"/>
          <w:bCs/>
          <w:color w:val="000000" w:themeColor="text1"/>
        </w:rPr>
        <w:t>d</w:t>
      </w:r>
      <w:r w:rsidR="000021A0" w:rsidRPr="00041EA6">
        <w:rPr>
          <w:rFonts w:ascii="Palatino Linotype" w:hAnsi="Palatino Linotype"/>
          <w:bCs/>
          <w:color w:val="000000" w:themeColor="text1"/>
        </w:rPr>
        <w:t>el</w:t>
      </w:r>
      <w:r w:rsidR="004863BC" w:rsidRPr="00041EA6">
        <w:rPr>
          <w:rFonts w:ascii="Palatino Linotype" w:hAnsi="Palatino Linotype"/>
          <w:bCs/>
          <w:color w:val="000000" w:themeColor="text1"/>
        </w:rPr>
        <w:t xml:space="preserve"> </w:t>
      </w:r>
      <w:r w:rsidR="005F1362" w:rsidRPr="00041EA6">
        <w:rPr>
          <w:rFonts w:ascii="Palatino Linotype" w:eastAsia="Calibri" w:hAnsi="Palatino Linotype" w:cs="Arial"/>
          <w:color w:val="000000" w:themeColor="text1"/>
          <w:lang w:val="es-ES"/>
        </w:rPr>
        <w:t xml:space="preserve">Sistema de Acceso a la Información Mexiquense </w:t>
      </w:r>
      <w:r w:rsidR="005F1362" w:rsidRPr="00041EA6">
        <w:rPr>
          <w:rFonts w:ascii="Palatino Linotype" w:eastAsia="Calibri" w:hAnsi="Palatino Linotype" w:cs="Arial"/>
          <w:bCs/>
          <w:color w:val="000000" w:themeColor="text1"/>
          <w:lang w:val="es-ES"/>
        </w:rPr>
        <w:t>(SAIMEX)</w:t>
      </w:r>
      <w:r w:rsidR="005F1362" w:rsidRPr="00041EA6">
        <w:rPr>
          <w:rFonts w:ascii="Palatino Linotype" w:eastAsia="Calibri" w:hAnsi="Palatino Linotype" w:cs="Arial"/>
          <w:color w:val="000000" w:themeColor="text1"/>
          <w:lang w:val="es-ES"/>
        </w:rPr>
        <w:t xml:space="preserve">, la solicitud de información pública registrada </w:t>
      </w:r>
      <w:r w:rsidR="000D5BBA" w:rsidRPr="00041EA6">
        <w:rPr>
          <w:rFonts w:ascii="Palatino Linotype" w:eastAsia="Calibri" w:hAnsi="Palatino Linotype" w:cs="Arial"/>
          <w:color w:val="000000" w:themeColor="text1"/>
          <w:lang w:val="es-ES"/>
        </w:rPr>
        <w:t xml:space="preserve">al siguiente día hábil es decir el veintiuno de abril de dos mil veinticinco </w:t>
      </w:r>
      <w:r w:rsidR="005F1362" w:rsidRPr="00041EA6">
        <w:rPr>
          <w:rFonts w:ascii="Palatino Linotype" w:eastAsia="Calibri" w:hAnsi="Palatino Linotype" w:cs="Arial"/>
          <w:color w:val="000000" w:themeColor="text1"/>
          <w:lang w:val="es-ES"/>
        </w:rPr>
        <w:t>con el número</w:t>
      </w:r>
      <w:r w:rsidR="005F1362" w:rsidRPr="00041EA6">
        <w:rPr>
          <w:rFonts w:ascii="Palatino Linotype" w:hAnsi="Palatino Linotype"/>
          <w:b/>
          <w:bCs/>
          <w:color w:val="000000" w:themeColor="text1"/>
        </w:rPr>
        <w:t xml:space="preserve"> </w:t>
      </w:r>
      <w:r w:rsidR="000D5BBA" w:rsidRPr="00041EA6">
        <w:rPr>
          <w:rFonts w:ascii="Palatino Linotype" w:hAnsi="Palatino Linotype"/>
          <w:b/>
          <w:bCs/>
          <w:color w:val="000000" w:themeColor="text1"/>
        </w:rPr>
        <w:t>02311</w:t>
      </w:r>
      <w:r w:rsidR="006C61C3" w:rsidRPr="00041EA6">
        <w:rPr>
          <w:rFonts w:ascii="Palatino Linotype" w:hAnsi="Palatino Linotype"/>
          <w:b/>
          <w:bCs/>
          <w:color w:val="000000" w:themeColor="text1"/>
        </w:rPr>
        <w:t>/</w:t>
      </w:r>
      <w:r w:rsidR="000D5BBA" w:rsidRPr="00041EA6">
        <w:rPr>
          <w:rFonts w:ascii="Palatino Linotype" w:hAnsi="Palatino Linotype"/>
          <w:b/>
          <w:bCs/>
          <w:color w:val="000000" w:themeColor="text1"/>
        </w:rPr>
        <w:t>TOLUCA/IP/2025</w:t>
      </w:r>
      <w:r w:rsidR="005F1362" w:rsidRPr="00041EA6">
        <w:rPr>
          <w:rFonts w:ascii="Palatino Linotype" w:hAnsi="Palatino Linotype"/>
          <w:b/>
          <w:bCs/>
          <w:color w:val="000000" w:themeColor="text1"/>
        </w:rPr>
        <w:t>,</w:t>
      </w:r>
      <w:r w:rsidR="005F1362" w:rsidRPr="00041EA6">
        <w:rPr>
          <w:rFonts w:ascii="Palatino Linotype" w:eastAsia="Calibri" w:hAnsi="Palatino Linotype" w:cs="Arial"/>
          <w:color w:val="000000" w:themeColor="text1"/>
          <w:lang w:val="es-ES"/>
        </w:rPr>
        <w:t xml:space="preserve"> </w:t>
      </w:r>
      <w:r w:rsidR="00713E17">
        <w:rPr>
          <w:rFonts w:ascii="Palatino Linotype" w:eastAsia="Calibri" w:hAnsi="Palatino Linotype" w:cs="Arial"/>
          <w:color w:val="000000" w:themeColor="text1"/>
          <w:lang w:val="es-ES"/>
        </w:rPr>
        <w:t>en la que se</w:t>
      </w:r>
      <w:r w:rsidR="005F1362" w:rsidRPr="00041EA6">
        <w:rPr>
          <w:rFonts w:ascii="Palatino Linotype" w:eastAsia="Calibri" w:hAnsi="Palatino Linotype" w:cs="Arial"/>
          <w:color w:val="000000" w:themeColor="text1"/>
          <w:lang w:val="es-ES"/>
        </w:rPr>
        <w:t xml:space="preserve"> requirió</w:t>
      </w:r>
      <w:r w:rsidR="00022D89" w:rsidRPr="00041EA6">
        <w:rPr>
          <w:rFonts w:ascii="Palatino Linotype" w:eastAsia="Calibri" w:hAnsi="Palatino Linotype" w:cs="Arial"/>
          <w:color w:val="000000" w:themeColor="text1"/>
          <w:lang w:val="es-ES"/>
        </w:rPr>
        <w:t xml:space="preserve"> lo siguiente</w:t>
      </w:r>
      <w:r w:rsidR="005F1362" w:rsidRPr="00041EA6">
        <w:rPr>
          <w:rFonts w:ascii="Palatino Linotype" w:eastAsia="Calibri" w:hAnsi="Palatino Linotype" w:cs="Arial"/>
          <w:color w:val="000000" w:themeColor="text1"/>
          <w:lang w:val="es-ES"/>
        </w:rPr>
        <w:t>:</w:t>
      </w:r>
    </w:p>
    <w:p w14:paraId="76EB7490" w14:textId="77777777" w:rsidR="00B31E90" w:rsidRPr="00041EA6" w:rsidRDefault="00B31E90" w:rsidP="00617DA2">
      <w:pPr>
        <w:pStyle w:val="Prrafodelista"/>
        <w:spacing w:line="276" w:lineRule="auto"/>
        <w:ind w:left="0"/>
        <w:jc w:val="both"/>
        <w:rPr>
          <w:rFonts w:ascii="Palatino Linotype" w:hAnsi="Palatino Linotype"/>
          <w:i/>
          <w:color w:val="000000" w:themeColor="text1"/>
        </w:rPr>
      </w:pPr>
    </w:p>
    <w:p w14:paraId="605C5067" w14:textId="7994BD5B" w:rsidR="0097210F" w:rsidRPr="00041EA6" w:rsidRDefault="005F1362" w:rsidP="00617DA2">
      <w:pPr>
        <w:pStyle w:val="Prrafodelista"/>
        <w:spacing w:line="276" w:lineRule="auto"/>
        <w:ind w:left="0"/>
        <w:jc w:val="both"/>
        <w:rPr>
          <w:rFonts w:ascii="Palatino Linotype" w:hAnsi="Palatino Linotype"/>
          <w:i/>
          <w:color w:val="000000" w:themeColor="text1"/>
        </w:rPr>
      </w:pPr>
      <w:r w:rsidRPr="00041EA6">
        <w:rPr>
          <w:rFonts w:ascii="Palatino Linotype" w:hAnsi="Palatino Linotype"/>
          <w:i/>
          <w:color w:val="000000" w:themeColor="text1"/>
        </w:rPr>
        <w:t>“</w:t>
      </w:r>
      <w:r w:rsidR="000D5BBA" w:rsidRPr="00041EA6">
        <w:rPr>
          <w:rFonts w:ascii="Palatino Linotype" w:hAnsi="Palatino Linotype"/>
          <w:i/>
          <w:color w:val="000000"/>
        </w:rPr>
        <w:t>Los convenios firmados por Ricardo Moreno y reconocimiento recibidos en el Ayuntamiento en 2025</w:t>
      </w:r>
      <w:r w:rsidRPr="00041EA6">
        <w:rPr>
          <w:rFonts w:ascii="Palatino Linotype" w:hAnsi="Palatino Linotype"/>
          <w:i/>
          <w:color w:val="000000" w:themeColor="text1"/>
        </w:rPr>
        <w:t>” (Sic).</w:t>
      </w:r>
    </w:p>
    <w:p w14:paraId="010F49EF" w14:textId="4293FA51" w:rsidR="004E197E" w:rsidRDefault="004E197E" w:rsidP="00617DA2">
      <w:pPr>
        <w:pStyle w:val="Prrafodelista"/>
        <w:spacing w:line="276" w:lineRule="auto"/>
        <w:ind w:left="0"/>
        <w:jc w:val="both"/>
        <w:rPr>
          <w:rFonts w:ascii="Palatino Linotype" w:hAnsi="Palatino Linotype"/>
          <w:i/>
          <w:color w:val="000000" w:themeColor="text1"/>
        </w:rPr>
      </w:pPr>
    </w:p>
    <w:p w14:paraId="5CF76296" w14:textId="77777777" w:rsidR="00713E17" w:rsidRPr="00041EA6" w:rsidRDefault="00713E17" w:rsidP="00617DA2">
      <w:pPr>
        <w:pStyle w:val="Prrafodelista"/>
        <w:spacing w:line="276" w:lineRule="auto"/>
        <w:ind w:left="0"/>
        <w:jc w:val="both"/>
        <w:rPr>
          <w:rFonts w:ascii="Palatino Linotype" w:hAnsi="Palatino Linotype"/>
          <w:i/>
          <w:color w:val="000000" w:themeColor="text1"/>
        </w:rPr>
      </w:pPr>
    </w:p>
    <w:p w14:paraId="49C21E77" w14:textId="4A7AB5D2" w:rsidR="0039142B" w:rsidRPr="00041EA6" w:rsidRDefault="00836FF4" w:rsidP="00617DA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41EA6">
        <w:rPr>
          <w:rFonts w:ascii="Palatino Linotype" w:hAnsi="Palatino Linotype" w:cs="Arial"/>
          <w:color w:val="000000" w:themeColor="text1"/>
        </w:rPr>
        <w:t>Modalidad de entrega: A través d</w:t>
      </w:r>
      <w:r w:rsidR="009C0215" w:rsidRPr="00041EA6">
        <w:rPr>
          <w:rFonts w:ascii="Palatino Linotype" w:hAnsi="Palatino Linotype" w:cs="Arial"/>
          <w:color w:val="000000" w:themeColor="text1"/>
        </w:rPr>
        <w:t>e</w:t>
      </w:r>
      <w:r w:rsidR="00755146" w:rsidRPr="00041EA6">
        <w:rPr>
          <w:rFonts w:ascii="Palatino Linotype" w:hAnsi="Palatino Linotype" w:cs="Arial"/>
          <w:color w:val="000000" w:themeColor="text1"/>
        </w:rPr>
        <w:t>l SAIMEX</w:t>
      </w:r>
      <w:r w:rsidR="004E197E" w:rsidRPr="00041EA6">
        <w:rPr>
          <w:rFonts w:ascii="Palatino Linotype" w:hAnsi="Palatino Linotype" w:cs="Arial"/>
          <w:color w:val="000000" w:themeColor="text1"/>
        </w:rPr>
        <w:t>.</w:t>
      </w:r>
      <w:r w:rsidR="009E6A7E" w:rsidRPr="00041EA6">
        <w:rPr>
          <w:rFonts w:ascii="Palatino Linotype" w:hAnsi="Palatino Linotype" w:cs="Arial"/>
          <w:color w:val="000000" w:themeColor="text1"/>
        </w:rPr>
        <w:t xml:space="preserve"> </w:t>
      </w:r>
    </w:p>
    <w:p w14:paraId="35BA18A9" w14:textId="77777777" w:rsidR="0039142B" w:rsidRPr="00041EA6" w:rsidRDefault="0039142B" w:rsidP="00617DA2">
      <w:pPr>
        <w:pStyle w:val="Prrafodelista"/>
        <w:spacing w:line="360" w:lineRule="auto"/>
        <w:ind w:left="0"/>
        <w:jc w:val="both"/>
        <w:rPr>
          <w:rFonts w:ascii="Palatino Linotype" w:eastAsia="MS Mincho" w:hAnsi="Palatino Linotype" w:cs="Times New Roman"/>
          <w:color w:val="000000" w:themeColor="text1"/>
        </w:rPr>
      </w:pPr>
    </w:p>
    <w:p w14:paraId="60DCDA4B" w14:textId="4E73282E" w:rsidR="0022448D" w:rsidRPr="00041EA6" w:rsidRDefault="00AE0CDF" w:rsidP="00617DA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41EA6">
        <w:rPr>
          <w:rFonts w:ascii="Palatino Linotype" w:eastAsia="MS Mincho" w:hAnsi="Palatino Linotype" w:cs="Times New Roman"/>
          <w:color w:val="000000" w:themeColor="text1"/>
        </w:rPr>
        <w:t xml:space="preserve">El </w:t>
      </w:r>
      <w:r w:rsidR="000D5BBA" w:rsidRPr="00041EA6">
        <w:rPr>
          <w:rFonts w:ascii="Palatino Linotype" w:eastAsia="MS Mincho" w:hAnsi="Palatino Linotype" w:cs="Times New Roman"/>
          <w:color w:val="000000" w:themeColor="text1"/>
        </w:rPr>
        <w:t>catorce de mayo de dos mil veinticinco</w:t>
      </w:r>
      <w:r w:rsidRPr="00041EA6">
        <w:rPr>
          <w:rFonts w:ascii="Palatino Linotype" w:eastAsia="MS Mincho" w:hAnsi="Palatino Linotype" w:cs="Times New Roman"/>
          <w:color w:val="000000" w:themeColor="text1"/>
        </w:rPr>
        <w:t xml:space="preserve">, </w:t>
      </w:r>
      <w:r w:rsidR="005F1362" w:rsidRPr="00041EA6">
        <w:rPr>
          <w:rFonts w:ascii="Palatino Linotype" w:hAnsi="Palatino Linotype"/>
          <w:color w:val="000000" w:themeColor="text1"/>
        </w:rPr>
        <w:t xml:space="preserve">el </w:t>
      </w:r>
      <w:r w:rsidR="005F1362" w:rsidRPr="00041EA6">
        <w:rPr>
          <w:rFonts w:ascii="Palatino Linotype" w:hAnsi="Palatino Linotype"/>
          <w:b/>
          <w:color w:val="000000" w:themeColor="text1"/>
        </w:rPr>
        <w:t>SUJETO OBLIGADO</w:t>
      </w:r>
      <w:r w:rsidR="005F1362" w:rsidRPr="00041EA6">
        <w:rPr>
          <w:rFonts w:ascii="Palatino Linotype" w:hAnsi="Palatino Linotype"/>
          <w:color w:val="000000" w:themeColor="text1"/>
        </w:rPr>
        <w:t xml:space="preserve"> </w:t>
      </w:r>
      <w:r w:rsidR="007076C5" w:rsidRPr="00041EA6">
        <w:rPr>
          <w:rFonts w:ascii="Palatino Linotype" w:hAnsi="Palatino Linotype"/>
          <w:color w:val="000000" w:themeColor="text1"/>
        </w:rPr>
        <w:t xml:space="preserve">dio respuesta a la solicitud de información </w:t>
      </w:r>
      <w:r w:rsidR="000D5BBA" w:rsidRPr="00041EA6">
        <w:rPr>
          <w:rFonts w:ascii="Palatino Linotype" w:hAnsi="Palatino Linotype"/>
          <w:b/>
          <w:bCs/>
          <w:color w:val="000000" w:themeColor="text1"/>
        </w:rPr>
        <w:t>02311</w:t>
      </w:r>
      <w:r w:rsidR="006C61C3" w:rsidRPr="00041EA6">
        <w:rPr>
          <w:rFonts w:ascii="Palatino Linotype" w:hAnsi="Palatino Linotype"/>
          <w:b/>
          <w:bCs/>
          <w:color w:val="000000" w:themeColor="text1"/>
        </w:rPr>
        <w:t>/</w:t>
      </w:r>
      <w:r w:rsidR="000D5BBA" w:rsidRPr="00041EA6">
        <w:rPr>
          <w:rFonts w:ascii="Palatino Linotype" w:hAnsi="Palatino Linotype"/>
          <w:b/>
          <w:bCs/>
          <w:color w:val="000000" w:themeColor="text1"/>
        </w:rPr>
        <w:t>TOLUCA</w:t>
      </w:r>
      <w:r w:rsidR="006C61C3" w:rsidRPr="00041EA6">
        <w:rPr>
          <w:rFonts w:ascii="Palatino Linotype" w:hAnsi="Palatino Linotype"/>
          <w:b/>
          <w:bCs/>
          <w:color w:val="000000" w:themeColor="text1"/>
        </w:rPr>
        <w:t>/IP/202</w:t>
      </w:r>
      <w:r w:rsidR="000D5BBA" w:rsidRPr="00041EA6">
        <w:rPr>
          <w:rFonts w:ascii="Palatino Linotype" w:hAnsi="Palatino Linotype"/>
          <w:b/>
          <w:bCs/>
          <w:color w:val="000000" w:themeColor="text1"/>
        </w:rPr>
        <w:t>5</w:t>
      </w:r>
      <w:r w:rsidR="007076C5" w:rsidRPr="00041EA6">
        <w:rPr>
          <w:rFonts w:ascii="Palatino Linotype" w:hAnsi="Palatino Linotype"/>
          <w:color w:val="000000" w:themeColor="text1"/>
        </w:rPr>
        <w:t xml:space="preserve"> en los siguientes términos</w:t>
      </w:r>
      <w:r w:rsidR="005F1362" w:rsidRPr="00041EA6">
        <w:rPr>
          <w:rFonts w:ascii="Palatino Linotype" w:hAnsi="Palatino Linotype"/>
          <w:color w:val="000000" w:themeColor="text1"/>
        </w:rPr>
        <w:t>:</w:t>
      </w:r>
    </w:p>
    <w:p w14:paraId="0E759FD5" w14:textId="77777777" w:rsidR="009A593A" w:rsidRPr="00041EA6" w:rsidRDefault="009A593A" w:rsidP="00617DA2">
      <w:pPr>
        <w:pStyle w:val="Sinespaciado"/>
        <w:jc w:val="right"/>
        <w:rPr>
          <w:rFonts w:ascii="Palatino Linotype" w:hAnsi="Palatino Linotype"/>
          <w:i/>
          <w:noProof/>
          <w:color w:val="000000" w:themeColor="text1"/>
          <w:lang w:eastAsia="es-MX"/>
        </w:rPr>
      </w:pPr>
    </w:p>
    <w:tbl>
      <w:tblPr>
        <w:tblW w:w="10065" w:type="dxa"/>
        <w:jc w:val="center"/>
        <w:tblCellSpacing w:w="0" w:type="dxa"/>
        <w:tblCellMar>
          <w:left w:w="0" w:type="dxa"/>
          <w:right w:w="0" w:type="dxa"/>
        </w:tblCellMar>
        <w:tblLook w:val="04A0" w:firstRow="1" w:lastRow="0" w:firstColumn="1" w:lastColumn="0" w:noHBand="0" w:noVBand="1"/>
      </w:tblPr>
      <w:tblGrid>
        <w:gridCol w:w="10065"/>
      </w:tblGrid>
      <w:tr w:rsidR="000D5BBA" w:rsidRPr="00041EA6" w14:paraId="16F4A9C7" w14:textId="77777777" w:rsidTr="00713E17">
        <w:trPr>
          <w:trHeight w:val="150"/>
          <w:tblCellSpacing w:w="0" w:type="dxa"/>
          <w:jc w:val="center"/>
        </w:trPr>
        <w:tc>
          <w:tcPr>
            <w:tcW w:w="10065" w:type="dxa"/>
            <w:vAlign w:val="center"/>
            <w:hideMark/>
          </w:tcPr>
          <w:p w14:paraId="4830E602" w14:textId="6508271A" w:rsidR="000D5BBA" w:rsidRPr="00041EA6" w:rsidRDefault="005F1362" w:rsidP="00617DA2">
            <w:pPr>
              <w:rPr>
                <w:rFonts w:ascii="Palatino Linotype" w:eastAsia="Times New Roman" w:hAnsi="Palatino Linotype" w:cs="Times New Roman"/>
                <w:i/>
                <w:lang w:eastAsia="es-MX"/>
              </w:rPr>
            </w:pPr>
            <w:r w:rsidRPr="00041EA6">
              <w:rPr>
                <w:rFonts w:ascii="Palatino Linotype" w:hAnsi="Palatino Linotype"/>
                <w:i/>
                <w:noProof/>
                <w:color w:val="000000" w:themeColor="text1"/>
                <w:lang w:eastAsia="es-MX"/>
              </w:rPr>
              <w:lastRenderedPageBreak/>
              <w:t>“</w:t>
            </w:r>
            <w:r w:rsidR="000D5BBA" w:rsidRPr="00041EA6">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0D5BBA" w:rsidRPr="00041EA6" w14:paraId="0AD8CF78" w14:textId="77777777" w:rsidTr="00713E17">
        <w:trPr>
          <w:trHeight w:val="375"/>
          <w:tblCellSpacing w:w="0" w:type="dxa"/>
          <w:jc w:val="center"/>
        </w:trPr>
        <w:tc>
          <w:tcPr>
            <w:tcW w:w="10065" w:type="dxa"/>
            <w:vAlign w:val="center"/>
            <w:hideMark/>
          </w:tcPr>
          <w:p w14:paraId="432202F8" w14:textId="77777777" w:rsidR="000D5BBA" w:rsidRPr="00041EA6" w:rsidRDefault="000D5BBA" w:rsidP="00617DA2">
            <w:pPr>
              <w:rPr>
                <w:rFonts w:ascii="Palatino Linotype" w:eastAsia="Times New Roman" w:hAnsi="Palatino Linotype" w:cs="Times New Roman"/>
                <w:i/>
                <w:lang w:eastAsia="es-MX"/>
              </w:rPr>
            </w:pPr>
          </w:p>
        </w:tc>
      </w:tr>
      <w:tr w:rsidR="000D5BBA" w:rsidRPr="00041EA6" w14:paraId="0AE8EAF2" w14:textId="77777777" w:rsidTr="00713E17">
        <w:trPr>
          <w:trHeight w:val="150"/>
          <w:tblCellSpacing w:w="0" w:type="dxa"/>
          <w:jc w:val="center"/>
        </w:trPr>
        <w:tc>
          <w:tcPr>
            <w:tcW w:w="10065" w:type="dxa"/>
            <w:vAlign w:val="center"/>
            <w:hideMark/>
          </w:tcPr>
          <w:p w14:paraId="3A9BED3C" w14:textId="77777777" w:rsidR="000D5BBA" w:rsidRPr="00041EA6" w:rsidRDefault="000D5BBA" w:rsidP="00617DA2">
            <w:pPr>
              <w:rPr>
                <w:rFonts w:ascii="Palatino Linotype" w:eastAsia="Times New Roman" w:hAnsi="Palatino Linotype" w:cs="Times New Roman"/>
                <w:i/>
                <w:lang w:eastAsia="es-MX"/>
              </w:rPr>
            </w:pPr>
            <w:r w:rsidRPr="00041EA6">
              <w:rPr>
                <w:rFonts w:ascii="Palatino Linotype" w:eastAsia="Times New Roman" w:hAnsi="Palatino Linotype" w:cs="Times New Roman"/>
                <w:i/>
                <w:lang w:eastAsia="es-MX"/>
              </w:rPr>
              <w:t>En atención a la solicitud con folio 02311/TOLUCA/IP/2025, me permito adjuntar al presente la respuesta correspondiente, Sin más por el momento, reciba un saludo.</w:t>
            </w:r>
          </w:p>
        </w:tc>
      </w:tr>
      <w:tr w:rsidR="000D5BBA" w:rsidRPr="00041EA6" w14:paraId="5C17642A" w14:textId="77777777" w:rsidTr="00713E17">
        <w:trPr>
          <w:trHeight w:val="375"/>
          <w:tblCellSpacing w:w="0" w:type="dxa"/>
          <w:jc w:val="center"/>
        </w:trPr>
        <w:tc>
          <w:tcPr>
            <w:tcW w:w="10065" w:type="dxa"/>
            <w:vAlign w:val="center"/>
            <w:hideMark/>
          </w:tcPr>
          <w:p w14:paraId="2489F8B8" w14:textId="77777777" w:rsidR="000D5BBA" w:rsidRPr="00041EA6" w:rsidRDefault="000D5BBA" w:rsidP="00617DA2">
            <w:pPr>
              <w:rPr>
                <w:rFonts w:ascii="Palatino Linotype" w:eastAsia="Times New Roman" w:hAnsi="Palatino Linotype" w:cs="Times New Roman"/>
                <w:i/>
                <w:lang w:eastAsia="es-MX"/>
              </w:rPr>
            </w:pPr>
          </w:p>
        </w:tc>
      </w:tr>
      <w:tr w:rsidR="000D5BBA" w:rsidRPr="00041EA6" w14:paraId="777268BA" w14:textId="77777777" w:rsidTr="00713E17">
        <w:trPr>
          <w:trHeight w:val="150"/>
          <w:tblCellSpacing w:w="0" w:type="dxa"/>
          <w:jc w:val="center"/>
        </w:trPr>
        <w:tc>
          <w:tcPr>
            <w:tcW w:w="10065" w:type="dxa"/>
            <w:vAlign w:val="center"/>
            <w:hideMark/>
          </w:tcPr>
          <w:p w14:paraId="086A7761" w14:textId="77777777" w:rsidR="000D5BBA" w:rsidRPr="00041EA6" w:rsidRDefault="000D5BBA" w:rsidP="00617DA2">
            <w:pPr>
              <w:jc w:val="center"/>
              <w:rPr>
                <w:rFonts w:ascii="Palatino Linotype" w:eastAsia="Times New Roman" w:hAnsi="Palatino Linotype" w:cs="Times New Roman"/>
                <w:i/>
                <w:lang w:eastAsia="es-MX"/>
              </w:rPr>
            </w:pPr>
          </w:p>
        </w:tc>
      </w:tr>
      <w:tr w:rsidR="000D5BBA" w:rsidRPr="00041EA6" w14:paraId="5E9CEC93" w14:textId="77777777" w:rsidTr="00713E17">
        <w:trPr>
          <w:trHeight w:val="150"/>
          <w:tblCellSpacing w:w="0" w:type="dxa"/>
          <w:jc w:val="center"/>
        </w:trPr>
        <w:tc>
          <w:tcPr>
            <w:tcW w:w="10065" w:type="dxa"/>
            <w:vAlign w:val="center"/>
            <w:hideMark/>
          </w:tcPr>
          <w:p w14:paraId="7B289304" w14:textId="77777777" w:rsidR="000D5BBA" w:rsidRPr="00041EA6" w:rsidRDefault="000D5BBA" w:rsidP="00617DA2">
            <w:pPr>
              <w:rPr>
                <w:rFonts w:ascii="Palatino Linotype" w:eastAsia="Times New Roman" w:hAnsi="Palatino Linotype" w:cs="Times New Roman"/>
                <w:i/>
                <w:lang w:eastAsia="es-MX"/>
              </w:rPr>
            </w:pPr>
          </w:p>
        </w:tc>
      </w:tr>
      <w:tr w:rsidR="000D5BBA" w:rsidRPr="00041EA6" w14:paraId="5C3A1DF4" w14:textId="77777777" w:rsidTr="00713E17">
        <w:trPr>
          <w:trHeight w:val="150"/>
          <w:tblCellSpacing w:w="0" w:type="dxa"/>
          <w:jc w:val="center"/>
        </w:trPr>
        <w:tc>
          <w:tcPr>
            <w:tcW w:w="10065" w:type="dxa"/>
            <w:vAlign w:val="center"/>
            <w:hideMark/>
          </w:tcPr>
          <w:p w14:paraId="452CA170" w14:textId="77777777" w:rsidR="000D5BBA" w:rsidRPr="00041EA6" w:rsidRDefault="000D5BBA" w:rsidP="00617DA2">
            <w:pPr>
              <w:rPr>
                <w:rFonts w:ascii="Palatino Linotype" w:eastAsia="Times New Roman" w:hAnsi="Palatino Linotype" w:cs="Times New Roman"/>
                <w:i/>
                <w:lang w:eastAsia="es-MX"/>
              </w:rPr>
            </w:pPr>
            <w:r w:rsidRPr="00041EA6">
              <w:rPr>
                <w:rFonts w:ascii="Palatino Linotype" w:eastAsia="Times New Roman" w:hAnsi="Palatino Linotype" w:cs="Times New Roman"/>
                <w:i/>
                <w:lang w:eastAsia="es-MX"/>
              </w:rPr>
              <w:t>ATENTAMENTE</w:t>
            </w:r>
          </w:p>
        </w:tc>
      </w:tr>
      <w:tr w:rsidR="000D5BBA" w:rsidRPr="00041EA6" w14:paraId="45B0492A" w14:textId="77777777" w:rsidTr="00713E17">
        <w:trPr>
          <w:trHeight w:val="225"/>
          <w:tblCellSpacing w:w="0" w:type="dxa"/>
          <w:jc w:val="center"/>
        </w:trPr>
        <w:tc>
          <w:tcPr>
            <w:tcW w:w="10065" w:type="dxa"/>
            <w:vAlign w:val="center"/>
            <w:hideMark/>
          </w:tcPr>
          <w:p w14:paraId="3C9BF26E" w14:textId="77777777" w:rsidR="000D5BBA" w:rsidRPr="00041EA6" w:rsidRDefault="000D5BBA" w:rsidP="00617DA2">
            <w:pPr>
              <w:rPr>
                <w:rFonts w:ascii="Palatino Linotype" w:eastAsia="Times New Roman" w:hAnsi="Palatino Linotype" w:cs="Times New Roman"/>
                <w:i/>
                <w:lang w:eastAsia="es-MX"/>
              </w:rPr>
            </w:pPr>
          </w:p>
        </w:tc>
      </w:tr>
      <w:tr w:rsidR="000D5BBA" w:rsidRPr="00041EA6" w14:paraId="1FA5B22B" w14:textId="77777777" w:rsidTr="00713E17">
        <w:trPr>
          <w:trHeight w:val="150"/>
          <w:tblCellSpacing w:w="0" w:type="dxa"/>
          <w:jc w:val="center"/>
        </w:trPr>
        <w:tc>
          <w:tcPr>
            <w:tcW w:w="10065" w:type="dxa"/>
            <w:vAlign w:val="center"/>
            <w:hideMark/>
          </w:tcPr>
          <w:p w14:paraId="5E9EB9D8" w14:textId="77777777" w:rsidR="000D5BBA" w:rsidRPr="00041EA6" w:rsidRDefault="000D5BBA" w:rsidP="00617DA2">
            <w:pPr>
              <w:pStyle w:val="Sinespaciado"/>
              <w:spacing w:line="276" w:lineRule="auto"/>
              <w:jc w:val="both"/>
              <w:rPr>
                <w:rFonts w:ascii="Palatino Linotype" w:hAnsi="Palatino Linotype"/>
                <w:noProof/>
                <w:color w:val="000000" w:themeColor="text1"/>
                <w:lang w:val="es-MX" w:eastAsia="es-MX"/>
              </w:rPr>
            </w:pPr>
            <w:r w:rsidRPr="00041EA6">
              <w:rPr>
                <w:rFonts w:ascii="Palatino Linotype" w:eastAsia="Times New Roman" w:hAnsi="Palatino Linotype" w:cs="Times New Roman"/>
                <w:i/>
                <w:lang w:eastAsia="es-MX"/>
              </w:rPr>
              <w:t>Dr. Nahum Miguel Mendoza Morales</w:t>
            </w:r>
            <w:r w:rsidRPr="00041EA6">
              <w:rPr>
                <w:rFonts w:ascii="Palatino Linotype" w:hAnsi="Palatino Linotype"/>
                <w:i/>
                <w:noProof/>
                <w:color w:val="000000" w:themeColor="text1"/>
                <w:lang w:val="es-MX" w:eastAsia="es-MX"/>
              </w:rPr>
              <w:t>”</w:t>
            </w:r>
            <w:r w:rsidRPr="00041EA6">
              <w:rPr>
                <w:rFonts w:ascii="Palatino Linotype" w:hAnsi="Palatino Linotype"/>
                <w:noProof/>
                <w:color w:val="000000" w:themeColor="text1"/>
                <w:lang w:val="es-MX" w:eastAsia="es-MX"/>
              </w:rPr>
              <w:t xml:space="preserve"> (Sic.)</w:t>
            </w:r>
          </w:p>
          <w:p w14:paraId="16F3BCFB" w14:textId="77777777" w:rsidR="000D5BBA" w:rsidRPr="00041EA6" w:rsidRDefault="000D5BBA" w:rsidP="00617DA2">
            <w:pPr>
              <w:rPr>
                <w:rFonts w:ascii="Palatino Linotype" w:eastAsia="Times New Roman" w:hAnsi="Palatino Linotype" w:cs="Times New Roman"/>
                <w:i/>
                <w:lang w:eastAsia="es-MX"/>
              </w:rPr>
            </w:pPr>
          </w:p>
        </w:tc>
      </w:tr>
    </w:tbl>
    <w:p w14:paraId="2D68519B" w14:textId="77777777" w:rsidR="0097210F" w:rsidRPr="00041EA6" w:rsidRDefault="0097210F" w:rsidP="00617DA2">
      <w:pPr>
        <w:pStyle w:val="Sinespaciado"/>
        <w:jc w:val="both"/>
        <w:rPr>
          <w:rFonts w:ascii="Palatino Linotype" w:hAnsi="Palatino Linotype"/>
          <w:noProof/>
          <w:color w:val="000000" w:themeColor="text1"/>
          <w:lang w:val="es-MX" w:eastAsia="es-MX"/>
        </w:rPr>
      </w:pPr>
    </w:p>
    <w:p w14:paraId="3CB580DD" w14:textId="521421C4" w:rsidR="006C61C3" w:rsidRPr="00041EA6" w:rsidRDefault="0035066B" w:rsidP="00617DA2">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041EA6">
        <w:rPr>
          <w:rFonts w:ascii="Palatino Linotype" w:hAnsi="Palatino Linotype"/>
          <w:color w:val="000000" w:themeColor="text1"/>
        </w:rPr>
        <w:t>El Sujeto Obligado acompañó la respuesta de</w:t>
      </w:r>
      <w:r w:rsidR="00E7288C" w:rsidRPr="00041EA6">
        <w:rPr>
          <w:rFonts w:ascii="Palatino Linotype" w:hAnsi="Palatino Linotype"/>
          <w:color w:val="000000" w:themeColor="text1"/>
        </w:rPr>
        <w:t xml:space="preserve"> </w:t>
      </w:r>
      <w:r w:rsidRPr="00041EA6">
        <w:rPr>
          <w:rFonts w:ascii="Palatino Linotype" w:hAnsi="Palatino Linotype"/>
          <w:color w:val="000000" w:themeColor="text1"/>
        </w:rPr>
        <w:t>l</w:t>
      </w:r>
      <w:r w:rsidR="00E7288C" w:rsidRPr="00041EA6">
        <w:rPr>
          <w:rFonts w:ascii="Palatino Linotype" w:hAnsi="Palatino Linotype"/>
          <w:color w:val="000000" w:themeColor="text1"/>
        </w:rPr>
        <w:t>os</w:t>
      </w:r>
      <w:r w:rsidRPr="00041EA6">
        <w:rPr>
          <w:rFonts w:ascii="Palatino Linotype" w:hAnsi="Palatino Linotype"/>
          <w:color w:val="000000" w:themeColor="text1"/>
        </w:rPr>
        <w:t xml:space="preserve"> documento</w:t>
      </w:r>
      <w:r w:rsidR="00E7288C" w:rsidRPr="00041EA6">
        <w:rPr>
          <w:rFonts w:ascii="Palatino Linotype" w:hAnsi="Palatino Linotype"/>
          <w:color w:val="000000" w:themeColor="text1"/>
        </w:rPr>
        <w:t>s</w:t>
      </w:r>
      <w:r w:rsidRPr="00041EA6">
        <w:rPr>
          <w:rFonts w:ascii="Palatino Linotype" w:hAnsi="Palatino Linotype"/>
          <w:color w:val="000000" w:themeColor="text1"/>
        </w:rPr>
        <w:t xml:space="preserve"> electrónico</w:t>
      </w:r>
      <w:r w:rsidR="00E7288C" w:rsidRPr="00041EA6">
        <w:rPr>
          <w:rFonts w:ascii="Palatino Linotype" w:hAnsi="Palatino Linotype"/>
          <w:color w:val="000000" w:themeColor="text1"/>
        </w:rPr>
        <w:t>s</w:t>
      </w:r>
      <w:r w:rsidRPr="00041EA6">
        <w:rPr>
          <w:rFonts w:ascii="Palatino Linotype" w:hAnsi="Palatino Linotype"/>
          <w:color w:val="000000" w:themeColor="text1"/>
        </w:rPr>
        <w:t xml:space="preserve"> denominado</w:t>
      </w:r>
      <w:r w:rsidR="00E7288C" w:rsidRPr="00041EA6">
        <w:rPr>
          <w:rFonts w:ascii="Palatino Linotype" w:hAnsi="Palatino Linotype"/>
          <w:color w:val="000000" w:themeColor="text1"/>
        </w:rPr>
        <w:t>s</w:t>
      </w:r>
      <w:r w:rsidR="00D5319E" w:rsidRPr="00041EA6">
        <w:rPr>
          <w:rFonts w:ascii="Palatino Linotype" w:hAnsi="Palatino Linotype"/>
          <w:color w:val="000000" w:themeColor="text1"/>
        </w:rPr>
        <w:t>, los cuales son de conocimiento de las partes y, a su vez, serán objeto de análisis en líneas posteriores.</w:t>
      </w:r>
    </w:p>
    <w:p w14:paraId="6960384A" w14:textId="77777777" w:rsidR="00D5319E" w:rsidRPr="00041EA6" w:rsidRDefault="00D5319E" w:rsidP="00713E17">
      <w:pPr>
        <w:pStyle w:val="Prrafodelista"/>
        <w:spacing w:line="360" w:lineRule="auto"/>
        <w:ind w:left="0"/>
        <w:jc w:val="both"/>
        <w:rPr>
          <w:rFonts w:ascii="Palatino Linotype" w:hAnsi="Palatino Linotype"/>
          <w:color w:val="000000" w:themeColor="text1"/>
        </w:rPr>
      </w:pPr>
    </w:p>
    <w:p w14:paraId="257EEB4E" w14:textId="23D94474" w:rsidR="006C61C3" w:rsidRPr="00041EA6" w:rsidRDefault="00C3095F" w:rsidP="00713E17">
      <w:pPr>
        <w:pStyle w:val="Prrafodelista"/>
        <w:numPr>
          <w:ilvl w:val="1"/>
          <w:numId w:val="5"/>
        </w:numPr>
        <w:spacing w:line="360" w:lineRule="auto"/>
        <w:ind w:left="0" w:firstLine="0"/>
        <w:jc w:val="both"/>
        <w:rPr>
          <w:rFonts w:ascii="Palatino Linotype" w:hAnsi="Palatino Linotype"/>
          <w:b/>
          <w:i/>
        </w:rPr>
      </w:pPr>
      <w:hyperlink r:id="rId8" w:tgtFrame="_blank" w:history="1">
        <w:r w:rsidR="000D5BBA" w:rsidRPr="00041EA6">
          <w:rPr>
            <w:rStyle w:val="Hipervnculo"/>
            <w:rFonts w:ascii="Palatino Linotype" w:hAnsi="Palatino Linotype" w:cs="Arial"/>
            <w:b/>
            <w:bCs/>
            <w:color w:val="auto"/>
            <w:u w:val="none"/>
          </w:rPr>
          <w:t>Sol-2311.pdf</w:t>
        </w:r>
      </w:hyperlink>
    </w:p>
    <w:p w14:paraId="3952C637" w14:textId="77777777" w:rsidR="000D5BBA" w:rsidRPr="00041EA6" w:rsidRDefault="00C3095F" w:rsidP="00713E17">
      <w:pPr>
        <w:pStyle w:val="Prrafodelista"/>
        <w:numPr>
          <w:ilvl w:val="1"/>
          <w:numId w:val="5"/>
        </w:numPr>
        <w:spacing w:line="360" w:lineRule="auto"/>
        <w:ind w:left="0" w:firstLine="0"/>
        <w:jc w:val="both"/>
        <w:rPr>
          <w:rFonts w:ascii="Palatino Linotype" w:hAnsi="Palatino Linotype"/>
          <w:b/>
          <w:i/>
        </w:rPr>
      </w:pPr>
      <w:hyperlink r:id="rId9" w:tgtFrame="_blank" w:history="1">
        <w:r w:rsidR="000D5BBA" w:rsidRPr="00041EA6">
          <w:rPr>
            <w:rStyle w:val="Hipervnculo"/>
            <w:rFonts w:ascii="Palatino Linotype" w:hAnsi="Palatino Linotype" w:cs="Arial"/>
            <w:b/>
            <w:bCs/>
            <w:color w:val="auto"/>
            <w:u w:val="none"/>
          </w:rPr>
          <w:t>SA anexo SAIMEX 2311.pdf</w:t>
        </w:r>
      </w:hyperlink>
    </w:p>
    <w:p w14:paraId="7A842CE5" w14:textId="308F5562" w:rsidR="006C61C3" w:rsidRPr="00041EA6" w:rsidRDefault="00C3095F" w:rsidP="00713E17">
      <w:pPr>
        <w:pStyle w:val="Prrafodelista"/>
        <w:numPr>
          <w:ilvl w:val="1"/>
          <w:numId w:val="5"/>
        </w:numPr>
        <w:spacing w:line="360" w:lineRule="auto"/>
        <w:ind w:left="0" w:firstLine="0"/>
        <w:jc w:val="both"/>
        <w:rPr>
          <w:rFonts w:ascii="Palatino Linotype" w:hAnsi="Palatino Linotype"/>
          <w:b/>
          <w:i/>
        </w:rPr>
      </w:pPr>
      <w:hyperlink r:id="rId10" w:tgtFrame="_blank" w:history="1">
        <w:r w:rsidR="000D5BBA" w:rsidRPr="00041EA6">
          <w:rPr>
            <w:rStyle w:val="Hipervnculo"/>
            <w:rFonts w:ascii="Palatino Linotype" w:hAnsi="Palatino Linotype" w:cs="Arial"/>
            <w:b/>
            <w:bCs/>
            <w:color w:val="auto"/>
            <w:u w:val="none"/>
          </w:rPr>
          <w:t>Resp_Oficio_1556_Solic_02311.pdf</w:t>
        </w:r>
      </w:hyperlink>
    </w:p>
    <w:p w14:paraId="77E10FB3" w14:textId="77777777" w:rsidR="000D5BBA" w:rsidRPr="00041EA6" w:rsidRDefault="00C3095F" w:rsidP="00713E17">
      <w:pPr>
        <w:pStyle w:val="Prrafodelista"/>
        <w:numPr>
          <w:ilvl w:val="1"/>
          <w:numId w:val="5"/>
        </w:numPr>
        <w:spacing w:line="360" w:lineRule="auto"/>
        <w:ind w:left="0" w:firstLine="0"/>
        <w:jc w:val="both"/>
        <w:rPr>
          <w:rFonts w:ascii="Palatino Linotype" w:hAnsi="Palatino Linotype"/>
          <w:b/>
          <w:i/>
        </w:rPr>
      </w:pPr>
      <w:hyperlink r:id="rId11" w:tgtFrame="_blank" w:history="1">
        <w:r w:rsidR="000D5BBA" w:rsidRPr="00041EA6">
          <w:rPr>
            <w:rStyle w:val="Hipervnculo"/>
            <w:rFonts w:ascii="Palatino Linotype" w:hAnsi="Palatino Linotype" w:cs="Arial"/>
            <w:b/>
            <w:bCs/>
            <w:color w:val="auto"/>
            <w:u w:val="none"/>
          </w:rPr>
          <w:t>Reconocimiento PM.pdf</w:t>
        </w:r>
      </w:hyperlink>
    </w:p>
    <w:p w14:paraId="200A9A83" w14:textId="24F8E663" w:rsidR="006C61C3" w:rsidRPr="00041EA6" w:rsidRDefault="00C3095F" w:rsidP="00713E17">
      <w:pPr>
        <w:pStyle w:val="Prrafodelista"/>
        <w:numPr>
          <w:ilvl w:val="1"/>
          <w:numId w:val="5"/>
        </w:numPr>
        <w:spacing w:line="360" w:lineRule="auto"/>
        <w:ind w:left="0" w:firstLine="0"/>
        <w:jc w:val="both"/>
        <w:rPr>
          <w:rFonts w:ascii="Palatino Linotype" w:hAnsi="Palatino Linotype"/>
          <w:b/>
          <w:i/>
        </w:rPr>
      </w:pPr>
      <w:hyperlink r:id="rId12" w:tgtFrame="_blank" w:history="1">
        <w:r w:rsidR="000D5BBA" w:rsidRPr="00041EA6">
          <w:rPr>
            <w:rStyle w:val="Hipervnculo"/>
            <w:rFonts w:ascii="Palatino Linotype" w:hAnsi="Palatino Linotype" w:cs="Arial"/>
            <w:b/>
            <w:bCs/>
            <w:color w:val="auto"/>
            <w:u w:val="none"/>
          </w:rPr>
          <w:t>R.02311.2025.pdf</w:t>
        </w:r>
      </w:hyperlink>
    </w:p>
    <w:p w14:paraId="7BAB3329" w14:textId="77777777" w:rsidR="000D5BBA" w:rsidRPr="00041EA6" w:rsidRDefault="000D5BBA" w:rsidP="00617DA2">
      <w:pPr>
        <w:tabs>
          <w:tab w:val="left" w:pos="284"/>
          <w:tab w:val="left" w:pos="426"/>
        </w:tabs>
        <w:spacing w:line="360" w:lineRule="auto"/>
        <w:jc w:val="both"/>
        <w:rPr>
          <w:rFonts w:ascii="Palatino Linotype" w:hAnsi="Palatino Linotype"/>
          <w:b/>
          <w:i/>
          <w:color w:val="000000" w:themeColor="text1"/>
        </w:rPr>
      </w:pPr>
    </w:p>
    <w:p w14:paraId="272B63B3" w14:textId="45FE5B16" w:rsidR="000D5A1D" w:rsidRPr="00041EA6" w:rsidRDefault="00FD7996" w:rsidP="00617DA2">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041EA6">
        <w:rPr>
          <w:rFonts w:ascii="Palatino Linotype" w:eastAsia="Times New Roman" w:hAnsi="Palatino Linotype" w:cs="Arial"/>
          <w:color w:val="000000" w:themeColor="text1"/>
          <w:lang w:val="es-ES"/>
        </w:rPr>
        <w:t>D</w:t>
      </w:r>
      <w:r w:rsidR="00561ED1" w:rsidRPr="00041EA6">
        <w:rPr>
          <w:rFonts w:ascii="Palatino Linotype" w:eastAsia="Times New Roman" w:hAnsi="Palatino Linotype" w:cs="Arial"/>
          <w:color w:val="000000" w:themeColor="text1"/>
          <w:lang w:val="es-ES"/>
        </w:rPr>
        <w:t xml:space="preserve">erivado de la respuesta emitida por el </w:t>
      </w:r>
      <w:r w:rsidR="00561ED1" w:rsidRPr="00041EA6">
        <w:rPr>
          <w:rFonts w:ascii="Palatino Linotype" w:eastAsia="Times New Roman" w:hAnsi="Palatino Linotype" w:cs="Arial"/>
          <w:b/>
          <w:color w:val="000000" w:themeColor="text1"/>
          <w:lang w:val="es-ES"/>
        </w:rPr>
        <w:t>SUJETO OBLIGADO</w:t>
      </w:r>
      <w:r w:rsidR="00561ED1" w:rsidRPr="00041EA6">
        <w:rPr>
          <w:rFonts w:ascii="Palatino Linotype" w:eastAsia="Times New Roman" w:hAnsi="Palatino Linotype" w:cs="Arial"/>
          <w:color w:val="000000" w:themeColor="text1"/>
          <w:lang w:val="es-ES"/>
        </w:rPr>
        <w:t>, e</w:t>
      </w:r>
      <w:r w:rsidR="00DB4BEF" w:rsidRPr="00041EA6">
        <w:rPr>
          <w:rFonts w:ascii="Palatino Linotype" w:eastAsia="Times New Roman" w:hAnsi="Palatino Linotype" w:cs="Arial"/>
          <w:color w:val="000000" w:themeColor="text1"/>
          <w:lang w:val="es-ES"/>
        </w:rPr>
        <w:t xml:space="preserve">l </w:t>
      </w:r>
      <w:r w:rsidR="000D5BBA" w:rsidRPr="00041EA6">
        <w:rPr>
          <w:rFonts w:ascii="Palatino Linotype" w:eastAsia="Times New Roman" w:hAnsi="Palatino Linotype" w:cs="Arial"/>
          <w:color w:val="000000" w:themeColor="text1"/>
          <w:lang w:val="es-ES"/>
        </w:rPr>
        <w:t>cuatro de junio de dos mil veinticinco</w:t>
      </w:r>
      <w:r w:rsidR="00FE49E3" w:rsidRPr="00041EA6">
        <w:rPr>
          <w:rFonts w:ascii="Palatino Linotype" w:eastAsia="Times New Roman" w:hAnsi="Palatino Linotype" w:cs="Arial"/>
          <w:color w:val="000000" w:themeColor="text1"/>
          <w:lang w:val="es-ES"/>
        </w:rPr>
        <w:t xml:space="preserve">, </w:t>
      </w:r>
      <w:r w:rsidR="000D5BBA" w:rsidRPr="00041EA6">
        <w:rPr>
          <w:rFonts w:ascii="Palatino Linotype" w:eastAsia="Times New Roman" w:hAnsi="Palatino Linotype" w:cs="Arial"/>
          <w:color w:val="000000" w:themeColor="text1"/>
          <w:lang w:val="es-ES"/>
        </w:rPr>
        <w:t>el</w:t>
      </w:r>
      <w:r w:rsidR="005F1362" w:rsidRPr="00041EA6">
        <w:rPr>
          <w:rFonts w:ascii="Palatino Linotype" w:eastAsia="Times New Roman" w:hAnsi="Palatino Linotype" w:cs="Arial"/>
          <w:color w:val="000000" w:themeColor="text1"/>
          <w:lang w:val="es-ES"/>
        </w:rPr>
        <w:t xml:space="preserve"> particular</w:t>
      </w:r>
      <w:r w:rsidR="00DB4BEF" w:rsidRPr="00041EA6">
        <w:rPr>
          <w:rFonts w:ascii="Palatino Linotype" w:eastAsia="Times New Roman" w:hAnsi="Palatino Linotype" w:cs="Arial"/>
          <w:color w:val="000000" w:themeColor="text1"/>
          <w:lang w:val="es-ES"/>
        </w:rPr>
        <w:t xml:space="preserve"> interpuso</w:t>
      </w:r>
      <w:r w:rsidR="009316E9" w:rsidRPr="00041EA6">
        <w:rPr>
          <w:rFonts w:ascii="Palatino Linotype" w:eastAsia="Times New Roman" w:hAnsi="Palatino Linotype" w:cs="Arial"/>
          <w:color w:val="000000" w:themeColor="text1"/>
          <w:lang w:val="es-ES"/>
        </w:rPr>
        <w:t xml:space="preserve"> </w:t>
      </w:r>
      <w:r w:rsidR="00102D65" w:rsidRPr="00041EA6">
        <w:rPr>
          <w:rFonts w:ascii="Palatino Linotype" w:eastAsia="Times New Roman" w:hAnsi="Palatino Linotype" w:cs="Arial"/>
          <w:color w:val="000000" w:themeColor="text1"/>
          <w:lang w:val="es-ES"/>
        </w:rPr>
        <w:t>el</w:t>
      </w:r>
      <w:r w:rsidR="004D68F8" w:rsidRPr="00041EA6">
        <w:rPr>
          <w:rFonts w:ascii="Palatino Linotype" w:eastAsia="Times New Roman" w:hAnsi="Palatino Linotype" w:cs="Arial"/>
          <w:color w:val="000000" w:themeColor="text1"/>
          <w:lang w:val="es-ES"/>
        </w:rPr>
        <w:t xml:space="preserve"> recurso de revisión </w:t>
      </w:r>
      <w:r w:rsidR="000D5BBA" w:rsidRPr="00041EA6">
        <w:rPr>
          <w:rFonts w:ascii="Palatino Linotype" w:hAnsi="Palatino Linotype"/>
          <w:b/>
        </w:rPr>
        <w:t>06573/INFOEM/IP/RR/2025</w:t>
      </w:r>
      <w:r w:rsidR="009A0461" w:rsidRPr="00041EA6">
        <w:rPr>
          <w:rFonts w:ascii="Palatino Linotype" w:eastAsia="Calibri" w:hAnsi="Palatino Linotype" w:cs="Arial"/>
          <w:b/>
          <w:color w:val="000000" w:themeColor="text1"/>
          <w:lang w:val="es-ES"/>
        </w:rPr>
        <w:t>;</w:t>
      </w:r>
      <w:r w:rsidR="00102D65" w:rsidRPr="00041EA6">
        <w:rPr>
          <w:rFonts w:ascii="Palatino Linotype" w:eastAsia="Times New Roman" w:hAnsi="Palatino Linotype" w:cs="Arial"/>
          <w:color w:val="000000" w:themeColor="text1"/>
          <w:lang w:val="es-ES"/>
        </w:rPr>
        <w:t xml:space="preserve"> </w:t>
      </w:r>
      <w:r w:rsidR="00A45546" w:rsidRPr="00041EA6">
        <w:rPr>
          <w:rFonts w:ascii="Palatino Linotype" w:eastAsia="Times New Roman" w:hAnsi="Palatino Linotype" w:cs="Arial"/>
          <w:color w:val="000000" w:themeColor="text1"/>
          <w:lang w:val="es-ES"/>
        </w:rPr>
        <w:t xml:space="preserve">en </w:t>
      </w:r>
      <w:r w:rsidR="00977D37" w:rsidRPr="00041EA6">
        <w:rPr>
          <w:rFonts w:ascii="Palatino Linotype" w:eastAsia="Times New Roman" w:hAnsi="Palatino Linotype" w:cs="Arial"/>
          <w:color w:val="000000" w:themeColor="text1"/>
          <w:lang w:val="es-ES"/>
        </w:rPr>
        <w:t>la</w:t>
      </w:r>
      <w:r w:rsidR="00A45546" w:rsidRPr="00041EA6">
        <w:rPr>
          <w:rFonts w:ascii="Palatino Linotype" w:eastAsia="Times New Roman" w:hAnsi="Palatino Linotype" w:cs="Arial"/>
          <w:color w:val="000000" w:themeColor="text1"/>
          <w:lang w:val="es-ES"/>
        </w:rPr>
        <w:t xml:space="preserve"> que refirió </w:t>
      </w:r>
      <w:r w:rsidR="004D68F8" w:rsidRPr="00041EA6">
        <w:rPr>
          <w:rFonts w:ascii="Palatino Linotype" w:eastAsia="Times New Roman" w:hAnsi="Palatino Linotype" w:cs="Arial"/>
          <w:color w:val="000000" w:themeColor="text1"/>
          <w:lang w:val="es-ES"/>
        </w:rPr>
        <w:t>lo siguiente:</w:t>
      </w:r>
    </w:p>
    <w:p w14:paraId="054906C6" w14:textId="77777777" w:rsidR="00E34622" w:rsidRPr="00041EA6" w:rsidRDefault="00E34622" w:rsidP="00617DA2">
      <w:pPr>
        <w:pStyle w:val="Prrafodelista"/>
        <w:tabs>
          <w:tab w:val="left" w:pos="426"/>
        </w:tabs>
        <w:spacing w:line="360" w:lineRule="auto"/>
        <w:ind w:left="0"/>
        <w:jc w:val="both"/>
        <w:rPr>
          <w:rFonts w:ascii="Palatino Linotype" w:eastAsia="Times New Roman" w:hAnsi="Palatino Linotype" w:cs="Arial"/>
          <w:color w:val="000000" w:themeColor="text1"/>
        </w:rPr>
      </w:pPr>
    </w:p>
    <w:p w14:paraId="02132188" w14:textId="77777777" w:rsidR="000D5BBA" w:rsidRPr="00041EA6" w:rsidRDefault="000D5BBA" w:rsidP="00713E17">
      <w:pPr>
        <w:pStyle w:val="Prrafodelista"/>
        <w:numPr>
          <w:ilvl w:val="0"/>
          <w:numId w:val="22"/>
        </w:numPr>
        <w:tabs>
          <w:tab w:val="left" w:pos="426"/>
        </w:tabs>
        <w:spacing w:line="360" w:lineRule="auto"/>
        <w:jc w:val="both"/>
        <w:rPr>
          <w:rFonts w:ascii="Palatino Linotype" w:eastAsia="Times New Roman" w:hAnsi="Palatino Linotype" w:cs="Arial"/>
          <w:color w:val="000000" w:themeColor="text1"/>
          <w:lang w:val="es-ES"/>
        </w:rPr>
      </w:pPr>
      <w:r w:rsidRPr="00041EA6">
        <w:rPr>
          <w:rFonts w:ascii="Palatino Linotype" w:eastAsia="Times New Roman" w:hAnsi="Palatino Linotype" w:cs="Arial"/>
          <w:b/>
          <w:color w:val="000000" w:themeColor="text1"/>
          <w:lang w:val="es-ES"/>
        </w:rPr>
        <w:t>ACTO IMPUGNADO:</w:t>
      </w:r>
    </w:p>
    <w:p w14:paraId="5D958B88" w14:textId="0460D4A1" w:rsidR="00E34622" w:rsidRPr="00041EA6" w:rsidRDefault="000D5BBA" w:rsidP="00617DA2">
      <w:pPr>
        <w:tabs>
          <w:tab w:val="left" w:pos="426"/>
        </w:tabs>
        <w:spacing w:line="360" w:lineRule="auto"/>
        <w:jc w:val="both"/>
        <w:rPr>
          <w:rFonts w:ascii="Palatino Linotype" w:eastAsia="Times New Roman" w:hAnsi="Palatino Linotype" w:cs="Arial"/>
          <w:color w:val="000000" w:themeColor="text1"/>
          <w:lang w:val="es-ES"/>
        </w:rPr>
      </w:pPr>
      <w:r w:rsidRPr="00041EA6">
        <w:rPr>
          <w:rFonts w:ascii="Palatino Linotype" w:eastAsia="Times New Roman" w:hAnsi="Palatino Linotype" w:cs="Arial"/>
          <w:color w:val="000000" w:themeColor="text1"/>
          <w:lang w:val="es-ES"/>
        </w:rPr>
        <w:t xml:space="preserve"> </w:t>
      </w:r>
      <w:r w:rsidR="00713E17">
        <w:rPr>
          <w:rFonts w:ascii="Palatino Linotype" w:eastAsia="Times New Roman" w:hAnsi="Palatino Linotype" w:cs="Arial"/>
          <w:color w:val="000000" w:themeColor="text1"/>
          <w:lang w:val="es-ES"/>
        </w:rPr>
        <w:tab/>
      </w:r>
      <w:r w:rsidR="00E34622" w:rsidRPr="00041EA6">
        <w:rPr>
          <w:rFonts w:ascii="Palatino Linotype" w:eastAsia="Times New Roman" w:hAnsi="Palatino Linotype" w:cs="Arial"/>
          <w:color w:val="000000" w:themeColor="text1"/>
          <w:lang w:val="es-ES"/>
        </w:rPr>
        <w:t>“</w:t>
      </w:r>
      <w:r w:rsidRPr="00041EA6">
        <w:rPr>
          <w:rFonts w:ascii="Palatino Linotype" w:hAnsi="Palatino Linotype"/>
          <w:i/>
          <w:color w:val="000000"/>
        </w:rPr>
        <w:t>La respuesta esta incompleta</w:t>
      </w:r>
      <w:r w:rsidR="00E34622" w:rsidRPr="00041EA6">
        <w:rPr>
          <w:rFonts w:ascii="Palatino Linotype" w:eastAsia="Times New Roman" w:hAnsi="Palatino Linotype" w:cs="Arial"/>
          <w:i/>
          <w:color w:val="000000" w:themeColor="text1"/>
          <w:lang w:val="es-ES"/>
        </w:rPr>
        <w:t>”</w:t>
      </w:r>
      <w:r w:rsidR="00E34622" w:rsidRPr="00041EA6">
        <w:rPr>
          <w:rFonts w:ascii="Palatino Linotype" w:eastAsia="Times New Roman" w:hAnsi="Palatino Linotype" w:cs="Arial"/>
          <w:color w:val="000000" w:themeColor="text1"/>
          <w:lang w:val="es-ES"/>
        </w:rPr>
        <w:t xml:space="preserve"> (Sic).</w:t>
      </w:r>
    </w:p>
    <w:p w14:paraId="23568ABA" w14:textId="77777777" w:rsidR="000D5BBA" w:rsidRPr="00041EA6" w:rsidRDefault="000D5BBA" w:rsidP="00713E17">
      <w:pPr>
        <w:pStyle w:val="Prrafodelista"/>
        <w:numPr>
          <w:ilvl w:val="0"/>
          <w:numId w:val="22"/>
        </w:numPr>
        <w:tabs>
          <w:tab w:val="left" w:pos="426"/>
        </w:tabs>
        <w:spacing w:line="360" w:lineRule="auto"/>
        <w:jc w:val="both"/>
        <w:rPr>
          <w:rFonts w:ascii="Palatino Linotype" w:eastAsia="Times New Roman" w:hAnsi="Palatino Linotype" w:cs="Arial"/>
          <w:color w:val="000000" w:themeColor="text1"/>
          <w:lang w:val="es-ES"/>
        </w:rPr>
      </w:pPr>
      <w:r w:rsidRPr="00041EA6">
        <w:rPr>
          <w:rFonts w:ascii="Palatino Linotype" w:eastAsia="Times New Roman" w:hAnsi="Palatino Linotype" w:cs="Arial"/>
          <w:b/>
          <w:color w:val="000000" w:themeColor="text1"/>
          <w:lang w:val="es-ES"/>
        </w:rPr>
        <w:lastRenderedPageBreak/>
        <w:t>MOTIVOS O RAZONES DE INCONFORMIDAD</w:t>
      </w:r>
      <w:r w:rsidR="00901BB1" w:rsidRPr="00041EA6">
        <w:rPr>
          <w:rFonts w:ascii="Palatino Linotype" w:eastAsia="Times New Roman" w:hAnsi="Palatino Linotype" w:cs="Arial"/>
          <w:b/>
          <w:color w:val="000000" w:themeColor="text1"/>
          <w:lang w:val="es-ES"/>
        </w:rPr>
        <w:t>:</w:t>
      </w:r>
      <w:r w:rsidR="00901BB1" w:rsidRPr="00041EA6">
        <w:rPr>
          <w:rFonts w:ascii="Palatino Linotype" w:eastAsia="Times New Roman" w:hAnsi="Palatino Linotype" w:cs="Arial"/>
          <w:color w:val="000000" w:themeColor="text1"/>
          <w:lang w:val="es-ES"/>
        </w:rPr>
        <w:t xml:space="preserve"> </w:t>
      </w:r>
    </w:p>
    <w:p w14:paraId="033BFDE8" w14:textId="10B82B46" w:rsidR="00901BB1" w:rsidRPr="00041EA6" w:rsidRDefault="00713E17" w:rsidP="00617DA2">
      <w:pPr>
        <w:tabs>
          <w:tab w:val="left" w:pos="426"/>
        </w:tabs>
        <w:spacing w:line="360" w:lineRule="auto"/>
        <w:jc w:val="both"/>
        <w:rPr>
          <w:rFonts w:ascii="Palatino Linotype" w:eastAsia="Times New Roman" w:hAnsi="Palatino Linotype" w:cs="Arial"/>
          <w:color w:val="000000" w:themeColor="text1"/>
          <w:lang w:val="es-ES"/>
        </w:rPr>
      </w:pPr>
      <w:r>
        <w:rPr>
          <w:rFonts w:ascii="Palatino Linotype" w:eastAsia="Times New Roman" w:hAnsi="Palatino Linotype" w:cs="Arial"/>
          <w:color w:val="000000" w:themeColor="text1"/>
          <w:lang w:val="es-ES"/>
        </w:rPr>
        <w:tab/>
      </w:r>
      <w:r w:rsidR="00901BB1" w:rsidRPr="00041EA6">
        <w:rPr>
          <w:rFonts w:ascii="Palatino Linotype" w:eastAsia="Times New Roman" w:hAnsi="Palatino Linotype" w:cs="Arial"/>
          <w:color w:val="000000" w:themeColor="text1"/>
          <w:lang w:val="es-ES"/>
        </w:rPr>
        <w:t>“</w:t>
      </w:r>
      <w:r w:rsidR="000D5BBA" w:rsidRPr="00041EA6">
        <w:rPr>
          <w:rFonts w:ascii="Palatino Linotype" w:hAnsi="Palatino Linotype"/>
          <w:i/>
          <w:color w:val="000000"/>
        </w:rPr>
        <w:t>falta información no entregan todo lo solicitado</w:t>
      </w:r>
      <w:r w:rsidR="000D5BBA" w:rsidRPr="00041EA6">
        <w:rPr>
          <w:rFonts w:ascii="Palatino Linotype" w:eastAsia="Times New Roman" w:hAnsi="Palatino Linotype" w:cs="Arial"/>
          <w:i/>
          <w:color w:val="000000" w:themeColor="text1"/>
          <w:lang w:val="es-ES"/>
        </w:rPr>
        <w:t>"</w:t>
      </w:r>
      <w:r w:rsidR="005B0765" w:rsidRPr="00041EA6">
        <w:rPr>
          <w:rFonts w:ascii="Palatino Linotype" w:eastAsia="Times New Roman" w:hAnsi="Palatino Linotype" w:cs="Arial"/>
          <w:i/>
          <w:color w:val="000000" w:themeColor="text1"/>
          <w:lang w:val="es-ES"/>
        </w:rPr>
        <w:t>(</w:t>
      </w:r>
      <w:r w:rsidR="000D5BBA" w:rsidRPr="00041EA6">
        <w:rPr>
          <w:rFonts w:ascii="Palatino Linotype" w:eastAsia="Times New Roman" w:hAnsi="Palatino Linotype" w:cs="Arial"/>
          <w:i/>
          <w:color w:val="000000" w:themeColor="text1"/>
          <w:lang w:val="es-ES"/>
        </w:rPr>
        <w:t>Sic</w:t>
      </w:r>
      <w:r w:rsidR="005B0765" w:rsidRPr="00041EA6">
        <w:rPr>
          <w:rFonts w:ascii="Palatino Linotype" w:eastAsia="Times New Roman" w:hAnsi="Palatino Linotype" w:cs="Arial"/>
          <w:i/>
          <w:color w:val="000000" w:themeColor="text1"/>
          <w:lang w:val="es-ES"/>
        </w:rPr>
        <w:t>)</w:t>
      </w:r>
      <w:r w:rsidR="000D5BBA" w:rsidRPr="00041EA6">
        <w:rPr>
          <w:rFonts w:ascii="Palatino Linotype" w:eastAsia="Times New Roman" w:hAnsi="Palatino Linotype" w:cs="Arial"/>
          <w:i/>
          <w:color w:val="000000" w:themeColor="text1"/>
          <w:lang w:val="es-ES"/>
        </w:rPr>
        <w:t>.</w:t>
      </w:r>
      <w:r w:rsidR="00E76251" w:rsidRPr="00041EA6">
        <w:rPr>
          <w:rFonts w:ascii="Palatino Linotype" w:eastAsia="Times New Roman" w:hAnsi="Palatino Linotype" w:cs="Arial"/>
          <w:i/>
          <w:color w:val="000000" w:themeColor="text1"/>
          <w:lang w:val="es-ES"/>
        </w:rPr>
        <w:t xml:space="preserve"> </w:t>
      </w:r>
    </w:p>
    <w:p w14:paraId="19A80D3F" w14:textId="77777777" w:rsidR="00725CA2" w:rsidRPr="00041EA6" w:rsidRDefault="00725CA2" w:rsidP="00617DA2">
      <w:pPr>
        <w:pStyle w:val="Prrafodelista"/>
        <w:tabs>
          <w:tab w:val="left" w:pos="426"/>
        </w:tabs>
        <w:spacing w:line="360" w:lineRule="auto"/>
        <w:ind w:left="0"/>
        <w:jc w:val="both"/>
        <w:rPr>
          <w:rFonts w:ascii="Palatino Linotype" w:eastAsia="Times New Roman" w:hAnsi="Palatino Linotype" w:cs="Arial"/>
          <w:color w:val="000000" w:themeColor="text1"/>
          <w:lang w:val="es-ES"/>
        </w:rPr>
      </w:pPr>
    </w:p>
    <w:p w14:paraId="65CB77BE" w14:textId="0C8545E5" w:rsidR="005F1362" w:rsidRPr="00041EA6" w:rsidRDefault="005F1362" w:rsidP="00617DA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41EA6">
        <w:rPr>
          <w:rFonts w:ascii="Palatino Linotype" w:eastAsia="Times New Roman" w:hAnsi="Palatino Linotype" w:cs="Arial"/>
          <w:color w:val="000000" w:themeColor="text1"/>
          <w:lang w:val="es-ES"/>
        </w:rPr>
        <w:t xml:space="preserve">Se registró el recurso de revisión bajo el número de expediente </w:t>
      </w:r>
      <w:r w:rsidR="004F785F" w:rsidRPr="00041EA6">
        <w:rPr>
          <w:rFonts w:ascii="Palatino Linotype" w:hAnsi="Palatino Linotype" w:cs="Arial"/>
          <w:bCs/>
          <w:color w:val="000000" w:themeColor="text1"/>
        </w:rPr>
        <w:t>al rubro indicado, asi</w:t>
      </w:r>
      <w:r w:rsidRPr="00041EA6">
        <w:rPr>
          <w:rFonts w:ascii="Palatino Linotype" w:hAnsi="Palatino Linotype" w:cs="Arial"/>
          <w:bCs/>
          <w:color w:val="000000" w:themeColor="text1"/>
        </w:rPr>
        <w:t xml:space="preserve">mismo, con fundamento en lo dispuesto por el </w:t>
      </w:r>
      <w:r w:rsidRPr="00041EA6">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41EA6">
        <w:rPr>
          <w:rFonts w:ascii="Palatino Linotype" w:eastAsia="Times New Roman" w:hAnsi="Palatino Linotype" w:cs="Arial"/>
          <w:bCs/>
          <w:color w:val="000000" w:themeColor="text1"/>
          <w:lang w:val="es-ES"/>
        </w:rPr>
        <w:t xml:space="preserve">se turnó </w:t>
      </w:r>
      <w:r w:rsidR="0096234B" w:rsidRPr="00041EA6">
        <w:rPr>
          <w:rFonts w:ascii="Palatino Linotype" w:eastAsia="Times New Roman" w:hAnsi="Palatino Linotype" w:cs="Arial"/>
          <w:bCs/>
          <w:color w:val="000000" w:themeColor="text1"/>
          <w:lang w:val="es-ES"/>
        </w:rPr>
        <w:t xml:space="preserve">a la </w:t>
      </w:r>
      <w:r w:rsidR="0096234B" w:rsidRPr="00041EA6">
        <w:rPr>
          <w:rFonts w:ascii="Palatino Linotype" w:eastAsia="Times New Roman" w:hAnsi="Palatino Linotype" w:cs="Arial"/>
          <w:b/>
          <w:bCs/>
          <w:color w:val="000000" w:themeColor="text1"/>
          <w:lang w:val="es-ES"/>
        </w:rPr>
        <w:t xml:space="preserve">Comisionada </w:t>
      </w:r>
      <w:r w:rsidR="00D12402" w:rsidRPr="00041EA6">
        <w:rPr>
          <w:rFonts w:ascii="Palatino Linotype" w:eastAsia="Times New Roman" w:hAnsi="Palatino Linotype" w:cs="Arial"/>
          <w:b/>
          <w:bCs/>
          <w:color w:val="000000" w:themeColor="text1"/>
          <w:lang w:val="es-ES"/>
        </w:rPr>
        <w:t>María del Rosario Mejía Ayala</w:t>
      </w:r>
      <w:r w:rsidRPr="00041EA6">
        <w:rPr>
          <w:rFonts w:ascii="Palatino Linotype" w:eastAsia="Times New Roman" w:hAnsi="Palatino Linotype" w:cs="Arial"/>
          <w:bCs/>
          <w:color w:val="000000" w:themeColor="text1"/>
          <w:lang w:val="es-ES"/>
        </w:rPr>
        <w:t xml:space="preserve">, </w:t>
      </w:r>
      <w:r w:rsidR="00713E17">
        <w:rPr>
          <w:rFonts w:ascii="Palatino Linotype" w:eastAsia="Times New Roman" w:hAnsi="Palatino Linotype" w:cs="Arial"/>
          <w:bCs/>
          <w:color w:val="000000" w:themeColor="text1"/>
          <w:lang w:val="es-ES"/>
        </w:rPr>
        <w:t>para</w:t>
      </w:r>
      <w:r w:rsidRPr="00041EA6">
        <w:rPr>
          <w:rFonts w:ascii="Palatino Linotype" w:eastAsia="Times New Roman" w:hAnsi="Palatino Linotype" w:cs="Arial"/>
          <w:bCs/>
          <w:color w:val="000000" w:themeColor="text1"/>
          <w:lang w:val="es-ES"/>
        </w:rPr>
        <w:t xml:space="preserve"> </w:t>
      </w:r>
      <w:r w:rsidRPr="00041EA6">
        <w:rPr>
          <w:rFonts w:ascii="Palatino Linotype" w:eastAsia="Times New Roman" w:hAnsi="Palatino Linotype" w:cs="Arial"/>
          <w:bCs/>
          <w:color w:val="000000" w:themeColor="text1"/>
        </w:rPr>
        <w:t>su análisis.</w:t>
      </w:r>
    </w:p>
    <w:p w14:paraId="2BDE682E" w14:textId="77777777" w:rsidR="005F1362" w:rsidRPr="00041EA6" w:rsidRDefault="005F1362" w:rsidP="00617DA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8B8AE5F" w:rsidR="007446C2" w:rsidRPr="00041EA6" w:rsidRDefault="0096234B" w:rsidP="00617DA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41EA6">
        <w:rPr>
          <w:rFonts w:ascii="Palatino Linotype" w:eastAsia="Times New Roman" w:hAnsi="Palatino Linotype" w:cs="Arial"/>
          <w:color w:val="000000" w:themeColor="text1"/>
          <w:lang w:val="es-ES"/>
        </w:rPr>
        <w:t>La</w:t>
      </w:r>
      <w:r w:rsidR="00E647FF" w:rsidRPr="00041EA6">
        <w:rPr>
          <w:rFonts w:ascii="Palatino Linotype" w:eastAsia="Times New Roman" w:hAnsi="Palatino Linotype" w:cs="Arial"/>
          <w:color w:val="000000" w:themeColor="text1"/>
          <w:lang w:val="es-ES"/>
        </w:rPr>
        <w:t xml:space="preserve"> </w:t>
      </w:r>
      <w:r w:rsidR="0004686A" w:rsidRPr="00041EA6">
        <w:rPr>
          <w:rFonts w:ascii="Palatino Linotype" w:eastAsia="Calibri" w:hAnsi="Palatino Linotype" w:cs="Arial"/>
          <w:color w:val="000000" w:themeColor="text1"/>
          <w:lang w:val="es-ES"/>
        </w:rPr>
        <w:t>Comisionad</w:t>
      </w:r>
      <w:r w:rsidRPr="00041EA6">
        <w:rPr>
          <w:rFonts w:ascii="Palatino Linotype" w:eastAsia="Calibri" w:hAnsi="Palatino Linotype" w:cs="Arial"/>
          <w:color w:val="000000" w:themeColor="text1"/>
          <w:lang w:val="es-ES"/>
        </w:rPr>
        <w:t>a</w:t>
      </w:r>
      <w:r w:rsidR="0004686A" w:rsidRPr="00041EA6">
        <w:rPr>
          <w:rFonts w:ascii="Palatino Linotype" w:eastAsia="Calibri" w:hAnsi="Palatino Linotype" w:cs="Arial"/>
          <w:color w:val="000000" w:themeColor="text1"/>
          <w:lang w:val="es-ES"/>
        </w:rPr>
        <w:t xml:space="preserve"> Ponente</w:t>
      </w:r>
      <w:r w:rsidR="006B31E7" w:rsidRPr="00041EA6">
        <w:rPr>
          <w:rFonts w:ascii="Palatino Linotype" w:eastAsia="Calibri" w:hAnsi="Palatino Linotype" w:cs="Arial"/>
          <w:color w:val="000000" w:themeColor="text1"/>
          <w:lang w:val="es-ES"/>
        </w:rPr>
        <w:t>,</w:t>
      </w:r>
      <w:r w:rsidR="0004686A" w:rsidRPr="00041EA6">
        <w:rPr>
          <w:rFonts w:ascii="Palatino Linotype" w:eastAsia="Calibri" w:hAnsi="Palatino Linotype" w:cs="Arial"/>
          <w:color w:val="000000" w:themeColor="text1"/>
          <w:lang w:val="es-ES"/>
        </w:rPr>
        <w:t xml:space="preserve"> con fundamento en lo dispuesto por el artículo 185 fracción II de la </w:t>
      </w:r>
      <w:r w:rsidR="00613655" w:rsidRPr="00041EA6">
        <w:rPr>
          <w:rFonts w:ascii="Palatino Linotype" w:eastAsia="Calibri" w:hAnsi="Palatino Linotype" w:cs="Arial"/>
          <w:color w:val="000000" w:themeColor="text1"/>
          <w:lang w:val="es-ES"/>
        </w:rPr>
        <w:t>Ley de Transparencia y Acceso a la Información Pública del Estado de México y Municipios</w:t>
      </w:r>
      <w:r w:rsidR="0004686A" w:rsidRPr="00041EA6">
        <w:rPr>
          <w:rFonts w:ascii="Palatino Linotype" w:eastAsia="Calibri" w:hAnsi="Palatino Linotype" w:cs="Arial"/>
          <w:color w:val="000000" w:themeColor="text1"/>
          <w:lang w:val="es-ES"/>
        </w:rPr>
        <w:t xml:space="preserve">, a través </w:t>
      </w:r>
      <w:r w:rsidR="006E4E2A" w:rsidRPr="00041EA6">
        <w:rPr>
          <w:rFonts w:ascii="Palatino Linotype" w:eastAsia="Calibri" w:hAnsi="Palatino Linotype" w:cs="Arial"/>
          <w:color w:val="000000" w:themeColor="text1"/>
          <w:lang w:val="es-ES"/>
        </w:rPr>
        <w:t>del</w:t>
      </w:r>
      <w:r w:rsidR="0004686A" w:rsidRPr="00041EA6">
        <w:rPr>
          <w:rFonts w:ascii="Palatino Linotype" w:eastAsia="Calibri" w:hAnsi="Palatino Linotype" w:cs="Arial"/>
          <w:color w:val="000000" w:themeColor="text1"/>
          <w:lang w:val="es-ES"/>
        </w:rPr>
        <w:t xml:space="preserve"> </w:t>
      </w:r>
      <w:r w:rsidR="00B81371" w:rsidRPr="00041EA6">
        <w:rPr>
          <w:rFonts w:ascii="Palatino Linotype" w:eastAsia="Calibri" w:hAnsi="Palatino Linotype" w:cs="Arial"/>
          <w:color w:val="000000" w:themeColor="text1"/>
          <w:lang w:val="es-ES"/>
        </w:rPr>
        <w:t xml:space="preserve">acuerdo </w:t>
      </w:r>
      <w:r w:rsidR="00F147C6" w:rsidRPr="00041EA6">
        <w:rPr>
          <w:rFonts w:ascii="Palatino Linotype" w:eastAsia="Calibri" w:hAnsi="Palatino Linotype" w:cs="Arial"/>
          <w:color w:val="000000" w:themeColor="text1"/>
          <w:lang w:val="es-ES"/>
        </w:rPr>
        <w:t xml:space="preserve">de admisión </w:t>
      </w:r>
      <w:r w:rsidR="00091F3E" w:rsidRPr="00041EA6">
        <w:rPr>
          <w:rFonts w:ascii="Palatino Linotype" w:eastAsia="Calibri" w:hAnsi="Palatino Linotype" w:cs="Arial"/>
          <w:color w:val="000000" w:themeColor="text1"/>
          <w:lang w:val="es-ES"/>
        </w:rPr>
        <w:t>de</w:t>
      </w:r>
      <w:r w:rsidR="00395353" w:rsidRPr="00041EA6">
        <w:rPr>
          <w:rFonts w:ascii="Palatino Linotype" w:eastAsia="Calibri" w:hAnsi="Palatino Linotype" w:cs="Arial"/>
          <w:color w:val="000000" w:themeColor="text1"/>
          <w:lang w:val="es-ES"/>
        </w:rPr>
        <w:t xml:space="preserve"> fecha </w:t>
      </w:r>
      <w:r w:rsidR="000D5BBA" w:rsidRPr="00041EA6">
        <w:rPr>
          <w:rFonts w:ascii="Palatino Linotype" w:eastAsia="Calibri" w:hAnsi="Palatino Linotype" w:cs="Arial"/>
          <w:color w:val="000000" w:themeColor="text1"/>
          <w:lang w:val="es-ES"/>
        </w:rPr>
        <w:t>nueve de junio de dos mil veinticinco,</w:t>
      </w:r>
      <w:r w:rsidR="006A1047" w:rsidRPr="00041EA6">
        <w:rPr>
          <w:rFonts w:ascii="Palatino Linotype" w:eastAsia="Calibri" w:hAnsi="Palatino Linotype" w:cs="Arial"/>
          <w:color w:val="000000" w:themeColor="text1"/>
          <w:lang w:val="es-ES"/>
        </w:rPr>
        <w:t xml:space="preserve"> </w:t>
      </w:r>
      <w:r w:rsidR="00B81371" w:rsidRPr="00041EA6">
        <w:rPr>
          <w:rFonts w:ascii="Palatino Linotype" w:eastAsia="Calibri" w:hAnsi="Palatino Linotype" w:cs="Arial"/>
          <w:color w:val="000000" w:themeColor="text1"/>
          <w:lang w:val="es-ES"/>
        </w:rPr>
        <w:t xml:space="preserve">puso a </w:t>
      </w:r>
      <w:r w:rsidR="00875167" w:rsidRPr="00041EA6">
        <w:rPr>
          <w:rFonts w:ascii="Palatino Linotype" w:eastAsia="Calibri" w:hAnsi="Palatino Linotype" w:cs="Arial"/>
          <w:color w:val="000000" w:themeColor="text1"/>
          <w:lang w:val="es-ES"/>
        </w:rPr>
        <w:t>disposición</w:t>
      </w:r>
      <w:r w:rsidR="00B81371" w:rsidRPr="00041EA6">
        <w:rPr>
          <w:rFonts w:ascii="Palatino Linotype" w:eastAsia="Calibri" w:hAnsi="Palatino Linotype" w:cs="Arial"/>
          <w:color w:val="000000" w:themeColor="text1"/>
          <w:lang w:val="es-ES"/>
        </w:rPr>
        <w:t xml:space="preserve"> de las partes el expediente electrónico </w:t>
      </w:r>
      <w:r w:rsidR="00B81371" w:rsidRPr="00041EA6">
        <w:rPr>
          <w:rFonts w:ascii="Palatino Linotype" w:eastAsia="Calibri" w:hAnsi="Palatino Linotype" w:cs="Arial"/>
          <w:color w:val="000000" w:themeColor="text1"/>
        </w:rPr>
        <w:t xml:space="preserve">vía </w:t>
      </w:r>
      <w:r w:rsidR="00B81371" w:rsidRPr="00041EA6">
        <w:rPr>
          <w:rFonts w:ascii="Palatino Linotype" w:eastAsia="Calibri" w:hAnsi="Palatino Linotype" w:cs="Arial"/>
          <w:color w:val="000000" w:themeColor="text1"/>
          <w:lang w:val="es-ES"/>
        </w:rPr>
        <w:t xml:space="preserve">Sistema de Acceso a la Información Mexiquense </w:t>
      </w:r>
      <w:r w:rsidR="001468E9" w:rsidRPr="00041EA6">
        <w:rPr>
          <w:rFonts w:ascii="Palatino Linotype" w:eastAsia="Calibri" w:hAnsi="Palatino Linotype" w:cs="Arial"/>
          <w:color w:val="000000" w:themeColor="text1"/>
          <w:lang w:val="es-ES"/>
        </w:rPr>
        <w:t>(</w:t>
      </w:r>
      <w:r w:rsidR="00B81371" w:rsidRPr="00041EA6">
        <w:rPr>
          <w:rFonts w:ascii="Palatino Linotype" w:eastAsia="Calibri" w:hAnsi="Palatino Linotype" w:cs="Arial"/>
          <w:b/>
          <w:i/>
          <w:color w:val="000000" w:themeColor="text1"/>
          <w:lang w:val="es-ES"/>
        </w:rPr>
        <w:t>SAIMEX</w:t>
      </w:r>
      <w:r w:rsidR="001468E9" w:rsidRPr="00041EA6">
        <w:rPr>
          <w:rFonts w:ascii="Palatino Linotype" w:eastAsia="Calibri" w:hAnsi="Palatino Linotype" w:cs="Arial"/>
          <w:b/>
          <w:i/>
          <w:color w:val="000000" w:themeColor="text1"/>
          <w:lang w:val="es-ES"/>
        </w:rPr>
        <w:t>)</w:t>
      </w:r>
      <w:r w:rsidR="00B81371" w:rsidRPr="00041EA6">
        <w:rPr>
          <w:rFonts w:ascii="Palatino Linotype" w:eastAsia="Calibri" w:hAnsi="Palatino Linotype" w:cs="Arial"/>
          <w:b/>
          <w:color w:val="000000" w:themeColor="text1"/>
          <w:lang w:val="es-ES"/>
        </w:rPr>
        <w:t xml:space="preserve"> </w:t>
      </w:r>
      <w:r w:rsidR="00B81371" w:rsidRPr="00041EA6">
        <w:rPr>
          <w:rFonts w:ascii="Palatino Linotype" w:eastAsia="Calibri" w:hAnsi="Palatino Linotype" w:cs="Arial"/>
          <w:color w:val="000000" w:themeColor="text1"/>
          <w:lang w:val="es-ES"/>
        </w:rPr>
        <w:t xml:space="preserve">a efecto de que en un plazo máximo de siete días </w:t>
      </w:r>
      <w:r w:rsidR="00875167" w:rsidRPr="00041EA6">
        <w:rPr>
          <w:rFonts w:ascii="Palatino Linotype" w:eastAsia="Calibri" w:hAnsi="Palatino Linotype" w:cs="Arial"/>
          <w:color w:val="000000" w:themeColor="text1"/>
          <w:lang w:val="es-ES"/>
        </w:rPr>
        <w:t>manifestaran</w:t>
      </w:r>
      <w:r w:rsidR="00B81371" w:rsidRPr="00041EA6">
        <w:rPr>
          <w:rFonts w:ascii="Palatino Linotype" w:eastAsia="Calibri" w:hAnsi="Palatino Linotype" w:cs="Arial"/>
          <w:color w:val="000000" w:themeColor="text1"/>
          <w:lang w:val="es-ES"/>
        </w:rPr>
        <w:t xml:space="preserve"> lo que a</w:t>
      </w:r>
      <w:r w:rsidR="003A2029" w:rsidRPr="00041EA6">
        <w:rPr>
          <w:rFonts w:ascii="Palatino Linotype" w:eastAsia="Calibri" w:hAnsi="Palatino Linotype" w:cs="Arial"/>
          <w:color w:val="000000" w:themeColor="text1"/>
          <w:lang w:val="es-ES"/>
        </w:rPr>
        <w:t xml:space="preserve"> su</w:t>
      </w:r>
      <w:r w:rsidR="00B81371" w:rsidRPr="00041EA6">
        <w:rPr>
          <w:rFonts w:ascii="Palatino Linotype" w:eastAsia="Calibri" w:hAnsi="Palatino Linotype" w:cs="Arial"/>
          <w:color w:val="000000" w:themeColor="text1"/>
          <w:lang w:val="es-ES"/>
        </w:rPr>
        <w:t xml:space="preserve"> derecho conviniera</w:t>
      </w:r>
      <w:r w:rsidR="00875167" w:rsidRPr="00041EA6">
        <w:rPr>
          <w:rFonts w:ascii="Palatino Linotype" w:eastAsia="Calibri" w:hAnsi="Palatino Linotype" w:cs="Arial"/>
          <w:color w:val="000000" w:themeColor="text1"/>
          <w:lang w:val="es-ES"/>
        </w:rPr>
        <w:t>n</w:t>
      </w:r>
      <w:r w:rsidR="00032493" w:rsidRPr="00041EA6">
        <w:rPr>
          <w:rFonts w:ascii="Palatino Linotype" w:eastAsia="Calibri" w:hAnsi="Palatino Linotype" w:cs="Arial"/>
          <w:color w:val="000000" w:themeColor="text1"/>
          <w:lang w:val="es-ES"/>
        </w:rPr>
        <w:t>,</w:t>
      </w:r>
      <w:r w:rsidR="00B81371" w:rsidRPr="00041EA6">
        <w:rPr>
          <w:rFonts w:ascii="Palatino Linotype" w:eastAsia="Calibri" w:hAnsi="Palatino Linotype" w:cs="Arial"/>
          <w:color w:val="000000" w:themeColor="text1"/>
          <w:lang w:val="es-ES"/>
        </w:rPr>
        <w:t xml:space="preserve"> </w:t>
      </w:r>
      <w:r w:rsidR="00875167" w:rsidRPr="00041EA6">
        <w:rPr>
          <w:rFonts w:ascii="Palatino Linotype" w:eastAsia="Calibri" w:hAnsi="Palatino Linotype" w:cs="Arial"/>
          <w:color w:val="000000" w:themeColor="text1"/>
          <w:lang w:val="es-ES"/>
        </w:rPr>
        <w:t>ofrecieran pruebas y</w:t>
      </w:r>
      <w:r w:rsidR="00132C06" w:rsidRPr="00041EA6">
        <w:rPr>
          <w:rFonts w:ascii="Palatino Linotype" w:eastAsia="Calibri" w:hAnsi="Palatino Linotype" w:cs="Arial"/>
          <w:color w:val="000000" w:themeColor="text1"/>
          <w:lang w:val="es-ES"/>
        </w:rPr>
        <w:t xml:space="preserve"> </w:t>
      </w:r>
      <w:r w:rsidR="00875167" w:rsidRPr="00041EA6">
        <w:rPr>
          <w:rFonts w:ascii="Palatino Linotype" w:eastAsia="Calibri" w:hAnsi="Palatino Linotype" w:cs="Arial"/>
          <w:color w:val="000000" w:themeColor="text1"/>
          <w:lang w:val="es-ES"/>
        </w:rPr>
        <w:t>alegatos según corresponda a</w:t>
      </w:r>
      <w:r w:rsidR="004C20F2" w:rsidRPr="00041EA6">
        <w:rPr>
          <w:rFonts w:ascii="Palatino Linotype" w:eastAsia="Calibri" w:hAnsi="Palatino Linotype" w:cs="Arial"/>
          <w:color w:val="000000" w:themeColor="text1"/>
          <w:lang w:val="es-ES"/>
        </w:rPr>
        <w:t xml:space="preserve"> </w:t>
      </w:r>
      <w:r w:rsidR="00875167" w:rsidRPr="00041EA6">
        <w:rPr>
          <w:rFonts w:ascii="Palatino Linotype" w:eastAsia="Calibri" w:hAnsi="Palatino Linotype" w:cs="Arial"/>
          <w:color w:val="000000" w:themeColor="text1"/>
          <w:lang w:val="es-ES"/>
        </w:rPr>
        <w:t>l</w:t>
      </w:r>
      <w:r w:rsidR="004C20F2" w:rsidRPr="00041EA6">
        <w:rPr>
          <w:rFonts w:ascii="Palatino Linotype" w:eastAsia="Calibri" w:hAnsi="Palatino Linotype" w:cs="Arial"/>
          <w:color w:val="000000" w:themeColor="text1"/>
          <w:lang w:val="es-ES"/>
        </w:rPr>
        <w:t>os</w:t>
      </w:r>
      <w:r w:rsidR="00875167" w:rsidRPr="00041EA6">
        <w:rPr>
          <w:rFonts w:ascii="Palatino Linotype" w:eastAsia="Calibri" w:hAnsi="Palatino Linotype" w:cs="Arial"/>
          <w:color w:val="000000" w:themeColor="text1"/>
          <w:lang w:val="es-ES"/>
        </w:rPr>
        <w:t xml:space="preserve"> caso</w:t>
      </w:r>
      <w:r w:rsidR="004C20F2" w:rsidRPr="00041EA6">
        <w:rPr>
          <w:rFonts w:ascii="Palatino Linotype" w:eastAsia="Calibri" w:hAnsi="Palatino Linotype" w:cs="Arial"/>
          <w:color w:val="000000" w:themeColor="text1"/>
          <w:lang w:val="es-ES"/>
        </w:rPr>
        <w:t>s</w:t>
      </w:r>
      <w:r w:rsidR="00875167" w:rsidRPr="00041EA6">
        <w:rPr>
          <w:rFonts w:ascii="Palatino Linotype" w:eastAsia="Calibri" w:hAnsi="Palatino Linotype" w:cs="Arial"/>
          <w:color w:val="000000" w:themeColor="text1"/>
          <w:lang w:val="es-ES"/>
        </w:rPr>
        <w:t xml:space="preserve"> concreto</w:t>
      </w:r>
      <w:r w:rsidR="004C20F2" w:rsidRPr="00041EA6">
        <w:rPr>
          <w:rFonts w:ascii="Palatino Linotype" w:eastAsia="Calibri" w:hAnsi="Palatino Linotype" w:cs="Arial"/>
          <w:color w:val="000000" w:themeColor="text1"/>
          <w:lang w:val="es-ES"/>
        </w:rPr>
        <w:t>s</w:t>
      </w:r>
      <w:r w:rsidR="00875167" w:rsidRPr="00041EA6">
        <w:rPr>
          <w:rFonts w:ascii="Palatino Linotype" w:eastAsia="Calibri" w:hAnsi="Palatino Linotype" w:cs="Arial"/>
          <w:color w:val="000000" w:themeColor="text1"/>
          <w:lang w:val="es-ES"/>
        </w:rPr>
        <w:t xml:space="preserve">, </w:t>
      </w:r>
      <w:r w:rsidR="00F147C6" w:rsidRPr="00041EA6">
        <w:rPr>
          <w:rFonts w:ascii="Palatino Linotype" w:eastAsia="Calibri" w:hAnsi="Palatino Linotype" w:cs="Arial"/>
          <w:color w:val="000000" w:themeColor="text1"/>
          <w:lang w:val="es-ES"/>
        </w:rPr>
        <w:t>de esta forma</w:t>
      </w:r>
      <w:r w:rsidR="00875167" w:rsidRPr="00041EA6">
        <w:rPr>
          <w:rFonts w:ascii="Palatino Linotype" w:eastAsia="Calibri" w:hAnsi="Palatino Linotype" w:cs="Arial"/>
          <w:color w:val="000000" w:themeColor="text1"/>
          <w:lang w:val="es-ES"/>
        </w:rPr>
        <w:t xml:space="preserve"> para que el </w:t>
      </w:r>
      <w:r w:rsidR="00875167" w:rsidRPr="00041EA6">
        <w:rPr>
          <w:rFonts w:ascii="Palatino Linotype" w:eastAsia="Calibri" w:hAnsi="Palatino Linotype" w:cs="Arial"/>
          <w:b/>
          <w:color w:val="000000" w:themeColor="text1"/>
          <w:lang w:val="es-ES"/>
        </w:rPr>
        <w:t>SUJETO OBLIGADO</w:t>
      </w:r>
      <w:r w:rsidR="00875167" w:rsidRPr="00041EA6">
        <w:rPr>
          <w:rFonts w:ascii="Palatino Linotype" w:eastAsia="Calibri" w:hAnsi="Palatino Linotype" w:cs="Arial"/>
          <w:color w:val="000000" w:themeColor="text1"/>
          <w:lang w:val="es-ES"/>
        </w:rPr>
        <w:t xml:space="preserve"> </w:t>
      </w:r>
      <w:r w:rsidR="00B81371" w:rsidRPr="00041EA6">
        <w:rPr>
          <w:rFonts w:ascii="Palatino Linotype" w:eastAsia="Calibri" w:hAnsi="Palatino Linotype" w:cs="Arial"/>
          <w:color w:val="000000" w:themeColor="text1"/>
          <w:lang w:val="es-ES"/>
        </w:rPr>
        <w:t>presentar</w:t>
      </w:r>
      <w:r w:rsidR="003A03D0" w:rsidRPr="00041EA6">
        <w:rPr>
          <w:rFonts w:ascii="Palatino Linotype" w:eastAsia="Calibri" w:hAnsi="Palatino Linotype" w:cs="Arial"/>
          <w:color w:val="000000" w:themeColor="text1"/>
          <w:lang w:val="es-ES"/>
        </w:rPr>
        <w:t>a</w:t>
      </w:r>
      <w:r w:rsidR="00B81371" w:rsidRPr="00041EA6">
        <w:rPr>
          <w:rFonts w:ascii="Palatino Linotype" w:eastAsia="Calibri" w:hAnsi="Palatino Linotype" w:cs="Arial"/>
          <w:color w:val="000000" w:themeColor="text1"/>
          <w:lang w:val="es-ES"/>
        </w:rPr>
        <w:t xml:space="preserve"> el </w:t>
      </w:r>
      <w:r w:rsidR="00556F72" w:rsidRPr="00041EA6">
        <w:rPr>
          <w:rFonts w:ascii="Palatino Linotype" w:eastAsia="Calibri" w:hAnsi="Palatino Linotype" w:cs="Arial"/>
          <w:color w:val="000000" w:themeColor="text1"/>
          <w:lang w:val="es-ES"/>
        </w:rPr>
        <w:t xml:space="preserve">informe justificado </w:t>
      </w:r>
      <w:r w:rsidR="00875167" w:rsidRPr="00041EA6">
        <w:rPr>
          <w:rFonts w:ascii="Palatino Linotype" w:eastAsia="Calibri" w:hAnsi="Palatino Linotype" w:cs="Arial"/>
          <w:color w:val="000000" w:themeColor="text1"/>
          <w:lang w:val="es-ES"/>
        </w:rPr>
        <w:t>procedente</w:t>
      </w:r>
      <w:r w:rsidR="00787184" w:rsidRPr="00041EA6">
        <w:rPr>
          <w:rFonts w:ascii="Palatino Linotype" w:eastAsia="Calibri" w:hAnsi="Palatino Linotype" w:cs="Arial"/>
          <w:color w:val="000000" w:themeColor="text1"/>
          <w:lang w:val="es-ES"/>
        </w:rPr>
        <w:t>.</w:t>
      </w:r>
    </w:p>
    <w:p w14:paraId="67D7209A" w14:textId="77777777" w:rsidR="001B32B2" w:rsidRPr="00041EA6" w:rsidRDefault="001B32B2" w:rsidP="00617DA2">
      <w:pPr>
        <w:pStyle w:val="Prrafodelista"/>
        <w:ind w:left="0"/>
        <w:rPr>
          <w:rFonts w:ascii="Palatino Linotype" w:eastAsia="Calibri" w:hAnsi="Palatino Linotype" w:cs="Arial"/>
          <w:color w:val="000000" w:themeColor="text1"/>
          <w:lang w:val="es-ES"/>
        </w:rPr>
      </w:pPr>
    </w:p>
    <w:p w14:paraId="5C1FC82A" w14:textId="256F6960" w:rsidR="00D5319E" w:rsidRPr="00041EA6" w:rsidRDefault="00D5319E" w:rsidP="00617DA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41EA6">
        <w:rPr>
          <w:rFonts w:ascii="Palatino Linotype" w:eastAsia="Calibri" w:hAnsi="Palatino Linotype" w:cs="Arial"/>
          <w:color w:val="000000" w:themeColor="text1"/>
          <w:lang w:val="es-ES"/>
        </w:rPr>
        <w:t xml:space="preserve">El </w:t>
      </w:r>
      <w:r w:rsidR="000D5BBA" w:rsidRPr="00041EA6">
        <w:rPr>
          <w:rFonts w:ascii="Palatino Linotype" w:eastAsia="Calibri" w:hAnsi="Palatino Linotype" w:cs="Arial"/>
          <w:color w:val="000000" w:themeColor="text1"/>
          <w:lang w:val="es-ES"/>
        </w:rPr>
        <w:t>dieciocho de junio de dos mil veinticinco</w:t>
      </w:r>
      <w:r w:rsidRPr="00041EA6">
        <w:rPr>
          <w:rFonts w:ascii="Palatino Linotype" w:eastAsia="Calibri" w:hAnsi="Palatino Linotype" w:cs="Arial"/>
          <w:color w:val="000000" w:themeColor="text1"/>
          <w:lang w:val="es-ES"/>
        </w:rPr>
        <w:t>, el Sujeto Obligado remitió su informe justificado a través del documento electrónico</w:t>
      </w:r>
      <w:r w:rsidR="00947DD7" w:rsidRPr="00041EA6">
        <w:rPr>
          <w:rFonts w:ascii="Palatino Linotype" w:eastAsia="Calibri" w:hAnsi="Palatino Linotype" w:cs="Arial"/>
          <w:color w:val="000000" w:themeColor="text1"/>
          <w:lang w:val="es-ES"/>
        </w:rPr>
        <w:t xml:space="preserve"> denominado </w:t>
      </w:r>
      <w:r w:rsidR="00947DD7" w:rsidRPr="00041EA6">
        <w:rPr>
          <w:rFonts w:ascii="Palatino Linotype" w:eastAsia="Calibri" w:hAnsi="Palatino Linotype" w:cs="Arial"/>
          <w:b/>
          <w:color w:val="000000" w:themeColor="text1"/>
          <w:lang w:val="es-ES"/>
        </w:rPr>
        <w:t>2. Ratificación RR-6573-2025.pdf</w:t>
      </w:r>
      <w:r w:rsidRPr="00041EA6">
        <w:rPr>
          <w:rFonts w:ascii="Palatino Linotype" w:eastAsia="Calibri" w:hAnsi="Palatino Linotype" w:cs="Arial"/>
          <w:b/>
          <w:color w:val="000000" w:themeColor="text1"/>
          <w:lang w:val="es-ES"/>
        </w:rPr>
        <w:t>,</w:t>
      </w:r>
      <w:r w:rsidRPr="00041EA6">
        <w:rPr>
          <w:rFonts w:ascii="Palatino Linotype" w:eastAsia="Calibri" w:hAnsi="Palatino Linotype" w:cs="Arial"/>
          <w:color w:val="000000" w:themeColor="text1"/>
          <w:lang w:val="es-ES"/>
        </w:rPr>
        <w:t xml:space="preserve"> el cual se puso a la vista del particular </w:t>
      </w:r>
      <w:r w:rsidR="00947DD7" w:rsidRPr="00041EA6">
        <w:rPr>
          <w:rFonts w:ascii="Palatino Linotype" w:eastAsia="Calibri" w:hAnsi="Palatino Linotype" w:cs="Arial"/>
          <w:color w:val="000000" w:themeColor="text1"/>
          <w:lang w:val="es-ES"/>
        </w:rPr>
        <w:t>el diecisiete de julio de dos mil veinticinco que medularmente contiene:</w:t>
      </w:r>
    </w:p>
    <w:p w14:paraId="30D23BF9" w14:textId="33142702" w:rsidR="00D5319E" w:rsidRPr="00041EA6" w:rsidRDefault="00947DD7" w:rsidP="00713E17">
      <w:pPr>
        <w:pStyle w:val="Prrafodelista"/>
        <w:numPr>
          <w:ilvl w:val="0"/>
          <w:numId w:val="6"/>
        </w:numPr>
        <w:spacing w:line="360" w:lineRule="auto"/>
        <w:ind w:left="0" w:firstLine="0"/>
        <w:jc w:val="both"/>
        <w:rPr>
          <w:rFonts w:ascii="Palatino Linotype" w:eastAsia="Calibri" w:hAnsi="Palatino Linotype" w:cs="Arial"/>
          <w:color w:val="000000" w:themeColor="text1"/>
          <w:lang w:val="es-ES"/>
        </w:rPr>
      </w:pPr>
      <w:r w:rsidRPr="00041EA6">
        <w:rPr>
          <w:rFonts w:ascii="Palatino Linotype" w:eastAsia="Calibri" w:hAnsi="Palatino Linotype" w:cs="Arial"/>
          <w:b/>
          <w:color w:val="000000" w:themeColor="text1"/>
          <w:lang w:val="es-ES"/>
        </w:rPr>
        <w:t>2. Ratificación RR-6573-2025.pdf:</w:t>
      </w:r>
      <w:r w:rsidR="00D5319E" w:rsidRPr="00041EA6">
        <w:rPr>
          <w:rFonts w:ascii="Palatino Linotype" w:eastAsia="Calibri" w:hAnsi="Palatino Linotype" w:cs="Arial"/>
          <w:b/>
          <w:i/>
          <w:color w:val="000000" w:themeColor="text1"/>
          <w:lang w:val="es-ES"/>
        </w:rPr>
        <w:t xml:space="preserve"> </w:t>
      </w:r>
      <w:r w:rsidRPr="00041EA6">
        <w:rPr>
          <w:rFonts w:ascii="Palatino Linotype" w:eastAsia="Calibri" w:hAnsi="Palatino Linotype" w:cs="Arial"/>
          <w:color w:val="000000" w:themeColor="text1"/>
          <w:lang w:val="es-ES"/>
        </w:rPr>
        <w:t>contiene oficio 02311/Toluca/ip/2025</w:t>
      </w:r>
      <w:r w:rsidR="00D5319E" w:rsidRPr="00041EA6">
        <w:rPr>
          <w:rFonts w:ascii="Palatino Linotype" w:eastAsia="Calibri" w:hAnsi="Palatino Linotype" w:cs="Arial"/>
          <w:color w:val="000000" w:themeColor="text1"/>
          <w:lang w:val="es-ES"/>
        </w:rPr>
        <w:t xml:space="preserve"> suscrito por Titular de la Unidad de Transparencia del Sujeto Obligado, mediante el cual ratifica su respuesta inicial.</w:t>
      </w:r>
    </w:p>
    <w:p w14:paraId="1ECFA3AD" w14:textId="77777777" w:rsidR="00D5319E" w:rsidRPr="00041EA6" w:rsidRDefault="00D5319E" w:rsidP="00617DA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FCAAB2F" w14:textId="77777777" w:rsidR="00947DD7" w:rsidRPr="00041EA6" w:rsidRDefault="00947DD7" w:rsidP="00617DA2">
      <w:pPr>
        <w:pStyle w:val="Prrafodelista"/>
        <w:numPr>
          <w:ilvl w:val="0"/>
          <w:numId w:val="1"/>
        </w:numPr>
        <w:spacing w:line="360" w:lineRule="auto"/>
        <w:contextualSpacing w:val="0"/>
        <w:jc w:val="both"/>
        <w:rPr>
          <w:rFonts w:ascii="Palatino Linotype" w:eastAsia="Palatino Linotype" w:hAnsi="Palatino Linotype" w:cs="Palatino Linotype"/>
        </w:rPr>
      </w:pPr>
      <w:bookmarkStart w:id="4" w:name="_Toc461555889"/>
      <w:bookmarkStart w:id="5" w:name="_Toc466371858"/>
      <w:r w:rsidRPr="00041EA6">
        <w:rPr>
          <w:rFonts w:ascii="Palatino Linotype" w:hAnsi="Palatino Linotype" w:cs="Arial"/>
          <w:color w:val="000000" w:themeColor="text1"/>
        </w:rPr>
        <w:lastRenderedPageBreak/>
        <w:t>De las constancias que obran en el expediente digital del recurso de revisión que hoy se resuelve, se aprecia que la parte Recurrente fue</w:t>
      </w:r>
      <w:r w:rsidRPr="00041EA6">
        <w:rPr>
          <w:rFonts w:ascii="Palatino Linotype" w:eastAsia="Palatino Linotype" w:hAnsi="Palatino Linotype" w:cs="Palatino Linotype"/>
        </w:rPr>
        <w:t xml:space="preserve"> omisa en remitir cualquier elemento que a su derecho conviniera, por lo tanto, se tiene por precluído su derecho para tal efecto y se procede a emitir la resolución que conforme a derecho corresponda.</w:t>
      </w:r>
    </w:p>
    <w:p w14:paraId="2D1616CC" w14:textId="77777777" w:rsidR="00947DD7" w:rsidRPr="00041EA6" w:rsidRDefault="00947DD7" w:rsidP="00617DA2">
      <w:pPr>
        <w:spacing w:line="360" w:lineRule="auto"/>
        <w:jc w:val="both"/>
        <w:rPr>
          <w:rFonts w:ascii="Palatino Linotype" w:eastAsia="Palatino Linotype" w:hAnsi="Palatino Linotype" w:cs="Palatino Linotype"/>
        </w:rPr>
      </w:pPr>
    </w:p>
    <w:p w14:paraId="70E8DE1D" w14:textId="76166DD5" w:rsidR="00D85642" w:rsidRPr="00041EA6" w:rsidRDefault="00D85642" w:rsidP="00713E17">
      <w:pPr>
        <w:pStyle w:val="Prrafodelista"/>
        <w:numPr>
          <w:ilvl w:val="0"/>
          <w:numId w:val="1"/>
        </w:numPr>
        <w:spacing w:line="360" w:lineRule="auto"/>
        <w:contextualSpacing w:val="0"/>
        <w:jc w:val="both"/>
        <w:rPr>
          <w:rFonts w:ascii="Palatino Linotype" w:hAnsi="Palatino Linotype"/>
          <w:b/>
          <w:color w:val="000000" w:themeColor="text1"/>
        </w:rPr>
      </w:pPr>
      <w:r w:rsidRPr="00041EA6">
        <w:rPr>
          <w:rFonts w:ascii="Palatino Linotype" w:hAnsi="Palatino Linotype"/>
          <w:lang w:val="es-ES_tradnl"/>
        </w:rPr>
        <w:t xml:space="preserve">En </w:t>
      </w:r>
      <w:r w:rsidRPr="00041EA6">
        <w:rPr>
          <w:rFonts w:ascii="Palatino Linotype" w:hAnsi="Palatino Linotype"/>
          <w:b/>
          <w:lang w:val="es-ES_tradnl"/>
        </w:rPr>
        <w:t>diecisiete de julio de dos mil veinticinco</w:t>
      </w:r>
      <w:r w:rsidRPr="00041EA6">
        <w:rPr>
          <w:rFonts w:ascii="Palatino Linotype" w:hAnsi="Palatino Linotype"/>
          <w:lang w:val="es-ES_tradnl"/>
        </w:rPr>
        <w:t>, se acordó ampliar el término para resolver el presente asunto.</w:t>
      </w:r>
    </w:p>
    <w:p w14:paraId="309DFA8B" w14:textId="77777777" w:rsidR="00D85642" w:rsidRPr="00041EA6" w:rsidRDefault="00D85642" w:rsidP="00617DA2">
      <w:pPr>
        <w:pStyle w:val="Prrafodelista"/>
        <w:ind w:left="0"/>
        <w:rPr>
          <w:rFonts w:ascii="Palatino Linotype" w:hAnsi="Palatino Linotype"/>
          <w:b/>
          <w:color w:val="000000" w:themeColor="text1"/>
        </w:rPr>
      </w:pPr>
    </w:p>
    <w:p w14:paraId="37A171A6" w14:textId="77777777" w:rsidR="00D85642" w:rsidRPr="00041EA6" w:rsidRDefault="00D85642" w:rsidP="00713E17">
      <w:pPr>
        <w:numPr>
          <w:ilvl w:val="0"/>
          <w:numId w:val="1"/>
        </w:numPr>
        <w:pBdr>
          <w:top w:val="nil"/>
          <w:left w:val="nil"/>
          <w:bottom w:val="nil"/>
          <w:right w:val="nil"/>
          <w:between w:val="nil"/>
        </w:pBdr>
        <w:spacing w:line="360" w:lineRule="auto"/>
        <w:jc w:val="both"/>
        <w:rPr>
          <w:rFonts w:ascii="Palatino Linotype" w:hAnsi="Palatino Linotype"/>
          <w:color w:val="000000"/>
        </w:rPr>
      </w:pPr>
      <w:r w:rsidRPr="00041EA6">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CE81E4E" w14:textId="77777777" w:rsidR="00D85642" w:rsidRPr="00041EA6" w:rsidRDefault="00D85642" w:rsidP="00617DA2">
      <w:pPr>
        <w:pStyle w:val="Prrafodelista"/>
        <w:ind w:left="0"/>
        <w:rPr>
          <w:rFonts w:ascii="Palatino Linotype" w:hAnsi="Palatino Linotype"/>
        </w:rPr>
      </w:pPr>
    </w:p>
    <w:p w14:paraId="43755917" w14:textId="1F26B106" w:rsidR="00947DD7" w:rsidRPr="00041EA6" w:rsidRDefault="00947DD7" w:rsidP="00617DA2">
      <w:pPr>
        <w:numPr>
          <w:ilvl w:val="0"/>
          <w:numId w:val="1"/>
        </w:numPr>
        <w:tabs>
          <w:tab w:val="left" w:pos="426"/>
        </w:tabs>
        <w:spacing w:line="360" w:lineRule="auto"/>
        <w:contextualSpacing/>
        <w:jc w:val="both"/>
        <w:rPr>
          <w:rFonts w:ascii="Palatino Linotype" w:hAnsi="Palatino Linotype"/>
        </w:rPr>
      </w:pPr>
      <w:r w:rsidRPr="00041EA6">
        <w:rPr>
          <w:rFonts w:ascii="Palatino Linotype" w:hAnsi="Palatino Linotype"/>
        </w:rPr>
        <w:t xml:space="preserve">Seguidamente en fecha </w:t>
      </w:r>
      <w:r w:rsidRPr="00041EA6">
        <w:rPr>
          <w:rFonts w:ascii="Palatino Linotype" w:hAnsi="Palatino Linotype"/>
          <w:b/>
        </w:rPr>
        <w:t>seis de agosto</w:t>
      </w:r>
      <w:r w:rsidRPr="00041EA6">
        <w:rPr>
          <w:rFonts w:ascii="Palatino Linotype" w:hAnsi="Palatino Linotype"/>
        </w:rPr>
        <w:t xml:space="preserve"> </w:t>
      </w:r>
      <w:r w:rsidRPr="00041EA6">
        <w:rPr>
          <w:rFonts w:ascii="Palatino Linotype" w:hAnsi="Palatino Linotype"/>
          <w:b/>
        </w:rPr>
        <w:t>de dos mil veinticinco</w:t>
      </w:r>
      <w:r w:rsidRPr="00041EA6">
        <w:rPr>
          <w:rFonts w:ascii="Palatino Linotype" w:hAnsi="Palatino Linotype"/>
        </w:rPr>
        <w:t>, la Comisionada Ponente dictó el cierre del periodo de instrucción y, ordenó la resolución que conforme a Derecho proceda, de acuerdo a las siguientes:</w:t>
      </w:r>
    </w:p>
    <w:p w14:paraId="73DF1237" w14:textId="77777777" w:rsidR="00947DD7" w:rsidRPr="00041EA6" w:rsidRDefault="00947DD7" w:rsidP="00617DA2">
      <w:pPr>
        <w:tabs>
          <w:tab w:val="left" w:pos="426"/>
        </w:tabs>
        <w:spacing w:line="360" w:lineRule="auto"/>
        <w:jc w:val="both"/>
        <w:rPr>
          <w:rFonts w:ascii="Palatino Linotype" w:hAnsi="Palatino Linotype" w:cs="Arial"/>
          <w:color w:val="000000" w:themeColor="text1"/>
        </w:rPr>
      </w:pPr>
    </w:p>
    <w:p w14:paraId="5CB47E4D" w14:textId="6BF1F33A" w:rsidR="00C33279" w:rsidRPr="00041EA6" w:rsidRDefault="007C0013" w:rsidP="00617DA2">
      <w:pPr>
        <w:pStyle w:val="Ttulo1"/>
        <w:spacing w:before="0"/>
        <w:jc w:val="center"/>
        <w:rPr>
          <w:b/>
          <w:color w:val="000000" w:themeColor="text1"/>
          <w:szCs w:val="24"/>
        </w:rPr>
      </w:pPr>
      <w:bookmarkStart w:id="6" w:name="_Toc87456485"/>
      <w:r w:rsidRPr="00041EA6">
        <w:rPr>
          <w:b/>
          <w:color w:val="000000" w:themeColor="text1"/>
          <w:szCs w:val="24"/>
        </w:rPr>
        <w:t>C</w:t>
      </w:r>
      <w:r w:rsidR="00713E17">
        <w:rPr>
          <w:b/>
          <w:color w:val="000000" w:themeColor="text1"/>
          <w:szCs w:val="24"/>
        </w:rPr>
        <w:t xml:space="preserve"> </w:t>
      </w:r>
      <w:r w:rsidRPr="00041EA6">
        <w:rPr>
          <w:b/>
          <w:color w:val="000000" w:themeColor="text1"/>
          <w:szCs w:val="24"/>
        </w:rPr>
        <w:t>O</w:t>
      </w:r>
      <w:r w:rsidR="00713E17">
        <w:rPr>
          <w:b/>
          <w:color w:val="000000" w:themeColor="text1"/>
          <w:szCs w:val="24"/>
        </w:rPr>
        <w:t xml:space="preserve"> </w:t>
      </w:r>
      <w:r w:rsidRPr="00041EA6">
        <w:rPr>
          <w:b/>
          <w:color w:val="000000" w:themeColor="text1"/>
          <w:szCs w:val="24"/>
        </w:rPr>
        <w:t>N</w:t>
      </w:r>
      <w:r w:rsidR="00713E17">
        <w:rPr>
          <w:b/>
          <w:color w:val="000000" w:themeColor="text1"/>
          <w:szCs w:val="24"/>
        </w:rPr>
        <w:t xml:space="preserve"> </w:t>
      </w:r>
      <w:r w:rsidRPr="00041EA6">
        <w:rPr>
          <w:b/>
          <w:color w:val="000000" w:themeColor="text1"/>
          <w:szCs w:val="24"/>
        </w:rPr>
        <w:t>S</w:t>
      </w:r>
      <w:r w:rsidR="00713E17">
        <w:rPr>
          <w:b/>
          <w:color w:val="000000" w:themeColor="text1"/>
          <w:szCs w:val="24"/>
        </w:rPr>
        <w:t xml:space="preserve"> </w:t>
      </w:r>
      <w:r w:rsidRPr="00041EA6">
        <w:rPr>
          <w:b/>
          <w:color w:val="000000" w:themeColor="text1"/>
          <w:szCs w:val="24"/>
        </w:rPr>
        <w:t>I</w:t>
      </w:r>
      <w:r w:rsidR="00713E17">
        <w:rPr>
          <w:b/>
          <w:color w:val="000000" w:themeColor="text1"/>
          <w:szCs w:val="24"/>
        </w:rPr>
        <w:t xml:space="preserve"> </w:t>
      </w:r>
      <w:r w:rsidRPr="00041EA6">
        <w:rPr>
          <w:b/>
          <w:color w:val="000000" w:themeColor="text1"/>
          <w:szCs w:val="24"/>
        </w:rPr>
        <w:t>D</w:t>
      </w:r>
      <w:r w:rsidR="00713E17">
        <w:rPr>
          <w:b/>
          <w:color w:val="000000" w:themeColor="text1"/>
          <w:szCs w:val="24"/>
        </w:rPr>
        <w:t xml:space="preserve"> </w:t>
      </w:r>
      <w:r w:rsidRPr="00041EA6">
        <w:rPr>
          <w:b/>
          <w:color w:val="000000" w:themeColor="text1"/>
          <w:szCs w:val="24"/>
        </w:rPr>
        <w:t>E</w:t>
      </w:r>
      <w:r w:rsidR="00713E17">
        <w:rPr>
          <w:b/>
          <w:color w:val="000000" w:themeColor="text1"/>
          <w:szCs w:val="24"/>
        </w:rPr>
        <w:t xml:space="preserve"> </w:t>
      </w:r>
      <w:r w:rsidRPr="00041EA6">
        <w:rPr>
          <w:b/>
          <w:color w:val="000000" w:themeColor="text1"/>
          <w:szCs w:val="24"/>
        </w:rPr>
        <w:t>R</w:t>
      </w:r>
      <w:r w:rsidR="00713E17">
        <w:rPr>
          <w:b/>
          <w:color w:val="000000" w:themeColor="text1"/>
          <w:szCs w:val="24"/>
        </w:rPr>
        <w:t xml:space="preserve"> </w:t>
      </w:r>
      <w:r w:rsidRPr="00041EA6">
        <w:rPr>
          <w:b/>
          <w:color w:val="000000" w:themeColor="text1"/>
          <w:szCs w:val="24"/>
        </w:rPr>
        <w:t>A</w:t>
      </w:r>
      <w:r w:rsidR="00713E17">
        <w:rPr>
          <w:b/>
          <w:color w:val="000000" w:themeColor="text1"/>
          <w:szCs w:val="24"/>
        </w:rPr>
        <w:t xml:space="preserve"> </w:t>
      </w:r>
      <w:r w:rsidRPr="00041EA6">
        <w:rPr>
          <w:b/>
          <w:color w:val="000000" w:themeColor="text1"/>
          <w:szCs w:val="24"/>
        </w:rPr>
        <w:t>N</w:t>
      </w:r>
      <w:r w:rsidR="00713E17">
        <w:rPr>
          <w:b/>
          <w:color w:val="000000" w:themeColor="text1"/>
          <w:szCs w:val="24"/>
        </w:rPr>
        <w:t xml:space="preserve"> </w:t>
      </w:r>
      <w:r w:rsidRPr="00041EA6">
        <w:rPr>
          <w:b/>
          <w:color w:val="000000" w:themeColor="text1"/>
          <w:szCs w:val="24"/>
        </w:rPr>
        <w:t>D</w:t>
      </w:r>
      <w:r w:rsidR="00713E17">
        <w:rPr>
          <w:b/>
          <w:color w:val="000000" w:themeColor="text1"/>
          <w:szCs w:val="24"/>
        </w:rPr>
        <w:t xml:space="preserve"> </w:t>
      </w:r>
      <w:r w:rsidRPr="00041EA6">
        <w:rPr>
          <w:b/>
          <w:color w:val="000000" w:themeColor="text1"/>
          <w:szCs w:val="24"/>
        </w:rPr>
        <w:t>O</w:t>
      </w:r>
      <w:bookmarkEnd w:id="4"/>
      <w:bookmarkEnd w:id="5"/>
      <w:bookmarkEnd w:id="6"/>
      <w:r w:rsidR="00713E17">
        <w:rPr>
          <w:b/>
          <w:color w:val="000000" w:themeColor="text1"/>
          <w:szCs w:val="24"/>
        </w:rPr>
        <w:t xml:space="preserve"> </w:t>
      </w:r>
      <w:r w:rsidR="00D85642" w:rsidRPr="00041EA6">
        <w:rPr>
          <w:b/>
          <w:color w:val="000000" w:themeColor="text1"/>
          <w:szCs w:val="24"/>
        </w:rPr>
        <w:t>S</w:t>
      </w:r>
    </w:p>
    <w:p w14:paraId="435CF9A4" w14:textId="77777777" w:rsidR="00FC1DA7" w:rsidRPr="00041EA6" w:rsidRDefault="00FC1DA7" w:rsidP="00617DA2">
      <w:pPr>
        <w:rPr>
          <w:rFonts w:ascii="Palatino Linotype" w:hAnsi="Palatino Linotype"/>
          <w:color w:val="000000" w:themeColor="text1"/>
          <w:lang w:eastAsia="en-US"/>
        </w:rPr>
      </w:pPr>
    </w:p>
    <w:p w14:paraId="629A5BE2" w14:textId="56C3E7D5" w:rsidR="007C0013" w:rsidRPr="00041EA6" w:rsidRDefault="007C0013" w:rsidP="00617DA2">
      <w:pPr>
        <w:pStyle w:val="Ttulo2"/>
        <w:spacing w:before="0"/>
        <w:rPr>
          <w:rFonts w:ascii="Palatino Linotype" w:hAnsi="Palatino Linotype"/>
          <w:b/>
          <w:color w:val="000000" w:themeColor="text1"/>
          <w:sz w:val="24"/>
          <w:szCs w:val="24"/>
        </w:rPr>
      </w:pPr>
      <w:bookmarkStart w:id="7" w:name="_Toc461555890"/>
      <w:bookmarkStart w:id="8" w:name="_Toc466371859"/>
      <w:bookmarkStart w:id="9" w:name="_Toc87456486"/>
      <w:r w:rsidRPr="00041EA6">
        <w:rPr>
          <w:rFonts w:ascii="Palatino Linotype" w:hAnsi="Palatino Linotype"/>
          <w:b/>
          <w:color w:val="000000" w:themeColor="text1"/>
          <w:sz w:val="24"/>
          <w:szCs w:val="24"/>
        </w:rPr>
        <w:t>PRIMERO. De la competencia</w:t>
      </w:r>
      <w:bookmarkEnd w:id="7"/>
      <w:bookmarkEnd w:id="8"/>
      <w:bookmarkEnd w:id="9"/>
    </w:p>
    <w:p w14:paraId="0BF52B18" w14:textId="515C3AEB" w:rsidR="005A228F" w:rsidRPr="00041EA6" w:rsidRDefault="00A45546" w:rsidP="00617DA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41EA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41EA6">
        <w:rPr>
          <w:rFonts w:ascii="Palatino Linotype" w:eastAsia="Calibri" w:hAnsi="Palatino Linotype" w:cs="Times New Roman"/>
          <w:color w:val="000000" w:themeColor="text1"/>
          <w:lang w:val="es-ES"/>
        </w:rPr>
        <w:t xml:space="preserve">etente para conocer y resolver </w:t>
      </w:r>
      <w:r w:rsidRPr="00041EA6">
        <w:rPr>
          <w:rFonts w:ascii="Palatino Linotype" w:eastAsia="Calibri" w:hAnsi="Palatino Linotype" w:cs="Times New Roman"/>
          <w:color w:val="000000" w:themeColor="text1"/>
          <w:lang w:val="es-ES"/>
        </w:rPr>
        <w:t xml:space="preserve">el presente recurso de conformidad con el artículo: 6, apartado A, fracción IV de la </w:t>
      </w:r>
      <w:r w:rsidRPr="00041EA6">
        <w:rPr>
          <w:rFonts w:ascii="Palatino Linotype" w:eastAsia="Calibri" w:hAnsi="Palatino Linotype" w:cs="Times New Roman"/>
          <w:b/>
          <w:color w:val="000000" w:themeColor="text1"/>
          <w:lang w:val="es-ES"/>
        </w:rPr>
        <w:t>Constitución Política de los Estados Unidos Mexicanos</w:t>
      </w:r>
      <w:r w:rsidRPr="00041EA6">
        <w:rPr>
          <w:rFonts w:ascii="Palatino Linotype" w:eastAsia="Calibri" w:hAnsi="Palatino Linotype" w:cs="Times New Roman"/>
          <w:color w:val="000000" w:themeColor="text1"/>
          <w:lang w:val="es-ES"/>
        </w:rPr>
        <w:t xml:space="preserve">; 5, párrafos </w:t>
      </w:r>
      <w:r w:rsidR="000B7C4F" w:rsidRPr="00041EA6">
        <w:rPr>
          <w:rFonts w:ascii="Palatino Linotype" w:eastAsia="Calibri" w:hAnsi="Palatino Linotype" w:cs="Times New Roman"/>
          <w:color w:val="000000" w:themeColor="text1"/>
          <w:lang w:val="es-ES"/>
        </w:rPr>
        <w:t xml:space="preserve">trigésimo, trigésimo </w:t>
      </w:r>
      <w:r w:rsidR="000B7C4F" w:rsidRPr="00041EA6">
        <w:rPr>
          <w:rFonts w:ascii="Palatino Linotype" w:eastAsia="Calibri" w:hAnsi="Palatino Linotype" w:cs="Times New Roman"/>
          <w:color w:val="000000" w:themeColor="text1"/>
          <w:lang w:val="es-ES"/>
        </w:rPr>
        <w:lastRenderedPageBreak/>
        <w:t>primero y trigésimo segundo</w:t>
      </w:r>
      <w:r w:rsidR="004F785F" w:rsidRPr="00041EA6">
        <w:rPr>
          <w:rFonts w:ascii="Palatino Linotype" w:eastAsia="Calibri" w:hAnsi="Palatino Linotype" w:cs="Times New Roman"/>
          <w:color w:val="000000" w:themeColor="text1"/>
          <w:lang w:val="es-ES"/>
        </w:rPr>
        <w:t>,</w:t>
      </w:r>
      <w:r w:rsidRPr="00041EA6">
        <w:rPr>
          <w:rFonts w:ascii="Palatino Linotype" w:eastAsia="Calibri" w:hAnsi="Palatino Linotype" w:cs="Times New Roman"/>
          <w:color w:val="000000" w:themeColor="text1"/>
          <w:lang w:val="es-ES"/>
        </w:rPr>
        <w:t xml:space="preserve"> fracciones IV y V</w:t>
      </w:r>
      <w:r w:rsidR="004F785F" w:rsidRPr="00041EA6">
        <w:rPr>
          <w:rFonts w:ascii="Palatino Linotype" w:eastAsia="Calibri" w:hAnsi="Palatino Linotype" w:cs="Times New Roman"/>
          <w:color w:val="000000" w:themeColor="text1"/>
          <w:lang w:val="es-ES"/>
        </w:rPr>
        <w:t>,</w:t>
      </w:r>
      <w:r w:rsidRPr="00041EA6">
        <w:rPr>
          <w:rFonts w:ascii="Palatino Linotype" w:eastAsia="Calibri" w:hAnsi="Palatino Linotype" w:cs="Times New Roman"/>
          <w:color w:val="000000" w:themeColor="text1"/>
          <w:lang w:val="es-ES"/>
        </w:rPr>
        <w:t xml:space="preserve"> de la </w:t>
      </w:r>
      <w:r w:rsidRPr="00041EA6">
        <w:rPr>
          <w:rFonts w:ascii="Palatino Linotype" w:eastAsia="Calibri" w:hAnsi="Palatino Linotype" w:cs="Times New Roman"/>
          <w:b/>
          <w:color w:val="000000" w:themeColor="text1"/>
          <w:lang w:val="es-ES"/>
        </w:rPr>
        <w:t>Constitución Política del Estado Libre y Soberano de México</w:t>
      </w:r>
      <w:r w:rsidRPr="00041EA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041EA6">
        <w:rPr>
          <w:rFonts w:ascii="Palatino Linotype" w:eastAsia="Calibri" w:hAnsi="Palatino Linotype" w:cs="Arial"/>
          <w:color w:val="000000" w:themeColor="text1"/>
          <w:lang w:val="es-ES"/>
        </w:rPr>
        <w:t xml:space="preserve">de la </w:t>
      </w:r>
      <w:r w:rsidRPr="00041EA6">
        <w:rPr>
          <w:rFonts w:ascii="Palatino Linotype" w:eastAsia="Calibri" w:hAnsi="Palatino Linotype" w:cs="Arial"/>
          <w:b/>
          <w:color w:val="000000" w:themeColor="text1"/>
          <w:lang w:val="es-ES"/>
        </w:rPr>
        <w:t>Ley de Transparencia y Acceso a la Información Pública del Estado de México y Municipios</w:t>
      </w:r>
      <w:r w:rsidRPr="00041EA6">
        <w:rPr>
          <w:rFonts w:ascii="Palatino Linotype" w:eastAsia="Calibri" w:hAnsi="Palatino Linotype" w:cs="Arial"/>
          <w:color w:val="000000" w:themeColor="text1"/>
          <w:lang w:val="es-ES"/>
        </w:rPr>
        <w:t xml:space="preserve">; y 10, 7, 9 fracciones I y XXIV, y 11 del </w:t>
      </w:r>
      <w:r w:rsidRPr="00041EA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041EA6" w:rsidRDefault="002630E4" w:rsidP="00617DA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41EA6" w:rsidRDefault="007C0013" w:rsidP="00617DA2">
      <w:pPr>
        <w:pStyle w:val="Ttulo2"/>
        <w:tabs>
          <w:tab w:val="left" w:pos="426"/>
        </w:tabs>
        <w:spacing w:before="0"/>
        <w:rPr>
          <w:rFonts w:ascii="Palatino Linotype" w:hAnsi="Palatino Linotype"/>
          <w:b/>
          <w:color w:val="000000" w:themeColor="text1"/>
          <w:sz w:val="24"/>
          <w:szCs w:val="24"/>
        </w:rPr>
      </w:pPr>
      <w:bookmarkStart w:id="10" w:name="_Toc461555891"/>
      <w:bookmarkStart w:id="11" w:name="_Toc466371860"/>
      <w:bookmarkStart w:id="12" w:name="_Toc87456487"/>
      <w:r w:rsidRPr="00041EA6">
        <w:rPr>
          <w:rFonts w:ascii="Palatino Linotype" w:hAnsi="Palatino Linotype"/>
          <w:b/>
          <w:color w:val="000000" w:themeColor="text1"/>
          <w:sz w:val="24"/>
          <w:szCs w:val="24"/>
        </w:rPr>
        <w:t>SEGUNDO. De la oportunidad y proced</w:t>
      </w:r>
      <w:r w:rsidR="00F35C44" w:rsidRPr="00041EA6">
        <w:rPr>
          <w:rFonts w:ascii="Palatino Linotype" w:hAnsi="Palatino Linotype"/>
          <w:b/>
          <w:color w:val="000000" w:themeColor="text1"/>
          <w:sz w:val="24"/>
          <w:szCs w:val="24"/>
        </w:rPr>
        <w:t>encia</w:t>
      </w:r>
      <w:r w:rsidRPr="00041EA6">
        <w:rPr>
          <w:rFonts w:ascii="Palatino Linotype" w:hAnsi="Palatino Linotype"/>
          <w:b/>
          <w:color w:val="000000" w:themeColor="text1"/>
          <w:sz w:val="24"/>
          <w:szCs w:val="24"/>
        </w:rPr>
        <w:t>.</w:t>
      </w:r>
      <w:bookmarkEnd w:id="10"/>
      <w:bookmarkEnd w:id="11"/>
      <w:bookmarkEnd w:id="12"/>
    </w:p>
    <w:p w14:paraId="12E3A5FD" w14:textId="6DE18A00" w:rsidR="00D85642" w:rsidRPr="00713E17" w:rsidRDefault="00D85642" w:rsidP="00713E17">
      <w:pPr>
        <w:pStyle w:val="Prrafodelista"/>
        <w:numPr>
          <w:ilvl w:val="0"/>
          <w:numId w:val="11"/>
        </w:numPr>
        <w:spacing w:line="360" w:lineRule="auto"/>
        <w:ind w:left="0" w:firstLine="0"/>
        <w:jc w:val="both"/>
        <w:rPr>
          <w:rFonts w:ascii="Palatino Linotype" w:eastAsia="Palatino Linotype" w:hAnsi="Palatino Linotype" w:cs="Palatino Linotype"/>
        </w:rPr>
      </w:pPr>
      <w:r w:rsidRPr="00713E17">
        <w:rPr>
          <w:rFonts w:ascii="Palatino Linotype" w:eastAsia="Palatino Linotype" w:hAnsi="Palatino Linotype" w:cs="Palatino Linotype"/>
        </w:rPr>
        <w:t xml:space="preserve">Este Órgano Garante considera que el medio de impugnación reúne los requisitos de procedencia </w:t>
      </w:r>
      <w:r w:rsidRPr="00713E17">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4263A8E9" w14:textId="77777777" w:rsidR="00D85642" w:rsidRPr="00041EA6" w:rsidRDefault="00D85642" w:rsidP="00617DA2">
      <w:pPr>
        <w:pStyle w:val="Textoindependienteprimerasangra2"/>
        <w:ind w:left="0" w:hanging="76"/>
        <w:jc w:val="both"/>
        <w:rPr>
          <w:rFonts w:ascii="Palatino Linotype" w:eastAsia="Palatino Linotype" w:hAnsi="Palatino Linotype"/>
          <w:i/>
        </w:rPr>
      </w:pPr>
    </w:p>
    <w:p w14:paraId="0453CFDC" w14:textId="77777777" w:rsidR="00D85642" w:rsidRPr="00041EA6" w:rsidRDefault="00D85642" w:rsidP="00617DA2">
      <w:pPr>
        <w:pStyle w:val="Prrafodelista"/>
        <w:numPr>
          <w:ilvl w:val="0"/>
          <w:numId w:val="11"/>
        </w:numPr>
        <w:spacing w:line="360" w:lineRule="auto"/>
        <w:ind w:left="0" w:firstLine="0"/>
        <w:contextualSpacing w:val="0"/>
        <w:jc w:val="both"/>
        <w:rPr>
          <w:rFonts w:ascii="Palatino Linotype" w:hAnsi="Palatino Linotype"/>
        </w:rPr>
      </w:pPr>
      <w:r w:rsidRPr="00041EA6">
        <w:rPr>
          <w:rFonts w:ascii="Palatino Linotype" w:eastAsia="Calibri" w:hAnsi="Palatino Linotype" w:cs="Arial"/>
        </w:rPr>
        <w:t>Asimismo, el escrito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8C30485" w14:textId="77777777" w:rsidR="00E23CA4" w:rsidRPr="00041EA6" w:rsidRDefault="00E23CA4" w:rsidP="00617DA2">
      <w:pPr>
        <w:pStyle w:val="Prrafodelista"/>
        <w:ind w:left="0"/>
        <w:rPr>
          <w:rFonts w:ascii="Palatino Linotype" w:eastAsia="Times New Roman" w:hAnsi="Palatino Linotype" w:cs="Arial"/>
          <w:bCs/>
          <w:color w:val="000000" w:themeColor="text1"/>
          <w:lang w:eastAsia="es-MX"/>
        </w:rPr>
      </w:pPr>
    </w:p>
    <w:p w14:paraId="15661DD9" w14:textId="2CDF4EE3" w:rsidR="00540208" w:rsidRPr="00041EA6" w:rsidRDefault="00273D1A" w:rsidP="00617DA2">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041EA6">
        <w:rPr>
          <w:rFonts w:ascii="Palatino Linotype" w:hAnsi="Palatino Linotype"/>
          <w:b/>
          <w:color w:val="000000" w:themeColor="text1"/>
          <w:sz w:val="24"/>
          <w:szCs w:val="24"/>
        </w:rPr>
        <w:t>TERCERO</w:t>
      </w:r>
      <w:r w:rsidR="00C50A2B" w:rsidRPr="00041EA6">
        <w:rPr>
          <w:rFonts w:ascii="Palatino Linotype" w:hAnsi="Palatino Linotype"/>
          <w:b/>
          <w:color w:val="000000" w:themeColor="text1"/>
          <w:sz w:val="24"/>
          <w:szCs w:val="24"/>
        </w:rPr>
        <w:t>. De</w:t>
      </w:r>
      <w:r w:rsidR="00AD76A1" w:rsidRPr="00041EA6">
        <w:rPr>
          <w:rFonts w:ascii="Palatino Linotype" w:hAnsi="Palatino Linotype"/>
          <w:b/>
          <w:color w:val="000000" w:themeColor="text1"/>
          <w:sz w:val="24"/>
          <w:szCs w:val="24"/>
        </w:rPr>
        <w:t xml:space="preserve">l planteamiento de la </w:t>
      </w:r>
      <w:r w:rsidR="00AD76A1" w:rsidRPr="00041EA6">
        <w:rPr>
          <w:rFonts w:ascii="Palatino Linotype" w:hAnsi="Palatino Linotype"/>
          <w:b/>
          <w:i/>
          <w:color w:val="000000" w:themeColor="text1"/>
          <w:sz w:val="24"/>
          <w:szCs w:val="24"/>
        </w:rPr>
        <w:t>Litis</w:t>
      </w:r>
      <w:r w:rsidR="00C50A2B" w:rsidRPr="00041EA6">
        <w:rPr>
          <w:rFonts w:ascii="Palatino Linotype" w:hAnsi="Palatino Linotype"/>
          <w:b/>
          <w:color w:val="000000" w:themeColor="text1"/>
          <w:sz w:val="24"/>
          <w:szCs w:val="24"/>
        </w:rPr>
        <w:t>.</w:t>
      </w:r>
      <w:bookmarkEnd w:id="13"/>
      <w:bookmarkEnd w:id="14"/>
      <w:bookmarkEnd w:id="15"/>
    </w:p>
    <w:bookmarkEnd w:id="16"/>
    <w:bookmarkEnd w:id="17"/>
    <w:p w14:paraId="34E542D1" w14:textId="04074D0F" w:rsidR="00F778B2" w:rsidRPr="00041EA6" w:rsidRDefault="00CE035D" w:rsidP="00713E17">
      <w:pPr>
        <w:pStyle w:val="Prrafodelista"/>
        <w:numPr>
          <w:ilvl w:val="0"/>
          <w:numId w:val="11"/>
        </w:numPr>
        <w:spacing w:line="360" w:lineRule="auto"/>
        <w:ind w:left="0" w:firstLine="0"/>
        <w:jc w:val="both"/>
        <w:rPr>
          <w:rFonts w:ascii="Palatino Linotype" w:hAnsi="Palatino Linotype" w:cs="Arial"/>
          <w:color w:val="000000" w:themeColor="text1"/>
        </w:rPr>
      </w:pPr>
      <w:r w:rsidRPr="00041EA6">
        <w:rPr>
          <w:rFonts w:ascii="Palatino Linotype" w:hAnsi="Palatino Linotype" w:cs="Arial"/>
          <w:color w:val="000000" w:themeColor="text1"/>
        </w:rPr>
        <w:t>El Recurrente solicitó</w:t>
      </w:r>
      <w:r w:rsidR="00F778B2" w:rsidRPr="00041EA6">
        <w:rPr>
          <w:rFonts w:ascii="Palatino Linotype" w:hAnsi="Palatino Linotype" w:cs="Arial"/>
          <w:color w:val="000000" w:themeColor="text1"/>
        </w:rPr>
        <w:t xml:space="preserve"> lo siguiente:</w:t>
      </w:r>
    </w:p>
    <w:p w14:paraId="4B9CDC14" w14:textId="61817D88" w:rsidR="00745C9D" w:rsidRPr="00041EA6" w:rsidRDefault="007026EF" w:rsidP="00713E17">
      <w:pPr>
        <w:pStyle w:val="Prrafodelista"/>
        <w:numPr>
          <w:ilvl w:val="0"/>
          <w:numId w:val="4"/>
        </w:numPr>
        <w:spacing w:line="360" w:lineRule="auto"/>
        <w:ind w:left="0" w:firstLine="0"/>
        <w:jc w:val="both"/>
        <w:rPr>
          <w:rFonts w:ascii="Palatino Linotype" w:eastAsia="Times New Roman" w:hAnsi="Palatino Linotype" w:cs="Times New Roman"/>
          <w:lang w:eastAsia="es-MX"/>
        </w:rPr>
      </w:pPr>
      <w:r w:rsidRPr="00041EA6">
        <w:rPr>
          <w:rFonts w:ascii="Palatino Linotype" w:eastAsia="Times New Roman" w:hAnsi="Palatino Linotype" w:cs="Times New Roman"/>
          <w:lang w:eastAsia="es-MX"/>
        </w:rPr>
        <w:t xml:space="preserve">Convenios firmados </w:t>
      </w:r>
      <w:r w:rsidR="00D85642" w:rsidRPr="00041EA6">
        <w:rPr>
          <w:rFonts w:ascii="Palatino Linotype" w:eastAsia="Times New Roman" w:hAnsi="Palatino Linotype" w:cs="Times New Roman"/>
          <w:lang w:eastAsia="es-MX"/>
        </w:rPr>
        <w:t>por el Presidente Municipal del uno de enero al veintiuno de abril de dos mil veinticinco.</w:t>
      </w:r>
    </w:p>
    <w:p w14:paraId="686106F7" w14:textId="7A0258B9" w:rsidR="00D85642" w:rsidRPr="00041EA6" w:rsidRDefault="00D85642" w:rsidP="00713E17">
      <w:pPr>
        <w:pStyle w:val="Prrafodelista"/>
        <w:numPr>
          <w:ilvl w:val="0"/>
          <w:numId w:val="4"/>
        </w:numPr>
        <w:spacing w:line="360" w:lineRule="auto"/>
        <w:ind w:left="0" w:firstLine="0"/>
        <w:jc w:val="both"/>
        <w:rPr>
          <w:rFonts w:ascii="Palatino Linotype" w:eastAsia="Times New Roman" w:hAnsi="Palatino Linotype" w:cs="Times New Roman"/>
          <w:lang w:eastAsia="es-MX"/>
        </w:rPr>
      </w:pPr>
      <w:r w:rsidRPr="00041EA6">
        <w:rPr>
          <w:rFonts w:ascii="Palatino Linotype" w:eastAsia="Times New Roman" w:hAnsi="Palatino Linotype" w:cs="Times New Roman"/>
          <w:lang w:eastAsia="es-MX"/>
        </w:rPr>
        <w:t>Reconocimientos recibidos en el Ayuntamiento del uno de enero al veintiuno de abril de dos mil veinticinco.</w:t>
      </w:r>
    </w:p>
    <w:p w14:paraId="3FB9B51B" w14:textId="1A9BDC59" w:rsidR="00D85642" w:rsidRPr="00041EA6" w:rsidRDefault="00D85642" w:rsidP="00617DA2">
      <w:pPr>
        <w:spacing w:line="360" w:lineRule="auto"/>
        <w:jc w:val="both"/>
        <w:rPr>
          <w:rFonts w:ascii="Palatino Linotype" w:eastAsia="Times New Roman" w:hAnsi="Palatino Linotype" w:cs="Times New Roman"/>
          <w:lang w:eastAsia="es-MX"/>
        </w:rPr>
      </w:pPr>
    </w:p>
    <w:p w14:paraId="505A3B6D" w14:textId="2633744B" w:rsidR="000A0A85" w:rsidRPr="00041EA6" w:rsidRDefault="00C77EBA" w:rsidP="00713E17">
      <w:pPr>
        <w:pStyle w:val="Prrafodelista"/>
        <w:numPr>
          <w:ilvl w:val="0"/>
          <w:numId w:val="11"/>
        </w:numPr>
        <w:spacing w:line="360" w:lineRule="auto"/>
        <w:ind w:left="0" w:firstLine="0"/>
        <w:jc w:val="both"/>
        <w:rPr>
          <w:rFonts w:ascii="Palatino Linotype" w:hAnsi="Palatino Linotype" w:cs="Arial"/>
          <w:color w:val="000000" w:themeColor="text1"/>
        </w:rPr>
      </w:pPr>
      <w:r w:rsidRPr="00041EA6">
        <w:rPr>
          <w:rFonts w:ascii="Palatino Linotype" w:hAnsi="Palatino Linotype" w:cs="Arial"/>
          <w:color w:val="000000" w:themeColor="text1"/>
        </w:rPr>
        <w:lastRenderedPageBreak/>
        <w:t>El Sujeto Obligado</w:t>
      </w:r>
      <w:r w:rsidR="008A77C7" w:rsidRPr="00041EA6">
        <w:rPr>
          <w:rFonts w:ascii="Palatino Linotype" w:hAnsi="Palatino Linotype" w:cs="Arial"/>
          <w:color w:val="000000" w:themeColor="text1"/>
        </w:rPr>
        <w:t xml:space="preserve"> entregó</w:t>
      </w:r>
      <w:r w:rsidR="00D85642" w:rsidRPr="00041EA6">
        <w:rPr>
          <w:rFonts w:ascii="Palatino Linotype" w:hAnsi="Palatino Linotype" w:cs="Arial"/>
          <w:color w:val="000000" w:themeColor="text1"/>
        </w:rPr>
        <w:t xml:space="preserve"> diversos convenios y  un reconocimiento, por lo que e</w:t>
      </w:r>
      <w:r w:rsidR="000A0A85" w:rsidRPr="00041EA6">
        <w:rPr>
          <w:rFonts w:ascii="Palatino Linotype" w:eastAsia="Calibri" w:hAnsi="Palatino Linotype" w:cs="Tahoma"/>
          <w:color w:val="000000"/>
          <w:lang w:val="es-ES" w:eastAsia="es-MX"/>
        </w:rPr>
        <w:t xml:space="preserve">l Particular se inconformó </w:t>
      </w:r>
      <w:r w:rsidRPr="00041EA6">
        <w:rPr>
          <w:rFonts w:ascii="Palatino Linotype" w:eastAsia="Calibri" w:hAnsi="Palatino Linotype" w:cs="Tahoma"/>
          <w:color w:val="000000"/>
          <w:lang w:val="es-ES" w:eastAsia="es-MX"/>
        </w:rPr>
        <w:t xml:space="preserve">porque </w:t>
      </w:r>
      <w:r w:rsidR="009A3B2B" w:rsidRPr="00041EA6">
        <w:rPr>
          <w:rFonts w:ascii="Palatino Linotype" w:eastAsia="Calibri" w:hAnsi="Palatino Linotype" w:cs="Tahoma"/>
          <w:color w:val="000000"/>
          <w:lang w:val="es-ES" w:eastAsia="es-MX"/>
        </w:rPr>
        <w:t xml:space="preserve">no </w:t>
      </w:r>
      <w:r w:rsidR="007026EF" w:rsidRPr="00041EA6">
        <w:rPr>
          <w:rFonts w:ascii="Palatino Linotype" w:eastAsia="Calibri" w:hAnsi="Palatino Linotype" w:cs="Tahoma"/>
          <w:color w:val="000000"/>
          <w:lang w:val="es-ES" w:eastAsia="es-MX"/>
        </w:rPr>
        <w:t>se entregó lo que se pidió.</w:t>
      </w:r>
    </w:p>
    <w:p w14:paraId="7BA13BA8" w14:textId="77777777" w:rsidR="00810806" w:rsidRPr="00041EA6" w:rsidRDefault="00810806" w:rsidP="00617DA2">
      <w:pPr>
        <w:pStyle w:val="Prrafodelista"/>
        <w:tabs>
          <w:tab w:val="left" w:pos="426"/>
        </w:tabs>
        <w:spacing w:line="360" w:lineRule="auto"/>
        <w:ind w:left="0"/>
        <w:jc w:val="both"/>
        <w:rPr>
          <w:rFonts w:ascii="Palatino Linotype" w:hAnsi="Palatino Linotype" w:cs="Arial"/>
          <w:color w:val="000000" w:themeColor="text1"/>
        </w:rPr>
      </w:pPr>
    </w:p>
    <w:p w14:paraId="50814FC2" w14:textId="6EE4D245" w:rsidR="00A07098" w:rsidRPr="00713E17" w:rsidRDefault="00A07098" w:rsidP="00713E17">
      <w:pPr>
        <w:pStyle w:val="Prrafodelista"/>
        <w:numPr>
          <w:ilvl w:val="0"/>
          <w:numId w:val="11"/>
        </w:numPr>
        <w:spacing w:line="360" w:lineRule="auto"/>
        <w:ind w:left="0" w:firstLine="0"/>
        <w:jc w:val="both"/>
        <w:rPr>
          <w:rFonts w:ascii="Palatino Linotype" w:eastAsia="Palatino Linotype" w:hAnsi="Palatino Linotype" w:cs="Palatino Linotype"/>
        </w:rPr>
      </w:pPr>
      <w:r w:rsidRPr="00713E17">
        <w:rPr>
          <w:rFonts w:ascii="Palatino Linotype" w:eastAsia="MS Mincho" w:hAnsi="Palatino Linotype" w:cs="Arial"/>
        </w:rPr>
        <w:t xml:space="preserve">En </w:t>
      </w:r>
      <w:r w:rsidRPr="00713E17">
        <w:rPr>
          <w:rFonts w:ascii="Palatino Linotype" w:hAnsi="Palatino Linotype" w:cs="Arial"/>
        </w:rPr>
        <w:t xml:space="preserve">dichas condiciones, la </w:t>
      </w:r>
      <w:r w:rsidRPr="00713E17">
        <w:rPr>
          <w:rFonts w:ascii="Palatino Linotype" w:hAnsi="Palatino Linotype" w:cs="Arial"/>
          <w:i/>
        </w:rPr>
        <w:t>Litis</w:t>
      </w:r>
      <w:r w:rsidRPr="00713E17">
        <w:rPr>
          <w:rFonts w:ascii="Palatino Linotype" w:hAnsi="Palatino Linotype" w:cs="Arial"/>
        </w:rPr>
        <w:t xml:space="preserve"> a resolver en este recurso se circunscribe a determinar si </w:t>
      </w:r>
      <w:r w:rsidRPr="00713E17">
        <w:rPr>
          <w:rFonts w:ascii="Palatino Linotype" w:eastAsia="MS Mincho" w:hAnsi="Palatino Linotype" w:cs="Arial"/>
        </w:rPr>
        <w:t xml:space="preserve">se actualizan las causales de procedencia previstas en el artículo 179, </w:t>
      </w:r>
      <w:r w:rsidRPr="00713E17">
        <w:rPr>
          <w:rFonts w:ascii="Palatino Linotype" w:eastAsia="MS Mincho" w:hAnsi="Palatino Linotype" w:cs="Arial"/>
          <w:b/>
        </w:rPr>
        <w:t xml:space="preserve">fracción V </w:t>
      </w:r>
      <w:r w:rsidRPr="00713E17">
        <w:rPr>
          <w:rFonts w:ascii="Palatino Linotype" w:eastAsia="MS Mincho" w:hAnsi="Palatino Linotype" w:cs="Arial"/>
        </w:rPr>
        <w:t>de la</w:t>
      </w:r>
      <w:r w:rsidRPr="00713E17">
        <w:rPr>
          <w:rFonts w:ascii="Palatino Linotype" w:hAnsi="Palatino Linotype" w:cs="Arial"/>
          <w:color w:val="000000" w:themeColor="text1"/>
        </w:rPr>
        <w:t xml:space="preserve"> Ley</w:t>
      </w:r>
      <w:r w:rsidRPr="00713E17">
        <w:rPr>
          <w:rFonts w:ascii="Palatino Linotype" w:eastAsia="MS Mincho" w:hAnsi="Palatino Linotype" w:cs="Arial"/>
          <w:b/>
        </w:rPr>
        <w:t xml:space="preserve"> de Transparencia y Acceso a la Información Pública del Estado de </w:t>
      </w:r>
      <w:r w:rsidRPr="00713E17">
        <w:rPr>
          <w:rFonts w:ascii="Palatino Linotype" w:hAnsi="Palatino Linotype" w:cs="Arial"/>
        </w:rPr>
        <w:t>México</w:t>
      </w:r>
      <w:r w:rsidRPr="00713E17">
        <w:rPr>
          <w:rFonts w:ascii="Palatino Linotype" w:eastAsia="MS Mincho" w:hAnsi="Palatino Linotype" w:cs="Arial"/>
          <w:b/>
        </w:rPr>
        <w:t xml:space="preserve"> y Municipios</w:t>
      </w:r>
      <w:r w:rsidRPr="00713E17">
        <w:rPr>
          <w:rFonts w:ascii="Palatino Linotype" w:eastAsia="MS Mincho" w:hAnsi="Palatino Linotype" w:cs="Arial"/>
        </w:rPr>
        <w:t xml:space="preserve">; </w:t>
      </w:r>
      <w:r w:rsidRPr="00713E17">
        <w:rPr>
          <w:rFonts w:ascii="Palatino Linotype" w:hAnsi="Palatino Linotype" w:cs="Arial"/>
          <w:color w:val="000000" w:themeColor="text1"/>
        </w:rPr>
        <w:t xml:space="preserve">fracción que determina la hipótesis jurídica relativa a la entrega incompleta por el </w:t>
      </w:r>
      <w:r w:rsidRPr="00713E17">
        <w:rPr>
          <w:rFonts w:ascii="Palatino Linotype" w:hAnsi="Palatino Linotype" w:cs="Arial"/>
          <w:b/>
          <w:color w:val="000000" w:themeColor="text1"/>
        </w:rPr>
        <w:t>SUJETO OBLIGADO</w:t>
      </w:r>
      <w:r w:rsidRPr="00713E17">
        <w:rPr>
          <w:rFonts w:ascii="Palatino Linotype" w:hAnsi="Palatino Linotype" w:cs="Arial"/>
          <w:color w:val="000000" w:themeColor="text1"/>
        </w:rPr>
        <w:t xml:space="preserve"> de la información solicitada; </w:t>
      </w:r>
      <w:r w:rsidRPr="00713E17">
        <w:rPr>
          <w:rFonts w:ascii="Palatino Linotype" w:eastAsia="MS Mincho" w:hAnsi="Palatino Linotype" w:cs="Arial"/>
        </w:rPr>
        <w:t xml:space="preserve">contexto del cual se dolió </w:t>
      </w:r>
      <w:r w:rsidRPr="00713E17">
        <w:rPr>
          <w:rFonts w:ascii="Palatino Linotype" w:eastAsia="MS Mincho" w:hAnsi="Palatino Linotype" w:cs="Arial"/>
          <w:b/>
        </w:rPr>
        <w:t xml:space="preserve">EL RECURRENTE </w:t>
      </w:r>
      <w:r w:rsidRPr="00713E17">
        <w:rPr>
          <w:rFonts w:ascii="Palatino Linotype" w:eastAsia="MS Mincho" w:hAnsi="Palatino Linotype" w:cs="Arial"/>
        </w:rPr>
        <w:t xml:space="preserve">al momento de interponer su inconformidad. </w:t>
      </w:r>
      <w:r w:rsidRPr="00713E17">
        <w:rPr>
          <w:rFonts w:ascii="Palatino Linotype" w:eastAsia="Palatino Linotype" w:hAnsi="Palatino Linotype" w:cs="Palatino Linotype"/>
          <w:color w:val="000000"/>
        </w:rPr>
        <w:t xml:space="preserve">De modo tal que el presente recurso de revisión se </w:t>
      </w:r>
      <w:r w:rsidRPr="00713E17">
        <w:rPr>
          <w:rFonts w:ascii="Palatino Linotype" w:eastAsia="Palatino Linotype" w:hAnsi="Palatino Linotype" w:cs="Palatino Linotype"/>
        </w:rPr>
        <w:t>abocará</w:t>
      </w:r>
      <w:r w:rsidRPr="00713E17">
        <w:rPr>
          <w:rFonts w:ascii="Palatino Linotype" w:eastAsia="Palatino Linotype" w:hAnsi="Palatino Linotype" w:cs="Palatino Linotype"/>
          <w:color w:val="000000"/>
        </w:rPr>
        <w:t xml:space="preserve"> en determinar si el Sujeto Obligado con su respuesta ciertamente actualiza la causal de procedencia</w:t>
      </w:r>
      <w:r w:rsidRPr="00713E17">
        <w:rPr>
          <w:rFonts w:ascii="Palatino Linotype" w:eastAsia="Palatino Linotype" w:hAnsi="Palatino Linotype" w:cs="Palatino Linotype"/>
          <w:b/>
          <w:color w:val="000000"/>
        </w:rPr>
        <w:t xml:space="preserve"> </w:t>
      </w:r>
      <w:r w:rsidRPr="00713E17">
        <w:rPr>
          <w:rFonts w:ascii="Palatino Linotype" w:eastAsia="Palatino Linotype" w:hAnsi="Palatino Linotype" w:cs="Palatino Linotype"/>
          <w:color w:val="000000"/>
        </w:rPr>
        <w:t xml:space="preserve">señalada. </w:t>
      </w:r>
    </w:p>
    <w:p w14:paraId="26AD5E23" w14:textId="77777777" w:rsidR="008E4483" w:rsidRPr="00041EA6" w:rsidRDefault="008E4483" w:rsidP="00617DA2">
      <w:pPr>
        <w:pStyle w:val="Prrafodelista"/>
        <w:ind w:left="0"/>
        <w:rPr>
          <w:rFonts w:ascii="Palatino Linotype" w:hAnsi="Palatino Linotype" w:cs="Arial"/>
          <w:color w:val="000000" w:themeColor="text1"/>
        </w:rPr>
      </w:pPr>
    </w:p>
    <w:p w14:paraId="5CEC2F48" w14:textId="1B05DC04" w:rsidR="00EF014A" w:rsidRPr="00041EA6" w:rsidRDefault="00273D1A" w:rsidP="00617DA2">
      <w:pPr>
        <w:pStyle w:val="Ttulo2"/>
        <w:tabs>
          <w:tab w:val="left" w:pos="426"/>
        </w:tabs>
        <w:rPr>
          <w:rFonts w:ascii="Palatino Linotype" w:hAnsi="Palatino Linotype" w:cs="Arial"/>
          <w:b/>
          <w:color w:val="000000" w:themeColor="text1"/>
          <w:sz w:val="24"/>
          <w:szCs w:val="24"/>
        </w:rPr>
      </w:pPr>
      <w:bookmarkStart w:id="23" w:name="_Toc87456489"/>
      <w:r w:rsidRPr="00041EA6">
        <w:rPr>
          <w:rFonts w:ascii="Palatino Linotype" w:hAnsi="Palatino Linotype" w:cs="Arial"/>
          <w:b/>
          <w:color w:val="000000" w:themeColor="text1"/>
          <w:sz w:val="24"/>
          <w:szCs w:val="24"/>
        </w:rPr>
        <w:t>CUARTO</w:t>
      </w:r>
      <w:r w:rsidR="00EF014A" w:rsidRPr="00041EA6">
        <w:rPr>
          <w:rFonts w:ascii="Palatino Linotype" w:hAnsi="Palatino Linotype" w:cs="Arial"/>
          <w:b/>
          <w:color w:val="000000" w:themeColor="text1"/>
          <w:sz w:val="24"/>
          <w:szCs w:val="24"/>
        </w:rPr>
        <w:t>. Estudio y Resolución del asunto.</w:t>
      </w:r>
      <w:bookmarkEnd w:id="23"/>
    </w:p>
    <w:p w14:paraId="3A7568DA" w14:textId="0E8D7213" w:rsidR="00A07098" w:rsidRPr="00041EA6" w:rsidRDefault="00A07098" w:rsidP="00713E17">
      <w:pPr>
        <w:pStyle w:val="Prrafodelista"/>
        <w:numPr>
          <w:ilvl w:val="0"/>
          <w:numId w:val="11"/>
        </w:numPr>
        <w:spacing w:line="360" w:lineRule="auto"/>
        <w:ind w:left="0" w:firstLine="0"/>
        <w:contextualSpacing w:val="0"/>
        <w:jc w:val="both"/>
        <w:rPr>
          <w:rFonts w:ascii="Palatino Linotype" w:eastAsia="Palatino Linotype" w:hAnsi="Palatino Linotype" w:cs="Palatino Linotype"/>
        </w:rPr>
      </w:pPr>
      <w:bookmarkStart w:id="24" w:name="_Toc466371865"/>
      <w:bookmarkStart w:id="25" w:name="_Toc466377653"/>
      <w:bookmarkEnd w:id="18"/>
      <w:bookmarkEnd w:id="19"/>
      <w:bookmarkEnd w:id="20"/>
      <w:bookmarkEnd w:id="21"/>
      <w:bookmarkEnd w:id="22"/>
      <w:r w:rsidRPr="00041EA6">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45444F95" w14:textId="77777777" w:rsidR="00A07098" w:rsidRPr="00041EA6" w:rsidRDefault="00A07098" w:rsidP="00617DA2">
      <w:pPr>
        <w:jc w:val="both"/>
        <w:rPr>
          <w:rFonts w:ascii="Palatino Linotype" w:eastAsia="Palatino Linotype" w:hAnsi="Palatino Linotype" w:cs="Palatino Linotype"/>
        </w:rPr>
      </w:pPr>
    </w:p>
    <w:p w14:paraId="68ADDF8B" w14:textId="5C630939" w:rsidR="00A07098" w:rsidRPr="00713E17" w:rsidRDefault="00A07098" w:rsidP="00713E17">
      <w:pPr>
        <w:pStyle w:val="Prrafodelista"/>
        <w:numPr>
          <w:ilvl w:val="0"/>
          <w:numId w:val="13"/>
        </w:numPr>
        <w:spacing w:line="360" w:lineRule="auto"/>
        <w:ind w:left="0" w:firstLine="0"/>
        <w:jc w:val="both"/>
        <w:rPr>
          <w:rFonts w:ascii="Palatino Linotype" w:eastAsia="Palatino Linotype" w:hAnsi="Palatino Linotype" w:cs="Palatino Linotype"/>
        </w:rPr>
      </w:pPr>
      <w:r w:rsidRPr="00713E17">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facultades, </w:t>
      </w:r>
      <w:r w:rsidRPr="00713E17">
        <w:rPr>
          <w:rFonts w:ascii="Palatino Linotype" w:eastAsia="Palatino Linotype" w:hAnsi="Palatino Linotype" w:cs="Palatino Linotype"/>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7165BE38" w14:textId="77777777" w:rsidR="00A07098" w:rsidRPr="00041EA6" w:rsidRDefault="00A07098" w:rsidP="00617DA2">
      <w:pPr>
        <w:jc w:val="both"/>
        <w:rPr>
          <w:rFonts w:ascii="Palatino Linotype" w:eastAsia="Palatino Linotype" w:hAnsi="Palatino Linotype" w:cs="Palatino Linotype"/>
        </w:rPr>
      </w:pPr>
    </w:p>
    <w:p w14:paraId="673F6BAB" w14:textId="77777777" w:rsidR="00A07098" w:rsidRPr="00041EA6" w:rsidRDefault="00A07098" w:rsidP="00617DA2">
      <w:pPr>
        <w:numPr>
          <w:ilvl w:val="0"/>
          <w:numId w:val="13"/>
        </w:numPr>
        <w:spacing w:line="360" w:lineRule="auto"/>
        <w:ind w:left="0" w:firstLine="0"/>
        <w:jc w:val="both"/>
        <w:rPr>
          <w:rFonts w:ascii="Palatino Linotype" w:eastAsia="Palatino Linotype" w:hAnsi="Palatino Linotype" w:cs="Palatino Linotype"/>
        </w:rPr>
      </w:pPr>
      <w:r w:rsidRPr="00041EA6">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7126CBF" w14:textId="77777777" w:rsidR="00A07098" w:rsidRPr="00041EA6" w:rsidRDefault="00A07098" w:rsidP="00617DA2">
      <w:pPr>
        <w:jc w:val="both"/>
        <w:rPr>
          <w:rFonts w:ascii="Palatino Linotype" w:eastAsia="Palatino Linotype" w:hAnsi="Palatino Linotype" w:cs="Palatino Linotype"/>
        </w:rPr>
      </w:pPr>
    </w:p>
    <w:p w14:paraId="68E284E5" w14:textId="77777777" w:rsidR="00A07098" w:rsidRPr="00041EA6" w:rsidRDefault="00A07098" w:rsidP="00617DA2">
      <w:pPr>
        <w:numPr>
          <w:ilvl w:val="0"/>
          <w:numId w:val="13"/>
        </w:numPr>
        <w:spacing w:line="360" w:lineRule="auto"/>
        <w:ind w:left="0" w:firstLine="0"/>
        <w:jc w:val="both"/>
        <w:rPr>
          <w:rFonts w:ascii="Palatino Linotype" w:eastAsia="Palatino Linotype" w:hAnsi="Palatino Linotype" w:cs="Palatino Linotype"/>
        </w:rPr>
      </w:pPr>
      <w:bookmarkStart w:id="26" w:name="_heading=h.4d34og8" w:colFirst="0" w:colLast="0"/>
      <w:bookmarkEnd w:id="26"/>
      <w:r w:rsidRPr="00041EA6">
        <w:rPr>
          <w:rFonts w:ascii="Palatino Linotype" w:eastAsia="Palatino Linotype" w:hAnsi="Palatino Linotype" w:cs="Palatino Linotype"/>
        </w:rPr>
        <w:t xml:space="preserve">Así entonces, se procede analizar, en primer lugar, si el </w:t>
      </w:r>
      <w:r w:rsidRPr="00041EA6">
        <w:rPr>
          <w:rFonts w:ascii="Palatino Linotype" w:eastAsia="Palatino Linotype" w:hAnsi="Palatino Linotype" w:cs="Palatino Linotype"/>
          <w:b/>
        </w:rPr>
        <w:t>SUJETO OBLIGADO</w:t>
      </w:r>
      <w:r w:rsidRPr="00041EA6">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3D1683B7" w14:textId="77777777" w:rsidR="00A07098" w:rsidRPr="00041EA6" w:rsidRDefault="00A07098" w:rsidP="00617DA2">
      <w:pPr>
        <w:spacing w:line="360" w:lineRule="auto"/>
        <w:jc w:val="both"/>
        <w:rPr>
          <w:rFonts w:ascii="Palatino Linotype" w:eastAsia="Palatino Linotype" w:hAnsi="Palatino Linotype" w:cs="Palatino Linotype"/>
        </w:rPr>
      </w:pPr>
    </w:p>
    <w:p w14:paraId="107DDDF0" w14:textId="77777777" w:rsidR="00A07098" w:rsidRPr="00041EA6" w:rsidRDefault="00A07098" w:rsidP="00617DA2">
      <w:pPr>
        <w:keepNext/>
        <w:keepLines/>
        <w:spacing w:line="240" w:lineRule="atLeast"/>
        <w:rPr>
          <w:rFonts w:ascii="Palatino Linotype" w:eastAsia="Palatino Linotype" w:hAnsi="Palatino Linotype" w:cs="Palatino Linotype"/>
          <w:b/>
        </w:rPr>
      </w:pPr>
      <w:r w:rsidRPr="00041EA6">
        <w:rPr>
          <w:rFonts w:ascii="Palatino Linotype" w:eastAsia="Palatino Linotype" w:hAnsi="Palatino Linotype" w:cs="Palatino Linotype"/>
          <w:b/>
        </w:rPr>
        <w:t>De la información solicitada y la respuesta del SUJETO OBLIGADO</w:t>
      </w:r>
    </w:p>
    <w:p w14:paraId="02DB4D76" w14:textId="57B92916" w:rsidR="007026EF" w:rsidRPr="00041EA6" w:rsidRDefault="00AB105D" w:rsidP="00713E17">
      <w:pPr>
        <w:pStyle w:val="Prrafodelista"/>
        <w:numPr>
          <w:ilvl w:val="0"/>
          <w:numId w:val="13"/>
        </w:numPr>
        <w:spacing w:line="360" w:lineRule="auto"/>
        <w:ind w:left="0" w:firstLine="0"/>
        <w:jc w:val="both"/>
        <w:rPr>
          <w:rFonts w:ascii="Palatino Linotype" w:eastAsia="Calibri" w:hAnsi="Palatino Linotype" w:cs="Arial"/>
        </w:rPr>
      </w:pPr>
      <w:r w:rsidRPr="00041EA6">
        <w:rPr>
          <w:rFonts w:ascii="Palatino Linotype" w:eastAsia="Calibri" w:hAnsi="Palatino Linotype" w:cs="Arial"/>
        </w:rPr>
        <w:t>El Sujeto Obligado a través de su respuesta remitió una serie de documentos que, para una mejor referencia se inserta su contenido medular en el siguiente recuadro:</w:t>
      </w:r>
    </w:p>
    <w:p w14:paraId="69FFDFA4" w14:textId="54890FBF" w:rsidR="007026EF" w:rsidRPr="00041EA6" w:rsidRDefault="007026EF" w:rsidP="00617DA2">
      <w:pPr>
        <w:pStyle w:val="Prrafodelista"/>
        <w:tabs>
          <w:tab w:val="left" w:pos="567"/>
        </w:tabs>
        <w:spacing w:line="360" w:lineRule="auto"/>
        <w:ind w:left="0"/>
        <w:jc w:val="both"/>
        <w:rPr>
          <w:rFonts w:ascii="Palatino Linotype" w:eastAsia="Calibri" w:hAnsi="Palatino Linotype" w:cs="Arial"/>
        </w:rPr>
      </w:pPr>
    </w:p>
    <w:tbl>
      <w:tblPr>
        <w:tblStyle w:val="Tablaconcuadrcula"/>
        <w:tblW w:w="9634" w:type="dxa"/>
        <w:tblLayout w:type="fixed"/>
        <w:tblLook w:val="04A0" w:firstRow="1" w:lastRow="0" w:firstColumn="1" w:lastColumn="0" w:noHBand="0" w:noVBand="1"/>
      </w:tblPr>
      <w:tblGrid>
        <w:gridCol w:w="3823"/>
        <w:gridCol w:w="2835"/>
        <w:gridCol w:w="2976"/>
      </w:tblGrid>
      <w:tr w:rsidR="00A07098" w:rsidRPr="00041EA6" w14:paraId="3EC79026" w14:textId="77777777" w:rsidTr="00713E17">
        <w:tc>
          <w:tcPr>
            <w:tcW w:w="3823" w:type="dxa"/>
            <w:shd w:val="clear" w:color="auto" w:fill="D9D9D9" w:themeFill="background1" w:themeFillShade="D9"/>
          </w:tcPr>
          <w:p w14:paraId="77A47A73" w14:textId="1C82F0FC" w:rsidR="00A07098" w:rsidRPr="00041EA6" w:rsidRDefault="00A07098" w:rsidP="00617DA2">
            <w:pPr>
              <w:tabs>
                <w:tab w:val="left" w:pos="567"/>
              </w:tabs>
              <w:spacing w:line="360" w:lineRule="auto"/>
              <w:jc w:val="both"/>
              <w:rPr>
                <w:rFonts w:ascii="Palatino Linotype" w:eastAsia="Calibri" w:hAnsi="Palatino Linotype" w:cs="Arial"/>
                <w:b/>
              </w:rPr>
            </w:pPr>
            <w:r w:rsidRPr="00041EA6">
              <w:rPr>
                <w:rFonts w:ascii="Palatino Linotype" w:eastAsia="Calibri" w:hAnsi="Palatino Linotype" w:cs="Arial"/>
                <w:b/>
              </w:rPr>
              <w:lastRenderedPageBreak/>
              <w:t>DOCUMENTO</w:t>
            </w:r>
          </w:p>
        </w:tc>
        <w:tc>
          <w:tcPr>
            <w:tcW w:w="2835" w:type="dxa"/>
            <w:shd w:val="clear" w:color="auto" w:fill="D9D9D9" w:themeFill="background1" w:themeFillShade="D9"/>
          </w:tcPr>
          <w:p w14:paraId="4B6DCC82" w14:textId="44A5B54F" w:rsidR="00A07098" w:rsidRPr="00041EA6" w:rsidRDefault="00A07098" w:rsidP="00617DA2">
            <w:pPr>
              <w:pStyle w:val="Prrafodelista"/>
              <w:tabs>
                <w:tab w:val="left" w:pos="567"/>
              </w:tabs>
              <w:spacing w:line="360" w:lineRule="auto"/>
              <w:ind w:left="0"/>
              <w:jc w:val="both"/>
              <w:rPr>
                <w:rFonts w:ascii="Palatino Linotype" w:eastAsia="Calibri" w:hAnsi="Palatino Linotype" w:cs="Arial"/>
                <w:b/>
              </w:rPr>
            </w:pPr>
            <w:r w:rsidRPr="00041EA6">
              <w:rPr>
                <w:rFonts w:ascii="Palatino Linotype" w:eastAsia="Calibri" w:hAnsi="Palatino Linotype" w:cs="Arial"/>
                <w:b/>
              </w:rPr>
              <w:t>RESPUESTA</w:t>
            </w:r>
          </w:p>
        </w:tc>
        <w:tc>
          <w:tcPr>
            <w:tcW w:w="2976" w:type="dxa"/>
            <w:shd w:val="clear" w:color="auto" w:fill="D9D9D9" w:themeFill="background1" w:themeFillShade="D9"/>
          </w:tcPr>
          <w:p w14:paraId="4E4B6DFE" w14:textId="278CF363" w:rsidR="00A07098" w:rsidRPr="00041EA6" w:rsidRDefault="00A07098" w:rsidP="00617DA2">
            <w:pPr>
              <w:pStyle w:val="Prrafodelista"/>
              <w:tabs>
                <w:tab w:val="left" w:pos="567"/>
              </w:tabs>
              <w:spacing w:line="360" w:lineRule="auto"/>
              <w:ind w:left="0"/>
              <w:jc w:val="both"/>
              <w:rPr>
                <w:rFonts w:ascii="Palatino Linotype" w:eastAsia="Calibri" w:hAnsi="Palatino Linotype" w:cs="Arial"/>
                <w:b/>
              </w:rPr>
            </w:pPr>
            <w:r w:rsidRPr="00041EA6">
              <w:rPr>
                <w:rFonts w:ascii="Palatino Linotype" w:eastAsia="Calibri" w:hAnsi="Palatino Linotype" w:cs="Arial"/>
                <w:b/>
              </w:rPr>
              <w:t>CUMPLIMIENTO</w:t>
            </w:r>
          </w:p>
        </w:tc>
      </w:tr>
      <w:tr w:rsidR="00A07098" w:rsidRPr="00041EA6" w14:paraId="52696694" w14:textId="77777777" w:rsidTr="00713E17">
        <w:tc>
          <w:tcPr>
            <w:tcW w:w="3823" w:type="dxa"/>
            <w:vAlign w:val="center"/>
          </w:tcPr>
          <w:p w14:paraId="5C1505CE" w14:textId="77777777" w:rsidR="00A07098" w:rsidRPr="00041EA6" w:rsidRDefault="00C3095F" w:rsidP="00617DA2">
            <w:pPr>
              <w:tabs>
                <w:tab w:val="left" w:pos="284"/>
                <w:tab w:val="left" w:pos="426"/>
              </w:tabs>
              <w:spacing w:line="360" w:lineRule="auto"/>
              <w:rPr>
                <w:rFonts w:ascii="Palatino Linotype" w:hAnsi="Palatino Linotype"/>
                <w:b/>
                <w:i/>
              </w:rPr>
            </w:pPr>
            <w:hyperlink r:id="rId13" w:tgtFrame="_blank" w:history="1">
              <w:r w:rsidR="00A07098" w:rsidRPr="00041EA6">
                <w:rPr>
                  <w:rStyle w:val="Hipervnculo"/>
                  <w:rFonts w:ascii="Palatino Linotype" w:hAnsi="Palatino Linotype" w:cs="Arial"/>
                  <w:b/>
                  <w:bCs/>
                  <w:color w:val="auto"/>
                  <w:u w:val="none"/>
                </w:rPr>
                <w:t>Sol-2311.pdf</w:t>
              </w:r>
            </w:hyperlink>
          </w:p>
          <w:p w14:paraId="54CF973F" w14:textId="774CE5B3" w:rsidR="00A07098" w:rsidRPr="00041EA6" w:rsidRDefault="00A07098" w:rsidP="00617DA2">
            <w:pPr>
              <w:pStyle w:val="Prrafodelista"/>
              <w:tabs>
                <w:tab w:val="left" w:pos="29"/>
              </w:tabs>
              <w:spacing w:line="360" w:lineRule="auto"/>
              <w:ind w:left="0"/>
              <w:rPr>
                <w:rFonts w:ascii="Palatino Linotype" w:eastAsia="Calibri" w:hAnsi="Palatino Linotype" w:cs="Arial"/>
              </w:rPr>
            </w:pPr>
          </w:p>
        </w:tc>
        <w:tc>
          <w:tcPr>
            <w:tcW w:w="2835" w:type="dxa"/>
          </w:tcPr>
          <w:p w14:paraId="43C5E09E" w14:textId="05CA5246" w:rsidR="00A07098" w:rsidRPr="00041EA6" w:rsidRDefault="00A07098" w:rsidP="00617DA2">
            <w:pPr>
              <w:pStyle w:val="Prrafodelista"/>
              <w:tabs>
                <w:tab w:val="left" w:pos="567"/>
              </w:tabs>
              <w:spacing w:line="360" w:lineRule="auto"/>
              <w:ind w:left="0"/>
              <w:jc w:val="both"/>
              <w:rPr>
                <w:rFonts w:ascii="Palatino Linotype" w:eastAsia="Calibri" w:hAnsi="Palatino Linotype" w:cs="Arial"/>
              </w:rPr>
            </w:pPr>
            <w:r w:rsidRPr="00041EA6">
              <w:rPr>
                <w:rFonts w:ascii="Palatino Linotype" w:eastAsia="Calibri" w:hAnsi="Palatino Linotype" w:cs="Arial"/>
              </w:rPr>
              <w:t xml:space="preserve">Coordinador de Estudios y Reglamentación Municipal presenta un listado de </w:t>
            </w:r>
            <w:r w:rsidRPr="00041EA6">
              <w:rPr>
                <w:rFonts w:ascii="Palatino Linotype" w:eastAsia="Calibri" w:hAnsi="Palatino Linotype" w:cs="Arial"/>
                <w:b/>
              </w:rPr>
              <w:t>doce</w:t>
            </w:r>
            <w:r w:rsidRPr="00041EA6">
              <w:rPr>
                <w:rFonts w:ascii="Palatino Linotype" w:eastAsia="Calibri" w:hAnsi="Palatino Linotype" w:cs="Arial"/>
              </w:rPr>
              <w:t xml:space="preserve"> convenios </w:t>
            </w:r>
            <w:r w:rsidR="00BE5328" w:rsidRPr="00041EA6">
              <w:rPr>
                <w:rFonts w:ascii="Palatino Linotype" w:eastAsia="Calibri" w:hAnsi="Palatino Linotype" w:cs="Arial"/>
              </w:rPr>
              <w:t>firmados por el Presidente Municipal del uno de enero de dos mil veinticinco a la fecha de la solicitud.</w:t>
            </w:r>
          </w:p>
        </w:tc>
        <w:tc>
          <w:tcPr>
            <w:tcW w:w="2976" w:type="dxa"/>
            <w:vAlign w:val="center"/>
          </w:tcPr>
          <w:p w14:paraId="0DACC9A6" w14:textId="77777777" w:rsidR="00A07098" w:rsidRPr="00041EA6" w:rsidRDefault="00BE5328" w:rsidP="00617DA2">
            <w:pPr>
              <w:pStyle w:val="Prrafodelista"/>
              <w:tabs>
                <w:tab w:val="left" w:pos="567"/>
              </w:tabs>
              <w:spacing w:line="360" w:lineRule="auto"/>
              <w:ind w:left="0"/>
              <w:jc w:val="center"/>
              <w:rPr>
                <w:rFonts w:ascii="Palatino Linotype" w:eastAsia="Calibri" w:hAnsi="Palatino Linotype" w:cs="Arial"/>
              </w:rPr>
            </w:pPr>
            <w:r w:rsidRPr="00041EA6">
              <w:rPr>
                <w:rFonts w:ascii="Palatino Linotype" w:eastAsia="Calibri" w:hAnsi="Palatino Linotype" w:cs="Arial"/>
              </w:rPr>
              <w:t>PARCIALMENTE</w:t>
            </w:r>
          </w:p>
          <w:p w14:paraId="1946F673" w14:textId="695F7232" w:rsidR="00BE5328" w:rsidRPr="00041EA6" w:rsidRDefault="00BE5328" w:rsidP="00617DA2">
            <w:pPr>
              <w:pStyle w:val="Prrafodelista"/>
              <w:tabs>
                <w:tab w:val="left" w:pos="567"/>
              </w:tabs>
              <w:spacing w:line="360" w:lineRule="auto"/>
              <w:ind w:left="0"/>
              <w:jc w:val="center"/>
              <w:rPr>
                <w:rFonts w:ascii="Palatino Linotype" w:eastAsia="Calibri" w:hAnsi="Palatino Linotype" w:cs="Arial"/>
              </w:rPr>
            </w:pPr>
          </w:p>
        </w:tc>
      </w:tr>
      <w:tr w:rsidR="00A07098" w:rsidRPr="00041EA6" w14:paraId="675DE27C" w14:textId="77777777" w:rsidTr="00713E17">
        <w:tc>
          <w:tcPr>
            <w:tcW w:w="3823" w:type="dxa"/>
            <w:vAlign w:val="center"/>
          </w:tcPr>
          <w:p w14:paraId="60C5FD66" w14:textId="77777777" w:rsidR="00A07098" w:rsidRPr="00041EA6" w:rsidRDefault="00C3095F" w:rsidP="00617DA2">
            <w:pPr>
              <w:tabs>
                <w:tab w:val="left" w:pos="284"/>
                <w:tab w:val="left" w:pos="426"/>
              </w:tabs>
              <w:spacing w:line="360" w:lineRule="auto"/>
              <w:rPr>
                <w:rFonts w:ascii="Palatino Linotype" w:hAnsi="Palatino Linotype"/>
                <w:b/>
                <w:i/>
              </w:rPr>
            </w:pPr>
            <w:hyperlink r:id="rId14" w:tgtFrame="_blank" w:history="1">
              <w:r w:rsidR="00A07098" w:rsidRPr="00041EA6">
                <w:rPr>
                  <w:rStyle w:val="Hipervnculo"/>
                  <w:rFonts w:ascii="Palatino Linotype" w:hAnsi="Palatino Linotype" w:cs="Arial"/>
                  <w:b/>
                  <w:bCs/>
                  <w:color w:val="auto"/>
                  <w:u w:val="none"/>
                </w:rPr>
                <w:t>SA anexo SAIMEX 2311.pdf</w:t>
              </w:r>
            </w:hyperlink>
          </w:p>
          <w:p w14:paraId="4268B13E" w14:textId="6D18857D" w:rsidR="00A07098" w:rsidRPr="00041EA6" w:rsidRDefault="00A07098" w:rsidP="00617DA2">
            <w:pPr>
              <w:pStyle w:val="Prrafodelista"/>
              <w:tabs>
                <w:tab w:val="left" w:pos="567"/>
              </w:tabs>
              <w:spacing w:line="360" w:lineRule="auto"/>
              <w:ind w:left="0"/>
              <w:rPr>
                <w:rFonts w:ascii="Palatino Linotype" w:eastAsia="Calibri" w:hAnsi="Palatino Linotype" w:cs="Arial"/>
              </w:rPr>
            </w:pPr>
          </w:p>
        </w:tc>
        <w:tc>
          <w:tcPr>
            <w:tcW w:w="2835" w:type="dxa"/>
          </w:tcPr>
          <w:p w14:paraId="1E4733F2" w14:textId="7081977A" w:rsidR="00BE5328" w:rsidRPr="00041EA6" w:rsidRDefault="00BE5328" w:rsidP="00617DA2">
            <w:pPr>
              <w:tabs>
                <w:tab w:val="left" w:pos="284"/>
                <w:tab w:val="left" w:pos="426"/>
              </w:tabs>
              <w:spacing w:line="360" w:lineRule="auto"/>
              <w:rPr>
                <w:rFonts w:ascii="Palatino Linotype" w:hAnsi="Palatino Linotype"/>
                <w:b/>
                <w:i/>
              </w:rPr>
            </w:pPr>
            <w:r w:rsidRPr="00041EA6">
              <w:rPr>
                <w:rFonts w:ascii="Palatino Linotype" w:eastAsia="Calibri" w:hAnsi="Palatino Linotype" w:cs="Arial"/>
              </w:rPr>
              <w:t xml:space="preserve">Presenta copias de once de los doce convenios señalados en el listado presentado en el archivo </w:t>
            </w:r>
            <w:hyperlink r:id="rId15" w:tgtFrame="_blank" w:history="1">
              <w:r w:rsidRPr="00041EA6">
                <w:rPr>
                  <w:rStyle w:val="Hipervnculo"/>
                  <w:rFonts w:ascii="Palatino Linotype" w:hAnsi="Palatino Linotype" w:cs="Arial"/>
                  <w:b/>
                  <w:bCs/>
                  <w:color w:val="auto"/>
                  <w:u w:val="none"/>
                </w:rPr>
                <w:t>Sol-2311.pdf</w:t>
              </w:r>
            </w:hyperlink>
          </w:p>
          <w:p w14:paraId="4A0200F4" w14:textId="275FB8F4" w:rsidR="00A07098" w:rsidRPr="00041EA6" w:rsidRDefault="00A07098" w:rsidP="00617DA2">
            <w:pPr>
              <w:pStyle w:val="Prrafodelista"/>
              <w:tabs>
                <w:tab w:val="left" w:pos="567"/>
              </w:tabs>
              <w:spacing w:line="360" w:lineRule="auto"/>
              <w:ind w:left="0"/>
              <w:jc w:val="both"/>
              <w:rPr>
                <w:rFonts w:ascii="Palatino Linotype" w:eastAsia="Calibri" w:hAnsi="Palatino Linotype" w:cs="Arial"/>
              </w:rPr>
            </w:pPr>
          </w:p>
        </w:tc>
        <w:tc>
          <w:tcPr>
            <w:tcW w:w="2976" w:type="dxa"/>
            <w:vAlign w:val="center"/>
          </w:tcPr>
          <w:p w14:paraId="40D04E9C" w14:textId="77777777" w:rsidR="00A07098" w:rsidRPr="00041EA6" w:rsidRDefault="00BE5328" w:rsidP="00617DA2">
            <w:pPr>
              <w:pStyle w:val="Prrafodelista"/>
              <w:tabs>
                <w:tab w:val="left" w:pos="567"/>
              </w:tabs>
              <w:spacing w:line="360" w:lineRule="auto"/>
              <w:ind w:left="0"/>
              <w:jc w:val="both"/>
              <w:rPr>
                <w:rFonts w:ascii="Palatino Linotype" w:eastAsia="Calibri" w:hAnsi="Palatino Linotype" w:cs="Arial"/>
              </w:rPr>
            </w:pPr>
            <w:r w:rsidRPr="00041EA6">
              <w:rPr>
                <w:rFonts w:ascii="Palatino Linotype" w:eastAsia="Calibri" w:hAnsi="Palatino Linotype" w:cs="Arial"/>
              </w:rPr>
              <w:t>PARCIALMENTE</w:t>
            </w:r>
          </w:p>
          <w:p w14:paraId="49EB6A68" w14:textId="7AA1185B" w:rsidR="00BE5328" w:rsidRPr="00041EA6" w:rsidRDefault="00BE5328" w:rsidP="00617DA2">
            <w:pPr>
              <w:pStyle w:val="Prrafodelista"/>
              <w:tabs>
                <w:tab w:val="left" w:pos="567"/>
              </w:tabs>
              <w:spacing w:line="360" w:lineRule="auto"/>
              <w:ind w:left="0"/>
              <w:jc w:val="center"/>
              <w:rPr>
                <w:rFonts w:ascii="Palatino Linotype" w:eastAsia="Calibri" w:hAnsi="Palatino Linotype" w:cs="Arial"/>
                <w:i/>
              </w:rPr>
            </w:pPr>
            <w:r w:rsidRPr="00041EA6">
              <w:rPr>
                <w:rFonts w:ascii="Palatino Linotype" w:eastAsia="Calibri" w:hAnsi="Palatino Linotype" w:cs="Arial"/>
                <w:i/>
              </w:rPr>
              <w:t xml:space="preserve">Falta convenio suscrito con la UAEMex, </w:t>
            </w:r>
            <w:r w:rsidR="005C0606" w:rsidRPr="00041EA6">
              <w:rPr>
                <w:rFonts w:ascii="Palatino Linotype" w:eastAsia="Calibri" w:hAnsi="Palatino Linotype" w:cs="Arial"/>
                <w:i/>
              </w:rPr>
              <w:t>además testa</w:t>
            </w:r>
            <w:r w:rsidRPr="00041EA6">
              <w:rPr>
                <w:rFonts w:ascii="Palatino Linotype" w:eastAsia="Calibri" w:hAnsi="Palatino Linotype" w:cs="Arial"/>
                <w:i/>
              </w:rPr>
              <w:t xml:space="preserve"> información de algunos apoderados legales</w:t>
            </w:r>
          </w:p>
        </w:tc>
      </w:tr>
      <w:tr w:rsidR="00A07098" w:rsidRPr="00041EA6" w14:paraId="00B399F9" w14:textId="77777777" w:rsidTr="00713E17">
        <w:tc>
          <w:tcPr>
            <w:tcW w:w="3823" w:type="dxa"/>
            <w:vAlign w:val="center"/>
          </w:tcPr>
          <w:p w14:paraId="56258A0B" w14:textId="77777777" w:rsidR="00A07098" w:rsidRPr="00041EA6" w:rsidRDefault="00C3095F" w:rsidP="00617DA2">
            <w:pPr>
              <w:tabs>
                <w:tab w:val="left" w:pos="284"/>
                <w:tab w:val="left" w:pos="426"/>
              </w:tabs>
              <w:spacing w:line="360" w:lineRule="auto"/>
              <w:rPr>
                <w:rFonts w:ascii="Palatino Linotype" w:hAnsi="Palatino Linotype"/>
                <w:b/>
                <w:i/>
              </w:rPr>
            </w:pPr>
            <w:hyperlink r:id="rId16" w:tgtFrame="_blank" w:history="1">
              <w:r w:rsidR="00A07098" w:rsidRPr="00041EA6">
                <w:rPr>
                  <w:rStyle w:val="Hipervnculo"/>
                  <w:rFonts w:ascii="Palatino Linotype" w:hAnsi="Palatino Linotype" w:cs="Arial"/>
                  <w:b/>
                  <w:bCs/>
                  <w:color w:val="auto"/>
                  <w:u w:val="none"/>
                </w:rPr>
                <w:t>Resp_Oficio_1556_Solic_02311.pdf</w:t>
              </w:r>
            </w:hyperlink>
          </w:p>
          <w:p w14:paraId="3BF2F0B6" w14:textId="1986743A" w:rsidR="00A07098" w:rsidRPr="00041EA6" w:rsidRDefault="00A07098" w:rsidP="00617DA2">
            <w:pPr>
              <w:pStyle w:val="Prrafodelista"/>
              <w:tabs>
                <w:tab w:val="left" w:pos="567"/>
              </w:tabs>
              <w:spacing w:line="360" w:lineRule="auto"/>
              <w:ind w:left="0"/>
              <w:rPr>
                <w:rFonts w:ascii="Palatino Linotype" w:eastAsia="Calibri" w:hAnsi="Palatino Linotype" w:cs="Arial"/>
              </w:rPr>
            </w:pPr>
          </w:p>
        </w:tc>
        <w:tc>
          <w:tcPr>
            <w:tcW w:w="2835" w:type="dxa"/>
          </w:tcPr>
          <w:p w14:paraId="370B17CD" w14:textId="57606E40" w:rsidR="00A07098" w:rsidRPr="00041EA6" w:rsidRDefault="00BE5328" w:rsidP="00617DA2">
            <w:pPr>
              <w:pStyle w:val="Prrafodelista"/>
              <w:tabs>
                <w:tab w:val="left" w:pos="567"/>
              </w:tabs>
              <w:spacing w:line="360" w:lineRule="auto"/>
              <w:ind w:left="0"/>
              <w:jc w:val="both"/>
              <w:rPr>
                <w:rFonts w:ascii="Palatino Linotype" w:eastAsia="Calibri" w:hAnsi="Palatino Linotype" w:cs="Arial"/>
              </w:rPr>
            </w:pPr>
            <w:r w:rsidRPr="00041EA6">
              <w:rPr>
                <w:rFonts w:ascii="Palatino Linotype" w:eastAsia="Calibri" w:hAnsi="Palatino Linotype" w:cs="Arial"/>
              </w:rPr>
              <w:t xml:space="preserve">Oficio suscrito por Secretario </w:t>
            </w:r>
            <w:r w:rsidRPr="00041EA6">
              <w:rPr>
                <w:rFonts w:ascii="Palatino Linotype" w:eastAsia="Calibri" w:hAnsi="Palatino Linotype" w:cs="Arial"/>
                <w:i/>
              </w:rPr>
              <w:t xml:space="preserve">Particular de la Presidencia en el que señala que después de una búsqueda exhaustiva no encontró información </w:t>
            </w:r>
            <w:r w:rsidRPr="00041EA6">
              <w:rPr>
                <w:rFonts w:ascii="Palatino Linotype" w:eastAsia="Calibri" w:hAnsi="Palatino Linotype" w:cs="Arial"/>
                <w:i/>
              </w:rPr>
              <w:lastRenderedPageBreak/>
              <w:t>relacionada a la solicitud de información.</w:t>
            </w:r>
          </w:p>
        </w:tc>
        <w:tc>
          <w:tcPr>
            <w:tcW w:w="2976" w:type="dxa"/>
            <w:vAlign w:val="center"/>
          </w:tcPr>
          <w:p w14:paraId="3F9CE2BF" w14:textId="67158630" w:rsidR="00A07098" w:rsidRPr="00041EA6" w:rsidRDefault="003821A4" w:rsidP="00617DA2">
            <w:pPr>
              <w:pStyle w:val="Prrafodelista"/>
              <w:tabs>
                <w:tab w:val="left" w:pos="567"/>
              </w:tabs>
              <w:spacing w:line="360" w:lineRule="auto"/>
              <w:ind w:left="0"/>
              <w:jc w:val="center"/>
              <w:rPr>
                <w:rFonts w:ascii="Palatino Linotype" w:eastAsia="Calibri" w:hAnsi="Palatino Linotype" w:cs="Arial"/>
              </w:rPr>
            </w:pPr>
            <w:r w:rsidRPr="00041EA6">
              <w:rPr>
                <w:rFonts w:ascii="Palatino Linotype" w:eastAsia="Calibri" w:hAnsi="Palatino Linotype" w:cs="Arial"/>
              </w:rPr>
              <w:lastRenderedPageBreak/>
              <w:t>COLMA</w:t>
            </w:r>
          </w:p>
        </w:tc>
      </w:tr>
      <w:tr w:rsidR="00A07098" w:rsidRPr="00041EA6" w14:paraId="3DB09C70" w14:textId="77777777" w:rsidTr="00713E17">
        <w:tc>
          <w:tcPr>
            <w:tcW w:w="3823" w:type="dxa"/>
            <w:vAlign w:val="center"/>
          </w:tcPr>
          <w:p w14:paraId="1601EEB9" w14:textId="77777777" w:rsidR="00A07098" w:rsidRPr="00041EA6" w:rsidRDefault="00C3095F" w:rsidP="00617DA2">
            <w:pPr>
              <w:tabs>
                <w:tab w:val="left" w:pos="360"/>
                <w:tab w:val="left" w:pos="426"/>
              </w:tabs>
              <w:spacing w:line="360" w:lineRule="auto"/>
              <w:rPr>
                <w:rFonts w:ascii="Palatino Linotype" w:hAnsi="Palatino Linotype"/>
                <w:b/>
                <w:i/>
              </w:rPr>
            </w:pPr>
            <w:hyperlink r:id="rId17" w:tgtFrame="_blank" w:history="1">
              <w:r w:rsidR="00A07098" w:rsidRPr="00041EA6">
                <w:rPr>
                  <w:rStyle w:val="Hipervnculo"/>
                  <w:rFonts w:ascii="Palatino Linotype" w:hAnsi="Palatino Linotype" w:cs="Arial"/>
                  <w:b/>
                  <w:bCs/>
                  <w:color w:val="auto"/>
                  <w:u w:val="none"/>
                </w:rPr>
                <w:t>Reconocimiento PM.pdf</w:t>
              </w:r>
            </w:hyperlink>
          </w:p>
          <w:p w14:paraId="6BEB290D" w14:textId="36167136" w:rsidR="00A07098" w:rsidRPr="00041EA6" w:rsidRDefault="00A07098" w:rsidP="00617DA2">
            <w:pPr>
              <w:pStyle w:val="Prrafodelista"/>
              <w:tabs>
                <w:tab w:val="left" w:pos="567"/>
              </w:tabs>
              <w:spacing w:line="360" w:lineRule="auto"/>
              <w:ind w:left="0"/>
              <w:rPr>
                <w:rFonts w:ascii="Palatino Linotype" w:eastAsia="Calibri" w:hAnsi="Palatino Linotype" w:cs="Arial"/>
              </w:rPr>
            </w:pPr>
          </w:p>
        </w:tc>
        <w:tc>
          <w:tcPr>
            <w:tcW w:w="2835" w:type="dxa"/>
          </w:tcPr>
          <w:p w14:paraId="358C3193" w14:textId="6243AFD5" w:rsidR="00A07098" w:rsidRPr="00041EA6" w:rsidRDefault="003821A4" w:rsidP="00617DA2">
            <w:pPr>
              <w:pStyle w:val="Prrafodelista"/>
              <w:tabs>
                <w:tab w:val="left" w:pos="567"/>
              </w:tabs>
              <w:spacing w:line="360" w:lineRule="auto"/>
              <w:ind w:left="0"/>
              <w:jc w:val="both"/>
              <w:rPr>
                <w:rFonts w:ascii="Palatino Linotype" w:eastAsia="Calibri" w:hAnsi="Palatino Linotype" w:cs="Arial"/>
                <w:i/>
              </w:rPr>
            </w:pPr>
            <w:r w:rsidRPr="00041EA6">
              <w:rPr>
                <w:rFonts w:ascii="Palatino Linotype" w:eastAsia="Calibri" w:hAnsi="Palatino Linotype" w:cs="Arial"/>
                <w:i/>
              </w:rPr>
              <w:t>Contiene copia del reconocimiento emitido por la Comisión de Derechos Humanos del Estado de México.</w:t>
            </w:r>
          </w:p>
        </w:tc>
        <w:tc>
          <w:tcPr>
            <w:tcW w:w="2976" w:type="dxa"/>
            <w:vAlign w:val="center"/>
          </w:tcPr>
          <w:p w14:paraId="5E56A97A" w14:textId="14DAEC46" w:rsidR="00A07098" w:rsidRPr="00041EA6" w:rsidRDefault="003821A4" w:rsidP="00617DA2">
            <w:pPr>
              <w:pStyle w:val="Prrafodelista"/>
              <w:tabs>
                <w:tab w:val="left" w:pos="567"/>
              </w:tabs>
              <w:spacing w:line="360" w:lineRule="auto"/>
              <w:ind w:left="0"/>
              <w:jc w:val="center"/>
              <w:rPr>
                <w:rFonts w:ascii="Palatino Linotype" w:eastAsia="Calibri" w:hAnsi="Palatino Linotype" w:cs="Arial"/>
              </w:rPr>
            </w:pPr>
            <w:r w:rsidRPr="00041EA6">
              <w:rPr>
                <w:rFonts w:ascii="Palatino Linotype" w:eastAsia="Calibri" w:hAnsi="Palatino Linotype" w:cs="Arial"/>
              </w:rPr>
              <w:t>COLMA</w:t>
            </w:r>
          </w:p>
        </w:tc>
      </w:tr>
      <w:tr w:rsidR="00A07098" w:rsidRPr="00041EA6" w14:paraId="2FE312F7" w14:textId="77777777" w:rsidTr="00713E17">
        <w:tc>
          <w:tcPr>
            <w:tcW w:w="3823" w:type="dxa"/>
            <w:vAlign w:val="center"/>
          </w:tcPr>
          <w:p w14:paraId="2A444E3A" w14:textId="77777777" w:rsidR="00A07098" w:rsidRPr="00041EA6" w:rsidRDefault="00C3095F" w:rsidP="00617DA2">
            <w:pPr>
              <w:tabs>
                <w:tab w:val="left" w:pos="284"/>
                <w:tab w:val="left" w:pos="426"/>
              </w:tabs>
              <w:spacing w:line="360" w:lineRule="auto"/>
              <w:rPr>
                <w:rFonts w:ascii="Palatino Linotype" w:hAnsi="Palatino Linotype"/>
                <w:b/>
                <w:i/>
              </w:rPr>
            </w:pPr>
            <w:hyperlink r:id="rId18" w:tgtFrame="_blank" w:history="1">
              <w:r w:rsidR="00A07098" w:rsidRPr="00041EA6">
                <w:rPr>
                  <w:rStyle w:val="Hipervnculo"/>
                  <w:rFonts w:ascii="Palatino Linotype" w:hAnsi="Palatino Linotype" w:cs="Arial"/>
                  <w:b/>
                  <w:bCs/>
                  <w:color w:val="auto"/>
                  <w:u w:val="none"/>
                </w:rPr>
                <w:t>R.02311.2025.pdf</w:t>
              </w:r>
            </w:hyperlink>
          </w:p>
          <w:p w14:paraId="14B51067" w14:textId="6887513C" w:rsidR="00A07098" w:rsidRPr="00041EA6" w:rsidRDefault="00A07098" w:rsidP="00617DA2">
            <w:pPr>
              <w:pStyle w:val="Prrafodelista"/>
              <w:tabs>
                <w:tab w:val="left" w:pos="567"/>
              </w:tabs>
              <w:spacing w:line="360" w:lineRule="auto"/>
              <w:ind w:left="0"/>
              <w:rPr>
                <w:rFonts w:ascii="Palatino Linotype" w:eastAsia="Calibri" w:hAnsi="Palatino Linotype" w:cs="Arial"/>
              </w:rPr>
            </w:pPr>
          </w:p>
        </w:tc>
        <w:tc>
          <w:tcPr>
            <w:tcW w:w="2835" w:type="dxa"/>
          </w:tcPr>
          <w:p w14:paraId="13EC6A04" w14:textId="429FD4FA" w:rsidR="00A07098" w:rsidRPr="00041EA6" w:rsidRDefault="003821A4" w:rsidP="00617DA2">
            <w:pPr>
              <w:pStyle w:val="Prrafodelista"/>
              <w:tabs>
                <w:tab w:val="left" w:pos="567"/>
              </w:tabs>
              <w:spacing w:line="360" w:lineRule="auto"/>
              <w:ind w:left="0"/>
              <w:jc w:val="both"/>
              <w:rPr>
                <w:rFonts w:ascii="Palatino Linotype" w:eastAsia="Calibri" w:hAnsi="Palatino Linotype" w:cs="Arial"/>
              </w:rPr>
            </w:pPr>
            <w:r w:rsidRPr="00041EA6">
              <w:rPr>
                <w:rFonts w:ascii="Palatino Linotype" w:eastAsia="Calibri" w:hAnsi="Palatino Linotype" w:cs="Arial"/>
              </w:rPr>
              <w:t>Oficio suscrito por Titular de la Unidad de Transparencia donde informa que la Dirección General de Administración señala que no es de su competencia la información solicitada, así mismo la Secretaría de Ayuntamiento admite poseer la expresión documental requerida por el particular.</w:t>
            </w:r>
          </w:p>
        </w:tc>
        <w:tc>
          <w:tcPr>
            <w:tcW w:w="2976" w:type="dxa"/>
            <w:vAlign w:val="center"/>
          </w:tcPr>
          <w:p w14:paraId="6FABE0FC" w14:textId="70BA5839" w:rsidR="00A07098" w:rsidRPr="00041EA6" w:rsidRDefault="005C0606" w:rsidP="00617DA2">
            <w:pPr>
              <w:pStyle w:val="Prrafodelista"/>
              <w:tabs>
                <w:tab w:val="left" w:pos="567"/>
              </w:tabs>
              <w:spacing w:line="360" w:lineRule="auto"/>
              <w:ind w:left="0"/>
              <w:jc w:val="center"/>
              <w:rPr>
                <w:rFonts w:ascii="Palatino Linotype" w:eastAsia="Calibri" w:hAnsi="Palatino Linotype" w:cs="Arial"/>
                <w:i/>
              </w:rPr>
            </w:pPr>
            <w:r w:rsidRPr="00041EA6">
              <w:rPr>
                <w:rFonts w:ascii="Palatino Linotype" w:eastAsia="Calibri" w:hAnsi="Palatino Linotype" w:cs="Arial"/>
              </w:rPr>
              <w:t>COLMA</w:t>
            </w:r>
          </w:p>
        </w:tc>
      </w:tr>
    </w:tbl>
    <w:p w14:paraId="77BEBD94" w14:textId="77777777" w:rsidR="007026EF" w:rsidRPr="00041EA6" w:rsidRDefault="007026EF" w:rsidP="00617DA2">
      <w:pPr>
        <w:pStyle w:val="Prrafodelista"/>
        <w:tabs>
          <w:tab w:val="left" w:pos="567"/>
        </w:tabs>
        <w:spacing w:line="360" w:lineRule="auto"/>
        <w:ind w:left="0"/>
        <w:jc w:val="both"/>
        <w:rPr>
          <w:rFonts w:ascii="Palatino Linotype" w:eastAsia="Calibri" w:hAnsi="Palatino Linotype" w:cs="Arial"/>
        </w:rPr>
      </w:pPr>
    </w:p>
    <w:p w14:paraId="2EE34D0B" w14:textId="251BE0CF" w:rsidR="002C003D" w:rsidRPr="00041EA6" w:rsidRDefault="002C003D" w:rsidP="00713E17">
      <w:pPr>
        <w:pStyle w:val="Prrafodelista"/>
        <w:numPr>
          <w:ilvl w:val="0"/>
          <w:numId w:val="13"/>
        </w:numPr>
        <w:spacing w:line="360" w:lineRule="auto"/>
        <w:ind w:left="0" w:firstLine="0"/>
        <w:jc w:val="both"/>
        <w:rPr>
          <w:rFonts w:ascii="Palatino Linotype" w:eastAsia="Calibri" w:hAnsi="Palatino Linotype" w:cs="Arial"/>
        </w:rPr>
      </w:pPr>
      <w:r w:rsidRPr="00041EA6">
        <w:rPr>
          <w:rFonts w:ascii="Palatino Linotype" w:eastAsia="Calibri" w:hAnsi="Palatino Linotype" w:cs="Arial"/>
        </w:rPr>
        <w:lastRenderedPageBreak/>
        <w:t>De la respuesta del Sujeto Obligado se tiene que, el Titular de la Unidad de Transparencia, en apego al artículo 162 de la Ley de Transparencia y Acceso a la Información Pública del Estado de México y Municipios, turnó la solicitud a todas las áreas que integran la estructura orgánica. Así, cada una de las áreas tuvo la oportunidad de realizar la correcta búsqueda exhaustiva y razonable de la información, a efecto de satisfacer los requerimientos del particular.</w:t>
      </w:r>
    </w:p>
    <w:p w14:paraId="52358CCA" w14:textId="77777777" w:rsidR="002C003D" w:rsidRPr="00041EA6" w:rsidRDefault="002C003D" w:rsidP="00617DA2">
      <w:pPr>
        <w:pStyle w:val="Prrafodelista"/>
        <w:tabs>
          <w:tab w:val="left" w:pos="567"/>
        </w:tabs>
        <w:spacing w:line="360" w:lineRule="auto"/>
        <w:ind w:left="0"/>
        <w:jc w:val="both"/>
        <w:rPr>
          <w:rFonts w:ascii="Palatino Linotype" w:eastAsia="Calibri" w:hAnsi="Palatino Linotype" w:cs="Arial"/>
        </w:rPr>
      </w:pPr>
    </w:p>
    <w:p w14:paraId="4BF34085" w14:textId="067FD08B" w:rsidR="009A62BB" w:rsidRPr="00041EA6" w:rsidRDefault="009A62BB" w:rsidP="00713E17">
      <w:pPr>
        <w:pStyle w:val="Prrafodelista"/>
        <w:numPr>
          <w:ilvl w:val="0"/>
          <w:numId w:val="13"/>
        </w:numPr>
        <w:spacing w:before="240" w:after="240" w:line="360" w:lineRule="auto"/>
        <w:ind w:left="0" w:firstLine="0"/>
        <w:jc w:val="both"/>
        <w:rPr>
          <w:rFonts w:ascii="Palatino Linotype" w:hAnsi="Palatino Linotype"/>
          <w:color w:val="000000" w:themeColor="text1"/>
        </w:rPr>
      </w:pPr>
      <w:r w:rsidRPr="00041EA6">
        <w:rPr>
          <w:rFonts w:ascii="Palatino Linotype" w:hAnsi="Palatino Linotype"/>
          <w:color w:val="000000" w:themeColor="text1"/>
        </w:rPr>
        <w:t>A</w:t>
      </w:r>
      <w:r w:rsidRPr="00041EA6">
        <w:rPr>
          <w:rFonts w:ascii="Palatino Linotype" w:hAnsi="Palatino Linotype"/>
          <w:lang w:val="es-ES"/>
        </w:rPr>
        <w:t xml:space="preserve">l haber existido un pronunciamiento por parte del Sujeto Obligado, </w:t>
      </w:r>
      <w:r w:rsidRPr="00041EA6">
        <w:rPr>
          <w:rFonts w:ascii="Palatino Linotype" w:hAnsi="Palatino Linotype"/>
          <w:lang w:eastAsia="en-US"/>
        </w:rPr>
        <w:t xml:space="preserve">es que </w:t>
      </w:r>
      <w:r w:rsidRPr="00041EA6">
        <w:rPr>
          <w:rFonts w:ascii="Palatino Linotype" w:hAnsi="Palatino Linotype"/>
          <w:lang w:val="es-ES"/>
        </w:rPr>
        <w:t>debemos</w:t>
      </w:r>
      <w:r w:rsidRPr="00041EA6">
        <w:rPr>
          <w:rFonts w:ascii="Palatino Linotype" w:hAnsi="Palatino Linotype"/>
          <w:i/>
          <w:lang w:val="es-ES"/>
        </w:rPr>
        <w:t xml:space="preserve"> </w:t>
      </w:r>
      <w:r w:rsidRPr="00041EA6">
        <w:rPr>
          <w:rFonts w:ascii="Palatino Linotype" w:hAnsi="Palatino Linotype" w:cs="Arial"/>
        </w:rPr>
        <w:t>hacer referencia a l</w:t>
      </w:r>
      <w:r w:rsidRPr="00041EA6">
        <w:rPr>
          <w:rFonts w:ascii="Palatino Linotype" w:hAnsi="Palatino Linotype"/>
        </w:rPr>
        <w:t>a presunción de veracidad</w:t>
      </w:r>
      <w:r w:rsidRPr="00041EA6">
        <w:rPr>
          <w:rStyle w:val="Refdenotaalpie"/>
          <w:rFonts w:ascii="Palatino Linotype" w:hAnsi="Palatino Linotype"/>
        </w:rPr>
        <w:footnoteReference w:id="1"/>
      </w:r>
      <w:r w:rsidRPr="00041EA6">
        <w:rPr>
          <w:rFonts w:ascii="Palatino Linotype" w:hAnsi="Palatino Linotype"/>
        </w:rPr>
        <w:t xml:space="preserve"> supone una declaración </w:t>
      </w:r>
      <w:r w:rsidRPr="00041EA6">
        <w:rPr>
          <w:rFonts w:ascii="Palatino Linotype" w:hAnsi="Palatino Linotype"/>
          <w:i/>
        </w:rPr>
        <w:t>iurus tantum</w:t>
      </w:r>
      <w:r w:rsidRPr="00041EA6">
        <w:rPr>
          <w:rFonts w:ascii="Palatino Linotype" w:hAnsi="Palatino Linotype"/>
        </w:rPr>
        <w:t xml:space="preserve"> ya que admite prueba en contra, por lo que este Órgano no está facultado para pronunciarse sobre la veracidad de la información entregada.</w:t>
      </w:r>
    </w:p>
    <w:p w14:paraId="4DFF042F" w14:textId="77777777" w:rsidR="009A62BB" w:rsidRPr="00041EA6" w:rsidRDefault="009A62BB" w:rsidP="00617DA2">
      <w:pPr>
        <w:pStyle w:val="Prrafodelista"/>
        <w:spacing w:line="360" w:lineRule="auto"/>
        <w:ind w:left="0"/>
        <w:rPr>
          <w:rFonts w:ascii="Palatino Linotype" w:hAnsi="Palatino Linotype"/>
        </w:rPr>
      </w:pPr>
    </w:p>
    <w:p w14:paraId="4B505F0F" w14:textId="77777777" w:rsidR="009A62BB" w:rsidRPr="00041EA6" w:rsidRDefault="009A62BB" w:rsidP="00713E17">
      <w:pPr>
        <w:pStyle w:val="Prrafodelista"/>
        <w:numPr>
          <w:ilvl w:val="0"/>
          <w:numId w:val="13"/>
        </w:numPr>
        <w:spacing w:line="360" w:lineRule="auto"/>
        <w:ind w:left="0" w:firstLine="0"/>
        <w:jc w:val="both"/>
        <w:rPr>
          <w:rFonts w:ascii="Palatino Linotype" w:hAnsi="Palatino Linotype"/>
        </w:rPr>
      </w:pPr>
      <w:r w:rsidRPr="00041EA6">
        <w:rPr>
          <w:rFonts w:ascii="Palatino Linotype" w:hAnsi="Palatino Linotype"/>
        </w:rPr>
        <w:t>Sirve de apoyo a lo anterior por analogía el criterio 31-10 emitido por el entonces Instituto Federal de Acceso a la Información y Protección de Datos, que a la letra dice:</w:t>
      </w:r>
    </w:p>
    <w:p w14:paraId="04B309A4" w14:textId="77777777" w:rsidR="009A62BB" w:rsidRPr="00041EA6" w:rsidRDefault="009A62BB" w:rsidP="00617DA2">
      <w:pPr>
        <w:autoSpaceDE w:val="0"/>
        <w:autoSpaceDN w:val="0"/>
        <w:adjustRightInd w:val="0"/>
        <w:spacing w:line="360" w:lineRule="auto"/>
        <w:jc w:val="both"/>
        <w:rPr>
          <w:rFonts w:ascii="Palatino Linotype" w:hAnsi="Palatino Linotype"/>
          <w:i/>
          <w:iCs/>
        </w:rPr>
      </w:pPr>
      <w:r w:rsidRPr="00041EA6">
        <w:rPr>
          <w:rFonts w:ascii="Palatino Linotype" w:hAnsi="Palatino Linotype"/>
          <w:b/>
          <w:i/>
          <w:iCs/>
        </w:rPr>
        <w:t>El Instituto Federal de Acceso a la Información y Protección de Datos </w:t>
      </w:r>
      <w:r w:rsidRPr="00041EA6">
        <w:rPr>
          <w:rFonts w:ascii="Palatino Linotype" w:hAnsi="Palatino Linotype"/>
          <w:b/>
          <w:bCs/>
          <w:i/>
          <w:iCs/>
        </w:rPr>
        <w:t>no cuenta con facultades para pronunciarse respecto de la veracidad de los documentos proporcionados por los sujetos obligados.</w:t>
      </w:r>
      <w:r w:rsidRPr="00041EA6">
        <w:rPr>
          <w:rFonts w:ascii="Palatino Linotype" w:hAnsi="Palatino Linotype"/>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w:t>
      </w:r>
      <w:r w:rsidRPr="00041EA6">
        <w:rPr>
          <w:rFonts w:ascii="Palatino Linotype" w:hAnsi="Palatino Linotype"/>
          <w:i/>
          <w:iCs/>
        </w:rPr>
        <w:lastRenderedPageBreak/>
        <w:t>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155BA5B" w14:textId="77777777" w:rsidR="009A62BB" w:rsidRPr="00041EA6" w:rsidRDefault="009A62BB" w:rsidP="00713E17">
      <w:pPr>
        <w:pStyle w:val="Prrafodelista"/>
        <w:numPr>
          <w:ilvl w:val="0"/>
          <w:numId w:val="13"/>
        </w:numPr>
        <w:shd w:val="clear" w:color="auto" w:fill="FFFFFF"/>
        <w:spacing w:before="240" w:after="240" w:line="360" w:lineRule="auto"/>
        <w:ind w:left="0" w:firstLine="0"/>
        <w:jc w:val="both"/>
        <w:rPr>
          <w:rFonts w:ascii="Palatino Linotype" w:hAnsi="Palatino Linotype" w:cs="Arial"/>
        </w:rPr>
      </w:pPr>
      <w:r w:rsidRPr="00041EA6">
        <w:rPr>
          <w:rFonts w:ascii="Palatino Linotype" w:hAnsi="Palatino Linotype" w:cs="Arial"/>
          <w:color w:val="000000"/>
        </w:rPr>
        <w:t>Este Órgano Garante carece de facultades para dudar de la veracidad sobre la información proporcionada por el Sujeto Obligado, relativa a las áreas que manifestaron no contar con convenios a la fecha de la solicitud.</w:t>
      </w:r>
    </w:p>
    <w:p w14:paraId="21C1CFF8" w14:textId="77777777" w:rsidR="009A0927" w:rsidRPr="00041EA6" w:rsidRDefault="009A0927" w:rsidP="00617DA2">
      <w:pPr>
        <w:pStyle w:val="Prrafodelista"/>
        <w:tabs>
          <w:tab w:val="left" w:pos="426"/>
        </w:tabs>
        <w:spacing w:before="240" w:after="240" w:line="360" w:lineRule="auto"/>
        <w:ind w:left="0"/>
        <w:jc w:val="both"/>
        <w:rPr>
          <w:rFonts w:ascii="Palatino Linotype" w:hAnsi="Palatino Linotype"/>
          <w:color w:val="000000" w:themeColor="text1"/>
        </w:rPr>
      </w:pPr>
    </w:p>
    <w:p w14:paraId="15C0AE7A" w14:textId="4B30F3F6" w:rsidR="00AB105D" w:rsidRPr="00041EA6" w:rsidRDefault="009A62BB" w:rsidP="00713E17">
      <w:pPr>
        <w:pStyle w:val="Prrafodelista"/>
        <w:numPr>
          <w:ilvl w:val="0"/>
          <w:numId w:val="13"/>
        </w:numPr>
        <w:spacing w:line="360" w:lineRule="auto"/>
        <w:ind w:left="0" w:firstLine="0"/>
        <w:jc w:val="both"/>
        <w:rPr>
          <w:rFonts w:ascii="Palatino Linotype" w:eastAsia="Calibri" w:hAnsi="Palatino Linotype" w:cs="Arial"/>
        </w:rPr>
      </w:pPr>
      <w:r w:rsidRPr="00041EA6">
        <w:rPr>
          <w:rFonts w:ascii="Palatino Linotype" w:eastAsia="Calibri" w:hAnsi="Palatino Linotype" w:cs="Arial"/>
        </w:rPr>
        <w:t>Por otra parte, de la respuesta</w:t>
      </w:r>
      <w:r w:rsidR="00F0536E" w:rsidRPr="00041EA6">
        <w:rPr>
          <w:rFonts w:ascii="Palatino Linotype" w:eastAsia="Calibri" w:hAnsi="Palatino Linotype" w:cs="Arial"/>
        </w:rPr>
        <w:t xml:space="preserve"> del Sujeto Obligado se cuenta con </w:t>
      </w:r>
      <w:r w:rsidRPr="00041EA6">
        <w:rPr>
          <w:rFonts w:ascii="Palatino Linotype" w:eastAsia="Calibri" w:hAnsi="Palatino Linotype" w:cs="Arial"/>
        </w:rPr>
        <w:t>convenios en versión p</w:t>
      </w:r>
      <w:r w:rsidR="001F4F84" w:rsidRPr="00041EA6">
        <w:rPr>
          <w:rFonts w:ascii="Palatino Linotype" w:eastAsia="Calibri" w:hAnsi="Palatino Linotype" w:cs="Arial"/>
        </w:rPr>
        <w:t>ública. Si bien es cierto, en el ejercicio del derecho de acceso a la información, como todos los demás derechos, no es absoluto, encuentra su límite o restricción en la clasificación de la información, pero también lo es que, para toda restricción es necesario contar con la debida fundamentación y motivación, toda vez que, de lo contrario, entregar un documento en versión pública sin su debido acuerdo del comité de transparencia es una restricción ilegitima y se traduce en la entrega de un documento tachoneado, rayoneado e ilegible causando un agravio directo al derecho del particular.</w:t>
      </w:r>
    </w:p>
    <w:p w14:paraId="5A5F767A" w14:textId="77777777" w:rsidR="00AB105D" w:rsidRPr="00041EA6" w:rsidRDefault="00AB105D" w:rsidP="00617DA2">
      <w:pPr>
        <w:pStyle w:val="Prrafodelista"/>
        <w:tabs>
          <w:tab w:val="left" w:pos="567"/>
        </w:tabs>
        <w:spacing w:line="360" w:lineRule="auto"/>
        <w:ind w:left="0"/>
        <w:jc w:val="both"/>
        <w:rPr>
          <w:rFonts w:ascii="Palatino Linotype" w:eastAsia="Calibri" w:hAnsi="Palatino Linotype" w:cs="Arial"/>
        </w:rPr>
      </w:pPr>
    </w:p>
    <w:p w14:paraId="2576A320" w14:textId="278037B0" w:rsidR="00C6745E" w:rsidRPr="00041EA6" w:rsidRDefault="001F3AB4" w:rsidP="00713E17">
      <w:pPr>
        <w:pStyle w:val="Prrafodelista"/>
        <w:numPr>
          <w:ilvl w:val="0"/>
          <w:numId w:val="13"/>
        </w:numPr>
        <w:spacing w:line="360" w:lineRule="auto"/>
        <w:ind w:left="0" w:firstLine="0"/>
        <w:jc w:val="both"/>
        <w:rPr>
          <w:rFonts w:ascii="Palatino Linotype" w:hAnsi="Palatino Linotype" w:cs="Arial"/>
        </w:rPr>
      </w:pPr>
      <w:r w:rsidRPr="00041EA6">
        <w:rPr>
          <w:rFonts w:ascii="Palatino Linotype" w:eastAsia="Calibri" w:hAnsi="Palatino Linotype" w:cs="Arial"/>
        </w:rPr>
        <w:t xml:space="preserve"> </w:t>
      </w:r>
      <w:r w:rsidR="001F4F84" w:rsidRPr="00041EA6">
        <w:rPr>
          <w:rFonts w:ascii="Palatino Linotype" w:eastAsia="Calibri" w:hAnsi="Palatino Linotype" w:cs="Arial"/>
        </w:rPr>
        <w:t xml:space="preserve">Tal y como ocurrió en el presente asunto en particular, toda vez que en respuesta se proporcionaron documentos con los que se pretende colmar el derecho del particular; sin embargo, no fueron acompañados por el acuerdo del Comité de Transparencia que sustente las versiones públicas, </w:t>
      </w:r>
      <w:r w:rsidR="00474397" w:rsidRPr="00041EA6">
        <w:rPr>
          <w:rFonts w:ascii="Palatino Linotype" w:eastAsia="Calibri" w:hAnsi="Palatino Linotype" w:cs="Arial"/>
        </w:rPr>
        <w:t>en consecuencia, no se colmó en totalidad el derecho del particular y lo idóneo es ORDENAR al Sujeto Obligado entregue los acuerdos correspondientes.</w:t>
      </w:r>
    </w:p>
    <w:p w14:paraId="03A30337" w14:textId="77777777" w:rsidR="00474397" w:rsidRPr="00041EA6" w:rsidRDefault="00474397" w:rsidP="00617DA2">
      <w:pPr>
        <w:pStyle w:val="Prrafodelista"/>
        <w:ind w:left="0"/>
        <w:rPr>
          <w:rFonts w:ascii="Palatino Linotype" w:hAnsi="Palatino Linotype" w:cs="Arial"/>
        </w:rPr>
      </w:pPr>
    </w:p>
    <w:p w14:paraId="65885255" w14:textId="5D2897CA" w:rsidR="00F0536E" w:rsidRPr="00041EA6" w:rsidRDefault="00474397" w:rsidP="00713E17">
      <w:pPr>
        <w:pStyle w:val="Prrafodelista"/>
        <w:numPr>
          <w:ilvl w:val="0"/>
          <w:numId w:val="13"/>
        </w:numPr>
        <w:spacing w:line="360" w:lineRule="auto"/>
        <w:ind w:left="0" w:firstLine="0"/>
        <w:jc w:val="both"/>
        <w:rPr>
          <w:rFonts w:ascii="Palatino Linotype" w:hAnsi="Palatino Linotype" w:cs="Arial"/>
        </w:rPr>
      </w:pPr>
      <w:r w:rsidRPr="00041EA6">
        <w:rPr>
          <w:rFonts w:ascii="Palatino Linotype" w:hAnsi="Palatino Linotype" w:cs="Arial"/>
        </w:rPr>
        <w:lastRenderedPageBreak/>
        <w:t xml:space="preserve">Asimismo, y contrario a lo anterior, se localizó </w:t>
      </w:r>
      <w:r w:rsidR="00F0536E" w:rsidRPr="00041EA6">
        <w:rPr>
          <w:rFonts w:ascii="Palatino Linotype" w:hAnsi="Palatino Linotype" w:cs="Arial"/>
        </w:rPr>
        <w:t>dentro de los Convenios d</w:t>
      </w:r>
      <w:r w:rsidRPr="00041EA6">
        <w:rPr>
          <w:rFonts w:ascii="Palatino Linotype" w:hAnsi="Palatino Linotype" w:cs="Arial"/>
        </w:rPr>
        <w:t xml:space="preserve">el documento electrónico denominado </w:t>
      </w:r>
      <w:hyperlink r:id="rId19" w:tgtFrame="_blank" w:history="1">
        <w:r w:rsidR="00F0536E" w:rsidRPr="00041EA6">
          <w:rPr>
            <w:rStyle w:val="Hipervnculo"/>
            <w:rFonts w:ascii="Palatino Linotype" w:hAnsi="Palatino Linotype" w:cs="Arial"/>
            <w:b/>
            <w:bCs/>
            <w:color w:val="auto"/>
            <w:u w:val="none"/>
          </w:rPr>
          <w:t>SA anexo SAIMEX 2311.pdf</w:t>
        </w:r>
      </w:hyperlink>
      <w:r w:rsidR="00F0536E" w:rsidRPr="00041EA6">
        <w:rPr>
          <w:rFonts w:ascii="Palatino Linotype" w:hAnsi="Palatino Linotype"/>
        </w:rPr>
        <w:t xml:space="preserve">, en particular de los </w:t>
      </w:r>
      <w:r w:rsidR="00CD5CBA" w:rsidRPr="00041EA6">
        <w:rPr>
          <w:rFonts w:ascii="Palatino Linotype" w:hAnsi="Palatino Linotype"/>
        </w:rPr>
        <w:t xml:space="preserve">convenios </w:t>
      </w:r>
      <w:r w:rsidR="00F0536E" w:rsidRPr="00041EA6">
        <w:rPr>
          <w:rFonts w:ascii="Palatino Linotype" w:hAnsi="Palatino Linotype"/>
        </w:rPr>
        <w:t xml:space="preserve">suscritos con </w:t>
      </w:r>
      <w:r w:rsidR="00CD5CBA" w:rsidRPr="00041EA6">
        <w:rPr>
          <w:rFonts w:ascii="Palatino Linotype" w:hAnsi="Palatino Linotype"/>
        </w:rPr>
        <w:t>PROPIMEX, BIMBO, OXXO</w:t>
      </w:r>
      <w:r w:rsidR="00F0536E" w:rsidRPr="00041EA6">
        <w:rPr>
          <w:rFonts w:ascii="Palatino Linotype" w:hAnsi="Palatino Linotype"/>
        </w:rPr>
        <w:t xml:space="preserve"> y la CMIC, </w:t>
      </w:r>
      <w:r w:rsidR="009809E3" w:rsidRPr="00041EA6">
        <w:rPr>
          <w:rFonts w:ascii="Palatino Linotype" w:eastAsia="Calibri" w:hAnsi="Palatino Linotype" w:cs="Arial"/>
        </w:rPr>
        <w:t xml:space="preserve">en </w:t>
      </w:r>
      <w:r w:rsidR="00F0536E" w:rsidRPr="00041EA6">
        <w:rPr>
          <w:rFonts w:ascii="Palatino Linotype" w:eastAsia="Calibri" w:hAnsi="Palatino Linotype" w:cs="Arial"/>
        </w:rPr>
        <w:t>los que de forma enunciativa  que se testó lo siguiente:</w:t>
      </w:r>
    </w:p>
    <w:p w14:paraId="4E9732FC" w14:textId="77777777" w:rsidR="00F0536E" w:rsidRPr="00041EA6" w:rsidRDefault="00F0536E" w:rsidP="00617DA2">
      <w:pPr>
        <w:pStyle w:val="Prrafodelista"/>
        <w:ind w:left="0"/>
        <w:rPr>
          <w:rFonts w:ascii="Palatino Linotype" w:eastAsia="Calibri" w:hAnsi="Palatino Linotype" w:cs="Arial"/>
        </w:rPr>
      </w:pPr>
    </w:p>
    <w:tbl>
      <w:tblPr>
        <w:tblStyle w:val="Tablaconcuadrcula"/>
        <w:tblW w:w="9634" w:type="dxa"/>
        <w:tblLook w:val="04A0" w:firstRow="1" w:lastRow="0" w:firstColumn="1" w:lastColumn="0" w:noHBand="0" w:noVBand="1"/>
      </w:tblPr>
      <w:tblGrid>
        <w:gridCol w:w="4414"/>
        <w:gridCol w:w="5220"/>
      </w:tblGrid>
      <w:tr w:rsidR="00F0536E" w:rsidRPr="00041EA6" w14:paraId="0E793B0C" w14:textId="77777777" w:rsidTr="00713E17">
        <w:tc>
          <w:tcPr>
            <w:tcW w:w="4414" w:type="dxa"/>
            <w:shd w:val="clear" w:color="auto" w:fill="D9D9D9" w:themeFill="background1" w:themeFillShade="D9"/>
          </w:tcPr>
          <w:p w14:paraId="6D996ED6" w14:textId="0F8754FA" w:rsidR="00F0536E" w:rsidRPr="00041EA6" w:rsidRDefault="00F0536E" w:rsidP="00713E17">
            <w:pPr>
              <w:spacing w:line="360" w:lineRule="auto"/>
              <w:jc w:val="center"/>
              <w:rPr>
                <w:rFonts w:ascii="Palatino Linotype" w:eastAsia="Calibri" w:hAnsi="Palatino Linotype" w:cs="Arial"/>
                <w:b/>
              </w:rPr>
            </w:pPr>
            <w:r w:rsidRPr="00041EA6">
              <w:rPr>
                <w:rFonts w:ascii="Palatino Linotype" w:eastAsia="Calibri" w:hAnsi="Palatino Linotype" w:cs="Arial"/>
                <w:b/>
              </w:rPr>
              <w:t>PROPIMEX, BIMBO, OXXO</w:t>
            </w:r>
          </w:p>
        </w:tc>
        <w:tc>
          <w:tcPr>
            <w:tcW w:w="5220" w:type="dxa"/>
            <w:shd w:val="clear" w:color="auto" w:fill="D9D9D9" w:themeFill="background1" w:themeFillShade="D9"/>
          </w:tcPr>
          <w:p w14:paraId="323DF8A9" w14:textId="68F61058" w:rsidR="00F0536E" w:rsidRPr="00041EA6" w:rsidRDefault="00F0536E" w:rsidP="00713E17">
            <w:pPr>
              <w:spacing w:line="360" w:lineRule="auto"/>
              <w:jc w:val="center"/>
              <w:rPr>
                <w:rFonts w:ascii="Palatino Linotype" w:eastAsia="Calibri" w:hAnsi="Palatino Linotype" w:cs="Arial"/>
                <w:b/>
              </w:rPr>
            </w:pPr>
            <w:r w:rsidRPr="00041EA6">
              <w:rPr>
                <w:rFonts w:ascii="Palatino Linotype" w:eastAsia="Calibri" w:hAnsi="Palatino Linotype" w:cs="Arial"/>
                <w:b/>
              </w:rPr>
              <w:t>CMIC</w:t>
            </w:r>
          </w:p>
        </w:tc>
      </w:tr>
      <w:tr w:rsidR="00F0536E" w:rsidRPr="00041EA6" w14:paraId="7C8BDA31" w14:textId="77777777" w:rsidTr="00713E17">
        <w:tc>
          <w:tcPr>
            <w:tcW w:w="4414" w:type="dxa"/>
          </w:tcPr>
          <w:p w14:paraId="7D0559F4" w14:textId="77777777" w:rsidR="00F0536E"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DOMICILIO DE EMPRESA</w:t>
            </w:r>
          </w:p>
          <w:p w14:paraId="0A74B2FD" w14:textId="77777777"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DOMICILIO CONVENCIONAL</w:t>
            </w:r>
          </w:p>
          <w:p w14:paraId="7BF09A1B" w14:textId="77777777"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RFC DE EMPRESA</w:t>
            </w:r>
          </w:p>
          <w:p w14:paraId="3E3E8B72" w14:textId="77777777"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NUMERO DE ESCRITURA PÚBLICA</w:t>
            </w:r>
          </w:p>
          <w:p w14:paraId="1D9C11EC" w14:textId="030DEF62"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NUMERO DE ESCRITURA QUE ACREDITA AL APODERADO LEGAL</w:t>
            </w:r>
          </w:p>
          <w:p w14:paraId="5854F279" w14:textId="77777777"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NOMBRE DEL APODERADO LEGAL</w:t>
            </w:r>
          </w:p>
          <w:p w14:paraId="6862BC0C" w14:textId="4C188100"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FIRMA DEL APODERADO LEGAL TELEFONO DEL APODERADO LEGAL</w:t>
            </w:r>
          </w:p>
          <w:p w14:paraId="60926721" w14:textId="77777777"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DOMICILIO DEL APODERADO LEGAL</w:t>
            </w:r>
          </w:p>
          <w:p w14:paraId="2D0E2F55" w14:textId="143A8DD9"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NOMBRE Y FIRMA DE QUIEN SUSCRIBE POR PARTE DE LA EMPRESA</w:t>
            </w:r>
          </w:p>
          <w:p w14:paraId="6B31CB74" w14:textId="4192CA04"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NOMBRE DE FUNCIONARIO PÚBLICO ENLACE</w:t>
            </w:r>
          </w:p>
          <w:p w14:paraId="256079A0" w14:textId="5453398F"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TELÉFONO DE FUNCIONARIO PÚBLICO ENLACE</w:t>
            </w:r>
          </w:p>
          <w:p w14:paraId="17D3FB71" w14:textId="1B9E4E26"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lastRenderedPageBreak/>
              <w:t>CORREO ELECTRÓNICO DE FUNCIONARIO PÚBLICO ENLACE</w:t>
            </w:r>
          </w:p>
          <w:p w14:paraId="5BDAF20E" w14:textId="35FAB691"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DOMICILIO DE FUNCIONARIO PÚBLICO ENLACE</w:t>
            </w:r>
          </w:p>
        </w:tc>
        <w:tc>
          <w:tcPr>
            <w:tcW w:w="5220" w:type="dxa"/>
          </w:tcPr>
          <w:p w14:paraId="64DBCBD7" w14:textId="6AF44324" w:rsidR="00F0536E"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lastRenderedPageBreak/>
              <w:t>CUENTA BANCARIA</w:t>
            </w:r>
          </w:p>
          <w:p w14:paraId="1063CB65" w14:textId="77777777" w:rsidR="00F0536E"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CLABE</w:t>
            </w:r>
          </w:p>
          <w:p w14:paraId="6FF9C584" w14:textId="77777777" w:rsidR="00271AD1" w:rsidRPr="00041EA6" w:rsidRDefault="00271AD1" w:rsidP="00713E17">
            <w:pPr>
              <w:spacing w:line="360" w:lineRule="auto"/>
              <w:jc w:val="both"/>
              <w:rPr>
                <w:rFonts w:ascii="Palatino Linotype" w:eastAsia="Calibri" w:hAnsi="Palatino Linotype" w:cs="Arial"/>
              </w:rPr>
            </w:pPr>
            <w:r w:rsidRPr="00041EA6">
              <w:rPr>
                <w:rFonts w:ascii="Palatino Linotype" w:eastAsia="Calibri" w:hAnsi="Palatino Linotype" w:cs="Arial"/>
              </w:rPr>
              <w:t>NOMBRE DEL TITULAR DE LA CUENTA</w:t>
            </w:r>
          </w:p>
          <w:p w14:paraId="37C09CE3" w14:textId="0EBC3128" w:rsidR="00271AD1" w:rsidRPr="00041EA6" w:rsidRDefault="00E25AF9" w:rsidP="00713E17">
            <w:pPr>
              <w:spacing w:line="360" w:lineRule="auto"/>
              <w:jc w:val="both"/>
              <w:rPr>
                <w:rFonts w:ascii="Palatino Linotype" w:eastAsia="Calibri" w:hAnsi="Palatino Linotype" w:cs="Arial"/>
              </w:rPr>
            </w:pPr>
            <w:r w:rsidRPr="00041EA6">
              <w:rPr>
                <w:rFonts w:ascii="Palatino Linotype" w:eastAsia="Calibri" w:hAnsi="Palatino Linotype" w:cs="Arial"/>
              </w:rPr>
              <w:t xml:space="preserve">NOMBRE Y FIRMA DEL </w:t>
            </w:r>
            <w:r w:rsidR="00271AD1" w:rsidRPr="00041EA6">
              <w:rPr>
                <w:rFonts w:ascii="Palatino Linotype" w:eastAsia="Calibri" w:hAnsi="Palatino Linotype" w:cs="Arial"/>
              </w:rPr>
              <w:t xml:space="preserve">PRESIDENTE CMIC </w:t>
            </w:r>
            <w:r w:rsidRPr="00041EA6">
              <w:rPr>
                <w:rFonts w:ascii="Palatino Linotype" w:eastAsia="Calibri" w:hAnsi="Palatino Linotype" w:cs="Arial"/>
              </w:rPr>
              <w:t xml:space="preserve">DELEGACIÓN </w:t>
            </w:r>
            <w:r w:rsidR="00271AD1" w:rsidRPr="00041EA6">
              <w:rPr>
                <w:rFonts w:ascii="Palatino Linotype" w:eastAsia="Calibri" w:hAnsi="Palatino Linotype" w:cs="Arial"/>
              </w:rPr>
              <w:t>ESTADO DE M</w:t>
            </w:r>
            <w:r w:rsidRPr="00041EA6">
              <w:rPr>
                <w:rFonts w:ascii="Palatino Linotype" w:eastAsia="Calibri" w:hAnsi="Palatino Linotype" w:cs="Arial"/>
              </w:rPr>
              <w:t>É</w:t>
            </w:r>
            <w:r w:rsidR="00271AD1" w:rsidRPr="00041EA6">
              <w:rPr>
                <w:rFonts w:ascii="Palatino Linotype" w:eastAsia="Calibri" w:hAnsi="Palatino Linotype" w:cs="Arial"/>
              </w:rPr>
              <w:t>XICO</w:t>
            </w:r>
          </w:p>
          <w:p w14:paraId="4DD7C7C8" w14:textId="3A2103BC" w:rsidR="00E25AF9" w:rsidRPr="00041EA6" w:rsidRDefault="00E25AF9" w:rsidP="00713E17">
            <w:pPr>
              <w:spacing w:line="360" w:lineRule="auto"/>
              <w:jc w:val="both"/>
              <w:rPr>
                <w:rFonts w:ascii="Palatino Linotype" w:eastAsia="Calibri" w:hAnsi="Palatino Linotype" w:cs="Arial"/>
              </w:rPr>
            </w:pPr>
            <w:r w:rsidRPr="00041EA6">
              <w:rPr>
                <w:rFonts w:ascii="Palatino Linotype" w:eastAsia="Calibri" w:hAnsi="Palatino Linotype" w:cs="Arial"/>
              </w:rPr>
              <w:t>NÚMERO DE ESCRITURA PÚBLICA DONDE SE ACREDITA AL PRESIDENTE DE CMIC</w:t>
            </w:r>
          </w:p>
          <w:p w14:paraId="2135C36C" w14:textId="06A171F2" w:rsidR="00271AD1" w:rsidRPr="00041EA6" w:rsidRDefault="00E25AF9" w:rsidP="00713E17">
            <w:pPr>
              <w:spacing w:line="360" w:lineRule="auto"/>
              <w:jc w:val="both"/>
              <w:rPr>
                <w:rFonts w:ascii="Palatino Linotype" w:eastAsia="Calibri" w:hAnsi="Palatino Linotype" w:cs="Arial"/>
              </w:rPr>
            </w:pPr>
            <w:r w:rsidRPr="00041EA6">
              <w:rPr>
                <w:rFonts w:ascii="Palatino Linotype" w:eastAsia="Calibri" w:hAnsi="Palatino Linotype" w:cs="Arial"/>
              </w:rPr>
              <w:t>NOMBRE Y FIRMA DEL SECRETARIO DEL COMITÉ DIRECTIVO DE LA CMIC DELEGACION ESTADO DE MÉXICO</w:t>
            </w:r>
          </w:p>
          <w:p w14:paraId="64B69782" w14:textId="0C44FE2D" w:rsidR="00E25AF9" w:rsidRPr="00041EA6" w:rsidRDefault="00E25AF9" w:rsidP="00713E17">
            <w:pPr>
              <w:spacing w:line="360" w:lineRule="auto"/>
              <w:jc w:val="both"/>
              <w:rPr>
                <w:rFonts w:ascii="Palatino Linotype" w:eastAsia="Calibri" w:hAnsi="Palatino Linotype" w:cs="Arial"/>
              </w:rPr>
            </w:pPr>
            <w:r w:rsidRPr="00041EA6">
              <w:rPr>
                <w:rFonts w:ascii="Palatino Linotype" w:eastAsia="Calibri" w:hAnsi="Palatino Linotype" w:cs="Arial"/>
              </w:rPr>
              <w:t>DOMICILIO PARA RECIBIR NOTIFICACIONES</w:t>
            </w:r>
          </w:p>
          <w:p w14:paraId="1F9919D7" w14:textId="7FAE4D97" w:rsidR="00E25AF9" w:rsidRPr="00041EA6" w:rsidRDefault="00E25AF9" w:rsidP="00713E17">
            <w:pPr>
              <w:spacing w:line="360" w:lineRule="auto"/>
              <w:jc w:val="both"/>
              <w:rPr>
                <w:rFonts w:ascii="Palatino Linotype" w:eastAsia="Calibri" w:hAnsi="Palatino Linotype" w:cs="Arial"/>
              </w:rPr>
            </w:pPr>
            <w:r w:rsidRPr="00041EA6">
              <w:rPr>
                <w:rFonts w:ascii="Palatino Linotype" w:eastAsia="Calibri" w:hAnsi="Palatino Linotype" w:cs="Arial"/>
              </w:rPr>
              <w:t xml:space="preserve">NÚMERO DE ESCRITURA DEL PROTOCOLO NOTARIAL PARA CAMBIO DE DENOMINACIÓN </w:t>
            </w:r>
          </w:p>
          <w:p w14:paraId="5CE39A35" w14:textId="108AC02A" w:rsidR="00E25AF9" w:rsidRPr="00041EA6" w:rsidRDefault="00E25AF9" w:rsidP="00713E17">
            <w:pPr>
              <w:spacing w:line="360" w:lineRule="auto"/>
              <w:jc w:val="both"/>
              <w:rPr>
                <w:rFonts w:ascii="Palatino Linotype" w:eastAsia="Calibri" w:hAnsi="Palatino Linotype" w:cs="Arial"/>
              </w:rPr>
            </w:pPr>
            <w:r w:rsidRPr="00041EA6">
              <w:rPr>
                <w:rFonts w:ascii="Palatino Linotype" w:eastAsia="Calibri" w:hAnsi="Palatino Linotype" w:cs="Arial"/>
              </w:rPr>
              <w:t>RFC DE CMIC</w:t>
            </w:r>
          </w:p>
          <w:p w14:paraId="7984F3DA" w14:textId="783DA542" w:rsidR="00271AD1" w:rsidRPr="00041EA6" w:rsidRDefault="00271AD1" w:rsidP="00713E17">
            <w:pPr>
              <w:spacing w:line="360" w:lineRule="auto"/>
              <w:jc w:val="both"/>
              <w:rPr>
                <w:rFonts w:ascii="Palatino Linotype" w:eastAsia="Calibri" w:hAnsi="Palatino Linotype" w:cs="Arial"/>
              </w:rPr>
            </w:pPr>
          </w:p>
        </w:tc>
      </w:tr>
    </w:tbl>
    <w:p w14:paraId="55374C65" w14:textId="77777777" w:rsidR="00F0536E" w:rsidRPr="00041EA6" w:rsidRDefault="00F0536E" w:rsidP="00617DA2">
      <w:pPr>
        <w:tabs>
          <w:tab w:val="left" w:pos="284"/>
          <w:tab w:val="left" w:pos="426"/>
        </w:tabs>
        <w:spacing w:line="360" w:lineRule="auto"/>
        <w:jc w:val="both"/>
        <w:rPr>
          <w:rFonts w:ascii="Palatino Linotype" w:eastAsia="Calibri" w:hAnsi="Palatino Linotype" w:cs="Arial"/>
        </w:rPr>
      </w:pPr>
    </w:p>
    <w:p w14:paraId="6F6D5E02" w14:textId="77777777" w:rsidR="00474397" w:rsidRPr="00041EA6" w:rsidRDefault="00474397" w:rsidP="00617DA2">
      <w:pPr>
        <w:pStyle w:val="Prrafodelista"/>
        <w:ind w:left="0"/>
        <w:rPr>
          <w:rFonts w:ascii="Palatino Linotype" w:hAnsi="Palatino Linotype" w:cs="Arial"/>
        </w:rPr>
      </w:pPr>
    </w:p>
    <w:p w14:paraId="13338FD3" w14:textId="77777777" w:rsidR="009809E3" w:rsidRPr="00041EA6" w:rsidRDefault="009809E3" w:rsidP="00713E17">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t xml:space="preserve">Para ello, es indispensable mencionar que la </w:t>
      </w:r>
      <w:r w:rsidRPr="00041EA6">
        <w:rPr>
          <w:rFonts w:ascii="Palatino Linotype" w:eastAsia="Times New Roman" w:hAnsi="Palatino Linotype" w:cs="Arial"/>
          <w:b/>
          <w:bCs/>
          <w:color w:val="000000"/>
        </w:rPr>
        <w:t xml:space="preserve">representación </w:t>
      </w:r>
      <w:r w:rsidRPr="00041EA6">
        <w:rPr>
          <w:rFonts w:ascii="Palatino Linotype" w:eastAsia="Times New Roman" w:hAnsi="Palatino Linotype" w:cs="Arial"/>
          <w:color w:val="000000"/>
        </w:rPr>
        <w:t xml:space="preserve">de manera genérica es una figura jurídica por medio de la cual se permite alterar la esfera jurídica de una persona por medio de la actuación de otra capaz. Sánchez Medal define la representación como </w:t>
      </w:r>
      <w:r w:rsidRPr="00041EA6">
        <w:rPr>
          <w:rFonts w:ascii="Palatino Linotype" w:eastAsia="Times New Roman" w:hAnsi="Palatino Linotype" w:cs="Arial"/>
          <w:i/>
          <w:color w:val="000000"/>
        </w:rPr>
        <w:t xml:space="preserve">“acción de representar, o sea el acto por virtud del cual una persona dotada de poder, llamada representante, obra a nombre y por cuenta de otra llamada representada”. </w:t>
      </w:r>
    </w:p>
    <w:p w14:paraId="3C215922" w14:textId="77777777" w:rsidR="009809E3" w:rsidRPr="00041EA6" w:rsidRDefault="009809E3" w:rsidP="00617DA2">
      <w:pPr>
        <w:pStyle w:val="Prrafodelista"/>
        <w:spacing w:line="360" w:lineRule="auto"/>
        <w:ind w:left="0"/>
        <w:jc w:val="both"/>
        <w:rPr>
          <w:rFonts w:ascii="Palatino Linotype" w:eastAsia="Times New Roman" w:hAnsi="Palatino Linotype" w:cs="Arial"/>
          <w:color w:val="000000"/>
        </w:rPr>
      </w:pPr>
    </w:p>
    <w:p w14:paraId="66655221" w14:textId="77777777" w:rsidR="009809E3" w:rsidRPr="00041EA6" w:rsidRDefault="009809E3" w:rsidP="00713E17">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t xml:space="preserve">Ahora bien, existen diversas clases de representación como lo son la legal, la voluntaria y la estatutaria. </w:t>
      </w:r>
    </w:p>
    <w:p w14:paraId="580CA197" w14:textId="77777777" w:rsidR="009809E3" w:rsidRPr="00041EA6" w:rsidRDefault="009809E3" w:rsidP="00617DA2">
      <w:pPr>
        <w:pStyle w:val="Prrafodelista"/>
        <w:spacing w:line="360" w:lineRule="auto"/>
        <w:ind w:left="0"/>
        <w:rPr>
          <w:rFonts w:ascii="Palatino Linotype" w:eastAsia="Times New Roman" w:hAnsi="Palatino Linotype" w:cs="Arial"/>
          <w:color w:val="000000"/>
        </w:rPr>
      </w:pPr>
    </w:p>
    <w:p w14:paraId="77A00361" w14:textId="77777777" w:rsidR="009809E3" w:rsidRPr="00041EA6" w:rsidRDefault="009809E3" w:rsidP="00713E17">
      <w:pPr>
        <w:pStyle w:val="Prrafodelista"/>
        <w:numPr>
          <w:ilvl w:val="0"/>
          <w:numId w:val="8"/>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b/>
          <w:bCs/>
          <w:color w:val="000000"/>
        </w:rPr>
        <w:t xml:space="preserve">Representación Legal. </w:t>
      </w:r>
      <w:r w:rsidRPr="00041EA6">
        <w:rPr>
          <w:rFonts w:ascii="Palatino Linotype" w:eastAsia="Times New Roman" w:hAnsi="Palatino Linotype" w:cs="Arial"/>
          <w:color w:val="000000"/>
        </w:rPr>
        <w:t xml:space="preserve">La que se establece en la ley positiva para que determinadas personas, fundamentalmente aquellas a quienes se les ha negado la capacidad de ejercicio, puedan hacer valer sus derechos o puedan cumplir con sus obligaciones mediante la actuación de otra capaz. </w:t>
      </w:r>
    </w:p>
    <w:p w14:paraId="50AEA529" w14:textId="77777777" w:rsidR="009809E3" w:rsidRPr="00041EA6" w:rsidRDefault="009809E3" w:rsidP="00713E17">
      <w:pPr>
        <w:pStyle w:val="Prrafodelista"/>
        <w:numPr>
          <w:ilvl w:val="0"/>
          <w:numId w:val="8"/>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b/>
          <w:bCs/>
          <w:color w:val="000000"/>
        </w:rPr>
        <w:t xml:space="preserve">Representación Voluntaria. </w:t>
      </w:r>
      <w:r w:rsidRPr="00041EA6">
        <w:rPr>
          <w:rFonts w:ascii="Palatino Linotype" w:eastAsia="Times New Roman" w:hAnsi="Palatino Linotype" w:cs="Arial"/>
          <w:color w:val="000000"/>
        </w:rPr>
        <w:t xml:space="preserve">La que permite que una persona altere la esfera jurídica de otra quien ha recibido la autorización correspondiente en forma expresa y determinada.  </w:t>
      </w:r>
    </w:p>
    <w:p w14:paraId="5702F8B9" w14:textId="77777777" w:rsidR="009809E3" w:rsidRPr="00041EA6" w:rsidRDefault="009809E3" w:rsidP="00713E17">
      <w:pPr>
        <w:pStyle w:val="Prrafodelista"/>
        <w:numPr>
          <w:ilvl w:val="0"/>
          <w:numId w:val="8"/>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b/>
          <w:bCs/>
          <w:color w:val="000000"/>
        </w:rPr>
        <w:t xml:space="preserve">Representación Estatutaria. </w:t>
      </w:r>
      <w:r w:rsidRPr="00041EA6">
        <w:rPr>
          <w:rFonts w:ascii="Palatino Linotype" w:eastAsia="Times New Roman" w:hAnsi="Palatino Linotype" w:cs="Arial"/>
          <w:bCs/>
          <w:color w:val="000000"/>
        </w:rPr>
        <w:t xml:space="preserve">La que permite a los entes jurídicos o personas morales exteriorizarse en una sociedad y que por virtud de la cual una persona física u otra persona moral quien a su vez se encuentra representada en último término por una persona física, altera con su actuación la esfera jurídica o jurídica económica de aquella para hacer posible </w:t>
      </w:r>
      <w:r w:rsidRPr="00041EA6">
        <w:rPr>
          <w:rFonts w:ascii="Palatino Linotype" w:eastAsia="Times New Roman" w:hAnsi="Palatino Linotype" w:cs="Arial"/>
          <w:bCs/>
          <w:color w:val="000000"/>
        </w:rPr>
        <w:lastRenderedPageBreak/>
        <w:t>valer sus derechos o cumplir con sus obligaciones.</w:t>
      </w:r>
      <w:r w:rsidRPr="00041EA6">
        <w:rPr>
          <w:rFonts w:ascii="Palatino Linotype" w:eastAsia="Times New Roman" w:hAnsi="Palatino Linotype" w:cs="Arial"/>
          <w:color w:val="000000"/>
        </w:rPr>
        <w:t xml:space="preserve"> […] En la representación estatutaria, la ley no señala quién o quiénes pueden o deben ser los representantes legales de las personas morales, sino que deja a libre arbitrio de otras personas o de otros órganos, quiénes deben de representar a esas personas. […] La representación estatutaria puede conferirse mediante un poder, pero generalmente no es este el medio formal de su constitución, sino un medio diferente que </w:t>
      </w:r>
      <w:r w:rsidRPr="00041EA6">
        <w:rPr>
          <w:rFonts w:ascii="Palatino Linotype" w:eastAsia="Times New Roman" w:hAnsi="Palatino Linotype" w:cs="Arial"/>
          <w:b/>
          <w:color w:val="000000"/>
        </w:rPr>
        <w:t>consiste en un acto de simple designación de la persona para el desempeño de determinado cargo.</w:t>
      </w:r>
    </w:p>
    <w:p w14:paraId="280CC174" w14:textId="77777777" w:rsidR="009809E3" w:rsidRPr="00041EA6" w:rsidRDefault="00C3095F" w:rsidP="00713E17">
      <w:pPr>
        <w:pStyle w:val="Prrafodelista"/>
        <w:spacing w:line="360" w:lineRule="auto"/>
        <w:ind w:left="0"/>
        <w:jc w:val="both"/>
        <w:rPr>
          <w:rFonts w:ascii="Palatino Linotype" w:eastAsia="Times New Roman" w:hAnsi="Palatino Linotype" w:cs="Arial"/>
          <w:color w:val="000000"/>
        </w:rPr>
      </w:pPr>
      <w:sdt>
        <w:sdtPr>
          <w:rPr>
            <w:rFonts w:ascii="Palatino Linotype" w:eastAsia="Times New Roman" w:hAnsi="Palatino Linotype" w:cs="Arial"/>
            <w:color w:val="000000"/>
          </w:rPr>
          <w:id w:val="-1383091241"/>
          <w:citation/>
        </w:sdtPr>
        <w:sdtEndPr/>
        <w:sdtContent>
          <w:r w:rsidR="009809E3" w:rsidRPr="00041EA6">
            <w:rPr>
              <w:rFonts w:ascii="Palatino Linotype" w:eastAsia="Times New Roman" w:hAnsi="Palatino Linotype" w:cs="Arial"/>
              <w:color w:val="000000"/>
            </w:rPr>
            <w:fldChar w:fldCharType="begin"/>
          </w:r>
          <w:r w:rsidR="009809E3" w:rsidRPr="00041EA6">
            <w:rPr>
              <w:rFonts w:ascii="Palatino Linotype" w:eastAsia="Times New Roman" w:hAnsi="Palatino Linotype" w:cs="Arial"/>
              <w:b/>
              <w:color w:val="000000"/>
            </w:rPr>
            <w:instrText xml:space="preserve"> CITATION Raf17 \l 2058 </w:instrText>
          </w:r>
          <w:r w:rsidR="009809E3" w:rsidRPr="00041EA6">
            <w:rPr>
              <w:rFonts w:ascii="Palatino Linotype" w:eastAsia="Times New Roman" w:hAnsi="Palatino Linotype" w:cs="Arial"/>
              <w:color w:val="000000"/>
            </w:rPr>
            <w:fldChar w:fldCharType="separate"/>
          </w:r>
          <w:r w:rsidR="009809E3" w:rsidRPr="00041EA6">
            <w:rPr>
              <w:rFonts w:ascii="Palatino Linotype" w:eastAsia="Times New Roman" w:hAnsi="Palatino Linotype" w:cs="Arial"/>
              <w:noProof/>
              <w:color w:val="000000"/>
            </w:rPr>
            <w:t>(Lara, 2017)</w:t>
          </w:r>
          <w:r w:rsidR="009809E3" w:rsidRPr="00041EA6">
            <w:rPr>
              <w:rFonts w:ascii="Palatino Linotype" w:eastAsia="Times New Roman" w:hAnsi="Palatino Linotype" w:cs="Arial"/>
              <w:color w:val="000000"/>
            </w:rPr>
            <w:fldChar w:fldCharType="end"/>
          </w:r>
        </w:sdtContent>
      </w:sdt>
    </w:p>
    <w:p w14:paraId="0C66365E" w14:textId="77777777" w:rsidR="009809E3" w:rsidRPr="00041EA6" w:rsidRDefault="009809E3" w:rsidP="00617DA2">
      <w:pPr>
        <w:pStyle w:val="Prrafodelista"/>
        <w:spacing w:line="360" w:lineRule="auto"/>
        <w:ind w:left="0"/>
        <w:jc w:val="both"/>
        <w:rPr>
          <w:rFonts w:ascii="Palatino Linotype" w:eastAsia="Times New Roman" w:hAnsi="Palatino Linotype" w:cs="Arial"/>
          <w:color w:val="000000"/>
        </w:rPr>
      </w:pPr>
    </w:p>
    <w:p w14:paraId="4840629B" w14:textId="77777777" w:rsidR="009809E3" w:rsidRPr="00041EA6" w:rsidRDefault="009809E3" w:rsidP="00713E17">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t xml:space="preserve">De lo anterior tenemos que la </w:t>
      </w:r>
      <w:r w:rsidRPr="00041EA6">
        <w:rPr>
          <w:rFonts w:ascii="Palatino Linotype" w:eastAsia="Times New Roman" w:hAnsi="Palatino Linotype" w:cs="Arial"/>
          <w:b/>
          <w:color w:val="000000"/>
        </w:rPr>
        <w:t xml:space="preserve">representación </w:t>
      </w:r>
      <w:r w:rsidRPr="00041EA6">
        <w:rPr>
          <w:rFonts w:ascii="Palatino Linotype" w:eastAsia="Times New Roman" w:hAnsi="Palatino Linotype" w:cs="Arial"/>
          <w:color w:val="000000"/>
        </w:rPr>
        <w:t xml:space="preserve">se traduce al acto de manifestarse a nombre de otra persona, quién en el caso concreto, el representante es elegido por terceros a través de una designación. </w:t>
      </w:r>
    </w:p>
    <w:p w14:paraId="69139F76" w14:textId="77777777" w:rsidR="009809E3" w:rsidRPr="00041EA6" w:rsidRDefault="009809E3" w:rsidP="00713E17">
      <w:pPr>
        <w:pStyle w:val="Prrafodelista"/>
        <w:spacing w:line="360" w:lineRule="auto"/>
        <w:ind w:left="0"/>
        <w:jc w:val="both"/>
        <w:rPr>
          <w:rFonts w:ascii="Palatino Linotype" w:eastAsia="Times New Roman" w:hAnsi="Palatino Linotype" w:cs="Arial"/>
          <w:color w:val="000000"/>
        </w:rPr>
      </w:pPr>
    </w:p>
    <w:p w14:paraId="30D952D3" w14:textId="77777777" w:rsidR="009809E3" w:rsidRPr="00041EA6" w:rsidRDefault="009809E3" w:rsidP="00713E17">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t xml:space="preserve">Por su parte, atendiendo a lo que establece la Ley General de Sociedades Mercantiles, se obtiene que en su artículo 10 menciona que </w:t>
      </w:r>
      <w:r w:rsidRPr="00041EA6">
        <w:rPr>
          <w:rFonts w:ascii="Palatino Linotype" w:eastAsia="Times New Roman" w:hAnsi="Palatino Linotype" w:cs="Arial"/>
          <w:b/>
          <w:color w:val="000000"/>
        </w:rPr>
        <w:t>la representación de toda sociedad mercantil corresponderá a su administrador o administradores</w:t>
      </w:r>
      <w:r w:rsidRPr="00041EA6">
        <w:rPr>
          <w:rFonts w:ascii="Palatino Linotype" w:eastAsia="Times New Roman" w:hAnsi="Palatino Linotype" w:cs="Arial"/>
          <w:color w:val="000000"/>
        </w:rPr>
        <w:t>, quienes podrán realizar todas las operaciones inherentes al objeto de la sociedad.</w:t>
      </w:r>
    </w:p>
    <w:p w14:paraId="1C4B4424" w14:textId="77777777" w:rsidR="009809E3" w:rsidRPr="00041EA6" w:rsidRDefault="009809E3" w:rsidP="00713E17">
      <w:pPr>
        <w:pStyle w:val="Prrafodelista"/>
        <w:spacing w:line="360" w:lineRule="auto"/>
        <w:ind w:left="0"/>
        <w:jc w:val="both"/>
        <w:rPr>
          <w:rFonts w:ascii="Palatino Linotype" w:eastAsia="Times New Roman" w:hAnsi="Palatino Linotype" w:cs="Arial"/>
          <w:color w:val="000000"/>
        </w:rPr>
      </w:pPr>
    </w:p>
    <w:p w14:paraId="0E81EA9A" w14:textId="77777777" w:rsidR="009809E3" w:rsidRPr="00041EA6" w:rsidRDefault="009809E3" w:rsidP="00713E17">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t xml:space="preserve">Con la anterior explicación, se pretende llegar a que las figuras de representante legal, administrador único y apoderado legal, medularmente juegan el papel de representación legal de las personas morales, y poseen la facultad de tomar cualquier tipo de decisiones y tiene plenos poderes para ello. </w:t>
      </w:r>
    </w:p>
    <w:p w14:paraId="2911E166" w14:textId="77777777" w:rsidR="009809E3" w:rsidRPr="00041EA6" w:rsidRDefault="009809E3" w:rsidP="00713E17">
      <w:pPr>
        <w:pStyle w:val="Prrafodelista"/>
        <w:spacing w:line="360" w:lineRule="auto"/>
        <w:ind w:left="0"/>
        <w:jc w:val="both"/>
        <w:rPr>
          <w:rFonts w:ascii="Palatino Linotype" w:eastAsia="Times New Roman" w:hAnsi="Palatino Linotype" w:cs="Arial"/>
          <w:color w:val="000000"/>
        </w:rPr>
      </w:pPr>
    </w:p>
    <w:p w14:paraId="2E00DC86" w14:textId="77777777" w:rsidR="009809E3" w:rsidRPr="00041EA6" w:rsidRDefault="009809E3" w:rsidP="00713E17">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t xml:space="preserve">En razón de lo anterior, cabe mencionar que el Instituto Nacional de Acceso a la Información y Protección de Datos Personales, ha precisado en diversas ocasiones que la </w:t>
      </w:r>
      <w:r w:rsidRPr="00041EA6">
        <w:rPr>
          <w:rFonts w:ascii="Palatino Linotype" w:eastAsia="Times New Roman" w:hAnsi="Palatino Linotype" w:cs="Arial"/>
          <w:b/>
          <w:color w:val="000000"/>
        </w:rPr>
        <w:lastRenderedPageBreak/>
        <w:t>firma y el nombre del representante legal de una persona moral</w:t>
      </w:r>
      <w:r w:rsidRPr="00041EA6">
        <w:rPr>
          <w:rFonts w:ascii="Palatino Linotype" w:eastAsia="Times New Roman" w:hAnsi="Palatino Linotype" w:cs="Arial"/>
          <w:color w:val="000000"/>
        </w:rPr>
        <w:t xml:space="preserve">, no podría ser objeto de clasificación, ya que si bien el nombre y la firma corresponden a una persona física, esta actuó en nombre y representación de una persona moral, no a nombre propio; en consecuencia, el nombre y la firma, al haber sido objeto de dar cumplimiento a la normatividad y otorgar validez al acto jurídico celebrado, deben ser considerados como públicos, análisis aplicable al presente caso. </w:t>
      </w:r>
    </w:p>
    <w:p w14:paraId="7218CBAE" w14:textId="77777777" w:rsidR="009809E3" w:rsidRPr="00041EA6" w:rsidRDefault="009809E3" w:rsidP="00713E17">
      <w:pPr>
        <w:pStyle w:val="Prrafodelista"/>
        <w:spacing w:line="360" w:lineRule="auto"/>
        <w:ind w:left="0"/>
        <w:jc w:val="both"/>
        <w:rPr>
          <w:rFonts w:ascii="Palatino Linotype" w:eastAsia="Times New Roman" w:hAnsi="Palatino Linotype" w:cs="Arial"/>
          <w:color w:val="000000"/>
        </w:rPr>
      </w:pPr>
    </w:p>
    <w:p w14:paraId="3C4ACB98" w14:textId="77777777" w:rsidR="009809E3" w:rsidRPr="00041EA6" w:rsidRDefault="009809E3" w:rsidP="00713E17">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t xml:space="preserve">Derivado de ello, es imprescindible traer a colación lo que establece el Criterio del Instituto Nacional de Transparencia, Acceso a la Información y Protección de Datos, el cual menciona lo siguiente: </w:t>
      </w:r>
    </w:p>
    <w:p w14:paraId="45FA600D" w14:textId="77777777" w:rsidR="009809E3" w:rsidRPr="00041EA6" w:rsidRDefault="009809E3" w:rsidP="00617DA2">
      <w:pPr>
        <w:pStyle w:val="Prrafodelista"/>
        <w:spacing w:line="360" w:lineRule="auto"/>
        <w:ind w:left="0"/>
        <w:jc w:val="both"/>
        <w:rPr>
          <w:rFonts w:ascii="Palatino Linotype" w:eastAsia="Times New Roman" w:hAnsi="Palatino Linotype" w:cs="Arial"/>
          <w:i/>
          <w:color w:val="000000"/>
        </w:rPr>
      </w:pPr>
      <w:r w:rsidRPr="00041EA6">
        <w:rPr>
          <w:rFonts w:ascii="Palatino Linotype" w:eastAsia="Times New Roman" w:hAnsi="Palatino Linotype" w:cs="Arial"/>
          <w:b/>
          <w:i/>
          <w:color w:val="000000"/>
        </w:rPr>
        <w:t>Datos de identificación del representante o apoderado legal. Naturaleza jurídica.</w:t>
      </w:r>
      <w:r w:rsidRPr="00041EA6">
        <w:rPr>
          <w:rFonts w:ascii="Palatino Linotype" w:eastAsia="Times New Roman" w:hAnsi="Palatino Linotype" w:cs="Arial"/>
          <w:i/>
          <w:color w:val="000000"/>
        </w:rPr>
        <w:t xml:space="preserve"> El nombre, la firma y la rúbrica de una persona física, que actúe como representante o apoderado legal de un tercero que haya celebrado un acto jurídico, con algún sujeto obligado, </w:t>
      </w:r>
      <w:r w:rsidRPr="00041EA6">
        <w:rPr>
          <w:rFonts w:ascii="Palatino Linotype" w:eastAsia="Times New Roman" w:hAnsi="Palatino Linotype" w:cs="Arial"/>
          <w:b/>
          <w:i/>
          <w:color w:val="000000"/>
        </w:rPr>
        <w:t>es información pública</w:t>
      </w:r>
      <w:r w:rsidRPr="00041EA6">
        <w:rPr>
          <w:rFonts w:ascii="Palatino Linotype" w:eastAsia="Times New Roman" w:hAnsi="Palatino Linotype" w:cs="Arial"/>
          <w:i/>
          <w:color w:val="000000"/>
        </w:rPr>
        <w:t>, en razón de que tales datos fueron proporcionados con el objeto de expresar el consentimiento obligacional del tercero y otorgar validez a dicho instrumento jurídico.</w:t>
      </w:r>
    </w:p>
    <w:p w14:paraId="3143A538" w14:textId="77777777" w:rsidR="009809E3" w:rsidRPr="00041EA6" w:rsidRDefault="009809E3" w:rsidP="00617DA2">
      <w:pPr>
        <w:pStyle w:val="Prrafodelista"/>
        <w:spacing w:line="360" w:lineRule="auto"/>
        <w:ind w:left="0"/>
        <w:jc w:val="both"/>
        <w:rPr>
          <w:rFonts w:ascii="Palatino Linotype" w:eastAsia="Times New Roman" w:hAnsi="Palatino Linotype" w:cs="Arial"/>
          <w:i/>
          <w:color w:val="000000"/>
        </w:rPr>
      </w:pPr>
    </w:p>
    <w:p w14:paraId="0B262EA9" w14:textId="77777777" w:rsidR="009809E3" w:rsidRPr="00041EA6" w:rsidRDefault="009809E3" w:rsidP="00617DA2">
      <w:pPr>
        <w:pStyle w:val="Prrafodelista"/>
        <w:spacing w:line="360" w:lineRule="auto"/>
        <w:ind w:left="0"/>
        <w:jc w:val="both"/>
        <w:rPr>
          <w:rFonts w:ascii="Palatino Linotype" w:eastAsia="Times New Roman" w:hAnsi="Palatino Linotype" w:cs="Arial"/>
          <w:i/>
          <w:color w:val="000000"/>
        </w:rPr>
      </w:pPr>
      <w:r w:rsidRPr="00041EA6">
        <w:rPr>
          <w:rFonts w:ascii="Palatino Linotype" w:eastAsia="Times New Roman" w:hAnsi="Palatino Linotype" w:cs="Arial"/>
          <w:i/>
          <w:color w:val="000000"/>
        </w:rPr>
        <w:t xml:space="preserve">Resoluciones: RRA 3104/16. Secretaría de la Defensa Nacional. 01 de noviembre del 2016. Por unanimidad. Comisionado Ponente Oscar Mauricio Guerra Ford. RRA 2923/16. Administración Portuaria Integral de Lázaro Cárdenas, S.A. de C.V. 13 de diciembre de 2016. Por unanimidad. Comisionada Ponente María Patricia Kurczyn Villalobos. RRA 2855/17. Comisión Nacional de Hidrocarburos. 14 de junio de 2017. Por unanimidad con los votos particulares de los Comisionados Areli Cano Guadiana y Oscar Mauricio Guerra Ford. Comisionada Ponente Ximena Puente de la Mora. </w:t>
      </w:r>
    </w:p>
    <w:p w14:paraId="52D8D0A7" w14:textId="77777777" w:rsidR="009809E3" w:rsidRPr="00041EA6" w:rsidRDefault="009809E3" w:rsidP="00617DA2">
      <w:pPr>
        <w:pStyle w:val="Prrafodelista"/>
        <w:spacing w:line="360" w:lineRule="auto"/>
        <w:ind w:left="0"/>
        <w:jc w:val="both"/>
        <w:rPr>
          <w:rFonts w:ascii="Palatino Linotype" w:eastAsia="Times New Roman" w:hAnsi="Palatino Linotype" w:cs="Arial"/>
          <w:color w:val="000000"/>
        </w:rPr>
      </w:pPr>
    </w:p>
    <w:p w14:paraId="62C9668A" w14:textId="77777777" w:rsidR="009809E3" w:rsidRPr="00041EA6" w:rsidRDefault="009809E3" w:rsidP="00713E17">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lastRenderedPageBreak/>
        <w:t xml:space="preserve">Es entonces que, siguiendo la secuencia lógica y tomando como partida que la representación es el acto de manifestarse a nombre de otra persona, tenemos que: </w:t>
      </w:r>
    </w:p>
    <w:p w14:paraId="4E76D97C" w14:textId="245715D7" w:rsidR="009809E3" w:rsidRPr="00041EA6" w:rsidRDefault="009B44FE" w:rsidP="00713E17">
      <w:pPr>
        <w:pStyle w:val="Prrafodelista"/>
        <w:numPr>
          <w:ilvl w:val="0"/>
          <w:numId w:val="9"/>
        </w:numPr>
        <w:spacing w:line="360" w:lineRule="auto"/>
        <w:ind w:left="0" w:firstLine="0"/>
        <w:jc w:val="both"/>
        <w:rPr>
          <w:rFonts w:ascii="Palatino Linotype" w:eastAsia="Times New Roman" w:hAnsi="Palatino Linotype" w:cs="Arial"/>
          <w:b/>
          <w:color w:val="000000"/>
        </w:rPr>
      </w:pPr>
      <w:r w:rsidRPr="00041EA6">
        <w:rPr>
          <w:rFonts w:ascii="Palatino Linotype" w:eastAsia="Times New Roman" w:hAnsi="Palatino Linotype" w:cs="Arial"/>
          <w:b/>
          <w:color w:val="000000"/>
        </w:rPr>
        <w:t>El</w:t>
      </w:r>
      <w:r w:rsidR="009809E3" w:rsidRPr="00041EA6">
        <w:rPr>
          <w:rFonts w:ascii="Palatino Linotype" w:eastAsia="Times New Roman" w:hAnsi="Palatino Linotype" w:cs="Arial"/>
          <w:b/>
          <w:color w:val="000000"/>
        </w:rPr>
        <w:t xml:space="preserve"> </w:t>
      </w:r>
      <w:r w:rsidRPr="00041EA6">
        <w:rPr>
          <w:rFonts w:ascii="Palatino Linotype" w:eastAsia="Times New Roman" w:hAnsi="Palatino Linotype" w:cs="Arial"/>
          <w:b/>
          <w:color w:val="000000"/>
        </w:rPr>
        <w:t xml:space="preserve">enlace de la empresa, la persona que suscribe </w:t>
      </w:r>
      <w:r w:rsidR="009809E3" w:rsidRPr="00041EA6">
        <w:rPr>
          <w:rFonts w:ascii="Palatino Linotype" w:eastAsia="Times New Roman" w:hAnsi="Palatino Linotype" w:cs="Arial"/>
          <w:b/>
          <w:color w:val="000000"/>
        </w:rPr>
        <w:t xml:space="preserve"> y el apoderado representan legalmente a las personas morales. </w:t>
      </w:r>
    </w:p>
    <w:p w14:paraId="4082532C" w14:textId="77777777" w:rsidR="009809E3" w:rsidRPr="00041EA6" w:rsidRDefault="009809E3" w:rsidP="00713E17">
      <w:pPr>
        <w:pStyle w:val="Prrafodelista"/>
        <w:numPr>
          <w:ilvl w:val="0"/>
          <w:numId w:val="9"/>
        </w:numPr>
        <w:spacing w:line="360" w:lineRule="auto"/>
        <w:ind w:left="0" w:firstLine="0"/>
        <w:jc w:val="both"/>
        <w:rPr>
          <w:rFonts w:ascii="Palatino Linotype" w:eastAsia="Times New Roman" w:hAnsi="Palatino Linotype" w:cs="Arial"/>
          <w:b/>
          <w:color w:val="000000"/>
        </w:rPr>
      </w:pPr>
      <w:r w:rsidRPr="00041EA6">
        <w:rPr>
          <w:rFonts w:ascii="Palatino Linotype" w:eastAsia="Times New Roman" w:hAnsi="Palatino Linotype" w:cs="Arial"/>
          <w:b/>
          <w:color w:val="000000"/>
        </w:rPr>
        <w:t xml:space="preserve">El nombre y la firma del representante legal, no pueden ser objeto de clasificación. </w:t>
      </w:r>
    </w:p>
    <w:p w14:paraId="62BD92C1" w14:textId="293CB1CD" w:rsidR="009809E3" w:rsidRPr="00041EA6" w:rsidRDefault="009809E3" w:rsidP="00713E17">
      <w:pPr>
        <w:pStyle w:val="Prrafodelista"/>
        <w:numPr>
          <w:ilvl w:val="0"/>
          <w:numId w:val="9"/>
        </w:numPr>
        <w:spacing w:line="360" w:lineRule="auto"/>
        <w:ind w:left="0" w:firstLine="0"/>
        <w:jc w:val="both"/>
        <w:rPr>
          <w:rFonts w:ascii="Palatino Linotype" w:eastAsia="Times New Roman" w:hAnsi="Palatino Linotype" w:cs="Arial"/>
          <w:b/>
          <w:color w:val="000000"/>
        </w:rPr>
      </w:pPr>
      <w:r w:rsidRPr="00041EA6">
        <w:rPr>
          <w:rFonts w:ascii="Palatino Linotype" w:eastAsia="Times New Roman" w:hAnsi="Palatino Linotype" w:cs="Arial"/>
          <w:b/>
          <w:color w:val="000000"/>
        </w:rPr>
        <w:t xml:space="preserve">Nombre y firma del </w:t>
      </w:r>
      <w:r w:rsidR="009B44FE" w:rsidRPr="00041EA6">
        <w:rPr>
          <w:rFonts w:ascii="Palatino Linotype" w:eastAsia="Times New Roman" w:hAnsi="Palatino Linotype" w:cs="Arial"/>
          <w:b/>
          <w:color w:val="000000"/>
        </w:rPr>
        <w:t xml:space="preserve">enlace, </w:t>
      </w:r>
      <w:r w:rsidRPr="00041EA6">
        <w:rPr>
          <w:rFonts w:ascii="Palatino Linotype" w:eastAsia="Times New Roman" w:hAnsi="Palatino Linotype" w:cs="Arial"/>
          <w:b/>
          <w:color w:val="000000"/>
        </w:rPr>
        <w:t xml:space="preserve">apoderado y </w:t>
      </w:r>
      <w:r w:rsidR="009B44FE" w:rsidRPr="00041EA6">
        <w:rPr>
          <w:rFonts w:ascii="Palatino Linotype" w:eastAsia="Times New Roman" w:hAnsi="Palatino Linotype" w:cs="Arial"/>
          <w:b/>
          <w:color w:val="000000"/>
        </w:rPr>
        <w:t>persona que suscribe</w:t>
      </w:r>
      <w:r w:rsidRPr="00041EA6">
        <w:rPr>
          <w:rFonts w:ascii="Palatino Linotype" w:eastAsia="Times New Roman" w:hAnsi="Palatino Linotype" w:cs="Arial"/>
          <w:b/>
          <w:color w:val="000000"/>
        </w:rPr>
        <w:t xml:space="preserve"> no son objeto de clasificación. </w:t>
      </w:r>
    </w:p>
    <w:p w14:paraId="1DB3D2CD" w14:textId="77777777" w:rsidR="009809E3" w:rsidRPr="00041EA6" w:rsidRDefault="009809E3" w:rsidP="00617DA2">
      <w:pPr>
        <w:pStyle w:val="Prrafodelista"/>
        <w:spacing w:line="360" w:lineRule="auto"/>
        <w:ind w:left="0"/>
        <w:jc w:val="both"/>
        <w:rPr>
          <w:rFonts w:ascii="Palatino Linotype" w:eastAsia="Times New Roman" w:hAnsi="Palatino Linotype" w:cs="Arial"/>
          <w:b/>
          <w:color w:val="000000"/>
        </w:rPr>
      </w:pPr>
    </w:p>
    <w:p w14:paraId="339355AE" w14:textId="7DD37377" w:rsidR="009B44FE" w:rsidRPr="00041EA6" w:rsidRDefault="0047643B" w:rsidP="00617DA2">
      <w:pPr>
        <w:spacing w:line="360" w:lineRule="auto"/>
        <w:contextualSpacing/>
        <w:jc w:val="both"/>
        <w:rPr>
          <w:rFonts w:ascii="Palatino Linotype" w:hAnsi="Palatino Linotype" w:cs="Tahoma"/>
          <w:b/>
          <w:bCs/>
          <w:noProof/>
          <w:color w:val="0D0D0D" w:themeColor="text1" w:themeTint="F2"/>
        </w:rPr>
      </w:pPr>
      <w:r w:rsidRPr="00041EA6">
        <w:rPr>
          <w:rFonts w:ascii="Palatino Linotype" w:hAnsi="Palatino Linotype" w:cs="Tahoma"/>
          <w:b/>
          <w:bCs/>
          <w:iCs/>
          <w:noProof/>
          <w:color w:val="0D0D0D" w:themeColor="text1" w:themeTint="F2"/>
        </w:rPr>
        <w:t>D</w:t>
      </w:r>
      <w:r w:rsidR="009B44FE" w:rsidRPr="00041EA6">
        <w:rPr>
          <w:rFonts w:ascii="Palatino Linotype" w:hAnsi="Palatino Linotype" w:cs="Tahoma"/>
          <w:b/>
          <w:bCs/>
          <w:iCs/>
          <w:noProof/>
          <w:color w:val="0D0D0D" w:themeColor="text1" w:themeTint="F2"/>
        </w:rPr>
        <w:t>el Acta Constitutiva e instrumentos notariales</w:t>
      </w:r>
    </w:p>
    <w:p w14:paraId="6B2F242A" w14:textId="382ADB36" w:rsidR="009B44FE" w:rsidRPr="00041EA6" w:rsidRDefault="009B44FE" w:rsidP="00713E17">
      <w:pPr>
        <w:pStyle w:val="Prrafodelista"/>
        <w:numPr>
          <w:ilvl w:val="0"/>
          <w:numId w:val="13"/>
        </w:numPr>
        <w:spacing w:line="360" w:lineRule="auto"/>
        <w:ind w:left="0" w:firstLine="0"/>
        <w:jc w:val="both"/>
        <w:rPr>
          <w:rFonts w:ascii="Palatino Linotype" w:hAnsi="Palatino Linotype" w:cs="Tahoma"/>
          <w:bCs/>
          <w:iCs/>
          <w:noProof/>
          <w:color w:val="0D0D0D" w:themeColor="text1" w:themeTint="F2"/>
        </w:rPr>
      </w:pPr>
      <w:r w:rsidRPr="00041EA6">
        <w:rPr>
          <w:rFonts w:ascii="Palatino Linotype" w:hAnsi="Palatino Linotype" w:cs="Tahoma"/>
          <w:bCs/>
          <w:noProof/>
          <w:color w:val="0D0D0D" w:themeColor="text1" w:themeTint="F2"/>
        </w:rPr>
        <w:t xml:space="preserve"> </w:t>
      </w:r>
      <w:r w:rsidRPr="00041EA6">
        <w:rPr>
          <w:rFonts w:ascii="Palatino Linotype" w:hAnsi="Palatino Linotype" w:cs="Tahoma"/>
          <w:bCs/>
          <w:iCs/>
          <w:noProof/>
          <w:color w:val="0D0D0D" w:themeColor="text1" w:themeTint="F2"/>
        </w:rPr>
        <w:t xml:space="preserve">Sobre este documento, se debe señalar que debe ser analizado en su integridad, al ser este un acto que emana de la libertad de las personas para asociarse, derecho humano, que es reconocido en el artículo 9° de la Constitución Política de los Estados Unidos Mexicanos. En esa tesitura, debe entenderse que las personas físicas pueden asociarse para crear personas morales, y con este acto dotarlas de personalidad jurídica. </w:t>
      </w:r>
    </w:p>
    <w:p w14:paraId="0A8B5366" w14:textId="77777777" w:rsidR="009B44FE" w:rsidRPr="00041EA6" w:rsidRDefault="009B44FE" w:rsidP="00713E17">
      <w:pPr>
        <w:spacing w:line="360" w:lineRule="auto"/>
        <w:contextualSpacing/>
        <w:jc w:val="both"/>
        <w:rPr>
          <w:rFonts w:ascii="Palatino Linotype" w:hAnsi="Palatino Linotype" w:cs="Tahoma"/>
          <w:bCs/>
          <w:iCs/>
          <w:noProof/>
          <w:color w:val="0D0D0D" w:themeColor="text1" w:themeTint="F2"/>
        </w:rPr>
      </w:pPr>
      <w:r w:rsidRPr="00041EA6">
        <w:rPr>
          <w:rFonts w:ascii="Palatino Linotype" w:hAnsi="Palatino Linotype" w:cs="Tahoma"/>
          <w:bCs/>
          <w:iCs/>
          <w:noProof/>
          <w:color w:val="0D0D0D" w:themeColor="text1" w:themeTint="F2"/>
        </w:rPr>
        <w:t xml:space="preserve"> </w:t>
      </w:r>
    </w:p>
    <w:p w14:paraId="1E0B3883" w14:textId="137EE49F" w:rsidR="009B44FE" w:rsidRPr="00041EA6" w:rsidRDefault="009B44FE" w:rsidP="00713E17">
      <w:pPr>
        <w:pStyle w:val="Prrafodelista"/>
        <w:numPr>
          <w:ilvl w:val="0"/>
          <w:numId w:val="13"/>
        </w:numPr>
        <w:spacing w:line="360" w:lineRule="auto"/>
        <w:ind w:left="0" w:firstLine="0"/>
        <w:jc w:val="both"/>
        <w:rPr>
          <w:rFonts w:ascii="Palatino Linotype" w:hAnsi="Palatino Linotype" w:cs="Tahoma"/>
          <w:bCs/>
          <w:iCs/>
          <w:noProof/>
          <w:color w:val="0D0D0D" w:themeColor="text1" w:themeTint="F2"/>
        </w:rPr>
      </w:pPr>
      <w:r w:rsidRPr="00041EA6">
        <w:rPr>
          <w:rFonts w:ascii="Palatino Linotype" w:hAnsi="Palatino Linotype" w:cs="Tahoma"/>
          <w:bCs/>
          <w:iCs/>
          <w:noProof/>
          <w:color w:val="0D0D0D" w:themeColor="text1" w:themeTint="F2"/>
        </w:rPr>
        <w:t xml:space="preserve">Es necesario precisar que la Doctrina Jurídica, ha reconocido que las personas morales </w:t>
      </w:r>
      <w:r w:rsidRPr="00041EA6">
        <w:rPr>
          <w:rFonts w:ascii="Palatino Linotype" w:hAnsi="Palatino Linotype" w:cs="Tahoma"/>
          <w:bCs/>
          <w:i/>
          <w:noProof/>
          <w:color w:val="0D0D0D" w:themeColor="text1" w:themeTint="F2"/>
        </w:rPr>
        <w:t>son realidades orgánicas que nacen de un acto social constitutivo, en el que la voluntad de las partes se proyecta unilateralmente y crea un complejo de derechos y deberes de las partes entre si y de estas con la corporación y, sobre todo, crea la norma jurídica objetiva, es decir, los estatutos que constituyen la ley de la sociedad</w:t>
      </w:r>
      <w:r w:rsidRPr="00041EA6">
        <w:rPr>
          <w:rFonts w:ascii="Palatino Linotype" w:hAnsi="Palatino Linotype" w:cs="Tahoma"/>
          <w:bCs/>
          <w:iCs/>
          <w:noProof/>
          <w:color w:val="0D0D0D" w:themeColor="text1" w:themeTint="F2"/>
        </w:rPr>
        <w:t xml:space="preserve">., (Manuel García Rendón. (2016). Sociedades Mercantiles. Ciudad de México. Oxford. Pág. 18). De lo anterior, se puede inferir que las sociedades no nacen de un contrato ordinario, si no, de un contrato de organización. </w:t>
      </w:r>
    </w:p>
    <w:p w14:paraId="2F83C5DE" w14:textId="77777777" w:rsidR="009B44FE" w:rsidRPr="00041EA6" w:rsidRDefault="009B44FE" w:rsidP="00617DA2">
      <w:pPr>
        <w:spacing w:line="360" w:lineRule="auto"/>
        <w:contextualSpacing/>
        <w:jc w:val="both"/>
        <w:rPr>
          <w:rFonts w:ascii="Palatino Linotype" w:hAnsi="Palatino Linotype" w:cs="Tahoma"/>
          <w:bCs/>
          <w:iCs/>
          <w:noProof/>
          <w:color w:val="0D0D0D" w:themeColor="text1" w:themeTint="F2"/>
        </w:rPr>
      </w:pPr>
      <w:r w:rsidRPr="00041EA6">
        <w:rPr>
          <w:rFonts w:ascii="Palatino Linotype" w:hAnsi="Palatino Linotype" w:cs="Tahoma"/>
          <w:bCs/>
          <w:iCs/>
          <w:noProof/>
          <w:color w:val="0D0D0D" w:themeColor="text1" w:themeTint="F2"/>
        </w:rPr>
        <w:t xml:space="preserve"> </w:t>
      </w:r>
    </w:p>
    <w:p w14:paraId="6D4AAC0A" w14:textId="3BE1E73F" w:rsidR="009B44FE" w:rsidRPr="00041EA6" w:rsidRDefault="009B44FE" w:rsidP="00713E17">
      <w:pPr>
        <w:pStyle w:val="Prrafodelista"/>
        <w:numPr>
          <w:ilvl w:val="0"/>
          <w:numId w:val="13"/>
        </w:numPr>
        <w:spacing w:line="360" w:lineRule="auto"/>
        <w:ind w:left="0" w:firstLine="0"/>
        <w:jc w:val="both"/>
        <w:rPr>
          <w:rFonts w:ascii="Palatino Linotype" w:hAnsi="Palatino Linotype" w:cs="Tahoma"/>
          <w:bCs/>
          <w:iCs/>
          <w:noProof/>
          <w:color w:val="0D0D0D" w:themeColor="text1" w:themeTint="F2"/>
        </w:rPr>
      </w:pPr>
      <w:r w:rsidRPr="00041EA6">
        <w:rPr>
          <w:rFonts w:ascii="Palatino Linotype" w:hAnsi="Palatino Linotype" w:cs="Tahoma"/>
          <w:bCs/>
          <w:iCs/>
          <w:noProof/>
          <w:color w:val="0D0D0D" w:themeColor="text1" w:themeTint="F2"/>
        </w:rPr>
        <w:lastRenderedPageBreak/>
        <w:t xml:space="preserve">No debe perderse de vista, que el contrato social de una sociedad mercantil está sujeto a diversas formalidades de entre las cuales destaca la prevista en el artículo 5°, primer párrafo de la Ley General de Sociedad Mercantiles, al señalar: </w:t>
      </w:r>
    </w:p>
    <w:p w14:paraId="57A3980C" w14:textId="1B5D3EBE" w:rsidR="009B44FE" w:rsidRPr="00041EA6" w:rsidRDefault="009B44FE" w:rsidP="00617DA2">
      <w:pPr>
        <w:spacing w:line="360" w:lineRule="auto"/>
        <w:contextualSpacing/>
        <w:jc w:val="both"/>
        <w:rPr>
          <w:rFonts w:ascii="Palatino Linotype" w:hAnsi="Palatino Linotype" w:cs="Tahoma"/>
          <w:bCs/>
          <w:i/>
          <w:noProof/>
          <w:color w:val="0D0D0D" w:themeColor="text1" w:themeTint="F2"/>
        </w:rPr>
      </w:pPr>
      <w:r w:rsidRPr="00041EA6">
        <w:rPr>
          <w:rFonts w:ascii="Palatino Linotype" w:hAnsi="Palatino Linotype" w:cs="Tahoma"/>
          <w:bCs/>
          <w:iCs/>
          <w:noProof/>
          <w:color w:val="0D0D0D" w:themeColor="text1" w:themeTint="F2"/>
        </w:rPr>
        <w:t xml:space="preserve"> </w:t>
      </w:r>
      <w:r w:rsidRPr="00041EA6">
        <w:rPr>
          <w:rFonts w:ascii="Palatino Linotype" w:hAnsi="Palatino Linotype" w:cs="Tahoma"/>
          <w:b/>
          <w:bCs/>
          <w:i/>
          <w:noProof/>
          <w:color w:val="0D0D0D" w:themeColor="text1" w:themeTint="F2"/>
        </w:rPr>
        <w:t>“Artículo 5o</w:t>
      </w:r>
      <w:r w:rsidRPr="00041EA6">
        <w:rPr>
          <w:rFonts w:ascii="Palatino Linotype" w:hAnsi="Palatino Linotype" w:cs="Tahoma"/>
          <w:bCs/>
          <w:i/>
          <w:noProof/>
          <w:color w:val="0D0D0D" w:themeColor="text1" w:themeTint="F2"/>
        </w:rPr>
        <w:t>. Las sociedades se constituirán ante fedatario público y en la misma forma se harán constar con sus modificaciones. El fedatario público no autorizará la escritura o póliza cuando los estatutos o sus modificaciones contravengan lo dispuesto por esta Ley.”</w:t>
      </w:r>
    </w:p>
    <w:p w14:paraId="3A0CE7B7" w14:textId="77777777" w:rsidR="009B44FE" w:rsidRPr="00041EA6" w:rsidRDefault="009B44FE" w:rsidP="00617DA2">
      <w:pPr>
        <w:spacing w:line="360" w:lineRule="auto"/>
        <w:contextualSpacing/>
        <w:jc w:val="both"/>
        <w:rPr>
          <w:rFonts w:ascii="Palatino Linotype" w:hAnsi="Palatino Linotype" w:cs="Tahoma"/>
          <w:bCs/>
          <w:iCs/>
          <w:noProof/>
          <w:color w:val="0D0D0D" w:themeColor="text1" w:themeTint="F2"/>
        </w:rPr>
      </w:pPr>
      <w:r w:rsidRPr="00041EA6">
        <w:rPr>
          <w:rFonts w:ascii="Palatino Linotype" w:hAnsi="Palatino Linotype" w:cs="Tahoma"/>
          <w:bCs/>
          <w:iCs/>
          <w:noProof/>
          <w:color w:val="0D0D0D" w:themeColor="text1" w:themeTint="F2"/>
        </w:rPr>
        <w:t xml:space="preserve"> </w:t>
      </w:r>
    </w:p>
    <w:p w14:paraId="30EA3459" w14:textId="5F6EFE16" w:rsidR="009B44FE" w:rsidRPr="00041EA6" w:rsidRDefault="009B44FE" w:rsidP="00713E17">
      <w:pPr>
        <w:pStyle w:val="Prrafodelista"/>
        <w:numPr>
          <w:ilvl w:val="0"/>
          <w:numId w:val="13"/>
        </w:numPr>
        <w:spacing w:line="360" w:lineRule="auto"/>
        <w:ind w:left="0" w:firstLine="0"/>
        <w:jc w:val="both"/>
        <w:rPr>
          <w:rFonts w:ascii="Palatino Linotype" w:hAnsi="Palatino Linotype" w:cs="Tahoma"/>
          <w:bCs/>
          <w:i/>
          <w:noProof/>
          <w:color w:val="0D0D0D" w:themeColor="text1" w:themeTint="F2"/>
        </w:rPr>
      </w:pPr>
      <w:r w:rsidRPr="00041EA6">
        <w:rPr>
          <w:rFonts w:ascii="Palatino Linotype" w:hAnsi="Palatino Linotype" w:cs="Tahoma"/>
          <w:bCs/>
          <w:iCs/>
          <w:noProof/>
          <w:color w:val="0D0D0D" w:themeColor="text1" w:themeTint="F2"/>
        </w:rPr>
        <w:t>Asimismo, debe entenderse que la constitución de una sociedad mercantil emana de un acuerdo de voluntades de sus socios, del cual deriva un contrato social y que, a su vez, la Ley le establece formalidades. Al respecto, dicho contrato social, también conocido como acta constitutiva, conforme al artículo 6° de la Ley General de Sociedades Mercantiles, se conforma de los siguientes datos:</w:t>
      </w:r>
      <w:r w:rsidRPr="00041EA6">
        <w:rPr>
          <w:rFonts w:ascii="Palatino Linotype" w:hAnsi="Palatino Linotype" w:cs="Tahoma"/>
          <w:bCs/>
          <w:i/>
          <w:noProof/>
          <w:color w:val="0D0D0D" w:themeColor="text1" w:themeTint="F2"/>
        </w:rPr>
        <w:t xml:space="preserve">  </w:t>
      </w:r>
    </w:p>
    <w:p w14:paraId="72D84F56" w14:textId="633CADB4" w:rsidR="009B44FE" w:rsidRPr="00041EA6" w:rsidRDefault="009B44FE" w:rsidP="007943E6">
      <w:pPr>
        <w:spacing w:line="360" w:lineRule="auto"/>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 xml:space="preserve"> Los nombres, nacionalidad y domicilio de las personas físicas o morales que constituyan la sociedad;</w:t>
      </w:r>
    </w:p>
    <w:p w14:paraId="6F687ED7"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El objeto de la sociedad;</w:t>
      </w:r>
    </w:p>
    <w:p w14:paraId="16D6EDD4"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Su razón social o denominación;</w:t>
      </w:r>
    </w:p>
    <w:p w14:paraId="4E6E8AE6"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Su duración, misma que podrá ser indefinida;</w:t>
      </w:r>
    </w:p>
    <w:p w14:paraId="01D36BD4"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El importe del capital social;</w:t>
      </w:r>
    </w:p>
    <w:p w14:paraId="26DC686D"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 xml:space="preserve">La expresión de lo que cada socio aporte en dinero o en otros bienes; el valor atribuido a éstos y el criterio seguido para su valorización. </w:t>
      </w:r>
    </w:p>
    <w:p w14:paraId="709EF138"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Cuando el capital sea variable, así se expresará indicándose el mínimo que se fije;</w:t>
      </w:r>
    </w:p>
    <w:p w14:paraId="1C98D719"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El domicilio de la sociedad;</w:t>
      </w:r>
    </w:p>
    <w:p w14:paraId="2E80A756"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La manera conforme a la cual haya de administrarse la sociedad y las facultades de los administradores;</w:t>
      </w:r>
    </w:p>
    <w:p w14:paraId="18A04C23"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El nombramiento de los administradores y la designación de los que han de llevar la firma social;</w:t>
      </w:r>
    </w:p>
    <w:p w14:paraId="58958F8A"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La manera de hacer la distribución de las utilidades y pérdidas entre los miembros de la sociedad:</w:t>
      </w:r>
    </w:p>
    <w:p w14:paraId="7CB07D24"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El importe del fondo de reserva;</w:t>
      </w:r>
    </w:p>
    <w:p w14:paraId="19BDD062"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lastRenderedPageBreak/>
        <w:t>Los casos en que la sociedad haya de disolverse anticipadamente, y</w:t>
      </w:r>
    </w:p>
    <w:p w14:paraId="21EFEE49" w14:textId="77777777" w:rsidR="009B44FE" w:rsidRPr="00041EA6" w:rsidRDefault="009B44FE" w:rsidP="00713E17">
      <w:pPr>
        <w:numPr>
          <w:ilvl w:val="0"/>
          <w:numId w:val="14"/>
        </w:numPr>
        <w:spacing w:line="276"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Las bases para practicar la liquidación de la sociedad y el modo de proceder a la elección de los liquidadores, cuando no hayan sido designados anticipadamente.</w:t>
      </w:r>
    </w:p>
    <w:p w14:paraId="0C952038"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5001B293" w14:textId="1A387059" w:rsidR="009B44FE" w:rsidRPr="00041EA6" w:rsidRDefault="009B44FE" w:rsidP="00713E17">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En ese contexto, es necesario precisar que </w:t>
      </w:r>
      <w:r w:rsidRPr="00041EA6">
        <w:rPr>
          <w:rFonts w:ascii="Palatino Linotype" w:hAnsi="Palatino Linotype" w:cs="Tahoma"/>
          <w:b/>
          <w:bCs/>
          <w:noProof/>
          <w:color w:val="0D0D0D" w:themeColor="text1" w:themeTint="F2"/>
        </w:rPr>
        <w:t xml:space="preserve">la publicidad de información relativa a la constitución legal de una empresa </w:t>
      </w:r>
      <w:r w:rsidR="0047643B" w:rsidRPr="00041EA6">
        <w:rPr>
          <w:rFonts w:ascii="Palatino Linotype" w:hAnsi="Palatino Linotype" w:cs="Tahoma"/>
          <w:b/>
          <w:bCs/>
          <w:noProof/>
          <w:color w:val="0D0D0D" w:themeColor="text1" w:themeTint="F2"/>
        </w:rPr>
        <w:t>que realice convenios con el Estado</w:t>
      </w:r>
      <w:r w:rsidRPr="00041EA6">
        <w:rPr>
          <w:rFonts w:ascii="Palatino Linotype" w:hAnsi="Palatino Linotype" w:cs="Tahoma"/>
          <w:b/>
          <w:bCs/>
          <w:noProof/>
          <w:color w:val="0D0D0D" w:themeColor="text1" w:themeTint="F2"/>
        </w:rPr>
        <w:t>, debe considerarse de interés público</w:t>
      </w:r>
      <w:r w:rsidRPr="00041EA6">
        <w:rPr>
          <w:rFonts w:ascii="Palatino Linotype" w:hAnsi="Palatino Linotype" w:cs="Tahoma"/>
          <w:bCs/>
          <w:noProof/>
          <w:color w:val="0D0D0D" w:themeColor="text1" w:themeTint="F2"/>
        </w:rPr>
        <w:t xml:space="preserve">, lo anterior es así, pues debe privilegiarse el principio de máxima publicidad y rendición de cuentas; pues su publicidad radica en que permite a la ciudadanía conocer de manera clara y precisa, que una empresa que </w:t>
      </w:r>
      <w:r w:rsidR="0047643B" w:rsidRPr="00041EA6">
        <w:rPr>
          <w:rFonts w:ascii="Palatino Linotype" w:hAnsi="Palatino Linotype" w:cs="Tahoma"/>
          <w:bCs/>
          <w:noProof/>
          <w:color w:val="0D0D0D" w:themeColor="text1" w:themeTint="F2"/>
        </w:rPr>
        <w:t>esta realizando algún convenio, en este caso con el Ayuntamiento de Toluca, se encuentre</w:t>
      </w:r>
      <w:r w:rsidRPr="00041EA6">
        <w:rPr>
          <w:rFonts w:ascii="Palatino Linotype" w:hAnsi="Palatino Linotype" w:cs="Tahoma"/>
          <w:bCs/>
          <w:noProof/>
          <w:color w:val="0D0D0D" w:themeColor="text1" w:themeTint="F2"/>
        </w:rPr>
        <w:t xml:space="preserve"> debidamente registrada y constituida; por lo que, se considera correcto que se haya entregado en versión pública, sin embargo, es necesario analizar si los datos testados actualizan la clasificación o no.</w:t>
      </w:r>
    </w:p>
    <w:p w14:paraId="6C2C8E03"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3109F496" w14:textId="0E18A156" w:rsidR="009B44FE" w:rsidRPr="00041EA6" w:rsidRDefault="009B44FE" w:rsidP="00713E17">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Sobre el tema, el artículo 116, último párrafo de la Ley General de Transparencia y Acceso a la Información Pública y el 143, fracción III, de la Ley de Transparencia y Acceso a la Información Pública del Estado de México y Municipios, establecen que será información confidencial, aquella que presenten los </w:t>
      </w:r>
      <w:r w:rsidR="0047643B" w:rsidRPr="00041EA6">
        <w:rPr>
          <w:rFonts w:ascii="Palatino Linotype" w:hAnsi="Palatino Linotype" w:cs="Tahoma"/>
          <w:bCs/>
          <w:noProof/>
          <w:color w:val="0D0D0D" w:themeColor="text1" w:themeTint="F2"/>
        </w:rPr>
        <w:t>particulares con dicho carácter; a</w:t>
      </w:r>
      <w:r w:rsidRPr="00041EA6">
        <w:rPr>
          <w:rFonts w:ascii="Palatino Linotype" w:hAnsi="Palatino Linotype" w:cs="Tahoma"/>
          <w:bCs/>
          <w:noProof/>
          <w:color w:val="0D0D0D" w:themeColor="text1" w:themeTint="F2"/>
        </w:rPr>
        <w:t>demás, el Cuadragésimo de los Lineamientos Generales en Materia de Clasificación y Desclasificación de la Información, así́ como, para la Elaboración de Versiones Públicas, establece que la información susceptible a ser clasificada por dicha causal, es la siguiente:</w:t>
      </w:r>
    </w:p>
    <w:p w14:paraId="16FD78DD" w14:textId="29E0B273" w:rsidR="009B44FE" w:rsidRPr="00041EA6" w:rsidRDefault="009B44FE" w:rsidP="007943E6">
      <w:pPr>
        <w:spacing w:line="360" w:lineRule="auto"/>
        <w:contextualSpacing/>
        <w:jc w:val="both"/>
        <w:rPr>
          <w:rFonts w:ascii="Palatino Linotype" w:hAnsi="Palatino Linotype" w:cs="Tahoma"/>
          <w:bCs/>
          <w:i/>
          <w:noProof/>
          <w:color w:val="0D0D0D" w:themeColor="text1" w:themeTint="F2"/>
        </w:rPr>
      </w:pPr>
      <w:r w:rsidRPr="00041EA6">
        <w:rPr>
          <w:rFonts w:ascii="Palatino Linotype" w:hAnsi="Palatino Linotype" w:cs="Tahoma"/>
          <w:bCs/>
          <w:noProof/>
          <w:color w:val="0D0D0D" w:themeColor="text1" w:themeTint="F2"/>
        </w:rPr>
        <w:t xml:space="preserve"> </w:t>
      </w:r>
      <w:r w:rsidRPr="00041EA6">
        <w:rPr>
          <w:rFonts w:ascii="Palatino Linotype" w:hAnsi="Palatino Linotype" w:cs="Tahoma"/>
          <w:bCs/>
          <w:i/>
          <w:noProof/>
          <w:color w:val="0D0D0D" w:themeColor="text1" w:themeTint="F2"/>
        </w:rPr>
        <w:t>La que se refiera al patrimonio de una persona moral, y</w:t>
      </w:r>
    </w:p>
    <w:p w14:paraId="15126126" w14:textId="77777777" w:rsidR="009B44FE" w:rsidRPr="00041EA6" w:rsidRDefault="009B44FE" w:rsidP="00675F22">
      <w:pPr>
        <w:pStyle w:val="Prrafodelista"/>
        <w:numPr>
          <w:ilvl w:val="0"/>
          <w:numId w:val="15"/>
        </w:numPr>
        <w:spacing w:line="360" w:lineRule="auto"/>
        <w:ind w:left="0" w:firstLine="0"/>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La que comprenda hechos y actos de carácter económico, contable, jurídico o administrativo relativos a una persona, que pudiera ser útil para un competidor; así como, aquella relativa a detalles sobre el manejo de una empresa, sobre su proceso de toma de decisiones o información que pudiera afectar sus negociaciones.</w:t>
      </w:r>
    </w:p>
    <w:p w14:paraId="2739FC8E" w14:textId="76AC4DF4" w:rsidR="009B44FE" w:rsidRPr="007943E6" w:rsidRDefault="009B44FE" w:rsidP="007943E6">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7943E6">
        <w:rPr>
          <w:rFonts w:ascii="Palatino Linotype" w:hAnsi="Palatino Linotype" w:cs="Tahoma"/>
          <w:bCs/>
          <w:noProof/>
          <w:color w:val="0D0D0D" w:themeColor="text1" w:themeTint="F2"/>
        </w:rPr>
        <w:lastRenderedPageBreak/>
        <w:t>Conforme a dicha circunstancia, se logra observar que los únicos datos que son clasificables por dicha causal, son aquellos que den pauta del patrimonio de la persona moral y de los socios, pues corresponden al conjunto de bienes, derechos y obligaciones correspondientes a una persona moral y física, que constituyen una universalidad jurídica; por lo que, revelar dicha información se estaría vulnerando su privacidad, al ser el conjunto de bienes y activos con los que cuenta.</w:t>
      </w:r>
    </w:p>
    <w:p w14:paraId="769A9D3D"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248F1C35" w14:textId="19DF905B"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Así mismo, resultaría procedente la clasificación de los datos de carácter económico, contable, jurídico o administrativo que de ventaja a un tercero; así como, aquellos que den detalles sobre el manejo de una empresa, el proceso de toma de decisiones o información que afecten sus negociaciones.</w:t>
      </w:r>
    </w:p>
    <w:p w14:paraId="2139D83A"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4328DAAC" w14:textId="69DC8EA7"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No obstante, por lo que, hace al nombre de los socios y sus datos de contacto, ubicación e identificación, no son susceptibles a ser clasificados en términos del artículo 143, fracción III, de la Ley de Transparencia y Acceso a la Información Pública del Estado de México, pues son datos personales que los hacen identificables, por lo que, no entran en la categoría de la causal referida.</w:t>
      </w:r>
    </w:p>
    <w:p w14:paraId="1159DBC4"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3F50BB88" w14:textId="2C050857"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Sin embargo, este instituto considera que los datos de contacto y ubicación, así como, la Clave Única de Registro de Población y el Registro Federal de Contribuyentes de los socios, actualizan la causal de clasificación establecida en el artículo 143, fracción I, de la Ley de la materia, por lo que, es necesario analizar algunos de los datos que pudieran obran en dicha acta constitutiva.</w:t>
      </w:r>
    </w:p>
    <w:p w14:paraId="3DF573DD" w14:textId="77777777" w:rsidR="009A3D46" w:rsidRDefault="009A3D46" w:rsidP="00617DA2">
      <w:pPr>
        <w:spacing w:line="360" w:lineRule="auto"/>
        <w:jc w:val="both"/>
        <w:rPr>
          <w:rFonts w:ascii="Palatino Linotype" w:hAnsi="Palatino Linotype" w:cs="Tahoma"/>
          <w:bCs/>
          <w:noProof/>
          <w:color w:val="0D0D0D" w:themeColor="text1" w:themeTint="F2"/>
        </w:rPr>
      </w:pPr>
    </w:p>
    <w:p w14:paraId="54641C13" w14:textId="77777777" w:rsidR="007943E6" w:rsidRPr="00041EA6" w:rsidRDefault="007943E6" w:rsidP="00617DA2">
      <w:pPr>
        <w:spacing w:line="360" w:lineRule="auto"/>
        <w:jc w:val="both"/>
        <w:rPr>
          <w:rFonts w:ascii="Palatino Linotype" w:hAnsi="Palatino Linotype" w:cs="Tahoma"/>
          <w:bCs/>
          <w:noProof/>
          <w:color w:val="0D0D0D" w:themeColor="text1" w:themeTint="F2"/>
        </w:rPr>
      </w:pPr>
    </w:p>
    <w:p w14:paraId="086F8FCC" w14:textId="79D87CE1" w:rsidR="009B44FE" w:rsidRPr="00041EA6" w:rsidRDefault="009B44FE" w:rsidP="00617DA2">
      <w:pPr>
        <w:spacing w:line="360" w:lineRule="auto"/>
        <w:contextualSpacing/>
        <w:jc w:val="both"/>
        <w:rPr>
          <w:rFonts w:ascii="Palatino Linotype" w:hAnsi="Palatino Linotype" w:cs="Tahoma"/>
          <w:b/>
          <w:bCs/>
          <w:noProof/>
          <w:color w:val="0D0D0D" w:themeColor="text1" w:themeTint="F2"/>
        </w:rPr>
      </w:pPr>
      <w:r w:rsidRPr="00041EA6">
        <w:rPr>
          <w:rFonts w:ascii="Palatino Linotype" w:hAnsi="Palatino Linotype" w:cs="Tahoma"/>
          <w:b/>
          <w:bCs/>
          <w:noProof/>
          <w:color w:val="0D0D0D" w:themeColor="text1" w:themeTint="F2"/>
        </w:rPr>
        <w:lastRenderedPageBreak/>
        <w:t xml:space="preserve">Denominación o razón Social </w:t>
      </w:r>
    </w:p>
    <w:p w14:paraId="15A7E89F" w14:textId="4A624CC7"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
          <w:bCs/>
          <w:noProof/>
          <w:color w:val="0D0D0D" w:themeColor="text1" w:themeTint="F2"/>
        </w:rPr>
        <w:t xml:space="preserve"> </w:t>
      </w:r>
      <w:r w:rsidRPr="00041EA6">
        <w:rPr>
          <w:rFonts w:ascii="Palatino Linotype" w:hAnsi="Palatino Linotype" w:cs="Tahoma"/>
          <w:bCs/>
          <w:noProof/>
          <w:color w:val="0D0D0D" w:themeColor="text1" w:themeTint="F2"/>
        </w:rPr>
        <w:t>Al respecto, se considera que la denominación o razón social de una persona moral, es pública, pues dichos datos se encuentran inscritos en el Registro Público del Comercio; lo anterior, toma sustento en el Criterio de Interpretación, de la Segunda Época, con número de registro SO/008/2019, emitido por el Instituto Nacional de Transparencia, Acceso a la Información y Protección de Datos Personales, que precisa lo siguiente:</w:t>
      </w:r>
    </w:p>
    <w:p w14:paraId="732041B7" w14:textId="7DA11DF9" w:rsidR="009B44FE" w:rsidRPr="00041EA6" w:rsidRDefault="009B44FE" w:rsidP="00617DA2">
      <w:pPr>
        <w:spacing w:line="360" w:lineRule="auto"/>
        <w:contextualSpacing/>
        <w:jc w:val="both"/>
        <w:rPr>
          <w:rFonts w:ascii="Palatino Linotype" w:hAnsi="Palatino Linotype" w:cs="Tahoma"/>
          <w:bCs/>
          <w:i/>
          <w:noProof/>
          <w:color w:val="0D0D0D" w:themeColor="text1" w:themeTint="F2"/>
        </w:rPr>
      </w:pPr>
      <w:r w:rsidRPr="00041EA6">
        <w:rPr>
          <w:rFonts w:ascii="Palatino Linotype" w:hAnsi="Palatino Linotype" w:cs="Tahoma"/>
          <w:bCs/>
          <w:noProof/>
          <w:color w:val="0D0D0D" w:themeColor="text1" w:themeTint="F2"/>
        </w:rPr>
        <w:t xml:space="preserve"> </w:t>
      </w:r>
      <w:r w:rsidRPr="00041EA6">
        <w:rPr>
          <w:rFonts w:ascii="Palatino Linotype" w:hAnsi="Palatino Linotype" w:cs="Tahoma"/>
          <w:b/>
          <w:bCs/>
          <w:i/>
          <w:noProof/>
          <w:color w:val="0D0D0D" w:themeColor="text1" w:themeTint="F2"/>
        </w:rPr>
        <w:t xml:space="preserve">“Razón social y RFC de personas morales. </w:t>
      </w:r>
      <w:r w:rsidRPr="00041EA6">
        <w:rPr>
          <w:rFonts w:ascii="Palatino Linotype" w:hAnsi="Palatino Linotype" w:cs="Tahoma"/>
          <w:bCs/>
          <w:i/>
          <w:noProof/>
          <w:color w:val="0D0D0D" w:themeColor="text1" w:themeTint="F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37860CC1" w14:textId="77777777" w:rsidR="009B44FE" w:rsidRPr="00041EA6" w:rsidRDefault="009B44FE" w:rsidP="00617DA2">
      <w:pPr>
        <w:spacing w:line="360" w:lineRule="auto"/>
        <w:contextualSpacing/>
        <w:jc w:val="both"/>
        <w:rPr>
          <w:rFonts w:ascii="Palatino Linotype" w:hAnsi="Palatino Linotype" w:cs="Tahoma"/>
          <w:b/>
          <w:bCs/>
          <w:noProof/>
          <w:color w:val="0D0D0D" w:themeColor="text1" w:themeTint="F2"/>
        </w:rPr>
      </w:pPr>
      <w:r w:rsidRPr="00041EA6">
        <w:rPr>
          <w:rFonts w:ascii="Palatino Linotype" w:hAnsi="Palatino Linotype" w:cs="Tahoma"/>
          <w:b/>
          <w:bCs/>
          <w:noProof/>
          <w:color w:val="0D0D0D" w:themeColor="text1" w:themeTint="F2"/>
        </w:rPr>
        <w:t xml:space="preserve"> </w:t>
      </w:r>
    </w:p>
    <w:p w14:paraId="59D1FC55" w14:textId="748EA2F5"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Por lo tanto, no procede la clasificación de la denominación o razón social </w:t>
      </w:r>
      <w:r w:rsidR="009A3D46" w:rsidRPr="00041EA6">
        <w:rPr>
          <w:rFonts w:ascii="Palatino Linotype" w:hAnsi="Palatino Linotype" w:cs="Tahoma"/>
          <w:bCs/>
          <w:noProof/>
          <w:color w:val="0D0D0D" w:themeColor="text1" w:themeTint="F2"/>
        </w:rPr>
        <w:t xml:space="preserve">y RFC </w:t>
      </w:r>
      <w:r w:rsidRPr="00041EA6">
        <w:rPr>
          <w:rFonts w:ascii="Palatino Linotype" w:hAnsi="Palatino Linotype" w:cs="Tahoma"/>
          <w:bCs/>
          <w:noProof/>
          <w:color w:val="0D0D0D" w:themeColor="text1" w:themeTint="F2"/>
        </w:rPr>
        <w:t>de personas morales, en términos del artículo 143, fracción I de la Ley de Transparencia y Acceso a la Información Pública del Estado de México y Municipios.</w:t>
      </w:r>
    </w:p>
    <w:p w14:paraId="67CA1DB2"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39D85AE7" w14:textId="37E97F3A"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Al respecto, el Registro Federal de Contribuyentes, inicia con un</w:t>
      </w:r>
      <w:r w:rsidR="008D543B" w:rsidRPr="00041EA6">
        <w:rPr>
          <w:rFonts w:ascii="Palatino Linotype" w:hAnsi="Palatino Linotype" w:cs="Tahoma"/>
          <w:bCs/>
          <w:noProof/>
          <w:color w:val="0D0D0D" w:themeColor="text1" w:themeTint="F2"/>
        </w:rPr>
        <w:t>a</w:t>
      </w:r>
      <w:r w:rsidRPr="00041EA6">
        <w:rPr>
          <w:rFonts w:ascii="Palatino Linotype" w:hAnsi="Palatino Linotype" w:cs="Tahoma"/>
          <w:bCs/>
          <w:noProof/>
          <w:color w:val="0D0D0D" w:themeColor="text1" w:themeTint="F2"/>
        </w:rPr>
        <w:t xml:space="preserve">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r w:rsidRPr="00041EA6">
        <w:rPr>
          <w:rFonts w:ascii="Palatino Linotype" w:hAnsi="Palatino Linotype" w:cs="Tahoma"/>
          <w:bCs/>
          <w:noProof/>
          <w:color w:val="0D0D0D" w:themeColor="text1" w:themeTint="F2"/>
        </w:rPr>
        <w:lastRenderedPageBreak/>
        <w:t>Derivado del trámite se obtiene, entre otros, la cédula de identificación fiscal o constancia de registro.</w:t>
      </w:r>
    </w:p>
    <w:p w14:paraId="3C24190C"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2C48CD79" w14:textId="5EDACA6A"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Por ende, la información correspondiente al Registro Federal de Contribuyentes de una persona moral da cuenta del cumplimiento o no en sus obligaciones fiscales; por tanto, no se actualiza su </w:t>
      </w:r>
      <w:r w:rsidR="009A3D46" w:rsidRPr="00041EA6">
        <w:rPr>
          <w:rFonts w:ascii="Palatino Linotype" w:hAnsi="Palatino Linotype" w:cs="Tahoma"/>
          <w:bCs/>
          <w:noProof/>
          <w:color w:val="0D0D0D" w:themeColor="text1" w:themeTint="F2"/>
        </w:rPr>
        <w:t>clasificación como confidencial; a</w:t>
      </w:r>
      <w:r w:rsidRPr="00041EA6">
        <w:rPr>
          <w:rFonts w:ascii="Palatino Linotype" w:hAnsi="Palatino Linotype" w:cs="Tahoma"/>
          <w:bCs/>
          <w:noProof/>
          <w:color w:val="0D0D0D" w:themeColor="text1" w:themeTint="F2"/>
        </w:rPr>
        <w:t>demás, resulta aplicable por analogía el Criterio de Interpretación, de la Segunda Época, con número de registro SO/008/2019,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w:t>
      </w:r>
      <w:r w:rsidR="009A3D46" w:rsidRPr="00041EA6">
        <w:rPr>
          <w:rFonts w:ascii="Palatino Linotype" w:hAnsi="Palatino Linotype" w:cs="Tahoma"/>
          <w:bCs/>
          <w:noProof/>
          <w:color w:val="0D0D0D" w:themeColor="text1" w:themeTint="F2"/>
        </w:rPr>
        <w:t>tidores</w:t>
      </w:r>
      <w:r w:rsidR="00AF761A" w:rsidRPr="00041EA6">
        <w:rPr>
          <w:rFonts w:ascii="Palatino Linotype" w:hAnsi="Palatino Linotype" w:cs="Tahoma"/>
          <w:bCs/>
          <w:noProof/>
          <w:color w:val="0D0D0D" w:themeColor="text1" w:themeTint="F2"/>
        </w:rPr>
        <w:t>; por</w:t>
      </w:r>
      <w:r w:rsidRPr="00041EA6">
        <w:rPr>
          <w:rFonts w:ascii="Palatino Linotype" w:hAnsi="Palatino Linotype" w:cs="Tahoma"/>
          <w:bCs/>
          <w:noProof/>
          <w:color w:val="0D0D0D" w:themeColor="text1" w:themeTint="F2"/>
        </w:rPr>
        <w:t xml:space="preserv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7FFF59BE" w14:textId="77777777" w:rsidR="009B44FE" w:rsidRPr="00041EA6" w:rsidRDefault="009B44FE" w:rsidP="00617DA2">
      <w:pPr>
        <w:spacing w:line="360" w:lineRule="auto"/>
        <w:contextualSpacing/>
        <w:jc w:val="both"/>
        <w:rPr>
          <w:rFonts w:ascii="Palatino Linotype" w:hAnsi="Palatino Linotype" w:cs="Tahoma"/>
          <w:b/>
          <w:bCs/>
          <w:noProof/>
          <w:color w:val="0D0D0D" w:themeColor="text1" w:themeTint="F2"/>
        </w:rPr>
      </w:pPr>
      <w:r w:rsidRPr="00041EA6">
        <w:rPr>
          <w:rFonts w:ascii="Palatino Linotype" w:hAnsi="Palatino Linotype" w:cs="Tahoma"/>
          <w:b/>
          <w:bCs/>
          <w:noProof/>
          <w:color w:val="0D0D0D" w:themeColor="text1" w:themeTint="F2"/>
        </w:rPr>
        <w:t xml:space="preserve"> </w:t>
      </w:r>
    </w:p>
    <w:p w14:paraId="30CF5E47" w14:textId="77777777" w:rsidR="00AF761A" w:rsidRPr="00041EA6" w:rsidRDefault="009B44FE" w:rsidP="00617DA2">
      <w:pPr>
        <w:spacing w:line="360" w:lineRule="auto"/>
        <w:contextualSpacing/>
        <w:jc w:val="both"/>
        <w:rPr>
          <w:rFonts w:ascii="Palatino Linotype" w:hAnsi="Palatino Linotype" w:cs="Tahoma"/>
          <w:b/>
          <w:bCs/>
          <w:noProof/>
          <w:color w:val="0D0D0D" w:themeColor="text1" w:themeTint="F2"/>
        </w:rPr>
      </w:pPr>
      <w:r w:rsidRPr="00041EA6">
        <w:rPr>
          <w:rFonts w:ascii="Palatino Linotype" w:hAnsi="Palatino Linotype" w:cs="Tahoma"/>
          <w:b/>
          <w:bCs/>
          <w:noProof/>
          <w:color w:val="0D0D0D" w:themeColor="text1" w:themeTint="F2"/>
        </w:rPr>
        <w:t xml:space="preserve">Número de teléfono y correo electrónico </w:t>
      </w:r>
    </w:p>
    <w:p w14:paraId="13D35524" w14:textId="4EC2B9BC" w:rsidR="009B44FE" w:rsidRPr="00041EA6" w:rsidRDefault="00AF761A"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Por cuanto hace al </w:t>
      </w:r>
      <w:r w:rsidR="009B44FE" w:rsidRPr="00041EA6">
        <w:rPr>
          <w:rFonts w:ascii="Palatino Linotype" w:hAnsi="Palatino Linotype" w:cs="Tahoma"/>
          <w:bCs/>
          <w:noProof/>
          <w:color w:val="0D0D0D" w:themeColor="text1" w:themeTint="F2"/>
        </w:rPr>
        <w:t xml:space="preserve"> número asignado a un teléfono, permite localizar,  ya sea a través de un dispositivo móvil o bien, en un lugar como el domicilio; mientras que correo electrónico es un sistema de transmisión de mensajes por computadora a través de redes informáticas. Dicho dato se puede as</w:t>
      </w:r>
      <w:r w:rsidRPr="00041EA6">
        <w:rPr>
          <w:rFonts w:ascii="Palatino Linotype" w:hAnsi="Palatino Linotype" w:cs="Tahoma"/>
          <w:bCs/>
          <w:noProof/>
          <w:color w:val="0D0D0D" w:themeColor="text1" w:themeTint="F2"/>
        </w:rPr>
        <w:t>imilar al teléfono o domicilio; es así que,</w:t>
      </w:r>
      <w:r w:rsidR="009B44FE" w:rsidRPr="00041EA6">
        <w:rPr>
          <w:rFonts w:ascii="Palatino Linotype" w:hAnsi="Palatino Linotype" w:cs="Tahoma"/>
          <w:bCs/>
          <w:noProof/>
          <w:color w:val="0D0D0D" w:themeColor="text1" w:themeTint="F2"/>
        </w:rPr>
        <w:t xml:space="preserve"> los datos en comento, se tratan de los medios de contacto, los cuales, si bien hacen identificable a una persona, en el presente caso, se trata de una persona que recibe recursos públicos, derivado de los c</w:t>
      </w:r>
      <w:r w:rsidRPr="00041EA6">
        <w:rPr>
          <w:rFonts w:ascii="Palatino Linotype" w:hAnsi="Palatino Linotype" w:cs="Tahoma"/>
          <w:bCs/>
          <w:noProof/>
          <w:color w:val="0D0D0D" w:themeColor="text1" w:themeTint="F2"/>
        </w:rPr>
        <w:t>onvenio</w:t>
      </w:r>
      <w:r w:rsidR="009B44FE" w:rsidRPr="00041EA6">
        <w:rPr>
          <w:rFonts w:ascii="Palatino Linotype" w:hAnsi="Palatino Linotype" w:cs="Tahoma"/>
          <w:bCs/>
          <w:noProof/>
          <w:color w:val="0D0D0D" w:themeColor="text1" w:themeTint="F2"/>
        </w:rPr>
        <w:t xml:space="preserve">s celebrados con </w:t>
      </w:r>
      <w:r w:rsidRPr="00041EA6">
        <w:rPr>
          <w:rFonts w:ascii="Palatino Linotype" w:hAnsi="Palatino Linotype" w:cs="Tahoma"/>
          <w:bCs/>
          <w:noProof/>
          <w:color w:val="0D0D0D" w:themeColor="text1" w:themeTint="F2"/>
        </w:rPr>
        <w:t>el Ayuntamiento</w:t>
      </w:r>
      <w:r w:rsidR="009B44FE" w:rsidRPr="00041EA6">
        <w:rPr>
          <w:rFonts w:ascii="Palatino Linotype" w:hAnsi="Palatino Linotype" w:cs="Tahoma"/>
          <w:bCs/>
          <w:noProof/>
          <w:color w:val="0D0D0D" w:themeColor="text1" w:themeTint="F2"/>
        </w:rPr>
        <w:t xml:space="preserve"> y, por lo tanto, dichos datos guardan la naturaleza de públicos.</w:t>
      </w:r>
    </w:p>
    <w:p w14:paraId="2ED3592C" w14:textId="7998BF66" w:rsidR="009B44FE" w:rsidRPr="007943E6" w:rsidRDefault="009B44FE" w:rsidP="007943E6">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7943E6">
        <w:rPr>
          <w:rFonts w:ascii="Palatino Linotype" w:hAnsi="Palatino Linotype" w:cs="Tahoma"/>
          <w:bCs/>
          <w:noProof/>
          <w:color w:val="0D0D0D" w:themeColor="text1" w:themeTint="F2"/>
        </w:rPr>
        <w:lastRenderedPageBreak/>
        <w:t>Lo anterior,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0810CF" w:rsidRPr="007943E6">
        <w:rPr>
          <w:rFonts w:ascii="Palatino Linotype" w:hAnsi="Palatino Linotype" w:cs="Tahoma"/>
          <w:bCs/>
          <w:noProof/>
          <w:color w:val="0D0D0D" w:themeColor="text1" w:themeTint="F2"/>
        </w:rPr>
        <w:t>, por lo que</w:t>
      </w:r>
      <w:r w:rsidRPr="007943E6">
        <w:rPr>
          <w:rFonts w:ascii="Palatino Linotype" w:hAnsi="Palatino Linotype" w:cs="Tahoma"/>
          <w:bCs/>
          <w:noProof/>
          <w:color w:val="0D0D0D" w:themeColor="text1" w:themeTint="F2"/>
        </w:rPr>
        <w:t>, el correo electrónico y teléfono de los proveedores son públicos y deben ser publicados por los Sujetos Obligados, al cumplir con sus obligaciones comunes de transparencia y, por lo tanto, no actualizan la causal de clasificación en términos del artículo 143, fracción I, de la Ley de Transparencia y Acceso a la Información Pública del Estado de México y Municipios.</w:t>
      </w:r>
    </w:p>
    <w:p w14:paraId="7D10ADA5"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03E289C8" w14:textId="2AE61EDA" w:rsidR="009B44FE" w:rsidRPr="00041EA6" w:rsidRDefault="009B44FE" w:rsidP="00617DA2">
      <w:pPr>
        <w:spacing w:line="360" w:lineRule="auto"/>
        <w:contextualSpacing/>
        <w:jc w:val="both"/>
        <w:rPr>
          <w:rFonts w:ascii="Palatino Linotype" w:hAnsi="Palatino Linotype" w:cs="Tahoma"/>
          <w:b/>
          <w:bCs/>
          <w:noProof/>
          <w:color w:val="0D0D0D" w:themeColor="text1" w:themeTint="F2"/>
        </w:rPr>
      </w:pPr>
      <w:r w:rsidRPr="00041EA6">
        <w:rPr>
          <w:rFonts w:ascii="Palatino Linotype" w:hAnsi="Palatino Linotype" w:cs="Tahoma"/>
          <w:b/>
          <w:bCs/>
          <w:noProof/>
          <w:color w:val="0D0D0D" w:themeColor="text1" w:themeTint="F2"/>
        </w:rPr>
        <w:t xml:space="preserve">Domicilio Fiscal o legal para recibir y oír notificaciones </w:t>
      </w:r>
    </w:p>
    <w:p w14:paraId="2EB1CA30" w14:textId="2FA8C4F5"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w:t>
      </w:r>
      <w:r w:rsidR="000810CF" w:rsidRPr="00041EA6">
        <w:rPr>
          <w:rFonts w:ascii="Palatino Linotype" w:hAnsi="Palatino Linotype" w:cs="Tahoma"/>
          <w:bCs/>
          <w:noProof/>
          <w:color w:val="0D0D0D" w:themeColor="text1" w:themeTint="F2"/>
        </w:rPr>
        <w:t>ración o ejerza sus actividades, de esta</w:t>
      </w:r>
      <w:r w:rsidRPr="00041EA6">
        <w:rPr>
          <w:rFonts w:ascii="Palatino Linotype" w:hAnsi="Palatino Linotype" w:cs="Tahoma"/>
          <w:bCs/>
          <w:noProof/>
          <w:color w:val="0D0D0D" w:themeColor="text1" w:themeTint="F2"/>
        </w:rPr>
        <w:t xml:space="preserve"> manera, lo establece los diversos 29 y 33 del Código Civil Federal, al precisar que el domicilio de personas físicas</w:t>
      </w:r>
      <w:r w:rsidRPr="00041EA6">
        <w:rPr>
          <w:rFonts w:ascii="Palatino Linotype" w:hAnsi="Palatino Linotype" w:cs="Tahoma"/>
          <w:b/>
          <w:bCs/>
          <w:noProof/>
          <w:color w:val="0D0D0D" w:themeColor="text1" w:themeTint="F2"/>
        </w:rPr>
        <w:t xml:space="preserve">, es el lugar donde residen habitualmente, el lugar del centro principal de sus negocios, donde residan o el lugar donde se encuentren; </w:t>
      </w:r>
      <w:r w:rsidRPr="00041EA6">
        <w:rPr>
          <w:rFonts w:ascii="Palatino Linotype" w:hAnsi="Palatino Linotype" w:cs="Tahoma"/>
          <w:bCs/>
          <w:noProof/>
          <w:color w:val="0D0D0D" w:themeColor="text1" w:themeTint="F2"/>
        </w:rPr>
        <w:t>mientras que, de las personas morales, aquel donde se halle su administración.</w:t>
      </w:r>
    </w:p>
    <w:p w14:paraId="75A65DB0" w14:textId="77777777" w:rsidR="009B44FE" w:rsidRPr="00041EA6" w:rsidRDefault="009B44FE" w:rsidP="00617DA2">
      <w:pPr>
        <w:spacing w:line="360" w:lineRule="auto"/>
        <w:contextualSpacing/>
        <w:jc w:val="both"/>
        <w:rPr>
          <w:rFonts w:ascii="Palatino Linotype" w:hAnsi="Palatino Linotype" w:cs="Tahoma"/>
          <w:b/>
          <w:bCs/>
          <w:iCs/>
          <w:noProof/>
          <w:color w:val="0D0D0D" w:themeColor="text1" w:themeTint="F2"/>
        </w:rPr>
      </w:pPr>
      <w:r w:rsidRPr="00041EA6">
        <w:rPr>
          <w:rFonts w:ascii="Palatino Linotype" w:hAnsi="Palatino Linotype" w:cs="Tahoma"/>
          <w:b/>
          <w:bCs/>
          <w:iCs/>
          <w:noProof/>
          <w:color w:val="0D0D0D" w:themeColor="text1" w:themeTint="F2"/>
        </w:rPr>
        <w:t xml:space="preserve"> </w:t>
      </w:r>
    </w:p>
    <w:p w14:paraId="0A65295E" w14:textId="27DAA8B3" w:rsidR="009B44FE" w:rsidRPr="00041EA6" w:rsidRDefault="000810CF"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R</w:t>
      </w:r>
      <w:r w:rsidR="009B44FE" w:rsidRPr="00041EA6">
        <w:rPr>
          <w:rFonts w:ascii="Palatino Linotype" w:hAnsi="Palatino Linotype" w:cs="Tahoma"/>
          <w:bCs/>
          <w:noProof/>
          <w:color w:val="0D0D0D" w:themeColor="text1" w:themeTint="F2"/>
        </w:rPr>
        <w:t>especto al domicilio fiscal, resulta necesario traer el artículo 10 del Código Fiscal de la Federación, que establece que, tratándose de personas físicas, corresponderá dicho dato:</w:t>
      </w:r>
    </w:p>
    <w:p w14:paraId="65F0BB83"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5F566B8D" w14:textId="77777777" w:rsidR="009B44FE" w:rsidRPr="00041EA6" w:rsidRDefault="009B44FE" w:rsidP="00675F22">
      <w:pPr>
        <w:numPr>
          <w:ilvl w:val="0"/>
          <w:numId w:val="16"/>
        </w:numPr>
        <w:spacing w:line="360"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lastRenderedPageBreak/>
        <w:t>El lugar donde realizan actividades empresariales, el local, en que se encuentre el principal asiente de sus negocios, y</w:t>
      </w:r>
    </w:p>
    <w:p w14:paraId="1168EDB2" w14:textId="77777777" w:rsidR="009B44FE" w:rsidRPr="00041EA6" w:rsidRDefault="009B44FE" w:rsidP="00675F22">
      <w:pPr>
        <w:numPr>
          <w:ilvl w:val="0"/>
          <w:numId w:val="16"/>
        </w:numPr>
        <w:spacing w:line="360" w:lineRule="auto"/>
        <w:ind w:left="0" w:firstLine="0"/>
        <w:contextualSpacing/>
        <w:jc w:val="both"/>
        <w:rPr>
          <w:rFonts w:ascii="Palatino Linotype" w:hAnsi="Palatino Linotype" w:cs="Tahoma"/>
          <w:bCs/>
          <w:i/>
          <w:noProof/>
          <w:color w:val="0D0D0D" w:themeColor="text1" w:themeTint="F2"/>
        </w:rPr>
      </w:pPr>
      <w:r w:rsidRPr="00041EA6">
        <w:rPr>
          <w:rFonts w:ascii="Palatino Linotype" w:hAnsi="Palatino Linotype" w:cs="Tahoma"/>
          <w:bCs/>
          <w:i/>
          <w:noProof/>
          <w:color w:val="0D0D0D" w:themeColor="text1" w:themeTint="F2"/>
        </w:rPr>
        <w:t>La casa habitación, cuando no cuenta con un local o lugar donde realice las acciones previamente señaladas.</w:t>
      </w:r>
    </w:p>
    <w:p w14:paraId="0173879B" w14:textId="77777777" w:rsidR="009B44FE" w:rsidRPr="00041EA6" w:rsidRDefault="009B44FE" w:rsidP="00617DA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4825F2CA" w14:textId="3E02EDD7"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14:paraId="72E01309" w14:textId="77777777" w:rsidR="009B44FE" w:rsidRPr="00041EA6" w:rsidRDefault="009B44FE" w:rsidP="00675F22">
      <w:pPr>
        <w:spacing w:line="360" w:lineRule="auto"/>
        <w:contextualSpacing/>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 xml:space="preserve"> </w:t>
      </w:r>
    </w:p>
    <w:p w14:paraId="19473BE7" w14:textId="0ACBA286"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noProof/>
          <w:color w:val="0D0D0D" w:themeColor="text1" w:themeTint="F2"/>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w:t>
      </w:r>
      <w:r w:rsidR="000810CF" w:rsidRPr="00041EA6">
        <w:rPr>
          <w:rFonts w:ascii="Palatino Linotype" w:hAnsi="Palatino Linotype" w:cs="Tahoma"/>
          <w:bCs/>
          <w:noProof/>
          <w:color w:val="0D0D0D" w:themeColor="text1" w:themeTint="F2"/>
        </w:rPr>
        <w:t>da</w:t>
      </w:r>
      <w:r w:rsidRPr="00041EA6">
        <w:rPr>
          <w:rFonts w:ascii="Palatino Linotype" w:hAnsi="Palatino Linotype" w:cs="Tahoma"/>
          <w:bCs/>
          <w:noProof/>
          <w:color w:val="0D0D0D" w:themeColor="text1" w:themeTint="F2"/>
        </w:rPr>
        <w:t xml:space="preserve"> del individuo identificado, no debe dejarse de lado que, aquellas personas que deciden tener relaciones </w:t>
      </w:r>
      <w:r w:rsidR="000810CF" w:rsidRPr="00041EA6">
        <w:rPr>
          <w:rFonts w:ascii="Palatino Linotype" w:hAnsi="Palatino Linotype" w:cs="Tahoma"/>
          <w:bCs/>
          <w:noProof/>
          <w:color w:val="0D0D0D" w:themeColor="text1" w:themeTint="F2"/>
        </w:rPr>
        <w:t>jurídicas o de beneficio de cualquier orbe</w:t>
      </w:r>
      <w:r w:rsidRPr="00041EA6">
        <w:rPr>
          <w:rFonts w:ascii="Palatino Linotype" w:hAnsi="Palatino Linotype" w:cs="Tahoma"/>
          <w:bCs/>
          <w:noProof/>
          <w:color w:val="0D0D0D" w:themeColor="text1" w:themeTint="F2"/>
        </w:rPr>
        <w:t xml:space="preserve"> con las instituciones públicas, tienen una expectativa de privacidad menor, respecto del resto de las personas,  situación que debe ser transparentada.</w:t>
      </w:r>
    </w:p>
    <w:p w14:paraId="5CD1DBAB" w14:textId="77777777" w:rsidR="009B44FE" w:rsidRPr="00041EA6" w:rsidRDefault="009B44FE" w:rsidP="00675F22">
      <w:pPr>
        <w:spacing w:line="360" w:lineRule="auto"/>
        <w:contextualSpacing/>
        <w:jc w:val="both"/>
        <w:rPr>
          <w:rFonts w:ascii="Palatino Linotype" w:hAnsi="Palatino Linotype" w:cs="Tahoma"/>
          <w:bCs/>
          <w:iCs/>
          <w:noProof/>
          <w:color w:val="0D0D0D" w:themeColor="text1" w:themeTint="F2"/>
        </w:rPr>
      </w:pPr>
      <w:r w:rsidRPr="00041EA6">
        <w:rPr>
          <w:rFonts w:ascii="Palatino Linotype" w:hAnsi="Palatino Linotype" w:cs="Tahoma"/>
          <w:bCs/>
          <w:iCs/>
          <w:noProof/>
          <w:color w:val="0D0D0D" w:themeColor="text1" w:themeTint="F2"/>
        </w:rPr>
        <w:t xml:space="preserve"> </w:t>
      </w:r>
    </w:p>
    <w:p w14:paraId="1DE76A9C" w14:textId="403E8892"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noProof/>
          <w:color w:val="0D0D0D" w:themeColor="text1" w:themeTint="F2"/>
        </w:rPr>
      </w:pPr>
      <w:r w:rsidRPr="00041EA6">
        <w:rPr>
          <w:rFonts w:ascii="Palatino Linotype" w:hAnsi="Palatino Linotype" w:cs="Tahoma"/>
          <w:bCs/>
          <w:iCs/>
          <w:noProof/>
          <w:color w:val="0D0D0D" w:themeColor="text1" w:themeTint="F2"/>
        </w:rPr>
        <w:t xml:space="preserve">Ahora bien, en el caso de que el domicilio corresponda al lugar donde realiza sus actividades empresariales, como es el caso de las personas morales, se considera necesario traer a colación, </w:t>
      </w:r>
      <w:r w:rsidRPr="00041EA6">
        <w:rPr>
          <w:rFonts w:ascii="Palatino Linotype" w:hAnsi="Palatino Linotype" w:cs="Tahoma"/>
          <w:bCs/>
          <w:noProof/>
          <w:color w:val="0D0D0D" w:themeColor="text1" w:themeTint="F2"/>
        </w:rPr>
        <w:t xml:space="preserve">los formatos de los Lineamientos técnicos generales para la publicación, homologación y estandarización de la información de las obligaciones establecidas en el título quinto y en la fracción IV del artículo 31 de la Ley General de Transparencia y Acceso </w:t>
      </w:r>
      <w:r w:rsidRPr="00041EA6">
        <w:rPr>
          <w:rFonts w:ascii="Palatino Linotype" w:hAnsi="Palatino Linotype" w:cs="Tahoma"/>
          <w:bCs/>
          <w:noProof/>
          <w:color w:val="0D0D0D" w:themeColor="text1" w:themeTint="F2"/>
        </w:rPr>
        <w:lastRenderedPageBreak/>
        <w:t>a la Información Pública, que deben de difundir los sujetos obligados en los portales de Internet y en la Plataforma Nacional de Transparencia</w:t>
      </w:r>
      <w:r w:rsidR="002A5160" w:rsidRPr="00041EA6">
        <w:rPr>
          <w:rFonts w:ascii="Palatino Linotype" w:hAnsi="Palatino Linotype" w:cs="Tahoma"/>
          <w:bCs/>
          <w:noProof/>
          <w:color w:val="0D0D0D" w:themeColor="text1" w:themeTint="F2"/>
        </w:rPr>
        <w:t>, por lo que</w:t>
      </w:r>
      <w:r w:rsidRPr="00041EA6">
        <w:rPr>
          <w:rFonts w:ascii="Palatino Linotype" w:hAnsi="Palatino Linotype" w:cs="Tahoma"/>
          <w:bCs/>
          <w:noProof/>
          <w:color w:val="0D0D0D" w:themeColor="text1" w:themeTint="F2"/>
        </w:rPr>
        <w:t>, es obligación de transparencia proporcionar el domicilio fiscal de los proveedores, por lo que, se considera que, en el caso, de que dicho dato, corresponda a un local o lugar donde realice sus actividades empresariales, se debe entregar.</w:t>
      </w:r>
    </w:p>
    <w:p w14:paraId="51F1B7F1" w14:textId="77777777" w:rsidR="009B44FE" w:rsidRPr="00041EA6" w:rsidRDefault="009B44FE" w:rsidP="00617DA2">
      <w:pPr>
        <w:spacing w:line="360" w:lineRule="auto"/>
        <w:contextualSpacing/>
        <w:jc w:val="both"/>
        <w:rPr>
          <w:rFonts w:ascii="Palatino Linotype" w:hAnsi="Palatino Linotype" w:cs="Tahoma"/>
          <w:bCs/>
          <w:iCs/>
          <w:noProof/>
          <w:color w:val="0D0D0D" w:themeColor="text1" w:themeTint="F2"/>
        </w:rPr>
      </w:pPr>
      <w:r w:rsidRPr="00041EA6">
        <w:rPr>
          <w:rFonts w:ascii="Palatino Linotype" w:hAnsi="Palatino Linotype" w:cs="Tahoma"/>
          <w:bCs/>
          <w:iCs/>
          <w:noProof/>
          <w:color w:val="0D0D0D" w:themeColor="text1" w:themeTint="F2"/>
        </w:rPr>
        <w:t xml:space="preserve"> </w:t>
      </w:r>
    </w:p>
    <w:p w14:paraId="54966FA4" w14:textId="6B5EE210" w:rsidR="009B44FE" w:rsidRPr="00041EA6" w:rsidRDefault="009B44FE" w:rsidP="00617DA2">
      <w:pPr>
        <w:spacing w:line="360" w:lineRule="auto"/>
        <w:contextualSpacing/>
        <w:jc w:val="both"/>
        <w:rPr>
          <w:rFonts w:ascii="Palatino Linotype" w:hAnsi="Palatino Linotype" w:cs="Tahoma"/>
          <w:b/>
          <w:bCs/>
          <w:iCs/>
        </w:rPr>
      </w:pPr>
      <w:r w:rsidRPr="00041EA6">
        <w:rPr>
          <w:rFonts w:ascii="Palatino Linotype" w:hAnsi="Palatino Linotype" w:cs="Tahoma"/>
          <w:b/>
          <w:bCs/>
          <w:iCs/>
        </w:rPr>
        <w:t xml:space="preserve">Cuenta bancaria y clave interbancaria </w:t>
      </w:r>
    </w:p>
    <w:p w14:paraId="3A29A515" w14:textId="1D5367E4"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rPr>
      </w:pPr>
      <w:r w:rsidRPr="00041EA6">
        <w:rPr>
          <w:rFonts w:ascii="Palatino Linotype" w:hAnsi="Palatino Linotype" w:cs="Tahoma"/>
          <w:bCs/>
        </w:rPr>
        <w:t xml:space="preserve">Al respecto, se estima que dichos datos se relacionan con hechos y actos de carácter económico, pues los mismos darían cuenta, de la relación que tiene una institución financiero con un particular, ya sea persona física o moral; además, que con dicha información se podría obtener los recursos enviados a las órdenes de cargo, pago o a las transferencias electrónicas e fondos interbancarios, entre otros movimientos que sean utilizados exclusivamente en la cuenta señalada por el cliente y, por lo tanto, los datos bancarios corresponden a información que se encuentra relacionada con el patrimonio de </w:t>
      </w:r>
      <w:r w:rsidR="002A5160" w:rsidRPr="00041EA6">
        <w:rPr>
          <w:rFonts w:ascii="Palatino Linotype" w:hAnsi="Palatino Linotype" w:cs="Tahoma"/>
          <w:bCs/>
        </w:rPr>
        <w:t>la persona titular de la cuenta; es así que resulta</w:t>
      </w:r>
      <w:r w:rsidRPr="00041EA6">
        <w:rPr>
          <w:rFonts w:ascii="Palatino Linotype" w:hAnsi="Palatino Linotype" w:cs="Tahoma"/>
          <w:bCs/>
        </w:rPr>
        <w:t xml:space="preserve"> necesario traer a colación el </w:t>
      </w:r>
      <w:r w:rsidRPr="00041EA6">
        <w:rPr>
          <w:rFonts w:ascii="Palatino Linotype" w:hAnsi="Palatino Linotype" w:cs="Tahoma"/>
          <w:bCs/>
          <w:iCs/>
        </w:rPr>
        <w:t>Criterio de Interpretación, de la Segunda Época, con número de registro SO/010/2017, emitido por el Instituto Nacional de Transparencia, Acceso a la Información y Protección de Datos Personales</w:t>
      </w:r>
      <w:r w:rsidRPr="00041EA6">
        <w:rPr>
          <w:rFonts w:ascii="Palatino Linotype" w:hAnsi="Palatino Linotype" w:cs="Tahoma"/>
          <w:bCs/>
        </w:rPr>
        <w:t>, mismo que establece lo siguiente:</w:t>
      </w:r>
    </w:p>
    <w:p w14:paraId="53C4E358" w14:textId="1276CC77" w:rsidR="009B44FE" w:rsidRPr="00041EA6" w:rsidRDefault="009B44FE" w:rsidP="007943E6">
      <w:pPr>
        <w:spacing w:line="360" w:lineRule="auto"/>
        <w:contextualSpacing/>
        <w:jc w:val="both"/>
        <w:rPr>
          <w:rFonts w:ascii="Palatino Linotype" w:hAnsi="Palatino Linotype" w:cs="Tahoma"/>
          <w:bCs/>
          <w:i/>
        </w:rPr>
      </w:pPr>
      <w:r w:rsidRPr="00041EA6">
        <w:rPr>
          <w:rFonts w:ascii="Palatino Linotype" w:hAnsi="Palatino Linotype" w:cs="Tahoma"/>
          <w:bCs/>
        </w:rPr>
        <w:t xml:space="preserve"> </w:t>
      </w:r>
      <w:r w:rsidRPr="00041EA6">
        <w:rPr>
          <w:rFonts w:ascii="Palatino Linotype" w:hAnsi="Palatino Linotype" w:cs="Tahoma"/>
          <w:bCs/>
          <w:i/>
        </w:rPr>
        <w:t>“</w:t>
      </w:r>
      <w:r w:rsidRPr="00041EA6">
        <w:rPr>
          <w:rFonts w:ascii="Palatino Linotype" w:hAnsi="Palatino Linotype" w:cs="Tahoma"/>
          <w:b/>
          <w:bCs/>
          <w:i/>
        </w:rPr>
        <w:t>Cuentas bancarias y/o CLABE interbancaria de personas físicas y morales privadas.</w:t>
      </w:r>
      <w:r w:rsidRPr="00041EA6">
        <w:rPr>
          <w:rFonts w:ascii="Palatino Linotype" w:hAnsi="Palatino Linotype" w:cs="Tahoma"/>
          <w:bCs/>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F5AF46A" w14:textId="1E89FB8B" w:rsidR="009B44FE" w:rsidRPr="007943E6" w:rsidRDefault="009B44FE" w:rsidP="007943E6">
      <w:pPr>
        <w:pStyle w:val="Prrafodelista"/>
        <w:numPr>
          <w:ilvl w:val="0"/>
          <w:numId w:val="13"/>
        </w:numPr>
        <w:spacing w:line="360" w:lineRule="auto"/>
        <w:ind w:left="0" w:firstLine="0"/>
        <w:jc w:val="both"/>
        <w:rPr>
          <w:rFonts w:ascii="Palatino Linotype" w:hAnsi="Palatino Linotype" w:cs="Tahoma"/>
          <w:bCs/>
        </w:rPr>
      </w:pPr>
      <w:r w:rsidRPr="007943E6">
        <w:rPr>
          <w:rFonts w:ascii="Palatino Linotype" w:hAnsi="Palatino Linotype" w:cs="Tahoma"/>
          <w:bCs/>
        </w:rPr>
        <w:lastRenderedPageBreak/>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w:t>
      </w:r>
      <w:r w:rsidR="002A5160" w:rsidRPr="007943E6">
        <w:rPr>
          <w:rFonts w:ascii="Palatino Linotype" w:hAnsi="Palatino Linotype" w:cs="Tahoma"/>
          <w:bCs/>
        </w:rPr>
        <w:t xml:space="preserve">l ámbito de la vida privada y </w:t>
      </w:r>
      <w:r w:rsidRPr="007943E6">
        <w:rPr>
          <w:rFonts w:ascii="Palatino Linotype" w:hAnsi="Palatino Linotype" w:cs="Tahoma"/>
          <w:bCs/>
        </w:rPr>
        <w:t xml:space="preserve">procede su eliminación de conformidad con el artículo 143, fracción I, de la Ley de Transparencia y Acceso a la Información Pública del Estado de México y Municipios. </w:t>
      </w:r>
    </w:p>
    <w:p w14:paraId="6F5F5E52" w14:textId="77777777" w:rsidR="009B44FE" w:rsidRPr="00041EA6" w:rsidRDefault="009B44FE" w:rsidP="00617DA2">
      <w:pPr>
        <w:spacing w:line="360" w:lineRule="auto"/>
        <w:contextualSpacing/>
        <w:jc w:val="both"/>
        <w:rPr>
          <w:rFonts w:ascii="Palatino Linotype" w:hAnsi="Palatino Linotype" w:cs="Tahoma"/>
        </w:rPr>
      </w:pPr>
      <w:r w:rsidRPr="00041EA6">
        <w:rPr>
          <w:rFonts w:ascii="Palatino Linotype" w:hAnsi="Palatino Linotype" w:cs="Tahoma"/>
        </w:rPr>
        <w:t xml:space="preserve"> </w:t>
      </w:r>
    </w:p>
    <w:p w14:paraId="38B26B7F" w14:textId="77777777" w:rsidR="009B44FE" w:rsidRPr="00041EA6" w:rsidRDefault="009B44FE" w:rsidP="00617DA2">
      <w:pPr>
        <w:spacing w:line="360" w:lineRule="auto"/>
        <w:contextualSpacing/>
        <w:jc w:val="both"/>
        <w:rPr>
          <w:rFonts w:ascii="Palatino Linotype" w:hAnsi="Palatino Linotype" w:cs="Tahoma"/>
          <w:b/>
          <w:bCs/>
          <w:iCs/>
        </w:rPr>
      </w:pPr>
      <w:r w:rsidRPr="00041EA6">
        <w:rPr>
          <w:rFonts w:ascii="Palatino Linotype" w:hAnsi="Palatino Linotype" w:cs="Tahoma"/>
          <w:b/>
          <w:bCs/>
          <w:iCs/>
        </w:rPr>
        <w:t>Nombre de institución bancaria</w:t>
      </w:r>
    </w:p>
    <w:p w14:paraId="42A10FBC" w14:textId="0FCA2C6B"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rPr>
      </w:pPr>
      <w:r w:rsidRPr="00041EA6">
        <w:rPr>
          <w:rFonts w:ascii="Palatino Linotype" w:hAnsi="Palatino Linotype" w:cs="Tahoma"/>
          <w:bCs/>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37E57949" w14:textId="77777777" w:rsidR="009B44FE" w:rsidRPr="00041EA6" w:rsidRDefault="009B44FE" w:rsidP="00617DA2">
      <w:pPr>
        <w:spacing w:line="360" w:lineRule="auto"/>
        <w:contextualSpacing/>
        <w:jc w:val="both"/>
        <w:rPr>
          <w:rFonts w:ascii="Palatino Linotype" w:hAnsi="Palatino Linotype" w:cs="Tahoma"/>
          <w:bCs/>
        </w:rPr>
      </w:pPr>
      <w:r w:rsidRPr="00041EA6">
        <w:rPr>
          <w:rFonts w:ascii="Palatino Linotype" w:hAnsi="Palatino Linotype" w:cs="Tahoma"/>
          <w:bCs/>
        </w:rPr>
        <w:t xml:space="preserve"> </w:t>
      </w:r>
    </w:p>
    <w:p w14:paraId="599FBE1C" w14:textId="3676A264"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rPr>
      </w:pPr>
      <w:r w:rsidRPr="00041EA6">
        <w:rPr>
          <w:rFonts w:ascii="Palatino Linotype" w:hAnsi="Palatino Linotype" w:cs="Tahoma"/>
          <w:bCs/>
        </w:rPr>
        <w:t xml:space="preserve">En ese orden de ideas, en el portal de la Comisión Nacional para la Protección y Defensa de los Usuarios de Servicios Financieros, se establece que los bancos son </w:t>
      </w:r>
      <w:r w:rsidRPr="00041EA6">
        <w:rPr>
          <w:rFonts w:ascii="Palatino Linotype" w:hAnsi="Palatino Linotype" w:cs="Tahoma"/>
          <w:bCs/>
        </w:rPr>
        <w:lastRenderedPageBreak/>
        <w:t>instituciones financieras; conforme a lo anterior, se puede advertir que las instituciones bancarias, son personas morales</w:t>
      </w:r>
      <w:r w:rsidR="002A5160" w:rsidRPr="00041EA6">
        <w:rPr>
          <w:rFonts w:ascii="Palatino Linotype" w:hAnsi="Palatino Linotype" w:cs="Tahoma"/>
          <w:bCs/>
        </w:rPr>
        <w:t xml:space="preserve">, por lo que </w:t>
      </w:r>
      <w:r w:rsidRPr="00041EA6">
        <w:rPr>
          <w:rFonts w:ascii="Palatino Linotype" w:hAnsi="Palatino Linotype" w:cs="Tahoma"/>
          <w:bCs/>
        </w:rPr>
        <w:t xml:space="preserve">se considera que la denominación o razón social de una persona moral, es pública, pues dichos datos se encuentran inscritos en el Registro Público del Comercio; lo anterior, toma sustento en el </w:t>
      </w:r>
      <w:r w:rsidRPr="00041EA6">
        <w:rPr>
          <w:rFonts w:ascii="Palatino Linotype" w:hAnsi="Palatino Linotype" w:cs="Tahoma"/>
          <w:bCs/>
          <w:iCs/>
        </w:rPr>
        <w:t>Criterio de Interpretación, de la Segunda Época, con número de registro SO/008/2019, emitido por el Instituto Nacional de Transparencia, Acceso a la Información y Protección de Datos Personales,</w:t>
      </w:r>
      <w:r w:rsidR="002A5160" w:rsidRPr="00041EA6">
        <w:rPr>
          <w:rFonts w:ascii="Palatino Linotype" w:hAnsi="Palatino Linotype" w:cs="Tahoma"/>
          <w:bCs/>
        </w:rPr>
        <w:t xml:space="preserve"> previamente referido; esto </w:t>
      </w:r>
      <w:r w:rsidRPr="00041EA6">
        <w:rPr>
          <w:rFonts w:ascii="Palatino Linotype" w:hAnsi="Palatino Linotype" w:cs="Tahoma"/>
          <w:bCs/>
        </w:rPr>
        <w:t xml:space="preserve">se robustece con el hecho de que existe el Sistema de Registro de Prestadores de Servicios Financieros, que es un registro de </w:t>
      </w:r>
      <w:r w:rsidRPr="00041EA6">
        <w:rPr>
          <w:rFonts w:ascii="Palatino Linotype" w:hAnsi="Palatino Linotype" w:cs="Tahoma"/>
          <w:b/>
          <w:bCs/>
        </w:rPr>
        <w:t xml:space="preserve">carácter público, </w:t>
      </w:r>
      <w:r w:rsidRPr="00041EA6">
        <w:rPr>
          <w:rFonts w:ascii="Palatino Linotype" w:hAnsi="Palatino Linotype" w:cs="Tahoma"/>
          <w:bCs/>
        </w:rPr>
        <w:t>cuyo objetivo principal, consiste en proporcionar información corporativa y general de las instituciones financieras</w:t>
      </w:r>
      <w:r w:rsidRPr="00041EA6">
        <w:rPr>
          <w:rFonts w:ascii="Palatino Linotype" w:hAnsi="Palatino Linotype" w:cs="Tahoma"/>
          <w:b/>
          <w:bCs/>
        </w:rPr>
        <w:t>; además, que permite conocer al público general, información de dichos entes</w:t>
      </w:r>
      <w:r w:rsidRPr="00041EA6">
        <w:rPr>
          <w:rFonts w:ascii="Palatino Linotype" w:hAnsi="Palatino Linotype" w:cs="Tahoma"/>
          <w:bCs/>
        </w:rPr>
        <w:t xml:space="preserve"> </w:t>
      </w:r>
    </w:p>
    <w:p w14:paraId="09651B7F" w14:textId="40C4DD5F" w:rsidR="009B44FE" w:rsidRPr="00041EA6" w:rsidRDefault="009B44FE" w:rsidP="00617DA2">
      <w:pPr>
        <w:spacing w:line="360" w:lineRule="auto"/>
        <w:contextualSpacing/>
        <w:jc w:val="both"/>
        <w:rPr>
          <w:rFonts w:ascii="Palatino Linotype" w:hAnsi="Palatino Linotype" w:cs="Tahoma"/>
          <w:bCs/>
        </w:rPr>
      </w:pPr>
      <w:r w:rsidRPr="00041EA6">
        <w:rPr>
          <w:rFonts w:ascii="Palatino Linotype" w:hAnsi="Palatino Linotype" w:cs="Tahoma"/>
          <w:bCs/>
        </w:rPr>
        <w:t xml:space="preserve"> </w:t>
      </w:r>
    </w:p>
    <w:p w14:paraId="427EC6D8" w14:textId="2FDFFA0A" w:rsidR="009B44FE" w:rsidRPr="00041EA6" w:rsidRDefault="009B44FE" w:rsidP="00675F22">
      <w:pPr>
        <w:pStyle w:val="Prrafodelista"/>
        <w:numPr>
          <w:ilvl w:val="0"/>
          <w:numId w:val="13"/>
        </w:numPr>
        <w:spacing w:line="360" w:lineRule="auto"/>
        <w:ind w:left="0" w:firstLine="0"/>
        <w:jc w:val="both"/>
        <w:rPr>
          <w:rFonts w:ascii="Palatino Linotype" w:hAnsi="Palatino Linotype" w:cs="Tahoma"/>
          <w:bCs/>
        </w:rPr>
      </w:pPr>
      <w:r w:rsidRPr="00041EA6">
        <w:rPr>
          <w:rFonts w:ascii="Palatino Linotype" w:hAnsi="Palatino Linotype" w:cs="Tahoma"/>
          <w:bCs/>
        </w:rPr>
        <w:t>Conforme a lo anterior, se logra vislumbrar que el nombre de las instituciones bancarias en primera instancia es de naturaleza pública; sin embargo, en el presente caso, se relacionada con el hecho de que cor</w:t>
      </w:r>
      <w:r w:rsidR="002A5160" w:rsidRPr="00041EA6">
        <w:rPr>
          <w:rFonts w:ascii="Palatino Linotype" w:hAnsi="Palatino Linotype" w:cs="Tahoma"/>
          <w:bCs/>
        </w:rPr>
        <w:t xml:space="preserve">responde al banco en el cual se convino </w:t>
      </w:r>
      <w:r w:rsidRPr="00041EA6">
        <w:rPr>
          <w:rFonts w:ascii="Palatino Linotype" w:hAnsi="Palatino Linotype" w:cs="Tahoma"/>
          <w:bCs/>
        </w:rPr>
        <w:t xml:space="preserve">recibir el pago </w:t>
      </w:r>
      <w:r w:rsidR="002A5160" w:rsidRPr="00041EA6">
        <w:rPr>
          <w:rFonts w:ascii="Palatino Linotype" w:hAnsi="Palatino Linotype" w:cs="Tahoma"/>
          <w:bCs/>
        </w:rPr>
        <w:t xml:space="preserve">por </w:t>
      </w:r>
      <w:r w:rsidRPr="00041EA6">
        <w:rPr>
          <w:rFonts w:ascii="Palatino Linotype" w:hAnsi="Palatino Linotype" w:cs="Tahoma"/>
          <w:bCs/>
        </w:rPr>
        <w:t xml:space="preserve"> servicios; es decir, daría cuenta de la decisión voluntaria de la persona moral de recibir el pago de sus servicios en una determinada institución; lo cual se relaciona con la cuenta y </w:t>
      </w:r>
      <w:r w:rsidR="002A5160" w:rsidRPr="00041EA6">
        <w:rPr>
          <w:rFonts w:ascii="Palatino Linotype" w:hAnsi="Palatino Linotype" w:cs="Tahoma"/>
          <w:bCs/>
        </w:rPr>
        <w:t>CLABE</w:t>
      </w:r>
      <w:r w:rsidRPr="00041EA6">
        <w:rPr>
          <w:rFonts w:ascii="Palatino Linotype" w:hAnsi="Palatino Linotype" w:cs="Tahoma"/>
          <w:bCs/>
        </w:rPr>
        <w:t xml:space="preserve"> interbancaria</w:t>
      </w:r>
      <w:r w:rsidR="002A5160" w:rsidRPr="00041EA6">
        <w:rPr>
          <w:rFonts w:ascii="Palatino Linotype" w:hAnsi="Palatino Linotype" w:cs="Tahoma"/>
          <w:bCs/>
        </w:rPr>
        <w:t>, mismos que son confidenciales, a</w:t>
      </w:r>
      <w:r w:rsidRPr="00041EA6">
        <w:rPr>
          <w:rFonts w:ascii="Palatino Linotype" w:hAnsi="Palatino Linotype" w:cs="Tahoma"/>
          <w:bCs/>
        </w:rPr>
        <w:t xml:space="preserve">demás, revelaría el lugar en donde </w:t>
      </w:r>
      <w:r w:rsidR="002A5160" w:rsidRPr="00041EA6">
        <w:rPr>
          <w:rFonts w:ascii="Palatino Linotype" w:hAnsi="Palatino Linotype" w:cs="Tahoma"/>
          <w:bCs/>
        </w:rPr>
        <w:t>fueron recibidos</w:t>
      </w:r>
      <w:r w:rsidRPr="00041EA6">
        <w:rPr>
          <w:rFonts w:ascii="Palatino Linotype" w:hAnsi="Palatino Linotype" w:cs="Tahoma"/>
          <w:bCs/>
        </w:rPr>
        <w:t xml:space="preserve"> los recursos por prestar sus servicios, lo cual únicamente está relacionado a su vida íntima o privada; por lo que, este Instituto considera que el nombre de la institución bancaria, actualiza la causal de clasificación prevista en el artículo 143, fracción I, de la Ley de Transparencia y Acceso a la Información Pública del Estado de México y Municipios.</w:t>
      </w:r>
    </w:p>
    <w:p w14:paraId="149F118E" w14:textId="25099603" w:rsidR="009B44FE" w:rsidRPr="00041EA6" w:rsidRDefault="009B44FE" w:rsidP="00617DA2">
      <w:pPr>
        <w:spacing w:line="360" w:lineRule="auto"/>
        <w:contextualSpacing/>
        <w:jc w:val="both"/>
        <w:rPr>
          <w:rFonts w:ascii="Palatino Linotype" w:hAnsi="Palatino Linotype" w:cs="Tahoma"/>
        </w:rPr>
      </w:pPr>
    </w:p>
    <w:p w14:paraId="3E3217D7" w14:textId="6D556B3B" w:rsidR="00923672" w:rsidRPr="00675F22" w:rsidRDefault="00CD5CBA" w:rsidP="00675F22">
      <w:pPr>
        <w:pStyle w:val="Prrafodelista"/>
        <w:numPr>
          <w:ilvl w:val="0"/>
          <w:numId w:val="13"/>
        </w:numPr>
        <w:spacing w:line="360" w:lineRule="auto"/>
        <w:ind w:left="0" w:firstLine="0"/>
        <w:jc w:val="both"/>
        <w:rPr>
          <w:rFonts w:ascii="Palatino Linotype" w:eastAsia="Palatino Linotype" w:hAnsi="Palatino Linotype" w:cs="Palatino Linotype"/>
        </w:rPr>
      </w:pPr>
      <w:r w:rsidRPr="00675F22">
        <w:rPr>
          <w:rFonts w:ascii="Palatino Linotype" w:eastAsia="Palatino Linotype" w:hAnsi="Palatino Linotype" w:cs="Palatino Linotype"/>
          <w:color w:val="000000"/>
        </w:rPr>
        <w:t xml:space="preserve">Por cuanto hace a los datos testados relacionados a los servidores públicos relativos al nombre, teléfono y domicilio, se tiene que los tal, se tiene por regla general que el nombre </w:t>
      </w:r>
      <w:r w:rsidRPr="00675F22">
        <w:rPr>
          <w:rFonts w:ascii="Palatino Linotype" w:eastAsia="Palatino Linotype" w:hAnsi="Palatino Linotype" w:cs="Palatino Linotype"/>
          <w:color w:val="000000"/>
        </w:rPr>
        <w:lastRenderedPageBreak/>
        <w:t>es de carácter público en el ejercicio de sus funciones</w:t>
      </w:r>
      <w:r w:rsidR="00923672" w:rsidRPr="00675F22">
        <w:rPr>
          <w:rFonts w:ascii="Palatino Linotype" w:eastAsia="Palatino Linotype" w:hAnsi="Palatino Linotype" w:cs="Palatino Linotype"/>
          <w:color w:val="000000"/>
        </w:rPr>
        <w:t xml:space="preserve">, mismo criterio que aplica a datos de localización de los servidores públicos en el ejercicio de sus funciones por lo que el teléfono, correo y domicilio institucional constituyen información de carácter público, por lo que no deben ser clasificados como datos personales; no así tratándose de los correos electrónicos, número de teléfono y domicilios particulares de los propios servidores públicos corresponden a datos personales que actualizan la </w:t>
      </w:r>
      <w:r w:rsidR="00923672" w:rsidRPr="00675F22">
        <w:rPr>
          <w:rFonts w:ascii="Palatino Linotype" w:eastAsia="Palatino Linotype" w:hAnsi="Palatino Linotype" w:cs="Palatino Linotype"/>
        </w:rPr>
        <w:t xml:space="preserve"> causal de clasificación establecida en el artículo 143, fracción I de la Ley de Transparencia y Acceso a la Información Pública del Estado de México y Municipios.</w:t>
      </w:r>
    </w:p>
    <w:p w14:paraId="7BCCB126" w14:textId="3B04AC39" w:rsidR="00CD5CBA" w:rsidRPr="00041EA6" w:rsidRDefault="00CD5CBA" w:rsidP="00617DA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114D2D" w14:textId="16592CE5" w:rsidR="002A5160" w:rsidRPr="00675F22" w:rsidRDefault="002A5160" w:rsidP="00675F2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675F22">
        <w:rPr>
          <w:rFonts w:ascii="Palatino Linotype" w:eastAsia="Palatino Linotype" w:hAnsi="Palatino Linotype" w:cs="Palatino Linotype"/>
          <w:color w:val="000000"/>
        </w:rPr>
        <w:t xml:space="preserve">Aunado a lo anterior, </w:t>
      </w:r>
      <w:r w:rsidRPr="00675F22">
        <w:rPr>
          <w:rFonts w:ascii="Palatino Linotype" w:eastAsia="Calibri" w:hAnsi="Palatino Linotype" w:cs="Tahoma"/>
          <w:bCs/>
        </w:rPr>
        <w:t xml:space="preserve">no se aprecia que el </w:t>
      </w:r>
      <w:r w:rsidRPr="00675F22">
        <w:rPr>
          <w:rFonts w:ascii="Palatino Linotype" w:eastAsia="Calibri" w:hAnsi="Palatino Linotype" w:cs="Tahoma"/>
          <w:b/>
          <w:bCs/>
        </w:rPr>
        <w:t>SUJETO OBLIGADO</w:t>
      </w:r>
      <w:r w:rsidRPr="00675F22">
        <w:rPr>
          <w:rFonts w:ascii="Palatino Linotype" w:eastAsia="Calibri" w:hAnsi="Palatino Linotype" w:cs="Tahoma"/>
          <w:bCs/>
        </w:rPr>
        <w:t xml:space="preserve"> hubiese adjuntado el Acuerdo del Comité de Transparencia, </w:t>
      </w:r>
      <w:r w:rsidRPr="00675F22">
        <w:rPr>
          <w:rFonts w:ascii="Palatino Linotype" w:eastAsia="MS Mincho" w:hAnsi="Palatino Linotype" w:cs="Arial"/>
          <w:bCs/>
        </w:rPr>
        <w:t>por medio del cual, se propuso y aprobó la clasificación de diversos datos como información confidencial.</w:t>
      </w:r>
    </w:p>
    <w:p w14:paraId="40CAADBC" w14:textId="77777777" w:rsidR="002A5160" w:rsidRPr="00041EA6" w:rsidRDefault="002A5160" w:rsidP="00617DA2">
      <w:pPr>
        <w:pBdr>
          <w:top w:val="nil"/>
          <w:left w:val="nil"/>
          <w:bottom w:val="nil"/>
          <w:right w:val="nil"/>
          <w:between w:val="nil"/>
        </w:pBdr>
        <w:jc w:val="both"/>
        <w:rPr>
          <w:rFonts w:ascii="Palatino Linotype" w:eastAsia="Palatino Linotype" w:hAnsi="Palatino Linotype" w:cs="Palatino Linotype"/>
          <w:color w:val="000000"/>
        </w:rPr>
      </w:pPr>
    </w:p>
    <w:p w14:paraId="3A77DED6"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En este sentido, </w:t>
      </w:r>
      <w:r w:rsidRPr="00041EA6">
        <w:rPr>
          <w:rFonts w:ascii="Palatino Linotype" w:eastAsia="MS Gothic" w:hAnsi="Palatino Linotype"/>
        </w:rPr>
        <w:t>es importante señalar que la clasificación total o parcial de la información requerida mediante solicitud de acceso a la información pública, constituye una restricción al derecho humano de acceso a la información.</w:t>
      </w:r>
    </w:p>
    <w:p w14:paraId="23AC93E8" w14:textId="77777777" w:rsidR="002A5160" w:rsidRPr="00041EA6" w:rsidRDefault="002A5160" w:rsidP="00617DA2">
      <w:pPr>
        <w:pBdr>
          <w:top w:val="nil"/>
          <w:left w:val="nil"/>
          <w:bottom w:val="nil"/>
          <w:right w:val="nil"/>
          <w:between w:val="nil"/>
        </w:pBdr>
        <w:jc w:val="both"/>
        <w:rPr>
          <w:rFonts w:ascii="Palatino Linotype" w:eastAsia="Palatino Linotype" w:hAnsi="Palatino Linotype" w:cs="Palatino Linotype"/>
          <w:color w:val="000000"/>
        </w:rPr>
      </w:pPr>
    </w:p>
    <w:p w14:paraId="2EB2EECB" w14:textId="77777777" w:rsidR="002A5160" w:rsidRPr="00041EA6" w:rsidRDefault="002A5160" w:rsidP="00675F22">
      <w:pPr>
        <w:pStyle w:val="Prrafodelista"/>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En este caso, es un supuesto que la Ley de Transparencia y Acceso a la Información Pública del Estado de México y Municipios, establece el procedimiento legalmente establecido, para ello.</w:t>
      </w:r>
    </w:p>
    <w:p w14:paraId="217FAE7A" w14:textId="77777777" w:rsidR="002A5160" w:rsidRPr="00041EA6" w:rsidRDefault="002A5160" w:rsidP="00675F22">
      <w:pPr>
        <w:rPr>
          <w:rFonts w:ascii="Palatino Linotype" w:eastAsia="MS Gothic" w:hAnsi="Palatino Linotype"/>
        </w:rPr>
      </w:pPr>
    </w:p>
    <w:p w14:paraId="3A5531CC"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14:paraId="2BB0420C"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i/>
        </w:rPr>
        <w:lastRenderedPageBreak/>
        <w:t>“</w:t>
      </w:r>
      <w:r w:rsidRPr="00041EA6">
        <w:rPr>
          <w:rFonts w:ascii="Palatino Linotype" w:hAnsi="Palatino Linotype" w:cs="Arial"/>
          <w:b/>
          <w:i/>
        </w:rPr>
        <w:t>Quincuagésimo.</w:t>
      </w:r>
      <w:r w:rsidRPr="00041EA6">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3E294A9"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p>
    <w:p w14:paraId="466DEA1E"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b/>
          <w:i/>
        </w:rPr>
        <w:t>Quincuagésimo primero.</w:t>
      </w:r>
      <w:r w:rsidRPr="00041EA6">
        <w:rPr>
          <w:rFonts w:ascii="Palatino Linotype" w:hAnsi="Palatino Linotype" w:cs="Arial"/>
          <w:i/>
        </w:rPr>
        <w:t xml:space="preserve"> La leyenda en los documentos clasificados indicará:</w:t>
      </w:r>
    </w:p>
    <w:p w14:paraId="01BB48C2"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i/>
        </w:rPr>
        <w:t>I. La fecha de sesión del Comité de Transparencia en donde se confirmó la clasificación, en su caso;</w:t>
      </w:r>
    </w:p>
    <w:p w14:paraId="08E2F560"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i/>
        </w:rPr>
        <w:t>II. El nombre del área;</w:t>
      </w:r>
    </w:p>
    <w:p w14:paraId="05EC0E84"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i/>
        </w:rPr>
        <w:t>III. La palabra reservado o confidencial;</w:t>
      </w:r>
    </w:p>
    <w:p w14:paraId="4BF58F9F"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i/>
        </w:rPr>
        <w:t>IV. Las partes o secciones reservadas o confidenciales, en su caso;</w:t>
      </w:r>
    </w:p>
    <w:p w14:paraId="2693A1C1"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i/>
        </w:rPr>
        <w:t>V. El fundamento legal;</w:t>
      </w:r>
    </w:p>
    <w:p w14:paraId="08B137A4"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i/>
        </w:rPr>
        <w:t>VI. El periodo de reserva, y</w:t>
      </w:r>
    </w:p>
    <w:p w14:paraId="11B04FD8" w14:textId="77777777" w:rsidR="002A5160" w:rsidRPr="00041EA6" w:rsidRDefault="002A5160" w:rsidP="00617DA2">
      <w:pPr>
        <w:pStyle w:val="Prrafodelista"/>
        <w:tabs>
          <w:tab w:val="left" w:pos="142"/>
          <w:tab w:val="left" w:pos="284"/>
        </w:tabs>
        <w:ind w:left="0"/>
        <w:jc w:val="both"/>
        <w:rPr>
          <w:rFonts w:ascii="Palatino Linotype" w:hAnsi="Palatino Linotype" w:cs="Arial"/>
          <w:i/>
        </w:rPr>
      </w:pPr>
      <w:r w:rsidRPr="00041EA6">
        <w:rPr>
          <w:rFonts w:ascii="Palatino Linotype" w:hAnsi="Palatino Linotype" w:cs="Arial"/>
          <w:i/>
        </w:rPr>
        <w:t>VII. La rúbrica del titular del área.”</w:t>
      </w:r>
    </w:p>
    <w:p w14:paraId="33F3CCF6" w14:textId="77777777" w:rsidR="002A5160" w:rsidRPr="00041EA6" w:rsidRDefault="002A5160" w:rsidP="00617DA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0ADBC0"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Así, una vez hecho lo anterior, se remite la información al Titular de la Unidad de Transparencia, con el acuerdo de clasificación correspondiente, para que sea sometido al conocimiento del Comité de Transparencia.</w:t>
      </w:r>
    </w:p>
    <w:p w14:paraId="5A9D1B2E" w14:textId="77777777" w:rsidR="002A5160" w:rsidRPr="00041EA6" w:rsidRDefault="002A5160" w:rsidP="00617DA2">
      <w:pPr>
        <w:pBdr>
          <w:top w:val="nil"/>
          <w:left w:val="nil"/>
          <w:bottom w:val="nil"/>
          <w:right w:val="nil"/>
          <w:between w:val="nil"/>
        </w:pBdr>
        <w:jc w:val="both"/>
        <w:rPr>
          <w:rFonts w:ascii="Palatino Linotype" w:eastAsia="Palatino Linotype" w:hAnsi="Palatino Linotype" w:cs="Palatino Linotype"/>
          <w:color w:val="000000"/>
        </w:rPr>
      </w:pPr>
    </w:p>
    <w:p w14:paraId="5828AA06" w14:textId="77777777" w:rsidR="002A5160" w:rsidRPr="00041EA6" w:rsidRDefault="002A5160" w:rsidP="00617DA2">
      <w:pPr>
        <w:tabs>
          <w:tab w:val="left" w:pos="567"/>
        </w:tabs>
        <w:jc w:val="both"/>
        <w:outlineLvl w:val="2"/>
        <w:rPr>
          <w:rFonts w:ascii="Palatino Linotype" w:hAnsi="Palatino Linotype" w:cs="Arial"/>
          <w:b/>
        </w:rPr>
      </w:pPr>
      <w:bookmarkStart w:id="27" w:name="_Toc51863317"/>
      <w:bookmarkStart w:id="28" w:name="_Toc52444651"/>
      <w:bookmarkStart w:id="29" w:name="_Toc57154370"/>
      <w:bookmarkStart w:id="30" w:name="_Toc65170176"/>
      <w:r w:rsidRPr="00041EA6">
        <w:rPr>
          <w:rFonts w:ascii="Palatino Linotype" w:hAnsi="Palatino Linotype" w:cs="Arial"/>
          <w:b/>
        </w:rPr>
        <w:t>La intervención del Comité de Transparencia.</w:t>
      </w:r>
      <w:bookmarkEnd w:id="27"/>
      <w:bookmarkEnd w:id="28"/>
      <w:bookmarkEnd w:id="29"/>
      <w:bookmarkEnd w:id="30"/>
    </w:p>
    <w:p w14:paraId="2B0F7AC1" w14:textId="77777777" w:rsidR="002A5160" w:rsidRPr="00041EA6" w:rsidRDefault="002A5160" w:rsidP="00617DA2">
      <w:pPr>
        <w:tabs>
          <w:tab w:val="left" w:pos="142"/>
          <w:tab w:val="left" w:pos="284"/>
          <w:tab w:val="left" w:pos="426"/>
        </w:tabs>
        <w:jc w:val="both"/>
        <w:rPr>
          <w:rFonts w:ascii="Palatino Linotype" w:hAnsi="Palatino Linotype" w:cs="Arial"/>
          <w:b/>
        </w:rPr>
      </w:pPr>
      <w:r w:rsidRPr="00041EA6">
        <w:rPr>
          <w:rFonts w:ascii="Palatino Linotype" w:hAnsi="Palatino Linotype" w:cs="Arial"/>
          <w:b/>
        </w:rPr>
        <w:t>Formalidades para emitir el Acuerdo de Clasificación.</w:t>
      </w:r>
    </w:p>
    <w:p w14:paraId="6A0C3467"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41EA6">
        <w:rPr>
          <w:rFonts w:ascii="Palatino Linotype" w:eastAsia="MS Gothic" w:hAnsi="Palatino Linotype"/>
          <w:b/>
          <w:u w:val="single"/>
        </w:rPr>
        <w:t>confirmar, modificar o revocar</w:t>
      </w:r>
      <w:r w:rsidRPr="00041EA6">
        <w:rPr>
          <w:rFonts w:ascii="Palatino Linotype" w:eastAsia="MS Gothic" w:hAnsi="Palatino Linotype"/>
        </w:rPr>
        <w:t xml:space="preserve"> la clasificación de la información que ha hecho el titular del área que administra la información. Por lo tanto, el Comité </w:t>
      </w:r>
      <w:r w:rsidRPr="00041EA6">
        <w:rPr>
          <w:rFonts w:ascii="Palatino Linotype" w:eastAsia="MS Gothic" w:hAnsi="Palatino Linotype"/>
          <w:b/>
          <w:u w:val="single"/>
        </w:rPr>
        <w:t>no aprueba</w:t>
      </w:r>
      <w:r w:rsidRPr="00041EA6">
        <w:rPr>
          <w:rFonts w:ascii="Palatino Linotype" w:eastAsia="MS Gothic" w:hAnsi="Palatino Linotype"/>
        </w:rPr>
        <w:t xml:space="preserve"> la clasificación, sino que revisa lo que ha hecho el titular del área y confirma, modifica o revoca la decisión a través de un acuerdo.</w:t>
      </w:r>
    </w:p>
    <w:p w14:paraId="71434A07" w14:textId="77777777" w:rsidR="002A5160" w:rsidRPr="00041EA6" w:rsidRDefault="002A5160" w:rsidP="00617DA2">
      <w:pPr>
        <w:pBdr>
          <w:top w:val="nil"/>
          <w:left w:val="nil"/>
          <w:bottom w:val="nil"/>
          <w:right w:val="nil"/>
          <w:between w:val="nil"/>
        </w:pBdr>
        <w:jc w:val="both"/>
        <w:rPr>
          <w:rFonts w:ascii="Palatino Linotype" w:eastAsia="Palatino Linotype" w:hAnsi="Palatino Linotype" w:cs="Palatino Linotype"/>
          <w:color w:val="000000"/>
        </w:rPr>
      </w:pPr>
    </w:p>
    <w:p w14:paraId="3D7BDCFD"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041EA6">
        <w:rPr>
          <w:rFonts w:ascii="Palatino Linotype" w:eastAsia="MS Gothic" w:hAnsi="Palatino Linotype"/>
          <w:b/>
          <w:u w:val="single"/>
        </w:rPr>
        <w:t xml:space="preserve">el acto </w:t>
      </w:r>
      <w:r w:rsidRPr="00041EA6">
        <w:rPr>
          <w:rFonts w:ascii="Palatino Linotype" w:eastAsia="MS Gothic" w:hAnsi="Palatino Linotype"/>
          <w:b/>
          <w:u w:val="single"/>
        </w:rPr>
        <w:lastRenderedPageBreak/>
        <w:t>reúna con los requisitos elementales</w:t>
      </w:r>
      <w:r w:rsidRPr="00041EA6">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3D9A5DC" w14:textId="77777777" w:rsidR="002A5160" w:rsidRPr="00041EA6" w:rsidRDefault="002A5160" w:rsidP="00617DA2">
      <w:pPr>
        <w:rPr>
          <w:rFonts w:ascii="Palatino Linotype" w:eastAsia="MS Gothic" w:hAnsi="Palatino Linotype"/>
        </w:rPr>
      </w:pPr>
    </w:p>
    <w:p w14:paraId="5FBCBB7E"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19C754D" w14:textId="77777777" w:rsidR="007943E6" w:rsidRDefault="007943E6" w:rsidP="00617DA2">
      <w:pPr>
        <w:tabs>
          <w:tab w:val="left" w:pos="142"/>
          <w:tab w:val="left" w:pos="284"/>
          <w:tab w:val="left" w:pos="426"/>
        </w:tabs>
        <w:jc w:val="both"/>
        <w:rPr>
          <w:rFonts w:ascii="Palatino Linotype" w:hAnsi="Palatino Linotype" w:cs="Arial"/>
          <w:b/>
        </w:rPr>
      </w:pPr>
    </w:p>
    <w:p w14:paraId="32A24F96" w14:textId="1A4CFBB4" w:rsidR="002A5160" w:rsidRPr="00041EA6" w:rsidRDefault="002A5160" w:rsidP="00617DA2">
      <w:pPr>
        <w:tabs>
          <w:tab w:val="left" w:pos="142"/>
          <w:tab w:val="left" w:pos="284"/>
          <w:tab w:val="left" w:pos="426"/>
        </w:tabs>
        <w:jc w:val="both"/>
        <w:rPr>
          <w:rFonts w:ascii="Palatino Linotype" w:hAnsi="Palatino Linotype" w:cs="Arial"/>
          <w:b/>
        </w:rPr>
      </w:pPr>
      <w:r w:rsidRPr="00041EA6">
        <w:rPr>
          <w:rFonts w:ascii="Palatino Linotype" w:hAnsi="Palatino Linotype" w:cs="Arial"/>
          <w:b/>
        </w:rPr>
        <w:t>Requisitos de fondo del Acuerdo de Clasificación.</w:t>
      </w:r>
    </w:p>
    <w:p w14:paraId="3ABA2A1B"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 xml:space="preserve">Como se ha señalado antes, al hacer el juicio de subsunción o encaje entre el supuesto de hecho y la hipótesis jurídica, se debe acreditar la estricta correspondencia entre un elemento y otro. </w:t>
      </w:r>
    </w:p>
    <w:p w14:paraId="12EE1D9C" w14:textId="77777777" w:rsidR="002A5160" w:rsidRPr="00041EA6" w:rsidRDefault="002A5160" w:rsidP="00675F22">
      <w:pPr>
        <w:pBdr>
          <w:top w:val="nil"/>
          <w:left w:val="nil"/>
          <w:bottom w:val="nil"/>
          <w:right w:val="nil"/>
          <w:between w:val="nil"/>
        </w:pBdr>
        <w:jc w:val="both"/>
        <w:rPr>
          <w:rFonts w:ascii="Palatino Linotype" w:eastAsia="Palatino Linotype" w:hAnsi="Palatino Linotype" w:cs="Palatino Linotype"/>
          <w:color w:val="000000"/>
        </w:rPr>
      </w:pPr>
    </w:p>
    <w:p w14:paraId="53F2AE4E" w14:textId="77777777" w:rsidR="002A5160" w:rsidRPr="00675F22"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 xml:space="preserve">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w:t>
      </w:r>
      <w:r w:rsidRPr="00041EA6">
        <w:rPr>
          <w:rFonts w:ascii="Palatino Linotype" w:eastAsia="MS Gothic" w:hAnsi="Palatino Linotype"/>
        </w:rPr>
        <w:lastRenderedPageBreak/>
        <w:t>de la prueba, para justificar las restricciones, corresponde a los sujetos obligados, por lo que deberán fundar y motivar debidamente la clasificación.</w:t>
      </w:r>
    </w:p>
    <w:p w14:paraId="15ABDDA1" w14:textId="77777777" w:rsidR="00675F22" w:rsidRPr="00041EA6" w:rsidRDefault="00675F22" w:rsidP="00675F2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015CEDD"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FADB6AB" w14:textId="77777777" w:rsidR="002A5160" w:rsidRPr="00041EA6" w:rsidRDefault="002A5160" w:rsidP="00675F22">
      <w:pPr>
        <w:rPr>
          <w:rFonts w:ascii="Palatino Linotype" w:hAnsi="Palatino Linotype" w:cs="Arial"/>
        </w:rPr>
      </w:pPr>
    </w:p>
    <w:p w14:paraId="4645BBC7"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hAnsi="Palatino Linotype" w:cs="Arial"/>
        </w:rPr>
        <w:t>Por su parte, el intérprete judicial del país ha establecido una jurisprudencia respecto a qué debe entenderse por fundamentación y motivación, en los siguientes términos:</w:t>
      </w:r>
    </w:p>
    <w:p w14:paraId="79B012A0" w14:textId="77777777" w:rsidR="002A5160" w:rsidRPr="00041EA6" w:rsidRDefault="002A5160" w:rsidP="00617DA2">
      <w:pPr>
        <w:pStyle w:val="Prrafodelista"/>
        <w:spacing w:before="240" w:after="240"/>
        <w:ind w:left="0"/>
        <w:jc w:val="both"/>
        <w:rPr>
          <w:rFonts w:ascii="Palatino Linotype" w:eastAsia="MS Mincho" w:hAnsi="Palatino Linotype" w:cs="Arial"/>
          <w:b/>
          <w:bCs/>
          <w:u w:val="single"/>
        </w:rPr>
      </w:pPr>
      <w:r w:rsidRPr="00041EA6">
        <w:rPr>
          <w:rFonts w:ascii="Palatino Linotype" w:hAnsi="Palatino Linotype" w:cs="Arial"/>
          <w:b/>
          <w:i/>
          <w:color w:val="000000"/>
        </w:rPr>
        <w:t>FUNDAMENTACIÓN Y MOTIVACIÓN.</w:t>
      </w:r>
      <w:r w:rsidRPr="00041EA6">
        <w:rPr>
          <w:rFonts w:ascii="Palatino Linotype" w:hAnsi="Palatino Linotype" w:cs="Arial"/>
          <w:i/>
          <w:color w:val="000000"/>
        </w:rPr>
        <w:t xml:space="preserve"> “La </w:t>
      </w:r>
      <w:r w:rsidRPr="00041EA6">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41EA6">
        <w:rPr>
          <w:rFonts w:ascii="Palatino Linotype" w:hAnsi="Palatino Linotype" w:cs="Arial"/>
          <w:i/>
          <w:color w:val="000000"/>
        </w:rPr>
        <w:t>.”</w:t>
      </w:r>
    </w:p>
    <w:p w14:paraId="72C78E37" w14:textId="77777777" w:rsidR="002A5160" w:rsidRPr="00041EA6" w:rsidRDefault="002A5160" w:rsidP="00617DA2">
      <w:pPr>
        <w:contextualSpacing/>
        <w:jc w:val="both"/>
        <w:rPr>
          <w:rFonts w:ascii="Palatino Linotype" w:hAnsi="Palatino Linotype" w:cs="Arial"/>
          <w:i/>
          <w:color w:val="000000"/>
        </w:rPr>
      </w:pPr>
    </w:p>
    <w:p w14:paraId="6CA7CB30" w14:textId="77777777" w:rsidR="002A5160" w:rsidRPr="00041EA6" w:rsidRDefault="002A5160" w:rsidP="00617DA2">
      <w:pPr>
        <w:contextualSpacing/>
        <w:jc w:val="both"/>
        <w:rPr>
          <w:rFonts w:ascii="Palatino Linotype" w:hAnsi="Palatino Linotype" w:cs="Arial"/>
          <w:i/>
          <w:color w:val="000000"/>
        </w:rPr>
      </w:pPr>
      <w:r w:rsidRPr="00041EA6">
        <w:rPr>
          <w:rFonts w:ascii="Palatino Linotype" w:hAnsi="Palatino Linotype" w:cs="Arial"/>
          <w:i/>
          <w:color w:val="000000"/>
        </w:rPr>
        <w:t>SEGUNDO TRIBUNAL COLEGIADO DEL SEXTO CIRCUITO.</w:t>
      </w:r>
    </w:p>
    <w:p w14:paraId="7C2AF056" w14:textId="77777777" w:rsidR="002A5160" w:rsidRPr="00041EA6" w:rsidRDefault="002A5160" w:rsidP="00617DA2">
      <w:pPr>
        <w:contextualSpacing/>
        <w:jc w:val="both"/>
        <w:rPr>
          <w:rFonts w:ascii="Palatino Linotype" w:hAnsi="Palatino Linotype" w:cs="Arial"/>
          <w:i/>
          <w:color w:val="000000"/>
        </w:rPr>
      </w:pPr>
      <w:r w:rsidRPr="00041EA6">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65315D8" w14:textId="77777777" w:rsidR="002A5160" w:rsidRPr="00041EA6" w:rsidRDefault="002A5160" w:rsidP="00617DA2">
      <w:pPr>
        <w:contextualSpacing/>
        <w:jc w:val="both"/>
        <w:rPr>
          <w:rFonts w:ascii="Palatino Linotype" w:hAnsi="Palatino Linotype" w:cs="Arial"/>
          <w:i/>
          <w:color w:val="000000"/>
        </w:rPr>
      </w:pPr>
      <w:r w:rsidRPr="00041EA6">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0C79CA07" w14:textId="77777777" w:rsidR="002A5160" w:rsidRPr="00041EA6" w:rsidRDefault="002A5160" w:rsidP="00617DA2">
      <w:pPr>
        <w:contextualSpacing/>
        <w:jc w:val="both"/>
        <w:rPr>
          <w:rFonts w:ascii="Palatino Linotype" w:hAnsi="Palatino Linotype" w:cs="Arial"/>
          <w:i/>
          <w:color w:val="000000"/>
        </w:rPr>
      </w:pPr>
      <w:r w:rsidRPr="00041EA6">
        <w:rPr>
          <w:rFonts w:ascii="Palatino Linotype" w:hAnsi="Palatino Linotype" w:cs="Arial"/>
          <w:i/>
          <w:color w:val="000000"/>
        </w:rPr>
        <w:t>Amparo en revisión 333/88. Adilia Romero. 26 de octubre de 1988. Unanimidad de votos. Ponente: Arnoldo Nájera Virgen. Secretario: Enrique Crispín Campos Ramírez.</w:t>
      </w:r>
    </w:p>
    <w:p w14:paraId="374817C1" w14:textId="77777777" w:rsidR="002A5160" w:rsidRPr="00041EA6" w:rsidRDefault="002A5160" w:rsidP="00617DA2">
      <w:pPr>
        <w:contextualSpacing/>
        <w:jc w:val="both"/>
        <w:rPr>
          <w:rFonts w:ascii="Palatino Linotype" w:hAnsi="Palatino Linotype" w:cs="Arial"/>
          <w:i/>
          <w:color w:val="000000"/>
        </w:rPr>
      </w:pPr>
      <w:r w:rsidRPr="00041EA6">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63C41D34" w14:textId="77777777" w:rsidR="002A5160" w:rsidRPr="00041EA6" w:rsidRDefault="002A5160" w:rsidP="00617DA2">
      <w:pPr>
        <w:contextualSpacing/>
        <w:jc w:val="both"/>
        <w:rPr>
          <w:rFonts w:ascii="Palatino Linotype" w:hAnsi="Palatino Linotype" w:cs="Arial"/>
          <w:i/>
          <w:color w:val="000000"/>
        </w:rPr>
      </w:pPr>
      <w:r w:rsidRPr="00041EA6">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75A148C7" w14:textId="77777777" w:rsidR="002A5160" w:rsidRPr="00041EA6" w:rsidRDefault="002A5160" w:rsidP="00617DA2">
      <w:pPr>
        <w:contextualSpacing/>
        <w:jc w:val="both"/>
        <w:rPr>
          <w:rFonts w:ascii="Palatino Linotype" w:hAnsi="Palatino Linotype" w:cs="Arial"/>
          <w:i/>
          <w:color w:val="000000"/>
        </w:rPr>
      </w:pPr>
    </w:p>
    <w:p w14:paraId="4771E1EB"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 xml:space="preserve">Así, en un acto de autoridad se cumple con la debida fundamentación cuando se cita el precepto legal aplicable al caso concreto y la debida motivación cuando se expresan las </w:t>
      </w:r>
      <w:r w:rsidRPr="00041EA6">
        <w:rPr>
          <w:rFonts w:ascii="Palatino Linotype" w:eastAsia="MS Gothic" w:hAnsi="Palatino Linotype"/>
        </w:rPr>
        <w:lastRenderedPageBreak/>
        <w:t>razones, motivos o circunstancias que tomó en cuenta la autoridad para adecuar el hecho a los fundamentos de derecho.</w:t>
      </w:r>
    </w:p>
    <w:p w14:paraId="76F4D64D" w14:textId="77777777" w:rsidR="002A5160" w:rsidRPr="00041EA6" w:rsidRDefault="002A5160" w:rsidP="00675F22">
      <w:pPr>
        <w:pBdr>
          <w:top w:val="nil"/>
          <w:left w:val="nil"/>
          <w:bottom w:val="nil"/>
          <w:right w:val="nil"/>
          <w:between w:val="nil"/>
        </w:pBdr>
        <w:jc w:val="both"/>
        <w:rPr>
          <w:rFonts w:ascii="Palatino Linotype" w:eastAsia="Palatino Linotype" w:hAnsi="Palatino Linotype" w:cs="Palatino Linotype"/>
          <w:color w:val="000000"/>
        </w:rPr>
      </w:pPr>
    </w:p>
    <w:p w14:paraId="29CE3153"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6646FF9D" w14:textId="77777777" w:rsidR="002A5160" w:rsidRPr="00041EA6" w:rsidRDefault="002A5160" w:rsidP="00675F22">
      <w:pPr>
        <w:rPr>
          <w:rFonts w:ascii="Palatino Linotype" w:eastAsia="MS Gothic" w:hAnsi="Palatino Linotype"/>
        </w:rPr>
      </w:pPr>
    </w:p>
    <w:p w14:paraId="4CC9084B" w14:textId="77777777"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MS Gothic" w:hAnsi="Palatino Linotype"/>
        </w:rPr>
        <w:t>De este modo, la persona que se sienta afectada pueda impugnar la decisión, permitiéndole una real y auténtica defensa.</w:t>
      </w:r>
      <w:r w:rsidRPr="00041EA6">
        <w:rPr>
          <w:rFonts w:ascii="Palatino Linotype" w:hAnsi="Palatino Linotype" w:cs="Arial"/>
          <w:color w:val="000000" w:themeColor="text1"/>
          <w:lang w:val="es-US"/>
        </w:rPr>
        <w:t xml:space="preserve"> </w:t>
      </w:r>
      <w:r w:rsidRPr="00041EA6">
        <w:rPr>
          <w:rFonts w:ascii="Palatino Linotype" w:eastAsia="MS Gothic" w:hAnsi="Palatino Linotype"/>
        </w:rPr>
        <w:t>En ese mismo sentido, el numeral trigésimo tercero fracción V de los Lineamientos Generales, precisa que para motivar la clasificación se deben acreditar las circunstancias de tiempo, modo y lugar.</w:t>
      </w:r>
    </w:p>
    <w:p w14:paraId="5750126A" w14:textId="77777777" w:rsidR="002A5160" w:rsidRPr="00041EA6" w:rsidRDefault="002A5160" w:rsidP="00675F22">
      <w:pPr>
        <w:rPr>
          <w:rFonts w:ascii="Palatino Linotype" w:hAnsi="Palatino Linotype" w:cs="Arial"/>
          <w:noProof/>
        </w:rPr>
      </w:pPr>
    </w:p>
    <w:p w14:paraId="35DF5F4D" w14:textId="6F1AB353" w:rsidR="002A5160" w:rsidRPr="00041EA6" w:rsidRDefault="002A5160"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hAnsi="Palatino Linotype" w:cs="Arial"/>
          <w:noProof/>
        </w:rPr>
        <w:t xml:space="preserve">En ese caso, se precisa que, si bien, los Servidores Públicos Habilitados competentes, en el presente, remitieron </w:t>
      </w:r>
      <w:r w:rsidR="00F94B40" w:rsidRPr="00041EA6">
        <w:rPr>
          <w:rFonts w:ascii="Palatino Linotype" w:eastAsia="Palatino Linotype" w:hAnsi="Palatino Linotype" w:cs="Palatino Linotype"/>
          <w:color w:val="000000"/>
        </w:rPr>
        <w:t>la mayoría de los convenios firmados por el Presidente Municipal  y el reconocimiento recibido, ambos en la temporalidad requerida por el particular</w:t>
      </w:r>
      <w:r w:rsidRPr="00041EA6">
        <w:rPr>
          <w:rFonts w:ascii="Palatino Linotype" w:eastAsia="Palatino Linotype" w:hAnsi="Palatino Linotype" w:cs="Palatino Linotype"/>
          <w:color w:val="000000"/>
        </w:rPr>
        <w:t>;</w:t>
      </w:r>
      <w:r w:rsidRPr="00041EA6">
        <w:rPr>
          <w:rFonts w:ascii="Palatino Linotype" w:hAnsi="Palatino Linotype" w:cs="Arial"/>
          <w:noProof/>
        </w:rPr>
        <w:t xml:space="preserve"> </w:t>
      </w:r>
      <w:r w:rsidRPr="00041EA6">
        <w:rPr>
          <w:rFonts w:ascii="Palatino Linotype" w:hAnsi="Palatino Linotype" w:cs="Arial"/>
          <w:b/>
          <w:noProof/>
        </w:rPr>
        <w:t>no se proporcionó el Acuerdo emitido por el Comité de Transparencia que sustente la versión pública, aunado a que, del análisis realizado, resulta</w:t>
      </w:r>
      <w:r w:rsidRPr="00041EA6">
        <w:rPr>
          <w:rFonts w:ascii="Palatino Linotype" w:hAnsi="Palatino Linotype" w:cs="Arial"/>
          <w:b/>
          <w:bCs/>
          <w:noProof/>
        </w:rPr>
        <w:t xml:space="preserve"> incorrecta.</w:t>
      </w:r>
    </w:p>
    <w:p w14:paraId="31B0C8BA" w14:textId="77777777" w:rsidR="002A5160" w:rsidRPr="00041EA6" w:rsidRDefault="002A5160" w:rsidP="00675F22">
      <w:pPr>
        <w:tabs>
          <w:tab w:val="left" w:pos="567"/>
        </w:tabs>
        <w:spacing w:line="360" w:lineRule="auto"/>
        <w:jc w:val="both"/>
        <w:rPr>
          <w:rFonts w:ascii="Palatino Linotype" w:eastAsia="Calibri" w:hAnsi="Palatino Linotype" w:cs="Tahoma"/>
          <w:bCs/>
          <w:lang w:eastAsia="en-US"/>
        </w:rPr>
      </w:pPr>
    </w:p>
    <w:p w14:paraId="187DDEA4" w14:textId="711727B8" w:rsidR="009B44FE" w:rsidRPr="00041EA6" w:rsidRDefault="00F94B40" w:rsidP="00675F22">
      <w:pPr>
        <w:pStyle w:val="Prrafodelista"/>
        <w:numPr>
          <w:ilvl w:val="0"/>
          <w:numId w:val="13"/>
        </w:numPr>
        <w:spacing w:line="360" w:lineRule="auto"/>
        <w:ind w:left="0" w:firstLine="0"/>
        <w:jc w:val="both"/>
        <w:rPr>
          <w:rFonts w:ascii="Palatino Linotype" w:eastAsia="Times New Roman" w:hAnsi="Palatino Linotype" w:cs="Arial"/>
          <w:color w:val="000000"/>
        </w:rPr>
      </w:pPr>
      <w:r w:rsidRPr="00041EA6">
        <w:rPr>
          <w:rFonts w:ascii="Palatino Linotype" w:eastAsia="Times New Roman" w:hAnsi="Palatino Linotype" w:cs="Arial"/>
          <w:color w:val="000000"/>
        </w:rPr>
        <w:t xml:space="preserve">Finalmente al realizar un comparativo entre el archivo Sol-2311.pdf donde se enlistan los convenios firmados en la temporalidad señalada y el archivo SA </w:t>
      </w:r>
      <w:r w:rsidRPr="00041EA6">
        <w:rPr>
          <w:rFonts w:ascii="Palatino Linotype" w:eastAsia="Calibri" w:hAnsi="Palatino Linotype" w:cs="Arial"/>
        </w:rPr>
        <w:t>Anexo SAIMEX 2311.pdf donde se adjunta copia de los convenios suscritos por el Presidente Municipal, es que se observa una discrepancia al no remitir en éste último archivo el convenio suscrito con la Universidad Autónoma del Estado de México, por lo que no colmó la solicitud del Recurrente.</w:t>
      </w:r>
    </w:p>
    <w:p w14:paraId="22BB5DA2" w14:textId="77777777" w:rsidR="00881806" w:rsidRPr="00041EA6" w:rsidRDefault="00881806" w:rsidP="00675F22">
      <w:pPr>
        <w:spacing w:line="360" w:lineRule="auto"/>
        <w:jc w:val="both"/>
        <w:rPr>
          <w:rFonts w:ascii="Palatino Linotype" w:eastAsia="Times New Roman" w:hAnsi="Palatino Linotype" w:cs="Arial"/>
          <w:color w:val="000000"/>
        </w:rPr>
      </w:pPr>
    </w:p>
    <w:p w14:paraId="7147602D" w14:textId="25263BA4" w:rsidR="00881806" w:rsidRPr="00041EA6" w:rsidRDefault="00881806" w:rsidP="00675F22">
      <w:pPr>
        <w:pStyle w:val="Prrafodelista"/>
        <w:numPr>
          <w:ilvl w:val="0"/>
          <w:numId w:val="13"/>
        </w:numPr>
        <w:spacing w:line="360" w:lineRule="auto"/>
        <w:ind w:left="0" w:firstLine="0"/>
        <w:jc w:val="both"/>
        <w:rPr>
          <w:rFonts w:ascii="Palatino Linotype" w:eastAsia="Calibri" w:hAnsi="Palatino Linotype"/>
          <w:color w:val="000000"/>
          <w:lang w:eastAsia="en-US"/>
        </w:rPr>
      </w:pPr>
      <w:r w:rsidRPr="00041EA6">
        <w:rPr>
          <w:rFonts w:ascii="Palatino Linotype" w:eastAsia="Calibri" w:hAnsi="Palatino Linotype"/>
          <w:color w:val="000000"/>
          <w:lang w:eastAsia="en-US"/>
        </w:rPr>
        <w:lastRenderedPageBreak/>
        <w:t xml:space="preserve">De tal suerte, se logra vislumbrar que el Sujeto Obligado clasificó datos de naturaleza pública, a saber, </w:t>
      </w:r>
      <w:r w:rsidRPr="00041EA6">
        <w:rPr>
          <w:rFonts w:ascii="Palatino Linotype" w:hAnsi="Palatino Linotype" w:cs="Tahoma"/>
        </w:rPr>
        <w:t xml:space="preserve"> el Registro Federal de Contribuyentes, datos de contacto, domicilio legal o fiscal de las personas morales; el nombre y firma del presentante legal; nombre y firma de quienes suscriben; nombre, firma, teléfono, domicilio y correo de los enlaces; los datos de identificación de las actas constitutivas o instrumentos notariales</w:t>
      </w:r>
      <w:r w:rsidRPr="00041EA6">
        <w:rPr>
          <w:rFonts w:ascii="Palatino Linotype" w:eastAsia="Calibri" w:hAnsi="Palatino Linotype"/>
          <w:color w:val="000000"/>
          <w:lang w:eastAsia="en-US"/>
        </w:rPr>
        <w:t xml:space="preserve">; aunado a que omitió entregar el Acuerdo emitido por el Comité de Transparencia, donde se confirmara la clasificación de los datos personales, lo cual da como resultado que el agravio sea </w:t>
      </w:r>
      <w:r w:rsidRPr="00041EA6">
        <w:rPr>
          <w:rFonts w:ascii="Palatino Linotype" w:eastAsia="Calibri" w:hAnsi="Palatino Linotype"/>
          <w:b/>
          <w:bCs/>
          <w:color w:val="000000"/>
          <w:lang w:eastAsia="en-US"/>
        </w:rPr>
        <w:t>FUNDADO.</w:t>
      </w:r>
    </w:p>
    <w:p w14:paraId="5A418872" w14:textId="77777777" w:rsidR="00881806" w:rsidRPr="00041EA6" w:rsidRDefault="00881806" w:rsidP="00675F22">
      <w:pPr>
        <w:spacing w:line="360" w:lineRule="auto"/>
        <w:jc w:val="both"/>
        <w:rPr>
          <w:rFonts w:ascii="Palatino Linotype" w:eastAsia="Calibri" w:hAnsi="Palatino Linotype"/>
          <w:b/>
          <w:bCs/>
          <w:color w:val="000000"/>
          <w:lang w:eastAsia="en-US"/>
        </w:rPr>
      </w:pPr>
    </w:p>
    <w:p w14:paraId="1F1C5F0C" w14:textId="129C6F0C" w:rsidR="00881806" w:rsidRPr="00041EA6" w:rsidRDefault="00881806" w:rsidP="00675F22">
      <w:pPr>
        <w:pStyle w:val="Prrafodelista"/>
        <w:numPr>
          <w:ilvl w:val="0"/>
          <w:numId w:val="13"/>
        </w:numPr>
        <w:spacing w:line="360" w:lineRule="auto"/>
        <w:ind w:left="0" w:firstLine="0"/>
        <w:jc w:val="both"/>
        <w:rPr>
          <w:rFonts w:ascii="Palatino Linotype" w:hAnsi="Palatino Linotype" w:cs="Tahoma"/>
        </w:rPr>
      </w:pPr>
      <w:r w:rsidRPr="00041EA6">
        <w:rPr>
          <w:rFonts w:ascii="Palatino Linotype" w:eastAsia="Calibri" w:hAnsi="Palatino Linotype"/>
          <w:color w:val="000000"/>
          <w:lang w:eastAsia="en-US"/>
        </w:rPr>
        <w:t>Por lo que</w:t>
      </w:r>
      <w:r w:rsidR="00CD5CBA" w:rsidRPr="00041EA6">
        <w:rPr>
          <w:rFonts w:ascii="Palatino Linotype" w:eastAsia="Calibri" w:hAnsi="Palatino Linotype"/>
          <w:color w:val="000000"/>
          <w:lang w:eastAsia="en-US"/>
        </w:rPr>
        <w:t xml:space="preserve">, para atender el requerimiento, deberá </w:t>
      </w:r>
      <w:r w:rsidRPr="00041EA6">
        <w:rPr>
          <w:rFonts w:ascii="Palatino Linotype" w:hAnsi="Palatino Linotype" w:cs="Tahoma"/>
        </w:rPr>
        <w:t xml:space="preserve">entregar la versión </w:t>
      </w:r>
      <w:r w:rsidR="00CD5CBA" w:rsidRPr="00041EA6">
        <w:rPr>
          <w:rFonts w:ascii="Palatino Linotype" w:hAnsi="Palatino Linotype" w:cs="Tahoma"/>
        </w:rPr>
        <w:t>pública</w:t>
      </w:r>
      <w:r w:rsidRPr="00041EA6">
        <w:rPr>
          <w:rFonts w:ascii="Palatino Linotype" w:hAnsi="Palatino Linotype" w:cs="Tahoma"/>
        </w:rPr>
        <w:t xml:space="preserve"> </w:t>
      </w:r>
      <w:r w:rsidR="00CD5CBA" w:rsidRPr="00041EA6">
        <w:rPr>
          <w:rFonts w:ascii="Palatino Linotype" w:hAnsi="Palatino Linotype" w:cs="Tahoma"/>
        </w:rPr>
        <w:t>de los convenios suscritos por el Presidente Municipal</w:t>
      </w:r>
      <w:r w:rsidRPr="00041EA6">
        <w:rPr>
          <w:rFonts w:ascii="Palatino Linotype" w:hAnsi="Palatino Linotype" w:cs="Tahoma"/>
        </w:rPr>
        <w:t xml:space="preserve"> junto con el respectivo acuerdo de Clasificación.</w:t>
      </w:r>
    </w:p>
    <w:p w14:paraId="205B9F67" w14:textId="77777777" w:rsidR="00F94B40" w:rsidRPr="00041EA6" w:rsidRDefault="00F94B40" w:rsidP="00617DA2">
      <w:pPr>
        <w:spacing w:line="360" w:lineRule="auto"/>
        <w:jc w:val="both"/>
        <w:rPr>
          <w:rFonts w:ascii="Palatino Linotype" w:eastAsia="Times New Roman" w:hAnsi="Palatino Linotype" w:cs="Arial"/>
          <w:color w:val="000000"/>
        </w:rPr>
      </w:pPr>
    </w:p>
    <w:p w14:paraId="454A7C20" w14:textId="77777777" w:rsidR="009809E3" w:rsidRPr="00041EA6" w:rsidRDefault="009809E3" w:rsidP="00617DA2">
      <w:pPr>
        <w:pStyle w:val="Ttulo1"/>
        <w:rPr>
          <w:b/>
          <w:szCs w:val="24"/>
          <w:lang w:val="es-ES_tradnl"/>
        </w:rPr>
      </w:pPr>
      <w:bookmarkStart w:id="31" w:name="_Toc87549682"/>
      <w:r w:rsidRPr="00041EA6">
        <w:rPr>
          <w:b/>
          <w:szCs w:val="24"/>
          <w:lang w:val="es-ES_tradnl"/>
        </w:rPr>
        <w:t>QUINTO. De la versión pública.</w:t>
      </w:r>
      <w:bookmarkEnd w:id="31"/>
    </w:p>
    <w:p w14:paraId="7839EBEA" w14:textId="1DD597DC" w:rsidR="00CD5CBA" w:rsidRPr="00675F22" w:rsidRDefault="00CD5CBA" w:rsidP="00675F22">
      <w:pPr>
        <w:pStyle w:val="Prrafodelista"/>
        <w:numPr>
          <w:ilvl w:val="0"/>
          <w:numId w:val="13"/>
        </w:numPr>
        <w:spacing w:line="360" w:lineRule="auto"/>
        <w:ind w:left="0" w:firstLine="0"/>
        <w:jc w:val="both"/>
        <w:rPr>
          <w:rFonts w:ascii="Palatino Linotype" w:eastAsia="Palatino Linotype" w:hAnsi="Palatino Linotype" w:cs="Palatino Linotype"/>
          <w:color w:val="000000"/>
        </w:rPr>
      </w:pPr>
      <w:bookmarkStart w:id="32" w:name="_Toc495427547"/>
      <w:bookmarkStart w:id="33" w:name="_Toc497905366"/>
      <w:bookmarkStart w:id="34" w:name="_Toc87456497"/>
      <w:r w:rsidRPr="00675F22">
        <w:rPr>
          <w:rFonts w:ascii="Palatino Linotype" w:eastAsia="Palatino Linotype" w:hAnsi="Palatino Linotype" w:cs="Palatino Linotype"/>
          <w:color w:val="000000"/>
        </w:rPr>
        <w:t xml:space="preserve">Debe destacarse, que debido a la información solicitada por el </w:t>
      </w:r>
      <w:r w:rsidRPr="00675F22">
        <w:rPr>
          <w:rFonts w:ascii="Palatino Linotype" w:eastAsia="Palatino Linotype" w:hAnsi="Palatino Linotype" w:cs="Palatino Linotype"/>
          <w:b/>
          <w:color w:val="000000"/>
        </w:rPr>
        <w:t xml:space="preserve">RECURRENTE, </w:t>
      </w:r>
      <w:r w:rsidRPr="00675F22">
        <w:rPr>
          <w:rFonts w:ascii="Palatino Linotype" w:eastAsia="Palatino Linotype" w:hAnsi="Palatino Linotype" w:cs="Palatino Linotype"/>
          <w:color w:val="000000"/>
        </w:rPr>
        <w:t xml:space="preserve">pueden obrar datos personales susceptibles de protegerse, así como información susceptible de clasificarse como confidencial,  por lo que, el </w:t>
      </w:r>
      <w:r w:rsidRPr="00675F22">
        <w:rPr>
          <w:rFonts w:ascii="Palatino Linotype" w:eastAsia="Palatino Linotype" w:hAnsi="Palatino Linotype" w:cs="Palatino Linotype"/>
          <w:b/>
          <w:color w:val="000000"/>
        </w:rPr>
        <w:t xml:space="preserve">SUJETO OBLIGADO </w:t>
      </w:r>
      <w:r w:rsidRPr="00675F22">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611C7B5F" w14:textId="77777777" w:rsidR="00CD5CBA" w:rsidRPr="00041EA6" w:rsidRDefault="00CD5CBA" w:rsidP="00617DA2">
      <w:pPr>
        <w:tabs>
          <w:tab w:val="left" w:pos="0"/>
          <w:tab w:val="left" w:pos="284"/>
        </w:tabs>
        <w:spacing w:line="276" w:lineRule="auto"/>
        <w:jc w:val="both"/>
        <w:rPr>
          <w:rFonts w:ascii="Palatino Linotype" w:eastAsia="Palatino Linotype" w:hAnsi="Palatino Linotype" w:cs="Palatino Linotype"/>
        </w:rPr>
      </w:pPr>
    </w:p>
    <w:p w14:paraId="1CB5E606" w14:textId="77777777" w:rsidR="00CD5CBA" w:rsidRPr="00041EA6" w:rsidRDefault="00CD5CBA" w:rsidP="00675F22">
      <w:pPr>
        <w:numPr>
          <w:ilvl w:val="0"/>
          <w:numId w:val="13"/>
        </w:numPr>
        <w:tabs>
          <w:tab w:val="left" w:pos="284"/>
        </w:tabs>
        <w:spacing w:line="360" w:lineRule="auto"/>
        <w:ind w:left="0" w:firstLine="0"/>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No pasa desapercibido para este Órgano Garante que los sujetos obligados</w:t>
      </w:r>
      <w:r w:rsidRPr="00041EA6">
        <w:rPr>
          <w:rFonts w:ascii="Palatino Linotype" w:eastAsia="Palatino Linotype" w:hAnsi="Palatino Linotype" w:cs="Palatino Linotype"/>
          <w:b/>
          <w:color w:val="000000"/>
        </w:rPr>
        <w:t xml:space="preserve"> </w:t>
      </w:r>
      <w:r w:rsidRPr="00041EA6">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clasificación de la información, se </w:t>
      </w:r>
      <w:r w:rsidRPr="00041EA6">
        <w:rPr>
          <w:rFonts w:ascii="Palatino Linotype" w:eastAsia="Palatino Linotype" w:hAnsi="Palatino Linotype" w:cs="Palatino Linotype"/>
          <w:color w:val="000000"/>
        </w:rPr>
        <w:lastRenderedPageBreak/>
        <w:t>deben seguir una serie de pasos y procedimientos, por lo que es menester reiterar los mismos:</w:t>
      </w:r>
    </w:p>
    <w:p w14:paraId="094626FC" w14:textId="77777777" w:rsidR="00CD5CBA" w:rsidRPr="00041EA6" w:rsidRDefault="00CD5CBA" w:rsidP="00617DA2">
      <w:pPr>
        <w:tabs>
          <w:tab w:val="left" w:pos="284"/>
        </w:tabs>
        <w:spacing w:line="360" w:lineRule="auto"/>
        <w:jc w:val="both"/>
        <w:rPr>
          <w:rFonts w:ascii="Palatino Linotype" w:eastAsia="Palatino Linotype" w:hAnsi="Palatino Linotype" w:cs="Palatino Linotype"/>
          <w:color w:val="000000"/>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6945"/>
      </w:tblGrid>
      <w:tr w:rsidR="00CD5CBA" w:rsidRPr="00041EA6" w14:paraId="3A72A643" w14:textId="77777777" w:rsidTr="00675F22">
        <w:tc>
          <w:tcPr>
            <w:tcW w:w="2689" w:type="dxa"/>
          </w:tcPr>
          <w:p w14:paraId="63524ADD" w14:textId="77777777" w:rsidR="00CD5CBA" w:rsidRPr="00041EA6" w:rsidRDefault="00CD5CBA" w:rsidP="00675F22">
            <w:pPr>
              <w:spacing w:line="360" w:lineRule="auto"/>
              <w:rPr>
                <w:rFonts w:ascii="Palatino Linotype" w:eastAsia="Palatino Linotype" w:hAnsi="Palatino Linotype" w:cs="Palatino Linotype"/>
              </w:rPr>
            </w:pPr>
            <w:r w:rsidRPr="00041EA6">
              <w:rPr>
                <w:rFonts w:ascii="Palatino Linotype" w:eastAsia="Palatino Linotype" w:hAnsi="Palatino Linotype" w:cs="Palatino Linotype"/>
              </w:rPr>
              <w:t>a) Requisitos previos.</w:t>
            </w:r>
          </w:p>
        </w:tc>
        <w:tc>
          <w:tcPr>
            <w:tcW w:w="6945" w:type="dxa"/>
          </w:tcPr>
          <w:p w14:paraId="670EFEC3"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550700E"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39E7B489"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0905B162" w14:textId="77777777" w:rsidR="00CD5CBA" w:rsidRPr="00041EA6" w:rsidRDefault="00CD5CBA" w:rsidP="00675F22">
            <w:pPr>
              <w:spacing w:line="360" w:lineRule="auto"/>
              <w:jc w:val="both"/>
              <w:rPr>
                <w:rFonts w:ascii="Palatino Linotype" w:eastAsia="Palatino Linotype" w:hAnsi="Palatino Linotype" w:cs="Palatino Linotype"/>
              </w:rPr>
            </w:pPr>
            <w:r w:rsidRPr="00041EA6">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041EA6">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041EA6">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CD5CBA" w:rsidRPr="00041EA6" w14:paraId="681B6AC6" w14:textId="77777777" w:rsidTr="00675F22">
        <w:tc>
          <w:tcPr>
            <w:tcW w:w="2689" w:type="dxa"/>
          </w:tcPr>
          <w:p w14:paraId="5B6131E1" w14:textId="77777777" w:rsidR="00CD5CBA" w:rsidRPr="00041EA6" w:rsidRDefault="00CD5CBA" w:rsidP="00675F22">
            <w:pPr>
              <w:spacing w:line="360" w:lineRule="auto"/>
              <w:rPr>
                <w:rFonts w:ascii="Palatino Linotype" w:eastAsia="Palatino Linotype" w:hAnsi="Palatino Linotype" w:cs="Palatino Linotype"/>
              </w:rPr>
            </w:pPr>
            <w:r w:rsidRPr="00041EA6">
              <w:rPr>
                <w:rFonts w:ascii="Palatino Linotype" w:eastAsia="Palatino Linotype" w:hAnsi="Palatino Linotype" w:cs="Palatino Linotype"/>
              </w:rPr>
              <w:t>b) Supuestos de clasificación.</w:t>
            </w:r>
          </w:p>
        </w:tc>
        <w:tc>
          <w:tcPr>
            <w:tcW w:w="6945" w:type="dxa"/>
          </w:tcPr>
          <w:p w14:paraId="3AC360E7"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7469416D"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4FFE5B1" w14:textId="77777777" w:rsidR="00CD5CBA" w:rsidRPr="00041EA6" w:rsidRDefault="00CD5CBA" w:rsidP="00675F22">
            <w:pPr>
              <w:spacing w:line="360" w:lineRule="auto"/>
              <w:jc w:val="both"/>
              <w:rPr>
                <w:rFonts w:ascii="Palatino Linotype" w:eastAsia="Palatino Linotype" w:hAnsi="Palatino Linotype" w:cs="Palatino Linotype"/>
              </w:rPr>
            </w:pPr>
            <w:r w:rsidRPr="00041EA6">
              <w:rPr>
                <w:rFonts w:ascii="Palatino Linotype" w:eastAsia="Palatino Linotype" w:hAnsi="Palatino Linotype" w:cs="Palatino Linotype"/>
                <w:color w:val="000000"/>
              </w:rPr>
              <w:t xml:space="preserve">El </w:t>
            </w:r>
            <w:r w:rsidRPr="00041EA6">
              <w:rPr>
                <w:rFonts w:ascii="Palatino Linotype" w:eastAsia="Palatino Linotype" w:hAnsi="Palatino Linotype" w:cs="Palatino Linotype"/>
                <w:b/>
                <w:color w:val="000000"/>
              </w:rPr>
              <w:t>Sujeto Obligado</w:t>
            </w:r>
            <w:r w:rsidRPr="00041EA6">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D5CBA" w:rsidRPr="00041EA6" w14:paraId="69B05D20" w14:textId="77777777" w:rsidTr="00675F22">
        <w:tc>
          <w:tcPr>
            <w:tcW w:w="2689" w:type="dxa"/>
          </w:tcPr>
          <w:p w14:paraId="7EDC25F6" w14:textId="77777777" w:rsidR="00CD5CBA" w:rsidRPr="00041EA6" w:rsidRDefault="00CD5CBA" w:rsidP="00675F22">
            <w:pPr>
              <w:spacing w:line="360" w:lineRule="auto"/>
              <w:rPr>
                <w:rFonts w:ascii="Palatino Linotype" w:eastAsia="Palatino Linotype" w:hAnsi="Palatino Linotype" w:cs="Palatino Linotype"/>
              </w:rPr>
            </w:pPr>
            <w:r w:rsidRPr="00041EA6">
              <w:rPr>
                <w:rFonts w:ascii="Palatino Linotype" w:eastAsia="Palatino Linotype" w:hAnsi="Palatino Linotype" w:cs="Palatino Linotype"/>
              </w:rPr>
              <w:lastRenderedPageBreak/>
              <w:t>c) Formalidades para emitir el acuerdo de clasificación.</w:t>
            </w:r>
          </w:p>
        </w:tc>
        <w:tc>
          <w:tcPr>
            <w:tcW w:w="6945" w:type="dxa"/>
          </w:tcPr>
          <w:p w14:paraId="5EA94E1E"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2026C990"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Es necesario que </w:t>
            </w:r>
            <w:r w:rsidRPr="00041EA6">
              <w:rPr>
                <w:rFonts w:ascii="Palatino Linotype" w:eastAsia="Palatino Linotype" w:hAnsi="Palatino Linotype" w:cs="Palatino Linotype"/>
                <w:b/>
                <w:color w:val="000000"/>
                <w:u w:val="single"/>
              </w:rPr>
              <w:t>el acto reúna con los requisitos elementales</w:t>
            </w:r>
            <w:r w:rsidRPr="00041EA6">
              <w:rPr>
                <w:rFonts w:ascii="Palatino Linotype" w:eastAsia="Palatino Linotype" w:hAnsi="Palatino Linotype" w:cs="Palatino Linotype"/>
                <w:color w:val="000000"/>
              </w:rPr>
              <w:t>, entre ellos, que la autoridad que va a emitir el acto de autoridad sea la legalmente facultada para ello.</w:t>
            </w:r>
          </w:p>
          <w:p w14:paraId="0B0F6C09" w14:textId="77777777" w:rsidR="00CD5CBA" w:rsidRPr="00041EA6" w:rsidRDefault="00CD5CBA" w:rsidP="00675F22">
            <w:pPr>
              <w:spacing w:line="360" w:lineRule="auto"/>
              <w:jc w:val="both"/>
              <w:rPr>
                <w:rFonts w:ascii="Palatino Linotype" w:eastAsia="Palatino Linotype" w:hAnsi="Palatino Linotype" w:cs="Palatino Linotype"/>
              </w:rPr>
            </w:pPr>
            <w:r w:rsidRPr="00041EA6">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w:t>
            </w:r>
            <w:r w:rsidRPr="00041EA6">
              <w:rPr>
                <w:rFonts w:ascii="Palatino Linotype" w:eastAsia="Palatino Linotype" w:hAnsi="Palatino Linotype" w:cs="Palatino Linotype"/>
                <w:color w:val="000000"/>
              </w:rPr>
              <w:lastRenderedPageBreak/>
              <w:t>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D5CBA" w:rsidRPr="00041EA6" w14:paraId="7164D58D" w14:textId="77777777" w:rsidTr="00675F22">
        <w:tc>
          <w:tcPr>
            <w:tcW w:w="2689" w:type="dxa"/>
          </w:tcPr>
          <w:p w14:paraId="2DF175E2" w14:textId="77777777" w:rsidR="00CD5CBA" w:rsidRPr="00041EA6" w:rsidRDefault="00CD5CBA" w:rsidP="00675F22">
            <w:pPr>
              <w:spacing w:line="360" w:lineRule="auto"/>
              <w:rPr>
                <w:rFonts w:ascii="Palatino Linotype" w:eastAsia="Palatino Linotype" w:hAnsi="Palatino Linotype" w:cs="Palatino Linotype"/>
              </w:rPr>
            </w:pPr>
          </w:p>
          <w:p w14:paraId="2344301A" w14:textId="77777777" w:rsidR="00CD5CBA" w:rsidRPr="00041EA6" w:rsidRDefault="00CD5CBA" w:rsidP="00675F22">
            <w:pPr>
              <w:spacing w:line="360" w:lineRule="auto"/>
              <w:jc w:val="both"/>
              <w:rPr>
                <w:rFonts w:ascii="Palatino Linotype" w:eastAsia="Palatino Linotype" w:hAnsi="Palatino Linotype" w:cs="Palatino Linotype"/>
              </w:rPr>
            </w:pPr>
            <w:r w:rsidRPr="00041EA6">
              <w:rPr>
                <w:rFonts w:ascii="Palatino Linotype" w:eastAsia="Palatino Linotype" w:hAnsi="Palatino Linotype" w:cs="Palatino Linotype"/>
                <w:color w:val="000000"/>
              </w:rPr>
              <w:t xml:space="preserve">d) Requisitos de fondo del acuerdo de clasificación. </w:t>
            </w:r>
          </w:p>
        </w:tc>
        <w:tc>
          <w:tcPr>
            <w:tcW w:w="6945" w:type="dxa"/>
          </w:tcPr>
          <w:p w14:paraId="09F6167D"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41EA6">
              <w:rPr>
                <w:rFonts w:ascii="Palatino Linotype" w:eastAsia="Palatino Linotype" w:hAnsi="Palatino Linotype" w:cs="Palatino Linotype"/>
                <w:b/>
                <w:color w:val="000000"/>
              </w:rPr>
              <w:t>Sujetos Obligados</w:t>
            </w:r>
            <w:r w:rsidRPr="00041EA6">
              <w:rPr>
                <w:rFonts w:ascii="Palatino Linotype" w:eastAsia="Palatino Linotype" w:hAnsi="Palatino Linotype" w:cs="Palatino Linotype"/>
                <w:color w:val="000000"/>
              </w:rPr>
              <w:t xml:space="preserve">, por lo que deberán fundar y motivar debidamente la clasificación. </w:t>
            </w:r>
          </w:p>
          <w:p w14:paraId="40C96000"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De lo anterior, se desprende que para una correcta </w:t>
            </w:r>
            <w:r w:rsidRPr="00041EA6">
              <w:rPr>
                <w:rFonts w:ascii="Palatino Linotype" w:eastAsia="Palatino Linotype" w:hAnsi="Palatino Linotype" w:cs="Palatino Linotype"/>
                <w:b/>
                <w:color w:val="000000"/>
              </w:rPr>
              <w:t>clasificación total o parcial</w:t>
            </w:r>
            <w:r w:rsidRPr="00041EA6">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874A862"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w:t>
            </w:r>
            <w:r w:rsidRPr="00041EA6">
              <w:rPr>
                <w:rFonts w:ascii="Palatino Linotype" w:eastAsia="Palatino Linotype" w:hAnsi="Palatino Linotype" w:cs="Palatino Linotype"/>
                <w:color w:val="000000"/>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7E6C7CE8"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2300D129"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Ahora bien, </w:t>
            </w:r>
            <w:r w:rsidRPr="00041EA6">
              <w:rPr>
                <w:rFonts w:ascii="Palatino Linotype" w:eastAsia="Palatino Linotype" w:hAnsi="Palatino Linotype" w:cs="Palatino Linotype"/>
                <w:b/>
                <w:color w:val="000000"/>
                <w:u w:val="single"/>
              </w:rPr>
              <w:t>para cada caso además de fundar y motivar</w:t>
            </w:r>
            <w:r w:rsidRPr="00041EA6">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D5CBA" w:rsidRPr="00041EA6" w14:paraId="3B1145E4" w14:textId="77777777" w:rsidTr="00675F22">
        <w:tc>
          <w:tcPr>
            <w:tcW w:w="2689" w:type="dxa"/>
          </w:tcPr>
          <w:p w14:paraId="44618340" w14:textId="77777777" w:rsidR="00CD5CBA" w:rsidRPr="00041EA6" w:rsidRDefault="00CD5CBA" w:rsidP="00675F22">
            <w:pPr>
              <w:spacing w:line="360" w:lineRule="auto"/>
              <w:rPr>
                <w:rFonts w:ascii="Palatino Linotype" w:eastAsia="Palatino Linotype" w:hAnsi="Palatino Linotype" w:cs="Palatino Linotype"/>
              </w:rPr>
            </w:pPr>
            <w:r w:rsidRPr="00041EA6">
              <w:rPr>
                <w:rFonts w:ascii="Palatino Linotype" w:eastAsia="Palatino Linotype" w:hAnsi="Palatino Linotype" w:cs="Palatino Linotype"/>
              </w:rPr>
              <w:lastRenderedPageBreak/>
              <w:t>e) Condiciones especiales de la clasificación de la información como confidencial.</w:t>
            </w:r>
          </w:p>
        </w:tc>
        <w:tc>
          <w:tcPr>
            <w:tcW w:w="6945" w:type="dxa"/>
          </w:tcPr>
          <w:p w14:paraId="6BF4FFFF"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310DB9FF" w14:textId="77777777" w:rsidR="00CD5CBA" w:rsidRPr="00041EA6" w:rsidRDefault="00CD5CBA" w:rsidP="00675F22">
            <w:pPr>
              <w:spacing w:line="360" w:lineRule="auto"/>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w:t>
            </w:r>
            <w:r w:rsidRPr="00041EA6">
              <w:rPr>
                <w:rFonts w:ascii="Palatino Linotype" w:eastAsia="Palatino Linotype" w:hAnsi="Palatino Linotype" w:cs="Palatino Linotype"/>
                <w:color w:val="000000"/>
              </w:rPr>
              <w:lastRenderedPageBreak/>
              <w:t xml:space="preserve">Justicia de la Nación, los servidores públicos nos encontramos sujetos a un régimen menor de protección. </w:t>
            </w:r>
          </w:p>
          <w:p w14:paraId="76A535E3" w14:textId="77777777" w:rsidR="00CD5CBA" w:rsidRPr="00041EA6" w:rsidRDefault="00CD5CBA" w:rsidP="00675F22">
            <w:pPr>
              <w:spacing w:line="360" w:lineRule="auto"/>
              <w:rPr>
                <w:rFonts w:ascii="Palatino Linotype" w:eastAsia="Palatino Linotype" w:hAnsi="Palatino Linotype" w:cs="Palatino Linotype"/>
              </w:rPr>
            </w:pPr>
            <w:r w:rsidRPr="00041EA6">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0B3228F" w14:textId="77777777" w:rsidR="00CD5CBA" w:rsidRPr="00041EA6" w:rsidRDefault="00CD5CBA" w:rsidP="00617DA2">
      <w:pPr>
        <w:tabs>
          <w:tab w:val="left" w:pos="284"/>
        </w:tabs>
        <w:spacing w:line="360" w:lineRule="auto"/>
        <w:rPr>
          <w:rFonts w:ascii="Palatino Linotype" w:eastAsia="Palatino Linotype" w:hAnsi="Palatino Linotype" w:cs="Palatino Linotype"/>
          <w:color w:val="000000"/>
        </w:rPr>
      </w:pPr>
    </w:p>
    <w:p w14:paraId="13417C8D" w14:textId="77777777" w:rsidR="00CD5CBA" w:rsidRDefault="00CD5CBA" w:rsidP="00675F22">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5AA95992" w14:textId="77777777" w:rsidR="00675F22" w:rsidRPr="00041EA6" w:rsidRDefault="00675F22" w:rsidP="00675F2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53F454" w14:textId="77777777" w:rsidR="00CD5CBA" w:rsidRPr="00041EA6" w:rsidRDefault="00CD5CBA" w:rsidP="00675F22">
      <w:pPr>
        <w:numPr>
          <w:ilvl w:val="0"/>
          <w:numId w:val="13"/>
        </w:numPr>
        <w:tabs>
          <w:tab w:val="left" w:pos="284"/>
        </w:tabs>
        <w:spacing w:line="360" w:lineRule="auto"/>
        <w:ind w:left="0" w:firstLine="0"/>
        <w:jc w:val="both"/>
        <w:rPr>
          <w:rFonts w:ascii="Palatino Linotype" w:eastAsia="Palatino Linotype" w:hAnsi="Palatino Linotype" w:cs="Palatino Linotype"/>
          <w:color w:val="000000"/>
        </w:rPr>
      </w:pPr>
      <w:r w:rsidRPr="00041EA6">
        <w:rPr>
          <w:rFonts w:ascii="Palatino Linotype" w:eastAsia="Palatino Linotype" w:hAnsi="Palatino Linotype" w:cs="Palatino Linotype"/>
          <w:color w:val="000000"/>
        </w:rPr>
        <w:t xml:space="preserve"> </w:t>
      </w:r>
      <w:r w:rsidRPr="00041EA6">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14:paraId="79D122D0" w14:textId="77777777" w:rsidR="00CD5CBA" w:rsidRPr="00041EA6" w:rsidRDefault="00CD5CBA" w:rsidP="00617DA2">
      <w:pPr>
        <w:autoSpaceDE w:val="0"/>
        <w:autoSpaceDN w:val="0"/>
        <w:adjustRightInd w:val="0"/>
        <w:spacing w:line="360" w:lineRule="auto"/>
        <w:contextualSpacing/>
        <w:jc w:val="both"/>
        <w:rPr>
          <w:rFonts w:ascii="Palatino Linotype" w:eastAsia="Times New Roman" w:hAnsi="Palatino Linotype" w:cs="Tahoma"/>
          <w:bCs/>
          <w:iCs/>
        </w:rPr>
      </w:pPr>
    </w:p>
    <w:p w14:paraId="67317FC5" w14:textId="556166D0" w:rsidR="00CD5CBA" w:rsidRPr="00675F22" w:rsidRDefault="00CD5CBA" w:rsidP="00675F22">
      <w:pPr>
        <w:pStyle w:val="Prrafodelista"/>
        <w:numPr>
          <w:ilvl w:val="0"/>
          <w:numId w:val="13"/>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rPr>
      </w:pPr>
      <w:r w:rsidRPr="00675F22">
        <w:rPr>
          <w:rFonts w:ascii="Palatino Linotype" w:eastAsia="Palatino Linotype" w:hAnsi="Palatino Linotype" w:cs="Palatino Linotype"/>
          <w:color w:val="000000"/>
        </w:rPr>
        <w:t>Por lo anteriormente expuesto, este Órgano Garante considera parcialmente fundadas las razones o motivos de inconformidad que plantea el</w:t>
      </w:r>
      <w:r w:rsidRPr="00675F22">
        <w:rPr>
          <w:rFonts w:ascii="Palatino Linotype" w:eastAsia="Palatino Linotype" w:hAnsi="Palatino Linotype" w:cs="Palatino Linotype"/>
          <w:b/>
          <w:color w:val="000000"/>
        </w:rPr>
        <w:t xml:space="preserve"> RECURRENTE</w:t>
      </w:r>
      <w:r w:rsidRPr="00675F22">
        <w:rPr>
          <w:rFonts w:ascii="Palatino Linotype" w:eastAsia="Palatino Linotype" w:hAnsi="Palatino Linotype" w:cs="Palatino Linotype"/>
          <w:color w:val="000000"/>
        </w:rPr>
        <w:t xml:space="preserve">, determinando </w:t>
      </w:r>
      <w:r w:rsidRPr="00675F22">
        <w:rPr>
          <w:rFonts w:ascii="Palatino Linotype" w:eastAsia="Palatino Linotype" w:hAnsi="Palatino Linotype" w:cs="Palatino Linotype"/>
          <w:b/>
          <w:smallCaps/>
          <w:color w:val="000000"/>
        </w:rPr>
        <w:t>MODIFICAR</w:t>
      </w:r>
      <w:r w:rsidRPr="00675F22">
        <w:rPr>
          <w:rFonts w:ascii="Palatino Linotype" w:eastAsia="Palatino Linotype" w:hAnsi="Palatino Linotype" w:cs="Palatino Linotype"/>
          <w:b/>
          <w:color w:val="000000"/>
        </w:rPr>
        <w:t xml:space="preserve"> </w:t>
      </w:r>
      <w:r w:rsidRPr="00675F22">
        <w:rPr>
          <w:rFonts w:ascii="Palatino Linotype" w:eastAsia="Palatino Linotype" w:hAnsi="Palatino Linotype" w:cs="Palatino Linotype"/>
          <w:color w:val="000000"/>
        </w:rPr>
        <w:t xml:space="preserve">la respuesta del </w:t>
      </w:r>
      <w:r w:rsidRPr="00675F22">
        <w:rPr>
          <w:rFonts w:ascii="Palatino Linotype" w:eastAsia="Palatino Linotype" w:hAnsi="Palatino Linotype" w:cs="Palatino Linotype"/>
          <w:b/>
          <w:color w:val="000000"/>
        </w:rPr>
        <w:t>SUJETO OBLIGADO</w:t>
      </w:r>
      <w:r w:rsidRPr="00675F22">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w:t>
      </w:r>
      <w:r w:rsidRPr="00675F22">
        <w:rPr>
          <w:rFonts w:ascii="Palatino Linotype" w:eastAsia="Palatino Linotype" w:hAnsi="Palatino Linotype" w:cs="Palatino Linotype"/>
          <w:color w:val="000000"/>
        </w:rPr>
        <w:lastRenderedPageBreak/>
        <w:t xml:space="preserve">de México; 2, fracción II; 29, 36 fracciones I y II; 176, 178, 181, 185 de la Ley de Transparencia y Acceso a la Información Pública del Estado de México y Municipios, este </w:t>
      </w:r>
      <w:r w:rsidRPr="00675F22">
        <w:rPr>
          <w:rFonts w:ascii="Palatino Linotype" w:eastAsia="Palatino Linotype" w:hAnsi="Palatino Linotype" w:cs="Palatino Linotype"/>
          <w:b/>
          <w:color w:val="000000"/>
        </w:rPr>
        <w:t>ÓRGANO GARANTE</w:t>
      </w:r>
      <w:r w:rsidRPr="00675F22">
        <w:rPr>
          <w:rFonts w:ascii="Palatino Linotype" w:eastAsia="Palatino Linotype" w:hAnsi="Palatino Linotype" w:cs="Palatino Linotype"/>
          <w:color w:val="000000"/>
        </w:rPr>
        <w:t xml:space="preserve"> emite los siguientes</w:t>
      </w:r>
      <w:r w:rsidRPr="00675F22">
        <w:rPr>
          <w:rFonts w:ascii="Palatino Linotype" w:eastAsia="Palatino Linotype" w:hAnsi="Palatino Linotype" w:cs="Palatino Linotype"/>
          <w:color w:val="222222"/>
        </w:rPr>
        <w:t>:</w:t>
      </w:r>
      <w:r w:rsidR="00675F22">
        <w:rPr>
          <w:rFonts w:ascii="Palatino Linotype" w:eastAsia="Palatino Linotype" w:hAnsi="Palatino Linotype" w:cs="Palatino Linotype"/>
          <w:color w:val="222222"/>
        </w:rPr>
        <w:t>-----------------------------------------------------------------------------</w:t>
      </w:r>
    </w:p>
    <w:p w14:paraId="11932615" w14:textId="77777777" w:rsidR="00675F22" w:rsidRPr="00675F22" w:rsidRDefault="00675F22" w:rsidP="00675F22">
      <w:pPr>
        <w:pStyle w:val="Prrafodelista"/>
        <w:rPr>
          <w:rFonts w:ascii="Palatino Linotype" w:eastAsia="Century Gothic" w:hAnsi="Palatino Linotype" w:cs="Century Gothic"/>
          <w:color w:val="000000"/>
        </w:rPr>
      </w:pPr>
    </w:p>
    <w:p w14:paraId="18C7D92B" w14:textId="77777777" w:rsidR="009959DB" w:rsidRPr="00041EA6" w:rsidRDefault="009959DB" w:rsidP="00617DA2">
      <w:pPr>
        <w:pStyle w:val="Ttulo1"/>
        <w:spacing w:line="360" w:lineRule="auto"/>
        <w:jc w:val="center"/>
        <w:rPr>
          <w:b/>
          <w:color w:val="000000" w:themeColor="text1"/>
          <w:szCs w:val="24"/>
        </w:rPr>
      </w:pPr>
      <w:r w:rsidRPr="00041EA6">
        <w:rPr>
          <w:b/>
          <w:color w:val="000000" w:themeColor="text1"/>
          <w:szCs w:val="24"/>
        </w:rPr>
        <w:t>R E S O L U T I V O S</w:t>
      </w:r>
      <w:bookmarkEnd w:id="24"/>
      <w:bookmarkEnd w:id="25"/>
      <w:bookmarkEnd w:id="32"/>
      <w:bookmarkEnd w:id="33"/>
      <w:bookmarkEnd w:id="34"/>
    </w:p>
    <w:p w14:paraId="755F3EBB" w14:textId="77777777" w:rsidR="00C6745E" w:rsidRPr="00041EA6" w:rsidRDefault="00C6745E" w:rsidP="00617DA2">
      <w:pPr>
        <w:spacing w:line="360" w:lineRule="auto"/>
        <w:jc w:val="both"/>
        <w:rPr>
          <w:rFonts w:ascii="Palatino Linotype" w:eastAsia="Times New Roman" w:hAnsi="Palatino Linotype" w:cs="Arial"/>
          <w:b/>
        </w:rPr>
      </w:pPr>
    </w:p>
    <w:p w14:paraId="593E42D5" w14:textId="03CCF2DF" w:rsidR="00AB105D" w:rsidRPr="00041EA6" w:rsidRDefault="00AB105D" w:rsidP="00617DA2">
      <w:pPr>
        <w:tabs>
          <w:tab w:val="left" w:pos="284"/>
        </w:tabs>
        <w:spacing w:line="360" w:lineRule="auto"/>
        <w:jc w:val="both"/>
        <w:rPr>
          <w:rFonts w:ascii="Palatino Linotype" w:hAnsi="Palatino Linotype" w:cs="Arial"/>
          <w:bCs/>
          <w:lang w:val="es-ES_tradnl" w:eastAsia="es-MX"/>
        </w:rPr>
      </w:pPr>
      <w:r w:rsidRPr="00041EA6">
        <w:rPr>
          <w:rFonts w:ascii="Palatino Linotype" w:hAnsi="Palatino Linotype" w:cs="Arial"/>
          <w:b/>
          <w:lang w:val="es-ES_tradnl"/>
        </w:rPr>
        <w:t xml:space="preserve">PRIMERO. </w:t>
      </w:r>
      <w:r w:rsidRPr="00041EA6">
        <w:rPr>
          <w:rFonts w:ascii="Palatino Linotype" w:hAnsi="Palatino Linotype" w:cs="Arial"/>
          <w:lang w:val="es-ES_tradnl"/>
        </w:rPr>
        <w:t>Resultan parcialmente fundadas las</w:t>
      </w:r>
      <w:r w:rsidRPr="00041EA6">
        <w:rPr>
          <w:rFonts w:ascii="Palatino Linotype" w:hAnsi="Palatino Linotype" w:cs="Arial"/>
          <w:b/>
          <w:lang w:val="es-ES_tradnl"/>
        </w:rPr>
        <w:t xml:space="preserve"> </w:t>
      </w:r>
      <w:r w:rsidRPr="00041EA6">
        <w:rPr>
          <w:rFonts w:ascii="Palatino Linotype" w:hAnsi="Palatino Linotype" w:cs="Arial"/>
          <w:lang w:val="es-ES"/>
        </w:rPr>
        <w:t xml:space="preserve">razones o motivos de inconformidad hechos valer en el recurso de revisión </w:t>
      </w:r>
      <w:r w:rsidR="00923672" w:rsidRPr="00041EA6">
        <w:rPr>
          <w:rFonts w:ascii="Palatino Linotype" w:eastAsia="Calibri" w:hAnsi="Palatino Linotype" w:cs="Tahoma"/>
          <w:b/>
          <w:lang w:eastAsia="en-US"/>
        </w:rPr>
        <w:t>06573/INFOEM/IP/RR/2025</w:t>
      </w:r>
      <w:r w:rsidRPr="00041EA6">
        <w:rPr>
          <w:rFonts w:ascii="Palatino Linotype" w:eastAsia="Calibri" w:hAnsi="Palatino Linotype" w:cs="Tahoma"/>
          <w:b/>
          <w:lang w:eastAsia="en-US"/>
        </w:rPr>
        <w:t xml:space="preserve">, </w:t>
      </w:r>
      <w:r w:rsidRPr="00041EA6">
        <w:rPr>
          <w:rFonts w:ascii="Palatino Linotype" w:hAnsi="Palatino Linotype" w:cs="Arial"/>
          <w:bCs/>
          <w:lang w:val="es-ES_tradnl" w:eastAsia="es-MX"/>
        </w:rPr>
        <w:t xml:space="preserve">en términos de los </w:t>
      </w:r>
      <w:r w:rsidRPr="00041EA6">
        <w:rPr>
          <w:rFonts w:ascii="Palatino Linotype" w:hAnsi="Palatino Linotype" w:cs="Arial"/>
          <w:b/>
          <w:bCs/>
          <w:lang w:val="es-ES_tradnl" w:eastAsia="es-MX"/>
        </w:rPr>
        <w:t xml:space="preserve">Considerandos CUARTO y QUINTO </w:t>
      </w:r>
      <w:r w:rsidRPr="00041EA6">
        <w:rPr>
          <w:rFonts w:ascii="Palatino Linotype" w:hAnsi="Palatino Linotype" w:cs="Arial"/>
          <w:bCs/>
          <w:lang w:val="es-ES_tradnl" w:eastAsia="es-MX"/>
        </w:rPr>
        <w:t xml:space="preserve">de la presente resolución. </w:t>
      </w:r>
    </w:p>
    <w:p w14:paraId="4496BC72" w14:textId="77777777" w:rsidR="00AB105D" w:rsidRPr="00041EA6" w:rsidRDefault="00AB105D" w:rsidP="00617DA2">
      <w:pPr>
        <w:tabs>
          <w:tab w:val="left" w:pos="284"/>
        </w:tabs>
        <w:spacing w:line="360" w:lineRule="auto"/>
        <w:jc w:val="both"/>
        <w:rPr>
          <w:rFonts w:ascii="Palatino Linotype" w:hAnsi="Palatino Linotype" w:cs="Arial"/>
          <w:bCs/>
          <w:lang w:val="es-ES_tradnl" w:eastAsia="es-MX"/>
        </w:rPr>
      </w:pPr>
    </w:p>
    <w:p w14:paraId="17E6656F" w14:textId="598475FF" w:rsidR="00AB105D" w:rsidRPr="00041EA6" w:rsidRDefault="00AB105D" w:rsidP="00617DA2">
      <w:pPr>
        <w:tabs>
          <w:tab w:val="left" w:pos="284"/>
        </w:tabs>
        <w:spacing w:line="360" w:lineRule="auto"/>
        <w:jc w:val="both"/>
        <w:rPr>
          <w:rFonts w:ascii="Palatino Linotype" w:hAnsi="Palatino Linotype" w:cs="Arial"/>
          <w:bCs/>
          <w:lang w:val="es-ES_tradnl" w:eastAsia="es-MX"/>
        </w:rPr>
      </w:pPr>
      <w:r w:rsidRPr="00041EA6">
        <w:rPr>
          <w:rFonts w:ascii="Palatino Linotype" w:hAnsi="Palatino Linotype" w:cs="Arial"/>
          <w:b/>
          <w:lang w:val="es-ES_tradnl"/>
        </w:rPr>
        <w:t xml:space="preserve">SEGUNDO. </w:t>
      </w:r>
      <w:r w:rsidRPr="00041EA6">
        <w:rPr>
          <w:rFonts w:ascii="Palatino Linotype" w:hAnsi="Palatino Linotype" w:cs="Arial"/>
          <w:lang w:val="es-ES_tradnl"/>
        </w:rPr>
        <w:t>Se</w:t>
      </w:r>
      <w:r w:rsidRPr="00041EA6">
        <w:rPr>
          <w:rFonts w:ascii="Palatino Linotype" w:hAnsi="Palatino Linotype" w:cs="Arial"/>
          <w:b/>
          <w:lang w:val="es-ES_tradnl"/>
        </w:rPr>
        <w:t xml:space="preserve"> MODIFICA </w:t>
      </w:r>
      <w:r w:rsidRPr="00041EA6">
        <w:rPr>
          <w:rFonts w:ascii="Palatino Linotype" w:hAnsi="Palatino Linotype" w:cs="Arial"/>
          <w:lang w:val="es-ES_tradnl"/>
        </w:rPr>
        <w:t xml:space="preserve">la respuesta emitida por el </w:t>
      </w:r>
      <w:r w:rsidRPr="00041EA6">
        <w:rPr>
          <w:rFonts w:ascii="Palatino Linotype" w:hAnsi="Palatino Linotype" w:cs="Arial"/>
          <w:b/>
          <w:lang w:val="es-ES_tradnl"/>
        </w:rPr>
        <w:t>Sujeto Obligado</w:t>
      </w:r>
      <w:r w:rsidRPr="00041EA6">
        <w:rPr>
          <w:rFonts w:ascii="Palatino Linotype" w:hAnsi="Palatino Linotype" w:cs="Arial"/>
          <w:lang w:val="es-ES_tradnl"/>
        </w:rPr>
        <w:t xml:space="preserve"> y se</w:t>
      </w:r>
      <w:r w:rsidRPr="00041EA6">
        <w:rPr>
          <w:rFonts w:ascii="Palatino Linotype" w:hAnsi="Palatino Linotype" w:cs="Arial"/>
          <w:b/>
          <w:lang w:val="es-ES_tradnl"/>
        </w:rPr>
        <w:t xml:space="preserve"> ORDENA </w:t>
      </w:r>
      <w:r w:rsidRPr="00041EA6">
        <w:rPr>
          <w:rFonts w:ascii="Palatino Linotype" w:hAnsi="Palatino Linotype" w:cs="Arial"/>
          <w:lang w:val="es-ES_tradnl"/>
        </w:rPr>
        <w:t xml:space="preserve">entregar, </w:t>
      </w:r>
      <w:r w:rsidRPr="00041EA6">
        <w:rPr>
          <w:rFonts w:ascii="Palatino Linotype" w:eastAsia="Calibri" w:hAnsi="Palatino Linotype" w:cs="Arial"/>
          <w:bCs/>
          <w:lang w:val="es-ES_tradnl"/>
        </w:rPr>
        <w:t>vía sistema de acceso a la información mexiquense</w:t>
      </w:r>
      <w:r w:rsidRPr="00041EA6">
        <w:rPr>
          <w:rFonts w:ascii="Palatino Linotype" w:eastAsia="Calibri" w:hAnsi="Palatino Linotype" w:cs="Arial"/>
          <w:b/>
          <w:bCs/>
          <w:lang w:val="es-ES_tradnl"/>
        </w:rPr>
        <w:t xml:space="preserve"> (SAIMEX)</w:t>
      </w:r>
      <w:r w:rsidRPr="00041EA6">
        <w:rPr>
          <w:rFonts w:ascii="Palatino Linotype" w:eastAsia="Calibri" w:hAnsi="Palatino Linotype" w:cs="Arial"/>
          <w:bCs/>
          <w:lang w:val="es-ES_tradnl"/>
        </w:rPr>
        <w:t>, los documentos en donde conste la siguiente información:</w:t>
      </w:r>
    </w:p>
    <w:p w14:paraId="7CCE03A6" w14:textId="77777777" w:rsidR="00AB105D" w:rsidRPr="00041EA6" w:rsidRDefault="00AB105D" w:rsidP="00617DA2">
      <w:pPr>
        <w:tabs>
          <w:tab w:val="left" w:pos="284"/>
        </w:tabs>
        <w:spacing w:line="360" w:lineRule="auto"/>
        <w:jc w:val="both"/>
        <w:rPr>
          <w:rFonts w:ascii="Palatino Linotype" w:eastAsia="Calibri" w:hAnsi="Palatino Linotype" w:cs="Arial"/>
          <w:b/>
          <w:bCs/>
          <w:lang w:val="es-ES_tradnl"/>
        </w:rPr>
      </w:pPr>
    </w:p>
    <w:p w14:paraId="503085F0" w14:textId="1BE55E30" w:rsidR="00AB105D" w:rsidRPr="00041EA6" w:rsidRDefault="00923672" w:rsidP="00675F22">
      <w:pPr>
        <w:pStyle w:val="Prrafodelista"/>
        <w:numPr>
          <w:ilvl w:val="0"/>
          <w:numId w:val="7"/>
        </w:numPr>
        <w:tabs>
          <w:tab w:val="left" w:pos="284"/>
        </w:tabs>
        <w:spacing w:line="360" w:lineRule="auto"/>
        <w:ind w:left="0" w:firstLine="0"/>
        <w:jc w:val="both"/>
        <w:rPr>
          <w:rFonts w:ascii="Palatino Linotype" w:eastAsia="Calibri" w:hAnsi="Palatino Linotype" w:cs="Arial"/>
          <w:b/>
          <w:lang w:val="es-ES"/>
        </w:rPr>
      </w:pPr>
      <w:r w:rsidRPr="00041EA6">
        <w:rPr>
          <w:rFonts w:ascii="Palatino Linotype" w:eastAsia="Calibri" w:hAnsi="Palatino Linotype" w:cs="Arial"/>
          <w:b/>
          <w:lang w:val="es-ES"/>
        </w:rPr>
        <w:t xml:space="preserve">Convenios </w:t>
      </w:r>
      <w:r w:rsidR="006876A5" w:rsidRPr="00041EA6">
        <w:rPr>
          <w:rFonts w:ascii="Palatino Linotype" w:eastAsia="Calibri" w:hAnsi="Palatino Linotype" w:cs="Arial"/>
          <w:b/>
          <w:lang w:val="es-ES"/>
        </w:rPr>
        <w:t xml:space="preserve">remitidos que fueron </w:t>
      </w:r>
      <w:r w:rsidRPr="00041EA6">
        <w:rPr>
          <w:rFonts w:ascii="Palatino Linotype" w:eastAsia="Calibri" w:hAnsi="Palatino Linotype" w:cs="Arial"/>
          <w:b/>
          <w:lang w:val="es-ES"/>
        </w:rPr>
        <w:t>suscritos por el Presidente Municipal del uno de enero al veintiuno de abril de dos</w:t>
      </w:r>
      <w:r w:rsidR="006876A5" w:rsidRPr="00041EA6">
        <w:rPr>
          <w:rFonts w:ascii="Palatino Linotype" w:eastAsia="Calibri" w:hAnsi="Palatino Linotype" w:cs="Arial"/>
          <w:b/>
          <w:lang w:val="es-ES"/>
        </w:rPr>
        <w:t xml:space="preserve"> mil veinticinco así como los convenios faltantes </w:t>
      </w:r>
      <w:r w:rsidR="006876A5" w:rsidRPr="00041EA6">
        <w:rPr>
          <w:rFonts w:ascii="Palatino Linotype" w:eastAsia="Calibri" w:hAnsi="Palatino Linotype" w:cs="Arial"/>
          <w:b/>
          <w:bCs/>
          <w:lang w:val="es-ES_tradnl"/>
        </w:rPr>
        <w:t>en correcta versión pública</w:t>
      </w:r>
    </w:p>
    <w:p w14:paraId="35FE44C0" w14:textId="0089D15B" w:rsidR="009A62BB" w:rsidRPr="00041EA6" w:rsidRDefault="009A62BB" w:rsidP="00617DA2">
      <w:pPr>
        <w:tabs>
          <w:tab w:val="left" w:pos="284"/>
        </w:tabs>
        <w:spacing w:line="360" w:lineRule="auto"/>
        <w:jc w:val="both"/>
        <w:rPr>
          <w:rFonts w:ascii="Palatino Linotype" w:eastAsia="Calibri" w:hAnsi="Palatino Linotype" w:cs="Arial"/>
          <w:lang w:val="es-ES"/>
        </w:rPr>
      </w:pPr>
    </w:p>
    <w:p w14:paraId="2222DB51" w14:textId="25214F76" w:rsidR="00AB105D" w:rsidRPr="00041EA6" w:rsidRDefault="00AB105D" w:rsidP="00617DA2">
      <w:pPr>
        <w:spacing w:line="360" w:lineRule="auto"/>
        <w:jc w:val="both"/>
        <w:rPr>
          <w:rFonts w:ascii="Palatino Linotype" w:eastAsia="Calibri" w:hAnsi="Palatino Linotype" w:cs="Arial"/>
        </w:rPr>
      </w:pPr>
      <w:r w:rsidRPr="00041EA6">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w:t>
      </w:r>
      <w:r w:rsidR="00923672" w:rsidRPr="00041EA6">
        <w:rPr>
          <w:rFonts w:ascii="Palatino Linotype" w:eastAsia="Calibri" w:hAnsi="Palatino Linotype" w:cs="Arial"/>
          <w:b/>
        </w:rPr>
        <w:t>RECURRENTE</w:t>
      </w:r>
      <w:r w:rsidRPr="00041EA6">
        <w:rPr>
          <w:rFonts w:ascii="Palatino Linotype" w:eastAsia="Calibri" w:hAnsi="Palatino Linotype" w:cs="Arial"/>
        </w:rPr>
        <w:t>.</w:t>
      </w:r>
    </w:p>
    <w:p w14:paraId="1617F565" w14:textId="77777777" w:rsidR="00923672" w:rsidRPr="00041EA6" w:rsidRDefault="009A62BB" w:rsidP="00617DA2">
      <w:pPr>
        <w:tabs>
          <w:tab w:val="left" w:pos="8080"/>
        </w:tabs>
        <w:spacing w:line="360" w:lineRule="auto"/>
        <w:jc w:val="both"/>
        <w:rPr>
          <w:rFonts w:ascii="Palatino Linotype" w:eastAsia="Palatino Linotype" w:hAnsi="Palatino Linotype" w:cs="Palatino Linotype"/>
          <w:color w:val="222222"/>
        </w:rPr>
      </w:pPr>
      <w:r w:rsidRPr="00041EA6">
        <w:rPr>
          <w:rFonts w:ascii="Palatino Linotype" w:eastAsia="Palatino Linotype" w:hAnsi="Palatino Linotype" w:cs="Palatino Linotype"/>
          <w:b/>
        </w:rPr>
        <w:lastRenderedPageBreak/>
        <w:t>TERCERO</w:t>
      </w:r>
      <w:r w:rsidR="00AB105D" w:rsidRPr="00041EA6">
        <w:rPr>
          <w:rFonts w:ascii="Palatino Linotype" w:eastAsia="Palatino Linotype" w:hAnsi="Palatino Linotype" w:cs="Palatino Linotype"/>
          <w:b/>
        </w:rPr>
        <w:t xml:space="preserve">. </w:t>
      </w:r>
      <w:r w:rsidR="00923672" w:rsidRPr="00041EA6">
        <w:rPr>
          <w:rFonts w:ascii="Palatino Linotype" w:eastAsia="Palatino Linotype" w:hAnsi="Palatino Linotype" w:cs="Palatino Linotype"/>
          <w:b/>
          <w:color w:val="222222"/>
        </w:rPr>
        <w:t>NOTIFÍQUESE</w:t>
      </w:r>
      <w:r w:rsidR="00923672" w:rsidRPr="00041EA6">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923672" w:rsidRPr="00041EA6">
        <w:rPr>
          <w:rFonts w:ascii="Palatino Linotype" w:eastAsia="Palatino Linotype" w:hAnsi="Palatino Linotype" w:cs="Palatino Linotype"/>
          <w:b/>
          <w:color w:val="222222"/>
        </w:rPr>
        <w:t xml:space="preserve">dé cumplimiento a lo ordenado dentro del plazo de diez días hábiles, </w:t>
      </w:r>
      <w:r w:rsidR="00923672" w:rsidRPr="00041EA6">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6637F3A" w14:textId="2CAA2346" w:rsidR="00AB105D" w:rsidRPr="00041EA6" w:rsidRDefault="00AB105D" w:rsidP="00617DA2">
      <w:pPr>
        <w:tabs>
          <w:tab w:val="left" w:pos="8080"/>
        </w:tabs>
        <w:spacing w:line="360" w:lineRule="auto"/>
        <w:contextualSpacing/>
        <w:jc w:val="both"/>
        <w:rPr>
          <w:rFonts w:ascii="Palatino Linotype" w:eastAsia="Times New Roman" w:hAnsi="Palatino Linotype" w:cs="Arial"/>
          <w:b/>
        </w:rPr>
      </w:pPr>
    </w:p>
    <w:p w14:paraId="4214C30A" w14:textId="52189A20" w:rsidR="00AB105D" w:rsidRPr="00041EA6" w:rsidRDefault="009A62BB" w:rsidP="00617DA2">
      <w:pPr>
        <w:spacing w:line="360" w:lineRule="auto"/>
        <w:jc w:val="both"/>
        <w:rPr>
          <w:rFonts w:ascii="Palatino Linotype" w:eastAsia="Calibri" w:hAnsi="Palatino Linotype" w:cs="Arial"/>
          <w:bCs/>
        </w:rPr>
      </w:pPr>
      <w:r w:rsidRPr="00041EA6">
        <w:rPr>
          <w:rFonts w:ascii="Palatino Linotype" w:hAnsi="Palatino Linotype" w:cs="Arial"/>
          <w:b/>
        </w:rPr>
        <w:t>CUARTO</w:t>
      </w:r>
      <w:r w:rsidR="00AB105D" w:rsidRPr="00041EA6">
        <w:rPr>
          <w:rFonts w:ascii="Palatino Linotype" w:hAnsi="Palatino Linotype" w:cs="Arial"/>
          <w:b/>
        </w:rPr>
        <w:t xml:space="preserve">. </w:t>
      </w:r>
      <w:r w:rsidR="00AB105D" w:rsidRPr="00041EA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18B30D9" w14:textId="77777777" w:rsidR="00AB105D" w:rsidRPr="00041EA6" w:rsidRDefault="00AB105D" w:rsidP="00617DA2">
      <w:pPr>
        <w:pStyle w:val="Sinespaciado"/>
        <w:spacing w:line="360" w:lineRule="auto"/>
        <w:rPr>
          <w:rFonts w:ascii="Palatino Linotype" w:eastAsia="Times New Roman" w:hAnsi="Palatino Linotype" w:cs="Arial"/>
          <w:b/>
        </w:rPr>
      </w:pPr>
    </w:p>
    <w:p w14:paraId="43DDC2FB" w14:textId="0C843C92" w:rsidR="00AB105D" w:rsidRPr="00041EA6" w:rsidRDefault="009A62BB" w:rsidP="00617DA2">
      <w:pPr>
        <w:pStyle w:val="Sinespaciado"/>
        <w:spacing w:line="360" w:lineRule="auto"/>
        <w:rPr>
          <w:rFonts w:ascii="Palatino Linotype" w:eastAsia="Times New Roman" w:hAnsi="Palatino Linotype"/>
          <w:color w:val="222222"/>
          <w:lang w:val="es-ES" w:eastAsia="es-MX"/>
        </w:rPr>
      </w:pPr>
      <w:r w:rsidRPr="00041EA6">
        <w:rPr>
          <w:rFonts w:ascii="Palatino Linotype" w:eastAsia="Times New Roman" w:hAnsi="Palatino Linotype" w:cs="Arial"/>
          <w:b/>
        </w:rPr>
        <w:t>QUINTO</w:t>
      </w:r>
      <w:r w:rsidR="00AB105D" w:rsidRPr="00041EA6">
        <w:rPr>
          <w:rFonts w:ascii="Palatino Linotype" w:eastAsia="Times New Roman" w:hAnsi="Palatino Linotype" w:cs="Arial"/>
          <w:b/>
        </w:rPr>
        <w:t xml:space="preserve">. </w:t>
      </w:r>
      <w:r w:rsidR="00AB105D" w:rsidRPr="00041EA6">
        <w:rPr>
          <w:rFonts w:ascii="Palatino Linotype" w:eastAsia="Times New Roman" w:hAnsi="Palatino Linotype"/>
          <w:b/>
          <w:bCs/>
          <w:color w:val="222222"/>
          <w:lang w:val="es-ES"/>
        </w:rPr>
        <w:t xml:space="preserve">Notifíquese </w:t>
      </w:r>
      <w:r w:rsidR="00AB105D" w:rsidRPr="00041EA6">
        <w:rPr>
          <w:rFonts w:ascii="Palatino Linotype" w:eastAsia="Times New Roman" w:hAnsi="Palatino Linotype"/>
          <w:bCs/>
          <w:color w:val="222222"/>
          <w:lang w:val="es-ES"/>
        </w:rPr>
        <w:t xml:space="preserve">al </w:t>
      </w:r>
      <w:r w:rsidR="00AB105D" w:rsidRPr="00041EA6">
        <w:rPr>
          <w:rFonts w:ascii="Palatino Linotype" w:eastAsia="Times New Roman" w:hAnsi="Palatino Linotype"/>
          <w:b/>
          <w:color w:val="222222"/>
          <w:lang w:val="es-ES"/>
        </w:rPr>
        <w:t>RECURRENTE</w:t>
      </w:r>
      <w:r w:rsidR="00AB105D" w:rsidRPr="00041EA6">
        <w:rPr>
          <w:rFonts w:ascii="Palatino Linotype" w:eastAsia="Times New Roman" w:hAnsi="Palatino Linotype"/>
          <w:color w:val="222222"/>
          <w:lang w:val="es-ES" w:eastAsia="es-MX"/>
        </w:rPr>
        <w:t xml:space="preserve"> la presente resolución vía SAIMEX.</w:t>
      </w:r>
    </w:p>
    <w:p w14:paraId="2D8E0255" w14:textId="77777777" w:rsidR="00AB105D" w:rsidRPr="00041EA6" w:rsidRDefault="00AB105D" w:rsidP="00617DA2">
      <w:pPr>
        <w:pStyle w:val="Sinespaciado"/>
        <w:spacing w:line="360" w:lineRule="auto"/>
        <w:rPr>
          <w:rFonts w:ascii="Palatino Linotype" w:eastAsia="Times New Roman" w:hAnsi="Palatino Linotype"/>
          <w:color w:val="222222"/>
          <w:lang w:val="es-ES" w:eastAsia="es-MX"/>
        </w:rPr>
      </w:pPr>
    </w:p>
    <w:p w14:paraId="3BFC46FA" w14:textId="76AED204" w:rsidR="00AB105D" w:rsidRPr="00041EA6" w:rsidRDefault="009A62BB" w:rsidP="00617DA2">
      <w:pPr>
        <w:pStyle w:val="Sinespaciado"/>
        <w:spacing w:line="360" w:lineRule="auto"/>
        <w:jc w:val="both"/>
        <w:rPr>
          <w:rFonts w:ascii="Palatino Linotype" w:eastAsia="Times New Roman" w:hAnsi="Palatino Linotype"/>
          <w:color w:val="222222"/>
          <w:lang w:val="es-ES" w:eastAsia="es-MX"/>
        </w:rPr>
      </w:pPr>
      <w:r w:rsidRPr="00041EA6">
        <w:rPr>
          <w:rFonts w:ascii="Palatino Linotype" w:hAnsi="Palatino Linotype"/>
          <w:b/>
        </w:rPr>
        <w:t>SEXTO</w:t>
      </w:r>
      <w:r w:rsidR="00AB105D" w:rsidRPr="00041EA6">
        <w:rPr>
          <w:rFonts w:ascii="Palatino Linotype" w:hAnsi="Palatino Linotype"/>
          <w:b/>
        </w:rPr>
        <w:t>.</w:t>
      </w:r>
      <w:r w:rsidR="00AB105D" w:rsidRPr="00041EA6">
        <w:rPr>
          <w:rFonts w:ascii="Palatino Linotype" w:eastAsia="Times New Roman" w:hAnsi="Palatino Linotype"/>
          <w:color w:val="222222"/>
          <w:lang w:val="es-ES" w:eastAsia="es-MX"/>
        </w:rPr>
        <w:t xml:space="preserve"> Se hace del conocimiento del </w:t>
      </w:r>
      <w:r w:rsidR="00AB105D" w:rsidRPr="00041EA6">
        <w:rPr>
          <w:rFonts w:ascii="Palatino Linotype" w:eastAsia="Times New Roman" w:hAnsi="Palatino Linotype"/>
          <w:b/>
          <w:bCs/>
          <w:color w:val="222222"/>
          <w:lang w:val="es-ES" w:eastAsia="es-MX"/>
        </w:rPr>
        <w:t>RECURRENTE</w:t>
      </w:r>
      <w:r w:rsidR="00AB105D" w:rsidRPr="00041EA6">
        <w:rPr>
          <w:rFonts w:ascii="Palatino Linotype" w:eastAsia="Times New Roman" w:hAnsi="Palatino Linotype"/>
          <w:color w:val="222222"/>
          <w:lang w:eastAsia="es-MX"/>
        </w:rPr>
        <w:t xml:space="preserve"> que,</w:t>
      </w:r>
      <w:r w:rsidR="00AB105D" w:rsidRPr="00041EA6">
        <w:rPr>
          <w:rFonts w:ascii="Palatino Linotype" w:eastAsia="Times New Roman" w:hAnsi="Palatino Linotype" w:cs="Arial"/>
          <w:b/>
          <w:lang w:val="es-ES"/>
        </w:rPr>
        <w:t xml:space="preserve"> </w:t>
      </w:r>
      <w:r w:rsidR="00AB105D" w:rsidRPr="00041EA6">
        <w:rPr>
          <w:rFonts w:ascii="Palatino Linotype" w:eastAsia="Times New Roman" w:hAnsi="Palatino Linotype"/>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AB105D" w:rsidRPr="00041EA6">
        <w:rPr>
          <w:rFonts w:ascii="Palatino Linotype" w:eastAsia="Times New Roman" w:hAnsi="Palatino Linotype"/>
          <w:bCs/>
          <w:color w:val="222222"/>
          <w:lang w:val="es-ES" w:eastAsia="es-MX"/>
        </w:rPr>
        <w:t>vía juicio de amparo</w:t>
      </w:r>
      <w:r w:rsidR="00AB105D" w:rsidRPr="00041EA6">
        <w:rPr>
          <w:rFonts w:ascii="Palatino Linotype" w:eastAsia="Times New Roman" w:hAnsi="Palatino Linotype"/>
          <w:color w:val="222222"/>
          <w:lang w:val="es-ES" w:eastAsia="es-MX"/>
        </w:rPr>
        <w:t xml:space="preserve"> en los términos de las leyes aplicables.</w:t>
      </w:r>
    </w:p>
    <w:p w14:paraId="47B267A1" w14:textId="77777777" w:rsidR="00923672" w:rsidRPr="00041EA6" w:rsidRDefault="00923672" w:rsidP="00617DA2">
      <w:pPr>
        <w:pStyle w:val="Sinespaciado"/>
        <w:spacing w:line="360" w:lineRule="auto"/>
        <w:jc w:val="both"/>
        <w:rPr>
          <w:rFonts w:ascii="Palatino Linotype" w:eastAsia="Times New Roman" w:hAnsi="Palatino Linotype"/>
          <w:color w:val="222222"/>
          <w:lang w:val="es-ES" w:eastAsia="es-MX"/>
        </w:rPr>
      </w:pPr>
    </w:p>
    <w:p w14:paraId="5CEC4FB2" w14:textId="07D5E811" w:rsidR="00617DA2" w:rsidRPr="009B0452" w:rsidRDefault="00041EA6" w:rsidP="00617DA2">
      <w:pPr>
        <w:spacing w:line="360" w:lineRule="auto"/>
        <w:ind w:right="49"/>
        <w:jc w:val="both"/>
        <w:rPr>
          <w:rFonts w:ascii="Palatino Linotype" w:eastAsia="Palatino Linotype" w:hAnsi="Palatino Linotype" w:cs="Palatino Linotype"/>
        </w:rPr>
      </w:pPr>
      <w:r w:rsidRPr="00041EA6">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041EA6">
        <w:rPr>
          <w:rFonts w:ascii="Palatino Linotype" w:eastAsia="Palatino Linotype" w:hAnsi="Palatino Linotype" w:cs="Palatino Linotype"/>
        </w:rPr>
        <w:lastRenderedPageBreak/>
        <w:t>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(06) DE AGOSTO DE DOS MIL VEINTICINCO, ANTE EL SECRETARIO TÉCNICO DEL PLENO ALEXIS TAPIA RAMÍREZ</w:t>
      </w:r>
      <w:r w:rsidR="00617DA2" w:rsidRPr="00041EA6">
        <w:rPr>
          <w:rFonts w:ascii="Palatino Linotype" w:eastAsia="Palatino Linotype" w:hAnsi="Palatino Linotype" w:cs="Palatino Linotype"/>
        </w:rPr>
        <w:t>.</w:t>
      </w:r>
    </w:p>
    <w:p w14:paraId="7EFA4F21" w14:textId="77777777" w:rsidR="00895335" w:rsidRPr="00617DA2" w:rsidRDefault="00895335" w:rsidP="00617DA2">
      <w:pPr>
        <w:rPr>
          <w:rFonts w:ascii="Palatino Linotype" w:hAnsi="Palatino Linotype" w:cs="Arial"/>
          <w:color w:val="000000" w:themeColor="text1"/>
        </w:rPr>
      </w:pPr>
      <w:r w:rsidRPr="00617DA2">
        <w:rPr>
          <w:rFonts w:ascii="Palatino Linotype" w:hAnsi="Palatino Linotype" w:cs="Arial"/>
          <w:color w:val="000000" w:themeColor="text1"/>
        </w:rPr>
        <w:br w:type="page"/>
      </w:r>
    </w:p>
    <w:sectPr w:rsidR="00895335" w:rsidRPr="00617DA2" w:rsidSect="00713E17">
      <w:headerReference w:type="default" r:id="rId20"/>
      <w:footerReference w:type="default" r:id="rId21"/>
      <w:headerReference w:type="first" r:id="rId22"/>
      <w:footerReference w:type="first" r:id="rId23"/>
      <w:pgSz w:w="12240" w:h="15840"/>
      <w:pgMar w:top="2268" w:right="900"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B4AA50" w14:textId="77777777" w:rsidR="00C3095F" w:rsidRDefault="00C3095F" w:rsidP="00587366">
      <w:r>
        <w:separator/>
      </w:r>
    </w:p>
  </w:endnote>
  <w:endnote w:type="continuationSeparator" w:id="0">
    <w:p w14:paraId="15FA07D0" w14:textId="77777777" w:rsidR="00C3095F" w:rsidRDefault="00C3095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4B03D08" w:rsidR="006876A5" w:rsidRPr="00883450" w:rsidRDefault="006876A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943E6">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943E6">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47B193F0" w:rsidR="006876A5" w:rsidRDefault="006876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EC5CF9E" w:rsidR="006876A5" w:rsidRPr="00883450" w:rsidRDefault="006876A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943E6" w:rsidRPr="007943E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943E6" w:rsidRPr="007943E6">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0A9A2B26" w:rsidR="006876A5" w:rsidRPr="00883450" w:rsidRDefault="006876A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68972" w14:textId="77777777" w:rsidR="00C3095F" w:rsidRDefault="00C3095F" w:rsidP="00587366">
      <w:r>
        <w:separator/>
      </w:r>
    </w:p>
  </w:footnote>
  <w:footnote w:type="continuationSeparator" w:id="0">
    <w:p w14:paraId="2564B0E7" w14:textId="77777777" w:rsidR="00C3095F" w:rsidRDefault="00C3095F" w:rsidP="00587366">
      <w:r>
        <w:continuationSeparator/>
      </w:r>
    </w:p>
  </w:footnote>
  <w:footnote w:id="1">
    <w:p w14:paraId="127807FF" w14:textId="77777777" w:rsidR="006876A5" w:rsidRPr="00952F10" w:rsidRDefault="006876A5" w:rsidP="009A62BB">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1D78BF8" w14:textId="77777777" w:rsidR="006876A5" w:rsidRDefault="006876A5" w:rsidP="009A62BB">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4" w:type="dxa"/>
      <w:tblInd w:w="3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90"/>
    </w:tblGrid>
    <w:tr w:rsidR="006876A5" w:rsidRPr="00025127" w14:paraId="07F2896E" w14:textId="77777777" w:rsidTr="00713E17">
      <w:trPr>
        <w:trHeight w:val="138"/>
      </w:trPr>
      <w:tc>
        <w:tcPr>
          <w:tcW w:w="3544" w:type="dxa"/>
          <w:vAlign w:val="center"/>
        </w:tcPr>
        <w:p w14:paraId="4A5B1974" w14:textId="44CA9AFE" w:rsidR="006876A5" w:rsidRPr="00617DA2" w:rsidRDefault="006876A5" w:rsidP="00617DA2">
          <w:pPr>
            <w:ind w:right="34"/>
            <w:jc w:val="right"/>
            <w:rPr>
              <w:rFonts w:ascii="Palatino Linotype" w:hAnsi="Palatino Linotype"/>
              <w:b/>
            </w:rPr>
          </w:pPr>
          <w:r w:rsidRPr="00617DA2">
            <w:rPr>
              <w:rFonts w:ascii="Palatino Linotype" w:hAnsi="Palatino Linotype"/>
              <w:b/>
            </w:rPr>
            <w:t>RECURSO DE REVISIÓN:</w:t>
          </w:r>
        </w:p>
      </w:tc>
      <w:tc>
        <w:tcPr>
          <w:tcW w:w="3690" w:type="dxa"/>
          <w:vAlign w:val="center"/>
        </w:tcPr>
        <w:p w14:paraId="3A05B4B6" w14:textId="543CDCD9" w:rsidR="006876A5" w:rsidRPr="00617DA2" w:rsidRDefault="006876A5" w:rsidP="00617DA2">
          <w:pPr>
            <w:pStyle w:val="Encabezado"/>
            <w:jc w:val="both"/>
            <w:rPr>
              <w:rFonts w:ascii="Palatino Linotype" w:hAnsi="Palatino Linotype"/>
            </w:rPr>
          </w:pPr>
          <w:r w:rsidRPr="00617DA2">
            <w:rPr>
              <w:rFonts w:ascii="Palatino Linotype" w:hAnsi="Palatino Linotype"/>
            </w:rPr>
            <w:t>06573</w:t>
          </w:r>
          <w:r w:rsidR="00617DA2">
            <w:rPr>
              <w:rFonts w:ascii="Palatino Linotype" w:hAnsi="Palatino Linotype"/>
            </w:rPr>
            <w:t>/INFOEM/IP/RR/2025</w:t>
          </w:r>
        </w:p>
      </w:tc>
    </w:tr>
    <w:tr w:rsidR="006876A5" w:rsidRPr="00025127" w14:paraId="1B5D8690" w14:textId="77777777" w:rsidTr="00713E17">
      <w:trPr>
        <w:trHeight w:val="233"/>
      </w:trPr>
      <w:tc>
        <w:tcPr>
          <w:tcW w:w="3544" w:type="dxa"/>
          <w:vAlign w:val="center"/>
        </w:tcPr>
        <w:p w14:paraId="3903F2C6" w14:textId="22D569F8" w:rsidR="006876A5" w:rsidRPr="00617DA2" w:rsidRDefault="006876A5" w:rsidP="00617DA2">
          <w:pPr>
            <w:ind w:right="34"/>
            <w:jc w:val="right"/>
            <w:rPr>
              <w:rFonts w:ascii="Palatino Linotype" w:hAnsi="Palatino Linotype"/>
              <w:b/>
            </w:rPr>
          </w:pPr>
          <w:r w:rsidRPr="00617DA2">
            <w:rPr>
              <w:rFonts w:ascii="Palatino Linotype" w:hAnsi="Palatino Linotype"/>
              <w:b/>
            </w:rPr>
            <w:t>SUJETO OBLIGADO:</w:t>
          </w:r>
        </w:p>
      </w:tc>
      <w:tc>
        <w:tcPr>
          <w:tcW w:w="3690" w:type="dxa"/>
          <w:vAlign w:val="center"/>
        </w:tcPr>
        <w:p w14:paraId="03C799A2" w14:textId="517CC86A" w:rsidR="006876A5" w:rsidRPr="00617DA2" w:rsidRDefault="006876A5" w:rsidP="00617DA2">
          <w:pPr>
            <w:pStyle w:val="Encabezado"/>
            <w:jc w:val="both"/>
            <w:rPr>
              <w:rFonts w:ascii="Palatino Linotype" w:hAnsi="Palatino Linotype"/>
            </w:rPr>
          </w:pPr>
          <w:r w:rsidRPr="00617DA2">
            <w:rPr>
              <w:rFonts w:ascii="Palatino Linotype" w:eastAsia="Calibri" w:hAnsi="Palatino Linotype" w:cs="Arial"/>
              <w:bCs/>
              <w:lang w:val="es-ES"/>
            </w:rPr>
            <w:t>Ayuntamiento de Toluca</w:t>
          </w:r>
        </w:p>
      </w:tc>
    </w:tr>
    <w:tr w:rsidR="006876A5" w:rsidRPr="00025127" w14:paraId="095EB01B" w14:textId="77777777" w:rsidTr="00713E17">
      <w:trPr>
        <w:trHeight w:val="321"/>
      </w:trPr>
      <w:tc>
        <w:tcPr>
          <w:tcW w:w="3544" w:type="dxa"/>
          <w:vAlign w:val="center"/>
        </w:tcPr>
        <w:p w14:paraId="6E000A51" w14:textId="05E1861A" w:rsidR="006876A5" w:rsidRPr="00617DA2" w:rsidRDefault="006876A5" w:rsidP="00617DA2">
          <w:pPr>
            <w:ind w:right="34"/>
            <w:jc w:val="right"/>
            <w:rPr>
              <w:rFonts w:ascii="Palatino Linotype" w:hAnsi="Palatino Linotype"/>
              <w:b/>
            </w:rPr>
          </w:pPr>
          <w:r w:rsidRPr="00617DA2">
            <w:rPr>
              <w:rFonts w:ascii="Palatino Linotype" w:hAnsi="Palatino Linotype"/>
              <w:b/>
            </w:rPr>
            <w:t>COMISIONADA PONENTE:</w:t>
          </w:r>
        </w:p>
      </w:tc>
      <w:tc>
        <w:tcPr>
          <w:tcW w:w="3690" w:type="dxa"/>
          <w:vAlign w:val="center"/>
        </w:tcPr>
        <w:p w14:paraId="07560085" w14:textId="64DC8836" w:rsidR="006876A5" w:rsidRPr="00617DA2" w:rsidRDefault="006876A5" w:rsidP="00617DA2">
          <w:pPr>
            <w:pStyle w:val="Encabezado"/>
            <w:rPr>
              <w:rFonts w:ascii="Palatino Linotype" w:hAnsi="Palatino Linotype"/>
            </w:rPr>
          </w:pPr>
          <w:r w:rsidRPr="00617DA2">
            <w:rPr>
              <w:rFonts w:ascii="Palatino Linotype" w:hAnsi="Palatino Linotype"/>
            </w:rPr>
            <w:t>María del Rosario Mejía Ayala</w:t>
          </w:r>
        </w:p>
      </w:tc>
    </w:tr>
  </w:tbl>
  <w:p w14:paraId="1096C1B8" w14:textId="2BA8EB40" w:rsidR="006876A5" w:rsidRDefault="006876A5" w:rsidP="00472C41">
    <w:pPr>
      <w:pStyle w:val="Encabezado"/>
    </w:pPr>
    <w:r>
      <w:rPr>
        <w:noProof/>
        <w:lang w:eastAsia="es-MX"/>
      </w:rPr>
      <w:drawing>
        <wp:anchor distT="0" distB="0" distL="114300" distR="114300" simplePos="0" relativeHeight="251657216" behindDoc="1" locked="0" layoutInCell="0" allowOverlap="1" wp14:anchorId="1A29E15A" wp14:editId="36ED8B32">
          <wp:simplePos x="0" y="0"/>
          <wp:positionH relativeFrom="page">
            <wp:posOffset>323349</wp:posOffset>
          </wp:positionH>
          <wp:positionV relativeFrom="page">
            <wp:align>bottom</wp:align>
          </wp:positionV>
          <wp:extent cx="7695210" cy="10020839"/>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655" w:type="dxa"/>
      <w:tblInd w:w="2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111"/>
    </w:tblGrid>
    <w:tr w:rsidR="006876A5" w:rsidRPr="00617DA2" w14:paraId="0A3256F2" w14:textId="77777777" w:rsidTr="00713E17">
      <w:trPr>
        <w:trHeight w:val="138"/>
      </w:trPr>
      <w:tc>
        <w:tcPr>
          <w:tcW w:w="3544" w:type="dxa"/>
          <w:vAlign w:val="center"/>
        </w:tcPr>
        <w:p w14:paraId="3D80769D" w14:textId="67855081" w:rsidR="006876A5" w:rsidRPr="00617DA2" w:rsidRDefault="007943E6" w:rsidP="00713E17">
          <w:pPr>
            <w:jc w:val="center"/>
            <w:rPr>
              <w:rFonts w:ascii="Palatino Linotype" w:hAnsi="Palatino Linotype"/>
              <w:b/>
            </w:rPr>
          </w:pPr>
          <w:r>
            <w:rPr>
              <w:rFonts w:ascii="Palatino Linotype" w:hAnsi="Palatino Linotype"/>
              <w:b/>
            </w:rPr>
            <w:t xml:space="preserve">      </w:t>
          </w:r>
          <w:r w:rsidR="006876A5" w:rsidRPr="00617DA2">
            <w:rPr>
              <w:rFonts w:ascii="Palatino Linotype" w:hAnsi="Palatino Linotype"/>
              <w:b/>
            </w:rPr>
            <w:t>RECURSO DE REVISIÓN:</w:t>
          </w:r>
        </w:p>
      </w:tc>
      <w:tc>
        <w:tcPr>
          <w:tcW w:w="4111" w:type="dxa"/>
          <w:vAlign w:val="center"/>
        </w:tcPr>
        <w:p w14:paraId="0453495E" w14:textId="4DB3C539" w:rsidR="006876A5" w:rsidRPr="00617DA2" w:rsidRDefault="006876A5" w:rsidP="0000026A">
          <w:pPr>
            <w:pStyle w:val="Encabezado"/>
            <w:rPr>
              <w:rFonts w:ascii="Palatino Linotype" w:hAnsi="Palatino Linotype"/>
            </w:rPr>
          </w:pPr>
          <w:r w:rsidRPr="00617DA2">
            <w:rPr>
              <w:rFonts w:ascii="Palatino Linotype" w:hAnsi="Palatino Linotype"/>
            </w:rPr>
            <w:t>06573/INFOEM/IP/RR/2025</w:t>
          </w:r>
        </w:p>
      </w:tc>
    </w:tr>
    <w:tr w:rsidR="006876A5" w:rsidRPr="00617DA2" w14:paraId="128C8B3C" w14:textId="77777777" w:rsidTr="00713E17">
      <w:trPr>
        <w:trHeight w:val="233"/>
      </w:trPr>
      <w:tc>
        <w:tcPr>
          <w:tcW w:w="3544" w:type="dxa"/>
          <w:vAlign w:val="center"/>
        </w:tcPr>
        <w:p w14:paraId="483E3371" w14:textId="66B1BC74" w:rsidR="006876A5" w:rsidRPr="00617DA2" w:rsidRDefault="006876A5" w:rsidP="00472C41">
          <w:pPr>
            <w:jc w:val="right"/>
            <w:rPr>
              <w:rFonts w:ascii="Palatino Linotype" w:hAnsi="Palatino Linotype"/>
              <w:b/>
            </w:rPr>
          </w:pPr>
          <w:r w:rsidRPr="00617DA2">
            <w:rPr>
              <w:rFonts w:ascii="Palatino Linotype" w:hAnsi="Palatino Linotype"/>
              <w:b/>
            </w:rPr>
            <w:t>RECURRENTE:</w:t>
          </w:r>
        </w:p>
      </w:tc>
      <w:tc>
        <w:tcPr>
          <w:tcW w:w="4111" w:type="dxa"/>
        </w:tcPr>
        <w:p w14:paraId="1548525E" w14:textId="3195543E" w:rsidR="006876A5" w:rsidRPr="00617DA2" w:rsidRDefault="006876A5" w:rsidP="00B87705">
          <w:pPr>
            <w:pStyle w:val="Encabezado"/>
            <w:rPr>
              <w:rFonts w:ascii="Palatino Linotype" w:hAnsi="Palatino Linotype"/>
            </w:rPr>
          </w:pPr>
        </w:p>
      </w:tc>
    </w:tr>
    <w:tr w:rsidR="006876A5" w:rsidRPr="00617DA2" w14:paraId="41BE0704" w14:textId="77777777" w:rsidTr="00713E17">
      <w:trPr>
        <w:trHeight w:val="321"/>
      </w:trPr>
      <w:tc>
        <w:tcPr>
          <w:tcW w:w="3544" w:type="dxa"/>
          <w:vAlign w:val="center"/>
        </w:tcPr>
        <w:p w14:paraId="34C64148" w14:textId="10C6C8A9" w:rsidR="006876A5" w:rsidRPr="00617DA2" w:rsidRDefault="006876A5" w:rsidP="005F1362">
          <w:pPr>
            <w:jc w:val="right"/>
            <w:rPr>
              <w:rFonts w:ascii="Palatino Linotype" w:hAnsi="Palatino Linotype"/>
              <w:b/>
            </w:rPr>
          </w:pPr>
          <w:r w:rsidRPr="00617DA2">
            <w:rPr>
              <w:rFonts w:ascii="Palatino Linotype" w:hAnsi="Palatino Linotype"/>
              <w:b/>
            </w:rPr>
            <w:t>SUJETO OBLIGADO:</w:t>
          </w:r>
        </w:p>
      </w:tc>
      <w:tc>
        <w:tcPr>
          <w:tcW w:w="4111" w:type="dxa"/>
          <w:vAlign w:val="center"/>
        </w:tcPr>
        <w:p w14:paraId="34C341BF" w14:textId="627931C5" w:rsidR="006876A5" w:rsidRPr="00617DA2" w:rsidRDefault="006876A5" w:rsidP="00FD2865">
          <w:pPr>
            <w:pStyle w:val="Encabezado"/>
            <w:jc w:val="both"/>
            <w:rPr>
              <w:rFonts w:ascii="Palatino Linotype" w:hAnsi="Palatino Linotype"/>
            </w:rPr>
          </w:pPr>
          <w:r w:rsidRPr="00617DA2">
            <w:rPr>
              <w:rFonts w:ascii="Palatino Linotype" w:eastAsia="Calibri" w:hAnsi="Palatino Linotype" w:cs="Arial"/>
              <w:bCs/>
              <w:lang w:val="es-ES"/>
            </w:rPr>
            <w:t>Ayuntamiento de Toluca</w:t>
          </w:r>
        </w:p>
      </w:tc>
    </w:tr>
    <w:tr w:rsidR="006876A5" w:rsidRPr="00617DA2" w14:paraId="0C8B6193" w14:textId="77777777" w:rsidTr="00713E17">
      <w:trPr>
        <w:trHeight w:val="321"/>
      </w:trPr>
      <w:tc>
        <w:tcPr>
          <w:tcW w:w="3544" w:type="dxa"/>
          <w:vAlign w:val="center"/>
        </w:tcPr>
        <w:p w14:paraId="321FFAFF" w14:textId="0E8C2CE7" w:rsidR="006876A5" w:rsidRPr="00617DA2" w:rsidRDefault="006876A5" w:rsidP="00472C41">
          <w:pPr>
            <w:jc w:val="right"/>
            <w:rPr>
              <w:rFonts w:ascii="Palatino Linotype" w:hAnsi="Palatino Linotype"/>
              <w:b/>
            </w:rPr>
          </w:pPr>
          <w:r w:rsidRPr="00617DA2">
            <w:rPr>
              <w:rFonts w:ascii="Palatino Linotype" w:hAnsi="Palatino Linotype"/>
              <w:b/>
            </w:rPr>
            <w:t>COMISIONADA PONENTE:</w:t>
          </w:r>
        </w:p>
      </w:tc>
      <w:tc>
        <w:tcPr>
          <w:tcW w:w="4111" w:type="dxa"/>
          <w:vAlign w:val="center"/>
        </w:tcPr>
        <w:p w14:paraId="0FECDA9D" w14:textId="6D336FD0" w:rsidR="006876A5" w:rsidRPr="00617DA2" w:rsidRDefault="006876A5" w:rsidP="00B44F9F">
          <w:pPr>
            <w:pStyle w:val="Encabezado"/>
            <w:ind w:left="33"/>
            <w:rPr>
              <w:rFonts w:ascii="Palatino Linotype" w:hAnsi="Palatino Linotype"/>
            </w:rPr>
          </w:pPr>
          <w:r w:rsidRPr="00617DA2">
            <w:rPr>
              <w:rFonts w:ascii="Palatino Linotype" w:hAnsi="Palatino Linotype"/>
            </w:rPr>
            <w:t>María del Rosario Mejía Ayala</w:t>
          </w:r>
        </w:p>
      </w:tc>
    </w:tr>
  </w:tbl>
  <w:p w14:paraId="156B5574" w14:textId="65B66F76" w:rsidR="006876A5" w:rsidRDefault="00C3095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72.8pt;margin-top:-120.9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AD04A0E"/>
    <w:multiLevelType w:val="multilevel"/>
    <w:tmpl w:val="089EEE94"/>
    <w:lvl w:ilvl="0">
      <w:start w:val="32"/>
      <w:numFmt w:val="decimal"/>
      <w:lvlText w:val="%1."/>
      <w:lvlJc w:val="left"/>
      <w:pPr>
        <w:ind w:left="360"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E9A3BAD"/>
    <w:multiLevelType w:val="hybridMultilevel"/>
    <w:tmpl w:val="3DA679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5614CC"/>
    <w:multiLevelType w:val="hybridMultilevel"/>
    <w:tmpl w:val="F01AB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EB781F"/>
    <w:multiLevelType w:val="multilevel"/>
    <w:tmpl w:val="1B3075F4"/>
    <w:lvl w:ilvl="0">
      <w:start w:val="56"/>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317490"/>
    <w:multiLevelType w:val="hybridMultilevel"/>
    <w:tmpl w:val="1382DBB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B915C4"/>
    <w:multiLevelType w:val="hybridMultilevel"/>
    <w:tmpl w:val="C51A3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D650C7"/>
    <w:multiLevelType w:val="hybridMultilevel"/>
    <w:tmpl w:val="75222D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0E3780"/>
    <w:multiLevelType w:val="multilevel"/>
    <w:tmpl w:val="111A519A"/>
    <w:lvl w:ilvl="0">
      <w:start w:val="60"/>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F757CDE"/>
    <w:multiLevelType w:val="multilevel"/>
    <w:tmpl w:val="6D223856"/>
    <w:lvl w:ilvl="0">
      <w:start w:val="19"/>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1E40A5"/>
    <w:multiLevelType w:val="multilevel"/>
    <w:tmpl w:val="55287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AE220C"/>
    <w:multiLevelType w:val="hybridMultilevel"/>
    <w:tmpl w:val="A81CB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7CC4D8D"/>
    <w:multiLevelType w:val="multilevel"/>
    <w:tmpl w:val="00F036AE"/>
    <w:lvl w:ilvl="0">
      <w:start w:val="1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CE133D5"/>
    <w:multiLevelType w:val="multilevel"/>
    <w:tmpl w:val="4CA81C3C"/>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19" w15:restartNumberingAfterBreak="0">
    <w:nsid w:val="6F8A5C7A"/>
    <w:multiLevelType w:val="multilevel"/>
    <w:tmpl w:val="BCC8F922"/>
    <w:lvl w:ilvl="0">
      <w:start w:val="20"/>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A2E0128"/>
    <w:multiLevelType w:val="multilevel"/>
    <w:tmpl w:val="DB6EA6EA"/>
    <w:lvl w:ilvl="0">
      <w:start w:val="55"/>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B855E58"/>
    <w:multiLevelType w:val="hybridMultilevel"/>
    <w:tmpl w:val="630C5646"/>
    <w:lvl w:ilvl="0" w:tplc="EB16444E">
      <w:start w:val="24"/>
      <w:numFmt w:val="decimal"/>
      <w:lvlText w:val="%1."/>
      <w:lvlJc w:val="left"/>
      <w:pPr>
        <w:ind w:left="0" w:firstLine="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8"/>
  </w:num>
  <w:num w:numId="5">
    <w:abstractNumId w:val="3"/>
  </w:num>
  <w:num w:numId="6">
    <w:abstractNumId w:val="16"/>
  </w:num>
  <w:num w:numId="7">
    <w:abstractNumId w:val="14"/>
  </w:num>
  <w:num w:numId="8">
    <w:abstractNumId w:val="7"/>
  </w:num>
  <w:num w:numId="9">
    <w:abstractNumId w:val="10"/>
  </w:num>
  <w:num w:numId="10">
    <w:abstractNumId w:val="1"/>
  </w:num>
  <w:num w:numId="11">
    <w:abstractNumId w:val="17"/>
  </w:num>
  <w:num w:numId="12">
    <w:abstractNumId w:val="12"/>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9"/>
  </w:num>
  <w:num w:numId="17">
    <w:abstractNumId w:val="20"/>
  </w:num>
  <w:num w:numId="18">
    <w:abstractNumId w:val="5"/>
  </w:num>
  <w:num w:numId="19">
    <w:abstractNumId w:val="11"/>
  </w:num>
  <w:num w:numId="20">
    <w:abstractNumId w:val="2"/>
  </w:num>
  <w:num w:numId="21">
    <w:abstractNumId w:val="21"/>
  </w:num>
  <w:num w:numId="2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26A"/>
    <w:rsid w:val="00001265"/>
    <w:rsid w:val="00001558"/>
    <w:rsid w:val="000021A0"/>
    <w:rsid w:val="0000310F"/>
    <w:rsid w:val="0000381E"/>
    <w:rsid w:val="00003A05"/>
    <w:rsid w:val="0000407F"/>
    <w:rsid w:val="000058E3"/>
    <w:rsid w:val="0000671C"/>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1EA6"/>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10CF"/>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5BBA"/>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778"/>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46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37CF"/>
    <w:rsid w:val="001F3AB4"/>
    <w:rsid w:val="001F4F84"/>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AD1"/>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160"/>
    <w:rsid w:val="002A54DE"/>
    <w:rsid w:val="002A7A1C"/>
    <w:rsid w:val="002A7FAB"/>
    <w:rsid w:val="002B085C"/>
    <w:rsid w:val="002B1AE9"/>
    <w:rsid w:val="002B2278"/>
    <w:rsid w:val="002B284F"/>
    <w:rsid w:val="002B2A2E"/>
    <w:rsid w:val="002B2F59"/>
    <w:rsid w:val="002B309C"/>
    <w:rsid w:val="002B4D21"/>
    <w:rsid w:val="002B7A58"/>
    <w:rsid w:val="002C003D"/>
    <w:rsid w:val="002C0074"/>
    <w:rsid w:val="002C0159"/>
    <w:rsid w:val="002C0804"/>
    <w:rsid w:val="002C0DC5"/>
    <w:rsid w:val="002C1007"/>
    <w:rsid w:val="002C12E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39B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2625"/>
    <w:rsid w:val="00374557"/>
    <w:rsid w:val="00374B45"/>
    <w:rsid w:val="00374CE8"/>
    <w:rsid w:val="003762FD"/>
    <w:rsid w:val="00376FD2"/>
    <w:rsid w:val="00377278"/>
    <w:rsid w:val="0038132B"/>
    <w:rsid w:val="00382196"/>
    <w:rsid w:val="003821A4"/>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160"/>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14A1"/>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397"/>
    <w:rsid w:val="00474477"/>
    <w:rsid w:val="0047643B"/>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0003"/>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604F"/>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42A3"/>
    <w:rsid w:val="005A441D"/>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606"/>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364"/>
    <w:rsid w:val="006144EE"/>
    <w:rsid w:val="0061507A"/>
    <w:rsid w:val="0061616C"/>
    <w:rsid w:val="00617125"/>
    <w:rsid w:val="00617813"/>
    <w:rsid w:val="00617DA2"/>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22"/>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6A5"/>
    <w:rsid w:val="00687CAD"/>
    <w:rsid w:val="006901FA"/>
    <w:rsid w:val="006903C0"/>
    <w:rsid w:val="006904D3"/>
    <w:rsid w:val="00690ED0"/>
    <w:rsid w:val="00691BD2"/>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6B9E"/>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1C3"/>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26EF"/>
    <w:rsid w:val="00705087"/>
    <w:rsid w:val="007050B1"/>
    <w:rsid w:val="00705527"/>
    <w:rsid w:val="00707096"/>
    <w:rsid w:val="007076C5"/>
    <w:rsid w:val="00710012"/>
    <w:rsid w:val="007127BB"/>
    <w:rsid w:val="007136BC"/>
    <w:rsid w:val="00713E17"/>
    <w:rsid w:val="00714576"/>
    <w:rsid w:val="00714FEC"/>
    <w:rsid w:val="00715A04"/>
    <w:rsid w:val="00715B7D"/>
    <w:rsid w:val="00715E8F"/>
    <w:rsid w:val="00721335"/>
    <w:rsid w:val="00721924"/>
    <w:rsid w:val="00721F66"/>
    <w:rsid w:val="00722B93"/>
    <w:rsid w:val="0072445A"/>
    <w:rsid w:val="007247FB"/>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3E6"/>
    <w:rsid w:val="00794C2B"/>
    <w:rsid w:val="0079589D"/>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6A4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AF6"/>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1806"/>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4851"/>
    <w:rsid w:val="008C5283"/>
    <w:rsid w:val="008C6F34"/>
    <w:rsid w:val="008C7108"/>
    <w:rsid w:val="008C75C8"/>
    <w:rsid w:val="008C7C98"/>
    <w:rsid w:val="008D02A3"/>
    <w:rsid w:val="008D22D8"/>
    <w:rsid w:val="008D259C"/>
    <w:rsid w:val="008D2BCD"/>
    <w:rsid w:val="008D406E"/>
    <w:rsid w:val="008D4E99"/>
    <w:rsid w:val="008D5066"/>
    <w:rsid w:val="008D543B"/>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12C"/>
    <w:rsid w:val="008F12E6"/>
    <w:rsid w:val="008F1558"/>
    <w:rsid w:val="008F2B44"/>
    <w:rsid w:val="008F4A9E"/>
    <w:rsid w:val="008F5927"/>
    <w:rsid w:val="008F5F96"/>
    <w:rsid w:val="008F7215"/>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3672"/>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47DD7"/>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09E3"/>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927"/>
    <w:rsid w:val="009A0E2A"/>
    <w:rsid w:val="009A28A2"/>
    <w:rsid w:val="009A2D33"/>
    <w:rsid w:val="009A3B2B"/>
    <w:rsid w:val="009A3D46"/>
    <w:rsid w:val="009A5191"/>
    <w:rsid w:val="009A593A"/>
    <w:rsid w:val="009A5FBB"/>
    <w:rsid w:val="009A62BB"/>
    <w:rsid w:val="009B0F5C"/>
    <w:rsid w:val="009B11D6"/>
    <w:rsid w:val="009B1D13"/>
    <w:rsid w:val="009B2EE9"/>
    <w:rsid w:val="009B3771"/>
    <w:rsid w:val="009B44FE"/>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09"/>
    <w:rsid w:val="009F74A2"/>
    <w:rsid w:val="009F7BB0"/>
    <w:rsid w:val="00A0054B"/>
    <w:rsid w:val="00A0179F"/>
    <w:rsid w:val="00A01B7D"/>
    <w:rsid w:val="00A036C5"/>
    <w:rsid w:val="00A03AD2"/>
    <w:rsid w:val="00A05DA0"/>
    <w:rsid w:val="00A07098"/>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A54"/>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05D"/>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AF761A"/>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0F1B"/>
    <w:rsid w:val="00B22AB4"/>
    <w:rsid w:val="00B22B27"/>
    <w:rsid w:val="00B230E5"/>
    <w:rsid w:val="00B23E88"/>
    <w:rsid w:val="00B24F64"/>
    <w:rsid w:val="00B267A4"/>
    <w:rsid w:val="00B312C7"/>
    <w:rsid w:val="00B316B9"/>
    <w:rsid w:val="00B31E90"/>
    <w:rsid w:val="00B32542"/>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6CFF"/>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6F91"/>
    <w:rsid w:val="00BE00FA"/>
    <w:rsid w:val="00BE068C"/>
    <w:rsid w:val="00BE0C95"/>
    <w:rsid w:val="00BE1433"/>
    <w:rsid w:val="00BE23ED"/>
    <w:rsid w:val="00BE2CF3"/>
    <w:rsid w:val="00BE31BD"/>
    <w:rsid w:val="00BE38FF"/>
    <w:rsid w:val="00BE462E"/>
    <w:rsid w:val="00BE5328"/>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095F"/>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33A"/>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CBA"/>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30C"/>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319E"/>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642"/>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5A9"/>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546"/>
    <w:rsid w:val="00E25996"/>
    <w:rsid w:val="00E25AF9"/>
    <w:rsid w:val="00E26881"/>
    <w:rsid w:val="00E26DFE"/>
    <w:rsid w:val="00E2713B"/>
    <w:rsid w:val="00E274D7"/>
    <w:rsid w:val="00E3177E"/>
    <w:rsid w:val="00E32652"/>
    <w:rsid w:val="00E32DDF"/>
    <w:rsid w:val="00E3302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24C0"/>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E6E"/>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36E"/>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44DE"/>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B40"/>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4954"/>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693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160"/>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Textoindependienteprimerasangra2">
    <w:name w:val="Body Text First Indent 2"/>
    <w:basedOn w:val="Sangradetextonormal"/>
    <w:link w:val="Textoindependienteprimerasangra2Car"/>
    <w:uiPriority w:val="99"/>
    <w:semiHidden/>
    <w:unhideWhenUsed/>
    <w:rsid w:val="00D85642"/>
    <w:pPr>
      <w:spacing w:after="0"/>
      <w:ind w:left="360" w:firstLine="360"/>
    </w:pPr>
    <w:rPr>
      <w:rFonts w:asciiTheme="minorHAnsi" w:eastAsiaTheme="minorEastAsia" w:hAnsiTheme="minorHAnsi" w:cstheme="minorBidi"/>
      <w:sz w:val="24"/>
      <w:szCs w:val="24"/>
    </w:rPr>
  </w:style>
  <w:style w:type="character" w:customStyle="1" w:styleId="Textoindependienteprimerasangra2Car">
    <w:name w:val="Texto independiente primera sangría 2 Car"/>
    <w:basedOn w:val="SangradetextonormalCar"/>
    <w:link w:val="Textoindependienteprimerasangra2"/>
    <w:uiPriority w:val="99"/>
    <w:semiHidden/>
    <w:rsid w:val="00D85642"/>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7083624">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26121936">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25303854">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9929491">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3486395">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6949.page" TargetMode="External"/><Relationship Id="rId13" Type="http://schemas.openxmlformats.org/officeDocument/2006/relationships/hyperlink" Target="https://saimex.org.mx/saimex/solicitud/downloadAttach/2426949.page" TargetMode="External"/><Relationship Id="rId18" Type="http://schemas.openxmlformats.org/officeDocument/2006/relationships/hyperlink" Target="https://saimex.org.mx/saimex/solicitud/downloadAttach/2442269.pag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2442269.page" TargetMode="External"/><Relationship Id="rId17" Type="http://schemas.openxmlformats.org/officeDocument/2006/relationships/hyperlink" Target="https://saimex.org.mx/saimex/solicitud/downloadAttach/2442100.pag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imex.org.mx/saimex/solicitud/downloadAttach/2442099.pa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42100.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solicitud/downloadAttach/2426949.page" TargetMode="External"/><Relationship Id="rId23" Type="http://schemas.openxmlformats.org/officeDocument/2006/relationships/footer" Target="footer2.xml"/><Relationship Id="rId10" Type="http://schemas.openxmlformats.org/officeDocument/2006/relationships/hyperlink" Target="https://saimex.org.mx/saimex/solicitud/downloadAttach/2442099.page" TargetMode="External"/><Relationship Id="rId19" Type="http://schemas.openxmlformats.org/officeDocument/2006/relationships/hyperlink" Target="https://saimex.org.mx/saimex/solicitud/downloadAttach/2441068.page" TargetMode="External"/><Relationship Id="rId4" Type="http://schemas.openxmlformats.org/officeDocument/2006/relationships/settings" Target="settings.xml"/><Relationship Id="rId9" Type="http://schemas.openxmlformats.org/officeDocument/2006/relationships/hyperlink" Target="https://saimex.org.mx/saimex/solicitud/downloadAttach/2441068.page" TargetMode="External"/><Relationship Id="rId14" Type="http://schemas.openxmlformats.org/officeDocument/2006/relationships/hyperlink" Target="https://saimex.org.mx/saimex/solicitud/downloadAttach/2441068.pag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D71F6586-274A-4542-A103-2BAD1F3B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9676</Words>
  <Characters>53219</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2025-08-08T17:05:00Z</cp:lastPrinted>
  <dcterms:created xsi:type="dcterms:W3CDTF">2025-08-07T17:56:00Z</dcterms:created>
  <dcterms:modified xsi:type="dcterms:W3CDTF">2025-08-14T17:53:00Z</dcterms:modified>
</cp:coreProperties>
</file>