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72A8" w14:textId="77777777" w:rsidR="005D6051" w:rsidRDefault="005D6051">
      <w:pPr>
        <w:widowControl w:val="0"/>
        <w:pBdr>
          <w:top w:val="nil"/>
          <w:left w:val="nil"/>
          <w:bottom w:val="nil"/>
          <w:right w:val="nil"/>
          <w:between w:val="nil"/>
        </w:pBdr>
        <w:spacing w:line="276" w:lineRule="auto"/>
      </w:pPr>
    </w:p>
    <w:p w14:paraId="7142488E" w14:textId="77777777" w:rsidR="005D6051" w:rsidRDefault="005D6051">
      <w:pPr>
        <w:spacing w:line="360" w:lineRule="auto"/>
        <w:ind w:right="-28"/>
        <w:jc w:val="both"/>
        <w:rPr>
          <w:rFonts w:ascii="Palatino Linotype" w:eastAsia="Palatino Linotype" w:hAnsi="Palatino Linotype" w:cs="Palatino Linotype"/>
          <w:sz w:val="22"/>
          <w:szCs w:val="22"/>
        </w:rPr>
      </w:pPr>
    </w:p>
    <w:p w14:paraId="16E67244" w14:textId="77777777" w:rsidR="005D6051" w:rsidRPr="001841B2" w:rsidRDefault="00E932F8">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RESOLUCIÓN DEL RECURSO DE REVISIÓN 07911/INFOEM/IP/RR/2025</w:t>
      </w:r>
    </w:p>
    <w:p w14:paraId="21BA45CA" w14:textId="77777777" w:rsidR="005D6051" w:rsidRPr="001841B2" w:rsidRDefault="005D6051">
      <w:pPr>
        <w:spacing w:line="360" w:lineRule="auto"/>
        <w:rPr>
          <w:rFonts w:ascii="Palatino Linotype" w:eastAsia="Palatino Linotype" w:hAnsi="Palatino Linotype" w:cs="Palatino Linotype"/>
          <w:sz w:val="22"/>
          <w:szCs w:val="22"/>
        </w:rPr>
      </w:pPr>
    </w:p>
    <w:sdt>
      <w:sdtPr>
        <w:id w:val="-970023569"/>
        <w:docPartObj>
          <w:docPartGallery w:val="Table of Contents"/>
          <w:docPartUnique/>
        </w:docPartObj>
      </w:sdtPr>
      <w:sdtContent>
        <w:p w14:paraId="02141ADF" w14:textId="77777777" w:rsidR="005D6051" w:rsidRPr="001841B2" w:rsidRDefault="00E932F8">
          <w:pPr>
            <w:pBdr>
              <w:top w:val="nil"/>
              <w:left w:val="nil"/>
              <w:bottom w:val="nil"/>
              <w:right w:val="nil"/>
              <w:between w:val="nil"/>
            </w:pBdr>
            <w:tabs>
              <w:tab w:val="right" w:pos="9034"/>
            </w:tabs>
            <w:spacing w:line="360" w:lineRule="auto"/>
            <w:rPr>
              <w:rFonts w:ascii="Palatino Linotype" w:eastAsia="Palatino Linotype" w:hAnsi="Palatino Linotype" w:cs="Palatino Linotype"/>
              <w:color w:val="0D0D0D"/>
              <w:sz w:val="22"/>
              <w:szCs w:val="22"/>
            </w:rPr>
          </w:pPr>
          <w:r w:rsidRPr="001841B2">
            <w:fldChar w:fldCharType="begin"/>
          </w:r>
          <w:r w:rsidRPr="001841B2">
            <w:instrText xml:space="preserve"> TOC \h \u \z \t "Heading 1,1,Heading 2,2,Heading 3,3,"</w:instrText>
          </w:r>
          <w:r w:rsidRPr="001841B2">
            <w:fldChar w:fldCharType="separate"/>
          </w:r>
          <w:hyperlink w:anchor="_heading=h.nsw47681n3vq">
            <w:r w:rsidRPr="001841B2">
              <w:rPr>
                <w:rFonts w:ascii="Palatino Linotype" w:eastAsia="Palatino Linotype" w:hAnsi="Palatino Linotype" w:cs="Palatino Linotype"/>
                <w:color w:val="0D0D0D"/>
                <w:sz w:val="22"/>
                <w:szCs w:val="22"/>
              </w:rPr>
              <w:t>A N T E C E D E N T E S</w:t>
            </w:r>
            <w:r w:rsidRPr="001841B2">
              <w:rPr>
                <w:rFonts w:ascii="Palatino Linotype" w:eastAsia="Palatino Linotype" w:hAnsi="Palatino Linotype" w:cs="Palatino Linotype"/>
                <w:color w:val="0D0D0D"/>
                <w:sz w:val="22"/>
                <w:szCs w:val="22"/>
              </w:rPr>
              <w:tab/>
              <w:t>2</w:t>
            </w:r>
          </w:hyperlink>
        </w:p>
        <w:p w14:paraId="5857913C" w14:textId="77777777" w:rsidR="005D6051" w:rsidRPr="001841B2" w:rsidRDefault="00E932F8">
          <w:pPr>
            <w:pBdr>
              <w:top w:val="nil"/>
              <w:left w:val="nil"/>
              <w:bottom w:val="nil"/>
              <w:right w:val="nil"/>
              <w:between w:val="nil"/>
            </w:pBdr>
            <w:tabs>
              <w:tab w:val="right" w:pos="9034"/>
            </w:tabs>
            <w:spacing w:line="360" w:lineRule="auto"/>
            <w:ind w:left="200"/>
            <w:jc w:val="both"/>
            <w:rPr>
              <w:rFonts w:ascii="Palatino Linotype" w:eastAsia="Palatino Linotype" w:hAnsi="Palatino Linotype" w:cs="Palatino Linotype"/>
              <w:color w:val="0D0D0D"/>
              <w:sz w:val="22"/>
              <w:szCs w:val="22"/>
            </w:rPr>
          </w:pPr>
          <w:hyperlink w:anchor="_heading=h.5okv11a8k87t">
            <w:r w:rsidRPr="001841B2">
              <w:rPr>
                <w:rFonts w:ascii="Palatino Linotype" w:eastAsia="Palatino Linotype" w:hAnsi="Palatino Linotype" w:cs="Palatino Linotype"/>
                <w:color w:val="0D0D0D"/>
                <w:sz w:val="22"/>
                <w:szCs w:val="22"/>
              </w:rPr>
              <w:t>I. Presentación de la solicitud de información</w:t>
            </w:r>
            <w:r w:rsidRPr="001841B2">
              <w:rPr>
                <w:rFonts w:ascii="Palatino Linotype" w:eastAsia="Palatino Linotype" w:hAnsi="Palatino Linotype" w:cs="Palatino Linotype"/>
                <w:color w:val="0D0D0D"/>
                <w:sz w:val="22"/>
                <w:szCs w:val="22"/>
              </w:rPr>
              <w:tab/>
              <w:t>2</w:t>
            </w:r>
          </w:hyperlink>
        </w:p>
        <w:p w14:paraId="326B9BCB" w14:textId="77777777" w:rsidR="005D6051" w:rsidRPr="001841B2" w:rsidRDefault="00E932F8">
          <w:pPr>
            <w:pBdr>
              <w:top w:val="nil"/>
              <w:left w:val="nil"/>
              <w:bottom w:val="nil"/>
              <w:right w:val="nil"/>
              <w:between w:val="nil"/>
            </w:pBdr>
            <w:tabs>
              <w:tab w:val="right" w:pos="9034"/>
            </w:tabs>
            <w:spacing w:line="360" w:lineRule="auto"/>
            <w:ind w:left="200"/>
            <w:jc w:val="both"/>
            <w:rPr>
              <w:rFonts w:ascii="Palatino Linotype" w:eastAsia="Palatino Linotype" w:hAnsi="Palatino Linotype" w:cs="Palatino Linotype"/>
              <w:color w:val="0D0D0D"/>
              <w:sz w:val="22"/>
              <w:szCs w:val="22"/>
            </w:rPr>
          </w:pPr>
          <w:hyperlink w:anchor="_heading=h.g85gnl3kbcoc">
            <w:r w:rsidRPr="001841B2">
              <w:rPr>
                <w:rFonts w:ascii="Palatino Linotype" w:eastAsia="Palatino Linotype" w:hAnsi="Palatino Linotype" w:cs="Palatino Linotype"/>
                <w:color w:val="0D0D0D"/>
                <w:sz w:val="22"/>
                <w:szCs w:val="22"/>
              </w:rPr>
              <w:t>II. Respuesta del Sujeto Obligado</w:t>
            </w:r>
            <w:r w:rsidRPr="001841B2">
              <w:rPr>
                <w:rFonts w:ascii="Palatino Linotype" w:eastAsia="Palatino Linotype" w:hAnsi="Palatino Linotype" w:cs="Palatino Linotype"/>
                <w:color w:val="0D0D0D"/>
                <w:sz w:val="22"/>
                <w:szCs w:val="22"/>
              </w:rPr>
              <w:tab/>
              <w:t>3</w:t>
            </w:r>
          </w:hyperlink>
        </w:p>
        <w:p w14:paraId="654481ED" w14:textId="77777777" w:rsidR="005D6051" w:rsidRPr="001841B2" w:rsidRDefault="00E932F8">
          <w:pPr>
            <w:pBdr>
              <w:top w:val="nil"/>
              <w:left w:val="nil"/>
              <w:bottom w:val="nil"/>
              <w:right w:val="nil"/>
              <w:between w:val="nil"/>
            </w:pBdr>
            <w:tabs>
              <w:tab w:val="right" w:pos="9034"/>
            </w:tabs>
            <w:spacing w:line="360" w:lineRule="auto"/>
            <w:ind w:left="200"/>
            <w:jc w:val="both"/>
            <w:rPr>
              <w:rFonts w:ascii="Palatino Linotype" w:eastAsia="Palatino Linotype" w:hAnsi="Palatino Linotype" w:cs="Palatino Linotype"/>
              <w:color w:val="0D0D0D"/>
              <w:sz w:val="22"/>
              <w:szCs w:val="22"/>
            </w:rPr>
          </w:pPr>
          <w:hyperlink w:anchor="_heading=h.o2fegfj34lyy">
            <w:r w:rsidRPr="001841B2">
              <w:rPr>
                <w:rFonts w:ascii="Palatino Linotype" w:eastAsia="Palatino Linotype" w:hAnsi="Palatino Linotype" w:cs="Palatino Linotype"/>
                <w:color w:val="0D0D0D"/>
                <w:sz w:val="22"/>
                <w:szCs w:val="22"/>
              </w:rPr>
              <w:t>III. Interposición del Recurso de Revisión</w:t>
            </w:r>
            <w:r w:rsidRPr="001841B2">
              <w:rPr>
                <w:rFonts w:ascii="Palatino Linotype" w:eastAsia="Palatino Linotype" w:hAnsi="Palatino Linotype" w:cs="Palatino Linotype"/>
                <w:color w:val="0D0D0D"/>
                <w:sz w:val="22"/>
                <w:szCs w:val="22"/>
              </w:rPr>
              <w:tab/>
              <w:t>3</w:t>
            </w:r>
          </w:hyperlink>
        </w:p>
        <w:p w14:paraId="1039505F" w14:textId="77777777" w:rsidR="005D6051" w:rsidRPr="001841B2" w:rsidRDefault="00E932F8">
          <w:pPr>
            <w:pBdr>
              <w:top w:val="nil"/>
              <w:left w:val="nil"/>
              <w:bottom w:val="nil"/>
              <w:right w:val="nil"/>
              <w:between w:val="nil"/>
            </w:pBdr>
            <w:tabs>
              <w:tab w:val="right" w:pos="9034"/>
            </w:tabs>
            <w:spacing w:line="360" w:lineRule="auto"/>
            <w:ind w:left="200"/>
            <w:jc w:val="both"/>
            <w:rPr>
              <w:rFonts w:ascii="Palatino Linotype" w:eastAsia="Palatino Linotype" w:hAnsi="Palatino Linotype" w:cs="Palatino Linotype"/>
              <w:color w:val="0D0D0D"/>
              <w:sz w:val="22"/>
              <w:szCs w:val="22"/>
            </w:rPr>
          </w:pPr>
          <w:hyperlink w:anchor="_heading=h.ync1czrq29ef">
            <w:r w:rsidRPr="001841B2">
              <w:rPr>
                <w:rFonts w:ascii="Palatino Linotype" w:eastAsia="Palatino Linotype" w:hAnsi="Palatino Linotype" w:cs="Palatino Linotype"/>
                <w:color w:val="0D0D0D"/>
                <w:sz w:val="22"/>
                <w:szCs w:val="22"/>
              </w:rPr>
              <w:t>IV. Trámite del Recurso de Revisión ante el Instituto</w:t>
            </w:r>
            <w:r w:rsidRPr="001841B2">
              <w:rPr>
                <w:rFonts w:ascii="Palatino Linotype" w:eastAsia="Palatino Linotype" w:hAnsi="Palatino Linotype" w:cs="Palatino Linotype"/>
                <w:color w:val="0D0D0D"/>
                <w:sz w:val="22"/>
                <w:szCs w:val="22"/>
              </w:rPr>
              <w:tab/>
              <w:t>4</w:t>
            </w:r>
          </w:hyperlink>
        </w:p>
        <w:p w14:paraId="01CCF5E0" w14:textId="77777777" w:rsidR="005D6051" w:rsidRPr="001841B2" w:rsidRDefault="00E932F8">
          <w:pPr>
            <w:pBdr>
              <w:top w:val="nil"/>
              <w:left w:val="nil"/>
              <w:bottom w:val="nil"/>
              <w:right w:val="nil"/>
              <w:between w:val="nil"/>
            </w:pBdr>
            <w:tabs>
              <w:tab w:val="right" w:pos="9034"/>
            </w:tabs>
            <w:spacing w:line="360" w:lineRule="auto"/>
            <w:rPr>
              <w:rFonts w:ascii="Palatino Linotype" w:eastAsia="Palatino Linotype" w:hAnsi="Palatino Linotype" w:cs="Palatino Linotype"/>
              <w:color w:val="0D0D0D"/>
              <w:sz w:val="22"/>
              <w:szCs w:val="22"/>
            </w:rPr>
          </w:pPr>
          <w:hyperlink w:anchor="_heading=h.4plydajkhvzg">
            <w:r w:rsidRPr="001841B2">
              <w:rPr>
                <w:rFonts w:ascii="Palatino Linotype" w:eastAsia="Palatino Linotype" w:hAnsi="Palatino Linotype" w:cs="Palatino Linotype"/>
                <w:color w:val="0D0D0D"/>
                <w:sz w:val="22"/>
                <w:szCs w:val="22"/>
              </w:rPr>
              <w:t>C O N S I D E R A N D O S</w:t>
            </w:r>
            <w:r w:rsidRPr="001841B2">
              <w:rPr>
                <w:rFonts w:ascii="Palatino Linotype" w:eastAsia="Palatino Linotype" w:hAnsi="Palatino Linotype" w:cs="Palatino Linotype"/>
                <w:color w:val="0D0D0D"/>
                <w:sz w:val="22"/>
                <w:szCs w:val="22"/>
              </w:rPr>
              <w:tab/>
              <w:t>6</w:t>
            </w:r>
          </w:hyperlink>
        </w:p>
        <w:p w14:paraId="2F01500B" w14:textId="77777777" w:rsidR="005D6051" w:rsidRPr="001841B2" w:rsidRDefault="00E932F8">
          <w:pPr>
            <w:pBdr>
              <w:top w:val="nil"/>
              <w:left w:val="nil"/>
              <w:bottom w:val="nil"/>
              <w:right w:val="nil"/>
              <w:between w:val="nil"/>
            </w:pBdr>
            <w:tabs>
              <w:tab w:val="right" w:pos="9034"/>
            </w:tabs>
            <w:spacing w:line="360" w:lineRule="auto"/>
            <w:ind w:left="200"/>
            <w:jc w:val="both"/>
            <w:rPr>
              <w:rFonts w:ascii="Palatino Linotype" w:eastAsia="Palatino Linotype" w:hAnsi="Palatino Linotype" w:cs="Palatino Linotype"/>
              <w:color w:val="0D0D0D"/>
              <w:sz w:val="22"/>
              <w:szCs w:val="22"/>
            </w:rPr>
          </w:pPr>
          <w:hyperlink w:anchor="_heading=h.7qkavw1i9qni">
            <w:r w:rsidRPr="001841B2">
              <w:rPr>
                <w:rFonts w:ascii="Palatino Linotype" w:eastAsia="Palatino Linotype" w:hAnsi="Palatino Linotype" w:cs="Palatino Linotype"/>
                <w:color w:val="0D0D0D"/>
                <w:sz w:val="22"/>
                <w:szCs w:val="22"/>
              </w:rPr>
              <w:t>PRIMERO. Competencia</w:t>
            </w:r>
            <w:r w:rsidRPr="001841B2">
              <w:rPr>
                <w:rFonts w:ascii="Palatino Linotype" w:eastAsia="Palatino Linotype" w:hAnsi="Palatino Linotype" w:cs="Palatino Linotype"/>
                <w:color w:val="0D0D0D"/>
                <w:sz w:val="22"/>
                <w:szCs w:val="22"/>
              </w:rPr>
              <w:tab/>
              <w:t>6</w:t>
            </w:r>
          </w:hyperlink>
        </w:p>
        <w:p w14:paraId="60687C48" w14:textId="77777777" w:rsidR="005D6051" w:rsidRPr="001841B2" w:rsidRDefault="00E932F8">
          <w:pPr>
            <w:pBdr>
              <w:top w:val="nil"/>
              <w:left w:val="nil"/>
              <w:bottom w:val="nil"/>
              <w:right w:val="nil"/>
              <w:between w:val="nil"/>
            </w:pBdr>
            <w:tabs>
              <w:tab w:val="right" w:pos="9034"/>
            </w:tabs>
            <w:spacing w:line="360" w:lineRule="auto"/>
            <w:ind w:left="200"/>
            <w:jc w:val="both"/>
            <w:rPr>
              <w:rFonts w:ascii="Palatino Linotype" w:eastAsia="Palatino Linotype" w:hAnsi="Palatino Linotype" w:cs="Palatino Linotype"/>
              <w:color w:val="0D0D0D"/>
              <w:sz w:val="22"/>
              <w:szCs w:val="22"/>
            </w:rPr>
          </w:pPr>
          <w:hyperlink w:anchor="_heading=h.7nio8xgwyz21">
            <w:r w:rsidRPr="001841B2">
              <w:rPr>
                <w:rFonts w:ascii="Palatino Linotype" w:eastAsia="Palatino Linotype" w:hAnsi="Palatino Linotype" w:cs="Palatino Linotype"/>
                <w:color w:val="0D0D0D"/>
                <w:sz w:val="22"/>
                <w:szCs w:val="22"/>
              </w:rPr>
              <w:t>SEGUNDO. Causales de improcedencia y sobreseimiento</w:t>
            </w:r>
            <w:r w:rsidRPr="001841B2">
              <w:rPr>
                <w:rFonts w:ascii="Palatino Linotype" w:eastAsia="Palatino Linotype" w:hAnsi="Palatino Linotype" w:cs="Palatino Linotype"/>
                <w:color w:val="0D0D0D"/>
                <w:sz w:val="22"/>
                <w:szCs w:val="22"/>
              </w:rPr>
              <w:tab/>
              <w:t>7</w:t>
            </w:r>
          </w:hyperlink>
        </w:p>
        <w:p w14:paraId="2374AF2C" w14:textId="77777777" w:rsidR="005D6051" w:rsidRPr="001841B2" w:rsidRDefault="00E932F8">
          <w:pPr>
            <w:pBdr>
              <w:top w:val="nil"/>
              <w:left w:val="nil"/>
              <w:bottom w:val="nil"/>
              <w:right w:val="nil"/>
              <w:between w:val="nil"/>
            </w:pBdr>
            <w:tabs>
              <w:tab w:val="right" w:pos="9034"/>
            </w:tabs>
            <w:spacing w:line="360" w:lineRule="auto"/>
            <w:ind w:left="200"/>
            <w:jc w:val="both"/>
            <w:rPr>
              <w:rFonts w:ascii="Palatino Linotype" w:eastAsia="Palatino Linotype" w:hAnsi="Palatino Linotype" w:cs="Palatino Linotype"/>
              <w:color w:val="0D0D0D"/>
              <w:sz w:val="22"/>
              <w:szCs w:val="22"/>
            </w:rPr>
          </w:pPr>
          <w:hyperlink w:anchor="_heading=h.6zjxpydm6ez4">
            <w:r w:rsidRPr="001841B2">
              <w:rPr>
                <w:rFonts w:ascii="Palatino Linotype" w:eastAsia="Palatino Linotype" w:hAnsi="Palatino Linotype" w:cs="Palatino Linotype"/>
                <w:color w:val="0D0D0D"/>
                <w:sz w:val="22"/>
                <w:szCs w:val="22"/>
              </w:rPr>
              <w:t>TERCERO. Determinación de la Controversia</w:t>
            </w:r>
            <w:r w:rsidRPr="001841B2">
              <w:rPr>
                <w:rFonts w:ascii="Palatino Linotype" w:eastAsia="Palatino Linotype" w:hAnsi="Palatino Linotype" w:cs="Palatino Linotype"/>
                <w:color w:val="0D0D0D"/>
                <w:sz w:val="22"/>
                <w:szCs w:val="22"/>
              </w:rPr>
              <w:tab/>
              <w:t>8</w:t>
            </w:r>
          </w:hyperlink>
        </w:p>
        <w:p w14:paraId="4E70FCBB" w14:textId="77777777" w:rsidR="005D6051" w:rsidRPr="001841B2" w:rsidRDefault="00E932F8">
          <w:pPr>
            <w:pBdr>
              <w:top w:val="nil"/>
              <w:left w:val="nil"/>
              <w:bottom w:val="nil"/>
              <w:right w:val="nil"/>
              <w:between w:val="nil"/>
            </w:pBdr>
            <w:tabs>
              <w:tab w:val="right" w:pos="9034"/>
            </w:tabs>
            <w:spacing w:line="360" w:lineRule="auto"/>
            <w:ind w:left="200"/>
            <w:jc w:val="both"/>
            <w:rPr>
              <w:rFonts w:ascii="Palatino Linotype" w:eastAsia="Palatino Linotype" w:hAnsi="Palatino Linotype" w:cs="Palatino Linotype"/>
              <w:color w:val="0D0D0D"/>
              <w:sz w:val="22"/>
              <w:szCs w:val="22"/>
            </w:rPr>
          </w:pPr>
          <w:hyperlink w:anchor="_heading=h.5y8p7kkn2jki">
            <w:r w:rsidRPr="001841B2">
              <w:rPr>
                <w:rFonts w:ascii="Palatino Linotype" w:eastAsia="Palatino Linotype" w:hAnsi="Palatino Linotype" w:cs="Palatino Linotype"/>
                <w:color w:val="0D0D0D"/>
                <w:sz w:val="22"/>
                <w:szCs w:val="22"/>
              </w:rPr>
              <w:t>CUARTO. Marco normativo aplicable en materia de transparencia y acceso a la información pública</w:t>
            </w:r>
            <w:r w:rsidRPr="001841B2">
              <w:rPr>
                <w:rFonts w:ascii="Palatino Linotype" w:eastAsia="Palatino Linotype" w:hAnsi="Palatino Linotype" w:cs="Palatino Linotype"/>
                <w:color w:val="0D0D0D"/>
                <w:sz w:val="22"/>
                <w:szCs w:val="22"/>
              </w:rPr>
              <w:tab/>
              <w:t>10</w:t>
            </w:r>
          </w:hyperlink>
        </w:p>
        <w:p w14:paraId="5F9C724A" w14:textId="77777777" w:rsidR="005D6051" w:rsidRPr="001841B2" w:rsidRDefault="00E932F8">
          <w:pPr>
            <w:pBdr>
              <w:top w:val="nil"/>
              <w:left w:val="nil"/>
              <w:bottom w:val="nil"/>
              <w:right w:val="nil"/>
              <w:between w:val="nil"/>
            </w:pBdr>
            <w:tabs>
              <w:tab w:val="right" w:pos="9034"/>
            </w:tabs>
            <w:spacing w:line="360" w:lineRule="auto"/>
            <w:ind w:left="200"/>
            <w:jc w:val="both"/>
            <w:rPr>
              <w:rFonts w:ascii="Palatino Linotype" w:eastAsia="Palatino Linotype" w:hAnsi="Palatino Linotype" w:cs="Palatino Linotype"/>
              <w:color w:val="0D0D0D"/>
              <w:sz w:val="22"/>
              <w:szCs w:val="22"/>
            </w:rPr>
          </w:pPr>
          <w:hyperlink w:anchor="_heading=h.3kiwualsqj5m">
            <w:r w:rsidRPr="001841B2">
              <w:rPr>
                <w:rFonts w:ascii="Palatino Linotype" w:eastAsia="Palatino Linotype" w:hAnsi="Palatino Linotype" w:cs="Palatino Linotype"/>
                <w:color w:val="0D0D0D"/>
                <w:sz w:val="22"/>
                <w:szCs w:val="22"/>
              </w:rPr>
              <w:t>QUINTO. Estudio de Fondo</w:t>
            </w:r>
            <w:r w:rsidRPr="001841B2">
              <w:rPr>
                <w:rFonts w:ascii="Palatino Linotype" w:eastAsia="Palatino Linotype" w:hAnsi="Palatino Linotype" w:cs="Palatino Linotype"/>
                <w:color w:val="0D0D0D"/>
                <w:sz w:val="22"/>
                <w:szCs w:val="22"/>
              </w:rPr>
              <w:tab/>
              <w:t>11</w:t>
            </w:r>
          </w:hyperlink>
        </w:p>
        <w:p w14:paraId="0FD9715A" w14:textId="77777777" w:rsidR="005D6051" w:rsidRPr="001841B2" w:rsidRDefault="00E932F8">
          <w:pPr>
            <w:pBdr>
              <w:top w:val="nil"/>
              <w:left w:val="nil"/>
              <w:bottom w:val="nil"/>
              <w:right w:val="nil"/>
              <w:between w:val="nil"/>
            </w:pBdr>
            <w:tabs>
              <w:tab w:val="right" w:pos="9034"/>
            </w:tabs>
            <w:spacing w:line="360" w:lineRule="auto"/>
            <w:ind w:left="200"/>
            <w:jc w:val="both"/>
            <w:rPr>
              <w:rFonts w:ascii="Palatino Linotype" w:eastAsia="Palatino Linotype" w:hAnsi="Palatino Linotype" w:cs="Palatino Linotype"/>
              <w:color w:val="0D0D0D"/>
              <w:sz w:val="22"/>
              <w:szCs w:val="22"/>
            </w:rPr>
          </w:pPr>
          <w:hyperlink w:anchor="_heading=h.ndwnsvwje1ys">
            <w:r w:rsidRPr="001841B2">
              <w:rPr>
                <w:rFonts w:ascii="Palatino Linotype" w:eastAsia="Palatino Linotype" w:hAnsi="Palatino Linotype" w:cs="Palatino Linotype"/>
                <w:color w:val="0D0D0D"/>
                <w:sz w:val="22"/>
                <w:szCs w:val="22"/>
              </w:rPr>
              <w:t>SEXTO. Decisión</w:t>
            </w:r>
            <w:r w:rsidRPr="001841B2">
              <w:rPr>
                <w:rFonts w:ascii="Palatino Linotype" w:eastAsia="Palatino Linotype" w:hAnsi="Palatino Linotype" w:cs="Palatino Linotype"/>
                <w:color w:val="0D0D0D"/>
                <w:sz w:val="22"/>
                <w:szCs w:val="22"/>
              </w:rPr>
              <w:tab/>
              <w:t>31</w:t>
            </w:r>
          </w:hyperlink>
        </w:p>
        <w:p w14:paraId="23DE55D3" w14:textId="77777777" w:rsidR="005D6051" w:rsidRPr="001841B2" w:rsidRDefault="00E932F8">
          <w:pPr>
            <w:pBdr>
              <w:top w:val="nil"/>
              <w:left w:val="nil"/>
              <w:bottom w:val="nil"/>
              <w:right w:val="nil"/>
              <w:between w:val="nil"/>
            </w:pBdr>
            <w:tabs>
              <w:tab w:val="right" w:pos="9034"/>
            </w:tabs>
            <w:spacing w:line="360" w:lineRule="auto"/>
            <w:rPr>
              <w:rFonts w:ascii="Palatino Linotype" w:eastAsia="Palatino Linotype" w:hAnsi="Palatino Linotype" w:cs="Palatino Linotype"/>
              <w:color w:val="0D0D0D"/>
              <w:sz w:val="22"/>
              <w:szCs w:val="22"/>
            </w:rPr>
          </w:pPr>
          <w:hyperlink w:anchor="_heading=h.y13kmyisacf8">
            <w:r w:rsidRPr="001841B2">
              <w:rPr>
                <w:rFonts w:ascii="Palatino Linotype" w:eastAsia="Palatino Linotype" w:hAnsi="Palatino Linotype" w:cs="Palatino Linotype"/>
                <w:color w:val="0D0D0D"/>
                <w:sz w:val="22"/>
                <w:szCs w:val="22"/>
              </w:rPr>
              <w:t>R E S U E L V E</w:t>
            </w:r>
            <w:r w:rsidRPr="001841B2">
              <w:rPr>
                <w:rFonts w:ascii="Palatino Linotype" w:eastAsia="Palatino Linotype" w:hAnsi="Palatino Linotype" w:cs="Palatino Linotype"/>
                <w:color w:val="0D0D0D"/>
                <w:sz w:val="22"/>
                <w:szCs w:val="22"/>
              </w:rPr>
              <w:tab/>
              <w:t>32</w:t>
            </w:r>
          </w:hyperlink>
        </w:p>
        <w:p w14:paraId="238F481C" w14:textId="77777777" w:rsidR="005D6051" w:rsidRPr="001841B2" w:rsidRDefault="00E932F8">
          <w:pPr>
            <w:spacing w:line="360" w:lineRule="auto"/>
          </w:pPr>
          <w:r w:rsidRPr="001841B2">
            <w:fldChar w:fldCharType="end"/>
          </w:r>
        </w:p>
      </w:sdtContent>
    </w:sdt>
    <w:p w14:paraId="4ACE2673"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61A5E02B"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3395BC05"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125AE2F6"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43C1B45C"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793101B7"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681BB094"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09521B93"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2DF888E8" w14:textId="77777777" w:rsidR="005D6051" w:rsidRPr="001841B2" w:rsidRDefault="00E932F8">
      <w:pPr>
        <w:spacing w:line="360" w:lineRule="auto"/>
        <w:ind w:right="-28"/>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lastRenderedPageBreak/>
        <w:t xml:space="preserve">Resolución del Pleno del Instituto de Transparencia, Acceso a la Información Pública y Protección de Datos Personales del Estado de México y Municipios, con domicilio en Metepec, Estado de México, de fecha trece de agosto de dos mil veinticinco.  </w:t>
      </w:r>
    </w:p>
    <w:p w14:paraId="32A8F018"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160F8AF5" w14:textId="77777777" w:rsidR="005D6051" w:rsidRPr="001841B2" w:rsidRDefault="00E932F8">
      <w:pPr>
        <w:spacing w:line="360" w:lineRule="auto"/>
        <w:ind w:right="-28"/>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b/>
          <w:sz w:val="22"/>
          <w:szCs w:val="22"/>
        </w:rPr>
        <w:t xml:space="preserve">VISTO </w:t>
      </w:r>
      <w:r w:rsidRPr="001841B2">
        <w:rPr>
          <w:rFonts w:ascii="Palatino Linotype" w:eastAsia="Palatino Linotype" w:hAnsi="Palatino Linotype" w:cs="Palatino Linotype"/>
          <w:sz w:val="22"/>
          <w:szCs w:val="22"/>
        </w:rPr>
        <w:t xml:space="preserve">el expediente conformado con motivo del Recurso de Revisión </w:t>
      </w:r>
      <w:r w:rsidRPr="009C5A8D">
        <w:rPr>
          <w:rFonts w:ascii="Palatino Linotype" w:eastAsia="Palatino Linotype" w:hAnsi="Palatino Linotype" w:cs="Palatino Linotype"/>
          <w:b/>
          <w:bCs/>
          <w:color w:val="0D0D0D"/>
          <w:sz w:val="22"/>
          <w:szCs w:val="22"/>
        </w:rPr>
        <w:t>07911/INFOEM/IP/RR/2025</w:t>
      </w:r>
      <w:r w:rsidRPr="001841B2">
        <w:rPr>
          <w:rFonts w:ascii="Palatino Linotype" w:eastAsia="Palatino Linotype" w:hAnsi="Palatino Linotype" w:cs="Palatino Linotype"/>
          <w:sz w:val="22"/>
          <w:szCs w:val="22"/>
        </w:rPr>
        <w:t xml:space="preserve">, interpuesto por la persona Recurrente o Particular, en contra de la respuesta del Sujeto Obligado, </w:t>
      </w:r>
      <w:r w:rsidRPr="009C5A8D">
        <w:rPr>
          <w:rFonts w:ascii="Palatino Linotype" w:eastAsia="Palatino Linotype" w:hAnsi="Palatino Linotype" w:cs="Palatino Linotype"/>
          <w:b/>
          <w:bCs/>
          <w:color w:val="000000"/>
          <w:sz w:val="22"/>
          <w:szCs w:val="22"/>
        </w:rPr>
        <w:t>Ayuntamiento de Tepotzotlán</w:t>
      </w:r>
      <w:r w:rsidRPr="001841B2">
        <w:rPr>
          <w:rFonts w:ascii="Palatino Linotype" w:eastAsia="Palatino Linotype" w:hAnsi="Palatino Linotype" w:cs="Palatino Linotype"/>
          <w:sz w:val="22"/>
          <w:szCs w:val="22"/>
        </w:rPr>
        <w:t>, a la solicitud de acceso a la información pública con número de folio</w:t>
      </w:r>
      <w:r w:rsidRPr="001841B2">
        <w:rPr>
          <w:rFonts w:ascii="Verdana" w:eastAsia="Verdana" w:hAnsi="Verdana" w:cs="Verdana"/>
          <w:b/>
          <w:color w:val="FF0000"/>
        </w:rPr>
        <w:t> </w:t>
      </w:r>
      <w:r w:rsidRPr="001841B2">
        <w:rPr>
          <w:rFonts w:ascii="Palatino Linotype" w:eastAsia="Palatino Linotype" w:hAnsi="Palatino Linotype" w:cs="Palatino Linotype"/>
          <w:sz w:val="22"/>
          <w:szCs w:val="22"/>
        </w:rPr>
        <w:t xml:space="preserve">00286/TEPOTZOT/IP/2025, se emite la presente Resolución, con base en los Antecedentes y Considerandos que se exponen a continuación: </w:t>
      </w:r>
    </w:p>
    <w:p w14:paraId="6D52A25B"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162B7698" w14:textId="77777777" w:rsidR="005D6051" w:rsidRPr="001841B2" w:rsidRDefault="00E932F8">
      <w:pPr>
        <w:pStyle w:val="Ttulo1"/>
        <w:spacing w:before="0" w:after="0" w:line="360" w:lineRule="auto"/>
        <w:jc w:val="center"/>
        <w:rPr>
          <w:rFonts w:ascii="Palatino Linotype" w:eastAsia="Palatino Linotype" w:hAnsi="Palatino Linotype" w:cs="Palatino Linotype"/>
          <w:b/>
          <w:color w:val="000000"/>
          <w:sz w:val="22"/>
          <w:szCs w:val="22"/>
        </w:rPr>
      </w:pPr>
      <w:bookmarkStart w:id="0" w:name="_heading=h.nsw47681n3vq" w:colFirst="0" w:colLast="0"/>
      <w:bookmarkEnd w:id="0"/>
      <w:r w:rsidRPr="001841B2">
        <w:rPr>
          <w:rFonts w:ascii="Palatino Linotype" w:eastAsia="Palatino Linotype" w:hAnsi="Palatino Linotype" w:cs="Palatino Linotype"/>
          <w:b/>
          <w:color w:val="000000"/>
          <w:sz w:val="22"/>
          <w:szCs w:val="22"/>
        </w:rPr>
        <w:t>A N T E C E D E N T E S</w:t>
      </w:r>
    </w:p>
    <w:p w14:paraId="1C7170AD" w14:textId="77777777" w:rsidR="005D6051" w:rsidRPr="001841B2" w:rsidRDefault="005D6051">
      <w:pPr>
        <w:tabs>
          <w:tab w:val="center" w:pos="4522"/>
          <w:tab w:val="left" w:pos="7245"/>
          <w:tab w:val="right" w:pos="9044"/>
        </w:tabs>
        <w:spacing w:line="360" w:lineRule="auto"/>
        <w:ind w:right="-28"/>
        <w:rPr>
          <w:rFonts w:ascii="Palatino Linotype" w:eastAsia="Palatino Linotype" w:hAnsi="Palatino Linotype" w:cs="Palatino Linotype"/>
          <w:b/>
          <w:sz w:val="22"/>
          <w:szCs w:val="22"/>
        </w:rPr>
      </w:pPr>
    </w:p>
    <w:p w14:paraId="46FC4CF4" w14:textId="77777777" w:rsidR="005D6051" w:rsidRPr="001841B2" w:rsidRDefault="00E932F8">
      <w:pPr>
        <w:pStyle w:val="Ttulo2"/>
        <w:spacing w:before="0" w:after="0" w:line="360" w:lineRule="auto"/>
        <w:rPr>
          <w:rFonts w:ascii="Palatino Linotype" w:eastAsia="Palatino Linotype" w:hAnsi="Palatino Linotype" w:cs="Palatino Linotype"/>
          <w:b/>
          <w:color w:val="000000"/>
          <w:sz w:val="22"/>
          <w:szCs w:val="22"/>
        </w:rPr>
      </w:pPr>
      <w:bookmarkStart w:id="1" w:name="_heading=h.5okv11a8k87t" w:colFirst="0" w:colLast="0"/>
      <w:bookmarkEnd w:id="1"/>
      <w:r w:rsidRPr="001841B2">
        <w:rPr>
          <w:rFonts w:ascii="Palatino Linotype" w:eastAsia="Palatino Linotype" w:hAnsi="Palatino Linotype" w:cs="Palatino Linotype"/>
          <w:b/>
          <w:color w:val="000000"/>
          <w:sz w:val="22"/>
          <w:szCs w:val="22"/>
        </w:rPr>
        <w:t>I. Presentación de la solicitud de información</w:t>
      </w:r>
    </w:p>
    <w:p w14:paraId="5820F7A5"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03C947F7"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Con fecha dieciséis de junio de dos mil veinticinco, la Particular presentó una solicitud de acceso a la información pública, a través del Sistema de Acceso a la Información Mexiquense (SAIMEX), ante el </w:t>
      </w:r>
      <w:r w:rsidRPr="001841B2">
        <w:rPr>
          <w:rFonts w:ascii="Palatino Linotype" w:eastAsia="Palatino Linotype" w:hAnsi="Palatino Linotype" w:cs="Palatino Linotype"/>
          <w:color w:val="000000"/>
          <w:sz w:val="22"/>
          <w:szCs w:val="22"/>
        </w:rPr>
        <w:t>Ayuntamiento de Tepotzotlán</w:t>
      </w:r>
      <w:r w:rsidRPr="001841B2">
        <w:rPr>
          <w:rFonts w:ascii="Palatino Linotype" w:eastAsia="Palatino Linotype" w:hAnsi="Palatino Linotype" w:cs="Palatino Linotype"/>
          <w:b/>
          <w:color w:val="000000"/>
          <w:sz w:val="22"/>
          <w:szCs w:val="22"/>
        </w:rPr>
        <w:t>,</w:t>
      </w:r>
      <w:r w:rsidRPr="001841B2">
        <w:rPr>
          <w:rFonts w:ascii="Palatino Linotype" w:eastAsia="Palatino Linotype" w:hAnsi="Palatino Linotype" w:cs="Palatino Linotype"/>
          <w:b/>
          <w:sz w:val="22"/>
          <w:szCs w:val="22"/>
        </w:rPr>
        <w:t xml:space="preserve"> </w:t>
      </w:r>
      <w:r w:rsidRPr="001841B2">
        <w:rPr>
          <w:rFonts w:ascii="Palatino Linotype" w:eastAsia="Palatino Linotype" w:hAnsi="Palatino Linotype" w:cs="Palatino Linotype"/>
          <w:sz w:val="22"/>
          <w:szCs w:val="22"/>
        </w:rPr>
        <w:t>mediante la cual requirió lo siguiente:</w:t>
      </w:r>
    </w:p>
    <w:p w14:paraId="5BDA8C18" w14:textId="77777777" w:rsidR="005D6051" w:rsidRPr="001841B2" w:rsidRDefault="005D6051">
      <w:pPr>
        <w:tabs>
          <w:tab w:val="left" w:pos="4667"/>
        </w:tabs>
        <w:spacing w:line="360" w:lineRule="auto"/>
        <w:ind w:right="567"/>
        <w:jc w:val="both"/>
        <w:rPr>
          <w:rFonts w:ascii="Palatino Linotype" w:eastAsia="Palatino Linotype" w:hAnsi="Palatino Linotype" w:cs="Palatino Linotype"/>
          <w:b/>
          <w:i/>
        </w:rPr>
      </w:pPr>
    </w:p>
    <w:p w14:paraId="6A3D6BDA" w14:textId="77777777" w:rsidR="005D6051" w:rsidRPr="001841B2" w:rsidRDefault="00E932F8">
      <w:pPr>
        <w:tabs>
          <w:tab w:val="left" w:pos="4667"/>
        </w:tabs>
        <w:spacing w:line="360" w:lineRule="auto"/>
        <w:ind w:left="567" w:right="567"/>
        <w:jc w:val="both"/>
        <w:rPr>
          <w:rFonts w:ascii="Palatino Linotype" w:eastAsia="Palatino Linotype" w:hAnsi="Palatino Linotype" w:cs="Palatino Linotype"/>
          <w:b/>
          <w:i/>
        </w:rPr>
      </w:pPr>
      <w:bookmarkStart w:id="2" w:name="_heading=h.sc38f5nte74u" w:colFirst="0" w:colLast="0"/>
      <w:bookmarkEnd w:id="2"/>
      <w:r w:rsidRPr="001841B2">
        <w:rPr>
          <w:rFonts w:ascii="Palatino Linotype" w:eastAsia="Palatino Linotype" w:hAnsi="Palatino Linotype" w:cs="Palatino Linotype"/>
          <w:b/>
          <w:i/>
        </w:rPr>
        <w:t>“DESCRIPCIÓN CLARA Y PRECISA DE LA INFORMACIÓN SOLICITADA:</w:t>
      </w:r>
    </w:p>
    <w:p w14:paraId="515F830E" w14:textId="77777777" w:rsidR="005D6051" w:rsidRPr="001841B2" w:rsidRDefault="00E932F8">
      <w:pPr>
        <w:pBdr>
          <w:top w:val="nil"/>
          <w:left w:val="nil"/>
          <w:bottom w:val="nil"/>
          <w:right w:val="nil"/>
          <w:between w:val="nil"/>
        </w:pBdr>
        <w:tabs>
          <w:tab w:val="left" w:pos="4667"/>
        </w:tabs>
        <w:spacing w:line="360" w:lineRule="auto"/>
        <w:ind w:left="567" w:right="567"/>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 xml:space="preserve">permisos que haya solicitado la C. </w:t>
      </w:r>
      <w:proofErr w:type="spellStart"/>
      <w:r w:rsidRPr="001841B2">
        <w:rPr>
          <w:rFonts w:ascii="Palatino Linotype" w:eastAsia="Palatino Linotype" w:hAnsi="Palatino Linotype" w:cs="Palatino Linotype"/>
          <w:i/>
          <w:color w:val="000000"/>
        </w:rPr>
        <w:t>Yelma</w:t>
      </w:r>
      <w:proofErr w:type="spellEnd"/>
      <w:r w:rsidRPr="001841B2">
        <w:rPr>
          <w:rFonts w:ascii="Palatino Linotype" w:eastAsia="Palatino Linotype" w:hAnsi="Palatino Linotype" w:cs="Palatino Linotype"/>
          <w:i/>
          <w:color w:val="000000"/>
        </w:rPr>
        <w:t xml:space="preserve"> </w:t>
      </w:r>
      <w:proofErr w:type="spellStart"/>
      <w:r w:rsidRPr="001841B2">
        <w:rPr>
          <w:rFonts w:ascii="Palatino Linotype" w:eastAsia="Palatino Linotype" w:hAnsi="Palatino Linotype" w:cs="Palatino Linotype"/>
          <w:i/>
          <w:color w:val="000000"/>
        </w:rPr>
        <w:t>Poleth</w:t>
      </w:r>
      <w:proofErr w:type="spellEnd"/>
      <w:r w:rsidRPr="001841B2">
        <w:rPr>
          <w:rFonts w:ascii="Palatino Linotype" w:eastAsia="Palatino Linotype" w:hAnsi="Palatino Linotype" w:cs="Palatino Linotype"/>
          <w:i/>
          <w:color w:val="000000"/>
        </w:rPr>
        <w:t xml:space="preserve"> Fragoso a la Jefatura de Recursos Humanos a cuenta de vacaciones o en su caso los justificantes de falta en el periodo del 01 de junio al 13 de junio de 2025 y su respectiva </w:t>
      </w:r>
      <w:proofErr w:type="spellStart"/>
      <w:r w:rsidRPr="001841B2">
        <w:rPr>
          <w:rFonts w:ascii="Palatino Linotype" w:eastAsia="Palatino Linotype" w:hAnsi="Palatino Linotype" w:cs="Palatino Linotype"/>
          <w:i/>
          <w:color w:val="000000"/>
        </w:rPr>
        <w:t>nomina</w:t>
      </w:r>
      <w:proofErr w:type="spellEnd"/>
      <w:r w:rsidRPr="001841B2">
        <w:rPr>
          <w:rFonts w:ascii="Palatino Linotype" w:eastAsia="Palatino Linotype" w:hAnsi="Palatino Linotype" w:cs="Palatino Linotype"/>
          <w:i/>
          <w:color w:val="000000"/>
        </w:rPr>
        <w:t xml:space="preserve"> del 31 de mayo al 15 de junio de 2025” (Sic).</w:t>
      </w:r>
    </w:p>
    <w:p w14:paraId="58338966" w14:textId="77777777" w:rsidR="005D6051" w:rsidRPr="001841B2" w:rsidRDefault="005D6051">
      <w:pPr>
        <w:tabs>
          <w:tab w:val="left" w:pos="4667"/>
        </w:tabs>
        <w:spacing w:line="360" w:lineRule="auto"/>
        <w:ind w:right="567"/>
        <w:jc w:val="both"/>
        <w:rPr>
          <w:rFonts w:ascii="Palatino Linotype" w:eastAsia="Palatino Linotype" w:hAnsi="Palatino Linotype" w:cs="Palatino Linotype"/>
          <w:b/>
          <w:i/>
        </w:rPr>
      </w:pPr>
    </w:p>
    <w:p w14:paraId="4C2AFBAD" w14:textId="77777777" w:rsidR="005D6051" w:rsidRPr="001841B2" w:rsidRDefault="00E932F8">
      <w:pPr>
        <w:tabs>
          <w:tab w:val="left" w:pos="4667"/>
        </w:tabs>
        <w:spacing w:line="360" w:lineRule="auto"/>
        <w:ind w:left="567" w:right="567"/>
        <w:jc w:val="both"/>
        <w:rPr>
          <w:rFonts w:ascii="Palatino Linotype" w:eastAsia="Palatino Linotype" w:hAnsi="Palatino Linotype" w:cs="Palatino Linotype"/>
          <w:b/>
          <w:i/>
        </w:rPr>
      </w:pPr>
      <w:r w:rsidRPr="001841B2">
        <w:rPr>
          <w:rFonts w:ascii="Palatino Linotype" w:eastAsia="Palatino Linotype" w:hAnsi="Palatino Linotype" w:cs="Palatino Linotype"/>
          <w:b/>
          <w:i/>
        </w:rPr>
        <w:t>“Modalidad de Entrega</w:t>
      </w:r>
    </w:p>
    <w:p w14:paraId="2805EBB9" w14:textId="77777777" w:rsidR="005D6051" w:rsidRPr="001841B2" w:rsidRDefault="00E932F8">
      <w:pPr>
        <w:tabs>
          <w:tab w:val="left" w:pos="567"/>
        </w:tabs>
        <w:spacing w:line="360" w:lineRule="auto"/>
        <w:ind w:left="567" w:right="567"/>
        <w:jc w:val="both"/>
        <w:rPr>
          <w:rFonts w:ascii="Palatino Linotype" w:eastAsia="Palatino Linotype" w:hAnsi="Palatino Linotype" w:cs="Palatino Linotype"/>
          <w:i/>
        </w:rPr>
      </w:pPr>
      <w:r w:rsidRPr="001841B2">
        <w:rPr>
          <w:rFonts w:ascii="Palatino Linotype" w:eastAsia="Palatino Linotype" w:hAnsi="Palatino Linotype" w:cs="Palatino Linotype"/>
          <w:i/>
        </w:rPr>
        <w:t xml:space="preserve">A través del SAIMEX”  </w:t>
      </w:r>
    </w:p>
    <w:p w14:paraId="0630E3D0" w14:textId="77777777" w:rsidR="005D6051" w:rsidRPr="001841B2" w:rsidRDefault="005D6051">
      <w:pPr>
        <w:spacing w:line="360" w:lineRule="auto"/>
        <w:rPr>
          <w:rFonts w:ascii="Palatino Linotype" w:eastAsia="Palatino Linotype" w:hAnsi="Palatino Linotype" w:cs="Palatino Linotype"/>
          <w:b/>
          <w:sz w:val="22"/>
          <w:szCs w:val="22"/>
        </w:rPr>
      </w:pPr>
      <w:bookmarkStart w:id="3" w:name="_heading=h.tvakkioq98cx" w:colFirst="0" w:colLast="0"/>
      <w:bookmarkEnd w:id="3"/>
    </w:p>
    <w:p w14:paraId="1CA0609B" w14:textId="77777777" w:rsidR="005D6051" w:rsidRPr="001841B2" w:rsidRDefault="00E932F8">
      <w:pPr>
        <w:pStyle w:val="Ttulo2"/>
        <w:spacing w:before="0" w:after="0" w:line="360" w:lineRule="auto"/>
        <w:rPr>
          <w:rFonts w:ascii="Palatino Linotype" w:eastAsia="Palatino Linotype" w:hAnsi="Palatino Linotype" w:cs="Palatino Linotype"/>
          <w:b/>
          <w:color w:val="000000"/>
          <w:sz w:val="22"/>
          <w:szCs w:val="22"/>
        </w:rPr>
      </w:pPr>
      <w:bookmarkStart w:id="4" w:name="_heading=h.g85gnl3kbcoc" w:colFirst="0" w:colLast="0"/>
      <w:bookmarkEnd w:id="4"/>
      <w:r w:rsidRPr="001841B2">
        <w:rPr>
          <w:rFonts w:ascii="Palatino Linotype" w:eastAsia="Palatino Linotype" w:hAnsi="Palatino Linotype" w:cs="Palatino Linotype"/>
          <w:b/>
          <w:color w:val="000000"/>
          <w:sz w:val="22"/>
          <w:szCs w:val="22"/>
        </w:rPr>
        <w:lastRenderedPageBreak/>
        <w:t>II. Respuesta del Sujeto Obligado</w:t>
      </w:r>
    </w:p>
    <w:p w14:paraId="4FA6DD12" w14:textId="77777777" w:rsidR="005D6051" w:rsidRPr="001841B2" w:rsidRDefault="005D6051">
      <w:pPr>
        <w:tabs>
          <w:tab w:val="left" w:pos="4667"/>
        </w:tabs>
        <w:spacing w:line="360" w:lineRule="auto"/>
        <w:ind w:right="567"/>
        <w:jc w:val="both"/>
        <w:rPr>
          <w:rFonts w:ascii="Palatino Linotype" w:eastAsia="Palatino Linotype" w:hAnsi="Palatino Linotype" w:cs="Palatino Linotype"/>
          <w:b/>
          <w:sz w:val="22"/>
          <w:szCs w:val="22"/>
        </w:rPr>
      </w:pPr>
    </w:p>
    <w:p w14:paraId="4F7BCF4F"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Con fecha treinta de junio de dos mil veinticinco, el</w:t>
      </w:r>
      <w:r w:rsidRPr="001841B2">
        <w:rPr>
          <w:rFonts w:ascii="Palatino Linotype" w:eastAsia="Palatino Linotype" w:hAnsi="Palatino Linotype" w:cs="Palatino Linotype"/>
          <w:b/>
          <w:sz w:val="22"/>
          <w:szCs w:val="22"/>
        </w:rPr>
        <w:t xml:space="preserve"> </w:t>
      </w:r>
      <w:r w:rsidRPr="001841B2">
        <w:rPr>
          <w:rFonts w:ascii="Palatino Linotype" w:eastAsia="Palatino Linotype" w:hAnsi="Palatino Linotype" w:cs="Palatino Linotype"/>
          <w:sz w:val="22"/>
          <w:szCs w:val="22"/>
        </w:rPr>
        <w:t>Sujeto Obligado dio respuesta a la solicitud de acceso a la información a través del Sistema de Acceso a la Información Mexiquense (SAIMEX), mediante la digitalización del documento siguiente:</w:t>
      </w:r>
    </w:p>
    <w:p w14:paraId="5BCCE662"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5EAF31E4"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i) Oficio número JRH*354*2025 del veinticinco de junio de dos mil veinticinco, suscrito por el Jefe de Recursos Humanos y dirigido a la Titular de la Unidad de Transparencia por medio del cual precisó que a la Servidora Pública referida, le fue autorizado el día seis de junio de dos mil veinticinco a cuenta de su periodo vacacional.  </w:t>
      </w:r>
    </w:p>
    <w:p w14:paraId="0219CE13"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33036500" w14:textId="77777777" w:rsidR="005D6051" w:rsidRPr="001841B2" w:rsidRDefault="00E932F8">
      <w:pPr>
        <w:pStyle w:val="Ttulo2"/>
        <w:spacing w:before="0" w:after="0" w:line="360" w:lineRule="auto"/>
        <w:rPr>
          <w:rFonts w:ascii="Palatino Linotype" w:eastAsia="Palatino Linotype" w:hAnsi="Palatino Linotype" w:cs="Palatino Linotype"/>
          <w:b/>
          <w:sz w:val="22"/>
          <w:szCs w:val="22"/>
        </w:rPr>
      </w:pPr>
      <w:bookmarkStart w:id="5" w:name="_heading=h.o2fegfj34lyy" w:colFirst="0" w:colLast="0"/>
      <w:bookmarkEnd w:id="5"/>
      <w:r w:rsidRPr="001841B2">
        <w:rPr>
          <w:rFonts w:ascii="Palatino Linotype" w:eastAsia="Palatino Linotype" w:hAnsi="Palatino Linotype" w:cs="Palatino Linotype"/>
          <w:b/>
          <w:color w:val="000000"/>
          <w:sz w:val="22"/>
          <w:szCs w:val="22"/>
        </w:rPr>
        <w:t>III. Interposición del Recurso de Revisión</w:t>
      </w:r>
    </w:p>
    <w:p w14:paraId="24469063"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421DF936"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Con fecha treinta de junio de dos mil veinticinco, se recibió en este Instituto, a través del Sistema de Acceso a la Información Mexiquense (SAIMEX), el Recurso de Revisión interpuesto por la parte Recurrente, en contra de la respuesta del Sujeto Obligado</w:t>
      </w:r>
      <w:r w:rsidRPr="001841B2">
        <w:rPr>
          <w:rFonts w:ascii="Palatino Linotype" w:eastAsia="Palatino Linotype" w:hAnsi="Palatino Linotype" w:cs="Palatino Linotype"/>
          <w:b/>
          <w:sz w:val="22"/>
          <w:szCs w:val="22"/>
        </w:rPr>
        <w:t>,</w:t>
      </w:r>
      <w:r w:rsidRPr="001841B2">
        <w:rPr>
          <w:rFonts w:ascii="Palatino Linotype" w:eastAsia="Palatino Linotype" w:hAnsi="Palatino Linotype" w:cs="Palatino Linotype"/>
          <w:b/>
          <w:color w:val="000000"/>
          <w:sz w:val="22"/>
          <w:szCs w:val="22"/>
        </w:rPr>
        <w:t xml:space="preserve"> </w:t>
      </w:r>
      <w:r w:rsidRPr="001841B2">
        <w:rPr>
          <w:rFonts w:ascii="Palatino Linotype" w:eastAsia="Palatino Linotype" w:hAnsi="Palatino Linotype" w:cs="Palatino Linotype"/>
          <w:sz w:val="22"/>
          <w:szCs w:val="22"/>
        </w:rPr>
        <w:t>en los siguientes términos:</w:t>
      </w:r>
    </w:p>
    <w:p w14:paraId="12EE5EE4" w14:textId="77777777" w:rsidR="005D6051" w:rsidRPr="001841B2" w:rsidRDefault="005D6051">
      <w:pPr>
        <w:spacing w:line="360" w:lineRule="auto"/>
        <w:ind w:right="-28"/>
        <w:jc w:val="both"/>
        <w:rPr>
          <w:rFonts w:ascii="Palatino Linotype" w:eastAsia="Palatino Linotype" w:hAnsi="Palatino Linotype" w:cs="Palatino Linotype"/>
          <w:i/>
        </w:rPr>
      </w:pPr>
    </w:p>
    <w:p w14:paraId="5DBB153C" w14:textId="77777777" w:rsidR="005D6051" w:rsidRPr="001841B2" w:rsidRDefault="00E932F8">
      <w:pPr>
        <w:tabs>
          <w:tab w:val="left" w:pos="4667"/>
        </w:tabs>
        <w:spacing w:line="360" w:lineRule="auto"/>
        <w:ind w:left="567" w:right="567"/>
        <w:jc w:val="both"/>
        <w:rPr>
          <w:rFonts w:ascii="Palatino Linotype" w:eastAsia="Palatino Linotype" w:hAnsi="Palatino Linotype" w:cs="Palatino Linotype"/>
          <w:b/>
          <w:i/>
        </w:rPr>
      </w:pPr>
      <w:r w:rsidRPr="001841B2">
        <w:rPr>
          <w:rFonts w:ascii="Palatino Linotype" w:eastAsia="Palatino Linotype" w:hAnsi="Palatino Linotype" w:cs="Palatino Linotype"/>
          <w:b/>
          <w:i/>
        </w:rPr>
        <w:t>“ACTO IMPUGNADO</w:t>
      </w:r>
    </w:p>
    <w:p w14:paraId="6D2A98C7" w14:textId="77777777" w:rsidR="005D6051" w:rsidRPr="001841B2" w:rsidRDefault="00E932F8">
      <w:pPr>
        <w:spacing w:line="360" w:lineRule="auto"/>
        <w:ind w:left="567" w:right="567"/>
        <w:jc w:val="both"/>
        <w:rPr>
          <w:rFonts w:ascii="Palatino Linotype" w:eastAsia="Palatino Linotype" w:hAnsi="Palatino Linotype" w:cs="Palatino Linotype"/>
          <w:i/>
        </w:rPr>
      </w:pPr>
      <w:r w:rsidRPr="001841B2">
        <w:rPr>
          <w:rFonts w:ascii="Palatino Linotype" w:eastAsia="Palatino Linotype" w:hAnsi="Palatino Linotype" w:cs="Palatino Linotype"/>
          <w:i/>
          <w:color w:val="000000"/>
        </w:rPr>
        <w:t>INFORMACIÓN DE CARACTER PÚBLICO NEGADA</w:t>
      </w:r>
      <w:r w:rsidRPr="001841B2">
        <w:rPr>
          <w:rFonts w:ascii="Palatino Linotype" w:eastAsia="Palatino Linotype" w:hAnsi="Palatino Linotype" w:cs="Palatino Linotype"/>
          <w:i/>
        </w:rPr>
        <w:t>”</w:t>
      </w:r>
    </w:p>
    <w:p w14:paraId="1633FF69" w14:textId="77777777" w:rsidR="005D6051" w:rsidRPr="001841B2" w:rsidRDefault="005D6051">
      <w:pPr>
        <w:tabs>
          <w:tab w:val="left" w:pos="4667"/>
        </w:tabs>
        <w:spacing w:line="360" w:lineRule="auto"/>
        <w:ind w:right="567"/>
        <w:jc w:val="both"/>
        <w:rPr>
          <w:rFonts w:ascii="Palatino Linotype" w:eastAsia="Palatino Linotype" w:hAnsi="Palatino Linotype" w:cs="Palatino Linotype"/>
          <w:i/>
        </w:rPr>
      </w:pPr>
    </w:p>
    <w:p w14:paraId="63DA0F06" w14:textId="77777777" w:rsidR="005D6051" w:rsidRPr="001841B2" w:rsidRDefault="00E932F8">
      <w:pPr>
        <w:tabs>
          <w:tab w:val="left" w:pos="4667"/>
        </w:tabs>
        <w:spacing w:line="360" w:lineRule="auto"/>
        <w:ind w:left="567" w:right="567"/>
        <w:jc w:val="both"/>
        <w:rPr>
          <w:rFonts w:ascii="Palatino Linotype" w:eastAsia="Palatino Linotype" w:hAnsi="Palatino Linotype" w:cs="Palatino Linotype"/>
          <w:b/>
          <w:i/>
        </w:rPr>
      </w:pPr>
      <w:r w:rsidRPr="001841B2">
        <w:rPr>
          <w:rFonts w:ascii="Palatino Linotype" w:eastAsia="Palatino Linotype" w:hAnsi="Palatino Linotype" w:cs="Palatino Linotype"/>
          <w:b/>
          <w:i/>
        </w:rPr>
        <w:t>“RAZONES O MOTIVOS DE LA INCONFORMIDAD</w:t>
      </w:r>
    </w:p>
    <w:p w14:paraId="3F7F35A4" w14:textId="77777777" w:rsidR="005D6051" w:rsidRPr="001841B2" w:rsidRDefault="00E932F8">
      <w:pPr>
        <w:spacing w:line="360" w:lineRule="auto"/>
        <w:ind w:left="567" w:right="567"/>
        <w:jc w:val="both"/>
        <w:rPr>
          <w:rFonts w:ascii="Palatino Linotype" w:eastAsia="Palatino Linotype" w:hAnsi="Palatino Linotype" w:cs="Palatino Linotype"/>
          <w:i/>
        </w:rPr>
      </w:pPr>
      <w:r w:rsidRPr="001841B2">
        <w:rPr>
          <w:rFonts w:ascii="Palatino Linotype" w:eastAsia="Palatino Linotype" w:hAnsi="Palatino Linotype" w:cs="Palatino Linotype"/>
          <w:i/>
          <w:color w:val="000000"/>
        </w:rPr>
        <w:t xml:space="preserve">CON FUNDAMENTO EN LA LEY DE TRANSPARENCIA Y ACCESO A LA INFORMACIÓN PÚBLICA DEL ESTADO DE MÉXICO Y MUNICIPIOS: ART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w:t>
      </w:r>
      <w:r w:rsidRPr="001841B2">
        <w:rPr>
          <w:rFonts w:ascii="Palatino Linotype" w:eastAsia="Palatino Linotype" w:hAnsi="Palatino Linotype" w:cs="Palatino Linotype"/>
          <w:i/>
          <w:color w:val="000000"/>
        </w:rPr>
        <w:lastRenderedPageBreak/>
        <w:t>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ART. 16 El ejercicio del derecho de acceso a la información no estará condicionado a que el solicitante acredite interés alguno o justifique su utilización, ni podrá condicionarse el mismo por motivos de discapacidad. ART. 18 Los sujetos obligados deberán documentar todo acto que derive del ejercicio de sus facultades, competencias o funciones, considerando desde su origen la eventual publicidad y reutilización de la información que generen.</w:t>
      </w:r>
      <w:r w:rsidRPr="001841B2">
        <w:rPr>
          <w:rFonts w:ascii="Palatino Linotype" w:eastAsia="Palatino Linotype" w:hAnsi="Palatino Linotype" w:cs="Palatino Linotype"/>
          <w:i/>
        </w:rPr>
        <w:t xml:space="preserve">”  </w:t>
      </w:r>
    </w:p>
    <w:p w14:paraId="0E39B3F7" w14:textId="77777777" w:rsidR="005D6051" w:rsidRPr="001841B2" w:rsidRDefault="005D6051">
      <w:pPr>
        <w:spacing w:line="360" w:lineRule="auto"/>
        <w:ind w:left="567" w:right="567"/>
        <w:jc w:val="both"/>
        <w:rPr>
          <w:rFonts w:ascii="Palatino Linotype" w:eastAsia="Palatino Linotype" w:hAnsi="Palatino Linotype" w:cs="Palatino Linotype"/>
          <w:i/>
        </w:rPr>
      </w:pPr>
    </w:p>
    <w:p w14:paraId="56B9C6F9" w14:textId="77777777" w:rsidR="005D6051" w:rsidRPr="001841B2" w:rsidRDefault="00E932F8">
      <w:pPr>
        <w:pStyle w:val="Ttulo2"/>
        <w:spacing w:before="0" w:after="0" w:line="360" w:lineRule="auto"/>
        <w:rPr>
          <w:rFonts w:ascii="Palatino Linotype" w:eastAsia="Palatino Linotype" w:hAnsi="Palatino Linotype" w:cs="Palatino Linotype"/>
          <w:b/>
          <w:color w:val="000000"/>
          <w:sz w:val="22"/>
          <w:szCs w:val="22"/>
        </w:rPr>
      </w:pPr>
      <w:bookmarkStart w:id="6" w:name="_heading=h.ync1czrq29ef" w:colFirst="0" w:colLast="0"/>
      <w:bookmarkEnd w:id="6"/>
      <w:r w:rsidRPr="001841B2">
        <w:rPr>
          <w:rFonts w:ascii="Palatino Linotype" w:eastAsia="Palatino Linotype" w:hAnsi="Palatino Linotype" w:cs="Palatino Linotype"/>
          <w:b/>
          <w:color w:val="000000"/>
          <w:sz w:val="22"/>
          <w:szCs w:val="22"/>
        </w:rPr>
        <w:t>IV. Trámite del Recurso de Revisión ante el Instituto</w:t>
      </w:r>
    </w:p>
    <w:p w14:paraId="301319CC" w14:textId="77777777" w:rsidR="005D6051" w:rsidRPr="001841B2" w:rsidRDefault="005D6051">
      <w:pPr>
        <w:spacing w:line="360" w:lineRule="auto"/>
        <w:ind w:right="-28"/>
        <w:jc w:val="both"/>
        <w:rPr>
          <w:rFonts w:ascii="Palatino Linotype" w:eastAsia="Palatino Linotype" w:hAnsi="Palatino Linotype" w:cs="Palatino Linotype"/>
          <w:b/>
          <w:sz w:val="22"/>
          <w:szCs w:val="22"/>
        </w:rPr>
      </w:pPr>
    </w:p>
    <w:p w14:paraId="67D16AB1" w14:textId="77777777" w:rsidR="005D6051" w:rsidRPr="001841B2" w:rsidRDefault="00E932F8">
      <w:pPr>
        <w:spacing w:line="360" w:lineRule="auto"/>
        <w:ind w:right="-28"/>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b/>
          <w:sz w:val="22"/>
          <w:szCs w:val="22"/>
        </w:rPr>
        <w:t xml:space="preserve">a) Turno del Recurso de Revisión. </w:t>
      </w:r>
      <w:r w:rsidRPr="001841B2">
        <w:rPr>
          <w:rFonts w:ascii="Palatino Linotype" w:eastAsia="Palatino Linotype" w:hAnsi="Palatino Linotype" w:cs="Palatino Linotype"/>
          <w:sz w:val="22"/>
          <w:szCs w:val="22"/>
        </w:rPr>
        <w:t xml:space="preserve">El treinta de junio de dos mil veinticinco, el Sistema de Acceso a la Información Mexiquense (SAIMEX), asignó el número de expediente </w:t>
      </w:r>
      <w:r w:rsidRPr="001841B2">
        <w:rPr>
          <w:rFonts w:ascii="Palatino Linotype" w:eastAsia="Palatino Linotype" w:hAnsi="Palatino Linotype" w:cs="Palatino Linotype"/>
          <w:b/>
          <w:sz w:val="22"/>
          <w:szCs w:val="22"/>
        </w:rPr>
        <w:t xml:space="preserve">07911/INFOEM/IP/RR/2025, </w:t>
      </w:r>
      <w:r w:rsidRPr="001841B2">
        <w:rPr>
          <w:rFonts w:ascii="Palatino Linotype" w:eastAsia="Palatino Linotype" w:hAnsi="Palatino Linotype" w:cs="Palatino Linotype"/>
          <w:sz w:val="22"/>
          <w:szCs w:val="22"/>
        </w:rPr>
        <w:t xml:space="preserve">al Recurso de Revisión y lo turnó al Comisionado Ponente </w:t>
      </w:r>
      <w:r w:rsidRPr="001841B2">
        <w:rPr>
          <w:rFonts w:ascii="Palatino Linotype" w:eastAsia="Palatino Linotype" w:hAnsi="Palatino Linotype" w:cs="Palatino Linotype"/>
          <w:b/>
          <w:sz w:val="22"/>
          <w:szCs w:val="22"/>
        </w:rPr>
        <w:t>Luis Gustavo Parra Noriega</w:t>
      </w:r>
      <w:r w:rsidRPr="001841B2">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67F7025B"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0A225925"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b/>
          <w:sz w:val="22"/>
          <w:szCs w:val="22"/>
        </w:rPr>
        <w:t xml:space="preserve">b) Admisión del Recurso de Revisión. </w:t>
      </w:r>
      <w:r w:rsidRPr="001841B2">
        <w:rPr>
          <w:rFonts w:ascii="Palatino Linotype" w:eastAsia="Palatino Linotype" w:hAnsi="Palatino Linotype" w:cs="Palatino Linotype"/>
          <w:sz w:val="22"/>
          <w:szCs w:val="22"/>
        </w:rPr>
        <w:t>El tres de julio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2C28C1F"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5C867D7E"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bookmarkStart w:id="7" w:name="_heading=h.4ef16gxceh5r" w:colFirst="0" w:colLast="0"/>
      <w:bookmarkEnd w:id="7"/>
      <w:r w:rsidRPr="001841B2">
        <w:rPr>
          <w:rFonts w:ascii="Palatino Linotype" w:eastAsia="Palatino Linotype" w:hAnsi="Palatino Linotype" w:cs="Palatino Linotype"/>
          <w:b/>
          <w:sz w:val="22"/>
          <w:szCs w:val="22"/>
        </w:rPr>
        <w:lastRenderedPageBreak/>
        <w:t xml:space="preserve">c) Manifestaciones.  </w:t>
      </w:r>
      <w:r w:rsidRPr="001841B2">
        <w:rPr>
          <w:rFonts w:ascii="Palatino Linotype" w:eastAsia="Palatino Linotype" w:hAnsi="Palatino Linotype" w:cs="Palatino Linotype"/>
          <w:color w:val="000000"/>
          <w:sz w:val="22"/>
          <w:szCs w:val="22"/>
        </w:rPr>
        <w:t xml:space="preserve">El nueve de julio de dos mil veinticinco, se recibió, a través del Sistema de Acceso a la Información Mexiquense (SAIMEX), las manifestaciones de la Particular, por medio de la digitalización del oficio JRH*354*2025 descrito en el Antecedente II, además precisó lo siguiente: </w:t>
      </w:r>
    </w:p>
    <w:p w14:paraId="2E892AC2"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5F3A221A" w14:textId="77777777" w:rsidR="005D6051" w:rsidRPr="001841B2" w:rsidRDefault="00E932F8">
      <w:pPr>
        <w:spacing w:line="360" w:lineRule="auto"/>
        <w:ind w:left="567" w:right="567"/>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 xml:space="preserve">“no se muestra el oficio en donde pide el día a </w:t>
      </w:r>
      <w:proofErr w:type="spellStart"/>
      <w:r w:rsidRPr="001841B2">
        <w:rPr>
          <w:rFonts w:ascii="Palatino Linotype" w:eastAsia="Palatino Linotype" w:hAnsi="Palatino Linotype" w:cs="Palatino Linotype"/>
          <w:i/>
          <w:color w:val="000000"/>
        </w:rPr>
        <w:t>ceunta</w:t>
      </w:r>
      <w:proofErr w:type="spellEnd"/>
      <w:r w:rsidRPr="001841B2">
        <w:rPr>
          <w:rFonts w:ascii="Palatino Linotype" w:eastAsia="Palatino Linotype" w:hAnsi="Palatino Linotype" w:cs="Palatino Linotype"/>
          <w:i/>
          <w:color w:val="000000"/>
        </w:rPr>
        <w:t xml:space="preserve"> de vacaciones y su respectiva omina solicitada” (Sic) </w:t>
      </w:r>
    </w:p>
    <w:p w14:paraId="543B202D" w14:textId="77777777" w:rsidR="005D6051" w:rsidRPr="001841B2" w:rsidRDefault="005D6051">
      <w:pPr>
        <w:spacing w:line="360" w:lineRule="auto"/>
        <w:jc w:val="both"/>
        <w:rPr>
          <w:rFonts w:ascii="Palatino Linotype" w:eastAsia="Palatino Linotype" w:hAnsi="Palatino Linotype" w:cs="Palatino Linotype"/>
          <w:b/>
          <w:sz w:val="22"/>
          <w:szCs w:val="22"/>
        </w:rPr>
      </w:pPr>
    </w:p>
    <w:p w14:paraId="7B4E4B4A" w14:textId="77777777" w:rsidR="005D6051" w:rsidRPr="001841B2" w:rsidRDefault="00E932F8">
      <w:pPr>
        <w:spacing w:line="360" w:lineRule="auto"/>
        <w:jc w:val="both"/>
        <w:rPr>
          <w:rFonts w:ascii="Palatino Linotype" w:eastAsia="Palatino Linotype" w:hAnsi="Palatino Linotype" w:cs="Palatino Linotype"/>
          <w:i/>
        </w:rPr>
      </w:pPr>
      <w:r w:rsidRPr="001841B2">
        <w:rPr>
          <w:rFonts w:ascii="Palatino Linotype" w:eastAsia="Palatino Linotype" w:hAnsi="Palatino Linotype" w:cs="Palatino Linotype"/>
          <w:b/>
          <w:sz w:val="22"/>
          <w:szCs w:val="22"/>
        </w:rPr>
        <w:t xml:space="preserve">d) Informe Justificado. </w:t>
      </w:r>
      <w:r w:rsidRPr="001841B2">
        <w:rPr>
          <w:rFonts w:ascii="Palatino Linotype" w:eastAsia="Palatino Linotype" w:hAnsi="Palatino Linotype" w:cs="Palatino Linotype"/>
          <w:sz w:val="22"/>
          <w:szCs w:val="22"/>
        </w:rPr>
        <w:t xml:space="preserve">El sujeto Obligado fue omiso en rendir su Informe Justificado. </w:t>
      </w:r>
    </w:p>
    <w:p w14:paraId="05AB5A23"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19AD94C2" w14:textId="77777777" w:rsidR="005D6051" w:rsidRPr="001841B2" w:rsidRDefault="00E932F8">
      <w:pPr>
        <w:spacing w:line="360" w:lineRule="auto"/>
        <w:jc w:val="both"/>
        <w:rPr>
          <w:rFonts w:ascii="Palatino Linotype" w:eastAsia="Palatino Linotype" w:hAnsi="Palatino Linotype" w:cs="Palatino Linotype"/>
          <w:b/>
          <w:sz w:val="22"/>
          <w:szCs w:val="22"/>
        </w:rPr>
      </w:pPr>
      <w:r w:rsidRPr="001841B2">
        <w:rPr>
          <w:rFonts w:ascii="Palatino Linotype" w:eastAsia="Palatino Linotype" w:hAnsi="Palatino Linotype" w:cs="Palatino Linotype"/>
          <w:b/>
          <w:sz w:val="22"/>
          <w:szCs w:val="22"/>
        </w:rPr>
        <w:t xml:space="preserve">f) Cierre de instrucción. </w:t>
      </w:r>
      <w:r w:rsidRPr="001841B2">
        <w:rPr>
          <w:rFonts w:ascii="Palatino Linotype" w:eastAsia="Palatino Linotype" w:hAnsi="Palatino Linotype" w:cs="Palatino Linotype"/>
          <w:sz w:val="22"/>
          <w:szCs w:val="22"/>
        </w:rPr>
        <w:t>El siete de agosto de dos mil veinticinco,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Sistema de Acceso a la Información Mexiquense (SAIMEX).</w:t>
      </w:r>
    </w:p>
    <w:p w14:paraId="3330981D"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6A486EDE" w14:textId="77777777" w:rsidR="005D6051" w:rsidRPr="001841B2" w:rsidRDefault="00E932F8">
      <w:pPr>
        <w:spacing w:line="360" w:lineRule="auto"/>
        <w:ind w:right="-28"/>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En razón de que fue debidamente sustanciado el expediente electrónico y no existe diligencia pendiente de desahogo, se emite la resolución que conforme a Derecho proceda, de acuerdo a los siguientes:</w:t>
      </w:r>
    </w:p>
    <w:p w14:paraId="77D22EC9" w14:textId="77777777" w:rsidR="005D6051" w:rsidRPr="001841B2" w:rsidRDefault="005D6051">
      <w:pPr>
        <w:spacing w:line="360" w:lineRule="auto"/>
        <w:ind w:right="-28"/>
        <w:jc w:val="both"/>
        <w:rPr>
          <w:rFonts w:ascii="Palatino Linotype" w:eastAsia="Palatino Linotype" w:hAnsi="Palatino Linotype" w:cs="Palatino Linotype"/>
          <w:color w:val="000000"/>
          <w:sz w:val="22"/>
          <w:szCs w:val="22"/>
        </w:rPr>
      </w:pPr>
    </w:p>
    <w:p w14:paraId="5559C3B0" w14:textId="77777777" w:rsidR="005D6051" w:rsidRPr="001841B2" w:rsidRDefault="00E932F8">
      <w:pPr>
        <w:pStyle w:val="Ttulo1"/>
        <w:spacing w:before="0" w:after="0" w:line="360" w:lineRule="auto"/>
        <w:jc w:val="center"/>
        <w:rPr>
          <w:rFonts w:ascii="Palatino Linotype" w:eastAsia="Palatino Linotype" w:hAnsi="Palatino Linotype" w:cs="Palatino Linotype"/>
          <w:b/>
          <w:color w:val="000000"/>
          <w:sz w:val="22"/>
          <w:szCs w:val="22"/>
        </w:rPr>
      </w:pPr>
      <w:bookmarkStart w:id="8" w:name="_heading=h.4plydajkhvzg" w:colFirst="0" w:colLast="0"/>
      <w:bookmarkEnd w:id="8"/>
      <w:r w:rsidRPr="001841B2">
        <w:rPr>
          <w:rFonts w:ascii="Palatino Linotype" w:eastAsia="Palatino Linotype" w:hAnsi="Palatino Linotype" w:cs="Palatino Linotype"/>
          <w:b/>
          <w:color w:val="000000"/>
          <w:sz w:val="22"/>
          <w:szCs w:val="22"/>
        </w:rPr>
        <w:t>C O N S I D E R A N D O S</w:t>
      </w:r>
    </w:p>
    <w:p w14:paraId="6FB51BB7" w14:textId="77777777" w:rsidR="005D6051" w:rsidRPr="001841B2" w:rsidRDefault="005D6051">
      <w:pPr>
        <w:spacing w:line="360" w:lineRule="auto"/>
      </w:pPr>
    </w:p>
    <w:p w14:paraId="11F52116" w14:textId="77777777" w:rsidR="005D6051" w:rsidRPr="001841B2" w:rsidRDefault="00E932F8">
      <w:pPr>
        <w:pStyle w:val="Ttulo2"/>
        <w:spacing w:before="0" w:after="0" w:line="360" w:lineRule="auto"/>
        <w:rPr>
          <w:rFonts w:ascii="Palatino Linotype" w:eastAsia="Palatino Linotype" w:hAnsi="Palatino Linotype" w:cs="Palatino Linotype"/>
          <w:b/>
          <w:color w:val="000000"/>
          <w:sz w:val="22"/>
          <w:szCs w:val="22"/>
        </w:rPr>
      </w:pPr>
      <w:bookmarkStart w:id="9" w:name="_heading=h.7qkavw1i9qni" w:colFirst="0" w:colLast="0"/>
      <w:bookmarkEnd w:id="9"/>
      <w:r w:rsidRPr="001841B2">
        <w:rPr>
          <w:rFonts w:ascii="Palatino Linotype" w:eastAsia="Palatino Linotype" w:hAnsi="Palatino Linotype" w:cs="Palatino Linotype"/>
          <w:b/>
          <w:color w:val="000000"/>
          <w:sz w:val="22"/>
          <w:szCs w:val="22"/>
        </w:rPr>
        <w:t>PRIMERO. Competencia</w:t>
      </w:r>
    </w:p>
    <w:p w14:paraId="04030829" w14:textId="77777777" w:rsidR="005D6051" w:rsidRPr="001841B2" w:rsidRDefault="005D6051">
      <w:pPr>
        <w:spacing w:line="360" w:lineRule="auto"/>
        <w:ind w:right="-28"/>
        <w:jc w:val="both"/>
        <w:rPr>
          <w:rFonts w:ascii="Palatino Linotype" w:eastAsia="Palatino Linotype" w:hAnsi="Palatino Linotype" w:cs="Palatino Linotype"/>
          <w:b/>
          <w:sz w:val="22"/>
          <w:szCs w:val="22"/>
        </w:rPr>
      </w:pPr>
    </w:p>
    <w:p w14:paraId="035CC518" w14:textId="77777777" w:rsidR="005D6051" w:rsidRPr="001841B2" w:rsidRDefault="00E932F8">
      <w:pPr>
        <w:spacing w:line="360" w:lineRule="auto"/>
        <w:ind w:right="-28"/>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901E60A" w14:textId="77777777" w:rsidR="005D6051" w:rsidRPr="001841B2" w:rsidRDefault="005D6051">
      <w:pPr>
        <w:spacing w:line="360" w:lineRule="auto"/>
        <w:ind w:right="-28"/>
        <w:jc w:val="both"/>
        <w:rPr>
          <w:rFonts w:ascii="Palatino Linotype" w:eastAsia="Palatino Linotype" w:hAnsi="Palatino Linotype" w:cs="Palatino Linotype"/>
          <w:color w:val="000000"/>
          <w:sz w:val="22"/>
          <w:szCs w:val="22"/>
        </w:rPr>
      </w:pPr>
    </w:p>
    <w:p w14:paraId="78E2C993" w14:textId="77777777" w:rsidR="005D6051" w:rsidRPr="001841B2" w:rsidRDefault="00E932F8">
      <w:pPr>
        <w:pStyle w:val="Ttulo2"/>
        <w:spacing w:before="0" w:after="0" w:line="360" w:lineRule="auto"/>
        <w:rPr>
          <w:rFonts w:ascii="Palatino Linotype" w:eastAsia="Palatino Linotype" w:hAnsi="Palatino Linotype" w:cs="Palatino Linotype"/>
          <w:b/>
          <w:color w:val="000000"/>
          <w:sz w:val="22"/>
          <w:szCs w:val="22"/>
        </w:rPr>
      </w:pPr>
      <w:bookmarkStart w:id="10" w:name="_heading=h.7nio8xgwyz21" w:colFirst="0" w:colLast="0"/>
      <w:bookmarkEnd w:id="10"/>
      <w:r w:rsidRPr="001841B2">
        <w:rPr>
          <w:rFonts w:ascii="Palatino Linotype" w:eastAsia="Palatino Linotype" w:hAnsi="Palatino Linotype" w:cs="Palatino Linotype"/>
          <w:b/>
          <w:color w:val="000000"/>
          <w:sz w:val="22"/>
          <w:szCs w:val="22"/>
        </w:rPr>
        <w:t>SEGUNDO. Causales de improcedencia y sobreseimiento</w:t>
      </w:r>
    </w:p>
    <w:p w14:paraId="2F5BF23B"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75689593"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sidRPr="001841B2">
        <w:rPr>
          <w:rFonts w:ascii="Palatino Linotype" w:eastAsia="Palatino Linotype" w:hAnsi="Palatino Linotype" w:cs="Palatino Linotype"/>
          <w:i/>
          <w:sz w:val="22"/>
          <w:szCs w:val="22"/>
        </w:rPr>
        <w:t>litis</w:t>
      </w:r>
      <w:r w:rsidRPr="001841B2">
        <w:rPr>
          <w:rFonts w:ascii="Palatino Linotype" w:eastAsia="Palatino Linotype" w:hAnsi="Palatino Linotype" w:cs="Palatino Linotype"/>
          <w:sz w:val="22"/>
          <w:szCs w:val="22"/>
        </w:rPr>
        <w:t>, es necesario estudiar las causales de improcedencia, para determinar lo que en Derecho proceda.</w:t>
      </w:r>
    </w:p>
    <w:p w14:paraId="483F27EE" w14:textId="77777777" w:rsidR="005D6051" w:rsidRPr="001841B2" w:rsidRDefault="005D6051">
      <w:pPr>
        <w:spacing w:line="360" w:lineRule="auto"/>
        <w:jc w:val="both"/>
        <w:rPr>
          <w:rFonts w:ascii="Palatino Linotype" w:eastAsia="Palatino Linotype" w:hAnsi="Palatino Linotype" w:cs="Palatino Linotype"/>
          <w:b/>
          <w:color w:val="000000"/>
          <w:sz w:val="22"/>
          <w:szCs w:val="22"/>
        </w:rPr>
      </w:pPr>
    </w:p>
    <w:p w14:paraId="39EBB54B" w14:textId="77777777" w:rsidR="005D6051" w:rsidRPr="001841B2" w:rsidRDefault="00E932F8">
      <w:pPr>
        <w:spacing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b/>
          <w:color w:val="000000"/>
          <w:sz w:val="22"/>
          <w:szCs w:val="22"/>
        </w:rPr>
        <w:t>Causales de improcedencia</w:t>
      </w:r>
    </w:p>
    <w:p w14:paraId="2296E44D"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11C12096" w14:textId="77777777" w:rsidR="005D6051" w:rsidRPr="001841B2" w:rsidRDefault="00E932F8">
      <w:pPr>
        <w:spacing w:line="360" w:lineRule="auto"/>
        <w:ind w:right="-28"/>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90BE053" w14:textId="77777777" w:rsidR="005D6051" w:rsidRPr="001841B2" w:rsidRDefault="005D6051">
      <w:pPr>
        <w:spacing w:line="360" w:lineRule="auto"/>
        <w:ind w:right="-28"/>
        <w:jc w:val="both"/>
        <w:rPr>
          <w:rFonts w:ascii="Palatino Linotype" w:eastAsia="Palatino Linotype" w:hAnsi="Palatino Linotype" w:cs="Palatino Linotype"/>
          <w:color w:val="000000"/>
          <w:sz w:val="22"/>
          <w:szCs w:val="22"/>
        </w:rPr>
      </w:pPr>
    </w:p>
    <w:p w14:paraId="17A9B515"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sz w:val="22"/>
          <w:szCs w:val="22"/>
        </w:rPr>
        <w:t>En el presente caso, </w:t>
      </w:r>
      <w:r w:rsidRPr="001841B2">
        <w:rPr>
          <w:rFonts w:ascii="Palatino Linotype" w:eastAsia="Palatino Linotype" w:hAnsi="Palatino Linotype" w:cs="Palatino Linotype"/>
          <w:b/>
          <w:sz w:val="22"/>
          <w:szCs w:val="22"/>
        </w:rPr>
        <w:t>no se actualiza ninguna de las causales de improcedencia</w:t>
      </w:r>
      <w:r w:rsidRPr="001841B2">
        <w:rPr>
          <w:rFonts w:ascii="Palatino Linotype" w:eastAsia="Palatino Linotype" w:hAnsi="Palatino Linotype" w:cs="Palatino Linotype"/>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además de que </w:t>
      </w:r>
      <w:r w:rsidRPr="001841B2">
        <w:rPr>
          <w:rFonts w:ascii="Palatino Linotype" w:eastAsia="Palatino Linotype" w:hAnsi="Palatino Linotype" w:cs="Palatino Linotype"/>
          <w:color w:val="000000"/>
          <w:sz w:val="22"/>
          <w:szCs w:val="22"/>
        </w:rPr>
        <w:t>el medio de impugnación fue presentado en tiempo.</w:t>
      </w:r>
    </w:p>
    <w:p w14:paraId="6494B3CE"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37C2C31F" w14:textId="77777777" w:rsidR="005D6051" w:rsidRPr="001841B2" w:rsidRDefault="00E932F8">
      <w:pPr>
        <w:widowControl w:val="0"/>
        <w:spacing w:line="360" w:lineRule="auto"/>
        <w:jc w:val="both"/>
      </w:pPr>
      <w:bookmarkStart w:id="11" w:name="_heading=h.bygf3839e4vs" w:colFirst="0" w:colLast="0"/>
      <w:bookmarkEnd w:id="11"/>
      <w:r w:rsidRPr="001841B2">
        <w:rPr>
          <w:rFonts w:ascii="Palatino Linotype" w:eastAsia="Palatino Linotype" w:hAnsi="Palatino Linotype" w:cs="Palatino Linotype"/>
          <w:sz w:val="22"/>
          <w:szCs w:val="22"/>
        </w:rPr>
        <w:t xml:space="preserve">Asimismo, se actualiza la causal de procedencia del Recurso de Revisión señalada en el artículo 179, fracción VI, de la Ley en cita, </w:t>
      </w:r>
      <w:r w:rsidRPr="001841B2">
        <w:rPr>
          <w:rFonts w:ascii="Palatino Linotype" w:eastAsia="Palatino Linotype" w:hAnsi="Palatino Linotype" w:cs="Palatino Linotype"/>
          <w:color w:val="000000"/>
          <w:sz w:val="22"/>
          <w:szCs w:val="22"/>
        </w:rPr>
        <w:t xml:space="preserve">pues el Recurrente se inconformó con la entrega de información incompleta. </w:t>
      </w:r>
    </w:p>
    <w:p w14:paraId="45C45B92" w14:textId="77777777" w:rsidR="005D6051" w:rsidRPr="001841B2" w:rsidRDefault="005D6051">
      <w:pPr>
        <w:spacing w:line="360" w:lineRule="auto"/>
        <w:jc w:val="both"/>
        <w:rPr>
          <w:rFonts w:ascii="Palatino Linotype" w:eastAsia="Palatino Linotype" w:hAnsi="Palatino Linotype" w:cs="Palatino Linotype"/>
          <w:b/>
          <w:color w:val="0D0D0D"/>
          <w:sz w:val="22"/>
          <w:szCs w:val="22"/>
        </w:rPr>
      </w:pPr>
    </w:p>
    <w:p w14:paraId="18F9CBAE" w14:textId="77777777" w:rsidR="005D6051" w:rsidRPr="001841B2" w:rsidRDefault="00E932F8">
      <w:pPr>
        <w:spacing w:line="360" w:lineRule="auto"/>
        <w:jc w:val="both"/>
        <w:rPr>
          <w:rFonts w:ascii="Palatino Linotype" w:eastAsia="Palatino Linotype" w:hAnsi="Palatino Linotype" w:cs="Palatino Linotype"/>
          <w:color w:val="0D0D0D"/>
          <w:sz w:val="22"/>
          <w:szCs w:val="22"/>
        </w:rPr>
      </w:pPr>
      <w:r w:rsidRPr="001841B2">
        <w:rPr>
          <w:rFonts w:ascii="Palatino Linotype" w:eastAsia="Palatino Linotype" w:hAnsi="Palatino Linotype" w:cs="Palatino Linotype"/>
          <w:b/>
          <w:color w:val="0D0D0D"/>
          <w:sz w:val="22"/>
          <w:szCs w:val="22"/>
        </w:rPr>
        <w:t>Causales de sobreseimiento</w:t>
      </w:r>
    </w:p>
    <w:p w14:paraId="42078B4E" w14:textId="77777777" w:rsidR="005D6051" w:rsidRPr="001841B2" w:rsidRDefault="005D6051">
      <w:pPr>
        <w:spacing w:line="360" w:lineRule="auto"/>
        <w:jc w:val="both"/>
        <w:rPr>
          <w:rFonts w:ascii="Palatino Linotype" w:eastAsia="Palatino Linotype" w:hAnsi="Palatino Linotype" w:cs="Palatino Linotype"/>
          <w:color w:val="0D0D0D"/>
          <w:sz w:val="22"/>
          <w:szCs w:val="22"/>
        </w:rPr>
      </w:pPr>
    </w:p>
    <w:p w14:paraId="367818E9"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Por ser de previo y especial pronunciamiento, este Instituto analiza si se actualiza alguna causal de sobreseimiento.</w:t>
      </w:r>
    </w:p>
    <w:p w14:paraId="386079DD"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682FD73E"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E615C10"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481592ED" w14:textId="77777777" w:rsidR="005D6051" w:rsidRPr="001841B2" w:rsidRDefault="00E932F8">
      <w:pPr>
        <w:tabs>
          <w:tab w:val="left" w:pos="4962"/>
        </w:tabs>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Por tales motivos, se considera procedente entrar al fondo del presente asunto. </w:t>
      </w:r>
    </w:p>
    <w:p w14:paraId="7EB26204" w14:textId="77777777" w:rsidR="005D6051" w:rsidRPr="001841B2" w:rsidRDefault="005D6051">
      <w:pPr>
        <w:tabs>
          <w:tab w:val="left" w:pos="4962"/>
        </w:tabs>
        <w:spacing w:line="360" w:lineRule="auto"/>
        <w:jc w:val="both"/>
        <w:rPr>
          <w:rFonts w:ascii="Palatino Linotype" w:eastAsia="Palatino Linotype" w:hAnsi="Palatino Linotype" w:cs="Palatino Linotype"/>
          <w:sz w:val="22"/>
          <w:szCs w:val="22"/>
        </w:rPr>
      </w:pPr>
    </w:p>
    <w:p w14:paraId="1C671E14" w14:textId="77777777" w:rsidR="005D6051" w:rsidRPr="001841B2" w:rsidRDefault="00E932F8">
      <w:pPr>
        <w:pStyle w:val="Ttulo2"/>
        <w:spacing w:before="0" w:after="0" w:line="360" w:lineRule="auto"/>
        <w:rPr>
          <w:rFonts w:ascii="Palatino Linotype" w:eastAsia="Palatino Linotype" w:hAnsi="Palatino Linotype" w:cs="Palatino Linotype"/>
          <w:b/>
          <w:color w:val="000000"/>
          <w:sz w:val="22"/>
          <w:szCs w:val="22"/>
        </w:rPr>
      </w:pPr>
      <w:bookmarkStart w:id="12" w:name="_heading=h.6zjxpydm6ez4" w:colFirst="0" w:colLast="0"/>
      <w:bookmarkEnd w:id="12"/>
      <w:r w:rsidRPr="001841B2">
        <w:rPr>
          <w:rFonts w:ascii="Palatino Linotype" w:eastAsia="Palatino Linotype" w:hAnsi="Palatino Linotype" w:cs="Palatino Linotype"/>
          <w:b/>
          <w:color w:val="000000"/>
          <w:sz w:val="22"/>
          <w:szCs w:val="22"/>
        </w:rPr>
        <w:t>TERCERO. Determinación de la Controversia</w:t>
      </w:r>
    </w:p>
    <w:p w14:paraId="3AF9AB06" w14:textId="77777777" w:rsidR="005D6051" w:rsidRPr="001841B2" w:rsidRDefault="005D6051">
      <w:pPr>
        <w:tabs>
          <w:tab w:val="left" w:pos="4962"/>
        </w:tabs>
        <w:spacing w:line="360" w:lineRule="auto"/>
        <w:jc w:val="both"/>
        <w:rPr>
          <w:rFonts w:ascii="Palatino Linotype" w:eastAsia="Palatino Linotype" w:hAnsi="Palatino Linotype" w:cs="Palatino Linotype"/>
          <w:b/>
          <w:sz w:val="22"/>
          <w:szCs w:val="22"/>
        </w:rPr>
      </w:pPr>
    </w:p>
    <w:p w14:paraId="1722E325"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Una vez realizado el estudio de las constancias que integran el expediente en que se actúa, se desprende que el Recurrente requirió los permisos solicitados por la Servidora Pública </w:t>
      </w:r>
      <w:proofErr w:type="spellStart"/>
      <w:r w:rsidRPr="001841B2">
        <w:rPr>
          <w:rFonts w:ascii="Palatino Linotype" w:eastAsia="Palatino Linotype" w:hAnsi="Palatino Linotype" w:cs="Palatino Linotype"/>
          <w:sz w:val="22"/>
          <w:szCs w:val="22"/>
        </w:rPr>
        <w:t>Yelma</w:t>
      </w:r>
      <w:proofErr w:type="spellEnd"/>
      <w:r w:rsidRPr="001841B2">
        <w:rPr>
          <w:rFonts w:ascii="Palatino Linotype" w:eastAsia="Palatino Linotype" w:hAnsi="Palatino Linotype" w:cs="Palatino Linotype"/>
          <w:sz w:val="22"/>
          <w:szCs w:val="22"/>
        </w:rPr>
        <w:t xml:space="preserve"> </w:t>
      </w:r>
      <w:proofErr w:type="spellStart"/>
      <w:r w:rsidRPr="001841B2">
        <w:rPr>
          <w:rFonts w:ascii="Palatino Linotype" w:eastAsia="Palatino Linotype" w:hAnsi="Palatino Linotype" w:cs="Palatino Linotype"/>
          <w:sz w:val="22"/>
          <w:szCs w:val="22"/>
        </w:rPr>
        <w:t>Poleth</w:t>
      </w:r>
      <w:proofErr w:type="spellEnd"/>
      <w:r w:rsidRPr="001841B2">
        <w:rPr>
          <w:rFonts w:ascii="Palatino Linotype" w:eastAsia="Palatino Linotype" w:hAnsi="Palatino Linotype" w:cs="Palatino Linotype"/>
          <w:sz w:val="22"/>
          <w:szCs w:val="22"/>
        </w:rPr>
        <w:t xml:space="preserve"> Fragoso a la Jefatura de Recursos Humanos, a cuenta de vacaciones o justificantes de falta en el periodo del primero al trece de junio de dos mil veinticinco, y el recibo de nómina de la primera quincena de junio de dos mil veinticinco. </w:t>
      </w:r>
    </w:p>
    <w:p w14:paraId="3070AD60"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6DB818C9" w14:textId="77777777" w:rsidR="005D6051" w:rsidRPr="001841B2" w:rsidRDefault="00E932F8">
      <w:pPr>
        <w:spacing w:line="360" w:lineRule="auto"/>
        <w:ind w:right="-28"/>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En respuesta, el Sujeto Obligado, por medio de la Jefatura de Recursos Humanos precisó que a la Servidora Pública le fue autorizado el día seis de junio de dos mil veinticinco a cuenta de su periodo vacacional; ante dicha circunstancia, el Particular se inconformó de la información que no corresponde con lo solicitado, al precisar que  la información fue negada, lo cual, actualiza la causal de procedencia prevista en la fracción VI, del artículo 179 de la Ley de Transparencia y Acceso a la Información Pública del Estado de México y Municipios. Así las cosas, una vez admitido y notificado el Recurso de Revisión a las partes, el Sujeto Obligado omitió manifestarse, mientras que la Particular remitió el oficio de respuesta proporcionado por el Sujeto Obligado. </w:t>
      </w:r>
    </w:p>
    <w:p w14:paraId="4A9BB9DA"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5335AA26" w14:textId="77777777" w:rsidR="005D6051" w:rsidRPr="001841B2" w:rsidRDefault="00E932F8">
      <w:pPr>
        <w:tabs>
          <w:tab w:val="left" w:pos="4962"/>
        </w:tabs>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 en: la solicitud de acceso a la información, la respuesta y el escrito </w:t>
      </w:r>
      <w:proofErr w:type="gramStart"/>
      <w:r w:rsidRPr="001841B2">
        <w:rPr>
          <w:rFonts w:ascii="Palatino Linotype" w:eastAsia="Palatino Linotype" w:hAnsi="Palatino Linotype" w:cs="Palatino Linotype"/>
          <w:sz w:val="22"/>
          <w:szCs w:val="22"/>
        </w:rPr>
        <w:t>recursal ;</w:t>
      </w:r>
      <w:proofErr w:type="gramEnd"/>
      <w:r w:rsidRPr="001841B2">
        <w:rPr>
          <w:rFonts w:ascii="Palatino Linotype" w:eastAsia="Palatino Linotype" w:hAnsi="Palatino Linotype" w:cs="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14:paraId="4CCD585C" w14:textId="77777777" w:rsidR="005D6051" w:rsidRPr="001841B2" w:rsidRDefault="005D6051">
      <w:pPr>
        <w:spacing w:line="360" w:lineRule="auto"/>
        <w:jc w:val="both"/>
        <w:rPr>
          <w:rFonts w:ascii="Palatino Linotype" w:eastAsia="Palatino Linotype" w:hAnsi="Palatino Linotype" w:cs="Palatino Linotype"/>
          <w:b/>
          <w:sz w:val="22"/>
          <w:szCs w:val="22"/>
        </w:rPr>
      </w:pPr>
    </w:p>
    <w:p w14:paraId="7CC3921E" w14:textId="77777777" w:rsidR="005D6051" w:rsidRPr="001841B2" w:rsidRDefault="00E932F8">
      <w:pPr>
        <w:pStyle w:val="Ttulo2"/>
        <w:spacing w:before="0" w:after="0" w:line="360" w:lineRule="auto"/>
        <w:jc w:val="both"/>
        <w:rPr>
          <w:rFonts w:ascii="Palatino Linotype" w:eastAsia="Palatino Linotype" w:hAnsi="Palatino Linotype" w:cs="Palatino Linotype"/>
          <w:b/>
          <w:color w:val="000000"/>
          <w:sz w:val="22"/>
          <w:szCs w:val="22"/>
        </w:rPr>
      </w:pPr>
      <w:bookmarkStart w:id="13" w:name="_heading=h.5y8p7kkn2jki" w:colFirst="0" w:colLast="0"/>
      <w:bookmarkEnd w:id="13"/>
      <w:r w:rsidRPr="001841B2">
        <w:rPr>
          <w:rFonts w:ascii="Palatino Linotype" w:eastAsia="Palatino Linotype" w:hAnsi="Palatino Linotype" w:cs="Palatino Linotype"/>
          <w:b/>
          <w:color w:val="000000"/>
          <w:sz w:val="22"/>
          <w:szCs w:val="22"/>
        </w:rPr>
        <w:t>CUARTO. Marco normativo aplicable en materia de transparencia y acceso a la información pública</w:t>
      </w:r>
    </w:p>
    <w:p w14:paraId="75C97AC9" w14:textId="77777777" w:rsidR="005D6051" w:rsidRPr="001841B2" w:rsidRDefault="005D6051">
      <w:pPr>
        <w:spacing w:line="360" w:lineRule="auto"/>
        <w:jc w:val="both"/>
        <w:rPr>
          <w:rFonts w:ascii="Palatino Linotype" w:eastAsia="Palatino Linotype" w:hAnsi="Palatino Linotype" w:cs="Palatino Linotype"/>
          <w:b/>
          <w:sz w:val="22"/>
          <w:szCs w:val="22"/>
        </w:rPr>
      </w:pPr>
    </w:p>
    <w:p w14:paraId="4D7874D1"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1266340"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58BA4240"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8C6D55"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324B5F26"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108E05A8"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337BB122"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2B473A8C"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669DD47D"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FEDB220"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6CD752FC"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El artículo 19, que, se presume que la información debe existir si se refiere a las facultades, competencias y funciones que los ordenamientos jurídicos aplicables otorgan a los sujetos </w:t>
      </w:r>
      <w:r w:rsidRPr="001841B2">
        <w:rPr>
          <w:rFonts w:ascii="Palatino Linotype" w:eastAsia="Palatino Linotype" w:hAnsi="Palatino Linotype" w:cs="Palatino Linotype"/>
          <w:sz w:val="22"/>
          <w:szCs w:val="22"/>
        </w:rPr>
        <w:lastRenderedPageBreak/>
        <w:t>obligados y en caso de que dichas facultades no se hayan ejercido, se deberá motivar la respuesta en función de las causas que motivaron tal circunstancia.</w:t>
      </w:r>
    </w:p>
    <w:p w14:paraId="1B9773D4"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1C433D3F" w14:textId="77777777" w:rsidR="005D6051" w:rsidRPr="001841B2" w:rsidRDefault="00E932F8">
      <w:pPr>
        <w:pStyle w:val="Ttulo2"/>
        <w:spacing w:before="0" w:after="0" w:line="360" w:lineRule="auto"/>
        <w:rPr>
          <w:rFonts w:ascii="Palatino Linotype" w:eastAsia="Palatino Linotype" w:hAnsi="Palatino Linotype" w:cs="Palatino Linotype"/>
          <w:b/>
          <w:color w:val="000000"/>
          <w:sz w:val="22"/>
          <w:szCs w:val="22"/>
        </w:rPr>
      </w:pPr>
      <w:bookmarkStart w:id="14" w:name="_heading=h.3kiwualsqj5m" w:colFirst="0" w:colLast="0"/>
      <w:bookmarkEnd w:id="14"/>
      <w:r w:rsidRPr="001841B2">
        <w:rPr>
          <w:rFonts w:ascii="Palatino Linotype" w:eastAsia="Palatino Linotype" w:hAnsi="Palatino Linotype" w:cs="Palatino Linotype"/>
          <w:b/>
          <w:color w:val="000000"/>
          <w:sz w:val="22"/>
          <w:szCs w:val="22"/>
        </w:rPr>
        <w:t>QUINTO. Estudio de Fondo</w:t>
      </w:r>
    </w:p>
    <w:p w14:paraId="5A915A53"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15430416"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Expuestas las posturas de las partes, se procede a realizar el análisis de los agravios hechos valer por el ahora Recurrente, concerniente a la entrega de información que no corresponde con lo solicitado, por lo que en principio se procede a contextualizar la solicitud de información.</w:t>
      </w:r>
    </w:p>
    <w:p w14:paraId="470082FA"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79AD997E"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color w:val="000000"/>
          <w:sz w:val="22"/>
          <w:szCs w:val="22"/>
        </w:rPr>
        <w:t xml:space="preserve">En ese contexto el primer párrafo, del artículo 108 de la Constitución Política de </w:t>
      </w:r>
      <w:r w:rsidRPr="001841B2">
        <w:rPr>
          <w:rFonts w:ascii="Palatino Linotype" w:eastAsia="Palatino Linotype" w:hAnsi="Palatino Linotype" w:cs="Palatino Linotype"/>
          <w:sz w:val="22"/>
          <w:szCs w:val="22"/>
        </w:rPr>
        <w:t xml:space="preserve">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w:t>
      </w:r>
    </w:p>
    <w:p w14:paraId="13E66D76"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que desempeñen un empleo, cargo o comisión en los Municipios.</w:t>
      </w:r>
    </w:p>
    <w:p w14:paraId="0A0216EC"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0D36010D"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Además, el artículo 4°, fracción VI, de la Ley del Trabajo de los servidores públicos del Estado y Municipios, precisa que son servidores públicos, todas las personas físicas que preste a una institución pública un trabajo personal subordinado, mediante el pago de un sueldo.</w:t>
      </w:r>
    </w:p>
    <w:p w14:paraId="6BD314BB"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1BCF2EF1"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En ese sentido, los artículos 59 y 84 de dicha normatividad, establece que </w:t>
      </w:r>
      <w:r w:rsidRPr="001841B2">
        <w:rPr>
          <w:rFonts w:ascii="Palatino Linotype" w:eastAsia="Palatino Linotype" w:hAnsi="Palatino Linotype" w:cs="Palatino Linotype"/>
          <w:b/>
          <w:sz w:val="22"/>
          <w:szCs w:val="22"/>
        </w:rPr>
        <w:t>la jornada de trabajo, es el tiempo durante el cual la o el servidor público está a disposición del Ayuntamiento o Unidad Administrativa</w:t>
      </w:r>
      <w:r w:rsidRPr="001841B2">
        <w:rPr>
          <w:rFonts w:ascii="Palatino Linotype" w:eastAsia="Palatino Linotype" w:hAnsi="Palatino Linotype" w:cs="Palatino Linotype"/>
          <w:sz w:val="22"/>
          <w:szCs w:val="22"/>
        </w:rPr>
        <w:t xml:space="preserve"> para prestar sus servicios, y el horario estará determinado en las condiciones generales de trabajo de conformidad con las necesidades de </w:t>
      </w:r>
      <w:r w:rsidRPr="001841B2">
        <w:rPr>
          <w:rFonts w:ascii="Palatino Linotype" w:eastAsia="Palatino Linotype" w:hAnsi="Palatino Linotype" w:cs="Palatino Linotype"/>
          <w:sz w:val="22"/>
          <w:szCs w:val="22"/>
        </w:rPr>
        <w:lastRenderedPageBreak/>
        <w:t>la institución o dependencia, así mismo se harán retenciones, descuentos o deducciones al sueldo, por faltas de puntualidad o de asistencia injustificada.</w:t>
      </w:r>
    </w:p>
    <w:p w14:paraId="76488154"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5696730B" w14:textId="77777777" w:rsidR="005D6051" w:rsidRPr="001841B2" w:rsidRDefault="00E932F8">
      <w:pPr>
        <w:spacing w:line="360" w:lineRule="auto"/>
        <w:jc w:val="both"/>
        <w:rPr>
          <w:rFonts w:ascii="Palatino Linotype" w:eastAsia="Palatino Linotype" w:hAnsi="Palatino Linotype" w:cs="Palatino Linotype"/>
          <w:b/>
          <w:sz w:val="22"/>
          <w:szCs w:val="22"/>
          <w:u w:val="single"/>
        </w:rPr>
      </w:pPr>
      <w:r w:rsidRPr="001841B2">
        <w:rPr>
          <w:rFonts w:ascii="Palatino Linotype" w:eastAsia="Palatino Linotype" w:hAnsi="Palatino Linotype" w:cs="Palatino Linotype"/>
          <w:sz w:val="22"/>
          <w:szCs w:val="22"/>
        </w:rPr>
        <w:t xml:space="preserve">Además, los artículos 88, fracción III, y 220 K de la Ley de referencia, estipula </w:t>
      </w:r>
      <w:r w:rsidRPr="001841B2">
        <w:rPr>
          <w:rFonts w:ascii="Palatino Linotype" w:eastAsia="Palatino Linotype" w:hAnsi="Palatino Linotype" w:cs="Palatino Linotype"/>
          <w:b/>
          <w:sz w:val="22"/>
          <w:szCs w:val="22"/>
        </w:rPr>
        <w:t xml:space="preserve">como obligación de los servidores públicos asistir a sus labores y no faltar sin causa justificada o sin permiso, </w:t>
      </w:r>
      <w:r w:rsidRPr="001841B2">
        <w:rPr>
          <w:rFonts w:ascii="Palatino Linotype" w:eastAsia="Palatino Linotype" w:hAnsi="Palatino Linotype" w:cs="Palatino Linotype"/>
          <w:sz w:val="22"/>
          <w:szCs w:val="22"/>
        </w:rPr>
        <w:t>por otro lado, las instituciones o dependencias tienen</w:t>
      </w:r>
      <w:r w:rsidRPr="001841B2">
        <w:rPr>
          <w:rFonts w:ascii="Palatino Linotype" w:eastAsia="Palatino Linotype" w:hAnsi="Palatino Linotype" w:cs="Palatino Linotype"/>
          <w:b/>
          <w:sz w:val="22"/>
          <w:szCs w:val="22"/>
        </w:rPr>
        <w:t xml:space="preserve"> </w:t>
      </w:r>
      <w:r w:rsidRPr="001841B2">
        <w:rPr>
          <w:rFonts w:ascii="Palatino Linotype" w:eastAsia="Palatino Linotype" w:hAnsi="Palatino Linotype" w:cs="Palatino Linotype"/>
          <w:b/>
          <w:sz w:val="22"/>
          <w:szCs w:val="22"/>
          <w:u w:val="single"/>
        </w:rPr>
        <w:t>la obligación de conservar y exhibir los controles de asistencia o la información electrónica de asistencia de los servidores públicos.</w:t>
      </w:r>
    </w:p>
    <w:p w14:paraId="64C84CD4" w14:textId="77777777" w:rsidR="005D6051" w:rsidRPr="001841B2" w:rsidRDefault="005D6051">
      <w:pPr>
        <w:spacing w:line="360" w:lineRule="auto"/>
        <w:jc w:val="both"/>
        <w:rPr>
          <w:rFonts w:ascii="Palatino Linotype" w:eastAsia="Palatino Linotype" w:hAnsi="Palatino Linotype" w:cs="Palatino Linotype"/>
          <w:b/>
          <w:sz w:val="22"/>
          <w:szCs w:val="22"/>
          <w:u w:val="single"/>
        </w:rPr>
      </w:pPr>
    </w:p>
    <w:p w14:paraId="73384711"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En ese orden de ideas, el Manual de Organización de la Dirección de Administración y Fianzas, vigente, establece que para el ejercicio de las funciones de la</w:t>
      </w:r>
      <w:r w:rsidRPr="001841B2">
        <w:t xml:space="preserve"> </w:t>
      </w:r>
      <w:r w:rsidRPr="001841B2">
        <w:rPr>
          <w:rFonts w:ascii="Palatino Linotype" w:eastAsia="Palatino Linotype" w:hAnsi="Palatino Linotype" w:cs="Palatino Linotype"/>
          <w:sz w:val="22"/>
          <w:szCs w:val="22"/>
        </w:rPr>
        <w:t xml:space="preserve">Dirección de Administración y Fianzas, se auxiliará de la </w:t>
      </w:r>
      <w:r w:rsidRPr="001841B2">
        <w:rPr>
          <w:rFonts w:ascii="Palatino Linotype" w:eastAsia="Palatino Linotype" w:hAnsi="Palatino Linotype" w:cs="Palatino Linotype"/>
          <w:b/>
          <w:sz w:val="22"/>
          <w:szCs w:val="22"/>
        </w:rPr>
        <w:t>Jefatura de Recursos Humanos</w:t>
      </w:r>
      <w:r w:rsidRPr="001841B2">
        <w:rPr>
          <w:rFonts w:ascii="Palatino Linotype" w:eastAsia="Palatino Linotype" w:hAnsi="Palatino Linotype" w:cs="Palatino Linotype"/>
          <w:sz w:val="22"/>
          <w:szCs w:val="22"/>
        </w:rPr>
        <w:t xml:space="preserve">, encargada de </w:t>
      </w:r>
      <w:r w:rsidRPr="001841B2">
        <w:rPr>
          <w:rFonts w:ascii="Palatino Linotype" w:eastAsia="Palatino Linotype" w:hAnsi="Palatino Linotype" w:cs="Palatino Linotype"/>
          <w:b/>
          <w:sz w:val="22"/>
          <w:szCs w:val="22"/>
          <w:u w:val="single"/>
        </w:rPr>
        <w:t xml:space="preserve">recabar y controlar la asistencia del personal, así como verificar que se apliquen los diferentes descuentos de nómina como pensión alimenticia, Fonacot, e inasistencias del personal; </w:t>
      </w:r>
      <w:r w:rsidRPr="001841B2">
        <w:rPr>
          <w:rFonts w:ascii="Palatino Linotype" w:eastAsia="Palatino Linotype" w:hAnsi="Palatino Linotype" w:cs="Palatino Linotype"/>
          <w:sz w:val="22"/>
          <w:szCs w:val="22"/>
        </w:rPr>
        <w:t xml:space="preserve">asimismo precisa que la </w:t>
      </w:r>
      <w:r w:rsidRPr="001841B2">
        <w:rPr>
          <w:rFonts w:ascii="Palatino Linotype" w:eastAsia="Palatino Linotype" w:hAnsi="Palatino Linotype" w:cs="Palatino Linotype"/>
          <w:b/>
          <w:sz w:val="22"/>
          <w:szCs w:val="22"/>
        </w:rPr>
        <w:t>Tesorería Municipal</w:t>
      </w:r>
      <w:r w:rsidRPr="001841B2">
        <w:rPr>
          <w:rFonts w:ascii="Palatino Linotype" w:eastAsia="Palatino Linotype" w:hAnsi="Palatino Linotype" w:cs="Palatino Linotype"/>
          <w:sz w:val="22"/>
          <w:szCs w:val="22"/>
        </w:rPr>
        <w:t xml:space="preserve"> se transformó en la </w:t>
      </w:r>
      <w:r w:rsidRPr="001841B2">
        <w:rPr>
          <w:rFonts w:ascii="Palatino Linotype" w:eastAsia="Palatino Linotype" w:hAnsi="Palatino Linotype" w:cs="Palatino Linotype"/>
          <w:b/>
          <w:sz w:val="22"/>
          <w:szCs w:val="22"/>
        </w:rPr>
        <w:t xml:space="preserve">Dirección de Administración y Fianzas </w:t>
      </w:r>
      <w:r w:rsidRPr="001841B2">
        <w:rPr>
          <w:rFonts w:ascii="Palatino Linotype" w:eastAsia="Palatino Linotype" w:hAnsi="Palatino Linotype" w:cs="Palatino Linotype"/>
          <w:sz w:val="22"/>
          <w:szCs w:val="22"/>
        </w:rPr>
        <w:t xml:space="preserve">con el objeto de hacer funcionar a la administración, encargada de </w:t>
      </w:r>
      <w:proofErr w:type="spellStart"/>
      <w:r w:rsidRPr="001841B2">
        <w:rPr>
          <w:rFonts w:ascii="Palatino Linotype" w:eastAsia="Palatino Linotype" w:hAnsi="Palatino Linotype" w:cs="Palatino Linotype"/>
          <w:sz w:val="22"/>
          <w:szCs w:val="22"/>
        </w:rPr>
        <w:t>administrara</w:t>
      </w:r>
      <w:proofErr w:type="spellEnd"/>
      <w:r w:rsidRPr="001841B2">
        <w:rPr>
          <w:rFonts w:ascii="Palatino Linotype" w:eastAsia="Palatino Linotype" w:hAnsi="Palatino Linotype" w:cs="Palatino Linotype"/>
          <w:sz w:val="22"/>
          <w:szCs w:val="22"/>
        </w:rPr>
        <w:t xml:space="preserve"> y erogar responsablemente los recursos públicos.  </w:t>
      </w:r>
    </w:p>
    <w:p w14:paraId="510B4026"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37A8DE14"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Finalmente, respecto a la servidora pública referida, este Instituto consultó la fracción VIII A “Remuneraciones” del sistema de Información Pública de Oficio Mexiquense (consultado en la liga electrónica </w:t>
      </w:r>
      <w:hyperlink r:id="rId8" w:anchor="/info-fraccion/11/186/28">
        <w:r w:rsidRPr="001841B2">
          <w:rPr>
            <w:rFonts w:ascii="Palatino Linotype" w:eastAsia="Palatino Linotype" w:hAnsi="Palatino Linotype" w:cs="Palatino Linotype"/>
            <w:color w:val="0563C1"/>
            <w:sz w:val="22"/>
            <w:szCs w:val="22"/>
            <w:u w:val="single"/>
          </w:rPr>
          <w:t>https://ipomex.org.mx/ipomex/#/info-fraccion/11/186/28</w:t>
        </w:r>
      </w:hyperlink>
      <w:r w:rsidRPr="001841B2">
        <w:rPr>
          <w:rFonts w:ascii="Palatino Linotype" w:eastAsia="Palatino Linotype" w:hAnsi="Palatino Linotype" w:cs="Palatino Linotype"/>
          <w:sz w:val="22"/>
          <w:szCs w:val="22"/>
        </w:rPr>
        <w:t xml:space="preserve">), en el cual se logró vislumbrara que la servidora pública ostenta el cargo de Jefa de Imagen Urbana, tal como se muestra en la siguiente imagen ilustrativa: </w:t>
      </w:r>
    </w:p>
    <w:p w14:paraId="645C6ACC"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487A0387"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noProof/>
          <w:sz w:val="22"/>
          <w:szCs w:val="22"/>
        </w:rPr>
        <w:drawing>
          <wp:inline distT="0" distB="0" distL="0" distR="0" wp14:anchorId="363BC419" wp14:editId="2DDEBAF1">
            <wp:extent cx="5742940" cy="573405"/>
            <wp:effectExtent l="0" t="0" r="0" b="0"/>
            <wp:docPr id="14358783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42940" cy="573405"/>
                    </a:xfrm>
                    <a:prstGeom prst="rect">
                      <a:avLst/>
                    </a:prstGeom>
                    <a:ln/>
                  </pic:spPr>
                </pic:pic>
              </a:graphicData>
            </a:graphic>
          </wp:inline>
        </w:drawing>
      </w:r>
    </w:p>
    <w:p w14:paraId="0BE62FB5" w14:textId="77777777" w:rsidR="005D6051" w:rsidRPr="001841B2" w:rsidRDefault="005D6051">
      <w:pPr>
        <w:spacing w:line="360" w:lineRule="auto"/>
        <w:rPr>
          <w:rFonts w:ascii="Palatino Linotype" w:eastAsia="Palatino Linotype" w:hAnsi="Palatino Linotype" w:cs="Palatino Linotype"/>
          <w:color w:val="000000"/>
          <w:sz w:val="22"/>
          <w:szCs w:val="22"/>
        </w:rPr>
      </w:pPr>
    </w:p>
    <w:p w14:paraId="18C0E82E"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lastRenderedPageBreak/>
        <w:t xml:space="preserve">Conforme a lo anterior, se logra vislumbrar que la pretensión de la ahora Recurrente, es obtener, los documentos donde consten los permisos solicitados por </w:t>
      </w:r>
      <w:proofErr w:type="spellStart"/>
      <w:r w:rsidRPr="001841B2">
        <w:rPr>
          <w:rFonts w:ascii="Palatino Linotype" w:eastAsia="Palatino Linotype" w:hAnsi="Palatino Linotype" w:cs="Palatino Linotype"/>
          <w:sz w:val="22"/>
          <w:szCs w:val="22"/>
        </w:rPr>
        <w:t>Yelma</w:t>
      </w:r>
      <w:proofErr w:type="spellEnd"/>
      <w:r w:rsidRPr="001841B2">
        <w:rPr>
          <w:rFonts w:ascii="Palatino Linotype" w:eastAsia="Palatino Linotype" w:hAnsi="Palatino Linotype" w:cs="Palatino Linotype"/>
          <w:sz w:val="22"/>
          <w:szCs w:val="22"/>
        </w:rPr>
        <w:t xml:space="preserve"> </w:t>
      </w:r>
      <w:proofErr w:type="spellStart"/>
      <w:r w:rsidRPr="001841B2">
        <w:rPr>
          <w:rFonts w:ascii="Palatino Linotype" w:eastAsia="Palatino Linotype" w:hAnsi="Palatino Linotype" w:cs="Palatino Linotype"/>
          <w:sz w:val="22"/>
          <w:szCs w:val="22"/>
        </w:rPr>
        <w:t>Poleth</w:t>
      </w:r>
      <w:proofErr w:type="spellEnd"/>
      <w:r w:rsidRPr="001841B2">
        <w:rPr>
          <w:rFonts w:ascii="Palatino Linotype" w:eastAsia="Palatino Linotype" w:hAnsi="Palatino Linotype" w:cs="Palatino Linotype"/>
          <w:sz w:val="22"/>
          <w:szCs w:val="22"/>
        </w:rPr>
        <w:t xml:space="preserve"> Fragoso Fuentes a la Jefatura de Recursos Humanos, a cuenta de vacaciones o justificantes de falta en el periodo del primero al trece de junio de dos mil veinticinco, y el recibo de nómina de la primera quincena de junio de dos mil veinticinco. </w:t>
      </w:r>
    </w:p>
    <w:p w14:paraId="3B97F3BE"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4F6EA15B" w14:textId="77777777" w:rsidR="005D6051" w:rsidRPr="001841B2" w:rsidRDefault="00E932F8">
      <w:pPr>
        <w:spacing w:line="360" w:lineRule="auto"/>
        <w:ind w:right="-28"/>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Establecida dicha circunstancia, se procede analizar la respuesta entregada, para lo cual, es de señalar que de las constancias que de las constancias que obran en el expediente, se logra vislumbrar que el Sujeto Obligado turno la solicitud de información a la Jefatura de Recursos Humanos,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230F806"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0BA7E177"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Así, de lo expuesto en párrafos que anteceden se advierte que el Sujeto Obligado se advierte, cumplió con el procedimiento de búsqueda previsto en el artículo 162 de la Ley de Transparencia y Acceso a la Información Pública del Estado de México y Municipios, toda vez que turnó la solicitud de información a las áreas competentes, es decir a la Dirección de Administración y Fianzas y la Jefatura de Recursos Humanos. </w:t>
      </w:r>
    </w:p>
    <w:p w14:paraId="42813931"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727BF805" w14:textId="77777777" w:rsidR="005D6051" w:rsidRPr="001841B2" w:rsidRDefault="00E932F8">
      <w:pPr>
        <w:spacing w:line="360" w:lineRule="auto"/>
        <w:ind w:right="-28"/>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Conforme a lo anterior, en respuesta la Jefatura de Recursos Humanos precisó que a la Servidora Pública le fue autorizado el día seis de junio de dos mil veinticinco a cuenta de su </w:t>
      </w:r>
      <w:r w:rsidRPr="001841B2">
        <w:rPr>
          <w:rFonts w:ascii="Palatino Linotype" w:eastAsia="Palatino Linotype" w:hAnsi="Palatino Linotype" w:cs="Palatino Linotype"/>
          <w:sz w:val="22"/>
          <w:szCs w:val="22"/>
        </w:rPr>
        <w:lastRenderedPageBreak/>
        <w:t xml:space="preserve">periodo vacacional, situación que resulta </w:t>
      </w:r>
      <w:r w:rsidRPr="001841B2">
        <w:rPr>
          <w:rFonts w:ascii="Palatino Linotype" w:eastAsia="Palatino Linotype" w:hAnsi="Palatino Linotype" w:cs="Palatino Linotype"/>
          <w:b/>
          <w:sz w:val="22"/>
          <w:szCs w:val="22"/>
        </w:rPr>
        <w:t>incongruente</w:t>
      </w:r>
      <w:r w:rsidRPr="001841B2">
        <w:rPr>
          <w:rFonts w:ascii="Palatino Linotype" w:eastAsia="Palatino Linotype" w:hAnsi="Palatino Linotype" w:cs="Palatino Linotype"/>
          <w:sz w:val="22"/>
          <w:szCs w:val="22"/>
        </w:rPr>
        <w:t xml:space="preserve">, pues si bien proporcionó información que se relaciona con lo solicitado, la pretensión de la ahora recurrente es obtener el documento donde conste el permiso o justificación de la falta referida, además no pasa desapercibido para este Instituto que omitió pronunciarse del periodo comprendido del primero al cinco de junio y del siete al trece de junio de dos mil veinticinco, toda vez que el periodo solicitado por la persona Recurrente es del primero al trece de junio de dos mil veinticinco, asimismo omitió proporcionar el recibo de nómina correspondiente a la primera quincena de junio de dos mil veinticinco. </w:t>
      </w:r>
    </w:p>
    <w:p w14:paraId="18E6D540"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6A8FAE6C" w14:textId="77777777" w:rsidR="005D6051" w:rsidRPr="001841B2" w:rsidRDefault="00E932F8">
      <w:pPr>
        <w:spacing w:line="360" w:lineRule="auto"/>
        <w:ind w:right="-28"/>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Sobre el tema, el artículo 1.8, fracciones IV y XIII, del Código Administrativo del Estado de México, establece que para que tenga validez, todo acto administrativo deberá resolver todos los puntos propuestos por los interesados, además deberá guardar congruencia con lo solicitado. Situación que se robustece, con el Criterio de Interpretación, con clave de control SO/002/2017, de la Segunda Época, emitido por el Instituto Nacional de Transparencia, Acceso a la Información y Protección de Datos Personales, que establece que todo acto administrativo debe apegarse al </w:t>
      </w:r>
      <w:r w:rsidRPr="001841B2">
        <w:rPr>
          <w:rFonts w:ascii="Palatino Linotype" w:eastAsia="Palatino Linotype" w:hAnsi="Palatino Linotype" w:cs="Palatino Linotype"/>
          <w:b/>
          <w:sz w:val="22"/>
          <w:szCs w:val="22"/>
        </w:rPr>
        <w:t>principio de congruencia y exhaustividad</w:t>
      </w:r>
      <w:r w:rsidRPr="001841B2">
        <w:rPr>
          <w:rFonts w:ascii="Palatino Linotype" w:eastAsia="Palatino Linotype" w:hAnsi="Palatino Linotype" w:cs="Palatino Linotype"/>
          <w:sz w:val="22"/>
          <w:szCs w:val="22"/>
        </w:rPr>
        <w:t>, entendiendo por éstos que se pronuncie expresamente sobre cada uno de los puntos requeridos y que existe concordancia entre el requerimiento formulado y la respuesta entregada,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5234B97"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561797FA" w14:textId="77777777" w:rsidR="005D6051" w:rsidRPr="001841B2" w:rsidRDefault="00E932F8">
      <w:pPr>
        <w:spacing w:line="360" w:lineRule="auto"/>
        <w:ind w:right="-28"/>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Conforme a lo anterior, se logra vislumbrar que el agravio resulta </w:t>
      </w:r>
      <w:r w:rsidRPr="001841B2">
        <w:rPr>
          <w:rFonts w:ascii="Palatino Linotype" w:eastAsia="Palatino Linotype" w:hAnsi="Palatino Linotype" w:cs="Palatino Linotype"/>
          <w:b/>
          <w:sz w:val="22"/>
          <w:szCs w:val="22"/>
        </w:rPr>
        <w:t>FUNDADO,</w:t>
      </w:r>
      <w:r w:rsidRPr="001841B2">
        <w:rPr>
          <w:rFonts w:ascii="Palatino Linotype" w:eastAsia="Palatino Linotype" w:hAnsi="Palatino Linotype" w:cs="Palatino Linotype"/>
          <w:sz w:val="22"/>
          <w:szCs w:val="22"/>
        </w:rPr>
        <w:t xml:space="preserve"> pues el Sujeto Obligado omitió proporcionar el permiso o justificación que fue autorizado a la Servidora Pública referido en respuesta, además que omitió pronunciarse sobre el periodo comprendido </w:t>
      </w:r>
      <w:r w:rsidRPr="001841B2">
        <w:rPr>
          <w:rFonts w:ascii="Palatino Linotype" w:eastAsia="Palatino Linotype" w:hAnsi="Palatino Linotype" w:cs="Palatino Linotype"/>
          <w:sz w:val="22"/>
          <w:szCs w:val="22"/>
        </w:rPr>
        <w:lastRenderedPageBreak/>
        <w:t xml:space="preserve">del primero al cinco de junio y del siete al trece de junio de dos mil veinticinco, además, omitió proporcionar el recibo de nómina de la primera quincena de junio de dos mil veinticinco. </w:t>
      </w:r>
    </w:p>
    <w:p w14:paraId="622E2D88"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2095A0D6" w14:textId="77777777" w:rsidR="005D6051" w:rsidRPr="001841B2" w:rsidRDefault="00E932F8">
      <w:pPr>
        <w:spacing w:line="360" w:lineRule="auto"/>
        <w:ind w:right="-28"/>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Así, se logra vislumbrar que, para atender el requerimiento de información, el Sujeto Obligado, deberá </w:t>
      </w:r>
      <w:r w:rsidRPr="001841B2">
        <w:rPr>
          <w:rFonts w:ascii="Palatino Linotype" w:eastAsia="Palatino Linotype" w:hAnsi="Palatino Linotype" w:cs="Palatino Linotype"/>
          <w:color w:val="000000"/>
          <w:sz w:val="22"/>
          <w:szCs w:val="22"/>
        </w:rPr>
        <w:t>proporcionar  todos los documentos que den cuenta de lo referido en el párrafo que antecede; d</w:t>
      </w:r>
      <w:r w:rsidRPr="001841B2">
        <w:rPr>
          <w:rFonts w:ascii="Palatino Linotype" w:eastAsia="Palatino Linotype" w:hAnsi="Palatino Linotype" w:cs="Palatino Linotype"/>
          <w:sz w:val="22"/>
          <w:szCs w:val="22"/>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747F0D5" w14:textId="77777777" w:rsidR="005D6051" w:rsidRPr="001841B2" w:rsidRDefault="005D6051">
      <w:pPr>
        <w:spacing w:line="360" w:lineRule="auto"/>
        <w:jc w:val="both"/>
        <w:rPr>
          <w:rFonts w:ascii="Palatino Linotype" w:eastAsia="Palatino Linotype" w:hAnsi="Palatino Linotype" w:cs="Palatino Linotype"/>
          <w:color w:val="FF0000"/>
          <w:sz w:val="22"/>
          <w:szCs w:val="22"/>
        </w:rPr>
      </w:pPr>
    </w:p>
    <w:p w14:paraId="0DEEF2F9"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1841B2">
        <w:rPr>
          <w:rFonts w:ascii="Palatino Linotype" w:eastAsia="Palatino Linotype" w:hAnsi="Palatino Linotype" w:cs="Palatino Linotype"/>
          <w:i/>
          <w:sz w:val="22"/>
          <w:szCs w:val="22"/>
        </w:rPr>
        <w:t>ad hoc</w:t>
      </w:r>
      <w:r w:rsidRPr="001841B2">
        <w:rPr>
          <w:rFonts w:ascii="Palatino Linotype" w:eastAsia="Palatino Linotype" w:hAnsi="Palatino Linotype" w:cs="Palatino Linotype"/>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22EBFAE6"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5205051F"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previamente referida. </w:t>
      </w:r>
    </w:p>
    <w:p w14:paraId="25A25F9D"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613ACC58"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Ahora bien, para el caso de que no cuente con el documento </w:t>
      </w:r>
      <w:proofErr w:type="spellStart"/>
      <w:r w:rsidRPr="001841B2">
        <w:rPr>
          <w:rFonts w:ascii="Palatino Linotype" w:eastAsia="Palatino Linotype" w:hAnsi="Palatino Linotype" w:cs="Palatino Linotype"/>
          <w:sz w:val="22"/>
          <w:szCs w:val="22"/>
        </w:rPr>
        <w:t>justificatorio</w:t>
      </w:r>
      <w:proofErr w:type="spellEnd"/>
      <w:r w:rsidRPr="001841B2">
        <w:rPr>
          <w:rFonts w:ascii="Palatino Linotype" w:eastAsia="Palatino Linotype" w:hAnsi="Palatino Linotype" w:cs="Palatino Linotype"/>
          <w:sz w:val="22"/>
          <w:szCs w:val="22"/>
        </w:rPr>
        <w:t xml:space="preserve">, al ser una falta injustificada o el permiso por no haberse otorgado, deberá hacerlo del conocimiento de la parte Recurrente, de manera clara y precisa, en términos del artículo 19, párrafo segundo de la Ley de Transparencia y Acceso a la Información Pública del Estado de México y Municipios. </w:t>
      </w:r>
    </w:p>
    <w:p w14:paraId="27BE42A8"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490FF615"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Por otra parte, resulta necesario precisar que los documentos que dan cuenta de lo solicitado, pueden contar datos personales, tales como los siguientes: </w:t>
      </w:r>
    </w:p>
    <w:p w14:paraId="04604F4F"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7DCF4EB4" w14:textId="77777777" w:rsidR="005D6051" w:rsidRPr="001841B2" w:rsidRDefault="00E932F8">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Motivos personales; </w:t>
      </w:r>
    </w:p>
    <w:p w14:paraId="150B5AC3" w14:textId="77777777" w:rsidR="005D6051" w:rsidRPr="001841B2" w:rsidRDefault="00E932F8">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Motivos de salud;</w:t>
      </w:r>
    </w:p>
    <w:p w14:paraId="6FA5989E" w14:textId="77777777" w:rsidR="005D6051" w:rsidRPr="001841B2" w:rsidRDefault="00E932F8">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Clave Única de Registro de Población (CURP);</w:t>
      </w:r>
    </w:p>
    <w:p w14:paraId="3EDCE4ED" w14:textId="77777777" w:rsidR="005D6051" w:rsidRPr="001841B2" w:rsidRDefault="00E932F8">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Registro Federal de Contribuyentes del servidor público (RFC);</w:t>
      </w:r>
    </w:p>
    <w:p w14:paraId="3B4737EE" w14:textId="77777777" w:rsidR="005D6051" w:rsidRPr="001841B2" w:rsidRDefault="00E932F8">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Número de seguridad social del Instituto de Seguridad Social del Estado de México y Municipios;</w:t>
      </w:r>
    </w:p>
    <w:p w14:paraId="36398B84" w14:textId="77777777" w:rsidR="005D6051" w:rsidRPr="001841B2" w:rsidRDefault="00E932F8">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Código Postal del Trabajador</w:t>
      </w:r>
    </w:p>
    <w:p w14:paraId="58AA0990" w14:textId="77777777" w:rsidR="005D6051" w:rsidRPr="001841B2" w:rsidRDefault="00E932F8">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Deducciones personales;</w:t>
      </w:r>
    </w:p>
    <w:p w14:paraId="0E3DC583" w14:textId="77777777" w:rsidR="005D6051" w:rsidRPr="001841B2" w:rsidRDefault="00E932F8">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Código bidimensional o QR;</w:t>
      </w:r>
    </w:p>
    <w:p w14:paraId="72CEF127" w14:textId="77777777" w:rsidR="005D6051" w:rsidRPr="001841B2" w:rsidRDefault="00E932F8">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Cadena original del complemento de certificación digital del organismo previamente señalado y Folio Fiscal;</w:t>
      </w:r>
    </w:p>
    <w:p w14:paraId="080658B6"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7685F530"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Así, se procede analizar si dicha información es confidencial o pública; en principio, cabe mencionar que el artículo 143, fracción I, de la Ley de Transparencia Local, establece que la información privada y los datos personales, concernientes a una persona física o jurídica colectiva identificada o identificable son confidenciales.</w:t>
      </w:r>
    </w:p>
    <w:p w14:paraId="0C1C1FB0"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2DF8501F"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Asimismo, el artículo 145 de la Ley de Transparencia y Acceso a la Información Pública del Estado de México y Municipios, prevé que para que los Sujetos Obligados puedan permitir el</w:t>
      </w:r>
    </w:p>
    <w:p w14:paraId="2A267D0B"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w:t>
      </w:r>
      <w:r w:rsidRPr="001841B2">
        <w:rPr>
          <w:rFonts w:ascii="Palatino Linotype" w:eastAsia="Palatino Linotype" w:hAnsi="Palatino Linotype" w:cs="Palatino Linotype"/>
          <w:sz w:val="22"/>
          <w:szCs w:val="22"/>
        </w:rPr>
        <w:lastRenderedPageBreak/>
        <w:t>judicial, iv) por razones de seguridad nacional y salubridad general o v) para proteger los derechos de terceros o cuando se transmita entre sujetos obligados en términos de los tratados y los acuerdos interinstitucionales.</w:t>
      </w:r>
    </w:p>
    <w:p w14:paraId="2197E949"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5BDD6AA3"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En términos de lo expuesto, la documentación y aquellos datos que se consideren confidenciales, serán una limitante del derecho de acceso a la información, siempre y cuando:</w:t>
      </w:r>
    </w:p>
    <w:p w14:paraId="5850D63D"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3037D8FF" w14:textId="77777777" w:rsidR="005D6051" w:rsidRPr="001841B2" w:rsidRDefault="00E932F8">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Se trate de datos personales o información privada; esto es, información concerniente a una persona física o jurídico colectiva y que esta sea identificada o identificable. </w:t>
      </w:r>
    </w:p>
    <w:p w14:paraId="698C8B9F" w14:textId="77777777" w:rsidR="005D6051" w:rsidRPr="001841B2" w:rsidRDefault="00E932F8">
      <w:pPr>
        <w:widowControl w:val="0"/>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Para la difusión de los datos, se requiera el consentimiento del titular</w:t>
      </w:r>
    </w:p>
    <w:p w14:paraId="4FD53C8F" w14:textId="77777777" w:rsidR="005D6051" w:rsidRPr="001841B2" w:rsidRDefault="005D6051">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42812612"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6F9E5E7F"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299C25CD"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6662E018"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7A3BE284" w14:textId="77777777" w:rsidR="005D6051" w:rsidRPr="001841B2" w:rsidRDefault="00E932F8">
      <w:pPr>
        <w:widowControl w:val="0"/>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b/>
          <w:color w:val="000000"/>
          <w:sz w:val="22"/>
          <w:szCs w:val="22"/>
        </w:rPr>
        <w:t>Motivos de salud</w:t>
      </w:r>
    </w:p>
    <w:p w14:paraId="666DCE13" w14:textId="77777777" w:rsidR="005D6051" w:rsidRPr="001841B2" w:rsidRDefault="005D6051">
      <w:pPr>
        <w:widowControl w:val="0"/>
        <w:spacing w:line="360" w:lineRule="auto"/>
        <w:jc w:val="both"/>
        <w:rPr>
          <w:rFonts w:ascii="Palatino Linotype" w:eastAsia="Palatino Linotype" w:hAnsi="Palatino Linotype" w:cs="Palatino Linotype"/>
          <w:b/>
          <w:sz w:val="22"/>
          <w:szCs w:val="22"/>
        </w:rPr>
      </w:pPr>
    </w:p>
    <w:p w14:paraId="1D878CF1" w14:textId="77777777" w:rsidR="005D6051" w:rsidRPr="001841B2" w:rsidRDefault="00E932F8">
      <w:pPr>
        <w:widowControl w:val="0"/>
        <w:spacing w:line="360" w:lineRule="auto"/>
        <w:jc w:val="both"/>
        <w:rPr>
          <w:rFonts w:ascii="Palatino Linotype" w:eastAsia="Palatino Linotype" w:hAnsi="Palatino Linotype" w:cs="Palatino Linotype"/>
          <w:b/>
          <w:sz w:val="22"/>
          <w:szCs w:val="22"/>
        </w:rPr>
      </w:pPr>
      <w:r w:rsidRPr="001841B2">
        <w:rPr>
          <w:rFonts w:ascii="Palatino Linotype" w:eastAsia="Palatino Linotype" w:hAnsi="Palatino Linotype" w:cs="Palatino Linotype"/>
          <w:sz w:val="22"/>
          <w:szCs w:val="22"/>
        </w:rPr>
        <w:lastRenderedPageBreak/>
        <w:t xml:space="preserve">Al respecto, es de señalar que dichos datos corresponden a la enfermedad o situación específica que presentó el servidor público para que faltara o tuviera inasistencia, es decir, que estos datos dan cuenta del </w:t>
      </w:r>
      <w:r w:rsidRPr="001841B2">
        <w:rPr>
          <w:rFonts w:ascii="Palatino Linotype" w:eastAsia="Palatino Linotype" w:hAnsi="Palatino Linotype" w:cs="Palatino Linotype"/>
          <w:b/>
          <w:sz w:val="22"/>
          <w:szCs w:val="22"/>
        </w:rPr>
        <w:t>estado de salud de una persona.</w:t>
      </w:r>
    </w:p>
    <w:p w14:paraId="7436AB73" w14:textId="77777777" w:rsidR="005D6051" w:rsidRPr="001841B2" w:rsidRDefault="005D6051">
      <w:pPr>
        <w:widowControl w:val="0"/>
        <w:spacing w:line="360" w:lineRule="auto"/>
        <w:jc w:val="both"/>
        <w:rPr>
          <w:rFonts w:ascii="Palatino Linotype" w:eastAsia="Palatino Linotype" w:hAnsi="Palatino Linotype" w:cs="Palatino Linotype"/>
          <w:b/>
          <w:sz w:val="22"/>
          <w:szCs w:val="22"/>
        </w:rPr>
      </w:pPr>
    </w:p>
    <w:p w14:paraId="705C59EE"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21F2E2BE"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7DF1606C" w14:textId="77777777" w:rsidR="005D6051" w:rsidRPr="001841B2" w:rsidRDefault="00E932F8">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b/>
          <w:color w:val="000000"/>
          <w:sz w:val="22"/>
          <w:szCs w:val="22"/>
        </w:rPr>
        <w:t>Datos Personales:</w:t>
      </w:r>
      <w:r w:rsidRPr="001841B2">
        <w:rPr>
          <w:rFonts w:ascii="Palatino Linotype" w:eastAsia="Palatino Linotype" w:hAnsi="Palatino Linotype" w:cs="Palatino Linotype"/>
          <w:color w:val="000000"/>
          <w:sz w:val="22"/>
          <w:szCs w:val="22"/>
        </w:rPr>
        <w:t xml:space="preserve"> Son cualquier información concerniente a una persona física identificada o identificable, y </w:t>
      </w:r>
    </w:p>
    <w:p w14:paraId="300D016D"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7DFC858A" w14:textId="77777777" w:rsidR="005D6051" w:rsidRPr="001841B2" w:rsidRDefault="00E932F8">
      <w:pPr>
        <w:widowControl w:val="0"/>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b/>
          <w:color w:val="000000"/>
          <w:sz w:val="22"/>
          <w:szCs w:val="22"/>
        </w:rPr>
        <w:t>Datos Personales Sensibles:</w:t>
      </w:r>
      <w:r w:rsidRPr="001841B2">
        <w:rPr>
          <w:rFonts w:ascii="Palatino Linotype" w:eastAsia="Palatino Linotype" w:hAnsi="Palatino Linotype" w:cs="Palatino Linotype"/>
          <w:color w:val="000000"/>
          <w:sz w:val="22"/>
          <w:szCs w:val="22"/>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5B9C0242" w14:textId="77777777" w:rsidR="005D6051" w:rsidRPr="001841B2" w:rsidRDefault="005D6051">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0B0F7306"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En ese contexto, </w:t>
      </w:r>
      <w:proofErr w:type="spellStart"/>
      <w:r w:rsidRPr="001841B2">
        <w:rPr>
          <w:rFonts w:ascii="Palatino Linotype" w:eastAsia="Palatino Linotype" w:hAnsi="Palatino Linotype" w:cs="Palatino Linotype"/>
          <w:sz w:val="22"/>
          <w:szCs w:val="22"/>
        </w:rPr>
        <w:t>Davara</w:t>
      </w:r>
      <w:proofErr w:type="spellEnd"/>
      <w:r w:rsidRPr="001841B2">
        <w:rPr>
          <w:rFonts w:ascii="Palatino Linotype" w:eastAsia="Palatino Linotype" w:hAnsi="Palatino Linotype" w:cs="Palatino Linotype"/>
          <w:sz w:val="22"/>
          <w:szCs w:val="22"/>
        </w:rPr>
        <w:t xml:space="preserve">, Isabel; Barco, Gregorio, Barco; y Cervantes, Alexis (2019), en el “Diccionario de Protección de Datos Personales Conceptos Fundamentales” (p. 226), precisan que </w:t>
      </w:r>
      <w:r w:rsidRPr="001841B2">
        <w:rPr>
          <w:rFonts w:ascii="Palatino Linotype" w:eastAsia="Palatino Linotype" w:hAnsi="Palatino Linotype" w:cs="Palatino Linotype"/>
          <w:b/>
          <w:sz w:val="22"/>
          <w:szCs w:val="22"/>
        </w:rPr>
        <w:t>los datos relativos a la salud son datos personales de carácter sensible,</w:t>
      </w:r>
      <w:r w:rsidRPr="001841B2">
        <w:rPr>
          <w:rFonts w:ascii="Palatino Linotype" w:eastAsia="Palatino Linotype" w:hAnsi="Palatino Linotype" w:cs="Palatino Linotype"/>
          <w:sz w:val="22"/>
          <w:szCs w:val="22"/>
        </w:rPr>
        <w:t xml:space="preserve"> en tanto a que refieren al estado de salud física o mental de un individuo, y que se conforma entre otros, por lo siguientes:</w:t>
      </w:r>
    </w:p>
    <w:p w14:paraId="6ABC66DF"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58C373F8" w14:textId="77777777" w:rsidR="005D6051" w:rsidRPr="001841B2" w:rsidRDefault="00E932F8">
      <w:pPr>
        <w:widowControl w:val="0"/>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Números, símbolos o datos asignados a una persona física identificable que la identifique de manera unívoca a efectos sanitarios; </w:t>
      </w:r>
    </w:p>
    <w:p w14:paraId="5D44CDB4"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33945FB6" w14:textId="77777777" w:rsidR="005D6051" w:rsidRPr="001841B2" w:rsidRDefault="00E932F8">
      <w:pPr>
        <w:widowControl w:val="0"/>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La información obtenida de pruebas o exámenes de una parte del cuerpo o sustancia corporal, y</w:t>
      </w:r>
    </w:p>
    <w:p w14:paraId="5E28A37B"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581481C5" w14:textId="77777777" w:rsidR="005D6051" w:rsidRPr="001841B2" w:rsidRDefault="00E932F8">
      <w:pPr>
        <w:widowControl w:val="0"/>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La información relativa a una enfermedad, una discapacidad, el riesgo de padecer enfermedades, el historial médico, el tratamiento clínico o el estado fisiológico o biomédico del interesado</w:t>
      </w:r>
    </w:p>
    <w:p w14:paraId="25C34579" w14:textId="77777777" w:rsidR="005D6051" w:rsidRPr="001841B2" w:rsidRDefault="005D6051">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4F4D03CE"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Situación que toma relevancia, púes el apartado ¿Qué son los datos personales?, de la página oficial de este Instituto (consultada en la liga </w:t>
      </w:r>
      <w:hyperlink r:id="rId10">
        <w:r w:rsidRPr="001841B2">
          <w:rPr>
            <w:rFonts w:ascii="Palatino Linotype" w:eastAsia="Palatino Linotype" w:hAnsi="Palatino Linotype" w:cs="Palatino Linotype"/>
            <w:color w:val="0563C1"/>
            <w:sz w:val="22"/>
            <w:szCs w:val="22"/>
            <w:u w:val="single"/>
          </w:rPr>
          <w:t>https://www.infoem.org.mx/es/contenido/datospersonales</w:t>
        </w:r>
      </w:hyperlink>
      <w:r w:rsidRPr="001841B2">
        <w:rPr>
          <w:rFonts w:ascii="Palatino Linotype" w:eastAsia="Palatino Linotype" w:hAnsi="Palatino Linotype" w:cs="Palatino Linotype"/>
          <w:sz w:val="22"/>
          <w:szCs w:val="22"/>
        </w:rPr>
        <w:t xml:space="preserve"> , el diecinueve de febrero de dos mil veinticinco), reafirma como una categoría de datos personales sensibles los concernientes a la salud de una persona, los cuales se conforman de aquellos datos relacionados con el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w:t>
      </w:r>
    </w:p>
    <w:p w14:paraId="5897CF4D"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52F8922A"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Como se logra observar cualquier información o dato que se relacione con el estado de salud de una persona, como lo es un motivo de falta, se considera un dato personal sensible, pues da cuenta del estado de salud físico o mental del titular, lo cual está íntimamente relacionado con su vida privada e íntima y, por lo tanto, actualiza la causal de clasificación, establecida en el artículo 143, fracción I, de la Ley de Transparencia y Acceso a la Información Pública del Estado de México y Municipios. </w:t>
      </w:r>
    </w:p>
    <w:p w14:paraId="250C4341"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627CE0F7" w14:textId="77777777" w:rsidR="005D6051" w:rsidRPr="001841B2" w:rsidRDefault="00E932F8">
      <w:pPr>
        <w:widowControl w:val="0"/>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b/>
          <w:color w:val="000000"/>
          <w:sz w:val="22"/>
          <w:szCs w:val="22"/>
        </w:rPr>
        <w:t>Motivos personales</w:t>
      </w:r>
    </w:p>
    <w:p w14:paraId="6BCF4117"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0900F5A3" w14:textId="77777777" w:rsidR="005D6051" w:rsidRPr="001841B2" w:rsidRDefault="00E932F8">
      <w:pPr>
        <w:spacing w:line="360" w:lineRule="auto"/>
        <w:ind w:right="49"/>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Sobre el tema, es necesario señalar que existen motivos de faltas como pudiera ser fallecimiento o enfermedades de familiares, realización de trámites, entre otros; sobre el tema, cabe mencionar que en la fracción II, del artículo 6 de la Constitución Política de los Estados Unidos Mexicanos se prevé que </w:t>
      </w:r>
      <w:r w:rsidRPr="001841B2">
        <w:rPr>
          <w:rFonts w:ascii="Palatino Linotype" w:eastAsia="Palatino Linotype" w:hAnsi="Palatino Linotype" w:cs="Palatino Linotype"/>
          <w:b/>
          <w:color w:val="000000"/>
          <w:sz w:val="22"/>
          <w:szCs w:val="22"/>
        </w:rPr>
        <w:t xml:space="preserve">la información que se refiere a la vida privada </w:t>
      </w:r>
      <w:r w:rsidRPr="001841B2">
        <w:rPr>
          <w:rFonts w:ascii="Palatino Linotype" w:eastAsia="Palatino Linotype" w:hAnsi="Palatino Linotype" w:cs="Palatino Linotype"/>
          <w:color w:val="000000"/>
          <w:sz w:val="22"/>
          <w:szCs w:val="22"/>
        </w:rPr>
        <w:t xml:space="preserve">y los datos personales, será protegida en los términos y con las excepciones que fijen las leyes. </w:t>
      </w:r>
    </w:p>
    <w:p w14:paraId="04DC1F72" w14:textId="77777777" w:rsidR="005D6051" w:rsidRPr="001841B2" w:rsidRDefault="005D6051">
      <w:pPr>
        <w:spacing w:line="360" w:lineRule="auto"/>
        <w:ind w:right="49"/>
        <w:jc w:val="both"/>
        <w:rPr>
          <w:rFonts w:ascii="Palatino Linotype" w:eastAsia="Palatino Linotype" w:hAnsi="Palatino Linotype" w:cs="Palatino Linotype"/>
          <w:color w:val="000000"/>
          <w:sz w:val="22"/>
          <w:szCs w:val="22"/>
        </w:rPr>
      </w:pPr>
    </w:p>
    <w:p w14:paraId="0BAF18DB" w14:textId="77777777" w:rsidR="005D6051" w:rsidRPr="001841B2" w:rsidRDefault="00E932F8">
      <w:pPr>
        <w:spacing w:line="360" w:lineRule="auto"/>
        <w:ind w:right="49"/>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7594520"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16BDC5FA"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A su vez, en el Cuadragésimo octavo de los Lineamientos Generales se señala que los documentos y expedientes clasificados como confidenciales sólo podrán ser comunicados a terceros siempre y cuando exista disposición legal expresa que lo justifique o cuando se cuente con el consentimiento del titular. </w:t>
      </w:r>
    </w:p>
    <w:p w14:paraId="0960CA23"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61374AAC"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En ese contexto,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21389DE6" w14:textId="77777777" w:rsidR="005D6051" w:rsidRPr="001841B2" w:rsidRDefault="005D6051">
      <w:pPr>
        <w:shd w:val="clear" w:color="auto" w:fill="FFFFFF"/>
        <w:spacing w:line="360" w:lineRule="auto"/>
        <w:jc w:val="both"/>
        <w:rPr>
          <w:rFonts w:ascii="Palatino Linotype" w:eastAsia="Palatino Linotype" w:hAnsi="Palatino Linotype" w:cs="Palatino Linotype"/>
          <w:color w:val="000000"/>
          <w:sz w:val="22"/>
          <w:szCs w:val="22"/>
        </w:rPr>
      </w:pPr>
    </w:p>
    <w:p w14:paraId="140E4C3C" w14:textId="77777777" w:rsidR="005D6051" w:rsidRPr="001841B2" w:rsidRDefault="00E932F8">
      <w:pPr>
        <w:spacing w:line="360" w:lineRule="auto"/>
        <w:ind w:left="567" w:right="567"/>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b/>
          <w:i/>
          <w:color w:val="000000"/>
        </w:rPr>
        <w:t>“DERECHO A LA VIDA PRIVADA. SU CONTENIDO GENERAL Y LA IMPORTANCIA DE NO DESCONTEXTUALIZAR LAS REFERENCIAS A LA MISMA.</w:t>
      </w:r>
      <w:r w:rsidRPr="001841B2">
        <w:rPr>
          <w:rFonts w:ascii="Palatino Linotype" w:eastAsia="Palatino Linotype" w:hAnsi="Palatino Linotype" w:cs="Palatino Linotype"/>
          <w:i/>
          <w:color w:val="000000"/>
        </w:rPr>
        <w:t xml:space="preserve"> La Suprema Corte de </w:t>
      </w:r>
      <w:r w:rsidRPr="001841B2">
        <w:rPr>
          <w:rFonts w:ascii="Palatino Linotype" w:eastAsia="Palatino Linotype" w:hAnsi="Palatino Linotype" w:cs="Palatino Linotype"/>
          <w:i/>
          <w:color w:val="000000"/>
        </w:rPr>
        <w:lastRenderedPageBreak/>
        <w:t xml:space="preserve">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w:t>
      </w:r>
      <w:r w:rsidRPr="001841B2">
        <w:rPr>
          <w:rFonts w:ascii="Palatino Linotype" w:eastAsia="Palatino Linotype" w:hAnsi="Palatino Linotype" w:cs="Palatino Linotype"/>
          <w:i/>
          <w:color w:val="000000"/>
        </w:rPr>
        <w:lastRenderedPageBreak/>
        <w:t>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038F5ECF" w14:textId="77777777" w:rsidR="005D6051" w:rsidRPr="001841B2" w:rsidRDefault="005D6051">
      <w:pPr>
        <w:shd w:val="clear" w:color="auto" w:fill="FFFFFF"/>
        <w:spacing w:line="360" w:lineRule="auto"/>
        <w:jc w:val="both"/>
        <w:rPr>
          <w:rFonts w:ascii="Palatino Linotype" w:eastAsia="Palatino Linotype" w:hAnsi="Palatino Linotype" w:cs="Palatino Linotype"/>
          <w:color w:val="000000"/>
          <w:sz w:val="22"/>
          <w:szCs w:val="22"/>
        </w:rPr>
      </w:pPr>
    </w:p>
    <w:p w14:paraId="2E34E9D7" w14:textId="77777777" w:rsidR="005D6051" w:rsidRPr="001841B2" w:rsidRDefault="00E932F8">
      <w:pPr>
        <w:shd w:val="clear" w:color="auto" w:fill="FFFFFF"/>
        <w:spacing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color w:val="000000"/>
          <w:sz w:val="22"/>
          <w:szCs w:val="22"/>
        </w:rPr>
        <w:t xml:space="preserve">De conformidad con lo señalado, se colige que </w:t>
      </w:r>
      <w:r w:rsidRPr="001841B2">
        <w:rPr>
          <w:rFonts w:ascii="Palatino Linotype" w:eastAsia="Palatino Linotype" w:hAnsi="Palatino Linotype" w:cs="Palatino Linotype"/>
          <w:b/>
          <w:color w:val="000000"/>
          <w:sz w:val="22"/>
          <w:szCs w:val="22"/>
        </w:rPr>
        <w:t>las actividades que realicen los particulares, dentro del ámbito privado, o dentro de la esfera particular, es información que debe protegerse.</w:t>
      </w:r>
    </w:p>
    <w:p w14:paraId="3EFBB140" w14:textId="77777777" w:rsidR="005D6051" w:rsidRPr="001841B2" w:rsidRDefault="005D6051">
      <w:pPr>
        <w:shd w:val="clear" w:color="auto" w:fill="FFFFFF"/>
        <w:spacing w:line="360" w:lineRule="auto"/>
        <w:jc w:val="both"/>
        <w:rPr>
          <w:rFonts w:ascii="Palatino Linotype" w:eastAsia="Palatino Linotype" w:hAnsi="Palatino Linotype" w:cs="Palatino Linotype"/>
          <w:b/>
          <w:color w:val="000000"/>
          <w:sz w:val="22"/>
          <w:szCs w:val="22"/>
        </w:rPr>
      </w:pPr>
    </w:p>
    <w:p w14:paraId="58CBBD6A"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En el presente caso, proporcionar el motivo de la renuncia, iría en contra del derecho a la vida privada, pues se daría cuenta de la decisión personal; es decir, un acto de voluntad de dichas personas en ejercicio de sus derechos para dar por terminada una relación laboral, lo cual constituye cuestiones de carácter estrictamente íntimo. </w:t>
      </w:r>
    </w:p>
    <w:p w14:paraId="1B2E6B32"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5ED30EEA"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Sobre dicha situación,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61F01839"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52DE2E27" w14:textId="77777777" w:rsidR="005D6051" w:rsidRPr="001841B2" w:rsidRDefault="00E932F8">
      <w:pPr>
        <w:spacing w:line="360" w:lineRule="auto"/>
        <w:ind w:left="567" w:right="616"/>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b/>
          <w:i/>
          <w:color w:val="000000"/>
        </w:rPr>
        <w:lastRenderedPageBreak/>
        <w:t xml:space="preserve">“DERECHO A LA PRIVACIDAD O INTIMIDAD. ESTÁ PROTEGIDO POR EL ARTÍCULO 16, PRIMER PÁRRAFO, DE LA CONSTITUCIÓN POLÍTICA DE LOS ESTADOS UNIDOS MEXICANOS. </w:t>
      </w:r>
      <w:r w:rsidRPr="001841B2">
        <w:rPr>
          <w:rFonts w:ascii="Palatino Linotype" w:eastAsia="Palatino Linotype" w:hAnsi="Palatino Linotype" w:cs="Palatino Linotype"/>
          <w:i/>
          <w:color w:val="000000"/>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309D7A24"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2463871B"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1942C9FD" w14:textId="77777777" w:rsidR="005D6051" w:rsidRPr="001841B2" w:rsidRDefault="005D6051">
      <w:pPr>
        <w:spacing w:line="360" w:lineRule="auto"/>
        <w:jc w:val="both"/>
        <w:rPr>
          <w:rFonts w:ascii="Palatino Linotype" w:eastAsia="Palatino Linotype" w:hAnsi="Palatino Linotype" w:cs="Palatino Linotype"/>
          <w:b/>
          <w:color w:val="000000"/>
          <w:sz w:val="22"/>
          <w:szCs w:val="22"/>
        </w:rPr>
      </w:pPr>
    </w:p>
    <w:p w14:paraId="324BA4B6" w14:textId="77777777" w:rsidR="005D6051" w:rsidRPr="001841B2" w:rsidRDefault="00E932F8">
      <w:pPr>
        <w:spacing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color w:val="000000"/>
          <w:sz w:val="22"/>
          <w:szCs w:val="22"/>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w:t>
      </w:r>
      <w:r w:rsidRPr="001841B2">
        <w:rPr>
          <w:rFonts w:ascii="Palatino Linotype" w:eastAsia="Palatino Linotype" w:hAnsi="Palatino Linotype" w:cs="Palatino Linotype"/>
          <w:b/>
          <w:color w:val="000000"/>
          <w:sz w:val="22"/>
          <w:szCs w:val="22"/>
        </w:rPr>
        <w:t xml:space="preserve">se da el </w:t>
      </w:r>
      <w:r w:rsidRPr="001841B2">
        <w:rPr>
          <w:rFonts w:ascii="Palatino Linotype" w:eastAsia="Palatino Linotype" w:hAnsi="Palatino Linotype" w:cs="Palatino Linotype"/>
          <w:b/>
          <w:color w:val="000000"/>
          <w:sz w:val="22"/>
          <w:szCs w:val="22"/>
        </w:rPr>
        <w:lastRenderedPageBreak/>
        <w:t xml:space="preserve">reconocimiento de un derecho a la privacidad de las personas que implica no ser sujeto de intromisiones o molestias en el ámbito reservado de su vida o intimidad. </w:t>
      </w:r>
    </w:p>
    <w:p w14:paraId="1AFA9DA1"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1B7DF638" w14:textId="77777777" w:rsidR="005D6051" w:rsidRPr="001841B2" w:rsidRDefault="00E932F8">
      <w:pPr>
        <w:spacing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color w:val="000000"/>
          <w:sz w:val="22"/>
          <w:szCs w:val="22"/>
        </w:rPr>
        <w:t>Por lo tanto, se considera que dar a conocer los motivos personales, de inasistencias o faltas, implicaría revelar un aspecto de la vida privada e íntima,</w:t>
      </w:r>
      <w:r w:rsidRPr="001841B2">
        <w:rPr>
          <w:rFonts w:ascii="Palatino Linotype" w:eastAsia="Palatino Linotype" w:hAnsi="Palatino Linotype" w:cs="Palatino Linotype"/>
          <w:b/>
          <w:color w:val="000000"/>
          <w:sz w:val="22"/>
          <w:szCs w:val="22"/>
        </w:rPr>
        <w:t xml:space="preserve"> </w:t>
      </w:r>
      <w:r w:rsidRPr="001841B2">
        <w:rPr>
          <w:rFonts w:ascii="Palatino Linotype" w:eastAsia="Palatino Linotype" w:hAnsi="Palatino Linotype" w:cs="Palatino Linotype"/>
          <w:color w:val="000000"/>
          <w:sz w:val="22"/>
          <w:szCs w:val="22"/>
        </w:rPr>
        <w:t>es decir,</w:t>
      </w:r>
      <w:r w:rsidRPr="001841B2">
        <w:rPr>
          <w:rFonts w:ascii="Palatino Linotype" w:eastAsia="Palatino Linotype" w:hAnsi="Palatino Linotype" w:cs="Palatino Linotype"/>
          <w:b/>
          <w:color w:val="000000"/>
          <w:sz w:val="22"/>
          <w:szCs w:val="22"/>
        </w:rPr>
        <w:t xml:space="preserve"> reflejaría una situación concreta de los servidores públicos en su vida personal, al dar cuenta de las razones de la decisión particular de faltar a las labores; por lo que, se considera información confidencial, en términos del artículo 143, fracción I, de la Ley de Transparencia y Acceso a la Información Pública del Estado de México y Municipios.</w:t>
      </w:r>
    </w:p>
    <w:p w14:paraId="4A5B75D2"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31C3CAF6"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Así, el Sujeto Obligado deberá elaborar la versión pública respectiva, tomando en consideración lo analizado en la presente resolución;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F4E18C2" w14:textId="77777777" w:rsidR="005D6051" w:rsidRPr="001841B2" w:rsidRDefault="005D6051">
      <w:pPr>
        <w:widowControl w:val="0"/>
        <w:spacing w:line="360" w:lineRule="auto"/>
        <w:jc w:val="both"/>
        <w:rPr>
          <w:rFonts w:ascii="Palatino Linotype" w:eastAsia="Palatino Linotype" w:hAnsi="Palatino Linotype" w:cs="Palatino Linotype"/>
          <w:sz w:val="22"/>
          <w:szCs w:val="22"/>
        </w:rPr>
      </w:pPr>
    </w:p>
    <w:p w14:paraId="321898B4" w14:textId="77777777" w:rsidR="005D6051" w:rsidRPr="001841B2" w:rsidRDefault="00E932F8">
      <w:pPr>
        <w:widowControl w:val="0"/>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4A6FD24" w14:textId="77777777" w:rsidR="005D6051" w:rsidRPr="001841B2" w:rsidRDefault="005D6051">
      <w:pPr>
        <w:widowControl w:val="0"/>
        <w:spacing w:line="360" w:lineRule="auto"/>
        <w:jc w:val="both"/>
        <w:rPr>
          <w:rFonts w:ascii="Palatino Linotype" w:eastAsia="Palatino Linotype" w:hAnsi="Palatino Linotype" w:cs="Palatino Linotype"/>
          <w:color w:val="000000"/>
          <w:sz w:val="22"/>
          <w:szCs w:val="22"/>
        </w:rPr>
      </w:pPr>
    </w:p>
    <w:p w14:paraId="454A406B"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4C9629E7" w14:textId="77777777" w:rsidR="005D6051" w:rsidRPr="001841B2" w:rsidRDefault="00E932F8">
      <w:pPr>
        <w:numPr>
          <w:ilvl w:val="0"/>
          <w:numId w:val="6"/>
        </w:numPr>
        <w:spacing w:after="160"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b/>
          <w:color w:val="000000"/>
          <w:sz w:val="22"/>
          <w:szCs w:val="22"/>
        </w:rPr>
        <w:t>Registro Federal de Contribuyentes (RFC)</w:t>
      </w:r>
    </w:p>
    <w:p w14:paraId="37D26560"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1D87E147"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0DA2CA0"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4CEEA2B5"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9E4D683"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5B06664F"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F8FD552"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6BF75E7D"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BF0C7FE"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2F350203"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lastRenderedPageBreak/>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1F9B0369"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18DE9037" w14:textId="77777777" w:rsidR="005D6051" w:rsidRPr="001841B2" w:rsidRDefault="00E932F8">
      <w:pPr>
        <w:spacing w:line="360" w:lineRule="auto"/>
        <w:ind w:left="567" w:right="567"/>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b/>
          <w:i/>
          <w:color w:val="000000"/>
        </w:rPr>
        <w:t>“Registro Federal de Contribuyentes (RFC) de personas físicas.</w:t>
      </w:r>
      <w:r w:rsidRPr="001841B2">
        <w:rPr>
          <w:rFonts w:ascii="Palatino Linotype" w:eastAsia="Palatino Linotype" w:hAnsi="Palatino Linotype" w:cs="Palatino Linotype"/>
          <w:i/>
          <w:color w:val="000000"/>
        </w:rPr>
        <w:t xml:space="preserve"> El RFC es una clave de carácter fiscal, única e irrepetible, que permite identificar al titular, su edad y fecha de nacimiento, por lo que es un dato personal de carácter confidencial.”</w:t>
      </w:r>
    </w:p>
    <w:p w14:paraId="2D4F42E2"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54C594B8"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AE72EA9" w14:textId="77777777" w:rsidR="005D6051" w:rsidRPr="001841B2" w:rsidRDefault="005D6051">
      <w:pPr>
        <w:tabs>
          <w:tab w:val="center" w:pos="4522"/>
        </w:tabs>
        <w:spacing w:line="360" w:lineRule="auto"/>
        <w:jc w:val="both"/>
        <w:rPr>
          <w:rFonts w:ascii="Palatino Linotype" w:eastAsia="Palatino Linotype" w:hAnsi="Palatino Linotype" w:cs="Palatino Linotype"/>
          <w:color w:val="000000"/>
          <w:sz w:val="22"/>
          <w:szCs w:val="22"/>
        </w:rPr>
      </w:pPr>
    </w:p>
    <w:p w14:paraId="51F5DEBD" w14:textId="77777777" w:rsidR="005D6051" w:rsidRPr="001841B2" w:rsidRDefault="00E932F8">
      <w:pPr>
        <w:numPr>
          <w:ilvl w:val="0"/>
          <w:numId w:val="1"/>
        </w:numPr>
        <w:spacing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b/>
          <w:color w:val="000000"/>
          <w:sz w:val="22"/>
          <w:szCs w:val="22"/>
        </w:rPr>
        <w:t xml:space="preserve">Código bidimensional o </w:t>
      </w:r>
      <w:proofErr w:type="spellStart"/>
      <w:r w:rsidRPr="001841B2">
        <w:rPr>
          <w:rFonts w:ascii="Palatino Linotype" w:eastAsia="Palatino Linotype" w:hAnsi="Palatino Linotype" w:cs="Palatino Linotype"/>
          <w:b/>
          <w:color w:val="000000"/>
          <w:sz w:val="22"/>
          <w:szCs w:val="22"/>
        </w:rPr>
        <w:t>Qr</w:t>
      </w:r>
      <w:proofErr w:type="spellEnd"/>
    </w:p>
    <w:p w14:paraId="606ECE3A" w14:textId="77777777" w:rsidR="005D6051" w:rsidRPr="001841B2" w:rsidRDefault="005D6051">
      <w:pPr>
        <w:spacing w:line="360" w:lineRule="auto"/>
        <w:jc w:val="both"/>
        <w:rPr>
          <w:rFonts w:ascii="Palatino Linotype" w:eastAsia="Palatino Linotype" w:hAnsi="Palatino Linotype" w:cs="Palatino Linotype"/>
          <w:b/>
          <w:color w:val="000000"/>
          <w:sz w:val="22"/>
          <w:szCs w:val="22"/>
        </w:rPr>
      </w:pPr>
    </w:p>
    <w:p w14:paraId="15EA718C"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En principio, resulta necesario señalar que los comprobantes fiscales digitales por Internet, deben de incluir un código bidimensional conforme al formato </w:t>
      </w:r>
      <w:r w:rsidRPr="001841B2">
        <w:rPr>
          <w:rFonts w:ascii="Palatino Linotype" w:eastAsia="Palatino Linotype" w:hAnsi="Palatino Linotype" w:cs="Palatino Linotype"/>
          <w:i/>
          <w:color w:val="000000"/>
          <w:sz w:val="22"/>
          <w:szCs w:val="22"/>
        </w:rPr>
        <w:t xml:space="preserve">QR </w:t>
      </w:r>
      <w:proofErr w:type="spellStart"/>
      <w:r w:rsidRPr="001841B2">
        <w:rPr>
          <w:rFonts w:ascii="Palatino Linotype" w:eastAsia="Palatino Linotype" w:hAnsi="Palatino Linotype" w:cs="Palatino Linotype"/>
          <w:i/>
          <w:color w:val="000000"/>
          <w:sz w:val="22"/>
          <w:szCs w:val="22"/>
        </w:rPr>
        <w:t>Code</w:t>
      </w:r>
      <w:proofErr w:type="spellEnd"/>
      <w:r w:rsidRPr="001841B2">
        <w:rPr>
          <w:rFonts w:ascii="Palatino Linotype" w:eastAsia="Palatino Linotype" w:hAnsi="Palatino Linotype" w:cs="Palatino Linotype"/>
          <w:i/>
          <w:color w:val="000000"/>
          <w:sz w:val="22"/>
          <w:szCs w:val="22"/>
        </w:rPr>
        <w:t xml:space="preserve"> (Quick Response </w:t>
      </w:r>
      <w:proofErr w:type="spellStart"/>
      <w:r w:rsidRPr="001841B2">
        <w:rPr>
          <w:rFonts w:ascii="Palatino Linotype" w:eastAsia="Palatino Linotype" w:hAnsi="Palatino Linotype" w:cs="Palatino Linotype"/>
          <w:i/>
          <w:color w:val="000000"/>
          <w:sz w:val="22"/>
          <w:szCs w:val="22"/>
        </w:rPr>
        <w:t>Code</w:t>
      </w:r>
      <w:proofErr w:type="spellEnd"/>
      <w:r w:rsidRPr="001841B2">
        <w:rPr>
          <w:rFonts w:ascii="Palatino Linotype" w:eastAsia="Palatino Linotype" w:hAnsi="Palatino Linotype" w:cs="Palatino Linotype"/>
          <w:i/>
          <w:color w:val="000000"/>
          <w:sz w:val="22"/>
          <w:szCs w:val="22"/>
        </w:rPr>
        <w:t>)</w:t>
      </w:r>
      <w:r w:rsidRPr="001841B2">
        <w:rPr>
          <w:rFonts w:ascii="Palatino Linotype" w:eastAsia="Palatino Linotype" w:hAnsi="Palatino Linotype" w:cs="Palatino Linotype"/>
          <w:color w:val="000000"/>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r w:rsidRPr="001841B2">
          <w:rPr>
            <w:rFonts w:ascii="Palatino Linotype" w:eastAsia="Palatino Linotype" w:hAnsi="Palatino Linotype" w:cs="Palatino Linotype"/>
            <w:color w:val="0563C1"/>
            <w:sz w:val="22"/>
            <w:szCs w:val="22"/>
            <w:u w:val="single"/>
          </w:rPr>
          <w:t>http://dof.gob.mx/nota_detalle.php?codigo=5492254&amp;fecha=28/07/2017</w:t>
        </w:r>
      </w:hyperlink>
      <w:r w:rsidRPr="001841B2">
        <w:rPr>
          <w:rFonts w:ascii="Palatino Linotype" w:eastAsia="Palatino Linotype" w:hAnsi="Palatino Linotype" w:cs="Palatino Linotype"/>
          <w:color w:val="000000"/>
          <w:sz w:val="22"/>
          <w:szCs w:val="22"/>
        </w:rPr>
        <w:t>. Incluso con la captura de dicho código, a través de la aplicación móvil del Servicio de Administración Tributaria, permite el acceso al Registro Federal de Contribuyentes, como del Sujeto Obligado, como de los servidores públicos.</w:t>
      </w:r>
    </w:p>
    <w:p w14:paraId="5E12BF9B"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104D7C8C"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07AFB52B" w14:textId="77777777" w:rsidR="005D6051" w:rsidRPr="001841B2" w:rsidRDefault="005D6051">
      <w:pPr>
        <w:tabs>
          <w:tab w:val="center" w:pos="4522"/>
        </w:tabs>
        <w:spacing w:line="360" w:lineRule="auto"/>
        <w:jc w:val="both"/>
        <w:rPr>
          <w:rFonts w:ascii="Palatino Linotype" w:eastAsia="Palatino Linotype" w:hAnsi="Palatino Linotype" w:cs="Palatino Linotype"/>
          <w:color w:val="000000"/>
          <w:sz w:val="22"/>
          <w:szCs w:val="22"/>
        </w:rPr>
      </w:pPr>
    </w:p>
    <w:p w14:paraId="7AC5EFD6" w14:textId="77777777" w:rsidR="005D6051" w:rsidRPr="001841B2" w:rsidRDefault="00E932F8">
      <w:pPr>
        <w:numPr>
          <w:ilvl w:val="0"/>
          <w:numId w:val="6"/>
        </w:numPr>
        <w:spacing w:after="160"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b/>
          <w:color w:val="000000"/>
          <w:sz w:val="22"/>
          <w:szCs w:val="22"/>
        </w:rPr>
        <w:t>Número de seguridad social del Instituto de Seguridad Social del Estado de México y Municipios</w:t>
      </w:r>
    </w:p>
    <w:p w14:paraId="168ECDF2" w14:textId="77777777" w:rsidR="005D6051" w:rsidRPr="001841B2" w:rsidRDefault="005D6051">
      <w:pPr>
        <w:spacing w:line="360" w:lineRule="auto"/>
        <w:jc w:val="both"/>
        <w:rPr>
          <w:rFonts w:ascii="Palatino Linotype" w:eastAsia="Palatino Linotype" w:hAnsi="Palatino Linotype" w:cs="Palatino Linotype"/>
          <w:b/>
          <w:color w:val="000000"/>
          <w:sz w:val="22"/>
          <w:szCs w:val="22"/>
        </w:rPr>
      </w:pPr>
    </w:p>
    <w:p w14:paraId="7F7F7149"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729FC72"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00C6963B"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D7E0FBA"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482E388C"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03C4055"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127CBED2"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6B12BC5"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65E90838" w14:textId="77777777" w:rsidR="005D6051" w:rsidRPr="001841B2" w:rsidRDefault="00E932F8">
      <w:pPr>
        <w:numPr>
          <w:ilvl w:val="0"/>
          <w:numId w:val="1"/>
        </w:numPr>
        <w:spacing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b/>
          <w:color w:val="000000"/>
          <w:sz w:val="22"/>
          <w:szCs w:val="22"/>
        </w:rPr>
        <w:t>Código Postal del Trabajador</w:t>
      </w:r>
    </w:p>
    <w:p w14:paraId="37ED3C83" w14:textId="77777777" w:rsidR="005D6051" w:rsidRPr="001841B2" w:rsidRDefault="005D6051">
      <w:pPr>
        <w:spacing w:line="360" w:lineRule="auto"/>
        <w:rPr>
          <w:rFonts w:ascii="Palatino Linotype" w:eastAsia="Palatino Linotype" w:hAnsi="Palatino Linotype" w:cs="Palatino Linotype"/>
          <w:b/>
          <w:color w:val="000000"/>
          <w:sz w:val="22"/>
          <w:szCs w:val="22"/>
        </w:rPr>
      </w:pPr>
    </w:p>
    <w:p w14:paraId="23374436" w14:textId="77777777" w:rsidR="005D6051" w:rsidRPr="001841B2" w:rsidRDefault="00E932F8">
      <w:pPr>
        <w:spacing w:line="360" w:lineRule="auto"/>
        <w:ind w:right="-93"/>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A407E32" w14:textId="77777777" w:rsidR="005D6051" w:rsidRPr="001841B2" w:rsidRDefault="005D6051">
      <w:pPr>
        <w:spacing w:line="360" w:lineRule="auto"/>
        <w:ind w:right="-93"/>
        <w:jc w:val="both"/>
        <w:rPr>
          <w:rFonts w:ascii="Palatino Linotype" w:eastAsia="Palatino Linotype" w:hAnsi="Palatino Linotype" w:cs="Palatino Linotype"/>
          <w:color w:val="000000"/>
          <w:sz w:val="22"/>
          <w:szCs w:val="22"/>
        </w:rPr>
      </w:pPr>
    </w:p>
    <w:p w14:paraId="37360EF2" w14:textId="77777777" w:rsidR="005D6051" w:rsidRPr="001841B2" w:rsidRDefault="00E932F8">
      <w:pPr>
        <w:spacing w:line="360" w:lineRule="auto"/>
        <w:ind w:right="-93"/>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De la misma manera, lo establece el artículo 29 del Código Civil Federal, al precisar que el domicilio de personas físicas</w:t>
      </w:r>
      <w:r w:rsidRPr="001841B2">
        <w:rPr>
          <w:rFonts w:ascii="Palatino Linotype" w:eastAsia="Palatino Linotype" w:hAnsi="Palatino Linotype" w:cs="Palatino Linotype"/>
          <w:b/>
          <w:color w:val="000000"/>
          <w:sz w:val="22"/>
          <w:szCs w:val="22"/>
        </w:rPr>
        <w:t xml:space="preserve">, </w:t>
      </w:r>
      <w:r w:rsidRPr="001841B2">
        <w:rPr>
          <w:rFonts w:ascii="Palatino Linotype" w:eastAsia="Palatino Linotype" w:hAnsi="Palatino Linotype" w:cs="Palatino Linotype"/>
          <w:color w:val="000000"/>
          <w:sz w:val="22"/>
          <w:szCs w:val="22"/>
        </w:rPr>
        <w:t>es el lugar donde residen habitualmente, el lugar del centro principal de sus negocios, donde residan o el lugar donde se encuentren.</w:t>
      </w:r>
    </w:p>
    <w:p w14:paraId="2FE81808" w14:textId="77777777" w:rsidR="005D6051" w:rsidRPr="001841B2" w:rsidRDefault="005D6051">
      <w:pPr>
        <w:spacing w:line="360" w:lineRule="auto"/>
        <w:ind w:right="-93"/>
        <w:jc w:val="both"/>
        <w:rPr>
          <w:rFonts w:ascii="Palatino Linotype" w:eastAsia="Palatino Linotype" w:hAnsi="Palatino Linotype" w:cs="Palatino Linotype"/>
          <w:b/>
          <w:color w:val="000000"/>
          <w:sz w:val="22"/>
          <w:szCs w:val="22"/>
        </w:rPr>
      </w:pPr>
    </w:p>
    <w:p w14:paraId="75EEB4A2" w14:textId="77777777" w:rsidR="005D6051" w:rsidRPr="001841B2" w:rsidRDefault="00E932F8">
      <w:pPr>
        <w:spacing w:line="360" w:lineRule="auto"/>
        <w:ind w:right="-93"/>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lastRenderedPageBreak/>
        <w:t xml:space="preserve">En ese contexto, el Código Postal es un código por lo general numérico asignado a diferentes zonas, el cual tiene como objetivo ayudar a ubicar un domicilio que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6194A0DD" w14:textId="77777777" w:rsidR="005D6051" w:rsidRPr="001841B2" w:rsidRDefault="005D6051">
      <w:pPr>
        <w:spacing w:line="360" w:lineRule="auto"/>
        <w:ind w:right="-93"/>
        <w:jc w:val="both"/>
        <w:rPr>
          <w:rFonts w:ascii="Palatino Linotype" w:eastAsia="Palatino Linotype" w:hAnsi="Palatino Linotype" w:cs="Palatino Linotype"/>
          <w:color w:val="000000"/>
          <w:sz w:val="22"/>
          <w:szCs w:val="22"/>
        </w:rPr>
      </w:pPr>
    </w:p>
    <w:p w14:paraId="1DEC1B6C" w14:textId="77777777" w:rsidR="005D6051" w:rsidRPr="001841B2" w:rsidRDefault="00E932F8">
      <w:pPr>
        <w:spacing w:line="360" w:lineRule="auto"/>
        <w:ind w:right="-93"/>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En ese sentido, el Código Postal guarda la naturaleza de privado, pues no abona en nada a la transparencia, ni rinde cuentas de la forma de actuar del trabajador, al contrario la hace ubicable en su carácter de particular.</w:t>
      </w:r>
    </w:p>
    <w:p w14:paraId="05E4CF9C" w14:textId="77777777" w:rsidR="005D6051" w:rsidRPr="001841B2" w:rsidRDefault="005D6051">
      <w:pPr>
        <w:spacing w:line="360" w:lineRule="auto"/>
        <w:ind w:right="-93"/>
        <w:jc w:val="both"/>
        <w:rPr>
          <w:rFonts w:ascii="Palatino Linotype" w:eastAsia="Palatino Linotype" w:hAnsi="Palatino Linotype" w:cs="Palatino Linotype"/>
          <w:color w:val="000000"/>
          <w:sz w:val="22"/>
          <w:szCs w:val="22"/>
        </w:rPr>
      </w:pPr>
    </w:p>
    <w:p w14:paraId="35FD5130" w14:textId="77777777" w:rsidR="005D6051" w:rsidRPr="001841B2" w:rsidRDefault="00E932F8">
      <w:pPr>
        <w:spacing w:line="360" w:lineRule="auto"/>
        <w:ind w:right="-93"/>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Por lo tanto, se actualiza la clasificación del Código Postal, de conformidad con la fracción I, del artículo 143 de la Ley de Transparencia y Acceso a la Información Pública del Estado de México y Municipios.</w:t>
      </w:r>
    </w:p>
    <w:p w14:paraId="52207D25"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436DE50F" w14:textId="77777777" w:rsidR="005D6051" w:rsidRPr="001841B2" w:rsidRDefault="00E932F8">
      <w:pPr>
        <w:numPr>
          <w:ilvl w:val="0"/>
          <w:numId w:val="7"/>
        </w:numPr>
        <w:spacing w:after="160"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b/>
          <w:color w:val="000000"/>
          <w:sz w:val="22"/>
          <w:szCs w:val="22"/>
        </w:rPr>
        <w:t>Deducciones personales</w:t>
      </w:r>
    </w:p>
    <w:p w14:paraId="69F94A83" w14:textId="77777777" w:rsidR="005D6051" w:rsidRPr="001841B2" w:rsidRDefault="005D6051">
      <w:pPr>
        <w:spacing w:line="360" w:lineRule="auto"/>
        <w:ind w:left="720"/>
        <w:jc w:val="both"/>
        <w:rPr>
          <w:rFonts w:ascii="Palatino Linotype" w:eastAsia="Palatino Linotype" w:hAnsi="Palatino Linotype" w:cs="Palatino Linotype"/>
          <w:b/>
          <w:color w:val="000000"/>
          <w:sz w:val="22"/>
          <w:szCs w:val="22"/>
        </w:rPr>
      </w:pPr>
    </w:p>
    <w:p w14:paraId="1BAC6A2B"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4071C0A6"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66F86FA7"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lastRenderedPageBreak/>
        <w:t xml:space="preserve">Asimismo, hay otras que se generan con motivo de una sentencia judicial, como es la pensión alimenticia que periódicamente se retira de la cuenta de un empleado, a efecto de que sea entregado a un tercero.  </w:t>
      </w:r>
    </w:p>
    <w:p w14:paraId="63E04138"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2D32DC3C"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337A9F0"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597F223F" w14:textId="77777777" w:rsidR="005D6051" w:rsidRPr="001841B2" w:rsidRDefault="00E932F8">
      <w:pPr>
        <w:spacing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color w:val="000000"/>
          <w:sz w:val="22"/>
          <w:szCs w:val="22"/>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7D519E5A"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3F34F03C" w14:textId="77777777" w:rsidR="005D6051" w:rsidRPr="001841B2" w:rsidRDefault="00E932F8">
      <w:pPr>
        <w:numPr>
          <w:ilvl w:val="0"/>
          <w:numId w:val="1"/>
        </w:num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b/>
          <w:color w:val="000000"/>
          <w:sz w:val="22"/>
          <w:szCs w:val="22"/>
        </w:rPr>
        <w:t>Cadena original del complemento de certificación digital del organismo previamente señalado</w:t>
      </w:r>
    </w:p>
    <w:p w14:paraId="6CF10C47" w14:textId="77777777" w:rsidR="005D6051" w:rsidRPr="001841B2" w:rsidRDefault="005D6051">
      <w:pPr>
        <w:spacing w:line="360" w:lineRule="auto"/>
        <w:ind w:left="720"/>
        <w:jc w:val="both"/>
        <w:rPr>
          <w:rFonts w:ascii="Palatino Linotype" w:eastAsia="Palatino Linotype" w:hAnsi="Palatino Linotype" w:cs="Palatino Linotype"/>
          <w:b/>
          <w:color w:val="000000"/>
          <w:sz w:val="22"/>
          <w:szCs w:val="22"/>
        </w:rPr>
      </w:pPr>
    </w:p>
    <w:p w14:paraId="767101DE"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w:t>
      </w:r>
      <w:r w:rsidRPr="001841B2">
        <w:rPr>
          <w:rFonts w:ascii="Palatino Linotype" w:eastAsia="Palatino Linotype" w:hAnsi="Palatino Linotype" w:cs="Palatino Linotype"/>
          <w:color w:val="000000"/>
          <w:sz w:val="22"/>
          <w:szCs w:val="22"/>
        </w:rPr>
        <w:lastRenderedPageBreak/>
        <w:t>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8618813"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w:t>
      </w:r>
    </w:p>
    <w:p w14:paraId="00AE266F"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Las cadenas originales que se agregan</w:t>
      </w:r>
      <w:r w:rsidRPr="001841B2">
        <w:rPr>
          <w:rFonts w:ascii="Palatino Linotype" w:eastAsia="Palatino Linotype" w:hAnsi="Palatino Linotype" w:cs="Palatino Linotype"/>
          <w:b/>
          <w:color w:val="000000"/>
          <w:sz w:val="22"/>
          <w:szCs w:val="22"/>
        </w:rPr>
        <w:t>,</w:t>
      </w:r>
      <w:r w:rsidRPr="001841B2">
        <w:rPr>
          <w:rFonts w:ascii="Palatino Linotype" w:eastAsia="Palatino Linotype" w:hAnsi="Palatino Linotype" w:cs="Palatino Linotype"/>
          <w:color w:val="000000"/>
          <w:sz w:val="22"/>
          <w:szCs w:val="22"/>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34052886"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w:t>
      </w:r>
    </w:p>
    <w:p w14:paraId="44F05900" w14:textId="77777777" w:rsidR="005D6051" w:rsidRPr="001841B2" w:rsidRDefault="00E932F8">
      <w:pPr>
        <w:spacing w:line="360" w:lineRule="auto"/>
        <w:ind w:left="567" w:right="539"/>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w:t>
      </w:r>
    </w:p>
    <w:p w14:paraId="53931C71" w14:textId="77777777" w:rsidR="005D6051" w:rsidRPr="001841B2" w:rsidRDefault="00E932F8">
      <w:pPr>
        <w:spacing w:line="360" w:lineRule="auto"/>
        <w:ind w:left="567" w:right="539"/>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Elementos utilizados en la generación de Sellos Digitales:</w:t>
      </w:r>
    </w:p>
    <w:p w14:paraId="4DB70F7D" w14:textId="77777777" w:rsidR="005D6051" w:rsidRPr="001841B2" w:rsidRDefault="005D6051">
      <w:pPr>
        <w:spacing w:line="360" w:lineRule="auto"/>
        <w:ind w:left="567" w:right="539"/>
        <w:jc w:val="both"/>
        <w:rPr>
          <w:rFonts w:ascii="Palatino Linotype" w:eastAsia="Palatino Linotype" w:hAnsi="Palatino Linotype" w:cs="Palatino Linotype"/>
          <w:i/>
          <w:color w:val="000000"/>
        </w:rPr>
      </w:pPr>
    </w:p>
    <w:p w14:paraId="02DA1298" w14:textId="77777777" w:rsidR="005D6051" w:rsidRPr="001841B2" w:rsidRDefault="00E932F8">
      <w:pPr>
        <w:spacing w:line="360" w:lineRule="auto"/>
        <w:ind w:left="567" w:right="539"/>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w:t>
      </w:r>
      <w:r w:rsidRPr="001841B2">
        <w:rPr>
          <w:rFonts w:ascii="Palatino Linotype" w:eastAsia="Palatino Linotype" w:hAnsi="Palatino Linotype" w:cs="Palatino Linotype"/>
          <w:i/>
          <w:color w:val="000000"/>
        </w:rPr>
        <w:tab/>
        <w:t>Cadena Original, el elemento a sellar, en este caso de un comprobante fiscal digital a través de Internet.</w:t>
      </w:r>
    </w:p>
    <w:p w14:paraId="0307FF14" w14:textId="77777777" w:rsidR="005D6051" w:rsidRPr="001841B2" w:rsidRDefault="00E932F8">
      <w:pPr>
        <w:spacing w:line="360" w:lineRule="auto"/>
        <w:ind w:left="567" w:right="539"/>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w:t>
      </w:r>
      <w:r w:rsidRPr="001841B2">
        <w:rPr>
          <w:rFonts w:ascii="Palatino Linotype" w:eastAsia="Palatino Linotype" w:hAnsi="Palatino Linotype" w:cs="Palatino Linotype"/>
          <w:i/>
          <w:color w:val="000000"/>
        </w:rPr>
        <w:tab/>
        <w:t>Certificado de Sello Digital y su correspondiente clave privada.</w:t>
      </w:r>
    </w:p>
    <w:p w14:paraId="64D15C09" w14:textId="77777777" w:rsidR="005D6051" w:rsidRPr="001841B2" w:rsidRDefault="00E932F8">
      <w:pPr>
        <w:spacing w:line="360" w:lineRule="auto"/>
        <w:ind w:left="567" w:right="539"/>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w:t>
      </w:r>
      <w:r w:rsidRPr="001841B2">
        <w:rPr>
          <w:rFonts w:ascii="Palatino Linotype" w:eastAsia="Palatino Linotype" w:hAnsi="Palatino Linotype" w:cs="Palatino Linotype"/>
          <w:i/>
          <w:color w:val="000000"/>
        </w:rPr>
        <w:tab/>
        <w:t>Algoritmos de criptografía de clave pública para firma electrónica avanzada.</w:t>
      </w:r>
    </w:p>
    <w:p w14:paraId="4EC4B7D4" w14:textId="77777777" w:rsidR="005D6051" w:rsidRPr="001841B2" w:rsidRDefault="00E932F8">
      <w:pPr>
        <w:spacing w:line="360" w:lineRule="auto"/>
        <w:ind w:left="567" w:right="539"/>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w:t>
      </w:r>
      <w:r w:rsidRPr="001841B2">
        <w:rPr>
          <w:rFonts w:ascii="Palatino Linotype" w:eastAsia="Palatino Linotype" w:hAnsi="Palatino Linotype" w:cs="Palatino Linotype"/>
          <w:i/>
          <w:color w:val="000000"/>
        </w:rPr>
        <w:tab/>
        <w:t>Especificaciones de conversión de la firma electrónica avanzada a Base 64.</w:t>
      </w:r>
    </w:p>
    <w:p w14:paraId="6BCD2E28" w14:textId="77777777" w:rsidR="005D6051" w:rsidRPr="001841B2" w:rsidRDefault="00E932F8">
      <w:pPr>
        <w:spacing w:line="360" w:lineRule="auto"/>
        <w:ind w:left="567" w:right="539"/>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Para la generación de sellos digitales se utiliza criptografía de clave pública aplicada a una cadena original.</w:t>
      </w:r>
    </w:p>
    <w:p w14:paraId="3970B52F" w14:textId="77777777" w:rsidR="005D6051" w:rsidRPr="001841B2" w:rsidRDefault="005D6051">
      <w:pPr>
        <w:spacing w:line="360" w:lineRule="auto"/>
        <w:ind w:left="567" w:right="539"/>
        <w:jc w:val="both"/>
        <w:rPr>
          <w:rFonts w:ascii="Palatino Linotype" w:eastAsia="Palatino Linotype" w:hAnsi="Palatino Linotype" w:cs="Palatino Linotype"/>
          <w:i/>
          <w:color w:val="000000"/>
        </w:rPr>
      </w:pPr>
    </w:p>
    <w:p w14:paraId="33E3A145" w14:textId="77777777" w:rsidR="005D6051" w:rsidRPr="001841B2" w:rsidRDefault="00E932F8">
      <w:pPr>
        <w:spacing w:line="360" w:lineRule="auto"/>
        <w:ind w:left="567" w:right="539"/>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Criptografía de la Clave Pública</w:t>
      </w:r>
    </w:p>
    <w:p w14:paraId="3EAE9BB3" w14:textId="77777777" w:rsidR="005D6051" w:rsidRPr="001841B2" w:rsidRDefault="005D6051">
      <w:pPr>
        <w:spacing w:line="360" w:lineRule="auto"/>
        <w:ind w:left="567" w:right="539"/>
        <w:jc w:val="both"/>
        <w:rPr>
          <w:rFonts w:ascii="Palatino Linotype" w:eastAsia="Palatino Linotype" w:hAnsi="Palatino Linotype" w:cs="Palatino Linotype"/>
          <w:i/>
          <w:color w:val="000000"/>
        </w:rPr>
      </w:pPr>
    </w:p>
    <w:p w14:paraId="4B97EE61" w14:textId="77777777" w:rsidR="005D6051" w:rsidRPr="001841B2" w:rsidRDefault="00E932F8">
      <w:pPr>
        <w:spacing w:line="360" w:lineRule="auto"/>
        <w:ind w:left="567" w:right="539"/>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 xml:space="preserve">La criptografía de Clave Pública se basa en la generación de una pareja de números muy grandes relacionados íntimamente entre sí, de tal manera que una operación de </w:t>
      </w:r>
      <w:proofErr w:type="spellStart"/>
      <w:r w:rsidRPr="001841B2">
        <w:rPr>
          <w:rFonts w:ascii="Palatino Linotype" w:eastAsia="Palatino Linotype" w:hAnsi="Palatino Linotype" w:cs="Palatino Linotype"/>
          <w:i/>
          <w:color w:val="000000"/>
        </w:rPr>
        <w:t>encripción</w:t>
      </w:r>
      <w:proofErr w:type="spellEnd"/>
      <w:r w:rsidRPr="001841B2">
        <w:rPr>
          <w:rFonts w:ascii="Palatino Linotype" w:eastAsia="Palatino Linotype" w:hAnsi="Palatino Linotype" w:cs="Palatino Linotype"/>
          <w:i/>
          <w:color w:val="000000"/>
        </w:rPr>
        <w:t xml:space="preserve"> sobre un mensaje tomando como clave de </w:t>
      </w:r>
      <w:proofErr w:type="spellStart"/>
      <w:r w:rsidRPr="001841B2">
        <w:rPr>
          <w:rFonts w:ascii="Palatino Linotype" w:eastAsia="Palatino Linotype" w:hAnsi="Palatino Linotype" w:cs="Palatino Linotype"/>
          <w:i/>
          <w:color w:val="000000"/>
        </w:rPr>
        <w:t>encripción</w:t>
      </w:r>
      <w:proofErr w:type="spellEnd"/>
      <w:r w:rsidRPr="001841B2">
        <w:rPr>
          <w:rFonts w:ascii="Palatino Linotype" w:eastAsia="Palatino Linotype" w:hAnsi="Palatino Linotype" w:cs="Palatino Linotype"/>
          <w:i/>
          <w:color w:val="000000"/>
        </w:rPr>
        <w:t xml:space="preserve"> a uno de los dos números, produce un mensaje alterado en su </w:t>
      </w:r>
      <w:r w:rsidRPr="001841B2">
        <w:rPr>
          <w:rFonts w:ascii="Palatino Linotype" w:eastAsia="Palatino Linotype" w:hAnsi="Palatino Linotype" w:cs="Palatino Linotype"/>
          <w:i/>
          <w:color w:val="000000"/>
        </w:rPr>
        <w:lastRenderedPageBreak/>
        <w:t xml:space="preserve">significado que solo puede ser devuelto a su estado original mediante la operación de </w:t>
      </w:r>
      <w:proofErr w:type="spellStart"/>
      <w:r w:rsidRPr="001841B2">
        <w:rPr>
          <w:rFonts w:ascii="Palatino Linotype" w:eastAsia="Palatino Linotype" w:hAnsi="Palatino Linotype" w:cs="Palatino Linotype"/>
          <w:i/>
          <w:color w:val="000000"/>
        </w:rPr>
        <w:t>desencripción</w:t>
      </w:r>
      <w:proofErr w:type="spellEnd"/>
      <w:r w:rsidRPr="001841B2">
        <w:rPr>
          <w:rFonts w:ascii="Palatino Linotype" w:eastAsia="Palatino Linotype" w:hAnsi="Palatino Linotype" w:cs="Palatino Linotype"/>
          <w:i/>
          <w:color w:val="000000"/>
        </w:rPr>
        <w:t xml:space="preserve"> correspondiente tomando como clave de </w:t>
      </w:r>
      <w:proofErr w:type="spellStart"/>
      <w:r w:rsidRPr="001841B2">
        <w:rPr>
          <w:rFonts w:ascii="Palatino Linotype" w:eastAsia="Palatino Linotype" w:hAnsi="Palatino Linotype" w:cs="Palatino Linotype"/>
          <w:i/>
          <w:color w:val="000000"/>
        </w:rPr>
        <w:t>desencripción</w:t>
      </w:r>
      <w:proofErr w:type="spellEnd"/>
      <w:r w:rsidRPr="001841B2">
        <w:rPr>
          <w:rFonts w:ascii="Palatino Linotype" w:eastAsia="Palatino Linotype" w:hAnsi="Palatino Linotype" w:cs="Palatino Linotype"/>
          <w:i/>
          <w:color w:val="000000"/>
        </w:rPr>
        <w:t xml:space="preserve"> al otro número de la pareja.</w:t>
      </w:r>
    </w:p>
    <w:p w14:paraId="1EA0DC9A" w14:textId="77777777" w:rsidR="005D6051" w:rsidRPr="001841B2" w:rsidRDefault="00E932F8">
      <w:pPr>
        <w:spacing w:line="360" w:lineRule="auto"/>
        <w:ind w:left="567" w:right="539"/>
        <w:jc w:val="both"/>
        <w:rPr>
          <w:rFonts w:ascii="Palatino Linotype" w:eastAsia="Palatino Linotype" w:hAnsi="Palatino Linotype" w:cs="Palatino Linotype"/>
          <w:i/>
          <w:color w:val="000000"/>
        </w:rPr>
      </w:pPr>
      <w:r w:rsidRPr="001841B2">
        <w:rPr>
          <w:rFonts w:ascii="Palatino Linotype" w:eastAsia="Palatino Linotype" w:hAnsi="Palatino Linotype" w:cs="Palatino Linotype"/>
          <w:i/>
          <w:color w:val="000000"/>
        </w:rPr>
        <w:t>…”</w:t>
      </w:r>
    </w:p>
    <w:p w14:paraId="1C3BBFDD"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w:t>
      </w:r>
    </w:p>
    <w:p w14:paraId="3B3C3270"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F67D286"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1D041E5F"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420DE520"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2A1BC276" w14:textId="77777777" w:rsidR="005D6051" w:rsidRPr="001841B2" w:rsidRDefault="00E932F8">
      <w:pPr>
        <w:numPr>
          <w:ilvl w:val="0"/>
          <w:numId w:val="1"/>
        </w:numPr>
        <w:spacing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b/>
          <w:color w:val="000000"/>
          <w:sz w:val="22"/>
          <w:szCs w:val="22"/>
        </w:rPr>
        <w:t>Folio Fiscal</w:t>
      </w:r>
    </w:p>
    <w:p w14:paraId="05FFE770"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455E5A80"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Ahora bien, por lo que hace </w:t>
      </w:r>
      <w:r w:rsidRPr="001841B2">
        <w:rPr>
          <w:rFonts w:ascii="Palatino Linotype" w:eastAsia="Palatino Linotype" w:hAnsi="Palatino Linotype" w:cs="Palatino Linotype"/>
          <w:b/>
          <w:color w:val="000000"/>
          <w:sz w:val="22"/>
          <w:szCs w:val="22"/>
        </w:rPr>
        <w:t>Folio Fiscal,</w:t>
      </w:r>
      <w:r w:rsidRPr="001841B2">
        <w:rPr>
          <w:rFonts w:ascii="Palatino Linotype" w:eastAsia="Palatino Linotype" w:hAnsi="Palatino Linotype" w:cs="Palatino Linotype"/>
          <w:color w:val="000000"/>
          <w:sz w:val="22"/>
          <w:szCs w:val="22"/>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4FC2BDC9"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 </w:t>
      </w:r>
    </w:p>
    <w:p w14:paraId="7CF7A753" w14:textId="77777777" w:rsidR="005D6051" w:rsidRPr="001841B2" w:rsidRDefault="00E932F8">
      <w:pPr>
        <w:spacing w:line="360" w:lineRule="auto"/>
        <w:jc w:val="center"/>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noProof/>
          <w:color w:val="000000"/>
          <w:sz w:val="22"/>
          <w:szCs w:val="22"/>
        </w:rPr>
        <w:lastRenderedPageBreak/>
        <w:drawing>
          <wp:inline distT="0" distB="0" distL="0" distR="0" wp14:anchorId="54B66A72" wp14:editId="751E6869">
            <wp:extent cx="4438650" cy="1028700"/>
            <wp:effectExtent l="0" t="0" r="0" b="0"/>
            <wp:docPr id="1435878355"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exto&#10;&#10;Descripción generada automáticamente"/>
                    <pic:cNvPicPr preferRelativeResize="0"/>
                  </pic:nvPicPr>
                  <pic:blipFill>
                    <a:blip r:embed="rId12"/>
                    <a:srcRect/>
                    <a:stretch>
                      <a:fillRect/>
                    </a:stretch>
                  </pic:blipFill>
                  <pic:spPr>
                    <a:xfrm>
                      <a:off x="0" y="0"/>
                      <a:ext cx="4438650" cy="1028700"/>
                    </a:xfrm>
                    <a:prstGeom prst="rect">
                      <a:avLst/>
                    </a:prstGeom>
                    <a:ln/>
                  </pic:spPr>
                </pic:pic>
              </a:graphicData>
            </a:graphic>
          </wp:inline>
        </w:drawing>
      </w:r>
    </w:p>
    <w:p w14:paraId="43DB1D27"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47FA40B4"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6910391" w14:textId="77777777" w:rsidR="005D6051" w:rsidRPr="001841B2" w:rsidRDefault="005D6051">
      <w:pPr>
        <w:widowControl w:val="0"/>
        <w:tabs>
          <w:tab w:val="center" w:pos="4522"/>
        </w:tabs>
        <w:spacing w:line="360" w:lineRule="auto"/>
        <w:jc w:val="both"/>
        <w:rPr>
          <w:rFonts w:ascii="Palatino Linotype" w:eastAsia="Palatino Linotype" w:hAnsi="Palatino Linotype" w:cs="Palatino Linotype"/>
          <w:color w:val="000000"/>
          <w:sz w:val="22"/>
          <w:szCs w:val="22"/>
        </w:rPr>
      </w:pPr>
    </w:p>
    <w:p w14:paraId="6442CB22"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Finalmente, el Sujeto Obligado, deberá elaborar la versión pública respectiva, tomando en consideración los datos analizados;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177C20C"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1A5C3960" w14:textId="77777777" w:rsidR="005D6051" w:rsidRPr="001841B2" w:rsidRDefault="00E932F8">
      <w:pPr>
        <w:pStyle w:val="Ttulo2"/>
        <w:spacing w:before="0" w:after="0" w:line="360" w:lineRule="auto"/>
        <w:rPr>
          <w:rFonts w:ascii="Palatino Linotype" w:eastAsia="Palatino Linotype" w:hAnsi="Palatino Linotype" w:cs="Palatino Linotype"/>
          <w:b/>
          <w:color w:val="000000"/>
          <w:sz w:val="22"/>
          <w:szCs w:val="22"/>
        </w:rPr>
      </w:pPr>
      <w:bookmarkStart w:id="15" w:name="_heading=h.ndwnsvwje1ys" w:colFirst="0" w:colLast="0"/>
      <w:bookmarkEnd w:id="15"/>
      <w:r w:rsidRPr="001841B2">
        <w:rPr>
          <w:rFonts w:ascii="Palatino Linotype" w:eastAsia="Palatino Linotype" w:hAnsi="Palatino Linotype" w:cs="Palatino Linotype"/>
          <w:b/>
          <w:color w:val="000000"/>
          <w:sz w:val="22"/>
          <w:szCs w:val="22"/>
        </w:rPr>
        <w:lastRenderedPageBreak/>
        <w:t xml:space="preserve">SEXTO. Decisión </w:t>
      </w:r>
    </w:p>
    <w:p w14:paraId="5F11EAD2" w14:textId="77777777" w:rsidR="005D6051" w:rsidRPr="001841B2" w:rsidRDefault="00E932F8">
      <w:pPr>
        <w:spacing w:line="360" w:lineRule="auto"/>
        <w:jc w:val="both"/>
        <w:rPr>
          <w:rFonts w:ascii="Palatino Linotype" w:eastAsia="Palatino Linotype" w:hAnsi="Palatino Linotype" w:cs="Palatino Linotype"/>
          <w:b/>
          <w:sz w:val="22"/>
          <w:szCs w:val="22"/>
        </w:rPr>
      </w:pPr>
      <w:r w:rsidRPr="001841B2">
        <w:rPr>
          <w:rFonts w:ascii="Palatino Linotype" w:eastAsia="Palatino Linotype" w:hAnsi="Palatino Linotype" w:cs="Palatino Linotype"/>
          <w:b/>
          <w:sz w:val="22"/>
          <w:szCs w:val="22"/>
        </w:rPr>
        <w:t xml:space="preserve"> </w:t>
      </w:r>
    </w:p>
    <w:p w14:paraId="4D6A570D"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De acuerdo con lo expuesto y, con fundamento en el artículo 186, fracción III, de la Ley de Transparencia y Acceso a la Información Pública del Estado de México y Municipios, este Instituto considera procedente </w:t>
      </w:r>
      <w:r w:rsidRPr="001841B2">
        <w:rPr>
          <w:rFonts w:ascii="Palatino Linotype" w:eastAsia="Palatino Linotype" w:hAnsi="Palatino Linotype" w:cs="Palatino Linotype"/>
          <w:b/>
          <w:color w:val="000000"/>
          <w:sz w:val="22"/>
          <w:szCs w:val="22"/>
        </w:rPr>
        <w:t xml:space="preserve">MODIFICAR </w:t>
      </w:r>
      <w:r w:rsidRPr="001841B2">
        <w:rPr>
          <w:rFonts w:ascii="Palatino Linotype" w:eastAsia="Palatino Linotype" w:hAnsi="Palatino Linotype" w:cs="Palatino Linotype"/>
          <w:color w:val="000000"/>
          <w:sz w:val="22"/>
          <w:szCs w:val="22"/>
        </w:rPr>
        <w:t>la respuesta del Ayuntamiento de Tepotzotlán, a efecto de que entregue la información faltante.</w:t>
      </w:r>
    </w:p>
    <w:p w14:paraId="039A629F" w14:textId="77777777" w:rsidR="005D6051" w:rsidRPr="001841B2" w:rsidRDefault="005D6051">
      <w:pPr>
        <w:spacing w:line="360" w:lineRule="auto"/>
      </w:pPr>
    </w:p>
    <w:p w14:paraId="54C61985" w14:textId="77777777" w:rsidR="005D6051" w:rsidRPr="001841B2" w:rsidRDefault="00E932F8">
      <w:pPr>
        <w:spacing w:line="360" w:lineRule="auto"/>
        <w:jc w:val="both"/>
        <w:rPr>
          <w:rFonts w:ascii="Palatino Linotype" w:eastAsia="Palatino Linotype" w:hAnsi="Palatino Linotype" w:cs="Palatino Linotype"/>
          <w:b/>
          <w:color w:val="000000"/>
          <w:sz w:val="22"/>
          <w:szCs w:val="22"/>
        </w:rPr>
      </w:pPr>
      <w:r w:rsidRPr="001841B2">
        <w:rPr>
          <w:rFonts w:ascii="Palatino Linotype" w:eastAsia="Palatino Linotype" w:hAnsi="Palatino Linotype" w:cs="Palatino Linotype"/>
          <w:b/>
          <w:color w:val="000000"/>
          <w:sz w:val="22"/>
          <w:szCs w:val="22"/>
        </w:rPr>
        <w:t>Términos de la Resolución p</w:t>
      </w:r>
      <w:r w:rsidR="001841B2" w:rsidRPr="001841B2">
        <w:rPr>
          <w:rFonts w:ascii="Palatino Linotype" w:eastAsia="Palatino Linotype" w:hAnsi="Palatino Linotype" w:cs="Palatino Linotype"/>
          <w:b/>
          <w:color w:val="000000"/>
          <w:sz w:val="22"/>
          <w:szCs w:val="22"/>
        </w:rPr>
        <w:t>ara conocimiento del Particular</w:t>
      </w:r>
    </w:p>
    <w:p w14:paraId="4ECDE027" w14:textId="77777777" w:rsidR="005D6051" w:rsidRPr="001841B2" w:rsidRDefault="005D6051">
      <w:pPr>
        <w:spacing w:line="360" w:lineRule="auto"/>
        <w:jc w:val="both"/>
        <w:rPr>
          <w:rFonts w:ascii="Palatino Linotype" w:eastAsia="Palatino Linotype" w:hAnsi="Palatino Linotype" w:cs="Palatino Linotype"/>
          <w:b/>
          <w:color w:val="000000"/>
          <w:sz w:val="22"/>
          <w:szCs w:val="22"/>
        </w:rPr>
      </w:pPr>
    </w:p>
    <w:p w14:paraId="4B1D1408" w14:textId="77777777" w:rsidR="005D6051" w:rsidRPr="001841B2" w:rsidRDefault="00E932F8">
      <w:pPr>
        <w:spacing w:line="360" w:lineRule="auto"/>
        <w:ind w:right="-28"/>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color w:val="000000"/>
          <w:sz w:val="22"/>
          <w:szCs w:val="22"/>
        </w:rPr>
        <w:t>Se le hace del conocimiento al Particular, que, en el presente caso, se le concede la razón, pues el Sujetó Obligado no proporcionó la información solicitada, por lo que deberá entregar la información. La labor del Instituto es apoyar a la población a acceder a la información pública y garantizar la protección de los datos personales.</w:t>
      </w:r>
    </w:p>
    <w:p w14:paraId="359644E8" w14:textId="77777777" w:rsidR="005D6051" w:rsidRPr="001841B2" w:rsidRDefault="005D6051">
      <w:pPr>
        <w:spacing w:line="360" w:lineRule="auto"/>
        <w:ind w:right="-28"/>
        <w:jc w:val="both"/>
        <w:rPr>
          <w:rFonts w:ascii="Palatino Linotype" w:eastAsia="Palatino Linotype" w:hAnsi="Palatino Linotype" w:cs="Palatino Linotype"/>
          <w:sz w:val="22"/>
          <w:szCs w:val="22"/>
        </w:rPr>
      </w:pPr>
    </w:p>
    <w:p w14:paraId="60DE557E"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Por lo expuesto y fundado, este Pleno:</w:t>
      </w:r>
    </w:p>
    <w:p w14:paraId="4C829B1D"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4985874B" w14:textId="77777777" w:rsidR="005D6051" w:rsidRPr="001841B2" w:rsidRDefault="00E932F8">
      <w:pPr>
        <w:pStyle w:val="Ttulo1"/>
        <w:spacing w:before="0" w:after="0" w:line="360" w:lineRule="auto"/>
        <w:jc w:val="center"/>
        <w:rPr>
          <w:rFonts w:ascii="Palatino Linotype" w:eastAsia="Palatino Linotype" w:hAnsi="Palatino Linotype" w:cs="Palatino Linotype"/>
          <w:b/>
          <w:color w:val="0D0D0D"/>
          <w:sz w:val="22"/>
          <w:szCs w:val="22"/>
        </w:rPr>
      </w:pPr>
      <w:bookmarkStart w:id="16" w:name="_heading=h.y13kmyisacf8" w:colFirst="0" w:colLast="0"/>
      <w:bookmarkEnd w:id="16"/>
      <w:r w:rsidRPr="001841B2">
        <w:rPr>
          <w:rFonts w:ascii="Palatino Linotype" w:eastAsia="Palatino Linotype" w:hAnsi="Palatino Linotype" w:cs="Palatino Linotype"/>
          <w:b/>
          <w:color w:val="0D0D0D"/>
          <w:sz w:val="22"/>
          <w:szCs w:val="22"/>
        </w:rPr>
        <w:t>R E S U E L V E</w:t>
      </w:r>
    </w:p>
    <w:p w14:paraId="22A42755"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 </w:t>
      </w:r>
    </w:p>
    <w:p w14:paraId="0E85AE9D"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b/>
          <w:sz w:val="22"/>
          <w:szCs w:val="22"/>
        </w:rPr>
        <w:t xml:space="preserve">PRIMERO. </w:t>
      </w:r>
      <w:r w:rsidRPr="001841B2">
        <w:rPr>
          <w:rFonts w:ascii="Palatino Linotype" w:eastAsia="Palatino Linotype" w:hAnsi="Palatino Linotype" w:cs="Palatino Linotype"/>
          <w:color w:val="000000"/>
          <w:sz w:val="22"/>
          <w:szCs w:val="22"/>
        </w:rPr>
        <w:t xml:space="preserve">Se </w:t>
      </w:r>
      <w:r w:rsidRPr="001841B2">
        <w:rPr>
          <w:rFonts w:ascii="Palatino Linotype" w:eastAsia="Palatino Linotype" w:hAnsi="Palatino Linotype" w:cs="Palatino Linotype"/>
          <w:b/>
          <w:color w:val="000000"/>
          <w:sz w:val="22"/>
          <w:szCs w:val="22"/>
        </w:rPr>
        <w:t xml:space="preserve">MODIFICA </w:t>
      </w:r>
      <w:r w:rsidRPr="001841B2">
        <w:rPr>
          <w:rFonts w:ascii="Palatino Linotype" w:eastAsia="Palatino Linotype" w:hAnsi="Palatino Linotype" w:cs="Palatino Linotype"/>
          <w:color w:val="000000"/>
          <w:sz w:val="22"/>
          <w:szCs w:val="22"/>
        </w:rPr>
        <w:t xml:space="preserve">la respuesta entregada por el Ayuntamiento de Tepotzotlán, a la solicitud de información </w:t>
      </w:r>
      <w:r w:rsidRPr="001841B2">
        <w:rPr>
          <w:rFonts w:ascii="Palatino Linotype" w:eastAsia="Palatino Linotype" w:hAnsi="Palatino Linotype" w:cs="Palatino Linotype"/>
          <w:sz w:val="22"/>
          <w:szCs w:val="22"/>
        </w:rPr>
        <w:t>00286/TEPOTZOT/IP/2025</w:t>
      </w:r>
      <w:r w:rsidRPr="001841B2">
        <w:rPr>
          <w:rFonts w:ascii="Palatino Linotype" w:eastAsia="Palatino Linotype" w:hAnsi="Palatino Linotype" w:cs="Palatino Linotype"/>
          <w:color w:val="000000"/>
          <w:sz w:val="22"/>
          <w:szCs w:val="22"/>
        </w:rPr>
        <w:t xml:space="preserve">, por resultar parcialmente </w:t>
      </w:r>
      <w:r w:rsidRPr="001841B2">
        <w:rPr>
          <w:rFonts w:ascii="Palatino Linotype" w:eastAsia="Palatino Linotype" w:hAnsi="Palatino Linotype" w:cs="Palatino Linotype"/>
          <w:b/>
          <w:color w:val="000000"/>
          <w:sz w:val="22"/>
          <w:szCs w:val="22"/>
        </w:rPr>
        <w:t>FUNDADAS</w:t>
      </w:r>
      <w:r w:rsidRPr="001841B2">
        <w:rPr>
          <w:rFonts w:ascii="Palatino Linotype" w:eastAsia="Palatino Linotype" w:hAnsi="Palatino Linotype" w:cs="Palatino Linotype"/>
          <w:color w:val="000000"/>
          <w:sz w:val="22"/>
          <w:szCs w:val="22"/>
        </w:rPr>
        <w:t xml:space="preserve"> las razones o motivos de inconformidad hechos valer por la Particular, en términos de los considerandos QUINTO y SEXTO de la presente Resolución.</w:t>
      </w:r>
    </w:p>
    <w:p w14:paraId="3988827F" w14:textId="77777777" w:rsidR="005D6051" w:rsidRPr="001841B2" w:rsidRDefault="005D6051">
      <w:pPr>
        <w:spacing w:line="360" w:lineRule="auto"/>
        <w:jc w:val="both"/>
        <w:rPr>
          <w:rFonts w:ascii="Palatino Linotype" w:eastAsia="Palatino Linotype" w:hAnsi="Palatino Linotype" w:cs="Palatino Linotype"/>
          <w:b/>
          <w:sz w:val="22"/>
          <w:szCs w:val="22"/>
        </w:rPr>
      </w:pPr>
    </w:p>
    <w:p w14:paraId="45030439"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b/>
          <w:sz w:val="22"/>
          <w:szCs w:val="22"/>
        </w:rPr>
        <w:t xml:space="preserve">SEGUNDO. </w:t>
      </w:r>
      <w:r w:rsidRPr="001841B2">
        <w:rPr>
          <w:rFonts w:ascii="Palatino Linotype" w:eastAsia="Palatino Linotype" w:hAnsi="Palatino Linotype" w:cs="Palatino Linotype"/>
          <w:sz w:val="22"/>
          <w:szCs w:val="22"/>
        </w:rPr>
        <w:t xml:space="preserve">Se </w:t>
      </w:r>
      <w:r w:rsidRPr="001841B2">
        <w:rPr>
          <w:rFonts w:ascii="Palatino Linotype" w:eastAsia="Palatino Linotype" w:hAnsi="Palatino Linotype" w:cs="Palatino Linotype"/>
          <w:b/>
          <w:sz w:val="22"/>
          <w:szCs w:val="22"/>
        </w:rPr>
        <w:t xml:space="preserve">ORDENA </w:t>
      </w:r>
      <w:r w:rsidRPr="001841B2">
        <w:rPr>
          <w:rFonts w:ascii="Palatino Linotype" w:eastAsia="Palatino Linotype" w:hAnsi="Palatino Linotype" w:cs="Palatino Linotype"/>
          <w:sz w:val="22"/>
          <w:szCs w:val="22"/>
        </w:rPr>
        <w:t xml:space="preserve">al Ente Recurrido, </w:t>
      </w:r>
      <w:r w:rsidRPr="001841B2">
        <w:rPr>
          <w:rFonts w:ascii="Palatino Linotype" w:eastAsia="Palatino Linotype" w:hAnsi="Palatino Linotype" w:cs="Palatino Linotype"/>
          <w:color w:val="000000"/>
          <w:sz w:val="22"/>
          <w:szCs w:val="22"/>
        </w:rPr>
        <w:t xml:space="preserve">a efecto de que previa búsqueda exhaustiva y razonable en los archivos de las unidades administrativas competentes, entregue a través del </w:t>
      </w:r>
      <w:r w:rsidRPr="001841B2">
        <w:rPr>
          <w:rFonts w:ascii="Palatino Linotype" w:eastAsia="Palatino Linotype" w:hAnsi="Palatino Linotype" w:cs="Palatino Linotype"/>
          <w:color w:val="000000"/>
          <w:sz w:val="22"/>
          <w:szCs w:val="22"/>
        </w:rPr>
        <w:lastRenderedPageBreak/>
        <w:t>Sistema de Acceso a la Información Mexiquense (SAIMEX), en su caso, en versión pública, de la Jefa de Imagen Urbana, los documentos donde conste lo siguiente:</w:t>
      </w:r>
    </w:p>
    <w:p w14:paraId="1FC5E07E"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0541F6D4" w14:textId="77777777" w:rsidR="005D6051" w:rsidRPr="001841B2" w:rsidRDefault="00E932F8">
      <w:pPr>
        <w:numPr>
          <w:ilvl w:val="0"/>
          <w:numId w:val="10"/>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El permiso o autorización a cuenta de vacaciones referido en respuesta </w:t>
      </w:r>
    </w:p>
    <w:p w14:paraId="4EA6C735" w14:textId="77777777" w:rsidR="005D6051" w:rsidRPr="001841B2" w:rsidRDefault="00E932F8">
      <w:pPr>
        <w:numPr>
          <w:ilvl w:val="0"/>
          <w:numId w:val="10"/>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El permiso o justificación de falta, del primero al cinco y del siete al trece de junio de dos mil veinticinco</w:t>
      </w:r>
    </w:p>
    <w:p w14:paraId="6F350BD3" w14:textId="77777777" w:rsidR="005D6051" w:rsidRPr="001841B2" w:rsidRDefault="00E932F8">
      <w:pPr>
        <w:numPr>
          <w:ilvl w:val="0"/>
          <w:numId w:val="10"/>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 xml:space="preserve">Recibo de nómina de la primera quincena de junio de dos mil veinticinco </w:t>
      </w:r>
    </w:p>
    <w:p w14:paraId="61139A1B" w14:textId="77777777" w:rsidR="005D6051" w:rsidRPr="001841B2" w:rsidRDefault="005D6051">
      <w:pPr>
        <w:pBdr>
          <w:top w:val="nil"/>
          <w:left w:val="nil"/>
          <w:bottom w:val="nil"/>
          <w:right w:val="nil"/>
          <w:between w:val="nil"/>
        </w:pBdr>
        <w:spacing w:line="360" w:lineRule="auto"/>
        <w:ind w:left="927" w:right="-28"/>
        <w:jc w:val="both"/>
        <w:rPr>
          <w:rFonts w:ascii="Palatino Linotype" w:eastAsia="Palatino Linotype" w:hAnsi="Palatino Linotype" w:cs="Palatino Linotype"/>
          <w:color w:val="000000"/>
          <w:sz w:val="22"/>
          <w:szCs w:val="22"/>
        </w:rPr>
      </w:pPr>
    </w:p>
    <w:p w14:paraId="480BF2C6"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Además, deberá proporcionar el Acuerdo de Clasificación donde el Comité de Transparencia, confirme la eliminación de los datos confidenciales, tomando en cuenta lo establecido en el Considerando QUINTO, en la versión pública, de conformidad con los artículos 49, fracciones II y VIII, 132, fracción II y 143, fracción I, de la Ley de Transparencia y Acceso a la Información Pública del Estado de México y Municipios.</w:t>
      </w:r>
    </w:p>
    <w:p w14:paraId="0D6D5E2A" w14:textId="77777777" w:rsidR="005D6051" w:rsidRPr="001841B2" w:rsidRDefault="005D6051">
      <w:pPr>
        <w:spacing w:line="360" w:lineRule="auto"/>
        <w:jc w:val="both"/>
        <w:rPr>
          <w:rFonts w:ascii="Palatino Linotype" w:eastAsia="Palatino Linotype" w:hAnsi="Palatino Linotype" w:cs="Palatino Linotype"/>
          <w:color w:val="000000"/>
          <w:sz w:val="22"/>
          <w:szCs w:val="22"/>
        </w:rPr>
      </w:pPr>
    </w:p>
    <w:p w14:paraId="37C228A1" w14:textId="77777777" w:rsidR="005D6051" w:rsidRPr="001841B2" w:rsidRDefault="00E932F8">
      <w:pPr>
        <w:spacing w:line="360" w:lineRule="auto"/>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color w:val="000000"/>
          <w:sz w:val="22"/>
          <w:szCs w:val="22"/>
        </w:rPr>
        <w:t>Para el caso, de no contar con la documental del inciso 2, al ser falta injustificada o no se haya pedido permiso, deberá hacerlo del conocimiento de la parte Recurrente, de manera clara y precisa.</w:t>
      </w:r>
    </w:p>
    <w:p w14:paraId="2E9D8B3F" w14:textId="77777777" w:rsidR="005D6051" w:rsidRPr="001841B2" w:rsidRDefault="005D6051">
      <w:pPr>
        <w:spacing w:line="360" w:lineRule="auto"/>
        <w:jc w:val="both"/>
        <w:rPr>
          <w:rFonts w:ascii="Palatino Linotype" w:eastAsia="Palatino Linotype" w:hAnsi="Palatino Linotype" w:cs="Palatino Linotype"/>
          <w:sz w:val="22"/>
          <w:szCs w:val="22"/>
        </w:rPr>
      </w:pPr>
    </w:p>
    <w:p w14:paraId="6CF3B2CC" w14:textId="77777777" w:rsidR="005D6051" w:rsidRPr="001841B2" w:rsidRDefault="00E932F8">
      <w:pPr>
        <w:spacing w:line="360" w:lineRule="auto"/>
        <w:ind w:right="-28"/>
        <w:jc w:val="both"/>
        <w:rPr>
          <w:rFonts w:ascii="Palatino Linotype" w:eastAsia="Palatino Linotype" w:hAnsi="Palatino Linotype" w:cs="Palatino Linotype"/>
          <w:color w:val="000000"/>
          <w:sz w:val="22"/>
          <w:szCs w:val="22"/>
        </w:rPr>
      </w:pPr>
      <w:r w:rsidRPr="001841B2">
        <w:rPr>
          <w:rFonts w:ascii="Palatino Linotype" w:eastAsia="Palatino Linotype" w:hAnsi="Palatino Linotype" w:cs="Palatino Linotype"/>
          <w:b/>
          <w:sz w:val="22"/>
          <w:szCs w:val="22"/>
        </w:rPr>
        <w:t xml:space="preserve">TERCERO. NOTIFÍQUESE POR SAIMEX </w:t>
      </w:r>
      <w:r w:rsidRPr="001841B2">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w:t>
      </w:r>
      <w:r w:rsidRPr="001841B2">
        <w:rPr>
          <w:rFonts w:ascii="Palatino Linotype" w:eastAsia="Palatino Linotype" w:hAnsi="Palatino Linotype" w:cs="Palatino Linotype"/>
          <w:sz w:val="22"/>
          <w:szCs w:val="22"/>
        </w:rPr>
        <w:lastRenderedPageBreak/>
        <w:t xml:space="preserve">referida. </w:t>
      </w:r>
      <w:r w:rsidRPr="001841B2">
        <w:rPr>
          <w:rFonts w:ascii="Palatino Linotype" w:eastAsia="Palatino Linotype" w:hAnsi="Palatino Linotype" w:cs="Palatino Linotype"/>
          <w:color w:val="000000"/>
          <w:sz w:val="22"/>
          <w:szCs w:val="22"/>
        </w:rPr>
        <w:t xml:space="preserve">De conformidad con el artículo 198 de la </w:t>
      </w:r>
      <w:r w:rsidRPr="001841B2">
        <w:rPr>
          <w:rFonts w:ascii="Palatino Linotype" w:eastAsia="Palatino Linotype" w:hAnsi="Palatino Linotype" w:cs="Palatino Linotype"/>
          <w:sz w:val="22"/>
          <w:szCs w:val="22"/>
        </w:rPr>
        <w:t>Ley de la materia</w:t>
      </w:r>
      <w:r w:rsidRPr="001841B2">
        <w:rPr>
          <w:rFonts w:ascii="Palatino Linotype" w:eastAsia="Palatino Linotype" w:hAnsi="Palatino Linotype" w:cs="Palatino Linotype"/>
          <w:color w:val="000000"/>
          <w:sz w:val="22"/>
          <w:szCs w:val="22"/>
        </w:rPr>
        <w:t>, de considerarlo procedente, el Sujeto Obligado de manera fundada y motivada, podrá solicitar una ampliación de plazo para el cumplimiento de la presente resolución.</w:t>
      </w:r>
    </w:p>
    <w:p w14:paraId="5C1F1DD1" w14:textId="77777777" w:rsidR="005D6051" w:rsidRPr="001841B2" w:rsidRDefault="005D6051">
      <w:pPr>
        <w:spacing w:line="360" w:lineRule="auto"/>
        <w:ind w:right="-28"/>
        <w:jc w:val="both"/>
        <w:rPr>
          <w:rFonts w:ascii="Palatino Linotype" w:eastAsia="Palatino Linotype" w:hAnsi="Palatino Linotype" w:cs="Palatino Linotype"/>
          <w:b/>
          <w:sz w:val="22"/>
          <w:szCs w:val="22"/>
        </w:rPr>
      </w:pPr>
    </w:p>
    <w:p w14:paraId="30C7AF5F" w14:textId="77777777" w:rsidR="005D6051" w:rsidRPr="001841B2"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b/>
          <w:sz w:val="22"/>
          <w:szCs w:val="22"/>
        </w:rPr>
        <w:t>CUARTO. NOTIFÍQUESE POR SAIMEX</w:t>
      </w:r>
      <w:r w:rsidRPr="001841B2">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79F9E2F" w14:textId="77777777" w:rsidR="005D6051" w:rsidRPr="001841B2" w:rsidRDefault="005D6051">
      <w:pPr>
        <w:spacing w:line="360" w:lineRule="auto"/>
        <w:ind w:right="-28"/>
        <w:jc w:val="both"/>
        <w:rPr>
          <w:rFonts w:ascii="Palatino Linotype" w:eastAsia="Palatino Linotype" w:hAnsi="Palatino Linotype" w:cs="Palatino Linotype"/>
          <w:color w:val="000000"/>
          <w:sz w:val="22"/>
          <w:szCs w:val="22"/>
        </w:rPr>
      </w:pPr>
    </w:p>
    <w:p w14:paraId="418466A3" w14:textId="77777777" w:rsidR="005D6051" w:rsidRDefault="00E932F8">
      <w:pPr>
        <w:spacing w:line="360" w:lineRule="auto"/>
        <w:jc w:val="both"/>
        <w:rPr>
          <w:rFonts w:ascii="Palatino Linotype" w:eastAsia="Palatino Linotype" w:hAnsi="Palatino Linotype" w:cs="Palatino Linotype"/>
          <w:sz w:val="22"/>
          <w:szCs w:val="22"/>
        </w:rPr>
      </w:pPr>
      <w:r w:rsidRPr="001841B2">
        <w:rPr>
          <w:rFonts w:ascii="Palatino Linotype" w:eastAsia="Palatino Linotype" w:hAnsi="Palatino Linotype" w:cs="Palatino Linotype"/>
          <w:sz w:val="22"/>
          <w:szCs w:val="22"/>
        </w:rPr>
        <w:t xml:space="preserve">ASÍ LO RESUELVE, POR </w:t>
      </w:r>
      <w:r w:rsidRPr="009C5A8D">
        <w:rPr>
          <w:rFonts w:ascii="Palatino Linotype" w:eastAsia="Palatino Linotype" w:hAnsi="Palatino Linotype" w:cs="Palatino Linotype"/>
          <w:b/>
          <w:bCs/>
          <w:sz w:val="22"/>
          <w:szCs w:val="22"/>
        </w:rPr>
        <w:t>UNANIMIDAD</w:t>
      </w:r>
      <w:r w:rsidRPr="001841B2">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0F6254E8" w14:textId="77777777" w:rsidR="005D6051" w:rsidRDefault="005D6051">
      <w:pPr>
        <w:spacing w:line="360" w:lineRule="auto"/>
        <w:ind w:right="-28"/>
        <w:jc w:val="both"/>
        <w:rPr>
          <w:rFonts w:ascii="Palatino Linotype" w:eastAsia="Palatino Linotype" w:hAnsi="Palatino Linotype" w:cs="Palatino Linotype"/>
          <w:sz w:val="22"/>
          <w:szCs w:val="22"/>
        </w:rPr>
      </w:pPr>
    </w:p>
    <w:p w14:paraId="4A600C04" w14:textId="77777777" w:rsidR="005D6051" w:rsidRDefault="005D6051">
      <w:pPr>
        <w:spacing w:line="360" w:lineRule="auto"/>
        <w:rPr>
          <w:rFonts w:ascii="Palatino Linotype" w:eastAsia="Palatino Linotype" w:hAnsi="Palatino Linotype" w:cs="Palatino Linotype"/>
        </w:rPr>
      </w:pPr>
    </w:p>
    <w:p w14:paraId="61B9D715" w14:textId="77777777" w:rsidR="005D6051" w:rsidRDefault="005D6051">
      <w:pPr>
        <w:spacing w:line="360" w:lineRule="auto"/>
        <w:rPr>
          <w:rFonts w:ascii="Palatino Linotype" w:eastAsia="Palatino Linotype" w:hAnsi="Palatino Linotype" w:cs="Palatino Linotype"/>
        </w:rPr>
      </w:pPr>
    </w:p>
    <w:p w14:paraId="317D3478" w14:textId="77777777" w:rsidR="005D6051" w:rsidRDefault="005D6051">
      <w:pPr>
        <w:spacing w:line="360" w:lineRule="auto"/>
        <w:rPr>
          <w:rFonts w:ascii="Palatino Linotype" w:eastAsia="Palatino Linotype" w:hAnsi="Palatino Linotype" w:cs="Palatino Linotype"/>
        </w:rPr>
      </w:pPr>
    </w:p>
    <w:p w14:paraId="2B52B264" w14:textId="77777777" w:rsidR="005D6051" w:rsidRDefault="005D6051">
      <w:pPr>
        <w:spacing w:line="360" w:lineRule="auto"/>
        <w:rPr>
          <w:rFonts w:ascii="Palatino Linotype" w:eastAsia="Palatino Linotype" w:hAnsi="Palatino Linotype" w:cs="Palatino Linotype"/>
        </w:rPr>
      </w:pPr>
    </w:p>
    <w:p w14:paraId="1E927528" w14:textId="77777777" w:rsidR="005D6051" w:rsidRDefault="005D6051">
      <w:pPr>
        <w:spacing w:line="360" w:lineRule="auto"/>
        <w:rPr>
          <w:rFonts w:ascii="Palatino Linotype" w:eastAsia="Palatino Linotype" w:hAnsi="Palatino Linotype" w:cs="Palatino Linotype"/>
        </w:rPr>
      </w:pPr>
    </w:p>
    <w:p w14:paraId="73A5364D" w14:textId="77777777" w:rsidR="005D6051" w:rsidRDefault="005D6051">
      <w:pPr>
        <w:spacing w:line="360" w:lineRule="auto"/>
        <w:rPr>
          <w:rFonts w:ascii="Palatino Linotype" w:eastAsia="Palatino Linotype" w:hAnsi="Palatino Linotype" w:cs="Palatino Linotype"/>
        </w:rPr>
      </w:pPr>
    </w:p>
    <w:p w14:paraId="24211FB6" w14:textId="77777777" w:rsidR="005D6051" w:rsidRDefault="005D6051">
      <w:pPr>
        <w:spacing w:line="360" w:lineRule="auto"/>
        <w:rPr>
          <w:rFonts w:ascii="Palatino Linotype" w:eastAsia="Palatino Linotype" w:hAnsi="Palatino Linotype" w:cs="Palatino Linotype"/>
        </w:rPr>
      </w:pPr>
    </w:p>
    <w:p w14:paraId="25CA46C9" w14:textId="77777777" w:rsidR="005D6051" w:rsidRDefault="005D6051">
      <w:pPr>
        <w:spacing w:line="360" w:lineRule="auto"/>
        <w:rPr>
          <w:rFonts w:ascii="Palatino Linotype" w:eastAsia="Palatino Linotype" w:hAnsi="Palatino Linotype" w:cs="Palatino Linotype"/>
        </w:rPr>
      </w:pPr>
    </w:p>
    <w:p w14:paraId="5C0A534D" w14:textId="77777777" w:rsidR="005D6051" w:rsidRDefault="005D6051">
      <w:pPr>
        <w:spacing w:line="360" w:lineRule="auto"/>
        <w:rPr>
          <w:rFonts w:ascii="Palatino Linotype" w:eastAsia="Palatino Linotype" w:hAnsi="Palatino Linotype" w:cs="Palatino Linotype"/>
        </w:rPr>
      </w:pPr>
    </w:p>
    <w:p w14:paraId="132A995A" w14:textId="77777777" w:rsidR="005D6051" w:rsidRDefault="005D6051">
      <w:pPr>
        <w:spacing w:line="360" w:lineRule="auto"/>
        <w:rPr>
          <w:rFonts w:ascii="Palatino Linotype" w:eastAsia="Palatino Linotype" w:hAnsi="Palatino Linotype" w:cs="Palatino Linotype"/>
        </w:rPr>
      </w:pPr>
    </w:p>
    <w:p w14:paraId="6449C625" w14:textId="77777777" w:rsidR="005D6051" w:rsidRDefault="005D6051">
      <w:pPr>
        <w:spacing w:line="360" w:lineRule="auto"/>
        <w:rPr>
          <w:rFonts w:ascii="Palatino Linotype" w:eastAsia="Palatino Linotype" w:hAnsi="Palatino Linotype" w:cs="Palatino Linotype"/>
        </w:rPr>
      </w:pPr>
    </w:p>
    <w:p w14:paraId="7D4358F9" w14:textId="77777777" w:rsidR="005D6051" w:rsidRDefault="005D6051">
      <w:pPr>
        <w:spacing w:line="360" w:lineRule="auto"/>
        <w:rPr>
          <w:rFonts w:ascii="Palatino Linotype" w:eastAsia="Palatino Linotype" w:hAnsi="Palatino Linotype" w:cs="Palatino Linotype"/>
        </w:rPr>
      </w:pPr>
    </w:p>
    <w:p w14:paraId="1BB93900" w14:textId="77777777" w:rsidR="005D6051" w:rsidRDefault="005D6051">
      <w:pPr>
        <w:spacing w:line="360" w:lineRule="auto"/>
        <w:rPr>
          <w:rFonts w:ascii="Palatino Linotype" w:eastAsia="Palatino Linotype" w:hAnsi="Palatino Linotype" w:cs="Palatino Linotype"/>
        </w:rPr>
      </w:pPr>
    </w:p>
    <w:p w14:paraId="2BCC883F" w14:textId="77777777" w:rsidR="005D6051" w:rsidRDefault="005D6051">
      <w:pPr>
        <w:spacing w:line="360" w:lineRule="auto"/>
        <w:rPr>
          <w:rFonts w:ascii="Palatino Linotype" w:eastAsia="Palatino Linotype" w:hAnsi="Palatino Linotype" w:cs="Palatino Linotype"/>
        </w:rPr>
      </w:pPr>
    </w:p>
    <w:p w14:paraId="6093AB28" w14:textId="77777777" w:rsidR="005D6051" w:rsidRDefault="005D6051">
      <w:pPr>
        <w:spacing w:line="360" w:lineRule="auto"/>
        <w:rPr>
          <w:rFonts w:ascii="Palatino Linotype" w:eastAsia="Palatino Linotype" w:hAnsi="Palatino Linotype" w:cs="Palatino Linotype"/>
        </w:rPr>
      </w:pPr>
    </w:p>
    <w:p w14:paraId="1C1A084E" w14:textId="77777777" w:rsidR="005D6051" w:rsidRDefault="005D6051">
      <w:pPr>
        <w:spacing w:line="360" w:lineRule="auto"/>
        <w:rPr>
          <w:rFonts w:ascii="Palatino Linotype" w:eastAsia="Palatino Linotype" w:hAnsi="Palatino Linotype" w:cs="Palatino Linotype"/>
        </w:rPr>
      </w:pPr>
    </w:p>
    <w:p w14:paraId="2DBD6BF5" w14:textId="77777777" w:rsidR="005D6051" w:rsidRDefault="005D6051">
      <w:pPr>
        <w:spacing w:line="360" w:lineRule="auto"/>
        <w:rPr>
          <w:rFonts w:ascii="Palatino Linotype" w:eastAsia="Palatino Linotype" w:hAnsi="Palatino Linotype" w:cs="Palatino Linotype"/>
        </w:rPr>
      </w:pPr>
    </w:p>
    <w:p w14:paraId="56E364C1" w14:textId="77777777" w:rsidR="005D6051" w:rsidRDefault="005D6051">
      <w:pPr>
        <w:spacing w:line="360" w:lineRule="auto"/>
        <w:rPr>
          <w:rFonts w:ascii="Palatino Linotype" w:eastAsia="Palatino Linotype" w:hAnsi="Palatino Linotype" w:cs="Palatino Linotype"/>
        </w:rPr>
      </w:pPr>
    </w:p>
    <w:p w14:paraId="6C9D1647" w14:textId="77777777" w:rsidR="005D6051" w:rsidRDefault="005D6051">
      <w:pPr>
        <w:spacing w:line="360" w:lineRule="auto"/>
        <w:rPr>
          <w:rFonts w:ascii="Palatino Linotype" w:eastAsia="Palatino Linotype" w:hAnsi="Palatino Linotype" w:cs="Palatino Linotype"/>
        </w:rPr>
      </w:pPr>
    </w:p>
    <w:p w14:paraId="616C9DA6" w14:textId="77777777" w:rsidR="005D6051" w:rsidRDefault="005D6051">
      <w:pPr>
        <w:spacing w:line="360" w:lineRule="auto"/>
        <w:rPr>
          <w:rFonts w:ascii="Palatino Linotype" w:eastAsia="Palatino Linotype" w:hAnsi="Palatino Linotype" w:cs="Palatino Linotype"/>
        </w:rPr>
      </w:pPr>
    </w:p>
    <w:p w14:paraId="1EE8CCE3" w14:textId="77777777" w:rsidR="005D6051" w:rsidRDefault="005D6051">
      <w:pPr>
        <w:spacing w:line="360" w:lineRule="auto"/>
        <w:rPr>
          <w:rFonts w:ascii="Palatino Linotype" w:eastAsia="Palatino Linotype" w:hAnsi="Palatino Linotype" w:cs="Palatino Linotype"/>
        </w:rPr>
      </w:pPr>
    </w:p>
    <w:p w14:paraId="6408E34D" w14:textId="77777777" w:rsidR="005D6051" w:rsidRDefault="005D6051">
      <w:pPr>
        <w:spacing w:line="360" w:lineRule="auto"/>
      </w:pPr>
    </w:p>
    <w:p w14:paraId="4404DBB6" w14:textId="77777777" w:rsidR="005D6051" w:rsidRDefault="005D6051">
      <w:pPr>
        <w:spacing w:line="360" w:lineRule="auto"/>
      </w:pPr>
    </w:p>
    <w:p w14:paraId="096DADB0" w14:textId="77777777" w:rsidR="005D6051" w:rsidRDefault="005D6051">
      <w:pPr>
        <w:spacing w:line="360" w:lineRule="auto"/>
      </w:pPr>
    </w:p>
    <w:p w14:paraId="4FACE0E0" w14:textId="77777777" w:rsidR="005D6051" w:rsidRDefault="005D6051">
      <w:pPr>
        <w:spacing w:line="360" w:lineRule="auto"/>
      </w:pPr>
    </w:p>
    <w:sectPr w:rsidR="005D6051">
      <w:headerReference w:type="even" r:id="rId13"/>
      <w:headerReference w:type="default" r:id="rId14"/>
      <w:footerReference w:type="default" r:id="rId15"/>
      <w:headerReference w:type="first" r:id="rId16"/>
      <w:footerReference w:type="first" r:id="rId17"/>
      <w:pgSz w:w="12240" w:h="15840"/>
      <w:pgMar w:top="80" w:right="1608" w:bottom="1134" w:left="1588" w:header="850" w:footer="6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81C2" w14:textId="77777777" w:rsidR="00111E95" w:rsidRDefault="00111E95">
      <w:r>
        <w:separator/>
      </w:r>
    </w:p>
  </w:endnote>
  <w:endnote w:type="continuationSeparator" w:id="0">
    <w:p w14:paraId="3CCD9DBC" w14:textId="77777777" w:rsidR="00111E95" w:rsidRDefault="0011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17E4" w14:textId="77777777" w:rsidR="005D6051" w:rsidRDefault="005D6051">
    <w:pPr>
      <w:pBdr>
        <w:top w:val="nil"/>
        <w:left w:val="nil"/>
        <w:bottom w:val="nil"/>
        <w:right w:val="nil"/>
        <w:between w:val="nil"/>
      </w:pBdr>
      <w:tabs>
        <w:tab w:val="center" w:pos="4419"/>
        <w:tab w:val="right" w:pos="8838"/>
      </w:tabs>
      <w:jc w:val="right"/>
      <w:rPr>
        <w:color w:val="000000"/>
        <w:sz w:val="26"/>
        <w:szCs w:val="26"/>
      </w:rPr>
    </w:pPr>
  </w:p>
  <w:p w14:paraId="58107146" w14:textId="77777777" w:rsidR="005D6051" w:rsidRDefault="00E932F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841B2">
      <w:rPr>
        <w:b/>
        <w:noProof/>
        <w:color w:val="000000"/>
        <w:sz w:val="24"/>
        <w:szCs w:val="24"/>
      </w:rPr>
      <w:t>34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841B2">
      <w:rPr>
        <w:b/>
        <w:noProof/>
        <w:color w:val="000000"/>
        <w:sz w:val="24"/>
        <w:szCs w:val="24"/>
      </w:rPr>
      <w:t>36</w:t>
    </w:r>
    <w:r>
      <w:rPr>
        <w:b/>
        <w:color w:val="000000"/>
        <w:sz w:val="24"/>
        <w:szCs w:val="24"/>
      </w:rPr>
      <w:fldChar w:fldCharType="end"/>
    </w:r>
  </w:p>
  <w:p w14:paraId="09D67668" w14:textId="77777777" w:rsidR="005D6051" w:rsidRDefault="005D605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85BD" w14:textId="77777777" w:rsidR="005D6051" w:rsidRDefault="005D6051">
    <w:pPr>
      <w:pBdr>
        <w:top w:val="nil"/>
        <w:left w:val="nil"/>
        <w:bottom w:val="nil"/>
        <w:right w:val="nil"/>
        <w:between w:val="nil"/>
      </w:pBdr>
      <w:tabs>
        <w:tab w:val="center" w:pos="4419"/>
        <w:tab w:val="right" w:pos="8838"/>
      </w:tabs>
      <w:jc w:val="right"/>
      <w:rPr>
        <w:color w:val="000000"/>
      </w:rPr>
    </w:pPr>
  </w:p>
  <w:p w14:paraId="3BEE8C1C" w14:textId="77777777" w:rsidR="005D6051" w:rsidRDefault="005D6051">
    <w:pPr>
      <w:pBdr>
        <w:top w:val="nil"/>
        <w:left w:val="nil"/>
        <w:bottom w:val="nil"/>
        <w:right w:val="nil"/>
        <w:between w:val="nil"/>
      </w:pBdr>
      <w:tabs>
        <w:tab w:val="center" w:pos="4419"/>
        <w:tab w:val="right" w:pos="8838"/>
      </w:tabs>
      <w:jc w:val="right"/>
      <w:rPr>
        <w:color w:val="000000"/>
      </w:rPr>
    </w:pPr>
  </w:p>
  <w:p w14:paraId="4981EFF4" w14:textId="77777777" w:rsidR="005D6051" w:rsidRDefault="005D6051">
    <w:pPr>
      <w:pBdr>
        <w:top w:val="nil"/>
        <w:left w:val="nil"/>
        <w:bottom w:val="nil"/>
        <w:right w:val="nil"/>
        <w:between w:val="nil"/>
      </w:pBdr>
      <w:tabs>
        <w:tab w:val="center" w:pos="4419"/>
        <w:tab w:val="right" w:pos="8838"/>
      </w:tabs>
      <w:jc w:val="right"/>
      <w:rPr>
        <w:color w:val="000000"/>
      </w:rPr>
    </w:pPr>
  </w:p>
  <w:p w14:paraId="18DF3F0E" w14:textId="77777777" w:rsidR="005D6051" w:rsidRDefault="00E932F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841B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841B2">
      <w:rPr>
        <w:b/>
        <w:noProof/>
        <w:color w:val="000000"/>
        <w:sz w:val="24"/>
        <w:szCs w:val="24"/>
      </w:rPr>
      <w:t>36</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6356" w14:textId="77777777" w:rsidR="00111E95" w:rsidRDefault="00111E95">
      <w:r>
        <w:separator/>
      </w:r>
    </w:p>
  </w:footnote>
  <w:footnote w:type="continuationSeparator" w:id="0">
    <w:p w14:paraId="13DEBCDC" w14:textId="77777777" w:rsidR="00111E95" w:rsidRDefault="00111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6AC5" w14:textId="77777777" w:rsidR="005D6051" w:rsidRDefault="00000000">
    <w:pPr>
      <w:pBdr>
        <w:top w:val="nil"/>
        <w:left w:val="nil"/>
        <w:bottom w:val="nil"/>
        <w:right w:val="nil"/>
        <w:between w:val="nil"/>
      </w:pBdr>
      <w:tabs>
        <w:tab w:val="center" w:pos="4419"/>
        <w:tab w:val="right" w:pos="8838"/>
      </w:tabs>
      <w:rPr>
        <w:color w:val="000000"/>
      </w:rPr>
    </w:pPr>
    <w:r>
      <w:rPr>
        <w:color w:val="000000"/>
      </w:rPr>
      <w:pict w14:anchorId="70351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marcaaguaINFOEM" style="position:absolute;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1B59" w14:textId="77777777" w:rsidR="005D6051" w:rsidRDefault="00000000">
    <w:pPr>
      <w:tabs>
        <w:tab w:val="left" w:pos="3416"/>
      </w:tabs>
      <w:rPr>
        <w:sz w:val="22"/>
        <w:szCs w:val="22"/>
      </w:rPr>
    </w:pPr>
    <w:r>
      <w:rPr>
        <w:sz w:val="14"/>
        <w:szCs w:val="14"/>
      </w:rPr>
      <w:pict w14:anchorId="4063A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marcaaguaINFOEM" style="position:absolute;margin-left:-94.7pt;margin-top:-137.5pt;width:663.5pt;height:12in;z-index:-251659776;mso-position-horizontal:absolute;mso-position-horizontal-relative:margin;mso-position-vertical:absolute;mso-position-vertical-relative:margin">
          <v:imagedata r:id="rId1" o:title="image2"/>
          <w10:wrap anchorx="margin" anchory="margin"/>
        </v:shape>
      </w:pict>
    </w:r>
  </w:p>
  <w:tbl>
    <w:tblPr>
      <w:tblStyle w:val="a"/>
      <w:tblW w:w="9461" w:type="dxa"/>
      <w:tblInd w:w="0" w:type="dxa"/>
      <w:tblLayout w:type="fixed"/>
      <w:tblLook w:val="0400" w:firstRow="0" w:lastRow="0" w:firstColumn="0" w:lastColumn="0" w:noHBand="0" w:noVBand="1"/>
    </w:tblPr>
    <w:tblGrid>
      <w:gridCol w:w="2268"/>
      <w:gridCol w:w="7193"/>
    </w:tblGrid>
    <w:tr w:rsidR="005D6051" w14:paraId="1A3CBBFC" w14:textId="77777777">
      <w:trPr>
        <w:trHeight w:val="70"/>
      </w:trPr>
      <w:tc>
        <w:tcPr>
          <w:tcW w:w="2268" w:type="dxa"/>
        </w:tcPr>
        <w:p w14:paraId="19780265" w14:textId="77777777" w:rsidR="005D6051" w:rsidRDefault="005D6051">
          <w:pPr>
            <w:tabs>
              <w:tab w:val="right" w:pos="4273"/>
            </w:tabs>
            <w:rPr>
              <w:rFonts w:ascii="Garamond" w:eastAsia="Garamond" w:hAnsi="Garamond" w:cs="Garamond"/>
              <w:sz w:val="16"/>
              <w:szCs w:val="16"/>
            </w:rPr>
          </w:pPr>
        </w:p>
      </w:tc>
      <w:tc>
        <w:tcPr>
          <w:tcW w:w="7193" w:type="dxa"/>
        </w:tcPr>
        <w:p w14:paraId="2C00A719" w14:textId="77777777" w:rsidR="005D6051" w:rsidRDefault="005D6051">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0"/>
            <w:tblW w:w="79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726"/>
            <w:gridCol w:w="4212"/>
          </w:tblGrid>
          <w:tr w:rsidR="005D6051" w14:paraId="6B7A827C" w14:textId="77777777">
            <w:trPr>
              <w:trHeight w:val="128"/>
            </w:trPr>
            <w:tc>
              <w:tcPr>
                <w:tcW w:w="3726" w:type="dxa"/>
                <w:vAlign w:val="bottom"/>
              </w:tcPr>
              <w:p w14:paraId="30172BB8" w14:textId="77777777" w:rsidR="005D6051" w:rsidRDefault="00E932F8">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4212" w:type="dxa"/>
              </w:tcPr>
              <w:p w14:paraId="03F5102F" w14:textId="77777777" w:rsidR="005D6051" w:rsidRDefault="00E932F8">
                <w:pPr>
                  <w:tabs>
                    <w:tab w:val="right" w:pos="8838"/>
                  </w:tabs>
                  <w:ind w:left="-28" w:right="68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07911/INFOEM/IP/RR/2025</w:t>
                </w:r>
              </w:p>
            </w:tc>
          </w:tr>
          <w:tr w:rsidR="005D6051" w14:paraId="362B9B95" w14:textId="77777777">
            <w:trPr>
              <w:trHeight w:val="251"/>
            </w:trPr>
            <w:tc>
              <w:tcPr>
                <w:tcW w:w="3726" w:type="dxa"/>
              </w:tcPr>
              <w:p w14:paraId="55ECBDB7" w14:textId="77777777" w:rsidR="005D6051" w:rsidRDefault="00E932F8">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4212" w:type="dxa"/>
              </w:tcPr>
              <w:p w14:paraId="7636FA42" w14:textId="77777777" w:rsidR="005D6051" w:rsidRDefault="00E932F8">
                <w:pPr>
                  <w:tabs>
                    <w:tab w:val="right" w:pos="8838"/>
                  </w:tabs>
                  <w:ind w:right="1008"/>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Ayuntamiento de Tepotzotlán</w:t>
                </w:r>
              </w:p>
            </w:tc>
          </w:tr>
          <w:tr w:rsidR="005D6051" w14:paraId="6C05E442" w14:textId="77777777">
            <w:trPr>
              <w:trHeight w:val="251"/>
            </w:trPr>
            <w:tc>
              <w:tcPr>
                <w:tcW w:w="3726" w:type="dxa"/>
              </w:tcPr>
              <w:p w14:paraId="41FC624B" w14:textId="77777777" w:rsidR="005D6051" w:rsidRDefault="00E932F8">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212" w:type="dxa"/>
              </w:tcPr>
              <w:p w14:paraId="0A53B5CF" w14:textId="77777777" w:rsidR="005D6051" w:rsidRDefault="00E932F8">
                <w:pPr>
                  <w:tabs>
                    <w:tab w:val="right" w:pos="8838"/>
                  </w:tabs>
                  <w:ind w:left="-28" w:right="-32"/>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Luis Gustavo Parra Noriega </w:t>
                </w:r>
              </w:p>
              <w:p w14:paraId="48728284" w14:textId="77777777" w:rsidR="005D6051" w:rsidRDefault="005D6051">
                <w:pPr>
                  <w:tabs>
                    <w:tab w:val="right" w:pos="8838"/>
                  </w:tabs>
                  <w:ind w:left="-28" w:right="-32"/>
                  <w:rPr>
                    <w:rFonts w:ascii="Palatino Linotype" w:eastAsia="Palatino Linotype" w:hAnsi="Palatino Linotype" w:cs="Palatino Linotype"/>
                    <w:b/>
                    <w:sz w:val="22"/>
                    <w:szCs w:val="22"/>
                  </w:rPr>
                </w:pPr>
              </w:p>
            </w:tc>
          </w:tr>
        </w:tbl>
        <w:p w14:paraId="39129DCE" w14:textId="77777777" w:rsidR="005D6051" w:rsidRDefault="005D6051">
          <w:pPr>
            <w:tabs>
              <w:tab w:val="right" w:pos="8838"/>
            </w:tabs>
            <w:ind w:left="-28"/>
            <w:rPr>
              <w:rFonts w:ascii="Arial" w:eastAsia="Arial" w:hAnsi="Arial" w:cs="Arial"/>
              <w:b/>
            </w:rPr>
          </w:pPr>
        </w:p>
      </w:tc>
    </w:tr>
  </w:tbl>
  <w:p w14:paraId="2704655A" w14:textId="77777777" w:rsidR="005D6051" w:rsidRDefault="005D6051">
    <w:pPr>
      <w:pBdr>
        <w:top w:val="nil"/>
        <w:left w:val="nil"/>
        <w:bottom w:val="nil"/>
        <w:right w:val="nil"/>
        <w:between w:val="nil"/>
      </w:pBdr>
      <w:tabs>
        <w:tab w:val="center" w:pos="4419"/>
        <w:tab w:val="right" w:pos="8838"/>
      </w:tabs>
      <w:rPr>
        <w:color w:val="000000"/>
        <w:sz w:val="14"/>
        <w:szCs w:val="14"/>
      </w:rPr>
    </w:pPr>
  </w:p>
  <w:p w14:paraId="6EB0E703" w14:textId="77777777" w:rsidR="005D6051" w:rsidRDefault="005D6051">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5197" w14:textId="77777777" w:rsidR="005D6051" w:rsidRDefault="005D6051">
    <w:pPr>
      <w:widowControl w:val="0"/>
      <w:pBdr>
        <w:top w:val="nil"/>
        <w:left w:val="nil"/>
        <w:bottom w:val="nil"/>
        <w:right w:val="nil"/>
        <w:between w:val="nil"/>
      </w:pBdr>
      <w:spacing w:line="276" w:lineRule="auto"/>
      <w:rPr>
        <w:color w:val="000000"/>
        <w:sz w:val="14"/>
        <w:szCs w:val="14"/>
      </w:rPr>
    </w:pPr>
  </w:p>
  <w:tbl>
    <w:tblPr>
      <w:tblStyle w:val="a1"/>
      <w:tblW w:w="7234" w:type="dxa"/>
      <w:tblInd w:w="1980" w:type="dxa"/>
      <w:tblBorders>
        <w:top w:val="nil"/>
        <w:left w:val="nil"/>
        <w:bottom w:val="nil"/>
        <w:right w:val="nil"/>
        <w:insideH w:val="nil"/>
        <w:insideV w:val="nil"/>
      </w:tblBorders>
      <w:tblLayout w:type="fixed"/>
      <w:tblLook w:val="0400" w:firstRow="0" w:lastRow="0" w:firstColumn="0" w:lastColumn="0" w:noHBand="0" w:noVBand="1"/>
    </w:tblPr>
    <w:tblGrid>
      <w:gridCol w:w="3827"/>
      <w:gridCol w:w="3407"/>
    </w:tblGrid>
    <w:tr w:rsidR="005D6051" w14:paraId="070AB43F" w14:textId="77777777">
      <w:trPr>
        <w:trHeight w:val="302"/>
      </w:trPr>
      <w:tc>
        <w:tcPr>
          <w:tcW w:w="3827" w:type="dxa"/>
        </w:tcPr>
        <w:p w14:paraId="04B5EA05" w14:textId="77777777" w:rsidR="005D6051" w:rsidRDefault="00E932F8">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407" w:type="dxa"/>
        </w:tcPr>
        <w:p w14:paraId="51DF8553" w14:textId="77777777" w:rsidR="005D6051" w:rsidRDefault="00E932F8">
          <w:pPr>
            <w:tabs>
              <w:tab w:val="right" w:pos="8838"/>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07911/INFOEM/IP/RR/2025</w:t>
          </w:r>
        </w:p>
      </w:tc>
    </w:tr>
    <w:tr w:rsidR="005D6051" w14:paraId="414846E5" w14:textId="77777777">
      <w:trPr>
        <w:trHeight w:val="110"/>
      </w:trPr>
      <w:tc>
        <w:tcPr>
          <w:tcW w:w="3827" w:type="dxa"/>
        </w:tcPr>
        <w:p w14:paraId="40B1885D" w14:textId="77777777" w:rsidR="005D6051" w:rsidRDefault="00E932F8">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407" w:type="dxa"/>
        </w:tcPr>
        <w:p w14:paraId="75C92974" w14:textId="3604401A" w:rsidR="005D6051" w:rsidRDefault="00593682">
          <w:pPr>
            <w:jc w:val="both"/>
            <w:rPr>
              <w:rFonts w:ascii="Palatino Linotype" w:eastAsia="Palatino Linotype" w:hAnsi="Palatino Linotype" w:cs="Palatino Linotype"/>
              <w:sz w:val="22"/>
              <w:szCs w:val="22"/>
            </w:rPr>
          </w:pPr>
          <w:r w:rsidRPr="00593682">
            <w:rPr>
              <w:rFonts w:ascii="Palatino Linotype" w:eastAsia="Palatino Linotype" w:hAnsi="Palatino Linotype" w:cs="Palatino Linotype"/>
              <w:sz w:val="22"/>
              <w:szCs w:val="22"/>
              <w:highlight w:val="black"/>
            </w:rPr>
            <w:t>XXXXXXXXXXXXXXXXXXX</w:t>
          </w:r>
        </w:p>
      </w:tc>
    </w:tr>
    <w:tr w:rsidR="005D6051" w14:paraId="5C57E8FE" w14:textId="77777777">
      <w:trPr>
        <w:trHeight w:val="248"/>
      </w:trPr>
      <w:tc>
        <w:tcPr>
          <w:tcW w:w="3827" w:type="dxa"/>
        </w:tcPr>
        <w:p w14:paraId="0CD48D7F" w14:textId="77777777" w:rsidR="005D6051" w:rsidRDefault="00E932F8">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407" w:type="dxa"/>
        </w:tcPr>
        <w:p w14:paraId="5144ED7E" w14:textId="77777777" w:rsidR="005D6051" w:rsidRDefault="00E932F8">
          <w:pPr>
            <w:tabs>
              <w:tab w:val="right" w:pos="8838"/>
            </w:tabs>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Ayuntamiento de Tepotzotlán</w:t>
          </w:r>
        </w:p>
      </w:tc>
    </w:tr>
    <w:tr w:rsidR="005D6051" w14:paraId="5C7B41D1" w14:textId="77777777">
      <w:trPr>
        <w:trHeight w:val="248"/>
      </w:trPr>
      <w:tc>
        <w:tcPr>
          <w:tcW w:w="3827" w:type="dxa"/>
        </w:tcPr>
        <w:p w14:paraId="33923988" w14:textId="77777777" w:rsidR="005D6051" w:rsidRDefault="00E932F8">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407" w:type="dxa"/>
        </w:tcPr>
        <w:p w14:paraId="0BB5E768" w14:textId="77777777" w:rsidR="005D6051" w:rsidRDefault="00E932F8">
          <w:pPr>
            <w:tabs>
              <w:tab w:val="right" w:pos="8838"/>
            </w:tabs>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7F98E23D" w14:textId="77777777" w:rsidR="005D6051" w:rsidRDefault="00000000">
    <w:pPr>
      <w:ind w:right="-312"/>
    </w:pPr>
    <w:r>
      <w:pict w14:anchorId="4A2E9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aguaINFOEM" style="position:absolute;margin-left:-92.55pt;margin-top:-120.95pt;width:663.5pt;height:12in;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06D3"/>
    <w:multiLevelType w:val="multilevel"/>
    <w:tmpl w:val="0ED8BA0E"/>
    <w:lvl w:ilvl="0">
      <w:start w:val="1"/>
      <w:numFmt w:val="decimal"/>
      <w:lvlText w:val="%1."/>
      <w:lvlJc w:val="left"/>
      <w:pPr>
        <w:ind w:left="927" w:hanging="360"/>
      </w:p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175C5314"/>
    <w:multiLevelType w:val="multilevel"/>
    <w:tmpl w:val="ECF29B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971D94"/>
    <w:multiLevelType w:val="multilevel"/>
    <w:tmpl w:val="E4AC3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E65B9A"/>
    <w:multiLevelType w:val="multilevel"/>
    <w:tmpl w:val="D60C143C"/>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233218"/>
    <w:multiLevelType w:val="multilevel"/>
    <w:tmpl w:val="25FA5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DD5CBE"/>
    <w:multiLevelType w:val="multilevel"/>
    <w:tmpl w:val="5F222210"/>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A70FE5"/>
    <w:multiLevelType w:val="multilevel"/>
    <w:tmpl w:val="C8028F6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251484"/>
    <w:multiLevelType w:val="multilevel"/>
    <w:tmpl w:val="81C0283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9CF5442"/>
    <w:multiLevelType w:val="multilevel"/>
    <w:tmpl w:val="425E98E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0C4CFF"/>
    <w:multiLevelType w:val="multilevel"/>
    <w:tmpl w:val="1EC4B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9305911">
    <w:abstractNumId w:val="6"/>
  </w:num>
  <w:num w:numId="2" w16cid:durableId="679739498">
    <w:abstractNumId w:val="9"/>
  </w:num>
  <w:num w:numId="3" w16cid:durableId="1179200640">
    <w:abstractNumId w:val="1"/>
  </w:num>
  <w:num w:numId="4" w16cid:durableId="1740444420">
    <w:abstractNumId w:val="2"/>
  </w:num>
  <w:num w:numId="5" w16cid:durableId="1161964555">
    <w:abstractNumId w:val="4"/>
  </w:num>
  <w:num w:numId="6" w16cid:durableId="1977181326">
    <w:abstractNumId w:val="8"/>
  </w:num>
  <w:num w:numId="7" w16cid:durableId="2122333158">
    <w:abstractNumId w:val="7"/>
  </w:num>
  <w:num w:numId="8" w16cid:durableId="1226530439">
    <w:abstractNumId w:val="3"/>
  </w:num>
  <w:num w:numId="9" w16cid:durableId="1124420347">
    <w:abstractNumId w:val="5"/>
  </w:num>
  <w:num w:numId="10" w16cid:durableId="97101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51"/>
    <w:rsid w:val="00111E95"/>
    <w:rsid w:val="001841B2"/>
    <w:rsid w:val="001D7A25"/>
    <w:rsid w:val="00593682"/>
    <w:rsid w:val="005D6051"/>
    <w:rsid w:val="006652CA"/>
    <w:rsid w:val="0068089A"/>
    <w:rsid w:val="007A795B"/>
    <w:rsid w:val="009C5A8D"/>
    <w:rsid w:val="00CA76D9"/>
    <w:rsid w:val="00E932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516F9"/>
  <w15:docId w15:val="{289889D6-89E0-4123-B61A-E194C9BD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Calibri" w:eastAsia="Calibri" w:hAnsi="Calibri" w:cs="Calibri"/>
      <w:color w:val="2F5496"/>
      <w:sz w:val="40"/>
      <w:szCs w:val="40"/>
    </w:rPr>
  </w:style>
  <w:style w:type="paragraph" w:styleId="Ttulo2">
    <w:name w:val="heading 2"/>
    <w:basedOn w:val="Normal"/>
    <w:next w:val="Normal"/>
    <w:pPr>
      <w:keepNext/>
      <w:keepLines/>
      <w:spacing w:before="160" w:after="80"/>
      <w:outlineLvl w:val="1"/>
    </w:pPr>
    <w:rPr>
      <w:rFonts w:ascii="Calibri" w:eastAsia="Calibri" w:hAnsi="Calibri" w:cs="Calibri"/>
      <w:color w:val="2F5496"/>
      <w:sz w:val="32"/>
      <w:szCs w:val="32"/>
    </w:rPr>
  </w:style>
  <w:style w:type="paragraph" w:styleId="Ttulo3">
    <w:name w:val="heading 3"/>
    <w:basedOn w:val="Normal"/>
    <w:next w:val="Normal"/>
    <w:pPr>
      <w:keepNext/>
      <w:keepLines/>
      <w:spacing w:before="160" w:after="80"/>
      <w:outlineLvl w:val="2"/>
    </w:pPr>
    <w:rPr>
      <w:color w:val="2F5496"/>
      <w:sz w:val="28"/>
      <w:szCs w:val="28"/>
    </w:rPr>
  </w:style>
  <w:style w:type="paragraph" w:styleId="Ttulo4">
    <w:name w:val="heading 4"/>
    <w:basedOn w:val="Normal"/>
    <w:next w:val="Normal"/>
    <w:pPr>
      <w:keepNext/>
      <w:keepLines/>
      <w:spacing w:before="80" w:after="40"/>
      <w:outlineLvl w:val="3"/>
    </w:pPr>
    <w:rPr>
      <w:i/>
      <w:color w:val="2F5496"/>
    </w:rPr>
  </w:style>
  <w:style w:type="paragraph" w:styleId="Ttulo5">
    <w:name w:val="heading 5"/>
    <w:basedOn w:val="Normal"/>
    <w:next w:val="Normal"/>
    <w:pPr>
      <w:keepNext/>
      <w:keepLines/>
      <w:spacing w:before="80" w:after="40"/>
      <w:outlineLvl w:val="4"/>
    </w:pPr>
    <w:rPr>
      <w:color w:val="2F5496"/>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722A8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2A8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2A8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Calibri" w:eastAsia="Calibri" w:hAnsi="Calibri" w:cs="Calibri"/>
      <w:sz w:val="56"/>
      <w:szCs w:val="56"/>
    </w:rPr>
  </w:style>
  <w:style w:type="character" w:customStyle="1" w:styleId="Ttulo1Car">
    <w:name w:val="Título 1 Car"/>
    <w:basedOn w:val="Fuentedeprrafopredeter"/>
    <w:uiPriority w:val="9"/>
    <w:rsid w:val="00722A8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uiPriority w:val="9"/>
    <w:rsid w:val="00722A8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uiPriority w:val="9"/>
    <w:semiHidden/>
    <w:rsid w:val="00722A8D"/>
    <w:rPr>
      <w:rFonts w:eastAsiaTheme="majorEastAsia" w:cstheme="majorBidi"/>
      <w:color w:val="2F5496" w:themeColor="accent1" w:themeShade="BF"/>
      <w:sz w:val="28"/>
      <w:szCs w:val="28"/>
    </w:rPr>
  </w:style>
  <w:style w:type="character" w:customStyle="1" w:styleId="Ttulo4Car">
    <w:name w:val="Título 4 Car"/>
    <w:basedOn w:val="Fuentedeprrafopredeter"/>
    <w:uiPriority w:val="9"/>
    <w:semiHidden/>
    <w:rsid w:val="00722A8D"/>
    <w:rPr>
      <w:rFonts w:eastAsiaTheme="majorEastAsia" w:cstheme="majorBidi"/>
      <w:i/>
      <w:iCs/>
      <w:color w:val="2F5496" w:themeColor="accent1" w:themeShade="BF"/>
    </w:rPr>
  </w:style>
  <w:style w:type="character" w:customStyle="1" w:styleId="Ttulo5Car">
    <w:name w:val="Título 5 Car"/>
    <w:basedOn w:val="Fuentedeprrafopredeter"/>
    <w:uiPriority w:val="9"/>
    <w:semiHidden/>
    <w:rsid w:val="00722A8D"/>
    <w:rPr>
      <w:rFonts w:eastAsiaTheme="majorEastAsia" w:cstheme="majorBidi"/>
      <w:color w:val="2F5496" w:themeColor="accent1" w:themeShade="BF"/>
    </w:rPr>
  </w:style>
  <w:style w:type="character" w:customStyle="1" w:styleId="Ttulo6Car">
    <w:name w:val="Título 6 Car"/>
    <w:basedOn w:val="Fuentedeprrafopredeter"/>
    <w:uiPriority w:val="9"/>
    <w:semiHidden/>
    <w:rsid w:val="00722A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2A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2A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2A8D"/>
    <w:rPr>
      <w:rFonts w:eastAsiaTheme="majorEastAsia" w:cstheme="majorBidi"/>
      <w:color w:val="272727" w:themeColor="text1" w:themeTint="D8"/>
    </w:rPr>
  </w:style>
  <w:style w:type="character" w:customStyle="1" w:styleId="TtuloCar">
    <w:name w:val="Título Car"/>
    <w:basedOn w:val="Fuentedeprrafopredeter"/>
    <w:uiPriority w:val="10"/>
    <w:rsid w:val="00722A8D"/>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722A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2A8D"/>
    <w:pPr>
      <w:spacing w:before="160"/>
      <w:jc w:val="center"/>
    </w:pPr>
    <w:rPr>
      <w:i/>
      <w:iCs/>
      <w:color w:val="404040" w:themeColor="text1" w:themeTint="BF"/>
    </w:rPr>
  </w:style>
  <w:style w:type="character" w:customStyle="1" w:styleId="CitaCar">
    <w:name w:val="Cita Car"/>
    <w:basedOn w:val="Fuentedeprrafopredeter"/>
    <w:link w:val="Cita"/>
    <w:uiPriority w:val="29"/>
    <w:rsid w:val="00722A8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22A8D"/>
    <w:pPr>
      <w:ind w:left="720"/>
      <w:contextualSpacing/>
    </w:pPr>
  </w:style>
  <w:style w:type="character" w:styleId="nfasisintenso">
    <w:name w:val="Intense Emphasis"/>
    <w:basedOn w:val="Fuentedeprrafopredeter"/>
    <w:uiPriority w:val="21"/>
    <w:qFormat/>
    <w:rsid w:val="00722A8D"/>
    <w:rPr>
      <w:i/>
      <w:iCs/>
      <w:color w:val="2F5496" w:themeColor="accent1" w:themeShade="BF"/>
    </w:rPr>
  </w:style>
  <w:style w:type="paragraph" w:styleId="Citadestacada">
    <w:name w:val="Intense Quote"/>
    <w:basedOn w:val="Normal"/>
    <w:next w:val="Normal"/>
    <w:link w:val="CitadestacadaCar"/>
    <w:uiPriority w:val="30"/>
    <w:qFormat/>
    <w:rsid w:val="00722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22A8D"/>
    <w:rPr>
      <w:i/>
      <w:iCs/>
      <w:color w:val="2F5496" w:themeColor="accent1" w:themeShade="BF"/>
    </w:rPr>
  </w:style>
  <w:style w:type="character" w:styleId="Referenciaintensa">
    <w:name w:val="Intense Reference"/>
    <w:basedOn w:val="Fuentedeprrafopredeter"/>
    <w:uiPriority w:val="32"/>
    <w:qFormat/>
    <w:rsid w:val="00722A8D"/>
    <w:rPr>
      <w:b/>
      <w:bCs/>
      <w:smallCaps/>
      <w:color w:val="2F5496" w:themeColor="accent1" w:themeShade="BF"/>
      <w:spacing w:val="5"/>
    </w:rPr>
  </w:style>
  <w:style w:type="paragraph" w:styleId="Encabezado">
    <w:name w:val="header"/>
    <w:basedOn w:val="Normal"/>
    <w:link w:val="EncabezadoCar"/>
    <w:uiPriority w:val="99"/>
    <w:unhideWhenUsed/>
    <w:rsid w:val="00722A8D"/>
    <w:pPr>
      <w:tabs>
        <w:tab w:val="center" w:pos="4419"/>
        <w:tab w:val="right" w:pos="8838"/>
      </w:tabs>
    </w:pPr>
  </w:style>
  <w:style w:type="character" w:customStyle="1" w:styleId="EncabezadoCar">
    <w:name w:val="Encabezado Car"/>
    <w:basedOn w:val="Fuentedeprrafopredeter"/>
    <w:link w:val="Encabezado"/>
    <w:uiPriority w:val="99"/>
    <w:rsid w:val="00722A8D"/>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722A8D"/>
    <w:pPr>
      <w:tabs>
        <w:tab w:val="center" w:pos="4419"/>
        <w:tab w:val="right" w:pos="8838"/>
      </w:tabs>
    </w:pPr>
  </w:style>
  <w:style w:type="character" w:customStyle="1" w:styleId="PiedepginaCar">
    <w:name w:val="Pie de página Car"/>
    <w:basedOn w:val="Fuentedeprrafopredeter"/>
    <w:link w:val="Piedepgina"/>
    <w:uiPriority w:val="99"/>
    <w:rsid w:val="00722A8D"/>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22A8D"/>
  </w:style>
  <w:style w:type="table" w:styleId="Tablaconcuadrcula">
    <w:name w:val="Table Grid"/>
    <w:basedOn w:val="Tablanormal"/>
    <w:uiPriority w:val="39"/>
    <w:rsid w:val="00722A8D"/>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2A8D"/>
    <w:rPr>
      <w:color w:val="0563C1" w:themeColor="hyperlink"/>
      <w:u w:val="single"/>
    </w:rPr>
  </w:style>
  <w:style w:type="paragraph" w:styleId="TDC1">
    <w:name w:val="toc 1"/>
    <w:basedOn w:val="Normal"/>
    <w:next w:val="Normal"/>
    <w:autoRedefine/>
    <w:uiPriority w:val="39"/>
    <w:unhideWhenUsed/>
    <w:rsid w:val="00722A8D"/>
    <w:pPr>
      <w:spacing w:after="100"/>
    </w:pPr>
  </w:style>
  <w:style w:type="paragraph" w:styleId="TtuloTDC">
    <w:name w:val="TOC Heading"/>
    <w:next w:val="Normal"/>
    <w:uiPriority w:val="39"/>
    <w:unhideWhenUsed/>
    <w:qFormat/>
    <w:rsid w:val="00722A8D"/>
    <w:pPr>
      <w:spacing w:before="240"/>
    </w:pPr>
    <w:rPr>
      <w:sz w:val="32"/>
      <w:szCs w:val="32"/>
    </w:rPr>
  </w:style>
  <w:style w:type="paragraph" w:styleId="TDC2">
    <w:name w:val="toc 2"/>
    <w:basedOn w:val="Normal"/>
    <w:next w:val="Normal"/>
    <w:autoRedefine/>
    <w:uiPriority w:val="39"/>
    <w:unhideWhenUsed/>
    <w:rsid w:val="00722A8D"/>
    <w:pPr>
      <w:tabs>
        <w:tab w:val="right" w:leader="dot" w:pos="9034"/>
      </w:tabs>
      <w:spacing w:line="360" w:lineRule="auto"/>
      <w:ind w:left="200"/>
      <w:contextualSpacing/>
      <w:jc w:val="both"/>
    </w:pPr>
  </w:style>
  <w:style w:type="character" w:customStyle="1" w:styleId="Mencinsinresolver1">
    <w:name w:val="Mención sin resolver1"/>
    <w:basedOn w:val="Fuentedeprrafopredeter"/>
    <w:uiPriority w:val="99"/>
    <w:semiHidden/>
    <w:unhideWhenUsed/>
    <w:rsid w:val="00B368ED"/>
    <w:rPr>
      <w:color w:val="605E5C"/>
      <w:shd w:val="clear" w:color="auto" w:fill="E1DFDD"/>
    </w:rPr>
  </w:style>
  <w:style w:type="table" w:customStyle="1" w:styleId="Tablaconcuadrcula1">
    <w:name w:val="Tabla con cuadrícula1"/>
    <w:basedOn w:val="Tablanormal"/>
    <w:next w:val="Tablaconcuadrcula"/>
    <w:uiPriority w:val="59"/>
    <w:rsid w:val="005203D6"/>
    <w:pPr>
      <w:jc w:val="both"/>
    </w:pPr>
    <w:rPr>
      <w:rFonts w:ascii="Palatino Linotype" w:eastAsia="Palatino Linotype" w:hAnsi="Palatino Linotype" w:cs="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7D2FB5"/>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f.gob.mx/nota_detalle.php?codigo=5492254&amp;fecha=28/07/20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oem.org.mx/es/contenido/datospersonal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aNaBvjglXkJ3GFhJMans4bRDA==">CgMxLjAyDmgubnN3NDc2ODFuM3ZxMg5oLjVva3YxMWE4azg3dDIOaC5zYzM4ZjVudGU3NHUyDmgudHZha2tpb3E5OGN4Mg5oLmc4NWdubDNrYmNvYzIOaC5vMmZlZ2ZqMzRseXkyDmgueW5jMWN6cnEyOWVmMg5oLjRlZjE2Z3hjZWg1cjIOaC40cGx5ZGFqa2h2emcyDmguN3FrYXZ3MWk5cW5pMg5oLjduaW84eGd3eXoyMTIOaC5ieWdmMzgzOWU0dnMyDmguNnpqeHB5ZG02ZXo0Mg5oLjV5OHA3a2tuMmpraTIOaC4za2l3dWFsc3FqNW0yDmgubmR3bnN2d2plMXlzMg5oLnkxM2tteWlzYWNmODgAciExbm9EVndrTERzMnBQNFVPamt0a25sanhtMnJiMDd0a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9053</Words>
  <Characters>49797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Roxana Lechuga</cp:lastModifiedBy>
  <cp:revision>4</cp:revision>
  <cp:lastPrinted>2025-08-15T03:12:00Z</cp:lastPrinted>
  <dcterms:created xsi:type="dcterms:W3CDTF">2025-08-15T03:12:00Z</dcterms:created>
  <dcterms:modified xsi:type="dcterms:W3CDTF">2025-09-26T01:24:00Z</dcterms:modified>
</cp:coreProperties>
</file>