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626A4A1B"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bookmarkStart w:id="0" w:name="_Hlk184128554"/>
      <w:bookmarkEnd w:id="0"/>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05192">
        <w:rPr>
          <w:rFonts w:ascii="Palatino Linotype" w:eastAsia="Times New Roman" w:hAnsi="Palatino Linotype" w:cs="Arial"/>
          <w:color w:val="000000"/>
          <w:sz w:val="24"/>
          <w:szCs w:val="24"/>
          <w:lang w:eastAsia="es-MX"/>
        </w:rPr>
        <w:t xml:space="preserve">doce de marzo de dos mil veinticinco. </w:t>
      </w:r>
      <w:r w:rsidR="00447446">
        <w:rPr>
          <w:rFonts w:ascii="Palatino Linotype" w:eastAsia="Times New Roman" w:hAnsi="Palatino Linotype" w:cs="Arial"/>
          <w:color w:val="000000"/>
          <w:sz w:val="24"/>
          <w:szCs w:val="24"/>
          <w:lang w:eastAsia="es-MX"/>
        </w:rPr>
        <w:t xml:space="preserve"> </w:t>
      </w:r>
      <w:r w:rsidR="00D31EFF">
        <w:rPr>
          <w:rFonts w:ascii="Palatino Linotype" w:eastAsia="Times New Roman" w:hAnsi="Palatino Linotype" w:cs="Arial"/>
          <w:color w:val="000000"/>
          <w:sz w:val="24"/>
          <w:szCs w:val="24"/>
          <w:lang w:eastAsia="es-MX"/>
        </w:rPr>
        <w:t xml:space="preserve"> </w:t>
      </w:r>
      <w:r w:rsidR="00E4562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4B777D9B" w14:textId="7601BEDE" w:rsidR="00447446" w:rsidRPr="00447446" w:rsidRDefault="00870B18" w:rsidP="00D31EFF">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1" w:name="_GoBack"/>
      <w:r w:rsidR="00D31EFF">
        <w:rPr>
          <w:rFonts w:ascii="Palatino Linotype" w:hAnsi="Palatino Linotype" w:cs="Arial"/>
          <w:b/>
          <w:bCs/>
          <w:sz w:val="24"/>
          <w:lang w:eastAsia="es-MX"/>
        </w:rPr>
        <w:t>0</w:t>
      </w:r>
      <w:r w:rsidR="00906CDA">
        <w:rPr>
          <w:rFonts w:ascii="Palatino Linotype" w:hAnsi="Palatino Linotype" w:cs="Arial"/>
          <w:b/>
          <w:bCs/>
          <w:sz w:val="24"/>
          <w:lang w:eastAsia="es-MX"/>
        </w:rPr>
        <w:t>1100/INFOEM/IP/RR/2025</w:t>
      </w:r>
      <w:bookmarkEnd w:id="1"/>
      <w:r w:rsidR="00906CDA">
        <w:rPr>
          <w:rFonts w:ascii="Palatino Linotype" w:hAnsi="Palatino Linotype" w:cs="Arial"/>
          <w:b/>
          <w:bCs/>
          <w:sz w:val="24"/>
          <w:lang w:eastAsia="es-MX"/>
        </w:rPr>
        <w:t xml:space="preserve">, </w:t>
      </w:r>
      <w:r w:rsidR="00906CDA">
        <w:rPr>
          <w:rFonts w:ascii="Palatino Linotype" w:hAnsi="Palatino Linotype" w:cs="Arial"/>
          <w:sz w:val="24"/>
          <w:lang w:eastAsia="es-MX"/>
        </w:rPr>
        <w:t xml:space="preserve">interpuesto por un particular, en lo sucesivo </w:t>
      </w:r>
      <w:r w:rsidR="00906CDA">
        <w:rPr>
          <w:rFonts w:ascii="Palatino Linotype" w:hAnsi="Palatino Linotype" w:cs="Arial"/>
          <w:b/>
          <w:bCs/>
          <w:sz w:val="24"/>
          <w:lang w:eastAsia="es-MX"/>
        </w:rPr>
        <w:t xml:space="preserve">El Recurrente, </w:t>
      </w:r>
      <w:r w:rsidR="00906CDA">
        <w:rPr>
          <w:rFonts w:ascii="Palatino Linotype" w:hAnsi="Palatino Linotype" w:cs="Arial"/>
          <w:sz w:val="24"/>
          <w:lang w:eastAsia="es-MX"/>
        </w:rPr>
        <w:t xml:space="preserve">en contra de la respuesta del </w:t>
      </w:r>
      <w:r w:rsidR="00906CDA">
        <w:rPr>
          <w:rFonts w:ascii="Palatino Linotype" w:hAnsi="Palatino Linotype" w:cs="Arial"/>
          <w:b/>
          <w:bCs/>
          <w:sz w:val="24"/>
          <w:lang w:eastAsia="es-MX"/>
        </w:rPr>
        <w:t xml:space="preserve">Sistema Municipal Para el Desarrollo Integral de la Familia de Toluca, </w:t>
      </w:r>
      <w:r w:rsidR="00906CDA">
        <w:rPr>
          <w:rFonts w:ascii="Palatino Linotype" w:hAnsi="Palatino Linotype" w:cs="Arial"/>
          <w:sz w:val="24"/>
          <w:lang w:eastAsia="es-MX"/>
        </w:rPr>
        <w:t xml:space="preserve">en lo subsecuente </w:t>
      </w:r>
      <w:r w:rsidR="00906CDA">
        <w:rPr>
          <w:rFonts w:ascii="Palatino Linotype" w:hAnsi="Palatino Linotype" w:cs="Arial"/>
          <w:b/>
          <w:bCs/>
          <w:sz w:val="24"/>
          <w:lang w:eastAsia="es-MX"/>
        </w:rPr>
        <w:t xml:space="preserve">El Sujeto Obligado, </w:t>
      </w:r>
      <w:r w:rsidR="00447446">
        <w:rPr>
          <w:rFonts w:ascii="Palatino Linotype" w:hAnsi="Palatino Linotype" w:cs="Arial"/>
          <w:sz w:val="24"/>
          <w:lang w:eastAsia="es-MX"/>
        </w:rPr>
        <w:t xml:space="preserve">se procede a dictar la presente resolución. </w:t>
      </w:r>
    </w:p>
    <w:p w14:paraId="0D094EF0" w14:textId="77777777" w:rsidR="00447446" w:rsidRDefault="00447446"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0BAFBF42" w14:textId="53910824" w:rsidR="00906CDA" w:rsidRDefault="00870B18" w:rsidP="00870B18">
      <w:pPr>
        <w:spacing w:before="240" w:line="360" w:lineRule="auto"/>
        <w:jc w:val="both"/>
        <w:rPr>
          <w:rFonts w:ascii="Palatino Linotype" w:hAnsi="Palatino Linotype" w:cs="Arial"/>
          <w:sz w:val="24"/>
        </w:rPr>
      </w:pPr>
      <w:r>
        <w:rPr>
          <w:rFonts w:ascii="Palatino Linotype" w:hAnsi="Palatino Linotype" w:cs="Arial"/>
          <w:sz w:val="24"/>
        </w:rPr>
        <w:t>Con fecha</w:t>
      </w:r>
      <w:r w:rsidR="00F919F5">
        <w:rPr>
          <w:rFonts w:ascii="Palatino Linotype" w:hAnsi="Palatino Linotype" w:cs="Arial"/>
          <w:sz w:val="24"/>
        </w:rPr>
        <w:t xml:space="preserve"> </w:t>
      </w:r>
      <w:r w:rsidR="00906CDA">
        <w:rPr>
          <w:rFonts w:ascii="Palatino Linotype" w:hAnsi="Palatino Linotype" w:cs="Arial"/>
          <w:b/>
          <w:bCs/>
          <w:sz w:val="24"/>
        </w:rPr>
        <w:t xml:space="preserve">veinte de enero de dos mil veinticinco, El Recurrente, </w:t>
      </w:r>
      <w:r w:rsidR="00906CDA">
        <w:rPr>
          <w:rFonts w:ascii="Palatino Linotype" w:hAnsi="Palatino Linotype" w:cs="Arial"/>
          <w:sz w:val="24"/>
        </w:rPr>
        <w:t>presentó a través del Sistema de Acceso a la Información Mexiquense (</w:t>
      </w:r>
      <w:r w:rsidR="00906CDA">
        <w:rPr>
          <w:rFonts w:ascii="Palatino Linotype" w:hAnsi="Palatino Linotype" w:cs="Arial"/>
          <w:b/>
          <w:sz w:val="24"/>
        </w:rPr>
        <w:t>SAIMEX)</w:t>
      </w:r>
      <w:r w:rsidR="00906CDA">
        <w:rPr>
          <w:rFonts w:ascii="Palatino Linotype" w:hAnsi="Palatino Linotype" w:cs="Arial"/>
          <w:sz w:val="24"/>
        </w:rPr>
        <w:t xml:space="preserve"> ante </w:t>
      </w:r>
      <w:r w:rsidR="00906CDA">
        <w:rPr>
          <w:rFonts w:ascii="Palatino Linotype" w:hAnsi="Palatino Linotype" w:cs="Arial"/>
          <w:b/>
          <w:sz w:val="24"/>
        </w:rPr>
        <w:t>El Sujeto Obligado</w:t>
      </w:r>
      <w:r w:rsidR="00906CDA">
        <w:rPr>
          <w:rFonts w:ascii="Palatino Linotype" w:hAnsi="Palatino Linotype" w:cs="Arial"/>
          <w:sz w:val="24"/>
        </w:rPr>
        <w:t xml:space="preserve">, solicitud de acceso a la información pública, registrada bajo el número de expediente </w:t>
      </w:r>
      <w:r w:rsidR="00906CDA">
        <w:rPr>
          <w:rFonts w:ascii="Palatino Linotype" w:hAnsi="Palatino Linotype" w:cs="Arial"/>
          <w:b/>
          <w:bCs/>
          <w:sz w:val="24"/>
        </w:rPr>
        <w:t xml:space="preserve">00039/DIFTOLUCA/IP/2025, </w:t>
      </w:r>
      <w:r w:rsidR="00906CDA">
        <w:rPr>
          <w:rFonts w:ascii="Palatino Linotype" w:hAnsi="Palatino Linotype" w:cs="Arial"/>
          <w:sz w:val="24"/>
        </w:rPr>
        <w:t>mediante el cual solicitó información en el tenor siguiente:</w:t>
      </w:r>
    </w:p>
    <w:p w14:paraId="4CD78209" w14:textId="7A79281B" w:rsidR="00906CDA" w:rsidRPr="00906CDA" w:rsidRDefault="00906CDA" w:rsidP="00906CDA">
      <w:pPr>
        <w:pStyle w:val="Citas"/>
        <w:rPr>
          <w:b/>
          <w:bCs/>
        </w:rPr>
      </w:pPr>
      <w:r>
        <w:t>“</w:t>
      </w:r>
      <w:r w:rsidRPr="00906CDA">
        <w:t> Se entrege una copia por el SAIMEX de los contratos de Compras mínimas o cualquier compra de papelería, enseres, productos de limpieza, cafeteria y agua y las facturas lo pagado del 2024</w:t>
      </w:r>
      <w:r>
        <w:t xml:space="preserve">” </w:t>
      </w:r>
      <w:r>
        <w:rPr>
          <w:b/>
          <w:bCs/>
        </w:rPr>
        <w:t>(Sic)</w:t>
      </w:r>
    </w:p>
    <w:p w14:paraId="3DFD50C0" w14:textId="77777777"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lastRenderedPageBreak/>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 xml:space="preserve">A través del SAIMEX. </w:t>
      </w:r>
    </w:p>
    <w:p w14:paraId="6F6A427F" w14:textId="77777777" w:rsidR="005616A3" w:rsidRDefault="005616A3" w:rsidP="00447446">
      <w:pPr>
        <w:spacing w:before="240" w:line="360" w:lineRule="auto"/>
        <w:jc w:val="both"/>
        <w:rPr>
          <w:rFonts w:ascii="Palatino Linotype" w:hAnsi="Palatino Linotype" w:cs="Arial"/>
          <w:b/>
          <w:sz w:val="28"/>
          <w:lang w:val="es-ES_tradnl"/>
        </w:rPr>
      </w:pPr>
    </w:p>
    <w:p w14:paraId="609B2597" w14:textId="72F357DA" w:rsidR="00870B18" w:rsidRDefault="00906CDA"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10C1C703" w14:textId="7924CB92" w:rsidR="00906CDA"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447446">
        <w:rPr>
          <w:rFonts w:ascii="Palatino Linotype" w:hAnsi="Palatino Linotype" w:cs="Arial"/>
          <w:sz w:val="24"/>
          <w:szCs w:val="24"/>
        </w:rPr>
        <w:t xml:space="preserve"> </w:t>
      </w:r>
      <w:r w:rsidR="00906CDA">
        <w:rPr>
          <w:rFonts w:ascii="Palatino Linotype" w:hAnsi="Palatino Linotype" w:cs="Arial"/>
          <w:b/>
          <w:bCs/>
          <w:sz w:val="24"/>
          <w:szCs w:val="24"/>
        </w:rPr>
        <w:t xml:space="preserve">once de febrero de dos mil veinticinco, El Sujeto Obligado </w:t>
      </w:r>
      <w:r w:rsidR="00906CDA">
        <w:rPr>
          <w:rFonts w:ascii="Palatino Linotype" w:hAnsi="Palatino Linotype" w:cs="Arial"/>
          <w:sz w:val="24"/>
          <w:szCs w:val="24"/>
        </w:rPr>
        <w:t xml:space="preserve">dio respuesta a la solicitud de información </w:t>
      </w:r>
      <w:r w:rsidR="00906CDA">
        <w:rPr>
          <w:rFonts w:ascii="Palatino Linotype" w:hAnsi="Palatino Linotype" w:cs="Arial"/>
          <w:b/>
          <w:bCs/>
          <w:sz w:val="24"/>
          <w:szCs w:val="24"/>
        </w:rPr>
        <w:t xml:space="preserve">00039/DIFTOLUCA/IP/2025, </w:t>
      </w:r>
      <w:r w:rsidR="00906CDA">
        <w:rPr>
          <w:rFonts w:ascii="Palatino Linotype" w:hAnsi="Palatino Linotype" w:cs="Arial"/>
          <w:sz w:val="24"/>
          <w:szCs w:val="24"/>
        </w:rPr>
        <w:t>resultando de nuestro interés lo siguiente:</w:t>
      </w:r>
    </w:p>
    <w:p w14:paraId="5E7A7868" w14:textId="230E611B" w:rsidR="00906CDA" w:rsidRPr="00906CDA" w:rsidRDefault="00906CDA" w:rsidP="00906CDA">
      <w:pPr>
        <w:pStyle w:val="Citas"/>
        <w:rPr>
          <w:b/>
          <w:bCs/>
        </w:rPr>
      </w:pPr>
      <w:r>
        <w:t>“</w:t>
      </w:r>
      <w:r w:rsidRPr="00906CDA">
        <w:t>Sistema Municipal Para el Desarrollo Integral de la Familia de Toluca Toluca, México a 11 de Febrero de 2025 Nombre del solicitante: C. Solicitante Folio de la solicitud: 00039/DIFTOLUCA/IP/2025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w:t>
      </w:r>
      <w:r>
        <w:t xml:space="preserve">a” </w:t>
      </w:r>
      <w:r>
        <w:rPr>
          <w:b/>
          <w:bCs/>
        </w:rPr>
        <w:t>(Sic)</w:t>
      </w:r>
    </w:p>
    <w:p w14:paraId="15D10001" w14:textId="3E36192B" w:rsidR="00906CDA" w:rsidRPr="00906CDA" w:rsidRDefault="00906CDA"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los documentos electrónicos </w:t>
      </w:r>
      <w:r>
        <w:rPr>
          <w:rFonts w:ascii="Palatino Linotype" w:hAnsi="Palatino Linotype" w:cs="Arial"/>
          <w:b/>
          <w:bCs/>
          <w:sz w:val="24"/>
          <w:szCs w:val="24"/>
        </w:rPr>
        <w:t xml:space="preserve">“RESPUESTA UIPPE 039-2025.pdf” </w:t>
      </w:r>
      <w:r>
        <w:rPr>
          <w:rFonts w:ascii="Palatino Linotype" w:hAnsi="Palatino Linotype" w:cs="Arial"/>
          <w:sz w:val="24"/>
          <w:szCs w:val="24"/>
        </w:rPr>
        <w:t xml:space="preserve">y </w:t>
      </w:r>
      <w:r>
        <w:rPr>
          <w:rFonts w:ascii="Palatino Linotype" w:hAnsi="Palatino Linotype" w:cs="Arial"/>
          <w:b/>
          <w:bCs/>
          <w:sz w:val="24"/>
          <w:szCs w:val="24"/>
        </w:rPr>
        <w:t xml:space="preserve">“RESPUESTA SPH 039-2025.pdf”, </w:t>
      </w:r>
      <w:r>
        <w:rPr>
          <w:rFonts w:ascii="Palatino Linotype" w:hAnsi="Palatino Linotype" w:cs="Arial"/>
          <w:sz w:val="24"/>
          <w:szCs w:val="24"/>
        </w:rPr>
        <w:t xml:space="preserve">cuyo contenido será materia de análisis en el considerando respectivo. </w:t>
      </w:r>
    </w:p>
    <w:p w14:paraId="71E3D1DE" w14:textId="77777777" w:rsidR="00906CDA" w:rsidRDefault="00906CDA" w:rsidP="00870B18">
      <w:pPr>
        <w:spacing w:before="240" w:line="360" w:lineRule="auto"/>
        <w:jc w:val="both"/>
        <w:rPr>
          <w:rFonts w:ascii="Palatino Linotype" w:hAnsi="Palatino Linotype" w:cs="Arial"/>
          <w:sz w:val="24"/>
          <w:szCs w:val="24"/>
        </w:rPr>
      </w:pPr>
    </w:p>
    <w:p w14:paraId="622CAD60" w14:textId="77777777" w:rsidR="00906CDA" w:rsidRDefault="00906CDA" w:rsidP="00870B18">
      <w:pPr>
        <w:spacing w:before="240" w:line="360" w:lineRule="auto"/>
        <w:jc w:val="both"/>
        <w:rPr>
          <w:rFonts w:ascii="Palatino Linotype" w:hAnsi="Palatino Linotype" w:cs="Arial"/>
          <w:sz w:val="24"/>
          <w:szCs w:val="24"/>
        </w:rPr>
      </w:pPr>
    </w:p>
    <w:p w14:paraId="2F3F8225" w14:textId="3E73CCC5" w:rsidR="00870B18" w:rsidRDefault="00906CDA" w:rsidP="00870B18">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2FFE9690" w14:textId="1ABC6B04" w:rsidR="00906CDA" w:rsidRPr="00906CDA"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906CDA">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906CDA">
        <w:rPr>
          <w:rFonts w:ascii="Palatino Linotype" w:hAnsi="Palatino Linotype" w:cs="Arial"/>
          <w:bCs/>
          <w:sz w:val="24"/>
          <w:szCs w:val="24"/>
        </w:rPr>
        <w:t xml:space="preserve"> </w:t>
      </w:r>
      <w:r w:rsidR="00906CDA">
        <w:rPr>
          <w:rFonts w:ascii="Palatino Linotype" w:hAnsi="Palatino Linotype" w:cs="Arial"/>
          <w:b/>
          <w:sz w:val="24"/>
          <w:szCs w:val="24"/>
        </w:rPr>
        <w:t xml:space="preserve">once de febrero de dos mil veinticinco, </w:t>
      </w:r>
      <w:r w:rsidR="00906CDA">
        <w:rPr>
          <w:rFonts w:ascii="Palatino Linotype" w:hAnsi="Palatino Linotype" w:cs="Arial"/>
          <w:bCs/>
          <w:sz w:val="24"/>
          <w:szCs w:val="24"/>
        </w:rPr>
        <w:t xml:space="preserve">el cual fue registrado en el sistema electrónico con el expediente </w:t>
      </w:r>
      <w:r w:rsidR="00906CDA">
        <w:rPr>
          <w:rFonts w:ascii="Palatino Linotype" w:hAnsi="Palatino Linotype" w:cs="Arial"/>
          <w:b/>
          <w:sz w:val="24"/>
          <w:szCs w:val="24"/>
        </w:rPr>
        <w:t xml:space="preserve">01100/INFOEM/IP/RR/2025, </w:t>
      </w:r>
      <w:r w:rsidR="00906CDA">
        <w:rPr>
          <w:rFonts w:ascii="Palatino Linotype" w:hAnsi="Palatino Linotype" w:cs="Arial"/>
          <w:bCs/>
          <w:sz w:val="24"/>
          <w:szCs w:val="24"/>
        </w:rPr>
        <w:t xml:space="preserve">en el cual arguye las siguientes manifestaciones: </w:t>
      </w:r>
    </w:p>
    <w:p w14:paraId="22BB7FF0" w14:textId="77777777" w:rsidR="00870B18" w:rsidRDefault="00870B18" w:rsidP="00870B18">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0E27E066" w14:textId="2DC6BFAB" w:rsidR="00870B18" w:rsidRPr="003406C5" w:rsidRDefault="00870B18" w:rsidP="00870B18">
      <w:pPr>
        <w:pStyle w:val="Citas"/>
        <w:rPr>
          <w:b/>
          <w:bCs/>
          <w:sz w:val="24"/>
        </w:rPr>
      </w:pPr>
      <w:r w:rsidRPr="00D31EFF">
        <w:t>“</w:t>
      </w:r>
      <w:r w:rsidR="00906CDA" w:rsidRPr="00906CDA">
        <w:t>la respueta del sujeto obligado</w:t>
      </w:r>
      <w:r w:rsidR="005C5860" w:rsidRPr="00D31EFF">
        <w:t>”</w:t>
      </w:r>
      <w:r>
        <w:t xml:space="preserve"> </w:t>
      </w:r>
      <w:r>
        <w:rPr>
          <w:b/>
          <w:bCs/>
        </w:rPr>
        <w:t>(Sic)</w:t>
      </w:r>
    </w:p>
    <w:p w14:paraId="2AD8641A" w14:textId="77777777" w:rsidR="00870B18" w:rsidRDefault="00870B18" w:rsidP="00870B18">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84F204" w14:textId="45BFE160" w:rsidR="00870B18" w:rsidRPr="003406C5" w:rsidRDefault="00870B18" w:rsidP="00870B18">
      <w:pPr>
        <w:pStyle w:val="Citas"/>
        <w:rPr>
          <w:b/>
          <w:bCs/>
        </w:rPr>
      </w:pPr>
      <w:r w:rsidRPr="00D31EFF">
        <w:t>“</w:t>
      </w:r>
      <w:r w:rsidR="00906CDA" w:rsidRPr="00906CDA">
        <w:t>no entrega toda la información</w:t>
      </w:r>
      <w:r w:rsidRPr="00D31EFF">
        <w:t>”</w:t>
      </w:r>
      <w:r>
        <w:t xml:space="preserve"> </w:t>
      </w:r>
      <w:r>
        <w:rPr>
          <w:b/>
          <w:bCs/>
        </w:rPr>
        <w:t>(Sic)</w:t>
      </w:r>
    </w:p>
    <w:p w14:paraId="7472F32A" w14:textId="77777777" w:rsidR="005F1744" w:rsidRDefault="005F1744" w:rsidP="00870B18">
      <w:pPr>
        <w:spacing w:before="240" w:line="360" w:lineRule="auto"/>
        <w:jc w:val="both"/>
        <w:rPr>
          <w:rFonts w:ascii="Palatino Linotype" w:hAnsi="Palatino Linotype" w:cs="Arial"/>
          <w:b/>
          <w:sz w:val="28"/>
        </w:rPr>
      </w:pPr>
    </w:p>
    <w:p w14:paraId="25E4EEBD" w14:textId="1B877FE7" w:rsidR="00870B18" w:rsidRDefault="00906CDA"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609039F9"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906CDA">
        <w:rPr>
          <w:rFonts w:ascii="Palatino Linotype" w:hAnsi="Palatino Linotype" w:cs="Arial"/>
          <w:sz w:val="24"/>
          <w:szCs w:val="24"/>
        </w:rPr>
        <w:t xml:space="preserve"> </w:t>
      </w:r>
      <w:r w:rsidR="00906CDA">
        <w:rPr>
          <w:rFonts w:ascii="Palatino Linotype" w:hAnsi="Palatino Linotype" w:cs="Arial"/>
          <w:b/>
          <w:bCs/>
          <w:sz w:val="24"/>
          <w:szCs w:val="24"/>
        </w:rPr>
        <w:t xml:space="preserve">trece de febrero del presente, </w:t>
      </w:r>
      <w:r w:rsidR="007721F5">
        <w:rPr>
          <w:rFonts w:ascii="Palatino Linotype" w:hAnsi="Palatino Linotype" w:cs="Arial"/>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07922030" w14:textId="77777777" w:rsidR="005616A3" w:rsidRDefault="005616A3" w:rsidP="00870B18">
      <w:pPr>
        <w:spacing w:before="240" w:line="360" w:lineRule="auto"/>
        <w:jc w:val="both"/>
        <w:rPr>
          <w:rFonts w:ascii="Palatino Linotype" w:hAnsi="Palatino Linotype" w:cs="Arial"/>
          <w:sz w:val="24"/>
          <w:szCs w:val="24"/>
        </w:rPr>
      </w:pPr>
    </w:p>
    <w:p w14:paraId="27FA6121" w14:textId="03439AFF" w:rsidR="00870B18" w:rsidRPr="00B07D6D" w:rsidRDefault="00906CDA" w:rsidP="00870B18">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084ED4EA" w14:textId="5C7BC967" w:rsidR="00B46506" w:rsidRPr="00B46506"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906CDA">
        <w:rPr>
          <w:rFonts w:ascii="Palatino Linotype" w:hAnsi="Palatino Linotype" w:cs="Arial"/>
          <w:bCs/>
          <w:sz w:val="24"/>
          <w:szCs w:val="24"/>
        </w:rPr>
        <w:t xml:space="preserve">rindió su informe justificado en fecha </w:t>
      </w:r>
      <w:r w:rsidR="00906CDA">
        <w:rPr>
          <w:rFonts w:ascii="Palatino Linotype" w:hAnsi="Palatino Linotype" w:cs="Arial"/>
          <w:b/>
          <w:sz w:val="24"/>
          <w:szCs w:val="24"/>
        </w:rPr>
        <w:t xml:space="preserve">veinte de febrero del presente, </w:t>
      </w:r>
      <w:r w:rsidR="00906CDA">
        <w:rPr>
          <w:rFonts w:ascii="Palatino Linotype" w:hAnsi="Palatino Linotype" w:cs="Arial"/>
          <w:bCs/>
          <w:sz w:val="24"/>
          <w:szCs w:val="24"/>
        </w:rPr>
        <w:t xml:space="preserve">mismo que fue puesto a la vista el </w:t>
      </w:r>
      <w:r w:rsidR="00906CDA">
        <w:rPr>
          <w:rFonts w:ascii="Palatino Linotype" w:hAnsi="Palatino Linotype" w:cs="Arial"/>
          <w:b/>
          <w:sz w:val="24"/>
          <w:szCs w:val="24"/>
        </w:rPr>
        <w:t xml:space="preserve">veintiuno de febrero de dos mil veinticinco. </w:t>
      </w:r>
      <w:r w:rsidR="00B46506">
        <w:rPr>
          <w:rFonts w:ascii="Palatino Linotype" w:hAnsi="Palatino Linotype" w:cs="Arial"/>
          <w:bCs/>
          <w:sz w:val="24"/>
          <w:szCs w:val="24"/>
        </w:rPr>
        <w:t xml:space="preserve">  </w:t>
      </w:r>
    </w:p>
    <w:p w14:paraId="46D93177" w14:textId="7EE8EF94" w:rsidR="005F1744" w:rsidRDefault="00B46506" w:rsidP="005F1744">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906CDA">
        <w:rPr>
          <w:rFonts w:ascii="Palatino Linotype" w:hAnsi="Palatino Linotype" w:cs="Arial"/>
          <w:b/>
          <w:sz w:val="24"/>
          <w:szCs w:val="24"/>
        </w:rPr>
        <w:t xml:space="preserve">veintisiete de febrero de los corrientes, </w:t>
      </w:r>
      <w:r w:rsidR="005F1744" w:rsidRPr="00E008E2">
        <w:rPr>
          <w:rFonts w:ascii="Palatino Linotype" w:hAnsi="Palatino Linotype" w:cs="Arial"/>
          <w:bCs/>
          <w:sz w:val="24"/>
          <w:szCs w:val="24"/>
        </w:rPr>
        <w:t>e</w:t>
      </w:r>
      <w:r w:rsidR="005F1744"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5DB8F512" w14:textId="77777777" w:rsidR="00A452EB" w:rsidRDefault="00A452EB" w:rsidP="00870B18">
      <w:pPr>
        <w:spacing w:before="240" w:line="360" w:lineRule="auto"/>
        <w:jc w:val="center"/>
        <w:rPr>
          <w:rFonts w:ascii="Palatino Linotype" w:hAnsi="Palatino Linotype" w:cs="Arial"/>
          <w:b/>
          <w:sz w:val="24"/>
        </w:rPr>
      </w:pPr>
    </w:p>
    <w:p w14:paraId="34D2D0F1" w14:textId="3820CF2E"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3B3A02CF" w14:textId="47153628" w:rsidR="005B595E"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4A2F99">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F6461C">
        <w:rPr>
          <w:rFonts w:ascii="Palatino Linotype" w:hAnsi="Palatino Linotype" w:cs="Arial"/>
          <w:bCs/>
        </w:rPr>
        <w:lastRenderedPageBreak/>
        <w:t>Interior del Instituto de Transparencia, Acceso a la Información Pública y Protección de Datos Personales del Estado de México y Municipios.</w:t>
      </w:r>
    </w:p>
    <w:p w14:paraId="18A8562A" w14:textId="77777777" w:rsidR="005616A3" w:rsidRPr="00F6461C" w:rsidRDefault="005616A3" w:rsidP="005B595E">
      <w:pPr>
        <w:pStyle w:val="Prrafodelista"/>
        <w:autoSpaceDE w:val="0"/>
        <w:autoSpaceDN w:val="0"/>
        <w:adjustRightInd w:val="0"/>
        <w:spacing w:before="240" w:after="160" w:line="360" w:lineRule="auto"/>
        <w:ind w:left="0"/>
        <w:jc w:val="both"/>
        <w:rPr>
          <w:rFonts w:ascii="Palatino Linotype" w:hAnsi="Palatino Linotype" w:cs="Arial"/>
          <w:bCs/>
        </w:rPr>
      </w:pPr>
    </w:p>
    <w:p w14:paraId="1E4610B4" w14:textId="69B005E4"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198D86" w14:textId="77777777" w:rsidR="00EE5F57"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062FCB1F" w14:textId="77777777" w:rsidR="00B46506" w:rsidRPr="007822E6" w:rsidRDefault="00B46506" w:rsidP="00B4650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4DE5B825" w14:textId="77777777" w:rsidR="00785AF5" w:rsidRPr="00AF17B1" w:rsidRDefault="00785AF5" w:rsidP="00785AF5">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0D632B8"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34647710"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0D387FD3"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lastRenderedPageBreak/>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B8C8CEB"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6A06EB99"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6893509"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78C455AF"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1F181C5A"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B04733F"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74C62DD2"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71D8CDE4" w14:textId="77777777" w:rsidR="00785AF5" w:rsidRPr="00AF17B1" w:rsidRDefault="00785AF5" w:rsidP="00785AF5">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255FA6BB" w14:textId="77777777" w:rsidR="00785AF5" w:rsidRPr="00AF17B1" w:rsidRDefault="00785AF5" w:rsidP="00785AF5">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618C13FF" w14:textId="77777777" w:rsidR="00785AF5" w:rsidRPr="00AF17B1" w:rsidRDefault="00785AF5" w:rsidP="00785AF5">
      <w:pPr>
        <w:spacing w:after="0" w:line="360" w:lineRule="auto"/>
        <w:jc w:val="both"/>
        <w:rPr>
          <w:rFonts w:ascii="Palatino Linotype" w:eastAsia="Times New Roman" w:hAnsi="Palatino Linotype" w:cs="Arial"/>
          <w:b/>
          <w:i/>
          <w:sz w:val="24"/>
          <w:szCs w:val="24"/>
          <w:lang w:eastAsia="es-ES"/>
        </w:rPr>
      </w:pPr>
    </w:p>
    <w:p w14:paraId="55E80317" w14:textId="77777777" w:rsidR="00785AF5" w:rsidRPr="00AF17B1" w:rsidRDefault="00785AF5" w:rsidP="00785AF5">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lastRenderedPageBreak/>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40CB60F2" w14:textId="77777777" w:rsidR="00785AF5" w:rsidRPr="00AF17B1" w:rsidRDefault="00785AF5" w:rsidP="00785AF5">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55530AB7" w14:textId="77777777" w:rsidR="00785AF5" w:rsidRPr="00AF17B1" w:rsidRDefault="00785AF5" w:rsidP="00785AF5">
      <w:pPr>
        <w:spacing w:before="240" w:line="360" w:lineRule="auto"/>
        <w:ind w:left="851" w:right="851"/>
        <w:jc w:val="both"/>
        <w:rPr>
          <w:rFonts w:ascii="Palatino Linotype" w:hAnsi="Palatino Linotype" w:cs="Arial"/>
          <w:b/>
          <w:i/>
          <w:lang w:eastAsia="es-ES"/>
        </w:rPr>
      </w:pPr>
    </w:p>
    <w:p w14:paraId="6DCEF069" w14:textId="77777777" w:rsidR="00785AF5" w:rsidRPr="00AF17B1" w:rsidRDefault="00785AF5" w:rsidP="00785AF5">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36E9D57F" w14:textId="77777777" w:rsidR="00785AF5" w:rsidRPr="00AF17B1" w:rsidRDefault="00785AF5" w:rsidP="00785AF5">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43B02B99"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856AD7"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1160A747"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Para efectos de lo dispuesto en el presente artículo se observará lo siguiente: </w:t>
      </w:r>
    </w:p>
    <w:p w14:paraId="43FE1B38"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66717AD"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C0403A4"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010C8279" w14:textId="77777777" w:rsidR="00785AF5" w:rsidRPr="00AF17B1" w:rsidRDefault="00785AF5" w:rsidP="00785AF5">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57F611E7" w14:textId="77777777" w:rsidR="00785AF5" w:rsidRPr="00AF17B1" w:rsidRDefault="00785AF5" w:rsidP="00785AF5">
      <w:pPr>
        <w:spacing w:before="240" w:line="360" w:lineRule="auto"/>
        <w:ind w:left="851" w:right="851"/>
        <w:jc w:val="both"/>
        <w:rPr>
          <w:rFonts w:ascii="Palatino Linotype" w:eastAsia="Times New Roman" w:hAnsi="Palatino Linotype" w:cs="Times New Roman"/>
          <w:b/>
          <w:i/>
          <w:lang w:eastAsia="es-ES"/>
        </w:rPr>
      </w:pPr>
    </w:p>
    <w:p w14:paraId="1619C2BB" w14:textId="77777777" w:rsidR="00785AF5" w:rsidRPr="00AF17B1" w:rsidRDefault="00785AF5" w:rsidP="00785AF5">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75504FE1"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51563AD"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09D9DEB"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79C01171"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586A0A6B"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71E9A23"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C0C26CD"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9396A81"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1AB79D39"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11175CB1" w14:textId="77777777" w:rsidR="00785AF5" w:rsidRPr="00AF17B1" w:rsidRDefault="00785AF5" w:rsidP="00785AF5">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84BA2A1" w14:textId="77777777" w:rsidR="00785AF5" w:rsidRPr="00AF17B1" w:rsidRDefault="00785AF5" w:rsidP="00785AF5">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18AADA66" w14:textId="77777777" w:rsidR="00785AF5" w:rsidRDefault="00785AF5" w:rsidP="00785AF5">
      <w:pPr>
        <w:spacing w:after="0" w:line="360" w:lineRule="auto"/>
        <w:jc w:val="both"/>
        <w:rPr>
          <w:rFonts w:ascii="Palatino Linotype" w:eastAsia="Times New Roman" w:hAnsi="Palatino Linotype" w:cs="Times New Roman"/>
          <w:sz w:val="24"/>
          <w:szCs w:val="24"/>
          <w:lang w:eastAsia="es-ES"/>
        </w:rPr>
      </w:pPr>
    </w:p>
    <w:p w14:paraId="6D8941B6" w14:textId="77777777" w:rsidR="00785AF5" w:rsidRPr="00AF17B1" w:rsidRDefault="00785AF5" w:rsidP="00785AF5">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45AAC7F8" w14:textId="77777777" w:rsidR="00785AF5" w:rsidRPr="00AF17B1" w:rsidRDefault="00785AF5" w:rsidP="00785AF5">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3C661D1" w14:textId="77777777" w:rsidR="00785AF5" w:rsidRPr="00AF17B1" w:rsidRDefault="00785AF5" w:rsidP="00785AF5">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2CA357E8" w14:textId="77777777" w:rsidR="00785AF5" w:rsidRPr="00AF17B1" w:rsidRDefault="00785AF5" w:rsidP="00785AF5">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117035FA" w14:textId="77777777" w:rsidR="00785AF5" w:rsidRDefault="00785AF5" w:rsidP="00785AF5">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4C3F8775" w14:textId="77777777" w:rsidR="00906CDA" w:rsidRDefault="00906CDA" w:rsidP="000C7274">
      <w:pPr>
        <w:tabs>
          <w:tab w:val="left" w:pos="709"/>
        </w:tabs>
        <w:spacing w:before="240" w:line="360" w:lineRule="auto"/>
        <w:ind w:right="51"/>
        <w:jc w:val="both"/>
        <w:rPr>
          <w:rFonts w:ascii="Palatino Linotype" w:hAnsi="Palatino Linotype"/>
          <w:b/>
          <w:sz w:val="28"/>
          <w:szCs w:val="28"/>
        </w:rPr>
      </w:pPr>
    </w:p>
    <w:p w14:paraId="3D0D57A4" w14:textId="05DDC38D" w:rsidR="000C7274" w:rsidRPr="009A0D0A"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3E80DAA"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3860F97E" w14:textId="77777777" w:rsidR="000C7274" w:rsidRPr="002869E1" w:rsidRDefault="000C7274" w:rsidP="000C727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pública implica que cualquier persona conozca la información contenida en los documentos </w:t>
      </w:r>
      <w:r w:rsidRPr="002869E1">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7B501C3B"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6010FE">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6BF3CC34"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2EDDC4F" w14:textId="77777777" w:rsidR="000C7274" w:rsidRPr="006010FE"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A29681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18B065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7D12487"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4D4C4B4" w14:textId="77777777" w:rsidR="000C7274"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6010FE" w:rsidRDefault="000C7274" w:rsidP="000C727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6010FE">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1DA038D" w14:textId="77777777" w:rsidR="000C7274" w:rsidRDefault="000C7274" w:rsidP="000C7274">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F1927A2" w14:textId="77777777" w:rsidR="00CD4E49" w:rsidRDefault="00CD4E49" w:rsidP="000C7274">
      <w:pPr>
        <w:autoSpaceDE w:val="0"/>
        <w:autoSpaceDN w:val="0"/>
        <w:adjustRightInd w:val="0"/>
        <w:spacing w:before="240" w:line="360" w:lineRule="auto"/>
        <w:jc w:val="both"/>
        <w:rPr>
          <w:rFonts w:ascii="Palatino Linotype" w:hAnsi="Palatino Linotype" w:cs="Arial"/>
          <w:sz w:val="24"/>
          <w:szCs w:val="24"/>
        </w:rPr>
      </w:pPr>
    </w:p>
    <w:p w14:paraId="1B87AE09" w14:textId="17035744" w:rsidR="000C7274" w:rsidRDefault="000C7274" w:rsidP="000C7274">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sidR="00785AF5">
        <w:rPr>
          <w:rFonts w:ascii="Palatino Linotype" w:hAnsi="Palatino Linotype" w:cs="Arial"/>
          <w:b/>
          <w:bCs/>
          <w:sz w:val="24"/>
          <w:szCs w:val="24"/>
        </w:rPr>
        <w:t>00039/DIFTOLUCA/IP/2025</w:t>
      </w:r>
      <w:r>
        <w:rPr>
          <w:rFonts w:ascii="Palatino Linotype" w:hAnsi="Palatino Linotype" w:cs="Arial"/>
          <w:b/>
          <w:bCs/>
          <w:sz w:val="24"/>
          <w:szCs w:val="24"/>
        </w:rPr>
        <w:t xml:space="preserve"> </w:t>
      </w:r>
      <w:r>
        <w:rPr>
          <w:rFonts w:ascii="Palatino Linotype" w:hAnsi="Palatino Linotype" w:cs="Arial"/>
          <w:sz w:val="24"/>
          <w:szCs w:val="24"/>
        </w:rPr>
        <w:t>se desprenden las siguientes consideraciones:</w:t>
      </w:r>
    </w:p>
    <w:p w14:paraId="3F2C558D" w14:textId="77777777" w:rsidR="000C7274" w:rsidRPr="00B7280E" w:rsidRDefault="000C7274" w:rsidP="008D3F0E">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w:t>
      </w:r>
      <w:r w:rsidRPr="00511C91">
        <w:rPr>
          <w:rFonts w:ascii="Palatino Linotype" w:hAnsi="Palatino Linotype" w:cs="Arial"/>
        </w:rPr>
        <w:t xml:space="preserve">carácter constitucional que reconoce la potestad de los ciudadanos para solicitar soportes documentales generados, poseídos o administrados por los </w:t>
      </w:r>
      <w:r w:rsidRPr="00511C91">
        <w:rPr>
          <w:rFonts w:ascii="Palatino Linotype" w:hAnsi="Palatino Linotype" w:cs="Arial"/>
          <w:b/>
          <w:bCs/>
        </w:rPr>
        <w:t>Sujetos Obligados.</w:t>
      </w:r>
      <w:r>
        <w:rPr>
          <w:rFonts w:ascii="Palatino Linotype" w:hAnsi="Palatino Linotype" w:cs="Arial"/>
          <w:b/>
          <w:bCs/>
        </w:rPr>
        <w:t xml:space="preserve"> </w:t>
      </w:r>
    </w:p>
    <w:p w14:paraId="650418AB" w14:textId="669637FF" w:rsidR="00785AF5" w:rsidRPr="00785AF5" w:rsidRDefault="00B7280E" w:rsidP="008D3F0E">
      <w:pPr>
        <w:pStyle w:val="Prrafodelista"/>
        <w:numPr>
          <w:ilvl w:val="0"/>
          <w:numId w:val="1"/>
        </w:numPr>
        <w:autoSpaceDE w:val="0"/>
        <w:autoSpaceDN w:val="0"/>
        <w:adjustRightInd w:val="0"/>
        <w:spacing w:before="240" w:line="360" w:lineRule="auto"/>
        <w:jc w:val="both"/>
        <w:rPr>
          <w:rFonts w:ascii="Palatino Linotype" w:hAnsi="Palatino Linotype"/>
        </w:rPr>
      </w:pPr>
      <w:r w:rsidRPr="00A238F0">
        <w:rPr>
          <w:rFonts w:ascii="Palatino Linotype" w:hAnsi="Palatino Linotype" w:cs="Arial"/>
        </w:rPr>
        <w:t xml:space="preserve">Que mediante la solicitud de información </w:t>
      </w:r>
      <w:r w:rsidR="00785AF5">
        <w:rPr>
          <w:rFonts w:ascii="Palatino Linotype" w:hAnsi="Palatino Linotype" w:cs="Arial"/>
          <w:b/>
          <w:bCs/>
        </w:rPr>
        <w:t xml:space="preserve">00039/DIFTOLUCA/IP/2025 </w:t>
      </w:r>
      <w:r w:rsidR="00A238F0" w:rsidRPr="00A238F0">
        <w:rPr>
          <w:rFonts w:ascii="Palatino Linotype" w:hAnsi="Palatino Linotype" w:cs="Arial"/>
        </w:rPr>
        <w:t>fue</w:t>
      </w:r>
      <w:r w:rsidR="00785AF5">
        <w:rPr>
          <w:rFonts w:ascii="Palatino Linotype" w:hAnsi="Palatino Linotype" w:cs="Arial"/>
        </w:rPr>
        <w:t>ron</w:t>
      </w:r>
      <w:r w:rsidR="00A238F0" w:rsidRPr="00A238F0">
        <w:rPr>
          <w:rFonts w:ascii="Palatino Linotype" w:hAnsi="Palatino Linotype" w:cs="Arial"/>
        </w:rPr>
        <w:t xml:space="preserve"> formulado</w:t>
      </w:r>
      <w:r w:rsidR="00785AF5">
        <w:rPr>
          <w:rFonts w:ascii="Palatino Linotype" w:hAnsi="Palatino Linotype" w:cs="Arial"/>
        </w:rPr>
        <w:t>s</w:t>
      </w:r>
      <w:r w:rsidR="00A238F0" w:rsidRPr="00A238F0">
        <w:rPr>
          <w:rFonts w:ascii="Palatino Linotype" w:hAnsi="Palatino Linotype" w:cs="Arial"/>
        </w:rPr>
        <w:t xml:space="preserve"> </w:t>
      </w:r>
      <w:r w:rsidR="00785AF5">
        <w:rPr>
          <w:rFonts w:ascii="Palatino Linotype" w:hAnsi="Palatino Linotype" w:cs="Arial"/>
        </w:rPr>
        <w:t>dos</w:t>
      </w:r>
      <w:r w:rsidR="00A238F0" w:rsidRPr="00A238F0">
        <w:rPr>
          <w:rFonts w:ascii="Palatino Linotype" w:hAnsi="Palatino Linotype" w:cs="Arial"/>
        </w:rPr>
        <w:t xml:space="preserve"> requerimiento</w:t>
      </w:r>
      <w:r w:rsidR="00785AF5">
        <w:rPr>
          <w:rFonts w:ascii="Palatino Linotype" w:hAnsi="Palatino Linotype" w:cs="Arial"/>
        </w:rPr>
        <w:t>s</w:t>
      </w:r>
      <w:r w:rsidR="00A238F0" w:rsidRPr="00A238F0">
        <w:rPr>
          <w:rFonts w:ascii="Palatino Linotype" w:hAnsi="Palatino Linotype" w:cs="Arial"/>
        </w:rPr>
        <w:t xml:space="preserve"> respecto de</w:t>
      </w:r>
      <w:r w:rsidR="00785AF5">
        <w:rPr>
          <w:rFonts w:ascii="Palatino Linotype" w:hAnsi="Palatino Linotype" w:cs="Arial"/>
        </w:rPr>
        <w:t xml:space="preserve"> los</w:t>
      </w:r>
      <w:r w:rsidR="00A238F0" w:rsidRPr="00A238F0">
        <w:rPr>
          <w:rFonts w:ascii="Palatino Linotype" w:hAnsi="Palatino Linotype" w:cs="Arial"/>
        </w:rPr>
        <w:t xml:space="preserve"> cual</w:t>
      </w:r>
      <w:r w:rsidR="00785AF5">
        <w:rPr>
          <w:rFonts w:ascii="Palatino Linotype" w:hAnsi="Palatino Linotype" w:cs="Arial"/>
        </w:rPr>
        <w:t>es</w:t>
      </w:r>
      <w:r w:rsidR="00A238F0" w:rsidRPr="00A238F0">
        <w:rPr>
          <w:rFonts w:ascii="Palatino Linotype" w:hAnsi="Palatino Linotype" w:cs="Arial"/>
        </w:rPr>
        <w:t xml:space="preserve"> fue señalada como temporalidad </w:t>
      </w:r>
      <w:r w:rsidR="00A238F0" w:rsidRPr="00A238F0">
        <w:rPr>
          <w:rFonts w:ascii="Palatino Linotype" w:hAnsi="Palatino Linotype" w:cs="Arial"/>
          <w:i/>
          <w:iCs/>
        </w:rPr>
        <w:t>“</w:t>
      </w:r>
      <w:r w:rsidR="00785AF5">
        <w:rPr>
          <w:rFonts w:ascii="Palatino Linotype" w:hAnsi="Palatino Linotype" w:cs="Arial"/>
          <w:i/>
          <w:iCs/>
        </w:rPr>
        <w:t xml:space="preserve">del 2024”, </w:t>
      </w:r>
      <w:r w:rsidR="00785AF5">
        <w:rPr>
          <w:rFonts w:ascii="Palatino Linotype" w:hAnsi="Palatino Linotype" w:cs="Arial"/>
        </w:rPr>
        <w:t xml:space="preserve">es decir, el elemento temporal debe de ser fijado del uno de enero al treinta y uno de diciembre de dos mil veinticuatro. </w:t>
      </w:r>
    </w:p>
    <w:p w14:paraId="71601EDD" w14:textId="77777777" w:rsidR="00785AF5" w:rsidRPr="00785AF5" w:rsidRDefault="00785AF5" w:rsidP="00785AF5">
      <w:pPr>
        <w:pStyle w:val="Prrafodelista"/>
        <w:autoSpaceDE w:val="0"/>
        <w:autoSpaceDN w:val="0"/>
        <w:adjustRightInd w:val="0"/>
        <w:spacing w:before="240" w:line="360" w:lineRule="auto"/>
        <w:ind w:left="720"/>
        <w:jc w:val="both"/>
        <w:rPr>
          <w:rFonts w:ascii="Palatino Linotype" w:hAnsi="Palatino Linotype"/>
        </w:rPr>
      </w:pPr>
    </w:p>
    <w:p w14:paraId="596F6439" w14:textId="46DAB8B5" w:rsidR="000C7274" w:rsidRPr="0051062B" w:rsidRDefault="00785AF5" w:rsidP="000C7274">
      <w:pPr>
        <w:spacing w:before="240" w:line="360" w:lineRule="auto"/>
        <w:jc w:val="both"/>
        <w:rPr>
          <w:rFonts w:ascii="Palatino Linotype" w:hAnsi="Palatino Linotype"/>
          <w:sz w:val="24"/>
          <w:szCs w:val="24"/>
        </w:rPr>
      </w:pPr>
      <w:r>
        <w:rPr>
          <w:rFonts w:ascii="Palatino Linotype" w:hAnsi="Palatino Linotype"/>
          <w:sz w:val="24"/>
          <w:szCs w:val="24"/>
        </w:rPr>
        <w:t>D</w:t>
      </w:r>
      <w:r w:rsidR="000C7274" w:rsidRPr="00A44FBE">
        <w:rPr>
          <w:rFonts w:ascii="Palatino Linotype" w:hAnsi="Palatino Linotype"/>
          <w:sz w:val="24"/>
          <w:szCs w:val="24"/>
        </w:rPr>
        <w:t xml:space="preserve">ichas precisiones, con fundamento </w:t>
      </w:r>
      <w:r w:rsidR="000C7274" w:rsidRPr="0051062B">
        <w:rPr>
          <w:rFonts w:ascii="Palatino Linotype" w:hAnsi="Palatino Linotype"/>
          <w:sz w:val="24"/>
          <w:szCs w:val="24"/>
        </w:rPr>
        <w:t xml:space="preserve">en los artículos 13 y 181 cuarto párrafo de la Ley en materia, los cuales a la letra rezan: </w:t>
      </w:r>
    </w:p>
    <w:p w14:paraId="2164CF40" w14:textId="77777777" w:rsidR="000C7274" w:rsidRPr="0051062B" w:rsidRDefault="000C7274" w:rsidP="000C7274">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336F9D59" w14:textId="77777777" w:rsidR="000C7274" w:rsidRPr="0051062B" w:rsidRDefault="000C7274" w:rsidP="000C7274">
      <w:pPr>
        <w:pStyle w:val="Citas"/>
        <w:rPr>
          <w:b/>
        </w:rPr>
      </w:pPr>
      <w:r w:rsidRPr="0051062B">
        <w:rPr>
          <w:b/>
        </w:rPr>
        <w:t xml:space="preserve">Artículo 181. … </w:t>
      </w:r>
    </w:p>
    <w:p w14:paraId="5BF423AA" w14:textId="77777777" w:rsidR="000C7274" w:rsidRDefault="000C7274" w:rsidP="000C7274">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1F4D256" w14:textId="77777777" w:rsidR="00190F98" w:rsidRDefault="00190F98" w:rsidP="000C7274">
      <w:pPr>
        <w:spacing w:before="240" w:line="360" w:lineRule="auto"/>
        <w:jc w:val="both"/>
        <w:rPr>
          <w:rFonts w:ascii="Palatino Linotype" w:hAnsi="Palatino Linotype"/>
          <w:sz w:val="24"/>
          <w:szCs w:val="24"/>
        </w:rPr>
      </w:pPr>
    </w:p>
    <w:p w14:paraId="39AE35CD" w14:textId="277E78EE" w:rsidR="000C7274" w:rsidRDefault="000C7274" w:rsidP="000C727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4A2F99">
        <w:rPr>
          <w:rFonts w:ascii="Palatino Linotype" w:hAnsi="Palatino Linotype"/>
          <w:sz w:val="24"/>
          <w:szCs w:val="24"/>
        </w:rPr>
        <w:t>el</w:t>
      </w:r>
      <w:r>
        <w:rPr>
          <w:rFonts w:ascii="Palatino Linotype" w:hAnsi="Palatino Linotype"/>
          <w:sz w:val="24"/>
          <w:szCs w:val="24"/>
        </w:rPr>
        <w:t xml:space="preserve"> ahora </w:t>
      </w:r>
      <w:r w:rsidRPr="00074A76">
        <w:rPr>
          <w:rFonts w:ascii="Palatino Linotype" w:hAnsi="Palatino Linotype"/>
          <w:b/>
          <w:bCs/>
          <w:sz w:val="24"/>
          <w:szCs w:val="24"/>
        </w:rPr>
        <w:t xml:space="preserve">Recurrente, </w:t>
      </w:r>
      <w:r w:rsidRPr="00074A76">
        <w:rPr>
          <w:rFonts w:ascii="Palatino Linotype" w:hAnsi="Palatino Linotype"/>
          <w:sz w:val="24"/>
          <w:szCs w:val="24"/>
        </w:rPr>
        <w:t xml:space="preserve">de manera objetiva se precisa que versa en conocer la siguiente información: </w:t>
      </w:r>
    </w:p>
    <w:p w14:paraId="3EE9ED4E" w14:textId="492AE13B" w:rsidR="0091317A" w:rsidRDefault="00785AF5" w:rsidP="008D3F0E">
      <w:pPr>
        <w:pStyle w:val="Prrafodelista"/>
        <w:numPr>
          <w:ilvl w:val="0"/>
          <w:numId w:val="2"/>
        </w:numPr>
        <w:autoSpaceDE w:val="0"/>
        <w:autoSpaceDN w:val="0"/>
        <w:adjustRightInd w:val="0"/>
        <w:spacing w:before="240" w:line="360" w:lineRule="auto"/>
        <w:jc w:val="both"/>
        <w:rPr>
          <w:rFonts w:ascii="Palatino Linotype" w:hAnsi="Palatino Linotype" w:cs="Arial"/>
        </w:rPr>
      </w:pPr>
      <w:bookmarkStart w:id="2" w:name="_Hlk152065703"/>
      <w:r>
        <w:rPr>
          <w:rFonts w:ascii="Palatino Linotype" w:hAnsi="Palatino Linotype" w:cs="Arial"/>
        </w:rPr>
        <w:t xml:space="preserve">Contratos y facturas de compras mínimas o cualquier compra de papelería, enseres, productos de limpieza, cafetería, agua, del periodo comprendido del uno de enero al treinta y uno de diciembre de dos mil veinticuatro. </w:t>
      </w:r>
    </w:p>
    <w:p w14:paraId="31134388" w14:textId="2C8F20BB" w:rsidR="00785AF5" w:rsidRDefault="00785AF5" w:rsidP="00785AF5">
      <w:pPr>
        <w:pStyle w:val="Prrafodelista"/>
        <w:autoSpaceDE w:val="0"/>
        <w:autoSpaceDN w:val="0"/>
        <w:adjustRightInd w:val="0"/>
        <w:spacing w:before="240" w:line="360" w:lineRule="auto"/>
        <w:ind w:left="720"/>
        <w:jc w:val="both"/>
        <w:rPr>
          <w:rFonts w:ascii="Palatino Linotype" w:hAnsi="Palatino Linotype" w:cs="Arial"/>
        </w:rPr>
      </w:pPr>
    </w:p>
    <w:bookmarkEnd w:id="2"/>
    <w:p w14:paraId="6A9632B7" w14:textId="4BEFB240" w:rsidR="00B7701B" w:rsidRPr="00530E42" w:rsidRDefault="00415FC1" w:rsidP="00CA4158">
      <w:pPr>
        <w:spacing w:after="0" w:line="360" w:lineRule="auto"/>
        <w:jc w:val="both"/>
        <w:rPr>
          <w:rFonts w:ascii="Palatino Linotype" w:hAnsi="Palatino Linotype" w:cs="Arial"/>
          <w:sz w:val="24"/>
          <w:szCs w:val="24"/>
        </w:rPr>
      </w:pPr>
      <w:r>
        <w:rPr>
          <w:rFonts w:ascii="Palatino Linotype" w:hAnsi="Palatino Linotype" w:cs="Arial"/>
          <w:sz w:val="24"/>
          <w:szCs w:val="24"/>
        </w:rPr>
        <w:t>Una vez precisado lo anterior</w:t>
      </w:r>
      <w:r w:rsidR="00CA4158">
        <w:rPr>
          <w:rFonts w:ascii="Palatino Linotype" w:hAnsi="Palatino Linotype" w:cs="Arial"/>
          <w:sz w:val="24"/>
          <w:szCs w:val="24"/>
        </w:rPr>
        <w:t xml:space="preserve">, a efecto de identificar las unidades administrativas competentes se traen a </w:t>
      </w:r>
      <w:r w:rsidR="009D5B6D">
        <w:rPr>
          <w:rFonts w:ascii="Palatino Linotype" w:hAnsi="Palatino Linotype" w:cs="Arial"/>
          <w:sz w:val="24"/>
          <w:szCs w:val="24"/>
        </w:rPr>
        <w:t xml:space="preserve">colación </w:t>
      </w:r>
      <w:r w:rsidR="009D5B6D" w:rsidRPr="00530E42">
        <w:rPr>
          <w:rFonts w:ascii="Palatino Linotype" w:hAnsi="Palatino Linotype"/>
          <w:sz w:val="24"/>
          <w:szCs w:val="24"/>
        </w:rPr>
        <w:t>las</w:t>
      </w:r>
      <w:r w:rsidR="00CA4158" w:rsidRPr="00530E42">
        <w:rPr>
          <w:rFonts w:ascii="Palatino Linotype" w:hAnsi="Palatino Linotype"/>
          <w:sz w:val="24"/>
          <w:szCs w:val="24"/>
        </w:rPr>
        <w:t xml:space="preserve"> siguientes imágenes ilustrativas, correspondientes al organigrama del </w:t>
      </w:r>
      <w:r w:rsidR="00CA4158" w:rsidRPr="00530E42">
        <w:rPr>
          <w:rFonts w:ascii="Palatino Linotype" w:hAnsi="Palatino Linotype"/>
          <w:b/>
          <w:bCs/>
          <w:sz w:val="24"/>
          <w:szCs w:val="24"/>
        </w:rPr>
        <w:t>Sujeto Obligado</w:t>
      </w:r>
      <w:r w:rsidR="006C1237">
        <w:rPr>
          <w:rFonts w:ascii="Palatino Linotype" w:hAnsi="Palatino Linotype"/>
          <w:b/>
          <w:bCs/>
          <w:sz w:val="24"/>
          <w:szCs w:val="24"/>
        </w:rPr>
        <w:t xml:space="preserve">: </w:t>
      </w:r>
    </w:p>
    <w:p w14:paraId="7452FA1F" w14:textId="287840AC" w:rsidR="00415FC1" w:rsidRDefault="00420099" w:rsidP="002251FF">
      <w:pPr>
        <w:spacing w:after="0" w:line="360" w:lineRule="auto"/>
        <w:ind w:left="708" w:hanging="708"/>
        <w:jc w:val="both"/>
        <w:rPr>
          <w:rFonts w:ascii="Palatino Linotype" w:hAnsi="Palatino Linotype" w:cs="Arial"/>
          <w:sz w:val="24"/>
          <w:szCs w:val="24"/>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807743" behindDoc="0" locked="0" layoutInCell="1" allowOverlap="1" wp14:anchorId="2855D6E2" wp14:editId="74138A5B">
                <wp:simplePos x="0" y="0"/>
                <wp:positionH relativeFrom="column">
                  <wp:posOffset>76720</wp:posOffset>
                </wp:positionH>
                <wp:positionV relativeFrom="paragraph">
                  <wp:posOffset>5236325</wp:posOffset>
                </wp:positionV>
                <wp:extent cx="5493327" cy="297873"/>
                <wp:effectExtent l="0" t="0" r="12700" b="26035"/>
                <wp:wrapNone/>
                <wp:docPr id="1949731446" name="Rectangle 2"/>
                <wp:cNvGraphicFramePr/>
                <a:graphic xmlns:a="http://schemas.openxmlformats.org/drawingml/2006/main">
                  <a:graphicData uri="http://schemas.microsoft.com/office/word/2010/wordprocessingShape">
                    <wps:wsp>
                      <wps:cNvSpPr/>
                      <wps:spPr>
                        <a:xfrm>
                          <a:off x="0" y="0"/>
                          <a:ext cx="5493327" cy="29787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61A12" id="Rectangle 2" o:spid="_x0000_s1026" style="position:absolute;margin-left:6.05pt;margin-top:412.3pt;width:432.55pt;height:23.45pt;z-index:2518077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" filled="f" strokecolor="red" strokeweight="1pt"/>
            </w:pict>
          </mc:Fallback>
        </mc:AlternateContent>
      </w:r>
      <w:r w:rsidRPr="00420099">
        <w:rPr>
          <w:rFonts w:ascii="Palatino Linotype" w:hAnsi="Palatino Linotype" w:cs="Arial"/>
          <w:noProof/>
          <w:sz w:val="24"/>
          <w:szCs w:val="24"/>
          <w:lang w:eastAsia="es-MX"/>
        </w:rPr>
        <w:drawing>
          <wp:anchor distT="0" distB="0" distL="114300" distR="114300" simplePos="0" relativeHeight="251806719" behindDoc="0" locked="0" layoutInCell="1" allowOverlap="1" wp14:anchorId="6EAE7D11" wp14:editId="44706608">
            <wp:simplePos x="0" y="0"/>
            <wp:positionH relativeFrom="page">
              <wp:align>center</wp:align>
            </wp:positionH>
            <wp:positionV relativeFrom="paragraph">
              <wp:posOffset>3623310</wp:posOffset>
            </wp:positionV>
            <wp:extent cx="5760720" cy="3451225"/>
            <wp:effectExtent l="19050" t="19050" r="11430" b="15875"/>
            <wp:wrapThrough wrapText="bothSides">
              <wp:wrapPolygon edited="0">
                <wp:start x="-71" y="-119"/>
                <wp:lineTo x="-71" y="21580"/>
                <wp:lineTo x="21571" y="21580"/>
                <wp:lineTo x="21571" y="-119"/>
                <wp:lineTo x="-71" y="-119"/>
              </wp:wrapPolygon>
            </wp:wrapThrough>
            <wp:docPr id="9186934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93477"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51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20099">
        <w:rPr>
          <w:rFonts w:ascii="Palatino Linotype" w:hAnsi="Palatino Linotype" w:cs="Arial"/>
          <w:noProof/>
          <w:sz w:val="24"/>
          <w:szCs w:val="24"/>
          <w:lang w:eastAsia="es-MX"/>
        </w:rPr>
        <w:drawing>
          <wp:anchor distT="0" distB="0" distL="114300" distR="114300" simplePos="0" relativeHeight="251793405" behindDoc="0" locked="0" layoutInCell="1" allowOverlap="1" wp14:anchorId="42F9E0FB" wp14:editId="77D16119">
            <wp:simplePos x="0" y="0"/>
            <wp:positionH relativeFrom="page">
              <wp:align>center</wp:align>
            </wp:positionH>
            <wp:positionV relativeFrom="paragraph">
              <wp:posOffset>19108</wp:posOffset>
            </wp:positionV>
            <wp:extent cx="5760720" cy="3470275"/>
            <wp:effectExtent l="19050" t="19050" r="11430" b="15875"/>
            <wp:wrapThrough wrapText="bothSides">
              <wp:wrapPolygon edited="0">
                <wp:start x="-71" y="-119"/>
                <wp:lineTo x="-71" y="21580"/>
                <wp:lineTo x="21571" y="21580"/>
                <wp:lineTo x="21571" y="-119"/>
                <wp:lineTo x="-71" y="-119"/>
              </wp:wrapPolygon>
            </wp:wrapThrough>
            <wp:docPr id="4851548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54817"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5956" cy="347342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7037A2B" w14:textId="4642F414" w:rsidR="00420099" w:rsidRPr="005C4991" w:rsidRDefault="00420099" w:rsidP="00420099">
      <w:pPr>
        <w:pStyle w:val="Sinespaciado"/>
        <w:spacing w:line="360" w:lineRule="auto"/>
        <w:jc w:val="both"/>
        <w:rPr>
          <w:rFonts w:ascii="Palatino Linotype" w:hAnsi="Palatino Linotype"/>
        </w:rPr>
      </w:pPr>
      <w:r>
        <w:rPr>
          <w:rFonts w:ascii="Palatino Linotype" w:hAnsi="Palatino Linotype"/>
        </w:rPr>
        <w:lastRenderedPageBreak/>
        <w:t xml:space="preserve">De lo expuesto con anterioridad, se desprende que </w:t>
      </w:r>
      <w:r>
        <w:rPr>
          <w:rFonts w:ascii="Palatino Linotype" w:hAnsi="Palatino Linotype"/>
          <w:b/>
          <w:bCs/>
        </w:rPr>
        <w:t xml:space="preserve">El Sujeto Obligado </w:t>
      </w:r>
      <w:r>
        <w:rPr>
          <w:rFonts w:ascii="Palatino Linotype" w:hAnsi="Palatino Linotype"/>
        </w:rPr>
        <w:t xml:space="preserve">se auxilia de diversas Direcciones, Subdirecciones, Departamentos y Unidades Administrativas para cumplir con sus fines y objetivos, resultando competente la Dirección de Administración y Tesorería. </w:t>
      </w:r>
    </w:p>
    <w:p w14:paraId="2B726E2F" w14:textId="77777777" w:rsidR="00420099" w:rsidRDefault="00420099" w:rsidP="00420099">
      <w:pPr>
        <w:pStyle w:val="Sinespaciado"/>
        <w:spacing w:line="360" w:lineRule="auto"/>
        <w:jc w:val="both"/>
        <w:rPr>
          <w:rFonts w:ascii="Palatino Linotype" w:hAnsi="Palatino Linotype"/>
        </w:rPr>
      </w:pPr>
    </w:p>
    <w:p w14:paraId="5FF9BB24" w14:textId="694CE3F3" w:rsidR="00420099" w:rsidRDefault="00420099" w:rsidP="00420099">
      <w:pPr>
        <w:pStyle w:val="Sinespaciado"/>
        <w:spacing w:line="360" w:lineRule="auto"/>
        <w:jc w:val="both"/>
        <w:rPr>
          <w:rFonts w:ascii="Palatino Linotype" w:hAnsi="Palatino Linotype"/>
        </w:rPr>
      </w:pPr>
      <w:r>
        <w:rPr>
          <w:rFonts w:ascii="Palatino Linotype" w:hAnsi="Palatino Linotype"/>
        </w:rPr>
        <w:t>En este tenor, para delimitar las fronteras competenciales de la unidad administrativa en cita, resulta oportuno traer a colación el artículo 20 del Reglamento Interno del Sistema Municipal para el Desarrollo Integral de la Familia de Toluca</w:t>
      </w:r>
      <w:r w:rsidR="00332DD6">
        <w:rPr>
          <w:rFonts w:ascii="Palatino Linotype" w:hAnsi="Palatino Linotype"/>
        </w:rPr>
        <w:t xml:space="preserve">; numerales </w:t>
      </w:r>
      <w:r w:rsidR="00332DD6" w:rsidRPr="00513D35">
        <w:rPr>
          <w:rFonts w:ascii="Palatino Linotype" w:hAnsi="Palatino Linotype" w:cs="Arial"/>
        </w:rPr>
        <w:t>26, 27 de la Ley de contratación pública del Estado de México</w:t>
      </w:r>
      <w:r w:rsidR="00332DD6">
        <w:rPr>
          <w:rFonts w:ascii="Palatino Linotype" w:hAnsi="Palatino Linotype" w:cs="Arial"/>
        </w:rPr>
        <w:t xml:space="preserve">; así como los numerales </w:t>
      </w:r>
      <w:r w:rsidR="00332DD6" w:rsidRPr="00513D35">
        <w:rPr>
          <w:rFonts w:ascii="Palatino Linotype" w:hAnsi="Palatino Linotype" w:cs="Arial"/>
        </w:rPr>
        <w:t xml:space="preserve">43, 44, 54, 67, 90, 94, del </w:t>
      </w:r>
      <w:r w:rsidR="00332DD6">
        <w:rPr>
          <w:rFonts w:ascii="Palatino Linotype" w:hAnsi="Palatino Linotype" w:cs="Arial"/>
        </w:rPr>
        <w:t>Reglamento de la ley de contratación pública del Estado de México y Municipios,</w:t>
      </w:r>
      <w:r>
        <w:rPr>
          <w:rFonts w:ascii="Palatino Linotype" w:hAnsi="Palatino Linotype"/>
        </w:rPr>
        <w:t xml:space="preserve"> </w:t>
      </w:r>
      <w:r w:rsidR="00332DD6">
        <w:rPr>
          <w:rFonts w:ascii="Palatino Linotype" w:hAnsi="Palatino Linotype"/>
        </w:rPr>
        <w:t>porciones normativas que disponen</w:t>
      </w:r>
      <w:r>
        <w:rPr>
          <w:rFonts w:ascii="Palatino Linotype" w:hAnsi="Palatino Linotype"/>
        </w:rPr>
        <w:t xml:space="preserve"> a la literalidad lo siguiente:  </w:t>
      </w:r>
    </w:p>
    <w:p w14:paraId="3882857A" w14:textId="1AC1F70A" w:rsidR="00332DD6" w:rsidRPr="00332DD6" w:rsidRDefault="00332DD6" w:rsidP="00332DD6">
      <w:pPr>
        <w:pStyle w:val="Citas"/>
        <w:jc w:val="center"/>
        <w:rPr>
          <w:b/>
          <w:bCs/>
          <w:i w:val="0"/>
          <w:iCs/>
          <w:sz w:val="24"/>
          <w:szCs w:val="24"/>
        </w:rPr>
      </w:pPr>
      <w:r>
        <w:rPr>
          <w:b/>
          <w:bCs/>
          <w:i w:val="0"/>
          <w:iCs/>
          <w:sz w:val="24"/>
          <w:szCs w:val="24"/>
        </w:rPr>
        <w:t>REGLAMENTO INTERNO DEL SISTEMA MUNICIPAL PARA EL DESARROLLO INTEGRAL DE LA FAMILIA DE TOLUCA</w:t>
      </w:r>
    </w:p>
    <w:p w14:paraId="0A8D4B84" w14:textId="37E07202" w:rsidR="00420099" w:rsidRDefault="00420099" w:rsidP="00420099">
      <w:pPr>
        <w:pStyle w:val="Citas"/>
      </w:pPr>
      <w:r>
        <w:t xml:space="preserve">“Artículo 20.- Corresponde a la Dirección de Administración y Tesorería, quien tendrá además de las señaladas en el artículo 16 de la Ley, las siguientes atribuciones: </w:t>
      </w:r>
    </w:p>
    <w:p w14:paraId="6996CEF5" w14:textId="77777777" w:rsidR="00420099" w:rsidRDefault="00420099" w:rsidP="00420099">
      <w:pPr>
        <w:pStyle w:val="Citas"/>
      </w:pPr>
      <w:r>
        <w:t xml:space="preserve">I. Elaborar el presupuesto anual del SMDIFTOL bajo la coordinación de sus diferentes Unidades Administrativas; </w:t>
      </w:r>
    </w:p>
    <w:p w14:paraId="598E7C32" w14:textId="77777777" w:rsidR="00420099" w:rsidRDefault="00420099" w:rsidP="00420099">
      <w:pPr>
        <w:pStyle w:val="Citas"/>
      </w:pPr>
      <w:r>
        <w:t xml:space="preserve">II. Supervisar y controlar la integración del presupuesto general optimizando los recursos financieros; </w:t>
      </w:r>
    </w:p>
    <w:p w14:paraId="4A3F7948" w14:textId="77777777" w:rsidR="00420099" w:rsidRDefault="00420099" w:rsidP="00420099">
      <w:pPr>
        <w:pStyle w:val="Citas"/>
      </w:pPr>
      <w:r>
        <w:t xml:space="preserve">III. Administrar de manera eficiente los recursos del SMDIFTOL; </w:t>
      </w:r>
    </w:p>
    <w:p w14:paraId="001CA750" w14:textId="77777777" w:rsidR="00420099" w:rsidRPr="00420099" w:rsidRDefault="00420099" w:rsidP="00420099">
      <w:pPr>
        <w:pStyle w:val="Citas"/>
        <w:rPr>
          <w:b/>
          <w:bCs/>
          <w:u w:val="single"/>
        </w:rPr>
      </w:pPr>
      <w:r w:rsidRPr="00420099">
        <w:rPr>
          <w:b/>
          <w:bCs/>
          <w:u w:val="single"/>
        </w:rPr>
        <w:lastRenderedPageBreak/>
        <w:t xml:space="preserve">IV. Coordinar el ejercicio del presupuesto asignado al SMDIFTOL, cuidando que su aplicación se realice con base en los principios de racionalidad, austeridad y disciplina financiera; </w:t>
      </w:r>
    </w:p>
    <w:p w14:paraId="664B479B" w14:textId="77777777" w:rsidR="00420099" w:rsidRPr="00420099" w:rsidRDefault="00420099" w:rsidP="00420099">
      <w:pPr>
        <w:pStyle w:val="Citas"/>
      </w:pPr>
      <w:r w:rsidRPr="00420099">
        <w:t xml:space="preserve">V. Validar las pólizas-cheque generadas por el Departamento de Finanzas para efectuar los pagos a proveedores de bienes y servicios otorgados al SMDIFTOL, los correspondientes al pago de nómina y de obligaciones fiscales, laborales, de seguridad social sindical y administrativas, así como verificar que las mismas cumplan con las políticas y normas aplicables; </w:t>
      </w:r>
    </w:p>
    <w:p w14:paraId="7106F134" w14:textId="77777777" w:rsidR="00420099" w:rsidRDefault="00420099" w:rsidP="00420099">
      <w:pPr>
        <w:pStyle w:val="Citas"/>
      </w:pPr>
      <w:r>
        <w:t xml:space="preserve">VI. Alimentar, actualizar y controlar los resultados del Sistema de Control Patrimonial con la finalidad de establecer políticas para la toma de decisiones en materia de bienes muebles e inmuebles, uso y destino de los mismos; </w:t>
      </w:r>
    </w:p>
    <w:p w14:paraId="326055B2" w14:textId="77777777" w:rsidR="00420099" w:rsidRDefault="00420099" w:rsidP="00420099">
      <w:pPr>
        <w:pStyle w:val="Citas"/>
      </w:pPr>
      <w:r>
        <w:t xml:space="preserve">VII. Presentar a la Junta de Gobierno, los estados financieros mensuales, para su revisión y aprobación; </w:t>
      </w:r>
    </w:p>
    <w:p w14:paraId="34C4669B" w14:textId="77777777" w:rsidR="00420099" w:rsidRDefault="00420099" w:rsidP="00420099">
      <w:pPr>
        <w:pStyle w:val="Citas"/>
      </w:pPr>
      <w:r>
        <w:t>VIII. Establecer el plan y las estrategias financieras de contingencia del SMDIFTOL;</w:t>
      </w:r>
    </w:p>
    <w:p w14:paraId="6DA11316" w14:textId="77777777" w:rsidR="00420099" w:rsidRPr="005C4991" w:rsidRDefault="00420099" w:rsidP="00420099">
      <w:pPr>
        <w:pStyle w:val="Citas"/>
        <w:rPr>
          <w:b/>
          <w:bCs/>
          <w:u w:val="single"/>
        </w:rPr>
      </w:pPr>
      <w:r w:rsidRPr="005C4991">
        <w:rPr>
          <w:b/>
          <w:bCs/>
          <w:u w:val="single"/>
        </w:rPr>
        <w:t xml:space="preserve"> IX. Fungir como Tesorero/a de la Junta de Gobierno del SMDIFTOL; </w:t>
      </w:r>
    </w:p>
    <w:p w14:paraId="57661778" w14:textId="77777777" w:rsidR="00420099" w:rsidRDefault="00420099" w:rsidP="00420099">
      <w:pPr>
        <w:pStyle w:val="Citas"/>
      </w:pPr>
      <w:r>
        <w:t xml:space="preserve">X. Proveer a las Unidades Administrativas de los recursos humanos y materiales necesarios para su buen funcionamiento, así como de servicios de mantenimiento de inmuebles, parque vehicular y apoyo para la realización de eventos cuando así sea requerido; </w:t>
      </w:r>
    </w:p>
    <w:p w14:paraId="029F46C4" w14:textId="77777777" w:rsidR="00420099" w:rsidRDefault="00420099" w:rsidP="00420099">
      <w:pPr>
        <w:pStyle w:val="Citas"/>
      </w:pPr>
      <w:r>
        <w:t xml:space="preserve">XI. Fungir como Vocal Financiero en el Comité de Adquisiciones, Enajenaciones, Arrendamientos y Servicios; </w:t>
      </w:r>
    </w:p>
    <w:p w14:paraId="336A7D75" w14:textId="77777777" w:rsidR="00420099" w:rsidRDefault="00420099" w:rsidP="00420099">
      <w:pPr>
        <w:pStyle w:val="Citas"/>
      </w:pPr>
      <w:r>
        <w:lastRenderedPageBreak/>
        <w:t xml:space="preserve">XII. Dar atención a requerimientos propios de los eventos a realizar en el Parque “Luis Dolando Colosio”; </w:t>
      </w:r>
    </w:p>
    <w:p w14:paraId="175BCA73" w14:textId="77777777" w:rsidR="00420099" w:rsidRPr="00C35EE4" w:rsidRDefault="00420099" w:rsidP="00420099">
      <w:pPr>
        <w:pStyle w:val="Citas"/>
        <w:rPr>
          <w:b/>
          <w:bCs/>
          <w:u w:val="single"/>
        </w:rPr>
      </w:pPr>
      <w:r w:rsidRPr="00C35EE4">
        <w:rPr>
          <w:b/>
          <w:bCs/>
          <w:u w:val="single"/>
        </w:rPr>
        <w:t xml:space="preserve">XIII. Suscribir contratos de bienes y servicios en términos de la legislación aplicable; </w:t>
      </w:r>
    </w:p>
    <w:p w14:paraId="37725932" w14:textId="77777777" w:rsidR="00420099" w:rsidRDefault="00420099" w:rsidP="00420099">
      <w:pPr>
        <w:pStyle w:val="Citas"/>
      </w:pPr>
      <w:r>
        <w:t xml:space="preserve">XIV. Evaluar de manera periódica el avance del Programa Anual para cada una de las áreas a su cargo generando acciones correctivas en caso de ser necesario, garantizando su cumplimiento; </w:t>
      </w:r>
    </w:p>
    <w:p w14:paraId="38D4AE94" w14:textId="77777777" w:rsidR="00420099" w:rsidRDefault="00420099" w:rsidP="00420099">
      <w:pPr>
        <w:pStyle w:val="Citas"/>
      </w:pPr>
      <w:r>
        <w:t xml:space="preserve">XV. Participar en el Comité de Interno de Mejora Regulatoria como vocal, de acuerdo a lo previsto reglamentariamente; </w:t>
      </w:r>
    </w:p>
    <w:p w14:paraId="523A2E52" w14:textId="77777777" w:rsidR="00420099" w:rsidRDefault="00420099" w:rsidP="00420099">
      <w:pPr>
        <w:pStyle w:val="Citas"/>
      </w:pPr>
      <w:r>
        <w:t xml:space="preserve">XVI. Cumplir con las tareas en materia de Transparencia y Protección de Datos Personales, de acuerdo con la normatividad vigente; </w:t>
      </w:r>
    </w:p>
    <w:p w14:paraId="1D0FCF5E" w14:textId="77777777" w:rsidR="00420099" w:rsidRDefault="00420099" w:rsidP="00420099">
      <w:pPr>
        <w:pStyle w:val="Citas"/>
      </w:pPr>
      <w:r>
        <w:t xml:space="preserve">XVII. Atender de manera directa toda instrucción del superior jerárquico del SMDIFTOL; y </w:t>
      </w:r>
    </w:p>
    <w:p w14:paraId="0292F8E2" w14:textId="77777777" w:rsidR="00420099" w:rsidRPr="00C35EE4" w:rsidRDefault="00420099" w:rsidP="00420099">
      <w:pPr>
        <w:pStyle w:val="Citas"/>
        <w:rPr>
          <w:b/>
          <w:bCs/>
        </w:rPr>
      </w:pPr>
      <w:r>
        <w:t xml:space="preserve">XVIII. Realizar todas aquellas funciones inherentes y aplicables al área de su competencia.” </w:t>
      </w:r>
      <w:r>
        <w:rPr>
          <w:b/>
          <w:bCs/>
        </w:rPr>
        <w:t>(Sic)</w:t>
      </w:r>
    </w:p>
    <w:p w14:paraId="5B629E43" w14:textId="77777777" w:rsidR="00420099" w:rsidRDefault="00420099" w:rsidP="00420099">
      <w:pPr>
        <w:pStyle w:val="Sinespaciado"/>
        <w:spacing w:line="360" w:lineRule="auto"/>
        <w:jc w:val="both"/>
        <w:rPr>
          <w:rFonts w:ascii="Palatino Linotype" w:hAnsi="Palatino Linotype"/>
        </w:rPr>
      </w:pPr>
    </w:p>
    <w:p w14:paraId="0C49F840" w14:textId="77777777" w:rsidR="00420099" w:rsidRPr="006933BD" w:rsidRDefault="00420099" w:rsidP="00420099">
      <w:pPr>
        <w:spacing w:after="0" w:line="360" w:lineRule="auto"/>
        <w:jc w:val="center"/>
        <w:rPr>
          <w:rFonts w:ascii="Palatino Linotype" w:hAnsi="Palatino Linotype" w:cs="Arial"/>
          <w:b/>
          <w:iCs/>
          <w:color w:val="000000"/>
          <w:lang w:val="es-ES_tradnl"/>
        </w:rPr>
      </w:pPr>
      <w:r w:rsidRPr="006933BD">
        <w:rPr>
          <w:rFonts w:ascii="Palatino Linotype" w:hAnsi="Palatino Linotype" w:cs="Arial"/>
          <w:b/>
          <w:iCs/>
          <w:color w:val="000000"/>
          <w:lang w:val="es-ES_tradnl"/>
        </w:rPr>
        <w:t>LEY DE CONTRATACIÓN PÚBLICA DEL ESTADO DE MÉXICO</w:t>
      </w:r>
    </w:p>
    <w:p w14:paraId="0CC55504" w14:textId="77777777" w:rsidR="00420099" w:rsidRPr="002D0587" w:rsidRDefault="00420099" w:rsidP="00420099">
      <w:pPr>
        <w:spacing w:before="240" w:line="360" w:lineRule="auto"/>
        <w:ind w:left="851" w:right="851"/>
        <w:jc w:val="both"/>
        <w:rPr>
          <w:rFonts w:ascii="Palatino Linotype" w:hAnsi="Palatino Linotype"/>
          <w:i/>
        </w:rPr>
      </w:pPr>
      <w:r w:rsidRPr="002D0587">
        <w:rPr>
          <w:rFonts w:ascii="Palatino Linotype" w:hAnsi="Palatino Linotype"/>
          <w:i/>
        </w:rPr>
        <w:t xml:space="preserve">“Artículo 26.- Las adquisiciones, arrendamientos y servicios se adjudicarán a través de licitaciones públicas, mediante convocatoria pública. </w:t>
      </w:r>
    </w:p>
    <w:p w14:paraId="095B42EA" w14:textId="77777777" w:rsidR="00420099" w:rsidRPr="002D0587" w:rsidRDefault="00420099" w:rsidP="00420099">
      <w:pPr>
        <w:spacing w:before="240" w:line="360" w:lineRule="auto"/>
        <w:ind w:left="851" w:right="851"/>
        <w:jc w:val="both"/>
        <w:rPr>
          <w:rFonts w:ascii="Palatino Linotype" w:hAnsi="Palatino Linotype"/>
          <w:i/>
        </w:rPr>
      </w:pPr>
      <w:r w:rsidRPr="002D0587">
        <w:rPr>
          <w:rFonts w:ascii="Palatino Linotype" w:hAnsi="Palatino Linotype"/>
          <w:i/>
        </w:rPr>
        <w:lastRenderedPageBreak/>
        <w:t>Artículo 27.- La Secretaría, las entidades, los tribunales administrativos y los ayuntamientos podrán adjudicar adquisiciones, arrendamientos y servicios, mediante las excepciones al procedimiento de licitación que a continuación se señalan:</w:t>
      </w:r>
    </w:p>
    <w:p w14:paraId="0D22B0ED" w14:textId="77777777" w:rsidR="00420099" w:rsidRPr="002D0587" w:rsidRDefault="00420099" w:rsidP="008D3F0E">
      <w:pPr>
        <w:pStyle w:val="Prrafodelista"/>
        <w:numPr>
          <w:ilvl w:val="0"/>
          <w:numId w:val="5"/>
        </w:numPr>
        <w:spacing w:before="240" w:after="160" w:line="360" w:lineRule="auto"/>
        <w:ind w:left="851" w:right="851" w:firstLine="0"/>
        <w:jc w:val="both"/>
        <w:rPr>
          <w:rFonts w:ascii="Palatino Linotype" w:hAnsi="Palatino Linotype"/>
          <w:i/>
          <w:sz w:val="22"/>
          <w:szCs w:val="22"/>
        </w:rPr>
      </w:pPr>
      <w:r w:rsidRPr="002D0587">
        <w:rPr>
          <w:rFonts w:ascii="Palatino Linotype" w:hAnsi="Palatino Linotype"/>
          <w:i/>
          <w:sz w:val="22"/>
          <w:szCs w:val="22"/>
        </w:rPr>
        <w:t>Invitación restringida.</w:t>
      </w:r>
    </w:p>
    <w:p w14:paraId="06EA2421" w14:textId="77777777" w:rsidR="00420099" w:rsidRPr="002D0587" w:rsidRDefault="00420099" w:rsidP="008D3F0E">
      <w:pPr>
        <w:pStyle w:val="Prrafodelista"/>
        <w:numPr>
          <w:ilvl w:val="0"/>
          <w:numId w:val="5"/>
        </w:numPr>
        <w:spacing w:before="240" w:after="160" w:line="360" w:lineRule="auto"/>
        <w:ind w:left="851" w:right="851" w:firstLine="0"/>
        <w:jc w:val="both"/>
        <w:rPr>
          <w:rFonts w:ascii="Palatino Linotype" w:hAnsi="Palatino Linotype" w:cs="Arial"/>
          <w:b/>
          <w:i/>
          <w:color w:val="000000"/>
          <w:sz w:val="22"/>
          <w:szCs w:val="22"/>
          <w:lang w:val="es-ES_tradnl"/>
        </w:rPr>
      </w:pPr>
      <w:r w:rsidRPr="002D0587">
        <w:rPr>
          <w:rFonts w:ascii="Palatino Linotype" w:hAnsi="Palatino Linotype"/>
          <w:i/>
          <w:sz w:val="22"/>
          <w:szCs w:val="22"/>
        </w:rPr>
        <w:t xml:space="preserve"> Adjudicación directa.” </w:t>
      </w:r>
      <w:r>
        <w:rPr>
          <w:rFonts w:ascii="Palatino Linotype" w:hAnsi="Palatino Linotype"/>
          <w:b/>
          <w:i/>
          <w:sz w:val="22"/>
          <w:szCs w:val="22"/>
        </w:rPr>
        <w:t>(Sic)</w:t>
      </w:r>
    </w:p>
    <w:p w14:paraId="5F78CA06" w14:textId="77777777" w:rsidR="00420099" w:rsidRDefault="00420099" w:rsidP="00420099">
      <w:pPr>
        <w:spacing w:before="240" w:line="360" w:lineRule="auto"/>
        <w:ind w:left="851" w:right="851"/>
        <w:jc w:val="center"/>
        <w:rPr>
          <w:rFonts w:ascii="Palatino Linotype" w:hAnsi="Palatino Linotype"/>
          <w:b/>
          <w:iCs/>
        </w:rPr>
      </w:pPr>
    </w:p>
    <w:p w14:paraId="37EB1F52" w14:textId="77777777" w:rsidR="00420099" w:rsidRPr="006933BD" w:rsidRDefault="00420099" w:rsidP="00420099">
      <w:pPr>
        <w:spacing w:before="240" w:line="360" w:lineRule="auto"/>
        <w:ind w:left="851" w:right="851"/>
        <w:jc w:val="center"/>
        <w:rPr>
          <w:rFonts w:ascii="Palatino Linotype" w:hAnsi="Palatino Linotype"/>
          <w:b/>
          <w:iCs/>
        </w:rPr>
      </w:pPr>
      <w:r w:rsidRPr="006933BD">
        <w:rPr>
          <w:rFonts w:ascii="Palatino Linotype" w:hAnsi="Palatino Linotype"/>
          <w:b/>
          <w:iCs/>
        </w:rPr>
        <w:t>REGLAMENTO DE LA LEY DE CONTRATACIÓN PÚBLICA DEL ESTADO DE MÉXICO Y MUNICIPIOS</w:t>
      </w:r>
    </w:p>
    <w:p w14:paraId="521D7025" w14:textId="77777777" w:rsidR="00420099" w:rsidRDefault="00420099" w:rsidP="00420099">
      <w:pPr>
        <w:spacing w:before="240" w:line="360" w:lineRule="auto"/>
        <w:ind w:left="851" w:right="851"/>
        <w:jc w:val="both"/>
        <w:rPr>
          <w:rFonts w:ascii="Palatino Linotype" w:hAnsi="Palatino Linotype"/>
          <w:i/>
        </w:rPr>
      </w:pPr>
      <w:r>
        <w:rPr>
          <w:rFonts w:ascii="Palatino Linotype" w:hAnsi="Palatino Linotype"/>
          <w:i/>
        </w:rPr>
        <w:t>“</w:t>
      </w:r>
      <w:r w:rsidRPr="00AA7EDD">
        <w:rPr>
          <w:rFonts w:ascii="Palatino Linotype" w:hAnsi="Palatino Linotype"/>
          <w:i/>
        </w:rPr>
        <w:t xml:space="preserve">Artículo 43.- La Secretaría, organismos auxiliares, tribunales administrativos y municipios, se auxiliarán de un Comité de Adquisiciones y Servicios, para la substanciación de los procedimientos de adquisición regulados en la Ley. </w:t>
      </w:r>
    </w:p>
    <w:p w14:paraId="4E640FBC" w14:textId="77777777" w:rsidR="00420099" w:rsidRPr="00AA7EDD" w:rsidRDefault="00420099" w:rsidP="00420099">
      <w:pPr>
        <w:spacing w:before="240" w:line="360" w:lineRule="auto"/>
        <w:ind w:left="851" w:right="851"/>
        <w:jc w:val="both"/>
        <w:rPr>
          <w:rFonts w:ascii="Palatino Linotype" w:hAnsi="Palatino Linotype"/>
          <w:b/>
          <w:i/>
          <w:u w:val="single"/>
        </w:rPr>
      </w:pPr>
      <w:r w:rsidRPr="00AA7EDD">
        <w:rPr>
          <w:rFonts w:ascii="Palatino Linotype" w:hAnsi="Palatino Linotype"/>
          <w:b/>
          <w:i/>
          <w:u w:val="single"/>
        </w:rPr>
        <w:t xml:space="preserve">Artículo 44.- El Comité de Adquisiciones y Servicios se integrará por: </w:t>
      </w:r>
    </w:p>
    <w:p w14:paraId="6FBC8665" w14:textId="77777777" w:rsidR="00420099" w:rsidRPr="00E07D1E" w:rsidRDefault="00420099" w:rsidP="008D3F0E">
      <w:pPr>
        <w:pStyle w:val="Prrafodelista"/>
        <w:numPr>
          <w:ilvl w:val="0"/>
          <w:numId w:val="6"/>
        </w:numPr>
        <w:spacing w:before="240" w:line="360" w:lineRule="auto"/>
        <w:ind w:right="851"/>
        <w:jc w:val="both"/>
        <w:rPr>
          <w:rFonts w:ascii="Palatino Linotype" w:hAnsi="Palatino Linotype"/>
          <w:b/>
          <w:i/>
          <w:sz w:val="22"/>
          <w:szCs w:val="22"/>
          <w:u w:val="single"/>
        </w:rPr>
      </w:pPr>
      <w:r w:rsidRPr="00AA7EDD">
        <w:rPr>
          <w:rFonts w:ascii="Palatino Linotype" w:hAnsi="Palatino Linotype"/>
          <w:i/>
          <w:sz w:val="22"/>
          <w:szCs w:val="22"/>
        </w:rPr>
        <w:t xml:space="preserve">En la Secretaría, por el titular del área encargada de operar el sistema de adquisiciones de las dependencias del Poder Ejecutivo, y en los organismos auxiliares, tribunales administrativos y </w:t>
      </w:r>
      <w:r w:rsidRPr="00E07D1E">
        <w:rPr>
          <w:rFonts w:ascii="Palatino Linotype" w:hAnsi="Palatino Linotype"/>
          <w:b/>
          <w:i/>
          <w:sz w:val="22"/>
          <w:szCs w:val="22"/>
          <w:u w:val="single"/>
        </w:rPr>
        <w:t xml:space="preserve">municipios, por el titular de la unidad administrativa, quien fungirá como presidente; </w:t>
      </w:r>
    </w:p>
    <w:p w14:paraId="2E7CCE7F" w14:textId="77777777" w:rsidR="00420099" w:rsidRPr="00AA7EDD" w:rsidRDefault="00420099" w:rsidP="008D3F0E">
      <w:pPr>
        <w:pStyle w:val="Prrafodelista"/>
        <w:numPr>
          <w:ilvl w:val="0"/>
          <w:numId w:val="6"/>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Un representante del </w:t>
      </w:r>
      <w:r w:rsidRPr="00E07D1E">
        <w:rPr>
          <w:rFonts w:ascii="Palatino Linotype" w:hAnsi="Palatino Linotype"/>
          <w:b/>
          <w:i/>
          <w:sz w:val="22"/>
          <w:szCs w:val="22"/>
          <w:u w:val="single"/>
        </w:rPr>
        <w:t>área financiera</w:t>
      </w:r>
      <w:r w:rsidRPr="00AA7EDD">
        <w:rPr>
          <w:rFonts w:ascii="Palatino Linotype" w:hAnsi="Palatino Linotype"/>
          <w:i/>
          <w:sz w:val="22"/>
          <w:szCs w:val="22"/>
        </w:rPr>
        <w:t xml:space="preserve"> de la Secretaría, entidad, tribunal administrativo o municipio, con función de vocal; </w:t>
      </w:r>
    </w:p>
    <w:p w14:paraId="050AB715" w14:textId="77777777" w:rsidR="00420099" w:rsidRPr="00AA7EDD" w:rsidRDefault="00420099" w:rsidP="008D3F0E">
      <w:pPr>
        <w:pStyle w:val="Prrafodelista"/>
        <w:numPr>
          <w:ilvl w:val="0"/>
          <w:numId w:val="6"/>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lastRenderedPageBreak/>
        <w:t>Un representante de cada dependencia o unidad administrativa interesada</w:t>
      </w:r>
      <w:r w:rsidRPr="00AA7EDD">
        <w:rPr>
          <w:rFonts w:ascii="Palatino Linotype" w:hAnsi="Palatino Linotype"/>
          <w:i/>
          <w:sz w:val="22"/>
          <w:szCs w:val="22"/>
        </w:rPr>
        <w:t xml:space="preserve"> en la adquisición de los bienes o contratación del servicio, con función de vocal;</w:t>
      </w:r>
    </w:p>
    <w:p w14:paraId="071E450C" w14:textId="77777777" w:rsidR="00420099" w:rsidRPr="00AA7EDD" w:rsidRDefault="00420099" w:rsidP="008D3F0E">
      <w:pPr>
        <w:pStyle w:val="Prrafodelista"/>
        <w:numPr>
          <w:ilvl w:val="0"/>
          <w:numId w:val="6"/>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 Un representante de la </w:t>
      </w:r>
      <w:r w:rsidRPr="00E07D1E">
        <w:rPr>
          <w:rFonts w:ascii="Palatino Linotype" w:hAnsi="Palatino Linotype"/>
          <w:b/>
          <w:i/>
          <w:sz w:val="22"/>
          <w:szCs w:val="22"/>
          <w:u w:val="single"/>
        </w:rPr>
        <w:t>Consejería Jurídica o del área jurídica respectiva</w:t>
      </w:r>
      <w:r w:rsidRPr="00AA7EDD">
        <w:rPr>
          <w:rFonts w:ascii="Palatino Linotype" w:hAnsi="Palatino Linotype"/>
          <w:i/>
          <w:sz w:val="22"/>
          <w:szCs w:val="22"/>
        </w:rPr>
        <w:t xml:space="preserve"> o quien lleve a cabo las funciones de esta naturaleza, con función de vocal; </w:t>
      </w:r>
    </w:p>
    <w:p w14:paraId="2F4B9B7A" w14:textId="77777777" w:rsidR="00420099" w:rsidRPr="00AA7EDD" w:rsidRDefault="00420099" w:rsidP="008D3F0E">
      <w:pPr>
        <w:pStyle w:val="Prrafodelista"/>
        <w:numPr>
          <w:ilvl w:val="0"/>
          <w:numId w:val="6"/>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Un representante del </w:t>
      </w:r>
      <w:r w:rsidRPr="00E07D1E">
        <w:rPr>
          <w:rFonts w:ascii="Palatino Linotype" w:hAnsi="Palatino Linotype"/>
          <w:b/>
          <w:i/>
          <w:sz w:val="22"/>
          <w:szCs w:val="22"/>
          <w:u w:val="single"/>
        </w:rPr>
        <w:t>Órgano de Control,</w:t>
      </w:r>
      <w:r w:rsidRPr="00AA7EDD">
        <w:rPr>
          <w:rFonts w:ascii="Palatino Linotype" w:hAnsi="Palatino Linotype"/>
          <w:i/>
          <w:sz w:val="22"/>
          <w:szCs w:val="22"/>
        </w:rPr>
        <w:t xml:space="preserve"> con función de vocal; y </w:t>
      </w:r>
    </w:p>
    <w:p w14:paraId="0298610E" w14:textId="77777777" w:rsidR="00420099" w:rsidRPr="00AA7EDD" w:rsidRDefault="00420099" w:rsidP="008D3F0E">
      <w:pPr>
        <w:pStyle w:val="Prrafodelista"/>
        <w:numPr>
          <w:ilvl w:val="0"/>
          <w:numId w:val="6"/>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t>Un secretario ejecutivo,</w:t>
      </w:r>
      <w:r w:rsidRPr="00AA7EDD">
        <w:rPr>
          <w:rFonts w:ascii="Palatino Linotype" w:hAnsi="Palatino Linotype"/>
          <w:i/>
          <w:sz w:val="22"/>
          <w:szCs w:val="22"/>
        </w:rPr>
        <w:t xml:space="preserve"> que será designado por el presidente. </w:t>
      </w:r>
    </w:p>
    <w:p w14:paraId="2ACFFF60" w14:textId="77777777" w:rsidR="00420099" w:rsidRPr="00AA7EDD" w:rsidRDefault="00420099" w:rsidP="0042009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0884BC94" w14:textId="77777777" w:rsidR="00420099" w:rsidRPr="00AA7EDD" w:rsidRDefault="00420099" w:rsidP="0042009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integrantes del comité tendrán derecho a voz y voto a excepción de los indicados en las fracciones V y VI, quienes sólo participarán con voz, debiendo fundamentar y motivar el sentido de su opinión, a efecto de que sea incluida en el acta correspondiente. En caso de empate, el presidente tendrá voto de calidad. </w:t>
      </w:r>
    </w:p>
    <w:p w14:paraId="674334CF" w14:textId="77777777" w:rsidR="00420099" w:rsidRPr="00AA7EDD" w:rsidRDefault="00420099" w:rsidP="0042009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184DC823" w14:textId="77777777" w:rsidR="00420099" w:rsidRPr="00AA7EDD" w:rsidRDefault="00420099" w:rsidP="0042009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integrantes del comité designarán por escrito a sus respectivos suplentes, y sólo participarán en ausencia del titular. </w:t>
      </w:r>
    </w:p>
    <w:p w14:paraId="7B039F82" w14:textId="77777777" w:rsidR="00420099" w:rsidRDefault="00420099" w:rsidP="00420099">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lastRenderedPageBreak/>
        <w:t>Los cargos de los integrantes del comité serán honoríficos.</w:t>
      </w:r>
    </w:p>
    <w:p w14:paraId="550B324A" w14:textId="77777777" w:rsidR="00420099" w:rsidRDefault="00420099" w:rsidP="00420099">
      <w:pPr>
        <w:pStyle w:val="Citas"/>
      </w:pPr>
      <w:r>
        <w:t xml:space="preserve">Artículo 54.- Además de las establecidas en la Ley, el Comité de Arrendamientos, Adquisiciones de Inmuebles y Enajenaciones tendrá las siguientes funciones: </w:t>
      </w:r>
    </w:p>
    <w:p w14:paraId="299528A9" w14:textId="77777777" w:rsidR="00420099" w:rsidRDefault="00420099" w:rsidP="00420099">
      <w:pPr>
        <w:pStyle w:val="Citas"/>
      </w:pPr>
      <w:r>
        <w:t xml:space="preserve">I. Expedir su manual de operación; </w:t>
      </w:r>
    </w:p>
    <w:p w14:paraId="5A45A4D3" w14:textId="77777777" w:rsidR="00420099" w:rsidRDefault="00420099" w:rsidP="00420099">
      <w:pPr>
        <w:pStyle w:val="Citas"/>
      </w:pPr>
      <w:r>
        <w:t xml:space="preserve">II. Revisar y validar el programa anual de arrendamiento; así como formular las observaciones y recomendaciones que estimen convenientes; </w:t>
      </w:r>
    </w:p>
    <w:p w14:paraId="3CD10CCB" w14:textId="77777777" w:rsidR="00420099" w:rsidRDefault="00420099" w:rsidP="00420099">
      <w:pPr>
        <w:pStyle w:val="Citas"/>
      </w:pPr>
      <w:r>
        <w:t xml:space="preserve">III. Analizar la documentación de los actos relacionados con arrendamiento, adquisiciones de inmuebles y enajenaciones de muebles e inmuebles, y emitir la opinión correspondiente; </w:t>
      </w:r>
    </w:p>
    <w:p w14:paraId="3AE48EEE" w14:textId="77777777" w:rsidR="00420099" w:rsidRDefault="00420099" w:rsidP="00420099">
      <w:pPr>
        <w:pStyle w:val="Citas"/>
      </w:pPr>
      <w:r>
        <w:t xml:space="preserve">IV. Dictaminar sobre las solicitudes para adquirir inmuebles, arrendamientos y subarrendamientos; </w:t>
      </w:r>
    </w:p>
    <w:p w14:paraId="6D4C095D" w14:textId="77777777" w:rsidR="00420099" w:rsidRDefault="00420099" w:rsidP="00420099">
      <w:pPr>
        <w:pStyle w:val="Citas"/>
      </w:pPr>
      <w:r>
        <w:t xml:space="preserve">V. Dictaminar sobre las propuestas de enajenación de bienes muebles e inmuebles; </w:t>
      </w:r>
    </w:p>
    <w:p w14:paraId="19102AE0" w14:textId="77777777" w:rsidR="00420099" w:rsidRDefault="00420099" w:rsidP="00420099">
      <w:pPr>
        <w:pStyle w:val="Citas"/>
      </w:pPr>
      <w:r>
        <w:t xml:space="preserve">VI. Solicitar asesoría técnica a las cámaras de comercio, industria de la construcción, de empresas inmobiliarias y colegios de profesionales o de las confederaciones que las agrupan; </w:t>
      </w:r>
    </w:p>
    <w:p w14:paraId="1C49910B" w14:textId="77777777" w:rsidR="00420099" w:rsidRDefault="00420099" w:rsidP="00420099">
      <w:pPr>
        <w:pStyle w:val="Citas"/>
      </w:pPr>
      <w:r>
        <w:t xml:space="preserve">VII. Implementar acciones y emitir acuerdos que considere necesarios para el mejoramiento del procedimiento para arrendamiento, adquisiciones de inmuebles y enajenaciones de muebles e inmuebles; </w:t>
      </w:r>
    </w:p>
    <w:p w14:paraId="4D4E1947" w14:textId="77777777" w:rsidR="00420099" w:rsidRDefault="00420099" w:rsidP="00420099">
      <w:pPr>
        <w:pStyle w:val="Citas"/>
      </w:pPr>
      <w:r>
        <w:t>VIII. Evaluar las propuestas o posturas que se presenten en los procedimientos de licitación pública, subasta pública, invitación restringida o adjudicación directa;</w:t>
      </w:r>
    </w:p>
    <w:p w14:paraId="482CA12B" w14:textId="77777777" w:rsidR="00420099" w:rsidRDefault="00420099" w:rsidP="00420099">
      <w:pPr>
        <w:pStyle w:val="Citas"/>
      </w:pPr>
      <w:r>
        <w:lastRenderedPageBreak/>
        <w:t xml:space="preserve"> IX. Emitir los dictámenes de adjudicación, que servirán para la emisión del fallo en los arrendamientos, adquisiciones de inmuebles y enajenaciones; </w:t>
      </w:r>
    </w:p>
    <w:p w14:paraId="732FC96E" w14:textId="77777777" w:rsidR="00420099" w:rsidRDefault="00420099" w:rsidP="00420099">
      <w:pPr>
        <w:pStyle w:val="Citas"/>
      </w:pPr>
      <w:r>
        <w:t xml:space="preserve">X. Crear subcomités y grupos de trabajo de orden administrativo y técnico que considere necesarios para el desarrollo de sus funciones; y </w:t>
      </w:r>
    </w:p>
    <w:p w14:paraId="0B4F86DD" w14:textId="77777777" w:rsidR="00420099" w:rsidRPr="00AA7EDD" w:rsidRDefault="00420099" w:rsidP="00420099">
      <w:pPr>
        <w:pStyle w:val="Citas"/>
        <w:rPr>
          <w:b/>
        </w:rPr>
      </w:pPr>
      <w:r>
        <w:t>XI. Las demás que sean necesarias para el cumplimiento de sus funciones.</w:t>
      </w:r>
    </w:p>
    <w:p w14:paraId="04F5702E" w14:textId="77777777" w:rsidR="00420099" w:rsidRDefault="00420099" w:rsidP="00420099">
      <w:pPr>
        <w:pStyle w:val="Citas"/>
      </w:pPr>
      <w:bookmarkStart w:id="3" w:name="_Hlk152082571"/>
      <w:r>
        <w:t xml:space="preserve">Artículo 67.- El procedimiento de licitación pública comprende las siguientes fases: </w:t>
      </w:r>
    </w:p>
    <w:p w14:paraId="56DD4869" w14:textId="77777777" w:rsidR="00420099" w:rsidRDefault="00420099" w:rsidP="00420099">
      <w:pPr>
        <w:pStyle w:val="Citas"/>
      </w:pPr>
      <w:r>
        <w:t>I. Publicación de la convocatoria;</w:t>
      </w:r>
    </w:p>
    <w:p w14:paraId="022FCABA" w14:textId="77777777" w:rsidR="00420099" w:rsidRDefault="00420099" w:rsidP="00420099">
      <w:pPr>
        <w:pStyle w:val="Citas"/>
      </w:pPr>
      <w:r>
        <w:t xml:space="preserve"> II. Venta de las bases de licitación;</w:t>
      </w:r>
    </w:p>
    <w:p w14:paraId="7E80E83B" w14:textId="77777777" w:rsidR="00420099" w:rsidRDefault="00420099" w:rsidP="00420099">
      <w:pPr>
        <w:pStyle w:val="Citas"/>
      </w:pPr>
      <w:r>
        <w:t xml:space="preserve"> III. Visita, en su caso, al sitio donde se vayan a suministrar los bienes o a prestar los servicios;</w:t>
      </w:r>
    </w:p>
    <w:p w14:paraId="325A1526" w14:textId="77777777" w:rsidR="00420099" w:rsidRDefault="00420099" w:rsidP="00420099">
      <w:pPr>
        <w:pStyle w:val="Citas"/>
      </w:pPr>
      <w:r>
        <w:t xml:space="preserve"> IV. Junta de aclaraciones, en su caso; </w:t>
      </w:r>
    </w:p>
    <w:p w14:paraId="44EA2AFF" w14:textId="77777777" w:rsidR="00420099" w:rsidRDefault="00420099" w:rsidP="00420099">
      <w:pPr>
        <w:pStyle w:val="Citas"/>
      </w:pPr>
      <w:r>
        <w:t xml:space="preserve">V. Acto de presentación y apertura de propuestas; </w:t>
      </w:r>
    </w:p>
    <w:p w14:paraId="66804A75" w14:textId="77777777" w:rsidR="00420099" w:rsidRDefault="00420099" w:rsidP="00420099">
      <w:pPr>
        <w:pStyle w:val="Citas"/>
      </w:pPr>
      <w:r>
        <w:t xml:space="preserve">VI. Análisis y evaluación de propuestas; </w:t>
      </w:r>
    </w:p>
    <w:p w14:paraId="62B551D4" w14:textId="77777777" w:rsidR="00420099" w:rsidRDefault="00420099" w:rsidP="00420099">
      <w:pPr>
        <w:pStyle w:val="Citas"/>
      </w:pPr>
      <w:r>
        <w:t xml:space="preserve">VII.Dictamen de adjudicación; </w:t>
      </w:r>
    </w:p>
    <w:p w14:paraId="61111E5C" w14:textId="77777777" w:rsidR="00420099" w:rsidRDefault="00420099" w:rsidP="00420099">
      <w:pPr>
        <w:pStyle w:val="Citas"/>
      </w:pPr>
      <w:r>
        <w:t xml:space="preserve">VIII. Fallo; </w:t>
      </w:r>
    </w:p>
    <w:p w14:paraId="68C6A249" w14:textId="77777777" w:rsidR="00420099" w:rsidRPr="00F34349" w:rsidRDefault="00420099" w:rsidP="00420099">
      <w:pPr>
        <w:pStyle w:val="Citas"/>
        <w:rPr>
          <w:b/>
          <w:bCs/>
          <w:u w:val="single"/>
        </w:rPr>
      </w:pPr>
      <w:r w:rsidRPr="00F34349">
        <w:rPr>
          <w:b/>
          <w:bCs/>
          <w:u w:val="single"/>
        </w:rPr>
        <w:t xml:space="preserve">IX. Suscripción del contrato; y </w:t>
      </w:r>
    </w:p>
    <w:p w14:paraId="274CB5D2" w14:textId="77777777" w:rsidR="00420099" w:rsidRDefault="00420099" w:rsidP="00420099">
      <w:pPr>
        <w:pStyle w:val="Citas"/>
      </w:pPr>
      <w:r>
        <w:t>X. Suministro de los bienes o inicio de la prestación del servicio.</w:t>
      </w:r>
    </w:p>
    <w:p w14:paraId="44E7F0F6" w14:textId="77777777" w:rsidR="00420099" w:rsidRDefault="00420099" w:rsidP="00420099">
      <w:pPr>
        <w:pStyle w:val="Citas"/>
      </w:pPr>
      <w:r>
        <w:lastRenderedPageBreak/>
        <w:t xml:space="preserve">Artículo 90.- En el procedimiento de invitación restringida se deberá observar lo siguiente: </w:t>
      </w:r>
    </w:p>
    <w:p w14:paraId="1113E5A3" w14:textId="77777777" w:rsidR="00420099" w:rsidRDefault="00420099" w:rsidP="00420099">
      <w:pPr>
        <w:pStyle w:val="Citas"/>
      </w:pPr>
      <w:r>
        <w:t xml:space="preserve">I. Se invitará a un mínimo de tres personas seleccionadas de entre las que se encuentren inscritas en el catálogo de proveedores y de prestadores de servicios. Se podrá invitar a personas que no se encuentren inscritas, cuando en el giro correspondiente del catálogo de proveedores y prestadores de servicios no exista el registro mínimo de personas requeridas para tal modalidad; </w:t>
      </w:r>
    </w:p>
    <w:p w14:paraId="435D50A4" w14:textId="77777777" w:rsidR="00420099" w:rsidRDefault="00420099" w:rsidP="00420099">
      <w:pPr>
        <w:pStyle w:val="Citas"/>
      </w:pPr>
      <w:r>
        <w:t xml:space="preserve">II. Las bases de la invitación restringida indicarán los aspectos de la adquisición o contratación; y </w:t>
      </w:r>
    </w:p>
    <w:p w14:paraId="6DEB86C8" w14:textId="77777777" w:rsidR="00420099" w:rsidRDefault="00420099" w:rsidP="00420099">
      <w:pPr>
        <w:pStyle w:val="Citas"/>
      </w:pPr>
      <w:r>
        <w:t>III. Serán aplicables, en lo conducente, las disposiciones de la licitación pública</w:t>
      </w:r>
    </w:p>
    <w:p w14:paraId="7F9E9360" w14:textId="77777777" w:rsidR="00420099" w:rsidRDefault="00420099" w:rsidP="00420099">
      <w:pPr>
        <w:pStyle w:val="Citas"/>
      </w:pPr>
      <w:r>
        <w:t xml:space="preserve">Artículo 94.- En el procedimiento de adjudicación directa se observará lo siguiente: </w:t>
      </w:r>
    </w:p>
    <w:p w14:paraId="0188B94C" w14:textId="77777777" w:rsidR="00420099" w:rsidRDefault="00420099" w:rsidP="00420099">
      <w:pPr>
        <w:pStyle w:val="Citas"/>
      </w:pPr>
      <w:r>
        <w:t xml:space="preserve">I.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75394FFA" w14:textId="77777777" w:rsidR="00420099" w:rsidRDefault="00420099" w:rsidP="00420099">
      <w:pPr>
        <w:pStyle w:val="Citas"/>
      </w:pPr>
      <w: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32BE32F1" w14:textId="77777777" w:rsidR="00420099" w:rsidRDefault="00420099" w:rsidP="00420099">
      <w:pPr>
        <w:pStyle w:val="Citas"/>
      </w:pPr>
      <w:r>
        <w:lastRenderedPageBreak/>
        <w:t xml:space="preserve">III. La solicitud de participación contendrá, como mínimo, la descripción y cantidad de los bienes o servicios requeridos, lugar, plazo de entrega o duración del servicio y forma de pago; </w:t>
      </w:r>
    </w:p>
    <w:p w14:paraId="45B51600" w14:textId="77777777" w:rsidR="00420099" w:rsidRDefault="00420099" w:rsidP="00420099">
      <w:pPr>
        <w:pStyle w:val="Citas"/>
      </w:pPr>
      <w:r>
        <w:t xml:space="preserve">IV. La solicitud de participación deberá señalar el día, hora y lugar en que tendrá verificativo el acto de presentación y apertura de ofertas; </w:t>
      </w:r>
    </w:p>
    <w:p w14:paraId="4F19DEA8" w14:textId="77777777" w:rsidR="00420099" w:rsidRDefault="00420099" w:rsidP="00420099">
      <w:pPr>
        <w:pStyle w:val="Citas"/>
      </w:pPr>
      <w:r>
        <w:t xml:space="preserve">V. Atendiendo a la naturaleza de los bienes o servicios, la convocante podrá optar entre celebrar o no junta de aclaraciones, en términos de lo dispuesto por este Reglamento; </w:t>
      </w:r>
    </w:p>
    <w:p w14:paraId="2E7FB903" w14:textId="77777777" w:rsidR="00420099" w:rsidRDefault="00420099" w:rsidP="00420099">
      <w:pPr>
        <w:pStyle w:val="Citas"/>
      </w:pPr>
      <w:r>
        <w:t xml:space="preserve">VI. El servidor público designado por la convocante será el responsable de llevar a cabo el acto de presentación y apertura de propuestas; </w:t>
      </w:r>
    </w:p>
    <w:p w14:paraId="74E963BB" w14:textId="77777777" w:rsidR="00420099" w:rsidRDefault="00420099" w:rsidP="00420099">
      <w:pPr>
        <w:pStyle w:val="Citas"/>
      </w:pPr>
      <w:r>
        <w:t xml:space="preserve">VII. Se observarán, en lo conducente, las disposiciones relativas a la contraoferta; y </w:t>
      </w:r>
    </w:p>
    <w:p w14:paraId="38A3ED40" w14:textId="77777777" w:rsidR="00420099" w:rsidRDefault="00420099" w:rsidP="00420099">
      <w:pPr>
        <w:pStyle w:val="Citas"/>
      </w:pPr>
      <w:r>
        <w:t xml:space="preserve">VIII. El comité será responsable de emitir el dictamen de adjudicación que servirá de base para el fallo de adjudicación; correspondiendo a la convocante emitir dicho fallo, quien lo hará del conocimiento de los licitantes. </w:t>
      </w:r>
    </w:p>
    <w:p w14:paraId="03D194E2" w14:textId="77777777" w:rsidR="00420099" w:rsidRPr="006933BD" w:rsidRDefault="00420099" w:rsidP="00420099">
      <w:pPr>
        <w:pStyle w:val="Citas"/>
        <w:rPr>
          <w:b/>
          <w:bCs/>
        </w:rPr>
      </w:pPr>
      <w:r>
        <w:t xml:space="preserve">Los actos referidos en los incisos anteriores deberán documentarse en el acta correspondiente y publicarse en el sistema COMPRAMEX” </w:t>
      </w:r>
      <w:r>
        <w:rPr>
          <w:b/>
          <w:bCs/>
        </w:rPr>
        <w:t>(Sic)</w:t>
      </w:r>
    </w:p>
    <w:bookmarkEnd w:id="3"/>
    <w:p w14:paraId="6DDC8C68" w14:textId="77777777" w:rsidR="00420099" w:rsidRDefault="00420099" w:rsidP="00420099">
      <w:pPr>
        <w:pStyle w:val="Sinespaciado"/>
        <w:spacing w:line="360" w:lineRule="auto"/>
        <w:jc w:val="both"/>
        <w:rPr>
          <w:rFonts w:ascii="Palatino Linotype" w:hAnsi="Palatino Linotype"/>
        </w:rPr>
      </w:pPr>
    </w:p>
    <w:p w14:paraId="715E57F7" w14:textId="77777777" w:rsidR="00420099" w:rsidRDefault="00420099" w:rsidP="00420099">
      <w:pPr>
        <w:spacing w:before="240" w:line="360" w:lineRule="auto"/>
        <w:jc w:val="both"/>
        <w:rPr>
          <w:rFonts w:ascii="Palatino Linotype" w:hAnsi="Palatino Linotype"/>
          <w:sz w:val="24"/>
          <w:szCs w:val="24"/>
        </w:rPr>
      </w:pPr>
      <w:r>
        <w:rPr>
          <w:rFonts w:ascii="Palatino Linotype" w:hAnsi="Palatino Linotype"/>
          <w:sz w:val="24"/>
          <w:szCs w:val="24"/>
        </w:rPr>
        <w:t xml:space="preserve">En función de lo planteado, la unidad administrativa referida con antelación regula diversas aristas tales como: </w:t>
      </w:r>
    </w:p>
    <w:p w14:paraId="4B619797" w14:textId="77777777" w:rsidR="00420099"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t>Nómina</w:t>
      </w:r>
    </w:p>
    <w:p w14:paraId="7A01553E" w14:textId="77777777" w:rsidR="00420099"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lastRenderedPageBreak/>
        <w:t>Procedimientos adquisitivos</w:t>
      </w:r>
    </w:p>
    <w:p w14:paraId="2030201D" w14:textId="77777777" w:rsidR="00420099"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t>Celebración de contratos con proveedores</w:t>
      </w:r>
    </w:p>
    <w:p w14:paraId="51C6121B" w14:textId="6649091F" w:rsidR="00420099"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t>Coordinar el ejercicio del presupuesto</w:t>
      </w:r>
    </w:p>
    <w:p w14:paraId="714CC449" w14:textId="77777777" w:rsidR="00420099"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t>Estados financieros mensuales</w:t>
      </w:r>
    </w:p>
    <w:p w14:paraId="291316DD" w14:textId="77777777" w:rsidR="00420099" w:rsidRPr="00FA234B" w:rsidRDefault="00420099" w:rsidP="008D3F0E">
      <w:pPr>
        <w:pStyle w:val="Prrafodelista"/>
        <w:numPr>
          <w:ilvl w:val="0"/>
          <w:numId w:val="7"/>
        </w:numPr>
        <w:spacing w:before="240" w:line="360" w:lineRule="auto"/>
        <w:jc w:val="both"/>
        <w:rPr>
          <w:rFonts w:ascii="Palatino Linotype" w:hAnsi="Palatino Linotype"/>
        </w:rPr>
      </w:pPr>
      <w:r>
        <w:rPr>
          <w:rFonts w:ascii="Palatino Linotype" w:hAnsi="Palatino Linotype"/>
        </w:rPr>
        <w:t xml:space="preserve">Otros. </w:t>
      </w:r>
    </w:p>
    <w:p w14:paraId="5C60D6F4" w14:textId="77777777" w:rsidR="00420099" w:rsidRPr="00932F52" w:rsidRDefault="00420099" w:rsidP="00420099">
      <w:pPr>
        <w:spacing w:before="240" w:line="360" w:lineRule="auto"/>
        <w:jc w:val="both"/>
        <w:rPr>
          <w:rFonts w:ascii="Palatino Linotype" w:hAnsi="Palatino Linotype"/>
          <w:b/>
          <w:bCs/>
          <w:sz w:val="24"/>
          <w:szCs w:val="24"/>
        </w:rPr>
      </w:pPr>
      <w:r>
        <w:rPr>
          <w:rFonts w:ascii="Palatino Linotype" w:hAnsi="Palatino Linotype"/>
          <w:b/>
          <w:bCs/>
          <w:sz w:val="24"/>
          <w:szCs w:val="24"/>
        </w:rPr>
        <w:t xml:space="preserve"> </w:t>
      </w:r>
    </w:p>
    <w:p w14:paraId="0A23311A" w14:textId="77777777" w:rsidR="00420099" w:rsidRPr="003721AF" w:rsidRDefault="00420099" w:rsidP="00420099">
      <w:pPr>
        <w:spacing w:line="360" w:lineRule="auto"/>
        <w:jc w:val="both"/>
        <w:rPr>
          <w:rFonts w:ascii="Palatino Linotype" w:hAnsi="Palatino Linotype" w:cs="Arial"/>
          <w:sz w:val="24"/>
          <w:szCs w:val="24"/>
        </w:rPr>
      </w:pPr>
      <w:r>
        <w:rPr>
          <w:rFonts w:ascii="Palatino Linotype" w:hAnsi="Palatino Linotype" w:cs="Arial"/>
          <w:sz w:val="24"/>
          <w:szCs w:val="24"/>
        </w:rPr>
        <w:t>Se quiere con ello significar</w:t>
      </w:r>
      <w:r w:rsidRPr="00EC5B60">
        <w:rPr>
          <w:rFonts w:ascii="Palatino Linotype" w:hAnsi="Palatino Linotype" w:cs="Arial"/>
          <w:sz w:val="24"/>
          <w:szCs w:val="24"/>
        </w:rPr>
        <w:t>, en términos de los</w:t>
      </w:r>
      <w:r w:rsidRPr="003721AF">
        <w:rPr>
          <w:rFonts w:ascii="Palatino Linotype" w:hAnsi="Palatino Linotype" w:cs="Arial"/>
          <w:sz w:val="24"/>
          <w:szCs w:val="24"/>
        </w:rPr>
        <w:t xml:space="preserve">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31F597D" w14:textId="77777777" w:rsidR="00420099" w:rsidRPr="003721AF" w:rsidRDefault="00420099" w:rsidP="00420099">
      <w:pPr>
        <w:pStyle w:val="Citas"/>
      </w:pPr>
      <w:r w:rsidRPr="003721AF">
        <w:t xml:space="preserve">“Artículo 18. Los sujetos obligados deberán documentar todo acto que derive del ejercicio de sus facultades, competencias o funciones, considerando desde su origen la eventual publicidad y reutilización de la información que generen. </w:t>
      </w:r>
    </w:p>
    <w:p w14:paraId="64B8B5DF" w14:textId="77777777" w:rsidR="00420099" w:rsidRPr="003721AF" w:rsidRDefault="00420099" w:rsidP="00420099">
      <w:pPr>
        <w:pStyle w:val="Citas"/>
      </w:pPr>
      <w:r w:rsidRPr="003721AF">
        <w:t xml:space="preserve">Artículo 19. Se presume que la información debe existir si se refiere a las facultades, competencias y funciones que los ordenamientos jurídicos aplicables otorgan a los sujetos obligados. </w:t>
      </w:r>
    </w:p>
    <w:p w14:paraId="1D262553" w14:textId="77777777" w:rsidR="00420099" w:rsidRPr="003721AF" w:rsidRDefault="00420099" w:rsidP="00420099">
      <w:pPr>
        <w:pStyle w:val="Citas"/>
      </w:pPr>
      <w:r w:rsidRPr="003721AF">
        <w:t xml:space="preserve">En los casos en que ciertas facultades, competencias o funciones no se hayan ejercido, se debe motivar la respuesta en función de las causas que motiven tal circunstancia. </w:t>
      </w:r>
    </w:p>
    <w:p w14:paraId="5B72AE8D" w14:textId="77777777" w:rsidR="00420099" w:rsidRPr="003721AF" w:rsidRDefault="00420099" w:rsidP="00420099">
      <w:pPr>
        <w:pStyle w:val="Citas"/>
        <w:rPr>
          <w:b/>
          <w:bCs/>
          <w:sz w:val="24"/>
          <w:szCs w:val="24"/>
        </w:rPr>
      </w:pPr>
      <w:r w:rsidRPr="003721AF">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3721AF">
        <w:rPr>
          <w:b/>
          <w:bCs/>
        </w:rPr>
        <w:t>(Sic)</w:t>
      </w:r>
    </w:p>
    <w:p w14:paraId="563303BF" w14:textId="5F517F6A" w:rsidR="00415FC1" w:rsidRDefault="00415FC1" w:rsidP="003F094C">
      <w:pPr>
        <w:spacing w:after="0" w:line="360" w:lineRule="auto"/>
        <w:jc w:val="both"/>
        <w:rPr>
          <w:rFonts w:ascii="Palatino Linotype" w:hAnsi="Palatino Linotype" w:cs="Arial"/>
          <w:sz w:val="24"/>
          <w:szCs w:val="24"/>
        </w:rPr>
      </w:pPr>
    </w:p>
    <w:p w14:paraId="7C508CD9" w14:textId="1FC6B26F" w:rsidR="00B8117F" w:rsidRDefault="00B8117F" w:rsidP="00B8117F">
      <w:pPr>
        <w:spacing w:before="240" w:line="360" w:lineRule="auto"/>
        <w:jc w:val="both"/>
        <w:rPr>
          <w:rFonts w:ascii="Palatino Linotype" w:hAnsi="Palatino Linotype"/>
          <w:bCs/>
          <w:sz w:val="24"/>
          <w:szCs w:val="24"/>
        </w:rPr>
      </w:pPr>
      <w:r w:rsidRPr="00322E78">
        <w:rPr>
          <w:rFonts w:ascii="Palatino Linotype" w:hAnsi="Palatino Linotype" w:cs="Arial"/>
          <w:sz w:val="24"/>
          <w:szCs w:val="24"/>
        </w:rPr>
        <w:t xml:space="preserve">Por otra parte, es óbice mencionar que la información requerida estriba parcialmente en las obligaciones en las obligaciones de transparencia común, lo anterior con fundamento </w:t>
      </w:r>
      <w:r w:rsidRPr="00322E78">
        <w:rPr>
          <w:rFonts w:ascii="Palatino Linotype" w:hAnsi="Palatino Linotype"/>
          <w:bCs/>
          <w:sz w:val="24"/>
          <w:szCs w:val="24"/>
        </w:rPr>
        <w:t xml:space="preserve">en </w:t>
      </w:r>
      <w:r>
        <w:rPr>
          <w:rFonts w:ascii="Palatino Linotype" w:hAnsi="Palatino Linotype"/>
          <w:bCs/>
          <w:sz w:val="24"/>
          <w:szCs w:val="24"/>
        </w:rPr>
        <w:t>los artículos</w:t>
      </w:r>
      <w:r w:rsidRPr="00322E78">
        <w:rPr>
          <w:rFonts w:ascii="Palatino Linotype" w:hAnsi="Palatino Linotype"/>
          <w:bCs/>
          <w:sz w:val="24"/>
          <w:szCs w:val="24"/>
        </w:rPr>
        <w:t xml:space="preserve"> 24, fracción XII, 92, </w:t>
      </w:r>
      <w:r>
        <w:rPr>
          <w:rFonts w:ascii="Palatino Linotype" w:hAnsi="Palatino Linotype"/>
          <w:bCs/>
          <w:sz w:val="24"/>
          <w:szCs w:val="24"/>
        </w:rPr>
        <w:t>fracción XXIX</w:t>
      </w:r>
      <w:r w:rsidR="009D5B6D">
        <w:rPr>
          <w:rFonts w:ascii="Palatino Linotype" w:hAnsi="Palatino Linotype"/>
          <w:bCs/>
          <w:sz w:val="24"/>
          <w:szCs w:val="24"/>
        </w:rPr>
        <w:t xml:space="preserve"> </w:t>
      </w:r>
      <w:r>
        <w:rPr>
          <w:rFonts w:ascii="Palatino Linotype" w:hAnsi="Palatino Linotype"/>
          <w:bCs/>
          <w:sz w:val="24"/>
          <w:szCs w:val="24"/>
        </w:rPr>
        <w:t>de la Ley de Transparencia y Acceso a la Información Pública del Estado de México y Municipios, porciones normativas que disponen a la literalidad lo siguiente:</w:t>
      </w:r>
    </w:p>
    <w:p w14:paraId="39385725" w14:textId="77777777" w:rsidR="00B8117F"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“Artículo 24. Para el cumplimiento de los objetivos de esta Ley, los sujetos obligados deberán cumplir con las siguientes obligaciones, según corresponda, de acuerdo a su naturaleza:</w:t>
      </w:r>
    </w:p>
    <w:p w14:paraId="4173F916" w14:textId="77777777" w:rsidR="00B8117F" w:rsidRPr="00E66BD3" w:rsidRDefault="00B8117F" w:rsidP="00B8117F">
      <w:pPr>
        <w:spacing w:before="240" w:line="360" w:lineRule="auto"/>
        <w:ind w:left="851" w:right="851"/>
        <w:jc w:val="both"/>
        <w:rPr>
          <w:rFonts w:ascii="Palatino Linotype" w:hAnsi="Palatino Linotype"/>
          <w:i/>
        </w:rPr>
      </w:pPr>
      <w:r>
        <w:rPr>
          <w:rFonts w:ascii="Palatino Linotype" w:hAnsi="Palatino Linotype"/>
          <w:i/>
        </w:rPr>
        <w:t>(…)</w:t>
      </w:r>
    </w:p>
    <w:p w14:paraId="1927A83F" w14:textId="77777777" w:rsidR="00B8117F" w:rsidRDefault="00B8117F" w:rsidP="00B8117F">
      <w:pPr>
        <w:spacing w:before="240" w:line="360" w:lineRule="auto"/>
        <w:ind w:left="851" w:right="851"/>
        <w:jc w:val="both"/>
        <w:rPr>
          <w:rFonts w:ascii="Palatino Linotype" w:hAnsi="Palatino Linotype"/>
          <w:bCs/>
          <w:i/>
        </w:rPr>
      </w:pPr>
      <w:r w:rsidRPr="000C0AAF">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216E37E7" w14:textId="77777777" w:rsidR="00B8117F" w:rsidRDefault="00B8117F" w:rsidP="00B8117F">
      <w:pPr>
        <w:spacing w:before="240" w:line="360" w:lineRule="auto"/>
        <w:ind w:left="851" w:right="851"/>
        <w:jc w:val="both"/>
        <w:rPr>
          <w:rFonts w:ascii="Palatino Linotype" w:hAnsi="Palatino Linotype"/>
          <w:bCs/>
          <w:i/>
        </w:rPr>
      </w:pPr>
      <w:r>
        <w:rPr>
          <w:rFonts w:ascii="Palatino Linotype" w:hAnsi="Palatino Linotype"/>
          <w:bCs/>
          <w:i/>
        </w:rPr>
        <w:t>(…)</w:t>
      </w:r>
    </w:p>
    <w:p w14:paraId="1C63698B" w14:textId="77777777" w:rsidR="00B8117F" w:rsidRDefault="00B8117F" w:rsidP="00B8117F">
      <w:pPr>
        <w:spacing w:before="240" w:line="360" w:lineRule="auto"/>
        <w:ind w:left="851" w:right="851"/>
        <w:jc w:val="both"/>
        <w:rPr>
          <w:rFonts w:ascii="Palatino Linotype" w:hAnsi="Palatino Linotype"/>
          <w:bCs/>
          <w:sz w:val="24"/>
          <w:szCs w:val="24"/>
        </w:rPr>
      </w:pPr>
      <w:r w:rsidRPr="00E66BD3">
        <w:rPr>
          <w:rFonts w:ascii="Palatino Linotype" w:hAnsi="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E66BD3">
        <w:rPr>
          <w:rFonts w:ascii="Palatino Linotype" w:hAnsi="Palatino Linotype"/>
          <w:i/>
        </w:rPr>
        <w:lastRenderedPageBreak/>
        <w:t>social, según corresponda, la información, por lo menos, de los temas, documentos y políticas que a continuación se señalan:</w:t>
      </w:r>
    </w:p>
    <w:p w14:paraId="2CD4BE0F" w14:textId="77777777" w:rsidR="00B8117F" w:rsidRDefault="00B8117F" w:rsidP="00B8117F">
      <w:pPr>
        <w:pStyle w:val="Citas"/>
      </w:pPr>
      <w:r>
        <w:t>(…)</w:t>
      </w:r>
    </w:p>
    <w:p w14:paraId="788C00A4" w14:textId="77777777" w:rsidR="00B8117F" w:rsidRPr="00E66BD3" w:rsidRDefault="00B8117F" w:rsidP="00B8117F">
      <w:pPr>
        <w:spacing w:before="240" w:line="360" w:lineRule="auto"/>
        <w:ind w:left="851" w:right="851"/>
        <w:jc w:val="both"/>
        <w:rPr>
          <w:rFonts w:ascii="Palatino Linotype" w:hAnsi="Palatino Linotype"/>
          <w:b/>
          <w:i/>
          <w:u w:val="single"/>
        </w:rPr>
      </w:pPr>
      <w:r w:rsidRPr="00E66BD3">
        <w:rPr>
          <w:rFonts w:ascii="Palatino Linotype" w:hAnsi="Palatino Linotype"/>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2E018073" w14:textId="77777777" w:rsidR="00B8117F" w:rsidRPr="00C85B50" w:rsidRDefault="00B8117F" w:rsidP="00B8117F">
      <w:pPr>
        <w:spacing w:before="240" w:line="360" w:lineRule="auto"/>
        <w:ind w:left="851" w:right="851"/>
        <w:jc w:val="both"/>
        <w:rPr>
          <w:rFonts w:ascii="Palatino Linotype" w:hAnsi="Palatino Linotype"/>
          <w:b/>
          <w:bCs/>
          <w:i/>
          <w:u w:val="single"/>
        </w:rPr>
      </w:pPr>
      <w:r w:rsidRPr="00C85B50">
        <w:rPr>
          <w:rFonts w:ascii="Palatino Linotype" w:hAnsi="Palatino Linotype"/>
          <w:b/>
          <w:bCs/>
          <w:i/>
          <w:u w:val="single"/>
        </w:rPr>
        <w:t xml:space="preserve">a) De licitaciones públicas o procedimientos de invitación restringida: </w:t>
      </w:r>
    </w:p>
    <w:p w14:paraId="0AA992C6"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1) La convocatoria o invitación emitida, así como los fundamentos legales aplicados para llevarla a cabo; </w:t>
      </w:r>
    </w:p>
    <w:p w14:paraId="267064FD"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2) Los nombres de los participantes o invitados; </w:t>
      </w:r>
    </w:p>
    <w:p w14:paraId="40DEF415"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3) El nombre del ganador y las razones que lo justifican; </w:t>
      </w:r>
    </w:p>
    <w:p w14:paraId="4446AFFB"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4) El área solicitante y la responsable de su ejecución; </w:t>
      </w:r>
    </w:p>
    <w:p w14:paraId="66DA0EAB"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5) Las convocatorias e invitaciones emitidas; </w:t>
      </w:r>
    </w:p>
    <w:p w14:paraId="567191D5"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6) Los dictámenes y fallo de adjudicación; </w:t>
      </w:r>
    </w:p>
    <w:p w14:paraId="5DF47ECE" w14:textId="77777777" w:rsidR="00B8117F" w:rsidRPr="00516A83" w:rsidRDefault="00B8117F" w:rsidP="00B8117F">
      <w:pPr>
        <w:spacing w:before="240" w:line="360" w:lineRule="auto"/>
        <w:ind w:left="851" w:right="851"/>
        <w:jc w:val="both"/>
        <w:rPr>
          <w:rFonts w:ascii="Palatino Linotype" w:hAnsi="Palatino Linotype"/>
          <w:b/>
          <w:bCs/>
          <w:i/>
          <w:u w:val="single"/>
        </w:rPr>
      </w:pPr>
      <w:r w:rsidRPr="00516A83">
        <w:rPr>
          <w:rFonts w:ascii="Palatino Linotype" w:hAnsi="Palatino Linotype"/>
          <w:b/>
          <w:bCs/>
          <w:i/>
          <w:u w:val="single"/>
        </w:rPr>
        <w:t xml:space="preserve">7) El contrato y, en su caso, sus anexos; </w:t>
      </w:r>
    </w:p>
    <w:p w14:paraId="07B18A4B"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8) Los mecanismos de vigilancia y supervisión, incluyendo en su caso, los estudios de impacto urbano y ambiental, según corresponda; </w:t>
      </w:r>
    </w:p>
    <w:p w14:paraId="41131079"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lastRenderedPageBreak/>
        <w:t xml:space="preserve">9) La partida presupuestal, de conformidad con el clasificador por objeto del gasto, en el caso de ser aplicable; </w:t>
      </w:r>
    </w:p>
    <w:p w14:paraId="136BD8C3" w14:textId="77777777" w:rsidR="00B8117F" w:rsidRPr="00303BAD"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10) Origen de los recursos especificando si son federales, estatales o municipales, así </w:t>
      </w:r>
      <w:r w:rsidRPr="00303BAD">
        <w:rPr>
          <w:rFonts w:ascii="Palatino Linotype" w:hAnsi="Palatino Linotype"/>
          <w:i/>
        </w:rPr>
        <w:t xml:space="preserve">como el tipo de fondo de participación o aportación respectiva; </w:t>
      </w:r>
    </w:p>
    <w:p w14:paraId="2B676C69" w14:textId="77777777" w:rsidR="00B8117F" w:rsidRPr="00303BAD" w:rsidRDefault="00B8117F" w:rsidP="00B8117F">
      <w:pPr>
        <w:spacing w:before="240" w:line="360" w:lineRule="auto"/>
        <w:ind w:left="851" w:right="851"/>
        <w:jc w:val="both"/>
        <w:rPr>
          <w:rFonts w:ascii="Palatino Linotype" w:hAnsi="Palatino Linotype"/>
          <w:i/>
        </w:rPr>
      </w:pPr>
      <w:r w:rsidRPr="00303BAD">
        <w:rPr>
          <w:rFonts w:ascii="Palatino Linotype" w:hAnsi="Palatino Linotype"/>
          <w:i/>
        </w:rPr>
        <w:t>11) Los convenios modificatorios que, en su caso, sean firmados, precisando el objeto y la fecha de celebración;</w:t>
      </w:r>
    </w:p>
    <w:p w14:paraId="39B6BB22"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 12) Los informes de avance físico y financiero sobre las obras o servicios contratados; 13) El convenio de terminación; y </w:t>
      </w:r>
    </w:p>
    <w:p w14:paraId="3235C9AA"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14) El finiquito. </w:t>
      </w:r>
    </w:p>
    <w:p w14:paraId="54864F14" w14:textId="77777777" w:rsidR="00B8117F" w:rsidRPr="00303BAD" w:rsidRDefault="00B8117F" w:rsidP="00B8117F">
      <w:pPr>
        <w:spacing w:before="240" w:line="360" w:lineRule="auto"/>
        <w:ind w:left="851" w:right="851"/>
        <w:jc w:val="both"/>
        <w:rPr>
          <w:rFonts w:ascii="Palatino Linotype" w:hAnsi="Palatino Linotype"/>
          <w:b/>
          <w:i/>
          <w:u w:val="single"/>
        </w:rPr>
      </w:pPr>
      <w:r w:rsidRPr="00303BAD">
        <w:rPr>
          <w:rFonts w:ascii="Palatino Linotype" w:hAnsi="Palatino Linotype"/>
          <w:b/>
          <w:i/>
          <w:u w:val="single"/>
        </w:rPr>
        <w:t xml:space="preserve">b) De las adjudicaciones directas: </w:t>
      </w:r>
    </w:p>
    <w:p w14:paraId="3F94A7AE"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1) La propuesta enviada por el participante; </w:t>
      </w:r>
    </w:p>
    <w:p w14:paraId="44F189E3"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2) Los motivos y fundamentos legales aplicados para llevarla a cabo; </w:t>
      </w:r>
    </w:p>
    <w:p w14:paraId="0143B4D7"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3) La autorización del ejercicio de la opción; </w:t>
      </w:r>
    </w:p>
    <w:p w14:paraId="1D7D5ABF" w14:textId="77777777" w:rsidR="00B8117F" w:rsidRPr="00303BAD" w:rsidRDefault="00B8117F" w:rsidP="00B8117F">
      <w:pPr>
        <w:spacing w:before="240" w:line="360" w:lineRule="auto"/>
        <w:ind w:left="851" w:right="851"/>
        <w:jc w:val="both"/>
        <w:rPr>
          <w:rFonts w:ascii="Palatino Linotype" w:hAnsi="Palatino Linotype"/>
          <w:i/>
        </w:rPr>
      </w:pPr>
      <w:r w:rsidRPr="00303BAD">
        <w:rPr>
          <w:rFonts w:ascii="Palatino Linotype" w:hAnsi="Palatino Linotype"/>
          <w:i/>
        </w:rPr>
        <w:t xml:space="preserve">4) En su caso, las cotizaciones consideradas, especificando los nombres de los proveedores y sus montos; </w:t>
      </w:r>
    </w:p>
    <w:p w14:paraId="6D0F2588"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5) El nombre de la persona física o jurídica colectiva adjudicada; </w:t>
      </w:r>
    </w:p>
    <w:p w14:paraId="791FB712"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6) La unidad administrativa solicitante y la responsable de su ejecución; </w:t>
      </w:r>
    </w:p>
    <w:p w14:paraId="50BF1BE8"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lastRenderedPageBreak/>
        <w:t xml:space="preserve">7) El número, fecha, el monto del contrato y el plazo de entrega o de ejecución de los servicios u obra; </w:t>
      </w:r>
    </w:p>
    <w:p w14:paraId="4E9E828D"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8) Los mecanismos de vigilancia y supervisión, incluyendo, en su caso, los estudios de impacto urbano y ambiental, según corresponda; </w:t>
      </w:r>
    </w:p>
    <w:p w14:paraId="32032AF3"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9) Los informes de avance sobre las obras o servicios contratados; </w:t>
      </w:r>
    </w:p>
    <w:p w14:paraId="3E9369F2" w14:textId="77777777" w:rsidR="00B8117F" w:rsidRPr="00E66BD3" w:rsidRDefault="00B8117F" w:rsidP="00B8117F">
      <w:pPr>
        <w:spacing w:before="240" w:line="360" w:lineRule="auto"/>
        <w:ind w:left="851" w:right="851"/>
        <w:jc w:val="both"/>
        <w:rPr>
          <w:rFonts w:ascii="Palatino Linotype" w:hAnsi="Palatino Linotype"/>
          <w:i/>
        </w:rPr>
      </w:pPr>
      <w:r w:rsidRPr="00E66BD3">
        <w:rPr>
          <w:rFonts w:ascii="Palatino Linotype" w:hAnsi="Palatino Linotype"/>
          <w:i/>
        </w:rPr>
        <w:t xml:space="preserve">10) El convenio de terminación; y </w:t>
      </w:r>
    </w:p>
    <w:p w14:paraId="38542F33" w14:textId="77777777" w:rsidR="00B8117F" w:rsidRDefault="00B8117F" w:rsidP="00B8117F">
      <w:pPr>
        <w:spacing w:before="240" w:line="360" w:lineRule="auto"/>
        <w:ind w:left="851" w:right="851"/>
        <w:jc w:val="both"/>
        <w:rPr>
          <w:rFonts w:ascii="Palatino Linotype" w:hAnsi="Palatino Linotype"/>
          <w:i/>
        </w:rPr>
      </w:pPr>
      <w:r>
        <w:rPr>
          <w:rFonts w:ascii="Palatino Linotype" w:hAnsi="Palatino Linotype"/>
          <w:i/>
        </w:rPr>
        <w:t>11) El finiquito.</w:t>
      </w:r>
    </w:p>
    <w:p w14:paraId="29BCAE43" w14:textId="77777777" w:rsidR="00B8117F" w:rsidRDefault="00B8117F" w:rsidP="00623C9D">
      <w:pPr>
        <w:pStyle w:val="Citas"/>
        <w:ind w:left="0" w:right="0"/>
        <w:rPr>
          <w:i w:val="0"/>
          <w:iCs/>
          <w:sz w:val="24"/>
          <w:szCs w:val="24"/>
        </w:rPr>
      </w:pPr>
    </w:p>
    <w:p w14:paraId="7218691F" w14:textId="2FAE222E" w:rsidR="00B8117F" w:rsidRPr="00B8117F" w:rsidRDefault="00B8117F" w:rsidP="00623C9D">
      <w:pPr>
        <w:pStyle w:val="Citas"/>
        <w:ind w:left="0" w:right="0"/>
        <w:rPr>
          <w:i w:val="0"/>
          <w:iCs/>
          <w:sz w:val="24"/>
          <w:szCs w:val="24"/>
        </w:rPr>
      </w:pPr>
      <w:r w:rsidRPr="00B8117F">
        <w:rPr>
          <w:rFonts w:eastAsia="MS Mincho" w:cs="Tahoma"/>
          <w:i w:val="0"/>
          <w:iCs/>
          <w:sz w:val="24"/>
          <w:szCs w:val="24"/>
        </w:rPr>
        <w:t xml:space="preserve">Así </w:t>
      </w:r>
      <w:r w:rsidRPr="00B8117F">
        <w:rPr>
          <w:rFonts w:eastAsia="Arial Unicode MS"/>
          <w:i w:val="0"/>
          <w:iCs/>
          <w:sz w:val="24"/>
          <w:szCs w:val="24"/>
        </w:rPr>
        <w:t xml:space="preserve">el artículo 92 fracción </w:t>
      </w:r>
      <w:r w:rsidRPr="00B8117F">
        <w:rPr>
          <w:bCs/>
          <w:i w:val="0"/>
          <w:iCs/>
          <w:sz w:val="24"/>
          <w:szCs w:val="24"/>
        </w:rPr>
        <w:t xml:space="preserve">XXIX de la Ley de Transparencia y Acceso a la Información Pública del Estado de México y Municipios </w:t>
      </w:r>
      <w:r w:rsidRPr="00B8117F">
        <w:rPr>
          <w:rFonts w:eastAsia="Arial Unicode MS"/>
          <w:i w:val="0"/>
          <w:iCs/>
          <w:sz w:val="24"/>
          <w:szCs w:val="24"/>
        </w:rPr>
        <w:t xml:space="preserve">señala que la información requerida respecto de </w:t>
      </w:r>
      <w:r w:rsidR="00332DD6">
        <w:rPr>
          <w:rFonts w:eastAsia="Arial Unicode MS"/>
          <w:i w:val="0"/>
          <w:iCs/>
          <w:sz w:val="24"/>
          <w:szCs w:val="24"/>
        </w:rPr>
        <w:t>contratos derivados de</w:t>
      </w:r>
      <w:r w:rsidRPr="00B8117F">
        <w:rPr>
          <w:rFonts w:eastAsia="Arial Unicode MS"/>
          <w:i w:val="0"/>
          <w:iCs/>
          <w:sz w:val="24"/>
          <w:szCs w:val="24"/>
        </w:rPr>
        <w:t xml:space="preserve"> procedimientos de adjudicación directa, invitación restringida y licitación se tratan de una obligación de transparencia común.</w:t>
      </w:r>
    </w:p>
    <w:p w14:paraId="543903CD" w14:textId="6339C642" w:rsidR="00332DD6" w:rsidRDefault="00FD7050" w:rsidP="0020194E">
      <w:pPr>
        <w:pStyle w:val="Prrafodelista"/>
        <w:autoSpaceDE w:val="0"/>
        <w:autoSpaceDN w:val="0"/>
        <w:adjustRightInd w:val="0"/>
        <w:spacing w:before="240" w:after="160" w:line="360" w:lineRule="auto"/>
        <w:ind w:left="0"/>
        <w:jc w:val="both"/>
        <w:rPr>
          <w:rFonts w:ascii="Palatino Linotype" w:hAnsi="Palatino Linotype" w:cs="Arial"/>
          <w:lang w:val="es-MX"/>
        </w:rPr>
      </w:pPr>
      <w:r w:rsidRPr="00BD0628">
        <w:rPr>
          <w:rFonts w:ascii="Palatino Linotype" w:hAnsi="Palatino Linotype" w:cs="Arial"/>
          <w:lang w:val="es-MX"/>
        </w:rPr>
        <w:t xml:space="preserve">Una vez sentado lo anterior, como se mencionó en el antecedente </w:t>
      </w:r>
      <w:r w:rsidR="00332DD6" w:rsidRPr="00BD0628">
        <w:rPr>
          <w:rFonts w:ascii="Palatino Linotype" w:hAnsi="Palatino Linotype" w:cs="Arial"/>
          <w:lang w:val="es-MX"/>
        </w:rPr>
        <w:t>segundo</w:t>
      </w:r>
      <w:r w:rsidRPr="00BD0628">
        <w:rPr>
          <w:rFonts w:ascii="Palatino Linotype" w:hAnsi="Palatino Linotype" w:cs="Arial"/>
          <w:lang w:val="es-MX"/>
        </w:rPr>
        <w:t xml:space="preserve">, </w:t>
      </w:r>
      <w:r w:rsidRPr="00BD0628">
        <w:rPr>
          <w:rFonts w:ascii="Palatino Linotype" w:hAnsi="Palatino Linotype" w:cs="Arial"/>
          <w:b/>
          <w:bCs/>
          <w:lang w:val="es-MX"/>
        </w:rPr>
        <w:t xml:space="preserve">El Sujeto Obligado </w:t>
      </w:r>
      <w:r w:rsidRPr="00BD0628">
        <w:rPr>
          <w:rFonts w:ascii="Palatino Linotype" w:hAnsi="Palatino Linotype" w:cs="Arial"/>
          <w:lang w:val="es-MX"/>
        </w:rPr>
        <w:t>en fecha</w:t>
      </w:r>
      <w:r w:rsidR="00BD0628">
        <w:rPr>
          <w:rFonts w:ascii="Palatino Linotype" w:hAnsi="Palatino Linotype" w:cs="Arial"/>
          <w:lang w:val="es-MX"/>
        </w:rPr>
        <w:t xml:space="preserve"> </w:t>
      </w:r>
      <w:r w:rsidR="00BD0628">
        <w:rPr>
          <w:rFonts w:ascii="Palatino Linotype" w:hAnsi="Palatino Linotype" w:cs="Arial"/>
          <w:b/>
          <w:bCs/>
          <w:lang w:val="es-MX"/>
        </w:rPr>
        <w:t xml:space="preserve">once de febrero de dos mil veinticinco, </w:t>
      </w:r>
      <w:r w:rsidR="00BD0628">
        <w:rPr>
          <w:rFonts w:ascii="Palatino Linotype" w:hAnsi="Palatino Linotype" w:cs="Arial"/>
          <w:lang w:val="es-MX"/>
        </w:rPr>
        <w:t>rindió su respuesta a la solicitud de información en los siguientes términos:</w:t>
      </w:r>
    </w:p>
    <w:p w14:paraId="1D0CD6D5" w14:textId="5F575549" w:rsidR="00BD0628" w:rsidRPr="006946CE" w:rsidRDefault="00BD0628" w:rsidP="008D3F0E">
      <w:pPr>
        <w:pStyle w:val="Prrafodelista"/>
        <w:numPr>
          <w:ilvl w:val="0"/>
          <w:numId w:val="8"/>
        </w:numPr>
        <w:autoSpaceDE w:val="0"/>
        <w:autoSpaceDN w:val="0"/>
        <w:adjustRightInd w:val="0"/>
        <w:spacing w:before="240" w:after="160" w:line="360" w:lineRule="auto"/>
        <w:jc w:val="both"/>
        <w:rPr>
          <w:rFonts w:ascii="Palatino Linotype" w:hAnsi="Palatino Linotype" w:cs="Arial"/>
          <w:b/>
          <w:bCs/>
          <w:lang w:val="es-MX"/>
        </w:rPr>
      </w:pPr>
      <w:r>
        <w:rPr>
          <w:rFonts w:ascii="Palatino Linotype" w:hAnsi="Palatino Linotype" w:cs="Arial"/>
          <w:b/>
          <w:bCs/>
          <w:lang w:val="es-MX"/>
        </w:rPr>
        <w:t xml:space="preserve">“RESPUESTA UIPPE 039-2025.pdf”: </w:t>
      </w:r>
      <w:r>
        <w:rPr>
          <w:rFonts w:ascii="Palatino Linotype" w:hAnsi="Palatino Linotype" w:cs="Arial"/>
          <w:lang w:val="es-MX"/>
        </w:rPr>
        <w:t xml:space="preserve">Oficio número </w:t>
      </w:r>
      <w:r>
        <w:rPr>
          <w:rFonts w:ascii="Palatino Linotype" w:hAnsi="Palatino Linotype" w:cs="Arial"/>
          <w:b/>
          <w:bCs/>
          <w:lang w:val="es-MX"/>
        </w:rPr>
        <w:t xml:space="preserve">200B10100/254/2025 </w:t>
      </w:r>
      <w:r>
        <w:rPr>
          <w:rFonts w:ascii="Palatino Linotype" w:hAnsi="Palatino Linotype" w:cs="Arial"/>
          <w:lang w:val="es-MX"/>
        </w:rPr>
        <w:t xml:space="preserve">signado por el titular de la unidad de información, planeación, programación y evaluación del sistema DIF, dirigido al solicitante, de fecha once de febrero de </w:t>
      </w:r>
      <w:r>
        <w:rPr>
          <w:rFonts w:ascii="Palatino Linotype" w:hAnsi="Palatino Linotype" w:cs="Arial"/>
          <w:lang w:val="es-MX"/>
        </w:rPr>
        <w:lastRenderedPageBreak/>
        <w:t>dos mil veinticinco, refiere adjuntar oficio emitido por el servidor público habilitado.</w:t>
      </w:r>
    </w:p>
    <w:p w14:paraId="64CE3EC1" w14:textId="77777777" w:rsidR="006946CE" w:rsidRDefault="006946CE" w:rsidP="006946CE">
      <w:pPr>
        <w:pStyle w:val="Prrafodelista"/>
        <w:autoSpaceDE w:val="0"/>
        <w:autoSpaceDN w:val="0"/>
        <w:adjustRightInd w:val="0"/>
        <w:spacing w:before="240" w:after="160" w:line="360" w:lineRule="auto"/>
        <w:ind w:left="720"/>
        <w:jc w:val="both"/>
        <w:rPr>
          <w:rFonts w:ascii="Palatino Linotype" w:hAnsi="Palatino Linotype" w:cs="Arial"/>
          <w:b/>
          <w:bCs/>
          <w:lang w:val="es-MX"/>
        </w:rPr>
      </w:pPr>
    </w:p>
    <w:p w14:paraId="3382090B" w14:textId="3F50A438" w:rsidR="00BD0628" w:rsidRPr="00BD0628" w:rsidRDefault="00BD0628" w:rsidP="008D3F0E">
      <w:pPr>
        <w:pStyle w:val="Prrafodelista"/>
        <w:numPr>
          <w:ilvl w:val="0"/>
          <w:numId w:val="8"/>
        </w:numPr>
        <w:autoSpaceDE w:val="0"/>
        <w:autoSpaceDN w:val="0"/>
        <w:adjustRightInd w:val="0"/>
        <w:spacing w:before="240" w:after="160" w:line="360" w:lineRule="auto"/>
        <w:jc w:val="both"/>
        <w:rPr>
          <w:rFonts w:ascii="Palatino Linotype" w:hAnsi="Palatino Linotype" w:cs="Arial"/>
          <w:b/>
          <w:bCs/>
          <w:lang w:val="es-MX"/>
        </w:rPr>
      </w:pPr>
      <w:r>
        <w:rPr>
          <w:rFonts w:ascii="Palatino Linotype" w:hAnsi="Palatino Linotype" w:cs="Arial"/>
          <w:b/>
          <w:bCs/>
          <w:lang w:val="es-MX"/>
        </w:rPr>
        <w:t xml:space="preserve">“RESPUESTA SPH 039-2025.pdf”: </w:t>
      </w:r>
      <w:r>
        <w:rPr>
          <w:rFonts w:ascii="Palatino Linotype" w:hAnsi="Palatino Linotype" w:cs="Arial"/>
          <w:lang w:val="es-MX"/>
        </w:rPr>
        <w:t xml:space="preserve">Oficio número </w:t>
      </w:r>
      <w:r>
        <w:rPr>
          <w:rFonts w:ascii="Palatino Linotype" w:hAnsi="Palatino Linotype" w:cs="Arial"/>
          <w:b/>
          <w:bCs/>
          <w:lang w:val="es-MX"/>
        </w:rPr>
        <w:t xml:space="preserve">200B10900/201/2025 </w:t>
      </w:r>
      <w:r>
        <w:rPr>
          <w:rFonts w:ascii="Palatino Linotype" w:hAnsi="Palatino Linotype" w:cs="Arial"/>
          <w:lang w:val="es-MX"/>
        </w:rPr>
        <w:t xml:space="preserve">signado por el director de administración y tesorería, dirigido a la titular de la unidad de información, planeación, programación y planeación, de fecha once de febrero de dos mil veinticinco, en términos generales orienta al portal IPOMEX, fracción XXIX “Resultados de procedimientos de adjudicación directa, licitación pública e invitación restringida”, proporcionando liga electrónica en formato cerrado. </w:t>
      </w:r>
    </w:p>
    <w:p w14:paraId="6A61A7E4" w14:textId="77777777" w:rsidR="00332DD6" w:rsidRDefault="00332DD6" w:rsidP="0020194E">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704CC751" w14:textId="1EDB389B" w:rsidR="00EB0F85" w:rsidRPr="00B3513A" w:rsidRDefault="00EB0F85" w:rsidP="00EB0F85">
      <w:pPr>
        <w:tabs>
          <w:tab w:val="left" w:pos="709"/>
        </w:tabs>
        <w:spacing w:before="240" w:line="360" w:lineRule="auto"/>
        <w:ind w:right="51"/>
        <w:jc w:val="both"/>
        <w:rPr>
          <w:rFonts w:ascii="Palatino Linotype" w:hAnsi="Palatino Linotype"/>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 se quier</w:t>
      </w:r>
      <w:r w:rsidR="009D5B6D">
        <w:rPr>
          <w:rFonts w:ascii="Palatino Linotype" w:hAnsi="Palatino Linotype" w:cs="Arial"/>
          <w:sz w:val="24"/>
          <w:szCs w:val="24"/>
        </w:rPr>
        <w:t>e</w:t>
      </w:r>
      <w:r w:rsidRPr="00B3513A">
        <w:rPr>
          <w:rFonts w:ascii="Palatino Linotype" w:hAnsi="Palatino Linotype" w:cs="Arial"/>
          <w:sz w:val="24"/>
          <w:szCs w:val="24"/>
        </w:rPr>
        <w:t xml:space="preserve"> con ello significar que </w:t>
      </w:r>
      <w:r w:rsidRPr="00B3513A">
        <w:rPr>
          <w:rFonts w:ascii="Palatino Linotype" w:hAnsi="Palatino Linotype"/>
          <w:b/>
          <w:bCs/>
          <w:sz w:val="24"/>
          <w:szCs w:val="24"/>
        </w:rPr>
        <w:t xml:space="preserve">El Sujeto Obligado </w:t>
      </w:r>
      <w:r w:rsidR="00BD0628">
        <w:rPr>
          <w:rFonts w:ascii="Palatino Linotype" w:hAnsi="Palatino Linotype"/>
          <w:sz w:val="24"/>
          <w:szCs w:val="24"/>
        </w:rPr>
        <w:t>observo</w:t>
      </w:r>
      <w:r w:rsidRPr="00B3513A">
        <w:rPr>
          <w:rFonts w:ascii="Palatino Linotype" w:hAnsi="Palatino Linotype"/>
          <w:sz w:val="24"/>
          <w:szCs w:val="24"/>
        </w:rPr>
        <w:t xml:space="preserve"> el numeral 162 de la Ley de Transparencia local, cuyo contenido literal es el siguiente:</w:t>
      </w:r>
    </w:p>
    <w:p w14:paraId="4C8757B3" w14:textId="77777777" w:rsidR="00EB0F85" w:rsidRPr="00FE103B" w:rsidRDefault="00EB0F85" w:rsidP="00EB0F85">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1CA7D6A8" w14:textId="7F3C4FCE" w:rsidR="00EB0F85" w:rsidRDefault="00EB0F85" w:rsidP="0020194E">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7A561E3A" w14:textId="77777777" w:rsidR="00BA367A" w:rsidRPr="00D70EC5" w:rsidRDefault="008778CE" w:rsidP="00BA367A">
      <w:pPr>
        <w:spacing w:line="360" w:lineRule="auto"/>
        <w:jc w:val="both"/>
        <w:rPr>
          <w:rFonts w:ascii="Palatino Linotype" w:hAnsi="Palatino Linotype"/>
          <w:sz w:val="24"/>
          <w:szCs w:val="24"/>
        </w:rPr>
      </w:pPr>
      <w:r w:rsidRPr="008778CE">
        <w:rPr>
          <w:rFonts w:ascii="Palatino Linotype" w:hAnsi="Palatino Linotype" w:cs="Arial"/>
          <w:sz w:val="24"/>
          <w:szCs w:val="24"/>
        </w:rPr>
        <w:lastRenderedPageBreak/>
        <w:t xml:space="preserve">Adicionalmente, debe arribarse a la </w:t>
      </w:r>
      <w:r w:rsidRPr="008778CE">
        <w:rPr>
          <w:rFonts w:ascii="Palatino Linotype" w:hAnsi="Palatino Linotype" w:cs="Arial"/>
          <w:color w:val="000000"/>
          <w:sz w:val="24"/>
          <w:szCs w:val="24"/>
          <w:lang w:val="es-ES_tradnl"/>
        </w:rPr>
        <w:t xml:space="preserve">premisa de que, </w:t>
      </w:r>
      <w:r w:rsidR="00BA367A" w:rsidRPr="00280F8A">
        <w:rPr>
          <w:rFonts w:ascii="Palatino Linotype" w:hAnsi="Palatino Linotype"/>
          <w:sz w:val="24"/>
          <w:szCs w:val="24"/>
        </w:rPr>
        <w:t xml:space="preserve">para tener acceso a las ligas proporcionadas es seria necesario capturar la dirección electrónica carácter por carácter, ya que el documento digitalizado a través del cual se proporcionó las ligas no permite editar, modificar o procesar su contenido, </w:t>
      </w:r>
      <w:r w:rsidR="00BA367A" w:rsidRPr="00D70EC5">
        <w:rPr>
          <w:rFonts w:ascii="Palatino Linotype" w:hAnsi="Palatino Linotype"/>
          <w:sz w:val="24"/>
          <w:szCs w:val="24"/>
        </w:rPr>
        <w:t xml:space="preserve">asimismo, es imprescindible mencionar que dicha liga electrónica está compuesta por diversos caracteres, así como por mayúsculas y minúsculas, por lo que no es posible distinguir, por ejemplo, entre el carácter “i” mayúscula del carácter “L” minúscula entre otras además que una de ellas se encuentra borrosa. </w:t>
      </w:r>
    </w:p>
    <w:p w14:paraId="54D28FC7" w14:textId="77777777" w:rsidR="00BA367A" w:rsidRPr="00D70EC5" w:rsidRDefault="00BA367A" w:rsidP="00BA367A">
      <w:pPr>
        <w:spacing w:line="360" w:lineRule="auto"/>
        <w:jc w:val="both"/>
        <w:rPr>
          <w:rFonts w:ascii="Palatino Linotype" w:hAnsi="Palatino Linotype"/>
          <w:sz w:val="24"/>
          <w:szCs w:val="24"/>
          <w:lang w:eastAsia="es-MX"/>
        </w:rPr>
      </w:pPr>
      <w:r w:rsidRPr="00D70EC5">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2CE2B71C" w14:textId="77777777" w:rsidR="00BA367A" w:rsidRPr="00D70EC5" w:rsidRDefault="00BA367A" w:rsidP="00BA367A">
      <w:pPr>
        <w:spacing w:line="360" w:lineRule="auto"/>
        <w:jc w:val="both"/>
        <w:rPr>
          <w:rFonts w:ascii="Palatino Linotype" w:hAnsi="Palatino Linotype" w:cs="Tahoma"/>
          <w:b/>
          <w:bCs/>
          <w:i/>
          <w:sz w:val="24"/>
          <w:szCs w:val="24"/>
        </w:rPr>
      </w:pPr>
      <w:r w:rsidRPr="00D70EC5">
        <w:rPr>
          <w:rFonts w:ascii="Palatino Linotype" w:eastAsia="Calibri" w:hAnsi="Palatino Linotype" w:cs="Tahoma"/>
          <w:bCs/>
          <w:sz w:val="24"/>
          <w:szCs w:val="24"/>
        </w:rPr>
        <w:t xml:space="preserve">Derivado de lo anterior, se considera necesario precisar que datos abiertos, conforme a la </w:t>
      </w:r>
      <w:r w:rsidRPr="00D70EC5">
        <w:rPr>
          <w:rFonts w:ascii="Palatino Linotype" w:hAnsi="Palatino Linotype" w:cs="Tahoma"/>
          <w:bCs/>
          <w:sz w:val="24"/>
          <w:szCs w:val="24"/>
        </w:rPr>
        <w:t>Carta Internacional de Datos Abiertos</w:t>
      </w:r>
      <w:r w:rsidRPr="00D70EC5">
        <w:rPr>
          <w:rStyle w:val="Refdenotaalpie"/>
          <w:rFonts w:ascii="Palatino Linotype" w:hAnsi="Palatino Linotype" w:cs="Tahoma"/>
          <w:bCs/>
          <w:sz w:val="24"/>
          <w:szCs w:val="24"/>
        </w:rPr>
        <w:footnoteReference w:id="1"/>
      </w:r>
      <w:r w:rsidRPr="00D70EC5">
        <w:rPr>
          <w:rFonts w:ascii="Palatino Linotype" w:eastAsia="Calibri" w:hAnsi="Palatino Linotype" w:cs="Tahoma"/>
          <w:bCs/>
          <w:sz w:val="24"/>
          <w:szCs w:val="24"/>
        </w:rPr>
        <w:t xml:space="preserve"> </w:t>
      </w:r>
      <w:r w:rsidRPr="00D70EC5">
        <w:rPr>
          <w:rFonts w:ascii="Palatino Linotype" w:hAnsi="Palatino Linotype" w:cs="Tahoma"/>
          <w:bCs/>
          <w:i/>
          <w:sz w:val="24"/>
          <w:szCs w:val="24"/>
        </w:rPr>
        <w:t xml:space="preserve">son datos digitales que son puestos a disposición con las características técnicas y jurídicas necesarias para que </w:t>
      </w:r>
      <w:r w:rsidRPr="00D70EC5">
        <w:rPr>
          <w:rFonts w:ascii="Palatino Linotype" w:hAnsi="Palatino Linotype" w:cs="Tahoma"/>
          <w:b/>
          <w:bCs/>
          <w:i/>
          <w:sz w:val="24"/>
          <w:szCs w:val="24"/>
        </w:rPr>
        <w:t xml:space="preserve">puedan ser </w:t>
      </w:r>
      <w:r w:rsidRPr="00D70EC5">
        <w:rPr>
          <w:rFonts w:ascii="Palatino Linotype" w:hAnsi="Palatino Linotype" w:cs="Tahoma"/>
          <w:b/>
          <w:bCs/>
          <w:i/>
          <w:sz w:val="24"/>
          <w:szCs w:val="24"/>
          <w:u w:val="single"/>
        </w:rPr>
        <w:t>usados, reutilizados y redistribuidos</w:t>
      </w:r>
      <w:r w:rsidRPr="00D70EC5">
        <w:rPr>
          <w:rFonts w:ascii="Palatino Linotype" w:hAnsi="Palatino Linotype" w:cs="Tahoma"/>
          <w:b/>
          <w:bCs/>
          <w:i/>
          <w:sz w:val="24"/>
          <w:szCs w:val="24"/>
        </w:rPr>
        <w:t xml:space="preserve"> libremente por cualquier persona, en cualquier momento y en cualquier lugar.</w:t>
      </w:r>
    </w:p>
    <w:p w14:paraId="109783A4" w14:textId="77777777" w:rsidR="00BA367A" w:rsidRPr="00D70EC5" w:rsidRDefault="00BA367A" w:rsidP="00BA367A">
      <w:pPr>
        <w:spacing w:line="360" w:lineRule="auto"/>
        <w:jc w:val="both"/>
        <w:rPr>
          <w:rFonts w:ascii="Palatino Linotype" w:hAnsi="Palatino Linotype"/>
          <w:sz w:val="24"/>
          <w:szCs w:val="24"/>
          <w:lang w:eastAsia="es-MX"/>
        </w:rPr>
      </w:pPr>
      <w:r w:rsidRPr="00D70EC5">
        <w:rPr>
          <w:rFonts w:ascii="Palatino Linotype" w:hAnsi="Palatino Linotype"/>
          <w:sz w:val="24"/>
          <w:szCs w:val="24"/>
          <w:lang w:eastAsia="es-MX"/>
        </w:rPr>
        <w:t xml:space="preserve">En ese contexto, el artículo 3°, fracción VI y X, de la Ley General de Transparencia y Acceso a la Información Pública, con relación, al diverso 3°, fracciones VIII y XVI de la </w:t>
      </w:r>
      <w:r w:rsidRPr="00D70EC5">
        <w:rPr>
          <w:rFonts w:ascii="Palatino Linotype" w:hAnsi="Palatino Linotype"/>
          <w:sz w:val="24"/>
          <w:szCs w:val="24"/>
          <w:lang w:eastAsia="es-MX"/>
        </w:rPr>
        <w:lastRenderedPageBreak/>
        <w:t>Ley de Transparencia y Acceso a la Información Pública del Estado de México y Municipios, precisan lo siguiente:</w:t>
      </w:r>
    </w:p>
    <w:p w14:paraId="1FA1F595" w14:textId="77777777" w:rsidR="00BA367A" w:rsidRPr="00280F8A" w:rsidRDefault="00BA367A" w:rsidP="00BA367A">
      <w:pPr>
        <w:pStyle w:val="Citas"/>
      </w:pPr>
      <w:r w:rsidRPr="00D70EC5">
        <w:rPr>
          <w:b/>
          <w:bCs/>
        </w:rPr>
        <w:t>“ Dato abierto</w:t>
      </w:r>
      <w:r w:rsidRPr="00280F8A">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3572827" w14:textId="77777777" w:rsidR="00BA367A" w:rsidRPr="00280F8A" w:rsidRDefault="00BA367A" w:rsidP="00BA367A">
      <w:pPr>
        <w:pStyle w:val="Citas"/>
      </w:pPr>
      <w:r w:rsidRPr="00D70EC5">
        <w:rPr>
          <w:b/>
          <w:bCs/>
        </w:rPr>
        <w:t>Formato accesible:</w:t>
      </w:r>
      <w:r w:rsidRPr="00280F8A">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1AC1D88" w14:textId="77777777" w:rsidR="00BA367A" w:rsidRPr="00920AAE" w:rsidRDefault="00BA367A" w:rsidP="00BA367A">
      <w:pPr>
        <w:spacing w:line="360" w:lineRule="auto"/>
        <w:ind w:left="720"/>
        <w:jc w:val="both"/>
        <w:rPr>
          <w:rFonts w:ascii="Palatino Linotype" w:hAnsi="Palatino Linotype"/>
          <w:i/>
          <w:lang w:eastAsia="es-MX"/>
        </w:rPr>
      </w:pPr>
    </w:p>
    <w:p w14:paraId="22F5E18B" w14:textId="77777777" w:rsidR="00BA367A" w:rsidRDefault="00BA367A" w:rsidP="00BA367A">
      <w:pPr>
        <w:spacing w:line="360" w:lineRule="auto"/>
        <w:jc w:val="both"/>
        <w:rPr>
          <w:rFonts w:ascii="Palatino Linotype" w:hAnsi="Palatino Linotype" w:cs="Tahoma"/>
          <w:bCs/>
          <w:sz w:val="24"/>
          <w:szCs w:val="24"/>
        </w:rPr>
      </w:pPr>
      <w:r w:rsidRPr="00D70EC5">
        <w:rPr>
          <w:rFonts w:ascii="Palatino Linotype" w:hAnsi="Palatino Linotype" w:cs="Tahoma"/>
          <w:bCs/>
          <w:sz w:val="24"/>
          <w:szCs w:val="24"/>
        </w:rPr>
        <w:t xml:space="preserve">En este sentido, los datos abiertos cumplen con la finalidad de poder ser utilizados, </w:t>
      </w:r>
      <w:r w:rsidRPr="00D70EC5">
        <w:rPr>
          <w:rFonts w:ascii="Palatino Linotype" w:hAnsi="Palatino Linotype" w:cs="Tahoma"/>
          <w:b/>
          <w:bCs/>
          <w:sz w:val="24"/>
          <w:szCs w:val="24"/>
          <w:u w:val="single"/>
        </w:rPr>
        <w:t xml:space="preserve">reutilizados </w:t>
      </w:r>
      <w:r w:rsidRPr="00D70EC5">
        <w:rPr>
          <w:rFonts w:ascii="Palatino Linotype" w:hAnsi="Palatino Linotype" w:cs="Tahoma"/>
          <w:bCs/>
          <w:sz w:val="24"/>
          <w:szCs w:val="24"/>
        </w:rPr>
        <w:t xml:space="preserve">y redistribuidos; y que el formato de datos abiertos, </w:t>
      </w:r>
      <w:r w:rsidRPr="00D70EC5">
        <w:rPr>
          <w:rFonts w:ascii="Palatino Linotype" w:hAnsi="Palatino Linotype" w:cs="Tahoma"/>
          <w:b/>
          <w:bCs/>
          <w:sz w:val="24"/>
          <w:szCs w:val="24"/>
        </w:rPr>
        <w:t>debe permitir la aplicación y reproducción</w:t>
      </w:r>
      <w:r w:rsidRPr="00D70EC5">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w:t>
      </w:r>
      <w:r>
        <w:rPr>
          <w:rFonts w:ascii="Palatino Linotype" w:hAnsi="Palatino Linotype" w:cs="Tahoma"/>
          <w:bCs/>
          <w:sz w:val="24"/>
          <w:szCs w:val="24"/>
        </w:rPr>
        <w:t>los</w:t>
      </w:r>
      <w:r w:rsidRPr="00D70EC5">
        <w:rPr>
          <w:rFonts w:ascii="Palatino Linotype" w:hAnsi="Palatino Linotype" w:cs="Tahoma"/>
          <w:bCs/>
          <w:sz w:val="24"/>
          <w:szCs w:val="24"/>
        </w:rPr>
        <w:t xml:space="preserve"> documento</w:t>
      </w:r>
      <w:r>
        <w:rPr>
          <w:rFonts w:ascii="Palatino Linotype" w:hAnsi="Palatino Linotype" w:cs="Tahoma"/>
          <w:bCs/>
          <w:sz w:val="24"/>
          <w:szCs w:val="24"/>
        </w:rPr>
        <w:t>s</w:t>
      </w:r>
      <w:r w:rsidRPr="00D70EC5">
        <w:rPr>
          <w:rFonts w:ascii="Palatino Linotype" w:hAnsi="Palatino Linotype" w:cs="Tahoma"/>
          <w:bCs/>
          <w:sz w:val="24"/>
          <w:szCs w:val="24"/>
        </w:rPr>
        <w:t xml:space="preserve"> entregado</w:t>
      </w:r>
      <w:r>
        <w:rPr>
          <w:rFonts w:ascii="Palatino Linotype" w:hAnsi="Palatino Linotype" w:cs="Tahoma"/>
          <w:bCs/>
          <w:sz w:val="24"/>
          <w:szCs w:val="24"/>
        </w:rPr>
        <w:t>s</w:t>
      </w:r>
      <w:r w:rsidRPr="00D70EC5">
        <w:rPr>
          <w:rFonts w:ascii="Palatino Linotype" w:hAnsi="Palatino Linotype" w:cs="Tahoma"/>
          <w:bCs/>
          <w:sz w:val="24"/>
          <w:szCs w:val="24"/>
        </w:rPr>
        <w:t xml:space="preserve"> en formato pdf, no permite</w:t>
      </w:r>
      <w:r>
        <w:rPr>
          <w:rFonts w:ascii="Palatino Linotype" w:hAnsi="Palatino Linotype" w:cs="Tahoma"/>
          <w:bCs/>
          <w:sz w:val="24"/>
          <w:szCs w:val="24"/>
        </w:rPr>
        <w:t>n</w:t>
      </w:r>
      <w:r w:rsidRPr="00D70EC5">
        <w:rPr>
          <w:rFonts w:ascii="Palatino Linotype" w:hAnsi="Palatino Linotype" w:cs="Tahoma"/>
          <w:bCs/>
          <w:sz w:val="24"/>
          <w:szCs w:val="24"/>
        </w:rPr>
        <w:t xml:space="preserve"> seleccionar texto, copiarlo y pegarlo; por tanto, tampoco permite que la información pueda ser utilizada, reutilizada o redistribuida</w:t>
      </w:r>
      <w:r>
        <w:rPr>
          <w:rFonts w:ascii="Palatino Linotype" w:hAnsi="Palatino Linotype" w:cs="Tahoma"/>
          <w:bCs/>
          <w:sz w:val="24"/>
          <w:szCs w:val="24"/>
        </w:rPr>
        <w:t>, a tal grado que no resulta posible verificar el contenido de todas las ligas electrónicas, incluso si se intentan reproducir manualmente.</w:t>
      </w:r>
    </w:p>
    <w:p w14:paraId="56968AD7" w14:textId="6B504314" w:rsidR="00C72715" w:rsidRPr="00BA367A" w:rsidRDefault="00BA367A" w:rsidP="00BA367A">
      <w:pPr>
        <w:spacing w:after="240" w:line="360" w:lineRule="auto"/>
        <w:jc w:val="both"/>
        <w:rPr>
          <w:rFonts w:ascii="Palatino Linotype" w:hAnsi="Palatino Linotype"/>
          <w:sz w:val="24"/>
          <w:szCs w:val="24"/>
        </w:rPr>
      </w:pPr>
      <w:r w:rsidRPr="00BA367A">
        <w:rPr>
          <w:rFonts w:ascii="Palatino Linotype" w:hAnsi="Palatino Linotype" w:cs="Arial"/>
          <w:color w:val="000000"/>
          <w:sz w:val="24"/>
          <w:szCs w:val="24"/>
        </w:rPr>
        <w:lastRenderedPageBreak/>
        <w:t xml:space="preserve">En este sentido, se comprende que, si bien es cierto que mediante respuesta primigenia </w:t>
      </w:r>
      <w:r w:rsidRPr="00BA367A">
        <w:rPr>
          <w:rFonts w:ascii="Palatino Linotype" w:hAnsi="Palatino Linotype" w:cs="Arial"/>
          <w:b/>
          <w:bCs/>
          <w:color w:val="000000"/>
          <w:sz w:val="24"/>
          <w:szCs w:val="24"/>
        </w:rPr>
        <w:t xml:space="preserve">El Sujeto Obligado </w:t>
      </w:r>
      <w:r w:rsidRPr="00BA367A">
        <w:rPr>
          <w:rFonts w:ascii="Palatino Linotype" w:hAnsi="Palatino Linotype" w:cs="Arial"/>
          <w:color w:val="000000"/>
          <w:sz w:val="24"/>
          <w:szCs w:val="24"/>
        </w:rPr>
        <w:t xml:space="preserve">proporcionó una liga electrónica que remite a la fracción </w:t>
      </w:r>
      <w:r w:rsidRPr="00BA367A">
        <w:rPr>
          <w:rFonts w:ascii="Palatino Linotype" w:hAnsi="Palatino Linotype" w:cs="Arial"/>
          <w:sz w:val="24"/>
          <w:szCs w:val="24"/>
        </w:rPr>
        <w:t>XXIX “Resultados de procedimientos de adjudicación directa, licitación pública e invitación restringida”,</w:t>
      </w:r>
      <w:r w:rsidRPr="00BA367A">
        <w:rPr>
          <w:rFonts w:ascii="Palatino Linotype" w:hAnsi="Palatino Linotype" w:cs="Arial"/>
          <w:color w:val="000000"/>
          <w:sz w:val="24"/>
          <w:szCs w:val="24"/>
        </w:rPr>
        <w:t xml:space="preserve"> de su portal </w:t>
      </w:r>
      <w:r w:rsidRPr="004A2F99">
        <w:rPr>
          <w:rFonts w:ascii="Palatino Linotype" w:hAnsi="Palatino Linotype" w:cs="Arial"/>
          <w:b/>
          <w:bCs/>
          <w:color w:val="000000"/>
          <w:sz w:val="24"/>
          <w:szCs w:val="24"/>
        </w:rPr>
        <w:t>IPOMEX,</w:t>
      </w:r>
      <w:r w:rsidRPr="00BA367A">
        <w:rPr>
          <w:rFonts w:ascii="Palatino Linotype" w:hAnsi="Palatino Linotype" w:cs="Arial"/>
          <w:color w:val="000000"/>
          <w:sz w:val="24"/>
          <w:szCs w:val="24"/>
        </w:rPr>
        <w:t xml:space="preserve"> lo cierto también es que la liga no refleja datos abiertos o un hipervínculo, </w:t>
      </w:r>
      <w:r w:rsidR="00C72715" w:rsidRPr="00BA367A">
        <w:rPr>
          <w:rFonts w:ascii="Palatino Linotype" w:hAnsi="Palatino Linotype"/>
          <w:sz w:val="24"/>
          <w:szCs w:val="24"/>
        </w:rPr>
        <w:t>sirve de sustento la siguiente imagen ilustrativa:</w:t>
      </w:r>
    </w:p>
    <w:p w14:paraId="017C8B37" w14:textId="32CF323B" w:rsidR="00EB0F85" w:rsidRPr="00784999" w:rsidRDefault="00C72715" w:rsidP="00EB0F85">
      <w:pPr>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808767" behindDoc="0" locked="0" layoutInCell="1" allowOverlap="1" wp14:anchorId="6518207F" wp14:editId="51C6CDEF">
            <wp:simplePos x="0" y="0"/>
            <wp:positionH relativeFrom="page">
              <wp:align>center</wp:align>
            </wp:positionH>
            <wp:positionV relativeFrom="paragraph">
              <wp:posOffset>267970</wp:posOffset>
            </wp:positionV>
            <wp:extent cx="5753100" cy="1295400"/>
            <wp:effectExtent l="19050" t="19050" r="19050" b="19050"/>
            <wp:wrapThrough wrapText="bothSides">
              <wp:wrapPolygon edited="0">
                <wp:start x="-72" y="-318"/>
                <wp:lineTo x="-72" y="21600"/>
                <wp:lineTo x="21600" y="21600"/>
                <wp:lineTo x="21600" y="-318"/>
                <wp:lineTo x="-72" y="-318"/>
              </wp:wrapPolygon>
            </wp:wrapThrough>
            <wp:docPr id="1082876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295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B0F85">
        <w:rPr>
          <w:rFonts w:ascii="Palatino Linotype" w:hAnsi="Palatino Linotype"/>
          <w:sz w:val="24"/>
          <w:szCs w:val="24"/>
        </w:rPr>
        <w:t xml:space="preserve"> </w:t>
      </w:r>
    </w:p>
    <w:p w14:paraId="7E2ED33E" w14:textId="77777777" w:rsidR="001D1BE8" w:rsidRDefault="001D1BE8" w:rsidP="004C4E08">
      <w:pPr>
        <w:spacing w:after="0" w:line="360" w:lineRule="auto"/>
        <w:jc w:val="both"/>
        <w:rPr>
          <w:rFonts w:ascii="Palatino Linotype" w:hAnsi="Palatino Linotype" w:cs="Arial"/>
          <w:color w:val="000000"/>
          <w:sz w:val="24"/>
          <w:szCs w:val="24"/>
          <w:lang w:val="es-ES_tradnl"/>
        </w:rPr>
      </w:pPr>
    </w:p>
    <w:p w14:paraId="49214359" w14:textId="4CF8C1C7" w:rsidR="004C4E08" w:rsidRPr="004C4E08" w:rsidRDefault="004C4E08" w:rsidP="004C4E08">
      <w:pPr>
        <w:spacing w:after="0" w:line="360" w:lineRule="auto"/>
        <w:jc w:val="both"/>
        <w:rPr>
          <w:rFonts w:ascii="Palatino Linotype" w:hAnsi="Palatino Linotype" w:cs="Arial"/>
          <w:i/>
          <w:iCs/>
          <w:color w:val="000000"/>
          <w:sz w:val="24"/>
          <w:szCs w:val="24"/>
          <w:lang w:val="es-ES_tradnl"/>
        </w:rPr>
      </w:pPr>
      <w:r w:rsidRPr="004C4E08">
        <w:rPr>
          <w:rFonts w:ascii="Palatino Linotype" w:hAnsi="Palatino Linotype" w:cs="Arial"/>
          <w:color w:val="000000"/>
          <w:sz w:val="24"/>
          <w:szCs w:val="24"/>
          <w:lang w:val="es-ES_tradnl"/>
        </w:rPr>
        <w:t xml:space="preserve">En función de lo planteado, resulta óbice señalar que la orientación proporcionada no puede tenerse por válida para satisfacer el derecho de acceso a la información pública, en virtud de que la fuente no es precisa, ya que </w:t>
      </w:r>
      <w:r w:rsidR="00C72715">
        <w:rPr>
          <w:rFonts w:ascii="Palatino Linotype" w:hAnsi="Palatino Linotype" w:cs="Arial"/>
          <w:color w:val="000000"/>
          <w:sz w:val="24"/>
          <w:szCs w:val="24"/>
          <w:lang w:val="es-ES_tradnl"/>
        </w:rPr>
        <w:t xml:space="preserve">requiere que el particular capture la liga electrónica e incluso realice una búsqueda entre todos los registros disponibles. </w:t>
      </w:r>
    </w:p>
    <w:p w14:paraId="4D2EB5F3" w14:textId="77777777" w:rsidR="004C4E08" w:rsidRPr="004C4E08" w:rsidRDefault="004C4E08" w:rsidP="004C4E08">
      <w:pPr>
        <w:spacing w:after="0" w:line="360" w:lineRule="auto"/>
        <w:jc w:val="both"/>
        <w:rPr>
          <w:rFonts w:ascii="Palatino Linotype" w:hAnsi="Palatino Linotype" w:cs="Arial"/>
          <w:color w:val="000000"/>
          <w:sz w:val="24"/>
          <w:szCs w:val="24"/>
          <w:lang w:val="es-ES_tradnl"/>
        </w:rPr>
      </w:pPr>
    </w:p>
    <w:p w14:paraId="3AF23967" w14:textId="77777777" w:rsidR="004C4E08" w:rsidRPr="004C4E08" w:rsidRDefault="004C4E08" w:rsidP="004C4E08">
      <w:pPr>
        <w:spacing w:after="0" w:line="360" w:lineRule="auto"/>
        <w:jc w:val="both"/>
        <w:rPr>
          <w:rFonts w:ascii="Palatino Linotype" w:hAnsi="Palatino Linotype" w:cs="Arial"/>
          <w:color w:val="000000"/>
          <w:sz w:val="24"/>
          <w:szCs w:val="24"/>
          <w:lang w:val="es-ES_tradnl"/>
        </w:rPr>
      </w:pPr>
      <w:r w:rsidRPr="004C4E08">
        <w:rPr>
          <w:rFonts w:ascii="Palatino Linotype" w:hAnsi="Palatino Linotype" w:cs="Arial"/>
          <w:color w:val="000000"/>
          <w:sz w:val="24"/>
          <w:szCs w:val="24"/>
          <w:lang w:val="es-ES_tradnl"/>
        </w:rPr>
        <w:t xml:space="preserve">Visto de esta forma, la respuesta primigenia rendida por </w:t>
      </w:r>
      <w:r w:rsidRPr="004C4E08">
        <w:rPr>
          <w:rFonts w:ascii="Palatino Linotype" w:hAnsi="Palatino Linotype" w:cs="Arial"/>
          <w:b/>
          <w:bCs/>
          <w:color w:val="000000"/>
          <w:sz w:val="24"/>
          <w:szCs w:val="24"/>
          <w:lang w:val="es-ES_tradnl"/>
        </w:rPr>
        <w:t xml:space="preserve">El Sujeto Obligado </w:t>
      </w:r>
      <w:r w:rsidRPr="004C4E08">
        <w:rPr>
          <w:rFonts w:ascii="Palatino Linotype" w:hAnsi="Palatino Linotype" w:cs="Arial"/>
          <w:color w:val="000000"/>
          <w:sz w:val="24"/>
          <w:szCs w:val="24"/>
          <w:lang w:val="es-ES_tradnl"/>
        </w:rPr>
        <w:t>inobserva el numeral 161 de la Ley de Transparencia y Acceso a la Información Pública del Estado de México y Municipios, cuyo contenido dispone a la literalidad lo siguiente:</w:t>
      </w:r>
    </w:p>
    <w:p w14:paraId="7990F7A9" w14:textId="77777777" w:rsidR="004C4E08" w:rsidRPr="00402D3F" w:rsidRDefault="004C4E08" w:rsidP="004C4E08">
      <w:pPr>
        <w:pStyle w:val="Citas"/>
        <w:rPr>
          <w:b/>
          <w:bCs/>
          <w:lang w:val="es-ES_tradnl"/>
        </w:rPr>
      </w:pPr>
      <w:r w:rsidRPr="004C4E08">
        <w:t xml:space="preserve">“Artículo 161. Cuando la información requerida por el solicitante ya esté disponible al público en medios impresos, tales como libros, compendios, trípticos, registros </w:t>
      </w:r>
      <w:r w:rsidRPr="004C4E08">
        <w:lastRenderedPageBreak/>
        <w:t xml:space="preserve">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4C4E08">
        <w:rPr>
          <w:b/>
          <w:bCs/>
          <w:u w:val="single"/>
        </w:rPr>
        <w:t>La fuente deberá ser precisa y concreta y no debe implicar que el solicitante realice una búsqueda en toda la información que se encuentre disponible.”</w:t>
      </w:r>
      <w:r w:rsidRPr="004C4E08">
        <w:t xml:space="preserve"> </w:t>
      </w:r>
      <w:r w:rsidRPr="004C4E08">
        <w:rPr>
          <w:b/>
          <w:bCs/>
        </w:rPr>
        <w:t>(Sic)</w:t>
      </w:r>
    </w:p>
    <w:p w14:paraId="5FBD7FFD" w14:textId="77777777" w:rsidR="004C4E08" w:rsidRDefault="004C4E08" w:rsidP="0020194E">
      <w:pPr>
        <w:pStyle w:val="Prrafodelista"/>
        <w:autoSpaceDE w:val="0"/>
        <w:autoSpaceDN w:val="0"/>
        <w:adjustRightInd w:val="0"/>
        <w:spacing w:before="240" w:after="160" w:line="360" w:lineRule="auto"/>
        <w:ind w:left="0"/>
        <w:jc w:val="both"/>
        <w:rPr>
          <w:rFonts w:ascii="Palatino Linotype" w:hAnsi="Palatino Linotype" w:cs="Arial"/>
          <w:b/>
          <w:bCs/>
          <w:lang w:val="es-MX"/>
        </w:rPr>
      </w:pPr>
    </w:p>
    <w:p w14:paraId="465EDE60" w14:textId="0CC5BA79" w:rsidR="00C72715" w:rsidRDefault="004C4E08" w:rsidP="004C4E08">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w:t>
      </w:r>
      <w:r w:rsidR="004A2F99">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6946CE">
        <w:rPr>
          <w:rFonts w:ascii="Palatino Linotype" w:hAnsi="Palatino Linotype"/>
          <w:b/>
          <w:bCs/>
          <w:sz w:val="24"/>
          <w:szCs w:val="24"/>
        </w:rPr>
        <w:t xml:space="preserve">once de febrero, </w:t>
      </w:r>
      <w:r w:rsidR="006946CE">
        <w:rPr>
          <w:rFonts w:ascii="Palatino Linotype" w:hAnsi="Palatino Linotype"/>
          <w:sz w:val="24"/>
          <w:szCs w:val="24"/>
        </w:rPr>
        <w:t xml:space="preserve">admitiéndose el </w:t>
      </w:r>
      <w:r w:rsidR="006946CE">
        <w:rPr>
          <w:rFonts w:ascii="Palatino Linotype" w:hAnsi="Palatino Linotype"/>
          <w:b/>
          <w:bCs/>
          <w:sz w:val="24"/>
          <w:szCs w:val="24"/>
        </w:rPr>
        <w:t xml:space="preserve">trece de febrero, ambos de dos mil veinticinco. </w:t>
      </w:r>
      <w:r w:rsidR="006946CE">
        <w:rPr>
          <w:rFonts w:ascii="Palatino Linotype" w:hAnsi="Palatino Linotype"/>
          <w:sz w:val="24"/>
          <w:szCs w:val="24"/>
        </w:rPr>
        <w:t xml:space="preserve">Señalando las siguientes manifestaciones: </w:t>
      </w:r>
    </w:p>
    <w:p w14:paraId="574A626E" w14:textId="77777777" w:rsidR="006946CE" w:rsidRDefault="006946CE" w:rsidP="006946CE">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5BAEFA83" w14:textId="77777777" w:rsidR="006946CE" w:rsidRPr="003406C5" w:rsidRDefault="006946CE" w:rsidP="006946CE">
      <w:pPr>
        <w:pStyle w:val="Citas"/>
        <w:rPr>
          <w:b/>
          <w:bCs/>
          <w:sz w:val="24"/>
        </w:rPr>
      </w:pPr>
      <w:r w:rsidRPr="00D31EFF">
        <w:t>“</w:t>
      </w:r>
      <w:r w:rsidRPr="00906CDA">
        <w:t>la respueta del sujeto obligado</w:t>
      </w:r>
      <w:r w:rsidRPr="00D31EFF">
        <w:t>”</w:t>
      </w:r>
      <w:r>
        <w:t xml:space="preserve"> </w:t>
      </w:r>
      <w:r>
        <w:rPr>
          <w:b/>
          <w:bCs/>
        </w:rPr>
        <w:t>(Sic)</w:t>
      </w:r>
    </w:p>
    <w:p w14:paraId="62CD6AA6" w14:textId="77777777" w:rsidR="006946CE" w:rsidRDefault="006946CE" w:rsidP="006946CE">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7D815431" w14:textId="77777777" w:rsidR="006946CE" w:rsidRPr="003406C5" w:rsidRDefault="006946CE" w:rsidP="006946CE">
      <w:pPr>
        <w:pStyle w:val="Citas"/>
        <w:rPr>
          <w:b/>
          <w:bCs/>
        </w:rPr>
      </w:pPr>
      <w:r w:rsidRPr="00D31EFF">
        <w:t>“</w:t>
      </w:r>
      <w:r w:rsidRPr="00906CDA">
        <w:t>no entrega toda la información</w:t>
      </w:r>
      <w:r w:rsidRPr="00D31EFF">
        <w:t>”</w:t>
      </w:r>
      <w:r>
        <w:t xml:space="preserve"> </w:t>
      </w:r>
      <w:r>
        <w:rPr>
          <w:b/>
          <w:bCs/>
        </w:rPr>
        <w:t>(Sic)</w:t>
      </w:r>
    </w:p>
    <w:p w14:paraId="2F364B39" w14:textId="77777777" w:rsidR="006946CE" w:rsidRPr="006946CE" w:rsidRDefault="006946CE" w:rsidP="004C4E08">
      <w:pPr>
        <w:spacing w:before="240" w:line="360" w:lineRule="auto"/>
        <w:jc w:val="both"/>
        <w:rPr>
          <w:rFonts w:ascii="Palatino Linotype" w:hAnsi="Palatino Linotype"/>
          <w:sz w:val="24"/>
          <w:szCs w:val="24"/>
        </w:rPr>
      </w:pPr>
    </w:p>
    <w:p w14:paraId="721D2311" w14:textId="3ED5375B" w:rsidR="004C4E08" w:rsidRDefault="004C4E08" w:rsidP="004C4E08">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sidR="006946CE">
        <w:rPr>
          <w:bCs/>
          <w:i w:val="0"/>
          <w:sz w:val="24"/>
          <w:szCs w:val="24"/>
        </w:rPr>
        <w:t xml:space="preserve">las manifestaciones expuestas por </w:t>
      </w:r>
      <w:r w:rsidR="006946CE">
        <w:rPr>
          <w:b/>
          <w:i w:val="0"/>
          <w:sz w:val="24"/>
          <w:szCs w:val="24"/>
        </w:rPr>
        <w:t xml:space="preserve">El Recurrente, </w:t>
      </w:r>
      <w:r w:rsidR="006946CE">
        <w:rPr>
          <w:bCs/>
          <w:i w:val="0"/>
          <w:sz w:val="24"/>
          <w:szCs w:val="24"/>
        </w:rPr>
        <w:t>son susceptibles de actualizar el artículo</w:t>
      </w:r>
      <w:r>
        <w:rPr>
          <w:rFonts w:cs="Arial"/>
          <w:i w:val="0"/>
          <w:noProof/>
          <w:color w:val="000000"/>
          <w:sz w:val="24"/>
          <w:lang w:eastAsia="es-MX"/>
        </w:rPr>
        <w:t xml:space="preserve"> 179</w:t>
      </w:r>
      <w:r w:rsidR="006946CE">
        <w:rPr>
          <w:rFonts w:cs="Arial"/>
          <w:i w:val="0"/>
          <w:noProof/>
          <w:color w:val="000000"/>
          <w:sz w:val="24"/>
          <w:lang w:eastAsia="es-MX"/>
        </w:rPr>
        <w:t xml:space="preserve"> fracciones I y V</w:t>
      </w:r>
      <w:r>
        <w:rPr>
          <w:rFonts w:cs="Arial"/>
          <w:i w:val="0"/>
          <w:noProof/>
          <w:color w:val="000000"/>
          <w:sz w:val="24"/>
          <w:lang w:eastAsia="es-MX"/>
        </w:rPr>
        <w:t xml:space="preserve"> de la Ley de Transparencia y Acceso a la Información Pública del Estado de México y Municipios, cuyo contenido literal es el siguiente:</w:t>
      </w:r>
    </w:p>
    <w:p w14:paraId="62D74420" w14:textId="77777777" w:rsidR="004C4E08" w:rsidRDefault="004C4E08" w:rsidP="004C4E08">
      <w:pPr>
        <w:pStyle w:val="Citas"/>
      </w:pPr>
      <w:r>
        <w:lastRenderedPageBreak/>
        <w:t>“Artículo 179. El recurso de revisión es un medio de protección que la Ley otorga a los particulares, para hacer valer su derecho de acceso a la información pública, y procederá en contra de las siguientes causas:</w:t>
      </w:r>
    </w:p>
    <w:p w14:paraId="775D70B0" w14:textId="77777777" w:rsidR="004C4E08" w:rsidRDefault="004C4E08" w:rsidP="004C4E08">
      <w:pPr>
        <w:pStyle w:val="Citas"/>
      </w:pPr>
      <w:r>
        <w:t>I. La negativa a la información solicitada;</w:t>
      </w:r>
    </w:p>
    <w:p w14:paraId="2936CFDE" w14:textId="77777777" w:rsidR="006946CE" w:rsidRDefault="004C4E08" w:rsidP="004C4E08">
      <w:pPr>
        <w:pStyle w:val="Citas"/>
        <w:rPr>
          <w:noProof/>
          <w:color w:val="000000"/>
          <w:sz w:val="24"/>
          <w:lang w:eastAsia="es-MX"/>
        </w:rPr>
      </w:pPr>
      <w:r>
        <w:rPr>
          <w:noProof/>
          <w:color w:val="000000"/>
          <w:sz w:val="24"/>
          <w:lang w:eastAsia="es-MX"/>
        </w:rPr>
        <w:t>(…)</w:t>
      </w:r>
    </w:p>
    <w:p w14:paraId="56B913CF" w14:textId="076A26C7" w:rsidR="004C4E08" w:rsidRPr="005A12AE" w:rsidRDefault="006946CE" w:rsidP="004C4E08">
      <w:pPr>
        <w:pStyle w:val="Citas"/>
        <w:rPr>
          <w:b/>
          <w:bCs/>
          <w:noProof/>
          <w:color w:val="000000"/>
          <w:sz w:val="24"/>
          <w:lang w:eastAsia="es-MX"/>
        </w:rPr>
      </w:pPr>
      <w:r w:rsidRPr="006946CE">
        <w:rPr>
          <w:noProof/>
          <w:color w:val="000000"/>
          <w:sz w:val="24"/>
          <w:lang w:eastAsia="es-MX"/>
        </w:rPr>
        <w:t>V. La entrega de información incompleta;</w:t>
      </w:r>
      <w:r w:rsidR="004C4E08">
        <w:rPr>
          <w:noProof/>
          <w:color w:val="000000"/>
          <w:sz w:val="24"/>
          <w:lang w:eastAsia="es-MX"/>
        </w:rPr>
        <w:t xml:space="preserve">” </w:t>
      </w:r>
      <w:r w:rsidR="004A2F99">
        <w:rPr>
          <w:b/>
          <w:bCs/>
          <w:noProof/>
          <w:color w:val="000000"/>
          <w:sz w:val="24"/>
          <w:lang w:eastAsia="es-MX"/>
        </w:rPr>
        <w:t>(Sic)</w:t>
      </w:r>
    </w:p>
    <w:p w14:paraId="16FBEE89" w14:textId="77777777" w:rsidR="00C31DC3" w:rsidRDefault="00C31DC3" w:rsidP="004C4E08">
      <w:pPr>
        <w:spacing w:before="240" w:line="360" w:lineRule="auto"/>
        <w:jc w:val="both"/>
        <w:rPr>
          <w:rFonts w:ascii="Palatino Linotype" w:hAnsi="Palatino Linotype" w:cs="Arial"/>
          <w:sz w:val="24"/>
          <w:szCs w:val="24"/>
        </w:rPr>
      </w:pPr>
    </w:p>
    <w:p w14:paraId="76E2A578" w14:textId="2407ACCF" w:rsidR="006946CE" w:rsidRDefault="00C31DC3" w:rsidP="004C4E0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Derivado de los motivos de inconformidad, resulta oportuno referir en términos del antecedente </w:t>
      </w:r>
      <w:r w:rsidR="006946CE">
        <w:rPr>
          <w:rFonts w:ascii="Palatino Linotype" w:hAnsi="Palatino Linotype" w:cs="Arial"/>
          <w:sz w:val="24"/>
          <w:szCs w:val="24"/>
        </w:rPr>
        <w:t xml:space="preserve">quinto, que </w:t>
      </w:r>
      <w:r w:rsidR="006946CE">
        <w:rPr>
          <w:rFonts w:ascii="Palatino Linotype" w:hAnsi="Palatino Linotype" w:cs="Arial"/>
          <w:b/>
          <w:bCs/>
          <w:sz w:val="24"/>
          <w:szCs w:val="24"/>
        </w:rPr>
        <w:t xml:space="preserve">El Sujeto Obligado </w:t>
      </w:r>
      <w:r w:rsidR="006946CE">
        <w:rPr>
          <w:rFonts w:ascii="Palatino Linotype" w:hAnsi="Palatino Linotype" w:cs="Arial"/>
          <w:sz w:val="24"/>
          <w:szCs w:val="24"/>
        </w:rPr>
        <w:t>rindió su informe justificado en los siguientes términos:</w:t>
      </w:r>
    </w:p>
    <w:p w14:paraId="43F52D7F" w14:textId="5F4B5327" w:rsidR="006946CE" w:rsidRPr="006946CE" w:rsidRDefault="006946CE" w:rsidP="008D3F0E">
      <w:pPr>
        <w:pStyle w:val="Prrafodelista"/>
        <w:numPr>
          <w:ilvl w:val="0"/>
          <w:numId w:val="9"/>
        </w:numPr>
        <w:spacing w:before="240" w:line="360" w:lineRule="auto"/>
        <w:jc w:val="both"/>
        <w:rPr>
          <w:rFonts w:ascii="Palatino Linotype" w:hAnsi="Palatino Linotype" w:cs="Arial"/>
          <w:b/>
          <w:bCs/>
        </w:rPr>
      </w:pPr>
      <w:r>
        <w:rPr>
          <w:rFonts w:ascii="Palatino Linotype" w:hAnsi="Palatino Linotype" w:cs="Arial"/>
          <w:b/>
          <w:bCs/>
        </w:rPr>
        <w:t xml:space="preserve">“Informe Justificado 39-2025.pdf”: </w:t>
      </w:r>
      <w:r>
        <w:rPr>
          <w:rFonts w:ascii="Palatino Linotype" w:hAnsi="Palatino Linotype" w:cs="Arial"/>
        </w:rPr>
        <w:t xml:space="preserve">Oficio número </w:t>
      </w:r>
      <w:r>
        <w:rPr>
          <w:rFonts w:ascii="Palatino Linotype" w:hAnsi="Palatino Linotype" w:cs="Arial"/>
          <w:b/>
          <w:bCs/>
        </w:rPr>
        <w:t xml:space="preserve">200B10100/417/2025 </w:t>
      </w:r>
      <w:r>
        <w:rPr>
          <w:rFonts w:ascii="Palatino Linotype" w:hAnsi="Palatino Linotype" w:cs="Arial"/>
        </w:rPr>
        <w:t xml:space="preserve">signado por la titular de la unidad de información, planeación, programación y evaluación, dirigido al comisionado presidente, de fecha dieciocho de febrero de dos mil veinticinco, </w:t>
      </w:r>
      <w:r w:rsidR="00BA4282">
        <w:rPr>
          <w:rFonts w:ascii="Palatino Linotype" w:hAnsi="Palatino Linotype" w:cs="Arial"/>
        </w:rPr>
        <w:t xml:space="preserve">expone diversos antecedentes y hechos encauzados a ratificar la respuesta. </w:t>
      </w:r>
    </w:p>
    <w:p w14:paraId="54848A84" w14:textId="77777777" w:rsidR="006946CE" w:rsidRDefault="006946CE" w:rsidP="004C4E08">
      <w:pPr>
        <w:spacing w:before="240" w:line="360" w:lineRule="auto"/>
        <w:jc w:val="both"/>
        <w:rPr>
          <w:rFonts w:ascii="Palatino Linotype" w:hAnsi="Palatino Linotype" w:cs="Arial"/>
          <w:sz w:val="24"/>
          <w:szCs w:val="24"/>
        </w:rPr>
      </w:pPr>
    </w:p>
    <w:p w14:paraId="47E08BC3" w14:textId="66913E16" w:rsidR="00B25008" w:rsidRDefault="00B25008" w:rsidP="00B25008">
      <w:pPr>
        <w:pStyle w:val="Citas"/>
        <w:ind w:left="0" w:right="0"/>
        <w:rPr>
          <w:i w:val="0"/>
          <w:iCs/>
          <w:sz w:val="24"/>
          <w:szCs w:val="24"/>
        </w:rPr>
      </w:pPr>
      <w:r>
        <w:rPr>
          <w:i w:val="0"/>
          <w:iCs/>
          <w:sz w:val="24"/>
          <w:szCs w:val="24"/>
        </w:rPr>
        <w:t>Dentro de este orden de ideas, se destaca la inobservancia al numeral 166 de la ley de transparencia local, cuyo contenido dispone literalmente lo siguiente:</w:t>
      </w:r>
    </w:p>
    <w:p w14:paraId="701C2394" w14:textId="77777777" w:rsidR="00B25008" w:rsidRPr="00B25008" w:rsidRDefault="00B25008" w:rsidP="00B25008">
      <w:pPr>
        <w:pStyle w:val="Citas"/>
        <w:rPr>
          <w:b/>
          <w:bCs/>
          <w:u w:val="single"/>
        </w:rPr>
      </w:pPr>
      <w:r w:rsidRPr="00B25008">
        <w:rPr>
          <w:b/>
          <w:bCs/>
          <w:u w:val="single"/>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1781DC42" w14:textId="77777777" w:rsidR="00B25008" w:rsidRDefault="00B25008" w:rsidP="00B25008">
      <w:pPr>
        <w:pStyle w:val="Citas"/>
      </w:pPr>
      <w:r w:rsidRPr="00B25008">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47E4E1DF" w14:textId="77777777" w:rsidR="00B25008" w:rsidRDefault="00B25008" w:rsidP="00B25008">
      <w:pPr>
        <w:pStyle w:val="Citas"/>
      </w:pPr>
      <w:r w:rsidRPr="00B25008">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2627CB62" w14:textId="77777777" w:rsidR="00B25008" w:rsidRDefault="00B25008" w:rsidP="00B25008">
      <w:pPr>
        <w:pStyle w:val="Citas"/>
      </w:pPr>
      <w:r w:rsidRPr="00B25008">
        <w:t xml:space="preserve">Cuando el sujeto obligado no entregue la respuesta a la solicitud dentro del plazo previsto en la Ley, la solicitud se entenderá negada y el solicitante podrá interponer el recurso de revisión previsto en este ordenamiento. </w:t>
      </w:r>
    </w:p>
    <w:p w14:paraId="0C7B50D7" w14:textId="32BA0A3E" w:rsidR="00B25008" w:rsidRPr="00B25008" w:rsidRDefault="00B25008" w:rsidP="00B25008">
      <w:pPr>
        <w:pStyle w:val="Citas"/>
        <w:rPr>
          <w:b/>
          <w:bCs/>
        </w:rPr>
      </w:pPr>
      <w:r w:rsidRPr="00B25008">
        <w:t>Una vez entregada la información, el solicitante acusará recibo por escrito, dándose por terminado el trámite de acceso a la información.</w:t>
      </w:r>
      <w:r>
        <w:t xml:space="preserve">” </w:t>
      </w:r>
      <w:r>
        <w:rPr>
          <w:b/>
          <w:bCs/>
        </w:rPr>
        <w:t>(Sic)</w:t>
      </w:r>
    </w:p>
    <w:p w14:paraId="72DD5718" w14:textId="77777777" w:rsidR="00C31DC3" w:rsidRDefault="00C31DC3" w:rsidP="00457850">
      <w:pPr>
        <w:pStyle w:val="Citas"/>
        <w:ind w:left="0" w:right="-18"/>
        <w:rPr>
          <w:i w:val="0"/>
          <w:iCs/>
          <w:color w:val="000000"/>
          <w:sz w:val="24"/>
          <w:szCs w:val="24"/>
          <w:lang w:val="es-ES_tradnl"/>
        </w:rPr>
      </w:pPr>
    </w:p>
    <w:p w14:paraId="13594F44" w14:textId="13696EFC" w:rsidR="00B8117F" w:rsidRDefault="00C31DC3" w:rsidP="00BA4282">
      <w:pPr>
        <w:pStyle w:val="Citas"/>
        <w:ind w:left="0" w:right="-18"/>
        <w:rPr>
          <w:i w:val="0"/>
          <w:iCs/>
          <w:color w:val="000000"/>
          <w:sz w:val="24"/>
          <w:szCs w:val="24"/>
          <w:lang w:val="es-ES_tradnl"/>
        </w:rPr>
      </w:pPr>
      <w:r>
        <w:rPr>
          <w:i w:val="0"/>
          <w:iCs/>
          <w:color w:val="000000"/>
          <w:sz w:val="24"/>
          <w:szCs w:val="24"/>
          <w:lang w:val="es-ES_tradnl"/>
        </w:rPr>
        <w:t xml:space="preserve">Por lo anteriormente expuesto, se concluye que </w:t>
      </w:r>
      <w:r w:rsidR="00EF4EF0">
        <w:rPr>
          <w:i w:val="0"/>
          <w:iCs/>
          <w:color w:val="000000"/>
          <w:sz w:val="24"/>
          <w:szCs w:val="24"/>
          <w:lang w:val="es-ES_tradnl"/>
        </w:rPr>
        <w:t>resulta procedente ordenar una búsqueda exhaustiva y razonable, a efecto de hacer entrega de la siguiente información</w:t>
      </w:r>
      <w:r w:rsidR="00BA4282">
        <w:rPr>
          <w:i w:val="0"/>
          <w:iCs/>
          <w:color w:val="000000"/>
          <w:sz w:val="24"/>
          <w:szCs w:val="24"/>
          <w:lang w:val="es-ES_tradnl"/>
        </w:rPr>
        <w:t>:</w:t>
      </w:r>
    </w:p>
    <w:p w14:paraId="6599B0C2" w14:textId="77777777" w:rsidR="00BA4282" w:rsidRDefault="00BA4282" w:rsidP="008D3F0E">
      <w:pPr>
        <w:pStyle w:val="Prrafodelista"/>
        <w:numPr>
          <w:ilvl w:val="0"/>
          <w:numId w:val="10"/>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lastRenderedPageBreak/>
        <w:t xml:space="preserve">Contratos y facturas de compras mínimas o cualquier compra de papelería, enseres, productos de limpieza, cafetería, agua, del periodo comprendido del uno de enero al treinta y uno de diciembre de dos mil veinticuatro. </w:t>
      </w:r>
    </w:p>
    <w:p w14:paraId="3911AA11" w14:textId="77777777" w:rsidR="00BA4282" w:rsidRDefault="00BA4282" w:rsidP="00BA4282">
      <w:pPr>
        <w:pStyle w:val="Citas"/>
        <w:ind w:left="720" w:right="-18"/>
      </w:pPr>
    </w:p>
    <w:p w14:paraId="0A12F733" w14:textId="77777777" w:rsidR="00FE4698" w:rsidRPr="001149A6" w:rsidRDefault="00FE4698" w:rsidP="00FE4698">
      <w:pPr>
        <w:autoSpaceDE w:val="0"/>
        <w:autoSpaceDN w:val="0"/>
        <w:adjustRightInd w:val="0"/>
        <w:spacing w:before="240" w:line="360" w:lineRule="auto"/>
        <w:jc w:val="both"/>
        <w:rPr>
          <w:rFonts w:ascii="Palatino Linotype" w:hAnsi="Palatino Linotype"/>
          <w:b/>
          <w:sz w:val="24"/>
          <w:szCs w:val="24"/>
        </w:rPr>
      </w:pPr>
      <w:r w:rsidRPr="001149A6">
        <w:rPr>
          <w:rFonts w:ascii="Palatino Linotype" w:hAnsi="Palatino Linotype"/>
          <w:b/>
          <w:sz w:val="24"/>
          <w:szCs w:val="24"/>
        </w:rPr>
        <w:t xml:space="preserve">DE LA VERSIÓN PÚBLICA </w:t>
      </w:r>
    </w:p>
    <w:p w14:paraId="14A21328"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28C59EC7" w14:textId="77777777" w:rsidR="00FE4698" w:rsidRPr="00F42CE0" w:rsidRDefault="00FE4698" w:rsidP="00FE4698">
      <w:pPr>
        <w:pStyle w:val="Citas"/>
      </w:pPr>
      <w:r>
        <w:rPr>
          <w:b/>
        </w:rPr>
        <w:t>“</w:t>
      </w:r>
      <w:r w:rsidRPr="00F42CE0">
        <w:rPr>
          <w:b/>
        </w:rPr>
        <w:t>Artículo 3.</w:t>
      </w:r>
      <w:r w:rsidRPr="00F42CE0">
        <w:t xml:space="preserve"> Para los efectos de la presente Ley se entenderá por:</w:t>
      </w:r>
    </w:p>
    <w:p w14:paraId="40690971" w14:textId="77777777" w:rsidR="00FE4698" w:rsidRPr="00F42CE0" w:rsidRDefault="00FE4698" w:rsidP="00FE4698">
      <w:pPr>
        <w:pStyle w:val="Citas"/>
      </w:pPr>
      <w:r w:rsidRPr="00F42CE0">
        <w:t>(…)</w:t>
      </w:r>
    </w:p>
    <w:p w14:paraId="189C0307" w14:textId="77777777" w:rsidR="00FE4698" w:rsidRPr="00F42CE0" w:rsidRDefault="00FE4698" w:rsidP="00FE4698">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342CE841" w14:textId="77777777" w:rsidR="00FE4698" w:rsidRPr="00F42CE0" w:rsidRDefault="00FE4698" w:rsidP="00FE4698">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39D6CEBE" w14:textId="77777777" w:rsidR="00FE4698" w:rsidRPr="00F42CE0" w:rsidRDefault="00FE4698" w:rsidP="00FE4698">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0C633A8" w14:textId="77777777" w:rsidR="00FE4698" w:rsidRPr="000F6865" w:rsidRDefault="00FE4698" w:rsidP="00FE4698">
      <w:pPr>
        <w:pStyle w:val="Citas"/>
        <w:rPr>
          <w:bCs/>
        </w:rPr>
      </w:pPr>
      <w:r w:rsidRPr="000F6865">
        <w:rPr>
          <w:bCs/>
        </w:rPr>
        <w:lastRenderedPageBreak/>
        <w:t>(…)</w:t>
      </w:r>
    </w:p>
    <w:p w14:paraId="4EB86555" w14:textId="77777777" w:rsidR="00FE4698" w:rsidRPr="00F42CE0" w:rsidRDefault="00FE4698" w:rsidP="00FE4698">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13145BA7" w14:textId="77777777" w:rsidR="00FE4698" w:rsidRPr="00F42CE0" w:rsidRDefault="00FE4698" w:rsidP="00FE4698">
      <w:pPr>
        <w:pStyle w:val="Citas"/>
      </w:pPr>
      <w:r w:rsidRPr="00F42CE0">
        <w:t>(…)</w:t>
      </w:r>
    </w:p>
    <w:p w14:paraId="0F0CD895" w14:textId="77777777" w:rsidR="00FE4698" w:rsidRPr="00F42CE0" w:rsidRDefault="00FE4698" w:rsidP="00FE4698">
      <w:pPr>
        <w:pStyle w:val="Citas"/>
      </w:pPr>
      <w:r w:rsidRPr="00F42CE0">
        <w:rPr>
          <w:b/>
        </w:rPr>
        <w:t xml:space="preserve">Artículo 91. </w:t>
      </w:r>
      <w:r w:rsidRPr="00F42CE0">
        <w:t>El acceso a la información pública será restringido excepcionalmente, cuando ésta sea clasificada como reservada o confidencial.</w:t>
      </w:r>
    </w:p>
    <w:p w14:paraId="7ADD8778" w14:textId="77777777" w:rsidR="00FE4698" w:rsidRPr="00F42CE0" w:rsidRDefault="00FE4698" w:rsidP="00FE4698">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1FA30167" w14:textId="77777777" w:rsidR="00FE4698" w:rsidRPr="00F42CE0" w:rsidRDefault="00FE4698" w:rsidP="00FE4698">
      <w:pPr>
        <w:pStyle w:val="Citas"/>
      </w:pPr>
      <w:r w:rsidRPr="00F42CE0">
        <w:rPr>
          <w:b/>
        </w:rPr>
        <w:t>I.</w:t>
      </w:r>
      <w:r w:rsidRPr="00F42CE0">
        <w:t xml:space="preserve"> Se reciba una solicitud de acceso a la información;</w:t>
      </w:r>
    </w:p>
    <w:p w14:paraId="4B799B2B" w14:textId="77777777" w:rsidR="00FE4698" w:rsidRPr="00F42CE0" w:rsidRDefault="00FE4698" w:rsidP="00FE4698">
      <w:pPr>
        <w:pStyle w:val="Citas"/>
      </w:pPr>
      <w:r w:rsidRPr="00F42CE0">
        <w:rPr>
          <w:b/>
        </w:rPr>
        <w:t>II.</w:t>
      </w:r>
      <w:r w:rsidRPr="00F42CE0">
        <w:t xml:space="preserve"> </w:t>
      </w:r>
      <w:r w:rsidRPr="00F42CE0">
        <w:rPr>
          <w:u w:val="single"/>
        </w:rPr>
        <w:t>Se determine mediante resolución de autoridad competente; o</w:t>
      </w:r>
    </w:p>
    <w:p w14:paraId="134296CB" w14:textId="77777777" w:rsidR="00FE4698" w:rsidRPr="00F42CE0" w:rsidRDefault="00FE4698" w:rsidP="00FE4698">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7C9F98DF" w14:textId="77777777" w:rsidR="00FE4698" w:rsidRPr="000F6865" w:rsidRDefault="00FE4698" w:rsidP="00FE4698">
      <w:pPr>
        <w:pStyle w:val="Citas"/>
        <w:rPr>
          <w:b/>
          <w:bCs/>
        </w:rPr>
      </w:pPr>
      <w:r w:rsidRPr="00F42CE0">
        <w:t>(…)</w:t>
      </w:r>
      <w:r>
        <w:t xml:space="preserve">” </w:t>
      </w:r>
      <w:r>
        <w:rPr>
          <w:b/>
          <w:bCs/>
        </w:rPr>
        <w:t xml:space="preserve"> (Sic)</w:t>
      </w:r>
    </w:p>
    <w:p w14:paraId="11B8ACE2" w14:textId="77777777" w:rsidR="00FE4698" w:rsidRPr="00F42CE0" w:rsidRDefault="00FE4698" w:rsidP="00FE4698">
      <w:pPr>
        <w:rPr>
          <w:rFonts w:eastAsia="Palatino Linotype" w:cs="Palatino Linotype"/>
          <w:i/>
          <w:szCs w:val="24"/>
        </w:rPr>
      </w:pPr>
    </w:p>
    <w:p w14:paraId="74CD15F7"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D0A9F3"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214CDFB"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632EF604" w14:textId="77777777" w:rsidR="00FE4698" w:rsidRDefault="00FE4698" w:rsidP="00FE4698">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1BA0DD82" w14:textId="77777777" w:rsidR="00FE4698" w:rsidRPr="00F42CE0" w:rsidRDefault="00FE4698" w:rsidP="00FE4698">
      <w:pPr>
        <w:pStyle w:val="Citas"/>
      </w:pPr>
      <w:r w:rsidRPr="00F42CE0">
        <w:rPr>
          <w:b/>
        </w:rPr>
        <w:t>Quincuagésimo séptimo.</w:t>
      </w:r>
      <w:r w:rsidRPr="00F42CE0">
        <w:t xml:space="preserve"> Se considera, en principio, como información pública y no podrá omitirse de las versiones públicas la siguiente:</w:t>
      </w:r>
    </w:p>
    <w:p w14:paraId="055E86D7" w14:textId="77777777" w:rsidR="00FE4698" w:rsidRPr="00F42CE0" w:rsidRDefault="00FE4698" w:rsidP="00FE4698">
      <w:pPr>
        <w:pStyle w:val="Citas"/>
      </w:pPr>
      <w:r w:rsidRPr="00F42CE0">
        <w:t xml:space="preserve">I. La relativa a las Obligaciones de Transparencia que contempla el Título V de la Ley General y las demás disposiciones legales aplicables; </w:t>
      </w:r>
    </w:p>
    <w:p w14:paraId="1667ABF1" w14:textId="77777777" w:rsidR="00FE4698" w:rsidRPr="00F42CE0" w:rsidRDefault="00FE4698" w:rsidP="00FE4698">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223BFB1E" w14:textId="77777777" w:rsidR="00FE4698" w:rsidRPr="00F42CE0" w:rsidRDefault="00FE4698" w:rsidP="00FE4698">
      <w:pPr>
        <w:pStyle w:val="Citas"/>
      </w:pPr>
      <w:r w:rsidRPr="00F42CE0">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21D7B12" w14:textId="77777777" w:rsidR="00FE4698" w:rsidRPr="00F42CE0" w:rsidRDefault="00FE4698" w:rsidP="00FE4698">
      <w:pPr>
        <w:pStyle w:val="Citas"/>
      </w:pPr>
      <w:r w:rsidRPr="00F42CE0">
        <w:t xml:space="preserve">Lo anterior, siempre y cuando no se acredite alguna causal de clasificación, prevista en las leyes o en los tratados internacionales suscritos por el Estado mexicano. </w:t>
      </w:r>
    </w:p>
    <w:p w14:paraId="7007652F" w14:textId="77777777" w:rsidR="00FE4698" w:rsidRPr="000F6865" w:rsidRDefault="00FE4698" w:rsidP="00FE4698">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66C1C1D2" w14:textId="77777777" w:rsidR="00FE4698" w:rsidRPr="00F42CE0" w:rsidRDefault="00FE4698" w:rsidP="00FE4698">
      <w:pPr>
        <w:pStyle w:val="Citas"/>
      </w:pPr>
    </w:p>
    <w:p w14:paraId="323577F9"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8484766" w14:textId="77777777" w:rsidR="00FE4698" w:rsidRPr="000F6865" w:rsidRDefault="00FE4698" w:rsidP="00FE469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17E7F9E3" w14:textId="45772888" w:rsidR="00FE4698" w:rsidRPr="000F6865" w:rsidRDefault="00FE4698" w:rsidP="00FE469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lastRenderedPageBreak/>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4A2F99">
        <w:rPr>
          <w:rFonts w:ascii="Palatino Linotype" w:eastAsia="Palatino Linotype" w:hAnsi="Palatino Linotype" w:cs="Palatino Linotype"/>
          <w:color w:val="000000"/>
          <w:sz w:val="24"/>
          <w:szCs w:val="24"/>
        </w:rPr>
        <w:t>del</w:t>
      </w:r>
      <w:r w:rsidRPr="00B22598">
        <w:rPr>
          <w:rFonts w:ascii="Palatino Linotype" w:eastAsia="Palatino Linotype" w:hAnsi="Palatino Linotype" w:cs="Palatino Linotype"/>
          <w:b/>
          <w:bCs/>
          <w:color w:val="000000"/>
          <w:sz w:val="24"/>
          <w:szCs w:val="24"/>
        </w:rPr>
        <w:t xml:space="preserve"> Recurrente.</w:t>
      </w:r>
    </w:p>
    <w:p w14:paraId="396A272C" w14:textId="77777777" w:rsidR="00FE4698" w:rsidRDefault="00FE4698" w:rsidP="00FE4698">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8C48AD1" w14:textId="77777777" w:rsidR="00B25008" w:rsidRDefault="00B25008" w:rsidP="00B25008">
      <w:pPr>
        <w:spacing w:after="0" w:line="360" w:lineRule="auto"/>
        <w:jc w:val="both"/>
        <w:rPr>
          <w:rFonts w:ascii="Palatino Linotype" w:eastAsia="Times New Roman" w:hAnsi="Palatino Linotype" w:cs="Times New Roman"/>
          <w:sz w:val="24"/>
          <w:szCs w:val="24"/>
          <w:lang w:eastAsia="es-ES"/>
        </w:rPr>
      </w:pPr>
    </w:p>
    <w:p w14:paraId="512BD323" w14:textId="7B2F78D8" w:rsidR="00CA283F" w:rsidRPr="00CA283F" w:rsidRDefault="00B25008" w:rsidP="00B25008">
      <w:pPr>
        <w:spacing w:after="0" w:line="360" w:lineRule="auto"/>
        <w:jc w:val="both"/>
        <w:rPr>
          <w:rFonts w:ascii="Palatino Linotype" w:eastAsia="Times New Roman" w:hAnsi="Palatino Linotype" w:cs="Times New Roman"/>
          <w:bCs/>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004A2F99">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 xml:space="preserve">REVOCA </w:t>
      </w:r>
      <w:r w:rsidRPr="000F5B7E">
        <w:rPr>
          <w:rFonts w:ascii="Palatino Linotype" w:eastAsia="Times New Roman" w:hAnsi="Palatino Linotype" w:cs="Arial"/>
          <w:sz w:val="24"/>
          <w:szCs w:val="24"/>
          <w:lang w:eastAsia="es-ES"/>
        </w:rPr>
        <w:t>la respuesta a la solicitud de información número</w:t>
      </w:r>
      <w:r w:rsidRPr="000F5B7E">
        <w:rPr>
          <w:rFonts w:ascii="Palatino Linotype" w:eastAsia="Times New Roman" w:hAnsi="Palatino Linotype" w:cs="Times New Roman"/>
          <w:b/>
          <w:sz w:val="24"/>
          <w:szCs w:val="24"/>
          <w:lang w:eastAsia="es-ES"/>
        </w:rPr>
        <w:t xml:space="preserve"> </w:t>
      </w:r>
      <w:r w:rsidR="00BA4282">
        <w:rPr>
          <w:rFonts w:ascii="Palatino Linotype" w:eastAsia="Times New Roman" w:hAnsi="Palatino Linotype" w:cs="Times New Roman"/>
          <w:b/>
          <w:sz w:val="24"/>
          <w:szCs w:val="24"/>
          <w:lang w:eastAsia="es-ES"/>
        </w:rPr>
        <w:t>00039/DIFTOLUCA/IP/2025</w:t>
      </w:r>
      <w:r w:rsidR="00CA283F">
        <w:rPr>
          <w:rFonts w:ascii="Palatino Linotype" w:eastAsia="Times New Roman" w:hAnsi="Palatino Linotype" w:cs="Times New Roman"/>
          <w:b/>
          <w:sz w:val="24"/>
          <w:szCs w:val="24"/>
          <w:lang w:eastAsia="es-ES"/>
        </w:rPr>
        <w:t xml:space="preserve">, </w:t>
      </w:r>
      <w:r w:rsidR="00CA283F">
        <w:rPr>
          <w:rFonts w:ascii="Palatino Linotype" w:eastAsia="Times New Roman" w:hAnsi="Palatino Linotype" w:cs="Times New Roman"/>
          <w:bCs/>
          <w:sz w:val="24"/>
          <w:szCs w:val="24"/>
          <w:lang w:eastAsia="es-ES"/>
        </w:rPr>
        <w:t xml:space="preserve">que ha sido materia del presente fallo. </w:t>
      </w:r>
    </w:p>
    <w:p w14:paraId="195E4F36" w14:textId="77777777" w:rsidR="00B25008" w:rsidRDefault="00B25008" w:rsidP="00B25008">
      <w:pPr>
        <w:spacing w:after="0" w:line="360" w:lineRule="auto"/>
        <w:jc w:val="both"/>
        <w:rPr>
          <w:rFonts w:ascii="Palatino Linotype" w:eastAsia="Times New Roman" w:hAnsi="Palatino Linotype" w:cs="Times New Roman"/>
          <w:sz w:val="24"/>
          <w:szCs w:val="24"/>
          <w:lang w:eastAsia="es-ES"/>
        </w:rPr>
      </w:pPr>
      <w:r w:rsidRPr="000F5B7E">
        <w:rPr>
          <w:rFonts w:ascii="Palatino Linotype" w:eastAsia="Times New Roman" w:hAnsi="Palatino Linotype" w:cs="Times New Roman"/>
          <w:sz w:val="24"/>
          <w:szCs w:val="24"/>
          <w:lang w:eastAsia="es-ES"/>
        </w:rPr>
        <w:lastRenderedPageBreak/>
        <w:t>Por lo antes expuesto y fundado es de resolverse y,</w:t>
      </w:r>
    </w:p>
    <w:p w14:paraId="521192D9" w14:textId="77777777" w:rsidR="00B25008" w:rsidRDefault="00B25008" w:rsidP="00B25008">
      <w:pPr>
        <w:spacing w:after="0" w:line="360" w:lineRule="auto"/>
        <w:jc w:val="both"/>
        <w:rPr>
          <w:rFonts w:ascii="Palatino Linotype" w:eastAsia="Times New Roman" w:hAnsi="Palatino Linotype" w:cs="Times New Roman"/>
          <w:sz w:val="24"/>
          <w:szCs w:val="24"/>
          <w:lang w:eastAsia="es-ES"/>
        </w:rPr>
      </w:pPr>
    </w:p>
    <w:p w14:paraId="073B6C92" w14:textId="77777777" w:rsidR="00B25008" w:rsidRPr="00413327" w:rsidRDefault="00B25008" w:rsidP="00B25008">
      <w:pPr>
        <w:spacing w:before="240" w:after="240" w:line="360" w:lineRule="auto"/>
        <w:jc w:val="center"/>
        <w:rPr>
          <w:rFonts w:ascii="Palatino Linotype" w:hAnsi="Palatino Linotype"/>
          <w:b/>
          <w:spacing w:val="60"/>
          <w:sz w:val="24"/>
          <w:szCs w:val="24"/>
        </w:rPr>
      </w:pPr>
      <w:r>
        <w:rPr>
          <w:rFonts w:ascii="Palatino Linotype" w:hAnsi="Palatino Linotype"/>
          <w:b/>
          <w:spacing w:val="60"/>
          <w:sz w:val="24"/>
          <w:szCs w:val="24"/>
        </w:rPr>
        <w:t>S E RESUELVE</w:t>
      </w:r>
    </w:p>
    <w:p w14:paraId="0DC0D96F" w14:textId="0D5434C1" w:rsidR="00B25008" w:rsidRDefault="00B25008" w:rsidP="00364A77">
      <w:pPr>
        <w:spacing w:after="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 xml:space="preserve">REVOCA </w:t>
      </w:r>
      <w:r w:rsidRPr="00413327">
        <w:rPr>
          <w:rFonts w:ascii="Palatino Linotype" w:hAnsi="Palatino Linotype" w:cs="Arial"/>
          <w:sz w:val="24"/>
          <w:szCs w:val="24"/>
        </w:rPr>
        <w:t xml:space="preserve">la respuesta entregada por </w:t>
      </w:r>
      <w:r w:rsidRPr="00413327">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sidR="00BA4282">
        <w:rPr>
          <w:rFonts w:ascii="Palatino Linotype" w:eastAsia="Times New Roman" w:hAnsi="Palatino Linotype" w:cs="Times New Roman"/>
          <w:b/>
          <w:sz w:val="24"/>
          <w:szCs w:val="24"/>
          <w:lang w:eastAsia="es-ES"/>
        </w:rPr>
        <w:t xml:space="preserve">00039/DIFTOLUCA/IP/2025 </w:t>
      </w:r>
      <w:r>
        <w:rPr>
          <w:rFonts w:ascii="Palatino Linotype" w:hAnsi="Palatino Linotype" w:cs="Arial"/>
          <w:sz w:val="24"/>
          <w:szCs w:val="24"/>
        </w:rPr>
        <w:t xml:space="preserve">por resultar fundados los motivos de inconformidad que arguye </w:t>
      </w:r>
      <w:r w:rsidR="004A2F99">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16954215" w14:textId="77777777" w:rsidR="00BA4282" w:rsidRDefault="00BA4282" w:rsidP="00364A77">
      <w:pPr>
        <w:autoSpaceDE w:val="0"/>
        <w:autoSpaceDN w:val="0"/>
        <w:adjustRightInd w:val="0"/>
        <w:spacing w:after="0" w:line="360" w:lineRule="auto"/>
        <w:ind w:right="49"/>
        <w:jc w:val="both"/>
        <w:rPr>
          <w:rFonts w:ascii="Palatino Linotype" w:hAnsi="Palatino Linotype" w:cs="Arial"/>
          <w:b/>
          <w:sz w:val="24"/>
          <w:szCs w:val="24"/>
        </w:rPr>
      </w:pPr>
    </w:p>
    <w:p w14:paraId="7795E0B6" w14:textId="04F552E4" w:rsidR="004765BB" w:rsidRPr="00AF17B1" w:rsidRDefault="004765BB" w:rsidP="00364A77">
      <w:pPr>
        <w:autoSpaceDE w:val="0"/>
        <w:autoSpaceDN w:val="0"/>
        <w:adjustRightInd w:val="0"/>
        <w:spacing w:after="0" w:line="360" w:lineRule="auto"/>
        <w:ind w:right="49"/>
        <w:jc w:val="both"/>
        <w:rPr>
          <w:rFonts w:ascii="Palatino Linotype" w:hAnsi="Palatino Linotype" w:cs="Arial"/>
          <w:sz w:val="24"/>
          <w:szCs w:val="24"/>
        </w:rPr>
      </w:pPr>
      <w:r w:rsidRPr="00AF17B1">
        <w:rPr>
          <w:rFonts w:ascii="Palatino Linotype" w:hAnsi="Palatino Linotype" w:cs="Arial"/>
          <w:b/>
          <w:sz w:val="24"/>
          <w:szCs w:val="24"/>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w:t>
      </w:r>
      <w:r w:rsidR="004A2F99">
        <w:rPr>
          <w:rFonts w:ascii="Palatino Linotype" w:hAnsi="Palatino Linotype" w:cs="Arial"/>
          <w:sz w:val="24"/>
          <w:szCs w:val="24"/>
        </w:rPr>
        <w:t>al</w:t>
      </w:r>
      <w:r w:rsidRPr="00AF17B1">
        <w:rPr>
          <w:rFonts w:ascii="Palatino Linotype" w:hAnsi="Palatino Linotype" w:cs="Arial"/>
          <w:sz w:val="24"/>
          <w:szCs w:val="24"/>
        </w:rPr>
        <w:t xml:space="preserve">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2B68BB">
        <w:rPr>
          <w:rFonts w:ascii="Palatino Linotype" w:eastAsia="Times New Roman" w:hAnsi="Palatino Linotype" w:cs="Arial"/>
          <w:bCs/>
          <w:sz w:val="24"/>
          <w:szCs w:val="24"/>
          <w:lang w:eastAsia="es-ES"/>
        </w:rPr>
        <w:t>vía</w:t>
      </w:r>
      <w:r w:rsidRPr="00AF17B1">
        <w:rPr>
          <w:rFonts w:ascii="Palatino Linotype" w:eastAsia="Times New Roman" w:hAnsi="Palatino Linotype" w:cs="Arial"/>
          <w:b/>
          <w:sz w:val="24"/>
          <w:szCs w:val="24"/>
          <w:lang w:eastAsia="es-ES"/>
        </w:rPr>
        <w:t xml:space="preserve">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09019F30" w14:textId="77777777" w:rsidR="00BA4282" w:rsidRPr="00BA4282" w:rsidRDefault="00BA4282" w:rsidP="008D3F0E">
      <w:pPr>
        <w:pStyle w:val="Prrafodelista"/>
        <w:numPr>
          <w:ilvl w:val="0"/>
          <w:numId w:val="4"/>
        </w:numPr>
        <w:autoSpaceDE w:val="0"/>
        <w:autoSpaceDN w:val="0"/>
        <w:adjustRightInd w:val="0"/>
        <w:spacing w:before="240" w:line="360" w:lineRule="auto"/>
        <w:jc w:val="both"/>
        <w:rPr>
          <w:rFonts w:ascii="Palatino Linotype" w:hAnsi="Palatino Linotype" w:cs="Arial"/>
          <w:i/>
          <w:iCs/>
        </w:rPr>
      </w:pPr>
      <w:r w:rsidRPr="00BA4282">
        <w:rPr>
          <w:rFonts w:ascii="Palatino Linotype" w:hAnsi="Palatino Linotype" w:cs="Arial"/>
          <w:i/>
          <w:iCs/>
        </w:rPr>
        <w:t xml:space="preserve">Contratos y facturas de compras mínimas o cualquier compra de papelería, enseres, productos de limpieza, cafetería, agua, del periodo comprendido del uno de enero al treinta y uno de diciembre de dos mil veinticuatro. </w:t>
      </w:r>
    </w:p>
    <w:p w14:paraId="4BF301C8" w14:textId="77777777" w:rsidR="00BA4282" w:rsidRDefault="00BA4282" w:rsidP="004765BB">
      <w:pPr>
        <w:pStyle w:val="Sinespaciado"/>
        <w:spacing w:line="360" w:lineRule="auto"/>
        <w:ind w:left="782"/>
        <w:jc w:val="both"/>
        <w:rPr>
          <w:rFonts w:ascii="Palatino Linotype" w:hAnsi="Palatino Linotype" w:cs="Arial"/>
          <w:i/>
        </w:rPr>
      </w:pPr>
    </w:p>
    <w:p w14:paraId="50819EC1" w14:textId="5248861E" w:rsidR="004765BB" w:rsidRDefault="004765BB" w:rsidP="004765BB">
      <w:pPr>
        <w:pStyle w:val="Sinespaciado"/>
        <w:spacing w:line="360" w:lineRule="auto"/>
        <w:ind w:left="782"/>
        <w:jc w:val="both"/>
        <w:rPr>
          <w:rFonts w:ascii="Palatino Linotype" w:hAnsi="Palatino Linotype" w:cs="Arial"/>
          <w:i/>
        </w:rPr>
      </w:pPr>
      <w:r w:rsidRPr="00AF17B1">
        <w:rPr>
          <w:rFonts w:ascii="Palatino Linotype" w:hAnsi="Palatino Linotype" w:cs="Arial"/>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rsidR="004A2F99">
        <w:rPr>
          <w:rFonts w:ascii="Palatino Linotype" w:hAnsi="Palatino Linotype" w:cs="Arial"/>
          <w:i/>
        </w:rPr>
        <w:t>del</w:t>
      </w:r>
      <w:r w:rsidRPr="00AF17B1">
        <w:rPr>
          <w:rFonts w:ascii="Palatino Linotype" w:hAnsi="Palatino Linotype" w:cs="Arial"/>
          <w:i/>
        </w:rPr>
        <w:t xml:space="preserve"> Recurrente.</w:t>
      </w:r>
    </w:p>
    <w:p w14:paraId="555223C2" w14:textId="77777777" w:rsidR="007543C8" w:rsidRPr="007543C8" w:rsidRDefault="007543C8" w:rsidP="004765BB">
      <w:pPr>
        <w:pStyle w:val="Sinespaciado"/>
        <w:spacing w:line="360" w:lineRule="auto"/>
        <w:ind w:left="782"/>
        <w:jc w:val="both"/>
        <w:rPr>
          <w:rFonts w:ascii="Palatino Linotype" w:hAnsi="Palatino Linotype" w:cs="Arial"/>
          <w:i/>
          <w:lang w:val="es-ES"/>
        </w:rPr>
      </w:pPr>
    </w:p>
    <w:p w14:paraId="777410E3" w14:textId="1BAE2595" w:rsidR="004765BB" w:rsidRDefault="004765BB" w:rsidP="004765BB">
      <w:pPr>
        <w:autoSpaceDE w:val="0"/>
        <w:autoSpaceDN w:val="0"/>
        <w:adjustRightInd w:val="0"/>
        <w:spacing w:line="360" w:lineRule="auto"/>
        <w:ind w:right="49"/>
        <w:jc w:val="both"/>
        <w:rPr>
          <w:rFonts w:ascii="Palatino Linotype" w:hAnsi="Palatino Linotype" w:cstheme="minorHAnsi"/>
          <w:sz w:val="24"/>
          <w:szCs w:val="24"/>
        </w:rPr>
      </w:pPr>
      <w:r w:rsidRPr="00AF17B1">
        <w:rPr>
          <w:rFonts w:ascii="Palatino Linotype" w:hAnsi="Palatino Linotype" w:cs="Arial"/>
          <w:b/>
          <w:sz w:val="28"/>
          <w:szCs w:val="28"/>
        </w:rPr>
        <w:t>TERCERO.</w:t>
      </w:r>
      <w:r w:rsidRPr="00AF17B1">
        <w:rPr>
          <w:rFonts w:ascii="Palatino Linotype" w:hAnsi="Palatino Linotype" w:cs="Arial"/>
          <w:b/>
          <w:sz w:val="24"/>
          <w:szCs w:val="24"/>
        </w:rPr>
        <w:t xml:space="preserve"> </w:t>
      </w:r>
      <w:r w:rsidRPr="00AF17B1">
        <w:rPr>
          <w:rFonts w:ascii="Palatino Linotype" w:hAnsi="Palatino Linotype" w:cstheme="minorHAnsi"/>
          <w:b/>
          <w:sz w:val="24"/>
          <w:szCs w:val="24"/>
        </w:rPr>
        <w:t>NOTIFÍQUESE</w:t>
      </w:r>
      <w:r w:rsidRPr="00AF17B1">
        <w:rPr>
          <w:rFonts w:ascii="Palatino Linotype" w:hAnsi="Palatino Linotype" w:cstheme="minorHAnsi"/>
          <w:i/>
          <w:sz w:val="24"/>
          <w:szCs w:val="24"/>
        </w:rPr>
        <w:t xml:space="preserve"> </w:t>
      </w:r>
      <w:r w:rsidRPr="00AF17B1">
        <w:rPr>
          <w:rFonts w:ascii="Palatino Linotype" w:hAnsi="Palatino Linotype" w:cstheme="minorHAnsi"/>
          <w:sz w:val="24"/>
          <w:szCs w:val="24"/>
        </w:rPr>
        <w:t>la presente resolución al Titular de la Unidad de Transparencia del Sujeto Obligado,</w:t>
      </w:r>
      <w:r>
        <w:rPr>
          <w:rFonts w:ascii="Palatino Linotype" w:hAnsi="Palatino Linotype" w:cstheme="minorHAnsi"/>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sz w:val="24"/>
          <w:szCs w:val="24"/>
        </w:rPr>
        <w:t xml:space="preserve"> </w:t>
      </w:r>
      <w:r w:rsidRPr="00AF17B1">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B8BB91" w14:textId="77777777" w:rsidR="004765BB" w:rsidRPr="00AF17B1" w:rsidRDefault="004765BB" w:rsidP="004765BB">
      <w:pPr>
        <w:autoSpaceDE w:val="0"/>
        <w:autoSpaceDN w:val="0"/>
        <w:adjustRightInd w:val="0"/>
        <w:spacing w:line="360" w:lineRule="auto"/>
        <w:ind w:right="49"/>
        <w:jc w:val="both"/>
        <w:rPr>
          <w:rFonts w:ascii="Palatino Linotype" w:hAnsi="Palatino Linotype" w:cs="Arial"/>
          <w:sz w:val="24"/>
          <w:szCs w:val="24"/>
        </w:rPr>
      </w:pPr>
    </w:p>
    <w:p w14:paraId="5C00811E" w14:textId="77777777" w:rsidR="004765BB" w:rsidRDefault="004765BB" w:rsidP="004765BB">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F17B1">
        <w:rPr>
          <w:rFonts w:ascii="Palatino Linotype" w:eastAsia="Times New Roman" w:hAnsi="Palatino Linotype" w:cs="Arial"/>
          <w:b/>
          <w:sz w:val="28"/>
          <w:szCs w:val="28"/>
          <w:lang w:eastAsia="es-ES"/>
        </w:rPr>
        <w:t>CUARTO.</w:t>
      </w:r>
      <w:r w:rsidRPr="00AF17B1">
        <w:rPr>
          <w:rFonts w:ascii="Palatino Linotype" w:eastAsia="Times New Roman" w:hAnsi="Palatino Linotype" w:cs="Arial"/>
          <w:b/>
          <w:sz w:val="24"/>
          <w:szCs w:val="24"/>
          <w:lang w:eastAsia="es-ES"/>
        </w:rPr>
        <w:t xml:space="preserve"> </w:t>
      </w:r>
      <w:r w:rsidRPr="00AF17B1">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F17B1">
        <w:rPr>
          <w:rFonts w:ascii="Palatino Linotype" w:eastAsia="Times New Roman" w:hAnsi="Palatino Linotype" w:cs="Arial"/>
          <w:b/>
          <w:sz w:val="24"/>
          <w:szCs w:val="24"/>
          <w:lang w:eastAsia="es-ES"/>
        </w:rPr>
        <w:t>Sujeto Obligado</w:t>
      </w:r>
      <w:r w:rsidRPr="00AF17B1">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7334505D" w14:textId="77777777" w:rsidR="00265435" w:rsidRDefault="00265435" w:rsidP="004765BB">
      <w:pPr>
        <w:spacing w:after="0" w:line="360" w:lineRule="auto"/>
        <w:jc w:val="both"/>
        <w:rPr>
          <w:rFonts w:ascii="Palatino Linotype" w:eastAsia="Times New Roman" w:hAnsi="Palatino Linotype" w:cs="Arial"/>
          <w:b/>
          <w:sz w:val="28"/>
          <w:szCs w:val="28"/>
          <w:lang w:eastAsia="es-ES"/>
        </w:rPr>
      </w:pPr>
    </w:p>
    <w:p w14:paraId="5E030703" w14:textId="6F51EC38" w:rsidR="004765BB" w:rsidRDefault="004765BB" w:rsidP="004765BB">
      <w:pPr>
        <w:spacing w:after="0" w:line="360" w:lineRule="auto"/>
        <w:jc w:val="both"/>
        <w:rPr>
          <w:rFonts w:ascii="Palatino Linotype" w:hAnsi="Palatino Linotype"/>
          <w:sz w:val="24"/>
          <w:szCs w:val="24"/>
        </w:rPr>
      </w:pPr>
      <w:r w:rsidRPr="00AF17B1">
        <w:rPr>
          <w:rFonts w:ascii="Palatino Linotype" w:eastAsia="Times New Roman" w:hAnsi="Palatino Linotype" w:cs="Arial"/>
          <w:b/>
          <w:sz w:val="28"/>
          <w:szCs w:val="28"/>
          <w:lang w:eastAsia="es-ES"/>
        </w:rPr>
        <w:t>QUINTO.</w:t>
      </w:r>
      <w:r w:rsidRPr="00AF17B1">
        <w:rPr>
          <w:rFonts w:ascii="Palatino Linotype" w:eastAsia="Times New Roman" w:hAnsi="Palatino Linotype" w:cs="Arial"/>
          <w:b/>
          <w:sz w:val="24"/>
          <w:szCs w:val="24"/>
          <w:lang w:eastAsia="es-ES"/>
        </w:rPr>
        <w:t xml:space="preserve"> </w:t>
      </w:r>
      <w:r w:rsidRPr="00DB757B">
        <w:rPr>
          <w:rFonts w:ascii="Palatino Linotype" w:eastAsia="Times New Roman" w:hAnsi="Palatino Linotype" w:cs="Arial"/>
          <w:b/>
          <w:sz w:val="24"/>
          <w:szCs w:val="24"/>
          <w:lang w:eastAsia="es-ES"/>
        </w:rPr>
        <w:t xml:space="preserve">NOTIFÍQUESE </w:t>
      </w:r>
      <w:r>
        <w:rPr>
          <w:rFonts w:ascii="Palatino Linotype" w:eastAsia="Times New Roman" w:hAnsi="Palatino Linotype" w:cs="Arial"/>
          <w:sz w:val="24"/>
          <w:szCs w:val="24"/>
          <w:lang w:eastAsia="es-ES"/>
        </w:rPr>
        <w:t xml:space="preserve">la presente resolución </w:t>
      </w:r>
      <w:r w:rsidR="004A2F99">
        <w:rPr>
          <w:rFonts w:ascii="Palatino Linotype" w:eastAsia="Times New Roman" w:hAnsi="Palatino Linotype" w:cs="Arial"/>
          <w:sz w:val="24"/>
          <w:szCs w:val="24"/>
          <w:lang w:eastAsia="es-ES"/>
        </w:rPr>
        <w:t>al</w:t>
      </w:r>
      <w:r w:rsidRPr="00DB757B">
        <w:rPr>
          <w:rFonts w:ascii="Palatino Linotype" w:eastAsia="Times New Roman" w:hAnsi="Palatino Linotype" w:cs="Arial"/>
          <w:sz w:val="24"/>
          <w:szCs w:val="24"/>
          <w:lang w:eastAsia="es-ES"/>
        </w:rPr>
        <w:t xml:space="preserve"> </w:t>
      </w:r>
      <w:r w:rsidRPr="00DF1D7E">
        <w:rPr>
          <w:rFonts w:ascii="Palatino Linotype" w:eastAsia="Times New Roman" w:hAnsi="Palatino Linotype" w:cs="Arial"/>
          <w:b/>
          <w:sz w:val="24"/>
          <w:szCs w:val="24"/>
          <w:lang w:eastAsia="es-ES"/>
        </w:rPr>
        <w:t>RECURRENTE vía</w:t>
      </w:r>
      <w:r w:rsidRPr="00DB757B">
        <w:rPr>
          <w:rFonts w:ascii="Palatino Linotype" w:eastAsia="Times New Roman" w:hAnsi="Palatino Linotype" w:cs="Arial"/>
          <w:b/>
          <w:sz w:val="24"/>
          <w:szCs w:val="24"/>
          <w:lang w:eastAsia="es-ES"/>
        </w:rPr>
        <w:t xml:space="preserve">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w:t>
      </w:r>
      <w:r w:rsidRPr="00AA3F48">
        <w:rPr>
          <w:rFonts w:ascii="Palatino Linotype" w:eastAsia="Times New Roman" w:hAnsi="Palatino Linotype" w:cs="Times New Roman"/>
          <w:color w:val="222222"/>
          <w:sz w:val="24"/>
          <w:szCs w:val="24"/>
          <w:lang w:eastAsia="es-ES"/>
        </w:rPr>
        <w:lastRenderedPageBreak/>
        <w:t xml:space="preserve">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 xml:space="preserve">leyes </w:t>
      </w:r>
      <w:r w:rsidRPr="00DF1D7E">
        <w:rPr>
          <w:rFonts w:ascii="Palatino Linotype" w:eastAsia="Times New Roman" w:hAnsi="Palatino Linotype" w:cs="Times New Roman"/>
          <w:color w:val="222222"/>
          <w:sz w:val="24"/>
          <w:szCs w:val="24"/>
          <w:lang w:eastAsia="es-ES"/>
        </w:rPr>
        <w:t>aplicables.</w:t>
      </w:r>
    </w:p>
    <w:p w14:paraId="39E3C1A0" w14:textId="77777777" w:rsidR="004765BB" w:rsidRDefault="004765BB" w:rsidP="004765BB">
      <w:pPr>
        <w:pStyle w:val="Sinespaciado"/>
        <w:spacing w:line="360" w:lineRule="auto"/>
        <w:jc w:val="both"/>
        <w:rPr>
          <w:rFonts w:ascii="Palatino Linotype" w:hAnsi="Palatino Linotype" w:cstheme="minorHAnsi"/>
          <w:b/>
          <w:sz w:val="28"/>
          <w:szCs w:val="28"/>
          <w:lang w:val="es-ES"/>
        </w:rPr>
      </w:pPr>
    </w:p>
    <w:p w14:paraId="49E56559" w14:textId="3176671F" w:rsidR="006448CE" w:rsidRPr="00627D99" w:rsidRDefault="006448CE" w:rsidP="006448CE">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sidR="00EB2D84">
        <w:rPr>
          <w:rFonts w:ascii="Palatino Linotype" w:hAnsi="Palatino Linotype" w:cs="Arial"/>
        </w:rPr>
        <w:t xml:space="preserve"> </w:t>
      </w:r>
      <w:r w:rsidRPr="00266B85">
        <w:rPr>
          <w:rFonts w:ascii="Palatino Linotype" w:hAnsi="Palatino Linotype" w:cs="Arial"/>
        </w:rPr>
        <w:t xml:space="preserve">Y GUADALUPE RAMÍREZ PEÑA; EN LA </w:t>
      </w:r>
      <w:r w:rsidR="002B68BB">
        <w:rPr>
          <w:rFonts w:ascii="Palatino Linotype" w:hAnsi="Palatino Linotype" w:cs="Arial"/>
        </w:rPr>
        <w:t>NOVENA</w:t>
      </w:r>
      <w:r w:rsidR="00CA283F">
        <w:rPr>
          <w:rFonts w:ascii="Palatino Linotype" w:hAnsi="Palatino Linotype" w:cs="Arial"/>
        </w:rPr>
        <w:t xml:space="preserve"> </w:t>
      </w:r>
      <w:r>
        <w:rPr>
          <w:rFonts w:ascii="Palatino Linotype" w:hAnsi="Palatino Linotype" w:cs="Arial"/>
        </w:rPr>
        <w:t xml:space="preserve">SESIÓN ORDINARIA CELEBRADA EL </w:t>
      </w:r>
      <w:r w:rsidR="002B68BB">
        <w:rPr>
          <w:rFonts w:ascii="Palatino Linotype" w:hAnsi="Palatino Linotype" w:cs="Arial"/>
        </w:rPr>
        <w:t>DOCE DE MARZO</w:t>
      </w:r>
      <w:r>
        <w:rPr>
          <w:rFonts w:ascii="Palatino Linotype" w:hAnsi="Palatino Linotype" w:cs="Arial"/>
        </w:rPr>
        <w:t xml:space="preserve"> DE DOS MIL </w:t>
      </w:r>
      <w:r w:rsidR="002B68BB">
        <w:rPr>
          <w:rFonts w:ascii="Palatino Linotype" w:hAnsi="Palatino Linotype" w:cs="Arial"/>
        </w:rPr>
        <w:t>VEINTICINCO</w:t>
      </w:r>
      <w:r>
        <w:rPr>
          <w:rFonts w:ascii="Palatino Linotype" w:hAnsi="Palatino Linotype" w:cs="Arial"/>
        </w:rPr>
        <w:t xml:space="preserve">, ANTE EL SECRETARIO </w:t>
      </w:r>
      <w:r w:rsidRPr="00627D99">
        <w:rPr>
          <w:rFonts w:ascii="Palatino Linotype" w:hAnsi="Palatino Linotype" w:cs="Arial"/>
          <w:sz w:val="23"/>
          <w:szCs w:val="23"/>
        </w:rPr>
        <w:t xml:space="preserve">TÉCNICO DEL PLENO, ALEXIS TAPIA RAMÍREZ. </w:t>
      </w:r>
    </w:p>
    <w:p w14:paraId="006DD1D1" w14:textId="265ED220" w:rsidR="006448CE" w:rsidRDefault="009D0A39" w:rsidP="006448CE">
      <w:pPr>
        <w:spacing w:line="360" w:lineRule="auto"/>
        <w:jc w:val="both"/>
        <w:rPr>
          <w:rFonts w:ascii="Palatino Linotype" w:hAnsi="Palatino Linotype"/>
          <w:bCs/>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798527" behindDoc="0" locked="0" layoutInCell="1" allowOverlap="1" wp14:anchorId="17662ABF" wp14:editId="1484BA6C">
                <wp:simplePos x="0" y="0"/>
                <wp:positionH relativeFrom="page">
                  <wp:posOffset>1092200</wp:posOffset>
                </wp:positionH>
                <wp:positionV relativeFrom="paragraph">
                  <wp:posOffset>323215</wp:posOffset>
                </wp:positionV>
                <wp:extent cx="6040120" cy="2988945"/>
                <wp:effectExtent l="0" t="0" r="36830" b="20955"/>
                <wp:wrapNone/>
                <wp:docPr id="156637053" name="Straight Connector 5"/>
                <wp:cNvGraphicFramePr/>
                <a:graphic xmlns:a="http://schemas.openxmlformats.org/drawingml/2006/main">
                  <a:graphicData uri="http://schemas.microsoft.com/office/word/2010/wordprocessingShape">
                    <wps:wsp>
                      <wps:cNvCnPr/>
                      <wps:spPr>
                        <a:xfrm>
                          <a:off x="0" y="0"/>
                          <a:ext cx="6040120" cy="2988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2AE73" id="Straight Connector 5" o:spid="_x0000_s1026" style="position:absolute;z-index:2517985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6pt,25.45pt" to="561.6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" strokecolor="#5b9bd5 [3204]" strokeweight=".5pt">
                <v:stroke joinstyle="miter"/>
                <w10:wrap anchorx="page"/>
              </v:line>
            </w:pict>
          </mc:Fallback>
        </mc:AlternateContent>
      </w:r>
      <w:r w:rsidR="006448CE">
        <w:rPr>
          <w:rFonts w:ascii="Palatino Linotype" w:hAnsi="Palatino Linotype"/>
          <w:bCs/>
          <w:sz w:val="18"/>
          <w:szCs w:val="18"/>
        </w:rPr>
        <w:t>CCR/J</w:t>
      </w:r>
      <w:r w:rsidR="006448CE" w:rsidRPr="00280B8B">
        <w:rPr>
          <w:rFonts w:ascii="Palatino Linotype" w:hAnsi="Palatino Linotype"/>
          <w:bCs/>
          <w:sz w:val="18"/>
          <w:szCs w:val="18"/>
        </w:rPr>
        <w:t>CMA</w:t>
      </w:r>
    </w:p>
    <w:p w14:paraId="1301B5AA" w14:textId="485C8A17" w:rsidR="00154C5F" w:rsidRDefault="00154C5F" w:rsidP="00B436EA">
      <w:pPr>
        <w:spacing w:before="240" w:line="360" w:lineRule="auto"/>
        <w:jc w:val="both"/>
        <w:rPr>
          <w:rFonts w:ascii="Palatino Linotype" w:hAnsi="Palatino Linotype"/>
          <w:sz w:val="24"/>
          <w:szCs w:val="24"/>
        </w:rPr>
      </w:pPr>
    </w:p>
    <w:p w14:paraId="7263DA32" w14:textId="77777777" w:rsidR="003E3072" w:rsidRDefault="003E3072" w:rsidP="00B436EA">
      <w:pPr>
        <w:spacing w:before="240" w:line="360" w:lineRule="auto"/>
        <w:jc w:val="both"/>
        <w:rPr>
          <w:rFonts w:ascii="Palatino Linotype" w:hAnsi="Palatino Linotype"/>
          <w:sz w:val="24"/>
          <w:szCs w:val="24"/>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794FA599" w14:textId="77777777" w:rsidR="00C724B9" w:rsidRDefault="00C724B9" w:rsidP="00B436EA">
      <w:pPr>
        <w:spacing w:before="240" w:line="360" w:lineRule="auto"/>
        <w:jc w:val="both"/>
        <w:rPr>
          <w:rFonts w:ascii="Palatino Linotype" w:hAnsi="Palatino Linotype"/>
          <w:sz w:val="24"/>
          <w:szCs w:val="24"/>
        </w:rPr>
      </w:pPr>
    </w:p>
    <w:p w14:paraId="756343E2" w14:textId="77777777" w:rsidR="00C724B9" w:rsidRDefault="00C724B9" w:rsidP="00B436EA">
      <w:pPr>
        <w:spacing w:before="240" w:line="360" w:lineRule="auto"/>
        <w:jc w:val="both"/>
        <w:rPr>
          <w:rFonts w:ascii="Palatino Linotype" w:hAnsi="Palatino Linotype"/>
          <w:sz w:val="24"/>
          <w:szCs w:val="24"/>
        </w:rPr>
      </w:pPr>
    </w:p>
    <w:p w14:paraId="5D88A4F7" w14:textId="77777777" w:rsidR="00C724B9" w:rsidRDefault="00C724B9" w:rsidP="00B436EA">
      <w:pPr>
        <w:spacing w:before="240" w:line="360" w:lineRule="auto"/>
        <w:jc w:val="both"/>
        <w:rPr>
          <w:rFonts w:ascii="Palatino Linotype" w:hAnsi="Palatino Linotype"/>
          <w:sz w:val="24"/>
          <w:szCs w:val="24"/>
        </w:rPr>
      </w:pPr>
    </w:p>
    <w:p w14:paraId="123C6AC3" w14:textId="77777777" w:rsidR="00C724B9" w:rsidRDefault="00C724B9"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sectPr w:rsidR="003E3072"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15CC" w14:textId="77777777" w:rsidR="00671F9A" w:rsidRDefault="00671F9A" w:rsidP="006168E4">
      <w:pPr>
        <w:spacing w:after="0" w:line="240" w:lineRule="auto"/>
      </w:pPr>
      <w:r>
        <w:separator/>
      </w:r>
    </w:p>
  </w:endnote>
  <w:endnote w:type="continuationSeparator" w:id="0">
    <w:p w14:paraId="13A3BB21" w14:textId="77777777" w:rsidR="00671F9A" w:rsidRDefault="00671F9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3F0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3F0E">
      <w:rPr>
        <w:rFonts w:ascii="Palatino Linotype" w:hAnsi="Palatino Linotype"/>
        <w:bCs/>
        <w:noProof/>
        <w:sz w:val="20"/>
      </w:rPr>
      <w:t>46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3F0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D3F0E">
      <w:rPr>
        <w:rFonts w:ascii="Palatino Linotype" w:hAnsi="Palatino Linotype"/>
        <w:bCs/>
        <w:noProof/>
        <w:sz w:val="20"/>
      </w:rPr>
      <w:t>46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DF47E" w14:textId="77777777" w:rsidR="00671F9A" w:rsidRDefault="00671F9A" w:rsidP="006168E4">
      <w:pPr>
        <w:spacing w:after="0" w:line="240" w:lineRule="auto"/>
      </w:pPr>
      <w:r>
        <w:separator/>
      </w:r>
    </w:p>
  </w:footnote>
  <w:footnote w:type="continuationSeparator" w:id="0">
    <w:p w14:paraId="3BDCA082" w14:textId="77777777" w:rsidR="00671F9A" w:rsidRDefault="00671F9A" w:rsidP="006168E4">
      <w:pPr>
        <w:spacing w:after="0" w:line="240" w:lineRule="auto"/>
      </w:pPr>
      <w:r>
        <w:continuationSeparator/>
      </w:r>
    </w:p>
  </w:footnote>
  <w:footnote w:id="1">
    <w:p w14:paraId="4E3AE096" w14:textId="77777777" w:rsidR="00BA367A" w:rsidRPr="00BA61D0" w:rsidRDefault="00BA367A" w:rsidP="00BA367A">
      <w:pPr>
        <w:pStyle w:val="Textonotapie"/>
        <w:rPr>
          <w:rFonts w:ascii="Palatino Linotype" w:hAnsi="Palatino Linotype"/>
          <w:i/>
          <w:iCs/>
          <w:sz w:val="18"/>
          <w:szCs w:val="18"/>
        </w:rPr>
      </w:pPr>
      <w:r>
        <w:rPr>
          <w:rStyle w:val="Refdenotaalpie"/>
        </w:rPr>
        <w:footnoteRef/>
      </w:r>
      <w:r>
        <w:t xml:space="preserve"> </w:t>
      </w:r>
      <w:hyperlink r:id="rId1"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3C06F43C"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05192">
            <w:rPr>
              <w:rFonts w:ascii="Palatino Linotype" w:hAnsi="Palatino Linotype" w:cs="Arial"/>
              <w:bCs/>
              <w:sz w:val="24"/>
              <w:lang w:eastAsia="es-MX"/>
            </w:rPr>
            <w:t>1100</w:t>
          </w:r>
          <w:r w:rsidR="00C70B4A">
            <w:rPr>
              <w:rFonts w:ascii="Palatino Linotype" w:hAnsi="Palatino Linotype" w:cs="Arial"/>
              <w:bCs/>
              <w:sz w:val="24"/>
              <w:lang w:eastAsia="es-MX"/>
            </w:rPr>
            <w:t>/INFOEM/IP/RR/202</w:t>
          </w:r>
          <w:r w:rsidR="00405192">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6868028" w:rsidR="00C70B4A" w:rsidRPr="00F06FED" w:rsidRDefault="00405192" w:rsidP="00C01E1C">
          <w:pPr>
            <w:spacing w:after="120" w:line="256" w:lineRule="auto"/>
            <w:ind w:left="639" w:right="214"/>
            <w:jc w:val="both"/>
            <w:rPr>
              <w:rFonts w:ascii="Palatino Linotype" w:hAnsi="Palatino Linotype" w:cs="Arial"/>
            </w:rPr>
          </w:pPr>
          <w:r>
            <w:rPr>
              <w:rFonts w:ascii="Palatino Linotype" w:hAnsi="Palatino Linotype" w:cs="Arial"/>
              <w:szCs w:val="20"/>
            </w:rPr>
            <w:t>Sistema Municipal Para el Desarrollo Integral de la Familia de Toluca</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0D876CD5"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05192">
            <w:rPr>
              <w:rFonts w:ascii="Palatino Linotype" w:hAnsi="Palatino Linotype" w:cs="Arial"/>
              <w:bCs/>
              <w:sz w:val="24"/>
              <w:lang w:eastAsia="es-MX"/>
            </w:rPr>
            <w:t>1100</w:t>
          </w:r>
          <w:r w:rsidR="00C70B4A">
            <w:rPr>
              <w:rFonts w:ascii="Palatino Linotype" w:hAnsi="Palatino Linotype" w:cs="Arial"/>
              <w:bCs/>
              <w:sz w:val="24"/>
              <w:lang w:eastAsia="es-MX"/>
            </w:rPr>
            <w:t>/INFOEM/IP/RR/202</w:t>
          </w:r>
          <w:r w:rsidR="00405192">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588F8F97" w:rsidR="00C70B4A" w:rsidRPr="00F06FED" w:rsidRDefault="00447446" w:rsidP="00870B18">
          <w:pPr>
            <w:spacing w:after="120" w:line="256" w:lineRule="auto"/>
            <w:ind w:left="637" w:right="214"/>
            <w:jc w:val="both"/>
            <w:rPr>
              <w:rFonts w:ascii="Palatino Linotype" w:hAnsi="Palatino Linotype" w:cs="Arial"/>
            </w:rPr>
          </w:pPr>
          <w:r>
            <w:rPr>
              <w:rFonts w:ascii="Palatino Linotype" w:hAnsi="Palatino Linotype" w:cs="Arial"/>
            </w:rPr>
            <w:t xml:space="preserve"> </w:t>
          </w:r>
          <w:r w:rsidR="00D31EFF">
            <w:rPr>
              <w:rFonts w:ascii="Palatino Linotype" w:hAnsi="Palatino Linotype" w:cs="Arial"/>
            </w:rPr>
            <w:t xml:space="preserve"> </w:t>
          </w:r>
          <w:r w:rsidR="008D3F0E">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656FE698" w:rsidR="00C70B4A" w:rsidRDefault="00405192"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Sistema Municipal Para el Desarrollo Integral de la Familia de Toluca</w:t>
          </w:r>
          <w:r w:rsidR="0039027A">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1516D"/>
    <w:multiLevelType w:val="hybridMultilevel"/>
    <w:tmpl w:val="05A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46486"/>
    <w:multiLevelType w:val="hybridMultilevel"/>
    <w:tmpl w:val="6B6A2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53D9B"/>
    <w:multiLevelType w:val="hybridMultilevel"/>
    <w:tmpl w:val="0CF0D2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6B114459"/>
    <w:multiLevelType w:val="hybridMultilevel"/>
    <w:tmpl w:val="A3B84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4"/>
  </w:num>
  <w:num w:numId="5">
    <w:abstractNumId w:val="3"/>
  </w:num>
  <w:num w:numId="6">
    <w:abstractNumId w:val="7"/>
  </w:num>
  <w:num w:numId="7">
    <w:abstractNumId w:val="0"/>
  </w:num>
  <w:num w:numId="8">
    <w:abstractNumId w:val="1"/>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225E"/>
    <w:rsid w:val="00013759"/>
    <w:rsid w:val="00014564"/>
    <w:rsid w:val="0001630D"/>
    <w:rsid w:val="000163D4"/>
    <w:rsid w:val="00016599"/>
    <w:rsid w:val="000170DF"/>
    <w:rsid w:val="00020A70"/>
    <w:rsid w:val="00021CBD"/>
    <w:rsid w:val="00022604"/>
    <w:rsid w:val="000236FA"/>
    <w:rsid w:val="0002450B"/>
    <w:rsid w:val="00025509"/>
    <w:rsid w:val="0002766F"/>
    <w:rsid w:val="000306A7"/>
    <w:rsid w:val="00031C92"/>
    <w:rsid w:val="000363A2"/>
    <w:rsid w:val="0004199A"/>
    <w:rsid w:val="00045379"/>
    <w:rsid w:val="0004584B"/>
    <w:rsid w:val="000461DF"/>
    <w:rsid w:val="00046AD8"/>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81988"/>
    <w:rsid w:val="000848D6"/>
    <w:rsid w:val="0008582E"/>
    <w:rsid w:val="00090AFC"/>
    <w:rsid w:val="00091552"/>
    <w:rsid w:val="00091C3A"/>
    <w:rsid w:val="00093E92"/>
    <w:rsid w:val="000971E4"/>
    <w:rsid w:val="000A157B"/>
    <w:rsid w:val="000A2D37"/>
    <w:rsid w:val="000A3486"/>
    <w:rsid w:val="000A44C7"/>
    <w:rsid w:val="000A4DD1"/>
    <w:rsid w:val="000A6313"/>
    <w:rsid w:val="000A70F8"/>
    <w:rsid w:val="000A71F4"/>
    <w:rsid w:val="000A733E"/>
    <w:rsid w:val="000A79DA"/>
    <w:rsid w:val="000B0B8F"/>
    <w:rsid w:val="000B1702"/>
    <w:rsid w:val="000B4B51"/>
    <w:rsid w:val="000B7158"/>
    <w:rsid w:val="000B7E6D"/>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686B"/>
    <w:rsid w:val="000F110B"/>
    <w:rsid w:val="000F3EDB"/>
    <w:rsid w:val="000F3EE7"/>
    <w:rsid w:val="000F68B1"/>
    <w:rsid w:val="000F6F19"/>
    <w:rsid w:val="000F7AC2"/>
    <w:rsid w:val="00100E19"/>
    <w:rsid w:val="00101774"/>
    <w:rsid w:val="00102B4F"/>
    <w:rsid w:val="00102D69"/>
    <w:rsid w:val="00110EDB"/>
    <w:rsid w:val="00111DCD"/>
    <w:rsid w:val="001149A6"/>
    <w:rsid w:val="00114CF9"/>
    <w:rsid w:val="0011564C"/>
    <w:rsid w:val="001167AA"/>
    <w:rsid w:val="00117157"/>
    <w:rsid w:val="00123898"/>
    <w:rsid w:val="00124855"/>
    <w:rsid w:val="00124EC6"/>
    <w:rsid w:val="001254F5"/>
    <w:rsid w:val="001336D3"/>
    <w:rsid w:val="001364AA"/>
    <w:rsid w:val="00136FAD"/>
    <w:rsid w:val="00140579"/>
    <w:rsid w:val="00143D5F"/>
    <w:rsid w:val="00144B4A"/>
    <w:rsid w:val="00146F0A"/>
    <w:rsid w:val="00146FFD"/>
    <w:rsid w:val="001479AF"/>
    <w:rsid w:val="00147B36"/>
    <w:rsid w:val="00150196"/>
    <w:rsid w:val="00150A4C"/>
    <w:rsid w:val="00150D1D"/>
    <w:rsid w:val="00152124"/>
    <w:rsid w:val="00152C2B"/>
    <w:rsid w:val="001542FC"/>
    <w:rsid w:val="00154C5F"/>
    <w:rsid w:val="00160513"/>
    <w:rsid w:val="001646D0"/>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7B88"/>
    <w:rsid w:val="001C0BAD"/>
    <w:rsid w:val="001C0DA5"/>
    <w:rsid w:val="001C1540"/>
    <w:rsid w:val="001C1E07"/>
    <w:rsid w:val="001C7319"/>
    <w:rsid w:val="001C7D87"/>
    <w:rsid w:val="001D1BE8"/>
    <w:rsid w:val="001D299A"/>
    <w:rsid w:val="001D3E87"/>
    <w:rsid w:val="001D5F16"/>
    <w:rsid w:val="001D6FAB"/>
    <w:rsid w:val="001E0EC8"/>
    <w:rsid w:val="001E1D18"/>
    <w:rsid w:val="001E2C0F"/>
    <w:rsid w:val="001E668A"/>
    <w:rsid w:val="001E6A63"/>
    <w:rsid w:val="001E7204"/>
    <w:rsid w:val="001F0A4F"/>
    <w:rsid w:val="001F2A14"/>
    <w:rsid w:val="001F3F0E"/>
    <w:rsid w:val="001F4ADC"/>
    <w:rsid w:val="001F5597"/>
    <w:rsid w:val="001F71ED"/>
    <w:rsid w:val="0020194E"/>
    <w:rsid w:val="00203D3A"/>
    <w:rsid w:val="00203FF3"/>
    <w:rsid w:val="002044B4"/>
    <w:rsid w:val="00207086"/>
    <w:rsid w:val="00210B06"/>
    <w:rsid w:val="00211D60"/>
    <w:rsid w:val="0021501E"/>
    <w:rsid w:val="0021546A"/>
    <w:rsid w:val="0021572A"/>
    <w:rsid w:val="002203CC"/>
    <w:rsid w:val="002205C0"/>
    <w:rsid w:val="0022494A"/>
    <w:rsid w:val="002251FF"/>
    <w:rsid w:val="00225507"/>
    <w:rsid w:val="00232223"/>
    <w:rsid w:val="0023373D"/>
    <w:rsid w:val="00233D7E"/>
    <w:rsid w:val="00233EF7"/>
    <w:rsid w:val="0023423C"/>
    <w:rsid w:val="00237F4F"/>
    <w:rsid w:val="0024112D"/>
    <w:rsid w:val="002428BA"/>
    <w:rsid w:val="00244177"/>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4D6"/>
    <w:rsid w:val="00280B8B"/>
    <w:rsid w:val="00282235"/>
    <w:rsid w:val="00286FF0"/>
    <w:rsid w:val="0029026C"/>
    <w:rsid w:val="00292350"/>
    <w:rsid w:val="00292DC0"/>
    <w:rsid w:val="00293C29"/>
    <w:rsid w:val="00294345"/>
    <w:rsid w:val="002978D3"/>
    <w:rsid w:val="00297EF9"/>
    <w:rsid w:val="002A0E16"/>
    <w:rsid w:val="002A2034"/>
    <w:rsid w:val="002A24F4"/>
    <w:rsid w:val="002A38BF"/>
    <w:rsid w:val="002A429A"/>
    <w:rsid w:val="002A597E"/>
    <w:rsid w:val="002A79A4"/>
    <w:rsid w:val="002B0FB9"/>
    <w:rsid w:val="002B4382"/>
    <w:rsid w:val="002B5DBD"/>
    <w:rsid w:val="002B68BB"/>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E7813"/>
    <w:rsid w:val="002F22FA"/>
    <w:rsid w:val="002F37BE"/>
    <w:rsid w:val="002F41CA"/>
    <w:rsid w:val="002F4C6A"/>
    <w:rsid w:val="002F527C"/>
    <w:rsid w:val="002F70F6"/>
    <w:rsid w:val="00300D0B"/>
    <w:rsid w:val="00301196"/>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2DD6"/>
    <w:rsid w:val="0033580E"/>
    <w:rsid w:val="00337F09"/>
    <w:rsid w:val="00343D1E"/>
    <w:rsid w:val="0035054D"/>
    <w:rsid w:val="00354258"/>
    <w:rsid w:val="00355593"/>
    <w:rsid w:val="00357548"/>
    <w:rsid w:val="00357E0E"/>
    <w:rsid w:val="00361B9C"/>
    <w:rsid w:val="00361D89"/>
    <w:rsid w:val="00364A77"/>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2246"/>
    <w:rsid w:val="003A2658"/>
    <w:rsid w:val="003A3A3B"/>
    <w:rsid w:val="003A4CF6"/>
    <w:rsid w:val="003A61F9"/>
    <w:rsid w:val="003A6975"/>
    <w:rsid w:val="003B0793"/>
    <w:rsid w:val="003B0D66"/>
    <w:rsid w:val="003B11BA"/>
    <w:rsid w:val="003B1208"/>
    <w:rsid w:val="003B1E88"/>
    <w:rsid w:val="003B5E96"/>
    <w:rsid w:val="003B6792"/>
    <w:rsid w:val="003C0DF8"/>
    <w:rsid w:val="003C22B2"/>
    <w:rsid w:val="003C2376"/>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5192"/>
    <w:rsid w:val="0040673A"/>
    <w:rsid w:val="004069EB"/>
    <w:rsid w:val="00410ACB"/>
    <w:rsid w:val="00411E6F"/>
    <w:rsid w:val="00412600"/>
    <w:rsid w:val="004150FE"/>
    <w:rsid w:val="00415FC1"/>
    <w:rsid w:val="00420099"/>
    <w:rsid w:val="00421D09"/>
    <w:rsid w:val="00422ED2"/>
    <w:rsid w:val="00423213"/>
    <w:rsid w:val="0042416D"/>
    <w:rsid w:val="00424487"/>
    <w:rsid w:val="00424EA1"/>
    <w:rsid w:val="00435290"/>
    <w:rsid w:val="00436802"/>
    <w:rsid w:val="00437E68"/>
    <w:rsid w:val="00442E45"/>
    <w:rsid w:val="00443AD4"/>
    <w:rsid w:val="0044438E"/>
    <w:rsid w:val="00445C0F"/>
    <w:rsid w:val="00446A26"/>
    <w:rsid w:val="00447446"/>
    <w:rsid w:val="00451448"/>
    <w:rsid w:val="004516EB"/>
    <w:rsid w:val="004529B6"/>
    <w:rsid w:val="00453DBD"/>
    <w:rsid w:val="00454CE6"/>
    <w:rsid w:val="00455463"/>
    <w:rsid w:val="00456076"/>
    <w:rsid w:val="00457305"/>
    <w:rsid w:val="00457850"/>
    <w:rsid w:val="00457955"/>
    <w:rsid w:val="0046179C"/>
    <w:rsid w:val="00462881"/>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2F99"/>
    <w:rsid w:val="004A55D8"/>
    <w:rsid w:val="004A5FFD"/>
    <w:rsid w:val="004A6A62"/>
    <w:rsid w:val="004A7CE2"/>
    <w:rsid w:val="004B031A"/>
    <w:rsid w:val="004B1236"/>
    <w:rsid w:val="004B1ACE"/>
    <w:rsid w:val="004B234F"/>
    <w:rsid w:val="004B353F"/>
    <w:rsid w:val="004B59BB"/>
    <w:rsid w:val="004B5CCC"/>
    <w:rsid w:val="004C117E"/>
    <w:rsid w:val="004C2845"/>
    <w:rsid w:val="004C3081"/>
    <w:rsid w:val="004C4E08"/>
    <w:rsid w:val="004C5149"/>
    <w:rsid w:val="004C7961"/>
    <w:rsid w:val="004D0658"/>
    <w:rsid w:val="004D08EB"/>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6A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8"/>
    <w:rsid w:val="005A1286"/>
    <w:rsid w:val="005A13B7"/>
    <w:rsid w:val="005A27AD"/>
    <w:rsid w:val="005A34EE"/>
    <w:rsid w:val="005A353A"/>
    <w:rsid w:val="005A4EBE"/>
    <w:rsid w:val="005A5C79"/>
    <w:rsid w:val="005A6D57"/>
    <w:rsid w:val="005A71FD"/>
    <w:rsid w:val="005A7D4F"/>
    <w:rsid w:val="005B1F52"/>
    <w:rsid w:val="005B324D"/>
    <w:rsid w:val="005B5840"/>
    <w:rsid w:val="005B595E"/>
    <w:rsid w:val="005B5B70"/>
    <w:rsid w:val="005B5F05"/>
    <w:rsid w:val="005C06AA"/>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676C"/>
    <w:rsid w:val="00606B79"/>
    <w:rsid w:val="00606FC5"/>
    <w:rsid w:val="0060721D"/>
    <w:rsid w:val="0061042F"/>
    <w:rsid w:val="006168E4"/>
    <w:rsid w:val="00617CA2"/>
    <w:rsid w:val="00621F47"/>
    <w:rsid w:val="00622359"/>
    <w:rsid w:val="00623C9D"/>
    <w:rsid w:val="0062497C"/>
    <w:rsid w:val="00625200"/>
    <w:rsid w:val="006255AA"/>
    <w:rsid w:val="00630846"/>
    <w:rsid w:val="00631806"/>
    <w:rsid w:val="00636FD7"/>
    <w:rsid w:val="00637512"/>
    <w:rsid w:val="00640EE4"/>
    <w:rsid w:val="00641B8F"/>
    <w:rsid w:val="006448CE"/>
    <w:rsid w:val="006456FA"/>
    <w:rsid w:val="006466F5"/>
    <w:rsid w:val="00646C24"/>
    <w:rsid w:val="00652053"/>
    <w:rsid w:val="00652BC5"/>
    <w:rsid w:val="00656060"/>
    <w:rsid w:val="00661753"/>
    <w:rsid w:val="0066216F"/>
    <w:rsid w:val="00663A16"/>
    <w:rsid w:val="00663C3F"/>
    <w:rsid w:val="00664B05"/>
    <w:rsid w:val="006654F6"/>
    <w:rsid w:val="00666CAF"/>
    <w:rsid w:val="00671F9A"/>
    <w:rsid w:val="00675390"/>
    <w:rsid w:val="00676CAA"/>
    <w:rsid w:val="006802CF"/>
    <w:rsid w:val="006827AB"/>
    <w:rsid w:val="006831E4"/>
    <w:rsid w:val="00683B62"/>
    <w:rsid w:val="006848B7"/>
    <w:rsid w:val="006868A7"/>
    <w:rsid w:val="00690791"/>
    <w:rsid w:val="006915EA"/>
    <w:rsid w:val="006946CE"/>
    <w:rsid w:val="00694828"/>
    <w:rsid w:val="006A1B2A"/>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23FC"/>
    <w:rsid w:val="006D643D"/>
    <w:rsid w:val="006E063C"/>
    <w:rsid w:val="006E0EA3"/>
    <w:rsid w:val="006E3851"/>
    <w:rsid w:val="006E53FF"/>
    <w:rsid w:val="006E7EEE"/>
    <w:rsid w:val="006F1167"/>
    <w:rsid w:val="006F266B"/>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3C8"/>
    <w:rsid w:val="00754CAE"/>
    <w:rsid w:val="007607D5"/>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5AF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A7DC9"/>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7B07"/>
    <w:rsid w:val="007E7BAB"/>
    <w:rsid w:val="007E7DCE"/>
    <w:rsid w:val="007E7FA9"/>
    <w:rsid w:val="007F20AC"/>
    <w:rsid w:val="007F4BB2"/>
    <w:rsid w:val="007F6623"/>
    <w:rsid w:val="007F6858"/>
    <w:rsid w:val="00802C56"/>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70FC"/>
    <w:rsid w:val="008778CE"/>
    <w:rsid w:val="00877C8E"/>
    <w:rsid w:val="00880E88"/>
    <w:rsid w:val="00884054"/>
    <w:rsid w:val="00890B7A"/>
    <w:rsid w:val="00890C62"/>
    <w:rsid w:val="0089173B"/>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3F0E"/>
    <w:rsid w:val="008D595F"/>
    <w:rsid w:val="008D5AC6"/>
    <w:rsid w:val="008D7453"/>
    <w:rsid w:val="008E012F"/>
    <w:rsid w:val="008E6375"/>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6CDA"/>
    <w:rsid w:val="0090759E"/>
    <w:rsid w:val="009104D1"/>
    <w:rsid w:val="00911863"/>
    <w:rsid w:val="00913133"/>
    <w:rsid w:val="0091317A"/>
    <w:rsid w:val="009131C3"/>
    <w:rsid w:val="0091475B"/>
    <w:rsid w:val="00914DC8"/>
    <w:rsid w:val="00915DB9"/>
    <w:rsid w:val="0092120C"/>
    <w:rsid w:val="00921AC3"/>
    <w:rsid w:val="00921DB9"/>
    <w:rsid w:val="0092403D"/>
    <w:rsid w:val="00924E40"/>
    <w:rsid w:val="0092524A"/>
    <w:rsid w:val="00925E60"/>
    <w:rsid w:val="00926C36"/>
    <w:rsid w:val="009304CD"/>
    <w:rsid w:val="00933BEE"/>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3A2B"/>
    <w:rsid w:val="009855E2"/>
    <w:rsid w:val="00987C03"/>
    <w:rsid w:val="00990E3D"/>
    <w:rsid w:val="00992977"/>
    <w:rsid w:val="00992B07"/>
    <w:rsid w:val="009935E2"/>
    <w:rsid w:val="0099557F"/>
    <w:rsid w:val="009A148F"/>
    <w:rsid w:val="009A15AC"/>
    <w:rsid w:val="009A3511"/>
    <w:rsid w:val="009A686F"/>
    <w:rsid w:val="009A7912"/>
    <w:rsid w:val="009B0094"/>
    <w:rsid w:val="009B2777"/>
    <w:rsid w:val="009B28E9"/>
    <w:rsid w:val="009B33A8"/>
    <w:rsid w:val="009B3487"/>
    <w:rsid w:val="009B390A"/>
    <w:rsid w:val="009B7C61"/>
    <w:rsid w:val="009C22B1"/>
    <w:rsid w:val="009C3793"/>
    <w:rsid w:val="009C552E"/>
    <w:rsid w:val="009C62BD"/>
    <w:rsid w:val="009C68AC"/>
    <w:rsid w:val="009D0A39"/>
    <w:rsid w:val="009D26AD"/>
    <w:rsid w:val="009D341C"/>
    <w:rsid w:val="009D3C55"/>
    <w:rsid w:val="009D45BD"/>
    <w:rsid w:val="009D5261"/>
    <w:rsid w:val="009D5B6D"/>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26F"/>
    <w:rsid w:val="00A02B9D"/>
    <w:rsid w:val="00A035C0"/>
    <w:rsid w:val="00A036BE"/>
    <w:rsid w:val="00A0575E"/>
    <w:rsid w:val="00A068CE"/>
    <w:rsid w:val="00A06A16"/>
    <w:rsid w:val="00A10F77"/>
    <w:rsid w:val="00A12205"/>
    <w:rsid w:val="00A139AF"/>
    <w:rsid w:val="00A162FF"/>
    <w:rsid w:val="00A17BE7"/>
    <w:rsid w:val="00A20113"/>
    <w:rsid w:val="00A238F0"/>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3C3D"/>
    <w:rsid w:val="00A544DC"/>
    <w:rsid w:val="00A54E6E"/>
    <w:rsid w:val="00A55818"/>
    <w:rsid w:val="00A56153"/>
    <w:rsid w:val="00A56556"/>
    <w:rsid w:val="00A57056"/>
    <w:rsid w:val="00A5790A"/>
    <w:rsid w:val="00A62473"/>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F9F"/>
    <w:rsid w:val="00A977B0"/>
    <w:rsid w:val="00A977CC"/>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1866"/>
    <w:rsid w:val="00B11E08"/>
    <w:rsid w:val="00B12FF9"/>
    <w:rsid w:val="00B14039"/>
    <w:rsid w:val="00B149FA"/>
    <w:rsid w:val="00B177F4"/>
    <w:rsid w:val="00B22242"/>
    <w:rsid w:val="00B2232C"/>
    <w:rsid w:val="00B22598"/>
    <w:rsid w:val="00B2330D"/>
    <w:rsid w:val="00B23384"/>
    <w:rsid w:val="00B25008"/>
    <w:rsid w:val="00B27F33"/>
    <w:rsid w:val="00B32CD3"/>
    <w:rsid w:val="00B33E11"/>
    <w:rsid w:val="00B34CED"/>
    <w:rsid w:val="00B3513A"/>
    <w:rsid w:val="00B35A93"/>
    <w:rsid w:val="00B3672D"/>
    <w:rsid w:val="00B37E9B"/>
    <w:rsid w:val="00B433C9"/>
    <w:rsid w:val="00B436EA"/>
    <w:rsid w:val="00B437D8"/>
    <w:rsid w:val="00B44ADE"/>
    <w:rsid w:val="00B46506"/>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280E"/>
    <w:rsid w:val="00B73FE9"/>
    <w:rsid w:val="00B7701B"/>
    <w:rsid w:val="00B8117F"/>
    <w:rsid w:val="00B87D50"/>
    <w:rsid w:val="00B91BCB"/>
    <w:rsid w:val="00B9223B"/>
    <w:rsid w:val="00B94AAC"/>
    <w:rsid w:val="00B94AE7"/>
    <w:rsid w:val="00B953BD"/>
    <w:rsid w:val="00B95905"/>
    <w:rsid w:val="00B95E96"/>
    <w:rsid w:val="00B97421"/>
    <w:rsid w:val="00BA2A94"/>
    <w:rsid w:val="00BA367A"/>
    <w:rsid w:val="00BA4282"/>
    <w:rsid w:val="00BA4D1F"/>
    <w:rsid w:val="00BA5339"/>
    <w:rsid w:val="00BA6226"/>
    <w:rsid w:val="00BA7AD1"/>
    <w:rsid w:val="00BB0F3F"/>
    <w:rsid w:val="00BB1091"/>
    <w:rsid w:val="00BB14FD"/>
    <w:rsid w:val="00BB2250"/>
    <w:rsid w:val="00BB3132"/>
    <w:rsid w:val="00BB5448"/>
    <w:rsid w:val="00BB68CA"/>
    <w:rsid w:val="00BB721B"/>
    <w:rsid w:val="00BC0FDD"/>
    <w:rsid w:val="00BC130D"/>
    <w:rsid w:val="00BC22E0"/>
    <w:rsid w:val="00BC2A46"/>
    <w:rsid w:val="00BC3FA4"/>
    <w:rsid w:val="00BD004A"/>
    <w:rsid w:val="00BD0628"/>
    <w:rsid w:val="00BD352C"/>
    <w:rsid w:val="00BD5023"/>
    <w:rsid w:val="00BD5133"/>
    <w:rsid w:val="00BD58AB"/>
    <w:rsid w:val="00BD68A2"/>
    <w:rsid w:val="00BE28ED"/>
    <w:rsid w:val="00BE2E30"/>
    <w:rsid w:val="00BE3339"/>
    <w:rsid w:val="00BF1D3A"/>
    <w:rsid w:val="00C008B2"/>
    <w:rsid w:val="00C0130E"/>
    <w:rsid w:val="00C01ABC"/>
    <w:rsid w:val="00C01E1C"/>
    <w:rsid w:val="00C01F6B"/>
    <w:rsid w:val="00C02A84"/>
    <w:rsid w:val="00C07B2D"/>
    <w:rsid w:val="00C07FDF"/>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1DC3"/>
    <w:rsid w:val="00C321D9"/>
    <w:rsid w:val="00C3330D"/>
    <w:rsid w:val="00C34654"/>
    <w:rsid w:val="00C347FE"/>
    <w:rsid w:val="00C357BE"/>
    <w:rsid w:val="00C4006D"/>
    <w:rsid w:val="00C419E1"/>
    <w:rsid w:val="00C4530E"/>
    <w:rsid w:val="00C45C21"/>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2715"/>
    <w:rsid w:val="00C73143"/>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83F"/>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44EE"/>
    <w:rsid w:val="00CD4BFA"/>
    <w:rsid w:val="00CD4E49"/>
    <w:rsid w:val="00CE0E72"/>
    <w:rsid w:val="00CE2ADF"/>
    <w:rsid w:val="00CE367D"/>
    <w:rsid w:val="00CE3B78"/>
    <w:rsid w:val="00CE6D6A"/>
    <w:rsid w:val="00CF1C84"/>
    <w:rsid w:val="00CF1D7D"/>
    <w:rsid w:val="00CF45D3"/>
    <w:rsid w:val="00CF51F9"/>
    <w:rsid w:val="00CF6B6C"/>
    <w:rsid w:val="00CF7EA2"/>
    <w:rsid w:val="00D0159B"/>
    <w:rsid w:val="00D04204"/>
    <w:rsid w:val="00D042BB"/>
    <w:rsid w:val="00D05E63"/>
    <w:rsid w:val="00D05FAE"/>
    <w:rsid w:val="00D06CA0"/>
    <w:rsid w:val="00D0731B"/>
    <w:rsid w:val="00D115BB"/>
    <w:rsid w:val="00D11797"/>
    <w:rsid w:val="00D12C68"/>
    <w:rsid w:val="00D134FB"/>
    <w:rsid w:val="00D14FEC"/>
    <w:rsid w:val="00D15546"/>
    <w:rsid w:val="00D16C97"/>
    <w:rsid w:val="00D17789"/>
    <w:rsid w:val="00D21565"/>
    <w:rsid w:val="00D2277C"/>
    <w:rsid w:val="00D22F7D"/>
    <w:rsid w:val="00D257C6"/>
    <w:rsid w:val="00D25BEE"/>
    <w:rsid w:val="00D27079"/>
    <w:rsid w:val="00D2737E"/>
    <w:rsid w:val="00D274A9"/>
    <w:rsid w:val="00D302CF"/>
    <w:rsid w:val="00D31397"/>
    <w:rsid w:val="00D31EF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68A"/>
    <w:rsid w:val="00DA494B"/>
    <w:rsid w:val="00DA5129"/>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53C6"/>
    <w:rsid w:val="00E371EC"/>
    <w:rsid w:val="00E37B66"/>
    <w:rsid w:val="00E43116"/>
    <w:rsid w:val="00E444DA"/>
    <w:rsid w:val="00E45623"/>
    <w:rsid w:val="00E50F38"/>
    <w:rsid w:val="00E51A48"/>
    <w:rsid w:val="00E51ACE"/>
    <w:rsid w:val="00E53D3D"/>
    <w:rsid w:val="00E550AA"/>
    <w:rsid w:val="00E571F8"/>
    <w:rsid w:val="00E57E5A"/>
    <w:rsid w:val="00E6173D"/>
    <w:rsid w:val="00E618B7"/>
    <w:rsid w:val="00E6369C"/>
    <w:rsid w:val="00E63C1D"/>
    <w:rsid w:val="00E64F0A"/>
    <w:rsid w:val="00E67668"/>
    <w:rsid w:val="00E70AEE"/>
    <w:rsid w:val="00E7107E"/>
    <w:rsid w:val="00E71C93"/>
    <w:rsid w:val="00E725D5"/>
    <w:rsid w:val="00E72AE3"/>
    <w:rsid w:val="00E73937"/>
    <w:rsid w:val="00E73B51"/>
    <w:rsid w:val="00E76B98"/>
    <w:rsid w:val="00E76D0D"/>
    <w:rsid w:val="00E8151C"/>
    <w:rsid w:val="00E81A88"/>
    <w:rsid w:val="00E81E9C"/>
    <w:rsid w:val="00E8255A"/>
    <w:rsid w:val="00E82E15"/>
    <w:rsid w:val="00E83A79"/>
    <w:rsid w:val="00E83FE9"/>
    <w:rsid w:val="00E84151"/>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0F85"/>
    <w:rsid w:val="00EB117B"/>
    <w:rsid w:val="00EB2BEB"/>
    <w:rsid w:val="00EB2D84"/>
    <w:rsid w:val="00EB40D6"/>
    <w:rsid w:val="00EB4222"/>
    <w:rsid w:val="00EB5F75"/>
    <w:rsid w:val="00EB79CD"/>
    <w:rsid w:val="00EC2F75"/>
    <w:rsid w:val="00EC52A5"/>
    <w:rsid w:val="00ED4C91"/>
    <w:rsid w:val="00ED5985"/>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553"/>
    <w:rsid w:val="00EF1925"/>
    <w:rsid w:val="00EF1FAF"/>
    <w:rsid w:val="00EF2489"/>
    <w:rsid w:val="00EF4EF0"/>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627B"/>
    <w:rsid w:val="00F567CC"/>
    <w:rsid w:val="00F5724D"/>
    <w:rsid w:val="00F6021E"/>
    <w:rsid w:val="00F60AB3"/>
    <w:rsid w:val="00F61E57"/>
    <w:rsid w:val="00F62329"/>
    <w:rsid w:val="00F635AC"/>
    <w:rsid w:val="00F63D26"/>
    <w:rsid w:val="00F65A74"/>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D7E25"/>
    <w:rsid w:val="00FE009C"/>
    <w:rsid w:val="00FE01E5"/>
    <w:rsid w:val="00FE0702"/>
    <w:rsid w:val="00FE214F"/>
    <w:rsid w:val="00FE30F4"/>
    <w:rsid w:val="00FE3DA3"/>
    <w:rsid w:val="00FE4094"/>
    <w:rsid w:val="00FE4698"/>
    <w:rsid w:val="00FE6BC1"/>
    <w:rsid w:val="00FE73F0"/>
    <w:rsid w:val="00FF1082"/>
    <w:rsid w:val="00FF34BB"/>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C200-07EB-4231-B2A9-7F34A0F8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46</Pages>
  <Words>8471</Words>
  <Characters>46594</Characters>
  <Application>Microsoft Office Word</Application>
  <DocSecurity>0</DocSecurity>
  <Lines>388</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2019-11-07T00:56:00Z</cp:lastPrinted>
  <dcterms:created xsi:type="dcterms:W3CDTF">2025-02-28T19:49:00Z</dcterms:created>
  <dcterms:modified xsi:type="dcterms:W3CDTF">2025-03-28T17:38:00Z</dcterms:modified>
</cp:coreProperties>
</file>