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4E814"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5E3C9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mayo de dos mil veinticinco. </w:t>
      </w:r>
    </w:p>
    <w:p w14:paraId="4EA8169D" w14:textId="4FB98810" w:rsidR="005B2976" w:rsidRPr="005E3C9B" w:rsidRDefault="008E7AE9">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5E3C9B">
        <w:rPr>
          <w:rFonts w:ascii="Palatino Linotype" w:eastAsia="Palatino Linotype" w:hAnsi="Palatino Linotype" w:cs="Palatino Linotype"/>
          <w:b/>
        </w:rPr>
        <w:t>VISTO</w:t>
      </w:r>
      <w:r w:rsidRPr="005E3C9B">
        <w:rPr>
          <w:rFonts w:ascii="Palatino Linotype" w:eastAsia="Palatino Linotype" w:hAnsi="Palatino Linotype" w:cs="Palatino Linotype"/>
        </w:rPr>
        <w:t xml:space="preserve"> el expediente formado con motivo del recurso de revisión </w:t>
      </w:r>
      <w:r w:rsidRPr="005E3C9B">
        <w:rPr>
          <w:rFonts w:ascii="Palatino Linotype" w:eastAsia="Palatino Linotype" w:hAnsi="Palatino Linotype" w:cs="Palatino Linotype"/>
          <w:b/>
        </w:rPr>
        <w:t>02484/INFOEM/IP/RR/2025</w:t>
      </w:r>
      <w:r w:rsidRPr="005E3C9B">
        <w:rPr>
          <w:rFonts w:ascii="Palatino Linotype" w:eastAsia="Palatino Linotype" w:hAnsi="Palatino Linotype" w:cs="Palatino Linotype"/>
        </w:rPr>
        <w:t>, interpuesto por</w:t>
      </w:r>
      <w:r w:rsidRPr="005E3C9B">
        <w:rPr>
          <w:rFonts w:ascii="Palatino Linotype" w:eastAsia="Palatino Linotype" w:hAnsi="Palatino Linotype" w:cs="Palatino Linotype"/>
          <w:b/>
        </w:rPr>
        <w:t xml:space="preserve"> </w:t>
      </w:r>
      <w:r w:rsidR="00CA0C82" w:rsidRPr="00CA0C82">
        <w:rPr>
          <w:rFonts w:ascii="Palatino Linotype" w:eastAsia="Palatino Linotype" w:hAnsi="Palatino Linotype" w:cs="Palatino Linotype"/>
          <w:b/>
        </w:rPr>
        <w:t xml:space="preserve">XXXXXXXXXXXXX XXXXXXXX XXXXXXXXX  </w:t>
      </w:r>
      <w:r w:rsidRPr="005E3C9B">
        <w:rPr>
          <w:rFonts w:ascii="Palatino Linotype" w:eastAsia="Palatino Linotype" w:hAnsi="Palatino Linotype" w:cs="Palatino Linotype"/>
          <w:b/>
        </w:rPr>
        <w:t>,</w:t>
      </w:r>
      <w:r w:rsidRPr="005E3C9B">
        <w:rPr>
          <w:rFonts w:ascii="Palatino Linotype" w:eastAsia="Palatino Linotype" w:hAnsi="Palatino Linotype" w:cs="Palatino Linotype"/>
        </w:rPr>
        <w:t xml:space="preserve"> en lo sucesivo</w:t>
      </w:r>
      <w:r w:rsidRPr="005E3C9B">
        <w:rPr>
          <w:rFonts w:ascii="Palatino Linotype" w:eastAsia="Palatino Linotype" w:hAnsi="Palatino Linotype" w:cs="Palatino Linotype"/>
          <w:b/>
        </w:rPr>
        <w:t xml:space="preserve"> </w:t>
      </w:r>
      <w:r w:rsidRPr="005E3C9B">
        <w:rPr>
          <w:rFonts w:ascii="Palatino Linotype" w:eastAsia="Palatino Linotype" w:hAnsi="Palatino Linotype" w:cs="Palatino Linotype"/>
        </w:rPr>
        <w:t xml:space="preserve">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xml:space="preserve"> en contra de la respuesta a la solicitud de información con número de folio</w:t>
      </w:r>
      <w:r w:rsidRPr="005E3C9B">
        <w:rPr>
          <w:rFonts w:ascii="Palatino Linotype" w:eastAsia="Palatino Linotype" w:hAnsi="Palatino Linotype" w:cs="Palatino Linotype"/>
          <w:b/>
        </w:rPr>
        <w:t xml:space="preserve"> 00015/TMASCALC/IP/2025, </w:t>
      </w:r>
      <w:r w:rsidRPr="005E3C9B">
        <w:rPr>
          <w:rFonts w:ascii="Palatino Linotype" w:eastAsia="Palatino Linotype" w:hAnsi="Palatino Linotype" w:cs="Palatino Linotype"/>
        </w:rPr>
        <w:t xml:space="preserve">por parte del </w:t>
      </w:r>
      <w:r w:rsidRPr="005E3C9B">
        <w:rPr>
          <w:rFonts w:ascii="Palatino Linotype" w:eastAsia="Palatino Linotype" w:hAnsi="Palatino Linotype" w:cs="Palatino Linotype"/>
          <w:b/>
        </w:rPr>
        <w:t xml:space="preserve">Ayuntamiento de Temascalcingo, </w:t>
      </w:r>
      <w:r w:rsidRPr="005E3C9B">
        <w:rPr>
          <w:rFonts w:ascii="Palatino Linotype" w:eastAsia="Palatino Linotype" w:hAnsi="Palatino Linotype" w:cs="Palatino Linotype"/>
        </w:rPr>
        <w:t xml:space="preserve">en lo sucesivo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se procede a dictar la presente resolución con base en los siguientes: </w:t>
      </w:r>
    </w:p>
    <w:p w14:paraId="21786C97" w14:textId="77777777" w:rsidR="005B2976" w:rsidRPr="005E3C9B" w:rsidRDefault="008E7AE9">
      <w:pPr>
        <w:spacing w:before="240" w:after="240" w:line="360" w:lineRule="auto"/>
        <w:jc w:val="center"/>
        <w:rPr>
          <w:rFonts w:ascii="Palatino Linotype" w:eastAsia="Palatino Linotype" w:hAnsi="Palatino Linotype" w:cs="Palatino Linotype"/>
          <w:b/>
        </w:rPr>
      </w:pPr>
      <w:r w:rsidRPr="005E3C9B">
        <w:rPr>
          <w:rFonts w:ascii="Palatino Linotype" w:eastAsia="Palatino Linotype" w:hAnsi="Palatino Linotype" w:cs="Palatino Linotype"/>
          <w:b/>
        </w:rPr>
        <w:t>I. A N T E C E D E N T E S</w:t>
      </w:r>
    </w:p>
    <w:p w14:paraId="23EA9162" w14:textId="77777777" w:rsidR="005B2976" w:rsidRPr="005E3C9B" w:rsidRDefault="008E7AE9">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5E3C9B">
        <w:rPr>
          <w:rFonts w:ascii="Palatino Linotype" w:eastAsia="Palatino Linotype" w:hAnsi="Palatino Linotype" w:cs="Palatino Linotype"/>
          <w:b/>
        </w:rPr>
        <w:t xml:space="preserve">1. Solicitud de acceso a la información. </w:t>
      </w: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veintinueve de enero de dos mil veinticinco,</w:t>
      </w:r>
      <w:r w:rsidRPr="005E3C9B">
        <w:rPr>
          <w:rFonts w:ascii="Palatino Linotype" w:eastAsia="Palatino Linotype" w:hAnsi="Palatino Linotype" w:cs="Palatino Linotype"/>
        </w:rPr>
        <w:t xml:space="preserve">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 xml:space="preserve">presentó la solicitud de acceso a la información pública ante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a través del Sistema de Acceso a la Información Mexiquense, en lo subsecuente el </w:t>
      </w:r>
      <w:r w:rsidRPr="005E3C9B">
        <w:rPr>
          <w:rFonts w:ascii="Palatino Linotype" w:eastAsia="Palatino Linotype" w:hAnsi="Palatino Linotype" w:cs="Palatino Linotype"/>
          <w:b/>
        </w:rPr>
        <w:t>SAIMEX,</w:t>
      </w:r>
      <w:r w:rsidRPr="005E3C9B">
        <w:rPr>
          <w:rFonts w:ascii="Palatino Linotype" w:eastAsia="Palatino Linotype" w:hAnsi="Palatino Linotype" w:cs="Palatino Linotype"/>
        </w:rPr>
        <w:t xml:space="preserve"> mediante la cual requirió lo siguiente:</w:t>
      </w:r>
    </w:p>
    <w:p w14:paraId="78D81CBD"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i/>
          <w:sz w:val="22"/>
          <w:szCs w:val="22"/>
        </w:rPr>
        <w:t xml:space="preserve">“Buenas tardes con fundamento en el </w:t>
      </w:r>
      <w:proofErr w:type="spellStart"/>
      <w:r w:rsidRPr="005E3C9B">
        <w:rPr>
          <w:rFonts w:ascii="Palatino Linotype" w:eastAsia="Palatino Linotype" w:hAnsi="Palatino Linotype" w:cs="Palatino Linotype"/>
          <w:i/>
          <w:sz w:val="22"/>
          <w:szCs w:val="22"/>
        </w:rPr>
        <w:t>articulo</w:t>
      </w:r>
      <w:proofErr w:type="spellEnd"/>
      <w:r w:rsidRPr="005E3C9B">
        <w:rPr>
          <w:rFonts w:ascii="Palatino Linotype" w:eastAsia="Palatino Linotype" w:hAnsi="Palatino Linotype" w:cs="Palatino Linotype"/>
          <w:i/>
          <w:sz w:val="22"/>
          <w:szCs w:val="22"/>
        </w:rPr>
        <w:t xml:space="preserve"> 6 de la Constitución Política de México, y con el fin de conocer el cumplimiento de los 125 Municipios del Estado de México, a la normatividad y las obligaciones establecidas, así como a la protección de datos personales, esto establecido en la Ley Federal de Transparencia y Acceso a la Información Pública, Ley General de Transparencia y Acceso a la Información Pública y Ley de Transparencia y Acceso a la Información Pública del Estado de México y Municipios, solicito lo siguiente del Ayuntamiento de Temascalcingo: 1.- Organigrama General. 2.- Remuneraciones de mandos medios y superiores. 3.- Tramites y Servicios de todas las áreas. 4.- Presupuesto asignado al Sujeto Obligado 5.- Aviso de Privacidad (Integran y </w:t>
      </w:r>
      <w:r w:rsidRPr="005E3C9B">
        <w:rPr>
          <w:rFonts w:ascii="Palatino Linotype" w:eastAsia="Palatino Linotype" w:hAnsi="Palatino Linotype" w:cs="Palatino Linotype"/>
          <w:i/>
          <w:sz w:val="22"/>
          <w:szCs w:val="22"/>
        </w:rPr>
        <w:lastRenderedPageBreak/>
        <w:t>Simplificados) vigentes. 6.- Documentos de Seguridad de todas las áreas. 7.- Obligaciones con las que cumple el Sujeto obligado (Simples y Especificas).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r w:rsidRPr="005E3C9B">
        <w:rPr>
          <w:rFonts w:ascii="Palatino Linotype" w:eastAsia="Palatino Linotype" w:hAnsi="Palatino Linotype" w:cs="Palatino Linotype"/>
          <w:b/>
          <w:i/>
          <w:sz w:val="22"/>
          <w:szCs w:val="22"/>
        </w:rPr>
        <w:t>”</w:t>
      </w:r>
      <w:r w:rsidRPr="005E3C9B">
        <w:rPr>
          <w:rFonts w:ascii="Palatino Linotype" w:eastAsia="Palatino Linotype" w:hAnsi="Palatino Linotype" w:cs="Palatino Linotype"/>
          <w:i/>
          <w:sz w:val="22"/>
          <w:szCs w:val="22"/>
        </w:rPr>
        <w:t xml:space="preserve"> (sic) </w:t>
      </w:r>
    </w:p>
    <w:p w14:paraId="15D36B16"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5E3C9B">
        <w:rPr>
          <w:rFonts w:ascii="Palatino Linotype" w:eastAsia="Palatino Linotype" w:hAnsi="Palatino Linotype" w:cs="Palatino Linotype"/>
          <w:b/>
        </w:rPr>
        <w:t>Modalidad de Entrega:</w:t>
      </w:r>
      <w:r w:rsidRPr="005E3C9B">
        <w:rPr>
          <w:rFonts w:ascii="Palatino Linotype" w:eastAsia="Palatino Linotype" w:hAnsi="Palatino Linotype" w:cs="Palatino Linotype"/>
        </w:rPr>
        <w:t xml:space="preserve"> a través del</w:t>
      </w:r>
      <w:r w:rsidRPr="005E3C9B">
        <w:rPr>
          <w:rFonts w:ascii="Palatino Linotype" w:eastAsia="Palatino Linotype" w:hAnsi="Palatino Linotype" w:cs="Palatino Linotype"/>
          <w:b/>
        </w:rPr>
        <w:t xml:space="preserve"> SAIMEX.</w:t>
      </w:r>
    </w:p>
    <w:p w14:paraId="6ABFD82C" w14:textId="77777777" w:rsidR="005B2976" w:rsidRPr="005E3C9B" w:rsidRDefault="008E7AE9">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2. Prórroga. </w:t>
      </w: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 xml:space="preserve">veinte de febrero de dos mil veinticinco, </w:t>
      </w: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notificó a la persona solicitante la prórroga para dar respuesta a la solicitud</w:t>
      </w:r>
      <w:r w:rsidRPr="005E3C9B">
        <w:rPr>
          <w:rFonts w:ascii="Palatino Linotype" w:eastAsia="Palatino Linotype" w:hAnsi="Palatino Linotype" w:cs="Palatino Linotype"/>
          <w:b/>
        </w:rPr>
        <w:t>,</w:t>
      </w:r>
      <w:r w:rsidRPr="005E3C9B">
        <w:rPr>
          <w:rFonts w:ascii="Palatino Linotype" w:eastAsia="Palatino Linotype" w:hAnsi="Palatino Linotype" w:cs="Palatino Linotype"/>
        </w:rPr>
        <w:t xml:space="preserve"> medularmente en los siguientes términos:</w:t>
      </w:r>
    </w:p>
    <w:p w14:paraId="5CD4FE21"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2261246"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SE INFORMA QUE MEDIANTE LA PRIMERA SESION EXTRAORDINARIA DEL COMITE DE TRANSPARENCIA, SE APRUEBA </w:t>
      </w:r>
      <w:r w:rsidRPr="005E3C9B">
        <w:rPr>
          <w:rFonts w:ascii="Palatino Linotype" w:eastAsia="Palatino Linotype" w:hAnsi="Palatino Linotype" w:cs="Palatino Linotype"/>
          <w:i/>
          <w:sz w:val="22"/>
          <w:szCs w:val="22"/>
        </w:rPr>
        <w:lastRenderedPageBreak/>
        <w:t>LA AMPLIACIÓN DE PLAZO DE LA SOLICITUD 00015/TMASCALC/IP/2025.” (sic)</w:t>
      </w:r>
    </w:p>
    <w:p w14:paraId="399802EA" w14:textId="77777777" w:rsidR="005B2976" w:rsidRPr="005E3C9B" w:rsidRDefault="008E7AE9">
      <w:pPr>
        <w:spacing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Como refiere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7B48BA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3. Respuesta. </w:t>
      </w: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cuatro de marzo de dos mil veinticinco,</w:t>
      </w:r>
      <w:r w:rsidRPr="005E3C9B">
        <w:rPr>
          <w:rFonts w:ascii="Palatino Linotype" w:eastAsia="Palatino Linotype" w:hAnsi="Palatino Linotype" w:cs="Palatino Linotype"/>
        </w:rPr>
        <w:t xml:space="preserve">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45F15F6" w14:textId="77777777" w:rsidR="005B2976" w:rsidRPr="005E3C9B" w:rsidRDefault="008E7AE9">
      <w:pPr>
        <w:spacing w:before="240" w:after="24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“…POR MEDIO DEL PRESENTE SE ENVIA INFORMACIÓN CORRESPONDIENTE A LA SOLICITUD 00015/TMASCALC/IP/</w:t>
      </w:r>
      <w:proofErr w:type="gramStart"/>
      <w:r w:rsidRPr="005E3C9B">
        <w:rPr>
          <w:rFonts w:ascii="Palatino Linotype" w:eastAsia="Palatino Linotype" w:hAnsi="Palatino Linotype" w:cs="Palatino Linotype"/>
          <w:i/>
          <w:sz w:val="22"/>
          <w:szCs w:val="22"/>
        </w:rPr>
        <w:t>2025....</w:t>
      </w:r>
      <w:proofErr w:type="gramEnd"/>
      <w:r w:rsidRPr="005E3C9B">
        <w:rPr>
          <w:rFonts w:ascii="Palatino Linotype" w:eastAsia="Palatino Linotype" w:hAnsi="Palatino Linotype" w:cs="Palatino Linotype"/>
          <w:i/>
          <w:sz w:val="22"/>
          <w:szCs w:val="22"/>
        </w:rPr>
        <w:t>” (sic)</w:t>
      </w:r>
    </w:p>
    <w:p w14:paraId="4EDA34FD"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adjuntó lo siguiente:</w:t>
      </w:r>
    </w:p>
    <w:p w14:paraId="242FB7B6"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Oficio número MTM/TM/059/02/2025, del doce de febrero de dos mil veinticinco, signado por el Tesorero Municipal, mediante el cual, para dar atención al punto 4 de la solicitud, manifiesta que la información relativa al presupuesto asignado al Sujeto Obligado, se encuentra en proceso de elaboración, de conformidad con el artículo 125 de la Constitución Política del Estado Libre y Soberano de México.</w:t>
      </w:r>
    </w:p>
    <w:p w14:paraId="55A786E0"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 Oficio número MTM/DAYDP/124/02/2025, del doce de febrero de dos mil veinticinco, signado por la </w:t>
      </w:r>
      <w:proofErr w:type="gramStart"/>
      <w:r w:rsidRPr="005E3C9B">
        <w:rPr>
          <w:rFonts w:ascii="Palatino Linotype" w:eastAsia="Palatino Linotype" w:hAnsi="Palatino Linotype" w:cs="Palatino Linotype"/>
        </w:rPr>
        <w:t>Directora</w:t>
      </w:r>
      <w:proofErr w:type="gramEnd"/>
      <w:r w:rsidRPr="005E3C9B">
        <w:rPr>
          <w:rFonts w:ascii="Palatino Linotype" w:eastAsia="Palatino Linotype" w:hAnsi="Palatino Linotype" w:cs="Palatino Linotype"/>
        </w:rPr>
        <w:t xml:space="preserve"> de Administración y Desarrollo de Personal, mediante el cual refiere anexar la relación de las remuneraciones de mandos medios y superiores, para atender el punto 2 de la solicitud.</w:t>
      </w:r>
    </w:p>
    <w:p w14:paraId="16EE1D57" w14:textId="77777777" w:rsidR="005B2976" w:rsidRPr="005E3C9B" w:rsidRDefault="008E7AE9">
      <w:pPr>
        <w:numPr>
          <w:ilvl w:val="0"/>
          <w:numId w:val="7"/>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Listado de cargos y la percepción que le corresponde a cada uno.</w:t>
      </w:r>
    </w:p>
    <w:p w14:paraId="47E83D8A"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Oficio número MTM/CGMR/27/02/2025, del diecisiete de febrero de dos mil veinticinco, signado por la Coordinadora General de Mejora Regulatoria, mediante el cual proporciona la liga electrónica: </w:t>
      </w:r>
      <w:hyperlink r:id="rId8">
        <w:r w:rsidRPr="005E3C9B">
          <w:rPr>
            <w:rFonts w:ascii="Palatino Linotype" w:eastAsia="Palatino Linotype" w:hAnsi="Palatino Linotype" w:cs="Palatino Linotype"/>
            <w:u w:val="single"/>
          </w:rPr>
          <w:t>https://temascalcingo.gob.mx/tramites-y-servicios/</w:t>
        </w:r>
      </w:hyperlink>
      <w:r w:rsidRPr="005E3C9B">
        <w:rPr>
          <w:rFonts w:ascii="Palatino Linotype" w:eastAsia="Palatino Linotype" w:hAnsi="Palatino Linotype" w:cs="Palatino Linotype"/>
        </w:rPr>
        <w:t>, así como dos capturas de pantalla del portal respectivo, con la finalidad de atender el punto 3 de la solicitud.</w:t>
      </w:r>
    </w:p>
    <w:p w14:paraId="338DB40C"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Oficio número MTM/CIM/58/02/2025, del dieciocho de febrero de dos mil veinticinco, signado por la Contralora Interna Municipal, mediante el cual refiere anexar las actas de instalación del Comité de Participación Ciudadana del Sistema Municipal Anticorrupción del once de julio de dos mil veintidós y del Comité Coordinador del Sistema Municipal Anticorrupción, el cual quedo formalmente instalado el quince de julio de dos mil veintidós.</w:t>
      </w:r>
    </w:p>
    <w:p w14:paraId="5E40ECD3" w14:textId="77777777" w:rsidR="005B2976" w:rsidRPr="005E3C9B" w:rsidRDefault="008E7AE9">
      <w:pPr>
        <w:numPr>
          <w:ilvl w:val="0"/>
          <w:numId w:val="4"/>
        </w:numPr>
        <w:pBdr>
          <w:top w:val="nil"/>
          <w:left w:val="nil"/>
          <w:bottom w:val="nil"/>
          <w:right w:val="nil"/>
          <w:between w:val="nil"/>
        </w:pBdr>
        <w:tabs>
          <w:tab w:val="left" w:pos="567"/>
        </w:tabs>
        <w:spacing w:before="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Acta de Instalación del Comité de Participación Ciudadana del Sistema Municipal Anticorrupción, del once de julio de dos mil veintidós, integra.</w:t>
      </w:r>
    </w:p>
    <w:p w14:paraId="7BCA4AE4" w14:textId="77777777" w:rsidR="005B2976" w:rsidRPr="005E3C9B" w:rsidRDefault="008E7AE9">
      <w:pPr>
        <w:numPr>
          <w:ilvl w:val="0"/>
          <w:numId w:val="4"/>
        </w:numPr>
        <w:pBdr>
          <w:top w:val="nil"/>
          <w:left w:val="nil"/>
          <w:bottom w:val="nil"/>
          <w:right w:val="nil"/>
          <w:between w:val="nil"/>
        </w:pBdr>
        <w:tabs>
          <w:tab w:val="left" w:pos="567"/>
        </w:tabs>
        <w:spacing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Acta de Instalación del Comité Coordinador del Sistema Municipal Anticorrupción, del quince de julio de dos mil veintidós, integra.</w:t>
      </w:r>
    </w:p>
    <w:p w14:paraId="1AA810C8"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i/>
        </w:rPr>
        <w:lastRenderedPageBreak/>
        <w:t>-</w:t>
      </w:r>
      <w:r w:rsidRPr="005E3C9B">
        <w:rPr>
          <w:rFonts w:ascii="Palatino Linotype" w:eastAsia="Palatino Linotype" w:hAnsi="Palatino Linotype" w:cs="Palatino Linotype"/>
          <w:b/>
          <w:i/>
        </w:rPr>
        <w:t xml:space="preserve"> </w:t>
      </w:r>
      <w:r w:rsidRPr="005E3C9B">
        <w:rPr>
          <w:rFonts w:ascii="Palatino Linotype" w:eastAsia="Palatino Linotype" w:hAnsi="Palatino Linotype" w:cs="Palatino Linotype"/>
        </w:rPr>
        <w:t xml:space="preserve">Oficio número MTM/SA/191/02/2025, del diecinueve de febrero de dos mil veinticinco, signado por el </w:t>
      </w:r>
      <w:proofErr w:type="gramStart"/>
      <w:r w:rsidRPr="005E3C9B">
        <w:rPr>
          <w:rFonts w:ascii="Palatino Linotype" w:eastAsia="Palatino Linotype" w:hAnsi="Palatino Linotype" w:cs="Palatino Linotype"/>
        </w:rPr>
        <w:t>Secretario</w:t>
      </w:r>
      <w:proofErr w:type="gramEnd"/>
      <w:r w:rsidRPr="005E3C9B">
        <w:rPr>
          <w:rFonts w:ascii="Palatino Linotype" w:eastAsia="Palatino Linotype" w:hAnsi="Palatino Linotype" w:cs="Palatino Linotype"/>
        </w:rPr>
        <w:t xml:space="preserve"> del Ayuntamiento, mediante el cual informa que el Organigrama General se encuentra en los archivos de la Unidad de Información, Planeación, Programación y Evaluación.</w:t>
      </w:r>
    </w:p>
    <w:p w14:paraId="3C987730"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Oficio número MTM/UIPPE/36/02/2025, del veinticuatro de febrero de dos mil veinticinco, signado por la Titular de la Unidad de Información, Planeación, Programación y Evaluación, mediante el cual manifiesta anexar el Organigrama General.</w:t>
      </w:r>
    </w:p>
    <w:p w14:paraId="40213E8F" w14:textId="77777777" w:rsidR="005B2976" w:rsidRPr="005E3C9B" w:rsidRDefault="008E7AE9">
      <w:pPr>
        <w:numPr>
          <w:ilvl w:val="0"/>
          <w:numId w:val="6"/>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Organigrama del ayuntamiento.</w:t>
      </w:r>
    </w:p>
    <w:p w14:paraId="5669D0C9"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Oficio número MTM/UT/112/03/2025, del cuatro de marzo de dos mil veinticinco, signado por el Encargado de la Unidad de Transparencia y Acceso a la Información, mediante el cual proporciona la dirección electrónica: </w:t>
      </w:r>
      <w:hyperlink r:id="rId9">
        <w:r w:rsidRPr="005E3C9B">
          <w:rPr>
            <w:rFonts w:ascii="Palatino Linotype" w:eastAsia="Palatino Linotype" w:hAnsi="Palatino Linotype" w:cs="Palatino Linotype"/>
            <w:u w:val="single"/>
          </w:rPr>
          <w:t>https://www.infoem.org.mx/es/contenido/verificaci%C3%B3n-virtual-oficiosa-2024</w:t>
        </w:r>
      </w:hyperlink>
      <w:r w:rsidRPr="005E3C9B">
        <w:rPr>
          <w:rFonts w:ascii="Palatino Linotype" w:eastAsia="Palatino Linotype" w:hAnsi="Palatino Linotype" w:cs="Palatino Linotype"/>
        </w:rPr>
        <w:t xml:space="preserve">, para consultar los resultados de los últimos 3 años de las verificaciones oficiosas, que ha realizado este Instituto, asimismo, inserta una  captura de pantalla del portal respectivo, para dar atención al punto 8 de la solicitud; la dirección electrónica </w:t>
      </w:r>
      <w:hyperlink r:id="rId10">
        <w:r w:rsidRPr="005E3C9B">
          <w:rPr>
            <w:rFonts w:ascii="Palatino Linotype" w:eastAsia="Palatino Linotype" w:hAnsi="Palatino Linotype" w:cs="Palatino Linotype"/>
            <w:u w:val="single"/>
          </w:rPr>
          <w:t>https://temascalcingo.gob.mx/transparencia/</w:t>
        </w:r>
      </w:hyperlink>
      <w:r w:rsidRPr="005E3C9B">
        <w:rPr>
          <w:rFonts w:ascii="Palatino Linotype" w:eastAsia="Palatino Linotype" w:hAnsi="Palatino Linotype" w:cs="Palatino Linotype"/>
        </w:rPr>
        <w:t xml:space="preserve">, para la consulta de los avisos de privacidad integrales y simplificados vigentes, así como la captura de pantalla del portal respectivo, por lo que se refiere al punto 5; manifiesta adjuntar el documento de seguridad vigente, para atender el punto 6; refiere que la información relativa a las obligaciones simples y especificas con las que cumple el Sujeto Obligado, se encuentran establecidas en el Bando Municipal, 2025, por lo que </w:t>
      </w:r>
      <w:r w:rsidRPr="005E3C9B">
        <w:rPr>
          <w:rFonts w:ascii="Palatino Linotype" w:eastAsia="Palatino Linotype" w:hAnsi="Palatino Linotype" w:cs="Palatino Linotype"/>
        </w:rPr>
        <w:lastRenderedPageBreak/>
        <w:t>se refiere al punto 7; manifestó adjuntar el Acta de instalación del Comité de Transparencia, respecto al punto 9; asimismo, indicó el número de solicitudes de acceso a la información, de solicitudes de datos personales, de recursos de revisión y de incumplimientos se atendieron en los últimos 3 años, para dar respuesta a los puntos 11, 12, 13 y 14; y, finalmente, refirió para atender el punto 15 de la solicitud refirió que se encontraba imposibilitada para proporcionar información sobre las acciones que se han generado en materia de Transparencia Proactiva, al no obrar en los archivos de la Unidad.</w:t>
      </w:r>
    </w:p>
    <w:p w14:paraId="347B8AE2" w14:textId="77777777" w:rsidR="005B2976" w:rsidRPr="005E3C9B" w:rsidRDefault="008E7AE9">
      <w:pPr>
        <w:numPr>
          <w:ilvl w:val="0"/>
          <w:numId w:val="5"/>
        </w:numPr>
        <w:pBdr>
          <w:top w:val="nil"/>
          <w:left w:val="nil"/>
          <w:bottom w:val="nil"/>
          <w:right w:val="nil"/>
          <w:between w:val="nil"/>
        </w:pBdr>
        <w:tabs>
          <w:tab w:val="left" w:pos="567"/>
        </w:tabs>
        <w:spacing w:before="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Acta MTM/UT/01/01/2025, relativa a la Instalación del Comité de Transparencia, del veintisiete del mes de enero de dos mil veinticinco.</w:t>
      </w:r>
    </w:p>
    <w:p w14:paraId="028BCE1B" w14:textId="77777777" w:rsidR="005B2976" w:rsidRPr="005E3C9B" w:rsidRDefault="008E7AE9">
      <w:pPr>
        <w:numPr>
          <w:ilvl w:val="0"/>
          <w:numId w:val="5"/>
        </w:numPr>
        <w:pBdr>
          <w:top w:val="nil"/>
          <w:left w:val="nil"/>
          <w:bottom w:val="nil"/>
          <w:right w:val="nil"/>
          <w:between w:val="nil"/>
        </w:pBdr>
        <w:tabs>
          <w:tab w:val="left" w:pos="567"/>
        </w:tabs>
        <w:spacing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Documento de seguridad de la Unidad de Transparencia y Acceso a la Información Pública, Procedimiento para el Acceso, Rectificación, Cancelación y Oposición del Tratamiento de Datos Personales (ARCO) y Programa General de Capacitación.</w:t>
      </w:r>
    </w:p>
    <w:p w14:paraId="486E98A8" w14:textId="77777777" w:rsidR="005B2976" w:rsidRPr="005E3C9B" w:rsidRDefault="008E7AE9">
      <w:pPr>
        <w:spacing w:before="240" w:after="240" w:line="360" w:lineRule="auto"/>
        <w:ind w:right="49"/>
        <w:jc w:val="both"/>
        <w:rPr>
          <w:rFonts w:ascii="Palatino Linotype" w:eastAsia="Palatino Linotype" w:hAnsi="Palatino Linotype" w:cs="Palatino Linotype"/>
          <w:b/>
        </w:rPr>
      </w:pPr>
      <w:r w:rsidRPr="005E3C9B">
        <w:rPr>
          <w:rFonts w:ascii="Palatino Linotype" w:eastAsia="Palatino Linotype" w:hAnsi="Palatino Linotype" w:cs="Palatino Linotype"/>
          <w:b/>
        </w:rPr>
        <w:t xml:space="preserve">3. Interposición del recurso de revisión. </w:t>
      </w:r>
      <w:r w:rsidRPr="005E3C9B">
        <w:rPr>
          <w:rFonts w:ascii="Palatino Linotype" w:eastAsia="Palatino Linotype" w:hAnsi="Palatino Linotype" w:cs="Palatino Linotype"/>
        </w:rPr>
        <w:t xml:space="preserve">Inconforme con los términos de la respuesta emitida por parte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el </w:t>
      </w:r>
      <w:r w:rsidRPr="005E3C9B">
        <w:rPr>
          <w:rFonts w:ascii="Palatino Linotype" w:eastAsia="Palatino Linotype" w:hAnsi="Palatino Linotype" w:cs="Palatino Linotype"/>
          <w:b/>
        </w:rPr>
        <w:t>cinco de marzo de dos mil veinticinco,</w:t>
      </w:r>
      <w:r w:rsidRPr="005E3C9B">
        <w:rPr>
          <w:rFonts w:ascii="Palatino Linotype" w:eastAsia="Palatino Linotype" w:hAnsi="Palatino Linotype" w:cs="Palatino Linotype"/>
        </w:rPr>
        <w:t xml:space="preserve"> 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xml:space="preserve"> interpuso el recurso de revisión a través de </w:t>
      </w:r>
      <w:r w:rsidRPr="005E3C9B">
        <w:rPr>
          <w:rFonts w:ascii="Palatino Linotype" w:eastAsia="Palatino Linotype" w:hAnsi="Palatino Linotype" w:cs="Palatino Linotype"/>
          <w:b/>
        </w:rPr>
        <w:t xml:space="preserve">SAIMEX, </w:t>
      </w:r>
      <w:r w:rsidRPr="005E3C9B">
        <w:rPr>
          <w:rFonts w:ascii="Palatino Linotype" w:eastAsia="Palatino Linotype" w:hAnsi="Palatino Linotype" w:cs="Palatino Linotype"/>
        </w:rPr>
        <w:t>en donde se manifestó de la siguiente manera:</w:t>
      </w:r>
    </w:p>
    <w:p w14:paraId="55E33D5F" w14:textId="77777777" w:rsidR="005B2976" w:rsidRPr="005E3C9B" w:rsidRDefault="008E7AE9">
      <w:pPr>
        <w:spacing w:before="240" w:after="240" w:line="360" w:lineRule="auto"/>
        <w:ind w:right="49"/>
        <w:jc w:val="both"/>
        <w:rPr>
          <w:rFonts w:ascii="Palatino Linotype" w:eastAsia="Palatino Linotype" w:hAnsi="Palatino Linotype" w:cs="Palatino Linotype"/>
          <w:b/>
        </w:rPr>
      </w:pPr>
      <w:r w:rsidRPr="005E3C9B">
        <w:rPr>
          <w:rFonts w:ascii="Palatino Linotype" w:eastAsia="Palatino Linotype" w:hAnsi="Palatino Linotype" w:cs="Palatino Linotype"/>
          <w:b/>
        </w:rPr>
        <w:t xml:space="preserve">Acto impugnado: </w:t>
      </w:r>
    </w:p>
    <w:p w14:paraId="09B65C47" w14:textId="77777777" w:rsidR="005B2976" w:rsidRPr="005E3C9B" w:rsidRDefault="008E7AE9">
      <w:pPr>
        <w:tabs>
          <w:tab w:val="left" w:pos="2745"/>
        </w:tabs>
        <w:spacing w:before="240" w:after="24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“NO ME ENVIA LA INFORMACION COMO LA SOLICITE ASI MISMO LA ENVIA INCOMPLETA” (sic)</w:t>
      </w:r>
    </w:p>
    <w:p w14:paraId="33FEBF73" w14:textId="77777777" w:rsidR="005B2976" w:rsidRPr="005E3C9B" w:rsidRDefault="008E7AE9">
      <w:pPr>
        <w:spacing w:line="360" w:lineRule="auto"/>
        <w:jc w:val="both"/>
        <w:rPr>
          <w:rFonts w:ascii="Palatino Linotype" w:eastAsia="Palatino Linotype" w:hAnsi="Palatino Linotype" w:cs="Palatino Linotype"/>
        </w:rPr>
      </w:pPr>
      <w:bookmarkStart w:id="4" w:name="_heading=h.30j0zll" w:colFirst="0" w:colLast="0"/>
      <w:bookmarkEnd w:id="4"/>
      <w:r w:rsidRPr="005E3C9B">
        <w:rPr>
          <w:rFonts w:ascii="Palatino Linotype" w:eastAsia="Palatino Linotype" w:hAnsi="Palatino Linotype" w:cs="Palatino Linotype"/>
          <w:b/>
        </w:rPr>
        <w:t>Y, Razones o motivos de inconformidad</w:t>
      </w:r>
      <w:r w:rsidRPr="005E3C9B">
        <w:rPr>
          <w:rFonts w:ascii="Palatino Linotype" w:eastAsia="Palatino Linotype" w:hAnsi="Palatino Linotype" w:cs="Palatino Linotype"/>
        </w:rPr>
        <w:t>:</w:t>
      </w:r>
    </w:p>
    <w:p w14:paraId="4F036655" w14:textId="77777777" w:rsidR="005B2976" w:rsidRPr="005E3C9B" w:rsidRDefault="008E7AE9">
      <w:pPr>
        <w:tabs>
          <w:tab w:val="left" w:pos="2745"/>
        </w:tabs>
        <w:spacing w:before="240" w:after="24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“NO ME ENVIA LA INFORMACION COMO LA SOLICITE ASI MISMO LA ENVIA INCOMPLETA” (sic)</w:t>
      </w:r>
    </w:p>
    <w:p w14:paraId="5079B6A0" w14:textId="77777777" w:rsidR="005B2976" w:rsidRPr="005E3C9B" w:rsidRDefault="008E7AE9">
      <w:pPr>
        <w:spacing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4. Turno. </w:t>
      </w:r>
      <w:r w:rsidRPr="005E3C9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E3C9B">
        <w:rPr>
          <w:rFonts w:ascii="Palatino Linotype" w:eastAsia="Palatino Linotype" w:hAnsi="Palatino Linotype" w:cs="Palatino Linotype"/>
          <w:b/>
        </w:rPr>
        <w:t xml:space="preserve">Guadalupe Ramírez Peña, </w:t>
      </w:r>
      <w:r w:rsidRPr="005E3C9B">
        <w:rPr>
          <w:rFonts w:ascii="Palatino Linotype" w:eastAsia="Palatino Linotype" w:hAnsi="Palatino Linotype" w:cs="Palatino Linotype"/>
        </w:rPr>
        <w:t xml:space="preserve">a efecto de que analizara sobre su admisión o su </w:t>
      </w:r>
      <w:proofErr w:type="spellStart"/>
      <w:r w:rsidRPr="005E3C9B">
        <w:rPr>
          <w:rFonts w:ascii="Palatino Linotype" w:eastAsia="Palatino Linotype" w:hAnsi="Palatino Linotype" w:cs="Palatino Linotype"/>
        </w:rPr>
        <w:t>desechamiento</w:t>
      </w:r>
      <w:proofErr w:type="spellEnd"/>
      <w:r w:rsidRPr="005E3C9B">
        <w:rPr>
          <w:rFonts w:ascii="Palatino Linotype" w:eastAsia="Palatino Linotype" w:hAnsi="Palatino Linotype" w:cs="Palatino Linotype"/>
        </w:rPr>
        <w:t>.</w:t>
      </w:r>
    </w:p>
    <w:p w14:paraId="685FF99B" w14:textId="77777777" w:rsidR="005B2976" w:rsidRPr="005E3C9B" w:rsidRDefault="008E7AE9">
      <w:pPr>
        <w:spacing w:before="240" w:after="24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b/>
        </w:rPr>
        <w:t>5. Admisión del Recurso de revisión.</w:t>
      </w:r>
      <w:r w:rsidRPr="005E3C9B">
        <w:rPr>
          <w:rFonts w:ascii="Palatino Linotype" w:eastAsia="Palatino Linotype" w:hAnsi="Palatino Linotype" w:cs="Palatino Linotype"/>
        </w:rPr>
        <w:t xml:space="preserve"> El</w:t>
      </w:r>
      <w:r w:rsidRPr="005E3C9B">
        <w:rPr>
          <w:rFonts w:ascii="Palatino Linotype" w:eastAsia="Palatino Linotype" w:hAnsi="Palatino Linotype" w:cs="Palatino Linotype"/>
          <w:b/>
        </w:rPr>
        <w:t xml:space="preserve"> diez de marzo de dos mil veinticinco, </w:t>
      </w:r>
      <w:r w:rsidRPr="005E3C9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presentara su informe justificado.</w:t>
      </w:r>
    </w:p>
    <w:p w14:paraId="44F79536"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5E3C9B">
        <w:rPr>
          <w:rFonts w:ascii="Palatino Linotype" w:eastAsia="Palatino Linotype" w:hAnsi="Palatino Linotype" w:cs="Palatino Linotype"/>
          <w:b/>
        </w:rPr>
        <w:t>6. Manifestaciones</w:t>
      </w:r>
      <w:r w:rsidRPr="005E3C9B">
        <w:rPr>
          <w:rFonts w:ascii="Palatino Linotype" w:eastAsia="Palatino Linotype" w:hAnsi="Palatino Linotype" w:cs="Palatino Linotype"/>
        </w:rPr>
        <w:t xml:space="preserve">. El </w:t>
      </w:r>
      <w:r w:rsidRPr="005E3C9B">
        <w:rPr>
          <w:rFonts w:ascii="Palatino Linotype" w:eastAsia="Palatino Linotype" w:hAnsi="Palatino Linotype" w:cs="Palatino Linotype"/>
          <w:b/>
        </w:rPr>
        <w:t xml:space="preserve">diecinueve de marzo de dos mil veinticinco, </w:t>
      </w: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rindió, a través del SAIMEX, los siguientes documentos:</w:t>
      </w:r>
    </w:p>
    <w:p w14:paraId="692413A7" w14:textId="77777777" w:rsidR="005B2976" w:rsidRPr="005E3C9B" w:rsidRDefault="008E7AE9">
      <w:pPr>
        <w:widowControl w:val="0"/>
        <w:spacing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 Oficio número MTM/TM/093/03/2025, el doce de marzo de dos mil veinticinco, signado por el Tesorero Municipal, en el cual manifiesta que mediante el oficio MTM/TM/059/02/2025 dio respuesta, informando que es la información que obra en sus archivos a la fecha de la solicitud.</w:t>
      </w:r>
    </w:p>
    <w:p w14:paraId="2812E21C" w14:textId="77777777" w:rsidR="005B2976" w:rsidRPr="005E3C9B" w:rsidRDefault="008E7AE9">
      <w:pPr>
        <w:widowControl w:val="0"/>
        <w:spacing w:line="360" w:lineRule="auto"/>
        <w:ind w:right="49"/>
        <w:jc w:val="both"/>
        <w:rPr>
          <w:rFonts w:ascii="Palatino Linotype" w:eastAsia="Palatino Linotype" w:hAnsi="Palatino Linotype" w:cs="Palatino Linotype"/>
          <w:b/>
          <w:i/>
        </w:rPr>
      </w:pPr>
      <w:r w:rsidRPr="005E3C9B">
        <w:rPr>
          <w:rFonts w:ascii="Palatino Linotype" w:eastAsia="Palatino Linotype" w:hAnsi="Palatino Linotype" w:cs="Palatino Linotype"/>
        </w:rPr>
        <w:t xml:space="preserve">- Oficio número MTM/UIPPE/48/03/2025, del doce de marzo de dos mil veinticinco, signado por la Unidad de Información, Planeación, Programación y Evaluación, </w:t>
      </w:r>
      <w:r w:rsidRPr="005E3C9B">
        <w:rPr>
          <w:rFonts w:ascii="Palatino Linotype" w:eastAsia="Palatino Linotype" w:hAnsi="Palatino Linotype" w:cs="Palatino Linotype"/>
        </w:rPr>
        <w:lastRenderedPageBreak/>
        <w:t>mediante el cual ratificó en lo sustancial la respuesta proporcionada en primera instancia, anexando nuevamente el organigrama, reiterando que es la información que obran en el archivo de dicha Unidad a la fecha de la solicitud.</w:t>
      </w:r>
    </w:p>
    <w:p w14:paraId="777909FC" w14:textId="77777777" w:rsidR="005B2976" w:rsidRPr="005E3C9B" w:rsidRDefault="008E7AE9">
      <w:pPr>
        <w:widowControl w:val="0"/>
        <w:spacing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Oficio número MTM/CGMR/36/02/2025, del trece de marzo de dos mil veinticinco, mediante el cual la Coordinadora General de Mejora Regulatoria, refirió anexar los pasos a seguir para ingresar a la página oficial del Ayuntamiento, para localizar la información de trámites y servicios requerida en el punto 3. </w:t>
      </w:r>
    </w:p>
    <w:p w14:paraId="79810320" w14:textId="77777777" w:rsidR="005B2976" w:rsidRPr="005E3C9B" w:rsidRDefault="008E7AE9">
      <w:pPr>
        <w:widowControl w:val="0"/>
        <w:numPr>
          <w:ilvl w:val="0"/>
          <w:numId w:val="1"/>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Documento en formato abierto, que contiene la dirección electrónica de la página oficial del ayuntamiento, así como dos capturas de pantalla que ilustran los pasos para acceder a la información solicitada.</w:t>
      </w:r>
    </w:p>
    <w:p w14:paraId="6561E91F" w14:textId="77777777" w:rsidR="005B2976" w:rsidRPr="005E3C9B" w:rsidRDefault="008E7AE9">
      <w:pPr>
        <w:widowControl w:val="0"/>
        <w:spacing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 Oficio número MTM/DAYDP/228/03/2025, de fecha trece de marzo de dos mil veinticinco, signado por la </w:t>
      </w:r>
      <w:proofErr w:type="gramStart"/>
      <w:r w:rsidRPr="005E3C9B">
        <w:rPr>
          <w:rFonts w:ascii="Palatino Linotype" w:eastAsia="Palatino Linotype" w:hAnsi="Palatino Linotype" w:cs="Palatino Linotype"/>
        </w:rPr>
        <w:t>Directora</w:t>
      </w:r>
      <w:proofErr w:type="gramEnd"/>
      <w:r w:rsidRPr="005E3C9B">
        <w:rPr>
          <w:rFonts w:ascii="Palatino Linotype" w:eastAsia="Palatino Linotype" w:hAnsi="Palatino Linotype" w:cs="Palatino Linotype"/>
        </w:rPr>
        <w:t xml:space="preserve"> de Administración y Desarrollo de Personal, mediante el cual manifiesta que anexa la relación de las remuneraciones de mandos medios y superiores.</w:t>
      </w:r>
    </w:p>
    <w:p w14:paraId="783925E5" w14:textId="77777777" w:rsidR="005B2976" w:rsidRPr="005E3C9B" w:rsidRDefault="008E7AE9">
      <w:pPr>
        <w:widowControl w:val="0"/>
        <w:numPr>
          <w:ilvl w:val="0"/>
          <w:numId w:val="8"/>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Listado de cargos y percepciones netas quincenales por cada cargo.</w:t>
      </w:r>
    </w:p>
    <w:p w14:paraId="436FC803" w14:textId="77777777" w:rsidR="005B2976" w:rsidRPr="005E3C9B" w:rsidRDefault="008E7AE9">
      <w:pPr>
        <w:widowControl w:val="0"/>
        <w:spacing w:line="360" w:lineRule="auto"/>
        <w:ind w:right="49"/>
        <w:jc w:val="both"/>
        <w:rPr>
          <w:rFonts w:ascii="Palatino Linotype" w:eastAsia="Palatino Linotype" w:hAnsi="Palatino Linotype" w:cs="Palatino Linotype"/>
          <w:b/>
          <w:i/>
        </w:rPr>
      </w:pPr>
      <w:r w:rsidRPr="005E3C9B">
        <w:rPr>
          <w:rFonts w:ascii="Palatino Linotype" w:eastAsia="Palatino Linotype" w:hAnsi="Palatino Linotype" w:cs="Palatino Linotype"/>
        </w:rPr>
        <w:t>- Oficio MTM/CIM/90/03/2025, del trece de marzo de dos mil veinticinco, signado por la Contralora Interna Municipal, mediante el cual ratifica en lo sustancial la respuesta emitida en primera instancia, anexando nuevamente las Actas de Instalación del Comité de Participación Ciudadana y del Comité Coordinador del Sistema Municipal Anticorrupción.</w:t>
      </w:r>
    </w:p>
    <w:p w14:paraId="325904D1" w14:textId="77777777" w:rsidR="005B2976" w:rsidRPr="005E3C9B" w:rsidRDefault="008E7AE9">
      <w:pPr>
        <w:widowControl w:val="0"/>
        <w:spacing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Oficio número MTM/UT/150/03/2025, del diecinueve de marzo de dos mil veinticinco, signado por la Titular de la Unidad de Transparencia y Acceso a la Información, mediante el cual, en atención a los motivos de inconformidad alegados por la parte Recurrente, proporciona la dirección electrónica </w:t>
      </w:r>
      <w:hyperlink r:id="rId11">
        <w:r w:rsidRPr="005E3C9B">
          <w:rPr>
            <w:rFonts w:ascii="Palatino Linotype" w:eastAsia="Palatino Linotype" w:hAnsi="Palatino Linotype" w:cs="Palatino Linotype"/>
            <w:u w:val="single"/>
          </w:rPr>
          <w:t>https://temascalcingo.gob.mx/transparencia/</w:t>
        </w:r>
      </w:hyperlink>
      <w:r w:rsidRPr="005E3C9B">
        <w:rPr>
          <w:rFonts w:ascii="Palatino Linotype" w:eastAsia="Palatino Linotype" w:hAnsi="Palatino Linotype" w:cs="Palatino Linotype"/>
        </w:rPr>
        <w:t xml:space="preserve"> para efectos de la consulta de los avisos de privacidad integrales y simplificados vigentes, solicitados en el punto 5, asimismo, agrega capturas de pantalla a fin de ilustrar el procedimiento de consulta; con relación al punto 6, refirió anexar el documento de seguridad, precisando que una vez realizada la búsqueda en los archivos físicos y digitales de la Unidad de Transparencia, es el único archivo que se encuentra vigente; por lo que se refiere al punto 7, manifestó que el requerimiento de información no es claro, sin embargo, reitera que las obligaciones conferidas al Sujeto Obligado pueden ser consultadas en el Bando Municipal 2025, respecto a las obligaciones de transparencia, precisó que el Sujeto Obligado cumple con lo establecido en la Ley de Transparencia y Acceso a la Información Pública del Estado de México y Municipios, en los artículos 92 y 94, así como con las demás disposiciones establecidas en la normatividad aplicable, e indicó que el cumplimiento a las obligaciones de transparencia se puede constatar en los resultados de las verificaciones oficiosas, al ser información que de igual manera se solicita; del punto 8, reitero que los resultados de los últimos tres años de verificaciones oficiosas se pueden consultar en la dirección electrónica proporcionada en respuesta; por lo que se refiere al punto 9, indicó que una vez realizada la búsqueda en los archivos que obran en la Unidad de Transparencia, sólo se tiene el acta remitida en respuesta, la cual adjunta nuevamente; reiteró en los mismos términos la respuesta emitida a los puntos 11, 12, 13 y 14; y, finalmente, por lo que se refiere al punto y 15 de la solicitud, manifestó que derivado de la búsqueda en los archivos digitales que obran en la Unidad de Transparencia, sólo se encontró como evidencia en tema de transparencia proactiva, el uso de redes sociales para informar a la ciudadanía sobre la toma de decisiones, trámites, </w:t>
      </w:r>
      <w:r w:rsidRPr="005E3C9B">
        <w:rPr>
          <w:rFonts w:ascii="Palatino Linotype" w:eastAsia="Palatino Linotype" w:hAnsi="Palatino Linotype" w:cs="Palatino Linotype"/>
        </w:rPr>
        <w:lastRenderedPageBreak/>
        <w:t>servicios, convocatorias, programas, etcétera, agregando la captura de pantalla donde se advierte la infografía de los tramites que brinda la Oficialía móvil del Ayuntamiento, y del trámite de Cartilla Militar.</w:t>
      </w:r>
    </w:p>
    <w:p w14:paraId="1C1A84B8" w14:textId="77777777" w:rsidR="005B2976" w:rsidRPr="005E3C9B" w:rsidRDefault="008E7AE9">
      <w:pPr>
        <w:numPr>
          <w:ilvl w:val="0"/>
          <w:numId w:val="5"/>
        </w:numPr>
        <w:pBdr>
          <w:top w:val="nil"/>
          <w:left w:val="nil"/>
          <w:bottom w:val="nil"/>
          <w:right w:val="nil"/>
          <w:between w:val="nil"/>
        </w:pBdr>
        <w:tabs>
          <w:tab w:val="left" w:pos="567"/>
        </w:tabs>
        <w:spacing w:before="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Documento en formato abierto, que contiene las direcciones electrónicas y orientación para consultar la información requerida en los puntos 5 y 8.</w:t>
      </w:r>
    </w:p>
    <w:p w14:paraId="40624290" w14:textId="77777777" w:rsidR="005B2976" w:rsidRPr="005E3C9B" w:rsidRDefault="008E7AE9">
      <w:pPr>
        <w:numPr>
          <w:ilvl w:val="0"/>
          <w:numId w:val="5"/>
        </w:numPr>
        <w:pBdr>
          <w:top w:val="nil"/>
          <w:left w:val="nil"/>
          <w:bottom w:val="nil"/>
          <w:right w:val="nil"/>
          <w:between w:val="nil"/>
        </w:pBdr>
        <w:tabs>
          <w:tab w:val="left" w:pos="567"/>
        </w:tabs>
        <w:spacing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Documento de seguridad de la Unidad de Transparencia y Acceso a la Información Pública, Procedimiento para el Acceso, Rectificación, Cancelación y Oposición del Tratamiento de Datos Personales (ARCO) y Programa General de Capacitación.</w:t>
      </w:r>
    </w:p>
    <w:p w14:paraId="14A05F3D" w14:textId="77777777" w:rsidR="005B2976" w:rsidRPr="005E3C9B" w:rsidRDefault="008E7AE9">
      <w:pPr>
        <w:numPr>
          <w:ilvl w:val="0"/>
          <w:numId w:val="5"/>
        </w:numPr>
        <w:pBdr>
          <w:top w:val="nil"/>
          <w:left w:val="nil"/>
          <w:bottom w:val="nil"/>
          <w:right w:val="nil"/>
          <w:between w:val="nil"/>
        </w:pBdr>
        <w:tabs>
          <w:tab w:val="left" w:pos="567"/>
        </w:tabs>
        <w:spacing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Lista de asistencia a la Primera Sesión para la Instalación e integración del Comité de Transparencia, y Acta de Instalación.</w:t>
      </w:r>
    </w:p>
    <w:p w14:paraId="6772613A" w14:textId="77777777" w:rsidR="005B2976" w:rsidRPr="005E3C9B" w:rsidRDefault="008E7AE9">
      <w:pPr>
        <w:spacing w:before="240" w:after="24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rPr>
        <w:t xml:space="preserve">Una vez analizada la información, el veinticuatro de marzo de dos mil veinticinco se hizo del conocimiento de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con la finalidad de que manifestara lo que a su derecho estimara conveniente, sin embargo, fue omisa en ejercer dicha prerrogativa.</w:t>
      </w:r>
    </w:p>
    <w:p w14:paraId="2A08E582" w14:textId="77777777" w:rsidR="005B2976" w:rsidRPr="005E3C9B" w:rsidRDefault="008E7AE9">
      <w:pPr>
        <w:widowControl w:val="0"/>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7. Ampliación del término para resolver</w:t>
      </w:r>
      <w:r w:rsidRPr="005E3C9B">
        <w:rPr>
          <w:rFonts w:ascii="Palatino Linotype" w:eastAsia="Palatino Linotype" w:hAnsi="Palatino Linotype" w:cs="Palatino Linotype"/>
        </w:rPr>
        <w:t xml:space="preserve">. El </w:t>
      </w:r>
      <w:r w:rsidRPr="005E3C9B">
        <w:rPr>
          <w:rFonts w:ascii="Palatino Linotype" w:eastAsia="Palatino Linotype" w:hAnsi="Palatino Linotype" w:cs="Palatino Linotype"/>
          <w:b/>
        </w:rPr>
        <w:t>trece de mayo de dos mil veinticinco</w:t>
      </w:r>
      <w:r w:rsidRPr="005E3C9B">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3259743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8. Cierre de instrucción. </w:t>
      </w:r>
      <w:r w:rsidRPr="005E3C9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E3C9B">
        <w:rPr>
          <w:rFonts w:ascii="Palatino Linotype" w:eastAsia="Palatino Linotype" w:hAnsi="Palatino Linotype" w:cs="Palatino Linotype"/>
          <w:b/>
        </w:rPr>
        <w:t>trece de mayo de dos mil veinticinco</w:t>
      </w:r>
      <w:r w:rsidRPr="005E3C9B">
        <w:rPr>
          <w:rFonts w:ascii="Palatino Linotype" w:eastAsia="Palatino Linotype" w:hAnsi="Palatino Linotype" w:cs="Palatino Linotype"/>
        </w:rPr>
        <w:t xml:space="preserve">, la Comisionada Ponente determinó el cierre </w:t>
      </w:r>
      <w:r w:rsidRPr="005E3C9B">
        <w:rPr>
          <w:rFonts w:ascii="Palatino Linotype" w:eastAsia="Palatino Linotype" w:hAnsi="Palatino Linotype" w:cs="Palatino Linotype"/>
        </w:rPr>
        <w:lastRenderedPageBreak/>
        <w:t>de instrucción en términos de la fracción VI del artículo 185 de la Ley de Transparencia y Acceso a la Información Pública del Estado de México y Municipios.</w:t>
      </w:r>
    </w:p>
    <w:p w14:paraId="2CCCEAA1"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C51EB3E" w14:textId="77777777" w:rsidR="005B2976" w:rsidRPr="005E3C9B" w:rsidRDefault="008E7AE9">
      <w:pPr>
        <w:widowControl w:val="0"/>
        <w:spacing w:before="240" w:after="240" w:line="360" w:lineRule="auto"/>
        <w:jc w:val="center"/>
        <w:rPr>
          <w:rFonts w:ascii="Palatino Linotype" w:eastAsia="Palatino Linotype" w:hAnsi="Palatino Linotype" w:cs="Palatino Linotype"/>
          <w:b/>
        </w:rPr>
      </w:pPr>
      <w:r w:rsidRPr="005E3C9B">
        <w:rPr>
          <w:rFonts w:ascii="Palatino Linotype" w:eastAsia="Palatino Linotype" w:hAnsi="Palatino Linotype" w:cs="Palatino Linotype"/>
          <w:b/>
        </w:rPr>
        <w:t>II. C O N S I D E R A N D O S</w:t>
      </w:r>
    </w:p>
    <w:p w14:paraId="7DBA91A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Primero. Competencia.</w:t>
      </w:r>
      <w:r w:rsidRPr="005E3C9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735FC1"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5E3C9B">
        <w:rPr>
          <w:rFonts w:ascii="Palatino Linotype" w:eastAsia="Palatino Linotype" w:hAnsi="Palatino Linotype" w:cs="Palatino Linotype"/>
          <w:b/>
        </w:rPr>
        <w:t>Segundo. Oportunidad y Procedibilidad del Recurso de Revisión</w:t>
      </w:r>
      <w:r w:rsidRPr="005E3C9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2D5B15"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remitió la respuesta a la solicitud de información el día </w:t>
      </w:r>
      <w:r w:rsidRPr="005E3C9B">
        <w:rPr>
          <w:rFonts w:ascii="Palatino Linotype" w:eastAsia="Palatino Linotype" w:hAnsi="Palatino Linotype" w:cs="Palatino Linotype"/>
          <w:b/>
        </w:rPr>
        <w:t xml:space="preserve">cuatro de marzo de dos mil veinticinco, </w:t>
      </w:r>
      <w:r w:rsidRPr="005E3C9B">
        <w:rPr>
          <w:rFonts w:ascii="Palatino Linotype" w:eastAsia="Palatino Linotype" w:hAnsi="Palatino Linotype" w:cs="Palatino Linotype"/>
        </w:rPr>
        <w:t xml:space="preserve">mientras que el recurso de revisión interpuesto por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se tuvo por presentado el día</w:t>
      </w:r>
      <w:r w:rsidRPr="005E3C9B">
        <w:rPr>
          <w:rFonts w:ascii="Palatino Linotype" w:eastAsia="Palatino Linotype" w:hAnsi="Palatino Linotype" w:cs="Palatino Linotype"/>
          <w:b/>
        </w:rPr>
        <w:t xml:space="preserve"> cinco de marzo de dos mil veinticinco, </w:t>
      </w:r>
      <w:r w:rsidRPr="005E3C9B">
        <w:rPr>
          <w:rFonts w:ascii="Palatino Linotype" w:eastAsia="Palatino Linotype" w:hAnsi="Palatino Linotype" w:cs="Palatino Linotype"/>
        </w:rPr>
        <w:t>esto es, al siguiente día hábil posterior a aquel en el que tuvo conocimiento de la respuesta impugnada. En este sentido, se concluye que el presente recurso de revisión se encuentra dentro de los márgenes temporales previstos en las disposiciones legales referidas.</w:t>
      </w:r>
    </w:p>
    <w:p w14:paraId="190C2B18"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Además, por cuanto hace a la procedibilidad del recurso de revisión, es de suma importancia señalar que la parte</w:t>
      </w:r>
      <w:r w:rsidRPr="005E3C9B">
        <w:rPr>
          <w:rFonts w:ascii="Palatino Linotype" w:eastAsia="Palatino Linotype" w:hAnsi="Palatino Linotype" w:cs="Palatino Linotype"/>
          <w:b/>
        </w:rPr>
        <w:t xml:space="preserve"> Recurrente</w:t>
      </w:r>
      <w:r w:rsidRPr="005E3C9B">
        <w:rPr>
          <w:rFonts w:ascii="Palatino Linotype" w:eastAsia="Palatino Linotype" w:hAnsi="Palatino Linotype" w:cs="Palatino Linotype"/>
        </w:rPr>
        <w:t>, señaló un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DDF1DE"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Las solicitudes anónimas</w:t>
      </w:r>
      <w:r w:rsidRPr="005E3C9B">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17948354" w14:textId="77777777" w:rsidR="005B2976" w:rsidRPr="005E3C9B" w:rsidRDefault="008E7AE9">
      <w:pPr>
        <w:spacing w:before="240" w:after="24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w:t>
      </w:r>
      <w:r w:rsidRPr="005E3C9B">
        <w:rPr>
          <w:rFonts w:ascii="Palatino Linotype" w:eastAsia="Palatino Linotype" w:hAnsi="Palatino Linotype" w:cs="Palatino Linotype"/>
        </w:rPr>
        <w:lastRenderedPageBreak/>
        <w:t>Información Pública del Estado de México y Municipios en vigor, en atención a que fue presentado mediante el formato visible en el</w:t>
      </w:r>
      <w:r w:rsidRPr="005E3C9B">
        <w:rPr>
          <w:rFonts w:ascii="Palatino Linotype" w:eastAsia="Palatino Linotype" w:hAnsi="Palatino Linotype" w:cs="Palatino Linotype"/>
          <w:b/>
        </w:rPr>
        <w:t xml:space="preserve"> SAIMEX.</w:t>
      </w:r>
    </w:p>
    <w:p w14:paraId="377EF167"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5E3C9B">
        <w:rPr>
          <w:rFonts w:ascii="Palatino Linotype" w:eastAsia="Palatino Linotype" w:hAnsi="Palatino Linotype" w:cs="Palatino Linotype"/>
        </w:rPr>
        <w:t xml:space="preserve">Finalmente, se advierte que resulta procedente la interposición del recurso, según lo manifestado por 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xml:space="preserve"> en sus motivos de inconformidad, de acuerdo al artículo 179, fracciones V y VI del ordenamiento legal citado, que a la letra dice: </w:t>
      </w:r>
    </w:p>
    <w:p w14:paraId="1BFFDCA1" w14:textId="77777777" w:rsidR="005B2976" w:rsidRPr="005E3C9B" w:rsidRDefault="008E7AE9">
      <w:pPr>
        <w:tabs>
          <w:tab w:val="left" w:pos="7938"/>
        </w:tabs>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179.</w:t>
      </w:r>
      <w:r w:rsidRPr="005E3C9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1BFC8A8" w14:textId="77777777" w:rsidR="005B2976" w:rsidRPr="005E3C9B" w:rsidRDefault="008E7AE9">
      <w:pPr>
        <w:tabs>
          <w:tab w:val="left" w:pos="7938"/>
        </w:tabs>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7581A966" w14:textId="77777777" w:rsidR="005B2976" w:rsidRPr="005E3C9B" w:rsidRDefault="008E7AE9">
      <w:pPr>
        <w:tabs>
          <w:tab w:val="left" w:pos="7938"/>
        </w:tabs>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V. </w:t>
      </w:r>
      <w:r w:rsidRPr="005E3C9B">
        <w:rPr>
          <w:rFonts w:ascii="Palatino Linotype" w:eastAsia="Palatino Linotype" w:hAnsi="Palatino Linotype" w:cs="Palatino Linotype"/>
          <w:i/>
          <w:sz w:val="22"/>
          <w:szCs w:val="22"/>
        </w:rPr>
        <w:t>La entrega de información incompleta;</w:t>
      </w:r>
    </w:p>
    <w:p w14:paraId="0A4C9C21" w14:textId="77777777" w:rsidR="005B2976" w:rsidRPr="005E3C9B" w:rsidRDefault="008E7AE9">
      <w:pPr>
        <w:tabs>
          <w:tab w:val="left" w:pos="7938"/>
        </w:tabs>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w:t>
      </w:r>
      <w:r w:rsidRPr="005E3C9B">
        <w:rPr>
          <w:rFonts w:ascii="Palatino Linotype" w:eastAsia="Palatino Linotype" w:hAnsi="Palatino Linotype" w:cs="Palatino Linotype"/>
          <w:i/>
          <w:sz w:val="22"/>
          <w:szCs w:val="22"/>
        </w:rPr>
        <w:t xml:space="preserve"> La entrega de información que no corresponda con lo solicitado;</w:t>
      </w:r>
    </w:p>
    <w:p w14:paraId="380E4B05" w14:textId="77777777" w:rsidR="005B2976" w:rsidRPr="005E3C9B" w:rsidRDefault="008E7AE9">
      <w:pPr>
        <w:spacing w:before="240" w:after="24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b/>
        </w:rPr>
        <w:t xml:space="preserve">Tercero. Materia de la revisión. </w:t>
      </w:r>
      <w:r w:rsidRPr="005E3C9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E3C9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5E3C9B">
        <w:rPr>
          <w:rFonts w:ascii="Palatino Linotype" w:eastAsia="Palatino Linotype" w:hAnsi="Palatino Linotype" w:cs="Palatino Linotype"/>
        </w:rPr>
        <w:t xml:space="preserve">de 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o en su defecto, en caso de ser procedente, ordenar la entrega de información.</w:t>
      </w:r>
    </w:p>
    <w:p w14:paraId="1760DF07"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5E3C9B">
        <w:rPr>
          <w:rFonts w:ascii="Palatino Linotype" w:eastAsia="Palatino Linotype" w:hAnsi="Palatino Linotype" w:cs="Palatino Linotype"/>
          <w:b/>
        </w:rPr>
        <w:t xml:space="preserve">Cuarto. Estudio del asunto. </w:t>
      </w:r>
      <w:r w:rsidRPr="005E3C9B">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w:t>
      </w:r>
      <w:r w:rsidRPr="005E3C9B">
        <w:rPr>
          <w:rFonts w:ascii="Palatino Linotype" w:eastAsia="Palatino Linotype" w:hAnsi="Palatino Linotype" w:cs="Palatino Linotype"/>
        </w:rPr>
        <w:lastRenderedPageBreak/>
        <w:t>principio de máxima publicidad, como así lo establece dicha determinación, que a continuación se transcribe para un mejor entendimiento:</w:t>
      </w:r>
    </w:p>
    <w:p w14:paraId="7A58CBB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4</w:t>
      </w:r>
      <w:r w:rsidRPr="005E3C9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8BD97D"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E3C9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F235843"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E3C9B">
        <w:rPr>
          <w:rFonts w:ascii="Palatino Linotype" w:eastAsia="Palatino Linotype" w:hAnsi="Palatino Linotype" w:cs="Palatino Linotype"/>
          <w:i/>
          <w:sz w:val="22"/>
          <w:szCs w:val="22"/>
        </w:rPr>
        <w:t>.”</w:t>
      </w:r>
    </w:p>
    <w:p w14:paraId="09FE09F7"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1D0F383"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12.-</w:t>
      </w:r>
      <w:r w:rsidRPr="005E3C9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81ADDED"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9C0B852" w14:textId="77777777" w:rsidR="005B2976" w:rsidRPr="005E3C9B" w:rsidRDefault="008E7AE9">
      <w:pPr>
        <w:spacing w:before="240" w:after="240" w:line="360" w:lineRule="auto"/>
        <w:ind w:right="-93"/>
        <w:jc w:val="both"/>
        <w:rPr>
          <w:rFonts w:ascii="Palatino Linotype" w:eastAsia="Palatino Linotype" w:hAnsi="Palatino Linotype" w:cs="Palatino Linotype"/>
        </w:rPr>
      </w:pPr>
      <w:r w:rsidRPr="005E3C9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16BF8EF" w14:textId="77777777" w:rsidR="005B2976" w:rsidRPr="005E3C9B" w:rsidRDefault="008E7AE9">
      <w:pPr>
        <w:spacing w:before="240" w:after="24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5E3C9B">
        <w:rPr>
          <w:rFonts w:ascii="Palatino Linotype" w:eastAsia="Palatino Linotype" w:hAnsi="Palatino Linotype" w:cs="Palatino Linotype"/>
        </w:rPr>
        <w:t>que</w:t>
      </w:r>
      <w:proofErr w:type="gramEnd"/>
      <w:r w:rsidRPr="005E3C9B">
        <w:rPr>
          <w:rFonts w:ascii="Palatino Linotype" w:eastAsia="Palatino Linotype" w:hAnsi="Palatino Linotype" w:cs="Palatino Linotype"/>
        </w:rPr>
        <w:t xml:space="preserve"> por rubro y texto, dispone lo siguiente:</w:t>
      </w:r>
      <w:r w:rsidRPr="005E3C9B">
        <w:rPr>
          <w:rFonts w:ascii="Palatino Linotype" w:eastAsia="Palatino Linotype" w:hAnsi="Palatino Linotype" w:cs="Palatino Linotype"/>
          <w:b/>
        </w:rPr>
        <w:t xml:space="preserve"> </w:t>
      </w:r>
    </w:p>
    <w:p w14:paraId="1639A5D2"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No existe obligación de elaborar documentos ad hoc para atender las solicitudes de acceso a la información.</w:t>
      </w:r>
      <w:r w:rsidRPr="005E3C9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C9B1738"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D6A672" w14:textId="77777777" w:rsidR="005B2976" w:rsidRPr="005E3C9B" w:rsidRDefault="008E7AE9">
      <w:pPr>
        <w:spacing w:before="120" w:after="12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9BC3ADB"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 xml:space="preserve">Artículo 3. </w:t>
      </w:r>
      <w:r w:rsidRPr="005E3C9B">
        <w:rPr>
          <w:rFonts w:ascii="Palatino Linotype" w:eastAsia="Palatino Linotype" w:hAnsi="Palatino Linotype" w:cs="Palatino Linotype"/>
          <w:i/>
          <w:sz w:val="22"/>
          <w:szCs w:val="22"/>
        </w:rPr>
        <w:t>Para los efectos de la presente Ley se entenderá por:</w:t>
      </w:r>
    </w:p>
    <w:p w14:paraId="252ABC6D"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738B6568"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XI. Documento:</w:t>
      </w:r>
      <w:r w:rsidRPr="005E3C9B">
        <w:rPr>
          <w:rFonts w:ascii="Palatino Linotype" w:eastAsia="Palatino Linotype" w:hAnsi="Palatino Linotype" w:cs="Palatino Linotype"/>
          <w:i/>
          <w:sz w:val="22"/>
          <w:szCs w:val="22"/>
        </w:rPr>
        <w:t xml:space="preserve"> Los expedientes, reportes, estudios, actas</w:t>
      </w:r>
      <w:r w:rsidRPr="005E3C9B">
        <w:rPr>
          <w:rFonts w:ascii="Palatino Linotype" w:eastAsia="Palatino Linotype" w:hAnsi="Palatino Linotype" w:cs="Palatino Linotype"/>
          <w:b/>
          <w:i/>
          <w:sz w:val="22"/>
          <w:szCs w:val="22"/>
        </w:rPr>
        <w:t>,</w:t>
      </w:r>
      <w:r w:rsidRPr="005E3C9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BE2F62"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2C8BF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sz w:val="22"/>
          <w:szCs w:val="22"/>
        </w:rPr>
        <w:t>“</w:t>
      </w:r>
      <w:r w:rsidRPr="005E3C9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E3C9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02092D"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En </w:t>
      </w:r>
      <w:proofErr w:type="gramStart"/>
      <w:r w:rsidRPr="005E3C9B">
        <w:rPr>
          <w:rFonts w:ascii="Palatino Linotype" w:eastAsia="Palatino Linotype" w:hAnsi="Palatino Linotype" w:cs="Palatino Linotype"/>
          <w:i/>
          <w:sz w:val="22"/>
          <w:szCs w:val="22"/>
        </w:rPr>
        <w:t>consecuencia</w:t>
      </w:r>
      <w:proofErr w:type="gramEnd"/>
      <w:r w:rsidRPr="005E3C9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D26CEA7"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E3C9B">
        <w:rPr>
          <w:rFonts w:ascii="Palatino Linotype" w:eastAsia="Palatino Linotype" w:hAnsi="Palatino Linotype" w:cs="Palatino Linotype"/>
          <w:i/>
          <w:sz w:val="22"/>
          <w:szCs w:val="22"/>
        </w:rPr>
        <w:t>que</w:t>
      </w:r>
      <w:proofErr w:type="gramEnd"/>
      <w:r w:rsidRPr="005E3C9B">
        <w:rPr>
          <w:rFonts w:ascii="Palatino Linotype" w:eastAsia="Palatino Linotype" w:hAnsi="Palatino Linotype" w:cs="Palatino Linotype"/>
          <w:i/>
          <w:sz w:val="22"/>
          <w:szCs w:val="22"/>
        </w:rPr>
        <w:t xml:space="preserve"> en ejercicio de las atribuciones conferidas, sea generada por los Sujetos Obligados;</w:t>
      </w:r>
    </w:p>
    <w:p w14:paraId="74D2A532"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5E3C9B">
        <w:rPr>
          <w:rFonts w:ascii="Palatino Linotype" w:eastAsia="Palatino Linotype" w:hAnsi="Palatino Linotype" w:cs="Palatino Linotype"/>
          <w:i/>
          <w:sz w:val="22"/>
          <w:szCs w:val="22"/>
        </w:rPr>
        <w:t>que</w:t>
      </w:r>
      <w:proofErr w:type="gramEnd"/>
      <w:r w:rsidRPr="005E3C9B">
        <w:rPr>
          <w:rFonts w:ascii="Palatino Linotype" w:eastAsia="Palatino Linotype" w:hAnsi="Palatino Linotype" w:cs="Palatino Linotype"/>
          <w:i/>
          <w:sz w:val="22"/>
          <w:szCs w:val="22"/>
        </w:rPr>
        <w:t xml:space="preserve"> en ejercicio de las atribuciones conferidas, sea administrada por los Sujetos Obligados, y</w:t>
      </w:r>
    </w:p>
    <w:p w14:paraId="501868C6"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5E3C9B">
        <w:rPr>
          <w:rFonts w:ascii="Palatino Linotype" w:eastAsia="Palatino Linotype" w:hAnsi="Palatino Linotype" w:cs="Palatino Linotype"/>
          <w:i/>
          <w:sz w:val="22"/>
          <w:szCs w:val="22"/>
        </w:rPr>
        <w:t>que</w:t>
      </w:r>
      <w:proofErr w:type="gramEnd"/>
      <w:r w:rsidRPr="005E3C9B">
        <w:rPr>
          <w:rFonts w:ascii="Palatino Linotype" w:eastAsia="Palatino Linotype" w:hAnsi="Palatino Linotype" w:cs="Palatino Linotype"/>
          <w:i/>
          <w:sz w:val="22"/>
          <w:szCs w:val="22"/>
        </w:rPr>
        <w:t xml:space="preserve"> en ejercicio de las atribuciones conferidas, se encuentre en posesión de los Sujetos Obligados.”</w:t>
      </w:r>
    </w:p>
    <w:p w14:paraId="53784646"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5E3C9B">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482CDD2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C2DB07B"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xml:space="preserve"> requirió al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le proporcione, información consistente en lo siguiente:</w:t>
      </w:r>
    </w:p>
    <w:p w14:paraId="7FD8542B"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1. Organigrama General. </w:t>
      </w:r>
    </w:p>
    <w:p w14:paraId="2921EEA2"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2. Remuneraciones de mandos medios y superiores. </w:t>
      </w:r>
    </w:p>
    <w:p w14:paraId="15CC7DD1"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3. Trámites y Servicios de todas las áreas. </w:t>
      </w:r>
    </w:p>
    <w:p w14:paraId="610380E8"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4. Presupuesto asignado al Sujeto Obligado </w:t>
      </w:r>
    </w:p>
    <w:p w14:paraId="5E753725"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5. Aviso de Privacidad (integral y simplificados), vigentes. </w:t>
      </w:r>
    </w:p>
    <w:p w14:paraId="51D171BD"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6. Documentos de Seguridad de todas las áreas. </w:t>
      </w:r>
    </w:p>
    <w:p w14:paraId="6B053DB1"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7. Obligaciones con las que cumple el Sujeto Obligado (simples y específicas). </w:t>
      </w:r>
    </w:p>
    <w:p w14:paraId="431CADEE"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8. Resultados de los últimos 3 años de la Verificaciones Oficiosas que ha realizado el INFOEM. </w:t>
      </w:r>
    </w:p>
    <w:p w14:paraId="3E495C67"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9. Acta de Instalación del Comité de Transparencia. </w:t>
      </w:r>
    </w:p>
    <w:p w14:paraId="1F6AA633"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10. Acta de Instalación del Sistema de Anticorrupción. </w:t>
      </w:r>
    </w:p>
    <w:p w14:paraId="5976B0A4"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11. Cuántas Solicitudes de Acceso a la Información se han atendido en los últimos 3 años. </w:t>
      </w:r>
    </w:p>
    <w:p w14:paraId="396373AC"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12. Cuántas Solicitudes de Datos Personales se han atendido en los últimos 3 años. </w:t>
      </w:r>
    </w:p>
    <w:p w14:paraId="37595D22"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13. Cuántos Recursos de Revisión se han atendido en los últimos 3 años. </w:t>
      </w:r>
    </w:p>
    <w:p w14:paraId="7A56BE69" w14:textId="77777777" w:rsidR="005B2976" w:rsidRPr="005E3C9B" w:rsidRDefault="008E7AE9">
      <w:pPr>
        <w:spacing w:before="240" w:after="240" w:line="276" w:lineRule="auto"/>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14. Cuantos Incumplimientos han atendido en los últimos 3 años.</w:t>
      </w:r>
    </w:p>
    <w:p w14:paraId="6CD3B2E9" w14:textId="77777777" w:rsidR="005B2976" w:rsidRPr="005E3C9B" w:rsidRDefault="008E7AE9">
      <w:pPr>
        <w:spacing w:before="240" w:after="240" w:line="276" w:lineRule="auto"/>
        <w:ind w:left="284" w:right="51"/>
        <w:jc w:val="both"/>
        <w:rPr>
          <w:rFonts w:ascii="Palatino Linotype" w:eastAsia="Palatino Linotype" w:hAnsi="Palatino Linotype" w:cs="Palatino Linotype"/>
          <w:i/>
        </w:rPr>
      </w:pPr>
      <w:r w:rsidRPr="005E3C9B">
        <w:rPr>
          <w:rFonts w:ascii="Palatino Linotype" w:eastAsia="Palatino Linotype" w:hAnsi="Palatino Linotype" w:cs="Palatino Linotype"/>
        </w:rPr>
        <w:t>15. Que acciones han generado en el tema de Transparencias Proactiva en los últimos 3 años</w:t>
      </w:r>
      <w:r w:rsidRPr="005E3C9B">
        <w:rPr>
          <w:rFonts w:ascii="Palatino Linotype" w:eastAsia="Palatino Linotype" w:hAnsi="Palatino Linotype" w:cs="Palatino Linotype"/>
          <w:i/>
        </w:rPr>
        <w:t>.</w:t>
      </w:r>
    </w:p>
    <w:p w14:paraId="10837CB9"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No pasa inadvertido que la persona solicitante fue omisa en señalar de manera clara la temporalidad en los puntos 1, 2, 3, 4, 6, 7, 9 y 10, sin embargo, atendiendo a la materia de los mismos, se infiere que pretende acceder a la información vigente en la presente administración pública municipal 2025-2027.</w:t>
      </w:r>
    </w:p>
    <w:p w14:paraId="1F548439"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dio respuesta a la solicitud por conducto de los servidores públicos de la Tesorería Municipal, la Dirección de Administración y Desarrollo de </w:t>
      </w:r>
      <w:r w:rsidRPr="005E3C9B">
        <w:rPr>
          <w:rFonts w:ascii="Palatino Linotype" w:eastAsia="Palatino Linotype" w:hAnsi="Palatino Linotype" w:cs="Palatino Linotype"/>
        </w:rPr>
        <w:lastRenderedPageBreak/>
        <w:t>Personal, la Coordinación General de Mejora Regulatoria, la Contraloría Interna Municipal, la Secretaría del Ayuntamiento, la Unidad de Información, Planeación, Programación y Evaluación, y la Unidad de Transparencia y Acceso a la Información, quienes se pronunciaron en el ámbito de sus competencias, como más adelante se detallará.</w:t>
      </w:r>
    </w:p>
    <w:p w14:paraId="08614F55"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No obstante, al no estar conforme con los términos de la respuesta emitida,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interpuso el recurso de revisión que se resuelve, donde manifestó que no se le dio la información como fue solicitada, además de estar incompleta.</w:t>
      </w:r>
    </w:p>
    <w:p w14:paraId="182D3471"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Durante el periodo de manifestaciones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en atención a los motivos de inconformidad alegados, complementó la información entregada en primera instancia, la cual se hizo del conocimiento de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con la finalidad de que manifestara lo que a su derecho estimara conveniente, sin embargo, fue omisa en ejercer dicha prerrogativa, por lo tanto, se tiene por precluido su derecho.</w:t>
      </w:r>
    </w:p>
    <w:p w14:paraId="19418E3F" w14:textId="77777777" w:rsidR="005B2976" w:rsidRPr="005E3C9B" w:rsidRDefault="008E7AE9">
      <w:pPr>
        <w:spacing w:before="280" w:after="28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en contraposición con el motivo de inconformidad alegado por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2FACD66"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este tenor, en principio es imprescindible mencionar que las Unidades de Transparencia, son el área responsable en cada Sujeto Obligado para dar atención a </w:t>
      </w:r>
      <w:r w:rsidRPr="005E3C9B">
        <w:rPr>
          <w:rFonts w:ascii="Palatino Linotype" w:eastAsia="Palatino Linotype" w:hAnsi="Palatino Linotype" w:cs="Palatino Linotype"/>
        </w:rPr>
        <w:lastRenderedPageBreak/>
        <w:t>las solicitudes de información que se realicen al amparo de la Ley, el responsable de dicha área funge como enlace entre el Sujeto Obligado y los solicitantes, y tiene bajo su responsabilidad el tramitar internamente la solicitud de información.</w:t>
      </w:r>
    </w:p>
    <w:p w14:paraId="6AA6729B"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E879921"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w:t>
      </w:r>
      <w:r w:rsidRPr="005E3C9B">
        <w:rPr>
          <w:rFonts w:ascii="Palatino Linotype" w:eastAsia="Palatino Linotype" w:hAnsi="Palatino Linotype" w:cs="Palatino Linotype"/>
        </w:rPr>
        <w:lastRenderedPageBreak/>
        <w:t>de la Ley de Transparencia y Acceso a la Información Pública del Estado de México y Municipios.</w:t>
      </w:r>
    </w:p>
    <w:p w14:paraId="030A31ED"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92A07A5"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Al respecto, es de suma importancia mencionar que, derivado del análisis de las constancias que obran en el expediente electrónico en el que se actúa, se advirtió que la Unidad de Transparencia dio atención a los requerimientos de información de su competencia y de igual forma, turnó la solicitud de información a la Secretaría del Ayuntamiento, la Unidad de Información, Planeación, Programación y Evaluación, la Dirección de Administración y Desarrollo Personal, la Coordinación General de Mejora Regulatoria y la Tesorería Municipal, para los mismos efectos. </w:t>
      </w:r>
    </w:p>
    <w:p w14:paraId="1C7427C7"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Cabe mencionar que de conformidad con los artículos 91, fracciones I, IV, V, VI y VIII de la Ley Orgánica Municipal del Estado de México, </w:t>
      </w:r>
      <w:proofErr w:type="gramStart"/>
      <w:r w:rsidRPr="005E3C9B">
        <w:rPr>
          <w:rFonts w:ascii="Palatino Linotype" w:eastAsia="Palatino Linotype" w:hAnsi="Palatino Linotype" w:cs="Palatino Linotype"/>
        </w:rPr>
        <w:t>y  74</w:t>
      </w:r>
      <w:proofErr w:type="gramEnd"/>
      <w:r w:rsidRPr="005E3C9B">
        <w:rPr>
          <w:rFonts w:ascii="Palatino Linotype" w:eastAsia="Palatino Linotype" w:hAnsi="Palatino Linotype" w:cs="Palatino Linotype"/>
        </w:rPr>
        <w:t>, fracciones  I, VI, V, VI y VIII del Bando Municipal de Temascalcingo la Secretaría del Ayuntamiento, tiene a su cargo, entre otras atribuciones, las siguientes:</w:t>
      </w:r>
    </w:p>
    <w:p w14:paraId="2F26B7D0"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Asistir a las sesiones del ayuntamiento y levantar las actas correspondientes;</w:t>
      </w:r>
    </w:p>
    <w:p w14:paraId="7B667B14"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 Llevar y conservar los libros de actas de cabildo, obteniendo las firmas de los asistentes a las sesiones; </w:t>
      </w:r>
    </w:p>
    <w:p w14:paraId="258CAA46"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Validar con su firma, los documentos oficiales emanados del ayuntamiento o de cualquiera de sus miembros; </w:t>
      </w:r>
    </w:p>
    <w:p w14:paraId="206D0A96"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Tener a su cargo el archivo general del ayuntamiento;</w:t>
      </w:r>
    </w:p>
    <w:p w14:paraId="123BD717"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Publicar en la Gaceta Municipal, los reglamentos, circulares y demás disposiciones municipales de observancia general;</w:t>
      </w:r>
    </w:p>
    <w:p w14:paraId="1CB7427B"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La Unidad de Información, Planeación, Programación y Evaluación (UIPPE), en términos del artículo 20, fracciones I, III, IV y V, de la Ley de Planeación del Estado de México y Municipios, se encarga de lo siguiente:</w:t>
      </w:r>
    </w:p>
    <w:p w14:paraId="3D7E3A35"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Garantizar el cumplimiento de las etapas del proceso de planeación para el desarrollo en el ámbito de su competencia;</w:t>
      </w:r>
    </w:p>
    <w:p w14:paraId="2E8BCEB5"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Coadyuvar en la elaboración del presupuesto por programas en concordancia con la estrategia contenida en el plan de desarrollo en la materia de su competencia;</w:t>
      </w:r>
    </w:p>
    <w:p w14:paraId="4485CC39"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Verificar que los programas y la asignación de recursos guarden relación con los objetivos, metas y prioridades de los planes y programas y la evaluación de su ejecución;</w:t>
      </w:r>
    </w:p>
    <w:p w14:paraId="5BF871B5"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Vigilar que las actividades en materia de planeación de las áreas a las que están adscritas, se conduzcan conforme a los planes de desarrollo y sus programas;</w:t>
      </w:r>
    </w:p>
    <w:p w14:paraId="652F2623"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Por su parte, la Dirección de Administración y Desarrollo de Personal, de conformidad con el artículo 86 del Bando Municipal, es la dependencia responsable de supervisar los recursos humanos, materiales, técnicos y servicios generales que se proporcionan a las áreas y unidades administrativas de la Administración Pública Municipal, para optimizar la operación, adquisición, control y uso racional de los mismos, para el logro de dichos fines, cuyas funciones se encuentran establecidas en el Manual de Organización de la Dirección, entre las cuales se encuentran las siguientes en su parte conducente:</w:t>
      </w:r>
    </w:p>
    <w:p w14:paraId="5CD6F071"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Vigilar y llevar a cabo los procedimientos de selección y adquisición, así como el reclutamiento, cálculo de nómina, credencialización, selección de personal, entre otros.</w:t>
      </w:r>
    </w:p>
    <w:p w14:paraId="3CD31630"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Mantener el resguardo y actualización del Archivo de Personal del Ayuntamiento;</w:t>
      </w:r>
    </w:p>
    <w:p w14:paraId="090701F0"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Evaluar programas, procesos y procedimientos para la elaboración de nómina y coordinándose con la Tesorería Municipal, para efectuar pago de nómina;</w:t>
      </w:r>
    </w:p>
    <w:p w14:paraId="6CE20723"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Por lo que se refiere a la Tesorería Municipal, en términos de los artículos 95, fracciones I, IV y V, de la Ley Orgánica Municipal y 84 del Bando Municipal, es el órgano encargado de la recaudación, y administración de los ingresos municipales; así como de realizar las erogaciones de la administración pública municipal para el funcionamiento y operatividad de la misma de conformidad con las disipaciones legales aplicables, siendo responsable de lo siguiente en su parte conducente:</w:t>
      </w:r>
    </w:p>
    <w:p w14:paraId="3638B756"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Administrar la hacienda pública municipal, de conformidad con las disposiciones legales aplicables;</w:t>
      </w:r>
    </w:p>
    <w:p w14:paraId="38DE2E31"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Llevar los registros contables, financieros y administrativos de los ingresos, egresos, e inventarios;</w:t>
      </w:r>
    </w:p>
    <w:p w14:paraId="3E9EE05F"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Proporcionar oportunamente al ayuntamiento todos los datos o informes que sean necesarios para la formulación del Presupuesto de Egresos Municipales, vigilando que se ajuste a las disposiciones de esta Ley y otros ordenamientos aplicables.</w:t>
      </w:r>
    </w:p>
    <w:p w14:paraId="70127CCB"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Finalmente, la Unidad de Transparencia, de conformidad con los artículos 53, fracciones IV, IX, XI de la Ley de Transparencia y Acceso a la Información Pública del Estado de México y Municipios, y 90, fracción III, de la Ley de Protección de Datos Personales en Posesión de Sujetos Obligados del Estado de México y Municipios, se encarga de lo siguiente:</w:t>
      </w:r>
    </w:p>
    <w:p w14:paraId="104A6140"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Realizar, con efectividad, los trámites internos necesarios para la atención de las solicitudes de acceso a la información;</w:t>
      </w:r>
    </w:p>
    <w:p w14:paraId="10817E23"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Llevar un registro de las solicitudes de acceso a la información, sus respuestas, resultados, costos de reproducción y envío, resolución a los recursos de revisión que se hayan emitido en contra de sus respuestas y del cumplimiento de las mismas;</w:t>
      </w:r>
    </w:p>
    <w:p w14:paraId="52D0CCCC"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t>- Promover e implementar políticas de transparencia proactiva procurando su accesibilidad;</w:t>
      </w:r>
    </w:p>
    <w:p w14:paraId="2F4D7DE9" w14:textId="77777777" w:rsidR="005B2976" w:rsidRPr="005E3C9B" w:rsidRDefault="008E7AE9">
      <w:pPr>
        <w:spacing w:before="240" w:after="240" w:line="360" w:lineRule="auto"/>
        <w:ind w:left="284"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Establecer mecanismos para asegurar que los datos personales sólo se entreguen a su titular o su representante debidamente acreditados.</w:t>
      </w:r>
    </w:p>
    <w:p w14:paraId="4AE41847"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En este sentido, se colige que en el presente asunto el procedimiento de búsqueda, el cual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se satisfizo, al haberse turnado la solicitud a las áreas competentes para conocer de la misma.</w:t>
      </w:r>
    </w:p>
    <w:p w14:paraId="2B844452"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Una vez precisado lo anterior, se procede al análisis de los requerimientos planteados por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así como de la información proporcionada por los servidores públicos habilitados para atender los mismos, a través de la siguiente tabla, para un mejor entendimiento.</w:t>
      </w:r>
    </w:p>
    <w:tbl>
      <w:tblPr>
        <w:tblStyle w:val="aff6"/>
        <w:tblW w:w="88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18"/>
        <w:gridCol w:w="2999"/>
        <w:gridCol w:w="2911"/>
      </w:tblGrid>
      <w:tr w:rsidR="00372F73" w:rsidRPr="005E3C9B" w14:paraId="213D2A48" w14:textId="77777777">
        <w:trPr>
          <w:jc w:val="center"/>
        </w:trPr>
        <w:tc>
          <w:tcPr>
            <w:tcW w:w="2918" w:type="dxa"/>
            <w:shd w:val="clear" w:color="auto" w:fill="D0CECE"/>
            <w:vAlign w:val="center"/>
          </w:tcPr>
          <w:p w14:paraId="0C3DC02E" w14:textId="77777777" w:rsidR="005B2976" w:rsidRPr="005E3C9B" w:rsidRDefault="008E7AE9">
            <w:pPr>
              <w:spacing w:before="120" w:after="120"/>
              <w:ind w:right="-6"/>
              <w:jc w:val="center"/>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Requerimientos de información</w:t>
            </w:r>
          </w:p>
        </w:tc>
        <w:tc>
          <w:tcPr>
            <w:tcW w:w="2999" w:type="dxa"/>
            <w:shd w:val="clear" w:color="auto" w:fill="D0CECE"/>
            <w:vAlign w:val="center"/>
          </w:tcPr>
          <w:p w14:paraId="380255A4" w14:textId="77777777" w:rsidR="005B2976" w:rsidRPr="005E3C9B" w:rsidRDefault="008E7AE9">
            <w:pPr>
              <w:spacing w:before="120" w:after="120"/>
              <w:ind w:right="-6"/>
              <w:jc w:val="center"/>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Respuesta</w:t>
            </w:r>
          </w:p>
        </w:tc>
        <w:tc>
          <w:tcPr>
            <w:tcW w:w="2911" w:type="dxa"/>
            <w:shd w:val="clear" w:color="auto" w:fill="D0CECE"/>
            <w:vAlign w:val="center"/>
          </w:tcPr>
          <w:p w14:paraId="4C9C3F82" w14:textId="77777777" w:rsidR="005B2976" w:rsidRPr="005E3C9B" w:rsidRDefault="008E7AE9">
            <w:pPr>
              <w:spacing w:before="120" w:after="120"/>
              <w:ind w:right="-6"/>
              <w:jc w:val="center"/>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Informe Justificado</w:t>
            </w:r>
          </w:p>
        </w:tc>
      </w:tr>
      <w:tr w:rsidR="00372F73" w:rsidRPr="005E3C9B" w14:paraId="1DFA80A7" w14:textId="77777777">
        <w:trPr>
          <w:jc w:val="center"/>
        </w:trPr>
        <w:tc>
          <w:tcPr>
            <w:tcW w:w="2918" w:type="dxa"/>
          </w:tcPr>
          <w:p w14:paraId="428BCDA5"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1. Organigrama General.</w:t>
            </w:r>
          </w:p>
        </w:tc>
        <w:tc>
          <w:tcPr>
            <w:tcW w:w="2999" w:type="dxa"/>
          </w:tcPr>
          <w:p w14:paraId="085D0358"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Secretaría del Ayuntamiento</w:t>
            </w:r>
            <w:r w:rsidRPr="005E3C9B">
              <w:rPr>
                <w:rFonts w:ascii="Palatino Linotype" w:eastAsia="Palatino Linotype" w:hAnsi="Palatino Linotype" w:cs="Palatino Linotype"/>
                <w:sz w:val="20"/>
                <w:szCs w:val="20"/>
              </w:rPr>
              <w:t xml:space="preserve">. </w:t>
            </w:r>
          </w:p>
          <w:p w14:paraId="7355F69F"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Informó que el Organigrama General se encuentra en los archivos de la Unidad de Información, Planeación, Programación y Evaluación.</w:t>
            </w:r>
          </w:p>
          <w:p w14:paraId="43E31FAE"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Información, Planeación, Programación y Evaluación.</w:t>
            </w:r>
          </w:p>
          <w:p w14:paraId="7B434208"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u w:val="single"/>
              </w:rPr>
              <w:t>Remite el organigrama general</w:t>
            </w:r>
            <w:r w:rsidRPr="005E3C9B">
              <w:rPr>
                <w:rFonts w:ascii="Palatino Linotype" w:eastAsia="Palatino Linotype" w:hAnsi="Palatino Linotype" w:cs="Palatino Linotype"/>
                <w:sz w:val="20"/>
                <w:szCs w:val="20"/>
              </w:rPr>
              <w:t xml:space="preserve"> del Sujeto Obligado.</w:t>
            </w:r>
          </w:p>
          <w:p w14:paraId="5E49155B"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rFonts w:ascii="Palatino Linotype" w:eastAsia="Palatino Linotype" w:hAnsi="Palatino Linotype" w:cs="Palatino Linotype"/>
                <w:noProof/>
                <w:sz w:val="22"/>
                <w:szCs w:val="22"/>
              </w:rPr>
              <w:lastRenderedPageBreak/>
              <w:drawing>
                <wp:inline distT="0" distB="0" distL="0" distR="0" wp14:anchorId="7CFFCCAD" wp14:editId="7C5C05D3">
                  <wp:extent cx="1620000" cy="1036008"/>
                  <wp:effectExtent l="0" t="0" r="0" b="0"/>
                  <wp:docPr id="21401318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620000" cy="1036008"/>
                          </a:xfrm>
                          <a:prstGeom prst="rect">
                            <a:avLst/>
                          </a:prstGeom>
                          <a:ln/>
                        </pic:spPr>
                      </pic:pic>
                    </a:graphicData>
                  </a:graphic>
                </wp:inline>
              </w:drawing>
            </w:r>
          </w:p>
        </w:tc>
        <w:tc>
          <w:tcPr>
            <w:tcW w:w="2911" w:type="dxa"/>
          </w:tcPr>
          <w:p w14:paraId="34C525FE"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lastRenderedPageBreak/>
              <w:t>Unidad de Información, Planeación, Programación y Evaluación.</w:t>
            </w:r>
          </w:p>
          <w:p w14:paraId="0A4F4443"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511A4CC8" w14:textId="77777777">
        <w:trPr>
          <w:jc w:val="center"/>
        </w:trPr>
        <w:tc>
          <w:tcPr>
            <w:tcW w:w="2918" w:type="dxa"/>
          </w:tcPr>
          <w:p w14:paraId="2E2656FE"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2. Remuneraciones de mandos medios y superiores.</w:t>
            </w:r>
          </w:p>
        </w:tc>
        <w:tc>
          <w:tcPr>
            <w:tcW w:w="2999" w:type="dxa"/>
          </w:tcPr>
          <w:p w14:paraId="0FE41D53"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Dirección de Administración y Desarrollo de Personal.</w:t>
            </w:r>
          </w:p>
          <w:p w14:paraId="3D45C4D5"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Proporciona el listado de los cargos correspondientes a mandos medios y superiores y percepción que le corresponde a cada uno.</w:t>
            </w:r>
          </w:p>
          <w:p w14:paraId="389CE463"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71586EF4" wp14:editId="68A577DB">
                  <wp:extent cx="1620000" cy="621202"/>
                  <wp:effectExtent l="0" t="0" r="0" b="0"/>
                  <wp:docPr id="21401318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1620000" cy="621202"/>
                          </a:xfrm>
                          <a:prstGeom prst="rect">
                            <a:avLst/>
                          </a:prstGeom>
                          <a:ln/>
                        </pic:spPr>
                      </pic:pic>
                    </a:graphicData>
                  </a:graphic>
                </wp:inline>
              </w:drawing>
            </w:r>
          </w:p>
        </w:tc>
        <w:tc>
          <w:tcPr>
            <w:tcW w:w="2911" w:type="dxa"/>
          </w:tcPr>
          <w:p w14:paraId="75F28EF7"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Dirección de Administración y Desarrollo de Personal.</w:t>
            </w:r>
          </w:p>
          <w:p w14:paraId="7563943C"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En la etapa de manifestaciones, precisó que las percepciones reportadas corresponden con las </w:t>
            </w:r>
            <w:r w:rsidRPr="005E3C9B">
              <w:rPr>
                <w:rFonts w:ascii="Palatino Linotype" w:eastAsia="Palatino Linotype" w:hAnsi="Palatino Linotype" w:cs="Palatino Linotype"/>
                <w:sz w:val="20"/>
                <w:szCs w:val="20"/>
                <w:u w:val="single"/>
              </w:rPr>
              <w:t>remuneraciones netas quincenales</w:t>
            </w:r>
            <w:r w:rsidRPr="005E3C9B">
              <w:rPr>
                <w:rFonts w:ascii="Palatino Linotype" w:eastAsia="Palatino Linotype" w:hAnsi="Palatino Linotype" w:cs="Palatino Linotype"/>
                <w:sz w:val="20"/>
                <w:szCs w:val="20"/>
              </w:rPr>
              <w:t xml:space="preserve">. </w:t>
            </w:r>
          </w:p>
          <w:p w14:paraId="083AC167" w14:textId="77777777" w:rsidR="005B2976" w:rsidRPr="005E3C9B" w:rsidRDefault="005B2976">
            <w:pPr>
              <w:spacing w:before="120" w:after="120"/>
              <w:ind w:right="-6"/>
              <w:jc w:val="center"/>
              <w:rPr>
                <w:rFonts w:ascii="Palatino Linotype" w:eastAsia="Palatino Linotype" w:hAnsi="Palatino Linotype" w:cs="Palatino Linotype"/>
                <w:sz w:val="20"/>
                <w:szCs w:val="20"/>
              </w:rPr>
            </w:pPr>
          </w:p>
        </w:tc>
      </w:tr>
      <w:tr w:rsidR="00372F73" w:rsidRPr="005E3C9B" w14:paraId="2F7A46D1" w14:textId="77777777">
        <w:trPr>
          <w:jc w:val="center"/>
        </w:trPr>
        <w:tc>
          <w:tcPr>
            <w:tcW w:w="2918" w:type="dxa"/>
          </w:tcPr>
          <w:p w14:paraId="79006F9E"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3. Trámites y Servicios de todas las áreas. </w:t>
            </w:r>
          </w:p>
        </w:tc>
        <w:tc>
          <w:tcPr>
            <w:tcW w:w="2999" w:type="dxa"/>
          </w:tcPr>
          <w:p w14:paraId="20C6EDDF"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Coordinación General de Mejora Regulatoria. </w:t>
            </w:r>
          </w:p>
          <w:p w14:paraId="0AA04607"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Proporciona una dirección electrónica a través de un documento digitalizado, así como capturas de pantalla para efectos de la consulta.</w:t>
            </w:r>
          </w:p>
          <w:p w14:paraId="41AB2EFE"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2EF3F815" wp14:editId="60810A34">
                  <wp:extent cx="1620000" cy="980816"/>
                  <wp:effectExtent l="0" t="0" r="0" b="0"/>
                  <wp:docPr id="21401318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620000" cy="980816"/>
                          </a:xfrm>
                          <a:prstGeom prst="rect">
                            <a:avLst/>
                          </a:prstGeom>
                          <a:ln/>
                        </pic:spPr>
                      </pic:pic>
                    </a:graphicData>
                  </a:graphic>
                </wp:inline>
              </w:drawing>
            </w:r>
          </w:p>
          <w:p w14:paraId="5F36A5CE"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51715F28" wp14:editId="055C5B73">
                  <wp:extent cx="1620000" cy="727406"/>
                  <wp:effectExtent l="0" t="0" r="0" b="0"/>
                  <wp:docPr id="21401318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620000" cy="727406"/>
                          </a:xfrm>
                          <a:prstGeom prst="rect">
                            <a:avLst/>
                          </a:prstGeom>
                          <a:ln/>
                        </pic:spPr>
                      </pic:pic>
                    </a:graphicData>
                  </a:graphic>
                </wp:inline>
              </w:drawing>
            </w:r>
          </w:p>
          <w:p w14:paraId="4E83C061" w14:textId="77777777" w:rsidR="005B2976" w:rsidRPr="005E3C9B" w:rsidRDefault="005B2976">
            <w:pPr>
              <w:spacing w:before="120" w:after="120"/>
              <w:jc w:val="both"/>
              <w:rPr>
                <w:rFonts w:ascii="Palatino Linotype" w:eastAsia="Palatino Linotype" w:hAnsi="Palatino Linotype" w:cs="Palatino Linotype"/>
                <w:sz w:val="20"/>
                <w:szCs w:val="20"/>
              </w:rPr>
            </w:pPr>
          </w:p>
        </w:tc>
        <w:tc>
          <w:tcPr>
            <w:tcW w:w="2911" w:type="dxa"/>
          </w:tcPr>
          <w:p w14:paraId="2F781C56"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Coordinación General de Mejora Regulatoria. </w:t>
            </w:r>
          </w:p>
          <w:p w14:paraId="2DE3D394"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Proporciona la misma dirección electrónica a través de un documento en formato abierto, así como los pasos para consultar la información.</w:t>
            </w:r>
          </w:p>
          <w:p w14:paraId="1838A16C"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noProof/>
              </w:rPr>
              <w:drawing>
                <wp:inline distT="0" distB="0" distL="0" distR="0" wp14:anchorId="432CFD0E" wp14:editId="2FF4D75B">
                  <wp:extent cx="1620000" cy="925714"/>
                  <wp:effectExtent l="0" t="0" r="0" b="0"/>
                  <wp:docPr id="21401318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620000" cy="925714"/>
                          </a:xfrm>
                          <a:prstGeom prst="rect">
                            <a:avLst/>
                          </a:prstGeom>
                          <a:ln/>
                        </pic:spPr>
                      </pic:pic>
                    </a:graphicData>
                  </a:graphic>
                </wp:inline>
              </w:drawing>
            </w:r>
          </w:p>
          <w:p w14:paraId="4F9558BE"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noProof/>
              </w:rPr>
              <w:drawing>
                <wp:inline distT="0" distB="0" distL="0" distR="0" wp14:anchorId="5EF68CA8" wp14:editId="337EF7A0">
                  <wp:extent cx="1620000" cy="994766"/>
                  <wp:effectExtent l="0" t="0" r="0" b="0"/>
                  <wp:docPr id="21401318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620000" cy="994766"/>
                          </a:xfrm>
                          <a:prstGeom prst="rect">
                            <a:avLst/>
                          </a:prstGeom>
                          <a:ln/>
                        </pic:spPr>
                      </pic:pic>
                    </a:graphicData>
                  </a:graphic>
                </wp:inline>
              </w:drawing>
            </w:r>
          </w:p>
        </w:tc>
      </w:tr>
      <w:tr w:rsidR="00372F73" w:rsidRPr="005E3C9B" w14:paraId="1E1DA8C3" w14:textId="77777777">
        <w:trPr>
          <w:jc w:val="center"/>
        </w:trPr>
        <w:tc>
          <w:tcPr>
            <w:tcW w:w="2918" w:type="dxa"/>
          </w:tcPr>
          <w:p w14:paraId="00FB98F2"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4. Presupuesto asignado al Sujeto Obligado </w:t>
            </w:r>
          </w:p>
        </w:tc>
        <w:tc>
          <w:tcPr>
            <w:tcW w:w="2999" w:type="dxa"/>
          </w:tcPr>
          <w:p w14:paraId="4F27274C"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Tesorería Municipal</w:t>
            </w:r>
            <w:r w:rsidRPr="005E3C9B">
              <w:rPr>
                <w:rFonts w:ascii="Palatino Linotype" w:eastAsia="Palatino Linotype" w:hAnsi="Palatino Linotype" w:cs="Palatino Linotype"/>
                <w:sz w:val="20"/>
                <w:szCs w:val="20"/>
              </w:rPr>
              <w:t>.</w:t>
            </w:r>
          </w:p>
          <w:p w14:paraId="2C1B6EF8"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lastRenderedPageBreak/>
              <w:t xml:space="preserve">Manifestó que la información relativa al presupuesto asignado al Sujeto Obligado, </w:t>
            </w:r>
            <w:r w:rsidRPr="005E3C9B">
              <w:rPr>
                <w:rFonts w:ascii="Palatino Linotype" w:eastAsia="Palatino Linotype" w:hAnsi="Palatino Linotype" w:cs="Palatino Linotype"/>
                <w:sz w:val="20"/>
                <w:szCs w:val="20"/>
                <w:u w:val="single"/>
              </w:rPr>
              <w:t>se encuentra en proceso de elaboración,</w:t>
            </w:r>
            <w:r w:rsidRPr="005E3C9B">
              <w:rPr>
                <w:rFonts w:ascii="Palatino Linotype" w:eastAsia="Palatino Linotype" w:hAnsi="Palatino Linotype" w:cs="Palatino Linotype"/>
                <w:sz w:val="20"/>
                <w:szCs w:val="20"/>
              </w:rPr>
              <w:t xml:space="preserve"> de conformidad con el artículo 125 de la Constitución Política del Estado Libre y Soberano de México.</w:t>
            </w:r>
          </w:p>
        </w:tc>
        <w:tc>
          <w:tcPr>
            <w:tcW w:w="2911" w:type="dxa"/>
          </w:tcPr>
          <w:p w14:paraId="337CF5AA"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lastRenderedPageBreak/>
              <w:t>Tesorería Municipal.</w:t>
            </w:r>
          </w:p>
          <w:p w14:paraId="5BE93EDE"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7F606E03" w14:textId="77777777">
        <w:trPr>
          <w:jc w:val="center"/>
        </w:trPr>
        <w:tc>
          <w:tcPr>
            <w:tcW w:w="2918" w:type="dxa"/>
          </w:tcPr>
          <w:p w14:paraId="72DFF9B5"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5. Aviso de Privacidad (integral y simplificados), vigentes. </w:t>
            </w:r>
          </w:p>
        </w:tc>
        <w:tc>
          <w:tcPr>
            <w:tcW w:w="2999" w:type="dxa"/>
          </w:tcPr>
          <w:p w14:paraId="157B8FCA"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 xml:space="preserve">Unidad de Transparencia y Acceso a la Información. </w:t>
            </w:r>
            <w:r w:rsidRPr="005E3C9B">
              <w:rPr>
                <w:rFonts w:ascii="Palatino Linotype" w:eastAsia="Palatino Linotype" w:hAnsi="Palatino Linotype" w:cs="Palatino Linotype"/>
                <w:sz w:val="20"/>
                <w:szCs w:val="20"/>
              </w:rPr>
              <w:t>Proporciona una Dirección electrónica a través de un documento digitalizado, para consultar la información, así como la captura de pantalla del portal respectivo.</w:t>
            </w:r>
          </w:p>
          <w:p w14:paraId="4047F5C0"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28EE92DD" wp14:editId="6384E4AD">
                  <wp:extent cx="1620000" cy="1241853"/>
                  <wp:effectExtent l="0" t="0" r="0" b="0"/>
                  <wp:docPr id="21401318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620000" cy="1241853"/>
                          </a:xfrm>
                          <a:prstGeom prst="rect">
                            <a:avLst/>
                          </a:prstGeom>
                          <a:ln/>
                        </pic:spPr>
                      </pic:pic>
                    </a:graphicData>
                  </a:graphic>
                </wp:inline>
              </w:drawing>
            </w:r>
          </w:p>
        </w:tc>
        <w:tc>
          <w:tcPr>
            <w:tcW w:w="2911" w:type="dxa"/>
          </w:tcPr>
          <w:p w14:paraId="23AB9786"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08E0C22E"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 y proporciona la dirección electrónica en formato abierto, así como capturas de pantalla del portal respectivo.</w:t>
            </w:r>
          </w:p>
          <w:p w14:paraId="318611AA" w14:textId="77777777" w:rsidR="005B2976" w:rsidRPr="005E3C9B" w:rsidRDefault="008E7AE9">
            <w:pPr>
              <w:spacing w:before="120" w:after="120"/>
              <w:ind w:right="-6"/>
              <w:jc w:val="center"/>
              <w:rPr>
                <w:rFonts w:ascii="Palatino Linotype" w:eastAsia="Palatino Linotype" w:hAnsi="Palatino Linotype" w:cs="Palatino Linotype"/>
                <w:b/>
                <w:sz w:val="20"/>
                <w:szCs w:val="20"/>
              </w:rPr>
            </w:pPr>
            <w:r w:rsidRPr="005E3C9B">
              <w:rPr>
                <w:noProof/>
              </w:rPr>
              <w:drawing>
                <wp:inline distT="0" distB="0" distL="0" distR="0" wp14:anchorId="7C45AA1E" wp14:editId="179C48F9">
                  <wp:extent cx="1620000" cy="1382127"/>
                  <wp:effectExtent l="0" t="0" r="0" b="0"/>
                  <wp:docPr id="21401318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620000" cy="1382127"/>
                          </a:xfrm>
                          <a:prstGeom prst="rect">
                            <a:avLst/>
                          </a:prstGeom>
                          <a:ln/>
                        </pic:spPr>
                      </pic:pic>
                    </a:graphicData>
                  </a:graphic>
                </wp:inline>
              </w:drawing>
            </w:r>
          </w:p>
        </w:tc>
      </w:tr>
      <w:tr w:rsidR="00372F73" w:rsidRPr="005E3C9B" w14:paraId="11606F9F" w14:textId="77777777">
        <w:trPr>
          <w:jc w:val="center"/>
        </w:trPr>
        <w:tc>
          <w:tcPr>
            <w:tcW w:w="2918" w:type="dxa"/>
          </w:tcPr>
          <w:p w14:paraId="31695F54"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6. Documentos de Seguridad de todas las áreas. </w:t>
            </w:r>
          </w:p>
        </w:tc>
        <w:tc>
          <w:tcPr>
            <w:tcW w:w="2999" w:type="dxa"/>
          </w:tcPr>
          <w:p w14:paraId="327AE545"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 xml:space="preserve">Unidad de Transparencia y Acceso a la Información. </w:t>
            </w:r>
            <w:r w:rsidRPr="005E3C9B">
              <w:rPr>
                <w:rFonts w:ascii="Palatino Linotype" w:eastAsia="Palatino Linotype" w:hAnsi="Palatino Linotype" w:cs="Palatino Linotype"/>
                <w:sz w:val="20"/>
                <w:szCs w:val="20"/>
              </w:rPr>
              <w:t>Manifiesta</w:t>
            </w:r>
            <w:r w:rsidRPr="005E3C9B">
              <w:rPr>
                <w:rFonts w:ascii="Palatino Linotype" w:eastAsia="Palatino Linotype" w:hAnsi="Palatino Linotype" w:cs="Palatino Linotype"/>
                <w:b/>
                <w:sz w:val="20"/>
                <w:szCs w:val="20"/>
              </w:rPr>
              <w:t xml:space="preserve"> </w:t>
            </w:r>
            <w:r w:rsidRPr="005E3C9B">
              <w:rPr>
                <w:rFonts w:ascii="Palatino Linotype" w:eastAsia="Palatino Linotype" w:hAnsi="Palatino Linotype" w:cs="Palatino Linotype"/>
                <w:sz w:val="20"/>
                <w:szCs w:val="20"/>
              </w:rPr>
              <w:t>adjuntar el documento de seguridad vigente.</w:t>
            </w:r>
          </w:p>
          <w:p w14:paraId="2FBA540C"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61A82689" wp14:editId="0ADB4AD0">
                  <wp:extent cx="1620000" cy="575377"/>
                  <wp:effectExtent l="0" t="0" r="0" b="0"/>
                  <wp:docPr id="21401318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620000" cy="575377"/>
                          </a:xfrm>
                          <a:prstGeom prst="rect">
                            <a:avLst/>
                          </a:prstGeom>
                          <a:ln/>
                        </pic:spPr>
                      </pic:pic>
                    </a:graphicData>
                  </a:graphic>
                </wp:inline>
              </w:drawing>
            </w:r>
          </w:p>
        </w:tc>
        <w:tc>
          <w:tcPr>
            <w:tcW w:w="2911" w:type="dxa"/>
          </w:tcPr>
          <w:p w14:paraId="1A370AE2"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Unidad de Transparencia y Acceso a la Información.</w:t>
            </w:r>
          </w:p>
          <w:p w14:paraId="4CA92E42"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Precisa que el documento entregado </w:t>
            </w:r>
            <w:r w:rsidRPr="005E3C9B">
              <w:rPr>
                <w:rFonts w:ascii="Palatino Linotype" w:eastAsia="Palatino Linotype" w:hAnsi="Palatino Linotype" w:cs="Palatino Linotype"/>
                <w:b/>
                <w:sz w:val="20"/>
                <w:szCs w:val="20"/>
              </w:rPr>
              <w:t>es el único archivo que se encuentra vigente</w:t>
            </w:r>
            <w:r w:rsidRPr="005E3C9B">
              <w:rPr>
                <w:rFonts w:ascii="Palatino Linotype" w:eastAsia="Palatino Linotype" w:hAnsi="Palatino Linotype" w:cs="Palatino Linotype"/>
                <w:sz w:val="20"/>
                <w:szCs w:val="20"/>
              </w:rPr>
              <w:t xml:space="preserve">, una vez realizada la búsqueda en los archivos físicos y digitales a su cargo. </w:t>
            </w:r>
          </w:p>
        </w:tc>
      </w:tr>
      <w:tr w:rsidR="00372F73" w:rsidRPr="005E3C9B" w14:paraId="3B6406BC" w14:textId="77777777">
        <w:trPr>
          <w:jc w:val="center"/>
        </w:trPr>
        <w:tc>
          <w:tcPr>
            <w:tcW w:w="2918" w:type="dxa"/>
          </w:tcPr>
          <w:p w14:paraId="3BA6F1D7"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7. Obligaciones con las que cumple el Sujeto Obligado (simples y específicas). </w:t>
            </w:r>
          </w:p>
        </w:tc>
        <w:tc>
          <w:tcPr>
            <w:tcW w:w="2999" w:type="dxa"/>
          </w:tcPr>
          <w:p w14:paraId="0E989F19"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 xml:space="preserve">Unidad de Transparencia y Acceso a la Información. </w:t>
            </w:r>
            <w:r w:rsidRPr="005E3C9B">
              <w:rPr>
                <w:rFonts w:ascii="Palatino Linotype" w:eastAsia="Palatino Linotype" w:hAnsi="Palatino Linotype" w:cs="Palatino Linotype"/>
                <w:sz w:val="20"/>
                <w:szCs w:val="20"/>
              </w:rPr>
              <w:t>Refiere que se encuentran establecidas en el Bando Municipal, 2025.</w:t>
            </w:r>
          </w:p>
        </w:tc>
        <w:tc>
          <w:tcPr>
            <w:tcW w:w="2911" w:type="dxa"/>
          </w:tcPr>
          <w:p w14:paraId="101C3B55"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Unidad de Transparencia y Acceso a la Información.</w:t>
            </w:r>
          </w:p>
          <w:p w14:paraId="261CD6AA"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Refiere que el requerimiento de información no es claro, sin embargo, reitera que las obligaciones conferidas al </w:t>
            </w:r>
            <w:r w:rsidRPr="005E3C9B">
              <w:rPr>
                <w:rFonts w:ascii="Palatino Linotype" w:eastAsia="Palatino Linotype" w:hAnsi="Palatino Linotype" w:cs="Palatino Linotype"/>
                <w:sz w:val="20"/>
                <w:szCs w:val="20"/>
              </w:rPr>
              <w:lastRenderedPageBreak/>
              <w:t xml:space="preserve">Sujeto Obligado pueden ser consultadas en el Bando Municipal 2025, respecto a las obligaciones de transparencia, </w:t>
            </w:r>
            <w:r w:rsidRPr="005E3C9B">
              <w:rPr>
                <w:rFonts w:ascii="Palatino Linotype" w:eastAsia="Palatino Linotype" w:hAnsi="Palatino Linotype" w:cs="Palatino Linotype"/>
                <w:b/>
                <w:sz w:val="20"/>
                <w:szCs w:val="20"/>
              </w:rPr>
              <w:t xml:space="preserve">precisó que el Sujeto Obligado cumple con lo establecido en la Ley de Transparencia y Acceso a la Información Pública del Estado de México y Municipios, en los artículos 92 y 94 </w:t>
            </w:r>
            <w:r w:rsidRPr="005E3C9B">
              <w:rPr>
                <w:rFonts w:ascii="Palatino Linotype" w:eastAsia="Palatino Linotype" w:hAnsi="Palatino Linotype" w:cs="Palatino Linotype"/>
                <w:sz w:val="20"/>
                <w:szCs w:val="20"/>
              </w:rPr>
              <w:t xml:space="preserve">así como con las demás disposiciones establecidas en la normatividad aplicable, e indicó que </w:t>
            </w:r>
            <w:r w:rsidRPr="005E3C9B">
              <w:rPr>
                <w:rFonts w:ascii="Palatino Linotype" w:eastAsia="Palatino Linotype" w:hAnsi="Palatino Linotype" w:cs="Palatino Linotype"/>
                <w:b/>
                <w:sz w:val="20"/>
                <w:szCs w:val="20"/>
              </w:rPr>
              <w:t>el cumplimiento a las obligaciones de transparencia se puede constatar en los resultados de las verificaciones oficiosas,</w:t>
            </w:r>
            <w:r w:rsidRPr="005E3C9B">
              <w:rPr>
                <w:rFonts w:ascii="Palatino Linotype" w:eastAsia="Palatino Linotype" w:hAnsi="Palatino Linotype" w:cs="Palatino Linotype"/>
                <w:sz w:val="20"/>
                <w:szCs w:val="20"/>
              </w:rPr>
              <w:t xml:space="preserve"> al ser información que de igual manera se solicita.</w:t>
            </w:r>
          </w:p>
        </w:tc>
      </w:tr>
      <w:tr w:rsidR="00372F73" w:rsidRPr="005E3C9B" w14:paraId="4E4FD27A" w14:textId="77777777">
        <w:trPr>
          <w:jc w:val="center"/>
        </w:trPr>
        <w:tc>
          <w:tcPr>
            <w:tcW w:w="2918" w:type="dxa"/>
          </w:tcPr>
          <w:p w14:paraId="07631F03"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lastRenderedPageBreak/>
              <w:t xml:space="preserve">8. Resultados de los últimos 3 años de la Verificaciones Oficiosas que ha realizado el INFOEM. </w:t>
            </w:r>
          </w:p>
        </w:tc>
        <w:tc>
          <w:tcPr>
            <w:tcW w:w="2999" w:type="dxa"/>
          </w:tcPr>
          <w:p w14:paraId="00A958DC"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 xml:space="preserve">Unidad de Transparencia y Acceso a la Información. </w:t>
            </w:r>
            <w:r w:rsidRPr="005E3C9B">
              <w:rPr>
                <w:rFonts w:ascii="Palatino Linotype" w:eastAsia="Palatino Linotype" w:hAnsi="Palatino Linotype" w:cs="Palatino Linotype"/>
                <w:sz w:val="20"/>
                <w:szCs w:val="20"/>
              </w:rPr>
              <w:t>Proporciona una Dirección electrónica a través de un documento digitalizado, para consultar la información, así como la captura de pantalla del portal respectivo.</w:t>
            </w:r>
          </w:p>
          <w:p w14:paraId="7BC2AE2F"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19D1B667" wp14:editId="1D4F40AC">
                  <wp:extent cx="1620000" cy="1672607"/>
                  <wp:effectExtent l="0" t="0" r="0" b="0"/>
                  <wp:docPr id="21401318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1620000" cy="1672607"/>
                          </a:xfrm>
                          <a:prstGeom prst="rect">
                            <a:avLst/>
                          </a:prstGeom>
                          <a:ln/>
                        </pic:spPr>
                      </pic:pic>
                    </a:graphicData>
                  </a:graphic>
                </wp:inline>
              </w:drawing>
            </w:r>
          </w:p>
          <w:p w14:paraId="76A13F1A" w14:textId="77777777" w:rsidR="005B2976" w:rsidRPr="005E3C9B" w:rsidRDefault="005B2976">
            <w:pPr>
              <w:spacing w:before="120" w:after="120"/>
              <w:jc w:val="both"/>
              <w:rPr>
                <w:rFonts w:ascii="Palatino Linotype" w:eastAsia="Palatino Linotype" w:hAnsi="Palatino Linotype" w:cs="Palatino Linotype"/>
                <w:sz w:val="20"/>
                <w:szCs w:val="20"/>
              </w:rPr>
            </w:pPr>
          </w:p>
        </w:tc>
        <w:tc>
          <w:tcPr>
            <w:tcW w:w="2911" w:type="dxa"/>
          </w:tcPr>
          <w:p w14:paraId="22FEC1C2"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225BE5F4"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su respuesta, y proporciona la dirección electrónica en formato abierto, así como la captura de pantalla del portal respectivo.</w:t>
            </w:r>
          </w:p>
          <w:p w14:paraId="3A917724"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0470C341" wp14:editId="74FF5400">
                  <wp:extent cx="1620000" cy="349552"/>
                  <wp:effectExtent l="0" t="0" r="0" b="0"/>
                  <wp:docPr id="21401318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1620000" cy="349552"/>
                          </a:xfrm>
                          <a:prstGeom prst="rect">
                            <a:avLst/>
                          </a:prstGeom>
                          <a:ln/>
                        </pic:spPr>
                      </pic:pic>
                    </a:graphicData>
                  </a:graphic>
                </wp:inline>
              </w:drawing>
            </w:r>
          </w:p>
          <w:p w14:paraId="79946E13"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02467778" wp14:editId="6461E69F">
                  <wp:extent cx="1620000" cy="1376212"/>
                  <wp:effectExtent l="0" t="0" r="0" b="0"/>
                  <wp:docPr id="21401318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620000" cy="1376212"/>
                          </a:xfrm>
                          <a:prstGeom prst="rect">
                            <a:avLst/>
                          </a:prstGeom>
                          <a:ln/>
                        </pic:spPr>
                      </pic:pic>
                    </a:graphicData>
                  </a:graphic>
                </wp:inline>
              </w:drawing>
            </w:r>
          </w:p>
        </w:tc>
      </w:tr>
      <w:tr w:rsidR="00372F73" w:rsidRPr="005E3C9B" w14:paraId="79A6E528" w14:textId="77777777">
        <w:trPr>
          <w:jc w:val="center"/>
        </w:trPr>
        <w:tc>
          <w:tcPr>
            <w:tcW w:w="2918" w:type="dxa"/>
          </w:tcPr>
          <w:p w14:paraId="674A6AA9"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lastRenderedPageBreak/>
              <w:t xml:space="preserve">9. Acta de Instalación del Comité de Transparencia. </w:t>
            </w:r>
          </w:p>
        </w:tc>
        <w:tc>
          <w:tcPr>
            <w:tcW w:w="2999" w:type="dxa"/>
          </w:tcPr>
          <w:p w14:paraId="2CEAB528"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43347841"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Proporciona el Acta de Instalación del Comité de Transparencia.</w:t>
            </w:r>
          </w:p>
          <w:p w14:paraId="4EF61C58"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1AD94C2A" wp14:editId="1D4BAF0B">
                  <wp:extent cx="1620000" cy="1089364"/>
                  <wp:effectExtent l="0" t="0" r="0" b="0"/>
                  <wp:docPr id="21401318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620000" cy="1089364"/>
                          </a:xfrm>
                          <a:prstGeom prst="rect">
                            <a:avLst/>
                          </a:prstGeom>
                          <a:ln/>
                        </pic:spPr>
                      </pic:pic>
                    </a:graphicData>
                  </a:graphic>
                </wp:inline>
              </w:drawing>
            </w:r>
          </w:p>
        </w:tc>
        <w:tc>
          <w:tcPr>
            <w:tcW w:w="2911" w:type="dxa"/>
          </w:tcPr>
          <w:p w14:paraId="52AA47CA"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6990F8D5"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Indica que una vez realizada la búsqueda en los archivos que obran en la Unidad de Transparencia, sólo se tiene el acta remitida en respuesta.</w:t>
            </w:r>
          </w:p>
        </w:tc>
      </w:tr>
      <w:tr w:rsidR="00372F73" w:rsidRPr="005E3C9B" w14:paraId="01924B38" w14:textId="77777777">
        <w:trPr>
          <w:jc w:val="center"/>
        </w:trPr>
        <w:tc>
          <w:tcPr>
            <w:tcW w:w="2918" w:type="dxa"/>
          </w:tcPr>
          <w:p w14:paraId="12B2314F"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10. Acta de Instalación del Sistema de Anticorrupción. </w:t>
            </w:r>
          </w:p>
        </w:tc>
        <w:tc>
          <w:tcPr>
            <w:tcW w:w="2999" w:type="dxa"/>
          </w:tcPr>
          <w:p w14:paraId="591A6E40"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Contralora Interna Municipal</w:t>
            </w:r>
            <w:r w:rsidRPr="005E3C9B">
              <w:rPr>
                <w:rFonts w:ascii="Palatino Linotype" w:eastAsia="Palatino Linotype" w:hAnsi="Palatino Linotype" w:cs="Palatino Linotype"/>
                <w:sz w:val="20"/>
                <w:szCs w:val="20"/>
              </w:rPr>
              <w:t xml:space="preserve">. </w:t>
            </w:r>
          </w:p>
          <w:p w14:paraId="6604832F"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Proporciona las Actas de instalación del Comité de Participación Ciudadana del Sistema Municipal Anticorrupción y del Comité Coordinador del Sistema Municipal Anticorrupción, integras.</w:t>
            </w:r>
          </w:p>
          <w:p w14:paraId="56299E87"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7B86ECEB" wp14:editId="023BEEDB">
                  <wp:extent cx="1620000" cy="1275214"/>
                  <wp:effectExtent l="0" t="0" r="0" b="0"/>
                  <wp:docPr id="21401318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1620000" cy="1275214"/>
                          </a:xfrm>
                          <a:prstGeom prst="rect">
                            <a:avLst/>
                          </a:prstGeom>
                          <a:ln/>
                        </pic:spPr>
                      </pic:pic>
                    </a:graphicData>
                  </a:graphic>
                </wp:inline>
              </w:drawing>
            </w:r>
          </w:p>
          <w:p w14:paraId="15B395EF" w14:textId="77777777" w:rsidR="005B2976" w:rsidRPr="005E3C9B" w:rsidRDefault="008E7AE9">
            <w:pPr>
              <w:spacing w:before="120" w:after="120"/>
              <w:jc w:val="center"/>
              <w:rPr>
                <w:rFonts w:ascii="Palatino Linotype" w:eastAsia="Palatino Linotype" w:hAnsi="Palatino Linotype" w:cs="Palatino Linotype"/>
                <w:sz w:val="20"/>
                <w:szCs w:val="20"/>
              </w:rPr>
            </w:pPr>
            <w:r w:rsidRPr="005E3C9B">
              <w:rPr>
                <w:noProof/>
              </w:rPr>
              <w:drawing>
                <wp:inline distT="0" distB="0" distL="0" distR="0" wp14:anchorId="50470839" wp14:editId="5013432F">
                  <wp:extent cx="1620000" cy="1288961"/>
                  <wp:effectExtent l="0" t="0" r="0" b="0"/>
                  <wp:docPr id="21401318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1620000" cy="1288961"/>
                          </a:xfrm>
                          <a:prstGeom prst="rect">
                            <a:avLst/>
                          </a:prstGeom>
                          <a:ln/>
                        </pic:spPr>
                      </pic:pic>
                    </a:graphicData>
                  </a:graphic>
                </wp:inline>
              </w:drawing>
            </w:r>
          </w:p>
        </w:tc>
        <w:tc>
          <w:tcPr>
            <w:tcW w:w="2911" w:type="dxa"/>
          </w:tcPr>
          <w:p w14:paraId="258BB317"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Contralora Interna Municipal</w:t>
            </w:r>
          </w:p>
          <w:p w14:paraId="7B6234D8"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6CE30E94" w14:textId="77777777">
        <w:trPr>
          <w:jc w:val="center"/>
        </w:trPr>
        <w:tc>
          <w:tcPr>
            <w:tcW w:w="2918" w:type="dxa"/>
          </w:tcPr>
          <w:p w14:paraId="645C437C"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11. Cuántas Solicitudes de Acceso a la Información se han atendido en los últimos 3 años. </w:t>
            </w:r>
          </w:p>
        </w:tc>
        <w:tc>
          <w:tcPr>
            <w:tcW w:w="2999" w:type="dxa"/>
          </w:tcPr>
          <w:p w14:paraId="4295E954"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0C25156F"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sz w:val="20"/>
                <w:szCs w:val="20"/>
              </w:rPr>
              <w:lastRenderedPageBreak/>
              <w:t xml:space="preserve">Indica que en los últimos 3 años se atendieron </w:t>
            </w:r>
            <w:r w:rsidRPr="005E3C9B">
              <w:rPr>
                <w:rFonts w:ascii="Palatino Linotype" w:eastAsia="Palatino Linotype" w:hAnsi="Palatino Linotype" w:cs="Palatino Linotype"/>
                <w:b/>
                <w:sz w:val="20"/>
                <w:szCs w:val="20"/>
              </w:rPr>
              <w:t>437 solicitudes.</w:t>
            </w:r>
          </w:p>
        </w:tc>
        <w:tc>
          <w:tcPr>
            <w:tcW w:w="2911" w:type="dxa"/>
          </w:tcPr>
          <w:p w14:paraId="05B3F59B"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lastRenderedPageBreak/>
              <w:t>Unidad de Transparencia y Acceso a la Información.</w:t>
            </w:r>
          </w:p>
          <w:p w14:paraId="63E1EA36"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lastRenderedPageBreak/>
              <w:t>Ratifica la respuesta.</w:t>
            </w:r>
          </w:p>
        </w:tc>
      </w:tr>
      <w:tr w:rsidR="00372F73" w:rsidRPr="005E3C9B" w14:paraId="76EC9695" w14:textId="77777777">
        <w:trPr>
          <w:jc w:val="center"/>
        </w:trPr>
        <w:tc>
          <w:tcPr>
            <w:tcW w:w="2918" w:type="dxa"/>
          </w:tcPr>
          <w:p w14:paraId="5DB3325C"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lastRenderedPageBreak/>
              <w:t xml:space="preserve">12. Cuántas Solicitudes de Datos Personales se han atendido en los últimos 3 años. </w:t>
            </w:r>
          </w:p>
        </w:tc>
        <w:tc>
          <w:tcPr>
            <w:tcW w:w="2999" w:type="dxa"/>
          </w:tcPr>
          <w:p w14:paraId="3E9FD128"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1427CE4A"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sz w:val="20"/>
                <w:szCs w:val="20"/>
              </w:rPr>
              <w:t xml:space="preserve">Indica que en los últimos 3 años se atendió </w:t>
            </w:r>
            <w:r w:rsidRPr="005E3C9B">
              <w:rPr>
                <w:rFonts w:ascii="Palatino Linotype" w:eastAsia="Palatino Linotype" w:hAnsi="Palatino Linotype" w:cs="Palatino Linotype"/>
                <w:b/>
                <w:sz w:val="20"/>
                <w:szCs w:val="20"/>
              </w:rPr>
              <w:t>1</w:t>
            </w:r>
            <w:r w:rsidRPr="005E3C9B">
              <w:rPr>
                <w:rFonts w:ascii="Palatino Linotype" w:eastAsia="Palatino Linotype" w:hAnsi="Palatino Linotype" w:cs="Palatino Linotype"/>
                <w:sz w:val="20"/>
                <w:szCs w:val="20"/>
              </w:rPr>
              <w:t xml:space="preserve"> </w:t>
            </w:r>
            <w:r w:rsidRPr="005E3C9B">
              <w:rPr>
                <w:rFonts w:ascii="Palatino Linotype" w:eastAsia="Palatino Linotype" w:hAnsi="Palatino Linotype" w:cs="Palatino Linotype"/>
                <w:b/>
                <w:sz w:val="20"/>
                <w:szCs w:val="20"/>
              </w:rPr>
              <w:t>solicitud.</w:t>
            </w:r>
          </w:p>
        </w:tc>
        <w:tc>
          <w:tcPr>
            <w:tcW w:w="2911" w:type="dxa"/>
          </w:tcPr>
          <w:p w14:paraId="5621AFCB"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6561E073"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07C927A8" w14:textId="77777777">
        <w:trPr>
          <w:jc w:val="center"/>
        </w:trPr>
        <w:tc>
          <w:tcPr>
            <w:tcW w:w="2918" w:type="dxa"/>
          </w:tcPr>
          <w:p w14:paraId="6D59C72A"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 xml:space="preserve">13. Cuántos Recursos de Revisión se han atendido en los últimos 3 años. </w:t>
            </w:r>
          </w:p>
        </w:tc>
        <w:tc>
          <w:tcPr>
            <w:tcW w:w="2999" w:type="dxa"/>
          </w:tcPr>
          <w:p w14:paraId="283A8BF9"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691890B8"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sz w:val="20"/>
                <w:szCs w:val="20"/>
              </w:rPr>
              <w:t xml:space="preserve">Indica que en los últimos 3 años se atendieron </w:t>
            </w:r>
            <w:r w:rsidRPr="005E3C9B">
              <w:rPr>
                <w:rFonts w:ascii="Palatino Linotype" w:eastAsia="Palatino Linotype" w:hAnsi="Palatino Linotype" w:cs="Palatino Linotype"/>
                <w:b/>
                <w:sz w:val="20"/>
                <w:szCs w:val="20"/>
              </w:rPr>
              <w:t>104 recursos de revisión.</w:t>
            </w:r>
          </w:p>
        </w:tc>
        <w:tc>
          <w:tcPr>
            <w:tcW w:w="2911" w:type="dxa"/>
          </w:tcPr>
          <w:p w14:paraId="6E74C4B3"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10AAE969"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5868E301" w14:textId="77777777">
        <w:trPr>
          <w:jc w:val="center"/>
        </w:trPr>
        <w:tc>
          <w:tcPr>
            <w:tcW w:w="2918" w:type="dxa"/>
          </w:tcPr>
          <w:p w14:paraId="4B030896"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14. Cuantos Incumplimientos han atendido en los últimos 3 años.</w:t>
            </w:r>
          </w:p>
        </w:tc>
        <w:tc>
          <w:tcPr>
            <w:tcW w:w="2999" w:type="dxa"/>
          </w:tcPr>
          <w:p w14:paraId="4E6D30F1"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4DFB6E35"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sz w:val="20"/>
                <w:szCs w:val="20"/>
              </w:rPr>
              <w:t xml:space="preserve">Indica que en los últimos 3 años se atendieron </w:t>
            </w:r>
            <w:r w:rsidRPr="005E3C9B">
              <w:rPr>
                <w:rFonts w:ascii="Palatino Linotype" w:eastAsia="Palatino Linotype" w:hAnsi="Palatino Linotype" w:cs="Palatino Linotype"/>
                <w:b/>
                <w:sz w:val="20"/>
                <w:szCs w:val="20"/>
              </w:rPr>
              <w:t>5 incumplimientos.</w:t>
            </w:r>
          </w:p>
        </w:tc>
        <w:tc>
          <w:tcPr>
            <w:tcW w:w="2911" w:type="dxa"/>
          </w:tcPr>
          <w:p w14:paraId="41BFCD3B" w14:textId="77777777" w:rsidR="005B2976" w:rsidRPr="005E3C9B" w:rsidRDefault="008E7AE9">
            <w:pPr>
              <w:spacing w:before="120" w:after="120"/>
              <w:ind w:right="-6"/>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Unidad de Transparencia y Acceso a la Información.</w:t>
            </w:r>
          </w:p>
          <w:p w14:paraId="76313270" w14:textId="77777777" w:rsidR="005B2976" w:rsidRPr="005E3C9B" w:rsidRDefault="008E7AE9">
            <w:pPr>
              <w:spacing w:before="120" w:after="120"/>
              <w:ind w:right="-6"/>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Ratifica la respuesta.</w:t>
            </w:r>
          </w:p>
        </w:tc>
      </w:tr>
      <w:tr w:rsidR="00372F73" w:rsidRPr="005E3C9B" w14:paraId="459A0291" w14:textId="77777777">
        <w:trPr>
          <w:jc w:val="center"/>
        </w:trPr>
        <w:tc>
          <w:tcPr>
            <w:tcW w:w="2918" w:type="dxa"/>
          </w:tcPr>
          <w:p w14:paraId="4AD981FE" w14:textId="77777777" w:rsidR="005B2976" w:rsidRPr="005E3C9B" w:rsidRDefault="008E7AE9">
            <w:pPr>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15. Que acciones han generado en el tema de Transparencia Proactiva en los últimos 3 años.</w:t>
            </w:r>
          </w:p>
        </w:tc>
        <w:tc>
          <w:tcPr>
            <w:tcW w:w="2999" w:type="dxa"/>
          </w:tcPr>
          <w:p w14:paraId="155CC4F1" w14:textId="77777777" w:rsidR="005B2976" w:rsidRPr="005E3C9B" w:rsidRDefault="008E7AE9">
            <w:pPr>
              <w:spacing w:before="120" w:after="120"/>
              <w:jc w:val="both"/>
              <w:rPr>
                <w:rFonts w:ascii="Palatino Linotype" w:eastAsia="Palatino Linotype" w:hAnsi="Palatino Linotype" w:cs="Palatino Linotype"/>
                <w:b/>
                <w:sz w:val="20"/>
                <w:szCs w:val="20"/>
              </w:rPr>
            </w:pPr>
            <w:r w:rsidRPr="005E3C9B">
              <w:rPr>
                <w:rFonts w:ascii="Palatino Linotype" w:eastAsia="Palatino Linotype" w:hAnsi="Palatino Linotype" w:cs="Palatino Linotype"/>
                <w:b/>
                <w:sz w:val="20"/>
                <w:szCs w:val="20"/>
              </w:rPr>
              <w:t xml:space="preserve">Unidad de Transparencia y Acceso a la Información. </w:t>
            </w:r>
          </w:p>
          <w:p w14:paraId="22FC18F6" w14:textId="77777777" w:rsidR="005B2976" w:rsidRPr="005E3C9B" w:rsidRDefault="008E7AE9">
            <w:pPr>
              <w:spacing w:before="120" w:after="120"/>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Refiere que se encontraba imposibilitada para proporcionar información al no obrar en sus archivos.</w:t>
            </w:r>
          </w:p>
        </w:tc>
        <w:tc>
          <w:tcPr>
            <w:tcW w:w="2911" w:type="dxa"/>
          </w:tcPr>
          <w:p w14:paraId="3C564CD1"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b/>
                <w:sz w:val="20"/>
                <w:szCs w:val="20"/>
              </w:rPr>
              <w:t>Unidad de Transparencia y Acceso a la Información.</w:t>
            </w:r>
          </w:p>
          <w:p w14:paraId="55CDB149" w14:textId="77777777" w:rsidR="005B2976" w:rsidRPr="005E3C9B" w:rsidRDefault="008E7AE9">
            <w:pPr>
              <w:spacing w:before="120" w:after="120"/>
              <w:ind w:right="-6"/>
              <w:jc w:val="both"/>
              <w:rPr>
                <w:rFonts w:ascii="Palatino Linotype" w:eastAsia="Palatino Linotype" w:hAnsi="Palatino Linotype" w:cs="Palatino Linotype"/>
                <w:sz w:val="20"/>
                <w:szCs w:val="20"/>
              </w:rPr>
            </w:pPr>
            <w:r w:rsidRPr="005E3C9B">
              <w:rPr>
                <w:rFonts w:ascii="Palatino Linotype" w:eastAsia="Palatino Linotype" w:hAnsi="Palatino Linotype" w:cs="Palatino Linotype"/>
                <w:sz w:val="20"/>
                <w:szCs w:val="20"/>
              </w:rPr>
              <w:t>Indica que derivado de la búsqueda en los archivos digitales que obran en la Unidad de Transparencia, sólo se encontró como evidencia en tema de transparencia proactiva, el uso de redes sociales para informar a la ciudadanía sobre la toma de decisiones, trámites, servicios, convocatorias, programas, etcétera, agregando la captura de pantalla donde se advierte la infografía de los tramites que brinda la Oficialía móvil del Ayuntamiento, y del trámite de Cartilla Militar.</w:t>
            </w:r>
          </w:p>
          <w:p w14:paraId="4F1722AC" w14:textId="77777777" w:rsidR="005B2976" w:rsidRPr="005E3C9B" w:rsidRDefault="008E7AE9">
            <w:pPr>
              <w:spacing w:before="120" w:after="120"/>
              <w:ind w:right="-6"/>
              <w:jc w:val="center"/>
              <w:rPr>
                <w:rFonts w:ascii="Palatino Linotype" w:eastAsia="Palatino Linotype" w:hAnsi="Palatino Linotype" w:cs="Palatino Linotype"/>
                <w:sz w:val="20"/>
                <w:szCs w:val="20"/>
              </w:rPr>
            </w:pPr>
            <w:r w:rsidRPr="005E3C9B">
              <w:rPr>
                <w:noProof/>
              </w:rPr>
              <w:lastRenderedPageBreak/>
              <w:drawing>
                <wp:inline distT="0" distB="0" distL="0" distR="0" wp14:anchorId="0E052FB4" wp14:editId="7803C6C2">
                  <wp:extent cx="1620000" cy="810000"/>
                  <wp:effectExtent l="0" t="0" r="0" b="0"/>
                  <wp:docPr id="21401318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1620000" cy="810000"/>
                          </a:xfrm>
                          <a:prstGeom prst="rect">
                            <a:avLst/>
                          </a:prstGeom>
                          <a:ln/>
                        </pic:spPr>
                      </pic:pic>
                    </a:graphicData>
                  </a:graphic>
                </wp:inline>
              </w:drawing>
            </w:r>
          </w:p>
        </w:tc>
      </w:tr>
    </w:tbl>
    <w:p w14:paraId="40614599"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Como se puede vislumbrar en la tabla anterior, los requerimientos marcados con los numerales </w:t>
      </w:r>
      <w:r w:rsidRPr="005E3C9B">
        <w:rPr>
          <w:rFonts w:ascii="Palatino Linotype" w:eastAsia="Palatino Linotype" w:hAnsi="Palatino Linotype" w:cs="Palatino Linotype"/>
          <w:b/>
        </w:rPr>
        <w:t>1, 9 y 10,</w:t>
      </w:r>
      <w:r w:rsidRPr="005E3C9B">
        <w:rPr>
          <w:rFonts w:ascii="Palatino Linotype" w:eastAsia="Palatino Linotype" w:hAnsi="Palatino Linotype" w:cs="Palatino Linotype"/>
        </w:rPr>
        <w:t xml:space="preserve"> fueron atendidos de manera puntual al haberse hecho entrega del organigrama general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así como de las Actas de instalación del Comité de Transparencia y del Comité de Participación Ciudadana del Sistema Municipal Anticorrupción y del Comité Coordinador, los cuales integran el Sistema Municipal Anticorrupción, siendo la información que se encuentra vigente a la fecha de presentación de la solicitud.</w:t>
      </w:r>
    </w:p>
    <w:p w14:paraId="6EB7DF03"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Asimismo, se tienen por atendidos los puntos </w:t>
      </w:r>
      <w:r w:rsidRPr="005E3C9B">
        <w:rPr>
          <w:rFonts w:ascii="Palatino Linotype" w:eastAsia="Palatino Linotype" w:hAnsi="Palatino Linotype" w:cs="Palatino Linotype"/>
          <w:b/>
        </w:rPr>
        <w:t xml:space="preserve">11, 12, 13 y 14, </w:t>
      </w:r>
      <w:r w:rsidRPr="005E3C9B">
        <w:rPr>
          <w:rFonts w:ascii="Palatino Linotype" w:eastAsia="Palatino Linotype" w:hAnsi="Palatino Linotype" w:cs="Palatino Linotype"/>
        </w:rPr>
        <w:t>al haber proporcionado la Unidad de Transparencia, la información estadística relativa al número de solicitudes de acceso a la información, de solicitudes de datos personales, de recursos de revisión y de incumplimientos que se atendieron en los últimos 3 años, previos a la presentación de la solicitud, toda vez que al haber emitido un pronunciamiento la persona servidora pública habilitada del área competente para conocer la información requerida en los puntos en análisis,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1EF36D87"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que se refiere al punto </w:t>
      </w:r>
      <w:r w:rsidRPr="005E3C9B">
        <w:rPr>
          <w:rFonts w:ascii="Palatino Linotype" w:eastAsia="Palatino Linotype" w:hAnsi="Palatino Linotype" w:cs="Palatino Linotype"/>
          <w:b/>
        </w:rPr>
        <w:t>2,</w:t>
      </w:r>
      <w:r w:rsidRPr="005E3C9B">
        <w:rPr>
          <w:rFonts w:ascii="Palatino Linotype" w:eastAsia="Palatino Linotype" w:hAnsi="Palatino Linotype" w:cs="Palatino Linotype"/>
        </w:rPr>
        <w:t xml:space="preserve"> donde se solicitan las remuneraciones de mandos medios y superiores, la Dirección de Administración y Desarrollo de Personal, </w:t>
      </w:r>
      <w:r w:rsidRPr="005E3C9B">
        <w:rPr>
          <w:rFonts w:ascii="Palatino Linotype" w:eastAsia="Palatino Linotype" w:hAnsi="Palatino Linotype" w:cs="Palatino Linotype"/>
        </w:rPr>
        <w:lastRenderedPageBreak/>
        <w:t>proporcionó un listado de los cargos que corresponden a dichas categorías, así como la percepción neta quincenal de cada uno, sin embargo, debe decirse que dicha información no colma el requerimiento de información.</w:t>
      </w:r>
    </w:p>
    <w:p w14:paraId="7BBD9C32"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Para sustentar el argumento anterior, es oportuno mencionar que dicha información es considerada como una obligación de transparencia, en términos del artículo 92, fracción VIII de la Ley de Transparencia y Acceso a la Información Pública del Estado de México y Municipios, que es del tenor literal siguiente:</w:t>
      </w:r>
    </w:p>
    <w:p w14:paraId="341E274C" w14:textId="77777777" w:rsidR="005B2976" w:rsidRPr="005E3C9B" w:rsidRDefault="008E7AE9">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92.</w:t>
      </w:r>
      <w:r w:rsidRPr="005E3C9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3D64F47" w14:textId="77777777" w:rsidR="005B2976" w:rsidRPr="005E3C9B" w:rsidRDefault="008E7AE9">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w:t>
      </w:r>
    </w:p>
    <w:p w14:paraId="4FAC00E7" w14:textId="77777777" w:rsidR="005B2976" w:rsidRPr="005E3C9B" w:rsidRDefault="008E7AE9">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VIII.</w:t>
      </w:r>
      <w:r w:rsidRPr="005E3C9B">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4AB7AE8"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tanto, los Sujetos Obligados cuentan con el deber de hacer dicha información del conocimiento público, a través de sus portales de internet, como dispone el artículo 75 de la Ley de Transparencia y Acceso a la Información Pública del Estado de México y Municipios, para lo cual se deben observar los criterios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w:t>
      </w:r>
      <w:r w:rsidRPr="005E3C9B">
        <w:rPr>
          <w:rFonts w:ascii="Palatino Linotype" w:eastAsia="Palatino Linotype" w:hAnsi="Palatino Linotype" w:cs="Palatino Linotype"/>
        </w:rPr>
        <w:lastRenderedPageBreak/>
        <w:t>portales de Internet y en la Plataforma Nacional de Transparencia, vigentes a la fecha de presentación de la solicitud.</w:t>
      </w:r>
    </w:p>
    <w:p w14:paraId="1196D9B8"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tal sentido, los criterios sustantivos de contenido 10 y 12, establecen que se debe publicar el </w:t>
      </w:r>
      <w:r w:rsidRPr="005E3C9B">
        <w:rPr>
          <w:rFonts w:ascii="Palatino Linotype" w:eastAsia="Palatino Linotype" w:hAnsi="Palatino Linotype" w:cs="Palatino Linotype"/>
          <w:b/>
        </w:rPr>
        <w:t xml:space="preserve">monto de la remuneración </w:t>
      </w:r>
      <w:r w:rsidRPr="005E3C9B">
        <w:rPr>
          <w:rFonts w:ascii="Palatino Linotype" w:eastAsia="Palatino Linotype" w:hAnsi="Palatino Linotype" w:cs="Palatino Linotype"/>
          <w:b/>
          <w:u w:val="single"/>
        </w:rPr>
        <w:t>mensual bruta y neta</w:t>
      </w:r>
      <w:r w:rsidRPr="005E3C9B">
        <w:rPr>
          <w:rFonts w:ascii="Palatino Linotype" w:eastAsia="Palatino Linotype" w:hAnsi="Palatino Linotype" w:cs="Palatino Linotype"/>
          <w:b/>
        </w:rPr>
        <w:t xml:space="preserve">, </w:t>
      </w:r>
      <w:r w:rsidRPr="005E3C9B">
        <w:rPr>
          <w:rFonts w:ascii="Palatino Linotype" w:eastAsia="Palatino Linotype" w:hAnsi="Palatino Linotype" w:cs="Palatino Linotype"/>
        </w:rPr>
        <w:t>de conformidad con el Tabulador de sueldos y salarios que corresponda, como se observa en seguida:</w:t>
      </w:r>
    </w:p>
    <w:p w14:paraId="632B2D9A" w14:textId="77777777" w:rsidR="005B2976" w:rsidRPr="005E3C9B" w:rsidRDefault="008E7AE9">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E3C9B">
        <w:rPr>
          <w:rFonts w:ascii="Palatino Linotype" w:eastAsia="Palatino Linotype" w:hAnsi="Palatino Linotype" w:cs="Palatino Linotype"/>
          <w:noProof/>
        </w:rPr>
        <w:drawing>
          <wp:inline distT="0" distB="0" distL="0" distR="0" wp14:anchorId="43ECED6C" wp14:editId="735D2644">
            <wp:extent cx="4860000" cy="1614306"/>
            <wp:effectExtent l="0" t="0" r="0" b="0"/>
            <wp:docPr id="21401318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860000" cy="1614306"/>
                    </a:xfrm>
                    <a:prstGeom prst="rect">
                      <a:avLst/>
                    </a:prstGeom>
                    <a:ln/>
                  </pic:spPr>
                </pic:pic>
              </a:graphicData>
            </a:graphic>
          </wp:inline>
        </w:drawing>
      </w:r>
    </w:p>
    <w:p w14:paraId="0A814AE9" w14:textId="77777777" w:rsidR="005B2976" w:rsidRPr="005E3C9B" w:rsidRDefault="008E7AE9">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E3C9B">
        <w:rPr>
          <w:rFonts w:ascii="Palatino Linotype" w:eastAsia="Palatino Linotype" w:hAnsi="Palatino Linotype" w:cs="Palatino Linotype"/>
          <w:noProof/>
        </w:rPr>
        <w:drawing>
          <wp:inline distT="0" distB="0" distL="0" distR="0" wp14:anchorId="5791FD55" wp14:editId="16B07ED2">
            <wp:extent cx="4860000" cy="2602118"/>
            <wp:effectExtent l="0" t="0" r="0" b="0"/>
            <wp:docPr id="21401318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860000" cy="2602118"/>
                    </a:xfrm>
                    <a:prstGeom prst="rect">
                      <a:avLst/>
                    </a:prstGeom>
                    <a:ln/>
                  </pic:spPr>
                </pic:pic>
              </a:graphicData>
            </a:graphic>
          </wp:inline>
        </w:drawing>
      </w:r>
      <w:r w:rsidRPr="005E3C9B">
        <w:rPr>
          <w:noProof/>
        </w:rPr>
        <mc:AlternateContent>
          <mc:Choice Requires="wpg">
            <w:drawing>
              <wp:anchor distT="0" distB="0" distL="114300" distR="114300" simplePos="0" relativeHeight="251658240" behindDoc="0" locked="0" layoutInCell="1" hidden="0" allowOverlap="1" wp14:anchorId="0BFE0912" wp14:editId="2BAEB5A8">
                <wp:simplePos x="0" y="0"/>
                <wp:positionH relativeFrom="column">
                  <wp:posOffset>2451100</wp:posOffset>
                </wp:positionH>
                <wp:positionV relativeFrom="paragraph">
                  <wp:posOffset>2006600</wp:posOffset>
                </wp:positionV>
                <wp:extent cx="1654760" cy="608686"/>
                <wp:effectExtent l="0" t="0" r="0" b="0"/>
                <wp:wrapNone/>
                <wp:docPr id="2140131834" name="Rectángulo 2140131834"/>
                <wp:cNvGraphicFramePr/>
                <a:graphic xmlns:a="http://schemas.openxmlformats.org/drawingml/2006/main">
                  <a:graphicData uri="http://schemas.microsoft.com/office/word/2010/wordprocessingShape">
                    <wps:wsp>
                      <wps:cNvSpPr/>
                      <wps:spPr>
                        <a:xfrm>
                          <a:off x="4537670" y="3494707"/>
                          <a:ext cx="1616660" cy="570586"/>
                        </a:xfrm>
                        <a:prstGeom prst="rect">
                          <a:avLst/>
                        </a:prstGeom>
                        <a:noFill/>
                        <a:ln w="38100" cap="flat" cmpd="sng">
                          <a:solidFill>
                            <a:srgbClr val="C00000"/>
                          </a:solidFill>
                          <a:prstDash val="solid"/>
                          <a:round/>
                          <a:headEnd type="none" w="sm" len="sm"/>
                          <a:tailEnd type="none" w="sm" len="sm"/>
                        </a:ln>
                      </wps:spPr>
                      <wps:txbx>
                        <w:txbxContent>
                          <w:p w14:paraId="09395F86" w14:textId="77777777" w:rsidR="005B2976" w:rsidRDefault="005B297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2006600</wp:posOffset>
                </wp:positionV>
                <wp:extent cx="1654760" cy="608686"/>
                <wp:effectExtent b="0" l="0" r="0" t="0"/>
                <wp:wrapNone/>
                <wp:docPr id="2140131834" name="image30.png"/>
                <a:graphic>
                  <a:graphicData uri="http://schemas.openxmlformats.org/drawingml/2006/picture">
                    <pic:pic>
                      <pic:nvPicPr>
                        <pic:cNvPr id="0" name="image30.png"/>
                        <pic:cNvPicPr preferRelativeResize="0"/>
                      </pic:nvPicPr>
                      <pic:blipFill>
                        <a:blip r:embed="rId30"/>
                        <a:srcRect/>
                        <a:stretch>
                          <a:fillRect/>
                        </a:stretch>
                      </pic:blipFill>
                      <pic:spPr>
                        <a:xfrm>
                          <a:off x="0" y="0"/>
                          <a:ext cx="1654760" cy="608686"/>
                        </a:xfrm>
                        <a:prstGeom prst="rect"/>
                        <a:ln/>
                      </pic:spPr>
                    </pic:pic>
                  </a:graphicData>
                </a:graphic>
              </wp:anchor>
            </w:drawing>
          </mc:Fallback>
        </mc:AlternateContent>
      </w:r>
      <w:r w:rsidRPr="005E3C9B">
        <w:rPr>
          <w:noProof/>
        </w:rPr>
        <mc:AlternateContent>
          <mc:Choice Requires="wpg">
            <w:drawing>
              <wp:anchor distT="0" distB="0" distL="114300" distR="114300" simplePos="0" relativeHeight="251659264" behindDoc="0" locked="0" layoutInCell="1" hidden="0" allowOverlap="1" wp14:anchorId="687BB7C2" wp14:editId="6D45837C">
                <wp:simplePos x="0" y="0"/>
                <wp:positionH relativeFrom="column">
                  <wp:posOffset>342900</wp:posOffset>
                </wp:positionH>
                <wp:positionV relativeFrom="paragraph">
                  <wp:posOffset>2019300</wp:posOffset>
                </wp:positionV>
                <wp:extent cx="1340181" cy="608686"/>
                <wp:effectExtent l="0" t="0" r="0" b="0"/>
                <wp:wrapNone/>
                <wp:docPr id="2140131833" name="Rectángulo 2140131833"/>
                <wp:cNvGraphicFramePr/>
                <a:graphic xmlns:a="http://schemas.openxmlformats.org/drawingml/2006/main">
                  <a:graphicData uri="http://schemas.microsoft.com/office/word/2010/wordprocessingShape">
                    <wps:wsp>
                      <wps:cNvSpPr/>
                      <wps:spPr>
                        <a:xfrm>
                          <a:off x="4694960" y="3494707"/>
                          <a:ext cx="1302081" cy="570586"/>
                        </a:xfrm>
                        <a:prstGeom prst="rect">
                          <a:avLst/>
                        </a:prstGeom>
                        <a:noFill/>
                        <a:ln w="38100" cap="flat" cmpd="sng">
                          <a:solidFill>
                            <a:srgbClr val="C00000"/>
                          </a:solidFill>
                          <a:prstDash val="solid"/>
                          <a:round/>
                          <a:headEnd type="none" w="sm" len="sm"/>
                          <a:tailEnd type="none" w="sm" len="sm"/>
                        </a:ln>
                      </wps:spPr>
                      <wps:txbx>
                        <w:txbxContent>
                          <w:p w14:paraId="4D4495ED" w14:textId="77777777" w:rsidR="005B2976" w:rsidRDefault="005B297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2019300</wp:posOffset>
                </wp:positionV>
                <wp:extent cx="1340181" cy="608686"/>
                <wp:effectExtent b="0" l="0" r="0" t="0"/>
                <wp:wrapNone/>
                <wp:docPr id="2140131833"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1340181" cy="608686"/>
                        </a:xfrm>
                        <a:prstGeom prst="rect"/>
                        <a:ln/>
                      </pic:spPr>
                    </pic:pic>
                  </a:graphicData>
                </a:graphic>
              </wp:anchor>
            </w:drawing>
          </mc:Fallback>
        </mc:AlternateContent>
      </w:r>
    </w:p>
    <w:p w14:paraId="1D237795"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No obstante, en el caso concreto, la persona servidora pública habilitada se limitó a proporcionar el monto de las </w:t>
      </w:r>
      <w:r w:rsidRPr="005E3C9B">
        <w:rPr>
          <w:rFonts w:ascii="Palatino Linotype" w:eastAsia="Palatino Linotype" w:hAnsi="Palatino Linotype" w:cs="Palatino Linotype"/>
          <w:b/>
          <w:u w:val="single"/>
        </w:rPr>
        <w:t>percepciones netas quincenales,</w:t>
      </w:r>
      <w:r w:rsidRPr="005E3C9B">
        <w:rPr>
          <w:rFonts w:ascii="Palatino Linotype" w:eastAsia="Palatino Linotype" w:hAnsi="Palatino Linotype" w:cs="Palatino Linotype"/>
        </w:rPr>
        <w:t xml:space="preserve"> como ha sido mencionado.</w:t>
      </w:r>
    </w:p>
    <w:p w14:paraId="74AF45AC" w14:textId="77777777" w:rsidR="005B2976" w:rsidRPr="005E3C9B" w:rsidRDefault="008E7AE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En este orden de ideas, se estima que para tener por satisfecho el requerimiento de información es necesario que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haga entrega de la información correspondiente a </w:t>
      </w:r>
      <w:r w:rsidRPr="005E3C9B">
        <w:rPr>
          <w:rFonts w:ascii="Palatino Linotype" w:eastAsia="Palatino Linotype" w:hAnsi="Palatino Linotype" w:cs="Palatino Linotype"/>
          <w:b/>
          <w:u w:val="single"/>
        </w:rPr>
        <w:t>las remuneraciones mensuales brutas y netas de los mandos medios y superiores al veintinueve de enero de dos mil veinticinco</w:t>
      </w:r>
      <w:r w:rsidRPr="005E3C9B">
        <w:rPr>
          <w:rFonts w:ascii="Palatino Linotype" w:eastAsia="Palatino Linotype" w:hAnsi="Palatino Linotype" w:cs="Palatino Linotype"/>
        </w:rPr>
        <w:t>, pudiendo ser, de manera enunciativa, más no limitativa, a través del tabulador de sueldos, o bien, al tratarse de una obligación de transparencia, mediante el procedimiento para la consulta de la información a través del portal de Información Pública de Oficio Mexiquense, IPOMEX, de manera accesible, clara y sencilla, puesto que los Sujetos Obligados en la generación, publicación y entrega de la información debe cumplir una serie de cualidades, entre las que destacan, es que sea accesible, actualizada y completa, conforme a lo que dispone el artículo 11 de la Ley de Transparencia y Acceso a la Información Pública del Estado de México y Municipios, cuyo texto dispone lo siguiente:</w:t>
      </w:r>
    </w:p>
    <w:p w14:paraId="0310E0AF" w14:textId="77777777" w:rsidR="005B2976" w:rsidRPr="005E3C9B" w:rsidRDefault="008E7AE9">
      <w:pPr>
        <w:spacing w:after="24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11. En la generación, publicación y entrega de información se deberá garantizar que ésta sea accesible, actualizada, completa</w:t>
      </w:r>
      <w:r w:rsidRPr="005E3C9B">
        <w:rPr>
          <w:rFonts w:ascii="Palatino Linotype" w:eastAsia="Palatino Linotype" w:hAnsi="Palatino Linotype" w:cs="Palatino Linotype"/>
          <w:i/>
          <w:sz w:val="22"/>
          <w:szCs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9883D2A" w14:textId="77777777" w:rsidR="005B2976" w:rsidRPr="005E3C9B" w:rsidRDefault="008E7AE9">
      <w:pPr>
        <w:spacing w:after="24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p>
    <w:p w14:paraId="3A9F58D1"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Respecto a los puntos </w:t>
      </w:r>
      <w:r w:rsidRPr="005E3C9B">
        <w:rPr>
          <w:rFonts w:ascii="Palatino Linotype" w:eastAsia="Palatino Linotype" w:hAnsi="Palatino Linotype" w:cs="Palatino Linotype"/>
          <w:b/>
        </w:rPr>
        <w:t>3, 5, y 8,</w:t>
      </w:r>
      <w:r w:rsidRPr="005E3C9B">
        <w:rPr>
          <w:rFonts w:ascii="Palatino Linotype" w:eastAsia="Palatino Linotype" w:hAnsi="Palatino Linotype" w:cs="Palatino Linotype"/>
        </w:rPr>
        <w:t xml:space="preserve"> mediante los cuales se requieren los trámites y servicios de todas las áreas, los avisos de privacidad integral y simplificado, así como los resultados de los últimos 3 años de las verificaciones oficiosas realizadas </w:t>
      </w:r>
      <w:r w:rsidRPr="005E3C9B">
        <w:rPr>
          <w:rFonts w:ascii="Palatino Linotype" w:eastAsia="Palatino Linotype" w:hAnsi="Palatino Linotype" w:cs="Palatino Linotype"/>
        </w:rPr>
        <w:lastRenderedPageBreak/>
        <w:t>por este Organismo Garante, dado que las personas servidoras públicas de la Coordinación General de Mejora Regulatoria y la Unidad de Transparencia proporcionaron diversas direcciones electrónicas para efectos de la consulta de la información, es oportuno traer a colación lo señalado en el artículo 161 de la Ley de Transparencia y Acceso a la Información Pública del Estado de México y Municipios</w:t>
      </w:r>
      <w:r w:rsidRPr="005E3C9B">
        <w:rPr>
          <w:rFonts w:ascii="Palatino Linotype" w:eastAsia="Palatino Linotype" w:hAnsi="Palatino Linotype" w:cs="Palatino Linotype"/>
          <w:i/>
        </w:rPr>
        <w:t xml:space="preserve">, </w:t>
      </w:r>
      <w:r w:rsidRPr="005E3C9B">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E1F0B44"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a) La fuente</w:t>
      </w:r>
    </w:p>
    <w:p w14:paraId="57FFF22A"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b) El lugar y</w:t>
      </w:r>
    </w:p>
    <w:p w14:paraId="10FA1385"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c) La forma</w:t>
      </w:r>
    </w:p>
    <w:p w14:paraId="64CB9C1F"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Asimismo, se establece que la fuente de la información deberá ser:</w:t>
      </w:r>
    </w:p>
    <w:p w14:paraId="7231440D"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a) Precisa</w:t>
      </w:r>
    </w:p>
    <w:p w14:paraId="670C8B0D"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b) Concreta</w:t>
      </w:r>
    </w:p>
    <w:p w14:paraId="673F53F4" w14:textId="77777777" w:rsidR="005B2976" w:rsidRPr="005E3C9B" w:rsidRDefault="008E7AE9">
      <w:pPr>
        <w:spacing w:before="120" w:after="120"/>
        <w:ind w:left="284" w:right="51"/>
        <w:jc w:val="both"/>
        <w:rPr>
          <w:rFonts w:ascii="Palatino Linotype" w:eastAsia="Palatino Linotype" w:hAnsi="Palatino Linotype" w:cs="Palatino Linotype"/>
        </w:rPr>
      </w:pPr>
      <w:r w:rsidRPr="005E3C9B">
        <w:rPr>
          <w:rFonts w:ascii="Palatino Linotype" w:eastAsia="Palatino Linotype" w:hAnsi="Palatino Linotype" w:cs="Palatino Linotype"/>
        </w:rPr>
        <w:t>c) Y no debe implicar que el solicitante realice una búsqueda en toda la información que se encuentre disponible.</w:t>
      </w:r>
    </w:p>
    <w:p w14:paraId="03849681"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108E84B2"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En este sentido, si bien es cierto que en un primer momento las direcciones electrónicas se proporcionaron a través de documentos digitalizados en formato cerrado, es decir, que no permiten la reutilización de la información o la interoperabilidad de la misma; posteriormente, en la etapa de manifestaciones fueron entregadas a través de documentos en formato abierto, por lo que este Organismo Garante procedió a la consulta de la información con la finalidad de constatar si la información se localiza en las mismas, advirtiendo lo siguiente:</w:t>
      </w:r>
    </w:p>
    <w:p w14:paraId="46854C1F"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Tramites y servicios</w:t>
      </w:r>
      <w:r w:rsidRPr="005E3C9B">
        <w:rPr>
          <w:rFonts w:ascii="Palatino Linotype" w:eastAsia="Palatino Linotype" w:hAnsi="Palatino Linotype" w:cs="Palatino Linotype"/>
        </w:rPr>
        <w:t xml:space="preserve">: </w:t>
      </w:r>
      <w:hyperlink r:id="rId31">
        <w:r w:rsidRPr="005E3C9B">
          <w:rPr>
            <w:rFonts w:ascii="Palatino Linotype" w:eastAsia="Palatino Linotype" w:hAnsi="Palatino Linotype" w:cs="Palatino Linotype"/>
            <w:u w:val="single"/>
          </w:rPr>
          <w:t>https://temascalcingo.gob.mx/tramites-y-servicios/</w:t>
        </w:r>
      </w:hyperlink>
      <w:r w:rsidRPr="005E3C9B">
        <w:rPr>
          <w:rFonts w:ascii="Palatino Linotype" w:eastAsia="Palatino Linotype" w:hAnsi="Palatino Linotype" w:cs="Palatino Linotype"/>
        </w:rPr>
        <w:t xml:space="preserve"> </w:t>
      </w:r>
    </w:p>
    <w:p w14:paraId="02C62898"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noProof/>
        </w:rPr>
        <w:drawing>
          <wp:inline distT="0" distB="0" distL="0" distR="0" wp14:anchorId="1ED22F79" wp14:editId="0073FF84">
            <wp:extent cx="5612130" cy="3803015"/>
            <wp:effectExtent l="0" t="0" r="0" b="0"/>
            <wp:docPr id="21401318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5612130" cy="3803015"/>
                    </a:xfrm>
                    <a:prstGeom prst="rect">
                      <a:avLst/>
                    </a:prstGeom>
                    <a:ln/>
                  </pic:spPr>
                </pic:pic>
              </a:graphicData>
            </a:graphic>
          </wp:inline>
        </w:drawing>
      </w:r>
    </w:p>
    <w:p w14:paraId="070FEED8"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Como se logra vislumbrar, la dirección electrónica dirige directamente al apartado de Trámites y servicios de la página electrónica oficial del Sujeto Obligado, </w:t>
      </w:r>
      <w:r w:rsidRPr="005E3C9B">
        <w:rPr>
          <w:rFonts w:ascii="Palatino Linotype" w:eastAsia="Palatino Linotype" w:hAnsi="Palatino Linotype" w:cs="Palatino Linotype"/>
        </w:rPr>
        <w:lastRenderedPageBreak/>
        <w:t>asimismo, al dar clic en las opciones disponibles, se despliega una ventana emergente que contiene la Cédula de Información del trámite correspondiente, como se ilustra a continuación de manera ejemplificativa:</w:t>
      </w:r>
    </w:p>
    <w:p w14:paraId="094A7A9D" w14:textId="77777777" w:rsidR="005B2976" w:rsidRPr="005E3C9B" w:rsidRDefault="008E7AE9">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E3C9B">
        <w:rPr>
          <w:noProof/>
        </w:rPr>
        <w:drawing>
          <wp:inline distT="0" distB="0" distL="0" distR="0" wp14:anchorId="7D1E1429" wp14:editId="05F8655B">
            <wp:extent cx="4176000" cy="1636758"/>
            <wp:effectExtent l="0" t="0" r="0" b="0"/>
            <wp:docPr id="21401318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4176000" cy="1636758"/>
                    </a:xfrm>
                    <a:prstGeom prst="rect">
                      <a:avLst/>
                    </a:prstGeom>
                    <a:ln/>
                  </pic:spPr>
                </pic:pic>
              </a:graphicData>
            </a:graphic>
          </wp:inline>
        </w:drawing>
      </w:r>
    </w:p>
    <w:p w14:paraId="094E8E9A"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Avisos de privacidad integral y simplificado, vigentes</w:t>
      </w:r>
      <w:r w:rsidRPr="005E3C9B">
        <w:rPr>
          <w:rFonts w:ascii="Palatino Linotype" w:eastAsia="Palatino Linotype" w:hAnsi="Palatino Linotype" w:cs="Palatino Linotype"/>
        </w:rPr>
        <w:t xml:space="preserve"> </w:t>
      </w:r>
      <w:hyperlink r:id="rId34">
        <w:r w:rsidRPr="005E3C9B">
          <w:rPr>
            <w:rFonts w:ascii="Palatino Linotype" w:eastAsia="Palatino Linotype" w:hAnsi="Palatino Linotype" w:cs="Palatino Linotype"/>
            <w:u w:val="single"/>
          </w:rPr>
          <w:t>https://temascalcingo.gob.mx/transparencia/</w:t>
        </w:r>
      </w:hyperlink>
      <w:r w:rsidRPr="005E3C9B">
        <w:rPr>
          <w:rFonts w:ascii="Palatino Linotype" w:eastAsia="Palatino Linotype" w:hAnsi="Palatino Linotype" w:cs="Palatino Linotype"/>
        </w:rPr>
        <w:t xml:space="preserve"> </w:t>
      </w:r>
    </w:p>
    <w:p w14:paraId="25C16FA9" w14:textId="77777777" w:rsidR="005B2976" w:rsidRPr="005E3C9B" w:rsidRDefault="008E7AE9">
      <w:pPr>
        <w:spacing w:before="240" w:after="240" w:line="360" w:lineRule="auto"/>
        <w:jc w:val="center"/>
        <w:rPr>
          <w:rFonts w:ascii="Palatino Linotype" w:eastAsia="Palatino Linotype" w:hAnsi="Palatino Linotype" w:cs="Palatino Linotype"/>
        </w:rPr>
      </w:pPr>
      <w:r w:rsidRPr="005E3C9B">
        <w:rPr>
          <w:noProof/>
        </w:rPr>
        <w:drawing>
          <wp:inline distT="0" distB="0" distL="0" distR="0" wp14:anchorId="255507D6" wp14:editId="4A1A63EC">
            <wp:extent cx="4500000" cy="2032078"/>
            <wp:effectExtent l="0" t="0" r="0" b="0"/>
            <wp:docPr id="2140131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4500000" cy="2032078"/>
                    </a:xfrm>
                    <a:prstGeom prst="rect">
                      <a:avLst/>
                    </a:prstGeom>
                    <a:ln/>
                  </pic:spPr>
                </pic:pic>
              </a:graphicData>
            </a:graphic>
          </wp:inline>
        </w:drawing>
      </w:r>
    </w:p>
    <w:p w14:paraId="08E55E6F" w14:textId="77777777" w:rsidR="005B2976" w:rsidRPr="005E3C9B" w:rsidRDefault="008E7AE9">
      <w:pPr>
        <w:spacing w:before="240" w:after="240" w:line="360" w:lineRule="auto"/>
        <w:jc w:val="center"/>
        <w:rPr>
          <w:rFonts w:ascii="Palatino Linotype" w:eastAsia="Palatino Linotype" w:hAnsi="Palatino Linotype" w:cs="Palatino Linotype"/>
        </w:rPr>
      </w:pPr>
      <w:r w:rsidRPr="005E3C9B">
        <w:rPr>
          <w:noProof/>
        </w:rPr>
        <w:lastRenderedPageBreak/>
        <w:drawing>
          <wp:inline distT="0" distB="0" distL="0" distR="0" wp14:anchorId="71784400" wp14:editId="2DD5AA17">
            <wp:extent cx="4500000" cy="1328920"/>
            <wp:effectExtent l="0" t="0" r="0" b="0"/>
            <wp:docPr id="21401318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4500000" cy="1328920"/>
                    </a:xfrm>
                    <a:prstGeom prst="rect">
                      <a:avLst/>
                    </a:prstGeom>
                    <a:ln/>
                  </pic:spPr>
                </pic:pic>
              </a:graphicData>
            </a:graphic>
          </wp:inline>
        </w:drawing>
      </w:r>
      <w:r w:rsidRPr="005E3C9B">
        <w:rPr>
          <w:noProof/>
        </w:rPr>
        <w:drawing>
          <wp:inline distT="0" distB="0" distL="0" distR="0" wp14:anchorId="78EAF205" wp14:editId="68539676">
            <wp:extent cx="4500000" cy="1312118"/>
            <wp:effectExtent l="0" t="0" r="0" b="0"/>
            <wp:docPr id="21401318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4500000" cy="1312118"/>
                    </a:xfrm>
                    <a:prstGeom prst="rect">
                      <a:avLst/>
                    </a:prstGeom>
                    <a:ln/>
                  </pic:spPr>
                </pic:pic>
              </a:graphicData>
            </a:graphic>
          </wp:inline>
        </w:drawing>
      </w:r>
    </w:p>
    <w:p w14:paraId="62648DD2"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La liga electrónica proporcionada dirige directamente al apartado de la página electrónica oficial del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en el que se encuentran publicados los avisos de privacidad simplificado del ayuntamiento e integrales de las áreas que brindan atención al público, y recaban datos personales, los cuales pueden ser consultados al dar clic en cada una de las opciones, como se observa en seguida:</w:t>
      </w:r>
    </w:p>
    <w:p w14:paraId="46A18A0B" w14:textId="77777777" w:rsidR="005B2976" w:rsidRPr="005E3C9B" w:rsidRDefault="008E7AE9">
      <w:pPr>
        <w:spacing w:before="240" w:after="240" w:line="360" w:lineRule="auto"/>
        <w:jc w:val="center"/>
        <w:rPr>
          <w:rFonts w:ascii="Palatino Linotype" w:eastAsia="Palatino Linotype" w:hAnsi="Palatino Linotype" w:cs="Palatino Linotype"/>
        </w:rPr>
      </w:pPr>
      <w:r w:rsidRPr="005E3C9B">
        <w:rPr>
          <w:rFonts w:ascii="Palatino Linotype" w:eastAsia="Palatino Linotype" w:hAnsi="Palatino Linotype" w:cs="Palatino Linotype"/>
          <w:noProof/>
        </w:rPr>
        <w:drawing>
          <wp:inline distT="0" distB="0" distL="0" distR="0" wp14:anchorId="69C01564" wp14:editId="09018615">
            <wp:extent cx="4500000" cy="1975051"/>
            <wp:effectExtent l="0" t="0" r="0" b="0"/>
            <wp:docPr id="21401318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4500000" cy="1975051"/>
                    </a:xfrm>
                    <a:prstGeom prst="rect">
                      <a:avLst/>
                    </a:prstGeom>
                    <a:ln/>
                  </pic:spPr>
                </pic:pic>
              </a:graphicData>
            </a:graphic>
          </wp:inline>
        </w:drawing>
      </w:r>
    </w:p>
    <w:p w14:paraId="3E399493" w14:textId="77777777" w:rsidR="005B2976" w:rsidRPr="005E3C9B" w:rsidRDefault="005B2976">
      <w:pPr>
        <w:spacing w:before="120" w:after="120" w:line="360" w:lineRule="auto"/>
        <w:jc w:val="both"/>
        <w:rPr>
          <w:rFonts w:ascii="Palatino Linotype" w:eastAsia="Palatino Linotype" w:hAnsi="Palatino Linotype" w:cs="Palatino Linotype"/>
          <w:b/>
        </w:rPr>
      </w:pPr>
    </w:p>
    <w:p w14:paraId="4205974E" w14:textId="77777777" w:rsidR="005B2976" w:rsidRPr="005E3C9B" w:rsidRDefault="008E7AE9">
      <w:pPr>
        <w:spacing w:before="120" w:after="120" w:line="360" w:lineRule="auto"/>
        <w:jc w:val="both"/>
        <w:rPr>
          <w:rFonts w:ascii="Palatino Linotype" w:eastAsia="Palatino Linotype" w:hAnsi="Palatino Linotype" w:cs="Palatino Linotype"/>
          <w:b/>
        </w:rPr>
      </w:pPr>
      <w:r w:rsidRPr="005E3C9B">
        <w:rPr>
          <w:rFonts w:ascii="Palatino Linotype" w:eastAsia="Palatino Linotype" w:hAnsi="Palatino Linotype" w:cs="Palatino Linotype"/>
          <w:b/>
        </w:rPr>
        <w:lastRenderedPageBreak/>
        <w:t>Verificaciones virtuales oficiosas:</w:t>
      </w:r>
    </w:p>
    <w:p w14:paraId="6B8A653F" w14:textId="77777777" w:rsidR="005B2976" w:rsidRPr="005E3C9B" w:rsidRDefault="00CA0C82">
      <w:pPr>
        <w:spacing w:before="120" w:after="120" w:line="360" w:lineRule="auto"/>
        <w:jc w:val="both"/>
        <w:rPr>
          <w:rFonts w:ascii="Palatino Linotype" w:eastAsia="Palatino Linotype" w:hAnsi="Palatino Linotype" w:cs="Palatino Linotype"/>
        </w:rPr>
      </w:pPr>
      <w:hyperlink r:id="rId39">
        <w:r w:rsidR="008E7AE9" w:rsidRPr="005E3C9B">
          <w:rPr>
            <w:rFonts w:ascii="Palatino Linotype" w:eastAsia="Palatino Linotype" w:hAnsi="Palatino Linotype" w:cs="Palatino Linotype"/>
            <w:u w:val="single"/>
          </w:rPr>
          <w:t>https://www.infoem.org.mx/es/contenido/verificaci%C3%B3n-virtual-oficiosa-2024</w:t>
        </w:r>
      </w:hyperlink>
      <w:r w:rsidR="008E7AE9" w:rsidRPr="005E3C9B">
        <w:rPr>
          <w:rFonts w:ascii="Palatino Linotype" w:eastAsia="Palatino Linotype" w:hAnsi="Palatino Linotype" w:cs="Palatino Linotype"/>
        </w:rPr>
        <w:t xml:space="preserve"> </w:t>
      </w:r>
    </w:p>
    <w:p w14:paraId="375B20E4" w14:textId="77777777" w:rsidR="005B2976" w:rsidRPr="005E3C9B" w:rsidRDefault="008E7AE9">
      <w:pPr>
        <w:spacing w:before="120" w:after="120" w:line="360" w:lineRule="auto"/>
        <w:jc w:val="center"/>
        <w:rPr>
          <w:rFonts w:ascii="Palatino Linotype" w:eastAsia="Palatino Linotype" w:hAnsi="Palatino Linotype" w:cs="Palatino Linotype"/>
        </w:rPr>
      </w:pPr>
      <w:r w:rsidRPr="005E3C9B">
        <w:rPr>
          <w:noProof/>
        </w:rPr>
        <w:drawing>
          <wp:inline distT="0" distB="0" distL="0" distR="0" wp14:anchorId="1A81848F" wp14:editId="75C72CE0">
            <wp:extent cx="4860000" cy="2533381"/>
            <wp:effectExtent l="0" t="0" r="0" b="0"/>
            <wp:docPr id="21401318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4860000" cy="2533381"/>
                    </a:xfrm>
                    <a:prstGeom prst="rect">
                      <a:avLst/>
                    </a:prstGeom>
                    <a:ln/>
                  </pic:spPr>
                </pic:pic>
              </a:graphicData>
            </a:graphic>
          </wp:inline>
        </w:drawing>
      </w:r>
    </w:p>
    <w:p w14:paraId="3E09A02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La dirección electrónica proporcionada dirige al portal de la página electrónica oficial de este Instituto, donde se encuentran publicados los resultados de las verificaciones virtuales oficiosas, desde el ejercicio 2020 al 2024, entre los que se encuentran los resultados obtenidos por el Sujeto Obligado, en los ejercicios 2022, 2023, 2024, que corresponden con los 3 años anteriores a la fecha de la solicitud, como se ilustra a continuación:</w:t>
      </w:r>
    </w:p>
    <w:p w14:paraId="12528D8E"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2022:</w:t>
      </w:r>
    </w:p>
    <w:p w14:paraId="040D44B3"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noProof/>
        </w:rPr>
        <w:drawing>
          <wp:inline distT="0" distB="0" distL="0" distR="0" wp14:anchorId="75117FCA" wp14:editId="3B60504F">
            <wp:extent cx="5612130" cy="250190"/>
            <wp:effectExtent l="0" t="0" r="0" b="0"/>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612130" cy="250190"/>
                    </a:xfrm>
                    <a:prstGeom prst="rect">
                      <a:avLst/>
                    </a:prstGeom>
                    <a:ln/>
                  </pic:spPr>
                </pic:pic>
              </a:graphicData>
            </a:graphic>
          </wp:inline>
        </w:drawing>
      </w:r>
    </w:p>
    <w:p w14:paraId="0C113EC7"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2023:</w:t>
      </w:r>
    </w:p>
    <w:p w14:paraId="0CA2112B"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noProof/>
        </w:rPr>
        <w:drawing>
          <wp:inline distT="0" distB="0" distL="0" distR="0" wp14:anchorId="78F5BE23" wp14:editId="068C43F2">
            <wp:extent cx="5612130" cy="269240"/>
            <wp:effectExtent l="0" t="0" r="0" b="0"/>
            <wp:docPr id="21401318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612130" cy="269240"/>
                    </a:xfrm>
                    <a:prstGeom prst="rect">
                      <a:avLst/>
                    </a:prstGeom>
                    <a:ln/>
                  </pic:spPr>
                </pic:pic>
              </a:graphicData>
            </a:graphic>
          </wp:inline>
        </w:drawing>
      </w:r>
    </w:p>
    <w:p w14:paraId="40794CED"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2024:</w:t>
      </w:r>
    </w:p>
    <w:p w14:paraId="088903AE"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noProof/>
        </w:rPr>
        <w:drawing>
          <wp:inline distT="0" distB="0" distL="0" distR="0" wp14:anchorId="4E175EE0" wp14:editId="719F878C">
            <wp:extent cx="5612130" cy="292100"/>
            <wp:effectExtent l="0" t="0" r="0" b="0"/>
            <wp:docPr id="21401318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5612130" cy="292100"/>
                    </a:xfrm>
                    <a:prstGeom prst="rect">
                      <a:avLst/>
                    </a:prstGeom>
                    <a:ln/>
                  </pic:spPr>
                </pic:pic>
              </a:graphicData>
            </a:graphic>
          </wp:inline>
        </w:drawing>
      </w:r>
    </w:p>
    <w:p w14:paraId="0B5EED0D"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Con base en lo previo, se colige que la orientación proporcionada cumple con lo señalado en el artículo 161 de la Ley de Transparencia y Acceso a la Información Pública del Estado de México y Municipios</w:t>
      </w:r>
      <w:r w:rsidRPr="005E3C9B">
        <w:rPr>
          <w:rFonts w:ascii="Palatino Linotype" w:eastAsia="Palatino Linotype" w:hAnsi="Palatino Linotype" w:cs="Palatino Linotype"/>
          <w:i/>
        </w:rPr>
        <w:t xml:space="preserve">, </w:t>
      </w:r>
      <w:r w:rsidRPr="005E3C9B">
        <w:rPr>
          <w:rFonts w:ascii="Palatino Linotype" w:eastAsia="Palatino Linotype" w:hAnsi="Palatino Linotype" w:cs="Palatino Linotype"/>
        </w:rPr>
        <w:t xml:space="preserve">toda vez que, de la consulta realizada por este Organismo Garante, se constató que </w:t>
      </w:r>
      <w:r w:rsidRPr="005E3C9B">
        <w:rPr>
          <w:rFonts w:ascii="Palatino Linotype" w:eastAsia="Palatino Linotype" w:hAnsi="Palatino Linotype" w:cs="Palatino Linotype"/>
          <w:b/>
        </w:rPr>
        <w:t>las direcciones electrónicas dirigen a los tramites y servicios que brinda el Sujeto Obligado</w:t>
      </w:r>
      <w:r w:rsidRPr="005E3C9B">
        <w:rPr>
          <w:rFonts w:ascii="Palatino Linotype" w:eastAsia="Palatino Linotype" w:hAnsi="Palatino Linotype" w:cs="Palatino Linotype"/>
        </w:rPr>
        <w:t xml:space="preserve">, así como </w:t>
      </w:r>
      <w:r w:rsidRPr="005E3C9B">
        <w:rPr>
          <w:rFonts w:ascii="Palatino Linotype" w:eastAsia="Palatino Linotype" w:hAnsi="Palatino Linotype" w:cs="Palatino Linotype"/>
          <w:b/>
        </w:rPr>
        <w:t>a los avisos de privacidad simplificado e integrales vigentes a la fecha de la solicitud</w:t>
      </w:r>
      <w:r w:rsidRPr="005E3C9B">
        <w:rPr>
          <w:rFonts w:ascii="Palatino Linotype" w:eastAsia="Palatino Linotype" w:hAnsi="Palatino Linotype" w:cs="Palatino Linotype"/>
        </w:rPr>
        <w:t>, y a los</w:t>
      </w:r>
      <w:r w:rsidRPr="005E3C9B">
        <w:rPr>
          <w:rFonts w:ascii="Palatino Linotype" w:eastAsia="Palatino Linotype" w:hAnsi="Palatino Linotype" w:cs="Palatino Linotype"/>
          <w:b/>
        </w:rPr>
        <w:t xml:space="preserve"> resultados de las verificaciones oficiosas realizadas por este Instituto al Sujeto Obligado, en los ejercicios 2022, 2023 y 2024,</w:t>
      </w:r>
      <w:r w:rsidRPr="005E3C9B">
        <w:rPr>
          <w:rFonts w:ascii="Palatino Linotype" w:eastAsia="Palatino Linotype" w:hAnsi="Palatino Linotype" w:cs="Palatino Linotype"/>
        </w:rPr>
        <w:t xml:space="preserve"> por lo tanto, se tiene por satisfecho el Derecho de acceso por lo que se refiere a los puntos en estudio.</w:t>
      </w:r>
    </w:p>
    <w:p w14:paraId="53B8C019"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Tocante al presupuesto asignado al Sujeto Obligado para el ejercicio 2025, requerido en el punto </w:t>
      </w:r>
      <w:r w:rsidRPr="005E3C9B">
        <w:rPr>
          <w:rFonts w:ascii="Palatino Linotype" w:eastAsia="Palatino Linotype" w:hAnsi="Palatino Linotype" w:cs="Palatino Linotype"/>
          <w:b/>
        </w:rPr>
        <w:t>4</w:t>
      </w:r>
      <w:r w:rsidRPr="005E3C9B">
        <w:rPr>
          <w:rFonts w:ascii="Palatino Linotype" w:eastAsia="Palatino Linotype" w:hAnsi="Palatino Linotype" w:cs="Palatino Linotype"/>
        </w:rPr>
        <w:t>, la persona servidora pública de la Tesorería Municipal, manifestó que dicha información se encontraba en proceso de elaboración, de conformidad con el artículo 125 de la Constitución Política del Estado Libre y Soberano de México.</w:t>
      </w:r>
    </w:p>
    <w:p w14:paraId="71AE57A5"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Al respecto,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Pr="005E3C9B">
        <w:rPr>
          <w:rFonts w:ascii="Palatino Linotype" w:eastAsia="Palatino Linotype" w:hAnsi="Palatino Linotype" w:cs="Palatino Linotype"/>
          <w:b/>
        </w:rPr>
        <w:t>la Presidenta o el Presidente Municipal, debe promulgar y publicar en la "Gaceta Municipal" el Presupuesto de Egresos Municipal definitivo,</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u w:val="single"/>
        </w:rPr>
        <w:t xml:space="preserve">a más tardar el día veinticinco de febrero de </w:t>
      </w:r>
      <w:r w:rsidRPr="005E3C9B">
        <w:rPr>
          <w:rFonts w:ascii="Palatino Linotype" w:eastAsia="Palatino Linotype" w:hAnsi="Palatino Linotype" w:cs="Palatino Linotype"/>
          <w:b/>
          <w:u w:val="single"/>
        </w:rPr>
        <w:lastRenderedPageBreak/>
        <w:t>cada año</w:t>
      </w:r>
      <w:r w:rsidRPr="005E3C9B">
        <w:rPr>
          <w:rFonts w:ascii="Palatino Linotype" w:eastAsia="Palatino Linotype" w:hAnsi="Palatino Linotype" w:cs="Palatino Linotype"/>
        </w:rPr>
        <w:t xml:space="preserve"> debiendo enviarlo al Órgano Superior de Fiscalización del Estado de México en la misma fecha, a saber:</w:t>
      </w:r>
    </w:p>
    <w:p w14:paraId="4865499B"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125</w:t>
      </w:r>
      <w:r w:rsidRPr="005E3C9B">
        <w:rPr>
          <w:rFonts w:ascii="Palatino Linotype" w:eastAsia="Palatino Linotype" w:hAnsi="Palatino Linotype" w:cs="Palatino Linotype"/>
          <w:i/>
          <w:sz w:val="22"/>
          <w:szCs w:val="22"/>
        </w:rPr>
        <w:t>...</w:t>
      </w:r>
    </w:p>
    <w:p w14:paraId="70C5921A"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5E3C9B">
        <w:rPr>
          <w:rFonts w:ascii="Palatino Linotype" w:eastAsia="Palatino Linotype" w:hAnsi="Palatino Linotype" w:cs="Palatino Linotype"/>
          <w:b/>
          <w:i/>
          <w:sz w:val="22"/>
          <w:szCs w:val="22"/>
        </w:rPr>
        <w:t xml:space="preserve">La </w:t>
      </w:r>
      <w:proofErr w:type="gramStart"/>
      <w:r w:rsidRPr="005E3C9B">
        <w:rPr>
          <w:rFonts w:ascii="Palatino Linotype" w:eastAsia="Palatino Linotype" w:hAnsi="Palatino Linotype" w:cs="Palatino Linotype"/>
          <w:b/>
          <w:i/>
          <w:sz w:val="22"/>
          <w:szCs w:val="22"/>
        </w:rPr>
        <w:t>Presidenta</w:t>
      </w:r>
      <w:proofErr w:type="gramEnd"/>
      <w:r w:rsidRPr="005E3C9B">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6682E4A2"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351</w:t>
      </w:r>
      <w:r w:rsidRPr="005E3C9B">
        <w:rPr>
          <w:rFonts w:ascii="Palatino Linotype" w:eastAsia="Palatino Linotype" w:hAnsi="Palatino Linotype" w:cs="Palatino Linotype"/>
          <w:i/>
          <w:sz w:val="22"/>
          <w:szCs w:val="22"/>
        </w:rPr>
        <w:t>...</w:t>
      </w:r>
    </w:p>
    <w:p w14:paraId="4689F7FD"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5E3C9B">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5E3C9B">
        <w:rPr>
          <w:rFonts w:ascii="Palatino Linotype" w:eastAsia="Palatino Linotype" w:hAnsi="Palatino Linotype" w:cs="Palatino Linotype"/>
          <w:b/>
          <w:i/>
          <w:sz w:val="22"/>
          <w:szCs w:val="22"/>
        </w:rPr>
        <w:t>a más tardar el 25 de febrero del año para el cual habrá de aplicar dicho presupuesto.”</w:t>
      </w:r>
    </w:p>
    <w:p w14:paraId="35FB7649"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“Artículo 47</w:t>
      </w:r>
      <w:r w:rsidRPr="005E3C9B">
        <w:rPr>
          <w:rFonts w:ascii="Palatino Linotype" w:eastAsia="Palatino Linotype" w:hAnsi="Palatino Linotype" w:cs="Palatino Linotype"/>
          <w:i/>
          <w:sz w:val="22"/>
          <w:szCs w:val="22"/>
        </w:rPr>
        <w:t xml:space="preserve">.- Los </w:t>
      </w:r>
      <w:proofErr w:type="gramStart"/>
      <w:r w:rsidRPr="005E3C9B">
        <w:rPr>
          <w:rFonts w:ascii="Palatino Linotype" w:eastAsia="Palatino Linotype" w:hAnsi="Palatino Linotype" w:cs="Palatino Linotype"/>
          <w:i/>
          <w:sz w:val="22"/>
          <w:szCs w:val="22"/>
        </w:rPr>
        <w:t>Presidentes</w:t>
      </w:r>
      <w:proofErr w:type="gramEnd"/>
      <w:r w:rsidRPr="005E3C9B">
        <w:rPr>
          <w:rFonts w:ascii="Palatino Linotype" w:eastAsia="Palatino Linotype" w:hAnsi="Palatino Linotype" w:cs="Palatino Linotype"/>
          <w:i/>
          <w:sz w:val="22"/>
          <w:szCs w:val="22"/>
        </w:rPr>
        <w:t xml:space="preserve"> Municipales y los Síndicos estarán obligados a </w:t>
      </w:r>
      <w:r w:rsidRPr="005E3C9B">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5E3C9B">
        <w:rPr>
          <w:rFonts w:ascii="Palatino Linotype" w:eastAsia="Palatino Linotype" w:hAnsi="Palatino Linotype" w:cs="Palatino Linotype"/>
          <w:i/>
          <w:sz w:val="22"/>
          <w:szCs w:val="22"/>
        </w:rPr>
        <w:t>correspondiente.”</w:t>
      </w:r>
    </w:p>
    <w:p w14:paraId="0AF58C0A"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tal sentido, dado que la solicitud se tuvo por presentada el veintinueve de enero de dos mil veinticinco, mientras que el presupuesto de egresos se aprueba de manera definitiva a más tardar el día veinticinco de febrero de cada ejercicio, es evidente que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se encontraba imposibilitado para atender favorablemente el requerimiento de información en estudio, por encontrarse el presupuesto definitivo en proceso de elaboración, como lo refirió el servidor público habilitado de la Tesorería Municipal, como el competente para conocer de dicha información.</w:t>
      </w:r>
    </w:p>
    <w:p w14:paraId="090A13FC"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Por consiguiente, nos encontramos ante la presencia de un hecho negativo al no haberse generado la información, y, por tanto, no puede obrar fácticamente en los archivos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ya que no puede probarse por ser lógica y materialmente imposible.</w:t>
      </w:r>
    </w:p>
    <w:p w14:paraId="62AD4E70" w14:textId="77777777" w:rsidR="005B2976" w:rsidRPr="005E3C9B" w:rsidRDefault="008E7AE9">
      <w:pPr>
        <w:spacing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2DA6F8C1"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Sirve de sustento a lo anterior, la siguiente Tesis</w:t>
      </w:r>
      <w:r w:rsidRPr="005E3C9B">
        <w:rPr>
          <w:rFonts w:ascii="Palatino Linotype" w:eastAsia="Palatino Linotype" w:hAnsi="Palatino Linotype" w:cs="Palatino Linotype"/>
          <w:vertAlign w:val="superscript"/>
        </w:rPr>
        <w:footnoteReference w:id="1"/>
      </w:r>
      <w:r w:rsidRPr="005E3C9B">
        <w:rPr>
          <w:rFonts w:ascii="Palatino Linotype" w:eastAsia="Palatino Linotype" w:hAnsi="Palatino Linotype" w:cs="Palatino Linotype"/>
        </w:rPr>
        <w:t xml:space="preserve"> emitida por la Segunda Sala de la Suprema Corte de la Nación, que es del tenor literal siguiente:</w:t>
      </w:r>
    </w:p>
    <w:p w14:paraId="79A1C453" w14:textId="77777777" w:rsidR="005B2976" w:rsidRPr="005E3C9B" w:rsidRDefault="008E7AE9">
      <w:pPr>
        <w:pBdr>
          <w:top w:val="nil"/>
          <w:left w:val="nil"/>
          <w:bottom w:val="nil"/>
          <w:right w:val="nil"/>
          <w:between w:val="nil"/>
        </w:pBdr>
        <w:spacing w:before="120" w:after="120"/>
        <w:ind w:left="851" w:right="900"/>
        <w:jc w:val="both"/>
      </w:pPr>
      <w:r w:rsidRPr="005E3C9B">
        <w:rPr>
          <w:rFonts w:ascii="Palatino Linotype" w:eastAsia="Palatino Linotype" w:hAnsi="Palatino Linotype" w:cs="Palatino Linotype"/>
          <w:b/>
          <w:i/>
          <w:sz w:val="22"/>
          <w:szCs w:val="22"/>
        </w:rPr>
        <w:t xml:space="preserve">“HECHOS NEGATIVOS, NO SON SUSCEPTIBLES DE DEMOSTRACIÓN. </w:t>
      </w:r>
      <w:r w:rsidRPr="005E3C9B">
        <w:rPr>
          <w:rFonts w:ascii="Palatino Linotype" w:eastAsia="Palatino Linotype" w:hAnsi="Palatino Linotype" w:cs="Palatino Linotype"/>
          <w:i/>
          <w:sz w:val="22"/>
          <w:szCs w:val="22"/>
        </w:rPr>
        <w:t xml:space="preserve">Tratándose de un hecho negativo, el Juez no tiene </w:t>
      </w:r>
      <w:proofErr w:type="spellStart"/>
      <w:r w:rsidRPr="005E3C9B">
        <w:rPr>
          <w:rFonts w:ascii="Palatino Linotype" w:eastAsia="Palatino Linotype" w:hAnsi="Palatino Linotype" w:cs="Palatino Linotype"/>
          <w:i/>
          <w:sz w:val="22"/>
          <w:szCs w:val="22"/>
        </w:rPr>
        <w:t>por que</w:t>
      </w:r>
      <w:proofErr w:type="spellEnd"/>
      <w:r w:rsidRPr="005E3C9B">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4DF5978B" w14:textId="77777777" w:rsidR="005B2976" w:rsidRPr="005E3C9B" w:rsidRDefault="008E7AE9">
      <w:pPr>
        <w:spacing w:before="240" w:after="240" w:line="360" w:lineRule="auto"/>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declara en automática la inexistencia de la información solicitada de modo que no existe obligación de justificar o allegar pruebas, y por ende no tiene aplicación lo estatuido en el artículo 49 fracción XIII de la Ley de la Materia.</w:t>
      </w:r>
    </w:p>
    <w:p w14:paraId="61C37ED8" w14:textId="77777777" w:rsidR="005B2976" w:rsidRPr="005E3C9B" w:rsidRDefault="008E7AE9">
      <w:pPr>
        <w:spacing w:before="240" w:after="360" w:line="360" w:lineRule="auto"/>
        <w:ind w:right="18"/>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tal manera que basta con la aseveración por parte del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a través el área competente, en relación a la inexistencia de información relacionada con el requerimiento de información que formuló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u w:val="single"/>
        </w:rPr>
        <w:t xml:space="preserve">a la fecha de </w:t>
      </w:r>
      <w:r w:rsidRPr="005E3C9B">
        <w:rPr>
          <w:rFonts w:ascii="Palatino Linotype" w:eastAsia="Palatino Linotype" w:hAnsi="Palatino Linotype" w:cs="Palatino Linotype"/>
          <w:u w:val="single"/>
        </w:rPr>
        <w:lastRenderedPageBreak/>
        <w:t>presentación de la solicitud</w:t>
      </w:r>
      <w:r w:rsidRPr="005E3C9B">
        <w:rPr>
          <w:rFonts w:ascii="Palatino Linotype" w:eastAsia="Palatino Linotype" w:hAnsi="Palatino Linotype" w:cs="Palatino Linotype"/>
        </w:rPr>
        <w:t>;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23E60C06" w14:textId="77777777" w:rsidR="005B2976" w:rsidRPr="005E3C9B" w:rsidRDefault="008E7AE9">
      <w:pPr>
        <w:spacing w:before="240" w:after="360" w:line="360" w:lineRule="auto"/>
        <w:ind w:right="18"/>
        <w:jc w:val="both"/>
        <w:rPr>
          <w:rFonts w:ascii="Palatino Linotype" w:eastAsia="Palatino Linotype" w:hAnsi="Palatino Linotype" w:cs="Palatino Linotype"/>
        </w:rPr>
      </w:pPr>
      <w:r w:rsidRPr="005E3C9B">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4B67F6B4" w14:textId="77777777" w:rsidR="005B2976" w:rsidRPr="005E3C9B" w:rsidRDefault="008E7AE9">
      <w:pPr>
        <w:spacing w:before="240" w:after="360" w:line="360" w:lineRule="auto"/>
        <w:ind w:right="18"/>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que se refiere al punto </w:t>
      </w:r>
      <w:r w:rsidRPr="005E3C9B">
        <w:rPr>
          <w:rFonts w:ascii="Palatino Linotype" w:eastAsia="Palatino Linotype" w:hAnsi="Palatino Linotype" w:cs="Palatino Linotype"/>
          <w:b/>
        </w:rPr>
        <w:t>6</w:t>
      </w:r>
      <w:r w:rsidRPr="005E3C9B">
        <w:rPr>
          <w:rFonts w:ascii="Palatino Linotype" w:eastAsia="Palatino Linotype" w:hAnsi="Palatino Linotype" w:cs="Palatino Linotype"/>
        </w:rPr>
        <w:t>, mediante el cual se solicitaron los documentos de Seguridad de todas las áreas, la Unidad de Transparencia hizo entrega de un documento de seguridad precisando que era el único documento que se encontraba vigente derivado de la búsqueda realizada en los archivos físicos y digitales a su cargo.</w:t>
      </w:r>
    </w:p>
    <w:p w14:paraId="6E703DE4" w14:textId="77777777" w:rsidR="005B2976" w:rsidRPr="005E3C9B" w:rsidRDefault="008E7AE9">
      <w:pPr>
        <w:spacing w:before="240" w:after="360" w:line="360" w:lineRule="auto"/>
        <w:ind w:right="18"/>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este sentido, se menciona que de conformidad con los artículos 31 y 32 de la Ley General de Protección de Datos Personales en Posesión de los Sujetos Obligados vigente a la fecha de la solicitud,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w:t>
      </w:r>
      <w:r w:rsidRPr="005E3C9B">
        <w:rPr>
          <w:rFonts w:ascii="Palatino Linotype" w:eastAsia="Palatino Linotype" w:hAnsi="Palatino Linotype" w:cs="Palatino Linotype"/>
        </w:rPr>
        <w:lastRenderedPageBreak/>
        <w:t xml:space="preserve">tratamiento no autorizado, así como garantizar su confidencialidad, integridad y disponibilidad. </w:t>
      </w:r>
    </w:p>
    <w:p w14:paraId="6303403F" w14:textId="77777777" w:rsidR="005B2976" w:rsidRPr="005E3C9B" w:rsidRDefault="008E7AE9">
      <w:pPr>
        <w:spacing w:before="240" w:after="360" w:line="360" w:lineRule="auto"/>
        <w:ind w:right="18"/>
        <w:jc w:val="both"/>
      </w:pPr>
      <w:r w:rsidRPr="005E3C9B">
        <w:rPr>
          <w:rFonts w:ascii="Palatino Linotype" w:eastAsia="Palatino Linotype" w:hAnsi="Palatino Linotype" w:cs="Palatino Linotype"/>
        </w:rPr>
        <w:t>Dichas medidas deben considerar el riesgo inherente a los datos personales tratados; su sensibilidad; el desarrollo tecnológico; las posibles consecuencias de una vulneración para 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14:paraId="0EC4AACC" w14:textId="77777777" w:rsidR="005B2976" w:rsidRPr="005E3C9B" w:rsidRDefault="008E7AE9">
      <w:pPr>
        <w:pBdr>
          <w:top w:val="nil"/>
          <w:left w:val="nil"/>
          <w:bottom w:val="nil"/>
          <w:right w:val="nil"/>
          <w:between w:val="nil"/>
        </w:pBdr>
        <w:spacing w:before="240" w:after="240" w:line="360" w:lineRule="auto"/>
        <w:ind w:right="-93"/>
        <w:jc w:val="both"/>
      </w:pPr>
      <w:r w:rsidRPr="005E3C9B">
        <w:rPr>
          <w:rFonts w:ascii="Palatino Linotype" w:eastAsia="Palatino Linotype" w:hAnsi="Palatino Linotype" w:cs="Palatino Linotype"/>
        </w:rPr>
        <w:t>Para cumplir con lo anterior el artículo 33 de la Ley en cita refiere, los sujetos obligados deben:</w:t>
      </w:r>
    </w:p>
    <w:p w14:paraId="29D91BE4"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Crear políticas internas para la gestión y tratamiento de los datos personales, que tomen en cuenta el contexto en el que ocurren los tratamientos y el ciclo de vida de los datos personales, es decir, su obtención, uso y posterior supresión;</w:t>
      </w:r>
    </w:p>
    <w:p w14:paraId="090FD41F"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Definir las funciones y obligaciones del personal involucrado en el tratamiento de datos personales;</w:t>
      </w:r>
    </w:p>
    <w:p w14:paraId="3F495804"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Elaborar un inventario de datos personales y de los sistemas de tratamiento;</w:t>
      </w:r>
    </w:p>
    <w:p w14:paraId="7BC2787A"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6E94D727"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Realizar un análisis de brecha, comparando las medidas de seguridad existentes contra las faltantes en la organización del responsable;</w:t>
      </w:r>
    </w:p>
    <w:p w14:paraId="5F0EF6AA"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Elaborar un plan de trabajo para la implementación de las medidas de seguridad faltantes, así como las medidas para el cumplimiento cotidiano de las políticas de gestión y tratamiento de los datos personales;</w:t>
      </w:r>
    </w:p>
    <w:p w14:paraId="5C19CF91"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Monitorear y revisar de manera periódica las medidas de seguridad implementadas, así como las amenazas y vulneraciones a las que están sujetos los datos personales, y</w:t>
      </w:r>
    </w:p>
    <w:p w14:paraId="653CD886" w14:textId="77777777" w:rsidR="005B2976" w:rsidRPr="005E3C9B" w:rsidRDefault="008E7AE9">
      <w:pPr>
        <w:numPr>
          <w:ilvl w:val="0"/>
          <w:numId w:val="2"/>
        </w:numPr>
        <w:pBdr>
          <w:top w:val="nil"/>
          <w:left w:val="nil"/>
          <w:bottom w:val="nil"/>
          <w:right w:val="nil"/>
          <w:between w:val="nil"/>
        </w:pBdr>
        <w:tabs>
          <w:tab w:val="left" w:pos="567"/>
        </w:tabs>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rPr>
        <w:t>Diseñar y aplicar diferentes niveles de capacitación del personal bajo su mando, dependiendo de sus roles y responsabilidades respecto del tratamiento de los datos personales.</w:t>
      </w:r>
    </w:p>
    <w:p w14:paraId="6A4B6744" w14:textId="77777777" w:rsidR="005B2976" w:rsidRPr="005E3C9B" w:rsidRDefault="008E7AE9">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La Ley General dispone en el artículo 35 la obligación de generar un </w:t>
      </w:r>
      <w:r w:rsidRPr="005E3C9B">
        <w:rPr>
          <w:rFonts w:ascii="Palatino Linotype" w:eastAsia="Palatino Linotype" w:hAnsi="Palatino Linotype" w:cs="Palatino Linotype"/>
          <w:b/>
        </w:rPr>
        <w:t xml:space="preserve">documento de seguridad, </w:t>
      </w:r>
      <w:r w:rsidRPr="005E3C9B">
        <w:rPr>
          <w:rFonts w:ascii="Palatino Linotype" w:eastAsia="Palatino Linotype" w:hAnsi="Palatino Linotype" w:cs="Palatino Linotype"/>
        </w:rPr>
        <w:t>que entre otros aspectos contenga el análisis de riesgos, el análisis de brecha; el plan de trabajo; los mecanismos de monitoreo y revisión de las medidas de seguridad, y el programa general de capacitación.</w:t>
      </w:r>
    </w:p>
    <w:p w14:paraId="69C58CB1" w14:textId="77777777" w:rsidR="005B2976" w:rsidRPr="005E3C9B" w:rsidRDefault="008E7AE9">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5E3C9B">
        <w:rPr>
          <w:rFonts w:ascii="Palatino Linotype" w:eastAsia="Palatino Linotype" w:hAnsi="Palatino Linotype" w:cs="Palatino Linotype"/>
        </w:rPr>
        <w:t>Por su parte, la Ley de Protección de Datos Personales en Posesión de Sujetos Obligados del Estado de México y Municipios, sobre nuestro tema de interés refiere lo siguiente:</w:t>
      </w:r>
    </w:p>
    <w:p w14:paraId="5AB35F34"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Del objeto de la Ley </w:t>
      </w:r>
    </w:p>
    <w:p w14:paraId="2E58463A"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Artículo 1</w:t>
      </w:r>
      <w:r w:rsidRPr="005E3C9B">
        <w:rPr>
          <w:rFonts w:ascii="Palatino Linotype" w:eastAsia="Palatino Linotype" w:hAnsi="Palatino Linotype" w:cs="Palatino Linotype"/>
          <w:i/>
          <w:sz w:val="22"/>
          <w:szCs w:val="22"/>
        </w:rPr>
        <w:t xml:space="preserve">. La presente Ley es de orden público, interés social y observancia obligatoria en el Estado de México y sus Municipios. Es reglamentaria de las disposiciones en materia de protección de datos personales previstas en la </w:t>
      </w:r>
      <w:r w:rsidRPr="005E3C9B">
        <w:rPr>
          <w:rFonts w:ascii="Palatino Linotype" w:eastAsia="Palatino Linotype" w:hAnsi="Palatino Linotype" w:cs="Palatino Linotype"/>
          <w:i/>
          <w:sz w:val="22"/>
          <w:szCs w:val="22"/>
        </w:rPr>
        <w:lastRenderedPageBreak/>
        <w:t>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0B8AEDF9"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De las finalidades de la Ley </w:t>
      </w:r>
    </w:p>
    <w:p w14:paraId="6BD82732"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Artículo 2</w:t>
      </w:r>
      <w:r w:rsidRPr="005E3C9B">
        <w:rPr>
          <w:rFonts w:ascii="Palatino Linotype" w:eastAsia="Palatino Linotype" w:hAnsi="Palatino Linotype" w:cs="Palatino Linotype"/>
          <w:i/>
          <w:sz w:val="22"/>
          <w:szCs w:val="22"/>
        </w:rPr>
        <w:t>. Son finalidades de la presente Ley:</w:t>
      </w:r>
    </w:p>
    <w:p w14:paraId="5E649CC7"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 …</w:t>
      </w:r>
    </w:p>
    <w:p w14:paraId="54DF629F"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IV.</w:t>
      </w:r>
      <w:r w:rsidRPr="005E3C9B">
        <w:rPr>
          <w:rFonts w:ascii="Palatino Linotype" w:eastAsia="Palatino Linotype" w:hAnsi="Palatino Linotype" w:cs="Palatino Linotype"/>
          <w:i/>
          <w:sz w:val="22"/>
          <w:szCs w:val="22"/>
        </w:rPr>
        <w:t xml:space="preserve"> Proteger los datos personales en posesión de los sujetos obligados del Estado de México y municipios a los que se refiere esta Ley, con la finalidad de regular su debido tratamiento.</w:t>
      </w:r>
    </w:p>
    <w:p w14:paraId="18D74FEC"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V.</w:t>
      </w:r>
      <w:r w:rsidRPr="005E3C9B">
        <w:rPr>
          <w:rFonts w:ascii="Palatino Linotype" w:eastAsia="Palatino Linotype" w:hAnsi="Palatino Linotype" w:cs="Palatino Linotype"/>
          <w:i/>
          <w:sz w:val="22"/>
          <w:szCs w:val="22"/>
        </w:rPr>
        <w:t xml:space="preserve"> Promover la adopción de medidas de seguridad que garanticen, la integridad, disponibilidad y confidencialidad de los datos personales en posesión de los sujetos obligados, estableciendo los mecanismos para asegurar su cumplimiento.</w:t>
      </w:r>
    </w:p>
    <w:p w14:paraId="1721C244"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w:t>
      </w:r>
    </w:p>
    <w:p w14:paraId="052660A8"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Glosario</w:t>
      </w:r>
    </w:p>
    <w:p w14:paraId="2C56B81E"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Artículo 4</w:t>
      </w:r>
      <w:r w:rsidRPr="005E3C9B">
        <w:rPr>
          <w:rFonts w:ascii="Palatino Linotype" w:eastAsia="Palatino Linotype" w:hAnsi="Palatino Linotype" w:cs="Palatino Linotype"/>
          <w:i/>
          <w:sz w:val="22"/>
          <w:szCs w:val="22"/>
        </w:rPr>
        <w:t>. Para los efectos de esta Ley se entenderá por:</w:t>
      </w:r>
    </w:p>
    <w:p w14:paraId="15E21B63"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I. a XVII. …</w:t>
      </w:r>
    </w:p>
    <w:p w14:paraId="1E415931"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XVIII</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Documento de seguridad: al instrumento que describe y da cuenta de manera general sobre las medidas de seguridad técnicas, físicas y administrativas adoptadas por el responsable</w:t>
      </w:r>
      <w:r w:rsidRPr="005E3C9B">
        <w:rPr>
          <w:rFonts w:ascii="Palatino Linotype" w:eastAsia="Palatino Linotype" w:hAnsi="Palatino Linotype" w:cs="Palatino Linotype"/>
          <w:i/>
          <w:sz w:val="22"/>
          <w:szCs w:val="22"/>
        </w:rPr>
        <w:t xml:space="preserve"> para garantizar la confidencialidad, integridad y disponibilidad de </w:t>
      </w:r>
      <w:r w:rsidRPr="005E3C9B">
        <w:rPr>
          <w:rFonts w:ascii="Palatino Linotype" w:eastAsia="Palatino Linotype" w:hAnsi="Palatino Linotype" w:cs="Palatino Linotype"/>
          <w:b/>
          <w:i/>
          <w:sz w:val="22"/>
          <w:szCs w:val="22"/>
          <w:u w:val="single"/>
        </w:rPr>
        <w:t>la información contenida en los sistemas y bases de datos personales</w:t>
      </w:r>
      <w:r w:rsidRPr="005E3C9B">
        <w:rPr>
          <w:rFonts w:ascii="Palatino Linotype" w:eastAsia="Palatino Linotype" w:hAnsi="Palatino Linotype" w:cs="Palatino Linotype"/>
          <w:i/>
          <w:sz w:val="22"/>
          <w:szCs w:val="22"/>
        </w:rPr>
        <w:t>. </w:t>
      </w:r>
    </w:p>
    <w:p w14:paraId="4C07776E"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XIX. a XXX. …</w:t>
      </w:r>
    </w:p>
    <w:p w14:paraId="557D8D81"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XXXI. Medidas de seguridad administrativas</w:t>
      </w:r>
      <w:r w:rsidRPr="005E3C9B">
        <w:rPr>
          <w:rFonts w:ascii="Palatino Linotype" w:eastAsia="Palatino Linotype" w:hAnsi="Palatino Linotype" w:cs="Palatino Linotype"/>
          <w:i/>
          <w:sz w:val="22"/>
          <w:szCs w:val="22"/>
        </w:rPr>
        <w:t>: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4CAA5FD6"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XXXII. Medidas de seguridad físicas:</w:t>
      </w:r>
      <w:r w:rsidRPr="005E3C9B">
        <w:rPr>
          <w:rFonts w:ascii="Palatino Linotype" w:eastAsia="Palatino Linotype" w:hAnsi="Palatino Linotype" w:cs="Palatino Linotype"/>
          <w:i/>
          <w:sz w:val="22"/>
          <w:szCs w:val="22"/>
        </w:rPr>
        <w:t xml:space="preserve"> a las acciones y mecanismos para proteger el entorno físico de los datos personales y de los recursos involucrados en su tratamiento. De manera enunciativa más no limitativa, se considerarán las actividades siguientes:</w:t>
      </w:r>
    </w:p>
    <w:p w14:paraId="3F2B63A4"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lastRenderedPageBreak/>
        <w:t>a)</w:t>
      </w:r>
      <w:r w:rsidRPr="005E3C9B">
        <w:rPr>
          <w:rFonts w:ascii="Palatino Linotype" w:eastAsia="Palatino Linotype" w:hAnsi="Palatino Linotype" w:cs="Palatino Linotype"/>
          <w:i/>
          <w:sz w:val="22"/>
          <w:szCs w:val="22"/>
        </w:rPr>
        <w:t xml:space="preserve"> Prevenir el acceso no autorizado al perímetro de la organización, sus instalaciones físicas, áreas críticas, recursos e información.</w:t>
      </w:r>
    </w:p>
    <w:p w14:paraId="7E9A6EAE"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b)</w:t>
      </w:r>
      <w:r w:rsidRPr="005E3C9B">
        <w:rPr>
          <w:rFonts w:ascii="Palatino Linotype" w:eastAsia="Palatino Linotype" w:hAnsi="Palatino Linotype" w:cs="Palatino Linotype"/>
          <w:i/>
          <w:sz w:val="22"/>
          <w:szCs w:val="22"/>
        </w:rPr>
        <w:t xml:space="preserve"> Prevenir el daño o interferencia a las instalaciones físicas, áreas críticas de la organización, recursos e información.</w:t>
      </w:r>
    </w:p>
    <w:p w14:paraId="0594FCD4"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w:t>
      </w:r>
      <w:r w:rsidRPr="005E3C9B">
        <w:rPr>
          <w:rFonts w:ascii="Palatino Linotype" w:eastAsia="Palatino Linotype" w:hAnsi="Palatino Linotype" w:cs="Palatino Linotype"/>
          <w:i/>
          <w:sz w:val="22"/>
          <w:szCs w:val="22"/>
        </w:rPr>
        <w:t xml:space="preserve"> Proteger los recursos móviles, portátiles y cualquier soporte físico o electrónico que pueda salir de la organización.</w:t>
      </w:r>
    </w:p>
    <w:p w14:paraId="3FB40EFB"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d)</w:t>
      </w:r>
      <w:r w:rsidRPr="005E3C9B">
        <w:rPr>
          <w:rFonts w:ascii="Palatino Linotype" w:eastAsia="Palatino Linotype" w:hAnsi="Palatino Linotype" w:cs="Palatino Linotype"/>
          <w:i/>
          <w:sz w:val="22"/>
          <w:szCs w:val="22"/>
        </w:rPr>
        <w:t xml:space="preserve"> Proveer a los equipos que contienen o almacenan datos personales de un mantenimiento eficaz que asegure su disponibilidad e integridad.</w:t>
      </w:r>
    </w:p>
    <w:p w14:paraId="79AF9556"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 xml:space="preserve">XXXIII. Medidas de seguridad técnicas: </w:t>
      </w:r>
      <w:r w:rsidRPr="005E3C9B">
        <w:rPr>
          <w:rFonts w:ascii="Palatino Linotype" w:eastAsia="Palatino Linotype" w:hAnsi="Palatino Linotype" w:cs="Palatino Linotype"/>
          <w:i/>
          <w:sz w:val="22"/>
          <w:szCs w:val="22"/>
        </w:rPr>
        <w:t>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6001027F"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w:t>
      </w:r>
      <w:r w:rsidRPr="005E3C9B">
        <w:rPr>
          <w:rFonts w:ascii="Palatino Linotype" w:eastAsia="Palatino Linotype" w:hAnsi="Palatino Linotype" w:cs="Palatino Linotype"/>
          <w:i/>
          <w:sz w:val="22"/>
          <w:szCs w:val="22"/>
        </w:rPr>
        <w:t xml:space="preserve"> Prevenir que el acceso a los sistemas y bases de datos o a la información, así como a los recursos, sea por usuarios identificados y autorizados.</w:t>
      </w:r>
    </w:p>
    <w:p w14:paraId="21C99E87"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b</w:t>
      </w:r>
      <w:r w:rsidRPr="005E3C9B">
        <w:rPr>
          <w:rFonts w:ascii="Palatino Linotype" w:eastAsia="Palatino Linotype" w:hAnsi="Palatino Linotype" w:cs="Palatino Linotype"/>
          <w:i/>
          <w:sz w:val="22"/>
          <w:szCs w:val="22"/>
        </w:rPr>
        <w:t>) Generar un esquema de privilegios para que el usuario lleve a cabo las actividades que requiere con motivo de sus funciones.</w:t>
      </w:r>
    </w:p>
    <w:p w14:paraId="4ED35318"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w:t>
      </w:r>
      <w:r w:rsidRPr="005E3C9B">
        <w:rPr>
          <w:rFonts w:ascii="Palatino Linotype" w:eastAsia="Palatino Linotype" w:hAnsi="Palatino Linotype" w:cs="Palatino Linotype"/>
          <w:i/>
          <w:sz w:val="22"/>
          <w:szCs w:val="22"/>
        </w:rPr>
        <w:t xml:space="preserve"> Revisar la configuración de seguridad en la adquisición, operación, desarrollo y mantenimiento del software y hardware.</w:t>
      </w:r>
    </w:p>
    <w:p w14:paraId="1C27A673"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d)</w:t>
      </w:r>
      <w:r w:rsidRPr="005E3C9B">
        <w:rPr>
          <w:rFonts w:ascii="Palatino Linotype" w:eastAsia="Palatino Linotype" w:hAnsi="Palatino Linotype" w:cs="Palatino Linotype"/>
          <w:i/>
          <w:sz w:val="22"/>
          <w:szCs w:val="22"/>
        </w:rPr>
        <w:t xml:space="preserve"> Gestionar las comunicaciones, operaciones y medios de almacenamiento de los recursos informáticos en el tratamiento de datos personales.</w:t>
      </w:r>
    </w:p>
    <w:p w14:paraId="38293E61"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XXXIII. a LI. …</w:t>
      </w:r>
    </w:p>
    <w:p w14:paraId="214AD659"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LII.</w:t>
      </w:r>
      <w:r w:rsidRPr="005E3C9B">
        <w:rPr>
          <w:rFonts w:ascii="Palatino Linotype" w:eastAsia="Palatino Linotype" w:hAnsi="Palatino Linotype" w:cs="Palatino Linotype"/>
          <w:i/>
          <w:sz w:val="22"/>
          <w:szCs w:val="22"/>
        </w:rPr>
        <w:t xml:space="preserve"> Violación de la seguridad de los datos personales: a la violación de la seguridad que ocasione la destrucción, pérdida o alteración accidental o ilícita de datos personales transferidos, conservados o tratados de otra forma, o la comunicación o acceso no autorizados a dichos datos, o cualquier otra que afecte la confidencialidad, integridad y disponibilidad de los datos personales. Se encuentran comprendidas dentro de este concepto las vulneraciones a las que hace referencia la Ley General de Protección de Datos Personales en Posesión de Sujetos Obligados. </w:t>
      </w:r>
    </w:p>
    <w:p w14:paraId="4F0DD645" w14:textId="77777777" w:rsidR="005B2976" w:rsidRPr="005E3C9B" w:rsidRDefault="008E7AE9">
      <w:pPr>
        <w:pBdr>
          <w:top w:val="nil"/>
          <w:left w:val="nil"/>
          <w:bottom w:val="nil"/>
          <w:right w:val="nil"/>
          <w:between w:val="nil"/>
        </w:pBdr>
        <w:spacing w:before="120" w:after="120"/>
        <w:ind w:left="851" w:right="900"/>
        <w:jc w:val="center"/>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CAPÍTULO SEGUNDO</w:t>
      </w:r>
    </w:p>
    <w:p w14:paraId="60E1E8E9" w14:textId="77777777" w:rsidR="005B2976" w:rsidRPr="005E3C9B" w:rsidRDefault="008E7AE9">
      <w:pPr>
        <w:pBdr>
          <w:top w:val="nil"/>
          <w:left w:val="nil"/>
          <w:bottom w:val="nil"/>
          <w:right w:val="nil"/>
          <w:between w:val="nil"/>
        </w:pBdr>
        <w:spacing w:before="120" w:after="120"/>
        <w:ind w:left="851" w:right="900"/>
        <w:jc w:val="center"/>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DE LAS MEDIDAS DE SEGURIDAD</w:t>
      </w:r>
    </w:p>
    <w:p w14:paraId="55B1164C"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b/>
          <w:i/>
          <w:sz w:val="22"/>
          <w:szCs w:val="22"/>
        </w:rPr>
        <w:t>Naturaleza de las medidas de seguridad y registro del nivel de seguridad. </w:t>
      </w:r>
    </w:p>
    <w:p w14:paraId="05B151C8"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lastRenderedPageBreak/>
        <w:t>Artículo 43</w:t>
      </w:r>
      <w:r w:rsidRPr="005E3C9B">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5E3C9B">
        <w:rPr>
          <w:rFonts w:ascii="Palatino Linotype" w:eastAsia="Palatino Linotype" w:hAnsi="Palatino Linotype" w:cs="Palatino Linotype"/>
          <w:b/>
          <w:i/>
          <w:sz w:val="22"/>
          <w:szCs w:val="22"/>
        </w:rPr>
        <w:t>Por la naturaleza de la información, las medidas de seguridad que se adopten serán consideradas confidenciales y únicamente se comunicará al Instituto, para su registro, el nivel de seguridad aplicable.</w:t>
      </w:r>
    </w:p>
    <w:p w14:paraId="7E9B15E8"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1EA46496"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23B39959"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En el supuesto de actualización de estos datos, la modificación respectiva se notificará al Instituto en sus oficinas o en el portal que para tal efecto se cree, dentro de los treinta días hábiles siguientes a la fecha en que se efectuó.</w:t>
      </w:r>
    </w:p>
    <w:p w14:paraId="3C0EB06B"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El responsable o el encargado, designarán a una o un administrador, quien tendrá bajo su responsabilidad directa la base y sistema de datos personales.</w:t>
      </w:r>
    </w:p>
    <w:p w14:paraId="1A92BE7B"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Obligatoriedad del Documento de Seguridad </w:t>
      </w:r>
    </w:p>
    <w:p w14:paraId="0AA244B6"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Artículo 48.</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 xml:space="preserve">Los sujetos obligados elaborarán y aprobarán un documento que contenga las medidas de seguridad aplicables a las bases y sistemas de datos personales, tomando en cuenta los estándares internacionales de seguridad, la presente </w:t>
      </w:r>
      <w:proofErr w:type="gramStart"/>
      <w:r w:rsidRPr="005E3C9B">
        <w:rPr>
          <w:rFonts w:ascii="Palatino Linotype" w:eastAsia="Palatino Linotype" w:hAnsi="Palatino Linotype" w:cs="Palatino Linotype"/>
          <w:b/>
          <w:i/>
          <w:sz w:val="22"/>
          <w:szCs w:val="22"/>
        </w:rPr>
        <w:t>Ley</w:t>
      </w:r>
      <w:proofErr w:type="gramEnd"/>
      <w:r w:rsidRPr="005E3C9B">
        <w:rPr>
          <w:rFonts w:ascii="Palatino Linotype" w:eastAsia="Palatino Linotype" w:hAnsi="Palatino Linotype" w:cs="Palatino Linotype"/>
          <w:b/>
          <w:i/>
          <w:sz w:val="22"/>
          <w:szCs w:val="22"/>
        </w:rPr>
        <w:t xml:space="preserve"> así como los lineamientos que se expidan.</w:t>
      </w:r>
    </w:p>
    <w:p w14:paraId="0E32AD4C"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5E3C9B">
        <w:rPr>
          <w:rFonts w:ascii="Palatino Linotype" w:eastAsia="Palatino Linotype" w:hAnsi="Palatino Linotype" w:cs="Palatino Linotype"/>
          <w:i/>
          <w:sz w:val="22"/>
          <w:szCs w:val="22"/>
        </w:rPr>
        <w:t xml:space="preserve">El documento de seguridad será de observancia obligatoria para los responsables, encargados y demás personas que realizan algún tipo de tratamiento a los datos personales. </w:t>
      </w:r>
      <w:r w:rsidRPr="005E3C9B">
        <w:rPr>
          <w:rFonts w:ascii="Palatino Linotype" w:eastAsia="Palatino Linotype" w:hAnsi="Palatino Linotype" w:cs="Palatino Linotype"/>
          <w:b/>
          <w:i/>
          <w:sz w:val="22"/>
          <w:szCs w:val="22"/>
        </w:rPr>
        <w:t xml:space="preserve">A elección del sujeto obligado, </w:t>
      </w:r>
      <w:r w:rsidRPr="005E3C9B">
        <w:rPr>
          <w:rFonts w:ascii="Palatino Linotype" w:eastAsia="Palatino Linotype" w:hAnsi="Palatino Linotype" w:cs="Palatino Linotype"/>
          <w:b/>
          <w:i/>
          <w:sz w:val="22"/>
          <w:szCs w:val="22"/>
          <w:u w:val="single"/>
        </w:rPr>
        <w:t>éste podrá ser único e incluir todos los sistemas y bases de datos personales que posea</w:t>
      </w:r>
      <w:r w:rsidRPr="005E3C9B">
        <w:rPr>
          <w:rFonts w:ascii="Palatino Linotype" w:eastAsia="Palatino Linotype" w:hAnsi="Palatino Linotype" w:cs="Palatino Linotype"/>
          <w:b/>
          <w:i/>
          <w:sz w:val="22"/>
          <w:szCs w:val="22"/>
        </w:rPr>
        <w:t>, por unidad administrativa en que se incluyan los sistemas y bases de datos personales en custodia, individualizado para cada sistema, o mixto.</w:t>
      </w:r>
    </w:p>
    <w:p w14:paraId="492EF268"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Contenido del Documento de Seguridad</w:t>
      </w:r>
    </w:p>
    <w:p w14:paraId="291669A8"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Artículo 49. El documento de seguridad deberá contener como mínimo lo siguiente:</w:t>
      </w:r>
    </w:p>
    <w:p w14:paraId="5BE01EC2"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I. Respecto de los sistemas de datos personales:</w:t>
      </w:r>
    </w:p>
    <w:p w14:paraId="4008D251"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lastRenderedPageBreak/>
        <w:t>a)</w:t>
      </w:r>
      <w:r w:rsidRPr="005E3C9B">
        <w:rPr>
          <w:rFonts w:ascii="Palatino Linotype" w:eastAsia="Palatino Linotype" w:hAnsi="Palatino Linotype" w:cs="Palatino Linotype"/>
          <w:i/>
          <w:sz w:val="22"/>
          <w:szCs w:val="22"/>
        </w:rPr>
        <w:t xml:space="preserve"> El nombre.</w:t>
      </w:r>
    </w:p>
    <w:p w14:paraId="2D793F19"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b)</w:t>
      </w:r>
      <w:r w:rsidRPr="005E3C9B">
        <w:rPr>
          <w:rFonts w:ascii="Palatino Linotype" w:eastAsia="Palatino Linotype" w:hAnsi="Palatino Linotype" w:cs="Palatino Linotype"/>
          <w:i/>
          <w:sz w:val="22"/>
          <w:szCs w:val="22"/>
        </w:rPr>
        <w:t xml:space="preserve"> El nombre, cargo y adscripción del administrador de cada sistema y base de datos.</w:t>
      </w:r>
    </w:p>
    <w:p w14:paraId="1F767B79"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w:t>
      </w:r>
      <w:r w:rsidRPr="005E3C9B">
        <w:rPr>
          <w:rFonts w:ascii="Palatino Linotype" w:eastAsia="Palatino Linotype" w:hAnsi="Palatino Linotype" w:cs="Palatino Linotype"/>
          <w:i/>
          <w:sz w:val="22"/>
          <w:szCs w:val="22"/>
        </w:rPr>
        <w:t xml:space="preserve"> Las funciones y obligaciones del responsable, encargado o encargados y todas las personas que traten datos personales.</w:t>
      </w:r>
    </w:p>
    <w:p w14:paraId="1F6B9F2F"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d)</w:t>
      </w:r>
      <w:r w:rsidRPr="005E3C9B">
        <w:rPr>
          <w:rFonts w:ascii="Palatino Linotype" w:eastAsia="Palatino Linotype" w:hAnsi="Palatino Linotype" w:cs="Palatino Linotype"/>
          <w:i/>
          <w:sz w:val="22"/>
          <w:szCs w:val="22"/>
        </w:rPr>
        <w:t xml:space="preserve"> El folio del registro del sistema y base de datos.</w:t>
      </w:r>
    </w:p>
    <w:p w14:paraId="7EC699D3"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e)</w:t>
      </w:r>
      <w:r w:rsidRPr="005E3C9B">
        <w:rPr>
          <w:rFonts w:ascii="Palatino Linotype" w:eastAsia="Palatino Linotype" w:hAnsi="Palatino Linotype" w:cs="Palatino Linotype"/>
          <w:i/>
          <w:sz w:val="22"/>
          <w:szCs w:val="22"/>
        </w:rPr>
        <w:t xml:space="preserve"> El inventario o la especificación detallada del tipo de datos personales contenidos.</w:t>
      </w:r>
    </w:p>
    <w:p w14:paraId="240825FF"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f)</w:t>
      </w:r>
      <w:r w:rsidRPr="005E3C9B">
        <w:rPr>
          <w:rFonts w:ascii="Palatino Linotype" w:eastAsia="Palatino Linotype" w:hAnsi="Palatino Linotype" w:cs="Palatino Linotype"/>
          <w:i/>
          <w:sz w:val="22"/>
          <w:szCs w:val="22"/>
        </w:rPr>
        <w:t xml:space="preserve"> La estructura y descripción de los sistemas y bases de datos personales, lo cual consiste en precisar y describir el tipo de soporte, así como las características del lugar donde se resguardan.</w:t>
      </w:r>
    </w:p>
    <w:p w14:paraId="67A6624E" w14:textId="77777777" w:rsidR="005B2976" w:rsidRPr="005E3C9B" w:rsidRDefault="005B2976">
      <w:pPr>
        <w:spacing w:before="120" w:after="120"/>
        <w:ind w:left="851" w:right="900"/>
        <w:rPr>
          <w:rFonts w:ascii="Palatino Linotype" w:eastAsia="Palatino Linotype" w:hAnsi="Palatino Linotype" w:cs="Palatino Linotype"/>
          <w:sz w:val="22"/>
          <w:szCs w:val="22"/>
        </w:rPr>
      </w:pPr>
    </w:p>
    <w:p w14:paraId="75162CCA" w14:textId="77777777" w:rsidR="005B2976" w:rsidRPr="005E3C9B" w:rsidRDefault="008E7AE9">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u w:val="single"/>
        </w:rPr>
        <w:t>II. Respecto de las medidas de seguridad implementadas deberá incluir lo siguiente:</w:t>
      </w:r>
    </w:p>
    <w:p w14:paraId="6EC13525"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a)</w:t>
      </w:r>
      <w:r w:rsidRPr="005E3C9B">
        <w:rPr>
          <w:rFonts w:ascii="Palatino Linotype" w:eastAsia="Palatino Linotype" w:hAnsi="Palatino Linotype" w:cs="Palatino Linotype"/>
          <w:i/>
          <w:sz w:val="22"/>
          <w:szCs w:val="22"/>
        </w:rPr>
        <w:t xml:space="preserve"> Transferencia y remisiones.</w:t>
      </w:r>
    </w:p>
    <w:p w14:paraId="0520BEB6"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b)</w:t>
      </w:r>
      <w:r w:rsidRPr="005E3C9B">
        <w:rPr>
          <w:rFonts w:ascii="Palatino Linotype" w:eastAsia="Palatino Linotype" w:hAnsi="Palatino Linotype" w:cs="Palatino Linotype"/>
          <w:i/>
          <w:sz w:val="22"/>
          <w:szCs w:val="22"/>
        </w:rPr>
        <w:t xml:space="preserve"> Resguardo de soportes físicos y electrónicos.</w:t>
      </w:r>
    </w:p>
    <w:p w14:paraId="5440FFBE"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c)</w:t>
      </w:r>
      <w:r w:rsidRPr="005E3C9B">
        <w:rPr>
          <w:rFonts w:ascii="Palatino Linotype" w:eastAsia="Palatino Linotype" w:hAnsi="Palatino Linotype" w:cs="Palatino Linotype"/>
          <w:i/>
          <w:sz w:val="22"/>
          <w:szCs w:val="22"/>
        </w:rPr>
        <w:t xml:space="preserve"> Bitácoras para accesos, operación cotidiana y violaciones a la seguridad de los datos personales.</w:t>
      </w:r>
    </w:p>
    <w:p w14:paraId="5C9FFBA1"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d)</w:t>
      </w:r>
      <w:r w:rsidRPr="005E3C9B">
        <w:rPr>
          <w:rFonts w:ascii="Palatino Linotype" w:eastAsia="Palatino Linotype" w:hAnsi="Palatino Linotype" w:cs="Palatino Linotype"/>
          <w:i/>
          <w:sz w:val="22"/>
          <w:szCs w:val="22"/>
        </w:rPr>
        <w:t xml:space="preserve"> El análisis de riesgos.</w:t>
      </w:r>
    </w:p>
    <w:p w14:paraId="00854701"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e)</w:t>
      </w:r>
      <w:r w:rsidRPr="005E3C9B">
        <w:rPr>
          <w:rFonts w:ascii="Palatino Linotype" w:eastAsia="Palatino Linotype" w:hAnsi="Palatino Linotype" w:cs="Palatino Linotype"/>
          <w:i/>
          <w:sz w:val="22"/>
          <w:szCs w:val="22"/>
        </w:rPr>
        <w:t xml:space="preserve"> El análisis de brecha.</w:t>
      </w:r>
    </w:p>
    <w:p w14:paraId="140199FA"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f)</w:t>
      </w:r>
      <w:r w:rsidRPr="005E3C9B">
        <w:rPr>
          <w:rFonts w:ascii="Palatino Linotype" w:eastAsia="Palatino Linotype" w:hAnsi="Palatino Linotype" w:cs="Palatino Linotype"/>
          <w:i/>
          <w:sz w:val="22"/>
          <w:szCs w:val="22"/>
        </w:rPr>
        <w:t xml:space="preserve"> Gestión de incidentes.</w:t>
      </w:r>
    </w:p>
    <w:p w14:paraId="1C7CD089"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g)</w:t>
      </w:r>
      <w:r w:rsidRPr="005E3C9B">
        <w:rPr>
          <w:rFonts w:ascii="Palatino Linotype" w:eastAsia="Palatino Linotype" w:hAnsi="Palatino Linotype" w:cs="Palatino Linotype"/>
          <w:i/>
          <w:sz w:val="22"/>
          <w:szCs w:val="22"/>
        </w:rPr>
        <w:t xml:space="preserve"> Acceso a las instalaciones.</w:t>
      </w:r>
    </w:p>
    <w:p w14:paraId="7B58C609"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h)</w:t>
      </w:r>
      <w:r w:rsidRPr="005E3C9B">
        <w:rPr>
          <w:rFonts w:ascii="Palatino Linotype" w:eastAsia="Palatino Linotype" w:hAnsi="Palatino Linotype" w:cs="Palatino Linotype"/>
          <w:i/>
          <w:sz w:val="22"/>
          <w:szCs w:val="22"/>
        </w:rPr>
        <w:t xml:space="preserve"> Identificación y autenticación.</w:t>
      </w:r>
    </w:p>
    <w:p w14:paraId="17B23A8D"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Procedimientos de respaldo y recuperación de datos.</w:t>
      </w:r>
    </w:p>
    <w:p w14:paraId="2B7CE50D"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j)</w:t>
      </w:r>
      <w:r w:rsidRPr="005E3C9B">
        <w:rPr>
          <w:rFonts w:ascii="Palatino Linotype" w:eastAsia="Palatino Linotype" w:hAnsi="Palatino Linotype" w:cs="Palatino Linotype"/>
          <w:i/>
          <w:sz w:val="22"/>
          <w:szCs w:val="22"/>
        </w:rPr>
        <w:t xml:space="preserve"> Plan de contingencia.</w:t>
      </w:r>
    </w:p>
    <w:p w14:paraId="716BF58B"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k)</w:t>
      </w:r>
      <w:r w:rsidRPr="005E3C9B">
        <w:rPr>
          <w:rFonts w:ascii="Palatino Linotype" w:eastAsia="Palatino Linotype" w:hAnsi="Palatino Linotype" w:cs="Palatino Linotype"/>
          <w:i/>
          <w:sz w:val="22"/>
          <w:szCs w:val="22"/>
        </w:rPr>
        <w:t xml:space="preserve"> Auditorías.</w:t>
      </w:r>
    </w:p>
    <w:p w14:paraId="55B7BCD2"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l)</w:t>
      </w:r>
      <w:r w:rsidRPr="005E3C9B">
        <w:rPr>
          <w:rFonts w:ascii="Palatino Linotype" w:eastAsia="Palatino Linotype" w:hAnsi="Palatino Linotype" w:cs="Palatino Linotype"/>
          <w:i/>
          <w:sz w:val="22"/>
          <w:szCs w:val="22"/>
        </w:rPr>
        <w:t xml:space="preserve"> Supresión y borrado seguro de datos. </w:t>
      </w:r>
    </w:p>
    <w:p w14:paraId="04D3B0B7"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m)</w:t>
      </w:r>
      <w:r w:rsidRPr="005E3C9B">
        <w:rPr>
          <w:rFonts w:ascii="Palatino Linotype" w:eastAsia="Palatino Linotype" w:hAnsi="Palatino Linotype" w:cs="Palatino Linotype"/>
          <w:i/>
          <w:sz w:val="22"/>
          <w:szCs w:val="22"/>
        </w:rPr>
        <w:t xml:space="preserve"> El plan de trabajo.  </w:t>
      </w:r>
    </w:p>
    <w:p w14:paraId="482F0996"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b/>
          <w:i/>
          <w:sz w:val="22"/>
          <w:szCs w:val="22"/>
        </w:rPr>
        <w:t>n)</w:t>
      </w:r>
      <w:r w:rsidRPr="005E3C9B">
        <w:rPr>
          <w:rFonts w:ascii="Palatino Linotype" w:eastAsia="Palatino Linotype" w:hAnsi="Palatino Linotype" w:cs="Palatino Linotype"/>
          <w:i/>
          <w:sz w:val="22"/>
          <w:szCs w:val="22"/>
        </w:rPr>
        <w:t xml:space="preserve"> Los mecanismos de monitoreo y revisión de las medidas de seguridad. </w:t>
      </w:r>
    </w:p>
    <w:p w14:paraId="4F8FA6AB" w14:textId="77777777" w:rsidR="005B2976" w:rsidRPr="005E3C9B" w:rsidRDefault="008E7AE9">
      <w:pPr>
        <w:pBdr>
          <w:top w:val="nil"/>
          <w:left w:val="nil"/>
          <w:bottom w:val="nil"/>
          <w:right w:val="nil"/>
          <w:between w:val="nil"/>
        </w:pBdr>
        <w:spacing w:before="120" w:after="120"/>
        <w:ind w:left="1418" w:right="900"/>
        <w:jc w:val="both"/>
        <w:rPr>
          <w:rFonts w:ascii="Palatino Linotype" w:eastAsia="Palatino Linotype" w:hAnsi="Palatino Linotype" w:cs="Palatino Linotype"/>
          <w:sz w:val="22"/>
          <w:szCs w:val="22"/>
        </w:rPr>
      </w:pPr>
      <w:r w:rsidRPr="005E3C9B">
        <w:rPr>
          <w:rFonts w:ascii="Palatino Linotype" w:eastAsia="Palatino Linotype" w:hAnsi="Palatino Linotype" w:cs="Palatino Linotype"/>
          <w:i/>
          <w:sz w:val="22"/>
          <w:szCs w:val="22"/>
        </w:rPr>
        <w:t> </w:t>
      </w:r>
      <w:r w:rsidRPr="005E3C9B">
        <w:rPr>
          <w:rFonts w:ascii="Palatino Linotype" w:eastAsia="Palatino Linotype" w:hAnsi="Palatino Linotype" w:cs="Palatino Linotype"/>
          <w:b/>
          <w:i/>
          <w:sz w:val="22"/>
          <w:szCs w:val="22"/>
        </w:rPr>
        <w:t>o)</w:t>
      </w:r>
      <w:r w:rsidRPr="005E3C9B">
        <w:rPr>
          <w:rFonts w:ascii="Palatino Linotype" w:eastAsia="Palatino Linotype" w:hAnsi="Palatino Linotype" w:cs="Palatino Linotype"/>
          <w:i/>
          <w:sz w:val="22"/>
          <w:szCs w:val="22"/>
        </w:rPr>
        <w:t xml:space="preserve"> El programa general de capacitación.”</w:t>
      </w:r>
    </w:p>
    <w:p w14:paraId="54F9CC88" w14:textId="77777777" w:rsidR="005B2976" w:rsidRPr="005E3C9B" w:rsidRDefault="008E7AE9">
      <w:pPr>
        <w:spacing w:line="360" w:lineRule="auto"/>
        <w:jc w:val="both"/>
        <w:rPr>
          <w:sz w:val="22"/>
          <w:szCs w:val="22"/>
        </w:rPr>
      </w:pPr>
      <w:r w:rsidRPr="005E3C9B">
        <w:rPr>
          <w:rFonts w:ascii="Palatino Linotype" w:eastAsia="Palatino Linotype" w:hAnsi="Palatino Linotype" w:cs="Palatino Linotype"/>
        </w:rPr>
        <w:lastRenderedPageBreak/>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 </w:t>
      </w:r>
    </w:p>
    <w:p w14:paraId="0E285227"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Asimismo, conforme el artículo 48 de la Ley de Protección de Datos Personales Local, el documento de seguridad es de observancia obligatoria para los responsables, encargados y demás personas que realizan algún tipo de tratamiento a los datos personales, </w:t>
      </w:r>
      <w:r w:rsidRPr="005E3C9B">
        <w:rPr>
          <w:rFonts w:ascii="Palatino Linotype" w:eastAsia="Palatino Linotype" w:hAnsi="Palatino Linotype" w:cs="Palatino Linotype"/>
          <w:b/>
        </w:rPr>
        <w:t xml:space="preserve">y a elección del sujeto obligado, éste podrá ser único e incluir todos los sistemas y bases de datos personales que posea, </w:t>
      </w:r>
      <w:r w:rsidRPr="005E3C9B">
        <w:rPr>
          <w:rFonts w:ascii="Palatino Linotype" w:eastAsia="Palatino Linotype" w:hAnsi="Palatino Linotype" w:cs="Palatino Linotype"/>
        </w:rPr>
        <w:t>por unidad administrativa en que se incluyan los sistemas y bases de datos personales en custodia, individualizado para cada sistema, o mixto.</w:t>
      </w:r>
    </w:p>
    <w:p w14:paraId="3BE4665A" w14:textId="77777777" w:rsidR="005B2976" w:rsidRPr="005E3C9B" w:rsidRDefault="008E7AE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E3C9B">
        <w:rPr>
          <w:rFonts w:ascii="Palatino Linotype" w:eastAsia="Palatino Linotype" w:hAnsi="Palatino Linotype" w:cs="Palatino Linotype"/>
        </w:rPr>
        <w:t>De ahí que los Sujetos Obligados pueden tener un documento de seguridad único en el que se incluyan todos los sistemas y bases de datos que posean por unidad administrativa.</w:t>
      </w:r>
    </w:p>
    <w:p w14:paraId="44376FC6"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Asimismo, es pertinente mencionar que conforme a lo dispuesto en el artículo 49 de la Ley de Protección de Datos Personales </w:t>
      </w:r>
      <w:proofErr w:type="spellStart"/>
      <w:r w:rsidRPr="005E3C9B">
        <w:rPr>
          <w:rFonts w:ascii="Palatino Linotype" w:eastAsia="Palatino Linotype" w:hAnsi="Palatino Linotype" w:cs="Palatino Linotype"/>
        </w:rPr>
        <w:t>supraindicada</w:t>
      </w:r>
      <w:proofErr w:type="spellEnd"/>
      <w:r w:rsidRPr="005E3C9B">
        <w:rPr>
          <w:rFonts w:ascii="Palatino Linotype" w:eastAsia="Palatino Linotype" w:hAnsi="Palatino Linotype" w:cs="Palatino Linotype"/>
        </w:rPr>
        <w:t xml:space="preserve">, el documento de seguridad debe contener, como mínimo, lo referente a: </w:t>
      </w:r>
    </w:p>
    <w:p w14:paraId="1DC7DA0B" w14:textId="77777777" w:rsidR="005B2976" w:rsidRPr="005E3C9B" w:rsidRDefault="008E7AE9">
      <w:pPr>
        <w:numPr>
          <w:ilvl w:val="0"/>
          <w:numId w:val="3"/>
        </w:numPr>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b/>
        </w:rPr>
        <w:t>Sistemas de Datos Personales</w:t>
      </w:r>
      <w:r w:rsidRPr="005E3C9B">
        <w:rPr>
          <w:rFonts w:ascii="Palatino Linotype" w:eastAsia="Palatino Linotype" w:hAnsi="Palatino Linotype" w:cs="Palatino Linotype"/>
        </w:rPr>
        <w:t xml:space="preserve">: a) el nombre, </w:t>
      </w:r>
      <w:r w:rsidRPr="005E3C9B">
        <w:rPr>
          <w:rFonts w:ascii="Palatino Linotype" w:eastAsia="Palatino Linotype" w:hAnsi="Palatino Linotype" w:cs="Palatino Linotype"/>
          <w:b/>
        </w:rPr>
        <w:t xml:space="preserve">b) el nombre, cargo y adscripción del administrador de cada sistema y base de datos, c) las funciones y obligaciones del responsable o encargados y todas la personas  que traten </w:t>
      </w:r>
      <w:r w:rsidRPr="005E3C9B">
        <w:rPr>
          <w:rFonts w:ascii="Palatino Linotype" w:eastAsia="Palatino Linotype" w:hAnsi="Palatino Linotype" w:cs="Palatino Linotype"/>
          <w:b/>
        </w:rPr>
        <w:lastRenderedPageBreak/>
        <w:t xml:space="preserve">datos personales, d) el folio del registro del sistema y base de datos, </w:t>
      </w:r>
      <w:r w:rsidRPr="005E3C9B">
        <w:rPr>
          <w:rFonts w:ascii="Palatino Linotype" w:eastAsia="Palatino Linotype" w:hAnsi="Palatino Linotype" w:cs="Palatino Linotype"/>
        </w:rPr>
        <w:t xml:space="preserve">e) el inventario o especificación detallada del tipo de datos personales y f) la estructura y descripción de los sistemas y bases de datos personales, en las que deberá precisar y describir el tipo de soporte y características del lugar donde se resguardan.       </w:t>
      </w:r>
    </w:p>
    <w:p w14:paraId="1704AD0B" w14:textId="77777777" w:rsidR="005B2976" w:rsidRPr="005E3C9B" w:rsidRDefault="008E7AE9">
      <w:pPr>
        <w:numPr>
          <w:ilvl w:val="0"/>
          <w:numId w:val="3"/>
        </w:numPr>
        <w:spacing w:before="240" w:after="240" w:line="360" w:lineRule="auto"/>
        <w:ind w:left="284" w:right="49" w:firstLine="0"/>
        <w:jc w:val="both"/>
        <w:rPr>
          <w:rFonts w:ascii="Palatino Linotype" w:eastAsia="Palatino Linotype" w:hAnsi="Palatino Linotype" w:cs="Palatino Linotype"/>
        </w:rPr>
      </w:pPr>
      <w:r w:rsidRPr="005E3C9B">
        <w:rPr>
          <w:rFonts w:ascii="Palatino Linotype" w:eastAsia="Palatino Linotype" w:hAnsi="Palatino Linotype" w:cs="Palatino Linotype"/>
          <w:b/>
        </w:rPr>
        <w:t>Las Medidas de Seguridad implementadas</w:t>
      </w:r>
      <w:r w:rsidRPr="005E3C9B">
        <w:rPr>
          <w:rFonts w:ascii="Palatino Linotype" w:eastAsia="Palatino Linotype" w:hAnsi="Palatino Linotype" w:cs="Palatino Linotype"/>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296F38B1"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los </w:t>
      </w:r>
      <w:r w:rsidRPr="005E3C9B">
        <w:rPr>
          <w:rFonts w:ascii="Palatino Linotype" w:eastAsia="Palatino Linotype" w:hAnsi="Palatino Linotype" w:cs="Palatino Linotype"/>
          <w:b/>
          <w:u w:val="single"/>
        </w:rPr>
        <w:t>incisos del a) al e), se trata de información pública,</w:t>
      </w:r>
      <w:r w:rsidRPr="005E3C9B">
        <w:rPr>
          <w:rFonts w:ascii="Palatino Linotype" w:eastAsia="Palatino Linotype" w:hAnsi="Palatino Linotype" w:cs="Palatino Linotype"/>
        </w:rPr>
        <w:t xml:space="preserve"> en virtud de relacionarse con el nombre del sistema o base de datos; el nombre, cargo y adscripción del administrador de cada sistema y base de datos; las funciones y obligaciones del responsable o encargados y todas la personas  que traten datos personales; el folio </w:t>
      </w:r>
      <w:r w:rsidRPr="005E3C9B">
        <w:rPr>
          <w:rFonts w:ascii="Palatino Linotype" w:eastAsia="Palatino Linotype" w:hAnsi="Palatino Linotype" w:cs="Palatino Linotype"/>
        </w:rPr>
        <w:lastRenderedPageBreak/>
        <w:t>del registro del sistema y base de datos; así como, el inventario o especificación detallada del tipo de datos personales.</w:t>
      </w:r>
    </w:p>
    <w:p w14:paraId="2ADEB2E5"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Sin embargo, </w:t>
      </w:r>
      <w:r w:rsidRPr="005E3C9B">
        <w:rPr>
          <w:rFonts w:ascii="Palatino Linotype" w:eastAsia="Palatino Linotype" w:hAnsi="Palatino Linotype" w:cs="Palatino Linotype"/>
          <w:b/>
          <w:u w:val="single"/>
        </w:rPr>
        <w:t>en el caso del inciso f) de la fracción I</w:t>
      </w:r>
      <w:r w:rsidRPr="005E3C9B">
        <w:rPr>
          <w:rFonts w:ascii="Palatino Linotype" w:eastAsia="Palatino Linotype" w:hAnsi="Palatino Linotype" w:cs="Palatino Linotype"/>
        </w:rPr>
        <w:t xml:space="preserve"> del artículo 49 de la Ley de Protección de Datos Personales en cita, relativo a</w:t>
      </w:r>
      <w:r w:rsidRPr="005E3C9B">
        <w:t xml:space="preserve"> </w:t>
      </w:r>
      <w:r w:rsidRPr="005E3C9B">
        <w:rPr>
          <w:rFonts w:ascii="Palatino Linotype" w:eastAsia="Palatino Linotype" w:hAnsi="Palatino Linotype" w:cs="Palatino Linotype"/>
        </w:rPr>
        <w:t xml:space="preserve">la estructura y descripción de los sistemas y bases de datos personales, en las que deberá precisar y describir el tipo de soporte y características del lugar donde se resguardan; su publicidad queda sujeta al análisis pormenorizado que realice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ya que si dicho ente arriba a la conclusión de que dicho inciso que debe contener el documento de seguridad contiene medidas de seguridad detalladas, el mismo deberá clasificarse como información confidencial.</w:t>
      </w:r>
    </w:p>
    <w:p w14:paraId="3C81D7CE" w14:textId="77777777" w:rsidR="005B2976" w:rsidRPr="005E3C9B" w:rsidRDefault="008E7AE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Lo anterior, en el entendido de que las medidas de seguridad aplicables a las bases de datos personales por parte del responsable es </w:t>
      </w:r>
      <w:r w:rsidRPr="005E3C9B">
        <w:rPr>
          <w:rFonts w:ascii="Palatino Linotype" w:eastAsia="Palatino Linotype" w:hAnsi="Palatino Linotype" w:cs="Palatino Linotype"/>
          <w:b/>
        </w:rPr>
        <w:t xml:space="preserve">información de carácter confidencial </w:t>
      </w:r>
      <w:r w:rsidRPr="005E3C9B">
        <w:rPr>
          <w:rFonts w:ascii="Palatino Linotype" w:eastAsia="Palatino Linotype" w:hAnsi="Palatino Linotype" w:cs="Palatino Linotype"/>
        </w:rPr>
        <w:t>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w:t>
      </w:r>
    </w:p>
    <w:p w14:paraId="5C40C0CB"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los incisos a) al n), se encuentra relacionada con las medidas de </w:t>
      </w:r>
      <w:r w:rsidRPr="005E3C9B">
        <w:rPr>
          <w:rFonts w:ascii="Palatino Linotype" w:eastAsia="Palatino Linotype" w:hAnsi="Palatino Linotype" w:cs="Palatino Linotype"/>
        </w:rPr>
        <w:lastRenderedPageBreak/>
        <w:t>seguridad implementadas, las cuales son susceptibles de clasificarse como información confidencial.</w:t>
      </w:r>
    </w:p>
    <w:p w14:paraId="3B31061C"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Lo anterior, tiene sustento en atención a que el </w:t>
      </w:r>
      <w:r w:rsidRPr="005E3C9B">
        <w:rPr>
          <w:rFonts w:ascii="Palatino Linotype" w:eastAsia="Palatino Linotype" w:hAnsi="Palatino Linotype" w:cs="Palatino Linotype"/>
          <w:b/>
        </w:rPr>
        <w:t>análisis de riesgo</w:t>
      </w:r>
      <w:r w:rsidRPr="005E3C9B">
        <w:rPr>
          <w:rFonts w:ascii="Palatino Linotype" w:eastAsia="Palatino Linotype" w:hAnsi="Palatino Linotype" w:cs="Palatino Linotype"/>
        </w:rPr>
        <w:t xml:space="preserve"> contiene las consideraciones relacionadas con las amenazas y vulnerabilidades existentes.</w:t>
      </w:r>
    </w:p>
    <w:p w14:paraId="62C43C42"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resguardo es el espacio destinado para almacenar o resguardar datos personales</w:t>
      </w:r>
      <w:r w:rsidRPr="005E3C9B">
        <w:rPr>
          <w:rFonts w:ascii="Palatino Linotype" w:eastAsia="Palatino Linotype" w:hAnsi="Palatino Linotype" w:cs="Palatino Linotype"/>
        </w:rPr>
        <w:t xml:space="preserve"> que han recibido el tratamiento correspondiente, para que formen parte integral de uno o más Sistemas de Datos Personales en soporte electrónico.</w:t>
      </w:r>
    </w:p>
    <w:p w14:paraId="1D4892E2"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Las </w:t>
      </w:r>
      <w:r w:rsidRPr="005E3C9B">
        <w:rPr>
          <w:rFonts w:ascii="Palatino Linotype" w:eastAsia="Palatino Linotype" w:hAnsi="Palatino Linotype" w:cs="Palatino Linotype"/>
          <w:b/>
        </w:rPr>
        <w:t>bitácoras</w:t>
      </w:r>
      <w:r w:rsidRPr="005E3C9B">
        <w:rPr>
          <w:rFonts w:ascii="Palatino Linotype" w:eastAsia="Palatino Linotype" w:hAnsi="Palatino Linotype" w:cs="Palatino Linotype"/>
        </w:rPr>
        <w:t xml:space="preserve"> registran los accesos autorizados e incidencias para cada una de ellas. Asimismo, deberá establecer los procedimientos para el uso de bitácoras respecto de las acciones cotidianas llevadas a cabo en los SDPS.</w:t>
      </w:r>
    </w:p>
    <w:p w14:paraId="0437B8F4"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El </w:t>
      </w:r>
      <w:r w:rsidRPr="005E3C9B">
        <w:rPr>
          <w:rFonts w:ascii="Palatino Linotype" w:eastAsia="Palatino Linotype" w:hAnsi="Palatino Linotype" w:cs="Palatino Linotype"/>
          <w:b/>
        </w:rPr>
        <w:t>análisis de brecha</w:t>
      </w:r>
      <w:r w:rsidRPr="005E3C9B">
        <w:rPr>
          <w:rFonts w:ascii="Palatino Linotype" w:eastAsia="Palatino Linotype" w:hAnsi="Palatino Linotype" w:cs="Palatino Linotype"/>
        </w:rPr>
        <w:t xml:space="preserve">, contiene la comparación de las medidas de seguridad existentes y las medidas de </w:t>
      </w:r>
      <w:proofErr w:type="gramStart"/>
      <w:r w:rsidRPr="005E3C9B">
        <w:rPr>
          <w:rFonts w:ascii="Palatino Linotype" w:eastAsia="Palatino Linotype" w:hAnsi="Palatino Linotype" w:cs="Palatino Linotype"/>
        </w:rPr>
        <w:t>seguridad  faltantes</w:t>
      </w:r>
      <w:proofErr w:type="gramEnd"/>
      <w:r w:rsidRPr="005E3C9B">
        <w:rPr>
          <w:rFonts w:ascii="Palatino Linotype" w:eastAsia="Palatino Linotype" w:hAnsi="Palatino Linotype" w:cs="Palatino Linotype"/>
        </w:rPr>
        <w:t xml:space="preserve"> en la organización del responsable del tratamiento de datos personales. </w:t>
      </w:r>
    </w:p>
    <w:p w14:paraId="68BF1BBD"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La </w:t>
      </w:r>
      <w:r w:rsidRPr="005E3C9B">
        <w:rPr>
          <w:rFonts w:ascii="Palatino Linotype" w:eastAsia="Palatino Linotype" w:hAnsi="Palatino Linotype" w:cs="Palatino Linotype"/>
          <w:b/>
        </w:rPr>
        <w:t>gestión de incidentes</w:t>
      </w:r>
      <w:r w:rsidRPr="005E3C9B">
        <w:rPr>
          <w:rFonts w:ascii="Palatino Linotype" w:eastAsia="Palatino Linotype" w:hAnsi="Palatino Linotype" w:cs="Palatino Linotype"/>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06981D39"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El </w:t>
      </w:r>
      <w:r w:rsidRPr="005E3C9B">
        <w:rPr>
          <w:rFonts w:ascii="Palatino Linotype" w:eastAsia="Palatino Linotype" w:hAnsi="Palatino Linotype" w:cs="Palatino Linotype"/>
          <w:b/>
        </w:rPr>
        <w:t>acceso a instalaciones</w:t>
      </w:r>
      <w:r w:rsidRPr="005E3C9B">
        <w:rPr>
          <w:rFonts w:ascii="Palatino Linotype" w:eastAsia="Palatino Linotype" w:hAnsi="Palatino Linotype" w:cs="Palatino Linotype"/>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14A5B4FA"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cuanto hace a la </w:t>
      </w:r>
      <w:r w:rsidRPr="005E3C9B">
        <w:rPr>
          <w:rFonts w:ascii="Palatino Linotype" w:eastAsia="Palatino Linotype" w:hAnsi="Palatino Linotype" w:cs="Palatino Linotype"/>
          <w:b/>
        </w:rPr>
        <w:t>identificación y autenticación</w:t>
      </w:r>
      <w:r w:rsidRPr="005E3C9B">
        <w:rPr>
          <w:rFonts w:ascii="Palatino Linotype" w:eastAsia="Palatino Linotype" w:hAnsi="Palatino Linotype" w:cs="Palatino Linotype"/>
        </w:rP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341CA72C"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 Cuando el mecanismo de autenticación se base en la existencia de contraseñas, se establecerá un procedimiento de asignación, distribución y almacenamiento que garantice su confidencialidad e integridad.</w:t>
      </w:r>
    </w:p>
    <w:p w14:paraId="4A462058"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Respecto al procedimiento de </w:t>
      </w:r>
      <w:r w:rsidRPr="005E3C9B">
        <w:rPr>
          <w:rFonts w:ascii="Palatino Linotype" w:eastAsia="Palatino Linotype" w:hAnsi="Palatino Linotype" w:cs="Palatino Linotype"/>
          <w:b/>
        </w:rPr>
        <w:t>respaldo y recuperación de datos</w:t>
      </w:r>
      <w:r w:rsidRPr="005E3C9B">
        <w:rPr>
          <w:rFonts w:ascii="Palatino Linotype" w:eastAsia="Palatino Linotype" w:hAnsi="Palatino Linotype" w:cs="Palatino Linotype"/>
        </w:rPr>
        <w:t>, se advierte que dar a conocer los medios de almacenamiento no volátil autorizados para la generación y almacenamiento de copias de seguridad o respaldos compromete los tres pilares de la organización: confidencialidad, disponibilidad e integridad.</w:t>
      </w:r>
    </w:p>
    <w:p w14:paraId="7F53B63E"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la </w:t>
      </w:r>
      <w:r w:rsidRPr="005E3C9B">
        <w:rPr>
          <w:rFonts w:ascii="Palatino Linotype" w:eastAsia="Palatino Linotype" w:hAnsi="Palatino Linotype" w:cs="Palatino Linotype"/>
          <w:b/>
        </w:rPr>
        <w:t>supresión de datos personales</w:t>
      </w:r>
      <w:r w:rsidRPr="005E3C9B">
        <w:rPr>
          <w:rFonts w:ascii="Palatino Linotype" w:eastAsia="Palatino Linotype" w:hAnsi="Palatino Linotype" w:cs="Palatino Linotype"/>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49836667"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b/>
        </w:rPr>
        <w:lastRenderedPageBreak/>
        <w:t>Irreversibilidad</w:t>
      </w:r>
      <w:r w:rsidRPr="005E3C9B">
        <w:rPr>
          <w:rFonts w:ascii="Palatino Linotype" w:eastAsia="Palatino Linotype" w:hAnsi="Palatino Linotype" w:cs="Palatino Linotype"/>
        </w:rPr>
        <w:t xml:space="preserve">: que el proceso utilizado no permita recuperar los datos personales; Seguridad y confidencialidad: que en la eliminación definitiva de los datos personales se consideren los deberes de confidencialidad y seguridad, </w:t>
      </w:r>
      <w:proofErr w:type="gramStart"/>
      <w:r w:rsidRPr="005E3C9B">
        <w:rPr>
          <w:rFonts w:ascii="Palatino Linotype" w:eastAsia="Palatino Linotype" w:hAnsi="Palatino Linotype" w:cs="Palatino Linotype"/>
        </w:rPr>
        <w:t>y  Favorable</w:t>
      </w:r>
      <w:proofErr w:type="gramEnd"/>
      <w:r w:rsidRPr="005E3C9B">
        <w:rPr>
          <w:rFonts w:ascii="Palatino Linotype" w:eastAsia="Palatino Linotype" w:hAnsi="Palatino Linotype" w:cs="Palatino Linotype"/>
        </w:rPr>
        <w:t xml:space="preserv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50FC5D40"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que hace al </w:t>
      </w:r>
      <w:r w:rsidRPr="005E3C9B">
        <w:rPr>
          <w:rFonts w:ascii="Palatino Linotype" w:eastAsia="Palatino Linotype" w:hAnsi="Palatino Linotype" w:cs="Palatino Linotype"/>
          <w:b/>
        </w:rPr>
        <w:t>plan de contingencia</w:t>
      </w:r>
      <w:r w:rsidRPr="005E3C9B">
        <w:rPr>
          <w:rFonts w:ascii="Palatino Linotype" w:eastAsia="Palatino Linotype" w:hAnsi="Palatino Linotype" w:cs="Palatino Linotype"/>
        </w:rPr>
        <w:t>, éste se relaciona con una eventual “situación de emergencia”</w:t>
      </w:r>
      <w:r w:rsidRPr="005E3C9B">
        <w:rPr>
          <w:rFonts w:ascii="Palatino Linotype" w:eastAsia="Palatino Linotype" w:hAnsi="Palatino Linotype" w:cs="Palatino Linotype"/>
          <w:vertAlign w:val="superscript"/>
        </w:rPr>
        <w:footnoteReference w:id="2"/>
      </w:r>
      <w:r w:rsidRPr="005E3C9B">
        <w:rPr>
          <w:rFonts w:ascii="Palatino Linotype" w:eastAsia="Palatino Linotype" w:hAnsi="Palatino Linotype" w:cs="Palatino Linotype"/>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7C92464D" w14:textId="77777777" w:rsidR="005B2976" w:rsidRPr="005E3C9B" w:rsidRDefault="008E7AE9">
      <w:pPr>
        <w:spacing w:before="120" w:after="120"/>
        <w:ind w:left="851" w:right="1128"/>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21.</w:t>
      </w:r>
      <w:r w:rsidRPr="005E3C9B">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w:t>
      </w:r>
    </w:p>
    <w:p w14:paraId="129FE0F3" w14:textId="77777777" w:rsidR="005B2976" w:rsidRPr="005E3C9B" w:rsidRDefault="008E7AE9">
      <w:pPr>
        <w:spacing w:before="120" w:after="120"/>
        <w:ind w:left="1134" w:right="1128"/>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1A859030" w14:textId="77777777" w:rsidR="005B2976" w:rsidRPr="005E3C9B" w:rsidRDefault="008E7AE9">
      <w:pPr>
        <w:spacing w:before="120" w:after="120"/>
        <w:ind w:left="1134" w:right="1128"/>
        <w:jc w:val="both"/>
        <w:rPr>
          <w:rFonts w:ascii="Palatino Linotype" w:eastAsia="Palatino Linotype" w:hAnsi="Palatino Linotype" w:cs="Palatino Linotype"/>
        </w:rPr>
      </w:pPr>
      <w:r w:rsidRPr="005E3C9B">
        <w:rPr>
          <w:rFonts w:ascii="Palatino Linotype" w:eastAsia="Palatino Linotype" w:hAnsi="Palatino Linotype" w:cs="Palatino Linotype"/>
          <w:b/>
          <w:i/>
          <w:sz w:val="22"/>
          <w:szCs w:val="22"/>
        </w:rPr>
        <w:t>VI.</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Exista una situación de emergencia</w:t>
      </w:r>
      <w:r w:rsidRPr="005E3C9B">
        <w:rPr>
          <w:rFonts w:ascii="Palatino Linotype" w:eastAsia="Palatino Linotype" w:hAnsi="Palatino Linotype" w:cs="Palatino Linotype"/>
          <w:i/>
          <w:sz w:val="22"/>
          <w:szCs w:val="22"/>
        </w:rPr>
        <w:t xml:space="preserve"> que pueda dañar a un individuo en su persona o en sus bienes.”</w:t>
      </w:r>
    </w:p>
    <w:p w14:paraId="10F946F9"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El</w:t>
      </w:r>
      <w:r w:rsidRPr="005E3C9B">
        <w:rPr>
          <w:rFonts w:ascii="Palatino Linotype" w:eastAsia="Palatino Linotype" w:hAnsi="Palatino Linotype" w:cs="Palatino Linotype"/>
          <w:b/>
        </w:rPr>
        <w:t xml:space="preserve"> Plan de trabajo</w:t>
      </w:r>
      <w:r w:rsidRPr="005E3C9B">
        <w:rPr>
          <w:rFonts w:ascii="Palatino Linotype" w:eastAsia="Palatino Linotype" w:hAnsi="Palatino Linotype" w:cs="Palatino Linotype"/>
        </w:rPr>
        <w:t xml:space="preserve"> contiene lo relacionado con la implementación de las medidas de seguridad faltantes y las que dan complimiento cotidiano de las políticas de gestión y tratamiento de los datos personales.     </w:t>
      </w:r>
    </w:p>
    <w:p w14:paraId="46248783"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b/>
          <w:u w:val="single"/>
        </w:rPr>
        <w:t>Por lo que respecta al inciso o) de la fracción II que corresponde al Programa General de Capacitación</w:t>
      </w:r>
      <w:r w:rsidRPr="005E3C9B">
        <w:rPr>
          <w:rFonts w:ascii="Palatino Linotype" w:eastAsia="Palatino Linotype" w:hAnsi="Palatino Linotype" w:cs="Palatino Linotype"/>
        </w:rPr>
        <w:t xml:space="preserve">, no puede ser clasificado, pues si bien corresponde a acciones de seguridad, esta información no permite acceder a los datos personales protegidos; por el </w:t>
      </w:r>
      <w:proofErr w:type="gramStart"/>
      <w:r w:rsidRPr="005E3C9B">
        <w:rPr>
          <w:rFonts w:ascii="Palatino Linotype" w:eastAsia="Palatino Linotype" w:hAnsi="Palatino Linotype" w:cs="Palatino Linotype"/>
        </w:rPr>
        <w:t>contrario</w:t>
      </w:r>
      <w:proofErr w:type="gramEnd"/>
      <w:r w:rsidRPr="005E3C9B">
        <w:rPr>
          <w:rFonts w:ascii="Palatino Linotype" w:eastAsia="Palatino Linotype" w:hAnsi="Palatino Linotype" w:cs="Palatino Linotype"/>
        </w:rPr>
        <w:t xml:space="preserve"> rinde cuentas de que se capacitó al personal y que las capacitaciones corresponden con las necesidades de protección que tenga el Sujeto Obligado.</w:t>
      </w:r>
    </w:p>
    <w:p w14:paraId="026F8A41"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lo expuesto, se advierte que los incisos de la fracción II del artículo 49 de la Ley de Protección de Datos Personales en Posesión de Sujetos Obligados del Estado de México, </w:t>
      </w:r>
      <w:r w:rsidRPr="005E3C9B">
        <w:rPr>
          <w:rFonts w:ascii="Palatino Linotype" w:eastAsia="Palatino Linotype" w:hAnsi="Palatino Linotype" w:cs="Palatino Linotype"/>
          <w:b/>
          <w:u w:val="single"/>
        </w:rPr>
        <w:t>a excepción del inciso o),</w:t>
      </w:r>
      <w:r w:rsidRPr="005E3C9B">
        <w:rPr>
          <w:rFonts w:ascii="Palatino Linotype" w:eastAsia="Palatino Linotype" w:hAnsi="Palatino Linotype" w:cs="Palatino Linotype"/>
        </w:rPr>
        <w:t xml:space="preserve"> contienen concretamente, la información relacionada con la vulnerabilidad concerniente a las medidas de seguridad que en el caso concreto debe proteger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w:t>
      </w:r>
      <w:r w:rsidRPr="005E3C9B">
        <w:rPr>
          <w:rFonts w:ascii="Palatino Linotype" w:eastAsia="Palatino Linotype" w:hAnsi="Palatino Linotype" w:cs="Palatino Linotype"/>
          <w:b/>
        </w:rPr>
        <w:t xml:space="preserve"> </w:t>
      </w:r>
      <w:r w:rsidRPr="005E3C9B">
        <w:rPr>
          <w:rFonts w:ascii="Palatino Linotype" w:eastAsia="Palatino Linotype" w:hAnsi="Palatino Linotype" w:cs="Palatino Linotype"/>
        </w:rPr>
        <w:t xml:space="preserve">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  </w:t>
      </w:r>
    </w:p>
    <w:p w14:paraId="0C17950A"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tanto, derivado del presente estudio se concluye que todo lo concerniente a la </w:t>
      </w:r>
      <w:r w:rsidRPr="005E3C9B">
        <w:rPr>
          <w:rFonts w:ascii="Palatino Linotype" w:eastAsia="Palatino Linotype" w:hAnsi="Palatino Linotype" w:cs="Palatino Linotype"/>
          <w:b/>
        </w:rPr>
        <w:t>fracción I</w:t>
      </w:r>
      <w:r w:rsidRPr="005E3C9B">
        <w:rPr>
          <w:rFonts w:ascii="Palatino Linotype" w:eastAsia="Palatino Linotype" w:hAnsi="Palatino Linotype" w:cs="Palatino Linotype"/>
        </w:rPr>
        <w:t xml:space="preserve"> del artículo 49 de la Ley de Protección de Datos Personales en Posesión de Sujetos Obligados del Estado de México y Municipios </w:t>
      </w:r>
      <w:r w:rsidRPr="005E3C9B">
        <w:rPr>
          <w:rFonts w:ascii="Palatino Linotype" w:eastAsia="Palatino Linotype" w:hAnsi="Palatino Linotype" w:cs="Palatino Linotype"/>
          <w:b/>
        </w:rPr>
        <w:t xml:space="preserve">si deberá entregarse, </w:t>
      </w:r>
      <w:r w:rsidRPr="005E3C9B">
        <w:rPr>
          <w:rFonts w:ascii="Palatino Linotype" w:eastAsia="Palatino Linotype" w:hAnsi="Palatino Linotype" w:cs="Palatino Linotype"/>
        </w:rPr>
        <w:t xml:space="preserve">mientras que lo previsto en la </w:t>
      </w:r>
      <w:r w:rsidRPr="005E3C9B">
        <w:rPr>
          <w:rFonts w:ascii="Palatino Linotype" w:eastAsia="Palatino Linotype" w:hAnsi="Palatino Linotype" w:cs="Palatino Linotype"/>
          <w:b/>
        </w:rPr>
        <w:t xml:space="preserve">fracción II, con excepción del inciso o) que es </w:t>
      </w:r>
      <w:r w:rsidRPr="005E3C9B">
        <w:rPr>
          <w:rFonts w:ascii="Palatino Linotype" w:eastAsia="Palatino Linotype" w:hAnsi="Palatino Linotype" w:cs="Palatino Linotype"/>
          <w:b/>
        </w:rPr>
        <w:lastRenderedPageBreak/>
        <w:t>información pública,</w:t>
      </w:r>
      <w:r w:rsidRPr="005E3C9B">
        <w:rPr>
          <w:rFonts w:ascii="Palatino Linotype" w:eastAsia="Palatino Linotype" w:hAnsi="Palatino Linotype" w:cs="Palatino Linotype"/>
        </w:rPr>
        <w:t xml:space="preserve"> de la citada normatividad no es susceptible de entrega, por las razones previamente expuestas en líneas argumentativas anteriores.</w:t>
      </w:r>
    </w:p>
    <w:p w14:paraId="7FBD67AA" w14:textId="77777777" w:rsidR="005B2976" w:rsidRPr="005E3C9B" w:rsidRDefault="008E7AE9">
      <w:pPr>
        <w:spacing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Asimismo, es de agregar que, el documento de seguridad debe ser actualizado, cuando se considere así por el Sujeto Obligado, Responsables y/o administradores, de tal suerte que, en el presente asunto, lo que se solicita es la información que se tiene a la fecha de la solicitud, ya que los documentos de seguridad se crean sólo para bases de datos personales nuevas y para el resto sólo se actualizan.</w:t>
      </w:r>
    </w:p>
    <w:p w14:paraId="203EDD16" w14:textId="77777777" w:rsidR="005B2976" w:rsidRPr="005E3C9B" w:rsidRDefault="008E7AE9">
      <w:pPr>
        <w:spacing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este orden de ideas, dado que la Unidad de Transparencia manifestó que el documento entregado era el único archivo que se encontraba vigente, derivado de la búsqueda en los archivos físicos y digitales a su cargo, y que no es obligatorio generar un documento de seguridad por área, sino que los Sujetos Obligados a elección pueden contar con un único documento de seguridad que incluya todos los sistemas y bases de datos personales que posea, se concluye que la información proporcionada satisfizo el Derecho de acceso de la persona solicitante por lo que se refiere al requerimiento en estudio, al haber hecho entrega del documento de seguridad vigente, </w:t>
      </w:r>
      <w:r w:rsidRPr="005E3C9B">
        <w:rPr>
          <w:rFonts w:ascii="Palatino Linotype" w:eastAsia="Palatino Linotype" w:hAnsi="Palatino Linotype" w:cs="Palatino Linotype"/>
          <w:b/>
          <w:u w:val="single"/>
        </w:rPr>
        <w:t>tal y como fue generado y como obra en sus archivos,</w:t>
      </w:r>
      <w:r w:rsidRPr="005E3C9B">
        <w:rPr>
          <w:rFonts w:ascii="Palatino Linotype" w:eastAsia="Palatino Linotype" w:hAnsi="Palatino Linotype" w:cs="Palatino Linotype"/>
        </w:rPr>
        <w:t xml:space="preserve"> derivado de la búsqueda efectuada en los archivos a su cargo, situación que cumple con lo establecido en el artículo 12 de la  Ley de Transparencia y Acceso a la Información Pública del Estado de México y Municipios, previamente citado, bajo la premisa de que los Sujetos Obligados sólo deben proporcionar aquella información que hubieran generado en el ejercicio de sus atribuciones y que obre en sus archivos, de conformidad con lo establecido en el artículo 12 de la Ley de Transparencia y Acceso </w:t>
      </w:r>
      <w:r w:rsidRPr="005E3C9B">
        <w:rPr>
          <w:rFonts w:ascii="Palatino Linotype" w:eastAsia="Palatino Linotype" w:hAnsi="Palatino Linotype" w:cs="Palatino Linotype"/>
        </w:rPr>
        <w:lastRenderedPageBreak/>
        <w:t>a la Información Pública del Estado de México y Municipios, lo que a</w:t>
      </w:r>
      <w:r w:rsidRPr="005E3C9B">
        <w:rPr>
          <w:rFonts w:ascii="Palatino Linotype" w:eastAsia="Palatino Linotype" w:hAnsi="Palatino Linotype" w:cs="Palatino Linotype"/>
          <w:i/>
        </w:rPr>
        <w:t xml:space="preserve"> contrario sensu</w:t>
      </w:r>
      <w:r w:rsidRPr="005E3C9B">
        <w:rPr>
          <w:rFonts w:ascii="Palatino Linotype" w:eastAsia="Palatino Linotype" w:hAnsi="Palatino Linotype" w:cs="Palatino Linotype"/>
        </w:rPr>
        <w:t xml:space="preserve"> significa que no se está obligado a proporcionar lo que no obre en sus archivos.</w:t>
      </w:r>
    </w:p>
    <w:p w14:paraId="26B454C2" w14:textId="77777777" w:rsidR="005B2976" w:rsidRPr="005E3C9B" w:rsidRDefault="008E7AE9">
      <w:pPr>
        <w:spacing w:before="240" w:after="360" w:line="360" w:lineRule="auto"/>
        <w:ind w:right="18"/>
        <w:jc w:val="both"/>
        <w:rPr>
          <w:rFonts w:ascii="Palatino Linotype" w:eastAsia="Palatino Linotype" w:hAnsi="Palatino Linotype" w:cs="Palatino Linotype"/>
        </w:rPr>
      </w:pPr>
      <w:r w:rsidRPr="005E3C9B">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6F24600E"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Aunado a lo anterior, no debe perderse de vista que de conformidad con lo establecido en el artículo 166, primer párrafo de la Ley de Transparencia y Acceso a la Información Pública del Estado de México y Municipios, </w:t>
      </w:r>
      <w:r w:rsidRPr="005E3C9B">
        <w:rPr>
          <w:rFonts w:ascii="Palatino Linotype" w:eastAsia="Palatino Linotype" w:hAnsi="Palatino Linotype" w:cs="Palatino Linotype"/>
          <w:b/>
          <w:u w:val="single"/>
        </w:rPr>
        <w:t>la obligación de acceso a la información pública se tendrá por cumplida cuando el solicitante tenga a su disposición la información requerida</w:t>
      </w:r>
      <w:r w:rsidRPr="005E3C9B">
        <w:rPr>
          <w:rFonts w:ascii="Palatino Linotype" w:eastAsia="Palatino Linotype" w:hAnsi="Palatino Linotype" w:cs="Palatino Linotype"/>
        </w:rPr>
        <w:t xml:space="preserve">, o cuando realice la consulta de la misma en el lugar en el que ésta se localice, situación que acontece en el presente caso, ya que fue entregado el documentos que obran en los archivos del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en el estado en el que se encuentra.</w:t>
      </w:r>
    </w:p>
    <w:p w14:paraId="6185E129"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lo referente al punto </w:t>
      </w:r>
      <w:r w:rsidRPr="005E3C9B">
        <w:rPr>
          <w:rFonts w:ascii="Palatino Linotype" w:eastAsia="Palatino Linotype" w:hAnsi="Palatino Linotype" w:cs="Palatino Linotype"/>
          <w:b/>
        </w:rPr>
        <w:t>7,</w:t>
      </w:r>
      <w:r w:rsidRPr="005E3C9B">
        <w:rPr>
          <w:rFonts w:ascii="Palatino Linotype" w:eastAsia="Palatino Linotype" w:hAnsi="Palatino Linotype" w:cs="Palatino Linotype"/>
        </w:rPr>
        <w:t xml:space="preserve"> mediante el cual se solicitan las obligaciones con las que cumple el Sujeto Obligado, simples y específicas, la Unidad de transparencia señaló que estas se encontraban establecidas en el Bando Municipal, y de manera posterior, en la etapa de manifestaciones, indicó que el Sujeto Obligado cumplía con lo establecido en la Ley de Transparencia y Acceso a la Información Pública del Estado de México y Municipios, en los artículos 92 y 94, así como con las demás disposiciones establecidas en la normatividad aplicable, asimismo, que el </w:t>
      </w:r>
      <w:r w:rsidRPr="005E3C9B">
        <w:rPr>
          <w:rFonts w:ascii="Palatino Linotype" w:eastAsia="Palatino Linotype" w:hAnsi="Palatino Linotype" w:cs="Palatino Linotype"/>
        </w:rPr>
        <w:lastRenderedPageBreak/>
        <w:t>cumplimiento a las obligaciones de transparencia se puede constatar en los resultados de las verificaciones oficiosas.</w:t>
      </w:r>
    </w:p>
    <w:p w14:paraId="681BC745"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Al respecto, se menciona que, si el requerimiento de información carecía de elementos para identificar de manera clara la información a la que pretende acceder la persona solicitante, pudo haberse ceñido a lo previsto en el artículo 159, párrafo primero de la Ley de Transparencia y Acceso a la Información Pública del Estado de México, el cual confiere a los Sujetos Obligados la prerrogativa de que, </w:t>
      </w:r>
      <w:r w:rsidRPr="005E3C9B">
        <w:rPr>
          <w:rFonts w:ascii="Palatino Linotype" w:eastAsia="Palatino Linotype" w:hAnsi="Palatino Linotype" w:cs="Palatino Linotype"/>
          <w:b/>
        </w:rPr>
        <w:t>por una sola vez,</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rPr>
        <w:t>requieran a los solicitantes</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u w:val="single"/>
        </w:rPr>
        <w:t>dentro de los cinco días posteriores a la recepción de la solicitud,</w:t>
      </w:r>
      <w:r w:rsidRPr="005E3C9B">
        <w:rPr>
          <w:rFonts w:ascii="Palatino Linotype" w:eastAsia="Palatino Linotype" w:hAnsi="Palatino Linotype" w:cs="Palatino Linotype"/>
        </w:rPr>
        <w:t xml:space="preserve"> para que </w:t>
      </w:r>
      <w:r w:rsidRPr="005E3C9B">
        <w:rPr>
          <w:rFonts w:ascii="Palatino Linotype" w:eastAsia="Palatino Linotype" w:hAnsi="Palatino Linotype" w:cs="Palatino Linotype"/>
          <w:b/>
        </w:rPr>
        <w:t>proporcionen datos adicionales que les permitan localizar la información solicitada, cuando los datos proporcionados en una solicitud de información sean insuficientes o no estén completos</w:t>
      </w:r>
      <w:r w:rsidRPr="005E3C9B">
        <w:rPr>
          <w:rFonts w:ascii="Palatino Linotype" w:eastAsia="Palatino Linotype" w:hAnsi="Palatino Linotype" w:cs="Palatino Linotype"/>
        </w:rPr>
        <w:t xml:space="preserve">, circunstancia que, si bien a consideración de este Organismo Garante no era necesaria en el presente caso, tampoco se hizo valer por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si su voluntad era atender el requerimiento, por lo que se le insta a efectos de que en próximas ocasiones se apegue a los procedimientos que la normativa contempla, con la finalidad de no vulnerar el Derecho humano de acceso a la información de la persona solicitante, así como los principios de sencillez y rapidez establecidos por la Ley de Transparencia y Acceso a la Información Pública del Estado de México y Municipios, en sus artículos 2, fracciones II y III, 21 y 150, a saber:</w:t>
      </w:r>
    </w:p>
    <w:p w14:paraId="0CB8990E" w14:textId="77777777" w:rsidR="005B2976" w:rsidRPr="005E3C9B" w:rsidRDefault="008E7AE9">
      <w:pPr>
        <w:tabs>
          <w:tab w:val="left" w:pos="142"/>
          <w:tab w:val="left" w:pos="284"/>
        </w:tabs>
        <w:spacing w:before="120" w:after="120"/>
        <w:ind w:left="851"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rPr>
        <w:t>“</w:t>
      </w:r>
      <w:r w:rsidRPr="005E3C9B">
        <w:rPr>
          <w:rFonts w:ascii="Palatino Linotype" w:eastAsia="Palatino Linotype" w:hAnsi="Palatino Linotype" w:cs="Palatino Linotype"/>
          <w:b/>
          <w:i/>
          <w:sz w:val="22"/>
          <w:szCs w:val="22"/>
        </w:rPr>
        <w:t xml:space="preserve">Artículo 2. </w:t>
      </w:r>
      <w:r w:rsidRPr="005E3C9B">
        <w:rPr>
          <w:rFonts w:ascii="Palatino Linotype" w:eastAsia="Palatino Linotype" w:hAnsi="Palatino Linotype" w:cs="Palatino Linotype"/>
          <w:i/>
          <w:sz w:val="22"/>
          <w:szCs w:val="22"/>
        </w:rPr>
        <w:t>Son objetivos de esta Ley:</w:t>
      </w:r>
    </w:p>
    <w:p w14:paraId="20D472A6" w14:textId="77777777" w:rsidR="005B2976" w:rsidRPr="005E3C9B" w:rsidRDefault="008E7AE9">
      <w:pPr>
        <w:tabs>
          <w:tab w:val="left" w:pos="142"/>
          <w:tab w:val="left" w:pos="284"/>
        </w:tabs>
        <w:spacing w:before="120" w:after="120"/>
        <w:ind w:left="1134"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113F0580" w14:textId="77777777" w:rsidR="005B2976" w:rsidRPr="005E3C9B" w:rsidRDefault="008E7AE9">
      <w:pPr>
        <w:tabs>
          <w:tab w:val="left" w:pos="142"/>
          <w:tab w:val="left" w:pos="284"/>
        </w:tabs>
        <w:spacing w:before="120" w:after="120"/>
        <w:ind w:left="1134"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II. </w:t>
      </w:r>
      <w:r w:rsidRPr="005E3C9B">
        <w:rPr>
          <w:rFonts w:ascii="Palatino Linotype" w:eastAsia="Palatino Linotype" w:hAnsi="Palatino Linotype" w:cs="Palatino Linotype"/>
          <w:i/>
          <w:sz w:val="22"/>
          <w:szCs w:val="22"/>
        </w:rPr>
        <w:t xml:space="preserve">Proveer lo necesario para garantizar a toda persona el derecho de acceso a la información pública, a través de procedimientos sencillos, expeditos, </w:t>
      </w:r>
      <w:r w:rsidRPr="005E3C9B">
        <w:rPr>
          <w:rFonts w:ascii="Palatino Linotype" w:eastAsia="Palatino Linotype" w:hAnsi="Palatino Linotype" w:cs="Palatino Linotype"/>
          <w:i/>
          <w:sz w:val="22"/>
          <w:szCs w:val="22"/>
        </w:rPr>
        <w:lastRenderedPageBreak/>
        <w:t xml:space="preserve">oportunos y gratuitos, determinando las bases mínimas sobre las cuales se regirán los mismos; </w:t>
      </w:r>
    </w:p>
    <w:p w14:paraId="39C2C602" w14:textId="77777777" w:rsidR="005B2976" w:rsidRPr="005E3C9B" w:rsidRDefault="008E7AE9">
      <w:pPr>
        <w:tabs>
          <w:tab w:val="left" w:pos="142"/>
          <w:tab w:val="left" w:pos="284"/>
        </w:tabs>
        <w:spacing w:before="120" w:after="120"/>
        <w:ind w:left="1134"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Contribuir a la mejora de procedimientos y mecanismos que permitan transparentar la gestión pública y mejorar la toma de decisiones, mediante la difusión de la información que generen los sujetos obligados;</w:t>
      </w:r>
    </w:p>
    <w:p w14:paraId="003311A6" w14:textId="77777777" w:rsidR="005B2976" w:rsidRPr="005E3C9B" w:rsidRDefault="008E7AE9">
      <w:pPr>
        <w:tabs>
          <w:tab w:val="left" w:pos="142"/>
          <w:tab w:val="left" w:pos="284"/>
        </w:tabs>
        <w:spacing w:before="120" w:after="120"/>
        <w:ind w:left="851" w:right="99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w:t>
      </w:r>
    </w:p>
    <w:p w14:paraId="4238B564" w14:textId="77777777" w:rsidR="005B2976" w:rsidRPr="005E3C9B" w:rsidRDefault="008E7AE9">
      <w:pPr>
        <w:tabs>
          <w:tab w:val="left" w:pos="142"/>
          <w:tab w:val="left" w:pos="284"/>
        </w:tabs>
        <w:spacing w:before="120" w:after="120"/>
        <w:ind w:left="851"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21</w:t>
      </w:r>
      <w:r w:rsidRPr="005E3C9B">
        <w:rPr>
          <w:rFonts w:ascii="Palatino Linotype" w:eastAsia="Palatino Linotype" w:hAnsi="Palatino Linotype" w:cs="Palatino Linotype"/>
          <w:i/>
          <w:sz w:val="22"/>
          <w:szCs w:val="22"/>
        </w:rPr>
        <w:t>. Todo procedimiento en materia de derecho de acceso a la información deberá sustanciarse de manera sencilla y expedita, de conformidad con las bases de esta Ley.</w:t>
      </w:r>
    </w:p>
    <w:p w14:paraId="14939DFD" w14:textId="77777777" w:rsidR="005B2976" w:rsidRPr="005E3C9B" w:rsidRDefault="008E7AE9">
      <w:pPr>
        <w:tabs>
          <w:tab w:val="left" w:pos="142"/>
          <w:tab w:val="left" w:pos="284"/>
        </w:tabs>
        <w:spacing w:before="120" w:after="120"/>
        <w:ind w:left="851"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7E20C0E8" w14:textId="77777777" w:rsidR="005B2976" w:rsidRPr="005E3C9B" w:rsidRDefault="008E7AE9">
      <w:pPr>
        <w:tabs>
          <w:tab w:val="left" w:pos="142"/>
          <w:tab w:val="left" w:pos="284"/>
        </w:tabs>
        <w:spacing w:before="120" w:after="120"/>
        <w:ind w:left="851"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150.</w:t>
      </w:r>
      <w:r w:rsidRPr="005E3C9B">
        <w:rPr>
          <w:rFonts w:ascii="Palatino Linotype" w:eastAsia="Palatino Linotype" w:hAnsi="Palatino Linotype" w:cs="Palatino Linotype"/>
          <w:i/>
          <w:sz w:val="22"/>
          <w:szCs w:val="22"/>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99587DB"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Ahora bien, por lo que se refiere a la materia del requerimiento en estudio, es necesario referir que le la lectura del mismo, se infiere que este se refiere a las obligaciones de transparencia comunes y específicas que contempla la Ley de Transparencia y Acceso a la Información Pública del Estado de México y Municipios, en los artículos 92 y 94, que disponen lo siguiente:</w:t>
      </w:r>
    </w:p>
    <w:p w14:paraId="0889B4E7" w14:textId="77777777" w:rsidR="005B2976" w:rsidRPr="005E3C9B" w:rsidRDefault="008E7AE9">
      <w:pPr>
        <w:spacing w:before="120" w:after="120"/>
        <w:ind w:left="851" w:right="900"/>
        <w:jc w:val="center"/>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De las Obligaciones de Transparencia Comunes</w:t>
      </w:r>
    </w:p>
    <w:p w14:paraId="25EDBB51" w14:textId="77777777" w:rsidR="005B2976" w:rsidRPr="005E3C9B" w:rsidRDefault="008E7AE9">
      <w:pP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92.</w:t>
      </w:r>
      <w:r w:rsidRPr="005E3C9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C37CB2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14:paraId="73793789"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0C546E98"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III. Las facultades de cada área; </w:t>
      </w:r>
    </w:p>
    <w:p w14:paraId="1E237F62"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52DA94FD"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V. Los indicadores relacionados con temas de interés público o trascendencia social </w:t>
      </w:r>
      <w:proofErr w:type="gramStart"/>
      <w:r w:rsidRPr="005E3C9B">
        <w:rPr>
          <w:rFonts w:ascii="Palatino Linotype" w:eastAsia="Palatino Linotype" w:hAnsi="Palatino Linotype" w:cs="Palatino Linotype"/>
          <w:i/>
          <w:sz w:val="22"/>
          <w:szCs w:val="22"/>
        </w:rPr>
        <w:t>que</w:t>
      </w:r>
      <w:proofErr w:type="gramEnd"/>
      <w:r w:rsidRPr="005E3C9B">
        <w:rPr>
          <w:rFonts w:ascii="Palatino Linotype" w:eastAsia="Palatino Linotype" w:hAnsi="Palatino Linotype" w:cs="Palatino Linotype"/>
          <w:i/>
          <w:sz w:val="22"/>
          <w:szCs w:val="22"/>
        </w:rPr>
        <w:t xml:space="preserve"> conforme a sus funciones, deban establecer, así como las matrices elaboradas para tal efecto; </w:t>
      </w:r>
    </w:p>
    <w:p w14:paraId="26928534"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VI. Los indicadores que permitan rendir cuenta de sus objetivos y resultados, así como las matrices elaboradas para tal efecto; </w:t>
      </w:r>
    </w:p>
    <w:p w14:paraId="5E0CE6D1"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2FFFD258"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4353B7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IX. Los gastos de representación y viáticos, así como el objeto e informe de comisión correspondiente; </w:t>
      </w:r>
    </w:p>
    <w:p w14:paraId="0936C7E8"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 El número total de las plazas y del personal de base y de confianza, especificando el total de las vacantes, por nivel de puesto, para cada unidad administrativa; </w:t>
      </w:r>
    </w:p>
    <w:p w14:paraId="159FBEF0"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XI. Las contrataciones de servicios profesionales por honorarios, señalando los nombres de los prestadores de servicios, los servicios contratados, el monto de los honorarios y el periodo de contratación;</w:t>
      </w:r>
    </w:p>
    <w:p w14:paraId="2C6CC4BF"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XII. El perfil de los puestos de los servidores públicos a su servicio en los casos que aplique; </w:t>
      </w:r>
    </w:p>
    <w:p w14:paraId="63C498C5"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14:paraId="08259F0D"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26537544"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a) Área; </w:t>
      </w:r>
    </w:p>
    <w:p w14:paraId="6AC6666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b) Denominación del programa; </w:t>
      </w:r>
    </w:p>
    <w:p w14:paraId="5852655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c) Periodo de vigencia; </w:t>
      </w:r>
    </w:p>
    <w:p w14:paraId="6C059264"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d) Diseño, objetivos y alcances; </w:t>
      </w:r>
    </w:p>
    <w:p w14:paraId="2CCDE87C"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 Metas físicas; </w:t>
      </w:r>
    </w:p>
    <w:p w14:paraId="725CB516"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f) Población beneficiada estimada; </w:t>
      </w:r>
    </w:p>
    <w:p w14:paraId="699BF73D"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g) Monto aprobado, modificado y ejercido, así como los calendarios de su programación presupuestal; </w:t>
      </w:r>
    </w:p>
    <w:p w14:paraId="1F68CEE1"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h) Requisitos y procedimientos de acceso; </w:t>
      </w:r>
    </w:p>
    <w:p w14:paraId="12D560E9"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 Procedimiento de queja o inconformidad ciudadana; </w:t>
      </w:r>
    </w:p>
    <w:p w14:paraId="1EF395F3"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j) Mecanismos de exigibilidad; </w:t>
      </w:r>
    </w:p>
    <w:p w14:paraId="01CC53D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k) Mecanismos e informes de evaluación y seguimiento de recomendaciones; </w:t>
      </w:r>
    </w:p>
    <w:p w14:paraId="16B7FF73"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l) Indicadores con nombre, definición, método de cálculo, unidad de medida; dimensión, frecuencia de medición, nombre de las bases de datos utilizadas para su cálculo; </w:t>
      </w:r>
    </w:p>
    <w:p w14:paraId="2BCF8AB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m) Formas de participación social; </w:t>
      </w:r>
    </w:p>
    <w:p w14:paraId="54085D59"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n) Articulación con otros programas sociales; </w:t>
      </w:r>
    </w:p>
    <w:p w14:paraId="5FF2103F"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ñ) Vínculo a las reglas de operación o documento equivalente; </w:t>
      </w:r>
    </w:p>
    <w:p w14:paraId="646636D2"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o) Informes periódicos sobre la ejecución y los resultados de las evaluaciones realizadas; y </w:t>
      </w:r>
    </w:p>
    <w:p w14:paraId="405212BF"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27A5F7E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XV. Agenda de reuniones públicas a las que convoquen los titulares de los sujetos obligados; </w:t>
      </w:r>
    </w:p>
    <w:p w14:paraId="25248D4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XVI. El domicilio de la Unidad de Transparencia y su ubicación, así como el nombre, teléfono oficial y horarios de atención al público de los responsables de las unidades de información; </w:t>
      </w:r>
    </w:p>
    <w:p w14:paraId="064C71ED"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XVII. Dirección electrónica donde podrán recibirse las solicitudes para obtener la información, así como el registro de las solicitudes recibidas y atendidas; </w:t>
      </w:r>
    </w:p>
    <w:p w14:paraId="3DBB4D1E"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XVIII. Las convocatorias a concursos para ocupar cargos públicos y los resultados finales de los mismos; </w:t>
      </w:r>
    </w:p>
    <w:p w14:paraId="558A3E54"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XIX. Índices semestrales en formatos abiertos de los expedientes clasificados como reservados que cada sujeto obligado posee y maneja; </w:t>
      </w:r>
    </w:p>
    <w:p w14:paraId="338612D4"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14:paraId="398D219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764E57C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XXII. El listado de Servidores Públicos con sanciones administrativas definitivas, especificando la causa de sanción y la disposición; </w:t>
      </w:r>
    </w:p>
    <w:p w14:paraId="368A306E"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XXIII. Los servicios que ofrecen señalando los requisitos para acceder a ellos, así como los tiempos de respuesta; </w:t>
      </w:r>
    </w:p>
    <w:p w14:paraId="6E70BC35"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XXIV. Los trámites, requisitos y formatos que ofrecen, así como los tiempos de respuesta; </w:t>
      </w:r>
    </w:p>
    <w:p w14:paraId="75F12BB2"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XXV. </w:t>
      </w:r>
      <w:proofErr w:type="gramStart"/>
      <w:r w:rsidRPr="005E3C9B">
        <w:rPr>
          <w:rFonts w:ascii="Palatino Linotype" w:eastAsia="Palatino Linotype" w:hAnsi="Palatino Linotype" w:cs="Palatino Linotype"/>
          <w:i/>
          <w:sz w:val="22"/>
          <w:szCs w:val="22"/>
        </w:rPr>
        <w:t>La información financiera sobre el presupuesto asignado, así como los informes del ejercicio trimestral del gasto, en términos de la Ley General de Contabilidad Gubernamental y demás disposiciones jurídicas aplicables;</w:t>
      </w:r>
      <w:proofErr w:type="gramEnd"/>
      <w:r w:rsidRPr="005E3C9B">
        <w:rPr>
          <w:rFonts w:ascii="Palatino Linotype" w:eastAsia="Palatino Linotype" w:hAnsi="Palatino Linotype" w:cs="Palatino Linotype"/>
          <w:i/>
          <w:sz w:val="22"/>
          <w:szCs w:val="22"/>
        </w:rPr>
        <w:t xml:space="preserve"> </w:t>
      </w:r>
    </w:p>
    <w:p w14:paraId="402641F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XXVI. La información relativa a la deuda pública, en términos de las disposiciones jurídicas aplicables: Los datos de todos los financiamientos contratados, así como de los movimientos que se efectúen, en la que se incluya: </w:t>
      </w:r>
    </w:p>
    <w:p w14:paraId="16BDE678"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a) Los montos de financiamiento contratados; </w:t>
      </w:r>
    </w:p>
    <w:p w14:paraId="0E3F4A7C"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b) Los plazos; </w:t>
      </w:r>
    </w:p>
    <w:p w14:paraId="2D19361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c) Las tasas de interés; y </w:t>
      </w:r>
    </w:p>
    <w:p w14:paraId="3B3BD470"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d) Las garantías. </w:t>
      </w:r>
    </w:p>
    <w:p w14:paraId="01519140"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XXVII. Los montos destinados a gastos relativos a todos los programas y campañas de comunicación social y publicidad oficial desglosada por tipo de medio, proveedores, número de contrato y concepto; </w:t>
      </w:r>
    </w:p>
    <w:p w14:paraId="313DFF72"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XXVIII. Los informes de resultados de las auditorías al ejercicio presupuestal de cada sujeto obligado que se realicen y, en su caso, las aclaraciones que correspondan; </w:t>
      </w:r>
    </w:p>
    <w:p w14:paraId="327D7EED"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37B0628"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a) De licitaciones públicas o procedimientos de invitación restringida: </w:t>
      </w:r>
    </w:p>
    <w:p w14:paraId="71A7E343"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50C688C6"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2) Los nombres de los participantes o invitados; </w:t>
      </w:r>
    </w:p>
    <w:p w14:paraId="6B79E6B9"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3) El nombre del ganador y las razones que lo justifican; </w:t>
      </w:r>
    </w:p>
    <w:p w14:paraId="3E953C65"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4) El área solicitante y la responsable de su ejecución; </w:t>
      </w:r>
    </w:p>
    <w:p w14:paraId="7E3ACBD3"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5) Las convocatorias e invitaciones emitidas; </w:t>
      </w:r>
    </w:p>
    <w:p w14:paraId="30AA5564"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6) Los dictámenes y fallo de adjudicación; </w:t>
      </w:r>
    </w:p>
    <w:p w14:paraId="119A9AFF"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7) El contrato y, en su caso, sus anexos; </w:t>
      </w:r>
    </w:p>
    <w:p w14:paraId="7338EEEB"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A3295BE"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1A79B47"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10) Origen de los recursos especificando si son federales, estatales o municipales, así como el tipo de fondo de participación o aportación respectiva; </w:t>
      </w:r>
    </w:p>
    <w:p w14:paraId="05FCB2EF"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4A6940E2"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12) Los informes de avance físico y financiero sobre las obras o servicios contratados; </w:t>
      </w:r>
    </w:p>
    <w:p w14:paraId="42EAF192"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13) El convenio de terminación; y </w:t>
      </w:r>
    </w:p>
    <w:p w14:paraId="4A425537"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14) El finiquito.</w:t>
      </w:r>
    </w:p>
    <w:p w14:paraId="6DCBFD63"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b) De las adjudicaciones directas: </w:t>
      </w:r>
    </w:p>
    <w:p w14:paraId="45C4BA12"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 La propuesta enviada por el participante; </w:t>
      </w:r>
    </w:p>
    <w:p w14:paraId="27232F2A"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2) Los motivos y fundamentos legales aplicados para llevarla a cabo; </w:t>
      </w:r>
    </w:p>
    <w:p w14:paraId="0BD523F2"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3) La autorización del ejercicio de la opción; </w:t>
      </w:r>
    </w:p>
    <w:p w14:paraId="0AD0AB8C"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0251C8EB"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5) El nombre de la persona física o jurídica colectiva adjudicada; </w:t>
      </w:r>
    </w:p>
    <w:p w14:paraId="1695958C"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6) La unidad administrativa solicitante y la responsable de su ejecución; </w:t>
      </w:r>
    </w:p>
    <w:p w14:paraId="0396DBDB"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D7D0952"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0DB616F"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9) Los informes de avance sobre las obras o servicios contratados; </w:t>
      </w:r>
    </w:p>
    <w:p w14:paraId="0B35C694"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10) El convenio de terminación; y </w:t>
      </w:r>
    </w:p>
    <w:p w14:paraId="290FDAC8"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11) El finiquito. </w:t>
      </w:r>
    </w:p>
    <w:p w14:paraId="6048FB47"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 El resultado de la dictaminación de los estados financieros; </w:t>
      </w:r>
    </w:p>
    <w:p w14:paraId="6ADCBDB7"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3166F70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5620014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XXXIII. Los informes que por disposición legal generen los sujetos obligados; </w:t>
      </w:r>
    </w:p>
    <w:p w14:paraId="24DE58BD"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XXXIV. Las estadísticas que generen en cumplimiento de sus facultades, competencias o funciones con la mayor desagregación posible; </w:t>
      </w:r>
    </w:p>
    <w:p w14:paraId="00FF10DF"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XXXV. Informes de avances programáticos o presupuestales, balances generales y estado financiero; </w:t>
      </w:r>
    </w:p>
    <w:p w14:paraId="5436F60E"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XXXVI. Padrón de proveedores y contratistas; </w:t>
      </w:r>
    </w:p>
    <w:p w14:paraId="5B8A5605"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XXXVII. Los convenios de coordinación, de concertación, entre otros, que suscriban con otros entes de los sectores público, social y privado; </w:t>
      </w:r>
    </w:p>
    <w:p w14:paraId="6512E870"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XXXVIII. El inventario de bienes muebles e inmuebles en posesión y propiedad; </w:t>
      </w:r>
    </w:p>
    <w:p w14:paraId="216BFCBC"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XXXIX. Las recomendaciones emitidas por los órganos públicos del Estado mexicano u organismos internacionales garantes de los derechos humanos, así como las acciones que han llevado a cabo para su atención; </w:t>
      </w:r>
    </w:p>
    <w:p w14:paraId="46CB8F4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 Las resoluciones y laudos que se emitan en procesos o procedimientos seguidos en forma de juicio; </w:t>
      </w:r>
    </w:p>
    <w:p w14:paraId="0A44DF4E"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XLI. Los mecanismos de participación ciudadana en los procesos de elaboración, implementación y evaluación de políticas públicas y toma de decisiones y demás mecanismos de participación; </w:t>
      </w:r>
    </w:p>
    <w:p w14:paraId="0F376983"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XLII. Los programas que ofrecen, incluyendo información sobre la población, objetivo y destino, tiempos de respuesta, requisitos y formatos para acceder a los mismos; </w:t>
      </w:r>
    </w:p>
    <w:p w14:paraId="5BD78694"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XLIII. Las actas y resoluciones del Comité de Transparencia de los sujetos obligados; </w:t>
      </w:r>
    </w:p>
    <w:p w14:paraId="7652BA3F"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XLIV. Todas las evaluaciones y encuestas que hagan los sujetos obligados a programas financiados con recursos públicos;</w:t>
      </w:r>
    </w:p>
    <w:p w14:paraId="5EC004F6"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XLV. Los estudios financiados con recursos públicos; </w:t>
      </w:r>
    </w:p>
    <w:p w14:paraId="078B37CC"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XLVI. El listado de jubilados y pensionados y el monto que reciben; </w:t>
      </w:r>
    </w:p>
    <w:p w14:paraId="02E84C34"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XLVII. Los ingresos recibidos por cualquier concepto señalando el nombre de los responsables de recibirlos, administrarlos y ejercerlos, indicando el destino de cada uno de ellos; </w:t>
      </w:r>
    </w:p>
    <w:p w14:paraId="24C0181F"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XLVIII. Donaciones hechas a terceros en dinero o en especie; </w:t>
      </w:r>
    </w:p>
    <w:p w14:paraId="786A1DB3"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XLIX. El catálogo de disposición y guía de archivo documental; </w:t>
      </w:r>
    </w:p>
    <w:p w14:paraId="1A0254F7"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L. Las actas de sesiones ordinarias y extraordinarias, así como las opiniones y recomendaciones de los consejos consultivos; </w:t>
      </w:r>
    </w:p>
    <w:p w14:paraId="668241CC"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 </w:t>
      </w:r>
    </w:p>
    <w:p w14:paraId="2E23268C"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LII. Cualquier otra información que sea de utilidad o se considere relevante, además de la que, con base en la información estadística, responda a las preguntas hechas con más frecuencia por el público”</w:t>
      </w:r>
    </w:p>
    <w:p w14:paraId="158A90DE" w14:textId="77777777" w:rsidR="005B2976" w:rsidRPr="005E3C9B" w:rsidRDefault="008E7AE9">
      <w:pPr>
        <w:spacing w:before="120" w:after="120"/>
        <w:ind w:left="851" w:right="900"/>
        <w:jc w:val="center"/>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De las Obligaciones de Transparencia Específicas de</w:t>
      </w:r>
    </w:p>
    <w:p w14:paraId="7FE45D7A" w14:textId="77777777" w:rsidR="005B2976" w:rsidRPr="005E3C9B" w:rsidRDefault="008E7AE9">
      <w:pPr>
        <w:spacing w:before="120" w:after="120"/>
        <w:ind w:left="851" w:right="900"/>
        <w:jc w:val="center"/>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los Sujetos Obligados</w:t>
      </w:r>
    </w:p>
    <w:p w14:paraId="76E30070" w14:textId="77777777" w:rsidR="005B2976" w:rsidRPr="005E3C9B" w:rsidRDefault="008E7AE9">
      <w:pP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94.</w:t>
      </w:r>
      <w:r w:rsidRPr="005E3C9B">
        <w:rPr>
          <w:rFonts w:ascii="Palatino Linotype" w:eastAsia="Palatino Linotype" w:hAnsi="Palatino Linotype" w:cs="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7D94B0E9"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 En el caso del Poder Ejecutivo y los Municipios, en el ámbito de su competencia: </w:t>
      </w:r>
    </w:p>
    <w:p w14:paraId="4C53CDF5"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a) El Plan Estatal de Desarrollo y Plan de Desarrollo Municipal; </w:t>
      </w:r>
    </w:p>
    <w:p w14:paraId="46111ED3"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b) El presupuesto de egresos y las fórmulas de distribución de los recursos otorgados; </w:t>
      </w:r>
    </w:p>
    <w:p w14:paraId="19D850EF"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c) El listado de expropiaciones decretadas y ejecutadas que incluya, cuando menos, la fecha de expropiación, el domicilio y la causa de utilidad pública y las ocupaciones superficiales; Ley de Transparencia y Acceso a la Información Pública del Estado de México y Municipios 93 </w:t>
      </w:r>
    </w:p>
    <w:p w14:paraId="1AA590DB"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d) El nombre, denominación o razón social y clave del registro federal de los contribuyentes a los que se les hubiera cancelado o condonado algún </w:t>
      </w:r>
      <w:r w:rsidRPr="005E3C9B">
        <w:rPr>
          <w:rFonts w:ascii="Palatino Linotype" w:eastAsia="Palatino Linotype" w:hAnsi="Palatino Linotype" w:cs="Palatino Linotype"/>
          <w:i/>
          <w:sz w:val="22"/>
          <w:szCs w:val="22"/>
        </w:rPr>
        <w:lastRenderedPageBreak/>
        <w:t xml:space="preserve">crédito fiscal local o municipal, así como los montos respectivos. Asimismo, la información estadística sobre las exenciones previstas en las disposiciones fiscales; </w:t>
      </w:r>
    </w:p>
    <w:p w14:paraId="5CB2E598"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561ECF5C"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f) La información detallada que contengan los planes de desarrollo urbano, ordenamiento territorial y ecológico, los tipos y usos de suelo, licencias de uso y construcción otorgadas por los gobiernos municipales; </w:t>
      </w:r>
    </w:p>
    <w:p w14:paraId="7705DFC6"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14:paraId="3766A997"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h) 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 </w:t>
      </w:r>
    </w:p>
    <w:p w14:paraId="7884C6AA"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 Por conducto de la autoridad educativa de la Entidad: El calendario del ciclo escolar; directorio de escuelas públicas incorporadas al Sistema Educativo Estatal; la lista de útiles escolares básicos por </w:t>
      </w:r>
      <w:proofErr w:type="spellStart"/>
      <w:r w:rsidRPr="005E3C9B">
        <w:rPr>
          <w:rFonts w:ascii="Palatino Linotype" w:eastAsia="Palatino Linotype" w:hAnsi="Palatino Linotype" w:cs="Palatino Linotype"/>
          <w:i/>
          <w:sz w:val="22"/>
          <w:szCs w:val="22"/>
        </w:rPr>
        <w:t>Infoem</w:t>
      </w:r>
      <w:proofErr w:type="spellEnd"/>
      <w:r w:rsidRPr="005E3C9B">
        <w:rPr>
          <w:rFonts w:ascii="Palatino Linotype" w:eastAsia="Palatino Linotype" w:hAnsi="Palatino Linotype" w:cs="Palatino Linotype"/>
          <w:i/>
          <w:sz w:val="22"/>
          <w:szCs w:val="22"/>
        </w:rPr>
        <w:t xml:space="preserve"> 94 nivel educativo; el Directorio de bibliotecas públicas incluyendo horarios, el domicilio, teléfonos, correo electrónico, requisitos de consulta, reglamento y sitio electrónico, en su caso; </w:t>
      </w:r>
    </w:p>
    <w:p w14:paraId="18C66C89"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j) En materia de protección civil el atlas estatal de riesgos, por municipio; y </w:t>
      </w:r>
    </w:p>
    <w:p w14:paraId="0F3E7227"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k) La información que sea de utilidad o resulte relevante para el conocimiento y evaluación de las funciones y políticas públicas implementadas por el Poder Ejecutivo. </w:t>
      </w:r>
    </w:p>
    <w:p w14:paraId="69AE065A"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II. Adicionalmente en el caso de los municipios: </w:t>
      </w:r>
    </w:p>
    <w:p w14:paraId="54368FC6"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 xml:space="preserve">a) El contenido de las gacetas municipales, las cuales deberán comprender los resolutivos y acuerdos aprobados por los ayuntamientos; </w:t>
      </w:r>
    </w:p>
    <w:p w14:paraId="4C367A0B"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b) Las actas de sesiones de cabildo, los controles de asistencia de los integrantes del Ayuntamiento a las sesiones de cabildo y el sentido de votación de los miembros del cabildo sobre las iniciativas o acuerdos; </w:t>
      </w:r>
    </w:p>
    <w:p w14:paraId="60F4CD0A"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c) Los Participaciones y Aportaciones derivadas de la Ley de Coordinación Fiscal; y </w:t>
      </w:r>
    </w:p>
    <w:p w14:paraId="2A6AD8B1" w14:textId="77777777" w:rsidR="005B2976" w:rsidRPr="005E3C9B" w:rsidRDefault="008E7AE9">
      <w:pPr>
        <w:spacing w:before="120" w:after="120"/>
        <w:ind w:left="1418"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d) Los recursos federales establecidos en el Título Segundo. Del Federalismo del Presupuesto de Egresos de la Federación en sus conceptos de: </w:t>
      </w:r>
    </w:p>
    <w:p w14:paraId="6007D2E5"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a. Subsidios federales; y </w:t>
      </w:r>
    </w:p>
    <w:p w14:paraId="273277CE" w14:textId="77777777" w:rsidR="005B2976" w:rsidRPr="005E3C9B" w:rsidRDefault="008E7AE9">
      <w:pPr>
        <w:spacing w:before="120" w:after="120"/>
        <w:ind w:left="170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b. Recursos del Ramo 23. Provisiones Salariales y Económicas”</w:t>
      </w:r>
    </w:p>
    <w:p w14:paraId="562AE0CB"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Corolario a lo anterior, se estima que el requerimiento de información en análisis ha quedado satisfecho, dado que la Unidad de Transparencia manifestó que </w:t>
      </w:r>
      <w:r w:rsidRPr="005E3C9B">
        <w:rPr>
          <w:rFonts w:ascii="Palatino Linotype" w:eastAsia="Palatino Linotype" w:hAnsi="Palatino Linotype" w:cs="Palatino Linotype"/>
          <w:b/>
        </w:rPr>
        <w:t xml:space="preserve">en materia de transparencia, </w:t>
      </w:r>
      <w:r w:rsidRPr="005E3C9B">
        <w:rPr>
          <w:rFonts w:ascii="Palatino Linotype" w:eastAsia="Palatino Linotype" w:hAnsi="Palatino Linotype" w:cs="Palatino Linotype"/>
        </w:rPr>
        <w:t>el</w:t>
      </w:r>
      <w:r w:rsidRPr="005E3C9B">
        <w:rPr>
          <w:rFonts w:ascii="Palatino Linotype" w:eastAsia="Palatino Linotype" w:hAnsi="Palatino Linotype" w:cs="Palatino Linotype"/>
          <w:b/>
        </w:rPr>
        <w:t xml:space="preserve"> Sujeto Obligado </w:t>
      </w:r>
      <w:r w:rsidRPr="005E3C9B">
        <w:rPr>
          <w:rFonts w:ascii="Palatino Linotype" w:eastAsia="Palatino Linotype" w:hAnsi="Palatino Linotype" w:cs="Palatino Linotype"/>
          <w:b/>
          <w:u w:val="single"/>
        </w:rPr>
        <w:t>cumple con lo establecido en la Ley de Transparencia y Acceso a la Información Pública del Estado de México y Municipios, en los artículos 92 y 94,</w:t>
      </w:r>
      <w:r w:rsidRPr="005E3C9B">
        <w:rPr>
          <w:rFonts w:ascii="Palatino Linotype" w:eastAsia="Palatino Linotype" w:hAnsi="Palatino Linotype" w:cs="Palatino Linotype"/>
          <w:b/>
        </w:rPr>
        <w:t xml:space="preserve"> cuyo cumplimiento se puede constatar en los resultados de las verificaciones oficiosas, </w:t>
      </w:r>
      <w:r w:rsidRPr="005E3C9B">
        <w:rPr>
          <w:rFonts w:ascii="Palatino Linotype" w:eastAsia="Palatino Linotype" w:hAnsi="Palatino Linotype" w:cs="Palatino Linotype"/>
        </w:rPr>
        <w:t>al ser información que también se requiere en la solicitud, así mismo cumple con las demás disposiciones establecidas en la normatividad aplicable.</w:t>
      </w:r>
    </w:p>
    <w:p w14:paraId="45FEA61C"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Finalmente, por lo que se refiere al punto </w:t>
      </w:r>
      <w:r w:rsidRPr="005E3C9B">
        <w:rPr>
          <w:rFonts w:ascii="Palatino Linotype" w:eastAsia="Palatino Linotype" w:hAnsi="Palatino Linotype" w:cs="Palatino Linotype"/>
          <w:b/>
        </w:rPr>
        <w:t>15,</w:t>
      </w:r>
      <w:r w:rsidRPr="005E3C9B">
        <w:rPr>
          <w:rFonts w:ascii="Palatino Linotype" w:eastAsia="Palatino Linotype" w:hAnsi="Palatino Linotype" w:cs="Palatino Linotype"/>
        </w:rPr>
        <w:t xml:space="preserve"> mediante el cual se solicitaron las acciones que se han generado en el tema de transparencia proactiva, en los últimos tres años, es oportuno traer a colación el contenido de los artículos 3, fracción XLII, 53, fracción XI, de la Ley de Transparencia y Acceso a la Información Pública del Estado de México y Municipios, a saber:</w:t>
      </w:r>
    </w:p>
    <w:p w14:paraId="55375C42"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Artículo 3</w:t>
      </w:r>
      <w:r w:rsidRPr="005E3C9B">
        <w:rPr>
          <w:rFonts w:ascii="Palatino Linotype" w:eastAsia="Palatino Linotype" w:hAnsi="Palatino Linotype" w:cs="Palatino Linotype"/>
          <w:i/>
          <w:sz w:val="22"/>
          <w:szCs w:val="22"/>
        </w:rPr>
        <w:t>. Para los efectos de la presente Ley se entenderá por:</w:t>
      </w:r>
    </w:p>
    <w:p w14:paraId="47DB32E2"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w:t>
      </w:r>
    </w:p>
    <w:p w14:paraId="3F3BD8F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XLII. Transparencia proactiva</w:t>
      </w:r>
      <w:r w:rsidRPr="005E3C9B">
        <w:rPr>
          <w:rFonts w:ascii="Palatino Linotype" w:eastAsia="Palatino Linotype" w:hAnsi="Palatino Linotype" w:cs="Palatino Linotype"/>
          <w:i/>
          <w:sz w:val="22"/>
          <w:szCs w:val="22"/>
        </w:rPr>
        <w:t>: Conjunto de actividades e iniciativas ordenadas que van más allá de las obligaciones que marca esta Ley y, 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w:t>
      </w:r>
    </w:p>
    <w:p w14:paraId="75FEBBBD"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48753D37"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53</w:t>
      </w:r>
      <w:r w:rsidRPr="005E3C9B">
        <w:rPr>
          <w:rFonts w:ascii="Palatino Linotype" w:eastAsia="Palatino Linotype" w:hAnsi="Palatino Linotype" w:cs="Palatino Linotype"/>
          <w:i/>
          <w:sz w:val="22"/>
          <w:szCs w:val="22"/>
        </w:rPr>
        <w:t>. Las Unidades de Transparencia tendrán las siguientes funciones:</w:t>
      </w:r>
    </w:p>
    <w:p w14:paraId="54BA550D"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0B5DA70C"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XI.</w:t>
      </w:r>
      <w:r w:rsidRPr="005E3C9B">
        <w:rPr>
          <w:rFonts w:ascii="Palatino Linotype" w:eastAsia="Palatino Linotype" w:hAnsi="Palatino Linotype" w:cs="Palatino Linotype"/>
          <w:i/>
          <w:sz w:val="22"/>
          <w:szCs w:val="22"/>
        </w:rPr>
        <w:t xml:space="preserve"> Promover e implementar políticas de transparencia proactiva procurando su accesibilidad;</w:t>
      </w:r>
    </w:p>
    <w:p w14:paraId="22DE2A3D"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En este sentido, la transparencia proactiva puede definirse como el conjunto de actividades que promueven la identificación, generación, publicación y difusión de información adicional o complementaria a la establecida con carácter obligatorio por la Ley de Transparencia y Acceso a la Información Pública del Estado de México y Municipios, en otras palabras, es una práctica que busca ir más allá de las obligaciones legales, ofreciendo información útil, relevante, de calidad para la sociedad, la cual debe ser accesible, esto es, fácil de encontrar, comprender y reutilizar, preferiblemente en formatos abiertos y digitales, con el propósito de optimizar los tiempos de respuesta y fortalecer la rendición de cuentas, por lo que la implementación efectiva de la transparencia proactiva contribuye a una gestión pública más abierta, eficiente y cercana a la ciudadanía.</w:t>
      </w:r>
    </w:p>
    <w:p w14:paraId="40072673"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La atribución de promover e implementar políticas de transparencia proactiva se le confiere a las Unidades de Transparencia.</w:t>
      </w:r>
    </w:p>
    <w:p w14:paraId="6D5ADDC5"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Ahora bien, en el presente caso, la Unidad de Transparencia, en la etapa de manifestaciones refirió que de la búsqueda en los archivos digitales a su cargo, sólo se encontró como evidencia en tema de transparencia proactiva, </w:t>
      </w:r>
      <w:r w:rsidRPr="005E3C9B">
        <w:rPr>
          <w:rFonts w:ascii="Palatino Linotype" w:eastAsia="Palatino Linotype" w:hAnsi="Palatino Linotype" w:cs="Palatino Linotype"/>
          <w:b/>
        </w:rPr>
        <w:t>el uso de redes sociales para informar a la ciudadanía sobre la toma de decisiones, trámites, servicios, convocatorias, programas, etcétera</w:t>
      </w:r>
      <w:r w:rsidRPr="005E3C9B">
        <w:rPr>
          <w:rFonts w:ascii="Palatino Linotype" w:eastAsia="Palatino Linotype" w:hAnsi="Palatino Linotype" w:cs="Palatino Linotype"/>
        </w:rPr>
        <w:t>; y agregó, de manera ejemplificativa, la captura de pantalla donde se advierte la infografía de los tramites que brinda la Oficialía móvil del Ayuntamiento y del trámite de Cartilla Militar.</w:t>
      </w:r>
    </w:p>
    <w:p w14:paraId="51FAC028"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Atento a lo anterior, debe precisarse que la implementación de políticas de transparencia proactiva, si bien es altamente recomendada y promovida activamente por este Instituto para mejorar la rendición de cuentas y fortalecer la confianza pública, </w:t>
      </w:r>
      <w:r w:rsidRPr="005E3C9B">
        <w:rPr>
          <w:rFonts w:ascii="Palatino Linotype" w:eastAsia="Palatino Linotype" w:hAnsi="Palatino Linotype" w:cs="Palatino Linotype"/>
          <w:b/>
          <w:u w:val="single"/>
        </w:rPr>
        <w:t>no es obligatoria para los Sujetos Obligados</w:t>
      </w:r>
      <w:r w:rsidRPr="005E3C9B">
        <w:rPr>
          <w:rFonts w:ascii="Palatino Linotype" w:eastAsia="Palatino Linotype" w:hAnsi="Palatino Linotype" w:cs="Palatino Linotype"/>
        </w:rPr>
        <w:t xml:space="preserve">, sino que </w:t>
      </w:r>
      <w:r w:rsidRPr="005E3C9B">
        <w:rPr>
          <w:rFonts w:ascii="Palatino Linotype" w:eastAsia="Palatino Linotype" w:hAnsi="Palatino Linotype" w:cs="Palatino Linotype"/>
          <w:b/>
          <w:u w:val="single"/>
        </w:rPr>
        <w:t>es una facultad potestativa que queda a discreción de estos</w:t>
      </w:r>
      <w:r w:rsidRPr="005E3C9B">
        <w:rPr>
          <w:rFonts w:ascii="Palatino Linotype" w:eastAsia="Palatino Linotype" w:hAnsi="Palatino Linotype" w:cs="Palatino Linotype"/>
        </w:rPr>
        <w:t>, atendiendo a sus condiciones particulares, como por ejemplo la disposición presupuestal.</w:t>
      </w:r>
    </w:p>
    <w:p w14:paraId="1BAAA676"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Por consiguiente, dado que no se advierte que la persona solicitante pretenda acceder a un documento, se estima que el pronunciamiento de la Unidad de Transparencia es suficiente para tener por satisfecho el requerimiento de información en estudio, puesto que en el mismo refiere como acción en materia de transparencia proactiva, el uso de sus redes sociales como medio para mantener informada a la ciudadanía sobre la toma de decisiones,  los trámites y servicios que brinda, las convocatorias que emite, así como los programas que oferta.</w:t>
      </w:r>
    </w:p>
    <w:p w14:paraId="7CC0ADDE" w14:textId="77777777" w:rsidR="005B2976" w:rsidRPr="005E3C9B" w:rsidRDefault="008E7A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lo hasta aquí expuesto, se concluye que los motivos de inconformidad de la parte </w:t>
      </w:r>
      <w:r w:rsidRPr="005E3C9B">
        <w:rPr>
          <w:rFonts w:ascii="Palatino Linotype" w:eastAsia="Palatino Linotype" w:hAnsi="Palatino Linotype" w:cs="Palatino Linotype"/>
          <w:b/>
        </w:rPr>
        <w:t xml:space="preserve">Recurrente </w:t>
      </w:r>
      <w:r w:rsidRPr="005E3C9B">
        <w:rPr>
          <w:rFonts w:ascii="Palatino Linotype" w:eastAsia="Palatino Linotype" w:hAnsi="Palatino Linotype" w:cs="Palatino Linotype"/>
        </w:rPr>
        <w:t xml:space="preserve">devienen parcialmente, siendo procedente </w:t>
      </w:r>
      <w:r w:rsidRPr="005E3C9B">
        <w:rPr>
          <w:rFonts w:ascii="Palatino Linotype" w:eastAsia="Palatino Linotype" w:hAnsi="Palatino Linotype" w:cs="Palatino Linotype"/>
          <w:i/>
        </w:rPr>
        <w:t xml:space="preserve">Modificar </w:t>
      </w:r>
      <w:r w:rsidRPr="005E3C9B">
        <w:rPr>
          <w:rFonts w:ascii="Palatino Linotype" w:eastAsia="Palatino Linotype" w:hAnsi="Palatino Linotype" w:cs="Palatino Linotype"/>
        </w:rPr>
        <w:t xml:space="preserve">la respuesta </w:t>
      </w:r>
      <w:r w:rsidRPr="005E3C9B">
        <w:rPr>
          <w:rFonts w:ascii="Palatino Linotype" w:eastAsia="Palatino Linotype" w:hAnsi="Palatino Linotype" w:cs="Palatino Linotype"/>
        </w:rPr>
        <w:lastRenderedPageBreak/>
        <w:t xml:space="preserve">proporcionada por el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6DB15EA"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Quinto. Versión Pública. </w:t>
      </w:r>
      <w:r w:rsidRPr="005E3C9B">
        <w:rPr>
          <w:rFonts w:ascii="Palatino Linotype" w:eastAsia="Palatino Linotype" w:hAnsi="Palatino Linotype" w:cs="Palatino Linotype"/>
        </w:rPr>
        <w:t>Como fue debidamente apuntado,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DE453A7"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B69F67F"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B225542"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3F2D86C4"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rPr>
        <w:lastRenderedPageBreak/>
        <w:t> </w:t>
      </w: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3.</w:t>
      </w:r>
      <w:r w:rsidRPr="005E3C9B">
        <w:rPr>
          <w:rFonts w:ascii="Palatino Linotype" w:eastAsia="Palatino Linotype" w:hAnsi="Palatino Linotype" w:cs="Palatino Linotype"/>
          <w:i/>
          <w:sz w:val="22"/>
          <w:szCs w:val="22"/>
        </w:rPr>
        <w:t xml:space="preserve"> Para los efectos de la presente Ley se entenderá por:</w:t>
      </w:r>
    </w:p>
    <w:p w14:paraId="5097D31C"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6B8AC511"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IX. Datos personales</w:t>
      </w:r>
      <w:r w:rsidRPr="005E3C9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5B70C98"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1A6B00F5"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XX. Información clasificada</w:t>
      </w:r>
      <w:r w:rsidRPr="005E3C9B">
        <w:rPr>
          <w:rFonts w:ascii="Palatino Linotype" w:eastAsia="Palatino Linotype" w:hAnsi="Palatino Linotype" w:cs="Palatino Linotype"/>
          <w:i/>
          <w:sz w:val="22"/>
          <w:szCs w:val="22"/>
        </w:rPr>
        <w:t>: Aquella considerada por la presente Ley como reservada o confidencial;</w:t>
      </w:r>
    </w:p>
    <w:p w14:paraId="16107366"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XXI. Información confidencial</w:t>
      </w:r>
      <w:r w:rsidRPr="005E3C9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27D2F8"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62D52F6F"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XXXII. Protección de Datos Personales</w:t>
      </w:r>
      <w:r w:rsidRPr="005E3C9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789B022"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6836D706" w14:textId="77777777" w:rsidR="005B2976" w:rsidRPr="005E3C9B" w:rsidRDefault="008E7AE9">
      <w:pPr>
        <w:tabs>
          <w:tab w:val="left" w:pos="1276"/>
        </w:tabs>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XLV. Versión pública</w:t>
      </w:r>
      <w:r w:rsidRPr="005E3C9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AE3F6BF"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Artículo 6</w:t>
      </w:r>
      <w:r w:rsidRPr="005E3C9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67DB0A3"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0EEE4059"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91.</w:t>
      </w:r>
      <w:r w:rsidRPr="005E3C9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E3C9B">
        <w:rPr>
          <w:rFonts w:ascii="Palatino Linotype" w:eastAsia="Palatino Linotype" w:hAnsi="Palatino Linotype" w:cs="Palatino Linotype"/>
          <w:i/>
          <w:sz w:val="22"/>
          <w:szCs w:val="22"/>
        </w:rPr>
        <w:br/>
        <w:t>…</w:t>
      </w:r>
    </w:p>
    <w:p w14:paraId="652755B8"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132.</w:t>
      </w:r>
      <w:r w:rsidRPr="005E3C9B">
        <w:rPr>
          <w:rFonts w:ascii="Palatino Linotype" w:eastAsia="Palatino Linotype" w:hAnsi="Palatino Linotype" w:cs="Palatino Linotype"/>
          <w:i/>
          <w:sz w:val="22"/>
          <w:szCs w:val="22"/>
        </w:rPr>
        <w:t xml:space="preserve"> La clasificación de la información se llevará a cabo en el momento en que:</w:t>
      </w:r>
    </w:p>
    <w:p w14:paraId="3110674F"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lastRenderedPageBreak/>
        <w:t>I</w:t>
      </w:r>
      <w:r w:rsidRPr="005E3C9B">
        <w:rPr>
          <w:rFonts w:ascii="Palatino Linotype" w:eastAsia="Palatino Linotype" w:hAnsi="Palatino Linotype" w:cs="Palatino Linotype"/>
          <w:i/>
          <w:sz w:val="22"/>
          <w:szCs w:val="22"/>
        </w:rPr>
        <w:t>. Se reciba una solicitud de acceso a la información;</w:t>
      </w:r>
    </w:p>
    <w:p w14:paraId="5D581804"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xml:space="preserve"> Se determine mediante resolución de autoridad competente; o</w:t>
      </w:r>
    </w:p>
    <w:p w14:paraId="179E34E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B5F9D5E"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w:t>
      </w:r>
    </w:p>
    <w:p w14:paraId="0E24DBC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137.</w:t>
      </w:r>
      <w:r w:rsidRPr="005E3C9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0FC60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Artículo 143.</w:t>
      </w:r>
      <w:r w:rsidRPr="005E3C9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32C8328"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DB09177" w14:textId="77777777" w:rsidR="005B2976" w:rsidRPr="005E3C9B" w:rsidRDefault="008E7AE9">
      <w:pPr>
        <w:spacing w:before="240" w:after="240" w:line="360" w:lineRule="auto"/>
        <w:ind w:right="50"/>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9C9467D" w14:textId="77777777" w:rsidR="005B2976" w:rsidRPr="005E3C9B" w:rsidRDefault="008E7AE9">
      <w:pPr>
        <w:spacing w:before="240" w:after="240" w:line="360" w:lineRule="auto"/>
        <w:ind w:right="50"/>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9A21575"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E3C9B">
        <w:rPr>
          <w:rFonts w:ascii="Palatino Linotype" w:eastAsia="Palatino Linotype" w:hAnsi="Palatino Linotype" w:cs="Palatino Linotype"/>
          <w:b/>
        </w:rPr>
        <w:t>Registro Federal de Contribuyentes</w:t>
      </w:r>
      <w:r w:rsidRPr="005E3C9B">
        <w:rPr>
          <w:rFonts w:ascii="Palatino Linotype" w:eastAsia="Palatino Linotype" w:hAnsi="Palatino Linotype" w:cs="Palatino Linotype"/>
        </w:rPr>
        <w:t xml:space="preserve"> (RFC), la </w:t>
      </w:r>
      <w:r w:rsidRPr="005E3C9B">
        <w:rPr>
          <w:rFonts w:ascii="Palatino Linotype" w:eastAsia="Palatino Linotype" w:hAnsi="Palatino Linotype" w:cs="Palatino Linotype"/>
          <w:b/>
        </w:rPr>
        <w:t>Clave Única de Registro de Población</w:t>
      </w:r>
      <w:r w:rsidRPr="005E3C9B">
        <w:rPr>
          <w:rFonts w:ascii="Palatino Linotype" w:eastAsia="Palatino Linotype" w:hAnsi="Palatino Linotype" w:cs="Palatino Linotype"/>
        </w:rPr>
        <w:t xml:space="preserve"> (CURP), la </w:t>
      </w:r>
      <w:r w:rsidRPr="005E3C9B">
        <w:rPr>
          <w:rFonts w:ascii="Palatino Linotype" w:eastAsia="Palatino Linotype" w:hAnsi="Palatino Linotype" w:cs="Palatino Linotype"/>
          <w:b/>
        </w:rPr>
        <w:t>Clave de cualquier tipo de seguridad social</w:t>
      </w:r>
      <w:r w:rsidRPr="005E3C9B">
        <w:rPr>
          <w:rFonts w:ascii="Palatino Linotype" w:eastAsia="Palatino Linotype" w:hAnsi="Palatino Linotype" w:cs="Palatino Linotype"/>
        </w:rPr>
        <w:t xml:space="preserve"> (ISSEMYM, u otros), los </w:t>
      </w:r>
      <w:r w:rsidRPr="005E3C9B">
        <w:rPr>
          <w:rFonts w:ascii="Palatino Linotype" w:eastAsia="Palatino Linotype" w:hAnsi="Palatino Linotype" w:cs="Palatino Linotype"/>
          <w:b/>
        </w:rPr>
        <w:t>números de cuentas bancarias</w:t>
      </w:r>
      <w:r w:rsidRPr="005E3C9B">
        <w:rPr>
          <w:rFonts w:ascii="Palatino Linotype" w:eastAsia="Palatino Linotype" w:hAnsi="Palatino Linotype" w:cs="Palatino Linotype"/>
        </w:rPr>
        <w:t xml:space="preserve">, claves estandarizadas – interbancarias - (CLABES) y de tarjetas, los </w:t>
      </w:r>
      <w:r w:rsidRPr="005E3C9B">
        <w:rPr>
          <w:rFonts w:ascii="Palatino Linotype" w:eastAsia="Palatino Linotype" w:hAnsi="Palatino Linotype" w:cs="Palatino Linotype"/>
          <w:b/>
        </w:rPr>
        <w:t>préstamos o descuentos</w:t>
      </w:r>
      <w:r w:rsidRPr="005E3C9B">
        <w:rPr>
          <w:rFonts w:ascii="Palatino Linotype" w:eastAsia="Palatino Linotype" w:hAnsi="Palatino Linotype" w:cs="Palatino Linotype"/>
        </w:rPr>
        <w:t xml:space="preserve"> que se le hagan a la persona y que no tengan relación con los impuestos o la cuota por seguridad social, el</w:t>
      </w:r>
      <w:r w:rsidRPr="005E3C9B">
        <w:rPr>
          <w:rFonts w:ascii="Palatino Linotype" w:eastAsia="Palatino Linotype" w:hAnsi="Palatino Linotype" w:cs="Palatino Linotype"/>
          <w:b/>
        </w:rPr>
        <w:t xml:space="preserve"> número de empleado, </w:t>
      </w:r>
      <w:r w:rsidRPr="005E3C9B">
        <w:rPr>
          <w:rFonts w:ascii="Palatino Linotype" w:eastAsia="Palatino Linotype" w:hAnsi="Palatino Linotype" w:cs="Palatino Linotype"/>
        </w:rPr>
        <w:t>y cualquier información de carácter fiscal.</w:t>
      </w:r>
    </w:p>
    <w:p w14:paraId="6A1E007E" w14:textId="77777777" w:rsidR="005B2976" w:rsidRPr="005E3C9B" w:rsidRDefault="008E7AE9">
      <w:pPr>
        <w:spacing w:before="240" w:after="240" w:line="360" w:lineRule="auto"/>
        <w:ind w:right="50"/>
        <w:jc w:val="both"/>
        <w:rPr>
          <w:rFonts w:ascii="Palatino Linotype" w:eastAsia="Palatino Linotype" w:hAnsi="Palatino Linotype" w:cs="Palatino Linotype"/>
        </w:rPr>
      </w:pPr>
      <w:r w:rsidRPr="005E3C9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C05DD8F"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Por cuanto hace al </w:t>
      </w:r>
      <w:r w:rsidRPr="005E3C9B">
        <w:rPr>
          <w:rFonts w:ascii="Palatino Linotype" w:eastAsia="Palatino Linotype" w:hAnsi="Palatino Linotype" w:cs="Palatino Linotype"/>
          <w:b/>
        </w:rPr>
        <w:t>Registro Federal de Contribuyentes, RFC,</w:t>
      </w:r>
      <w:r w:rsidRPr="005E3C9B">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5E3C9B">
        <w:rPr>
          <w:rFonts w:ascii="Palatino Linotype" w:eastAsia="Palatino Linotype" w:hAnsi="Palatino Linotype" w:cs="Palatino Linotype"/>
        </w:rPr>
        <w:t>homoclave</w:t>
      </w:r>
      <w:proofErr w:type="spellEnd"/>
      <w:r w:rsidRPr="005E3C9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28116D20"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94249D"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9" w:name="_heading=h.26in1rg" w:colFirst="0" w:colLast="0"/>
      <w:bookmarkEnd w:id="9"/>
      <w:r w:rsidRPr="005E3C9B">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314D798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 “Registro Federal de Contribuyentes (RFC) de personas físicas</w:t>
      </w:r>
      <w:r w:rsidRPr="005E3C9B">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43BBF08"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5E3C9B">
        <w:rPr>
          <w:rFonts w:ascii="Palatino Linotype" w:eastAsia="Palatino Linotype" w:hAnsi="Palatino Linotype" w:cs="Palatino Linotype"/>
        </w:rPr>
        <w:t>homoclave</w:t>
      </w:r>
      <w:proofErr w:type="spellEnd"/>
      <w:r w:rsidRPr="005E3C9B">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5E3C9B">
        <w:rPr>
          <w:rFonts w:ascii="Palatino Linotype" w:eastAsia="Palatino Linotype" w:hAnsi="Palatino Linotype" w:cs="Palatino Linotype"/>
        </w:rPr>
        <w:lastRenderedPageBreak/>
        <w:t>de México y Municipios, y  4 fracciones XI y XII de la Ley de Protección de Datos Personales en Posesión de los Sujetos Obligados del Estado de México y Municipios.</w:t>
      </w:r>
    </w:p>
    <w:p w14:paraId="031C55F9"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igual manera la </w:t>
      </w:r>
      <w:r w:rsidRPr="005E3C9B">
        <w:rPr>
          <w:rFonts w:ascii="Palatino Linotype" w:eastAsia="Palatino Linotype" w:hAnsi="Palatino Linotype" w:cs="Palatino Linotype"/>
          <w:b/>
        </w:rPr>
        <w:t>Clave Única de Registro de Población</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rPr>
        <w:t>CURP,</w:t>
      </w:r>
      <w:r w:rsidRPr="005E3C9B">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11AF08B"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318B0274" w14:textId="77777777" w:rsidR="005B2976" w:rsidRPr="005E3C9B" w:rsidRDefault="008E7AE9">
      <w:pPr>
        <w:spacing w:before="120" w:after="120"/>
        <w:ind w:left="851" w:right="902"/>
        <w:jc w:val="both"/>
        <w:rPr>
          <w:rFonts w:ascii="Palatino Linotype" w:eastAsia="Palatino Linotype" w:hAnsi="Palatino Linotype" w:cs="Palatino Linotype"/>
          <w:i/>
        </w:rPr>
      </w:pPr>
      <w:r w:rsidRPr="005E3C9B">
        <w:rPr>
          <w:rFonts w:ascii="Palatino Linotype" w:eastAsia="Palatino Linotype" w:hAnsi="Palatino Linotype" w:cs="Palatino Linotype"/>
          <w:b/>
          <w:i/>
        </w:rPr>
        <w:t xml:space="preserve"> </w:t>
      </w:r>
      <w:r w:rsidRPr="005E3C9B">
        <w:rPr>
          <w:rFonts w:ascii="Palatino Linotype" w:eastAsia="Palatino Linotype" w:hAnsi="Palatino Linotype" w:cs="Palatino Linotype"/>
          <w:b/>
          <w:i/>
          <w:sz w:val="22"/>
          <w:szCs w:val="22"/>
        </w:rPr>
        <w:t xml:space="preserve">“Clave Única de Registro de Población (CURP). </w:t>
      </w:r>
      <w:r w:rsidRPr="005E3C9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E9F395"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Por lo que respecta a la </w:t>
      </w:r>
      <w:r w:rsidRPr="005E3C9B">
        <w:rPr>
          <w:rFonts w:ascii="Palatino Linotype" w:eastAsia="Palatino Linotype" w:hAnsi="Palatino Linotype" w:cs="Palatino Linotype"/>
          <w:b/>
        </w:rPr>
        <w:t>clave de seguridad social</w:t>
      </w:r>
      <w:r w:rsidRPr="005E3C9B">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763273FE"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lastRenderedPageBreak/>
        <w:t xml:space="preserve">Respecto de los </w:t>
      </w:r>
      <w:r w:rsidRPr="005E3C9B">
        <w:rPr>
          <w:rFonts w:ascii="Palatino Linotype" w:eastAsia="Palatino Linotype" w:hAnsi="Palatino Linotype" w:cs="Palatino Linotype"/>
          <w:b/>
        </w:rPr>
        <w:t>números de cuentas bancari</w:t>
      </w:r>
      <w:r w:rsidRPr="005E3C9B">
        <w:rPr>
          <w:rFonts w:ascii="Palatino Linotype" w:eastAsia="Palatino Linotype" w:hAnsi="Palatino Linotype" w:cs="Palatino Linotype"/>
        </w:rPr>
        <w:t xml:space="preserve">as, </w:t>
      </w:r>
      <w:r w:rsidRPr="005E3C9B">
        <w:rPr>
          <w:rFonts w:ascii="Palatino Linotype" w:eastAsia="Palatino Linotype" w:hAnsi="Palatino Linotype" w:cs="Palatino Linotype"/>
          <w:b/>
        </w:rPr>
        <w:t>claves estandarizadas –interbancarias- (CLABES) y de tarjetas</w:t>
      </w:r>
      <w:r w:rsidRPr="005E3C9B">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0898C173"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7421B16"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E1611AD"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FB10F42"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6A34918"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Lo argumentado se apoya de los criterios orientadores con claves de control SO/010/2017 y SO/011/2017, emitidos por el entonces Instituto Nacional de </w:t>
      </w:r>
      <w:r w:rsidRPr="005E3C9B">
        <w:rPr>
          <w:rFonts w:ascii="Palatino Linotype" w:eastAsia="Palatino Linotype" w:hAnsi="Palatino Linotype" w:cs="Palatino Linotype"/>
        </w:rPr>
        <w:lastRenderedPageBreak/>
        <w:t>Transparencia, Acceso a la Información y Protección de Datos Personales, INAI, que llevan por rubro y texto los siguientes:</w:t>
      </w:r>
    </w:p>
    <w:p w14:paraId="6137E9B2"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Cuentas bancarias y/o CLABE interbancaria de personas físicas y morales privadas.</w:t>
      </w:r>
      <w:r w:rsidRPr="005E3C9B">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90D328C"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E3C9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A58F961"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10" w:name="_heading=h.35nkun2" w:colFirst="0" w:colLast="0"/>
      <w:bookmarkEnd w:id="10"/>
      <w:r w:rsidRPr="005E3C9B">
        <w:rPr>
          <w:rFonts w:ascii="Palatino Linotype" w:eastAsia="Palatino Linotype" w:hAnsi="Palatino Linotype" w:cs="Palatino Linotype"/>
        </w:rPr>
        <w:t xml:space="preserve">Por cuanto hace a los </w:t>
      </w:r>
      <w:r w:rsidRPr="005E3C9B">
        <w:rPr>
          <w:rFonts w:ascii="Palatino Linotype" w:eastAsia="Palatino Linotype" w:hAnsi="Palatino Linotype" w:cs="Palatino Linotype"/>
          <w:b/>
        </w:rPr>
        <w:t>préstamos o descuentos de carácter personal</w:t>
      </w:r>
      <w:r w:rsidRPr="005E3C9B">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5263D3E1"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AC4502E"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bookmarkStart w:id="11" w:name="_heading=h.1ksv4uv" w:colFirst="0" w:colLast="0"/>
      <w:bookmarkEnd w:id="11"/>
      <w:r w:rsidRPr="005E3C9B">
        <w:rPr>
          <w:rFonts w:ascii="Palatino Linotype" w:eastAsia="Palatino Linotype" w:hAnsi="Palatino Linotype" w:cs="Palatino Linotype"/>
          <w:b/>
          <w:i/>
          <w:sz w:val="22"/>
          <w:szCs w:val="22"/>
        </w:rPr>
        <w:t xml:space="preserve">“ARTÍCULO 84. </w:t>
      </w:r>
      <w:r w:rsidRPr="005E3C9B">
        <w:rPr>
          <w:rFonts w:ascii="Palatino Linotype" w:eastAsia="Palatino Linotype" w:hAnsi="Palatino Linotype" w:cs="Palatino Linotype"/>
          <w:i/>
          <w:sz w:val="22"/>
          <w:szCs w:val="22"/>
        </w:rPr>
        <w:t>Sólo podrán hacerse retenciones, descuentos o deducciones al sueldo de los servidores públicos por concepto de:</w:t>
      </w:r>
    </w:p>
    <w:p w14:paraId="3844CEB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Gravámenes fiscales relacionados con el sueldo;</w:t>
      </w:r>
    </w:p>
    <w:p w14:paraId="42BA88A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0918A65E"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Cuotas sindicales</w:t>
      </w:r>
      <w:r w:rsidRPr="005E3C9B">
        <w:rPr>
          <w:rFonts w:ascii="Palatino Linotype" w:eastAsia="Palatino Linotype" w:hAnsi="Palatino Linotype" w:cs="Palatino Linotype"/>
          <w:i/>
          <w:sz w:val="22"/>
          <w:szCs w:val="22"/>
        </w:rPr>
        <w:t>;</w:t>
      </w:r>
    </w:p>
    <w:p w14:paraId="11B30CC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lastRenderedPageBreak/>
        <w:t>IV.</w:t>
      </w:r>
      <w:r w:rsidRPr="005E3C9B">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1CFD598D"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w:t>
      </w:r>
      <w:r w:rsidRPr="005E3C9B">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3E613F5A"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w:t>
      </w:r>
      <w:r w:rsidRPr="005E3C9B">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33C8445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VII.</w:t>
      </w:r>
      <w:r w:rsidRPr="005E3C9B">
        <w:rPr>
          <w:rFonts w:ascii="Palatino Linotype" w:eastAsia="Palatino Linotype" w:hAnsi="Palatino Linotype" w:cs="Palatino Linotype"/>
          <w:i/>
          <w:sz w:val="22"/>
          <w:szCs w:val="22"/>
        </w:rPr>
        <w:t xml:space="preserve"> Faltas de puntualidad o de asistencia injustificadas;</w:t>
      </w:r>
    </w:p>
    <w:p w14:paraId="24F1FBD2"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VIII. Pensiones alimenticias ordenadas por la autoridad judicial;</w:t>
      </w:r>
      <w:r w:rsidRPr="005E3C9B">
        <w:rPr>
          <w:rFonts w:ascii="Palatino Linotype" w:eastAsia="Palatino Linotype" w:hAnsi="Palatino Linotype" w:cs="Palatino Linotype"/>
          <w:i/>
          <w:sz w:val="22"/>
          <w:szCs w:val="22"/>
        </w:rPr>
        <w:t xml:space="preserve"> o</w:t>
      </w:r>
    </w:p>
    <w:p w14:paraId="72566EB1" w14:textId="77777777" w:rsidR="005B2976" w:rsidRPr="005E3C9B" w:rsidRDefault="008E7AE9">
      <w:pPr>
        <w:spacing w:before="120" w:after="120"/>
        <w:ind w:left="1134"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IX. Cualquier otro convenido con instituciones de servicios y aceptado por el servidor público.</w:t>
      </w:r>
    </w:p>
    <w:p w14:paraId="78E18079"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E0A8BAD"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59D7770"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este modo, los </w:t>
      </w:r>
      <w:r w:rsidRPr="005E3C9B">
        <w:rPr>
          <w:rFonts w:ascii="Palatino Linotype" w:eastAsia="Palatino Linotype" w:hAnsi="Palatino Linotype" w:cs="Palatino Linotype"/>
          <w:b/>
        </w:rPr>
        <w:t>descuentos o deducciones por cuotas sindicales</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rPr>
        <w:t>pensiones alimenticias</w:t>
      </w:r>
      <w:r w:rsidRPr="005E3C9B">
        <w:rPr>
          <w:rFonts w:ascii="Palatino Linotype" w:eastAsia="Palatino Linotype" w:hAnsi="Palatino Linotype" w:cs="Palatino Linotype"/>
        </w:rPr>
        <w:t xml:space="preserve"> o </w:t>
      </w:r>
      <w:r w:rsidRPr="005E3C9B">
        <w:rPr>
          <w:rFonts w:ascii="Palatino Linotype" w:eastAsia="Palatino Linotype" w:hAnsi="Palatino Linotype" w:cs="Palatino Linotype"/>
          <w:b/>
        </w:rPr>
        <w:t>créditos adquiridos con instituciones privadas</w:t>
      </w:r>
      <w:r w:rsidRPr="005E3C9B">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5E3C9B">
        <w:rPr>
          <w:rFonts w:ascii="Palatino Linotype" w:eastAsia="Palatino Linotype" w:hAnsi="Palatino Linotype" w:cs="Palatino Linotype"/>
          <w:b/>
        </w:rPr>
        <w:t xml:space="preserve">es información que no es de carácter </w:t>
      </w:r>
      <w:r w:rsidRPr="005E3C9B">
        <w:rPr>
          <w:rFonts w:ascii="Palatino Linotype" w:eastAsia="Palatino Linotype" w:hAnsi="Palatino Linotype" w:cs="Palatino Linotype"/>
          <w:b/>
        </w:rPr>
        <w:lastRenderedPageBreak/>
        <w:t>público, sino que constituye información confidencial</w:t>
      </w:r>
      <w:r w:rsidRPr="005E3C9B">
        <w:rPr>
          <w:rFonts w:ascii="Palatino Linotype" w:eastAsia="Palatino Linotype" w:hAnsi="Palatino Linotype" w:cs="Palatino Linotype"/>
        </w:rPr>
        <w:t xml:space="preserve"> en virtud de que corresponde con decisiones personales, y por tanto, se debe clasificar.</w:t>
      </w:r>
    </w:p>
    <w:p w14:paraId="34FBECD0"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3FB8BB68"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2CFA6870"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Con relación al </w:t>
      </w:r>
      <w:r w:rsidRPr="005E3C9B">
        <w:rPr>
          <w:rFonts w:ascii="Palatino Linotype" w:eastAsia="Palatino Linotype" w:hAnsi="Palatino Linotype" w:cs="Palatino Linotype"/>
          <w:b/>
        </w:rPr>
        <w:t>número de empleado</w:t>
      </w:r>
      <w:r w:rsidRPr="005E3C9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5E3C9B">
        <w:rPr>
          <w:rFonts w:ascii="Palatino Linotype" w:eastAsia="Palatino Linotype" w:hAnsi="Palatino Linotype" w:cs="Palatino Linotype"/>
          <w:vertAlign w:val="superscript"/>
        </w:rPr>
        <w:footnoteReference w:id="3"/>
      </w:r>
      <w:r w:rsidRPr="005E3C9B">
        <w:rPr>
          <w:rFonts w:ascii="Palatino Linotype" w:eastAsia="Palatino Linotype" w:hAnsi="Palatino Linotype" w:cs="Palatino Linotype"/>
        </w:rPr>
        <w:t>.</w:t>
      </w:r>
    </w:p>
    <w:p w14:paraId="1D855A7F"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w:t>
      </w:r>
      <w:r w:rsidRPr="005E3C9B">
        <w:rPr>
          <w:rFonts w:ascii="Palatino Linotype" w:eastAsia="Palatino Linotype" w:hAnsi="Palatino Linotype" w:cs="Palatino Linotype"/>
        </w:rPr>
        <w:lastRenderedPageBreak/>
        <w:t>Acceso a la Información, y Protección de Datos Personales, INAI  se ha pronunciado sobre su publicidad, a través del Criterio de interpretación con Clave de control SO/006/2019, que indica lo siguiente:</w:t>
      </w:r>
    </w:p>
    <w:p w14:paraId="1FED6A65" w14:textId="77777777" w:rsidR="005B2976" w:rsidRPr="005E3C9B" w:rsidRDefault="008E7AE9">
      <w:pPr>
        <w:tabs>
          <w:tab w:val="left" w:pos="7655"/>
        </w:tabs>
        <w:spacing w:before="120" w:after="120"/>
        <w:ind w:left="992" w:right="99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“Número de empleado. </w:t>
      </w:r>
      <w:r w:rsidRPr="005E3C9B">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2175744"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47BBCD9" w14:textId="77777777" w:rsidR="005B2976" w:rsidRPr="005E3C9B" w:rsidRDefault="008E7AE9">
      <w:pPr>
        <w:spacing w:before="240" w:after="240" w:line="360" w:lineRule="auto"/>
        <w:ind w:right="50"/>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5E3C9B">
        <w:rPr>
          <w:rFonts w:ascii="Palatino Linotype" w:eastAsia="Palatino Linotype" w:hAnsi="Palatino Linotype" w:cs="Palatino Linotype"/>
        </w:rPr>
        <w:t>Responsable</w:t>
      </w:r>
      <w:proofErr w:type="gramEnd"/>
      <w:r w:rsidRPr="005E3C9B">
        <w:rPr>
          <w:rFonts w:ascii="Palatino Linotype" w:eastAsia="Palatino Linotype" w:hAnsi="Palatino Linotype" w:cs="Palatino Linotype"/>
        </w:rPr>
        <w:t xml:space="preserve"> de la Unidad de Transparencia del Sujeto Obligado, sino que ello deberá realizarse en </w:t>
      </w:r>
      <w:r w:rsidRPr="005E3C9B">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1A088F1A"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49.</w:t>
      </w:r>
      <w:r w:rsidRPr="005E3C9B">
        <w:rPr>
          <w:rFonts w:ascii="Palatino Linotype" w:eastAsia="Palatino Linotype" w:hAnsi="Palatino Linotype" w:cs="Palatino Linotype"/>
          <w:i/>
          <w:sz w:val="22"/>
          <w:szCs w:val="22"/>
        </w:rPr>
        <w:t xml:space="preserve"> </w:t>
      </w:r>
      <w:r w:rsidRPr="005E3C9B">
        <w:rPr>
          <w:rFonts w:ascii="Palatino Linotype" w:eastAsia="Palatino Linotype" w:hAnsi="Palatino Linotype" w:cs="Palatino Linotype"/>
          <w:b/>
          <w:i/>
          <w:sz w:val="22"/>
          <w:szCs w:val="22"/>
        </w:rPr>
        <w:t>Los Comités de Transparencia</w:t>
      </w:r>
      <w:r w:rsidRPr="005E3C9B">
        <w:rPr>
          <w:rFonts w:ascii="Palatino Linotype" w:eastAsia="Palatino Linotype" w:hAnsi="Palatino Linotype" w:cs="Palatino Linotype"/>
          <w:i/>
          <w:sz w:val="22"/>
          <w:szCs w:val="22"/>
        </w:rPr>
        <w:t xml:space="preserve"> tendrán las siguientes atribuciones:</w:t>
      </w:r>
    </w:p>
    <w:p w14:paraId="556689BF"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VIII. Aprobar, modificar o revocar la clasificación de la información</w:t>
      </w:r>
      <w:r w:rsidRPr="005E3C9B">
        <w:rPr>
          <w:rFonts w:ascii="Palatino Linotype" w:eastAsia="Palatino Linotype" w:hAnsi="Palatino Linotype" w:cs="Palatino Linotype"/>
          <w:i/>
          <w:sz w:val="22"/>
          <w:szCs w:val="22"/>
        </w:rPr>
        <w:t>…”</w:t>
      </w:r>
    </w:p>
    <w:p w14:paraId="59BF5228"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Artículo 53.</w:t>
      </w:r>
      <w:r w:rsidRPr="005E3C9B">
        <w:rPr>
          <w:rFonts w:ascii="Palatino Linotype" w:eastAsia="Palatino Linotype" w:hAnsi="Palatino Linotype" w:cs="Palatino Linotype"/>
          <w:i/>
          <w:sz w:val="22"/>
          <w:szCs w:val="22"/>
        </w:rPr>
        <w:t xml:space="preserve"> Las </w:t>
      </w:r>
      <w:r w:rsidRPr="005E3C9B">
        <w:rPr>
          <w:rFonts w:ascii="Palatino Linotype" w:eastAsia="Palatino Linotype" w:hAnsi="Palatino Linotype" w:cs="Palatino Linotype"/>
          <w:b/>
          <w:i/>
          <w:sz w:val="22"/>
          <w:szCs w:val="22"/>
        </w:rPr>
        <w:t>Unidades de Transparencia</w:t>
      </w:r>
      <w:r w:rsidRPr="005E3C9B">
        <w:rPr>
          <w:rFonts w:ascii="Palatino Linotype" w:eastAsia="Palatino Linotype" w:hAnsi="Palatino Linotype" w:cs="Palatino Linotype"/>
          <w:i/>
          <w:sz w:val="22"/>
          <w:szCs w:val="22"/>
        </w:rPr>
        <w:t xml:space="preserve"> tendrán las siguientes </w:t>
      </w:r>
      <w:r w:rsidRPr="005E3C9B">
        <w:rPr>
          <w:rFonts w:ascii="Palatino Linotype" w:eastAsia="Palatino Linotype" w:hAnsi="Palatino Linotype" w:cs="Palatino Linotype"/>
          <w:b/>
          <w:i/>
          <w:sz w:val="22"/>
          <w:szCs w:val="22"/>
        </w:rPr>
        <w:t>funciones</w:t>
      </w:r>
      <w:r w:rsidRPr="005E3C9B">
        <w:rPr>
          <w:rFonts w:ascii="Palatino Linotype" w:eastAsia="Palatino Linotype" w:hAnsi="Palatino Linotype" w:cs="Palatino Linotype"/>
          <w:i/>
          <w:sz w:val="22"/>
          <w:szCs w:val="22"/>
        </w:rPr>
        <w:t>:</w:t>
      </w:r>
    </w:p>
    <w:p w14:paraId="1BBFA658"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X. Presentar ante el Comité, el proyecto de clasificación de información</w:t>
      </w:r>
      <w:r w:rsidRPr="005E3C9B">
        <w:rPr>
          <w:rFonts w:ascii="Palatino Linotype" w:eastAsia="Palatino Linotype" w:hAnsi="Palatino Linotype" w:cs="Palatino Linotype"/>
          <w:i/>
          <w:sz w:val="22"/>
          <w:szCs w:val="22"/>
        </w:rPr>
        <w:t xml:space="preserve">…” </w:t>
      </w:r>
    </w:p>
    <w:p w14:paraId="225D4155"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“Artículo 59.</w:t>
      </w:r>
      <w:r w:rsidRPr="005E3C9B">
        <w:rPr>
          <w:rFonts w:ascii="Palatino Linotype" w:eastAsia="Palatino Linotype" w:hAnsi="Palatino Linotype" w:cs="Palatino Linotype"/>
          <w:i/>
          <w:sz w:val="22"/>
          <w:szCs w:val="22"/>
        </w:rPr>
        <w:t xml:space="preserve"> Los </w:t>
      </w:r>
      <w:r w:rsidRPr="005E3C9B">
        <w:rPr>
          <w:rFonts w:ascii="Palatino Linotype" w:eastAsia="Palatino Linotype" w:hAnsi="Palatino Linotype" w:cs="Palatino Linotype"/>
          <w:b/>
          <w:i/>
          <w:sz w:val="22"/>
          <w:szCs w:val="22"/>
        </w:rPr>
        <w:t>servidores públicos habilitados</w:t>
      </w:r>
      <w:r w:rsidRPr="005E3C9B">
        <w:rPr>
          <w:rFonts w:ascii="Palatino Linotype" w:eastAsia="Palatino Linotype" w:hAnsi="Palatino Linotype" w:cs="Palatino Linotype"/>
          <w:i/>
          <w:sz w:val="22"/>
          <w:szCs w:val="22"/>
        </w:rPr>
        <w:t xml:space="preserve"> tendrán las </w:t>
      </w:r>
      <w:r w:rsidRPr="005E3C9B">
        <w:rPr>
          <w:rFonts w:ascii="Palatino Linotype" w:eastAsia="Palatino Linotype" w:hAnsi="Palatino Linotype" w:cs="Palatino Linotype"/>
          <w:b/>
          <w:i/>
          <w:sz w:val="22"/>
          <w:szCs w:val="22"/>
        </w:rPr>
        <w:t>funciones</w:t>
      </w:r>
      <w:r w:rsidRPr="005E3C9B">
        <w:rPr>
          <w:rFonts w:ascii="Palatino Linotype" w:eastAsia="Palatino Linotype" w:hAnsi="Palatino Linotype" w:cs="Palatino Linotype"/>
          <w:i/>
          <w:sz w:val="22"/>
          <w:szCs w:val="22"/>
        </w:rPr>
        <w:t xml:space="preserve"> siguientes:</w:t>
      </w:r>
    </w:p>
    <w:p w14:paraId="6EA018AB"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E3C9B">
        <w:rPr>
          <w:rFonts w:ascii="Palatino Linotype" w:eastAsia="Palatino Linotype" w:hAnsi="Palatino Linotype" w:cs="Palatino Linotype"/>
          <w:i/>
          <w:sz w:val="22"/>
          <w:szCs w:val="22"/>
        </w:rPr>
        <w:t>, la cual tendrá los fundamentos y argumentos en que se basa dicha propuesta…”</w:t>
      </w:r>
    </w:p>
    <w:p w14:paraId="0EDF3A35"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C8ADE4"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1C3C4DE"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lastRenderedPageBreak/>
        <w:t>“</w:t>
      </w:r>
      <w:r w:rsidRPr="005E3C9B">
        <w:rPr>
          <w:rFonts w:ascii="Palatino Linotype" w:eastAsia="Palatino Linotype" w:hAnsi="Palatino Linotype" w:cs="Palatino Linotype"/>
          <w:b/>
          <w:i/>
          <w:sz w:val="22"/>
          <w:szCs w:val="22"/>
        </w:rPr>
        <w:t>Artículo 149.</w:t>
      </w:r>
      <w:r w:rsidRPr="005E3C9B">
        <w:rPr>
          <w:rFonts w:ascii="Palatino Linotype" w:eastAsia="Palatino Linotype" w:hAnsi="Palatino Linotype" w:cs="Palatino Linotype"/>
          <w:i/>
          <w:sz w:val="22"/>
          <w:szCs w:val="22"/>
        </w:rPr>
        <w:t xml:space="preserve"> El </w:t>
      </w:r>
      <w:r w:rsidRPr="005E3C9B">
        <w:rPr>
          <w:rFonts w:ascii="Palatino Linotype" w:eastAsia="Palatino Linotype" w:hAnsi="Palatino Linotype" w:cs="Palatino Linotype"/>
          <w:b/>
          <w:i/>
          <w:sz w:val="22"/>
          <w:szCs w:val="22"/>
        </w:rPr>
        <w:t>acuerdo que clasifique la información como confidencial</w:t>
      </w:r>
      <w:r w:rsidRPr="005E3C9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E64459A" w14:textId="77777777" w:rsidR="005B2976" w:rsidRPr="005E3C9B" w:rsidRDefault="008E7AE9">
      <w:pP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Es decir,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7CEED54" w14:textId="77777777" w:rsidR="005B2976" w:rsidRPr="005E3C9B" w:rsidRDefault="008E7AE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Asimismo, respecto a las formalidades que deberá llevar el acuerdo de clasificación que deberá emitir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187374D4"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 “Quincuagésimo. </w:t>
      </w:r>
      <w:r w:rsidRPr="005E3C9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0559D2B" w14:textId="77777777" w:rsidR="005B2976" w:rsidRPr="005E3C9B" w:rsidRDefault="008E7AE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Quincuagésimo primero. </w:t>
      </w:r>
      <w:r w:rsidRPr="005E3C9B">
        <w:rPr>
          <w:rFonts w:ascii="Palatino Linotype" w:eastAsia="Palatino Linotype" w:hAnsi="Palatino Linotype" w:cs="Palatino Linotype"/>
          <w:i/>
          <w:sz w:val="22"/>
          <w:szCs w:val="22"/>
        </w:rPr>
        <w:t xml:space="preserve">Toda acta del Comité de Transparencia deberá contener: </w:t>
      </w:r>
    </w:p>
    <w:p w14:paraId="0F7B3E49"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El número de sesión y fecha; </w:t>
      </w:r>
    </w:p>
    <w:p w14:paraId="06112AD3"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xml:space="preserve">. El nombre del área que solicitó la clasificación de información; </w:t>
      </w:r>
    </w:p>
    <w:p w14:paraId="5BA48BE2"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lastRenderedPageBreak/>
        <w:t>III</w:t>
      </w:r>
      <w:r w:rsidRPr="005E3C9B">
        <w:rPr>
          <w:rFonts w:ascii="Palatino Linotype" w:eastAsia="Palatino Linotype" w:hAnsi="Palatino Linotype" w:cs="Palatino Linotype"/>
          <w:i/>
          <w:sz w:val="22"/>
          <w:szCs w:val="22"/>
        </w:rPr>
        <w:t xml:space="preserve">. La fundamentación legal y motivación correspondiente; </w:t>
      </w:r>
    </w:p>
    <w:p w14:paraId="529755E3"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IV</w:t>
      </w:r>
      <w:r w:rsidRPr="005E3C9B">
        <w:rPr>
          <w:rFonts w:ascii="Palatino Linotype" w:eastAsia="Palatino Linotype" w:hAnsi="Palatino Linotype" w:cs="Palatino Linotype"/>
          <w:i/>
          <w:sz w:val="22"/>
          <w:szCs w:val="22"/>
        </w:rPr>
        <w:t xml:space="preserve">. La resolución o resoluciones aprobadas; y </w:t>
      </w:r>
    </w:p>
    <w:p w14:paraId="12C6B7D0"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V</w:t>
      </w:r>
      <w:r w:rsidRPr="005E3C9B">
        <w:rPr>
          <w:rFonts w:ascii="Palatino Linotype" w:eastAsia="Palatino Linotype" w:hAnsi="Palatino Linotype" w:cs="Palatino Linotype"/>
          <w:i/>
          <w:sz w:val="22"/>
          <w:szCs w:val="22"/>
        </w:rPr>
        <w:t xml:space="preserve">. La rúbrica o firma digital de cada integrante del Comité de Transparencia. </w:t>
      </w:r>
    </w:p>
    <w:p w14:paraId="6C8671F0" w14:textId="77777777" w:rsidR="005B2976" w:rsidRPr="005E3C9B" w:rsidRDefault="008E7AE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CCDFA0C"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4FE93ED"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Descripción de las partes o secciones reservadas, en caso de clasificación parcial</w:t>
      </w:r>
      <w:r w:rsidRPr="005E3C9B">
        <w:rPr>
          <w:rFonts w:ascii="Palatino Linotype" w:eastAsia="Palatino Linotype" w:hAnsi="Palatino Linotype" w:cs="Palatino Linotype"/>
          <w:b/>
          <w:i/>
          <w:sz w:val="22"/>
          <w:szCs w:val="22"/>
        </w:rPr>
        <w:t xml:space="preserve">; </w:t>
      </w:r>
    </w:p>
    <w:p w14:paraId="357D9E6D"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xml:space="preserve"> El periodo por el que mantendrá su clasificación y fecha de expiración; y </w:t>
      </w:r>
    </w:p>
    <w:p w14:paraId="2F337F56" w14:textId="77777777" w:rsidR="005B2976" w:rsidRPr="005E3C9B" w:rsidRDefault="008E7AE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IV.</w:t>
      </w:r>
      <w:r w:rsidRPr="005E3C9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5A8C182" w14:textId="77777777" w:rsidR="005B2976" w:rsidRPr="005E3C9B" w:rsidRDefault="008E7AE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6148C12" w14:textId="77777777" w:rsidR="005B2976" w:rsidRPr="005E3C9B" w:rsidRDefault="008E7AE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D4E3AF9"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D393148" w14:textId="77777777" w:rsidR="005B2976" w:rsidRPr="005E3C9B" w:rsidRDefault="008E7AE9">
      <w:pP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r w:rsidRPr="005E3C9B">
        <w:rPr>
          <w:rFonts w:ascii="Palatino Linotype" w:eastAsia="Palatino Linotype" w:hAnsi="Palatino Linotype" w:cs="Palatino Linotype"/>
          <w:b/>
          <w:i/>
          <w:sz w:val="22"/>
          <w:szCs w:val="22"/>
        </w:rPr>
        <w:t>Quincuagésimo segundo</w:t>
      </w:r>
      <w:r w:rsidRPr="005E3C9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624744C" w14:textId="77777777" w:rsidR="005B2976" w:rsidRPr="005E3C9B" w:rsidRDefault="008E7AE9">
      <w:pP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F8E329E"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lastRenderedPageBreak/>
        <w:t>I.</w:t>
      </w:r>
      <w:r w:rsidRPr="005E3C9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D38BB47"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4757181" w14:textId="77777777" w:rsidR="005B2976" w:rsidRPr="005E3C9B" w:rsidRDefault="008E7AE9">
      <w:pPr>
        <w:spacing w:before="120" w:after="120"/>
        <w:ind w:left="1134"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xml:space="preserve"> Señalar las personas o instancias autorizadas a acceder a la información clasificada.</w:t>
      </w:r>
    </w:p>
    <w:p w14:paraId="78902C1D" w14:textId="77777777" w:rsidR="005B2976" w:rsidRPr="005E3C9B" w:rsidRDefault="008E7AE9">
      <w:pP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DF954F6"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w:t>
      </w:r>
    </w:p>
    <w:p w14:paraId="713D4817" w14:textId="77777777" w:rsidR="005B2976" w:rsidRPr="005E3C9B" w:rsidRDefault="008E7AE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 xml:space="preserve">Quincuagésimo cuarto. </w:t>
      </w:r>
      <w:r w:rsidRPr="005E3C9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E3C9B">
        <w:rPr>
          <w:rFonts w:ascii="Palatino Linotype" w:eastAsia="Palatino Linotype" w:hAnsi="Palatino Linotype" w:cs="Palatino Linotype"/>
          <w:b/>
          <w:i/>
          <w:sz w:val="22"/>
          <w:szCs w:val="22"/>
        </w:rPr>
        <w:t xml:space="preserve"> </w:t>
      </w:r>
    </w:p>
    <w:p w14:paraId="57039BAE"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 xml:space="preserve">Quincuagésimo quinto. </w:t>
      </w:r>
      <w:r w:rsidRPr="005E3C9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E3C9B">
        <w:rPr>
          <w:rFonts w:ascii="Palatino Linotype" w:eastAsia="Palatino Linotype" w:hAnsi="Palatino Linotype" w:cs="Palatino Linotype"/>
          <w:i/>
          <w:sz w:val="22"/>
          <w:szCs w:val="22"/>
        </w:rPr>
        <w:t>testado</w:t>
      </w:r>
      <w:proofErr w:type="spellEnd"/>
      <w:r w:rsidRPr="005E3C9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0784FD5" w14:textId="77777777" w:rsidR="005B2976" w:rsidRPr="005E3C9B" w:rsidRDefault="008E7AE9">
      <w:pPr>
        <w:spacing w:before="120" w:after="120"/>
        <w:ind w:left="851" w:right="902"/>
        <w:jc w:val="both"/>
        <w:rPr>
          <w:rFonts w:ascii="Palatino Linotype" w:eastAsia="Palatino Linotype" w:hAnsi="Palatino Linotype" w:cs="Palatino Linotype"/>
          <w:b/>
          <w:i/>
          <w:sz w:val="22"/>
          <w:szCs w:val="22"/>
        </w:rPr>
      </w:pPr>
      <w:r w:rsidRPr="005E3C9B">
        <w:rPr>
          <w:rFonts w:ascii="Palatino Linotype" w:eastAsia="Palatino Linotype" w:hAnsi="Palatino Linotype" w:cs="Palatino Linotype"/>
          <w:b/>
          <w:i/>
          <w:sz w:val="22"/>
          <w:szCs w:val="22"/>
        </w:rPr>
        <w:t>...</w:t>
      </w:r>
    </w:p>
    <w:p w14:paraId="629B6E40"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Quincuagésimo séptimo</w:t>
      </w:r>
      <w:r w:rsidRPr="005E3C9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FE17F36"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w:t>
      </w:r>
      <w:r w:rsidRPr="005E3C9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8DA4563"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w:t>
      </w:r>
      <w:r w:rsidRPr="005E3C9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8A4A9BA" w14:textId="77777777" w:rsidR="005B2976" w:rsidRPr="005E3C9B" w:rsidRDefault="008E7AE9">
      <w:pPr>
        <w:spacing w:before="120" w:after="120"/>
        <w:ind w:left="1134"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III</w:t>
      </w:r>
      <w:r w:rsidRPr="005E3C9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sidRPr="005E3C9B">
        <w:rPr>
          <w:rFonts w:ascii="Palatino Linotype" w:eastAsia="Palatino Linotype" w:hAnsi="Palatino Linotype" w:cs="Palatino Linotype"/>
          <w:i/>
          <w:sz w:val="22"/>
          <w:szCs w:val="22"/>
        </w:rPr>
        <w:lastRenderedPageBreak/>
        <w:t xml:space="preserve">actividades de los servidores públicos, de manera que se pueda valorar el desempeño de los mismos. </w:t>
      </w:r>
    </w:p>
    <w:p w14:paraId="20101858"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4829E4B" w14:textId="77777777" w:rsidR="005B2976" w:rsidRPr="005E3C9B" w:rsidRDefault="008E7AE9">
      <w:pPr>
        <w:spacing w:before="120" w:after="120"/>
        <w:ind w:left="851" w:right="902"/>
        <w:jc w:val="both"/>
        <w:rPr>
          <w:rFonts w:ascii="Palatino Linotype" w:eastAsia="Palatino Linotype" w:hAnsi="Palatino Linotype" w:cs="Palatino Linotype"/>
          <w:i/>
          <w:sz w:val="22"/>
          <w:szCs w:val="22"/>
        </w:rPr>
      </w:pPr>
      <w:r w:rsidRPr="005E3C9B">
        <w:rPr>
          <w:rFonts w:ascii="Palatino Linotype" w:eastAsia="Palatino Linotype" w:hAnsi="Palatino Linotype" w:cs="Palatino Linotype"/>
          <w:b/>
          <w:i/>
          <w:sz w:val="22"/>
          <w:szCs w:val="22"/>
        </w:rPr>
        <w:t>Quincuagésimo octavo</w:t>
      </w:r>
      <w:r w:rsidRPr="005E3C9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1FF712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7FA57B39" w14:textId="77777777" w:rsidR="005B2976" w:rsidRPr="005E3C9B" w:rsidRDefault="008E7AE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E3C9B">
        <w:rPr>
          <w:rFonts w:ascii="Palatino Linotype" w:eastAsia="Palatino Linotype" w:hAnsi="Palatino Linotype" w:cs="Palatino Linotype"/>
          <w:b/>
        </w:rPr>
        <w:t>III. R E S U E L V E</w:t>
      </w:r>
    </w:p>
    <w:p w14:paraId="0A753C89"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12" w:name="_heading=h.1t3h5sf" w:colFirst="0" w:colLast="0"/>
      <w:bookmarkEnd w:id="12"/>
      <w:r w:rsidRPr="005E3C9B">
        <w:rPr>
          <w:rFonts w:ascii="Palatino Linotype" w:eastAsia="Palatino Linotype" w:hAnsi="Palatino Linotype" w:cs="Palatino Linotype"/>
          <w:b/>
        </w:rPr>
        <w:t xml:space="preserve">Primero. </w:t>
      </w:r>
      <w:r w:rsidRPr="005E3C9B">
        <w:rPr>
          <w:rFonts w:ascii="Palatino Linotype" w:eastAsia="Palatino Linotype" w:hAnsi="Palatino Linotype" w:cs="Palatino Linotype"/>
        </w:rPr>
        <w:t>Resultan</w:t>
      </w:r>
      <w:r w:rsidRPr="005E3C9B">
        <w:rPr>
          <w:rFonts w:ascii="Palatino Linotype" w:eastAsia="Palatino Linotype" w:hAnsi="Palatino Linotype" w:cs="Palatino Linotype"/>
          <w:b/>
        </w:rPr>
        <w:t xml:space="preserve"> parcialmente fundadas</w:t>
      </w:r>
      <w:r w:rsidRPr="005E3C9B">
        <w:rPr>
          <w:rFonts w:ascii="Palatino Linotype" w:eastAsia="Palatino Linotype" w:hAnsi="Palatino Linotype" w:cs="Palatino Linotype"/>
        </w:rPr>
        <w:t xml:space="preserve"> las razones o motivos de inconformidad hechos valer por la parte</w:t>
      </w:r>
      <w:r w:rsidRPr="005E3C9B">
        <w:rPr>
          <w:rFonts w:ascii="Palatino Linotype" w:eastAsia="Palatino Linotype" w:hAnsi="Palatino Linotype" w:cs="Palatino Linotype"/>
          <w:b/>
        </w:rPr>
        <w:t xml:space="preserve"> Recurrente</w:t>
      </w:r>
      <w:r w:rsidRPr="005E3C9B">
        <w:rPr>
          <w:rFonts w:ascii="Palatino Linotype" w:eastAsia="Palatino Linotype" w:hAnsi="Palatino Linotype" w:cs="Palatino Linotype"/>
        </w:rPr>
        <w:t xml:space="preserve"> en el recurso de revisión </w:t>
      </w:r>
      <w:r w:rsidRPr="005E3C9B">
        <w:rPr>
          <w:rFonts w:ascii="Palatino Linotype" w:eastAsia="Palatino Linotype" w:hAnsi="Palatino Linotype" w:cs="Palatino Linotype"/>
          <w:b/>
        </w:rPr>
        <w:t>02484/INFOEM/IP/RR/2025</w:t>
      </w:r>
      <w:r w:rsidRPr="005E3C9B">
        <w:rPr>
          <w:rFonts w:ascii="Palatino Linotype" w:eastAsia="Palatino Linotype" w:hAnsi="Palatino Linotype" w:cs="Palatino Linotype"/>
        </w:rPr>
        <w:t xml:space="preserve">; por lo que, en términos del </w:t>
      </w:r>
      <w:r w:rsidRPr="005E3C9B">
        <w:rPr>
          <w:rFonts w:ascii="Palatino Linotype" w:eastAsia="Palatino Linotype" w:hAnsi="Palatino Linotype" w:cs="Palatino Linotype"/>
          <w:b/>
        </w:rPr>
        <w:t>Considerando</w:t>
      </w:r>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rPr>
        <w:t xml:space="preserve">Cuarto </w:t>
      </w:r>
      <w:r w:rsidRPr="005E3C9B">
        <w:rPr>
          <w:rFonts w:ascii="Palatino Linotype" w:eastAsia="Palatino Linotype" w:hAnsi="Palatino Linotype" w:cs="Palatino Linotype"/>
        </w:rPr>
        <w:t xml:space="preserve">de esta resolución, se </w:t>
      </w:r>
      <w:r w:rsidRPr="005E3C9B">
        <w:rPr>
          <w:rFonts w:ascii="Palatino Linotype" w:eastAsia="Palatino Linotype" w:hAnsi="Palatino Linotype" w:cs="Palatino Linotype"/>
          <w:b/>
        </w:rPr>
        <w:t>Modifica</w:t>
      </w:r>
      <w:r w:rsidRPr="005E3C9B">
        <w:rPr>
          <w:rFonts w:ascii="Palatino Linotype" w:eastAsia="Palatino Linotype" w:hAnsi="Palatino Linotype" w:cs="Palatino Linotype"/>
        </w:rPr>
        <w:t xml:space="preserve"> la respuesta emitida por el </w:t>
      </w:r>
      <w:r w:rsidRPr="005E3C9B">
        <w:rPr>
          <w:rFonts w:ascii="Palatino Linotype" w:eastAsia="Palatino Linotype" w:hAnsi="Palatino Linotype" w:cs="Palatino Linotype"/>
          <w:b/>
        </w:rPr>
        <w:t xml:space="preserve">Sujeto Obligado. </w:t>
      </w:r>
    </w:p>
    <w:p w14:paraId="4EA00CF0" w14:textId="77777777" w:rsidR="005B2976" w:rsidRPr="005E3C9B" w:rsidRDefault="008E7AE9">
      <w:pPr>
        <w:spacing w:before="240" w:after="240" w:line="360" w:lineRule="auto"/>
        <w:ind w:right="49"/>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Segundo. </w:t>
      </w:r>
      <w:r w:rsidRPr="005E3C9B">
        <w:rPr>
          <w:rFonts w:ascii="Palatino Linotype" w:eastAsia="Palatino Linotype" w:hAnsi="Palatino Linotype" w:cs="Palatino Linotype"/>
        </w:rPr>
        <w:t xml:space="preserve">Se </w:t>
      </w:r>
      <w:r w:rsidRPr="005E3C9B">
        <w:rPr>
          <w:rFonts w:ascii="Palatino Linotype" w:eastAsia="Palatino Linotype" w:hAnsi="Palatino Linotype" w:cs="Palatino Linotype"/>
          <w:b/>
        </w:rPr>
        <w:t xml:space="preserve">Ordena </w:t>
      </w:r>
      <w:r w:rsidRPr="005E3C9B">
        <w:rPr>
          <w:rFonts w:ascii="Palatino Linotype" w:eastAsia="Palatino Linotype" w:hAnsi="Palatino Linotype" w:cs="Palatino Linotype"/>
        </w:rPr>
        <w:t xml:space="preserve">al </w:t>
      </w:r>
      <w:r w:rsidRPr="005E3C9B">
        <w:rPr>
          <w:rFonts w:ascii="Palatino Linotype" w:eastAsia="Palatino Linotype" w:hAnsi="Palatino Linotype" w:cs="Palatino Linotype"/>
          <w:b/>
        </w:rPr>
        <w:t xml:space="preserve">Sujeto Obligado, </w:t>
      </w:r>
      <w:r w:rsidRPr="005E3C9B">
        <w:rPr>
          <w:rFonts w:ascii="Palatino Linotype" w:eastAsia="Palatino Linotype" w:hAnsi="Palatino Linotype" w:cs="Palatino Linotype"/>
        </w:rPr>
        <w:t xml:space="preserve">en términos de los </w:t>
      </w:r>
      <w:r w:rsidRPr="005E3C9B">
        <w:rPr>
          <w:rFonts w:ascii="Palatino Linotype" w:eastAsia="Palatino Linotype" w:hAnsi="Palatino Linotype" w:cs="Palatino Linotype"/>
          <w:b/>
        </w:rPr>
        <w:t xml:space="preserve">Considerandos </w:t>
      </w:r>
      <w:proofErr w:type="gramStart"/>
      <w:r w:rsidRPr="005E3C9B">
        <w:rPr>
          <w:rFonts w:ascii="Palatino Linotype" w:eastAsia="Palatino Linotype" w:hAnsi="Palatino Linotype" w:cs="Palatino Linotype"/>
          <w:b/>
        </w:rPr>
        <w:t xml:space="preserve">Cuarto </w:t>
      </w:r>
      <w:r w:rsidRPr="005E3C9B">
        <w:rPr>
          <w:rFonts w:ascii="Palatino Linotype" w:eastAsia="Palatino Linotype" w:hAnsi="Palatino Linotype" w:cs="Palatino Linotype"/>
        </w:rPr>
        <w:t xml:space="preserve"> y</w:t>
      </w:r>
      <w:proofErr w:type="gramEnd"/>
      <w:r w:rsidRPr="005E3C9B">
        <w:rPr>
          <w:rFonts w:ascii="Palatino Linotype" w:eastAsia="Palatino Linotype" w:hAnsi="Palatino Linotype" w:cs="Palatino Linotype"/>
        </w:rPr>
        <w:t xml:space="preserve"> </w:t>
      </w:r>
      <w:r w:rsidRPr="005E3C9B">
        <w:rPr>
          <w:rFonts w:ascii="Palatino Linotype" w:eastAsia="Palatino Linotype" w:hAnsi="Palatino Linotype" w:cs="Palatino Linotype"/>
          <w:b/>
        </w:rPr>
        <w:t xml:space="preserve">Quinto </w:t>
      </w:r>
      <w:r w:rsidRPr="005E3C9B">
        <w:rPr>
          <w:rFonts w:ascii="Palatino Linotype" w:eastAsia="Palatino Linotype" w:hAnsi="Palatino Linotype" w:cs="Palatino Linotype"/>
        </w:rPr>
        <w:t xml:space="preserve">de esta resolución, haga entrega, vía </w:t>
      </w:r>
      <w:r w:rsidRPr="005E3C9B">
        <w:rPr>
          <w:rFonts w:ascii="Palatino Linotype" w:eastAsia="Palatino Linotype" w:hAnsi="Palatino Linotype" w:cs="Palatino Linotype"/>
          <w:b/>
        </w:rPr>
        <w:t>SAIMEX</w:t>
      </w:r>
      <w:r w:rsidRPr="005E3C9B">
        <w:rPr>
          <w:rFonts w:ascii="Palatino Linotype" w:eastAsia="Palatino Linotype" w:hAnsi="Palatino Linotype" w:cs="Palatino Linotype"/>
        </w:rPr>
        <w:t>, en versión pública de ser procedente, del o los documentos donde conste lo siguiente:</w:t>
      </w:r>
    </w:p>
    <w:p w14:paraId="6D1D43BA" w14:textId="77777777" w:rsidR="005B2976" w:rsidRPr="005E3C9B" w:rsidRDefault="008E7AE9">
      <w:pPr>
        <w:spacing w:before="240" w:after="240" w:line="360" w:lineRule="auto"/>
        <w:ind w:left="284"/>
        <w:jc w:val="both"/>
        <w:rPr>
          <w:rFonts w:ascii="Palatino Linotype" w:eastAsia="Palatino Linotype" w:hAnsi="Palatino Linotype" w:cs="Palatino Linotype"/>
        </w:rPr>
      </w:pPr>
      <w:bookmarkStart w:id="13" w:name="_heading=h.1fob9te" w:colFirst="0" w:colLast="0"/>
      <w:bookmarkEnd w:id="13"/>
      <w:r w:rsidRPr="005E3C9B">
        <w:rPr>
          <w:rFonts w:ascii="Palatino Linotype" w:eastAsia="Palatino Linotype" w:hAnsi="Palatino Linotype" w:cs="Palatino Linotype"/>
        </w:rPr>
        <w:t>1. Remuneración mensual bruta y neta del personal con cargo medio y superior, al veintinueve de enero de dos mil veinticinco.</w:t>
      </w:r>
    </w:p>
    <w:p w14:paraId="16BC3008" w14:textId="77777777" w:rsidR="005B2976" w:rsidRPr="005E3C9B" w:rsidRDefault="008E7AE9">
      <w:pPr>
        <w:pBdr>
          <w:top w:val="nil"/>
          <w:left w:val="nil"/>
          <w:bottom w:val="nil"/>
          <w:right w:val="nil"/>
          <w:between w:val="nil"/>
        </w:pBdr>
        <w:ind w:left="284"/>
        <w:jc w:val="both"/>
        <w:rPr>
          <w:rFonts w:ascii="Palatino Linotype" w:eastAsia="Palatino Linotype" w:hAnsi="Palatino Linotype" w:cs="Palatino Linotype"/>
          <w:i/>
          <w:sz w:val="20"/>
          <w:szCs w:val="20"/>
        </w:rPr>
      </w:pPr>
      <w:r w:rsidRPr="005E3C9B">
        <w:rPr>
          <w:rFonts w:ascii="Palatino Linotype" w:eastAsia="Palatino Linotype" w:hAnsi="Palatino Linotype" w:cs="Palatino Linotype"/>
          <w:i/>
          <w:sz w:val="20"/>
          <w:szCs w:val="20"/>
        </w:rPr>
        <w:lastRenderedPageBreak/>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5E3C9B">
        <w:rPr>
          <w:rFonts w:ascii="Palatino Linotype" w:eastAsia="Palatino Linotype" w:hAnsi="Palatino Linotype" w:cs="Palatino Linotype"/>
          <w:b/>
          <w:i/>
          <w:sz w:val="20"/>
          <w:szCs w:val="20"/>
        </w:rPr>
        <w:t>Recurrente</w:t>
      </w:r>
      <w:r w:rsidRPr="005E3C9B">
        <w:rPr>
          <w:rFonts w:ascii="Palatino Linotype" w:eastAsia="Palatino Linotype" w:hAnsi="Palatino Linotype" w:cs="Palatino Linotype"/>
          <w:i/>
          <w:sz w:val="20"/>
          <w:szCs w:val="20"/>
        </w:rPr>
        <w:t>, mismo que igualmente hará de su conocimiento.</w:t>
      </w:r>
    </w:p>
    <w:p w14:paraId="4C8B6751"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b/>
        </w:rPr>
        <w:t xml:space="preserve">Tercero. Notifíquese, </w:t>
      </w:r>
      <w:r w:rsidRPr="005E3C9B">
        <w:rPr>
          <w:rFonts w:ascii="Palatino Linotype" w:eastAsia="Palatino Linotype" w:hAnsi="Palatino Linotype" w:cs="Palatino Linotype"/>
        </w:rPr>
        <w:t xml:space="preserve">vía </w:t>
      </w:r>
      <w:r w:rsidRPr="005E3C9B">
        <w:rPr>
          <w:rFonts w:ascii="Palatino Linotype" w:eastAsia="Palatino Linotype" w:hAnsi="Palatino Linotype" w:cs="Palatino Linotype"/>
          <w:b/>
        </w:rPr>
        <w:t>SAIMEX</w:t>
      </w:r>
      <w:r w:rsidRPr="005E3C9B">
        <w:rPr>
          <w:rFonts w:ascii="Palatino Linotype" w:eastAsia="Palatino Linotype" w:hAnsi="Palatino Linotype" w:cs="Palatino Linotype"/>
        </w:rPr>
        <w:t xml:space="preserve">, al Titular de la Unidad de Transparencia del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07620C" w14:textId="77777777" w:rsidR="005B2976" w:rsidRPr="005E3C9B" w:rsidRDefault="008E7AE9">
      <w:pPr>
        <w:spacing w:before="240" w:after="240" w:line="360" w:lineRule="auto"/>
        <w:jc w:val="both"/>
        <w:rPr>
          <w:rFonts w:ascii="Palatino Linotype" w:eastAsia="Palatino Linotype" w:hAnsi="Palatino Linotype" w:cs="Palatino Linotype"/>
        </w:rPr>
      </w:pPr>
      <w:r w:rsidRPr="005E3C9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E3C9B">
        <w:rPr>
          <w:rFonts w:ascii="Palatino Linotype" w:eastAsia="Palatino Linotype" w:hAnsi="Palatino Linotype" w:cs="Palatino Linotype"/>
          <w:b/>
        </w:rPr>
        <w:t>Sujeto Obligado</w:t>
      </w:r>
      <w:r w:rsidRPr="005E3C9B">
        <w:rPr>
          <w:rFonts w:ascii="Palatino Linotype" w:eastAsia="Palatino Linotype" w:hAnsi="Palatino Linotype" w:cs="Palatino Linotype"/>
        </w:rPr>
        <w:t xml:space="preserve"> de manera fundada y motivada, podrá solicitar una ampliación de plazo para el cumplimiento de la presente resolución.</w:t>
      </w:r>
    </w:p>
    <w:p w14:paraId="0549351D" w14:textId="77777777" w:rsidR="005B2976" w:rsidRPr="005E3C9B" w:rsidRDefault="008E7AE9">
      <w:pPr>
        <w:spacing w:before="240" w:after="240" w:line="360" w:lineRule="auto"/>
        <w:jc w:val="both"/>
        <w:rPr>
          <w:rFonts w:ascii="Palatino Linotype" w:eastAsia="Palatino Linotype" w:hAnsi="Palatino Linotype" w:cs="Palatino Linotype"/>
        </w:rPr>
      </w:pPr>
      <w:bookmarkStart w:id="14" w:name="_heading=h.ot3qq6vxa08f" w:colFirst="0" w:colLast="0"/>
      <w:bookmarkEnd w:id="14"/>
      <w:r w:rsidRPr="005E3C9B">
        <w:rPr>
          <w:rFonts w:ascii="Palatino Linotype" w:eastAsia="Palatino Linotype" w:hAnsi="Palatino Linotype" w:cs="Palatino Linotype"/>
          <w:b/>
        </w:rPr>
        <w:t xml:space="preserve">Cuarto.  Notifíquese, </w:t>
      </w:r>
      <w:r w:rsidRPr="005E3C9B">
        <w:rPr>
          <w:rFonts w:ascii="Palatino Linotype" w:eastAsia="Palatino Linotype" w:hAnsi="Palatino Linotype" w:cs="Palatino Linotype"/>
        </w:rPr>
        <w:t xml:space="preserve">vía </w:t>
      </w:r>
      <w:r w:rsidRPr="005E3C9B">
        <w:rPr>
          <w:rFonts w:ascii="Palatino Linotype" w:eastAsia="Palatino Linotype" w:hAnsi="Palatino Linotype" w:cs="Palatino Linotype"/>
          <w:b/>
        </w:rPr>
        <w:t>SAIMEX</w:t>
      </w:r>
      <w:r w:rsidRPr="005E3C9B">
        <w:rPr>
          <w:rFonts w:ascii="Palatino Linotype" w:eastAsia="Palatino Linotype" w:hAnsi="Palatino Linotype" w:cs="Palatino Linotype"/>
        </w:rPr>
        <w:t xml:space="preserve"> a la parte </w:t>
      </w:r>
      <w:r w:rsidRPr="005E3C9B">
        <w:rPr>
          <w:rFonts w:ascii="Palatino Linotype" w:eastAsia="Palatino Linotype" w:hAnsi="Palatino Linotype" w:cs="Palatino Linotype"/>
          <w:b/>
        </w:rPr>
        <w:t>Recurrente</w:t>
      </w:r>
      <w:r w:rsidRPr="005E3C9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64874956" w14:textId="608A7F9E" w:rsidR="005B2976" w:rsidRPr="00372F73" w:rsidRDefault="008E7AE9">
      <w:pPr>
        <w:tabs>
          <w:tab w:val="left" w:pos="8647"/>
        </w:tabs>
        <w:spacing w:before="240" w:after="240" w:line="360" w:lineRule="auto"/>
        <w:ind w:right="51"/>
        <w:jc w:val="both"/>
        <w:rPr>
          <w:rFonts w:ascii="Palatino Linotype" w:eastAsia="Palatino Linotype" w:hAnsi="Palatino Linotype" w:cs="Palatino Linotype"/>
        </w:rPr>
      </w:pPr>
      <w:bookmarkStart w:id="15" w:name="_heading=h.lnxbz9" w:colFirst="0" w:colLast="0"/>
      <w:bookmarkEnd w:id="15"/>
      <w:r w:rsidRPr="005E3C9B">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5A7720" w:rsidRPr="005E3C9B">
        <w:rPr>
          <w:rFonts w:ascii="Palatino Linotype" w:eastAsia="Palatino Linotype" w:hAnsi="Palatino Linotype" w:cs="Palatino Linotype"/>
        </w:rPr>
        <w:t>ARON CRISTINA MORALES MARTÍNEZ;</w:t>
      </w:r>
      <w:r w:rsidRPr="005E3C9B">
        <w:rPr>
          <w:rFonts w:ascii="Palatino Linotype" w:eastAsia="Palatino Linotype" w:hAnsi="Palatino Linotype" w:cs="Palatino Linotype"/>
        </w:rPr>
        <w:t xml:space="preserve"> Y GUADALUPE RAMÍREZ PEÑA, EN LA DÉCIMA OCTAVA SESIÓN ORDINARIA CELEBRADA EL VEINTIUNO DE MAYO DE DOS MIL VEINTICINCO, ANTE EL SECRETARIO TÉCNICO DEL PLENO ALEXIS TAPIA RAMÍREZ.</w:t>
      </w:r>
    </w:p>
    <w:p w14:paraId="3515641A" w14:textId="77777777" w:rsidR="005B2976" w:rsidRPr="00372F73" w:rsidRDefault="005B2976">
      <w:pPr>
        <w:spacing w:line="360" w:lineRule="auto"/>
        <w:jc w:val="both"/>
        <w:rPr>
          <w:rFonts w:ascii="Palatino Linotype" w:eastAsia="Palatino Linotype" w:hAnsi="Palatino Linotype" w:cs="Palatino Linotype"/>
        </w:rPr>
      </w:pPr>
    </w:p>
    <w:p w14:paraId="10ADF697" w14:textId="77777777" w:rsidR="005B2976" w:rsidRPr="00372F73" w:rsidRDefault="005B2976">
      <w:pPr>
        <w:spacing w:line="360" w:lineRule="auto"/>
        <w:jc w:val="center"/>
        <w:rPr>
          <w:rFonts w:ascii="Palatino Linotype" w:eastAsia="Palatino Linotype" w:hAnsi="Palatino Linotype" w:cs="Palatino Linotype"/>
        </w:rPr>
      </w:pPr>
    </w:p>
    <w:p w14:paraId="7CD9BAB8" w14:textId="77777777" w:rsidR="005B2976" w:rsidRPr="00372F73" w:rsidRDefault="005B2976">
      <w:pPr>
        <w:spacing w:line="360" w:lineRule="auto"/>
        <w:jc w:val="both"/>
        <w:rPr>
          <w:rFonts w:ascii="Palatino Linotype" w:eastAsia="Palatino Linotype" w:hAnsi="Palatino Linotype" w:cs="Palatino Linotype"/>
        </w:rPr>
      </w:pPr>
    </w:p>
    <w:p w14:paraId="47DD2A11" w14:textId="77777777" w:rsidR="005B2976" w:rsidRPr="00372F73" w:rsidRDefault="005B2976">
      <w:pPr>
        <w:spacing w:line="360" w:lineRule="auto"/>
        <w:jc w:val="both"/>
        <w:rPr>
          <w:rFonts w:ascii="Palatino Linotype" w:eastAsia="Palatino Linotype" w:hAnsi="Palatino Linotype" w:cs="Palatino Linotype"/>
        </w:rPr>
      </w:pPr>
    </w:p>
    <w:p w14:paraId="0AA3A685" w14:textId="77777777" w:rsidR="005B2976" w:rsidRPr="00372F73" w:rsidRDefault="005B2976">
      <w:pPr>
        <w:spacing w:line="360" w:lineRule="auto"/>
        <w:jc w:val="both"/>
        <w:rPr>
          <w:rFonts w:ascii="Palatino Linotype" w:eastAsia="Palatino Linotype" w:hAnsi="Palatino Linotype" w:cs="Palatino Linotype"/>
        </w:rPr>
      </w:pPr>
    </w:p>
    <w:p w14:paraId="4337F5B6" w14:textId="77777777" w:rsidR="005B2976" w:rsidRPr="00372F73" w:rsidRDefault="005B2976">
      <w:pPr>
        <w:spacing w:line="360" w:lineRule="auto"/>
        <w:jc w:val="both"/>
        <w:rPr>
          <w:rFonts w:ascii="Palatino Linotype" w:eastAsia="Palatino Linotype" w:hAnsi="Palatino Linotype" w:cs="Palatino Linotype"/>
        </w:rPr>
      </w:pPr>
    </w:p>
    <w:p w14:paraId="54DA2633" w14:textId="77777777" w:rsidR="005B2976" w:rsidRPr="00372F73" w:rsidRDefault="005B2976">
      <w:pPr>
        <w:spacing w:line="360" w:lineRule="auto"/>
        <w:jc w:val="both"/>
        <w:rPr>
          <w:rFonts w:ascii="Palatino Linotype" w:eastAsia="Palatino Linotype" w:hAnsi="Palatino Linotype" w:cs="Palatino Linotype"/>
        </w:rPr>
      </w:pPr>
    </w:p>
    <w:p w14:paraId="4FF85F9F" w14:textId="77777777" w:rsidR="005B2976" w:rsidRPr="00372F73" w:rsidRDefault="005B2976">
      <w:pPr>
        <w:spacing w:line="360" w:lineRule="auto"/>
        <w:jc w:val="both"/>
        <w:rPr>
          <w:rFonts w:ascii="Palatino Linotype" w:eastAsia="Palatino Linotype" w:hAnsi="Palatino Linotype" w:cs="Palatino Linotype"/>
        </w:rPr>
      </w:pPr>
    </w:p>
    <w:p w14:paraId="06794296" w14:textId="77777777" w:rsidR="005B2976" w:rsidRPr="00372F73" w:rsidRDefault="005B2976">
      <w:pPr>
        <w:spacing w:line="360" w:lineRule="auto"/>
        <w:jc w:val="both"/>
        <w:rPr>
          <w:rFonts w:ascii="Palatino Linotype" w:eastAsia="Palatino Linotype" w:hAnsi="Palatino Linotype" w:cs="Palatino Linotype"/>
        </w:rPr>
      </w:pPr>
    </w:p>
    <w:p w14:paraId="74FC3693" w14:textId="77777777" w:rsidR="005B2976" w:rsidRPr="00372F73" w:rsidRDefault="005B2976">
      <w:pPr>
        <w:spacing w:line="360" w:lineRule="auto"/>
        <w:jc w:val="both"/>
        <w:rPr>
          <w:rFonts w:ascii="Palatino Linotype" w:eastAsia="Palatino Linotype" w:hAnsi="Palatino Linotype" w:cs="Palatino Linotype"/>
        </w:rPr>
      </w:pPr>
    </w:p>
    <w:p w14:paraId="0AC6AD8D" w14:textId="77777777" w:rsidR="005B2976" w:rsidRPr="00372F73" w:rsidRDefault="005B2976">
      <w:pPr>
        <w:spacing w:line="360" w:lineRule="auto"/>
        <w:jc w:val="both"/>
        <w:rPr>
          <w:rFonts w:ascii="Palatino Linotype" w:eastAsia="Palatino Linotype" w:hAnsi="Palatino Linotype" w:cs="Palatino Linotype"/>
        </w:rPr>
      </w:pPr>
    </w:p>
    <w:p w14:paraId="02FCAF5A" w14:textId="77777777" w:rsidR="005B2976" w:rsidRPr="00372F73" w:rsidRDefault="005B2976">
      <w:pPr>
        <w:spacing w:line="360" w:lineRule="auto"/>
        <w:jc w:val="both"/>
        <w:rPr>
          <w:rFonts w:ascii="Palatino Linotype" w:eastAsia="Palatino Linotype" w:hAnsi="Palatino Linotype" w:cs="Palatino Linotype"/>
        </w:rPr>
      </w:pPr>
    </w:p>
    <w:p w14:paraId="32DFBADB" w14:textId="77777777" w:rsidR="005B2976" w:rsidRPr="00372F73" w:rsidRDefault="005B2976">
      <w:pPr>
        <w:spacing w:line="360" w:lineRule="auto"/>
        <w:jc w:val="both"/>
        <w:rPr>
          <w:rFonts w:ascii="Palatino Linotype" w:eastAsia="Palatino Linotype" w:hAnsi="Palatino Linotype" w:cs="Palatino Linotype"/>
        </w:rPr>
      </w:pPr>
    </w:p>
    <w:p w14:paraId="4C102F03" w14:textId="77777777" w:rsidR="005B2976" w:rsidRPr="00372F73" w:rsidRDefault="005B2976">
      <w:pPr>
        <w:spacing w:line="360" w:lineRule="auto"/>
        <w:jc w:val="both"/>
        <w:rPr>
          <w:rFonts w:ascii="Palatino Linotype" w:eastAsia="Palatino Linotype" w:hAnsi="Palatino Linotype" w:cs="Palatino Linotype"/>
        </w:rPr>
      </w:pPr>
    </w:p>
    <w:p w14:paraId="23E87390" w14:textId="77777777" w:rsidR="005B2976" w:rsidRPr="00372F73" w:rsidRDefault="005B2976">
      <w:pPr>
        <w:spacing w:line="360" w:lineRule="auto"/>
        <w:jc w:val="both"/>
        <w:rPr>
          <w:rFonts w:ascii="Palatino Linotype" w:eastAsia="Palatino Linotype" w:hAnsi="Palatino Linotype" w:cs="Palatino Linotype"/>
        </w:rPr>
      </w:pPr>
    </w:p>
    <w:p w14:paraId="27A61D40" w14:textId="77777777" w:rsidR="005B2976" w:rsidRPr="00372F73" w:rsidRDefault="005B2976">
      <w:pPr>
        <w:spacing w:line="360" w:lineRule="auto"/>
        <w:jc w:val="both"/>
        <w:rPr>
          <w:rFonts w:ascii="Palatino Linotype" w:eastAsia="Palatino Linotype" w:hAnsi="Palatino Linotype" w:cs="Palatino Linotype"/>
        </w:rPr>
      </w:pPr>
    </w:p>
    <w:p w14:paraId="2ABCF419" w14:textId="77777777" w:rsidR="005B2976" w:rsidRPr="00372F73" w:rsidRDefault="005B2976">
      <w:pPr>
        <w:spacing w:line="360" w:lineRule="auto"/>
        <w:jc w:val="both"/>
        <w:rPr>
          <w:rFonts w:ascii="Palatino Linotype" w:eastAsia="Palatino Linotype" w:hAnsi="Palatino Linotype" w:cs="Palatino Linotype"/>
        </w:rPr>
      </w:pPr>
    </w:p>
    <w:p w14:paraId="2DED2060" w14:textId="77777777" w:rsidR="005B2976" w:rsidRPr="00372F73" w:rsidRDefault="005B2976">
      <w:pPr>
        <w:spacing w:line="360" w:lineRule="auto"/>
        <w:jc w:val="both"/>
        <w:rPr>
          <w:rFonts w:ascii="Palatino Linotype" w:eastAsia="Palatino Linotype" w:hAnsi="Palatino Linotype" w:cs="Palatino Linotype"/>
        </w:rPr>
      </w:pPr>
    </w:p>
    <w:sectPr w:rsidR="005B2976" w:rsidRPr="00372F73">
      <w:headerReference w:type="default" r:id="rId44"/>
      <w:footerReference w:type="default" r:id="rId45"/>
      <w:headerReference w:type="first" r:id="rId46"/>
      <w:footerReference w:type="first" r:id="rId4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81A1" w14:textId="77777777" w:rsidR="00A77681" w:rsidRDefault="00A77681">
      <w:r>
        <w:separator/>
      </w:r>
    </w:p>
  </w:endnote>
  <w:endnote w:type="continuationSeparator" w:id="0">
    <w:p w14:paraId="77BFC489" w14:textId="77777777" w:rsidR="00A77681" w:rsidRDefault="00A7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FC89" w14:textId="77777777" w:rsidR="005B2976" w:rsidRDefault="008E7A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6582">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6582">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p>
  <w:p w14:paraId="1C0C13E6" w14:textId="77777777" w:rsidR="005B2976" w:rsidRDefault="005B297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ADB6" w14:textId="77777777" w:rsidR="005B2976" w:rsidRDefault="008E7A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658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6582">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p>
  <w:p w14:paraId="7A991D38" w14:textId="77777777" w:rsidR="005B2976" w:rsidRDefault="005B297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D889" w14:textId="77777777" w:rsidR="00A77681" w:rsidRDefault="00A77681">
      <w:r>
        <w:separator/>
      </w:r>
    </w:p>
  </w:footnote>
  <w:footnote w:type="continuationSeparator" w:id="0">
    <w:p w14:paraId="38433846" w14:textId="77777777" w:rsidR="00A77681" w:rsidRDefault="00A77681">
      <w:r>
        <w:continuationSeparator/>
      </w:r>
    </w:p>
  </w:footnote>
  <w:footnote w:id="1">
    <w:p w14:paraId="01EE265A" w14:textId="77777777" w:rsidR="005B2976" w:rsidRDefault="008E7A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2">
    <w:p w14:paraId="2841F1BC" w14:textId="77777777" w:rsidR="005B2976" w:rsidRDefault="008E7A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04E38521" w14:textId="77777777" w:rsidR="005B2976" w:rsidRDefault="008E7AE9">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27770693" w14:textId="77777777" w:rsidR="005B2976" w:rsidRDefault="008E7AE9">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 w:id="3">
    <w:p w14:paraId="1C44091A" w14:textId="77777777" w:rsidR="005B2976" w:rsidRDefault="008E7AE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F204" w14:textId="77777777" w:rsidR="005B2976" w:rsidRDefault="008E7AE9">
    <w:pPr>
      <w:rPr>
        <w:rFonts w:ascii="Cambria" w:eastAsia="Cambria" w:hAnsi="Cambria" w:cs="Cambria"/>
        <w:color w:val="000000"/>
      </w:rPr>
    </w:pPr>
    <w:r>
      <w:rPr>
        <w:noProof/>
      </w:rPr>
      <w:drawing>
        <wp:anchor distT="0" distB="0" distL="0" distR="0" simplePos="0" relativeHeight="251658240" behindDoc="1" locked="0" layoutInCell="1" hidden="0" allowOverlap="1" wp14:anchorId="16296C4A" wp14:editId="4E2C0A67">
          <wp:simplePos x="0" y="0"/>
          <wp:positionH relativeFrom="column">
            <wp:posOffset>-1080093</wp:posOffset>
          </wp:positionH>
          <wp:positionV relativeFrom="paragraph">
            <wp:posOffset>-488265</wp:posOffset>
          </wp:positionV>
          <wp:extent cx="7809865" cy="10165715"/>
          <wp:effectExtent l="0" t="0" r="0" b="0"/>
          <wp:wrapNone/>
          <wp:docPr id="21401318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5B2976" w14:paraId="054FEC9F" w14:textId="77777777">
      <w:tc>
        <w:tcPr>
          <w:tcW w:w="2489" w:type="dxa"/>
          <w:shd w:val="clear" w:color="auto" w:fill="auto"/>
        </w:tcPr>
        <w:p w14:paraId="525E6B9A" w14:textId="77777777" w:rsidR="005B2976" w:rsidRDefault="008E7A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B52DF5F" w14:textId="77777777" w:rsidR="005B2976" w:rsidRDefault="008E7A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02484/INFOEM/IP/RR/2025</w:t>
          </w:r>
        </w:p>
      </w:tc>
    </w:tr>
    <w:tr w:rsidR="005B2976" w14:paraId="70C3014E" w14:textId="77777777">
      <w:trPr>
        <w:trHeight w:val="228"/>
      </w:trPr>
      <w:tc>
        <w:tcPr>
          <w:tcW w:w="2489" w:type="dxa"/>
          <w:shd w:val="clear" w:color="auto" w:fill="auto"/>
          <w:vAlign w:val="center"/>
        </w:tcPr>
        <w:p w14:paraId="66355093" w14:textId="77777777" w:rsidR="005B2976" w:rsidRDefault="008E7A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660F5D0" w14:textId="77777777" w:rsidR="005B2976" w:rsidRDefault="008E7AE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5B2976" w14:paraId="21A24591" w14:textId="77777777">
      <w:tc>
        <w:tcPr>
          <w:tcW w:w="2489" w:type="dxa"/>
          <w:shd w:val="clear" w:color="auto" w:fill="auto"/>
          <w:vAlign w:val="center"/>
        </w:tcPr>
        <w:p w14:paraId="0415F7E3" w14:textId="77777777" w:rsidR="005B2976" w:rsidRDefault="008E7AE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9D37E54" w14:textId="77777777" w:rsidR="005B2976" w:rsidRDefault="008E7A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53987A" w14:textId="77777777" w:rsidR="005B2976" w:rsidRDefault="008E7AE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A67D" w14:textId="77777777" w:rsidR="005B2976" w:rsidRDefault="008E7AE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A98021D" wp14:editId="0495CD35">
          <wp:simplePos x="0" y="0"/>
          <wp:positionH relativeFrom="column">
            <wp:posOffset>-1080119</wp:posOffset>
          </wp:positionH>
          <wp:positionV relativeFrom="paragraph">
            <wp:posOffset>-369894</wp:posOffset>
          </wp:positionV>
          <wp:extent cx="7809865" cy="10165715"/>
          <wp:effectExtent l="0" t="0" r="0" b="0"/>
          <wp:wrapNone/>
          <wp:docPr id="21401318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8"/>
      <w:tblW w:w="5953" w:type="dxa"/>
      <w:tblInd w:w="3261" w:type="dxa"/>
      <w:tblLayout w:type="fixed"/>
      <w:tblLook w:val="0400" w:firstRow="0" w:lastRow="0" w:firstColumn="0" w:lastColumn="0" w:noHBand="0" w:noVBand="1"/>
    </w:tblPr>
    <w:tblGrid>
      <w:gridCol w:w="2489"/>
      <w:gridCol w:w="3464"/>
    </w:tblGrid>
    <w:tr w:rsidR="005B2976" w14:paraId="370D0BC5" w14:textId="77777777">
      <w:tc>
        <w:tcPr>
          <w:tcW w:w="2489" w:type="dxa"/>
          <w:shd w:val="clear" w:color="auto" w:fill="auto"/>
        </w:tcPr>
        <w:p w14:paraId="70F2D742" w14:textId="77777777" w:rsidR="005B2976" w:rsidRDefault="008E7A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38F49E" w14:textId="77777777" w:rsidR="005B2976" w:rsidRDefault="008E7A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02484/INFOEM/IP/RR/2025</w:t>
          </w:r>
        </w:p>
      </w:tc>
    </w:tr>
    <w:tr w:rsidR="005B2976" w14:paraId="494A26A1" w14:textId="77777777">
      <w:tc>
        <w:tcPr>
          <w:tcW w:w="2489" w:type="dxa"/>
          <w:shd w:val="clear" w:color="auto" w:fill="auto"/>
        </w:tcPr>
        <w:p w14:paraId="0A894B27" w14:textId="77777777" w:rsidR="005B2976" w:rsidRDefault="008E7A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5014CEB0" w14:textId="6462DA01" w:rsidR="005B2976" w:rsidRDefault="00CA0C8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XXXXXXXXXXXXX XXXXXXXX XXXXXXXXX </w:t>
          </w:r>
          <w:r w:rsidR="008E7AE9">
            <w:rPr>
              <w:rFonts w:ascii="Palatino Linotype" w:eastAsia="Palatino Linotype" w:hAnsi="Palatino Linotype" w:cs="Palatino Linotype"/>
              <w:b/>
              <w:sz w:val="22"/>
              <w:szCs w:val="22"/>
            </w:rPr>
            <w:t xml:space="preserve"> </w:t>
          </w:r>
        </w:p>
      </w:tc>
    </w:tr>
    <w:tr w:rsidR="005B2976" w14:paraId="63E39054" w14:textId="77777777">
      <w:trPr>
        <w:trHeight w:val="228"/>
      </w:trPr>
      <w:tc>
        <w:tcPr>
          <w:tcW w:w="2489" w:type="dxa"/>
          <w:shd w:val="clear" w:color="auto" w:fill="auto"/>
          <w:vAlign w:val="center"/>
        </w:tcPr>
        <w:p w14:paraId="3CB8CF85" w14:textId="77777777" w:rsidR="005B2976" w:rsidRDefault="008E7A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8FE03C6" w14:textId="77777777" w:rsidR="005B2976" w:rsidRDefault="008E7AE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5B2976" w14:paraId="6AFC31C9" w14:textId="77777777">
      <w:tc>
        <w:tcPr>
          <w:tcW w:w="2489" w:type="dxa"/>
          <w:shd w:val="clear" w:color="auto" w:fill="auto"/>
          <w:vAlign w:val="center"/>
        </w:tcPr>
        <w:p w14:paraId="2C24D8B5" w14:textId="77777777" w:rsidR="005B2976" w:rsidRDefault="008E7AE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C9A6AB4" w14:textId="77777777" w:rsidR="005B2976" w:rsidRDefault="008E7A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0EE746" w14:textId="77777777" w:rsidR="005B2976" w:rsidRDefault="005B2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B2F95"/>
    <w:multiLevelType w:val="multilevel"/>
    <w:tmpl w:val="232A8B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B86A59"/>
    <w:multiLevelType w:val="multilevel"/>
    <w:tmpl w:val="5DF62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3577C6"/>
    <w:multiLevelType w:val="multilevel"/>
    <w:tmpl w:val="4C048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3F2922"/>
    <w:multiLevelType w:val="multilevel"/>
    <w:tmpl w:val="561A787A"/>
    <w:lvl w:ilvl="0">
      <w:start w:val="1"/>
      <w:numFmt w:val="upperRoman"/>
      <w:lvlText w:val="%1."/>
      <w:lvlJc w:val="left"/>
      <w:pPr>
        <w:ind w:left="1288" w:hanging="719"/>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6D2D5B"/>
    <w:multiLevelType w:val="multilevel"/>
    <w:tmpl w:val="8F30BCEA"/>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AD24B70"/>
    <w:multiLevelType w:val="multilevel"/>
    <w:tmpl w:val="AB406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000FB0"/>
    <w:multiLevelType w:val="multilevel"/>
    <w:tmpl w:val="219CE090"/>
    <w:lvl w:ilvl="0">
      <w:start w:val="1"/>
      <w:numFmt w:val="bullet"/>
      <w:lvlText w:val="●"/>
      <w:lvlJc w:val="left"/>
      <w:pPr>
        <w:ind w:left="1066" w:hanging="360"/>
      </w:pPr>
      <w:rPr>
        <w:rFonts w:ascii="Noto Sans Symbols" w:eastAsia="Noto Sans Symbols" w:hAnsi="Noto Sans Symbols" w:cs="Noto Sans Symbols"/>
      </w:rPr>
    </w:lvl>
    <w:lvl w:ilvl="1">
      <w:start w:val="1"/>
      <w:numFmt w:val="bullet"/>
      <w:lvlText w:val="o"/>
      <w:lvlJc w:val="left"/>
      <w:pPr>
        <w:ind w:left="1786" w:hanging="360"/>
      </w:pPr>
      <w:rPr>
        <w:rFonts w:ascii="Courier New" w:eastAsia="Courier New" w:hAnsi="Courier New" w:cs="Courier New"/>
      </w:rPr>
    </w:lvl>
    <w:lvl w:ilvl="2">
      <w:start w:val="1"/>
      <w:numFmt w:val="bullet"/>
      <w:lvlText w:val="▪"/>
      <w:lvlJc w:val="left"/>
      <w:pPr>
        <w:ind w:left="2506" w:hanging="360"/>
      </w:pPr>
      <w:rPr>
        <w:rFonts w:ascii="Noto Sans Symbols" w:eastAsia="Noto Sans Symbols" w:hAnsi="Noto Sans Symbols" w:cs="Noto Sans Symbols"/>
      </w:rPr>
    </w:lvl>
    <w:lvl w:ilvl="3">
      <w:start w:val="1"/>
      <w:numFmt w:val="bullet"/>
      <w:lvlText w:val="●"/>
      <w:lvlJc w:val="left"/>
      <w:pPr>
        <w:ind w:left="3226" w:hanging="360"/>
      </w:pPr>
      <w:rPr>
        <w:rFonts w:ascii="Noto Sans Symbols" w:eastAsia="Noto Sans Symbols" w:hAnsi="Noto Sans Symbols" w:cs="Noto Sans Symbols"/>
      </w:rPr>
    </w:lvl>
    <w:lvl w:ilvl="4">
      <w:start w:val="1"/>
      <w:numFmt w:val="bullet"/>
      <w:lvlText w:val="o"/>
      <w:lvlJc w:val="left"/>
      <w:pPr>
        <w:ind w:left="3946" w:hanging="360"/>
      </w:pPr>
      <w:rPr>
        <w:rFonts w:ascii="Courier New" w:eastAsia="Courier New" w:hAnsi="Courier New" w:cs="Courier New"/>
      </w:rPr>
    </w:lvl>
    <w:lvl w:ilvl="5">
      <w:start w:val="1"/>
      <w:numFmt w:val="bullet"/>
      <w:lvlText w:val="▪"/>
      <w:lvlJc w:val="left"/>
      <w:pPr>
        <w:ind w:left="4666" w:hanging="360"/>
      </w:pPr>
      <w:rPr>
        <w:rFonts w:ascii="Noto Sans Symbols" w:eastAsia="Noto Sans Symbols" w:hAnsi="Noto Sans Symbols" w:cs="Noto Sans Symbols"/>
      </w:rPr>
    </w:lvl>
    <w:lvl w:ilvl="6">
      <w:start w:val="1"/>
      <w:numFmt w:val="bullet"/>
      <w:lvlText w:val="●"/>
      <w:lvlJc w:val="left"/>
      <w:pPr>
        <w:ind w:left="5386" w:hanging="360"/>
      </w:pPr>
      <w:rPr>
        <w:rFonts w:ascii="Noto Sans Symbols" w:eastAsia="Noto Sans Symbols" w:hAnsi="Noto Sans Symbols" w:cs="Noto Sans Symbols"/>
      </w:rPr>
    </w:lvl>
    <w:lvl w:ilvl="7">
      <w:start w:val="1"/>
      <w:numFmt w:val="bullet"/>
      <w:lvlText w:val="o"/>
      <w:lvlJc w:val="left"/>
      <w:pPr>
        <w:ind w:left="6106" w:hanging="360"/>
      </w:pPr>
      <w:rPr>
        <w:rFonts w:ascii="Courier New" w:eastAsia="Courier New" w:hAnsi="Courier New" w:cs="Courier New"/>
      </w:rPr>
    </w:lvl>
    <w:lvl w:ilvl="8">
      <w:start w:val="1"/>
      <w:numFmt w:val="bullet"/>
      <w:lvlText w:val="▪"/>
      <w:lvlJc w:val="left"/>
      <w:pPr>
        <w:ind w:left="6826" w:hanging="360"/>
      </w:pPr>
      <w:rPr>
        <w:rFonts w:ascii="Noto Sans Symbols" w:eastAsia="Noto Sans Symbols" w:hAnsi="Noto Sans Symbols" w:cs="Noto Sans Symbols"/>
      </w:rPr>
    </w:lvl>
  </w:abstractNum>
  <w:abstractNum w:abstractNumId="7" w15:restartNumberingAfterBreak="0">
    <w:nsid w:val="7FAF2790"/>
    <w:multiLevelType w:val="multilevel"/>
    <w:tmpl w:val="E3AE1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6"/>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976"/>
    <w:rsid w:val="00372F73"/>
    <w:rsid w:val="005A7720"/>
    <w:rsid w:val="005B2976"/>
    <w:rsid w:val="005E3C9B"/>
    <w:rsid w:val="008E7AE9"/>
    <w:rsid w:val="00A46582"/>
    <w:rsid w:val="00A77681"/>
    <w:rsid w:val="00CA0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F24E"/>
  <w15:docId w15:val="{BCFB4DFC-674D-4753-817B-E42A670F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paragraph" w:styleId="Listaconvietas2">
    <w:name w:val="List Bullet 2"/>
    <w:basedOn w:val="Normal"/>
    <w:uiPriority w:val="99"/>
    <w:unhideWhenUsed/>
    <w:rsid w:val="00240AD1"/>
    <w:pPr>
      <w:tabs>
        <w:tab w:val="num" w:pos="720"/>
      </w:tabs>
      <w:ind w:left="720" w:hanging="720"/>
      <w:contextualSpacing/>
    </w:p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134EB1"/>
    <w:rPr>
      <w:color w:val="605E5C"/>
      <w:shd w:val="clear" w:color="auto" w:fill="E1DFDD"/>
    </w:r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infoem.org.mx/es/contenido/verificaci%C3%B3n-virtual-oficiosa-2024" TargetMode="External"/><Relationship Id="rId21" Type="http://schemas.openxmlformats.org/officeDocument/2006/relationships/image" Target="media/image10.png"/><Relationship Id="rId34" Type="http://schemas.openxmlformats.org/officeDocument/2006/relationships/hyperlink" Target="https://temascalcingo.gob.mx/transparencia/" TargetMode="External"/><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temascalcingo.gob.mx/transparencia/"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https://temascalcingo.gob.mx/transparencia/" TargetMode="External"/><Relationship Id="rId19" Type="http://schemas.openxmlformats.org/officeDocument/2006/relationships/image" Target="media/image8.png"/><Relationship Id="rId31" Type="http://schemas.openxmlformats.org/officeDocument/2006/relationships/hyperlink" Target="https://temascalcingo.gob.mx/tramites-y-servicio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foem.org.mx/es/contenido/verificaci%C3%B3n-virtual-oficiosa-202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30.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yperlink" Target="https://temascalcingo.gob.mx/tramites-y-servicio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Xj/VXiHjYLrQBosGwQnaJDNRw==">CgMxLjAyCWguM3JkY3JqbjIOaC5kYWozajJ4bzZxNjYyCGguZ2pkZ3hzMgloLjNkeTZ2a20yCWguMzBqMHpsbDIJaC4yczhleW8xMghoLnR5amN3dDIJaC4zem55c2g3MgloLjJldDkycDAyCWguMjZpbjFyZzIJaC4zNW5rdW4yMgloLjFrc3Y0dXYyCWguMXQzaDVzZjIJaC4xZm9iOXRlMg5oLm90M3FxNnZ4YTA4ZjIIaC5sbnhiejk4AHIhMXFtUzF3VkFPaHUxVmVJMjNMNTUwS0lHZE5uSmR0aF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91</Pages>
  <Words>22264</Words>
  <Characters>122456</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2025-05-23T18:57:00Z</cp:lastPrinted>
  <dcterms:created xsi:type="dcterms:W3CDTF">2025-06-04T17:44:00Z</dcterms:created>
  <dcterms:modified xsi:type="dcterms:W3CDTF">2025-06-04T17:44:00Z</dcterms:modified>
</cp:coreProperties>
</file>