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D0" w:rsidRDefault="00747922" w:rsidP="00D1492E">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687FD5">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D92E18">
        <w:rPr>
          <w:rFonts w:ascii="Palatino Linotype" w:eastAsia="Palatino Linotype" w:hAnsi="Palatino Linotype" w:cs="Palatino Linotype"/>
          <w:b/>
          <w:color w:val="000000" w:themeColor="text1"/>
          <w:sz w:val="24"/>
          <w:szCs w:val="24"/>
        </w:rPr>
        <w:t xml:space="preserve">de fecha doce (12) </w:t>
      </w:r>
      <w:r w:rsidR="00D92E18" w:rsidRPr="00157555">
        <w:rPr>
          <w:rFonts w:ascii="Palatino Linotype" w:eastAsia="Palatino Linotype" w:hAnsi="Palatino Linotype" w:cs="Palatino Linotype"/>
          <w:b/>
          <w:color w:val="000000" w:themeColor="text1"/>
          <w:sz w:val="24"/>
          <w:szCs w:val="24"/>
        </w:rPr>
        <w:t xml:space="preserve">de </w:t>
      </w:r>
      <w:r w:rsidR="00D92E18">
        <w:rPr>
          <w:rFonts w:ascii="Palatino Linotype" w:eastAsia="Palatino Linotype" w:hAnsi="Palatino Linotype" w:cs="Palatino Linotype"/>
          <w:b/>
          <w:color w:val="000000" w:themeColor="text1"/>
          <w:sz w:val="24"/>
          <w:szCs w:val="24"/>
        </w:rPr>
        <w:t xml:space="preserve">noviembre </w:t>
      </w:r>
      <w:r w:rsidR="00D92E18" w:rsidRPr="00157555">
        <w:rPr>
          <w:rFonts w:ascii="Palatino Linotype" w:eastAsia="Palatino Linotype" w:hAnsi="Palatino Linotype" w:cs="Palatino Linotype"/>
          <w:b/>
          <w:color w:val="000000" w:themeColor="text1"/>
          <w:sz w:val="24"/>
          <w:szCs w:val="24"/>
        </w:rPr>
        <w:t>de dos mil veinticinco</w:t>
      </w:r>
      <w:r w:rsidRPr="00687FD5">
        <w:rPr>
          <w:rFonts w:ascii="Palatino Linotype" w:eastAsia="Palatino Linotype" w:hAnsi="Palatino Linotype" w:cs="Palatino Linotype"/>
          <w:color w:val="000000" w:themeColor="text1"/>
          <w:sz w:val="24"/>
          <w:szCs w:val="24"/>
        </w:rPr>
        <w:t>.</w:t>
      </w:r>
    </w:p>
    <w:p w:rsidR="009D03C8" w:rsidRPr="00687FD5" w:rsidRDefault="009D03C8" w:rsidP="00D1492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tabs>
          <w:tab w:val="left" w:pos="1701"/>
        </w:tabs>
        <w:spacing w:after="0" w:line="360" w:lineRule="auto"/>
        <w:jc w:val="both"/>
        <w:rPr>
          <w:rFonts w:ascii="Palatino Linotype" w:eastAsia="Palatino Linotype" w:hAnsi="Palatino Linotype" w:cs="Palatino Linotype"/>
          <w:color w:val="000000" w:themeColor="text1"/>
          <w:sz w:val="24"/>
          <w:szCs w:val="24"/>
        </w:rPr>
      </w:pPr>
      <w:bookmarkStart w:id="1" w:name="_heading=h.n0t18bsgxspd" w:colFirst="0" w:colLast="0"/>
      <w:bookmarkEnd w:id="1"/>
      <w:r w:rsidRPr="00687FD5">
        <w:rPr>
          <w:rFonts w:ascii="Palatino Linotype" w:eastAsia="Palatino Linotype" w:hAnsi="Palatino Linotype" w:cs="Palatino Linotype"/>
          <w:b/>
          <w:color w:val="000000" w:themeColor="text1"/>
          <w:sz w:val="24"/>
          <w:szCs w:val="24"/>
        </w:rPr>
        <w:t>VISTOS</w:t>
      </w:r>
      <w:r w:rsidRPr="00687FD5">
        <w:rPr>
          <w:rFonts w:ascii="Palatino Linotype" w:eastAsia="Palatino Linotype" w:hAnsi="Palatino Linotype" w:cs="Palatino Linotype"/>
          <w:color w:val="000000" w:themeColor="text1"/>
          <w:sz w:val="24"/>
          <w:szCs w:val="24"/>
        </w:rPr>
        <w:t xml:space="preserve"> los expedientes electrónicos formados con motivo del recurso de revisión número </w:t>
      </w:r>
      <w:r w:rsidRPr="00687FD5">
        <w:rPr>
          <w:rFonts w:ascii="Palatino Linotype" w:eastAsia="Palatino Linotype" w:hAnsi="Palatino Linotype" w:cs="Palatino Linotype"/>
          <w:b/>
          <w:color w:val="000000" w:themeColor="text1"/>
          <w:sz w:val="24"/>
          <w:szCs w:val="24"/>
        </w:rPr>
        <w:t>08493/INFOEM/IP/RR/2025</w:t>
      </w:r>
      <w:r w:rsidRPr="00687FD5">
        <w:rPr>
          <w:rFonts w:ascii="Palatino Linotype" w:eastAsia="Palatino Linotype" w:hAnsi="Palatino Linotype" w:cs="Palatino Linotype"/>
          <w:color w:val="000000" w:themeColor="text1"/>
          <w:sz w:val="24"/>
          <w:szCs w:val="24"/>
        </w:rPr>
        <w:t xml:space="preserve">,  interpuesto por </w:t>
      </w:r>
      <w:r w:rsidRPr="00687FD5">
        <w:rPr>
          <w:rFonts w:ascii="Palatino Linotype" w:eastAsia="Palatino Linotype" w:hAnsi="Palatino Linotype" w:cs="Palatino Linotype"/>
          <w:b/>
          <w:color w:val="000000" w:themeColor="text1"/>
          <w:sz w:val="24"/>
          <w:szCs w:val="24"/>
        </w:rPr>
        <w:t>una persona que no proporcionó datos de identificación</w:t>
      </w:r>
      <w:r w:rsidRPr="00687FD5">
        <w:rPr>
          <w:rFonts w:ascii="Palatino Linotype" w:eastAsia="Palatino Linotype" w:hAnsi="Palatino Linotype" w:cs="Palatino Linotype"/>
          <w:color w:val="000000" w:themeColor="text1"/>
          <w:sz w:val="24"/>
          <w:szCs w:val="24"/>
        </w:rPr>
        <w:t>, en lo sucesivo la parte</w:t>
      </w:r>
      <w:r w:rsidRPr="00687FD5">
        <w:rPr>
          <w:rFonts w:ascii="Palatino Linotype" w:eastAsia="Palatino Linotype" w:hAnsi="Palatino Linotype" w:cs="Palatino Linotype"/>
          <w:b/>
          <w:color w:val="000000" w:themeColor="text1"/>
          <w:sz w:val="24"/>
          <w:szCs w:val="24"/>
        </w:rPr>
        <w:t xml:space="preserve"> </w:t>
      </w:r>
      <w:r w:rsidR="00F96A7F" w:rsidRPr="00687FD5">
        <w:rPr>
          <w:rFonts w:ascii="Palatino Linotype" w:eastAsia="Palatino Linotype" w:hAnsi="Palatino Linotype" w:cs="Palatino Linotype"/>
          <w:b/>
          <w:color w:val="000000" w:themeColor="text1"/>
          <w:sz w:val="24"/>
          <w:szCs w:val="24"/>
        </w:rPr>
        <w:t>RECURRENTE</w:t>
      </w:r>
      <w:r w:rsidRPr="00687FD5">
        <w:rPr>
          <w:rFonts w:ascii="Palatino Linotype" w:eastAsia="Palatino Linotype" w:hAnsi="Palatino Linotype" w:cs="Palatino Linotype"/>
          <w:color w:val="000000" w:themeColor="text1"/>
          <w:sz w:val="24"/>
          <w:szCs w:val="24"/>
        </w:rPr>
        <w:t xml:space="preserve">, en contra de la respuesta del </w:t>
      </w:r>
      <w:r w:rsidRPr="00687FD5">
        <w:rPr>
          <w:rFonts w:ascii="Palatino Linotype" w:eastAsia="Palatino Linotype" w:hAnsi="Palatino Linotype" w:cs="Palatino Linotype"/>
          <w:b/>
          <w:color w:val="000000" w:themeColor="text1"/>
          <w:sz w:val="24"/>
          <w:szCs w:val="24"/>
        </w:rPr>
        <w:t>Sistema Municipal Para el Desarrollo Integral de la Familia de Huehuetoca</w:t>
      </w:r>
      <w:r w:rsidRPr="00687FD5">
        <w:rPr>
          <w:rFonts w:ascii="Palatino Linotype" w:eastAsia="Palatino Linotype" w:hAnsi="Palatino Linotype" w:cs="Palatino Linotype"/>
          <w:color w:val="000000" w:themeColor="text1"/>
          <w:sz w:val="24"/>
          <w:szCs w:val="24"/>
        </w:rPr>
        <w:t xml:space="preserve">, en </w:t>
      </w:r>
      <w:r w:rsidR="00F96A7F">
        <w:rPr>
          <w:rFonts w:ascii="Palatino Linotype" w:eastAsia="Palatino Linotype" w:hAnsi="Palatino Linotype" w:cs="Palatino Linotype"/>
          <w:color w:val="000000" w:themeColor="text1"/>
          <w:sz w:val="24"/>
          <w:szCs w:val="24"/>
        </w:rPr>
        <w:t>adelante</w:t>
      </w:r>
      <w:r w:rsidRPr="00687FD5">
        <w:rPr>
          <w:rFonts w:ascii="Palatino Linotype" w:eastAsia="Palatino Linotype" w:hAnsi="Palatino Linotype" w:cs="Palatino Linotype"/>
          <w:b/>
          <w:color w:val="000000" w:themeColor="text1"/>
          <w:sz w:val="24"/>
          <w:szCs w:val="24"/>
        </w:rPr>
        <w:t xml:space="preserve"> </w:t>
      </w:r>
      <w:r w:rsidR="00F96A7F" w:rsidRPr="00687FD5">
        <w:rPr>
          <w:rFonts w:ascii="Palatino Linotype" w:eastAsia="Palatino Linotype" w:hAnsi="Palatino Linotype" w:cs="Palatino Linotype"/>
          <w:color w:val="000000" w:themeColor="text1"/>
          <w:sz w:val="24"/>
          <w:szCs w:val="24"/>
        </w:rPr>
        <w:t>EL</w:t>
      </w:r>
      <w:r w:rsidR="00F96A7F" w:rsidRPr="00687FD5">
        <w:rPr>
          <w:rFonts w:ascii="Palatino Linotype" w:eastAsia="Palatino Linotype" w:hAnsi="Palatino Linotype" w:cs="Palatino Linotype"/>
          <w:b/>
          <w:color w:val="000000" w:themeColor="text1"/>
          <w:sz w:val="24"/>
          <w:szCs w:val="24"/>
        </w:rPr>
        <w:t xml:space="preserve"> SUJETO OBLIGADO</w:t>
      </w:r>
      <w:r w:rsidRPr="00687FD5">
        <w:rPr>
          <w:rFonts w:ascii="Palatino Linotype" w:eastAsia="Palatino Linotype" w:hAnsi="Palatino Linotype" w:cs="Palatino Linotype"/>
          <w:color w:val="000000" w:themeColor="text1"/>
          <w:sz w:val="24"/>
          <w:szCs w:val="24"/>
        </w:rPr>
        <w:t>,</w:t>
      </w:r>
      <w:r w:rsidRPr="00687FD5">
        <w:rPr>
          <w:rFonts w:ascii="Palatino Linotype" w:eastAsia="Palatino Linotype" w:hAnsi="Palatino Linotype" w:cs="Palatino Linotype"/>
          <w:b/>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se procede a dictar la presente resolución con base en los siguientes:</w:t>
      </w:r>
    </w:p>
    <w:p w:rsidR="00E03ED0" w:rsidRPr="00687FD5" w:rsidRDefault="00E03ED0" w:rsidP="00D1492E">
      <w:pPr>
        <w:tabs>
          <w:tab w:val="left" w:pos="1701"/>
        </w:tabs>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after="0" w:line="360" w:lineRule="auto"/>
        <w:jc w:val="center"/>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t xml:space="preserve">A N T E C E D E N T E S   </w:t>
      </w:r>
    </w:p>
    <w:p w:rsidR="00E03ED0" w:rsidRPr="00687FD5" w:rsidRDefault="00E03ED0" w:rsidP="00D1492E">
      <w:pPr>
        <w:spacing w:after="0" w:line="360" w:lineRule="auto"/>
        <w:jc w:val="center"/>
        <w:rPr>
          <w:rFonts w:ascii="Palatino Linotype" w:eastAsia="Palatino Linotype" w:hAnsi="Palatino Linotype" w:cs="Palatino Linotype"/>
          <w:b/>
          <w:color w:val="000000" w:themeColor="text1"/>
          <w:sz w:val="24"/>
          <w:szCs w:val="24"/>
        </w:rPr>
      </w:pPr>
    </w:p>
    <w:p w:rsidR="00E03ED0" w:rsidRPr="00687FD5" w:rsidRDefault="00747922" w:rsidP="00D1492E">
      <w:pPr>
        <w:numPr>
          <w:ilvl w:val="0"/>
          <w:numId w:val="1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2" w:name="_heading=h.n67orodv0vza" w:colFirst="0" w:colLast="0"/>
      <w:bookmarkEnd w:id="2"/>
      <w:r w:rsidRPr="00687FD5">
        <w:rPr>
          <w:rFonts w:ascii="Palatino Linotype" w:eastAsia="Palatino Linotype" w:hAnsi="Palatino Linotype" w:cs="Palatino Linotype"/>
          <w:color w:val="000000" w:themeColor="text1"/>
          <w:sz w:val="24"/>
          <w:szCs w:val="24"/>
        </w:rPr>
        <w:t xml:space="preserve">Con fecha diecinueve de junio de dos mil veinticinco, la parte </w:t>
      </w:r>
      <w:r w:rsidRPr="00687FD5">
        <w:rPr>
          <w:rFonts w:ascii="Palatino Linotype" w:eastAsia="Palatino Linotype" w:hAnsi="Palatino Linotype" w:cs="Palatino Linotype"/>
          <w:b/>
          <w:color w:val="000000" w:themeColor="text1"/>
          <w:sz w:val="24"/>
          <w:szCs w:val="24"/>
        </w:rPr>
        <w:t>Recurrente</w:t>
      </w:r>
      <w:r w:rsidRPr="00687FD5">
        <w:rPr>
          <w:rFonts w:ascii="Palatino Linotype" w:eastAsia="Palatino Linotype" w:hAnsi="Palatino Linotype" w:cs="Palatino Linotype"/>
          <w:color w:val="000000" w:themeColor="text1"/>
          <w:sz w:val="24"/>
          <w:szCs w:val="24"/>
        </w:rPr>
        <w:t xml:space="preserve">, presentó a través del Sistema de Acceso a la Información Mexiquense </w:t>
      </w:r>
      <w:r w:rsidRPr="00687FD5">
        <w:rPr>
          <w:rFonts w:ascii="Palatino Linotype" w:eastAsia="Palatino Linotype" w:hAnsi="Palatino Linotype" w:cs="Palatino Linotype"/>
          <w:b/>
          <w:color w:val="000000" w:themeColor="text1"/>
          <w:sz w:val="24"/>
          <w:szCs w:val="24"/>
        </w:rPr>
        <w:t>(SAIMEX)</w:t>
      </w:r>
      <w:r w:rsidRPr="00687FD5">
        <w:rPr>
          <w:rFonts w:ascii="Palatino Linotype" w:eastAsia="Palatino Linotype" w:hAnsi="Palatino Linotype" w:cs="Palatino Linotype"/>
          <w:color w:val="000000" w:themeColor="text1"/>
          <w:sz w:val="24"/>
          <w:szCs w:val="24"/>
        </w:rPr>
        <w:t xml:space="preserve"> ante el </w:t>
      </w:r>
      <w:r w:rsidRPr="00687FD5">
        <w:rPr>
          <w:rFonts w:ascii="Palatino Linotype" w:eastAsia="Palatino Linotype" w:hAnsi="Palatino Linotype" w:cs="Palatino Linotype"/>
          <w:b/>
          <w:color w:val="000000" w:themeColor="text1"/>
          <w:sz w:val="24"/>
          <w:szCs w:val="24"/>
        </w:rPr>
        <w:t>Sujeto Obligado</w:t>
      </w:r>
      <w:r w:rsidRPr="00687FD5">
        <w:rPr>
          <w:rFonts w:ascii="Palatino Linotype" w:eastAsia="Palatino Linotype" w:hAnsi="Palatino Linotype" w:cs="Palatino Linotype"/>
          <w:color w:val="000000" w:themeColor="text1"/>
          <w:sz w:val="24"/>
          <w:szCs w:val="24"/>
        </w:rPr>
        <w:t>, las solicitudes de acceso a la información pública, bajo el número de expediente</w:t>
      </w:r>
      <w:r w:rsidRPr="00687FD5">
        <w:rPr>
          <w:rFonts w:ascii="Palatino Linotype" w:eastAsia="Palatino Linotype" w:hAnsi="Palatino Linotype" w:cs="Palatino Linotype"/>
          <w:b/>
          <w:color w:val="000000" w:themeColor="text1"/>
          <w:sz w:val="24"/>
          <w:szCs w:val="24"/>
        </w:rPr>
        <w:t xml:space="preserve"> 00145/DIFHUEHUET/IP/2025,  </w:t>
      </w:r>
      <w:r w:rsidR="00EC36AE">
        <w:rPr>
          <w:rFonts w:ascii="Palatino Linotype" w:eastAsia="Palatino Linotype" w:hAnsi="Palatino Linotype" w:cs="Palatino Linotype"/>
          <w:color w:val="000000" w:themeColor="text1"/>
          <w:sz w:val="24"/>
          <w:szCs w:val="24"/>
        </w:rPr>
        <w:t>en la que se</w:t>
      </w:r>
      <w:r w:rsidRPr="00687FD5">
        <w:rPr>
          <w:rFonts w:ascii="Palatino Linotype" w:eastAsia="Palatino Linotype" w:hAnsi="Palatino Linotype" w:cs="Palatino Linotype"/>
          <w:color w:val="000000" w:themeColor="text1"/>
          <w:sz w:val="24"/>
          <w:szCs w:val="24"/>
        </w:rPr>
        <w:t xml:space="preserve"> solicitó lo siguiente:</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““Por medio de la presente solicito la siguiente información y de ser el caso la correcta versión publica de lo siguiente: Programa anual de adquisiciones Reporte de procedimientos adquisitivos, Diario General de Pólizas, Dictamen de Reconducción y Actualización Programática- Presupuestal””(Sic).</w:t>
      </w:r>
    </w:p>
    <w:p w:rsidR="00E03ED0" w:rsidRPr="00687FD5" w:rsidRDefault="00E03ED0" w:rsidP="00D1492E">
      <w:pPr>
        <w:rPr>
          <w:rFonts w:ascii="Palatino Linotype" w:eastAsia="Palatino Linotype" w:hAnsi="Palatino Linotype" w:cs="Palatino Linotype"/>
          <w:i/>
          <w:color w:val="000000" w:themeColor="text1"/>
          <w:sz w:val="24"/>
          <w:szCs w:val="24"/>
        </w:rPr>
      </w:pPr>
    </w:p>
    <w:p w:rsidR="00E03ED0" w:rsidRPr="00687FD5" w:rsidRDefault="00747922" w:rsidP="00D1492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t>MODALIDAD DE ENTREGA:</w:t>
      </w:r>
      <w:r w:rsidRPr="00687FD5">
        <w:rPr>
          <w:rFonts w:ascii="Palatino Linotype" w:eastAsia="Palatino Linotype" w:hAnsi="Palatino Linotype" w:cs="Palatino Linotype"/>
          <w:color w:val="000000" w:themeColor="text1"/>
          <w:sz w:val="24"/>
          <w:szCs w:val="24"/>
        </w:rPr>
        <w:t xml:space="preserve"> A través del </w:t>
      </w:r>
      <w:r w:rsidRPr="00687FD5">
        <w:rPr>
          <w:rFonts w:ascii="Palatino Linotype" w:eastAsia="Palatino Linotype" w:hAnsi="Palatino Linotype" w:cs="Palatino Linotype"/>
          <w:b/>
          <w:color w:val="000000" w:themeColor="text1"/>
          <w:sz w:val="24"/>
          <w:szCs w:val="24"/>
        </w:rPr>
        <w:t>SAIMEX</w:t>
      </w:r>
      <w:r w:rsidRPr="00687FD5">
        <w:rPr>
          <w:rFonts w:ascii="Palatino Linotype" w:eastAsia="Palatino Linotype" w:hAnsi="Palatino Linotype" w:cs="Palatino Linotype"/>
          <w:color w:val="000000" w:themeColor="text1"/>
          <w:sz w:val="24"/>
          <w:szCs w:val="24"/>
        </w:rPr>
        <w:t>.</w:t>
      </w:r>
    </w:p>
    <w:p w:rsidR="00E03ED0" w:rsidRPr="00687FD5" w:rsidRDefault="00747922" w:rsidP="00D1492E">
      <w:pPr>
        <w:numPr>
          <w:ilvl w:val="0"/>
          <w:numId w:val="1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 xml:space="preserve">De lo anterior en fecha </w:t>
      </w:r>
      <w:r w:rsidRPr="00687FD5">
        <w:rPr>
          <w:rFonts w:ascii="Palatino Linotype" w:eastAsia="Palatino Linotype" w:hAnsi="Palatino Linotype" w:cs="Palatino Linotype"/>
          <w:b/>
          <w:color w:val="000000" w:themeColor="text1"/>
          <w:sz w:val="24"/>
          <w:szCs w:val="24"/>
        </w:rPr>
        <w:t>once de julio de dos mil veinticinco</w:t>
      </w:r>
      <w:r w:rsidRPr="00687FD5">
        <w:rPr>
          <w:rFonts w:ascii="Palatino Linotype" w:eastAsia="Palatino Linotype" w:hAnsi="Palatino Linotype" w:cs="Palatino Linotype"/>
          <w:color w:val="000000" w:themeColor="text1"/>
          <w:sz w:val="24"/>
          <w:szCs w:val="24"/>
        </w:rPr>
        <w:t xml:space="preserve">, el SUJETO OBLIGADO dio respuesta a las solicitudes de información con un archivo en formato pdf, cuyo contenido  </w:t>
      </w:r>
      <w:r w:rsidRPr="00687FD5">
        <w:rPr>
          <w:rFonts w:ascii="Palatino Linotype" w:eastAsia="Palatino Linotype" w:hAnsi="Palatino Linotype" w:cs="Palatino Linotype"/>
          <w:i/>
          <w:color w:val="000000" w:themeColor="text1"/>
          <w:sz w:val="24"/>
          <w:szCs w:val="24"/>
        </w:rPr>
        <w:t>latu sensu</w:t>
      </w:r>
      <w:r w:rsidRPr="00687FD5">
        <w:rPr>
          <w:rFonts w:ascii="Palatino Linotype" w:eastAsia="Palatino Linotype" w:hAnsi="Palatino Linotype" w:cs="Palatino Linotype"/>
          <w:color w:val="000000" w:themeColor="text1"/>
          <w:sz w:val="24"/>
          <w:szCs w:val="24"/>
        </w:rPr>
        <w:t xml:space="preserve"> es el siguiente:</w:t>
      </w:r>
      <w:r w:rsidRPr="00687FD5">
        <w:rPr>
          <w:rFonts w:ascii="Palatino Linotype" w:eastAsia="Palatino Linotype" w:hAnsi="Palatino Linotype" w:cs="Palatino Linotype"/>
          <w:b/>
          <w:color w:val="000000" w:themeColor="text1"/>
          <w:sz w:val="24"/>
          <w:szCs w:val="24"/>
        </w:rPr>
        <w:t xml:space="preserve"> </w:t>
      </w:r>
    </w:p>
    <w:p w:rsidR="00E03ED0" w:rsidRPr="00687FD5" w:rsidRDefault="00747922" w:rsidP="00D1492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145.pdf: </w:t>
      </w:r>
      <w:r w:rsidRPr="00687FD5">
        <w:rPr>
          <w:rFonts w:ascii="Palatino Linotype" w:eastAsia="Palatino Linotype" w:hAnsi="Palatino Linotype" w:cs="Palatino Linotype"/>
          <w:i/>
          <w:color w:val="000000" w:themeColor="text1"/>
          <w:sz w:val="24"/>
          <w:szCs w:val="24"/>
        </w:rPr>
        <w:t xml:space="preserve">Oficio firmado por jefa de adquisiciones donde refiere el cambio de modalidad de entrega de la información a consulta en las Oficinas Centrales del Sistema Municipal DIF en horario de 9:00 a 18:00 una vez cubierto el costo correspondiente. </w:t>
      </w:r>
    </w:p>
    <w:p w:rsidR="00E03ED0" w:rsidRPr="00687FD5" w:rsidRDefault="00E03ED0" w:rsidP="00D1492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03ED0" w:rsidRPr="00687FD5" w:rsidRDefault="00747922" w:rsidP="00D1492E">
      <w:pPr>
        <w:numPr>
          <w:ilvl w:val="0"/>
          <w:numId w:val="1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El doce de julio de dos mil veinticinco, inconforme con las respuestas notificadas por el </w:t>
      </w:r>
      <w:r w:rsidRPr="00687FD5">
        <w:rPr>
          <w:rFonts w:ascii="Palatino Linotype" w:eastAsia="Palatino Linotype" w:hAnsi="Palatino Linotype" w:cs="Palatino Linotype"/>
          <w:b/>
          <w:color w:val="000000" w:themeColor="text1"/>
          <w:sz w:val="24"/>
          <w:szCs w:val="24"/>
        </w:rPr>
        <w:t>Sujeto Obligado</w:t>
      </w:r>
      <w:r w:rsidRPr="00687FD5">
        <w:rPr>
          <w:rFonts w:ascii="Palatino Linotype" w:eastAsia="Palatino Linotype" w:hAnsi="Palatino Linotype" w:cs="Palatino Linotype"/>
          <w:color w:val="000000" w:themeColor="text1"/>
          <w:sz w:val="24"/>
          <w:szCs w:val="24"/>
        </w:rPr>
        <w:t xml:space="preserve">, el solicitante </w:t>
      </w:r>
      <w:r w:rsidRPr="00687FD5">
        <w:rPr>
          <w:rFonts w:ascii="Palatino Linotype" w:eastAsia="Palatino Linotype" w:hAnsi="Palatino Linotype" w:cs="Palatino Linotype"/>
          <w:b/>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interpuso el recurso de revisión en la solicitud de información 00145/DIFHUEHUET/IP/2025 señalando las siguientes razones o motivos de inconformidad:</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6"/>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bookmarkStart w:id="3" w:name="_heading=h.oydkqhwdg1gj" w:colFirst="0" w:colLast="0"/>
      <w:bookmarkEnd w:id="3"/>
      <w:r w:rsidRPr="00687FD5">
        <w:rPr>
          <w:rFonts w:ascii="Palatino Linotype" w:eastAsia="Palatino Linotype" w:hAnsi="Palatino Linotype" w:cs="Palatino Linotype"/>
          <w:b/>
          <w:color w:val="000000" w:themeColor="text1"/>
          <w:sz w:val="24"/>
          <w:szCs w:val="24"/>
        </w:rPr>
        <w:t xml:space="preserve">ACTO IMPUGNADO: </w:t>
      </w:r>
    </w:p>
    <w:p w:rsidR="00E03ED0"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w:t>
      </w:r>
      <w:r w:rsidRPr="00687FD5">
        <w:rPr>
          <w:rFonts w:ascii="Palatino Linotype" w:eastAsia="Verdana" w:hAnsi="Palatino Linotype" w:cs="Verdana"/>
          <w:i/>
          <w:color w:val="000000" w:themeColor="text1"/>
          <w:sz w:val="24"/>
          <w:szCs w:val="24"/>
        </w:rPr>
        <w:t>Se levanta el presente recurso de revision, toda vez que no enviaron lo que se pidio</w:t>
      </w:r>
      <w:r w:rsidRPr="00687FD5">
        <w:rPr>
          <w:rFonts w:ascii="Palatino Linotype" w:eastAsia="Verdana" w:hAnsi="Palatino Linotype" w:cs="Verdana"/>
          <w:color w:val="000000" w:themeColor="text1"/>
          <w:sz w:val="24"/>
          <w:szCs w:val="24"/>
        </w:rPr>
        <w:t>.</w:t>
      </w:r>
      <w:r w:rsidRPr="00687FD5">
        <w:rPr>
          <w:rFonts w:ascii="Palatino Linotype" w:eastAsia="Palatino Linotype" w:hAnsi="Palatino Linotype" w:cs="Palatino Linotype"/>
          <w:i/>
          <w:color w:val="000000" w:themeColor="text1"/>
          <w:sz w:val="24"/>
          <w:szCs w:val="24"/>
        </w:rPr>
        <w:t>”(Sic).</w:t>
      </w:r>
    </w:p>
    <w:p w:rsidR="00687FD5" w:rsidRPr="00687FD5" w:rsidRDefault="00687FD5" w:rsidP="00D1492E">
      <w:pPr>
        <w:jc w:val="both"/>
        <w:rPr>
          <w:rFonts w:ascii="Palatino Linotype" w:eastAsia="Palatino Linotype" w:hAnsi="Palatino Linotype" w:cs="Palatino Linotype"/>
          <w:i/>
          <w:color w:val="000000" w:themeColor="text1"/>
          <w:sz w:val="24"/>
          <w:szCs w:val="24"/>
        </w:rPr>
      </w:pPr>
    </w:p>
    <w:p w:rsidR="00E03ED0" w:rsidRPr="00687FD5" w:rsidRDefault="00747922" w:rsidP="00D1492E">
      <w:pPr>
        <w:numPr>
          <w:ilvl w:val="0"/>
          <w:numId w:val="15"/>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color w:val="000000" w:themeColor="text1"/>
          <w:sz w:val="24"/>
          <w:szCs w:val="24"/>
        </w:rPr>
        <w:t xml:space="preserve">RAZONES O MOTIVOS DE INCONFORMIDAD: </w:t>
      </w:r>
    </w:p>
    <w:p w:rsidR="00E03ED0" w:rsidRPr="00687FD5" w:rsidRDefault="00747922" w:rsidP="00D1492E">
      <w:pPr>
        <w:spacing w:after="0"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w:t>
      </w:r>
      <w:r w:rsidRPr="00687FD5">
        <w:rPr>
          <w:rFonts w:ascii="Palatino Linotype" w:eastAsia="Verdana" w:hAnsi="Palatino Linotype" w:cs="Verdana"/>
          <w:i/>
          <w:color w:val="000000" w:themeColor="text1"/>
          <w:sz w:val="24"/>
          <w:szCs w:val="24"/>
        </w:rPr>
        <w:t>Se levanta el presente recurso de revisión, toda vez que no enviaron lo que se pidió, se envía la respuesta emitida. RESPUESTA: De acuerdo con la Ley de Transparencia y Acceso a la Información Pública del Estado de México y Municipios, sustentado en el articulo 17. "La búsqueda y acceso a la información es gratuita y solo se cubrirán los gastos de reproducción o POR LA MODALIDAD DE ENTREGA SOLICITADA, así como por el envío, que en su caso genere, de conformidad con los derechos, productos y aprovechamientos establecidos en la legislación aplicable, sin que exceda de los limites establecidos en la presente Ley". Diré al respecto que la modalidad de entrega solicitada fue vía SAIMEX. Tan es así que todo lo que se solicitó debe de ser enviado bajo esta modalidad</w:t>
      </w:r>
      <w:r w:rsidRPr="00687FD5">
        <w:rPr>
          <w:rFonts w:ascii="Palatino Linotype" w:eastAsia="Palatino Linotype" w:hAnsi="Palatino Linotype" w:cs="Palatino Linotype"/>
          <w:i/>
          <w:color w:val="000000" w:themeColor="text1"/>
          <w:sz w:val="24"/>
          <w:szCs w:val="24"/>
        </w:rPr>
        <w:t>”(Sic).</w:t>
      </w:r>
    </w:p>
    <w:p w:rsidR="00E03ED0" w:rsidRPr="00687FD5" w:rsidRDefault="00747922" w:rsidP="00D1492E">
      <w:pPr>
        <w:spacing w:line="360" w:lineRule="auto"/>
        <w:jc w:val="both"/>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t xml:space="preserve"> </w:t>
      </w:r>
    </w:p>
    <w:p w:rsidR="00E03ED0" w:rsidRPr="00687FD5" w:rsidRDefault="00747922" w:rsidP="00D1492E">
      <w:pPr>
        <w:numPr>
          <w:ilvl w:val="0"/>
          <w:numId w:val="1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Consecutivamente</w:t>
      </w:r>
      <w:r w:rsidRPr="00687FD5">
        <w:rPr>
          <w:rFonts w:ascii="Palatino Linotype" w:eastAsia="Palatino Linotype" w:hAnsi="Palatino Linotype" w:cs="Palatino Linotype"/>
          <w:i/>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con fundamento en lo dispuesto por el artículo 185 fracción I de la Ley de Transparencia y Acceso a la Información Pública del Estado de México y Municipios, el recurso de referencia, fue turnado</w:t>
      </w:r>
      <w:r w:rsidRPr="00687FD5">
        <w:rPr>
          <w:rFonts w:ascii="Palatino Linotype" w:eastAsia="Palatino Linotype" w:hAnsi="Palatino Linotype" w:cs="Palatino Linotype"/>
          <w:b/>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a la Comisionada</w:t>
      </w:r>
      <w:r w:rsidRPr="00687FD5">
        <w:rPr>
          <w:rFonts w:ascii="Palatino Linotype" w:eastAsia="Palatino Linotype" w:hAnsi="Palatino Linotype" w:cs="Palatino Linotype"/>
          <w:b/>
          <w:color w:val="000000" w:themeColor="text1"/>
          <w:sz w:val="24"/>
          <w:szCs w:val="24"/>
        </w:rPr>
        <w:t xml:space="preserve"> María del Rosario Mejía Ayala </w:t>
      </w:r>
      <w:r w:rsidRPr="00687FD5">
        <w:rPr>
          <w:rFonts w:ascii="Palatino Linotype" w:eastAsia="Palatino Linotype" w:hAnsi="Palatino Linotype" w:cs="Palatino Linotype"/>
          <w:color w:val="000000" w:themeColor="text1"/>
          <w:sz w:val="24"/>
          <w:szCs w:val="24"/>
        </w:rPr>
        <w:t>con el objeto de su análisis.</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EC36AE" w:rsidP="00D1492E">
      <w:pPr>
        <w:numPr>
          <w:ilvl w:val="0"/>
          <w:numId w:val="14"/>
        </w:numPr>
        <w:spacing w:after="0" w:line="360" w:lineRule="auto"/>
        <w:ind w:left="0" w:firstLine="0"/>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La Comisionada p</w:t>
      </w:r>
      <w:r w:rsidR="00747922" w:rsidRPr="00687FD5">
        <w:rPr>
          <w:rFonts w:ascii="Palatino Linotype" w:eastAsia="Palatino Linotype" w:hAnsi="Palatino Linotype" w:cs="Palatino Linotype"/>
          <w:color w:val="000000" w:themeColor="text1"/>
          <w:sz w:val="24"/>
          <w:szCs w:val="24"/>
        </w:rPr>
        <w:t xml:space="preserve">onente, con fundamento en lo dispuesto por el artículo 185 fracción II de la ley de la materia, a través del acuerdo de admisión notificado en fecha </w:t>
      </w:r>
      <w:r w:rsidR="00747922" w:rsidRPr="00687FD5">
        <w:rPr>
          <w:rFonts w:ascii="Palatino Linotype" w:eastAsia="Palatino Linotype" w:hAnsi="Palatino Linotype" w:cs="Palatino Linotype"/>
          <w:b/>
          <w:color w:val="000000" w:themeColor="text1"/>
          <w:sz w:val="24"/>
          <w:szCs w:val="24"/>
        </w:rPr>
        <w:t>dieciséis de julio de dos mil veinticinco,</w:t>
      </w:r>
      <w:r w:rsidR="00747922" w:rsidRPr="00687FD5">
        <w:rPr>
          <w:rFonts w:ascii="Palatino Linotype" w:eastAsia="Palatino Linotype" w:hAnsi="Palatino Linotype" w:cs="Palatino Linotype"/>
          <w:color w:val="000000" w:themeColor="text1"/>
          <w:sz w:val="24"/>
          <w:szCs w:val="24"/>
        </w:rPr>
        <w:t xml:space="preserve"> poniendo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00747922" w:rsidRPr="00687FD5">
        <w:rPr>
          <w:rFonts w:ascii="Palatino Linotype" w:eastAsia="Palatino Linotype" w:hAnsi="Palatino Linotype" w:cs="Palatino Linotype"/>
          <w:b/>
          <w:color w:val="000000" w:themeColor="text1"/>
          <w:sz w:val="24"/>
          <w:szCs w:val="24"/>
        </w:rPr>
        <w:t>SUJETO OBLIGADO</w:t>
      </w:r>
      <w:r w:rsidR="00747922" w:rsidRPr="00687FD5">
        <w:rPr>
          <w:rFonts w:ascii="Palatino Linotype" w:eastAsia="Palatino Linotype" w:hAnsi="Palatino Linotype" w:cs="Palatino Linotype"/>
          <w:color w:val="000000" w:themeColor="text1"/>
          <w:sz w:val="24"/>
          <w:szCs w:val="24"/>
        </w:rPr>
        <w:t xml:space="preserve"> presentara el Informe Justificado procedente.</w:t>
      </w:r>
    </w:p>
    <w:p w:rsidR="00E03ED0" w:rsidRPr="00687FD5" w:rsidRDefault="00E03ED0" w:rsidP="00D1492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4"/>
        </w:numPr>
        <w:tabs>
          <w:tab w:val="left" w:pos="426"/>
        </w:tabs>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  De las constancias que obran en el expediente digital del recurso de revisión que hoy se resuelve, se aprecia que el </w:t>
      </w:r>
      <w:r w:rsidRPr="00687FD5">
        <w:rPr>
          <w:rFonts w:ascii="Palatino Linotype" w:eastAsia="Palatino Linotype" w:hAnsi="Palatino Linotype" w:cs="Palatino Linotype"/>
          <w:b/>
          <w:color w:val="000000" w:themeColor="text1"/>
          <w:sz w:val="24"/>
          <w:szCs w:val="24"/>
        </w:rPr>
        <w:t>SUJETO OBLIGADO</w:t>
      </w:r>
      <w:r w:rsidRPr="00687FD5">
        <w:rPr>
          <w:rFonts w:ascii="Palatino Linotype" w:eastAsia="Palatino Linotype" w:hAnsi="Palatino Linotype" w:cs="Palatino Linotype"/>
          <w:color w:val="000000" w:themeColor="text1"/>
          <w:sz w:val="24"/>
          <w:szCs w:val="24"/>
        </w:rPr>
        <w:t xml:space="preserve">  fue omiso en presentar el informe justificado respectivo; así mismo </w:t>
      </w:r>
      <w:r w:rsidRPr="00687FD5">
        <w:rPr>
          <w:rFonts w:ascii="Palatino Linotype" w:eastAsia="Palatino Linotype" w:hAnsi="Palatino Linotype" w:cs="Palatino Linotype"/>
          <w:b/>
          <w:color w:val="000000" w:themeColor="text1"/>
          <w:sz w:val="24"/>
          <w:szCs w:val="24"/>
        </w:rPr>
        <w:t xml:space="preserve">EL RECURRENTE </w:t>
      </w:r>
      <w:r w:rsidRPr="00687FD5">
        <w:rPr>
          <w:rFonts w:ascii="Palatino Linotype" w:eastAsia="Palatino Linotype" w:hAnsi="Palatino Linotype" w:cs="Palatino Linotype"/>
          <w:color w:val="000000" w:themeColor="text1"/>
          <w:sz w:val="24"/>
          <w:szCs w:val="24"/>
        </w:rPr>
        <w:t>no realizo manifestaciones que a su derecho correspondieran.</w:t>
      </w:r>
    </w:p>
    <w:p w:rsidR="00E03ED0" w:rsidRPr="00687FD5" w:rsidRDefault="00E03ED0" w:rsidP="00D1492E">
      <w:pPr>
        <w:spacing w:line="360" w:lineRule="auto"/>
        <w:jc w:val="both"/>
        <w:rPr>
          <w:rFonts w:ascii="Palatino Linotype" w:eastAsia="Palatino Linotype" w:hAnsi="Palatino Linotype" w:cs="Palatino Linotype"/>
          <w:b/>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Seguidamente en fecha </w:t>
      </w:r>
      <w:r w:rsidRPr="00687FD5">
        <w:rPr>
          <w:rFonts w:ascii="Palatino Linotype" w:eastAsia="Palatino Linotype" w:hAnsi="Palatino Linotype" w:cs="Palatino Linotype"/>
          <w:b/>
          <w:color w:val="000000" w:themeColor="text1"/>
          <w:sz w:val="24"/>
          <w:szCs w:val="24"/>
        </w:rPr>
        <w:t>cuatro de septiembre</w:t>
      </w:r>
      <w:r w:rsidRPr="00687FD5">
        <w:rPr>
          <w:rFonts w:ascii="Palatino Linotype" w:eastAsia="Palatino Linotype" w:hAnsi="Palatino Linotype" w:cs="Palatino Linotype"/>
          <w:color w:val="000000" w:themeColor="text1"/>
          <w:sz w:val="24"/>
          <w:szCs w:val="24"/>
        </w:rPr>
        <w:t xml:space="preserve"> </w:t>
      </w:r>
      <w:r w:rsidRPr="00687FD5">
        <w:rPr>
          <w:rFonts w:ascii="Palatino Linotype" w:eastAsia="Palatino Linotype" w:hAnsi="Palatino Linotype" w:cs="Palatino Linotype"/>
          <w:b/>
          <w:color w:val="000000" w:themeColor="text1"/>
          <w:sz w:val="24"/>
          <w:szCs w:val="24"/>
        </w:rPr>
        <w:t>de dos mil veinticinco</w:t>
      </w:r>
      <w:r w:rsidRPr="00687FD5">
        <w:rPr>
          <w:rFonts w:ascii="Palatino Linotype" w:eastAsia="Palatino Linotype" w:hAnsi="Palatino Linotype" w:cs="Palatino Linotype"/>
          <w:color w:val="000000" w:themeColor="text1"/>
          <w:sz w:val="24"/>
          <w:szCs w:val="24"/>
        </w:rPr>
        <w:t>, la Comisionada Ponente dictó el cierre del periodo de instrucción y, ordenó la resolución que conforme a Derecho proceda, de acuerdo a las siguientes:</w:t>
      </w:r>
      <w:r w:rsidR="00EC36AE">
        <w:rPr>
          <w:rFonts w:ascii="Palatino Linotype" w:eastAsia="Palatino Linotype" w:hAnsi="Palatino Linotype" w:cs="Palatino Linotype"/>
          <w:color w:val="000000" w:themeColor="text1"/>
          <w:sz w:val="24"/>
          <w:szCs w:val="24"/>
        </w:rPr>
        <w:t xml:space="preserve"> ------------------------------------------</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center"/>
        <w:rPr>
          <w:rFonts w:ascii="Palatino Linotype" w:eastAsia="Palatino Linotype" w:hAnsi="Palatino Linotype" w:cs="Palatino Linotype"/>
          <w:color w:val="000000" w:themeColor="text1"/>
          <w:sz w:val="24"/>
          <w:szCs w:val="24"/>
        </w:rPr>
      </w:pPr>
    </w:p>
    <w:p w:rsidR="00E03ED0" w:rsidRPr="00687FD5" w:rsidRDefault="00747922" w:rsidP="00D1492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lastRenderedPageBreak/>
        <w:t>C O N S I D E R A C I O N E S</w:t>
      </w:r>
    </w:p>
    <w:p w:rsidR="00E03ED0" w:rsidRPr="00687FD5" w:rsidRDefault="00E03ED0" w:rsidP="00D1492E">
      <w:pPr>
        <w:spacing w:after="0" w:line="240" w:lineRule="auto"/>
        <w:rPr>
          <w:rFonts w:ascii="Palatino Linotype" w:eastAsia="Palatino Linotype" w:hAnsi="Palatino Linotype" w:cs="Palatino Linotype"/>
          <w:color w:val="000000" w:themeColor="text1"/>
          <w:sz w:val="24"/>
          <w:szCs w:val="24"/>
        </w:rPr>
      </w:pPr>
    </w:p>
    <w:p w:rsidR="00E03ED0" w:rsidRPr="00687FD5" w:rsidRDefault="00747922" w:rsidP="00D1492E">
      <w:pPr>
        <w:spacing w:after="0"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t>PRIMERO. De la competencia</w:t>
      </w:r>
      <w:r w:rsidRPr="00687FD5">
        <w:rPr>
          <w:rFonts w:ascii="Palatino Linotype" w:eastAsia="Palatino Linotype" w:hAnsi="Palatino Linotype" w:cs="Palatino Linotype"/>
          <w:color w:val="000000" w:themeColor="text1"/>
          <w:sz w:val="24"/>
          <w:szCs w:val="24"/>
        </w:rPr>
        <w:t>.</w:t>
      </w:r>
    </w:p>
    <w:p w:rsidR="00E03ED0" w:rsidRPr="00EC36AE" w:rsidRDefault="00747922" w:rsidP="00EC36AE">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36AE">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highlight w:val="white"/>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Así mismo  es necesario referir, que si bien el recurso de mérito es procedente al haber sido admitido como ha quedado descrito en el apartado de antecedentes, no menos cierto es que en el acuerdo de admisión no se hace mención al nombre del </w:t>
      </w:r>
      <w:r w:rsidRPr="00687FD5">
        <w:rPr>
          <w:rFonts w:ascii="Palatino Linotype" w:eastAsia="Palatino Linotype" w:hAnsi="Palatino Linotype" w:cs="Palatino Linotype"/>
          <w:b/>
          <w:color w:val="000000" w:themeColor="text1"/>
          <w:sz w:val="24"/>
          <w:szCs w:val="24"/>
        </w:rPr>
        <w:t>Recurrente,</w:t>
      </w:r>
      <w:r w:rsidRPr="00687FD5">
        <w:rPr>
          <w:rFonts w:ascii="Palatino Linotype" w:eastAsia="Palatino Linotype" w:hAnsi="Palatino Linotype" w:cs="Palatino Linotype"/>
          <w:color w:val="000000" w:themeColor="text1"/>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w:t>
      </w:r>
      <w:r w:rsidRPr="00687FD5">
        <w:rPr>
          <w:rFonts w:ascii="Palatino Linotype" w:eastAsia="Palatino Linotype" w:hAnsi="Palatino Linotype" w:cs="Palatino Linotype"/>
          <w:color w:val="000000" w:themeColor="text1"/>
          <w:sz w:val="24"/>
          <w:szCs w:val="24"/>
        </w:rPr>
        <w:lastRenderedPageBreak/>
        <w:t>la impugnación de manera electrónica, ello porque no se advierte nombre en específico, del cual no se colige que corresponda al nombre de una persona.</w:t>
      </w:r>
    </w:p>
    <w:p w:rsidR="00E03ED0" w:rsidRPr="00687FD5" w:rsidRDefault="00747922" w:rsidP="00D1492E">
      <w:pPr>
        <w:widowControl w:val="0"/>
        <w:spacing w:after="0"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03ED0" w:rsidRPr="00687FD5" w:rsidRDefault="00747922" w:rsidP="00D1492E">
      <w:pPr>
        <w:tabs>
          <w:tab w:val="left" w:pos="7938"/>
        </w:tabs>
        <w:spacing w:after="0" w:line="240" w:lineRule="auto"/>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i/>
          <w:color w:val="000000" w:themeColor="text1"/>
          <w:sz w:val="24"/>
          <w:szCs w:val="24"/>
        </w:rPr>
        <w:t>“</w:t>
      </w:r>
      <w:r w:rsidRPr="00687FD5">
        <w:rPr>
          <w:rFonts w:ascii="Palatino Linotype" w:eastAsia="Palatino Linotype" w:hAnsi="Palatino Linotype" w:cs="Palatino Linotype"/>
          <w:b/>
          <w:i/>
          <w:color w:val="000000" w:themeColor="text1"/>
          <w:sz w:val="24"/>
          <w:szCs w:val="24"/>
        </w:rPr>
        <w:t xml:space="preserve">Artículo 180. </w:t>
      </w:r>
      <w:r w:rsidRPr="00687FD5">
        <w:rPr>
          <w:rFonts w:ascii="Palatino Linotype" w:eastAsia="Palatino Linotype" w:hAnsi="Palatino Linotype" w:cs="Palatino Linotype"/>
          <w:i/>
          <w:color w:val="000000" w:themeColor="text1"/>
          <w:sz w:val="24"/>
          <w:szCs w:val="24"/>
        </w:rPr>
        <w:t>El recurso de revisión contendrá:</w:t>
      </w:r>
      <w:r w:rsidRPr="00687FD5">
        <w:rPr>
          <w:rFonts w:ascii="Palatino Linotype" w:eastAsia="Palatino Linotype" w:hAnsi="Palatino Linotype" w:cs="Palatino Linotype"/>
          <w:b/>
          <w:i/>
          <w:color w:val="000000" w:themeColor="text1"/>
          <w:sz w:val="24"/>
          <w:szCs w:val="24"/>
        </w:rPr>
        <w:t xml:space="preserve"> </w:t>
      </w:r>
    </w:p>
    <w:p w:rsidR="00E03ED0" w:rsidRPr="00687FD5" w:rsidRDefault="00747922" w:rsidP="00D1492E">
      <w:pPr>
        <w:tabs>
          <w:tab w:val="left" w:pos="7938"/>
        </w:tabs>
        <w:spacing w:after="0" w:line="240" w:lineRule="auto"/>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I. </w:t>
      </w:r>
      <w:r w:rsidRPr="00687FD5">
        <w:rPr>
          <w:rFonts w:ascii="Palatino Linotype" w:eastAsia="Palatino Linotype" w:hAnsi="Palatino Linotype" w:cs="Palatino Linotype"/>
          <w:i/>
          <w:color w:val="000000" w:themeColor="text1"/>
          <w:sz w:val="24"/>
          <w:szCs w:val="24"/>
        </w:rPr>
        <w:t>El sujeto obligado ante la cual se presentó la solicitud;</w:t>
      </w:r>
      <w:r w:rsidRPr="00687FD5">
        <w:rPr>
          <w:rFonts w:ascii="Palatino Linotype" w:eastAsia="Palatino Linotype" w:hAnsi="Palatino Linotype" w:cs="Palatino Linotype"/>
          <w:b/>
          <w:i/>
          <w:color w:val="000000" w:themeColor="text1"/>
          <w:sz w:val="24"/>
          <w:szCs w:val="24"/>
        </w:rPr>
        <w:t xml:space="preserve"> </w:t>
      </w:r>
    </w:p>
    <w:p w:rsidR="00E03ED0" w:rsidRPr="00687FD5" w:rsidRDefault="00747922" w:rsidP="00D1492E">
      <w:pPr>
        <w:tabs>
          <w:tab w:val="left" w:pos="7938"/>
        </w:tabs>
        <w:spacing w:after="0" w:line="240" w:lineRule="auto"/>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II. </w:t>
      </w:r>
      <w:r w:rsidRPr="00687FD5">
        <w:rPr>
          <w:rFonts w:ascii="Palatino Linotype" w:eastAsia="Palatino Linotype" w:hAnsi="Palatino Linotype" w:cs="Palatino Linotype"/>
          <w:b/>
          <w:i/>
          <w:color w:val="000000" w:themeColor="text1"/>
          <w:sz w:val="24"/>
          <w:szCs w:val="24"/>
          <w:u w:val="single"/>
        </w:rPr>
        <w:t>El nombre del solicitante que recurre</w:t>
      </w:r>
      <w:r w:rsidRPr="00687FD5">
        <w:rPr>
          <w:rFonts w:ascii="Palatino Linotype" w:eastAsia="Palatino Linotype" w:hAnsi="Palatino Linotype" w:cs="Palatino Linotype"/>
          <w:b/>
          <w:i/>
          <w:color w:val="000000" w:themeColor="text1"/>
          <w:sz w:val="24"/>
          <w:szCs w:val="24"/>
        </w:rPr>
        <w:t xml:space="preserve"> </w:t>
      </w:r>
      <w:r w:rsidRPr="00687FD5">
        <w:rPr>
          <w:rFonts w:ascii="Palatino Linotype" w:eastAsia="Palatino Linotype" w:hAnsi="Palatino Linotype" w:cs="Palatino Linotype"/>
          <w:i/>
          <w:color w:val="000000" w:themeColor="text1"/>
          <w:sz w:val="24"/>
          <w:szCs w:val="24"/>
        </w:rPr>
        <w:t>o de su representante y, en su caso, del tercero interesado, así como la dirección o medio que señale para recibir notificaciones;</w:t>
      </w:r>
      <w:r w:rsidRPr="00687FD5">
        <w:rPr>
          <w:rFonts w:ascii="Palatino Linotype" w:eastAsia="Palatino Linotype" w:hAnsi="Palatino Linotype" w:cs="Palatino Linotype"/>
          <w:b/>
          <w:i/>
          <w:color w:val="000000" w:themeColor="text1"/>
          <w:sz w:val="24"/>
          <w:szCs w:val="24"/>
        </w:rPr>
        <w:t xml:space="preserve"> </w:t>
      </w:r>
    </w:p>
    <w:p w:rsidR="00E03ED0" w:rsidRPr="00687FD5" w:rsidRDefault="00E03ED0" w:rsidP="00D1492E">
      <w:pPr>
        <w:widowControl w:val="0"/>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widowControl w:val="0"/>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En principio, de una interpretación del artículo transcrito se observan los requisitos que deberán contener los recursos de revisión; sobre el particular, de la revisión del expediente electrónico del </w:t>
      </w:r>
      <w:r w:rsidRPr="00687FD5">
        <w:rPr>
          <w:rFonts w:ascii="Palatino Linotype" w:eastAsia="Palatino Linotype" w:hAnsi="Palatino Linotype" w:cs="Palatino Linotype"/>
          <w:b/>
          <w:color w:val="000000" w:themeColor="text1"/>
          <w:sz w:val="24"/>
          <w:szCs w:val="24"/>
        </w:rPr>
        <w:t>SAIMEX</w:t>
      </w:r>
      <w:r w:rsidRPr="00687FD5">
        <w:rPr>
          <w:rFonts w:ascii="Palatino Linotype" w:eastAsia="Palatino Linotype" w:hAnsi="Palatino Linotype" w:cs="Palatino Linotype"/>
          <w:color w:val="000000" w:themeColor="text1"/>
          <w:sz w:val="24"/>
          <w:szCs w:val="24"/>
        </w:rPr>
        <w:t xml:space="preserve"> se desprende que el solicitante y ahora </w:t>
      </w:r>
      <w:r w:rsidRPr="00687FD5">
        <w:rPr>
          <w:rFonts w:ascii="Palatino Linotype" w:eastAsia="Palatino Linotype" w:hAnsi="Palatino Linotype" w:cs="Palatino Linotype"/>
          <w:b/>
          <w:color w:val="000000" w:themeColor="text1"/>
          <w:sz w:val="24"/>
          <w:szCs w:val="24"/>
        </w:rPr>
        <w:t>Recurrente</w:t>
      </w:r>
      <w:r w:rsidRPr="00687FD5">
        <w:rPr>
          <w:rFonts w:ascii="Palatino Linotype" w:eastAsia="Palatino Linotype" w:hAnsi="Palatino Linotype" w:cs="Palatino Linotype"/>
          <w:color w:val="000000" w:themeColor="text1"/>
          <w:sz w:val="24"/>
          <w:szCs w:val="24"/>
        </w:rPr>
        <w:t>, en ejercicio de su derecho de acceso a la información pública, no proporcionó un nombre para que sea identificado; por lo que no tiene certeza sobre su identidad, lo que en estricto sentido, no se colmarían los requisitos establecidos en el citado artículo 180, de la Ley de Transparencia.</w:t>
      </w:r>
    </w:p>
    <w:p w:rsidR="00E03ED0" w:rsidRPr="00687FD5" w:rsidRDefault="00E03ED0" w:rsidP="00D1492E">
      <w:pPr>
        <w:widowControl w:val="0"/>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widowControl w:val="0"/>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87FD5">
        <w:rPr>
          <w:rFonts w:ascii="Palatino Linotype" w:eastAsia="Palatino Linotype" w:hAnsi="Palatino Linotype" w:cs="Palatino Linotype"/>
          <w:i/>
          <w:color w:val="000000" w:themeColor="text1"/>
          <w:sz w:val="24"/>
          <w:szCs w:val="24"/>
        </w:rPr>
        <w:t>sine qua non</w:t>
      </w:r>
      <w:r w:rsidRPr="00687FD5">
        <w:rPr>
          <w:rFonts w:ascii="Palatino Linotype" w:eastAsia="Palatino Linotype" w:hAnsi="Palatino Linotype" w:cs="Palatino Linotype"/>
          <w:color w:val="000000" w:themeColor="text1"/>
          <w:sz w:val="24"/>
          <w:szCs w:val="24"/>
        </w:rPr>
        <w:t xml:space="preserve"> que los particulares y, en su caso, los recurrentes deban señalar, por el contrario la Ley de Transparencia prevé en su </w:t>
      </w:r>
      <w:r w:rsidRPr="00687FD5">
        <w:rPr>
          <w:rFonts w:ascii="Palatino Linotype" w:eastAsia="Palatino Linotype" w:hAnsi="Palatino Linotype" w:cs="Palatino Linotype"/>
          <w:color w:val="000000" w:themeColor="text1"/>
          <w:sz w:val="24"/>
          <w:szCs w:val="24"/>
        </w:rPr>
        <w:lastRenderedPageBreak/>
        <w:t>artículo 155, párrafo segundo la posibilidad de que las solicitudes de información sean anónimas, con nombre incompleto o seudónimo.</w:t>
      </w:r>
    </w:p>
    <w:p w:rsidR="00E03ED0" w:rsidRPr="00687FD5" w:rsidRDefault="00E03ED0" w:rsidP="00D1492E">
      <w:pPr>
        <w:widowControl w:val="0"/>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widowControl w:val="0"/>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3ED0" w:rsidRPr="00687FD5" w:rsidRDefault="00E03ED0" w:rsidP="00D1492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after="0" w:line="360" w:lineRule="auto"/>
        <w:jc w:val="both"/>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t>SEGUNDO. De la oportunidad y procedencia.</w:t>
      </w:r>
    </w:p>
    <w:p w:rsidR="00E03ED0" w:rsidRPr="00EC36AE" w:rsidRDefault="00747922" w:rsidP="00EC36AE">
      <w:pPr>
        <w:pStyle w:val="Prrafodelista"/>
        <w:numPr>
          <w:ilvl w:val="0"/>
          <w:numId w:val="16"/>
        </w:numPr>
        <w:spacing w:line="360" w:lineRule="auto"/>
        <w:ind w:left="0" w:firstLine="0"/>
        <w:jc w:val="both"/>
        <w:rPr>
          <w:rFonts w:ascii="Palatino Linotype" w:eastAsia="Palatino Linotype" w:hAnsi="Palatino Linotype" w:cs="Palatino Linotype"/>
          <w:color w:val="000000" w:themeColor="text1"/>
        </w:rPr>
      </w:pPr>
      <w:r w:rsidRPr="00EC36AE">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03ED0" w:rsidRPr="00687FD5" w:rsidRDefault="00E03ED0" w:rsidP="00D1492E">
      <w:pPr>
        <w:spacing w:line="360" w:lineRule="auto"/>
        <w:rPr>
          <w:rFonts w:ascii="Palatino Linotype" w:eastAsia="Palatino Linotype" w:hAnsi="Palatino Linotype" w:cs="Palatino Linotype"/>
          <w:color w:val="000000" w:themeColor="text1"/>
          <w:sz w:val="24"/>
          <w:szCs w:val="24"/>
        </w:rPr>
      </w:pPr>
    </w:p>
    <w:p w:rsidR="00E03ED0" w:rsidRPr="00687FD5" w:rsidRDefault="00747922" w:rsidP="00D1492E">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89zfkd6ueu9w" w:colFirst="0" w:colLast="0"/>
      <w:bookmarkEnd w:id="4"/>
      <w:r w:rsidRPr="00687FD5">
        <w:rPr>
          <w:rFonts w:ascii="Palatino Linotype" w:eastAsia="Palatino Linotype" w:hAnsi="Palatino Linotype" w:cs="Palatino Linotype"/>
          <w:b/>
          <w:color w:val="000000" w:themeColor="text1"/>
          <w:sz w:val="24"/>
          <w:szCs w:val="24"/>
        </w:rPr>
        <w:t xml:space="preserve">TERCERO. Del planteamiento de la </w:t>
      </w:r>
      <w:r w:rsidRPr="00687FD5">
        <w:rPr>
          <w:rFonts w:ascii="Palatino Linotype" w:eastAsia="Palatino Linotype" w:hAnsi="Palatino Linotype" w:cs="Palatino Linotype"/>
          <w:b/>
          <w:i/>
          <w:color w:val="000000" w:themeColor="text1"/>
          <w:sz w:val="24"/>
          <w:szCs w:val="24"/>
        </w:rPr>
        <w:t>Litis</w:t>
      </w:r>
      <w:r w:rsidRPr="00687FD5">
        <w:rPr>
          <w:rFonts w:ascii="Palatino Linotype" w:eastAsia="Palatino Linotype" w:hAnsi="Palatino Linotype" w:cs="Palatino Linotype"/>
          <w:b/>
          <w:color w:val="000000" w:themeColor="text1"/>
          <w:sz w:val="24"/>
          <w:szCs w:val="24"/>
        </w:rPr>
        <w:t>.</w:t>
      </w: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color w:val="000000" w:themeColor="text1"/>
          <w:sz w:val="24"/>
          <w:szCs w:val="24"/>
        </w:rPr>
        <w:t>De las constancias en el expediente al rubro indicado, se desprende que el particular solicitó la información que a continuación se desagrega:</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Programa anual de adquisiciones </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Reporte de procedimientos adquisitivos, </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Diario General de Pólizas, </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Dictamen de Reconducción  </w:t>
      </w:r>
      <w:r w:rsidR="002C7F3F" w:rsidRPr="00687FD5">
        <w:rPr>
          <w:rFonts w:ascii="Palatino Linotype" w:eastAsia="Palatino Linotype" w:hAnsi="Palatino Linotype" w:cs="Palatino Linotype"/>
          <w:i/>
          <w:color w:val="000000" w:themeColor="text1"/>
          <w:sz w:val="24"/>
          <w:szCs w:val="24"/>
        </w:rPr>
        <w:t xml:space="preserve">y </w:t>
      </w:r>
      <w:r w:rsidRPr="00687FD5">
        <w:rPr>
          <w:rFonts w:ascii="Palatino Linotype" w:eastAsia="Palatino Linotype" w:hAnsi="Palatino Linotype" w:cs="Palatino Linotype"/>
          <w:i/>
          <w:color w:val="000000" w:themeColor="text1"/>
          <w:sz w:val="24"/>
          <w:szCs w:val="24"/>
        </w:rPr>
        <w:t>Actualización Programática- Presupuestal</w:t>
      </w:r>
    </w:p>
    <w:p w:rsidR="00E03ED0" w:rsidRPr="00687FD5" w:rsidRDefault="00E03ED0" w:rsidP="00D1492E">
      <w:pPr>
        <w:spacing w:line="360" w:lineRule="auto"/>
        <w:jc w:val="both"/>
        <w:rPr>
          <w:rFonts w:ascii="Palatino Linotype" w:eastAsia="Palatino Linotype" w:hAnsi="Palatino Linotype" w:cs="Palatino Linotype"/>
          <w:i/>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Como se ha constatado en los antecedentes, el Sujeto Obligado proporcionó respuesta documental a fin de dar atención a las solicitudes de información requeridas, sin embargo </w:t>
      </w:r>
      <w:r w:rsidRPr="00687FD5">
        <w:rPr>
          <w:rFonts w:ascii="Palatino Linotype" w:eastAsia="Palatino Linotype" w:hAnsi="Palatino Linotype" w:cs="Palatino Linotype"/>
          <w:b/>
          <w:color w:val="000000" w:themeColor="text1"/>
          <w:sz w:val="24"/>
          <w:szCs w:val="24"/>
        </w:rPr>
        <w:t>EL RECURRENTE</w:t>
      </w:r>
      <w:r w:rsidRPr="00687FD5">
        <w:rPr>
          <w:rFonts w:ascii="Palatino Linotype" w:eastAsia="Palatino Linotype" w:hAnsi="Palatino Linotype" w:cs="Palatino Linotype"/>
          <w:color w:val="000000" w:themeColor="text1"/>
          <w:sz w:val="24"/>
          <w:szCs w:val="24"/>
        </w:rPr>
        <w:t xml:space="preserve"> se inconformó  en términos generales debido a la notificación, entrega o puesta a disposición de información en una modalidad o formato distinto al solicitado.</w:t>
      </w:r>
    </w:p>
    <w:p w:rsidR="00E03ED0" w:rsidRPr="00687FD5" w:rsidRDefault="00E03ED0" w:rsidP="00D149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En dichas condiciones, la </w:t>
      </w:r>
      <w:r w:rsidRPr="00687FD5">
        <w:rPr>
          <w:rFonts w:ascii="Palatino Linotype" w:eastAsia="Palatino Linotype" w:hAnsi="Palatino Linotype" w:cs="Palatino Linotype"/>
          <w:i/>
          <w:color w:val="000000" w:themeColor="text1"/>
          <w:sz w:val="24"/>
          <w:szCs w:val="24"/>
        </w:rPr>
        <w:t>Litis</w:t>
      </w:r>
      <w:r w:rsidRPr="00687FD5">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Pr="00687FD5">
        <w:rPr>
          <w:rFonts w:ascii="Palatino Linotype" w:eastAsia="Palatino Linotype" w:hAnsi="Palatino Linotype" w:cs="Palatino Linotype"/>
          <w:b/>
          <w:color w:val="000000" w:themeColor="text1"/>
          <w:sz w:val="24"/>
          <w:szCs w:val="24"/>
        </w:rPr>
        <w:t xml:space="preserve">fracción VIII </w:t>
      </w:r>
      <w:r w:rsidRPr="00687FD5">
        <w:rPr>
          <w:rFonts w:ascii="Palatino Linotype" w:eastAsia="Palatino Linotype" w:hAnsi="Palatino Linotype" w:cs="Palatino Linotype"/>
          <w:color w:val="000000" w:themeColor="text1"/>
          <w:sz w:val="24"/>
          <w:szCs w:val="24"/>
        </w:rPr>
        <w:t>de la Ley</w:t>
      </w:r>
      <w:r w:rsidRPr="00687FD5">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687FD5">
        <w:rPr>
          <w:rFonts w:ascii="Palatino Linotype" w:eastAsia="Palatino Linotype" w:hAnsi="Palatino Linotype" w:cs="Palatino Linotype"/>
          <w:color w:val="000000" w:themeColor="text1"/>
          <w:sz w:val="24"/>
          <w:szCs w:val="24"/>
        </w:rPr>
        <w:t>México</w:t>
      </w:r>
      <w:r w:rsidRPr="00687FD5">
        <w:rPr>
          <w:rFonts w:ascii="Palatino Linotype" w:eastAsia="Palatino Linotype" w:hAnsi="Palatino Linotype" w:cs="Palatino Linotype"/>
          <w:b/>
          <w:color w:val="000000" w:themeColor="text1"/>
          <w:sz w:val="24"/>
          <w:szCs w:val="24"/>
        </w:rPr>
        <w:t xml:space="preserve"> y </w:t>
      </w:r>
      <w:r w:rsidRPr="00687FD5">
        <w:rPr>
          <w:rFonts w:ascii="Palatino Linotype" w:eastAsia="Palatino Linotype" w:hAnsi="Palatino Linotype" w:cs="Palatino Linotype"/>
          <w:b/>
          <w:color w:val="000000" w:themeColor="text1"/>
          <w:sz w:val="24"/>
          <w:szCs w:val="24"/>
        </w:rPr>
        <w:lastRenderedPageBreak/>
        <w:t>Municipios</w:t>
      </w:r>
      <w:r w:rsidRPr="00687FD5">
        <w:rPr>
          <w:rFonts w:ascii="Palatino Linotype" w:eastAsia="Palatino Linotype" w:hAnsi="Palatino Linotype" w:cs="Palatino Linotype"/>
          <w:color w:val="000000" w:themeColor="text1"/>
          <w:sz w:val="24"/>
          <w:szCs w:val="24"/>
        </w:rPr>
        <w:t>; fracciones  que determinan las hipótesis jurídicas relativa a la entrega o puesta a disposición de información en una modalidad o formato distinto al solicitado.</w:t>
      </w:r>
    </w:p>
    <w:p w:rsidR="00E03ED0" w:rsidRPr="00687FD5" w:rsidRDefault="00E03ED0" w:rsidP="00D1492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03ED0" w:rsidRPr="00EC36AE" w:rsidRDefault="00747922" w:rsidP="00EC36AE">
      <w:pPr>
        <w:pStyle w:val="Prrafodelista"/>
        <w:numPr>
          <w:ilvl w:val="0"/>
          <w:numId w:val="16"/>
        </w:numPr>
        <w:spacing w:line="360" w:lineRule="auto"/>
        <w:ind w:left="0" w:firstLine="0"/>
        <w:jc w:val="both"/>
        <w:rPr>
          <w:rFonts w:ascii="Palatino Linotype" w:eastAsia="Palatino Linotype" w:hAnsi="Palatino Linotype" w:cs="Palatino Linotype"/>
          <w:color w:val="000000" w:themeColor="text1"/>
        </w:rPr>
      </w:pPr>
      <w:r w:rsidRPr="00EC36AE">
        <w:rPr>
          <w:rFonts w:ascii="Palatino Linotype" w:eastAsia="Palatino Linotype" w:hAnsi="Palatino Linotype" w:cs="Palatino Linotype"/>
          <w:color w:val="000000" w:themeColor="text1"/>
        </w:rPr>
        <w:t xml:space="preserve">Contexto del cual se dolió </w:t>
      </w:r>
      <w:r w:rsidRPr="00EC36AE">
        <w:rPr>
          <w:rFonts w:ascii="Palatino Linotype" w:eastAsia="Palatino Linotype" w:hAnsi="Palatino Linotype" w:cs="Palatino Linotype"/>
          <w:b/>
          <w:color w:val="000000" w:themeColor="text1"/>
        </w:rPr>
        <w:t xml:space="preserve">EL RECURRENTE </w:t>
      </w:r>
      <w:r w:rsidRPr="00EC36AE">
        <w:rPr>
          <w:rFonts w:ascii="Palatino Linotype" w:eastAsia="Palatino Linotype" w:hAnsi="Palatino Linotype" w:cs="Palatino Linotype"/>
          <w:color w:val="000000" w:themeColor="text1"/>
        </w:rPr>
        <w:t>al momento de interponer su inconformidad. De modo tal que el presente recurso de revisión se abocará en determinar si el Sujeto Obligado con su respuesta ciertamente actualiza la causal de procedencia</w:t>
      </w:r>
      <w:r w:rsidRPr="00EC36AE">
        <w:rPr>
          <w:rFonts w:ascii="Palatino Linotype" w:eastAsia="Palatino Linotype" w:hAnsi="Palatino Linotype" w:cs="Palatino Linotype"/>
          <w:b/>
          <w:color w:val="000000" w:themeColor="text1"/>
        </w:rPr>
        <w:t xml:space="preserve"> </w:t>
      </w:r>
      <w:r w:rsidRPr="00EC36AE">
        <w:rPr>
          <w:rFonts w:ascii="Palatino Linotype" w:eastAsia="Palatino Linotype" w:hAnsi="Palatino Linotype" w:cs="Palatino Linotype"/>
          <w:color w:val="000000" w:themeColor="text1"/>
        </w:rPr>
        <w:t xml:space="preserve">señalada. </w:t>
      </w:r>
    </w:p>
    <w:p w:rsidR="00E03ED0" w:rsidRPr="00687FD5" w:rsidRDefault="00E03ED0" w:rsidP="00D149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t>CUARTO.</w:t>
      </w:r>
      <w:r w:rsidRPr="00687FD5">
        <w:rPr>
          <w:rFonts w:ascii="Palatino Linotype" w:eastAsia="Palatino Linotype" w:hAnsi="Palatino Linotype" w:cs="Palatino Linotype"/>
          <w:color w:val="000000" w:themeColor="text1"/>
          <w:sz w:val="24"/>
          <w:szCs w:val="24"/>
        </w:rPr>
        <w:t xml:space="preserve"> </w:t>
      </w:r>
      <w:r w:rsidRPr="00687FD5">
        <w:rPr>
          <w:rFonts w:ascii="Palatino Linotype" w:eastAsia="Palatino Linotype" w:hAnsi="Palatino Linotype" w:cs="Palatino Linotype"/>
          <w:b/>
          <w:color w:val="000000" w:themeColor="text1"/>
          <w:sz w:val="24"/>
          <w:szCs w:val="24"/>
        </w:rPr>
        <w:t>Estudio  de la controversia.</w:t>
      </w: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Es así que, una vez determinada la vía sobre la que versará el presente recurso, y previa revisión del expediente electrónico formado en el</w:t>
      </w:r>
      <w:r w:rsidRPr="00687FD5">
        <w:rPr>
          <w:rFonts w:ascii="Palatino Linotype" w:eastAsia="Palatino Linotype" w:hAnsi="Palatino Linotype" w:cs="Palatino Linotype"/>
          <w:b/>
          <w:color w:val="000000" w:themeColor="text1"/>
          <w:sz w:val="24"/>
          <w:szCs w:val="24"/>
        </w:rPr>
        <w:t xml:space="preserve"> SAIMEX</w:t>
      </w:r>
      <w:r w:rsidRPr="00687FD5">
        <w:rPr>
          <w:rFonts w:ascii="Palatino Linotype" w:eastAsia="Palatino Linotype" w:hAnsi="Palatino Linotype" w:cs="Palatino Linotype"/>
          <w:color w:val="000000" w:themeColor="text1"/>
          <w:sz w:val="24"/>
          <w:szCs w:val="24"/>
        </w:rPr>
        <w:t xml:space="preserve"> por motivo de la solicitud de información y del recurso a que da origen,  se advierte que es procedente, toda vez que se actualiza la hipótesis prevista en la fracción VIII, del artículo 179 de la Ley de la materia, que a la letra dice:</w:t>
      </w:r>
    </w:p>
    <w:p w:rsidR="00E03ED0" w:rsidRPr="00687FD5" w:rsidRDefault="00747922" w:rsidP="00D1492E">
      <w:pPr>
        <w:widowControl w:val="0"/>
        <w:tabs>
          <w:tab w:val="left" w:pos="7371"/>
        </w:tabs>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w:t>
      </w:r>
      <w:r w:rsidRPr="00687FD5">
        <w:rPr>
          <w:rFonts w:ascii="Palatino Linotype" w:eastAsia="Palatino Linotype" w:hAnsi="Palatino Linotype" w:cs="Palatino Linotype"/>
          <w:b/>
          <w:i/>
          <w:color w:val="000000" w:themeColor="text1"/>
          <w:sz w:val="24"/>
          <w:szCs w:val="24"/>
        </w:rPr>
        <w:t>Artículo 179</w:t>
      </w:r>
      <w:r w:rsidRPr="00687FD5">
        <w:rPr>
          <w:rFonts w:ascii="Palatino Linotype" w:eastAsia="Palatino Linotype" w:hAnsi="Palatino Linotype" w:cs="Palatino Linotype"/>
          <w:i/>
          <w:color w:val="000000" w:themeColor="text1"/>
          <w:sz w:val="24"/>
          <w:szCs w:val="24"/>
        </w:rPr>
        <w:t>. El recurso de revisión es un medio de protección que la Ley otorga a los particulares, para hacer valer su derecho de acceso a la información pública, y procederá en contra de las siguientes causas:</w:t>
      </w:r>
    </w:p>
    <w:p w:rsidR="00E03ED0" w:rsidRPr="00687FD5" w:rsidRDefault="00E03ED0" w:rsidP="00D1492E">
      <w:pPr>
        <w:tabs>
          <w:tab w:val="left" w:pos="7371"/>
        </w:tabs>
        <w:spacing w:after="0" w:line="240" w:lineRule="auto"/>
        <w:rPr>
          <w:rFonts w:ascii="Palatino Linotype" w:eastAsia="Bookman Old Style" w:hAnsi="Palatino Linotype" w:cs="Bookman Old Style"/>
          <w:color w:val="000000" w:themeColor="text1"/>
          <w:sz w:val="24"/>
          <w:szCs w:val="24"/>
        </w:rPr>
      </w:pPr>
    </w:p>
    <w:p w:rsidR="00E03ED0" w:rsidRPr="00687FD5" w:rsidRDefault="00747922" w:rsidP="00D1492E">
      <w:pPr>
        <w:tabs>
          <w:tab w:val="left" w:pos="7371"/>
        </w:tabs>
        <w:spacing w:after="0" w:line="240" w:lineRule="auto"/>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I. La negativa a la información solicitada; </w:t>
      </w:r>
    </w:p>
    <w:p w:rsidR="00E03ED0" w:rsidRPr="00687FD5" w:rsidRDefault="00747922" w:rsidP="00D1492E">
      <w:pPr>
        <w:tabs>
          <w:tab w:val="left" w:pos="7371"/>
        </w:tabs>
        <w:spacing w:after="0" w:line="240" w:lineRule="auto"/>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w:t>
      </w:r>
    </w:p>
    <w:p w:rsidR="00E03ED0" w:rsidRPr="00687FD5" w:rsidRDefault="00747922" w:rsidP="00D1492E">
      <w:pPr>
        <w:widowControl w:val="0"/>
        <w:tabs>
          <w:tab w:val="left" w:pos="7371"/>
        </w:tabs>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VIII. La notificación, entrega o puesta a disposición de información en una modalidad o formato distinto al solicitado;”</w:t>
      </w:r>
    </w:p>
    <w:p w:rsidR="00E03ED0" w:rsidRPr="00687FD5" w:rsidRDefault="00747922" w:rsidP="00D1492E">
      <w:pPr>
        <w:widowControl w:val="0"/>
        <w:tabs>
          <w:tab w:val="left" w:pos="7371"/>
        </w:tabs>
        <w:spacing w:line="36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w:t>
      </w:r>
    </w:p>
    <w:p w:rsidR="00E03ED0" w:rsidRPr="00687FD5" w:rsidRDefault="00747922" w:rsidP="00EC36AE">
      <w:pPr>
        <w:widowControl w:val="0"/>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 De lo anterior; revisaremos la atención otorgada por el Sujeto Obligado a la solicitud que dio origen a este recurso, considerando imprescindible establecer lo que la </w:t>
      </w:r>
      <w:r w:rsidRPr="00687FD5">
        <w:rPr>
          <w:rFonts w:ascii="Palatino Linotype" w:eastAsia="Palatino Linotype" w:hAnsi="Palatino Linotype" w:cs="Palatino Linotype"/>
          <w:color w:val="000000" w:themeColor="text1"/>
          <w:sz w:val="24"/>
          <w:szCs w:val="24"/>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EC36AE" w:rsidRDefault="00747922" w:rsidP="00EC36AE">
      <w:pPr>
        <w:pStyle w:val="Prrafodelista"/>
        <w:numPr>
          <w:ilvl w:val="0"/>
          <w:numId w:val="16"/>
        </w:numPr>
        <w:spacing w:line="360" w:lineRule="auto"/>
        <w:ind w:left="0" w:firstLine="0"/>
        <w:jc w:val="both"/>
        <w:rPr>
          <w:rFonts w:ascii="Palatino Linotype" w:eastAsia="Palatino Linotype" w:hAnsi="Palatino Linotype" w:cs="Palatino Linotype"/>
          <w:color w:val="000000" w:themeColor="text1"/>
        </w:rPr>
      </w:pPr>
      <w:r w:rsidRPr="00EC36A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w:t>
      </w:r>
      <w:r w:rsidRPr="00687FD5">
        <w:rPr>
          <w:rFonts w:ascii="Palatino Linotype" w:eastAsia="Palatino Linotype" w:hAnsi="Palatino Linotype" w:cs="Palatino Linotype"/>
          <w:color w:val="000000" w:themeColor="text1"/>
          <w:sz w:val="24"/>
          <w:szCs w:val="24"/>
        </w:rPr>
        <w:lastRenderedPageBreak/>
        <w:t>una solicitud de acceso a la información, siempre y cuando no encuadre en una de las excepciones contempladas por la ley.</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bookmarkStart w:id="5" w:name="_heading=h.4d34og8" w:colFirst="0" w:colLast="0"/>
      <w:bookmarkEnd w:id="5"/>
      <w:r w:rsidRPr="00687FD5">
        <w:rPr>
          <w:rFonts w:ascii="Palatino Linotype" w:eastAsia="Palatino Linotype" w:hAnsi="Palatino Linotype" w:cs="Palatino Linotype"/>
          <w:color w:val="000000" w:themeColor="text1"/>
          <w:sz w:val="24"/>
          <w:szCs w:val="24"/>
        </w:rPr>
        <w:t xml:space="preserve">Así entonces, se procede analizar, en primer lugar, si el </w:t>
      </w:r>
      <w:r w:rsidRPr="00687FD5">
        <w:rPr>
          <w:rFonts w:ascii="Palatino Linotype" w:eastAsia="Palatino Linotype" w:hAnsi="Palatino Linotype" w:cs="Palatino Linotype"/>
          <w:b/>
          <w:color w:val="000000" w:themeColor="text1"/>
          <w:sz w:val="24"/>
          <w:szCs w:val="24"/>
        </w:rPr>
        <w:t>SUJETO OBLIGADO</w:t>
      </w:r>
      <w:r w:rsidRPr="00687FD5">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03ED0" w:rsidRPr="00687FD5" w:rsidRDefault="00E03ED0" w:rsidP="00D1492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03ED0" w:rsidRPr="00687FD5" w:rsidRDefault="00747922" w:rsidP="00D1492E">
      <w:pPr>
        <w:keepNext/>
        <w:keepLines/>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t>De la información solicitada y la respuesta del SUJETO OBLIGADO</w:t>
      </w: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El estudio del presente recurso de revisión tiene como antecedentes, que el hoy </w:t>
      </w:r>
      <w:r w:rsidRPr="00687FD5">
        <w:rPr>
          <w:rFonts w:ascii="Palatino Linotype" w:eastAsia="Palatino Linotype" w:hAnsi="Palatino Linotype" w:cs="Palatino Linotype"/>
          <w:b/>
          <w:color w:val="000000" w:themeColor="text1"/>
          <w:sz w:val="24"/>
          <w:szCs w:val="24"/>
        </w:rPr>
        <w:t xml:space="preserve">Recurrente, </w:t>
      </w:r>
      <w:r w:rsidRPr="00687FD5">
        <w:rPr>
          <w:rFonts w:ascii="Palatino Linotype" w:eastAsia="Palatino Linotype" w:hAnsi="Palatino Linotype" w:cs="Palatino Linotype"/>
          <w:color w:val="000000" w:themeColor="text1"/>
          <w:sz w:val="24"/>
          <w:szCs w:val="24"/>
        </w:rPr>
        <w:t xml:space="preserve">solicitó al </w:t>
      </w:r>
      <w:r w:rsidRPr="00687FD5">
        <w:rPr>
          <w:rFonts w:ascii="Palatino Linotype" w:eastAsia="Palatino Linotype" w:hAnsi="Palatino Linotype" w:cs="Palatino Linotype"/>
          <w:b/>
          <w:color w:val="000000" w:themeColor="text1"/>
          <w:sz w:val="24"/>
          <w:szCs w:val="24"/>
        </w:rPr>
        <w:t>Sujeto Obligado</w:t>
      </w:r>
      <w:r w:rsidRPr="00687FD5">
        <w:rPr>
          <w:rFonts w:ascii="Palatino Linotype" w:eastAsia="Palatino Linotype" w:hAnsi="Palatino Linotype" w:cs="Palatino Linotype"/>
          <w:color w:val="000000" w:themeColor="text1"/>
          <w:sz w:val="24"/>
          <w:szCs w:val="24"/>
        </w:rPr>
        <w:t>,</w:t>
      </w:r>
      <w:r w:rsidRPr="00687FD5">
        <w:rPr>
          <w:rFonts w:ascii="Palatino Linotype" w:eastAsia="Palatino Linotype" w:hAnsi="Palatino Linotype" w:cs="Palatino Linotype"/>
          <w:b/>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la siguiente</w:t>
      </w:r>
      <w:r w:rsidRPr="00687FD5">
        <w:rPr>
          <w:rFonts w:ascii="Palatino Linotype" w:eastAsia="Palatino Linotype" w:hAnsi="Palatino Linotype" w:cs="Palatino Linotype"/>
          <w:b/>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información:</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Programa anual de adquisiciones </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Reporte de procedimientos adquisitivos, </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Diario General de Pólizas, </w:t>
      </w:r>
    </w:p>
    <w:p w:rsidR="00E03ED0" w:rsidRPr="00687FD5" w:rsidRDefault="00747922" w:rsidP="00EC36AE">
      <w:pPr>
        <w:numPr>
          <w:ilvl w:val="3"/>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Dictamen de Reconducción y Actualización Programática- Presupuestal</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De las respuestas recibidas, el entonces solicitante interpuso los recursos de revisión manifestando que la información fue entregada en una modalidad distinta a la solicitada.</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De lo anterior, es de precisarse que el SUJETO OBLIGADO  manifestó poseer, generar y administrar la información al informarle al Recurre que la entrega de la </w:t>
      </w:r>
      <w:r w:rsidRPr="00687FD5">
        <w:rPr>
          <w:rFonts w:ascii="Palatino Linotype" w:eastAsia="Palatino Linotype" w:hAnsi="Palatino Linotype" w:cs="Palatino Linotype"/>
          <w:color w:val="000000" w:themeColor="text1"/>
          <w:sz w:val="24"/>
          <w:szCs w:val="24"/>
        </w:rPr>
        <w:lastRenderedPageBreak/>
        <w:t>información requerida, sería en las Oficinas Centrales del Sistema Municipal DIF de Huehuetoca, una vez cubierto el costo correspondiente.</w:t>
      </w:r>
    </w:p>
    <w:p w:rsidR="00E03ED0" w:rsidRPr="00687FD5" w:rsidRDefault="00E03ED0" w:rsidP="00D1492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Así se logra vislumbrar que, el </w:t>
      </w:r>
      <w:r w:rsidRPr="00687FD5">
        <w:rPr>
          <w:rFonts w:ascii="Palatino Linotype" w:eastAsia="Palatino Linotype" w:hAnsi="Palatino Linotype" w:cs="Palatino Linotype"/>
          <w:b/>
          <w:color w:val="000000" w:themeColor="text1"/>
          <w:sz w:val="24"/>
          <w:szCs w:val="24"/>
        </w:rPr>
        <w:t>Sujeto Obligado</w:t>
      </w:r>
      <w:r w:rsidRPr="00687FD5">
        <w:rPr>
          <w:rFonts w:ascii="Palatino Linotype" w:eastAsia="Palatino Linotype" w:hAnsi="Palatino Linotype" w:cs="Palatino Linotype"/>
          <w:color w:val="000000" w:themeColor="text1"/>
          <w:sz w:val="24"/>
          <w:szCs w:val="24"/>
        </w:rPr>
        <w:t xml:space="preserve"> cumplió con el procedimiento de búsqueda establecido en el artículo 162 de la Ley de Transparencia y Acceso a la Información Pública del Estado de México y Municipios, ya que,  turnó la solicitud de información al área competente; no obstante, de conformidad con el contenido de los documentos descritos previamente, podemos concluir que, </w:t>
      </w:r>
      <w:r w:rsidRPr="00687FD5">
        <w:rPr>
          <w:rFonts w:ascii="Palatino Linotype" w:eastAsia="Palatino Linotype" w:hAnsi="Palatino Linotype" w:cs="Palatino Linotype"/>
          <w:b/>
          <w:color w:val="000000" w:themeColor="text1"/>
          <w:sz w:val="24"/>
          <w:szCs w:val="24"/>
        </w:rPr>
        <w:t>se obvia el estudio del marco normativo</w:t>
      </w:r>
      <w:r w:rsidRPr="00687FD5">
        <w:rPr>
          <w:rFonts w:ascii="Palatino Linotype" w:eastAsia="Palatino Linotype" w:hAnsi="Palatino Linotype" w:cs="Palatino Linotype"/>
          <w:color w:val="000000" w:themeColor="text1"/>
          <w:sz w:val="24"/>
          <w:szCs w:val="24"/>
        </w:rPr>
        <w:t xml:space="preserve"> que rige el actuar del </w:t>
      </w:r>
      <w:r w:rsidRPr="00687FD5">
        <w:rPr>
          <w:rFonts w:ascii="Palatino Linotype" w:eastAsia="Palatino Linotype" w:hAnsi="Palatino Linotype" w:cs="Palatino Linotype"/>
          <w:b/>
          <w:color w:val="000000" w:themeColor="text1"/>
          <w:sz w:val="24"/>
          <w:szCs w:val="24"/>
        </w:rPr>
        <w:t>Sujeto Obligado</w:t>
      </w:r>
      <w:r w:rsidRPr="00687FD5">
        <w:rPr>
          <w:rFonts w:ascii="Palatino Linotype" w:eastAsia="Palatino Linotype" w:hAnsi="Palatino Linotype" w:cs="Palatino Linotype"/>
          <w:color w:val="000000" w:themeColor="text1"/>
          <w:sz w:val="24"/>
          <w:szCs w:val="24"/>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rsidR="00E03ED0" w:rsidRPr="00687FD5" w:rsidRDefault="00E03ED0" w:rsidP="00D1492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De lo anterior, es de precisarse que el SUJETO OBLIGADO  manifestó poseer, generar y administrar la información al informarle al Recurrente que podría consultar de forma directa en las Oficinas Centrales del Sistema Municipal DIF de Huehuetoca, en un horario de 9:00 a.m. a 18:00 horas.</w:t>
      </w:r>
    </w:p>
    <w:p w:rsidR="00E03ED0" w:rsidRPr="00687FD5" w:rsidRDefault="00E03ED0" w:rsidP="00D1492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Por su parte, el Código Financiero del Estado de México, en su artículo 285, señala que el presupuesto de egresos constituye el instrumento jurídico, de política económica y de política de gasto, que aprueba la Legislatura conforme a la iniciativa que presenta el Gobernador, en el cual se establece el ejercicio, control del gasto público y evaluación del </w:t>
      </w:r>
      <w:r w:rsidRPr="00687FD5">
        <w:rPr>
          <w:rFonts w:ascii="Palatino Linotype" w:eastAsia="Palatino Linotype" w:hAnsi="Palatino Linotype" w:cs="Palatino Linotype"/>
          <w:color w:val="000000" w:themeColor="text1"/>
          <w:sz w:val="24"/>
          <w:szCs w:val="24"/>
        </w:rPr>
        <w:lastRenderedPageBreak/>
        <w:t>desempeño de los Entes Públicos, de acuerdo con su naturaleza jurídica y según corresponda, con base en los objetivos, parámetros e indicadores de desempeño y programas derivados del Plan de Desarrollo del Estado de México, durante el ejercicio fiscal correspondiente y en apego a lo establecido en la legislación aplicable.</w:t>
      </w:r>
    </w:p>
    <w:p w:rsidR="00E03ED0" w:rsidRPr="00EC36AE" w:rsidRDefault="00747922" w:rsidP="00EC36AE">
      <w:pPr>
        <w:pStyle w:val="Prrafodelista"/>
        <w:numPr>
          <w:ilvl w:val="0"/>
          <w:numId w:val="16"/>
        </w:numPr>
        <w:spacing w:line="360" w:lineRule="auto"/>
        <w:ind w:left="0" w:firstLine="0"/>
        <w:jc w:val="both"/>
        <w:rPr>
          <w:rFonts w:ascii="Palatino Linotype" w:eastAsia="Palatino Linotype" w:hAnsi="Palatino Linotype" w:cs="Palatino Linotype"/>
          <w:color w:val="000000" w:themeColor="text1"/>
        </w:rPr>
      </w:pPr>
      <w:r w:rsidRPr="00EC36AE">
        <w:rPr>
          <w:rFonts w:ascii="Palatino Linotype" w:eastAsia="Palatino Linotype" w:hAnsi="Palatino Linotype" w:cs="Palatino Linotype"/>
          <w:color w:val="000000" w:themeColor="text1"/>
        </w:rPr>
        <w:t>Así mismo, acorde a lo dispuesto en la Ley de Contratación Pública del Estado de México y Municipios, la cual señala:</w:t>
      </w:r>
    </w:p>
    <w:p w:rsidR="00E03ED0" w:rsidRPr="00687FD5" w:rsidRDefault="00747922" w:rsidP="00D1492E">
      <w:pPr>
        <w:spacing w:after="0" w:line="276" w:lineRule="auto"/>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Artículo 11.- </w:t>
      </w:r>
      <w:r w:rsidRPr="00687FD5">
        <w:rPr>
          <w:rFonts w:ascii="Palatino Linotype" w:eastAsia="Palatino Linotype" w:hAnsi="Palatino Linotype" w:cs="Palatino Linotype"/>
          <w:b/>
          <w:i/>
          <w:color w:val="000000" w:themeColor="text1"/>
          <w:sz w:val="24"/>
          <w:szCs w:val="24"/>
        </w:rPr>
        <w:t xml:space="preserve">Las dependencias, entidades, ayuntamientos y tribunales administrativos, al formular sus programas anuales de adquisiciones, arrendamientos y servicios, además de lo establecido en otras disposiciones legales, deberán observar lo siguiente: </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I.Los bienes, arrendamientos y servicios que solucionen de manera adecuada sus necesidades de operación. </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II. Los recursos financieros y materiales, y los servicios con los que se cuente.</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 III. Los plazos estimados en los que se requerirán los bienes, arrendamientos y servicios. </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IV. Las políticas y normas administrativas que establezcan la Secretaría y los ayuntamientos, en su caso, para optimizar las adquisiciones, arrendamientos y servicios. </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V. Las demás previsiones que sean necesarias para la adecuada planeación, operación y ejecución de los programas y acciones correspondientes. </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Las dependencias, entidades estatales, ayuntamientos y tribunales administrativos, formularán sus programas de adquisiciones, arrendamientos y servicios, simultáneamente con sus programas anuales y proyectos de presupuestos de egresos. […] </w:t>
      </w:r>
    </w:p>
    <w:p w:rsidR="00E03ED0" w:rsidRPr="00687FD5" w:rsidRDefault="00E03ED0" w:rsidP="00D1492E">
      <w:pPr>
        <w:spacing w:line="276" w:lineRule="auto"/>
        <w:jc w:val="both"/>
        <w:rPr>
          <w:rFonts w:ascii="Palatino Linotype" w:eastAsia="Palatino Linotype" w:hAnsi="Palatino Linotype" w:cs="Palatino Linotype"/>
          <w:i/>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Artículo 16.- Los programas de adquisiciones, arrendamientos y servicios de las dependencias, entidades, tribunales administrativos y ayuntamientos deberán contener lo siguiente:</w:t>
      </w:r>
    </w:p>
    <w:p w:rsidR="00E03ED0" w:rsidRPr="00687FD5" w:rsidRDefault="00747922" w:rsidP="00D1492E">
      <w:pPr>
        <w:spacing w:after="0"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lastRenderedPageBreak/>
        <w:t xml:space="preserve">I. La codificación y descripción de los bienes y servicios que requieran, conforme a los catálogos que se integren. </w:t>
      </w:r>
    </w:p>
    <w:p w:rsidR="00E03ED0" w:rsidRPr="00687FD5" w:rsidRDefault="00747922" w:rsidP="00D1492E">
      <w:pPr>
        <w:spacing w:after="0"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i. La calendarización de la adquisición y arrendamiento de bienes muebles, y de la contratación de servicios. </w:t>
      </w:r>
    </w:p>
    <w:p w:rsidR="00E03ED0" w:rsidRPr="00687FD5" w:rsidRDefault="00747922" w:rsidP="00D1492E">
      <w:pPr>
        <w:spacing w:after="0"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ii. El costo estimado de los bienes y servicios, cuyo monto total se ajustará a los importes presupuestales asignados. </w:t>
      </w:r>
    </w:p>
    <w:p w:rsidR="00E03ED0" w:rsidRPr="00687FD5" w:rsidRDefault="00747922" w:rsidP="00D1492E">
      <w:pPr>
        <w:numPr>
          <w:ilvl w:val="2"/>
          <w:numId w:val="8"/>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Los demás requisitos que establezca el reglamento de esta Ley.” Este punto se deberá incluir únicamente en el segundo trimestre, a menos que haya modificación adicional, se deberá enviar en el trimestre subsecuente.</w:t>
      </w:r>
    </w:p>
    <w:p w:rsidR="00E03ED0" w:rsidRPr="00687FD5" w:rsidRDefault="00E03ED0" w:rsidP="00D1492E">
      <w:pPr>
        <w:spacing w:line="276"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Dicho esto, respecto al Programa Anual de Adquisiciones que corresponde al que describe de manera precisa a nivel de capítulo, concepto, partida genérica y partida específica presupuestal, el gasto que el ente Autónomo realice por concepto de adquisiciones directas a nivel de proyecto, los capítulos que básicamente se plasmarán en este formato son los referidos a Materiales y Suministros, Servicios Generales y Bienes Muebles, Inmuebles e Intangibles. Este formato considera las adquisiciones de bienes y servicios de los proyectos, reflejadas en los capítulos 2000, 3000 y 5000, para efectos ilustrativos se inserta formato según se muestra en  Instructivo Módulo 2  del órgano Superior de Fiscalización:</w:t>
      </w:r>
    </w:p>
    <w:p w:rsidR="00E03ED0" w:rsidRPr="00687FD5" w:rsidRDefault="00747922" w:rsidP="00D1492E">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noProof/>
          <w:color w:val="000000" w:themeColor="text1"/>
          <w:sz w:val="24"/>
          <w:szCs w:val="24"/>
        </w:rPr>
        <w:lastRenderedPageBreak/>
        <w:drawing>
          <wp:inline distT="0" distB="0" distL="0" distR="0">
            <wp:extent cx="4559251" cy="2353568"/>
            <wp:effectExtent l="0" t="0" r="0" b="0"/>
            <wp:docPr id="16351533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59251" cy="2353568"/>
                    </a:xfrm>
                    <a:prstGeom prst="rect">
                      <a:avLst/>
                    </a:prstGeom>
                    <a:ln/>
                  </pic:spPr>
                </pic:pic>
              </a:graphicData>
            </a:graphic>
          </wp:inline>
        </w:drawing>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BF265B" w:rsidRPr="00EC36AE" w:rsidRDefault="006D3DEE"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EC36AE">
        <w:rPr>
          <w:rFonts w:ascii="Palatino Linotype" w:eastAsia="Palatino Linotype" w:hAnsi="Palatino Linotype" w:cs="Palatino Linotype"/>
          <w:color w:val="000000" w:themeColor="text1"/>
          <w:sz w:val="24"/>
          <w:szCs w:val="24"/>
        </w:rPr>
        <w:t>Por lo que derivado de lo señalado de la Ley de Contratación Pública, se advierte que tales requerimientos presupuestados deberán presentarse a más tardar el 31 de enero del ejercicio  fiscal respectivo, así mismo por cuanto hace a contrataciones efectuadas en el mes de enero deberá hacerse tal solicitud previo al cuarto trimestre del ejercicio fiscal en curso, por lo que es dable ordenar Programa Anual de Adquisiciones vigente.</w:t>
      </w:r>
      <w:r w:rsidR="00D40FC0" w:rsidRPr="00EC36AE">
        <w:rPr>
          <w:rStyle w:val="Refdenotaalpie"/>
          <w:rFonts w:ascii="Palatino Linotype" w:eastAsia="Palatino Linotype" w:hAnsi="Palatino Linotype" w:cs="Palatino Linotype"/>
          <w:color w:val="000000" w:themeColor="text1"/>
          <w:sz w:val="24"/>
          <w:szCs w:val="24"/>
        </w:rPr>
        <w:footnoteReference w:id="1"/>
      </w:r>
    </w:p>
    <w:p w:rsidR="006D3DEE" w:rsidRPr="00687FD5" w:rsidRDefault="006D3DEE"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Por cuanto hace al Reporte de procedimientos Adquisitivos, el mismo formato al que hace el Instructivo de Referencia, deberá incluir todos los procedimientos adquisitivos, incluyendo adjudicaciones directas, por invitación restringida y licitación pública, procediendo a su llenado a partir de los contratos y/o convenios formalmente suscritos, de forma trimestral.</w:t>
      </w:r>
    </w:p>
    <w:p w:rsidR="00E03ED0" w:rsidRPr="00687FD5" w:rsidRDefault="00747922" w:rsidP="00D1492E">
      <w:pPr>
        <w:spacing w:after="0" w:line="360" w:lineRule="auto"/>
        <w:jc w:val="center"/>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noProof/>
          <w:color w:val="000000" w:themeColor="text1"/>
          <w:sz w:val="24"/>
          <w:szCs w:val="24"/>
        </w:rPr>
        <w:lastRenderedPageBreak/>
        <w:drawing>
          <wp:inline distT="0" distB="0" distL="0" distR="0">
            <wp:extent cx="5770185" cy="2807213"/>
            <wp:effectExtent l="0" t="0" r="0" b="0"/>
            <wp:docPr id="16351533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70185" cy="2807213"/>
                    </a:xfrm>
                    <a:prstGeom prst="rect">
                      <a:avLst/>
                    </a:prstGeom>
                    <a:ln/>
                  </pic:spPr>
                </pic:pic>
              </a:graphicData>
            </a:graphic>
          </wp:inline>
        </w:drawing>
      </w: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Ahora bien, resulta importante señalar que este término se encuentra definido en el Glosario de Términos Hacendarios que emite el Instituto Hacendario del Estado de México, el cual expresa lo siguiente:</w:t>
      </w:r>
    </w:p>
    <w:p w:rsidR="00E03ED0" w:rsidRPr="00687FD5" w:rsidRDefault="00747922" w:rsidP="00D1492E">
      <w:pPr>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i/>
          <w:color w:val="000000" w:themeColor="text1"/>
          <w:sz w:val="24"/>
          <w:szCs w:val="24"/>
        </w:rPr>
        <w:t>“</w:t>
      </w:r>
      <w:r w:rsidRPr="00687FD5">
        <w:rPr>
          <w:rFonts w:ascii="Palatino Linotype" w:eastAsia="Palatino Linotype" w:hAnsi="Palatino Linotype" w:cs="Palatino Linotype"/>
          <w:b/>
          <w:i/>
          <w:color w:val="000000" w:themeColor="text1"/>
          <w:sz w:val="24"/>
          <w:szCs w:val="24"/>
        </w:rPr>
        <w:t>FACTURA</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Es el documento fiscal que emite la persona física o moral para </w:t>
      </w:r>
      <w:r w:rsidRPr="00687FD5">
        <w:rPr>
          <w:rFonts w:ascii="Palatino Linotype" w:eastAsia="Palatino Linotype" w:hAnsi="Palatino Linotype" w:cs="Palatino Linotype"/>
          <w:b/>
          <w:i/>
          <w:color w:val="000000" w:themeColor="text1"/>
          <w:sz w:val="24"/>
          <w:szCs w:val="24"/>
          <w:u w:val="single"/>
        </w:rPr>
        <w:t>comprobar la venta o adquisición de un bien y/o servicio</w:t>
      </w:r>
      <w:r w:rsidRPr="00687FD5">
        <w:rPr>
          <w:rFonts w:ascii="Palatino Linotype" w:eastAsia="Palatino Linotype" w:hAnsi="Palatino Linotype" w:cs="Palatino Linotype"/>
          <w:i/>
          <w:color w:val="000000" w:themeColor="text1"/>
          <w:sz w:val="24"/>
          <w:szCs w:val="24"/>
        </w:rPr>
        <w:t>.” (Sic)</w:t>
      </w:r>
    </w:p>
    <w:p w:rsidR="00E03ED0" w:rsidRPr="00687FD5" w:rsidRDefault="00E03ED0" w:rsidP="00D1492E">
      <w:pPr>
        <w:jc w:val="both"/>
        <w:rPr>
          <w:rFonts w:ascii="Palatino Linotype" w:eastAsia="Palatino Linotype" w:hAnsi="Palatino Linotype" w:cs="Palatino Linotype"/>
          <w:i/>
          <w:color w:val="000000" w:themeColor="text1"/>
          <w:sz w:val="24"/>
          <w:szCs w:val="24"/>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En e</w:t>
      </w:r>
      <w:r w:rsidR="004D1FA6" w:rsidRPr="00687FD5">
        <w:rPr>
          <w:rFonts w:ascii="Palatino Linotype" w:eastAsia="Palatino Linotype" w:hAnsi="Palatino Linotype" w:cs="Palatino Linotype"/>
          <w:color w:val="000000" w:themeColor="text1"/>
          <w:sz w:val="24"/>
          <w:szCs w:val="24"/>
        </w:rPr>
        <w:t>se contexto, es de referir qu</w:t>
      </w:r>
      <w:r w:rsidRPr="00687FD5">
        <w:rPr>
          <w:rFonts w:ascii="Palatino Linotype" w:eastAsia="Palatino Linotype" w:hAnsi="Palatino Linotype" w:cs="Palatino Linotype"/>
          <w:color w:val="000000" w:themeColor="text1"/>
          <w:sz w:val="24"/>
          <w:szCs w:val="24"/>
        </w:rPr>
        <w:t>e de conformidad con  los artículos 342, 343, 344 y 345 del Código Financiero del Estado de México y Municipios, disponen el sistema y las políticas que deben seguirse para llevar el registro contable y presupuestal de las operaciones financieras, en los siguientes términos:</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Artículo 342.-</w:t>
      </w:r>
      <w:r w:rsidRPr="00687FD5">
        <w:rPr>
          <w:rFonts w:ascii="Palatino Linotype" w:eastAsia="Palatino Linotype" w:hAnsi="Palatino Linotype" w:cs="Palatino Linotype"/>
          <w:i/>
          <w:color w:val="000000" w:themeColor="text1"/>
          <w:sz w:val="24"/>
          <w:szCs w:val="24"/>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E03ED0" w:rsidRPr="00687FD5" w:rsidRDefault="00E03ED0" w:rsidP="00D1492E">
      <w:pPr>
        <w:spacing w:line="276" w:lineRule="auto"/>
        <w:jc w:val="both"/>
        <w:rPr>
          <w:rFonts w:ascii="Palatino Linotype" w:eastAsia="Palatino Linotype" w:hAnsi="Palatino Linotype" w:cs="Palatino Linotype"/>
          <w:i/>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En el caso de los municipios</w:t>
      </w:r>
      <w:r w:rsidRPr="00687FD5">
        <w:rPr>
          <w:rFonts w:ascii="Palatino Linotype" w:eastAsia="Palatino Linotype" w:hAnsi="Palatino Linotype" w:cs="Palatino Linotype"/>
          <w:i/>
          <w:color w:val="000000" w:themeColor="text1"/>
          <w:sz w:val="24"/>
          <w:szCs w:val="24"/>
        </w:rPr>
        <w:t>,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E03ED0" w:rsidRPr="00687FD5" w:rsidRDefault="00E03ED0" w:rsidP="00D1492E">
      <w:pPr>
        <w:spacing w:line="276" w:lineRule="auto"/>
        <w:jc w:val="both"/>
        <w:rPr>
          <w:rFonts w:ascii="Palatino Linotype" w:eastAsia="Palatino Linotype" w:hAnsi="Palatino Linotype" w:cs="Palatino Linotype"/>
          <w:i/>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Artículo 343.-</w:t>
      </w:r>
      <w:r w:rsidRPr="00687FD5">
        <w:rPr>
          <w:rFonts w:ascii="Palatino Linotype" w:eastAsia="Palatino Linotype" w:hAnsi="Palatino Linotype" w:cs="Palatino Linotype"/>
          <w:i/>
          <w:color w:val="000000" w:themeColor="text1"/>
          <w:sz w:val="24"/>
          <w:szCs w:val="24"/>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El sistema de contabilidad sobre base acumulativa total, se sustentará en las normas emitidas por el Consejo Nacional de Armonización Contable.</w:t>
      </w:r>
    </w:p>
    <w:p w:rsidR="00E03ED0" w:rsidRPr="00687FD5" w:rsidRDefault="00E03ED0" w:rsidP="00D1492E">
      <w:pPr>
        <w:spacing w:line="276" w:lineRule="auto"/>
        <w:jc w:val="both"/>
        <w:rPr>
          <w:rFonts w:ascii="Palatino Linotype" w:eastAsia="Palatino Linotype" w:hAnsi="Palatino Linotype" w:cs="Palatino Linotype"/>
          <w:b/>
          <w:i/>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Artículo 344.- Los Entes Públicos, a través de cualquiera de sus unidades administrativas, de acuerdo con su naturaleza jurídica y según corresponda, registrarán contablemente el efecto patrimonial y presupuestal de las operaciones financieras que realicen</w:t>
      </w:r>
      <w:r w:rsidRPr="00687FD5">
        <w:rPr>
          <w:rFonts w:ascii="Palatino Linotype" w:eastAsia="Palatino Linotype" w:hAnsi="Palatino Linotype" w:cs="Palatino Linotype"/>
          <w:i/>
          <w:color w:val="000000" w:themeColor="text1"/>
          <w:sz w:val="24"/>
          <w:szCs w:val="24"/>
        </w:rPr>
        <w:t>, en el momento en que ocurran, con base en el sistema y políticas de registro establecidas, en el caso de los Municipios, se hará por la Tesorería.</w:t>
      </w:r>
    </w:p>
    <w:p w:rsidR="00E03ED0" w:rsidRPr="00687FD5" w:rsidRDefault="00747922" w:rsidP="00D1492E">
      <w:pPr>
        <w:spacing w:line="276" w:lineRule="auto"/>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lastRenderedPageBreak/>
        <w:t xml:space="preserve">Todo registro contable y presupuestal deberá estar soportado con los documentos de registro, justificativos y comprobatorios originales, </w:t>
      </w:r>
      <w:r w:rsidRPr="00687FD5">
        <w:rPr>
          <w:rFonts w:ascii="Palatino Linotype" w:eastAsia="Palatino Linotype" w:hAnsi="Palatino Linotype" w:cs="Palatino Linotype"/>
          <w:i/>
          <w:color w:val="000000" w:themeColor="text1"/>
          <w:sz w:val="24"/>
          <w:szCs w:val="24"/>
        </w:rPr>
        <w:t xml:space="preserve">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w:t>
      </w:r>
    </w:p>
    <w:p w:rsidR="00E03ED0" w:rsidRPr="00687FD5" w:rsidRDefault="00E03ED0" w:rsidP="00D1492E">
      <w:pPr>
        <w:spacing w:line="276" w:lineRule="auto"/>
        <w:jc w:val="both"/>
        <w:rPr>
          <w:rFonts w:ascii="Palatino Linotype" w:eastAsia="Palatino Linotype" w:hAnsi="Palatino Linotype" w:cs="Palatino Linotype"/>
          <w:b/>
          <w:i/>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Artículo 345.-</w:t>
      </w:r>
      <w:r w:rsidRPr="00687FD5">
        <w:rPr>
          <w:rFonts w:ascii="Palatino Linotype" w:eastAsia="Palatino Linotype" w:hAnsi="Palatino Linotype" w:cs="Palatino Linotype"/>
          <w:i/>
          <w:color w:val="000000" w:themeColor="text1"/>
          <w:sz w:val="24"/>
          <w:szCs w:val="24"/>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E03ED0" w:rsidRPr="00687FD5" w:rsidRDefault="00E03ED0" w:rsidP="00D1492E">
      <w:pPr>
        <w:spacing w:line="276" w:lineRule="auto"/>
        <w:jc w:val="both"/>
        <w:rPr>
          <w:rFonts w:ascii="Palatino Linotype" w:eastAsia="Palatino Linotype" w:hAnsi="Palatino Linotype" w:cs="Palatino Linotype"/>
          <w:i/>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Los poderes Legislativo y Judicial, los Organismos Autónomos y las Entidades Públicas, de acuerdo con su naturaleza jurídica y según corresponda, deberán conservar la documentación contable del año en curso y la de ejercicios anteriores</w:t>
      </w:r>
      <w:r w:rsidRPr="00687FD5">
        <w:rPr>
          <w:rFonts w:ascii="Palatino Linotype" w:eastAsia="Palatino Linotype" w:hAnsi="Palatino Linotype" w:cs="Palatino Linotype"/>
          <w:i/>
          <w:color w:val="000000" w:themeColor="text1"/>
          <w:sz w:val="24"/>
          <w:szCs w:val="24"/>
        </w:rPr>
        <w:t>, cuyas cuentas públicas hayan sido revisadas y fiscalizadas, en sus propios Archivos Contables. Tratándose de los comprobantes fiscales digitales, estos deberán estar agregados en forma electrónica a cada póliza de registro contable.</w:t>
      </w:r>
    </w:p>
    <w:p w:rsidR="00E03ED0" w:rsidRPr="00687FD5" w:rsidRDefault="00E03ED0" w:rsidP="00D1492E">
      <w:pPr>
        <w:spacing w:line="276" w:lineRule="auto"/>
        <w:jc w:val="both"/>
        <w:rPr>
          <w:rFonts w:ascii="Palatino Linotype" w:eastAsia="Palatino Linotype" w:hAnsi="Palatino Linotype" w:cs="Palatino Linotype"/>
          <w:i/>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El plazo señalado en este artículo empezará a contar a partir de la publicación en el Periódico Oficial, del decreto correspondiente</w:t>
      </w:r>
      <w:r w:rsidRPr="00687FD5">
        <w:rPr>
          <w:rFonts w:ascii="Palatino Linotype" w:eastAsia="Palatino Linotype" w:hAnsi="Palatino Linotype" w:cs="Palatino Linotype"/>
          <w:b/>
          <w:i/>
          <w:color w:val="000000" w:themeColor="text1"/>
          <w:sz w:val="24"/>
          <w:szCs w:val="24"/>
        </w:rPr>
        <w:t xml:space="preserve"> </w:t>
      </w:r>
    </w:p>
    <w:p w:rsidR="00E03ED0" w:rsidRPr="00687FD5" w:rsidRDefault="00E03ED0" w:rsidP="00D1492E">
      <w:pPr>
        <w:spacing w:line="360" w:lineRule="auto"/>
        <w:jc w:val="both"/>
        <w:rPr>
          <w:rFonts w:ascii="Palatino Linotype" w:eastAsia="Palatino Linotype" w:hAnsi="Palatino Linotype" w:cs="Palatino Linotype"/>
          <w:i/>
          <w:color w:val="000000" w:themeColor="text1"/>
          <w:sz w:val="24"/>
          <w:szCs w:val="24"/>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Al respecto, si bien es cierto que el Código Financiero del Estado de México y Municipios establece la obligación a los Municipios para llevar los registros contables y presupuestales; también lo es que, dicho ordenamiento jurídico no establece que debemos entender por registro contable y presupuestal; sin embargo, el “</w:t>
      </w:r>
      <w:r w:rsidRPr="00687FD5">
        <w:rPr>
          <w:rFonts w:ascii="Palatino Linotype" w:eastAsia="Palatino Linotype" w:hAnsi="Palatino Linotype" w:cs="Palatino Linotype"/>
          <w:i/>
          <w:color w:val="000000" w:themeColor="text1"/>
          <w:sz w:val="24"/>
          <w:szCs w:val="24"/>
        </w:rPr>
        <w:t>Glosario de Términos para el Proceso de Planeación, Programación, Presupuestación y Evaluación en la Administración Pública”</w:t>
      </w:r>
      <w:r w:rsidRPr="00687FD5">
        <w:rPr>
          <w:rFonts w:ascii="Palatino Linotype" w:eastAsia="Palatino Linotype" w:hAnsi="Palatino Linotype" w:cs="Palatino Linotype"/>
          <w:color w:val="000000" w:themeColor="text1"/>
          <w:sz w:val="24"/>
          <w:szCs w:val="24"/>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E03ED0" w:rsidRPr="00687FD5" w:rsidRDefault="00747922" w:rsidP="00D1492E">
      <w:pPr>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REGISTRO CONTABLE. </w:t>
      </w:r>
      <w:r w:rsidRPr="00687FD5">
        <w:rPr>
          <w:rFonts w:ascii="Palatino Linotype" w:eastAsia="Palatino Linotype" w:hAnsi="Palatino Linotype" w:cs="Palatino Linotype"/>
          <w:i/>
          <w:color w:val="000000" w:themeColor="text1"/>
          <w:sz w:val="24"/>
          <w:szCs w:val="24"/>
        </w:rPr>
        <w:t>Asiento que se realiza en los libros de contabilidad de las actividades relacionadas con el ingreso y egresos de un ente económico.</w:t>
      </w:r>
    </w:p>
    <w:p w:rsidR="00E03ED0" w:rsidRPr="00687FD5" w:rsidRDefault="00E03ED0" w:rsidP="00D1492E">
      <w:pPr>
        <w:jc w:val="both"/>
        <w:rPr>
          <w:rFonts w:ascii="Palatino Linotype" w:eastAsia="Palatino Linotype" w:hAnsi="Palatino Linotype" w:cs="Palatino Linotype"/>
          <w:i/>
          <w:color w:val="000000" w:themeColor="text1"/>
          <w:sz w:val="24"/>
          <w:szCs w:val="24"/>
        </w:rPr>
      </w:pP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REGISTRO PRESUPUESTARIO. </w:t>
      </w:r>
      <w:r w:rsidRPr="00687FD5">
        <w:rPr>
          <w:rFonts w:ascii="Palatino Linotype" w:eastAsia="Palatino Linotype" w:hAnsi="Palatino Linotype" w:cs="Palatino Linotype"/>
          <w:i/>
          <w:color w:val="000000" w:themeColor="text1"/>
          <w:sz w:val="24"/>
          <w:szCs w:val="24"/>
        </w:rPr>
        <w:t>Asiento contable de las erogaciones realizadas por las dependencias y entidades con relación a la asignación, modificación y ejercicio de los recursos presupuestarios que se les hayan autorizado.</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highlight w:val="yellow"/>
        </w:rPr>
      </w:pPr>
    </w:p>
    <w:p w:rsidR="00E03ED0" w:rsidRPr="00687FD5"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En este sentido, cabe referir que la Ley de Fiscalización Superior del Estado de México prevé en su artículo 4 que los Poderes Públicos del Estado son considerados entes fiscalizables, tal como se observa a continuación:</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Artículo 4.</w:t>
      </w:r>
      <w:r w:rsidRPr="00687FD5">
        <w:rPr>
          <w:rFonts w:ascii="Palatino Linotype" w:eastAsia="Palatino Linotype" w:hAnsi="Palatino Linotype" w:cs="Palatino Linotype"/>
          <w:i/>
          <w:color w:val="000000" w:themeColor="text1"/>
          <w:sz w:val="24"/>
          <w:szCs w:val="24"/>
        </w:rPr>
        <w:t xml:space="preserve"> Son sujetos de fiscalización:</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I. Los Poderes Públicos del Estado;</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II. Los municipios del Estado de México;</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III.Los organismos autónomos</w:t>
      </w:r>
    </w:p>
    <w:p w:rsidR="00E03ED0" w:rsidRPr="00687FD5" w:rsidRDefault="00747922" w:rsidP="00D1492E">
      <w:pPr>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IV. Los organismos auxiliares</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V.Los fideicomisos previstos en el artículo 3 fracción XVII del Código Financiero del Estado de México y Municipios, y aquellos que manejen recursos del Estado, Municipios, o en su caso provenientes de la federación;</w:t>
      </w:r>
    </w:p>
    <w:p w:rsidR="00E03ED0" w:rsidRPr="00687FD5" w:rsidRDefault="00747922" w:rsidP="00D1492E">
      <w:pPr>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VI.Cualquier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rsidR="00E03ED0" w:rsidRPr="00687FD5" w:rsidRDefault="00747922" w:rsidP="00D1492E">
      <w:pPr>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Asimismo, el ordenamiento legal referido señala en su artículo 8, fracción XI lo siguiente: </w:t>
      </w:r>
    </w:p>
    <w:p w:rsidR="00E03ED0" w:rsidRPr="00687FD5" w:rsidRDefault="00E03ED0" w:rsidP="00D1492E">
      <w:pPr>
        <w:jc w:val="both"/>
        <w:rPr>
          <w:rFonts w:ascii="Palatino Linotype" w:eastAsia="Palatino Linotype" w:hAnsi="Palatino Linotype" w:cs="Palatino Linotype"/>
          <w:color w:val="000000" w:themeColor="text1"/>
          <w:sz w:val="24"/>
          <w:szCs w:val="24"/>
        </w:rPr>
      </w:pP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Artículo 8. El Órgano Superior tendrá las siguientes atribuciones:</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w:t>
      </w:r>
    </w:p>
    <w:p w:rsidR="00E03ED0" w:rsidRPr="00687FD5" w:rsidRDefault="00747922" w:rsidP="00D1492E">
      <w:pPr>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XI. </w:t>
      </w:r>
      <w:r w:rsidRPr="00687FD5">
        <w:rPr>
          <w:rFonts w:ascii="Palatino Linotype" w:eastAsia="Palatino Linotype" w:hAnsi="Palatino Linotype" w:cs="Palatino Linotype"/>
          <w:b/>
          <w:i/>
          <w:color w:val="000000" w:themeColor="text1"/>
          <w:sz w:val="24"/>
          <w:szCs w:val="24"/>
        </w:rPr>
        <w:t>Establecer los lineamientos, criterios, procedimientos, métodos y sistemas para las acciones de control y evaluación, necesarios para la fiscalización de las cuentas públicas y los informes trimestrales</w:t>
      </w:r>
      <w:r w:rsidRPr="00687FD5">
        <w:rPr>
          <w:rFonts w:ascii="Palatino Linotype" w:eastAsia="Palatino Linotype" w:hAnsi="Palatino Linotype" w:cs="Palatino Linotype"/>
          <w:i/>
          <w:color w:val="000000" w:themeColor="text1"/>
          <w:sz w:val="24"/>
          <w:szCs w:val="24"/>
        </w:rPr>
        <w:t xml:space="preserve">…” </w:t>
      </w:r>
    </w:p>
    <w:p w:rsidR="00E03ED0" w:rsidRPr="00687FD5" w:rsidRDefault="00E03ED0" w:rsidP="00D1492E">
      <w:pPr>
        <w:tabs>
          <w:tab w:val="left" w:pos="284"/>
        </w:tabs>
        <w:spacing w:before="160" w:after="0" w:line="360" w:lineRule="auto"/>
        <w:jc w:val="both"/>
        <w:rPr>
          <w:rFonts w:ascii="Palatino Linotype" w:eastAsia="Palatino Linotype" w:hAnsi="Palatino Linotype" w:cs="Palatino Linotype"/>
          <w:color w:val="000000" w:themeColor="text1"/>
          <w:sz w:val="24"/>
          <w:szCs w:val="24"/>
          <w:highlight w:val="yellow"/>
        </w:rPr>
      </w:pPr>
    </w:p>
    <w:p w:rsidR="00E03ED0" w:rsidRPr="006C336E" w:rsidRDefault="00747922" w:rsidP="00EC36AE">
      <w:pPr>
        <w:numPr>
          <w:ilvl w:val="0"/>
          <w:numId w:val="16"/>
        </w:numPr>
        <w:spacing w:after="0" w:line="360" w:lineRule="auto"/>
        <w:ind w:left="0" w:firstLine="0"/>
        <w:jc w:val="both"/>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color w:val="000000" w:themeColor="text1"/>
          <w:sz w:val="24"/>
          <w:szCs w:val="24"/>
        </w:rPr>
        <w:lastRenderedPageBreak/>
        <w:t>De la normatividad previamente plasmada, se desprende primeramente que el registro contable del efecto patrimonial y presupuestal de las operaciones financieras se realizará conforme al sistema y a las disposiciones que se aprueben en materia de planeación, programación, presupuestación, evaluaci</w:t>
      </w:r>
      <w:r w:rsidR="006D3DEE" w:rsidRPr="006C336E">
        <w:rPr>
          <w:rFonts w:ascii="Palatino Linotype" w:eastAsia="Palatino Linotype" w:hAnsi="Palatino Linotype" w:cs="Palatino Linotype"/>
          <w:color w:val="000000" w:themeColor="text1"/>
          <w:sz w:val="24"/>
          <w:szCs w:val="24"/>
        </w:rPr>
        <w:t xml:space="preserve">ón y contabilidad gubernamental, por lo que al ser tal reporte </w:t>
      </w:r>
      <w:r w:rsidR="00D40FC0" w:rsidRPr="006C336E">
        <w:rPr>
          <w:rFonts w:ascii="Palatino Linotype" w:eastAsia="Palatino Linotype" w:hAnsi="Palatino Linotype" w:cs="Palatino Linotype"/>
          <w:color w:val="000000" w:themeColor="text1"/>
          <w:sz w:val="24"/>
          <w:szCs w:val="24"/>
        </w:rPr>
        <w:t>susceptible</w:t>
      </w:r>
      <w:r w:rsidR="006D3DEE" w:rsidRPr="006C336E">
        <w:rPr>
          <w:rFonts w:ascii="Palatino Linotype" w:eastAsia="Palatino Linotype" w:hAnsi="Palatino Linotype" w:cs="Palatino Linotype"/>
          <w:color w:val="000000" w:themeColor="text1"/>
          <w:sz w:val="24"/>
          <w:szCs w:val="24"/>
        </w:rPr>
        <w:t xml:space="preserve"> de ser entregado de forma trimestral </w:t>
      </w:r>
      <w:r w:rsidR="00D40FC0" w:rsidRPr="006C336E">
        <w:rPr>
          <w:rFonts w:ascii="Palatino Linotype" w:eastAsia="Palatino Linotype" w:hAnsi="Palatino Linotype" w:cs="Palatino Linotype"/>
          <w:color w:val="000000" w:themeColor="text1"/>
          <w:sz w:val="24"/>
          <w:szCs w:val="24"/>
        </w:rPr>
        <w:t>deberá ser entregado para los dos primeros trimestres de la presente anualidad.</w:t>
      </w:r>
    </w:p>
    <w:p w:rsidR="00E03ED0" w:rsidRPr="00687FD5" w:rsidRDefault="00E03ED0" w:rsidP="00D1492E">
      <w:pPr>
        <w:jc w:val="both"/>
        <w:rPr>
          <w:rFonts w:ascii="Palatino Linotype" w:eastAsia="Palatino Linotype" w:hAnsi="Palatino Linotype" w:cs="Palatino Linotype"/>
          <w:i/>
          <w:color w:val="000000" w:themeColor="text1"/>
          <w:sz w:val="24"/>
          <w:szCs w:val="24"/>
        </w:rPr>
      </w:pPr>
    </w:p>
    <w:p w:rsidR="00747922" w:rsidRPr="006C336E" w:rsidRDefault="00747922" w:rsidP="00EC36AE">
      <w:pPr>
        <w:pStyle w:val="Prrafodelista"/>
        <w:numPr>
          <w:ilvl w:val="0"/>
          <w:numId w:val="16"/>
        </w:numPr>
        <w:spacing w:line="360" w:lineRule="auto"/>
        <w:ind w:left="0" w:firstLine="0"/>
        <w:contextualSpacing/>
        <w:jc w:val="both"/>
        <w:rPr>
          <w:rFonts w:ascii="Palatino Linotype" w:eastAsia="Calibri" w:hAnsi="Palatino Linotype" w:cs="Tahoma"/>
          <w:bCs/>
          <w:color w:val="000000" w:themeColor="text1"/>
        </w:rPr>
      </w:pPr>
      <w:r w:rsidRPr="006C336E">
        <w:rPr>
          <w:rFonts w:ascii="Palatino Linotype" w:eastAsia="Calibri" w:hAnsi="Palatino Linotype" w:cs="Tahoma"/>
          <w:bCs/>
          <w:color w:val="000000" w:themeColor="text1"/>
        </w:rPr>
        <w:t xml:space="preserve">En ese orden de ideas, este Instituto revisó los Lineamientos para la Integración, Presentación y Envío de los Informes Trimestrales Municipales del Ejercicio Fiscal 2024, de los cuales se logra advertir que el Municipio debe entregar al Órgano Superior de Fiscalización, en el Módulo 1, entre otros documentos el Diario General de Pólizas, mismo que debe ser generado en formato “PDF” y “XLSX”; además, conforme al Instructivo de llenado de dicho formato, este tiene como finalidad concentrar </w:t>
      </w:r>
      <w:r w:rsidRPr="006C336E">
        <w:rPr>
          <w:rFonts w:ascii="Palatino Linotype" w:eastAsia="Calibri" w:hAnsi="Palatino Linotype" w:cs="Tahoma"/>
          <w:bCs/>
          <w:i/>
          <w:color w:val="000000" w:themeColor="text1"/>
        </w:rPr>
        <w:t>el total de pólizas</w:t>
      </w:r>
      <w:r w:rsidRPr="006C336E">
        <w:rPr>
          <w:rFonts w:ascii="Palatino Linotype" w:eastAsia="Calibri" w:hAnsi="Palatino Linotype" w:cs="Tahoma"/>
          <w:bCs/>
          <w:color w:val="000000" w:themeColor="text1"/>
        </w:rPr>
        <w:t xml:space="preserve"> que la entidad realizó en un periodo específico.</w:t>
      </w:r>
    </w:p>
    <w:p w:rsidR="00747922" w:rsidRPr="006C336E" w:rsidRDefault="00747922" w:rsidP="00D1492E">
      <w:pPr>
        <w:pStyle w:val="Prrafodelista"/>
        <w:ind w:left="0"/>
        <w:rPr>
          <w:rFonts w:ascii="Palatino Linotype" w:eastAsia="Palatino Linotype" w:hAnsi="Palatino Linotype" w:cs="Palatino Linotype"/>
          <w:color w:val="000000" w:themeColor="text1"/>
        </w:rPr>
      </w:pPr>
    </w:p>
    <w:p w:rsidR="00FC4B6C" w:rsidRPr="006C336E"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color w:val="000000" w:themeColor="text1"/>
          <w:sz w:val="24"/>
          <w:szCs w:val="24"/>
        </w:rPr>
        <w:t>A más de lo anterior, es oportuno referir que en relación a los Informes Trimestral </w:t>
      </w:r>
      <w:r w:rsidRPr="006C336E">
        <w:rPr>
          <w:rFonts w:ascii="Palatino Linotype" w:eastAsia="Palatino Linotype" w:hAnsi="Palatino Linotype" w:cs="Palatino Linotype"/>
          <w:b/>
          <w:color w:val="000000" w:themeColor="text1"/>
          <w:sz w:val="24"/>
          <w:szCs w:val="24"/>
        </w:rPr>
        <w:t>Municipales</w:t>
      </w:r>
      <w:r w:rsidRPr="006C336E">
        <w:rPr>
          <w:rFonts w:ascii="Palatino Linotype" w:eastAsia="Palatino Linotype" w:hAnsi="Palatino Linotype" w:cs="Palatino Linotype"/>
          <w:color w:val="000000" w:themeColor="text1"/>
          <w:sz w:val="24"/>
          <w:szCs w:val="24"/>
        </w:rPr>
        <w:t xml:space="preserve"> Ejercicio Fiscal 2025, del Órgano Superior de Fiscalización del Estado de México (OSFEM), consultable en el link </w:t>
      </w:r>
      <w:hyperlink r:id="rId11">
        <w:r w:rsidRPr="006C336E">
          <w:rPr>
            <w:rFonts w:ascii="Palatino Linotype" w:eastAsia="Palatino Linotype" w:hAnsi="Palatino Linotype" w:cs="Palatino Linotype"/>
            <w:color w:val="000000" w:themeColor="text1"/>
            <w:sz w:val="24"/>
            <w:szCs w:val="24"/>
            <w:u w:val="single"/>
          </w:rPr>
          <w:t>https://www.osfem.gob.mx/entidades/documentos_apoyo.html</w:t>
        </w:r>
      </w:hyperlink>
      <w:r w:rsidRPr="006C336E">
        <w:rPr>
          <w:rFonts w:ascii="Palatino Linotype" w:eastAsia="Palatino Linotype" w:hAnsi="Palatino Linotype" w:cs="Palatino Linotype"/>
          <w:color w:val="000000" w:themeColor="text1"/>
          <w:sz w:val="24"/>
          <w:szCs w:val="24"/>
        </w:rPr>
        <w:t xml:space="preserve">  en el “Instructivo del Módulo 1 de Información Contable y Financiera”, en su apartado denominado </w:t>
      </w:r>
      <w:r w:rsidR="00FC4B6C" w:rsidRPr="006C336E">
        <w:rPr>
          <w:rFonts w:ascii="Palatino Linotype" w:eastAsia="Palatino Linotype" w:hAnsi="Palatino Linotype" w:cs="Palatino Linotype"/>
          <w:b/>
          <w:color w:val="000000" w:themeColor="text1"/>
          <w:sz w:val="24"/>
          <w:szCs w:val="24"/>
        </w:rPr>
        <w:t>“13</w:t>
      </w:r>
      <w:r w:rsidRPr="006C336E">
        <w:rPr>
          <w:rFonts w:ascii="Palatino Linotype" w:eastAsia="Palatino Linotype" w:hAnsi="Palatino Linotype" w:cs="Palatino Linotype"/>
          <w:b/>
          <w:color w:val="000000" w:themeColor="text1"/>
          <w:sz w:val="24"/>
          <w:szCs w:val="24"/>
        </w:rPr>
        <w:t xml:space="preserve">. </w:t>
      </w:r>
      <w:r w:rsidR="00FC4B6C" w:rsidRPr="006C336E">
        <w:rPr>
          <w:rFonts w:ascii="Palatino Linotype" w:eastAsia="Palatino Linotype" w:hAnsi="Palatino Linotype" w:cs="Palatino Linotype"/>
          <w:b/>
          <w:color w:val="000000" w:themeColor="text1"/>
          <w:sz w:val="24"/>
          <w:szCs w:val="24"/>
        </w:rPr>
        <w:t>Diario General de Polizas</w:t>
      </w:r>
      <w:r w:rsidRPr="006C336E">
        <w:rPr>
          <w:rFonts w:ascii="Palatino Linotype" w:eastAsia="Palatino Linotype" w:hAnsi="Palatino Linotype" w:cs="Palatino Linotype"/>
          <w:b/>
          <w:color w:val="000000" w:themeColor="text1"/>
          <w:sz w:val="24"/>
          <w:szCs w:val="24"/>
        </w:rPr>
        <w:t xml:space="preserve">”, </w:t>
      </w:r>
      <w:r w:rsidRPr="006C336E">
        <w:rPr>
          <w:rFonts w:ascii="Palatino Linotype" w:eastAsia="Palatino Linotype" w:hAnsi="Palatino Linotype" w:cs="Palatino Linotype"/>
          <w:color w:val="000000" w:themeColor="text1"/>
          <w:sz w:val="24"/>
          <w:szCs w:val="24"/>
        </w:rPr>
        <w:t xml:space="preserve"> </w:t>
      </w:r>
      <w:r w:rsidR="00FC4B6C" w:rsidRPr="006C336E">
        <w:rPr>
          <w:rFonts w:ascii="Palatino Linotype" w:eastAsia="Palatino Linotype" w:hAnsi="Palatino Linotype" w:cs="Palatino Linotype"/>
          <w:color w:val="000000" w:themeColor="text1"/>
          <w:sz w:val="24"/>
          <w:szCs w:val="24"/>
        </w:rPr>
        <w:t xml:space="preserve">cuya </w:t>
      </w:r>
      <w:r w:rsidRPr="006C336E">
        <w:rPr>
          <w:rFonts w:ascii="Palatino Linotype" w:eastAsia="Palatino Linotype" w:hAnsi="Palatino Linotype" w:cs="Palatino Linotype"/>
          <w:color w:val="000000" w:themeColor="text1"/>
          <w:sz w:val="24"/>
          <w:szCs w:val="24"/>
        </w:rPr>
        <w:t>finalidad</w:t>
      </w:r>
      <w:r w:rsidR="00FC4B6C" w:rsidRPr="006C336E">
        <w:rPr>
          <w:rFonts w:ascii="Palatino Linotype" w:eastAsia="Palatino Linotype" w:hAnsi="Palatino Linotype" w:cs="Palatino Linotype"/>
          <w:color w:val="000000" w:themeColor="text1"/>
          <w:sz w:val="24"/>
          <w:szCs w:val="24"/>
        </w:rPr>
        <w:t xml:space="preserve"> es la de llevar un control detallado y preciso de todos los registros contables que la entidad realizó en determinado periodo de tiempo, para el caso de esté de forma mensual</w:t>
      </w:r>
      <w:r w:rsidRPr="006C336E">
        <w:rPr>
          <w:rFonts w:ascii="Palatino Linotype" w:eastAsia="Palatino Linotype" w:hAnsi="Palatino Linotype" w:cs="Palatino Linotype"/>
          <w:color w:val="000000" w:themeColor="text1"/>
          <w:sz w:val="24"/>
          <w:szCs w:val="24"/>
        </w:rPr>
        <w:t xml:space="preserve"> como se aprecia a manera ilustrativa en la siguiente captura:</w:t>
      </w:r>
    </w:p>
    <w:p w:rsidR="00747922" w:rsidRPr="006C336E" w:rsidRDefault="00747922" w:rsidP="00D1492E">
      <w:pPr>
        <w:pStyle w:val="Prrafodelista"/>
        <w:ind w:left="0"/>
        <w:rPr>
          <w:rFonts w:ascii="Palatino Linotype" w:eastAsia="Palatino Linotype" w:hAnsi="Palatino Linotype" w:cs="Palatino Linotype"/>
          <w:color w:val="000000" w:themeColor="text1"/>
        </w:rPr>
      </w:pPr>
    </w:p>
    <w:p w:rsidR="00747922" w:rsidRPr="006C336E" w:rsidRDefault="00747922" w:rsidP="00D149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noProof/>
          <w:color w:val="000000" w:themeColor="text1"/>
          <w:sz w:val="24"/>
          <w:szCs w:val="24"/>
        </w:rPr>
        <w:drawing>
          <wp:inline distT="0" distB="0" distL="0" distR="0" wp14:anchorId="7C38B128" wp14:editId="07823DA9">
            <wp:extent cx="5760720" cy="37884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788410"/>
                    </a:xfrm>
                    <a:prstGeom prst="rect">
                      <a:avLst/>
                    </a:prstGeom>
                  </pic:spPr>
                </pic:pic>
              </a:graphicData>
            </a:graphic>
          </wp:inline>
        </w:drawing>
      </w:r>
    </w:p>
    <w:p w:rsidR="00FC4B6C" w:rsidRPr="006C336E" w:rsidRDefault="00FC4B6C" w:rsidP="00D1492E">
      <w:pPr>
        <w:pStyle w:val="Prrafodelista"/>
        <w:ind w:left="0"/>
        <w:rPr>
          <w:rFonts w:ascii="Palatino Linotype" w:eastAsia="Palatino Linotype" w:hAnsi="Palatino Linotype" w:cs="Palatino Linotype"/>
          <w:color w:val="000000" w:themeColor="text1"/>
        </w:rPr>
      </w:pPr>
    </w:p>
    <w:p w:rsidR="00FC4B6C" w:rsidRPr="006C336E" w:rsidRDefault="00FC4B6C"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color w:val="000000" w:themeColor="text1"/>
          <w:sz w:val="24"/>
          <w:szCs w:val="24"/>
        </w:rPr>
        <w:t>El “Diario general de Pólizas debe presentarse en formatos PDF Y XLSX bajo las siguientes especificaciones:</w:t>
      </w:r>
    </w:p>
    <w:p w:rsidR="00747922" w:rsidRPr="006C336E" w:rsidRDefault="00747922" w:rsidP="00D1492E">
      <w:pPr>
        <w:pStyle w:val="Prrafodelista"/>
        <w:spacing w:line="276" w:lineRule="auto"/>
        <w:ind w:left="0"/>
        <w:rPr>
          <w:rFonts w:ascii="Palatino Linotype" w:hAnsi="Palatino Linotype"/>
          <w:i/>
          <w:color w:val="000000" w:themeColor="text1"/>
        </w:rPr>
      </w:pPr>
      <w:r w:rsidRPr="006C336E">
        <w:rPr>
          <w:rFonts w:ascii="Palatino Linotype" w:hAnsi="Palatino Linotype"/>
          <w:i/>
          <w:color w:val="000000" w:themeColor="text1"/>
        </w:rPr>
        <w:t xml:space="preserve">1. Número de Póliza: Colocar tipo y número de póliza. </w:t>
      </w:r>
    </w:p>
    <w:p w:rsidR="00747922" w:rsidRPr="006C336E" w:rsidRDefault="00747922" w:rsidP="00D1492E">
      <w:pPr>
        <w:pStyle w:val="Prrafodelista"/>
        <w:spacing w:line="276" w:lineRule="auto"/>
        <w:ind w:left="0"/>
        <w:rPr>
          <w:rFonts w:ascii="Palatino Linotype" w:eastAsia="Palatino Linotype" w:hAnsi="Palatino Linotype" w:cs="Palatino Linotype"/>
          <w:i/>
          <w:color w:val="000000" w:themeColor="text1"/>
        </w:rPr>
      </w:pPr>
      <w:r w:rsidRPr="006C336E">
        <w:rPr>
          <w:rFonts w:ascii="Palatino Linotype" w:hAnsi="Palatino Linotype"/>
          <w:i/>
          <w:color w:val="000000" w:themeColor="text1"/>
        </w:rPr>
        <w:t>2. Fecha de la Póliza: Fecha a la que corresponde (dd/mm/aaaa).</w:t>
      </w:r>
    </w:p>
    <w:p w:rsidR="00747922" w:rsidRPr="006C336E" w:rsidRDefault="00747922" w:rsidP="00D1492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6C336E">
        <w:rPr>
          <w:rFonts w:ascii="Palatino Linotype" w:hAnsi="Palatino Linotype"/>
          <w:i/>
          <w:color w:val="000000" w:themeColor="text1"/>
          <w:sz w:val="24"/>
          <w:szCs w:val="24"/>
        </w:rPr>
        <w:t xml:space="preserve">3. Capturó: Registrar el nombre de la persona que realizó la captura de la póliza. </w:t>
      </w:r>
    </w:p>
    <w:p w:rsidR="00747922" w:rsidRPr="006C336E" w:rsidRDefault="00747922" w:rsidP="00D1492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6C336E">
        <w:rPr>
          <w:rFonts w:ascii="Palatino Linotype" w:hAnsi="Palatino Linotype"/>
          <w:i/>
          <w:color w:val="000000" w:themeColor="text1"/>
          <w:sz w:val="24"/>
          <w:szCs w:val="24"/>
        </w:rPr>
        <w:t xml:space="preserve">4. Cta, Scta, Sscta, Ssscta, Ssscta: Se establecen los números de las cuentas, sus diferentes niveles. </w:t>
      </w:r>
    </w:p>
    <w:p w:rsidR="00747922" w:rsidRPr="006C336E" w:rsidRDefault="00747922" w:rsidP="00D1492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6C336E">
        <w:rPr>
          <w:rFonts w:ascii="Palatino Linotype" w:hAnsi="Palatino Linotype"/>
          <w:i/>
          <w:color w:val="000000" w:themeColor="text1"/>
          <w:sz w:val="24"/>
          <w:szCs w:val="24"/>
        </w:rPr>
        <w:t xml:space="preserve">5. Concepto: Anotar el nombre del concepto del clasificador del objeto del gasto, de acuerdo al Manual Único de Contabilidad Gubernamental para las Dependencias y Entidades Públicas del Gobierno y Municipios del Estado de México. </w:t>
      </w:r>
    </w:p>
    <w:p w:rsidR="00747922" w:rsidRPr="006C336E" w:rsidRDefault="00747922" w:rsidP="00D1492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6C336E">
        <w:rPr>
          <w:rFonts w:ascii="Palatino Linotype" w:hAnsi="Palatino Linotype"/>
          <w:i/>
          <w:color w:val="000000" w:themeColor="text1"/>
          <w:sz w:val="24"/>
          <w:szCs w:val="24"/>
        </w:rPr>
        <w:t xml:space="preserve">6. Debe: Representa el monto del cargo que corresponde a la póliza. </w:t>
      </w:r>
    </w:p>
    <w:p w:rsidR="00747922" w:rsidRPr="006C336E" w:rsidRDefault="00747922" w:rsidP="00D1492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6C336E">
        <w:rPr>
          <w:rFonts w:ascii="Palatino Linotype" w:hAnsi="Palatino Linotype"/>
          <w:i/>
          <w:color w:val="000000" w:themeColor="text1"/>
          <w:sz w:val="24"/>
          <w:szCs w:val="24"/>
        </w:rPr>
        <w:t xml:space="preserve">7. Haber: Representa el monto del abono que corresponde a la póliza. </w:t>
      </w:r>
    </w:p>
    <w:p w:rsidR="00747922" w:rsidRPr="006C336E" w:rsidRDefault="00747922" w:rsidP="00D1492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6C336E">
        <w:rPr>
          <w:rFonts w:ascii="Palatino Linotype" w:hAnsi="Palatino Linotype"/>
          <w:i/>
          <w:color w:val="000000" w:themeColor="text1"/>
          <w:sz w:val="24"/>
          <w:szCs w:val="24"/>
        </w:rPr>
        <w:lastRenderedPageBreak/>
        <w:t>8. Resumen de Pólizas: Se registra el resumen de pólizas de acuerdo a su tipo, así como el total de sus cargos y abonos.</w:t>
      </w:r>
    </w:p>
    <w:p w:rsidR="00FC4B6C" w:rsidRPr="006C336E" w:rsidRDefault="00FC4B6C" w:rsidP="00D1492E">
      <w:pPr>
        <w:pStyle w:val="Prrafodelista"/>
        <w:ind w:left="0"/>
        <w:rPr>
          <w:rFonts w:ascii="Palatino Linotype" w:eastAsia="Palatino Linotype" w:hAnsi="Palatino Linotype" w:cs="Palatino Linotype"/>
          <w:color w:val="000000" w:themeColor="text1"/>
        </w:rPr>
      </w:pPr>
    </w:p>
    <w:p w:rsidR="00E03ED0" w:rsidRPr="006C336E" w:rsidRDefault="00720FD7"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color w:val="000000" w:themeColor="text1"/>
          <w:sz w:val="24"/>
          <w:szCs w:val="24"/>
        </w:rPr>
        <w:t>Por lo que de manera reiterativa se señala</w:t>
      </w:r>
      <w:r w:rsidR="00747922" w:rsidRPr="006C336E">
        <w:rPr>
          <w:rFonts w:ascii="Palatino Linotype" w:eastAsia="Palatino Linotype" w:hAnsi="Palatino Linotype" w:cs="Palatino Linotype"/>
          <w:color w:val="000000" w:themeColor="text1"/>
          <w:sz w:val="24"/>
          <w:szCs w:val="24"/>
        </w:rPr>
        <w:t xml:space="preserve"> que estos formatos se generan de manera mensual, como lo disponen los Lineamientos, fechas de capacitación y calendarización para la integración y presentación de los informes trimestrales estatales y municipales del ejercicio fiscal 2025, de las entidades fiscalizables del Estado de México, consultables en el siguiente link </w:t>
      </w:r>
      <w:hyperlink r:id="rId13">
        <w:r w:rsidR="00747922" w:rsidRPr="006C336E">
          <w:rPr>
            <w:rFonts w:ascii="Palatino Linotype" w:eastAsia="Palatino Linotype" w:hAnsi="Palatino Linotype" w:cs="Palatino Linotype"/>
            <w:color w:val="000000" w:themeColor="text1"/>
            <w:sz w:val="24"/>
            <w:szCs w:val="24"/>
            <w:u w:val="single"/>
          </w:rPr>
          <w:t>https://legislacion.edomex.gob.mx/sites/legislacion.edomex.gob.mx/files/files/pdf/gct/2025/abril/abr011/abr011a.pdf</w:t>
        </w:r>
      </w:hyperlink>
      <w:r w:rsidR="00747922" w:rsidRPr="006C336E">
        <w:rPr>
          <w:rFonts w:ascii="Palatino Linotype" w:eastAsia="Palatino Linotype" w:hAnsi="Palatino Linotype" w:cs="Palatino Linotype"/>
          <w:color w:val="000000" w:themeColor="text1"/>
          <w:sz w:val="24"/>
          <w:szCs w:val="24"/>
        </w:rPr>
        <w:t xml:space="preserve"> , tal como se muestra a continuación:</w:t>
      </w:r>
    </w:p>
    <w:p w:rsidR="00E03ED0" w:rsidRPr="00687FD5" w:rsidRDefault="00E03ED0" w:rsidP="00D1492E">
      <w:pPr>
        <w:pBdr>
          <w:top w:val="nil"/>
          <w:left w:val="nil"/>
          <w:bottom w:val="nil"/>
          <w:right w:val="nil"/>
          <w:between w:val="nil"/>
        </w:pBdr>
        <w:rPr>
          <w:rFonts w:ascii="Palatino Linotype" w:eastAsia="Palatino Linotype" w:hAnsi="Palatino Linotype" w:cs="Palatino Linotype"/>
          <w:color w:val="000000" w:themeColor="text1"/>
          <w:sz w:val="24"/>
          <w:szCs w:val="24"/>
          <w:highlight w:val="yellow"/>
        </w:rPr>
      </w:pPr>
    </w:p>
    <w:p w:rsidR="00E03ED0" w:rsidRPr="006C336E" w:rsidRDefault="00747922" w:rsidP="00D1492E">
      <w:pPr>
        <w:pBdr>
          <w:top w:val="nil"/>
          <w:left w:val="nil"/>
          <w:bottom w:val="nil"/>
          <w:right w:val="nil"/>
          <w:between w:val="nil"/>
        </w:pBdr>
        <w:jc w:val="center"/>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1322857</wp:posOffset>
                </wp:positionH>
                <wp:positionV relativeFrom="paragraph">
                  <wp:posOffset>1124865</wp:posOffset>
                </wp:positionV>
                <wp:extent cx="3679393" cy="307239"/>
                <wp:effectExtent l="0" t="0" r="16510" b="17145"/>
                <wp:wrapNone/>
                <wp:docPr id="3" name="Rectángulo redondeado 3"/>
                <wp:cNvGraphicFramePr/>
                <a:graphic xmlns:a="http://schemas.openxmlformats.org/drawingml/2006/main">
                  <a:graphicData uri="http://schemas.microsoft.com/office/word/2010/wordprocessingShape">
                    <wps:wsp>
                      <wps:cNvSpPr/>
                      <wps:spPr>
                        <a:xfrm>
                          <a:off x="0" y="0"/>
                          <a:ext cx="3679393" cy="3072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2BF31" id="Rectángulo redondeado 3" o:spid="_x0000_s1026" style="position:absolute;margin-left:104.15pt;margin-top:88.55pt;width:289.7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" filled="f" strokecolor="red" strokeweight="1pt">
                <v:stroke joinstyle="miter"/>
              </v:roundrect>
            </w:pict>
          </mc:Fallback>
        </mc:AlternateContent>
      </w:r>
      <w:r w:rsidRPr="006C336E">
        <w:rPr>
          <w:rFonts w:ascii="Palatino Linotype" w:eastAsia="Palatino Linotype" w:hAnsi="Palatino Linotype" w:cs="Palatino Linotype"/>
          <w:noProof/>
          <w:color w:val="000000" w:themeColor="text1"/>
          <w:sz w:val="24"/>
          <w:szCs w:val="24"/>
        </w:rPr>
        <w:drawing>
          <wp:inline distT="0" distB="0" distL="0" distR="0" wp14:anchorId="36199935" wp14:editId="3D309168">
            <wp:extent cx="4246650" cy="3159710"/>
            <wp:effectExtent l="0" t="0" r="190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2966" cy="3186731"/>
                    </a:xfrm>
                    <a:prstGeom prst="rect">
                      <a:avLst/>
                    </a:prstGeom>
                  </pic:spPr>
                </pic:pic>
              </a:graphicData>
            </a:graphic>
          </wp:inline>
        </w:drawing>
      </w:r>
    </w:p>
    <w:p w:rsidR="00E03ED0" w:rsidRPr="006C336E"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color w:val="000000" w:themeColor="text1"/>
          <w:sz w:val="24"/>
          <w:szCs w:val="24"/>
        </w:rPr>
        <w:t xml:space="preserve">En razón de lo expuesto, los sujetos obligados deberán hacer pública toda aquella información relativa a los montos y las personas a quienes entreguen, por cualquier </w:t>
      </w:r>
      <w:r w:rsidRPr="006C336E">
        <w:rPr>
          <w:rFonts w:ascii="Palatino Linotype" w:eastAsia="Palatino Linotype" w:hAnsi="Palatino Linotype" w:cs="Palatino Linotype"/>
          <w:color w:val="000000" w:themeColor="text1"/>
          <w:sz w:val="24"/>
          <w:szCs w:val="24"/>
        </w:rPr>
        <w:lastRenderedPageBreak/>
        <w:t>motivo, recursos públicos y en consecuencia, los servidores públicos deberán transparentar sus acciones así como garantizar y respetar el derecho de acceso a la información pública</w:t>
      </w:r>
      <w:r w:rsidR="00D40FC0" w:rsidRPr="006C336E">
        <w:rPr>
          <w:rFonts w:ascii="Palatino Linotype" w:eastAsia="Palatino Linotype" w:hAnsi="Palatino Linotype" w:cs="Palatino Linotype"/>
          <w:color w:val="000000" w:themeColor="text1"/>
          <w:sz w:val="24"/>
          <w:szCs w:val="24"/>
        </w:rPr>
        <w:t xml:space="preserve">, por lo que de la legislación en consulta se aprecia la periodicidad mensual, </w:t>
      </w:r>
      <w:r w:rsidR="002C7F3F" w:rsidRPr="006C336E">
        <w:rPr>
          <w:rFonts w:ascii="Palatino Linotype" w:eastAsia="Palatino Linotype" w:hAnsi="Palatino Linotype" w:cs="Palatino Linotype"/>
          <w:color w:val="000000" w:themeColor="text1"/>
          <w:sz w:val="24"/>
          <w:szCs w:val="24"/>
        </w:rPr>
        <w:t>y</w:t>
      </w:r>
      <w:r w:rsidR="00D40FC0" w:rsidRPr="006C336E">
        <w:rPr>
          <w:rFonts w:ascii="Palatino Linotype" w:eastAsia="Palatino Linotype" w:hAnsi="Palatino Linotype" w:cs="Palatino Linotype"/>
          <w:color w:val="000000" w:themeColor="text1"/>
          <w:sz w:val="24"/>
          <w:szCs w:val="24"/>
        </w:rPr>
        <w:t xml:space="preserve"> que </w:t>
      </w:r>
      <w:r w:rsidR="00BE0B4D" w:rsidRPr="006C336E">
        <w:rPr>
          <w:rFonts w:ascii="Palatino Linotype" w:eastAsia="Palatino Linotype" w:hAnsi="Palatino Linotype" w:cs="Palatino Linotype"/>
          <w:color w:val="000000" w:themeColor="text1"/>
          <w:sz w:val="24"/>
          <w:szCs w:val="24"/>
        </w:rPr>
        <w:t>debe ordenarse el Diario General de Pólizas al mes de mayo de dos mil veinticinco.</w:t>
      </w:r>
    </w:p>
    <w:p w:rsidR="00E03ED0" w:rsidRPr="00687FD5" w:rsidRDefault="00E03ED0" w:rsidP="00D1492E">
      <w:pPr>
        <w:spacing w:line="240" w:lineRule="auto"/>
        <w:jc w:val="both"/>
        <w:rPr>
          <w:rFonts w:ascii="Palatino Linotype" w:eastAsia="Palatino Linotype" w:hAnsi="Palatino Linotype" w:cs="Palatino Linotype"/>
          <w:i/>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 A más de lo anterior, la esfera competencial de la tesorería municipal se traduce esencialmente en dar cuenta respecto de la hacienda pública municipal, egresos, ingresos, registros contables, entre otros aspectos.  En contraste, la unidad de Información, Planeación, Programación y Evaluación utiliza, genera, recopila, procesa y proporciona información en materia de planeación.  Por lo que, resulta oportuno señalar que la información requerida es susceptible de contener la siguiente información:</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Número de oficio</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Fecha</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Tipo de movimiento (presupuestal o programática)</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Identificación de proyectos</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Identificación de recursos a nivel de proyecto</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Metas de actividad programadas y alcanzadas del proyecto</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Justificación</w:t>
      </w:r>
    </w:p>
    <w:p w:rsidR="00E03ED0" w:rsidRPr="00687FD5" w:rsidRDefault="00747922" w:rsidP="00D1492E">
      <w:pPr>
        <w:numPr>
          <w:ilvl w:val="0"/>
          <w:numId w:val="10"/>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Elabora, revisa, Vo. Bo y autoriza. </w:t>
      </w:r>
    </w:p>
    <w:p w:rsidR="00E03ED0" w:rsidRPr="00687FD5" w:rsidRDefault="00E03ED0" w:rsidP="00D1492E">
      <w:pPr>
        <w:spacing w:after="0"/>
        <w:rPr>
          <w:rFonts w:ascii="Palatino Linotype" w:hAnsi="Palatino Linotype"/>
          <w:color w:val="000000" w:themeColor="text1"/>
          <w:sz w:val="24"/>
          <w:szCs w:val="24"/>
        </w:rPr>
      </w:pPr>
    </w:p>
    <w:p w:rsidR="00E03ED0" w:rsidRPr="00687FD5" w:rsidRDefault="00747922" w:rsidP="00D1492E">
      <w:pPr>
        <w:spacing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noProof/>
          <w:color w:val="000000" w:themeColor="text1"/>
          <w:sz w:val="24"/>
          <w:szCs w:val="24"/>
        </w:rPr>
        <w:lastRenderedPageBreak/>
        <w:drawing>
          <wp:anchor distT="0" distB="0" distL="114300" distR="114300" simplePos="0" relativeHeight="251658240" behindDoc="0" locked="0" layoutInCell="1" hidden="0" allowOverlap="1">
            <wp:simplePos x="0" y="0"/>
            <wp:positionH relativeFrom="page">
              <wp:posOffset>1470355</wp:posOffset>
            </wp:positionH>
            <wp:positionV relativeFrom="page">
              <wp:posOffset>3423513</wp:posOffset>
            </wp:positionV>
            <wp:extent cx="4860945" cy="5699972"/>
            <wp:effectExtent l="0" t="0" r="0" b="0"/>
            <wp:wrapTopAndBottom distT="0" distB="0"/>
            <wp:docPr id="1635153311" name="image5.png" descr="A document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png" descr="A document with text on it&#10;&#10;AI-generated content may be incorrect."/>
                    <pic:cNvPicPr preferRelativeResize="0"/>
                  </pic:nvPicPr>
                  <pic:blipFill>
                    <a:blip r:embed="rId15"/>
                    <a:srcRect/>
                    <a:stretch>
                      <a:fillRect/>
                    </a:stretch>
                  </pic:blipFill>
                  <pic:spPr>
                    <a:xfrm>
                      <a:off x="0" y="0"/>
                      <a:ext cx="4860945" cy="5699972"/>
                    </a:xfrm>
                    <a:prstGeom prst="rect">
                      <a:avLst/>
                    </a:prstGeom>
                    <a:ln/>
                  </pic:spPr>
                </pic:pic>
              </a:graphicData>
            </a:graphic>
          </wp:anchor>
        </w:drawing>
      </w:r>
      <w:r w:rsidRPr="00687FD5">
        <w:rPr>
          <w:rFonts w:ascii="Palatino Linotype" w:eastAsia="Palatino Linotype" w:hAnsi="Palatino Linotype" w:cs="Palatino Linotype"/>
          <w:color w:val="000000" w:themeColor="text1"/>
          <w:sz w:val="24"/>
          <w:szCs w:val="24"/>
        </w:rPr>
        <w:t>Sirve de sustento la siguiente imagen ilustrativa:</w:t>
      </w:r>
    </w:p>
    <w:p w:rsidR="00E03ED0" w:rsidRPr="00687FD5" w:rsidRDefault="00747922" w:rsidP="00EC36AE">
      <w:pPr>
        <w:numPr>
          <w:ilvl w:val="0"/>
          <w:numId w:val="1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En función de lo planteado, en la generación de reconducción y actualización programática – presupuestal participan diversas unidades administrativas:</w:t>
      </w:r>
    </w:p>
    <w:p w:rsidR="00E03ED0" w:rsidRPr="00687FD5" w:rsidRDefault="00747922" w:rsidP="00D1492E">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Dependencia general (persona que elabora)</w:t>
      </w:r>
    </w:p>
    <w:p w:rsidR="00E03ED0" w:rsidRPr="00687FD5" w:rsidRDefault="00747922" w:rsidP="00D1492E">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lastRenderedPageBreak/>
        <w:t xml:space="preserve">Tesorería municipal </w:t>
      </w:r>
    </w:p>
    <w:p w:rsidR="00E03ED0" w:rsidRPr="00687FD5" w:rsidRDefault="00747922" w:rsidP="00D1492E">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Titular de la unidad UIPPE</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EC36AE">
      <w:pPr>
        <w:numPr>
          <w:ilvl w:val="0"/>
          <w:numId w:val="1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En relación con este tema, cabe resaltar que cuando se realiza un movimiento presupuestal es autorizado por la tesorería, mientras que la UIPPE da el visto bueno. En contraste, frente a movimientos programáticos valida la tesorería y autoriza la UIPPE. </w:t>
      </w:r>
    </w:p>
    <w:p w:rsidR="00E03ED0" w:rsidRPr="00687FD5" w:rsidRDefault="00747922" w:rsidP="00EC36AE">
      <w:pPr>
        <w:numPr>
          <w:ilvl w:val="0"/>
          <w:numId w:val="1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Debe señalarse,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rsidR="00E03ED0" w:rsidRPr="00687FD5" w:rsidRDefault="00747922" w:rsidP="00D1492E">
      <w:pPr>
        <w:pBdr>
          <w:top w:val="nil"/>
          <w:left w:val="nil"/>
          <w:bottom w:val="nil"/>
          <w:right w:val="nil"/>
          <w:between w:val="nil"/>
        </w:pBdr>
        <w:tabs>
          <w:tab w:val="left" w:pos="7371"/>
        </w:tabs>
        <w:spacing w:before="240" w:line="24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“Artículo 18. Los sujetos obligados deberán documentar todo acto que derive del ejercicio de sus facultades, competencias o funciones, considerando desde su origen la eventual publicidad y reutilización de la información que generen. </w:t>
      </w:r>
    </w:p>
    <w:p w:rsidR="00E03ED0" w:rsidRPr="00687FD5" w:rsidRDefault="00747922" w:rsidP="00D1492E">
      <w:pPr>
        <w:pBdr>
          <w:top w:val="nil"/>
          <w:left w:val="nil"/>
          <w:bottom w:val="nil"/>
          <w:right w:val="nil"/>
          <w:between w:val="nil"/>
        </w:pBdr>
        <w:tabs>
          <w:tab w:val="left" w:pos="7371"/>
        </w:tabs>
        <w:spacing w:before="240" w:line="24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Artículo 19. Se presume que la información debe existir si se refiere a las facultades, competencias y funciones que los ordenamientos jurídicos aplicables otorgan a los sujetos obligados. </w:t>
      </w:r>
    </w:p>
    <w:p w:rsidR="00E03ED0" w:rsidRPr="00687FD5" w:rsidRDefault="00747922" w:rsidP="00D1492E">
      <w:pPr>
        <w:pBdr>
          <w:top w:val="nil"/>
          <w:left w:val="nil"/>
          <w:bottom w:val="nil"/>
          <w:right w:val="nil"/>
          <w:between w:val="nil"/>
        </w:pBdr>
        <w:tabs>
          <w:tab w:val="left" w:pos="7371"/>
        </w:tabs>
        <w:spacing w:before="240" w:line="24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En los casos en que ciertas facultades, competencias o funciones no se hayan ejercido, se debe motivar la respuesta en función de las causas que motiven tal circunstancia. </w:t>
      </w:r>
    </w:p>
    <w:p w:rsidR="00E03ED0" w:rsidRPr="00687FD5" w:rsidRDefault="00747922" w:rsidP="00D1492E">
      <w:pPr>
        <w:pBdr>
          <w:top w:val="nil"/>
          <w:left w:val="nil"/>
          <w:bottom w:val="nil"/>
          <w:right w:val="nil"/>
          <w:between w:val="nil"/>
        </w:pBdr>
        <w:tabs>
          <w:tab w:val="left" w:pos="7371"/>
        </w:tabs>
        <w:spacing w:before="240" w:line="240" w:lineRule="auto"/>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i/>
          <w:color w:val="000000" w:themeColor="text1"/>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687FD5">
        <w:rPr>
          <w:rFonts w:ascii="Palatino Linotype" w:eastAsia="Palatino Linotype" w:hAnsi="Palatino Linotype" w:cs="Palatino Linotype"/>
          <w:b/>
          <w:i/>
          <w:color w:val="000000" w:themeColor="text1"/>
          <w:sz w:val="24"/>
          <w:szCs w:val="24"/>
        </w:rPr>
        <w:t>(Sic)</w:t>
      </w:r>
    </w:p>
    <w:p w:rsidR="00E03ED0" w:rsidRPr="00687FD5" w:rsidRDefault="00E03ED0" w:rsidP="00D1492E">
      <w:pPr>
        <w:spacing w:before="240" w:line="360" w:lineRule="auto"/>
        <w:jc w:val="both"/>
        <w:rPr>
          <w:rFonts w:ascii="Palatino Linotype" w:eastAsia="Palatino Linotype" w:hAnsi="Palatino Linotype" w:cs="Palatino Linotype"/>
          <w:color w:val="000000" w:themeColor="text1"/>
          <w:sz w:val="24"/>
          <w:szCs w:val="24"/>
        </w:rPr>
      </w:pPr>
    </w:p>
    <w:p w:rsidR="002C7F3F" w:rsidRPr="006C336E" w:rsidRDefault="002C7F3F"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C336E">
        <w:rPr>
          <w:rFonts w:ascii="Palatino Linotype" w:eastAsia="Palatino Linotype" w:hAnsi="Palatino Linotype" w:cs="Palatino Linotype"/>
          <w:color w:val="000000" w:themeColor="text1"/>
          <w:sz w:val="24"/>
          <w:szCs w:val="24"/>
        </w:rPr>
        <w:lastRenderedPageBreak/>
        <w:t>Es decir que de ser el caso en que deba realizarse la modificación , se deberá registrar el avance trimestral acumulado que se tenga a la fecha de la solicitud de adecuación, así mismo deberá anotar el nuevo calendario trimestral de la misma , considerando que se debe adecuar a partir del trimestre en que se haga la solicitud de adecuación; por lo que es dable ordenar de existir tal solicitud de modificación, la entrega del Dictamen de Reconducción y Actualización Programática- Presupuestal para Resultados al segundo trimestre de la presente anualidad.</w:t>
      </w:r>
    </w:p>
    <w:p w:rsidR="002C7F3F" w:rsidRPr="00687FD5" w:rsidRDefault="002C7F3F" w:rsidP="00D149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Una vez que se señaló la fuente obligacional del porque el </w:t>
      </w:r>
      <w:r w:rsidRPr="00687FD5">
        <w:rPr>
          <w:rFonts w:ascii="Palatino Linotype" w:eastAsia="Palatino Linotype" w:hAnsi="Palatino Linotype" w:cs="Palatino Linotype"/>
          <w:b/>
          <w:color w:val="000000" w:themeColor="text1"/>
          <w:sz w:val="24"/>
          <w:szCs w:val="24"/>
        </w:rPr>
        <w:t xml:space="preserve">SUJETO OBLIGADO </w:t>
      </w:r>
      <w:r w:rsidRPr="00687FD5">
        <w:rPr>
          <w:rFonts w:ascii="Palatino Linotype" w:eastAsia="Palatino Linotype" w:hAnsi="Palatino Linotype" w:cs="Palatino Linotype"/>
          <w:color w:val="000000" w:themeColor="text1"/>
          <w:sz w:val="24"/>
          <w:szCs w:val="24"/>
        </w:rPr>
        <w:t>debe de contar con la información solicitada, también se debe de referir  dado el cambio de cambio en la modalidad a consulta directa, propuesto por el Sujeto Obligado, pues son estos actos los que, a consideración del Recurrente, le causan agravio a su derecho de acceso a la información.</w:t>
      </w:r>
    </w:p>
    <w:p w:rsidR="00E03ED0" w:rsidRPr="00687FD5" w:rsidRDefault="00E03ED0" w:rsidP="00D1492E">
      <w:pPr>
        <w:rPr>
          <w:rFonts w:ascii="Palatino Linotype" w:hAnsi="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Asimismo, es de destacar que la información fue requerida a través del SAIMEX; sin embargo, mediante respuesta a la solicitud de información, el Sujeto Obligado de manera unilateral realizó un cambio en la modalidad de entrega y refirió que la información le sería entregada en las instalaciones centrales del Sujeto Obligado una vez que el particular cubra el costo de su reproducción, sin que se señalaran los motivos que imposibilitaran su entrega mediante el SAIMEX, se ofrecieran otras modalidad de entrega, se hiciera del conocimiento del solicitante el procedimiento para la consulta, ni el horario, ubicación, nombre del servidor público que lo atendería y plazo para su consulta. </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En ese sentido, el Sujeto Obligado no hizo referencia a la imposibilidad de entregar la información mediante el SAIMEX debido a las capacidades del sistema, puesto que no emitió pronunciamiento al respecto. No obstante, se debe señalar que, en antecedentes similares, la Dirección General de Informática de este Instituto ha informado que con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De tal forma que, al ser información que los sujetos obligados deben mantener a disposición del público permanentemente y de forma actualizada, se estima que el Sujeto Obligado debe contar con la digitalización de dicha información, con la finalidad de que sea cargada en el medio electrónico correspondiente, por lo que, es de concluirse en este punto, que el Sujeto Obligado no acreditó la necesidad del cambio de modalidad de la entrega de información, en consecuencia, es dable ordenar la entrega de la información en la vía peticionada, es decir a través del SAIMEX, al no tenerse por cumplidos los requisitos de procedencia.</w:t>
      </w:r>
    </w:p>
    <w:p w:rsidR="00E03ED0" w:rsidRPr="00687FD5" w:rsidRDefault="00E03ED0" w:rsidP="00D1492E">
      <w:pPr>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Consecuentemente, la actuación del Sujeto Obligado constituye una afectación al derecho de acceso a la información pública del particular, toda vez que pretendió cambiar la modalidad de entrega de la información; de esta forma, solamente intenta realizar el </w:t>
      </w:r>
      <w:r w:rsidRPr="00687FD5">
        <w:rPr>
          <w:rFonts w:ascii="Palatino Linotype" w:eastAsia="Palatino Linotype" w:hAnsi="Palatino Linotype" w:cs="Palatino Linotype"/>
          <w:color w:val="000000" w:themeColor="text1"/>
          <w:sz w:val="24"/>
          <w:szCs w:val="24"/>
        </w:rPr>
        <w:lastRenderedPageBreak/>
        <w:t>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local que contempla los siguiente:</w:t>
      </w:r>
    </w:p>
    <w:p w:rsidR="00E03ED0" w:rsidRPr="00687FD5" w:rsidRDefault="00747922" w:rsidP="00D1492E">
      <w:pPr>
        <w:tabs>
          <w:tab w:val="left" w:pos="709"/>
        </w:tabs>
        <w:spacing w:line="240" w:lineRule="auto"/>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Artículo 164.</w:t>
      </w:r>
      <w:r w:rsidRPr="00687FD5">
        <w:rPr>
          <w:rFonts w:ascii="Palatino Linotype" w:eastAsia="Palatino Linotype" w:hAnsi="Palatino Linotype" w:cs="Palatino Linotype"/>
          <w:i/>
          <w:color w:val="000000" w:themeColor="text1"/>
          <w:sz w:val="24"/>
          <w:szCs w:val="24"/>
        </w:rPr>
        <w:t xml:space="preserve"> </w:t>
      </w:r>
      <w:r w:rsidRPr="00687FD5">
        <w:rPr>
          <w:rFonts w:ascii="Palatino Linotype" w:eastAsia="Palatino Linotype" w:hAnsi="Palatino Linotype" w:cs="Palatino Linotype"/>
          <w:b/>
          <w:i/>
          <w:color w:val="000000" w:themeColor="text1"/>
          <w:sz w:val="24"/>
          <w:szCs w:val="24"/>
          <w:u w:val="single"/>
        </w:rPr>
        <w:t>El acceso se dará en la modalidad de entrega y, en su caso, de envío elegidos por el solicitante.</w:t>
      </w:r>
      <w:r w:rsidRPr="00687FD5">
        <w:rPr>
          <w:rFonts w:ascii="Palatino Linotype" w:eastAsia="Palatino Linotype" w:hAnsi="Palatino Linotype" w:cs="Palatino Linotype"/>
          <w:i/>
          <w:color w:val="000000" w:themeColor="text1"/>
          <w:sz w:val="24"/>
          <w:szCs w:val="24"/>
        </w:rPr>
        <w:t xml:space="preserve"> Cuando la información no pueda entregarse o enviarse en la modalidad solicitada, el sujeto obligado deberá ofrecer otra u otras modalidades de entrega. </w:t>
      </w:r>
    </w:p>
    <w:p w:rsidR="00E03ED0" w:rsidRPr="00687FD5" w:rsidRDefault="00E03ED0" w:rsidP="00D1492E">
      <w:pPr>
        <w:tabs>
          <w:tab w:val="left" w:pos="709"/>
        </w:tabs>
        <w:spacing w:line="240" w:lineRule="auto"/>
        <w:rPr>
          <w:rFonts w:ascii="Palatino Linotype" w:eastAsia="Palatino Linotype" w:hAnsi="Palatino Linotype" w:cs="Palatino Linotype"/>
          <w:b/>
          <w:i/>
          <w:color w:val="000000" w:themeColor="text1"/>
          <w:sz w:val="24"/>
          <w:szCs w:val="24"/>
          <w:u w:val="single"/>
        </w:rPr>
      </w:pPr>
    </w:p>
    <w:p w:rsidR="00E03ED0" w:rsidRPr="00687FD5" w:rsidRDefault="00747922" w:rsidP="00D1492E">
      <w:pPr>
        <w:tabs>
          <w:tab w:val="left" w:pos="709"/>
        </w:tabs>
        <w:spacing w:line="240" w:lineRule="auto"/>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u w:val="single"/>
        </w:rPr>
        <w:t>En cualquier caso, se deberá fundar y motivar la necesidad de ofrecer otras modalidades.</w:t>
      </w:r>
    </w:p>
    <w:p w:rsidR="00E03ED0" w:rsidRPr="00687FD5" w:rsidRDefault="00E03ED0" w:rsidP="00D1492E">
      <w:pPr>
        <w:rPr>
          <w:rFonts w:ascii="Palatino Linotype" w:hAnsi="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Asimismo, se dejó de observar lo dispuesto en los numerales Vigésimo Cuarto, Vigésimo Quinto y Vigésimo Sexto de los Lineamientos para la operación del Sistema de Acceso a la Información Mexiquense (SAIMEX) y del Sistema de Acceso, Rectificación, Cancelación y Oposición de Datos Personales del Estado de México (SARCOEM).</w:t>
      </w:r>
    </w:p>
    <w:p w:rsidR="00E03ED0" w:rsidRPr="00687FD5" w:rsidRDefault="00E03ED0" w:rsidP="00D149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Así, se tiene que la Ley de Transparencia estatal busca privilegiar la entrega de la información solicitada en la modalidad requerida por el particular; en ese sentido,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rsidR="00E03ED0" w:rsidRPr="00687FD5" w:rsidRDefault="00E03ED0" w:rsidP="00D149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E03ED0" w:rsidRPr="00687FD5" w:rsidRDefault="00E03ED0" w:rsidP="00D1492E">
      <w:pPr>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Han sido vastos los estudios doctrinarios relativos a estos derechos fundamentales y al principio de legalidad en ellos contenidos; como ejemplo, el procesalista José Ovalle Fabela, en su obra «Garantías Constitucionales del Proceso», refiere que «...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03ED0" w:rsidRPr="00687FD5" w:rsidRDefault="00E03ED0" w:rsidP="00D1492E">
      <w:pPr>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Por su parte, la Suprema Corte de Justicia emitió la jurisprudencia con registro digital 203143</w:t>
      </w:r>
      <w:r w:rsidRPr="00687FD5">
        <w:rPr>
          <w:rFonts w:ascii="Palatino Linotype" w:eastAsia="Palatino Linotype" w:hAnsi="Palatino Linotype" w:cs="Palatino Linotype"/>
          <w:color w:val="000000" w:themeColor="text1"/>
          <w:sz w:val="24"/>
          <w:szCs w:val="24"/>
          <w:vertAlign w:val="superscript"/>
        </w:rPr>
        <w:footnoteReference w:id="2"/>
      </w:r>
      <w:r w:rsidRPr="00687FD5">
        <w:rPr>
          <w:rFonts w:ascii="Palatino Linotype" w:eastAsia="Palatino Linotype" w:hAnsi="Palatino Linotype" w:cs="Palatino Linotype"/>
          <w:color w:val="000000" w:themeColor="text1"/>
          <w:sz w:val="24"/>
          <w:szCs w:val="24"/>
        </w:rPr>
        <w:t xml:space="preserve"> en la que se establece qué debe entenderse por fundamentación y motivación, en la que estipula lo siguiente:</w:t>
      </w:r>
    </w:p>
    <w:p w:rsidR="006C336E" w:rsidRDefault="006C336E" w:rsidP="00D1492E">
      <w:pPr>
        <w:spacing w:after="0" w:line="240" w:lineRule="auto"/>
        <w:jc w:val="both"/>
        <w:rPr>
          <w:rFonts w:ascii="Palatino Linotype" w:eastAsia="Palatino Linotype" w:hAnsi="Palatino Linotype" w:cs="Palatino Linotype"/>
          <w:b/>
          <w:i/>
          <w:color w:val="000000" w:themeColor="text1"/>
          <w:sz w:val="24"/>
          <w:szCs w:val="24"/>
        </w:rPr>
      </w:pPr>
    </w:p>
    <w:p w:rsidR="00E03ED0" w:rsidRPr="00687FD5" w:rsidRDefault="00747922" w:rsidP="00D1492E">
      <w:pPr>
        <w:spacing w:after="0" w:line="24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FUNDAMENTACIÓN Y MOTIVACIÓN.</w:t>
      </w:r>
      <w:r w:rsidRPr="00687FD5">
        <w:rPr>
          <w:rFonts w:ascii="Palatino Linotype" w:eastAsia="Palatino Linotype" w:hAnsi="Palatino Linotype" w:cs="Palatino Linotype"/>
          <w:i/>
          <w:color w:val="000000" w:themeColor="text1"/>
          <w:sz w:val="24"/>
          <w:szCs w:val="24"/>
        </w:rPr>
        <w:t xml:space="preserve"> </w:t>
      </w:r>
    </w:p>
    <w:p w:rsidR="00E03ED0" w:rsidRPr="00687FD5" w:rsidRDefault="00747922" w:rsidP="00D1492E">
      <w:pPr>
        <w:spacing w:after="0" w:line="24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i/>
          <w:color w:val="000000" w:themeColor="text1"/>
          <w:sz w:val="24"/>
          <w:szCs w:val="24"/>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03ED0" w:rsidRPr="00687FD5" w:rsidRDefault="00E03ED0" w:rsidP="00D1492E">
      <w:pPr>
        <w:spacing w:after="0"/>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after="0"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03ED0" w:rsidRPr="00687FD5" w:rsidRDefault="00E03ED0" w:rsidP="00D1492E">
      <w:pPr>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 En vista de las consideraciones señaladas, se advierte que el Sujeto Obligado, no justifica en ningún momento de forma fundada y motivada su cambio de modalidad de entrega de la información. </w:t>
      </w:r>
    </w:p>
    <w:p w:rsidR="00E03ED0" w:rsidRPr="00687FD5" w:rsidRDefault="00E03ED0" w:rsidP="00D1492E">
      <w:pPr>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No se omite resaltar que 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w:t>
      </w:r>
      <w:r w:rsidRPr="00687FD5">
        <w:rPr>
          <w:rFonts w:ascii="Palatino Linotype" w:eastAsia="Palatino Linotype" w:hAnsi="Palatino Linotype" w:cs="Palatino Linotype"/>
          <w:color w:val="000000" w:themeColor="text1"/>
          <w:sz w:val="24"/>
          <w:szCs w:val="24"/>
        </w:rPr>
        <w:lastRenderedPageBreak/>
        <w:t xml:space="preserve">su artículo 158, los casos en que de manera excepcional se puede proceder al cambio de modalidad: </w:t>
      </w:r>
    </w:p>
    <w:p w:rsidR="00E03ED0" w:rsidRPr="00687FD5" w:rsidRDefault="00747922" w:rsidP="00D1492E">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b/>
          <w:i/>
          <w:color w:val="000000" w:themeColor="text1"/>
          <w:sz w:val="24"/>
          <w:szCs w:val="24"/>
        </w:rPr>
        <w:t>Artículo 158.</w:t>
      </w:r>
      <w:r w:rsidRPr="00687FD5">
        <w:rPr>
          <w:rFonts w:ascii="Palatino Linotype" w:eastAsia="Palatino Linotype" w:hAnsi="Palatino Linotype" w:cs="Palatino Linotype"/>
          <w:i/>
          <w:color w:val="000000" w:themeColor="text1"/>
          <w:sz w:val="24"/>
          <w:szCs w:val="24"/>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E03ED0" w:rsidRPr="00687FD5" w:rsidRDefault="00E03ED0" w:rsidP="00D1492E">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p>
    <w:p w:rsidR="00E03ED0" w:rsidRPr="00687FD5"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En congruencia con lo anterior, tampoco resulta procedente impedir que el solicitante acuda a las instalaciones con algún dispositivo de almacenamiento como CD, USB, DVD o disco duro, puesto que dichos medios están previstos como una modalidad de entrega alterna a la consulta directa.</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C336E" w:rsidRDefault="00747922" w:rsidP="00D1492E">
      <w:pPr>
        <w:numPr>
          <w:ilvl w:val="0"/>
          <w:numId w:val="1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De lo anterior, se desprende que, el Sujeto Obligado no procedió al cambio de modalidad de manera fundada y motivada, y además que el cambio de vía propuesto por la autoridad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r w:rsidR="006C336E">
        <w:rPr>
          <w:rFonts w:ascii="Palatino Linotype" w:eastAsia="Palatino Linotype" w:hAnsi="Palatino Linotype" w:cs="Palatino Linotype"/>
          <w:color w:val="000000" w:themeColor="text1"/>
          <w:sz w:val="24"/>
          <w:szCs w:val="24"/>
        </w:rPr>
        <w:t xml:space="preserve"> </w:t>
      </w:r>
      <w:r w:rsidRPr="006C336E">
        <w:rPr>
          <w:rFonts w:ascii="Palatino Linotype" w:eastAsia="Palatino Linotype" w:hAnsi="Palatino Linotype" w:cs="Palatino Linotype"/>
          <w:color w:val="000000" w:themeColor="text1"/>
          <w:sz w:val="24"/>
          <w:szCs w:val="24"/>
        </w:rPr>
        <w:t xml:space="preserve">por tal razón, este Instituto en uso de las facultades que la propia legislación le otorga deberá ordenar la entrega de la información solicitada, dada la aceptación del Sujeto Obligado de generar, poseer o administrarla, es decir, de tener conocimiento de lo requerido. </w:t>
      </w:r>
    </w:p>
    <w:p w:rsidR="00E03ED0" w:rsidRPr="00687FD5" w:rsidRDefault="00E03ED0" w:rsidP="00D1492E">
      <w:pPr>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3"/>
          <w:numId w:val="12"/>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i/>
          <w:color w:val="000000" w:themeColor="text1"/>
          <w:sz w:val="24"/>
          <w:szCs w:val="24"/>
        </w:rPr>
      </w:pPr>
      <w:r w:rsidRPr="00687FD5">
        <w:rPr>
          <w:rFonts w:ascii="Palatino Linotype" w:eastAsia="Palatino Linotype" w:hAnsi="Palatino Linotype" w:cs="Palatino Linotype"/>
          <w:color w:val="000000" w:themeColor="text1"/>
          <w:sz w:val="24"/>
          <w:szCs w:val="24"/>
        </w:rPr>
        <w:lastRenderedPageBreak/>
        <w:t xml:space="preserve">Por lo señalado anteriormente, este Órgano Garante estima que las razones o motivos de inconformidad planteados en los recursos de revisión devienen fundados, por lo que es procedente revocar la respuesta proporcionada a las solicitudes de información materia de esta resolución y ordenar la entrega, vía SAIMEX y,  en versión pública de ser procedente, </w:t>
      </w:r>
      <w:r w:rsidRPr="00687FD5">
        <w:rPr>
          <w:rFonts w:ascii="Palatino Linotype" w:eastAsia="Palatino Linotype" w:hAnsi="Palatino Linotype" w:cs="Palatino Linotype"/>
          <w:i/>
          <w:color w:val="000000" w:themeColor="text1"/>
          <w:sz w:val="24"/>
          <w:szCs w:val="24"/>
        </w:rPr>
        <w:t>Programa anual de adquisiciones, Reporte de procedimientos adquisitivos, Diario General de Pólizas, Dictamen de Reconducción y Actualización Programática- Presupuestal</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keepNext/>
        <w:keepLines/>
        <w:spacing w:line="360" w:lineRule="auto"/>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t>QUINTO. De la versión pública.</w:t>
      </w:r>
    </w:p>
    <w:p w:rsidR="00E03ED0" w:rsidRPr="00687FD5" w:rsidRDefault="00747922" w:rsidP="00D1492E">
      <w:pPr>
        <w:numPr>
          <w:ilvl w:val="0"/>
          <w:numId w:val="4"/>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bookmarkStart w:id="6" w:name="_heading=h.8porszv8ww1h" w:colFirst="0" w:colLast="0"/>
      <w:bookmarkEnd w:id="6"/>
      <w:r w:rsidRPr="00687FD5">
        <w:rPr>
          <w:rFonts w:ascii="Palatino Linotype" w:eastAsia="Palatino Linotype" w:hAnsi="Palatino Linotype" w:cs="Palatino Linotype"/>
          <w:color w:val="000000" w:themeColor="text1"/>
          <w:sz w:val="24"/>
          <w:szCs w:val="24"/>
        </w:rPr>
        <w:t xml:space="preserve">Debe destacarse, que debido a la información solicitada por el </w:t>
      </w:r>
      <w:r w:rsidRPr="00687FD5">
        <w:rPr>
          <w:rFonts w:ascii="Palatino Linotype" w:eastAsia="Palatino Linotype" w:hAnsi="Palatino Linotype" w:cs="Palatino Linotype"/>
          <w:b/>
          <w:color w:val="000000" w:themeColor="text1"/>
          <w:sz w:val="24"/>
          <w:szCs w:val="24"/>
        </w:rPr>
        <w:t xml:space="preserve">RECURRENTE, </w:t>
      </w:r>
      <w:r w:rsidRPr="00687FD5">
        <w:rPr>
          <w:rFonts w:ascii="Palatino Linotype" w:eastAsia="Palatino Linotype" w:hAnsi="Palatino Linotype" w:cs="Palatino Linotype"/>
          <w:color w:val="000000" w:themeColor="text1"/>
          <w:sz w:val="24"/>
          <w:szCs w:val="24"/>
        </w:rPr>
        <w:t xml:space="preserve">pueden obrar datos personales susceptibles de protegerse, así como información susceptible de clasificarse como confidencial,  por lo que, el </w:t>
      </w:r>
      <w:r w:rsidRPr="00687FD5">
        <w:rPr>
          <w:rFonts w:ascii="Palatino Linotype" w:eastAsia="Palatino Linotype" w:hAnsi="Palatino Linotype" w:cs="Palatino Linotype"/>
          <w:b/>
          <w:color w:val="000000" w:themeColor="text1"/>
          <w:sz w:val="24"/>
          <w:szCs w:val="24"/>
        </w:rPr>
        <w:t xml:space="preserve">SUJETO OBLIGADO </w:t>
      </w:r>
      <w:r w:rsidRPr="00687FD5">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E03ED0" w:rsidRPr="00687FD5" w:rsidRDefault="00E03ED0" w:rsidP="00D1492E">
      <w:pPr>
        <w:tabs>
          <w:tab w:val="left" w:pos="0"/>
          <w:tab w:val="left" w:pos="284"/>
        </w:tabs>
        <w:spacing w:line="360" w:lineRule="auto"/>
        <w:jc w:val="both"/>
        <w:rPr>
          <w:rFonts w:ascii="Palatino Linotype" w:eastAsia="Palatino Linotype" w:hAnsi="Palatino Linotype" w:cs="Palatino Linotype"/>
          <w:color w:val="000000" w:themeColor="text1"/>
          <w:sz w:val="24"/>
          <w:szCs w:val="24"/>
          <w:highlight w:val="yellow"/>
        </w:rPr>
      </w:pPr>
    </w:p>
    <w:p w:rsidR="00E03ED0" w:rsidRPr="00687FD5" w:rsidRDefault="00747922" w:rsidP="00D1492E">
      <w:pPr>
        <w:numPr>
          <w:ilvl w:val="0"/>
          <w:numId w:val="4"/>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No pasa desapercibido para este Órgano Garante que los sujetos obligados</w:t>
      </w:r>
      <w:r w:rsidRPr="00687FD5">
        <w:rPr>
          <w:rFonts w:ascii="Palatino Linotype" w:eastAsia="Palatino Linotype" w:hAnsi="Palatino Linotype" w:cs="Palatino Linotype"/>
          <w:b/>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03ED0" w:rsidRPr="00687FD5" w:rsidRDefault="00E03ED0" w:rsidP="00D1492E">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Style w:val="a"/>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D1492E" w:rsidRPr="00687FD5">
        <w:tc>
          <w:tcPr>
            <w:tcW w:w="2689" w:type="dxa"/>
          </w:tcPr>
          <w:p w:rsidR="00E03ED0" w:rsidRPr="00687FD5" w:rsidRDefault="00747922" w:rsidP="00D1492E">
            <w:pPr>
              <w:tabs>
                <w:tab w:val="left" w:pos="284"/>
              </w:tabs>
              <w:spacing w:line="360" w:lineRule="auto"/>
              <w:rPr>
                <w:rFonts w:ascii="Palatino Linotype" w:eastAsia="Palatino Linotype" w:hAnsi="Palatino Linotype" w:cs="Palatino Linotype"/>
                <w:color w:val="000000" w:themeColor="text1"/>
              </w:rPr>
            </w:pPr>
            <w:r w:rsidRPr="00687FD5">
              <w:rPr>
                <w:rFonts w:ascii="Palatino Linotype" w:eastAsia="Palatino Linotype" w:hAnsi="Palatino Linotype" w:cs="Palatino Linotype"/>
                <w:color w:val="000000" w:themeColor="text1"/>
                <w:sz w:val="24"/>
                <w:szCs w:val="24"/>
              </w:rPr>
              <w:lastRenderedPageBreak/>
              <w:t>a) Requisitos previos.</w:t>
            </w:r>
          </w:p>
        </w:tc>
        <w:tc>
          <w:tcPr>
            <w:tcW w:w="6520" w:type="dxa"/>
          </w:tcPr>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Al hacerlo tienen que precisar de qué información se trata, señalando el supuesto de clasificación (confidencialidad o reserva).</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Además, se debe señalar el procedimiento, de los tres que establecen los artículos 132 y 106 de la Ley Estatal y General, respectivamente.</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El último de estos requisitos previos consiste en que no se pueden emitir acuerdos de carácter general ni particular, esto es, </w:t>
            </w:r>
            <w:r w:rsidRPr="00687FD5">
              <w:rPr>
                <w:rFonts w:ascii="Palatino Linotype" w:eastAsia="Palatino Linotype" w:hAnsi="Palatino Linotype" w:cs="Palatino Linotype"/>
                <w:i/>
                <w:color w:val="000000" w:themeColor="text1"/>
                <w:sz w:val="24"/>
                <w:szCs w:val="24"/>
                <w:u w:val="single"/>
              </w:rPr>
              <w:t>no se puede hacer un acuerdo para clasificar de manera general todos los documentos de un expediente o área, sin</w:t>
            </w:r>
            <w:r w:rsidRPr="00687FD5">
              <w:rPr>
                <w:rFonts w:ascii="Palatino Linotype" w:eastAsia="Palatino Linotype" w:hAnsi="Palatino Linotype" w:cs="Palatino Linotype"/>
                <w:i/>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D1492E" w:rsidRPr="00687FD5">
        <w:tc>
          <w:tcPr>
            <w:tcW w:w="2689" w:type="dxa"/>
            <w:shd w:val="clear" w:color="auto" w:fill="E7E6E6"/>
          </w:tcPr>
          <w:p w:rsidR="00E03ED0" w:rsidRPr="00687FD5" w:rsidRDefault="00747922" w:rsidP="00D1492E">
            <w:pPr>
              <w:tabs>
                <w:tab w:val="left" w:pos="284"/>
              </w:tabs>
              <w:spacing w:line="360" w:lineRule="auto"/>
              <w:rPr>
                <w:rFonts w:ascii="Palatino Linotype" w:eastAsia="Palatino Linotype" w:hAnsi="Palatino Linotype" w:cs="Palatino Linotype"/>
                <w:color w:val="000000" w:themeColor="text1"/>
              </w:rPr>
            </w:pPr>
            <w:r w:rsidRPr="00687FD5">
              <w:rPr>
                <w:rFonts w:ascii="Palatino Linotype" w:eastAsia="Palatino Linotype" w:hAnsi="Palatino Linotype" w:cs="Palatino Linotype"/>
                <w:color w:val="000000" w:themeColor="text1"/>
                <w:sz w:val="24"/>
                <w:szCs w:val="24"/>
              </w:rPr>
              <w:t>b) Supuestos de clasificación.</w:t>
            </w:r>
          </w:p>
        </w:tc>
        <w:tc>
          <w:tcPr>
            <w:tcW w:w="6520" w:type="dxa"/>
            <w:shd w:val="clear" w:color="auto" w:fill="E7E6E6"/>
          </w:tcPr>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Las disposiciones constitucionales y legales en la materia establecen los dos supuestos generales para clasificar la información: por reserva y por confidencialidad.</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w:t>
            </w:r>
            <w:r w:rsidRPr="00687FD5">
              <w:rPr>
                <w:rFonts w:ascii="Palatino Linotype" w:eastAsia="Palatino Linotype" w:hAnsi="Palatino Linotype" w:cs="Palatino Linotype"/>
                <w:i/>
                <w:color w:val="000000" w:themeColor="text1"/>
                <w:sz w:val="24"/>
                <w:szCs w:val="24"/>
              </w:rPr>
              <w:lastRenderedPageBreak/>
              <w:t>o supuestos de clasificación aduciendo analogía o mayoría de razón.</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El </w:t>
            </w:r>
            <w:r w:rsidRPr="00687FD5">
              <w:rPr>
                <w:rFonts w:ascii="Palatino Linotype" w:eastAsia="Palatino Linotype" w:hAnsi="Palatino Linotype" w:cs="Palatino Linotype"/>
                <w:b/>
                <w:i/>
                <w:color w:val="000000" w:themeColor="text1"/>
                <w:sz w:val="24"/>
                <w:szCs w:val="24"/>
              </w:rPr>
              <w:t>Sujeto Obligado</w:t>
            </w:r>
            <w:r w:rsidRPr="00687FD5">
              <w:rPr>
                <w:rFonts w:ascii="Palatino Linotype" w:eastAsia="Palatino Linotype" w:hAnsi="Palatino Linotype" w:cs="Palatino Linotype"/>
                <w:i/>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1492E" w:rsidRPr="00687FD5">
        <w:tc>
          <w:tcPr>
            <w:tcW w:w="2689" w:type="dxa"/>
          </w:tcPr>
          <w:p w:rsidR="00E03ED0" w:rsidRPr="00687FD5" w:rsidRDefault="00747922" w:rsidP="00D1492E">
            <w:pPr>
              <w:tabs>
                <w:tab w:val="left" w:pos="284"/>
              </w:tabs>
              <w:spacing w:line="360" w:lineRule="auto"/>
              <w:rPr>
                <w:rFonts w:ascii="Palatino Linotype" w:eastAsia="Palatino Linotype" w:hAnsi="Palatino Linotype" w:cs="Palatino Linotype"/>
                <w:color w:val="000000" w:themeColor="text1"/>
              </w:rPr>
            </w:pPr>
            <w:r w:rsidRPr="00687FD5">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520" w:type="dxa"/>
          </w:tcPr>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Es necesario que </w:t>
            </w:r>
            <w:r w:rsidRPr="00687FD5">
              <w:rPr>
                <w:rFonts w:ascii="Palatino Linotype" w:eastAsia="Palatino Linotype" w:hAnsi="Palatino Linotype" w:cs="Palatino Linotype"/>
                <w:b/>
                <w:i/>
                <w:color w:val="000000" w:themeColor="text1"/>
                <w:sz w:val="24"/>
                <w:szCs w:val="24"/>
                <w:u w:val="single"/>
              </w:rPr>
              <w:t>el acto reúna con los requisitos elementales</w:t>
            </w:r>
            <w:r w:rsidRPr="00687FD5">
              <w:rPr>
                <w:rFonts w:ascii="Palatino Linotype" w:eastAsia="Palatino Linotype" w:hAnsi="Palatino Linotype" w:cs="Palatino Linotype"/>
                <w:i/>
                <w:color w:val="000000" w:themeColor="text1"/>
                <w:sz w:val="24"/>
                <w:szCs w:val="24"/>
              </w:rPr>
              <w:t>, entre ellos, que la autoridad que va a emitir el acto de autoridad sea la legalmente facultada para ello.</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1492E" w:rsidRPr="00687FD5">
        <w:tc>
          <w:tcPr>
            <w:tcW w:w="2689" w:type="dxa"/>
            <w:shd w:val="clear" w:color="auto" w:fill="E7E6E6"/>
          </w:tcPr>
          <w:p w:rsidR="00E03ED0" w:rsidRPr="00687FD5" w:rsidRDefault="00E03ED0" w:rsidP="00D1492E">
            <w:pPr>
              <w:tabs>
                <w:tab w:val="left" w:pos="284"/>
              </w:tabs>
              <w:spacing w:line="360" w:lineRule="auto"/>
              <w:rPr>
                <w:rFonts w:ascii="Palatino Linotype" w:eastAsia="Palatino Linotype" w:hAnsi="Palatino Linotype" w:cs="Palatino Linotype"/>
                <w:color w:val="000000" w:themeColor="text1"/>
              </w:rPr>
            </w:pPr>
          </w:p>
          <w:p w:rsidR="00E03ED0" w:rsidRPr="00687FD5" w:rsidRDefault="00747922" w:rsidP="00D1492E">
            <w:pPr>
              <w:tabs>
                <w:tab w:val="left" w:pos="284"/>
              </w:tabs>
              <w:spacing w:line="360" w:lineRule="auto"/>
              <w:jc w:val="both"/>
              <w:rPr>
                <w:rFonts w:ascii="Palatino Linotype" w:eastAsia="Palatino Linotype" w:hAnsi="Palatino Linotype" w:cs="Palatino Linotype"/>
                <w:color w:val="000000" w:themeColor="text1"/>
              </w:rPr>
            </w:pPr>
            <w:r w:rsidRPr="00687FD5">
              <w:rPr>
                <w:rFonts w:ascii="Palatino Linotype" w:eastAsia="Palatino Linotype" w:hAnsi="Palatino Linotype" w:cs="Palatino Linotype"/>
                <w:color w:val="000000" w:themeColor="text1"/>
                <w:sz w:val="24"/>
                <w:szCs w:val="24"/>
              </w:rPr>
              <w:lastRenderedPageBreak/>
              <w:t xml:space="preserve">d) Requisitos de fondo del acuerdo de clasificación. </w:t>
            </w:r>
          </w:p>
        </w:tc>
        <w:tc>
          <w:tcPr>
            <w:tcW w:w="6520" w:type="dxa"/>
            <w:shd w:val="clear" w:color="auto" w:fill="E7E6E6"/>
          </w:tcPr>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687FD5">
              <w:rPr>
                <w:rFonts w:ascii="Palatino Linotype" w:eastAsia="Palatino Linotype" w:hAnsi="Palatino Linotype" w:cs="Palatino Linotype"/>
                <w:i/>
                <w:color w:val="000000" w:themeColor="text1"/>
                <w:sz w:val="24"/>
                <w:szCs w:val="24"/>
              </w:rPr>
              <w:lastRenderedPageBreak/>
              <w:t xml:space="preserve">prueba, para justificar las restricciones, corresponde a los </w:t>
            </w:r>
            <w:r w:rsidRPr="00687FD5">
              <w:rPr>
                <w:rFonts w:ascii="Palatino Linotype" w:eastAsia="Palatino Linotype" w:hAnsi="Palatino Linotype" w:cs="Palatino Linotype"/>
                <w:b/>
                <w:i/>
                <w:color w:val="000000" w:themeColor="text1"/>
                <w:sz w:val="24"/>
                <w:szCs w:val="24"/>
              </w:rPr>
              <w:t>Sujetos Obligados</w:t>
            </w:r>
            <w:r w:rsidRPr="00687FD5">
              <w:rPr>
                <w:rFonts w:ascii="Palatino Linotype" w:eastAsia="Palatino Linotype" w:hAnsi="Palatino Linotype" w:cs="Palatino Linotype"/>
                <w:i/>
                <w:color w:val="000000" w:themeColor="text1"/>
                <w:sz w:val="24"/>
                <w:szCs w:val="24"/>
              </w:rPr>
              <w:t xml:space="preserve">, por lo que deberán fundar y motivar debidamente la clasificación. </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De lo anterior, se desprende que para una correcta </w:t>
            </w:r>
            <w:r w:rsidRPr="00687FD5">
              <w:rPr>
                <w:rFonts w:ascii="Palatino Linotype" w:eastAsia="Palatino Linotype" w:hAnsi="Palatino Linotype" w:cs="Palatino Linotype"/>
                <w:b/>
                <w:i/>
                <w:color w:val="000000" w:themeColor="text1"/>
                <w:sz w:val="24"/>
                <w:szCs w:val="24"/>
              </w:rPr>
              <w:t>clasificación total o parcial</w:t>
            </w:r>
            <w:r w:rsidRPr="00687FD5">
              <w:rPr>
                <w:rFonts w:ascii="Palatino Linotype" w:eastAsia="Palatino Linotype" w:hAnsi="Palatino Linotype" w:cs="Palatino Linotype"/>
                <w:i/>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Ahora bien, </w:t>
            </w:r>
            <w:r w:rsidRPr="00687FD5">
              <w:rPr>
                <w:rFonts w:ascii="Palatino Linotype" w:eastAsia="Palatino Linotype" w:hAnsi="Palatino Linotype" w:cs="Palatino Linotype"/>
                <w:b/>
                <w:i/>
                <w:color w:val="000000" w:themeColor="text1"/>
                <w:sz w:val="24"/>
                <w:szCs w:val="24"/>
                <w:u w:val="single"/>
              </w:rPr>
              <w:t>para cada caso además de fundar y motivar</w:t>
            </w:r>
            <w:r w:rsidRPr="00687FD5">
              <w:rPr>
                <w:rFonts w:ascii="Palatino Linotype" w:eastAsia="Palatino Linotype" w:hAnsi="Palatino Linotype" w:cs="Palatino Linotype"/>
                <w:i/>
                <w:color w:val="000000" w:themeColor="text1"/>
                <w:sz w:val="24"/>
                <w:szCs w:val="24"/>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687FD5">
              <w:rPr>
                <w:rFonts w:ascii="Palatino Linotype" w:eastAsia="Palatino Linotype" w:hAnsi="Palatino Linotype" w:cs="Palatino Linotype"/>
                <w:i/>
                <w:color w:val="000000" w:themeColor="text1"/>
                <w:sz w:val="24"/>
                <w:szCs w:val="24"/>
              </w:rPr>
              <w:lastRenderedPageBreak/>
              <w:t>comercial, fiscal, bursátil y postal, cuya titularidad corresponda a particulares, entre otros.</w:t>
            </w:r>
          </w:p>
        </w:tc>
      </w:tr>
      <w:tr w:rsidR="00E03ED0" w:rsidRPr="00687FD5">
        <w:tc>
          <w:tcPr>
            <w:tcW w:w="2689" w:type="dxa"/>
          </w:tcPr>
          <w:p w:rsidR="00E03ED0" w:rsidRPr="00687FD5" w:rsidRDefault="00747922" w:rsidP="00D1492E">
            <w:pPr>
              <w:tabs>
                <w:tab w:val="left" w:pos="284"/>
              </w:tabs>
              <w:spacing w:line="360" w:lineRule="auto"/>
              <w:rPr>
                <w:rFonts w:ascii="Palatino Linotype" w:eastAsia="Palatino Linotype" w:hAnsi="Palatino Linotype" w:cs="Palatino Linotype"/>
                <w:color w:val="000000" w:themeColor="text1"/>
              </w:rPr>
            </w:pPr>
            <w:r w:rsidRPr="00687FD5">
              <w:rPr>
                <w:rFonts w:ascii="Palatino Linotype" w:eastAsia="Palatino Linotype" w:hAnsi="Palatino Linotype" w:cs="Palatino Linotype"/>
                <w:color w:val="000000" w:themeColor="text1"/>
                <w:sz w:val="24"/>
                <w:szCs w:val="24"/>
              </w:rPr>
              <w:lastRenderedPageBreak/>
              <w:t>e) Condiciones especiales de la clasificación de la información como confidencial.</w:t>
            </w:r>
          </w:p>
        </w:tc>
        <w:tc>
          <w:tcPr>
            <w:tcW w:w="6520" w:type="dxa"/>
          </w:tcPr>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E03ED0" w:rsidRPr="00687FD5" w:rsidRDefault="00747922" w:rsidP="00D1492E">
            <w:pPr>
              <w:tabs>
                <w:tab w:val="left" w:pos="284"/>
              </w:tabs>
              <w:spacing w:line="276" w:lineRule="auto"/>
              <w:jc w:val="both"/>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03ED0" w:rsidRPr="00687FD5" w:rsidRDefault="00747922" w:rsidP="00D1492E">
            <w:pPr>
              <w:tabs>
                <w:tab w:val="left" w:pos="284"/>
              </w:tabs>
              <w:spacing w:line="276" w:lineRule="auto"/>
              <w:rPr>
                <w:rFonts w:ascii="Palatino Linotype" w:eastAsia="Palatino Linotype" w:hAnsi="Palatino Linotype" w:cs="Palatino Linotype"/>
                <w:i/>
                <w:color w:val="000000" w:themeColor="text1"/>
              </w:rPr>
            </w:pPr>
            <w:r w:rsidRPr="00687FD5">
              <w:rPr>
                <w:rFonts w:ascii="Palatino Linotype" w:eastAsia="Palatino Linotype" w:hAnsi="Palatino Linotype" w:cs="Palatino Linotype"/>
                <w:i/>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03ED0" w:rsidRPr="00687FD5" w:rsidRDefault="00E03ED0" w:rsidP="00D1492E">
      <w:pPr>
        <w:tabs>
          <w:tab w:val="left" w:pos="284"/>
        </w:tabs>
        <w:spacing w:line="360" w:lineRule="auto"/>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E03ED0" w:rsidRPr="00687FD5" w:rsidRDefault="00E03ED0" w:rsidP="00D149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4"/>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 Si el servidor público incumple con estas formalidades y entrega la información sin proteger los datos personales incumple con lo que estipula las disposiciones legales </w:t>
      </w:r>
      <w:r w:rsidRPr="00687FD5">
        <w:rPr>
          <w:rFonts w:ascii="Palatino Linotype" w:eastAsia="Palatino Linotype" w:hAnsi="Palatino Linotype" w:cs="Palatino Linotype"/>
          <w:color w:val="000000" w:themeColor="text1"/>
          <w:sz w:val="24"/>
          <w:szCs w:val="24"/>
        </w:rPr>
        <w:lastRenderedPageBreak/>
        <w:t>establecidas, resulta  lo mismo que si entrega un documento testado sin el debido acuerdo de clasificación.</w:t>
      </w: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numPr>
          <w:ilvl w:val="0"/>
          <w:numId w:val="5"/>
        </w:numPr>
        <w:spacing w:after="0" w:line="360" w:lineRule="auto"/>
        <w:ind w:left="0" w:firstLine="0"/>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color w:val="000000" w:themeColor="text1"/>
          <w:sz w:val="24"/>
          <w:szCs w:val="24"/>
        </w:rPr>
        <w:t xml:space="preserve">Por lo anteriormente expuesto y fundado, este </w:t>
      </w:r>
      <w:r w:rsidRPr="00687FD5">
        <w:rPr>
          <w:rFonts w:ascii="Palatino Linotype" w:eastAsia="Palatino Linotype" w:hAnsi="Palatino Linotype" w:cs="Palatino Linotype"/>
          <w:b/>
          <w:color w:val="000000" w:themeColor="text1"/>
          <w:sz w:val="24"/>
          <w:szCs w:val="24"/>
        </w:rPr>
        <w:t>ÓRGANO GARANTE</w:t>
      </w:r>
      <w:r w:rsidRPr="00687FD5">
        <w:rPr>
          <w:rFonts w:ascii="Palatino Linotype" w:eastAsia="Palatino Linotype" w:hAnsi="Palatino Linotype" w:cs="Palatino Linotype"/>
          <w:color w:val="000000" w:themeColor="text1"/>
          <w:sz w:val="24"/>
          <w:szCs w:val="24"/>
        </w:rPr>
        <w:t xml:space="preserve"> emite los siguientes:</w:t>
      </w:r>
    </w:p>
    <w:p w:rsidR="00E03ED0" w:rsidRPr="00687FD5" w:rsidRDefault="00E03ED0" w:rsidP="00D1492E">
      <w:pPr>
        <w:spacing w:after="0" w:line="360" w:lineRule="auto"/>
        <w:jc w:val="both"/>
        <w:rPr>
          <w:rFonts w:ascii="Palatino Linotype" w:hAnsi="Palatino Linotype"/>
          <w:color w:val="000000" w:themeColor="text1"/>
          <w:sz w:val="24"/>
          <w:szCs w:val="24"/>
        </w:rPr>
      </w:pPr>
    </w:p>
    <w:p w:rsidR="00E03ED0" w:rsidRPr="00687FD5" w:rsidRDefault="00747922" w:rsidP="00D1492E">
      <w:pPr>
        <w:pStyle w:val="Ttulo1"/>
        <w:spacing w:before="0" w:line="360" w:lineRule="auto"/>
        <w:jc w:val="center"/>
        <w:rPr>
          <w:rFonts w:ascii="Palatino Linotype" w:eastAsia="Palatino Linotype" w:hAnsi="Palatino Linotype" w:cs="Palatino Linotype"/>
          <w:b/>
          <w:color w:val="000000" w:themeColor="text1"/>
          <w:sz w:val="24"/>
          <w:szCs w:val="24"/>
        </w:rPr>
      </w:pPr>
      <w:r w:rsidRPr="00687FD5">
        <w:rPr>
          <w:rFonts w:ascii="Palatino Linotype" w:eastAsia="Palatino Linotype" w:hAnsi="Palatino Linotype" w:cs="Palatino Linotype"/>
          <w:b/>
          <w:color w:val="000000" w:themeColor="text1"/>
          <w:sz w:val="24"/>
          <w:szCs w:val="24"/>
        </w:rPr>
        <w:t>R E S O L U T I V O S</w:t>
      </w:r>
    </w:p>
    <w:p w:rsidR="00E03ED0" w:rsidRPr="00687FD5" w:rsidRDefault="00E03ED0" w:rsidP="00D1492E">
      <w:pPr>
        <w:spacing w:line="360" w:lineRule="auto"/>
        <w:rPr>
          <w:rFonts w:ascii="Palatino Linotype" w:eastAsia="Palatino Linotype" w:hAnsi="Palatino Linotype" w:cs="Palatino Linotype"/>
          <w:color w:val="000000" w:themeColor="text1"/>
          <w:sz w:val="24"/>
          <w:szCs w:val="24"/>
        </w:rPr>
      </w:pPr>
    </w:p>
    <w:p w:rsidR="00E03ED0" w:rsidRPr="00687FD5" w:rsidRDefault="00747922" w:rsidP="00D1492E">
      <w:pPr>
        <w:spacing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t>PRIMERO</w:t>
      </w:r>
      <w:r w:rsidRPr="00687FD5">
        <w:rPr>
          <w:rFonts w:ascii="Palatino Linotype" w:eastAsia="Palatino Linotype" w:hAnsi="Palatino Linotype" w:cs="Palatino Linotype"/>
          <w:color w:val="000000" w:themeColor="text1"/>
          <w:sz w:val="24"/>
          <w:szCs w:val="24"/>
        </w:rPr>
        <w:t>. Resultan fundadas las</w:t>
      </w:r>
      <w:r w:rsidRPr="00687FD5">
        <w:rPr>
          <w:rFonts w:ascii="Palatino Linotype" w:eastAsia="Palatino Linotype" w:hAnsi="Palatino Linotype" w:cs="Palatino Linotype"/>
          <w:b/>
          <w:color w:val="000000" w:themeColor="text1"/>
          <w:sz w:val="24"/>
          <w:szCs w:val="24"/>
        </w:rPr>
        <w:t xml:space="preserve"> </w:t>
      </w:r>
      <w:r w:rsidRPr="00687FD5">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Pr="00687FD5">
        <w:rPr>
          <w:rFonts w:ascii="Palatino Linotype" w:eastAsia="Palatino Linotype" w:hAnsi="Palatino Linotype" w:cs="Palatino Linotype"/>
          <w:b/>
          <w:color w:val="000000" w:themeColor="text1"/>
          <w:sz w:val="24"/>
          <w:szCs w:val="24"/>
        </w:rPr>
        <w:t xml:space="preserve">08493/INFOEM/IP/RR/2025, </w:t>
      </w:r>
      <w:r w:rsidRPr="00687FD5">
        <w:rPr>
          <w:rFonts w:ascii="Palatino Linotype" w:eastAsia="Palatino Linotype" w:hAnsi="Palatino Linotype" w:cs="Palatino Linotype"/>
          <w:color w:val="000000" w:themeColor="text1"/>
          <w:sz w:val="24"/>
          <w:szCs w:val="24"/>
        </w:rPr>
        <w:t xml:space="preserve">por lo que se </w:t>
      </w:r>
      <w:r w:rsidRPr="00687FD5">
        <w:rPr>
          <w:rFonts w:ascii="Palatino Linotype" w:eastAsia="Palatino Linotype" w:hAnsi="Palatino Linotype" w:cs="Palatino Linotype"/>
          <w:b/>
          <w:color w:val="000000" w:themeColor="text1"/>
          <w:sz w:val="24"/>
          <w:szCs w:val="24"/>
        </w:rPr>
        <w:t xml:space="preserve">REVOCA </w:t>
      </w:r>
      <w:r w:rsidRPr="00687FD5">
        <w:rPr>
          <w:rFonts w:ascii="Palatino Linotype" w:eastAsia="Palatino Linotype" w:hAnsi="Palatino Linotype" w:cs="Palatino Linotype"/>
          <w:color w:val="000000" w:themeColor="text1"/>
          <w:sz w:val="24"/>
          <w:szCs w:val="24"/>
        </w:rPr>
        <w:t xml:space="preserve">la respuesta del </w:t>
      </w:r>
      <w:r w:rsidRPr="00687FD5">
        <w:rPr>
          <w:rFonts w:ascii="Palatino Linotype" w:eastAsia="Palatino Linotype" w:hAnsi="Palatino Linotype" w:cs="Palatino Linotype"/>
          <w:b/>
          <w:color w:val="000000" w:themeColor="text1"/>
          <w:sz w:val="24"/>
          <w:szCs w:val="24"/>
        </w:rPr>
        <w:t xml:space="preserve">SUJETO OBLIGADO </w:t>
      </w:r>
      <w:r w:rsidRPr="00687FD5">
        <w:rPr>
          <w:rFonts w:ascii="Palatino Linotype" w:eastAsia="Palatino Linotype" w:hAnsi="Palatino Linotype" w:cs="Palatino Linotype"/>
          <w:color w:val="000000" w:themeColor="text1"/>
          <w:sz w:val="24"/>
          <w:szCs w:val="24"/>
        </w:rPr>
        <w:t xml:space="preserve">en la solicitud de información </w:t>
      </w:r>
      <w:r w:rsidRPr="00687FD5">
        <w:rPr>
          <w:rFonts w:ascii="Palatino Linotype" w:eastAsia="Palatino Linotype" w:hAnsi="Palatino Linotype" w:cs="Palatino Linotype"/>
          <w:b/>
          <w:color w:val="000000" w:themeColor="text1"/>
          <w:sz w:val="24"/>
          <w:szCs w:val="24"/>
        </w:rPr>
        <w:t>00145/DIFHUEHUET/IP/2025</w:t>
      </w:r>
      <w:r w:rsidRPr="00687FD5">
        <w:rPr>
          <w:rFonts w:ascii="Palatino Linotype" w:eastAsia="Palatino Linotype" w:hAnsi="Palatino Linotype" w:cs="Palatino Linotype"/>
          <w:color w:val="000000" w:themeColor="text1"/>
          <w:sz w:val="24"/>
          <w:szCs w:val="24"/>
        </w:rPr>
        <w:t xml:space="preserve"> en términos de los </w:t>
      </w:r>
      <w:r w:rsidRPr="00687FD5">
        <w:rPr>
          <w:rFonts w:ascii="Palatino Linotype" w:eastAsia="Palatino Linotype" w:hAnsi="Palatino Linotype" w:cs="Palatino Linotype"/>
          <w:b/>
          <w:color w:val="000000" w:themeColor="text1"/>
          <w:sz w:val="24"/>
          <w:szCs w:val="24"/>
        </w:rPr>
        <w:t xml:space="preserve">Considerandos Cuarto y Quinto </w:t>
      </w:r>
      <w:r w:rsidRPr="00687FD5">
        <w:rPr>
          <w:rFonts w:ascii="Palatino Linotype" w:eastAsia="Palatino Linotype" w:hAnsi="Palatino Linotype" w:cs="Palatino Linotype"/>
          <w:color w:val="000000" w:themeColor="text1"/>
          <w:sz w:val="24"/>
          <w:szCs w:val="24"/>
        </w:rPr>
        <w:t>de la presente resolución.</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t>SEGUNDO.</w:t>
      </w:r>
      <w:r w:rsidRPr="00687FD5">
        <w:rPr>
          <w:rFonts w:ascii="Palatino Linotype" w:eastAsia="Palatino Linotype" w:hAnsi="Palatino Linotype" w:cs="Palatino Linotype"/>
          <w:color w:val="000000" w:themeColor="text1"/>
          <w:sz w:val="24"/>
          <w:szCs w:val="24"/>
        </w:rPr>
        <w:t xml:space="preserve"> Se </w:t>
      </w:r>
      <w:r w:rsidRPr="00687FD5">
        <w:rPr>
          <w:rFonts w:ascii="Palatino Linotype" w:eastAsia="Palatino Linotype" w:hAnsi="Palatino Linotype" w:cs="Palatino Linotype"/>
          <w:b/>
          <w:color w:val="000000" w:themeColor="text1"/>
          <w:sz w:val="24"/>
          <w:szCs w:val="24"/>
        </w:rPr>
        <w:t xml:space="preserve">ORDENA </w:t>
      </w:r>
      <w:r w:rsidRPr="00687FD5">
        <w:rPr>
          <w:rFonts w:ascii="Palatino Linotype" w:eastAsia="Palatino Linotype" w:hAnsi="Palatino Linotype" w:cs="Palatino Linotype"/>
          <w:color w:val="000000" w:themeColor="text1"/>
          <w:sz w:val="24"/>
          <w:szCs w:val="24"/>
        </w:rPr>
        <w:t xml:space="preserve">al </w:t>
      </w:r>
      <w:r w:rsidRPr="00687FD5">
        <w:rPr>
          <w:rFonts w:ascii="Palatino Linotype" w:eastAsia="Palatino Linotype" w:hAnsi="Palatino Linotype" w:cs="Palatino Linotype"/>
          <w:b/>
          <w:color w:val="000000" w:themeColor="text1"/>
          <w:sz w:val="24"/>
          <w:szCs w:val="24"/>
        </w:rPr>
        <w:t xml:space="preserve">SUJETO OBLIGADO, </w:t>
      </w:r>
      <w:r w:rsidRPr="00687FD5">
        <w:rPr>
          <w:rFonts w:ascii="Palatino Linotype" w:eastAsia="Palatino Linotype" w:hAnsi="Palatino Linotype" w:cs="Palatino Linotype"/>
          <w:color w:val="000000" w:themeColor="text1"/>
          <w:sz w:val="24"/>
          <w:szCs w:val="24"/>
        </w:rPr>
        <w:t xml:space="preserve">a efecto de entregar vía Sistema de Acceso a la Información Mexiquense </w:t>
      </w:r>
      <w:r w:rsidRPr="00687FD5">
        <w:rPr>
          <w:rFonts w:ascii="Palatino Linotype" w:eastAsia="Palatino Linotype" w:hAnsi="Palatino Linotype" w:cs="Palatino Linotype"/>
          <w:b/>
          <w:color w:val="000000" w:themeColor="text1"/>
          <w:sz w:val="24"/>
          <w:szCs w:val="24"/>
        </w:rPr>
        <w:t>(SAIMEX)</w:t>
      </w:r>
      <w:r w:rsidRPr="00687FD5">
        <w:rPr>
          <w:rFonts w:ascii="Palatino Linotype" w:eastAsia="Palatino Linotype" w:hAnsi="Palatino Linotype" w:cs="Palatino Linotype"/>
          <w:color w:val="000000" w:themeColor="text1"/>
          <w:sz w:val="24"/>
          <w:szCs w:val="24"/>
        </w:rPr>
        <w:t xml:space="preserve">, la siguiente información de ser </w:t>
      </w:r>
      <w:r w:rsidRPr="006C336E">
        <w:rPr>
          <w:rFonts w:ascii="Palatino Linotype" w:eastAsia="Palatino Linotype" w:hAnsi="Palatino Linotype" w:cs="Palatino Linotype"/>
          <w:color w:val="000000" w:themeColor="text1"/>
          <w:sz w:val="24"/>
          <w:szCs w:val="24"/>
        </w:rPr>
        <w:t>procedente en versión pública</w:t>
      </w:r>
      <w:r w:rsidR="002C7F3F" w:rsidRPr="006C336E">
        <w:rPr>
          <w:rFonts w:ascii="Palatino Linotype" w:eastAsia="Palatino Linotype" w:hAnsi="Palatino Linotype" w:cs="Palatino Linotype"/>
          <w:color w:val="000000" w:themeColor="text1"/>
          <w:sz w:val="24"/>
          <w:szCs w:val="24"/>
        </w:rPr>
        <w:t xml:space="preserve"> </w:t>
      </w:r>
      <w:r w:rsidR="002401C8" w:rsidRPr="006C336E">
        <w:rPr>
          <w:rFonts w:ascii="Palatino Linotype" w:eastAsia="Palatino Linotype" w:hAnsi="Palatino Linotype" w:cs="Palatino Linotype"/>
          <w:color w:val="000000" w:themeColor="text1"/>
          <w:sz w:val="24"/>
          <w:szCs w:val="24"/>
        </w:rPr>
        <w:t>al diecinueve de junio de dos mil veinticinco:</w:t>
      </w:r>
    </w:p>
    <w:p w:rsidR="00E03ED0" w:rsidRPr="00687FD5" w:rsidRDefault="00747922" w:rsidP="00D1492E">
      <w:pPr>
        <w:numPr>
          <w:ilvl w:val="3"/>
          <w:numId w:val="1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Programa anual de adquisiciones </w:t>
      </w:r>
    </w:p>
    <w:p w:rsidR="00E03ED0" w:rsidRPr="00687FD5" w:rsidRDefault="00747922" w:rsidP="00D1492E">
      <w:pPr>
        <w:numPr>
          <w:ilvl w:val="3"/>
          <w:numId w:val="1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Reporte de procedimientos adquisitivos, </w:t>
      </w:r>
    </w:p>
    <w:p w:rsidR="00E03ED0" w:rsidRPr="00687FD5" w:rsidRDefault="00747922" w:rsidP="00D1492E">
      <w:pPr>
        <w:numPr>
          <w:ilvl w:val="3"/>
          <w:numId w:val="1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 xml:space="preserve">Diario General de Pólizas, </w:t>
      </w:r>
    </w:p>
    <w:p w:rsidR="00E03ED0" w:rsidRPr="00687FD5" w:rsidRDefault="00747922" w:rsidP="00D1492E">
      <w:pPr>
        <w:numPr>
          <w:ilvl w:val="3"/>
          <w:numId w:val="1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687FD5">
        <w:rPr>
          <w:rFonts w:ascii="Palatino Linotype" w:eastAsia="Palatino Linotype" w:hAnsi="Palatino Linotype" w:cs="Palatino Linotype"/>
          <w:b/>
          <w:i/>
          <w:color w:val="000000" w:themeColor="text1"/>
          <w:sz w:val="24"/>
          <w:szCs w:val="24"/>
        </w:rPr>
        <w:t>Dictamen de Reconducción y Actualización Programática- Presupuestal</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line="276" w:lineRule="auto"/>
        <w:jc w:val="both"/>
        <w:rPr>
          <w:rFonts w:ascii="Palatino Linotype" w:eastAsia="Palatino Linotype" w:hAnsi="Palatino Linotype" w:cs="Palatino Linotype"/>
          <w:b/>
          <w:i/>
          <w:color w:val="000000" w:themeColor="text1"/>
          <w:sz w:val="24"/>
          <w:szCs w:val="24"/>
        </w:rPr>
      </w:pPr>
      <w:bookmarkStart w:id="7" w:name="_heading=h.4mb6aipd0gro" w:colFirst="0" w:colLast="0"/>
      <w:bookmarkEnd w:id="7"/>
      <w:r w:rsidRPr="00687FD5">
        <w:rPr>
          <w:rFonts w:ascii="Palatino Linotype" w:eastAsia="Palatino Linotype" w:hAnsi="Palatino Linotype" w:cs="Palatino Linotype"/>
          <w:i/>
          <w:color w:val="000000" w:themeColor="text1"/>
          <w:sz w:val="24"/>
          <w:szCs w:val="24"/>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87FD5">
        <w:rPr>
          <w:rFonts w:ascii="Palatino Linotype" w:eastAsia="Palatino Linotype" w:hAnsi="Palatino Linotype" w:cs="Palatino Linotype"/>
          <w:b/>
          <w:i/>
          <w:color w:val="000000" w:themeColor="text1"/>
          <w:sz w:val="24"/>
          <w:szCs w:val="24"/>
        </w:rPr>
        <w:t>RECURRENTE.</w:t>
      </w:r>
    </w:p>
    <w:p w:rsidR="00E03ED0" w:rsidRPr="00687FD5" w:rsidRDefault="00E03ED0" w:rsidP="00D1492E">
      <w:pPr>
        <w:spacing w:line="360" w:lineRule="auto"/>
        <w:jc w:val="both"/>
        <w:rPr>
          <w:rFonts w:ascii="Palatino Linotype" w:eastAsia="Palatino Linotype" w:hAnsi="Palatino Linotype" w:cs="Palatino Linotype"/>
          <w:b/>
          <w:color w:val="000000" w:themeColor="text1"/>
          <w:sz w:val="24"/>
          <w:szCs w:val="24"/>
        </w:rPr>
      </w:pPr>
    </w:p>
    <w:p w:rsidR="00E03ED0" w:rsidRPr="00687FD5" w:rsidRDefault="00747922" w:rsidP="00D1492E">
      <w:pPr>
        <w:tabs>
          <w:tab w:val="left" w:pos="8080"/>
        </w:tabs>
        <w:spacing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t xml:space="preserve">TERCERO. </w:t>
      </w:r>
      <w:r w:rsidRPr="00687FD5">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87FD5">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687FD5">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t xml:space="preserve">CUARTO. </w:t>
      </w:r>
      <w:r w:rsidRPr="00687FD5">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lastRenderedPageBreak/>
        <w:t xml:space="preserve">QUINTO. Notifíquese </w:t>
      </w:r>
      <w:r w:rsidRPr="00687FD5">
        <w:rPr>
          <w:rFonts w:ascii="Palatino Linotype" w:eastAsia="Palatino Linotype" w:hAnsi="Palatino Linotype" w:cs="Palatino Linotype"/>
          <w:color w:val="000000" w:themeColor="text1"/>
          <w:sz w:val="24"/>
          <w:szCs w:val="24"/>
        </w:rPr>
        <w:t xml:space="preserve">a </w:t>
      </w:r>
      <w:r w:rsidRPr="00687FD5">
        <w:rPr>
          <w:rFonts w:ascii="Palatino Linotype" w:eastAsia="Palatino Linotype" w:hAnsi="Palatino Linotype" w:cs="Palatino Linotype"/>
          <w:b/>
          <w:color w:val="000000" w:themeColor="text1"/>
          <w:sz w:val="24"/>
          <w:szCs w:val="24"/>
        </w:rPr>
        <w:t>LA RECURRENTE</w:t>
      </w:r>
      <w:r w:rsidRPr="00687FD5">
        <w:rPr>
          <w:rFonts w:ascii="Palatino Linotype" w:eastAsia="Palatino Linotype" w:hAnsi="Palatino Linotype" w:cs="Palatino Linotype"/>
          <w:color w:val="000000" w:themeColor="text1"/>
          <w:sz w:val="24"/>
          <w:szCs w:val="24"/>
        </w:rPr>
        <w:t xml:space="preserve"> la presente resolución, vía SAIMEX.</w:t>
      </w: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p w:rsidR="00E03ED0" w:rsidRPr="00687FD5" w:rsidRDefault="00747922" w:rsidP="00D1492E">
      <w:pPr>
        <w:spacing w:line="360" w:lineRule="auto"/>
        <w:jc w:val="both"/>
        <w:rPr>
          <w:rFonts w:ascii="Palatino Linotype" w:eastAsia="Palatino Linotype" w:hAnsi="Palatino Linotype" w:cs="Palatino Linotype"/>
          <w:color w:val="000000" w:themeColor="text1"/>
          <w:sz w:val="24"/>
          <w:szCs w:val="24"/>
        </w:rPr>
      </w:pPr>
      <w:r w:rsidRPr="00687FD5">
        <w:rPr>
          <w:rFonts w:ascii="Palatino Linotype" w:eastAsia="Palatino Linotype" w:hAnsi="Palatino Linotype" w:cs="Palatino Linotype"/>
          <w:b/>
          <w:color w:val="000000" w:themeColor="text1"/>
          <w:sz w:val="24"/>
          <w:szCs w:val="24"/>
        </w:rPr>
        <w:t>SEXTO.</w:t>
      </w:r>
      <w:r w:rsidRPr="00687FD5">
        <w:rPr>
          <w:rFonts w:ascii="Palatino Linotype" w:eastAsia="Palatino Linotype" w:hAnsi="Palatino Linotype" w:cs="Palatino Linotype"/>
          <w:color w:val="000000" w:themeColor="text1"/>
          <w:sz w:val="24"/>
          <w:szCs w:val="24"/>
        </w:rPr>
        <w:t xml:space="preserve"> Se hace del conocimiento de </w:t>
      </w:r>
      <w:r w:rsidRPr="00687FD5">
        <w:rPr>
          <w:rFonts w:ascii="Palatino Linotype" w:eastAsia="Palatino Linotype" w:hAnsi="Palatino Linotype" w:cs="Palatino Linotype"/>
          <w:b/>
          <w:color w:val="000000" w:themeColor="text1"/>
          <w:sz w:val="24"/>
          <w:szCs w:val="24"/>
        </w:rPr>
        <w:t>LA RECURRENTE</w:t>
      </w:r>
      <w:r w:rsidRPr="00687FD5">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87FD5" w:rsidRPr="00687FD5" w:rsidRDefault="00687FD5" w:rsidP="00D1492E">
      <w:pPr>
        <w:spacing w:line="360" w:lineRule="auto"/>
        <w:jc w:val="both"/>
        <w:rPr>
          <w:rFonts w:ascii="Palatino Linotype" w:eastAsia="Palatino Linotype" w:hAnsi="Palatino Linotype" w:cs="Palatino Linotype"/>
          <w:color w:val="000000" w:themeColor="text1"/>
          <w:sz w:val="24"/>
          <w:szCs w:val="24"/>
        </w:rPr>
      </w:pPr>
    </w:p>
    <w:p w:rsidR="009D03C8" w:rsidRPr="00444783" w:rsidRDefault="009D03C8" w:rsidP="009D03C8">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D15085" w:rsidRPr="00575AE2">
        <w:rPr>
          <w:rFonts w:ascii="Palatino Linotype" w:eastAsia="Palatino Linotype" w:hAnsi="Palatino Linotype" w:cs="Palatino Linotype"/>
          <w:sz w:val="24"/>
          <w:szCs w:val="24"/>
        </w:rPr>
        <w:t xml:space="preserve">EN LA </w:t>
      </w:r>
      <w:r w:rsidR="00D15085">
        <w:rPr>
          <w:rFonts w:ascii="Palatino Linotype" w:eastAsia="Palatino Linotype" w:hAnsi="Palatino Linotype" w:cs="Palatino Linotype"/>
          <w:sz w:val="24"/>
          <w:szCs w:val="24"/>
        </w:rPr>
        <w:t xml:space="preserve">CUADRAGÉSIMA </w:t>
      </w:r>
      <w:r w:rsidR="00D15085" w:rsidRPr="00575AE2">
        <w:rPr>
          <w:rFonts w:ascii="Palatino Linotype" w:eastAsia="Palatino Linotype" w:hAnsi="Palatino Linotype" w:cs="Palatino Linotype"/>
          <w:sz w:val="24"/>
          <w:szCs w:val="24"/>
        </w:rPr>
        <w:t>SESIÓN ORDINARIA, CELEBRADA EL</w:t>
      </w:r>
      <w:r w:rsidR="00D15085">
        <w:rPr>
          <w:rFonts w:ascii="Palatino Linotype" w:eastAsia="Palatino Linotype" w:hAnsi="Palatino Linotype" w:cs="Palatino Linotype"/>
          <w:sz w:val="24"/>
          <w:szCs w:val="24"/>
        </w:rPr>
        <w:t xml:space="preserve"> DOCE (12</w:t>
      </w:r>
      <w:r w:rsidR="00D15085" w:rsidRPr="00575AE2">
        <w:rPr>
          <w:rFonts w:ascii="Palatino Linotype" w:eastAsia="Palatino Linotype" w:hAnsi="Palatino Linotype" w:cs="Palatino Linotype"/>
          <w:sz w:val="24"/>
          <w:szCs w:val="24"/>
        </w:rPr>
        <w:t xml:space="preserve">) DE </w:t>
      </w:r>
      <w:r w:rsidR="00D15085">
        <w:rPr>
          <w:rFonts w:ascii="Palatino Linotype" w:eastAsia="Palatino Linotype" w:hAnsi="Palatino Linotype" w:cs="Palatino Linotype"/>
          <w:sz w:val="24"/>
          <w:szCs w:val="24"/>
        </w:rPr>
        <w:t>NOVIEMBRE</w:t>
      </w:r>
      <w:r>
        <w:rPr>
          <w:rFonts w:ascii="Palatino Linotype" w:eastAsia="Palatino Linotype" w:hAnsi="Palatino Linotype" w:cs="Palatino Linotype"/>
          <w:sz w:val="24"/>
          <w:szCs w:val="24"/>
        </w:rPr>
        <w:t xml:space="preserve"> </w:t>
      </w:r>
      <w:r w:rsidRPr="00575AE2">
        <w:rPr>
          <w:rFonts w:ascii="Palatino Linotype" w:eastAsia="Palatino Linotype" w:hAnsi="Palatino Linotype" w:cs="Palatino Linotype"/>
          <w:sz w:val="24"/>
          <w:szCs w:val="24"/>
        </w:rPr>
        <w:t>DE DOS MIL VEINTICINCO, ANTE EL SECRETARIO TÉCNICO DEL PLENO ALEXIS TAPIA RAMÍREZ.</w:t>
      </w:r>
    </w:p>
    <w:p w:rsidR="00687FD5" w:rsidRPr="00444783" w:rsidRDefault="00687FD5" w:rsidP="00687FD5">
      <w:pPr>
        <w:tabs>
          <w:tab w:val="left" w:pos="5387"/>
        </w:tabs>
        <w:spacing w:line="360" w:lineRule="auto"/>
        <w:ind w:right="49"/>
        <w:jc w:val="both"/>
        <w:rPr>
          <w:rFonts w:ascii="Palatino Linotype" w:eastAsia="Palatino Linotype" w:hAnsi="Palatino Linotype" w:cs="Palatino Linotype"/>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after="0" w:line="360" w:lineRule="auto"/>
        <w:jc w:val="both"/>
        <w:rPr>
          <w:rFonts w:ascii="Palatino Linotype" w:eastAsia="Palatino Linotype" w:hAnsi="Palatino Linotype" w:cs="Palatino Linotype"/>
          <w:color w:val="000000" w:themeColor="text1"/>
          <w:sz w:val="24"/>
          <w:szCs w:val="24"/>
        </w:rPr>
      </w:pPr>
    </w:p>
    <w:p w:rsidR="00E03ED0" w:rsidRPr="00687FD5" w:rsidRDefault="00E03ED0" w:rsidP="00D1492E">
      <w:pPr>
        <w:spacing w:line="360" w:lineRule="auto"/>
        <w:jc w:val="both"/>
        <w:rPr>
          <w:rFonts w:ascii="Palatino Linotype" w:eastAsia="Palatino Linotype" w:hAnsi="Palatino Linotype" w:cs="Palatino Linotype"/>
          <w:color w:val="000000" w:themeColor="text1"/>
          <w:sz w:val="24"/>
          <w:szCs w:val="24"/>
        </w:rPr>
      </w:pPr>
    </w:p>
    <w:sectPr w:rsidR="00E03ED0" w:rsidRPr="00687FD5" w:rsidSect="00EC36AE">
      <w:headerReference w:type="default" r:id="rId16"/>
      <w:footerReference w:type="default" r:id="rId17"/>
      <w:headerReference w:type="first" r:id="rId18"/>
      <w:footerReference w:type="first" r:id="rId19"/>
      <w:pgSz w:w="12240" w:h="15840"/>
      <w:pgMar w:top="1276"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E99" w:rsidRDefault="00932E99">
      <w:pPr>
        <w:spacing w:after="0" w:line="240" w:lineRule="auto"/>
      </w:pPr>
      <w:r>
        <w:separator/>
      </w:r>
    </w:p>
  </w:endnote>
  <w:endnote w:type="continuationSeparator" w:id="0">
    <w:p w:rsidR="00932E99" w:rsidRDefault="0093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3F" w:rsidRDefault="002C7F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6A7F">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6A7F">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2C7F3F" w:rsidRDefault="002C7F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3F" w:rsidRDefault="002C7F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6A7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6A7F">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2C7F3F" w:rsidRDefault="002C7F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E99" w:rsidRDefault="00932E99">
      <w:pPr>
        <w:spacing w:after="0" w:line="240" w:lineRule="auto"/>
      </w:pPr>
      <w:r>
        <w:separator/>
      </w:r>
    </w:p>
  </w:footnote>
  <w:footnote w:type="continuationSeparator" w:id="0">
    <w:p w:rsidR="00932E99" w:rsidRDefault="00932E99">
      <w:pPr>
        <w:spacing w:after="0" w:line="240" w:lineRule="auto"/>
      </w:pPr>
      <w:r>
        <w:continuationSeparator/>
      </w:r>
    </w:p>
  </w:footnote>
  <w:footnote w:id="1">
    <w:p w:rsidR="002C7F3F" w:rsidRPr="00D40FC0" w:rsidRDefault="002C7F3F">
      <w:pPr>
        <w:pStyle w:val="Textonotapie"/>
        <w:rPr>
          <w:lang w:val="es-MX"/>
        </w:rPr>
      </w:pPr>
      <w:r>
        <w:rPr>
          <w:rStyle w:val="Refdenotaalpie"/>
        </w:rPr>
        <w:footnoteRef/>
      </w:r>
      <w:r>
        <w:t xml:space="preserve"> </w:t>
      </w:r>
      <w:r>
        <w:rPr>
          <w:lang w:val="es-MX"/>
        </w:rPr>
        <w:t>Ley de Contratación Pública del Estado de México y Municipios. Artículo trece.</w:t>
      </w:r>
    </w:p>
  </w:footnote>
  <w:footnote w:id="2">
    <w:p w:rsidR="002C7F3F" w:rsidRDefault="002C7F3F">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Tesis VI.2o. J/43, </w:t>
      </w:r>
      <w:r>
        <w:rPr>
          <w:rFonts w:ascii="Times New Roman" w:eastAsia="Times New Roman" w:hAnsi="Times New Roman" w:cs="Times New Roman"/>
          <w:i/>
          <w:color w:val="000000"/>
          <w:sz w:val="18"/>
          <w:szCs w:val="18"/>
        </w:rPr>
        <w:t>Semanario Judicial de la Federación y su Gaceta</w:t>
      </w:r>
      <w:r>
        <w:rPr>
          <w:rFonts w:ascii="Times New Roman" w:eastAsia="Times New Roman" w:hAnsi="Times New Roman" w:cs="Times New Roman"/>
          <w:color w:val="000000"/>
          <w:sz w:val="18"/>
          <w:szCs w:val="18"/>
        </w:rPr>
        <w:t>, Novena Época, Tomo III, marzo de 1996, pág.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91" w:type="dxa"/>
      <w:tblInd w:w="-567" w:type="dxa"/>
      <w:tblLayout w:type="fixed"/>
      <w:tblLook w:val="0400" w:firstRow="0" w:lastRow="0" w:firstColumn="0" w:lastColumn="0" w:noHBand="0" w:noVBand="1"/>
    </w:tblPr>
    <w:tblGrid>
      <w:gridCol w:w="5848"/>
      <w:gridCol w:w="4102"/>
      <w:gridCol w:w="841"/>
    </w:tblGrid>
    <w:tr w:rsidR="002C7F3F" w:rsidTr="00EC36AE">
      <w:trPr>
        <w:trHeight w:val="158"/>
      </w:trPr>
      <w:tc>
        <w:tcPr>
          <w:tcW w:w="5848" w:type="dxa"/>
        </w:tcPr>
        <w:p w:rsidR="002C7F3F" w:rsidRPr="00D1492E" w:rsidRDefault="00EC36AE" w:rsidP="00D1492E">
          <w:pPr>
            <w:jc w:val="right"/>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sz w:val="24"/>
              <w:szCs w:val="24"/>
            </w:rPr>
            <w:t>Recurso de Revisión</w:t>
          </w:r>
          <w:r w:rsidR="002C7F3F" w:rsidRPr="00D1492E">
            <w:rPr>
              <w:rFonts w:ascii="Palatino Linotype" w:eastAsia="Palatino Linotype" w:hAnsi="Palatino Linotype" w:cs="Palatino Linotype"/>
              <w:b/>
              <w:color w:val="000000" w:themeColor="text1"/>
              <w:sz w:val="24"/>
              <w:szCs w:val="24"/>
            </w:rPr>
            <w:t>:</w:t>
          </w:r>
        </w:p>
      </w:tc>
      <w:tc>
        <w:tcPr>
          <w:tcW w:w="4943" w:type="dxa"/>
          <w:gridSpan w:val="2"/>
        </w:tcPr>
        <w:p w:rsidR="002C7F3F" w:rsidRPr="00D1492E" w:rsidRDefault="002C7F3F" w:rsidP="00EC36AE">
          <w:pPr>
            <w:ind w:left="110"/>
            <w:rPr>
              <w:rFonts w:ascii="Palatino Linotype" w:eastAsia="Palatino Linotype" w:hAnsi="Palatino Linotype" w:cs="Palatino Linotype"/>
              <w:color w:val="000000" w:themeColor="text1"/>
            </w:rPr>
          </w:pPr>
          <w:bookmarkStart w:id="8" w:name="_heading=h.dppynqiuvc3u" w:colFirst="0" w:colLast="0"/>
          <w:bookmarkEnd w:id="8"/>
          <w:r w:rsidRPr="00D1492E">
            <w:rPr>
              <w:rFonts w:ascii="Palatino Linotype" w:eastAsia="Palatino Linotype" w:hAnsi="Palatino Linotype" w:cs="Palatino Linotype"/>
              <w:color w:val="000000" w:themeColor="text1"/>
              <w:sz w:val="24"/>
              <w:szCs w:val="24"/>
            </w:rPr>
            <w:t xml:space="preserve">08493/INFOEM/IP/RR/2025 </w:t>
          </w:r>
        </w:p>
      </w:tc>
    </w:tr>
    <w:tr w:rsidR="002C7F3F" w:rsidTr="00EC36AE">
      <w:trPr>
        <w:trHeight w:val="169"/>
      </w:trPr>
      <w:tc>
        <w:tcPr>
          <w:tcW w:w="5848" w:type="dxa"/>
        </w:tcPr>
        <w:p w:rsidR="002C7F3F" w:rsidRPr="00D1492E" w:rsidRDefault="002C7F3F" w:rsidP="00D1492E">
          <w:pPr>
            <w:jc w:val="right"/>
            <w:rPr>
              <w:rFonts w:ascii="Palatino Linotype" w:eastAsia="Palatino Linotype" w:hAnsi="Palatino Linotype" w:cs="Palatino Linotype"/>
              <w:b/>
              <w:color w:val="000000" w:themeColor="text1"/>
            </w:rPr>
          </w:pPr>
          <w:r w:rsidRPr="00D1492E">
            <w:rPr>
              <w:rFonts w:ascii="Palatino Linotype" w:eastAsia="Palatino Linotype" w:hAnsi="Palatino Linotype" w:cs="Palatino Linotype"/>
              <w:b/>
              <w:color w:val="000000" w:themeColor="text1"/>
              <w:sz w:val="24"/>
              <w:szCs w:val="24"/>
            </w:rPr>
            <w:t>Sujeto Obligado:</w:t>
          </w:r>
        </w:p>
      </w:tc>
      <w:tc>
        <w:tcPr>
          <w:tcW w:w="4943" w:type="dxa"/>
          <w:gridSpan w:val="2"/>
        </w:tcPr>
        <w:p w:rsidR="002C7F3F" w:rsidRPr="00D1492E" w:rsidRDefault="002C7F3F" w:rsidP="00EC36AE">
          <w:pPr>
            <w:ind w:left="110"/>
            <w:rPr>
              <w:rFonts w:ascii="Palatino Linotype" w:eastAsia="Palatino Linotype" w:hAnsi="Palatino Linotype" w:cs="Palatino Linotype"/>
              <w:color w:val="000000" w:themeColor="text1"/>
            </w:rPr>
          </w:pPr>
          <w:r w:rsidRPr="00D1492E">
            <w:rPr>
              <w:rFonts w:ascii="Palatino Linotype" w:eastAsia="Palatino Linotype" w:hAnsi="Palatino Linotype" w:cs="Palatino Linotype"/>
              <w:color w:val="000000" w:themeColor="text1"/>
              <w:sz w:val="24"/>
              <w:szCs w:val="24"/>
            </w:rPr>
            <w:t>Sistema Municipal Para el Desarrollo Integral de la Familia de Huehuetoca</w:t>
          </w:r>
        </w:p>
      </w:tc>
    </w:tr>
    <w:tr w:rsidR="002C7F3F" w:rsidTr="00EC36AE">
      <w:trPr>
        <w:trHeight w:val="238"/>
      </w:trPr>
      <w:tc>
        <w:tcPr>
          <w:tcW w:w="5848" w:type="dxa"/>
        </w:tcPr>
        <w:p w:rsidR="002C7F3F" w:rsidRPr="00D1492E" w:rsidRDefault="002C7F3F" w:rsidP="00D1492E">
          <w:pPr>
            <w:tabs>
              <w:tab w:val="left" w:pos="4892"/>
            </w:tabs>
            <w:jc w:val="right"/>
            <w:rPr>
              <w:rFonts w:ascii="Palatino Linotype" w:eastAsia="Palatino Linotype" w:hAnsi="Palatino Linotype" w:cs="Palatino Linotype"/>
              <w:b/>
              <w:color w:val="000000" w:themeColor="text1"/>
            </w:rPr>
          </w:pPr>
          <w:r w:rsidRPr="00D1492E">
            <w:rPr>
              <w:rFonts w:ascii="Palatino Linotype" w:eastAsia="Palatino Linotype" w:hAnsi="Palatino Linotype" w:cs="Palatino Linotype"/>
              <w:b/>
              <w:color w:val="000000" w:themeColor="text1"/>
              <w:sz w:val="24"/>
              <w:szCs w:val="24"/>
            </w:rPr>
            <w:t>Comisionado Ponente:</w:t>
          </w:r>
        </w:p>
      </w:tc>
      <w:tc>
        <w:tcPr>
          <w:tcW w:w="4943" w:type="dxa"/>
          <w:gridSpan w:val="2"/>
        </w:tcPr>
        <w:p w:rsidR="002C7F3F" w:rsidRPr="00D1492E" w:rsidRDefault="002C7F3F" w:rsidP="00EC36AE">
          <w:pPr>
            <w:ind w:left="110"/>
            <w:rPr>
              <w:rFonts w:ascii="Palatino Linotype" w:eastAsia="Palatino Linotype" w:hAnsi="Palatino Linotype" w:cs="Palatino Linotype"/>
              <w:color w:val="000000" w:themeColor="text1"/>
            </w:rPr>
          </w:pPr>
          <w:r w:rsidRPr="00D1492E">
            <w:rPr>
              <w:rFonts w:ascii="Palatino Linotype" w:eastAsia="Palatino Linotype" w:hAnsi="Palatino Linotype" w:cs="Palatino Linotype"/>
              <w:color w:val="000000" w:themeColor="text1"/>
              <w:sz w:val="24"/>
              <w:szCs w:val="24"/>
            </w:rPr>
            <w:t>María del Rosario Mejía Ayala</w:t>
          </w:r>
        </w:p>
      </w:tc>
    </w:tr>
    <w:tr w:rsidR="002C7F3F" w:rsidTr="00EC36AE">
      <w:trPr>
        <w:gridAfter w:val="1"/>
        <w:wAfter w:w="841" w:type="dxa"/>
        <w:trHeight w:val="238"/>
      </w:trPr>
      <w:tc>
        <w:tcPr>
          <w:tcW w:w="5848" w:type="dxa"/>
        </w:tcPr>
        <w:p w:rsidR="002C7F3F" w:rsidRDefault="002C7F3F">
          <w:pPr>
            <w:tabs>
              <w:tab w:val="left" w:pos="4892"/>
            </w:tabs>
            <w:ind w:right="204"/>
            <w:jc w:val="right"/>
            <w:rPr>
              <w:rFonts w:ascii="Palatino Linotype" w:eastAsia="Palatino Linotype" w:hAnsi="Palatino Linotype" w:cs="Palatino Linotype"/>
            </w:rPr>
          </w:pPr>
        </w:p>
      </w:tc>
      <w:tc>
        <w:tcPr>
          <w:tcW w:w="4102" w:type="dxa"/>
        </w:tcPr>
        <w:p w:rsidR="002C7F3F" w:rsidRDefault="002C7F3F" w:rsidP="00EC36AE">
          <w:pPr>
            <w:rPr>
              <w:rFonts w:ascii="Palatino Linotype" w:eastAsia="Palatino Linotype" w:hAnsi="Palatino Linotype" w:cs="Palatino Linotype"/>
            </w:rPr>
          </w:pPr>
        </w:p>
      </w:tc>
    </w:tr>
  </w:tbl>
  <w:p w:rsidR="002C7F3F" w:rsidRDefault="00EC36A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noProof/>
      </w:rPr>
      <w:drawing>
        <wp:anchor distT="0" distB="0" distL="0" distR="0" simplePos="0" relativeHeight="251658240" behindDoc="1" locked="0" layoutInCell="1" hidden="0" allowOverlap="1">
          <wp:simplePos x="0" y="0"/>
          <wp:positionH relativeFrom="margin">
            <wp:posOffset>-1096777</wp:posOffset>
          </wp:positionH>
          <wp:positionV relativeFrom="paragraph">
            <wp:posOffset>-1943579</wp:posOffset>
          </wp:positionV>
          <wp:extent cx="8078470" cy="11360545"/>
          <wp:effectExtent l="0" t="0" r="0" b="0"/>
          <wp:wrapNone/>
          <wp:docPr id="14" name="image7.jpg" descr="logo infoem"/>
          <wp:cNvGraphicFramePr/>
          <a:graphic xmlns:a="http://schemas.openxmlformats.org/drawingml/2006/main">
            <a:graphicData uri="http://schemas.openxmlformats.org/drawingml/2006/picture">
              <pic:pic xmlns:pic="http://schemas.openxmlformats.org/drawingml/2006/picture">
                <pic:nvPicPr>
                  <pic:cNvPr id="0" name="image7.jpg" descr="logo infoem"/>
                  <pic:cNvPicPr preferRelativeResize="0"/>
                </pic:nvPicPr>
                <pic:blipFill>
                  <a:blip r:embed="rId1"/>
                  <a:srcRect/>
                  <a:stretch>
                    <a:fillRect/>
                  </a:stretch>
                </pic:blipFill>
                <pic:spPr>
                  <a:xfrm>
                    <a:off x="0" y="0"/>
                    <a:ext cx="8078470" cy="1136054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943" w:type="dxa"/>
      <w:tblInd w:w="1985" w:type="dxa"/>
      <w:tblLayout w:type="fixed"/>
      <w:tblLook w:val="0400" w:firstRow="0" w:lastRow="0" w:firstColumn="0" w:lastColumn="0" w:noHBand="0" w:noVBand="1"/>
    </w:tblPr>
    <w:tblGrid>
      <w:gridCol w:w="2840"/>
      <w:gridCol w:w="5103"/>
    </w:tblGrid>
    <w:tr w:rsidR="002C7F3F" w:rsidTr="00EC36AE">
      <w:trPr>
        <w:trHeight w:val="227"/>
      </w:trPr>
      <w:tc>
        <w:tcPr>
          <w:tcW w:w="2840" w:type="dxa"/>
        </w:tcPr>
        <w:p w:rsidR="002C7F3F" w:rsidRPr="00D1492E" w:rsidRDefault="00EC36AE" w:rsidP="00EC36AE">
          <w:pPr>
            <w:ind w:right="-7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Recurso de Revisión</w:t>
          </w:r>
          <w:r w:rsidR="002C7F3F" w:rsidRPr="00D1492E">
            <w:rPr>
              <w:rFonts w:ascii="Palatino Linotype" w:eastAsia="Palatino Linotype" w:hAnsi="Palatino Linotype" w:cs="Palatino Linotype"/>
              <w:b/>
              <w:sz w:val="24"/>
              <w:szCs w:val="24"/>
            </w:rPr>
            <w:t>:</w:t>
          </w:r>
        </w:p>
      </w:tc>
      <w:tc>
        <w:tcPr>
          <w:tcW w:w="5103" w:type="dxa"/>
        </w:tcPr>
        <w:p w:rsidR="002C7F3F" w:rsidRPr="00D1492E" w:rsidRDefault="002C7F3F" w:rsidP="00EC36AE">
          <w:pPr>
            <w:ind w:left="208"/>
            <w:rPr>
              <w:rFonts w:ascii="Palatino Linotype" w:eastAsia="Palatino Linotype" w:hAnsi="Palatino Linotype" w:cs="Palatino Linotype"/>
            </w:rPr>
          </w:pPr>
          <w:r w:rsidRPr="00D1492E">
            <w:rPr>
              <w:rFonts w:ascii="Palatino Linotype" w:eastAsia="Palatino Linotype" w:hAnsi="Palatino Linotype" w:cs="Palatino Linotype"/>
              <w:sz w:val="24"/>
              <w:szCs w:val="24"/>
            </w:rPr>
            <w:t xml:space="preserve">08493/INFOEM/IP/RR/2025 </w:t>
          </w:r>
        </w:p>
      </w:tc>
    </w:tr>
    <w:tr w:rsidR="002C7F3F" w:rsidTr="00EC36AE">
      <w:trPr>
        <w:trHeight w:val="242"/>
      </w:trPr>
      <w:tc>
        <w:tcPr>
          <w:tcW w:w="2840" w:type="dxa"/>
        </w:tcPr>
        <w:p w:rsidR="002C7F3F" w:rsidRPr="00D1492E" w:rsidRDefault="002C7F3F" w:rsidP="00D1492E">
          <w:pPr>
            <w:ind w:right="-75"/>
            <w:jc w:val="right"/>
            <w:rPr>
              <w:rFonts w:ascii="Palatino Linotype" w:eastAsia="Palatino Linotype" w:hAnsi="Palatino Linotype" w:cs="Palatino Linotype"/>
              <w:b/>
            </w:rPr>
          </w:pPr>
          <w:r w:rsidRPr="00D1492E">
            <w:rPr>
              <w:rFonts w:ascii="Palatino Linotype" w:eastAsia="Palatino Linotype" w:hAnsi="Palatino Linotype" w:cs="Palatino Linotype"/>
              <w:b/>
              <w:sz w:val="24"/>
              <w:szCs w:val="24"/>
            </w:rPr>
            <w:t>Sujeto Obligado:</w:t>
          </w:r>
        </w:p>
      </w:tc>
      <w:tc>
        <w:tcPr>
          <w:tcW w:w="5103" w:type="dxa"/>
        </w:tcPr>
        <w:p w:rsidR="002C7F3F" w:rsidRPr="00D1492E" w:rsidRDefault="002C7F3F" w:rsidP="00EC36AE">
          <w:pPr>
            <w:ind w:left="208"/>
            <w:rPr>
              <w:rFonts w:ascii="Palatino Linotype" w:eastAsia="Palatino Linotype" w:hAnsi="Palatino Linotype" w:cs="Palatino Linotype"/>
            </w:rPr>
          </w:pPr>
          <w:r w:rsidRPr="00D1492E">
            <w:rPr>
              <w:rFonts w:ascii="Palatino Linotype" w:eastAsia="Palatino Linotype" w:hAnsi="Palatino Linotype" w:cs="Palatino Linotype"/>
              <w:sz w:val="24"/>
              <w:szCs w:val="24"/>
            </w:rPr>
            <w:t>Sistema Municipal Para el  Desarrollo Integral de la Familia de Huehuetoca</w:t>
          </w:r>
        </w:p>
      </w:tc>
    </w:tr>
    <w:tr w:rsidR="002C7F3F" w:rsidTr="00EC36AE">
      <w:trPr>
        <w:trHeight w:val="342"/>
      </w:trPr>
      <w:tc>
        <w:tcPr>
          <w:tcW w:w="2840" w:type="dxa"/>
        </w:tcPr>
        <w:p w:rsidR="002C7F3F" w:rsidRPr="00D1492E" w:rsidRDefault="002C7F3F" w:rsidP="00D1492E">
          <w:pPr>
            <w:tabs>
              <w:tab w:val="left" w:pos="4892"/>
            </w:tabs>
            <w:ind w:right="-75"/>
            <w:jc w:val="right"/>
            <w:rPr>
              <w:rFonts w:ascii="Palatino Linotype" w:eastAsia="Palatino Linotype" w:hAnsi="Palatino Linotype" w:cs="Palatino Linotype"/>
              <w:b/>
            </w:rPr>
          </w:pPr>
          <w:r w:rsidRPr="00D1492E">
            <w:rPr>
              <w:rFonts w:ascii="Palatino Linotype" w:eastAsia="Palatino Linotype" w:hAnsi="Palatino Linotype" w:cs="Palatino Linotype"/>
              <w:b/>
              <w:sz w:val="24"/>
              <w:szCs w:val="24"/>
            </w:rPr>
            <w:t>Recurrente:</w:t>
          </w:r>
        </w:p>
      </w:tc>
      <w:tc>
        <w:tcPr>
          <w:tcW w:w="5103" w:type="dxa"/>
        </w:tcPr>
        <w:p w:rsidR="002C7F3F" w:rsidRPr="00D1492E" w:rsidRDefault="002C7F3F" w:rsidP="00EC36AE">
          <w:pPr>
            <w:ind w:left="208"/>
            <w:rPr>
              <w:rFonts w:ascii="Palatino Linotype" w:eastAsia="Palatino Linotype" w:hAnsi="Palatino Linotype" w:cs="Palatino Linotype"/>
            </w:rPr>
          </w:pPr>
        </w:p>
      </w:tc>
    </w:tr>
    <w:tr w:rsidR="002C7F3F" w:rsidTr="00EC36AE">
      <w:trPr>
        <w:trHeight w:val="60"/>
      </w:trPr>
      <w:tc>
        <w:tcPr>
          <w:tcW w:w="2840" w:type="dxa"/>
        </w:tcPr>
        <w:p w:rsidR="002C7F3F" w:rsidRPr="00D1492E" w:rsidRDefault="002C7F3F" w:rsidP="00D1492E">
          <w:pPr>
            <w:tabs>
              <w:tab w:val="left" w:pos="4892"/>
            </w:tabs>
            <w:ind w:right="-75"/>
            <w:jc w:val="right"/>
            <w:rPr>
              <w:rFonts w:ascii="Palatino Linotype" w:eastAsia="Palatino Linotype" w:hAnsi="Palatino Linotype" w:cs="Palatino Linotype"/>
              <w:b/>
            </w:rPr>
          </w:pPr>
          <w:r w:rsidRPr="00D1492E">
            <w:rPr>
              <w:rFonts w:ascii="Palatino Linotype" w:eastAsia="Palatino Linotype" w:hAnsi="Palatino Linotype" w:cs="Palatino Linotype"/>
              <w:b/>
              <w:sz w:val="24"/>
              <w:szCs w:val="24"/>
            </w:rPr>
            <w:t>Comisionado Ponente:</w:t>
          </w:r>
        </w:p>
      </w:tc>
      <w:tc>
        <w:tcPr>
          <w:tcW w:w="5103" w:type="dxa"/>
        </w:tcPr>
        <w:p w:rsidR="002C7F3F" w:rsidRPr="00D1492E" w:rsidRDefault="002C7F3F" w:rsidP="00EC36AE">
          <w:pPr>
            <w:ind w:left="208"/>
            <w:rPr>
              <w:rFonts w:ascii="Palatino Linotype" w:eastAsia="Palatino Linotype" w:hAnsi="Palatino Linotype" w:cs="Palatino Linotype"/>
            </w:rPr>
          </w:pPr>
          <w:r w:rsidRPr="00D1492E">
            <w:rPr>
              <w:rFonts w:ascii="Palatino Linotype" w:eastAsia="Palatino Linotype" w:hAnsi="Palatino Linotype" w:cs="Palatino Linotype"/>
              <w:sz w:val="24"/>
              <w:szCs w:val="24"/>
            </w:rPr>
            <w:t>María del Rosario Mejía Ayala</w:t>
          </w:r>
        </w:p>
      </w:tc>
    </w:tr>
  </w:tbl>
  <w:p w:rsidR="002C7F3F" w:rsidRDefault="002C7F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simplePos x="0" y="0"/>
          <wp:positionH relativeFrom="margin">
            <wp:align>center</wp:align>
          </wp:positionH>
          <wp:positionV relativeFrom="page">
            <wp:align>top</wp:align>
          </wp:positionV>
          <wp:extent cx="8046720" cy="11124234"/>
          <wp:effectExtent l="0" t="0" r="0" b="1270"/>
          <wp:wrapNone/>
          <wp:docPr id="15" name="image7.jpg" descr="logo infoem"/>
          <wp:cNvGraphicFramePr/>
          <a:graphic xmlns:a="http://schemas.openxmlformats.org/drawingml/2006/main">
            <a:graphicData uri="http://schemas.openxmlformats.org/drawingml/2006/picture">
              <pic:pic xmlns:pic="http://schemas.openxmlformats.org/drawingml/2006/picture">
                <pic:nvPicPr>
                  <pic:cNvPr id="0" name="image7.jpg" descr="logo infoem"/>
                  <pic:cNvPicPr preferRelativeResize="0"/>
                </pic:nvPicPr>
                <pic:blipFill>
                  <a:blip r:embed="rId1"/>
                  <a:srcRect/>
                  <a:stretch>
                    <a:fillRect/>
                  </a:stretch>
                </pic:blipFill>
                <pic:spPr>
                  <a:xfrm>
                    <a:off x="0" y="0"/>
                    <a:ext cx="8046720" cy="1112423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2271"/>
    <w:multiLevelType w:val="multilevel"/>
    <w:tmpl w:val="1412333A"/>
    <w:lvl w:ilvl="0">
      <w:start w:val="7"/>
      <w:numFmt w:val="decimal"/>
      <w:lvlText w:val="%1."/>
      <w:lvlJc w:val="left"/>
      <w:pPr>
        <w:ind w:left="36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A56124"/>
    <w:multiLevelType w:val="multilevel"/>
    <w:tmpl w:val="BF665C48"/>
    <w:lvl w:ilvl="0">
      <w:start w:val="22"/>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3"/>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DE04DF"/>
    <w:multiLevelType w:val="multilevel"/>
    <w:tmpl w:val="1CE608DE"/>
    <w:lvl w:ilvl="0">
      <w:start w:val="16"/>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D32459"/>
    <w:multiLevelType w:val="multilevel"/>
    <w:tmpl w:val="5BD69FF4"/>
    <w:lvl w:ilvl="0">
      <w:start w:val="70"/>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A64BBA"/>
    <w:multiLevelType w:val="multilevel"/>
    <w:tmpl w:val="DEBC6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216943"/>
    <w:multiLevelType w:val="multilevel"/>
    <w:tmpl w:val="EA6CF14A"/>
    <w:lvl w:ilvl="0">
      <w:start w:val="66"/>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0839EE"/>
    <w:multiLevelType w:val="multilevel"/>
    <w:tmpl w:val="A05449C2"/>
    <w:lvl w:ilvl="0">
      <w:start w:val="1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4BB0F37"/>
    <w:multiLevelType w:val="multilevel"/>
    <w:tmpl w:val="DA0A3B76"/>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9A6517"/>
    <w:multiLevelType w:val="multilevel"/>
    <w:tmpl w:val="B9AA384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57F80D52"/>
    <w:multiLevelType w:val="multilevel"/>
    <w:tmpl w:val="48380158"/>
    <w:lvl w:ilvl="0">
      <w:start w:val="21"/>
      <w:numFmt w:val="decimal"/>
      <w:pStyle w:val="Listaconvietas3"/>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DB1169"/>
    <w:multiLevelType w:val="multilevel"/>
    <w:tmpl w:val="1F12411A"/>
    <w:lvl w:ilvl="0">
      <w:start w:val="16"/>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7719B2"/>
    <w:multiLevelType w:val="multilevel"/>
    <w:tmpl w:val="E500C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1405FC"/>
    <w:multiLevelType w:val="multilevel"/>
    <w:tmpl w:val="97262CCE"/>
    <w:lvl w:ilvl="0">
      <w:start w:val="1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EB3C0E"/>
    <w:multiLevelType w:val="multilevel"/>
    <w:tmpl w:val="4C361696"/>
    <w:lvl w:ilvl="0">
      <w:start w:val="1"/>
      <w:numFmt w:val="bullet"/>
      <w:lvlText w:val="●"/>
      <w:lvlJc w:val="left"/>
      <w:pPr>
        <w:ind w:left="1494"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BF7FFE"/>
    <w:multiLevelType w:val="multilevel"/>
    <w:tmpl w:val="0C0447E8"/>
    <w:lvl w:ilvl="0">
      <w:start w:val="51"/>
      <w:numFmt w:val="decimal"/>
      <w:lvlText w:val="%1."/>
      <w:lvlJc w:val="left"/>
      <w:pPr>
        <w:ind w:left="644" w:hanging="359"/>
      </w:pPr>
      <w:rPr>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876AE"/>
    <w:multiLevelType w:val="multilevel"/>
    <w:tmpl w:val="8EBE991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161C98"/>
    <w:multiLevelType w:val="multilevel"/>
    <w:tmpl w:val="63563F02"/>
    <w:lvl w:ilvl="0">
      <w:start w:val="20"/>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65"/>
      <w:numFmt w:val="decimal"/>
      <w:lvlText w:val="%4."/>
      <w:lvlJc w:val="left"/>
      <w:pPr>
        <w:ind w:left="288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5B6A26"/>
    <w:multiLevelType w:val="multilevel"/>
    <w:tmpl w:val="153C000E"/>
    <w:lvl w:ilvl="0">
      <w:start w:val="24"/>
      <w:numFmt w:val="decimal"/>
      <w:lvlText w:val="%1."/>
      <w:lvlJc w:val="left"/>
      <w:pPr>
        <w:ind w:left="644" w:hanging="359"/>
      </w:pPr>
      <w:rPr>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B936A8"/>
    <w:multiLevelType w:val="multilevel"/>
    <w:tmpl w:val="30A8F588"/>
    <w:lvl w:ilvl="0">
      <w:start w:val="33"/>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17"/>
  </w:num>
  <w:num w:numId="4">
    <w:abstractNumId w:val="5"/>
  </w:num>
  <w:num w:numId="5">
    <w:abstractNumId w:val="3"/>
  </w:num>
  <w:num w:numId="6">
    <w:abstractNumId w:val="13"/>
  </w:num>
  <w:num w:numId="7">
    <w:abstractNumId w:val="18"/>
  </w:num>
  <w:num w:numId="8">
    <w:abstractNumId w:val="1"/>
  </w:num>
  <w:num w:numId="9">
    <w:abstractNumId w:val="11"/>
  </w:num>
  <w:num w:numId="10">
    <w:abstractNumId w:val="4"/>
  </w:num>
  <w:num w:numId="11">
    <w:abstractNumId w:val="14"/>
  </w:num>
  <w:num w:numId="12">
    <w:abstractNumId w:val="16"/>
  </w:num>
  <w:num w:numId="13">
    <w:abstractNumId w:val="10"/>
  </w:num>
  <w:num w:numId="14">
    <w:abstractNumId w:val="15"/>
  </w:num>
  <w:num w:numId="15">
    <w:abstractNumId w:val="8"/>
  </w:num>
  <w:num w:numId="16">
    <w:abstractNumId w:val="0"/>
  </w:num>
  <w:num w:numId="17">
    <w:abstractNumId w:val="12"/>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D0"/>
    <w:rsid w:val="002401C8"/>
    <w:rsid w:val="002C7F3F"/>
    <w:rsid w:val="00377083"/>
    <w:rsid w:val="004D1FA6"/>
    <w:rsid w:val="00525E48"/>
    <w:rsid w:val="005F1F1C"/>
    <w:rsid w:val="005F603B"/>
    <w:rsid w:val="00687FD5"/>
    <w:rsid w:val="006C336E"/>
    <w:rsid w:val="006D3DEE"/>
    <w:rsid w:val="00714F4C"/>
    <w:rsid w:val="00720FD7"/>
    <w:rsid w:val="00747922"/>
    <w:rsid w:val="0078378E"/>
    <w:rsid w:val="008C26ED"/>
    <w:rsid w:val="00932E99"/>
    <w:rsid w:val="0095606D"/>
    <w:rsid w:val="009D03C8"/>
    <w:rsid w:val="00BE0B4D"/>
    <w:rsid w:val="00BF265B"/>
    <w:rsid w:val="00D0681D"/>
    <w:rsid w:val="00D1492E"/>
    <w:rsid w:val="00D15085"/>
    <w:rsid w:val="00D40FC0"/>
    <w:rsid w:val="00D92E18"/>
    <w:rsid w:val="00E03ED0"/>
    <w:rsid w:val="00EC36AE"/>
    <w:rsid w:val="00F96A7F"/>
    <w:rsid w:val="00FC4B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4C3CB5-13FA-408F-A027-83A31EE2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40" w:after="0" w:line="240" w:lineRule="auto"/>
      <w:outlineLvl w:val="4"/>
    </w:pPr>
    <w:rPr>
      <w:color w:val="2E75B5"/>
      <w:sz w:val="24"/>
      <w:szCs w:val="24"/>
    </w:rPr>
  </w:style>
  <w:style w:type="paragraph" w:styleId="Ttulo6">
    <w:name w:val="heading 6"/>
    <w:basedOn w:val="Normal"/>
    <w:next w:val="Normal"/>
    <w:pPr>
      <w:keepNext/>
      <w:keepLines/>
      <w:spacing w:before="40" w:after="0" w:line="240" w:lineRule="auto"/>
      <w:outlineLvl w:val="5"/>
    </w:pPr>
    <w:rPr>
      <w:color w:val="1E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line="240" w:lineRule="auto"/>
    </w:pPr>
    <w:rPr>
      <w:rFonts w:ascii="Times New Roman" w:eastAsia="Times New Roman" w:hAnsi="Times New Roman" w:cs="Times New Roman"/>
      <w:b/>
      <w:sz w:val="72"/>
      <w:szCs w:val="72"/>
    </w:rPr>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qFormat/>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rPr>
  </w:style>
  <w:style w:type="character" w:customStyle="1" w:styleId="Ttulo1Car">
    <w:name w:val="Título 1 Car"/>
    <w:basedOn w:val="Fuentedeprrafopredeter"/>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uiPriority w:val="9"/>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color w:val="000000"/>
      <w:u w:color="000000"/>
      <w:bdr w:val="nil"/>
      <w:lang w:val="de-DE" w:eastAsia="es-ES"/>
    </w:rPr>
  </w:style>
  <w:style w:type="numbering" w:customStyle="1" w:styleId="Estiloimportado2">
    <w:name w:val="Estilo importado 2"/>
    <w:rsid w:val="005D64B0"/>
  </w:style>
  <w:style w:type="numbering" w:customStyle="1" w:styleId="Estiloimportado1">
    <w:name w:val="Estilo importado 1"/>
    <w:qFormat/>
    <w:rsid w:val="005D64B0"/>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5D64B0"/>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character" w:customStyle="1" w:styleId="PuestoCar">
    <w:name w:val="Puesto Car"/>
    <w:basedOn w:val="Fuentedeprrafopredeter"/>
    <w:rsid w:val="005D64B0"/>
    <w:rPr>
      <w:rFonts w:ascii="Times New Roman" w:eastAsia="Times New Roman" w:hAnsi="Times New Roman" w:cs="Times New Roman"/>
      <w:b/>
      <w:sz w:val="72"/>
      <w:szCs w:val="72"/>
      <w:lang w:val="es-ES" w:eastAsia="es-MX"/>
    </w:rPr>
  </w:style>
  <w:style w:type="character" w:customStyle="1" w:styleId="SubttuloCar">
    <w:name w:val="Subtítulo Car"/>
    <w:basedOn w:val="Fuentedeprrafopredeter"/>
    <w:rsid w:val="005D64B0"/>
    <w:rPr>
      <w:rFonts w:ascii="Georgia" w:eastAsia="Georgia" w:hAnsi="Georgia" w:cs="Georgia"/>
      <w:i/>
      <w:color w:val="666666"/>
      <w:sz w:val="48"/>
      <w:szCs w:val="48"/>
      <w:lang w:val="es-ES" w:eastAsia="es-MX"/>
    </w:rPr>
  </w:style>
  <w:style w:type="table" w:customStyle="1" w:styleId="8">
    <w:name w:val="8"/>
    <w:basedOn w:val="TableNormal0"/>
    <w:rsid w:val="005D64B0"/>
    <w:tblPr>
      <w:tblStyleRowBandSize w:val="1"/>
      <w:tblStyleColBandSize w:val="1"/>
      <w:tblCellMar>
        <w:left w:w="115" w:type="dxa"/>
        <w:right w:w="115" w:type="dxa"/>
      </w:tblCellMar>
    </w:tblPr>
  </w:style>
  <w:style w:type="table" w:customStyle="1" w:styleId="7">
    <w:name w:val="7"/>
    <w:basedOn w:val="TableNormal0"/>
    <w:rsid w:val="005D64B0"/>
    <w:tblPr>
      <w:tblStyleRowBandSize w:val="1"/>
      <w:tblStyleColBandSize w:val="1"/>
      <w:tblCellMar>
        <w:left w:w="115" w:type="dxa"/>
        <w:right w:w="115" w:type="dxa"/>
      </w:tblCellMar>
    </w:tblPr>
  </w:style>
  <w:style w:type="table" w:customStyle="1" w:styleId="6">
    <w:name w:val="6"/>
    <w:basedOn w:val="TableNormal0"/>
    <w:rsid w:val="005D64B0"/>
    <w:tblPr>
      <w:tblStyleRowBandSize w:val="1"/>
      <w:tblStyleColBandSize w:val="1"/>
      <w:tblCellMar>
        <w:left w:w="115" w:type="dxa"/>
        <w:right w:w="115" w:type="dxa"/>
      </w:tblCellMar>
    </w:tblPr>
  </w:style>
  <w:style w:type="table" w:customStyle="1" w:styleId="5">
    <w:name w:val="5"/>
    <w:basedOn w:val="TableNormal0"/>
    <w:rsid w:val="005D64B0"/>
    <w:tblPr>
      <w:tblStyleRowBandSize w:val="1"/>
      <w:tblStyleColBandSize w:val="1"/>
      <w:tblCellMar>
        <w:left w:w="115" w:type="dxa"/>
        <w:right w:w="115" w:type="dxa"/>
      </w:tblCellMar>
    </w:tblPr>
  </w:style>
  <w:style w:type="table" w:customStyle="1" w:styleId="4">
    <w:name w:val="4"/>
    <w:basedOn w:val="TableNormal0"/>
    <w:rsid w:val="005D64B0"/>
    <w:tblPr>
      <w:tblStyleRowBandSize w:val="1"/>
      <w:tblStyleColBandSize w:val="1"/>
      <w:tblCellMar>
        <w:left w:w="115" w:type="dxa"/>
        <w:right w:w="115" w:type="dxa"/>
      </w:tblCellMar>
    </w:tblPr>
  </w:style>
  <w:style w:type="table" w:customStyle="1" w:styleId="3">
    <w:name w:val="3"/>
    <w:basedOn w:val="TableNormal0"/>
    <w:rsid w:val="005D64B0"/>
    <w:tblPr>
      <w:tblStyleRowBandSize w:val="1"/>
      <w:tblStyleColBandSize w:val="1"/>
      <w:tblCellMar>
        <w:left w:w="115" w:type="dxa"/>
        <w:right w:w="115" w:type="dxa"/>
      </w:tblCellMar>
    </w:tblPr>
  </w:style>
  <w:style w:type="table" w:customStyle="1" w:styleId="2">
    <w:name w:val="2"/>
    <w:basedOn w:val="TableNormal0"/>
    <w:rsid w:val="005D64B0"/>
    <w:tblPr>
      <w:tblStyleRowBandSize w:val="1"/>
      <w:tblStyleColBandSize w:val="1"/>
      <w:tblCellMar>
        <w:left w:w="115" w:type="dxa"/>
        <w:right w:w="115" w:type="dxa"/>
      </w:tblCellMar>
    </w:tblPr>
  </w:style>
  <w:style w:type="table" w:customStyle="1" w:styleId="1">
    <w:name w:val="1"/>
    <w:basedOn w:val="TableNormal0"/>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1">
    <w:name w:val="81"/>
    <w:basedOn w:val="TableNormal0"/>
    <w:rsid w:val="005D64B0"/>
    <w:tblPr>
      <w:tblStyleRowBandSize w:val="1"/>
      <w:tblStyleColBandSize w:val="1"/>
      <w:tblCellMar>
        <w:left w:w="115" w:type="dxa"/>
        <w:right w:w="115" w:type="dxa"/>
      </w:tblCellMar>
    </w:tblPr>
  </w:style>
  <w:style w:type="table" w:customStyle="1" w:styleId="71">
    <w:name w:val="71"/>
    <w:basedOn w:val="TableNormal0"/>
    <w:rsid w:val="005D64B0"/>
    <w:tblPr>
      <w:tblStyleRowBandSize w:val="1"/>
      <w:tblStyleColBandSize w:val="1"/>
      <w:tblCellMar>
        <w:left w:w="115" w:type="dxa"/>
        <w:right w:w="115" w:type="dxa"/>
      </w:tblCellMar>
    </w:tblPr>
  </w:style>
  <w:style w:type="table" w:customStyle="1" w:styleId="61">
    <w:name w:val="61"/>
    <w:basedOn w:val="TableNormal0"/>
    <w:rsid w:val="005D64B0"/>
    <w:tblPr>
      <w:tblStyleRowBandSize w:val="1"/>
      <w:tblStyleColBandSize w:val="1"/>
      <w:tblCellMar>
        <w:left w:w="115" w:type="dxa"/>
        <w:right w:w="115" w:type="dxa"/>
      </w:tblCellMar>
    </w:tblPr>
  </w:style>
  <w:style w:type="table" w:customStyle="1" w:styleId="51">
    <w:name w:val="51"/>
    <w:basedOn w:val="TableNormal0"/>
    <w:rsid w:val="005D64B0"/>
    <w:tblPr>
      <w:tblStyleRowBandSize w:val="1"/>
      <w:tblStyleColBandSize w:val="1"/>
      <w:tblCellMar>
        <w:left w:w="115" w:type="dxa"/>
        <w:right w:w="115" w:type="dxa"/>
      </w:tblCellMar>
    </w:tblPr>
  </w:style>
  <w:style w:type="table" w:customStyle="1" w:styleId="41">
    <w:name w:val="41"/>
    <w:basedOn w:val="TableNormal0"/>
    <w:rsid w:val="005D64B0"/>
    <w:tblPr>
      <w:tblStyleRowBandSize w:val="1"/>
      <w:tblStyleColBandSize w:val="1"/>
      <w:tblCellMar>
        <w:left w:w="115" w:type="dxa"/>
        <w:right w:w="115" w:type="dxa"/>
      </w:tblCellMar>
    </w:tblPr>
  </w:style>
  <w:style w:type="table" w:customStyle="1" w:styleId="31">
    <w:name w:val="31"/>
    <w:basedOn w:val="TableNormal0"/>
    <w:rsid w:val="005D64B0"/>
    <w:tblPr>
      <w:tblStyleRowBandSize w:val="1"/>
      <w:tblStyleColBandSize w:val="1"/>
      <w:tblCellMar>
        <w:left w:w="115" w:type="dxa"/>
        <w:right w:w="115" w:type="dxa"/>
      </w:tblCellMar>
    </w:tblPr>
  </w:style>
  <w:style w:type="table" w:customStyle="1" w:styleId="21">
    <w:name w:val="21"/>
    <w:basedOn w:val="TableNormal0"/>
    <w:rsid w:val="005D64B0"/>
    <w:tblPr>
      <w:tblStyleRowBandSize w:val="1"/>
      <w:tblStyleColBandSize w:val="1"/>
      <w:tblCellMar>
        <w:left w:w="115" w:type="dxa"/>
        <w:right w:w="115" w:type="dxa"/>
      </w:tblCellMar>
    </w:tblPr>
  </w:style>
  <w:style w:type="table" w:customStyle="1" w:styleId="11">
    <w:name w:val="11"/>
    <w:basedOn w:val="TableNormal0"/>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UnresolvedMention">
    <w:name w:val="Unresolved Mention"/>
    <w:basedOn w:val="Fuentedeprrafopredeter"/>
    <w:uiPriority w:val="99"/>
    <w:semiHidden/>
    <w:unhideWhenUsed/>
    <w:rsid w:val="00CB26CF"/>
    <w:rPr>
      <w:color w:val="605E5C"/>
      <w:shd w:val="clear" w:color="auto" w:fill="E1DFDD"/>
    </w:rPr>
  </w:style>
  <w:style w:type="paragraph" w:customStyle="1" w:styleId="Fundamentos">
    <w:name w:val="Fundamentos"/>
    <w:basedOn w:val="Normal"/>
    <w:qFormat/>
    <w:rsid w:val="00067F99"/>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 w:type="paragraph" w:customStyle="1" w:styleId="NormalINFOEM">
    <w:name w:val="Normal INFOEM"/>
    <w:basedOn w:val="Normal"/>
    <w:link w:val="NormalINFOEMCar"/>
    <w:qFormat/>
    <w:rsid w:val="00067F99"/>
    <w:pPr>
      <w:spacing w:after="0" w:line="360" w:lineRule="auto"/>
      <w:jc w:val="both"/>
    </w:pPr>
    <w:rPr>
      <w:rFonts w:ascii="Palatino Linotype" w:hAnsi="Palatino Linotype"/>
      <w:sz w:val="24"/>
      <w:lang w:val="es-ES_tradnl"/>
    </w:rPr>
  </w:style>
  <w:style w:type="character" w:customStyle="1" w:styleId="NormalINFOEMCar">
    <w:name w:val="Normal INFOEM Car"/>
    <w:basedOn w:val="Fuentedeprrafopredeter"/>
    <w:link w:val="NormalINFOEM"/>
    <w:rsid w:val="00067F99"/>
    <w:rPr>
      <w:rFonts w:ascii="Palatino Linotype" w:eastAsia="Calibri" w:hAnsi="Palatino Linotype" w:cs="Calibri"/>
      <w:sz w:val="24"/>
      <w:lang w:val="es-ES_tradnl" w:eastAsia="es-MX"/>
    </w:rPr>
  </w:style>
  <w:style w:type="paragraph" w:styleId="Subttulo">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cion.edomex.gob.mx/sites/legislacion.edomex.gob.mx/files/files/pdf/gct/2025/abril/abr011/abr011a.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fem.gob.mx/entidades/documentos_apoyo.html"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CDdtYu+fDnT9VE4flThzUUEuw==">CgMxLjAyDmgubjB0MThic2d4c3BkMg5oLm42N29yb2R2MHZ6YTIOaC5veWRrcWh3ZGcxZ2oyDmguc201em5uN2k0dzVmMg5oLjg5emZrZDZ1ZXU5dzIJaC40ZDM0b2c4Mg5oLjhwb3JzenY4d3cxaDIOaC40bWI2YWlwZDBncm8yDmguZHBweW5xaXV2YzN1OAByITFLUm5HRHVwMElEb05BTFZhc2t5bDFoWUExQ0ZyTzZ5bw==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5EFA06-3940-486D-808A-D4F770C9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40</Pages>
  <Words>8487</Words>
  <Characters>46682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dc:creator>
  <cp:lastModifiedBy>Cuenta Microsoft</cp:lastModifiedBy>
  <cp:revision>10</cp:revision>
  <dcterms:created xsi:type="dcterms:W3CDTF">2025-10-23T02:12:00Z</dcterms:created>
  <dcterms:modified xsi:type="dcterms:W3CDTF">2026-01-14T17:35:00Z</dcterms:modified>
</cp:coreProperties>
</file>