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auto"/>
          <w:sz w:val="22"/>
          <w:szCs w:val="22"/>
          <w:lang w:val="es-ES"/>
        </w:rPr>
        <w:id w:val="592130280"/>
        <w:docPartObj>
          <w:docPartGallery w:val="Table of Contents"/>
          <w:docPartUnique/>
        </w:docPartObj>
      </w:sdtPr>
      <w:sdtEndPr>
        <w:rPr>
          <w:b/>
          <w:bCs/>
        </w:rPr>
      </w:sdtEndPr>
      <w:sdtContent>
        <w:p w14:paraId="1DD680ED" w14:textId="1569A9D9" w:rsidR="00764F1A" w:rsidRPr="002207FE" w:rsidRDefault="00764F1A" w:rsidP="002207FE">
          <w:pPr>
            <w:pStyle w:val="TtulodeTDC"/>
            <w:spacing w:before="0" w:line="240" w:lineRule="auto"/>
            <w:rPr>
              <w:color w:val="auto"/>
            </w:rPr>
          </w:pPr>
          <w:r w:rsidRPr="002207FE">
            <w:rPr>
              <w:color w:val="auto"/>
              <w:lang w:val="es-ES"/>
            </w:rPr>
            <w:t>Contenido</w:t>
          </w:r>
        </w:p>
        <w:p w14:paraId="4D7CFE59" w14:textId="77777777" w:rsidR="002207FE" w:rsidRPr="002207FE" w:rsidRDefault="00764F1A" w:rsidP="002207FE">
          <w:pPr>
            <w:pStyle w:val="TDC1"/>
            <w:tabs>
              <w:tab w:val="right" w:leader="dot" w:pos="9034"/>
            </w:tabs>
            <w:rPr>
              <w:rFonts w:asciiTheme="minorHAnsi" w:eastAsiaTheme="minorEastAsia" w:hAnsiTheme="minorHAnsi" w:cstheme="minorBidi"/>
              <w:noProof/>
            </w:rPr>
          </w:pPr>
          <w:r w:rsidRPr="002207FE">
            <w:fldChar w:fldCharType="begin"/>
          </w:r>
          <w:r w:rsidRPr="002207FE">
            <w:instrText xml:space="preserve"> TOC \o "1-3" \h \z \u </w:instrText>
          </w:r>
          <w:r w:rsidRPr="002207FE">
            <w:fldChar w:fldCharType="separate"/>
          </w:r>
          <w:hyperlink w:anchor="_Toc207804446" w:history="1">
            <w:r w:rsidR="002207FE" w:rsidRPr="002207FE">
              <w:rPr>
                <w:rStyle w:val="Hipervnculo"/>
                <w:noProof/>
                <w:color w:val="auto"/>
              </w:rPr>
              <w:t>ANTECEDENTES</w:t>
            </w:r>
            <w:r w:rsidR="002207FE" w:rsidRPr="002207FE">
              <w:rPr>
                <w:noProof/>
                <w:webHidden/>
              </w:rPr>
              <w:tab/>
            </w:r>
            <w:r w:rsidR="002207FE" w:rsidRPr="002207FE">
              <w:rPr>
                <w:noProof/>
                <w:webHidden/>
              </w:rPr>
              <w:fldChar w:fldCharType="begin"/>
            </w:r>
            <w:r w:rsidR="002207FE" w:rsidRPr="002207FE">
              <w:rPr>
                <w:noProof/>
                <w:webHidden/>
              </w:rPr>
              <w:instrText xml:space="preserve"> PAGEREF _Toc207804446 \h </w:instrText>
            </w:r>
            <w:r w:rsidR="002207FE" w:rsidRPr="002207FE">
              <w:rPr>
                <w:noProof/>
                <w:webHidden/>
              </w:rPr>
            </w:r>
            <w:r w:rsidR="002207FE" w:rsidRPr="002207FE">
              <w:rPr>
                <w:noProof/>
                <w:webHidden/>
              </w:rPr>
              <w:fldChar w:fldCharType="separate"/>
            </w:r>
            <w:r w:rsidR="005449BA">
              <w:rPr>
                <w:noProof/>
                <w:webHidden/>
              </w:rPr>
              <w:t>1</w:t>
            </w:r>
            <w:r w:rsidR="002207FE" w:rsidRPr="002207FE">
              <w:rPr>
                <w:noProof/>
                <w:webHidden/>
              </w:rPr>
              <w:fldChar w:fldCharType="end"/>
            </w:r>
          </w:hyperlink>
        </w:p>
        <w:p w14:paraId="4F3675CC" w14:textId="77777777" w:rsidR="002207FE" w:rsidRPr="002207FE" w:rsidRDefault="00FB29D7" w:rsidP="002207FE">
          <w:pPr>
            <w:pStyle w:val="TDC2"/>
            <w:tabs>
              <w:tab w:val="right" w:leader="dot" w:pos="9034"/>
            </w:tabs>
            <w:rPr>
              <w:rFonts w:asciiTheme="minorHAnsi" w:eastAsiaTheme="minorEastAsia" w:hAnsiTheme="minorHAnsi" w:cstheme="minorBidi"/>
              <w:noProof/>
            </w:rPr>
          </w:pPr>
          <w:hyperlink w:anchor="_Toc207804447" w:history="1">
            <w:r w:rsidR="002207FE" w:rsidRPr="002207FE">
              <w:rPr>
                <w:rStyle w:val="Hipervnculo"/>
                <w:noProof/>
                <w:color w:val="auto"/>
              </w:rPr>
              <w:t>DE LA SOLICITUD DE INFORMACIÓN</w:t>
            </w:r>
            <w:r w:rsidR="002207FE" w:rsidRPr="002207FE">
              <w:rPr>
                <w:noProof/>
                <w:webHidden/>
              </w:rPr>
              <w:tab/>
            </w:r>
            <w:r w:rsidR="002207FE" w:rsidRPr="002207FE">
              <w:rPr>
                <w:noProof/>
                <w:webHidden/>
              </w:rPr>
              <w:fldChar w:fldCharType="begin"/>
            </w:r>
            <w:r w:rsidR="002207FE" w:rsidRPr="002207FE">
              <w:rPr>
                <w:noProof/>
                <w:webHidden/>
              </w:rPr>
              <w:instrText xml:space="preserve"> PAGEREF _Toc207804447 \h </w:instrText>
            </w:r>
            <w:r w:rsidR="002207FE" w:rsidRPr="002207FE">
              <w:rPr>
                <w:noProof/>
                <w:webHidden/>
              </w:rPr>
            </w:r>
            <w:r w:rsidR="002207FE" w:rsidRPr="002207FE">
              <w:rPr>
                <w:noProof/>
                <w:webHidden/>
              </w:rPr>
              <w:fldChar w:fldCharType="separate"/>
            </w:r>
            <w:r w:rsidR="005449BA">
              <w:rPr>
                <w:noProof/>
                <w:webHidden/>
              </w:rPr>
              <w:t>1</w:t>
            </w:r>
            <w:r w:rsidR="002207FE" w:rsidRPr="002207FE">
              <w:rPr>
                <w:noProof/>
                <w:webHidden/>
              </w:rPr>
              <w:fldChar w:fldCharType="end"/>
            </w:r>
          </w:hyperlink>
        </w:p>
        <w:p w14:paraId="7751E84D" w14:textId="77777777" w:rsidR="002207FE" w:rsidRPr="002207FE" w:rsidRDefault="00FB29D7" w:rsidP="002207FE">
          <w:pPr>
            <w:pStyle w:val="TDC3"/>
            <w:tabs>
              <w:tab w:val="right" w:leader="dot" w:pos="9034"/>
            </w:tabs>
            <w:rPr>
              <w:rFonts w:asciiTheme="minorHAnsi" w:eastAsiaTheme="minorEastAsia" w:hAnsiTheme="minorHAnsi" w:cstheme="minorBidi"/>
              <w:noProof/>
            </w:rPr>
          </w:pPr>
          <w:hyperlink w:anchor="_Toc207804448" w:history="1">
            <w:r w:rsidR="002207FE" w:rsidRPr="002207FE">
              <w:rPr>
                <w:rStyle w:val="Hipervnculo"/>
                <w:noProof/>
                <w:color w:val="auto"/>
              </w:rPr>
              <w:t>a) Solicitud de información</w:t>
            </w:r>
            <w:r w:rsidR="002207FE" w:rsidRPr="002207FE">
              <w:rPr>
                <w:noProof/>
                <w:webHidden/>
              </w:rPr>
              <w:tab/>
            </w:r>
            <w:r w:rsidR="002207FE" w:rsidRPr="002207FE">
              <w:rPr>
                <w:noProof/>
                <w:webHidden/>
              </w:rPr>
              <w:fldChar w:fldCharType="begin"/>
            </w:r>
            <w:r w:rsidR="002207FE" w:rsidRPr="002207FE">
              <w:rPr>
                <w:noProof/>
                <w:webHidden/>
              </w:rPr>
              <w:instrText xml:space="preserve"> PAGEREF _Toc207804448 \h </w:instrText>
            </w:r>
            <w:r w:rsidR="002207FE" w:rsidRPr="002207FE">
              <w:rPr>
                <w:noProof/>
                <w:webHidden/>
              </w:rPr>
            </w:r>
            <w:r w:rsidR="002207FE" w:rsidRPr="002207FE">
              <w:rPr>
                <w:noProof/>
                <w:webHidden/>
              </w:rPr>
              <w:fldChar w:fldCharType="separate"/>
            </w:r>
            <w:r w:rsidR="005449BA">
              <w:rPr>
                <w:noProof/>
                <w:webHidden/>
              </w:rPr>
              <w:t>1</w:t>
            </w:r>
            <w:r w:rsidR="002207FE" w:rsidRPr="002207FE">
              <w:rPr>
                <w:noProof/>
                <w:webHidden/>
              </w:rPr>
              <w:fldChar w:fldCharType="end"/>
            </w:r>
          </w:hyperlink>
        </w:p>
        <w:p w14:paraId="1C49BFF8" w14:textId="77777777" w:rsidR="002207FE" w:rsidRPr="002207FE" w:rsidRDefault="00FB29D7" w:rsidP="002207FE">
          <w:pPr>
            <w:pStyle w:val="TDC3"/>
            <w:tabs>
              <w:tab w:val="right" w:leader="dot" w:pos="9034"/>
            </w:tabs>
            <w:rPr>
              <w:rFonts w:asciiTheme="minorHAnsi" w:eastAsiaTheme="minorEastAsia" w:hAnsiTheme="minorHAnsi" w:cstheme="minorBidi"/>
              <w:noProof/>
            </w:rPr>
          </w:pPr>
          <w:hyperlink w:anchor="_Toc207804449" w:history="1">
            <w:r w:rsidR="002207FE" w:rsidRPr="002207FE">
              <w:rPr>
                <w:rStyle w:val="Hipervnculo"/>
                <w:noProof/>
                <w:color w:val="auto"/>
              </w:rPr>
              <w:t>b) Turno de la solicitud de información</w:t>
            </w:r>
            <w:r w:rsidR="002207FE" w:rsidRPr="002207FE">
              <w:rPr>
                <w:noProof/>
                <w:webHidden/>
              </w:rPr>
              <w:tab/>
            </w:r>
            <w:r w:rsidR="002207FE" w:rsidRPr="002207FE">
              <w:rPr>
                <w:noProof/>
                <w:webHidden/>
              </w:rPr>
              <w:fldChar w:fldCharType="begin"/>
            </w:r>
            <w:r w:rsidR="002207FE" w:rsidRPr="002207FE">
              <w:rPr>
                <w:noProof/>
                <w:webHidden/>
              </w:rPr>
              <w:instrText xml:space="preserve"> PAGEREF _Toc207804449 \h </w:instrText>
            </w:r>
            <w:r w:rsidR="002207FE" w:rsidRPr="002207FE">
              <w:rPr>
                <w:noProof/>
                <w:webHidden/>
              </w:rPr>
            </w:r>
            <w:r w:rsidR="002207FE" w:rsidRPr="002207FE">
              <w:rPr>
                <w:noProof/>
                <w:webHidden/>
              </w:rPr>
              <w:fldChar w:fldCharType="separate"/>
            </w:r>
            <w:r w:rsidR="005449BA">
              <w:rPr>
                <w:noProof/>
                <w:webHidden/>
              </w:rPr>
              <w:t>2</w:t>
            </w:r>
            <w:r w:rsidR="002207FE" w:rsidRPr="002207FE">
              <w:rPr>
                <w:noProof/>
                <w:webHidden/>
              </w:rPr>
              <w:fldChar w:fldCharType="end"/>
            </w:r>
          </w:hyperlink>
        </w:p>
        <w:p w14:paraId="54565972" w14:textId="77777777" w:rsidR="002207FE" w:rsidRPr="002207FE" w:rsidRDefault="00FB29D7" w:rsidP="002207FE">
          <w:pPr>
            <w:pStyle w:val="TDC3"/>
            <w:tabs>
              <w:tab w:val="right" w:leader="dot" w:pos="9034"/>
            </w:tabs>
            <w:rPr>
              <w:rFonts w:asciiTheme="minorHAnsi" w:eastAsiaTheme="minorEastAsia" w:hAnsiTheme="minorHAnsi" w:cstheme="minorBidi"/>
              <w:noProof/>
            </w:rPr>
          </w:pPr>
          <w:hyperlink w:anchor="_Toc207804450" w:history="1">
            <w:r w:rsidR="002207FE" w:rsidRPr="002207FE">
              <w:rPr>
                <w:rStyle w:val="Hipervnculo"/>
                <w:noProof/>
                <w:color w:val="auto"/>
              </w:rPr>
              <w:t>c) Respuesta del Sujeto Obligado</w:t>
            </w:r>
            <w:r w:rsidR="002207FE" w:rsidRPr="002207FE">
              <w:rPr>
                <w:noProof/>
                <w:webHidden/>
              </w:rPr>
              <w:tab/>
            </w:r>
            <w:r w:rsidR="002207FE" w:rsidRPr="002207FE">
              <w:rPr>
                <w:noProof/>
                <w:webHidden/>
              </w:rPr>
              <w:fldChar w:fldCharType="begin"/>
            </w:r>
            <w:r w:rsidR="002207FE" w:rsidRPr="002207FE">
              <w:rPr>
                <w:noProof/>
                <w:webHidden/>
              </w:rPr>
              <w:instrText xml:space="preserve"> PAGEREF _Toc207804450 \h </w:instrText>
            </w:r>
            <w:r w:rsidR="002207FE" w:rsidRPr="002207FE">
              <w:rPr>
                <w:noProof/>
                <w:webHidden/>
              </w:rPr>
            </w:r>
            <w:r w:rsidR="002207FE" w:rsidRPr="002207FE">
              <w:rPr>
                <w:noProof/>
                <w:webHidden/>
              </w:rPr>
              <w:fldChar w:fldCharType="separate"/>
            </w:r>
            <w:r w:rsidR="005449BA">
              <w:rPr>
                <w:noProof/>
                <w:webHidden/>
              </w:rPr>
              <w:t>2</w:t>
            </w:r>
            <w:r w:rsidR="002207FE" w:rsidRPr="002207FE">
              <w:rPr>
                <w:noProof/>
                <w:webHidden/>
              </w:rPr>
              <w:fldChar w:fldCharType="end"/>
            </w:r>
          </w:hyperlink>
        </w:p>
        <w:p w14:paraId="0FB247C7" w14:textId="77777777" w:rsidR="002207FE" w:rsidRPr="002207FE" w:rsidRDefault="00FB29D7" w:rsidP="002207FE">
          <w:pPr>
            <w:pStyle w:val="TDC2"/>
            <w:tabs>
              <w:tab w:val="right" w:leader="dot" w:pos="9034"/>
            </w:tabs>
            <w:rPr>
              <w:rFonts w:asciiTheme="minorHAnsi" w:eastAsiaTheme="minorEastAsia" w:hAnsiTheme="minorHAnsi" w:cstheme="minorBidi"/>
              <w:noProof/>
            </w:rPr>
          </w:pPr>
          <w:hyperlink w:anchor="_Toc207804451" w:history="1">
            <w:r w:rsidR="002207FE" w:rsidRPr="002207FE">
              <w:rPr>
                <w:rStyle w:val="Hipervnculo"/>
                <w:noProof/>
                <w:color w:val="auto"/>
              </w:rPr>
              <w:t>DEL RECURSO DE REVISIÓN</w:t>
            </w:r>
            <w:r w:rsidR="002207FE" w:rsidRPr="002207FE">
              <w:rPr>
                <w:noProof/>
                <w:webHidden/>
              </w:rPr>
              <w:tab/>
            </w:r>
            <w:r w:rsidR="002207FE" w:rsidRPr="002207FE">
              <w:rPr>
                <w:noProof/>
                <w:webHidden/>
              </w:rPr>
              <w:fldChar w:fldCharType="begin"/>
            </w:r>
            <w:r w:rsidR="002207FE" w:rsidRPr="002207FE">
              <w:rPr>
                <w:noProof/>
                <w:webHidden/>
              </w:rPr>
              <w:instrText xml:space="preserve"> PAGEREF _Toc207804451 \h </w:instrText>
            </w:r>
            <w:r w:rsidR="002207FE" w:rsidRPr="002207FE">
              <w:rPr>
                <w:noProof/>
                <w:webHidden/>
              </w:rPr>
            </w:r>
            <w:r w:rsidR="002207FE" w:rsidRPr="002207FE">
              <w:rPr>
                <w:noProof/>
                <w:webHidden/>
              </w:rPr>
              <w:fldChar w:fldCharType="separate"/>
            </w:r>
            <w:r w:rsidR="005449BA">
              <w:rPr>
                <w:noProof/>
                <w:webHidden/>
              </w:rPr>
              <w:t>4</w:t>
            </w:r>
            <w:r w:rsidR="002207FE" w:rsidRPr="002207FE">
              <w:rPr>
                <w:noProof/>
                <w:webHidden/>
              </w:rPr>
              <w:fldChar w:fldCharType="end"/>
            </w:r>
          </w:hyperlink>
        </w:p>
        <w:p w14:paraId="45785D35" w14:textId="77777777" w:rsidR="002207FE" w:rsidRPr="002207FE" w:rsidRDefault="00FB29D7" w:rsidP="002207FE">
          <w:pPr>
            <w:pStyle w:val="TDC3"/>
            <w:tabs>
              <w:tab w:val="right" w:leader="dot" w:pos="9034"/>
            </w:tabs>
            <w:rPr>
              <w:rFonts w:asciiTheme="minorHAnsi" w:eastAsiaTheme="minorEastAsia" w:hAnsiTheme="minorHAnsi" w:cstheme="minorBidi"/>
              <w:noProof/>
            </w:rPr>
          </w:pPr>
          <w:hyperlink w:anchor="_Toc207804452" w:history="1">
            <w:r w:rsidR="002207FE" w:rsidRPr="002207FE">
              <w:rPr>
                <w:rStyle w:val="Hipervnculo"/>
                <w:noProof/>
                <w:color w:val="auto"/>
              </w:rPr>
              <w:t>a) Interposición del Recurso de Revisión</w:t>
            </w:r>
            <w:r w:rsidR="002207FE" w:rsidRPr="002207FE">
              <w:rPr>
                <w:noProof/>
                <w:webHidden/>
              </w:rPr>
              <w:tab/>
            </w:r>
            <w:r w:rsidR="002207FE" w:rsidRPr="002207FE">
              <w:rPr>
                <w:noProof/>
                <w:webHidden/>
              </w:rPr>
              <w:fldChar w:fldCharType="begin"/>
            </w:r>
            <w:r w:rsidR="002207FE" w:rsidRPr="002207FE">
              <w:rPr>
                <w:noProof/>
                <w:webHidden/>
              </w:rPr>
              <w:instrText xml:space="preserve"> PAGEREF _Toc207804452 \h </w:instrText>
            </w:r>
            <w:r w:rsidR="002207FE" w:rsidRPr="002207FE">
              <w:rPr>
                <w:noProof/>
                <w:webHidden/>
              </w:rPr>
            </w:r>
            <w:r w:rsidR="002207FE" w:rsidRPr="002207FE">
              <w:rPr>
                <w:noProof/>
                <w:webHidden/>
              </w:rPr>
              <w:fldChar w:fldCharType="separate"/>
            </w:r>
            <w:r w:rsidR="005449BA">
              <w:rPr>
                <w:noProof/>
                <w:webHidden/>
              </w:rPr>
              <w:t>4</w:t>
            </w:r>
            <w:r w:rsidR="002207FE" w:rsidRPr="002207FE">
              <w:rPr>
                <w:noProof/>
                <w:webHidden/>
              </w:rPr>
              <w:fldChar w:fldCharType="end"/>
            </w:r>
          </w:hyperlink>
        </w:p>
        <w:p w14:paraId="359C91C5" w14:textId="77777777" w:rsidR="002207FE" w:rsidRPr="002207FE" w:rsidRDefault="00FB29D7" w:rsidP="002207FE">
          <w:pPr>
            <w:pStyle w:val="TDC3"/>
            <w:tabs>
              <w:tab w:val="right" w:leader="dot" w:pos="9034"/>
            </w:tabs>
            <w:rPr>
              <w:rFonts w:asciiTheme="minorHAnsi" w:eastAsiaTheme="minorEastAsia" w:hAnsiTheme="minorHAnsi" w:cstheme="minorBidi"/>
              <w:noProof/>
            </w:rPr>
          </w:pPr>
          <w:hyperlink w:anchor="_Toc207804453" w:history="1">
            <w:r w:rsidR="002207FE" w:rsidRPr="002207FE">
              <w:rPr>
                <w:rStyle w:val="Hipervnculo"/>
                <w:noProof/>
                <w:color w:val="auto"/>
              </w:rPr>
              <w:t>b) Turno del Recurso de Revisión</w:t>
            </w:r>
            <w:r w:rsidR="002207FE" w:rsidRPr="002207FE">
              <w:rPr>
                <w:noProof/>
                <w:webHidden/>
              </w:rPr>
              <w:tab/>
            </w:r>
            <w:r w:rsidR="002207FE" w:rsidRPr="002207FE">
              <w:rPr>
                <w:noProof/>
                <w:webHidden/>
              </w:rPr>
              <w:fldChar w:fldCharType="begin"/>
            </w:r>
            <w:r w:rsidR="002207FE" w:rsidRPr="002207FE">
              <w:rPr>
                <w:noProof/>
                <w:webHidden/>
              </w:rPr>
              <w:instrText xml:space="preserve"> PAGEREF _Toc207804453 \h </w:instrText>
            </w:r>
            <w:r w:rsidR="002207FE" w:rsidRPr="002207FE">
              <w:rPr>
                <w:noProof/>
                <w:webHidden/>
              </w:rPr>
            </w:r>
            <w:r w:rsidR="002207FE" w:rsidRPr="002207FE">
              <w:rPr>
                <w:noProof/>
                <w:webHidden/>
              </w:rPr>
              <w:fldChar w:fldCharType="separate"/>
            </w:r>
            <w:r w:rsidR="005449BA">
              <w:rPr>
                <w:noProof/>
                <w:webHidden/>
              </w:rPr>
              <w:t>5</w:t>
            </w:r>
            <w:r w:rsidR="002207FE" w:rsidRPr="002207FE">
              <w:rPr>
                <w:noProof/>
                <w:webHidden/>
              </w:rPr>
              <w:fldChar w:fldCharType="end"/>
            </w:r>
          </w:hyperlink>
        </w:p>
        <w:p w14:paraId="52911266" w14:textId="77777777" w:rsidR="002207FE" w:rsidRPr="002207FE" w:rsidRDefault="00FB29D7" w:rsidP="002207FE">
          <w:pPr>
            <w:pStyle w:val="TDC3"/>
            <w:tabs>
              <w:tab w:val="right" w:leader="dot" w:pos="9034"/>
            </w:tabs>
            <w:rPr>
              <w:rFonts w:asciiTheme="minorHAnsi" w:eastAsiaTheme="minorEastAsia" w:hAnsiTheme="minorHAnsi" w:cstheme="minorBidi"/>
              <w:noProof/>
            </w:rPr>
          </w:pPr>
          <w:hyperlink w:anchor="_Toc207804454" w:history="1">
            <w:r w:rsidR="002207FE" w:rsidRPr="002207FE">
              <w:rPr>
                <w:rStyle w:val="Hipervnculo"/>
                <w:noProof/>
                <w:color w:val="auto"/>
              </w:rPr>
              <w:t>c) Admisión del Recurso de Revisión</w:t>
            </w:r>
            <w:r w:rsidR="002207FE" w:rsidRPr="002207FE">
              <w:rPr>
                <w:noProof/>
                <w:webHidden/>
              </w:rPr>
              <w:tab/>
            </w:r>
            <w:r w:rsidR="002207FE" w:rsidRPr="002207FE">
              <w:rPr>
                <w:noProof/>
                <w:webHidden/>
              </w:rPr>
              <w:fldChar w:fldCharType="begin"/>
            </w:r>
            <w:r w:rsidR="002207FE" w:rsidRPr="002207FE">
              <w:rPr>
                <w:noProof/>
                <w:webHidden/>
              </w:rPr>
              <w:instrText xml:space="preserve"> PAGEREF _Toc207804454 \h </w:instrText>
            </w:r>
            <w:r w:rsidR="002207FE" w:rsidRPr="002207FE">
              <w:rPr>
                <w:noProof/>
                <w:webHidden/>
              </w:rPr>
            </w:r>
            <w:r w:rsidR="002207FE" w:rsidRPr="002207FE">
              <w:rPr>
                <w:noProof/>
                <w:webHidden/>
              </w:rPr>
              <w:fldChar w:fldCharType="separate"/>
            </w:r>
            <w:r w:rsidR="005449BA">
              <w:rPr>
                <w:noProof/>
                <w:webHidden/>
              </w:rPr>
              <w:t>5</w:t>
            </w:r>
            <w:r w:rsidR="002207FE" w:rsidRPr="002207FE">
              <w:rPr>
                <w:noProof/>
                <w:webHidden/>
              </w:rPr>
              <w:fldChar w:fldCharType="end"/>
            </w:r>
          </w:hyperlink>
        </w:p>
        <w:p w14:paraId="227BB91C" w14:textId="77777777" w:rsidR="002207FE" w:rsidRPr="002207FE" w:rsidRDefault="00FB29D7" w:rsidP="002207FE">
          <w:pPr>
            <w:pStyle w:val="TDC3"/>
            <w:tabs>
              <w:tab w:val="right" w:leader="dot" w:pos="9034"/>
            </w:tabs>
            <w:rPr>
              <w:rFonts w:asciiTheme="minorHAnsi" w:eastAsiaTheme="minorEastAsia" w:hAnsiTheme="minorHAnsi" w:cstheme="minorBidi"/>
              <w:noProof/>
            </w:rPr>
          </w:pPr>
          <w:hyperlink w:anchor="_Toc207804455" w:history="1">
            <w:r w:rsidR="002207FE" w:rsidRPr="002207FE">
              <w:rPr>
                <w:rStyle w:val="Hipervnculo"/>
                <w:noProof/>
                <w:color w:val="auto"/>
              </w:rPr>
              <w:t>d) Informe Justificado del Sujeto Obligado</w:t>
            </w:r>
            <w:r w:rsidR="002207FE" w:rsidRPr="002207FE">
              <w:rPr>
                <w:noProof/>
                <w:webHidden/>
              </w:rPr>
              <w:tab/>
            </w:r>
            <w:r w:rsidR="002207FE" w:rsidRPr="002207FE">
              <w:rPr>
                <w:noProof/>
                <w:webHidden/>
              </w:rPr>
              <w:fldChar w:fldCharType="begin"/>
            </w:r>
            <w:r w:rsidR="002207FE" w:rsidRPr="002207FE">
              <w:rPr>
                <w:noProof/>
                <w:webHidden/>
              </w:rPr>
              <w:instrText xml:space="preserve"> PAGEREF _Toc207804455 \h </w:instrText>
            </w:r>
            <w:r w:rsidR="002207FE" w:rsidRPr="002207FE">
              <w:rPr>
                <w:noProof/>
                <w:webHidden/>
              </w:rPr>
            </w:r>
            <w:r w:rsidR="002207FE" w:rsidRPr="002207FE">
              <w:rPr>
                <w:noProof/>
                <w:webHidden/>
              </w:rPr>
              <w:fldChar w:fldCharType="separate"/>
            </w:r>
            <w:r w:rsidR="005449BA">
              <w:rPr>
                <w:noProof/>
                <w:webHidden/>
              </w:rPr>
              <w:t>5</w:t>
            </w:r>
            <w:r w:rsidR="002207FE" w:rsidRPr="002207FE">
              <w:rPr>
                <w:noProof/>
                <w:webHidden/>
              </w:rPr>
              <w:fldChar w:fldCharType="end"/>
            </w:r>
          </w:hyperlink>
        </w:p>
        <w:p w14:paraId="7F7929C8" w14:textId="77777777" w:rsidR="002207FE" w:rsidRPr="002207FE" w:rsidRDefault="00FB29D7" w:rsidP="002207FE">
          <w:pPr>
            <w:pStyle w:val="TDC3"/>
            <w:tabs>
              <w:tab w:val="right" w:leader="dot" w:pos="9034"/>
            </w:tabs>
            <w:rPr>
              <w:rFonts w:asciiTheme="minorHAnsi" w:eastAsiaTheme="minorEastAsia" w:hAnsiTheme="minorHAnsi" w:cstheme="minorBidi"/>
              <w:noProof/>
            </w:rPr>
          </w:pPr>
          <w:hyperlink w:anchor="_Toc207804456" w:history="1">
            <w:r w:rsidR="002207FE" w:rsidRPr="002207FE">
              <w:rPr>
                <w:rStyle w:val="Hipervnculo"/>
                <w:noProof/>
                <w:color w:val="auto"/>
              </w:rPr>
              <w:t>e) Manifestaciones de la Parte Recurrente</w:t>
            </w:r>
            <w:r w:rsidR="002207FE" w:rsidRPr="002207FE">
              <w:rPr>
                <w:noProof/>
                <w:webHidden/>
              </w:rPr>
              <w:tab/>
            </w:r>
            <w:r w:rsidR="002207FE" w:rsidRPr="002207FE">
              <w:rPr>
                <w:noProof/>
                <w:webHidden/>
              </w:rPr>
              <w:fldChar w:fldCharType="begin"/>
            </w:r>
            <w:r w:rsidR="002207FE" w:rsidRPr="002207FE">
              <w:rPr>
                <w:noProof/>
                <w:webHidden/>
              </w:rPr>
              <w:instrText xml:space="preserve"> PAGEREF _Toc207804456 \h </w:instrText>
            </w:r>
            <w:r w:rsidR="002207FE" w:rsidRPr="002207FE">
              <w:rPr>
                <w:noProof/>
                <w:webHidden/>
              </w:rPr>
            </w:r>
            <w:r w:rsidR="002207FE" w:rsidRPr="002207FE">
              <w:rPr>
                <w:noProof/>
                <w:webHidden/>
              </w:rPr>
              <w:fldChar w:fldCharType="separate"/>
            </w:r>
            <w:r w:rsidR="005449BA">
              <w:rPr>
                <w:noProof/>
                <w:webHidden/>
              </w:rPr>
              <w:t>7</w:t>
            </w:r>
            <w:r w:rsidR="002207FE" w:rsidRPr="002207FE">
              <w:rPr>
                <w:noProof/>
                <w:webHidden/>
              </w:rPr>
              <w:fldChar w:fldCharType="end"/>
            </w:r>
          </w:hyperlink>
        </w:p>
        <w:p w14:paraId="6644C9DA" w14:textId="77777777" w:rsidR="002207FE" w:rsidRPr="002207FE" w:rsidRDefault="00FB29D7" w:rsidP="002207FE">
          <w:pPr>
            <w:pStyle w:val="TDC3"/>
            <w:tabs>
              <w:tab w:val="right" w:leader="dot" w:pos="9034"/>
            </w:tabs>
            <w:rPr>
              <w:rFonts w:asciiTheme="minorHAnsi" w:eastAsiaTheme="minorEastAsia" w:hAnsiTheme="minorHAnsi" w:cstheme="minorBidi"/>
              <w:noProof/>
            </w:rPr>
          </w:pPr>
          <w:hyperlink w:anchor="_Toc207804457" w:history="1">
            <w:r w:rsidR="002207FE" w:rsidRPr="002207FE">
              <w:rPr>
                <w:rStyle w:val="Hipervnculo"/>
                <w:noProof/>
                <w:color w:val="auto"/>
              </w:rPr>
              <w:t>f) Ampliación de Plazo para Resolver</w:t>
            </w:r>
            <w:r w:rsidR="002207FE" w:rsidRPr="002207FE">
              <w:rPr>
                <w:noProof/>
                <w:webHidden/>
              </w:rPr>
              <w:tab/>
            </w:r>
            <w:r w:rsidR="002207FE" w:rsidRPr="002207FE">
              <w:rPr>
                <w:noProof/>
                <w:webHidden/>
              </w:rPr>
              <w:fldChar w:fldCharType="begin"/>
            </w:r>
            <w:r w:rsidR="002207FE" w:rsidRPr="002207FE">
              <w:rPr>
                <w:noProof/>
                <w:webHidden/>
              </w:rPr>
              <w:instrText xml:space="preserve"> PAGEREF _Toc207804457 \h </w:instrText>
            </w:r>
            <w:r w:rsidR="002207FE" w:rsidRPr="002207FE">
              <w:rPr>
                <w:noProof/>
                <w:webHidden/>
              </w:rPr>
            </w:r>
            <w:r w:rsidR="002207FE" w:rsidRPr="002207FE">
              <w:rPr>
                <w:noProof/>
                <w:webHidden/>
              </w:rPr>
              <w:fldChar w:fldCharType="separate"/>
            </w:r>
            <w:r w:rsidR="005449BA">
              <w:rPr>
                <w:noProof/>
                <w:webHidden/>
              </w:rPr>
              <w:t>7</w:t>
            </w:r>
            <w:r w:rsidR="002207FE" w:rsidRPr="002207FE">
              <w:rPr>
                <w:noProof/>
                <w:webHidden/>
              </w:rPr>
              <w:fldChar w:fldCharType="end"/>
            </w:r>
          </w:hyperlink>
        </w:p>
        <w:p w14:paraId="7800951F" w14:textId="77777777" w:rsidR="002207FE" w:rsidRPr="002207FE" w:rsidRDefault="00FB29D7" w:rsidP="002207FE">
          <w:pPr>
            <w:pStyle w:val="TDC3"/>
            <w:tabs>
              <w:tab w:val="right" w:leader="dot" w:pos="9034"/>
            </w:tabs>
            <w:rPr>
              <w:rFonts w:asciiTheme="minorHAnsi" w:eastAsiaTheme="minorEastAsia" w:hAnsiTheme="minorHAnsi" w:cstheme="minorBidi"/>
              <w:noProof/>
            </w:rPr>
          </w:pPr>
          <w:hyperlink w:anchor="_Toc207804458" w:history="1">
            <w:r w:rsidR="002207FE" w:rsidRPr="002207FE">
              <w:rPr>
                <w:rStyle w:val="Hipervnculo"/>
                <w:noProof/>
                <w:color w:val="auto"/>
              </w:rPr>
              <w:t>g) Cierre de instrucción</w:t>
            </w:r>
            <w:r w:rsidR="002207FE" w:rsidRPr="002207FE">
              <w:rPr>
                <w:noProof/>
                <w:webHidden/>
              </w:rPr>
              <w:tab/>
            </w:r>
            <w:r w:rsidR="002207FE" w:rsidRPr="002207FE">
              <w:rPr>
                <w:noProof/>
                <w:webHidden/>
              </w:rPr>
              <w:fldChar w:fldCharType="begin"/>
            </w:r>
            <w:r w:rsidR="002207FE" w:rsidRPr="002207FE">
              <w:rPr>
                <w:noProof/>
                <w:webHidden/>
              </w:rPr>
              <w:instrText xml:space="preserve"> PAGEREF _Toc207804458 \h </w:instrText>
            </w:r>
            <w:r w:rsidR="002207FE" w:rsidRPr="002207FE">
              <w:rPr>
                <w:noProof/>
                <w:webHidden/>
              </w:rPr>
            </w:r>
            <w:r w:rsidR="002207FE" w:rsidRPr="002207FE">
              <w:rPr>
                <w:noProof/>
                <w:webHidden/>
              </w:rPr>
              <w:fldChar w:fldCharType="separate"/>
            </w:r>
            <w:r w:rsidR="005449BA">
              <w:rPr>
                <w:noProof/>
                <w:webHidden/>
              </w:rPr>
              <w:t>10</w:t>
            </w:r>
            <w:r w:rsidR="002207FE" w:rsidRPr="002207FE">
              <w:rPr>
                <w:noProof/>
                <w:webHidden/>
              </w:rPr>
              <w:fldChar w:fldCharType="end"/>
            </w:r>
          </w:hyperlink>
        </w:p>
        <w:p w14:paraId="4965B9CD" w14:textId="77777777" w:rsidR="002207FE" w:rsidRPr="002207FE" w:rsidRDefault="00FB29D7" w:rsidP="002207FE">
          <w:pPr>
            <w:pStyle w:val="TDC1"/>
            <w:tabs>
              <w:tab w:val="right" w:leader="dot" w:pos="9034"/>
            </w:tabs>
            <w:rPr>
              <w:rFonts w:asciiTheme="minorHAnsi" w:eastAsiaTheme="minorEastAsia" w:hAnsiTheme="minorHAnsi" w:cstheme="minorBidi"/>
              <w:noProof/>
            </w:rPr>
          </w:pPr>
          <w:hyperlink w:anchor="_Toc207804459" w:history="1">
            <w:r w:rsidR="002207FE" w:rsidRPr="002207FE">
              <w:rPr>
                <w:rStyle w:val="Hipervnculo"/>
                <w:noProof/>
                <w:color w:val="auto"/>
              </w:rPr>
              <w:t>CONSIDERANDOS</w:t>
            </w:r>
            <w:r w:rsidR="002207FE" w:rsidRPr="002207FE">
              <w:rPr>
                <w:noProof/>
                <w:webHidden/>
              </w:rPr>
              <w:tab/>
            </w:r>
            <w:r w:rsidR="002207FE" w:rsidRPr="002207FE">
              <w:rPr>
                <w:noProof/>
                <w:webHidden/>
              </w:rPr>
              <w:fldChar w:fldCharType="begin"/>
            </w:r>
            <w:r w:rsidR="002207FE" w:rsidRPr="002207FE">
              <w:rPr>
                <w:noProof/>
                <w:webHidden/>
              </w:rPr>
              <w:instrText xml:space="preserve"> PAGEREF _Toc207804459 \h </w:instrText>
            </w:r>
            <w:r w:rsidR="002207FE" w:rsidRPr="002207FE">
              <w:rPr>
                <w:noProof/>
                <w:webHidden/>
              </w:rPr>
            </w:r>
            <w:r w:rsidR="002207FE" w:rsidRPr="002207FE">
              <w:rPr>
                <w:noProof/>
                <w:webHidden/>
              </w:rPr>
              <w:fldChar w:fldCharType="separate"/>
            </w:r>
            <w:r w:rsidR="005449BA">
              <w:rPr>
                <w:noProof/>
                <w:webHidden/>
              </w:rPr>
              <w:t>10</w:t>
            </w:r>
            <w:r w:rsidR="002207FE" w:rsidRPr="002207FE">
              <w:rPr>
                <w:noProof/>
                <w:webHidden/>
              </w:rPr>
              <w:fldChar w:fldCharType="end"/>
            </w:r>
          </w:hyperlink>
        </w:p>
        <w:p w14:paraId="5E95CAE8" w14:textId="77777777" w:rsidR="002207FE" w:rsidRPr="002207FE" w:rsidRDefault="00FB29D7" w:rsidP="002207FE">
          <w:pPr>
            <w:pStyle w:val="TDC2"/>
            <w:tabs>
              <w:tab w:val="right" w:leader="dot" w:pos="9034"/>
            </w:tabs>
            <w:rPr>
              <w:rFonts w:asciiTheme="minorHAnsi" w:eastAsiaTheme="minorEastAsia" w:hAnsiTheme="minorHAnsi" w:cstheme="minorBidi"/>
              <w:noProof/>
            </w:rPr>
          </w:pPr>
          <w:hyperlink w:anchor="_Toc207804460" w:history="1">
            <w:r w:rsidR="002207FE" w:rsidRPr="002207FE">
              <w:rPr>
                <w:rStyle w:val="Hipervnculo"/>
                <w:noProof/>
                <w:color w:val="auto"/>
              </w:rPr>
              <w:t>PRIMERO. Procedibilidad</w:t>
            </w:r>
            <w:r w:rsidR="002207FE" w:rsidRPr="002207FE">
              <w:rPr>
                <w:noProof/>
                <w:webHidden/>
              </w:rPr>
              <w:tab/>
            </w:r>
            <w:r w:rsidR="002207FE" w:rsidRPr="002207FE">
              <w:rPr>
                <w:noProof/>
                <w:webHidden/>
              </w:rPr>
              <w:fldChar w:fldCharType="begin"/>
            </w:r>
            <w:r w:rsidR="002207FE" w:rsidRPr="002207FE">
              <w:rPr>
                <w:noProof/>
                <w:webHidden/>
              </w:rPr>
              <w:instrText xml:space="preserve"> PAGEREF _Toc207804460 \h </w:instrText>
            </w:r>
            <w:r w:rsidR="002207FE" w:rsidRPr="002207FE">
              <w:rPr>
                <w:noProof/>
                <w:webHidden/>
              </w:rPr>
            </w:r>
            <w:r w:rsidR="002207FE" w:rsidRPr="002207FE">
              <w:rPr>
                <w:noProof/>
                <w:webHidden/>
              </w:rPr>
              <w:fldChar w:fldCharType="separate"/>
            </w:r>
            <w:r w:rsidR="005449BA">
              <w:rPr>
                <w:noProof/>
                <w:webHidden/>
              </w:rPr>
              <w:t>10</w:t>
            </w:r>
            <w:r w:rsidR="002207FE" w:rsidRPr="002207FE">
              <w:rPr>
                <w:noProof/>
                <w:webHidden/>
              </w:rPr>
              <w:fldChar w:fldCharType="end"/>
            </w:r>
          </w:hyperlink>
        </w:p>
        <w:p w14:paraId="33961387" w14:textId="77777777" w:rsidR="002207FE" w:rsidRPr="002207FE" w:rsidRDefault="00FB29D7" w:rsidP="002207FE">
          <w:pPr>
            <w:pStyle w:val="TDC3"/>
            <w:tabs>
              <w:tab w:val="right" w:leader="dot" w:pos="9034"/>
            </w:tabs>
            <w:rPr>
              <w:rFonts w:asciiTheme="minorHAnsi" w:eastAsiaTheme="minorEastAsia" w:hAnsiTheme="minorHAnsi" w:cstheme="minorBidi"/>
              <w:noProof/>
            </w:rPr>
          </w:pPr>
          <w:hyperlink w:anchor="_Toc207804461" w:history="1">
            <w:r w:rsidR="002207FE" w:rsidRPr="002207FE">
              <w:rPr>
                <w:rStyle w:val="Hipervnculo"/>
                <w:noProof/>
                <w:color w:val="auto"/>
              </w:rPr>
              <w:t>a) Competencia del Instituto</w:t>
            </w:r>
            <w:r w:rsidR="002207FE" w:rsidRPr="002207FE">
              <w:rPr>
                <w:noProof/>
                <w:webHidden/>
              </w:rPr>
              <w:tab/>
            </w:r>
            <w:r w:rsidR="002207FE" w:rsidRPr="002207FE">
              <w:rPr>
                <w:noProof/>
                <w:webHidden/>
              </w:rPr>
              <w:fldChar w:fldCharType="begin"/>
            </w:r>
            <w:r w:rsidR="002207FE" w:rsidRPr="002207FE">
              <w:rPr>
                <w:noProof/>
                <w:webHidden/>
              </w:rPr>
              <w:instrText xml:space="preserve"> PAGEREF _Toc207804461 \h </w:instrText>
            </w:r>
            <w:r w:rsidR="002207FE" w:rsidRPr="002207FE">
              <w:rPr>
                <w:noProof/>
                <w:webHidden/>
              </w:rPr>
            </w:r>
            <w:r w:rsidR="002207FE" w:rsidRPr="002207FE">
              <w:rPr>
                <w:noProof/>
                <w:webHidden/>
              </w:rPr>
              <w:fldChar w:fldCharType="separate"/>
            </w:r>
            <w:r w:rsidR="005449BA">
              <w:rPr>
                <w:noProof/>
                <w:webHidden/>
              </w:rPr>
              <w:t>10</w:t>
            </w:r>
            <w:r w:rsidR="002207FE" w:rsidRPr="002207FE">
              <w:rPr>
                <w:noProof/>
                <w:webHidden/>
              </w:rPr>
              <w:fldChar w:fldCharType="end"/>
            </w:r>
          </w:hyperlink>
        </w:p>
        <w:p w14:paraId="1F77F571" w14:textId="77777777" w:rsidR="002207FE" w:rsidRPr="002207FE" w:rsidRDefault="00FB29D7" w:rsidP="002207FE">
          <w:pPr>
            <w:pStyle w:val="TDC3"/>
            <w:tabs>
              <w:tab w:val="right" w:leader="dot" w:pos="9034"/>
            </w:tabs>
            <w:rPr>
              <w:rFonts w:asciiTheme="minorHAnsi" w:eastAsiaTheme="minorEastAsia" w:hAnsiTheme="minorHAnsi" w:cstheme="minorBidi"/>
              <w:noProof/>
            </w:rPr>
          </w:pPr>
          <w:hyperlink w:anchor="_Toc207804462" w:history="1">
            <w:r w:rsidR="002207FE" w:rsidRPr="002207FE">
              <w:rPr>
                <w:rStyle w:val="Hipervnculo"/>
                <w:noProof/>
                <w:color w:val="auto"/>
              </w:rPr>
              <w:t>b) Legitimidad de la parte recurrente</w:t>
            </w:r>
            <w:r w:rsidR="002207FE" w:rsidRPr="002207FE">
              <w:rPr>
                <w:noProof/>
                <w:webHidden/>
              </w:rPr>
              <w:tab/>
            </w:r>
            <w:r w:rsidR="002207FE" w:rsidRPr="002207FE">
              <w:rPr>
                <w:noProof/>
                <w:webHidden/>
              </w:rPr>
              <w:fldChar w:fldCharType="begin"/>
            </w:r>
            <w:r w:rsidR="002207FE" w:rsidRPr="002207FE">
              <w:rPr>
                <w:noProof/>
                <w:webHidden/>
              </w:rPr>
              <w:instrText xml:space="preserve"> PAGEREF _Toc207804462 \h </w:instrText>
            </w:r>
            <w:r w:rsidR="002207FE" w:rsidRPr="002207FE">
              <w:rPr>
                <w:noProof/>
                <w:webHidden/>
              </w:rPr>
            </w:r>
            <w:r w:rsidR="002207FE" w:rsidRPr="002207FE">
              <w:rPr>
                <w:noProof/>
                <w:webHidden/>
              </w:rPr>
              <w:fldChar w:fldCharType="separate"/>
            </w:r>
            <w:r w:rsidR="005449BA">
              <w:rPr>
                <w:noProof/>
                <w:webHidden/>
              </w:rPr>
              <w:t>11</w:t>
            </w:r>
            <w:r w:rsidR="002207FE" w:rsidRPr="002207FE">
              <w:rPr>
                <w:noProof/>
                <w:webHidden/>
              </w:rPr>
              <w:fldChar w:fldCharType="end"/>
            </w:r>
          </w:hyperlink>
        </w:p>
        <w:p w14:paraId="580FA9E5" w14:textId="77777777" w:rsidR="002207FE" w:rsidRPr="002207FE" w:rsidRDefault="00FB29D7" w:rsidP="002207FE">
          <w:pPr>
            <w:pStyle w:val="TDC3"/>
            <w:tabs>
              <w:tab w:val="right" w:leader="dot" w:pos="9034"/>
            </w:tabs>
            <w:rPr>
              <w:rFonts w:asciiTheme="minorHAnsi" w:eastAsiaTheme="minorEastAsia" w:hAnsiTheme="minorHAnsi" w:cstheme="minorBidi"/>
              <w:noProof/>
            </w:rPr>
          </w:pPr>
          <w:hyperlink w:anchor="_Toc207804463" w:history="1">
            <w:r w:rsidR="002207FE" w:rsidRPr="002207FE">
              <w:rPr>
                <w:rStyle w:val="Hipervnculo"/>
                <w:noProof/>
                <w:color w:val="auto"/>
              </w:rPr>
              <w:t>c) Plazo para interponer el recurso</w:t>
            </w:r>
            <w:r w:rsidR="002207FE" w:rsidRPr="002207FE">
              <w:rPr>
                <w:noProof/>
                <w:webHidden/>
              </w:rPr>
              <w:tab/>
            </w:r>
            <w:r w:rsidR="002207FE" w:rsidRPr="002207FE">
              <w:rPr>
                <w:noProof/>
                <w:webHidden/>
              </w:rPr>
              <w:fldChar w:fldCharType="begin"/>
            </w:r>
            <w:r w:rsidR="002207FE" w:rsidRPr="002207FE">
              <w:rPr>
                <w:noProof/>
                <w:webHidden/>
              </w:rPr>
              <w:instrText xml:space="preserve"> PAGEREF _Toc207804463 \h </w:instrText>
            </w:r>
            <w:r w:rsidR="002207FE" w:rsidRPr="002207FE">
              <w:rPr>
                <w:noProof/>
                <w:webHidden/>
              </w:rPr>
            </w:r>
            <w:r w:rsidR="002207FE" w:rsidRPr="002207FE">
              <w:rPr>
                <w:noProof/>
                <w:webHidden/>
              </w:rPr>
              <w:fldChar w:fldCharType="separate"/>
            </w:r>
            <w:r w:rsidR="005449BA">
              <w:rPr>
                <w:noProof/>
                <w:webHidden/>
              </w:rPr>
              <w:t>11</w:t>
            </w:r>
            <w:r w:rsidR="002207FE" w:rsidRPr="002207FE">
              <w:rPr>
                <w:noProof/>
                <w:webHidden/>
              </w:rPr>
              <w:fldChar w:fldCharType="end"/>
            </w:r>
          </w:hyperlink>
        </w:p>
        <w:p w14:paraId="6BF598B8" w14:textId="77777777" w:rsidR="002207FE" w:rsidRPr="002207FE" w:rsidRDefault="00FB29D7" w:rsidP="002207FE">
          <w:pPr>
            <w:pStyle w:val="TDC3"/>
            <w:tabs>
              <w:tab w:val="right" w:leader="dot" w:pos="9034"/>
            </w:tabs>
            <w:rPr>
              <w:rFonts w:asciiTheme="minorHAnsi" w:eastAsiaTheme="minorEastAsia" w:hAnsiTheme="minorHAnsi" w:cstheme="minorBidi"/>
              <w:noProof/>
            </w:rPr>
          </w:pPr>
          <w:hyperlink w:anchor="_Toc207804464" w:history="1">
            <w:r w:rsidR="002207FE" w:rsidRPr="002207FE">
              <w:rPr>
                <w:rStyle w:val="Hipervnculo"/>
                <w:noProof/>
                <w:color w:val="auto"/>
              </w:rPr>
              <w:t>d) Causal de Procedencia</w:t>
            </w:r>
            <w:r w:rsidR="002207FE" w:rsidRPr="002207FE">
              <w:rPr>
                <w:noProof/>
                <w:webHidden/>
              </w:rPr>
              <w:tab/>
            </w:r>
            <w:r w:rsidR="002207FE" w:rsidRPr="002207FE">
              <w:rPr>
                <w:noProof/>
                <w:webHidden/>
              </w:rPr>
              <w:fldChar w:fldCharType="begin"/>
            </w:r>
            <w:r w:rsidR="002207FE" w:rsidRPr="002207FE">
              <w:rPr>
                <w:noProof/>
                <w:webHidden/>
              </w:rPr>
              <w:instrText xml:space="preserve"> PAGEREF _Toc207804464 \h </w:instrText>
            </w:r>
            <w:r w:rsidR="002207FE" w:rsidRPr="002207FE">
              <w:rPr>
                <w:noProof/>
                <w:webHidden/>
              </w:rPr>
            </w:r>
            <w:r w:rsidR="002207FE" w:rsidRPr="002207FE">
              <w:rPr>
                <w:noProof/>
                <w:webHidden/>
              </w:rPr>
              <w:fldChar w:fldCharType="separate"/>
            </w:r>
            <w:r w:rsidR="005449BA">
              <w:rPr>
                <w:noProof/>
                <w:webHidden/>
              </w:rPr>
              <w:t>12</w:t>
            </w:r>
            <w:r w:rsidR="002207FE" w:rsidRPr="002207FE">
              <w:rPr>
                <w:noProof/>
                <w:webHidden/>
              </w:rPr>
              <w:fldChar w:fldCharType="end"/>
            </w:r>
          </w:hyperlink>
        </w:p>
        <w:p w14:paraId="47F0C593" w14:textId="77777777" w:rsidR="002207FE" w:rsidRPr="002207FE" w:rsidRDefault="00FB29D7" w:rsidP="002207FE">
          <w:pPr>
            <w:pStyle w:val="TDC3"/>
            <w:tabs>
              <w:tab w:val="right" w:leader="dot" w:pos="9034"/>
            </w:tabs>
            <w:rPr>
              <w:rFonts w:asciiTheme="minorHAnsi" w:eastAsiaTheme="minorEastAsia" w:hAnsiTheme="minorHAnsi" w:cstheme="minorBidi"/>
              <w:noProof/>
            </w:rPr>
          </w:pPr>
          <w:hyperlink w:anchor="_Toc207804465" w:history="1">
            <w:r w:rsidR="002207FE" w:rsidRPr="002207FE">
              <w:rPr>
                <w:rStyle w:val="Hipervnculo"/>
                <w:noProof/>
                <w:color w:val="auto"/>
              </w:rPr>
              <w:t>e) Requisitos formales para la interposición del recurso</w:t>
            </w:r>
            <w:r w:rsidR="002207FE" w:rsidRPr="002207FE">
              <w:rPr>
                <w:noProof/>
                <w:webHidden/>
              </w:rPr>
              <w:tab/>
            </w:r>
            <w:r w:rsidR="002207FE" w:rsidRPr="002207FE">
              <w:rPr>
                <w:noProof/>
                <w:webHidden/>
              </w:rPr>
              <w:fldChar w:fldCharType="begin"/>
            </w:r>
            <w:r w:rsidR="002207FE" w:rsidRPr="002207FE">
              <w:rPr>
                <w:noProof/>
                <w:webHidden/>
              </w:rPr>
              <w:instrText xml:space="preserve"> PAGEREF _Toc207804465 \h </w:instrText>
            </w:r>
            <w:r w:rsidR="002207FE" w:rsidRPr="002207FE">
              <w:rPr>
                <w:noProof/>
                <w:webHidden/>
              </w:rPr>
            </w:r>
            <w:r w:rsidR="002207FE" w:rsidRPr="002207FE">
              <w:rPr>
                <w:noProof/>
                <w:webHidden/>
              </w:rPr>
              <w:fldChar w:fldCharType="separate"/>
            </w:r>
            <w:r w:rsidR="005449BA">
              <w:rPr>
                <w:noProof/>
                <w:webHidden/>
              </w:rPr>
              <w:t>12</w:t>
            </w:r>
            <w:r w:rsidR="002207FE" w:rsidRPr="002207FE">
              <w:rPr>
                <w:noProof/>
                <w:webHidden/>
              </w:rPr>
              <w:fldChar w:fldCharType="end"/>
            </w:r>
          </w:hyperlink>
        </w:p>
        <w:p w14:paraId="7AD8869E" w14:textId="77777777" w:rsidR="002207FE" w:rsidRPr="002207FE" w:rsidRDefault="00FB29D7" w:rsidP="002207FE">
          <w:pPr>
            <w:pStyle w:val="TDC2"/>
            <w:tabs>
              <w:tab w:val="right" w:leader="dot" w:pos="9034"/>
            </w:tabs>
            <w:rPr>
              <w:rFonts w:asciiTheme="minorHAnsi" w:eastAsiaTheme="minorEastAsia" w:hAnsiTheme="minorHAnsi" w:cstheme="minorBidi"/>
              <w:noProof/>
            </w:rPr>
          </w:pPr>
          <w:hyperlink w:anchor="_Toc207804466" w:history="1">
            <w:r w:rsidR="002207FE" w:rsidRPr="002207FE">
              <w:rPr>
                <w:rStyle w:val="Hipervnculo"/>
                <w:noProof/>
                <w:color w:val="auto"/>
              </w:rPr>
              <w:t>SEGUNDO. Estudio de Fondo</w:t>
            </w:r>
            <w:r w:rsidR="002207FE" w:rsidRPr="002207FE">
              <w:rPr>
                <w:noProof/>
                <w:webHidden/>
              </w:rPr>
              <w:tab/>
            </w:r>
            <w:r w:rsidR="002207FE" w:rsidRPr="002207FE">
              <w:rPr>
                <w:noProof/>
                <w:webHidden/>
              </w:rPr>
              <w:fldChar w:fldCharType="begin"/>
            </w:r>
            <w:r w:rsidR="002207FE" w:rsidRPr="002207FE">
              <w:rPr>
                <w:noProof/>
                <w:webHidden/>
              </w:rPr>
              <w:instrText xml:space="preserve"> PAGEREF _Toc207804466 \h </w:instrText>
            </w:r>
            <w:r w:rsidR="002207FE" w:rsidRPr="002207FE">
              <w:rPr>
                <w:noProof/>
                <w:webHidden/>
              </w:rPr>
            </w:r>
            <w:r w:rsidR="002207FE" w:rsidRPr="002207FE">
              <w:rPr>
                <w:noProof/>
                <w:webHidden/>
              </w:rPr>
              <w:fldChar w:fldCharType="separate"/>
            </w:r>
            <w:r w:rsidR="005449BA">
              <w:rPr>
                <w:noProof/>
                <w:webHidden/>
              </w:rPr>
              <w:t>13</w:t>
            </w:r>
            <w:r w:rsidR="002207FE" w:rsidRPr="002207FE">
              <w:rPr>
                <w:noProof/>
                <w:webHidden/>
              </w:rPr>
              <w:fldChar w:fldCharType="end"/>
            </w:r>
          </w:hyperlink>
        </w:p>
        <w:p w14:paraId="5FB16304" w14:textId="77777777" w:rsidR="002207FE" w:rsidRPr="002207FE" w:rsidRDefault="00FB29D7" w:rsidP="002207FE">
          <w:pPr>
            <w:pStyle w:val="TDC3"/>
            <w:tabs>
              <w:tab w:val="right" w:leader="dot" w:pos="9034"/>
            </w:tabs>
            <w:rPr>
              <w:rFonts w:asciiTheme="minorHAnsi" w:eastAsiaTheme="minorEastAsia" w:hAnsiTheme="minorHAnsi" w:cstheme="minorBidi"/>
              <w:noProof/>
            </w:rPr>
          </w:pPr>
          <w:hyperlink w:anchor="_Toc207804467" w:history="1">
            <w:r w:rsidR="002207FE" w:rsidRPr="002207FE">
              <w:rPr>
                <w:rStyle w:val="Hipervnculo"/>
                <w:noProof/>
                <w:color w:val="auto"/>
              </w:rPr>
              <w:t>a) Mandato de transparencia y responsabilidad del Sujeto Obligado</w:t>
            </w:r>
            <w:r w:rsidR="002207FE" w:rsidRPr="002207FE">
              <w:rPr>
                <w:noProof/>
                <w:webHidden/>
              </w:rPr>
              <w:tab/>
            </w:r>
            <w:r w:rsidR="002207FE" w:rsidRPr="002207FE">
              <w:rPr>
                <w:noProof/>
                <w:webHidden/>
              </w:rPr>
              <w:fldChar w:fldCharType="begin"/>
            </w:r>
            <w:r w:rsidR="002207FE" w:rsidRPr="002207FE">
              <w:rPr>
                <w:noProof/>
                <w:webHidden/>
              </w:rPr>
              <w:instrText xml:space="preserve"> PAGEREF _Toc207804467 \h </w:instrText>
            </w:r>
            <w:r w:rsidR="002207FE" w:rsidRPr="002207FE">
              <w:rPr>
                <w:noProof/>
                <w:webHidden/>
              </w:rPr>
            </w:r>
            <w:r w:rsidR="002207FE" w:rsidRPr="002207FE">
              <w:rPr>
                <w:noProof/>
                <w:webHidden/>
              </w:rPr>
              <w:fldChar w:fldCharType="separate"/>
            </w:r>
            <w:r w:rsidR="005449BA">
              <w:rPr>
                <w:noProof/>
                <w:webHidden/>
              </w:rPr>
              <w:t>13</w:t>
            </w:r>
            <w:r w:rsidR="002207FE" w:rsidRPr="002207FE">
              <w:rPr>
                <w:noProof/>
                <w:webHidden/>
              </w:rPr>
              <w:fldChar w:fldCharType="end"/>
            </w:r>
          </w:hyperlink>
        </w:p>
        <w:p w14:paraId="333087F7" w14:textId="77777777" w:rsidR="002207FE" w:rsidRPr="002207FE" w:rsidRDefault="00FB29D7" w:rsidP="002207FE">
          <w:pPr>
            <w:pStyle w:val="TDC3"/>
            <w:tabs>
              <w:tab w:val="right" w:leader="dot" w:pos="9034"/>
            </w:tabs>
            <w:rPr>
              <w:rFonts w:asciiTheme="minorHAnsi" w:eastAsiaTheme="minorEastAsia" w:hAnsiTheme="minorHAnsi" w:cstheme="minorBidi"/>
              <w:noProof/>
            </w:rPr>
          </w:pPr>
          <w:hyperlink w:anchor="_Toc207804468" w:history="1">
            <w:r w:rsidR="002207FE" w:rsidRPr="002207FE">
              <w:rPr>
                <w:rStyle w:val="Hipervnculo"/>
                <w:noProof/>
                <w:color w:val="auto"/>
              </w:rPr>
              <w:t>b) Controversia a resolver</w:t>
            </w:r>
            <w:r w:rsidR="002207FE" w:rsidRPr="002207FE">
              <w:rPr>
                <w:noProof/>
                <w:webHidden/>
              </w:rPr>
              <w:tab/>
            </w:r>
            <w:r w:rsidR="002207FE" w:rsidRPr="002207FE">
              <w:rPr>
                <w:noProof/>
                <w:webHidden/>
              </w:rPr>
              <w:fldChar w:fldCharType="begin"/>
            </w:r>
            <w:r w:rsidR="002207FE" w:rsidRPr="002207FE">
              <w:rPr>
                <w:noProof/>
                <w:webHidden/>
              </w:rPr>
              <w:instrText xml:space="preserve"> PAGEREF _Toc207804468 \h </w:instrText>
            </w:r>
            <w:r w:rsidR="002207FE" w:rsidRPr="002207FE">
              <w:rPr>
                <w:noProof/>
                <w:webHidden/>
              </w:rPr>
            </w:r>
            <w:r w:rsidR="002207FE" w:rsidRPr="002207FE">
              <w:rPr>
                <w:noProof/>
                <w:webHidden/>
              </w:rPr>
              <w:fldChar w:fldCharType="separate"/>
            </w:r>
            <w:r w:rsidR="005449BA">
              <w:rPr>
                <w:noProof/>
                <w:webHidden/>
              </w:rPr>
              <w:t>15</w:t>
            </w:r>
            <w:r w:rsidR="002207FE" w:rsidRPr="002207FE">
              <w:rPr>
                <w:noProof/>
                <w:webHidden/>
              </w:rPr>
              <w:fldChar w:fldCharType="end"/>
            </w:r>
          </w:hyperlink>
        </w:p>
        <w:p w14:paraId="67DCDDB4" w14:textId="77777777" w:rsidR="002207FE" w:rsidRPr="002207FE" w:rsidRDefault="00FB29D7" w:rsidP="002207FE">
          <w:pPr>
            <w:pStyle w:val="TDC3"/>
            <w:tabs>
              <w:tab w:val="right" w:leader="dot" w:pos="9034"/>
            </w:tabs>
            <w:rPr>
              <w:rFonts w:asciiTheme="minorHAnsi" w:eastAsiaTheme="minorEastAsia" w:hAnsiTheme="minorHAnsi" w:cstheme="minorBidi"/>
              <w:noProof/>
            </w:rPr>
          </w:pPr>
          <w:hyperlink w:anchor="_Toc207804469" w:history="1">
            <w:r w:rsidR="002207FE" w:rsidRPr="002207FE">
              <w:rPr>
                <w:rStyle w:val="Hipervnculo"/>
                <w:noProof/>
                <w:color w:val="auto"/>
              </w:rPr>
              <w:t>c) Estudio de la controversia</w:t>
            </w:r>
            <w:r w:rsidR="002207FE" w:rsidRPr="002207FE">
              <w:rPr>
                <w:noProof/>
                <w:webHidden/>
              </w:rPr>
              <w:tab/>
            </w:r>
            <w:r w:rsidR="002207FE" w:rsidRPr="002207FE">
              <w:rPr>
                <w:noProof/>
                <w:webHidden/>
              </w:rPr>
              <w:fldChar w:fldCharType="begin"/>
            </w:r>
            <w:r w:rsidR="002207FE" w:rsidRPr="002207FE">
              <w:rPr>
                <w:noProof/>
                <w:webHidden/>
              </w:rPr>
              <w:instrText xml:space="preserve"> PAGEREF _Toc207804469 \h </w:instrText>
            </w:r>
            <w:r w:rsidR="002207FE" w:rsidRPr="002207FE">
              <w:rPr>
                <w:noProof/>
                <w:webHidden/>
              </w:rPr>
            </w:r>
            <w:r w:rsidR="002207FE" w:rsidRPr="002207FE">
              <w:rPr>
                <w:noProof/>
                <w:webHidden/>
              </w:rPr>
              <w:fldChar w:fldCharType="separate"/>
            </w:r>
            <w:r w:rsidR="005449BA">
              <w:rPr>
                <w:noProof/>
                <w:webHidden/>
              </w:rPr>
              <w:t>16</w:t>
            </w:r>
            <w:r w:rsidR="002207FE" w:rsidRPr="002207FE">
              <w:rPr>
                <w:noProof/>
                <w:webHidden/>
              </w:rPr>
              <w:fldChar w:fldCharType="end"/>
            </w:r>
          </w:hyperlink>
        </w:p>
        <w:p w14:paraId="1F322D77" w14:textId="77777777" w:rsidR="002207FE" w:rsidRPr="002207FE" w:rsidRDefault="00FB29D7" w:rsidP="002207FE">
          <w:pPr>
            <w:pStyle w:val="TDC3"/>
            <w:tabs>
              <w:tab w:val="right" w:leader="dot" w:pos="9034"/>
            </w:tabs>
            <w:rPr>
              <w:rFonts w:asciiTheme="minorHAnsi" w:eastAsiaTheme="minorEastAsia" w:hAnsiTheme="minorHAnsi" w:cstheme="minorBidi"/>
              <w:noProof/>
            </w:rPr>
          </w:pPr>
          <w:hyperlink w:anchor="_Toc207804470" w:history="1">
            <w:r w:rsidR="002207FE" w:rsidRPr="002207FE">
              <w:rPr>
                <w:rStyle w:val="Hipervnculo"/>
                <w:noProof/>
                <w:color w:val="auto"/>
              </w:rPr>
              <w:t>d) Versión pública</w:t>
            </w:r>
            <w:r w:rsidR="002207FE" w:rsidRPr="002207FE">
              <w:rPr>
                <w:noProof/>
                <w:webHidden/>
              </w:rPr>
              <w:tab/>
            </w:r>
            <w:r w:rsidR="002207FE" w:rsidRPr="002207FE">
              <w:rPr>
                <w:noProof/>
                <w:webHidden/>
              </w:rPr>
              <w:fldChar w:fldCharType="begin"/>
            </w:r>
            <w:r w:rsidR="002207FE" w:rsidRPr="002207FE">
              <w:rPr>
                <w:noProof/>
                <w:webHidden/>
              </w:rPr>
              <w:instrText xml:space="preserve"> PAGEREF _Toc207804470 \h </w:instrText>
            </w:r>
            <w:r w:rsidR="002207FE" w:rsidRPr="002207FE">
              <w:rPr>
                <w:noProof/>
                <w:webHidden/>
              </w:rPr>
            </w:r>
            <w:r w:rsidR="002207FE" w:rsidRPr="002207FE">
              <w:rPr>
                <w:noProof/>
                <w:webHidden/>
              </w:rPr>
              <w:fldChar w:fldCharType="separate"/>
            </w:r>
            <w:r w:rsidR="005449BA">
              <w:rPr>
                <w:noProof/>
                <w:webHidden/>
              </w:rPr>
              <w:t>26</w:t>
            </w:r>
            <w:r w:rsidR="002207FE" w:rsidRPr="002207FE">
              <w:rPr>
                <w:noProof/>
                <w:webHidden/>
              </w:rPr>
              <w:fldChar w:fldCharType="end"/>
            </w:r>
          </w:hyperlink>
        </w:p>
        <w:p w14:paraId="6306F75C" w14:textId="77777777" w:rsidR="002207FE" w:rsidRPr="002207FE" w:rsidRDefault="00FB29D7" w:rsidP="002207FE">
          <w:pPr>
            <w:pStyle w:val="TDC3"/>
            <w:tabs>
              <w:tab w:val="right" w:leader="dot" w:pos="9034"/>
            </w:tabs>
            <w:rPr>
              <w:rFonts w:asciiTheme="minorHAnsi" w:eastAsiaTheme="minorEastAsia" w:hAnsiTheme="minorHAnsi" w:cstheme="minorBidi"/>
              <w:noProof/>
            </w:rPr>
          </w:pPr>
          <w:hyperlink w:anchor="_Toc207804471" w:history="1">
            <w:r w:rsidR="002207FE" w:rsidRPr="002207FE">
              <w:rPr>
                <w:rStyle w:val="Hipervnculo"/>
                <w:noProof/>
                <w:color w:val="auto"/>
              </w:rPr>
              <w:t>e) Conclusión</w:t>
            </w:r>
            <w:r w:rsidR="002207FE" w:rsidRPr="002207FE">
              <w:rPr>
                <w:noProof/>
                <w:webHidden/>
              </w:rPr>
              <w:tab/>
            </w:r>
            <w:r w:rsidR="002207FE" w:rsidRPr="002207FE">
              <w:rPr>
                <w:noProof/>
                <w:webHidden/>
              </w:rPr>
              <w:fldChar w:fldCharType="begin"/>
            </w:r>
            <w:r w:rsidR="002207FE" w:rsidRPr="002207FE">
              <w:rPr>
                <w:noProof/>
                <w:webHidden/>
              </w:rPr>
              <w:instrText xml:space="preserve"> PAGEREF _Toc207804471 \h </w:instrText>
            </w:r>
            <w:r w:rsidR="002207FE" w:rsidRPr="002207FE">
              <w:rPr>
                <w:noProof/>
                <w:webHidden/>
              </w:rPr>
            </w:r>
            <w:r w:rsidR="002207FE" w:rsidRPr="002207FE">
              <w:rPr>
                <w:noProof/>
                <w:webHidden/>
              </w:rPr>
              <w:fldChar w:fldCharType="separate"/>
            </w:r>
            <w:r w:rsidR="005449BA">
              <w:rPr>
                <w:noProof/>
                <w:webHidden/>
              </w:rPr>
              <w:t>50</w:t>
            </w:r>
            <w:r w:rsidR="002207FE" w:rsidRPr="002207FE">
              <w:rPr>
                <w:noProof/>
                <w:webHidden/>
              </w:rPr>
              <w:fldChar w:fldCharType="end"/>
            </w:r>
          </w:hyperlink>
        </w:p>
        <w:p w14:paraId="1D4C690E" w14:textId="77777777" w:rsidR="002207FE" w:rsidRPr="002207FE" w:rsidRDefault="00FB29D7" w:rsidP="002207FE">
          <w:pPr>
            <w:pStyle w:val="TDC1"/>
            <w:tabs>
              <w:tab w:val="right" w:leader="dot" w:pos="9034"/>
            </w:tabs>
            <w:rPr>
              <w:rFonts w:asciiTheme="minorHAnsi" w:eastAsiaTheme="minorEastAsia" w:hAnsiTheme="minorHAnsi" w:cstheme="minorBidi"/>
              <w:noProof/>
            </w:rPr>
          </w:pPr>
          <w:hyperlink w:anchor="_Toc207804472" w:history="1">
            <w:r w:rsidR="002207FE" w:rsidRPr="002207FE">
              <w:rPr>
                <w:rStyle w:val="Hipervnculo"/>
                <w:noProof/>
                <w:color w:val="auto"/>
              </w:rPr>
              <w:t>RESUELVE</w:t>
            </w:r>
            <w:r w:rsidR="002207FE" w:rsidRPr="002207FE">
              <w:rPr>
                <w:noProof/>
                <w:webHidden/>
              </w:rPr>
              <w:tab/>
            </w:r>
            <w:r w:rsidR="002207FE" w:rsidRPr="002207FE">
              <w:rPr>
                <w:noProof/>
                <w:webHidden/>
              </w:rPr>
              <w:fldChar w:fldCharType="begin"/>
            </w:r>
            <w:r w:rsidR="002207FE" w:rsidRPr="002207FE">
              <w:rPr>
                <w:noProof/>
                <w:webHidden/>
              </w:rPr>
              <w:instrText xml:space="preserve"> PAGEREF _Toc207804472 \h </w:instrText>
            </w:r>
            <w:r w:rsidR="002207FE" w:rsidRPr="002207FE">
              <w:rPr>
                <w:noProof/>
                <w:webHidden/>
              </w:rPr>
            </w:r>
            <w:r w:rsidR="002207FE" w:rsidRPr="002207FE">
              <w:rPr>
                <w:noProof/>
                <w:webHidden/>
              </w:rPr>
              <w:fldChar w:fldCharType="separate"/>
            </w:r>
            <w:r w:rsidR="005449BA">
              <w:rPr>
                <w:noProof/>
                <w:webHidden/>
              </w:rPr>
              <w:t>51</w:t>
            </w:r>
            <w:r w:rsidR="002207FE" w:rsidRPr="002207FE">
              <w:rPr>
                <w:noProof/>
                <w:webHidden/>
              </w:rPr>
              <w:fldChar w:fldCharType="end"/>
            </w:r>
          </w:hyperlink>
        </w:p>
        <w:p w14:paraId="491CC49C" w14:textId="0D5DF0CC" w:rsidR="00764F1A" w:rsidRPr="002207FE" w:rsidRDefault="00764F1A" w:rsidP="002207FE">
          <w:pPr>
            <w:spacing w:line="240" w:lineRule="auto"/>
          </w:pPr>
          <w:r w:rsidRPr="002207FE">
            <w:rPr>
              <w:b/>
              <w:bCs/>
              <w:lang w:val="es-ES"/>
            </w:rPr>
            <w:fldChar w:fldCharType="end"/>
          </w:r>
        </w:p>
      </w:sdtContent>
    </w:sdt>
    <w:p w14:paraId="4933E913" w14:textId="77777777" w:rsidR="003B3CD6" w:rsidRPr="002207FE" w:rsidRDefault="003B3CD6" w:rsidP="002207FE">
      <w:pPr>
        <w:pBdr>
          <w:top w:val="nil"/>
          <w:left w:val="nil"/>
          <w:bottom w:val="nil"/>
          <w:right w:val="nil"/>
          <w:between w:val="nil"/>
        </w:pBdr>
        <w:tabs>
          <w:tab w:val="right" w:pos="9034"/>
        </w:tabs>
        <w:spacing w:after="100"/>
        <w:rPr>
          <w:b/>
        </w:rPr>
        <w:sectPr w:rsidR="003B3CD6" w:rsidRPr="002207FE" w:rsidSect="0022080E">
          <w:headerReference w:type="default" r:id="rId9"/>
          <w:footerReference w:type="default" r:id="rId10"/>
          <w:headerReference w:type="first" r:id="rId11"/>
          <w:pgSz w:w="12240" w:h="15840"/>
          <w:pgMar w:top="2552" w:right="1608" w:bottom="1134" w:left="1588" w:header="709" w:footer="737" w:gutter="0"/>
          <w:pgNumType w:start="1"/>
          <w:cols w:space="720"/>
          <w:titlePg/>
        </w:sectPr>
      </w:pPr>
    </w:p>
    <w:p w14:paraId="6781678D" w14:textId="0ED95DA2" w:rsidR="003B3CD6" w:rsidRPr="002207FE" w:rsidRDefault="004C3B66" w:rsidP="002207FE">
      <w:pPr>
        <w:rPr>
          <w:b/>
        </w:rPr>
      </w:pPr>
      <w:r w:rsidRPr="002207FE">
        <w:lastRenderedPageBreak/>
        <w:t>Resolución del Pleno del Instituto de Transparencia, Acceso a la Información Pública y Protección de Datos Personales del Estado de México y Municipios, con domicilio en Metepec, Estado de México, de</w:t>
      </w:r>
      <w:r w:rsidR="00352F7F" w:rsidRPr="002207FE">
        <w:t>l</w:t>
      </w:r>
      <w:r w:rsidRPr="002207FE">
        <w:t xml:space="preserve"> </w:t>
      </w:r>
      <w:r w:rsidR="00E8727C" w:rsidRPr="002207FE">
        <w:rPr>
          <w:b/>
        </w:rPr>
        <w:t>tres de septiembre</w:t>
      </w:r>
      <w:r w:rsidRPr="002207FE">
        <w:rPr>
          <w:b/>
        </w:rPr>
        <w:t xml:space="preserve"> de dos mil veinticinco.</w:t>
      </w:r>
    </w:p>
    <w:p w14:paraId="6A6E6A68" w14:textId="77777777" w:rsidR="003B3CD6" w:rsidRPr="002207FE" w:rsidRDefault="003B3CD6" w:rsidP="002207FE"/>
    <w:p w14:paraId="28F4FDFC" w14:textId="3567EB13" w:rsidR="003B3CD6" w:rsidRPr="002207FE" w:rsidRDefault="004C3B66" w:rsidP="002207FE">
      <w:r w:rsidRPr="002207FE">
        <w:rPr>
          <w:b/>
        </w:rPr>
        <w:t xml:space="preserve">VISTO </w:t>
      </w:r>
      <w:r w:rsidRPr="002207FE">
        <w:t xml:space="preserve">el expediente formado con motivo del Recurso de Revisión </w:t>
      </w:r>
      <w:r w:rsidR="00703BB6" w:rsidRPr="002207FE">
        <w:rPr>
          <w:b/>
        </w:rPr>
        <w:t>06217/INFOEM/IP/RR/2025</w:t>
      </w:r>
      <w:r w:rsidRPr="002207FE">
        <w:rPr>
          <w:b/>
        </w:rPr>
        <w:t xml:space="preserve"> </w:t>
      </w:r>
      <w:r w:rsidRPr="002207FE">
        <w:t xml:space="preserve">interpuesto por </w:t>
      </w:r>
      <w:bookmarkStart w:id="2" w:name="_GoBack"/>
      <w:r w:rsidR="00A8498E">
        <w:rPr>
          <w:b/>
        </w:rPr>
        <w:t>XXXXX XXXXXX XXXXXXXX</w:t>
      </w:r>
      <w:bookmarkEnd w:id="2"/>
      <w:r w:rsidRPr="002207FE">
        <w:t xml:space="preserve">, a quien en lo subsecuente se le denominará </w:t>
      </w:r>
      <w:r w:rsidRPr="002207FE">
        <w:rPr>
          <w:b/>
        </w:rPr>
        <w:t>LA PARTE RECURRENTE</w:t>
      </w:r>
      <w:r w:rsidRPr="002207FE">
        <w:t xml:space="preserve">, en contra de la respuesta emitida por el </w:t>
      </w:r>
      <w:r w:rsidR="00703BB6" w:rsidRPr="002207FE">
        <w:rPr>
          <w:b/>
        </w:rPr>
        <w:t>Ayuntamiento de Huixquilucan</w:t>
      </w:r>
      <w:r w:rsidRPr="002207FE">
        <w:t xml:space="preserve">, en adelante </w:t>
      </w:r>
      <w:r w:rsidRPr="002207FE">
        <w:rPr>
          <w:b/>
        </w:rPr>
        <w:t>EL SUJETO OBLIGADO</w:t>
      </w:r>
      <w:r w:rsidRPr="002207FE">
        <w:t>, se emite la presente Resolución con base en los Antecedentes y Considerandos que se exponen a continuación:</w:t>
      </w:r>
    </w:p>
    <w:p w14:paraId="59C07D18" w14:textId="77777777" w:rsidR="003B3CD6" w:rsidRPr="002207FE" w:rsidRDefault="003B3CD6" w:rsidP="002207FE"/>
    <w:p w14:paraId="488BE5AC" w14:textId="77777777" w:rsidR="003B3CD6" w:rsidRPr="002207FE" w:rsidRDefault="004C3B66" w:rsidP="002207FE">
      <w:pPr>
        <w:pStyle w:val="Ttulo1"/>
      </w:pPr>
      <w:bookmarkStart w:id="3" w:name="_Toc207804446"/>
      <w:r w:rsidRPr="002207FE">
        <w:t>ANTECEDENTES</w:t>
      </w:r>
      <w:bookmarkEnd w:id="3"/>
    </w:p>
    <w:p w14:paraId="39F6DD2A" w14:textId="77777777" w:rsidR="003B3CD6" w:rsidRPr="002207FE" w:rsidRDefault="003B3CD6" w:rsidP="002207FE"/>
    <w:p w14:paraId="4E8F5A64" w14:textId="77777777" w:rsidR="003B3CD6" w:rsidRPr="002207FE" w:rsidRDefault="004C3B66" w:rsidP="002207FE">
      <w:pPr>
        <w:pStyle w:val="Ttulo2"/>
      </w:pPr>
      <w:bookmarkStart w:id="4" w:name="_Toc207804447"/>
      <w:r w:rsidRPr="002207FE">
        <w:t>DE LA SOLICITUD DE INFORMACIÓN</w:t>
      </w:r>
      <w:bookmarkEnd w:id="4"/>
    </w:p>
    <w:p w14:paraId="6C8B88C4" w14:textId="77777777" w:rsidR="003B3CD6" w:rsidRPr="002207FE" w:rsidRDefault="004C3B66" w:rsidP="002207FE">
      <w:pPr>
        <w:pStyle w:val="Ttulo3"/>
      </w:pPr>
      <w:bookmarkStart w:id="5" w:name="_Toc207804448"/>
      <w:r w:rsidRPr="002207FE">
        <w:t>a) Solicitud de información</w:t>
      </w:r>
      <w:bookmarkEnd w:id="5"/>
    </w:p>
    <w:p w14:paraId="400AAA42" w14:textId="06FEF46A" w:rsidR="003B3CD6" w:rsidRPr="002207FE" w:rsidRDefault="004C3B66" w:rsidP="002207FE">
      <w:r w:rsidRPr="002207FE">
        <w:t xml:space="preserve">El </w:t>
      </w:r>
      <w:r w:rsidR="00703BB6" w:rsidRPr="002207FE">
        <w:rPr>
          <w:b/>
        </w:rPr>
        <w:t>ocho de mayo</w:t>
      </w:r>
      <w:r w:rsidRPr="002207FE">
        <w:rPr>
          <w:b/>
        </w:rPr>
        <w:t xml:space="preserve"> de dos mil veinticinco,</w:t>
      </w:r>
      <w:r w:rsidRPr="002207FE">
        <w:t xml:space="preserve"> </w:t>
      </w:r>
      <w:r w:rsidRPr="002207FE">
        <w:rPr>
          <w:b/>
        </w:rPr>
        <w:t>LA PARTE RECURRENTE</w:t>
      </w:r>
      <w:r w:rsidRPr="002207FE">
        <w:t xml:space="preserve"> presentó una solicitud de acceso a la información pública ante el </w:t>
      </w:r>
      <w:r w:rsidRPr="002207FE">
        <w:rPr>
          <w:b/>
        </w:rPr>
        <w:t>SUJETO OBLIGADO</w:t>
      </w:r>
      <w:r w:rsidRPr="002207FE">
        <w:t>, a través del Sistema de Acceso a la Información Mexiquense (</w:t>
      </w:r>
      <w:r w:rsidRPr="002207FE">
        <w:rPr>
          <w:b/>
          <w:bCs/>
        </w:rPr>
        <w:t>SAIMEX).</w:t>
      </w:r>
      <w:r w:rsidRPr="002207FE">
        <w:t xml:space="preserve"> Dicha solicitud quedó registrada con el número de folio</w:t>
      </w:r>
      <w:r w:rsidRPr="002207FE">
        <w:rPr>
          <w:b/>
        </w:rPr>
        <w:t xml:space="preserve"> </w:t>
      </w:r>
      <w:r w:rsidR="00703BB6" w:rsidRPr="002207FE">
        <w:rPr>
          <w:b/>
        </w:rPr>
        <w:t>00074/HUIXQUIL/IP/2025</w:t>
      </w:r>
      <w:r w:rsidRPr="002207FE">
        <w:rPr>
          <w:b/>
        </w:rPr>
        <w:t xml:space="preserve"> </w:t>
      </w:r>
      <w:r w:rsidRPr="002207FE">
        <w:t>y en ella se requirió la siguiente información:</w:t>
      </w:r>
    </w:p>
    <w:p w14:paraId="743284E8" w14:textId="77777777" w:rsidR="003B3CD6" w:rsidRPr="002207FE" w:rsidRDefault="003B3CD6" w:rsidP="002207FE">
      <w:pPr>
        <w:tabs>
          <w:tab w:val="left" w:pos="4667"/>
        </w:tabs>
        <w:ind w:right="567"/>
        <w:rPr>
          <w:i/>
        </w:rPr>
      </w:pPr>
    </w:p>
    <w:p w14:paraId="5121BDCE" w14:textId="000E191D" w:rsidR="003B3CD6" w:rsidRPr="002207FE" w:rsidRDefault="004C3B66" w:rsidP="002207FE">
      <w:pPr>
        <w:pStyle w:val="Puesto"/>
        <w:ind w:firstLine="0"/>
        <w:rPr>
          <w:color w:val="auto"/>
        </w:rPr>
      </w:pPr>
      <w:bookmarkStart w:id="6" w:name="_heading=h.9kjanwsfvsso" w:colFirst="0" w:colLast="0"/>
      <w:bookmarkEnd w:id="6"/>
      <w:r w:rsidRPr="002207FE">
        <w:rPr>
          <w:color w:val="auto"/>
        </w:rPr>
        <w:t>“</w:t>
      </w:r>
      <w:r w:rsidR="00703BB6" w:rsidRPr="002207FE">
        <w:rPr>
          <w:color w:val="auto"/>
        </w:rPr>
        <w:t>solicito copia simple digitalizada a través del sistema electrónico saimex de los recibos de nómina de la presidenta municipal, sindicos, regidores y directores de área correspondientes a la segunda quincena del mes de abril de 2025.</w:t>
      </w:r>
      <w:r w:rsidRPr="002207FE">
        <w:rPr>
          <w:color w:val="auto"/>
        </w:rPr>
        <w:t>” (sic)</w:t>
      </w:r>
    </w:p>
    <w:p w14:paraId="167B55B0" w14:textId="77777777" w:rsidR="003B3CD6" w:rsidRPr="002207FE" w:rsidRDefault="003B3CD6" w:rsidP="002207FE"/>
    <w:p w14:paraId="14931037" w14:textId="77777777" w:rsidR="003B3CD6" w:rsidRPr="002207FE" w:rsidRDefault="004C3B66" w:rsidP="002207FE">
      <w:pPr>
        <w:tabs>
          <w:tab w:val="left" w:pos="4667"/>
        </w:tabs>
        <w:ind w:right="567"/>
        <w:rPr>
          <w:i/>
        </w:rPr>
      </w:pPr>
      <w:r w:rsidRPr="002207FE">
        <w:rPr>
          <w:b/>
        </w:rPr>
        <w:t>Modalidad de entrega</w:t>
      </w:r>
      <w:r w:rsidRPr="002207FE">
        <w:t>: a</w:t>
      </w:r>
      <w:r w:rsidRPr="002207FE">
        <w:rPr>
          <w:i/>
        </w:rPr>
        <w:t xml:space="preserve"> través del </w:t>
      </w:r>
      <w:r w:rsidRPr="002207FE">
        <w:rPr>
          <w:b/>
          <w:i/>
        </w:rPr>
        <w:t>SAIMEX</w:t>
      </w:r>
      <w:r w:rsidRPr="002207FE">
        <w:rPr>
          <w:i/>
        </w:rPr>
        <w:t>.</w:t>
      </w:r>
    </w:p>
    <w:p w14:paraId="1A21AF2F" w14:textId="77777777" w:rsidR="00EB2047" w:rsidRPr="002207FE" w:rsidRDefault="00EB2047" w:rsidP="002207FE">
      <w:pPr>
        <w:tabs>
          <w:tab w:val="left" w:pos="4667"/>
        </w:tabs>
        <w:ind w:right="567"/>
        <w:rPr>
          <w:i/>
        </w:rPr>
      </w:pPr>
    </w:p>
    <w:p w14:paraId="38CA2B8A" w14:textId="77777777" w:rsidR="003B3CD6" w:rsidRPr="002207FE" w:rsidRDefault="004C3B66" w:rsidP="002207FE">
      <w:pPr>
        <w:pStyle w:val="Ttulo3"/>
      </w:pPr>
      <w:bookmarkStart w:id="7" w:name="_Toc207804449"/>
      <w:r w:rsidRPr="002207FE">
        <w:lastRenderedPageBreak/>
        <w:t>b) Turno de la solicitud de información</w:t>
      </w:r>
      <w:bookmarkEnd w:id="7"/>
    </w:p>
    <w:p w14:paraId="3EF50CE6" w14:textId="0A8C7374" w:rsidR="003B3CD6" w:rsidRPr="002207FE" w:rsidRDefault="004C3B66" w:rsidP="002207FE">
      <w:r w:rsidRPr="002207FE">
        <w:t xml:space="preserve">En cumplimiento al artículo 162 de la Ley de Transparencia y Acceso a la Información Pública del Estado de México y Municipios, el </w:t>
      </w:r>
      <w:r w:rsidR="00703BB6" w:rsidRPr="002207FE">
        <w:rPr>
          <w:b/>
        </w:rPr>
        <w:t>ocho de mayo</w:t>
      </w:r>
      <w:r w:rsidRPr="002207FE">
        <w:rPr>
          <w:b/>
        </w:rPr>
        <w:t xml:space="preserve"> de dos mil veinticinco</w:t>
      </w:r>
      <w:r w:rsidRPr="002207FE">
        <w:t xml:space="preserve">, el Titular de la Unidad de Transparencia del </w:t>
      </w:r>
      <w:r w:rsidRPr="002207FE">
        <w:rPr>
          <w:b/>
        </w:rPr>
        <w:t>SUJETO OBLIGADO</w:t>
      </w:r>
      <w:r w:rsidRPr="002207FE">
        <w:t xml:space="preserve"> turnó la solicitud de información al servidor público habilitado que estimó pertinente.</w:t>
      </w:r>
    </w:p>
    <w:p w14:paraId="59FC9D22" w14:textId="77777777" w:rsidR="003B3CD6" w:rsidRPr="002207FE" w:rsidRDefault="003B3CD6" w:rsidP="002207FE">
      <w:pPr>
        <w:tabs>
          <w:tab w:val="left" w:pos="4667"/>
        </w:tabs>
        <w:ind w:right="567"/>
        <w:rPr>
          <w:i/>
        </w:rPr>
      </w:pPr>
    </w:p>
    <w:p w14:paraId="4B25096D" w14:textId="77777777" w:rsidR="003B3CD6" w:rsidRPr="002207FE" w:rsidRDefault="004C3B66" w:rsidP="002207FE">
      <w:pPr>
        <w:pStyle w:val="Ttulo3"/>
      </w:pPr>
      <w:bookmarkStart w:id="8" w:name="_Toc207804450"/>
      <w:r w:rsidRPr="002207FE">
        <w:t>c) Respuesta del Sujeto Obligado</w:t>
      </w:r>
      <w:bookmarkEnd w:id="8"/>
    </w:p>
    <w:p w14:paraId="66E77FE6" w14:textId="6BC13D1E" w:rsidR="003B3CD6" w:rsidRPr="002207FE" w:rsidRDefault="004C3B66" w:rsidP="002207FE">
      <w:pPr>
        <w:pBdr>
          <w:top w:val="nil"/>
          <w:left w:val="nil"/>
          <w:bottom w:val="nil"/>
          <w:right w:val="nil"/>
          <w:between w:val="nil"/>
        </w:pBdr>
      </w:pPr>
      <w:r w:rsidRPr="002207FE">
        <w:t xml:space="preserve">El </w:t>
      </w:r>
      <w:r w:rsidR="00703BB6" w:rsidRPr="002207FE">
        <w:rPr>
          <w:b/>
        </w:rPr>
        <w:t>veintinueve</w:t>
      </w:r>
      <w:r w:rsidR="00A40816" w:rsidRPr="002207FE">
        <w:rPr>
          <w:b/>
        </w:rPr>
        <w:t xml:space="preserve"> de mayo</w:t>
      </w:r>
      <w:r w:rsidRPr="002207FE">
        <w:rPr>
          <w:b/>
        </w:rPr>
        <w:t xml:space="preserve"> de dos mil veinticinco, </w:t>
      </w:r>
      <w:r w:rsidRPr="002207FE">
        <w:t xml:space="preserve">el Titular de la Unidad de Transparencia del </w:t>
      </w:r>
      <w:r w:rsidRPr="002207FE">
        <w:rPr>
          <w:b/>
        </w:rPr>
        <w:t>SUJETO OBLIGADO</w:t>
      </w:r>
      <w:r w:rsidRPr="002207FE">
        <w:t xml:space="preserve"> notificó a través del </w:t>
      </w:r>
      <w:r w:rsidRPr="002207FE">
        <w:rPr>
          <w:b/>
        </w:rPr>
        <w:t>SAIMEX</w:t>
      </w:r>
      <w:r w:rsidRPr="002207FE">
        <w:t xml:space="preserve"> la siguiente respuesta:</w:t>
      </w:r>
    </w:p>
    <w:p w14:paraId="5A228A92" w14:textId="77777777" w:rsidR="003B3CD6" w:rsidRPr="002207FE" w:rsidRDefault="003B3CD6" w:rsidP="002207FE">
      <w:pPr>
        <w:pStyle w:val="Puesto"/>
        <w:ind w:left="0" w:firstLine="0"/>
        <w:rPr>
          <w:color w:val="auto"/>
        </w:rPr>
      </w:pPr>
    </w:p>
    <w:p w14:paraId="10EFDA53" w14:textId="77777777" w:rsidR="0082446F" w:rsidRPr="002207FE" w:rsidRDefault="004C3B66" w:rsidP="002207FE">
      <w:pPr>
        <w:pStyle w:val="Puesto"/>
        <w:jc w:val="right"/>
        <w:rPr>
          <w:color w:val="auto"/>
        </w:rPr>
      </w:pPr>
      <w:r w:rsidRPr="002207FE">
        <w:rPr>
          <w:color w:val="auto"/>
        </w:rPr>
        <w:t>“</w:t>
      </w:r>
      <w:r w:rsidR="0082446F" w:rsidRPr="002207FE">
        <w:rPr>
          <w:color w:val="auto"/>
        </w:rPr>
        <w:t>Folio de la solicitud: 00074/HUIXQUIL/IP/2025</w:t>
      </w:r>
    </w:p>
    <w:p w14:paraId="4CD31E1C" w14:textId="77777777" w:rsidR="0082446F" w:rsidRPr="002207FE" w:rsidRDefault="0082446F" w:rsidP="002207FE"/>
    <w:p w14:paraId="5C974A8A" w14:textId="77777777" w:rsidR="0082446F" w:rsidRPr="002207FE" w:rsidRDefault="0082446F" w:rsidP="002207FE">
      <w:pPr>
        <w:pStyle w:val="Puesto"/>
        <w:ind w:firstLine="0"/>
        <w:rPr>
          <w:color w:val="auto"/>
        </w:rPr>
      </w:pPr>
      <w:r w:rsidRPr="002207FE">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1A7C8E6" w14:textId="77777777" w:rsidR="0082446F" w:rsidRPr="002207FE" w:rsidRDefault="0082446F" w:rsidP="002207FE">
      <w:pPr>
        <w:pStyle w:val="Puesto"/>
        <w:ind w:firstLine="0"/>
        <w:rPr>
          <w:color w:val="auto"/>
        </w:rPr>
      </w:pPr>
    </w:p>
    <w:p w14:paraId="3313664D" w14:textId="77777777" w:rsidR="0082446F" w:rsidRPr="002207FE" w:rsidRDefault="0082446F" w:rsidP="002207FE">
      <w:pPr>
        <w:pStyle w:val="Puesto"/>
        <w:ind w:firstLine="0"/>
        <w:rPr>
          <w:color w:val="auto"/>
        </w:rPr>
      </w:pPr>
      <w:r w:rsidRPr="002207FE">
        <w:rPr>
          <w:color w:val="auto"/>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AL RESPECTO Y EN ATENCIÓN A SU SOLICITUD DE INFORMACIÓN REGISTRADA EN EL SISTEMA DE ACCESO A LA INFORMACIÓN MEXIQUENSE (SAIMEX) CON EL NÚMERO DE FOLIO: </w:t>
      </w:r>
      <w:r w:rsidRPr="002207FE">
        <w:rPr>
          <w:color w:val="auto"/>
        </w:rPr>
        <w:lastRenderedPageBreak/>
        <w:t>00074/HUIXQUIL/IP/2025, MISMA QUE A LA LETRA DICE: “solicito copia simple digitalizada a través del sistema electrónico saimex de los recibos de nómina de la presidenta municipal, sindicos, regidores y directores de área correspondientes a la segunda quincena del mes de abril de 2025.” (sic). SOBRE EL PARTICULAR, ESTA UNIDAD DE TRANSPARENCIA EN EJERCICIO DE LAS ATRIBUCIONES QUE LA LEY LE CONFIERE TURNÓ SU SOLICITUD DE INFORMACIÓN A LA SIGUIENTE UNIDAD ADMINISTRATIVA: DIRECCIÓN GENERAL DE ADMINISTRACIÓN QUE DE CONFORMIDAD CON LO ESTABLECIDO EN EL REGLAMENTO ORGÁNICO DE HUIXQUILUCAN ES COMPETENTE PARA CONTESTAR SU SOLICITUD DE INFORMACIÓN, MISMA QUE MANIFESTÓ LO SIGUIENTE: DIRECCIÓN GENERAL DE ADMINISTRACIÓN: “Respuesta 0074-huixquil-ip-2025” (Sic).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 SIN OTRO PARTICULAR, ME REITERO A SUS ÓRDENES Y LE ENVÍO UN CORDIAL SALUDO.</w:t>
      </w:r>
    </w:p>
    <w:p w14:paraId="62F87B87" w14:textId="77777777" w:rsidR="0082446F" w:rsidRPr="002207FE" w:rsidRDefault="0082446F" w:rsidP="002207FE"/>
    <w:p w14:paraId="0A486D78" w14:textId="77777777" w:rsidR="0082446F" w:rsidRPr="002207FE" w:rsidRDefault="0082446F" w:rsidP="002207FE">
      <w:pPr>
        <w:pStyle w:val="Puesto"/>
        <w:ind w:firstLine="0"/>
        <w:rPr>
          <w:color w:val="auto"/>
        </w:rPr>
      </w:pPr>
      <w:r w:rsidRPr="002207FE">
        <w:rPr>
          <w:color w:val="auto"/>
        </w:rPr>
        <w:t>ATENTAMENTE</w:t>
      </w:r>
    </w:p>
    <w:p w14:paraId="441EA7E7" w14:textId="179C51BD" w:rsidR="003B3CD6" w:rsidRPr="002207FE" w:rsidRDefault="0082446F" w:rsidP="002207FE">
      <w:pPr>
        <w:pStyle w:val="Puesto"/>
        <w:ind w:firstLine="0"/>
        <w:rPr>
          <w:color w:val="auto"/>
          <w:lang w:val="pt-PT"/>
        </w:rPr>
      </w:pPr>
      <w:r w:rsidRPr="002207FE">
        <w:rPr>
          <w:color w:val="auto"/>
        </w:rPr>
        <w:t>C. BERENICE TUXPAN TORAL</w:t>
      </w:r>
      <w:r w:rsidR="004C3B66" w:rsidRPr="002207FE">
        <w:rPr>
          <w:color w:val="auto"/>
          <w:lang w:val="pt-PT"/>
        </w:rPr>
        <w:t>” (sic)</w:t>
      </w:r>
    </w:p>
    <w:p w14:paraId="671C175E" w14:textId="77777777" w:rsidR="003B3CD6" w:rsidRPr="002207FE" w:rsidRDefault="003B3CD6" w:rsidP="002207FE">
      <w:pPr>
        <w:ind w:right="-28"/>
        <w:rPr>
          <w:lang w:val="pt-PT"/>
        </w:rPr>
      </w:pPr>
    </w:p>
    <w:p w14:paraId="2D708FB8" w14:textId="77777777" w:rsidR="0082446F" w:rsidRPr="002207FE" w:rsidRDefault="0082446F" w:rsidP="002207FE">
      <w:pPr>
        <w:ind w:right="-28"/>
        <w:rPr>
          <w:lang w:val="pt-PT"/>
        </w:rPr>
      </w:pPr>
    </w:p>
    <w:p w14:paraId="3BB951CE" w14:textId="63E925DE" w:rsidR="003B3CD6" w:rsidRPr="002207FE" w:rsidRDefault="004C3B66" w:rsidP="002207FE">
      <w:pPr>
        <w:ind w:right="-28"/>
      </w:pPr>
      <w:r w:rsidRPr="002207FE">
        <w:lastRenderedPageBreak/>
        <w:t xml:space="preserve">Asimismo, </w:t>
      </w:r>
      <w:r w:rsidRPr="002207FE">
        <w:rPr>
          <w:b/>
        </w:rPr>
        <w:t xml:space="preserve">EL SUJETO OBLIGADO </w:t>
      </w:r>
      <w:r w:rsidRPr="002207FE">
        <w:t xml:space="preserve">adjuntó a su respuesta </w:t>
      </w:r>
      <w:r w:rsidR="0082446F" w:rsidRPr="002207FE">
        <w:t>el</w:t>
      </w:r>
      <w:r w:rsidRPr="002207FE">
        <w:t xml:space="preserve"> archivo electrónico que se describe:</w:t>
      </w:r>
    </w:p>
    <w:p w14:paraId="7A1B4038" w14:textId="77777777" w:rsidR="00A40816" w:rsidRPr="002207FE" w:rsidRDefault="00A40816" w:rsidP="002207FE">
      <w:pPr>
        <w:ind w:right="-28"/>
      </w:pPr>
    </w:p>
    <w:p w14:paraId="025EAD03" w14:textId="2523AD97" w:rsidR="0082446F" w:rsidRPr="002207FE" w:rsidRDefault="0082446F" w:rsidP="002207FE">
      <w:pPr>
        <w:pStyle w:val="Prrafodelista"/>
        <w:numPr>
          <w:ilvl w:val="0"/>
          <w:numId w:val="31"/>
        </w:numPr>
        <w:ind w:right="-28"/>
      </w:pPr>
      <w:r w:rsidRPr="002207FE">
        <w:rPr>
          <w:b/>
          <w:i/>
        </w:rPr>
        <w:t>Respuesta 0074-huixquil-ip-2025.pdf</w:t>
      </w:r>
      <w:r w:rsidRPr="002207FE">
        <w:t xml:space="preserve">.- </w:t>
      </w:r>
      <w:r w:rsidR="003F415E" w:rsidRPr="002207FE">
        <w:t xml:space="preserve">Oficio SAP/0926/05/2025 de fecha 13 de mayo de 2025, dirigido a la Subdirectora de Proceso Administrativo Interno, </w:t>
      </w:r>
      <w:r w:rsidR="00352F7F" w:rsidRPr="002207FE">
        <w:t xml:space="preserve">suscrito por la Subdirectora de Administración de Personal, </w:t>
      </w:r>
      <w:r w:rsidR="003F415E" w:rsidRPr="002207FE">
        <w:t>en el que informa:</w:t>
      </w:r>
    </w:p>
    <w:p w14:paraId="50AC7FA9" w14:textId="77777777" w:rsidR="003F415E" w:rsidRPr="002207FE" w:rsidRDefault="003F415E" w:rsidP="002207FE">
      <w:pPr>
        <w:pStyle w:val="Prrafodelista"/>
        <w:ind w:right="-28"/>
      </w:pPr>
    </w:p>
    <w:p w14:paraId="7CE9E055" w14:textId="37417836" w:rsidR="003F415E" w:rsidRPr="002207FE" w:rsidRDefault="003F415E" w:rsidP="002207FE">
      <w:pPr>
        <w:pStyle w:val="Prrafodelista"/>
        <w:spacing w:line="240" w:lineRule="auto"/>
        <w:ind w:right="-28"/>
        <w:rPr>
          <w:i/>
        </w:rPr>
      </w:pPr>
      <w:r w:rsidRPr="002207FE">
        <w:rPr>
          <w:b/>
          <w:i/>
        </w:rPr>
        <w:t>“</w:t>
      </w:r>
      <w:r w:rsidRPr="002207FE">
        <w:rPr>
          <w:i/>
        </w:rPr>
        <w:t xml:space="preserve">Al respecto y de conformidad con las atribuciones de esta Subdirección, se hace de su conocimiento que la información solicitada se encuentra disponible en la página oficial de Información Pública de Oficio de los Sujetos Obligados del Estado de México y Municipios (IPOMEX), en el apartado del artículo 92, fracción VIII A correspondiente a </w:t>
      </w:r>
      <w:r w:rsidRPr="002207FE">
        <w:rPr>
          <w:b/>
          <w:i/>
        </w:rPr>
        <w:t xml:space="preserve">“Remuneraciones” </w:t>
      </w:r>
      <w:r w:rsidRPr="002207FE">
        <w:rPr>
          <w:i/>
        </w:rPr>
        <w:t>en la sección Remuneraciones en Tabla, disponible en el siguiente link:</w:t>
      </w:r>
    </w:p>
    <w:p w14:paraId="65AD9212" w14:textId="77777777" w:rsidR="003F415E" w:rsidRPr="002207FE" w:rsidRDefault="003F415E" w:rsidP="002207FE">
      <w:pPr>
        <w:pStyle w:val="Prrafodelista"/>
        <w:spacing w:line="240" w:lineRule="auto"/>
        <w:ind w:right="-28"/>
      </w:pPr>
    </w:p>
    <w:p w14:paraId="4EC9B04D" w14:textId="13522104" w:rsidR="003F415E" w:rsidRPr="002207FE" w:rsidRDefault="00352F7F" w:rsidP="002207FE">
      <w:pPr>
        <w:pStyle w:val="Prrafodelista"/>
        <w:ind w:right="-28"/>
      </w:pPr>
      <w:r w:rsidRPr="002207FE">
        <w:rPr>
          <w:noProof/>
        </w:rPr>
        <w:drawing>
          <wp:inline distT="0" distB="0" distL="0" distR="0" wp14:anchorId="50C95D1C" wp14:editId="5805E006">
            <wp:extent cx="3458058" cy="228632"/>
            <wp:effectExtent l="0" t="0" r="0" b="0"/>
            <wp:docPr id="5814062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406244" name=""/>
                    <pic:cNvPicPr/>
                  </pic:nvPicPr>
                  <pic:blipFill>
                    <a:blip r:embed="rId12"/>
                    <a:stretch>
                      <a:fillRect/>
                    </a:stretch>
                  </pic:blipFill>
                  <pic:spPr>
                    <a:xfrm>
                      <a:off x="0" y="0"/>
                      <a:ext cx="3458058" cy="228632"/>
                    </a:xfrm>
                    <a:prstGeom prst="rect">
                      <a:avLst/>
                    </a:prstGeom>
                  </pic:spPr>
                </pic:pic>
              </a:graphicData>
            </a:graphic>
          </wp:inline>
        </w:drawing>
      </w:r>
    </w:p>
    <w:p w14:paraId="33BFA3A2" w14:textId="77777777" w:rsidR="00ED1C90" w:rsidRPr="002207FE" w:rsidRDefault="00ED1C90" w:rsidP="002207FE">
      <w:pPr>
        <w:ind w:right="-28"/>
        <w:rPr>
          <w:i/>
        </w:rPr>
      </w:pPr>
    </w:p>
    <w:p w14:paraId="6CE325E7" w14:textId="77777777" w:rsidR="003B3CD6" w:rsidRPr="002207FE" w:rsidRDefault="004C3B66" w:rsidP="002207FE">
      <w:pPr>
        <w:pStyle w:val="Ttulo2"/>
        <w:jc w:val="left"/>
      </w:pPr>
      <w:bookmarkStart w:id="9" w:name="_Toc207804451"/>
      <w:r w:rsidRPr="002207FE">
        <w:t>DEL RECURSO DE REVISIÓN</w:t>
      </w:r>
      <w:bookmarkEnd w:id="9"/>
    </w:p>
    <w:p w14:paraId="6131F6D8" w14:textId="77777777" w:rsidR="003B3CD6" w:rsidRPr="002207FE" w:rsidRDefault="004C3B66" w:rsidP="002207FE">
      <w:pPr>
        <w:pStyle w:val="Ttulo3"/>
      </w:pPr>
      <w:bookmarkStart w:id="10" w:name="_Toc207804452"/>
      <w:r w:rsidRPr="002207FE">
        <w:t>a) Interposición del Recurso de Revisión</w:t>
      </w:r>
      <w:bookmarkEnd w:id="10"/>
    </w:p>
    <w:p w14:paraId="54D793E9" w14:textId="58E521EE" w:rsidR="003B3CD6" w:rsidRPr="002207FE" w:rsidRDefault="004C3B66" w:rsidP="002207FE">
      <w:pPr>
        <w:ind w:right="-28"/>
      </w:pPr>
      <w:r w:rsidRPr="002207FE">
        <w:t>El</w:t>
      </w:r>
      <w:r w:rsidRPr="002207FE">
        <w:rPr>
          <w:b/>
        </w:rPr>
        <w:t xml:space="preserve"> </w:t>
      </w:r>
      <w:r w:rsidR="00703BB6" w:rsidRPr="002207FE">
        <w:rPr>
          <w:b/>
        </w:rPr>
        <w:t>veintinueve</w:t>
      </w:r>
      <w:r w:rsidR="00351352" w:rsidRPr="002207FE">
        <w:rPr>
          <w:b/>
        </w:rPr>
        <w:t xml:space="preserve"> de mayo</w:t>
      </w:r>
      <w:r w:rsidRPr="002207FE">
        <w:rPr>
          <w:b/>
        </w:rPr>
        <w:t xml:space="preserve"> de dos mil veinticinco,</w:t>
      </w:r>
      <w:r w:rsidRPr="002207FE">
        <w:t xml:space="preserve"> </w:t>
      </w:r>
      <w:r w:rsidRPr="002207FE">
        <w:rPr>
          <w:b/>
        </w:rPr>
        <w:t>LA PARTE RECURRENTE</w:t>
      </w:r>
      <w:r w:rsidRPr="002207FE">
        <w:t xml:space="preserve"> interpuso el recurso de revisión en contra de la respuesta emitida por el </w:t>
      </w:r>
      <w:r w:rsidRPr="002207FE">
        <w:rPr>
          <w:b/>
        </w:rPr>
        <w:t>SUJETO OBLIGADO</w:t>
      </w:r>
      <w:r w:rsidRPr="002207FE">
        <w:t xml:space="preserve">, mismo que fue registrado en el </w:t>
      </w:r>
      <w:r w:rsidRPr="002207FE">
        <w:rPr>
          <w:b/>
        </w:rPr>
        <w:t>SAIMEX</w:t>
      </w:r>
      <w:r w:rsidRPr="002207FE">
        <w:t xml:space="preserve"> con el número de expediente </w:t>
      </w:r>
      <w:r w:rsidR="00703BB6" w:rsidRPr="002207FE">
        <w:rPr>
          <w:b/>
        </w:rPr>
        <w:t>06217/INFOEM/IP/RR/2025</w:t>
      </w:r>
      <w:r w:rsidRPr="002207FE">
        <w:t>, y en el cual manifestó lo siguiente:</w:t>
      </w:r>
    </w:p>
    <w:p w14:paraId="6D522A82" w14:textId="77777777" w:rsidR="003B3CD6" w:rsidRPr="002207FE" w:rsidRDefault="003B3CD6" w:rsidP="002207FE">
      <w:pPr>
        <w:tabs>
          <w:tab w:val="left" w:pos="4667"/>
        </w:tabs>
        <w:ind w:right="539"/>
      </w:pPr>
    </w:p>
    <w:p w14:paraId="0435A767" w14:textId="77777777" w:rsidR="003B3CD6" w:rsidRPr="002207FE" w:rsidRDefault="004C3B66" w:rsidP="002207FE">
      <w:pPr>
        <w:tabs>
          <w:tab w:val="left" w:pos="4667"/>
        </w:tabs>
        <w:ind w:left="567" w:right="539"/>
        <w:rPr>
          <w:b/>
        </w:rPr>
      </w:pPr>
      <w:r w:rsidRPr="002207FE">
        <w:rPr>
          <w:b/>
        </w:rPr>
        <w:t>ACTO IMPUGNADO</w:t>
      </w:r>
    </w:p>
    <w:p w14:paraId="70AA1D81" w14:textId="77777777" w:rsidR="008B18AE" w:rsidRPr="002207FE" w:rsidRDefault="008B18AE" w:rsidP="002207FE">
      <w:pPr>
        <w:tabs>
          <w:tab w:val="left" w:pos="4667"/>
        </w:tabs>
        <w:ind w:left="567" w:right="539"/>
        <w:rPr>
          <w:b/>
        </w:rPr>
      </w:pPr>
    </w:p>
    <w:p w14:paraId="1963DCBB" w14:textId="3396DE94" w:rsidR="003B3CD6" w:rsidRPr="002207FE" w:rsidRDefault="004C3B66" w:rsidP="002207FE">
      <w:pPr>
        <w:tabs>
          <w:tab w:val="left" w:pos="4667"/>
        </w:tabs>
        <w:spacing w:line="240" w:lineRule="auto"/>
        <w:ind w:left="567" w:right="539"/>
        <w:rPr>
          <w:i/>
        </w:rPr>
      </w:pPr>
      <w:r w:rsidRPr="002207FE">
        <w:rPr>
          <w:i/>
        </w:rPr>
        <w:t>“</w:t>
      </w:r>
      <w:r w:rsidR="00352F7F" w:rsidRPr="002207FE">
        <w:rPr>
          <w:i/>
        </w:rPr>
        <w:t>RESPUESTA A LA SOLICITUD 00074/HUIXQUIL/IP/2025</w:t>
      </w:r>
      <w:r w:rsidRPr="002207FE">
        <w:rPr>
          <w:i/>
        </w:rPr>
        <w:t>” (sic)</w:t>
      </w:r>
    </w:p>
    <w:p w14:paraId="2717C242" w14:textId="77777777" w:rsidR="003B3CD6" w:rsidRPr="002207FE" w:rsidRDefault="003B3CD6" w:rsidP="002207FE">
      <w:pPr>
        <w:tabs>
          <w:tab w:val="left" w:pos="4667"/>
        </w:tabs>
        <w:ind w:left="567" w:right="539"/>
        <w:rPr>
          <w:b/>
        </w:rPr>
      </w:pPr>
    </w:p>
    <w:p w14:paraId="55842D06" w14:textId="77777777" w:rsidR="003B3CD6" w:rsidRPr="002207FE" w:rsidRDefault="004C3B66" w:rsidP="002207FE">
      <w:pPr>
        <w:tabs>
          <w:tab w:val="left" w:pos="4667"/>
        </w:tabs>
        <w:ind w:left="567" w:right="539"/>
        <w:rPr>
          <w:b/>
        </w:rPr>
      </w:pPr>
      <w:r w:rsidRPr="002207FE">
        <w:rPr>
          <w:b/>
        </w:rPr>
        <w:t>RAZONES O MOTIVOS DE LA INCONFORMIDAD</w:t>
      </w:r>
      <w:r w:rsidRPr="002207FE">
        <w:rPr>
          <w:b/>
        </w:rPr>
        <w:tab/>
      </w:r>
    </w:p>
    <w:p w14:paraId="493AD3F3" w14:textId="77777777" w:rsidR="008B18AE" w:rsidRPr="002207FE" w:rsidRDefault="008B18AE" w:rsidP="002207FE">
      <w:pPr>
        <w:tabs>
          <w:tab w:val="left" w:pos="4667"/>
        </w:tabs>
        <w:ind w:left="567" w:right="539"/>
        <w:rPr>
          <w:b/>
        </w:rPr>
      </w:pPr>
    </w:p>
    <w:p w14:paraId="4AC03138" w14:textId="4991EB6E" w:rsidR="003B3CD6" w:rsidRPr="002207FE" w:rsidRDefault="004C3B66" w:rsidP="002207FE">
      <w:pPr>
        <w:pStyle w:val="Puesto"/>
        <w:ind w:firstLine="0"/>
        <w:rPr>
          <w:color w:val="auto"/>
        </w:rPr>
      </w:pPr>
      <w:r w:rsidRPr="002207FE">
        <w:rPr>
          <w:color w:val="auto"/>
        </w:rPr>
        <w:lastRenderedPageBreak/>
        <w:t>“</w:t>
      </w:r>
      <w:r w:rsidR="00352F7F" w:rsidRPr="002207FE">
        <w:rPr>
          <w:color w:val="auto"/>
        </w:rPr>
        <w:t>EN LA PRESENTE SOLICITUD SE SOLICITAN COPIAS SIMPLES DIGITALIZADAS DE DOCUMENTOS PÚBLICOS ESPECÍFICOS QUE EL SUJETO OBLIGADO SE NIEGA A ENTREGAR Y EN SU LUGAR REMITE A INFORMACIÓN QUE NO CORRESPONDE A LO SOLICITADO. EN ESTA SOLICITUD NO SE PIDIERON TABULADORES SINO COPIAS DE RECIBOS DE NÓMINA Y LA RESPUESTA NO CUMPLE CON LA PETICIÓN. POR ELLOS SOLICITO SE REVOQUE LA RESPUESTA DEL SUJETO OBLIGADO Y SE ORDENE LA ENTREGA DE LA INFORMACIÓN EN LOS MISMOS TÉRMINOS EXPUESTOS EN LA SOLICITUD.</w:t>
      </w:r>
      <w:r w:rsidRPr="002207FE">
        <w:rPr>
          <w:color w:val="auto"/>
        </w:rPr>
        <w:t>” (sic)</w:t>
      </w:r>
    </w:p>
    <w:p w14:paraId="4A2D1CB7" w14:textId="77777777" w:rsidR="003B3CD6" w:rsidRPr="002207FE" w:rsidRDefault="003B3CD6" w:rsidP="002207FE">
      <w:pPr>
        <w:ind w:left="567"/>
      </w:pPr>
    </w:p>
    <w:p w14:paraId="3FB37D7C" w14:textId="77777777" w:rsidR="003B3CD6" w:rsidRPr="002207FE" w:rsidRDefault="004C3B66" w:rsidP="002207FE">
      <w:pPr>
        <w:pStyle w:val="Ttulo3"/>
      </w:pPr>
      <w:bookmarkStart w:id="11" w:name="_Toc207804453"/>
      <w:r w:rsidRPr="002207FE">
        <w:t>b) Turno del Recurso de Revisión</w:t>
      </w:r>
      <w:bookmarkEnd w:id="11"/>
    </w:p>
    <w:p w14:paraId="63E1D231" w14:textId="37C19EFE" w:rsidR="003B3CD6" w:rsidRPr="002207FE" w:rsidRDefault="004C3B66" w:rsidP="002207FE">
      <w:r w:rsidRPr="002207FE">
        <w:t>Con fundamento en el artículo 185, fracción I de la Ley de Transparencia y Acceso a la Información Pública del Estado de México y Municipios, el</w:t>
      </w:r>
      <w:r w:rsidRPr="002207FE">
        <w:rPr>
          <w:b/>
        </w:rPr>
        <w:t xml:space="preserve"> </w:t>
      </w:r>
      <w:r w:rsidR="00703BB6" w:rsidRPr="002207FE">
        <w:rPr>
          <w:b/>
        </w:rPr>
        <w:t>veintinueve</w:t>
      </w:r>
      <w:r w:rsidR="00FC26E2" w:rsidRPr="002207FE">
        <w:rPr>
          <w:b/>
        </w:rPr>
        <w:t xml:space="preserve"> de mayo </w:t>
      </w:r>
      <w:r w:rsidRPr="002207FE">
        <w:rPr>
          <w:b/>
        </w:rPr>
        <w:t>de dos mil veinticinco,</w:t>
      </w:r>
      <w:r w:rsidRPr="002207FE">
        <w:t xml:space="preserve"> se turnó el recurso de revisión a través del </w:t>
      </w:r>
      <w:r w:rsidRPr="002207FE">
        <w:rPr>
          <w:b/>
        </w:rPr>
        <w:t>SAIMEX</w:t>
      </w:r>
      <w:r w:rsidRPr="002207FE">
        <w:t xml:space="preserve"> a la </w:t>
      </w:r>
      <w:r w:rsidRPr="002207FE">
        <w:rPr>
          <w:b/>
        </w:rPr>
        <w:t>Comisionada Sharon Cristina Morales Martínez</w:t>
      </w:r>
      <w:r w:rsidRPr="002207FE">
        <w:t xml:space="preserve">, a efecto de decretar su admisión o desechamiento. </w:t>
      </w:r>
    </w:p>
    <w:p w14:paraId="69497AF7" w14:textId="77777777" w:rsidR="003B3CD6" w:rsidRPr="002207FE" w:rsidRDefault="003B3CD6" w:rsidP="002207FE"/>
    <w:p w14:paraId="42FF356A" w14:textId="77777777" w:rsidR="003B3CD6" w:rsidRPr="002207FE" w:rsidRDefault="004C3B66" w:rsidP="002207FE">
      <w:pPr>
        <w:pStyle w:val="Ttulo3"/>
      </w:pPr>
      <w:bookmarkStart w:id="12" w:name="_Toc207804454"/>
      <w:r w:rsidRPr="002207FE">
        <w:t>c) Admisión del Recurso de Revisión</w:t>
      </w:r>
      <w:bookmarkEnd w:id="12"/>
    </w:p>
    <w:p w14:paraId="53B0FB9F" w14:textId="2B0FF7C6" w:rsidR="003B3CD6" w:rsidRPr="002207FE" w:rsidRDefault="004C3B66" w:rsidP="002207FE">
      <w:r w:rsidRPr="002207FE">
        <w:t xml:space="preserve">El </w:t>
      </w:r>
      <w:r w:rsidR="00703BB6" w:rsidRPr="002207FE">
        <w:rPr>
          <w:b/>
        </w:rPr>
        <w:t>dos de junio</w:t>
      </w:r>
      <w:r w:rsidRPr="002207FE">
        <w:rPr>
          <w:b/>
        </w:rPr>
        <w:t xml:space="preserve"> de dos mil veinticinco,</w:t>
      </w:r>
      <w:r w:rsidRPr="002207FE">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47B1F3FA" w14:textId="77777777" w:rsidR="003B3CD6" w:rsidRPr="002207FE" w:rsidRDefault="003B3CD6" w:rsidP="002207FE"/>
    <w:p w14:paraId="10E9A945" w14:textId="77777777" w:rsidR="003B3CD6" w:rsidRPr="002207FE" w:rsidRDefault="004C3B66" w:rsidP="002207FE">
      <w:pPr>
        <w:pStyle w:val="Ttulo3"/>
      </w:pPr>
      <w:bookmarkStart w:id="13" w:name="_Toc207804455"/>
      <w:r w:rsidRPr="002207FE">
        <w:t>d) Informe Justificado del Sujeto Obligado</w:t>
      </w:r>
      <w:bookmarkEnd w:id="13"/>
    </w:p>
    <w:p w14:paraId="6F0F81AC" w14:textId="7757DFCA" w:rsidR="003B3CD6" w:rsidRPr="002207FE" w:rsidRDefault="004C3B66" w:rsidP="002207FE">
      <w:r w:rsidRPr="002207FE">
        <w:t xml:space="preserve">El </w:t>
      </w:r>
      <w:r w:rsidR="00703BB6" w:rsidRPr="002207FE">
        <w:rPr>
          <w:b/>
        </w:rPr>
        <w:t>doce</w:t>
      </w:r>
      <w:r w:rsidR="00CA373C" w:rsidRPr="002207FE">
        <w:rPr>
          <w:b/>
        </w:rPr>
        <w:t xml:space="preserve"> de junio</w:t>
      </w:r>
      <w:r w:rsidRPr="002207FE">
        <w:rPr>
          <w:b/>
        </w:rPr>
        <w:t xml:space="preserve"> de dos mil veinticinco EL SUJETO OBLIGADO</w:t>
      </w:r>
      <w:r w:rsidRPr="002207FE">
        <w:t xml:space="preserve"> rindió su informe justificado a través del </w:t>
      </w:r>
      <w:r w:rsidRPr="002207FE">
        <w:rPr>
          <w:b/>
        </w:rPr>
        <w:t>SAIMEX</w:t>
      </w:r>
      <w:r w:rsidRPr="002207FE">
        <w:t>, que contienen lo siguiente:</w:t>
      </w:r>
    </w:p>
    <w:p w14:paraId="4AFFE693" w14:textId="77777777" w:rsidR="00352F7F" w:rsidRPr="002207FE" w:rsidRDefault="00352F7F" w:rsidP="002207FE"/>
    <w:p w14:paraId="1F84351F" w14:textId="4358BEA3" w:rsidR="00FF4461" w:rsidRPr="002207FE" w:rsidRDefault="00FF4461" w:rsidP="002207FE">
      <w:pPr>
        <w:numPr>
          <w:ilvl w:val="0"/>
          <w:numId w:val="31"/>
        </w:numPr>
      </w:pPr>
      <w:r w:rsidRPr="002207FE">
        <w:rPr>
          <w:b/>
          <w:bCs/>
          <w:i/>
          <w:iCs/>
        </w:rPr>
        <w:lastRenderedPageBreak/>
        <w:t>Of. Alegatos R.R. 06217.pdf</w:t>
      </w:r>
      <w:r w:rsidRPr="002207FE">
        <w:t xml:space="preserve">.- Oficio número DGA/SPAI/0823/06/2025, de fecha 05 de junio de 2025, suscrito por la Directora General de Administración </w:t>
      </w:r>
      <w:r w:rsidR="00943719" w:rsidRPr="002207FE">
        <w:t>en el que indicó:</w:t>
      </w:r>
    </w:p>
    <w:p w14:paraId="266D4B64" w14:textId="77777777" w:rsidR="00943719" w:rsidRPr="002207FE" w:rsidRDefault="00943719" w:rsidP="002207FE"/>
    <w:p w14:paraId="634330E9" w14:textId="345C9152" w:rsidR="00943719" w:rsidRPr="002207FE" w:rsidRDefault="00B34AA4" w:rsidP="002207FE">
      <w:pPr>
        <w:pStyle w:val="Puesto"/>
        <w:ind w:firstLine="0"/>
        <w:rPr>
          <w:color w:val="auto"/>
        </w:rPr>
      </w:pPr>
      <w:r w:rsidRPr="002207FE">
        <w:rPr>
          <w:color w:val="auto"/>
        </w:rPr>
        <w:t>“…En aras de garantizar el derecho de acceso a la información se entrega a la Unidad de Transparencia la documentación solicitada y a su vez se requiere al Comité de Transparencia de esta municipalidad a efecto de emitir el acuerdo que sustenta la clasificación de la información que se expone en dichos recibos de nómina.” Sic.</w:t>
      </w:r>
    </w:p>
    <w:p w14:paraId="69213192" w14:textId="77777777" w:rsidR="00FF4461" w:rsidRPr="002207FE" w:rsidRDefault="00FF4461" w:rsidP="002207FE"/>
    <w:p w14:paraId="3E8E0464" w14:textId="77777777" w:rsidR="00B34AA4" w:rsidRPr="002207FE" w:rsidRDefault="00FF4461" w:rsidP="002207FE">
      <w:pPr>
        <w:numPr>
          <w:ilvl w:val="0"/>
          <w:numId w:val="31"/>
        </w:numPr>
      </w:pPr>
      <w:r w:rsidRPr="002207FE">
        <w:rPr>
          <w:b/>
          <w:bCs/>
          <w:i/>
          <w:iCs/>
        </w:rPr>
        <w:t>ACT 08-2025.pdf.</w:t>
      </w:r>
      <w:r w:rsidRPr="002207FE">
        <w:t>-</w:t>
      </w:r>
      <w:r w:rsidR="00B34AA4" w:rsidRPr="002207FE">
        <w:t xml:space="preserve"> Acta del Comité de Transparencia, de fecha once de junio de 2025, respecto de la clasificación de la información con carácter confidencial para dar atención a la solicitud de información 00074/HUIXQUIL/IP/2025. </w:t>
      </w:r>
    </w:p>
    <w:p w14:paraId="06106053" w14:textId="77777777" w:rsidR="00B34AA4" w:rsidRPr="002207FE" w:rsidRDefault="00B34AA4" w:rsidP="002207FE">
      <w:pPr>
        <w:ind w:left="720"/>
      </w:pPr>
    </w:p>
    <w:p w14:paraId="303FE105" w14:textId="77777777" w:rsidR="003A2E03" w:rsidRPr="002207FE" w:rsidRDefault="00B34AA4" w:rsidP="002207FE">
      <w:pPr>
        <w:numPr>
          <w:ilvl w:val="0"/>
          <w:numId w:val="31"/>
        </w:numPr>
        <w:rPr>
          <w:b/>
          <w:bCs/>
          <w:i/>
          <w:iCs/>
        </w:rPr>
      </w:pPr>
      <w:r w:rsidRPr="002207FE">
        <w:rPr>
          <w:b/>
          <w:bCs/>
          <w:i/>
          <w:iCs/>
        </w:rPr>
        <w:t xml:space="preserve">0. RECIBOS DE NOMINA 2° ABR 2025.pdf.- </w:t>
      </w:r>
      <w:r w:rsidR="003A2E03" w:rsidRPr="002207FE">
        <w:t xml:space="preserve">Se contienen diversos recibos de nómina, de la segunda quincena de abril de 2025, en versión pública. </w:t>
      </w:r>
    </w:p>
    <w:p w14:paraId="1DA85AA1" w14:textId="77777777" w:rsidR="003A2E03" w:rsidRPr="002207FE" w:rsidRDefault="003A2E03" w:rsidP="002207FE">
      <w:pPr>
        <w:pStyle w:val="Prrafodelista"/>
      </w:pPr>
    </w:p>
    <w:p w14:paraId="1C4F0884" w14:textId="5CF8C39C" w:rsidR="00FF4461" w:rsidRPr="002207FE" w:rsidRDefault="003A2E03" w:rsidP="002207FE">
      <w:pPr>
        <w:numPr>
          <w:ilvl w:val="0"/>
          <w:numId w:val="31"/>
        </w:numPr>
        <w:rPr>
          <w:b/>
          <w:bCs/>
          <w:i/>
          <w:iCs/>
        </w:rPr>
      </w:pPr>
      <w:r w:rsidRPr="002207FE">
        <w:rPr>
          <w:b/>
          <w:bCs/>
          <w:i/>
          <w:iCs/>
        </w:rPr>
        <w:t xml:space="preserve">Of. Testar información RR 06217 (1).pdf.- </w:t>
      </w:r>
      <w:r w:rsidRPr="002207FE">
        <w:t xml:space="preserve">Oficio DGA/SPAI/0822/06/2025 de fecha 05 de junio de 2025, suscrito por la Directora General de Administración, en el que somete a consideración del Comité de Transparencia Municipal la clasificación de la información como confidencial los datos personales contenidos en los recibos de nómina. </w:t>
      </w:r>
    </w:p>
    <w:p w14:paraId="564060AE" w14:textId="77777777" w:rsidR="00FF4461" w:rsidRPr="002207FE" w:rsidRDefault="00FF4461" w:rsidP="002207FE"/>
    <w:p w14:paraId="04BAE37B" w14:textId="5F1C2404" w:rsidR="003B3CD6" w:rsidRPr="002207FE" w:rsidRDefault="004C3B66" w:rsidP="002207FE">
      <w:r w:rsidRPr="002207FE">
        <w:t xml:space="preserve">Esta información fue puesta a la vista de </w:t>
      </w:r>
      <w:r w:rsidRPr="002207FE">
        <w:rPr>
          <w:b/>
        </w:rPr>
        <w:t xml:space="preserve">LA PARTE RECURRENTE </w:t>
      </w:r>
      <w:r w:rsidRPr="002207FE">
        <w:t xml:space="preserve">el </w:t>
      </w:r>
      <w:r w:rsidR="00FC26E2" w:rsidRPr="002207FE">
        <w:rPr>
          <w:b/>
        </w:rPr>
        <w:t>seis</w:t>
      </w:r>
      <w:r w:rsidR="00A7098D" w:rsidRPr="002207FE">
        <w:rPr>
          <w:b/>
        </w:rPr>
        <w:t xml:space="preserve"> de agosto</w:t>
      </w:r>
      <w:r w:rsidRPr="002207FE">
        <w:rPr>
          <w:b/>
        </w:rPr>
        <w:t xml:space="preserve"> de dos mil veinticinco</w:t>
      </w:r>
      <w:r w:rsidRPr="002207FE">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r w:rsidR="00485AEF" w:rsidRPr="002207FE">
        <w:t xml:space="preserve">, con excepción del archivo denominado </w:t>
      </w:r>
      <w:r w:rsidR="00485AEF" w:rsidRPr="002207FE">
        <w:rPr>
          <w:b/>
          <w:bCs/>
          <w:i/>
          <w:iCs/>
        </w:rPr>
        <w:t xml:space="preserve">0. RECIBOS DE NOMINA 2° ABR 2025.pdf, </w:t>
      </w:r>
      <w:r w:rsidR="00485AEF" w:rsidRPr="002207FE">
        <w:rPr>
          <w:bCs/>
          <w:iCs/>
        </w:rPr>
        <w:t>en razón de que se advirtieron datos personales susceptibles de ser clasificados como confidenciales</w:t>
      </w:r>
      <w:r w:rsidRPr="002207FE">
        <w:t>.</w:t>
      </w:r>
    </w:p>
    <w:p w14:paraId="10B58C0D" w14:textId="77777777" w:rsidR="003B3CD6" w:rsidRPr="002207FE" w:rsidRDefault="003B3CD6" w:rsidP="002207FE"/>
    <w:p w14:paraId="1FCA8233" w14:textId="77777777" w:rsidR="003B3CD6" w:rsidRPr="002207FE" w:rsidRDefault="004C3B66" w:rsidP="002207FE">
      <w:pPr>
        <w:pStyle w:val="Ttulo3"/>
      </w:pPr>
      <w:bookmarkStart w:id="14" w:name="_Toc207804456"/>
      <w:r w:rsidRPr="002207FE">
        <w:t>e) Manifestaciones de la Parte Recurrente</w:t>
      </w:r>
      <w:bookmarkEnd w:id="14"/>
    </w:p>
    <w:p w14:paraId="1B5AD0D6" w14:textId="0CA5340A" w:rsidR="00A7098D" w:rsidRPr="002207FE" w:rsidRDefault="004C3B66" w:rsidP="002207FE">
      <w:r w:rsidRPr="002207FE">
        <w:rPr>
          <w:b/>
        </w:rPr>
        <w:t>LA PARTE RECURRENTE</w:t>
      </w:r>
      <w:r w:rsidRPr="002207FE">
        <w:t xml:space="preserve"> </w:t>
      </w:r>
      <w:r w:rsidR="001D3EAB" w:rsidRPr="002207FE">
        <w:t xml:space="preserve">el </w:t>
      </w:r>
      <w:r w:rsidR="001D3EAB" w:rsidRPr="002207FE">
        <w:rPr>
          <w:b/>
          <w:bCs/>
        </w:rPr>
        <w:t xml:space="preserve">siete de agosto de dos mil veinticinco </w:t>
      </w:r>
      <w:r w:rsidRPr="002207FE">
        <w:t xml:space="preserve">realizó </w:t>
      </w:r>
      <w:r w:rsidR="00352F7F" w:rsidRPr="002207FE">
        <w:t xml:space="preserve">mediante el archivo denominado </w:t>
      </w:r>
      <w:r w:rsidR="00352F7F" w:rsidRPr="002207FE">
        <w:rPr>
          <w:b/>
          <w:bCs/>
          <w:i/>
          <w:iCs/>
        </w:rPr>
        <w:t>huix.pdf</w:t>
      </w:r>
      <w:r w:rsidR="00352F7F" w:rsidRPr="002207FE">
        <w:t xml:space="preserve"> las </w:t>
      </w:r>
      <w:r w:rsidRPr="002207FE">
        <w:t>manifestaci</w:t>
      </w:r>
      <w:r w:rsidR="00352F7F" w:rsidRPr="002207FE">
        <w:t>ones que a su derecho convino, para tal efecto, no</w:t>
      </w:r>
      <w:r w:rsidRPr="002207FE">
        <w:t xml:space="preserve"> presentó pruebas.</w:t>
      </w:r>
    </w:p>
    <w:p w14:paraId="71016DEA" w14:textId="77777777" w:rsidR="003B3CD6" w:rsidRPr="002207FE" w:rsidRDefault="003B3CD6" w:rsidP="002207FE">
      <w:pPr>
        <w:pStyle w:val="Puesto"/>
        <w:ind w:left="0" w:firstLine="0"/>
        <w:rPr>
          <w:color w:val="auto"/>
        </w:rPr>
      </w:pPr>
    </w:p>
    <w:p w14:paraId="135FAA6D" w14:textId="77777777" w:rsidR="00554CC5" w:rsidRPr="002207FE" w:rsidRDefault="00554CC5" w:rsidP="002207FE">
      <w:pPr>
        <w:pStyle w:val="Ttulo3"/>
      </w:pPr>
      <w:bookmarkStart w:id="15" w:name="_Toc201223092"/>
      <w:bookmarkStart w:id="16" w:name="_Toc201761195"/>
      <w:bookmarkStart w:id="17" w:name="_Toc202811798"/>
      <w:bookmarkStart w:id="18" w:name="_Toc203035959"/>
      <w:bookmarkStart w:id="19" w:name="_Toc205978863"/>
      <w:bookmarkStart w:id="20" w:name="_Toc207804457"/>
      <w:r w:rsidRPr="002207FE">
        <w:t>f) Ampliación de Plazo para Resolver</w:t>
      </w:r>
      <w:bookmarkEnd w:id="15"/>
      <w:bookmarkEnd w:id="16"/>
      <w:bookmarkEnd w:id="17"/>
      <w:bookmarkEnd w:id="18"/>
      <w:bookmarkEnd w:id="19"/>
      <w:bookmarkEnd w:id="20"/>
      <w:r w:rsidRPr="002207FE">
        <w:t xml:space="preserve"> </w:t>
      </w:r>
    </w:p>
    <w:p w14:paraId="5819DA5C" w14:textId="22F5834A" w:rsidR="00554CC5" w:rsidRPr="002207FE" w:rsidRDefault="00554CC5" w:rsidP="002207FE">
      <w:r w:rsidRPr="002207FE">
        <w:t xml:space="preserve">El </w:t>
      </w:r>
      <w:r w:rsidR="001D3EAB" w:rsidRPr="002207FE">
        <w:rPr>
          <w:b/>
        </w:rPr>
        <w:t>veinte</w:t>
      </w:r>
      <w:r w:rsidRPr="002207FE">
        <w:rPr>
          <w:b/>
        </w:rPr>
        <w:t xml:space="preserve"> de agosto de dos mil veinticinco</w:t>
      </w:r>
      <w:r w:rsidRPr="002207FE">
        <w:t>, se notificó el acuerdo de ampliación de plazo para resolver el presente Recurso de Revisión, previsto en el artículo 181, tercer párrafo de la Ley de Transparencia y Acceso a la Información Pública del Estado de México y Municipios.</w:t>
      </w:r>
    </w:p>
    <w:p w14:paraId="72DACF30" w14:textId="77777777" w:rsidR="00554CC5" w:rsidRPr="002207FE" w:rsidRDefault="00554CC5" w:rsidP="002207FE">
      <w:pPr>
        <w:rPr>
          <w:rFonts w:eastAsia="Arial Unicode MS" w:cs="Arial"/>
        </w:rPr>
      </w:pPr>
    </w:p>
    <w:p w14:paraId="4F4B677D" w14:textId="77777777" w:rsidR="00554CC5" w:rsidRPr="002207FE" w:rsidRDefault="00554CC5" w:rsidP="002207FE">
      <w:pPr>
        <w:rPr>
          <w:rFonts w:cs="Arial"/>
        </w:rPr>
      </w:pPr>
      <w:r w:rsidRPr="002207FE">
        <w:rPr>
          <w:rFonts w:cs="Arial"/>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1ACDF46A" w14:textId="77777777" w:rsidR="00554CC5" w:rsidRPr="002207FE" w:rsidRDefault="00554CC5" w:rsidP="002207FE">
      <w:pPr>
        <w:rPr>
          <w:rFonts w:cs="Arial"/>
        </w:rPr>
      </w:pPr>
    </w:p>
    <w:p w14:paraId="6A263D5A" w14:textId="77777777" w:rsidR="00554CC5" w:rsidRPr="002207FE" w:rsidRDefault="00554CC5" w:rsidP="002207FE">
      <w:pPr>
        <w:rPr>
          <w:rFonts w:cs="Arial"/>
        </w:rPr>
      </w:pPr>
      <w:r w:rsidRPr="002207FE">
        <w:rPr>
          <w:rFonts w:cs="Arial"/>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580CA466" w14:textId="77777777" w:rsidR="00554CC5" w:rsidRPr="002207FE" w:rsidRDefault="00554CC5" w:rsidP="002207FE">
      <w:pPr>
        <w:rPr>
          <w:rFonts w:cs="Arial"/>
        </w:rPr>
      </w:pPr>
    </w:p>
    <w:p w14:paraId="780BBCCF" w14:textId="77777777" w:rsidR="00554CC5" w:rsidRPr="002207FE" w:rsidRDefault="00554CC5" w:rsidP="002207FE">
      <w:pPr>
        <w:rPr>
          <w:rFonts w:cs="Arial"/>
        </w:rPr>
      </w:pPr>
      <w:r w:rsidRPr="002207FE">
        <w:rPr>
          <w:rFonts w:cs="Arial"/>
        </w:rPr>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w:t>
      </w:r>
      <w:r w:rsidRPr="002207FE">
        <w:rPr>
          <w:rFonts w:cs="Arial"/>
        </w:rPr>
        <w:lastRenderedPageBreak/>
        <w:t>cuasi jurisdiccionales, tanto por la complejidad de los hechos, como por el número de casos que conocen.</w:t>
      </w:r>
    </w:p>
    <w:p w14:paraId="755756A5" w14:textId="77777777" w:rsidR="00554CC5" w:rsidRPr="002207FE" w:rsidRDefault="00554CC5" w:rsidP="002207FE">
      <w:pPr>
        <w:rPr>
          <w:rFonts w:cs="Arial"/>
        </w:rPr>
      </w:pPr>
    </w:p>
    <w:p w14:paraId="32A3E51D" w14:textId="77777777" w:rsidR="00554CC5" w:rsidRPr="002207FE" w:rsidRDefault="00554CC5" w:rsidP="002207FE">
      <w:pPr>
        <w:rPr>
          <w:rFonts w:cs="Arial"/>
        </w:rPr>
      </w:pPr>
      <w:r w:rsidRPr="002207FE">
        <w:rPr>
          <w:rFonts w:cs="Arial"/>
        </w:rPr>
        <w:t>Por ello, excepcionalmente, si un asunto es resuelto con posterioridad a los plazos señalados por la norma, debe analizarse la razonabilidad del tiempo necesario para su resolución, atentos a los siguientes criterios:</w:t>
      </w:r>
    </w:p>
    <w:p w14:paraId="54995609" w14:textId="77777777" w:rsidR="00554CC5" w:rsidRPr="002207FE" w:rsidRDefault="00554CC5" w:rsidP="002207FE">
      <w:pPr>
        <w:rPr>
          <w:rFonts w:cs="Arial"/>
        </w:rPr>
      </w:pPr>
    </w:p>
    <w:p w14:paraId="19868292" w14:textId="77777777" w:rsidR="00554CC5" w:rsidRPr="002207FE" w:rsidRDefault="00554CC5" w:rsidP="002207FE">
      <w:pPr>
        <w:numPr>
          <w:ilvl w:val="0"/>
          <w:numId w:val="30"/>
        </w:numPr>
        <w:spacing w:after="160" w:line="278" w:lineRule="auto"/>
        <w:jc w:val="left"/>
        <w:rPr>
          <w:rFonts w:cs="Arial"/>
        </w:rPr>
      </w:pPr>
      <w:r w:rsidRPr="002207FE">
        <w:rPr>
          <w:rFonts w:cs="Arial"/>
          <w:b/>
        </w:rPr>
        <w:t>Complejidad del asunto:</w:t>
      </w:r>
      <w:r w:rsidRPr="002207FE">
        <w:rPr>
          <w:rFonts w:cs="Arial"/>
        </w:rPr>
        <w:t xml:space="preserve"> La complejidad de la prueba, la pluralidad de sujetos procesales, el tiempo transcurrido, las características y contexto del recurso.</w:t>
      </w:r>
    </w:p>
    <w:p w14:paraId="584BD2B6" w14:textId="77777777" w:rsidR="00554CC5" w:rsidRPr="002207FE" w:rsidRDefault="00554CC5" w:rsidP="002207FE">
      <w:pPr>
        <w:numPr>
          <w:ilvl w:val="0"/>
          <w:numId w:val="30"/>
        </w:numPr>
        <w:spacing w:after="160" w:line="278" w:lineRule="auto"/>
        <w:jc w:val="left"/>
        <w:rPr>
          <w:rFonts w:cs="Arial"/>
        </w:rPr>
      </w:pPr>
      <w:r w:rsidRPr="002207FE">
        <w:rPr>
          <w:rFonts w:cs="Arial"/>
          <w:b/>
        </w:rPr>
        <w:t>Actividad Procesal del interesado:</w:t>
      </w:r>
      <w:r w:rsidRPr="002207FE">
        <w:rPr>
          <w:rFonts w:cs="Arial"/>
        </w:rPr>
        <w:t xml:space="preserve"> Acciones u omisiones del interesado.</w:t>
      </w:r>
    </w:p>
    <w:p w14:paraId="6FDF6861" w14:textId="77777777" w:rsidR="00554CC5" w:rsidRPr="002207FE" w:rsidRDefault="00554CC5" w:rsidP="002207FE">
      <w:pPr>
        <w:numPr>
          <w:ilvl w:val="0"/>
          <w:numId w:val="30"/>
        </w:numPr>
        <w:spacing w:after="160" w:line="278" w:lineRule="auto"/>
        <w:jc w:val="left"/>
        <w:rPr>
          <w:rFonts w:cs="Arial"/>
        </w:rPr>
      </w:pPr>
      <w:r w:rsidRPr="002207FE">
        <w:rPr>
          <w:rFonts w:cs="Arial"/>
          <w:b/>
        </w:rPr>
        <w:t>Conducta de la Autoridad:</w:t>
      </w:r>
      <w:r w:rsidRPr="002207FE">
        <w:rPr>
          <w:rFonts w:cs="Arial"/>
        </w:rPr>
        <w:t xml:space="preserve"> Las Acciones u omisiones realizadas en el procedimiento. Así como si la autoridad actuó con la debida diligencia.</w:t>
      </w:r>
    </w:p>
    <w:p w14:paraId="68B45064" w14:textId="77777777" w:rsidR="00554CC5" w:rsidRPr="002207FE" w:rsidRDefault="00554CC5" w:rsidP="002207FE">
      <w:pPr>
        <w:numPr>
          <w:ilvl w:val="0"/>
          <w:numId w:val="30"/>
        </w:numPr>
        <w:spacing w:after="160" w:line="278" w:lineRule="auto"/>
        <w:jc w:val="left"/>
        <w:rPr>
          <w:rFonts w:cs="Arial"/>
        </w:rPr>
      </w:pPr>
      <w:r w:rsidRPr="002207FE">
        <w:rPr>
          <w:rFonts w:cs="Arial"/>
          <w:b/>
        </w:rPr>
        <w:t xml:space="preserve">La afectación generada en la situación jurídica de la persona involucrada en el proceso: </w:t>
      </w:r>
      <w:r w:rsidRPr="002207FE">
        <w:rPr>
          <w:rFonts w:cs="Arial"/>
        </w:rPr>
        <w:t>Violación a sus derechos humanos.</w:t>
      </w:r>
    </w:p>
    <w:p w14:paraId="687CEF9B" w14:textId="77777777" w:rsidR="00554CC5" w:rsidRPr="002207FE" w:rsidRDefault="00554CC5" w:rsidP="002207FE">
      <w:pPr>
        <w:rPr>
          <w:rFonts w:cs="Arial"/>
        </w:rPr>
      </w:pPr>
    </w:p>
    <w:p w14:paraId="1C010100" w14:textId="77777777" w:rsidR="00554CC5" w:rsidRPr="002207FE" w:rsidRDefault="00554CC5" w:rsidP="002207FE">
      <w:pPr>
        <w:rPr>
          <w:rFonts w:cs="Arial"/>
        </w:rPr>
      </w:pPr>
      <w:r w:rsidRPr="002207FE">
        <w:rPr>
          <w:rFonts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D9021DB" w14:textId="77777777" w:rsidR="00554CC5" w:rsidRPr="002207FE" w:rsidRDefault="00554CC5" w:rsidP="002207FE">
      <w:pPr>
        <w:rPr>
          <w:rFonts w:cs="Arial"/>
        </w:rPr>
      </w:pPr>
    </w:p>
    <w:p w14:paraId="4D6FCBFD" w14:textId="77777777" w:rsidR="00554CC5" w:rsidRPr="002207FE" w:rsidRDefault="00554CC5" w:rsidP="002207FE">
      <w:pPr>
        <w:rPr>
          <w:rFonts w:cs="Arial"/>
        </w:rPr>
      </w:pPr>
      <w:r w:rsidRPr="002207FE">
        <w:rPr>
          <w:rFonts w:cs="Arial"/>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w:t>
      </w:r>
      <w:r w:rsidRPr="002207FE">
        <w:rPr>
          <w:rFonts w:cs="Arial"/>
        </w:rPr>
        <w:lastRenderedPageBreak/>
        <w:t>LEGISLADOR AL FIJARLOS Y LAS CARACTERÍSTICAS DEL CASO.”, visible en la Gaceta del Semanario Judicial de la Federación con el registro digital 205635.</w:t>
      </w:r>
    </w:p>
    <w:p w14:paraId="54F18572" w14:textId="77777777" w:rsidR="00554CC5" w:rsidRPr="002207FE" w:rsidRDefault="00554CC5" w:rsidP="002207FE">
      <w:pPr>
        <w:rPr>
          <w:rFonts w:cs="Arial"/>
        </w:rPr>
      </w:pPr>
    </w:p>
    <w:p w14:paraId="50994CC4" w14:textId="77777777" w:rsidR="00554CC5" w:rsidRPr="002207FE" w:rsidRDefault="00554CC5" w:rsidP="002207FE">
      <w:pPr>
        <w:rPr>
          <w:rFonts w:cs="Arial"/>
        </w:rPr>
      </w:pPr>
      <w:r w:rsidRPr="002207FE">
        <w:rPr>
          <w:rFonts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422D9B1" w14:textId="77777777" w:rsidR="00554CC5" w:rsidRPr="002207FE" w:rsidRDefault="00554CC5" w:rsidP="002207FE">
      <w:pPr>
        <w:rPr>
          <w:rFonts w:cs="Arial"/>
        </w:rPr>
      </w:pPr>
    </w:p>
    <w:p w14:paraId="680610A6" w14:textId="77777777" w:rsidR="00554CC5" w:rsidRPr="002207FE" w:rsidRDefault="00554CC5" w:rsidP="002207FE">
      <w:pPr>
        <w:rPr>
          <w:rFonts w:cs="Arial"/>
        </w:rPr>
      </w:pPr>
      <w:r w:rsidRPr="002207FE">
        <w:rPr>
          <w:rFonts w:cs="Arial"/>
        </w:rPr>
        <w:t>Al respecto, también son de considerar los criterios sostenidos por el Cuarto Tribunal Colegiado en Materia Administrativa del Primer Circuito, cuyos rubros y datos de identificación son los siguientes:</w:t>
      </w:r>
    </w:p>
    <w:p w14:paraId="4BB996BB" w14:textId="77777777" w:rsidR="00554CC5" w:rsidRPr="002207FE" w:rsidRDefault="00554CC5" w:rsidP="002207FE">
      <w:pPr>
        <w:rPr>
          <w:rFonts w:cs="Arial"/>
        </w:rPr>
      </w:pPr>
    </w:p>
    <w:p w14:paraId="29D86963" w14:textId="77777777" w:rsidR="00554CC5" w:rsidRPr="002207FE" w:rsidRDefault="00554CC5" w:rsidP="002207FE">
      <w:pPr>
        <w:spacing w:line="240" w:lineRule="auto"/>
        <w:ind w:left="567" w:right="567"/>
        <w:contextualSpacing/>
        <w:rPr>
          <w:i/>
          <w:kern w:val="28"/>
          <w:szCs w:val="56"/>
        </w:rPr>
      </w:pPr>
      <w:r w:rsidRPr="002207FE">
        <w:rPr>
          <w:i/>
          <w:kern w:val="28"/>
          <w:szCs w:val="56"/>
        </w:rPr>
        <w:t>“</w:t>
      </w:r>
      <w:r w:rsidRPr="002207FE">
        <w:rPr>
          <w:b/>
          <w:i/>
          <w:kern w:val="28"/>
          <w:szCs w:val="56"/>
        </w:rPr>
        <w:t>PLAZO RAZONABLE PARA RESOLVER. DIMENSIÓN Y EFECTOS DE ESTE CONCEPTO CUANDO SE ADUCE EXCESIVA CARGA DE TRABAJO</w:t>
      </w:r>
      <w:r w:rsidRPr="002207FE">
        <w:rPr>
          <w:i/>
          <w:kern w:val="28"/>
          <w:szCs w:val="56"/>
        </w:rPr>
        <w:t>.” consultable en el Semanario Judicial de la Federación y su gaceta, con el registro digital 2002351.</w:t>
      </w:r>
    </w:p>
    <w:p w14:paraId="6E4FD28E" w14:textId="77777777" w:rsidR="00554CC5" w:rsidRPr="002207FE" w:rsidRDefault="00554CC5" w:rsidP="002207FE">
      <w:pPr>
        <w:ind w:left="851" w:right="616"/>
        <w:rPr>
          <w:rFonts w:cs="Arial"/>
          <w:i/>
        </w:rPr>
      </w:pPr>
    </w:p>
    <w:p w14:paraId="074D7864" w14:textId="77777777" w:rsidR="00554CC5" w:rsidRPr="002207FE" w:rsidRDefault="00554CC5" w:rsidP="002207FE">
      <w:pPr>
        <w:spacing w:line="240" w:lineRule="auto"/>
        <w:ind w:left="567" w:right="567"/>
        <w:contextualSpacing/>
        <w:rPr>
          <w:rFonts w:cs="Arial"/>
          <w:kern w:val="28"/>
          <w:szCs w:val="56"/>
        </w:rPr>
      </w:pPr>
      <w:r w:rsidRPr="002207FE">
        <w:rPr>
          <w:rFonts w:cs="Arial"/>
          <w:i/>
          <w:kern w:val="28"/>
          <w:szCs w:val="56"/>
        </w:rPr>
        <w:t>“</w:t>
      </w:r>
      <w:r w:rsidRPr="002207FE">
        <w:rPr>
          <w:rFonts w:cs="Arial"/>
          <w:b/>
          <w:i/>
          <w:kern w:val="28"/>
          <w:szCs w:val="56"/>
        </w:rPr>
        <w:t xml:space="preserve">PLAZO RAZONABLE </w:t>
      </w:r>
      <w:r w:rsidRPr="002207FE">
        <w:rPr>
          <w:b/>
          <w:i/>
          <w:kern w:val="28"/>
          <w:szCs w:val="56"/>
        </w:rPr>
        <w:t>PARA</w:t>
      </w:r>
      <w:r w:rsidRPr="002207FE">
        <w:rPr>
          <w:rFonts w:cs="Arial"/>
          <w:b/>
          <w:i/>
          <w:kern w:val="28"/>
          <w:szCs w:val="56"/>
        </w:rPr>
        <w:t xml:space="preserve"> RESOLVER. CONCEPTO Y ELEMENTOS QUE LO INTEGRAN A LA LUZ DEL DERECHO INTERNACIONAL DE LOS DERECHOS HUMANOS</w:t>
      </w:r>
      <w:r w:rsidRPr="002207FE">
        <w:rPr>
          <w:rFonts w:cs="Arial"/>
          <w:i/>
          <w:kern w:val="28"/>
          <w:szCs w:val="56"/>
        </w:rPr>
        <w:t>.”, visible en el Semanario Judicial de la Federación y su gaceta, con el registro digital 2002350.</w:t>
      </w:r>
    </w:p>
    <w:p w14:paraId="42104FE5" w14:textId="77777777" w:rsidR="00554CC5" w:rsidRPr="002207FE" w:rsidRDefault="00554CC5" w:rsidP="002207FE">
      <w:pPr>
        <w:rPr>
          <w:rFonts w:cs="Arial"/>
        </w:rPr>
      </w:pPr>
    </w:p>
    <w:p w14:paraId="06D5ED8B" w14:textId="77777777" w:rsidR="00554CC5" w:rsidRPr="002207FE" w:rsidRDefault="00554CC5" w:rsidP="002207FE">
      <w:pPr>
        <w:rPr>
          <w:rFonts w:cs="Arial"/>
        </w:rPr>
      </w:pPr>
      <w:r w:rsidRPr="002207FE">
        <w:rPr>
          <w:rFonts w:cs="Arial"/>
        </w:rPr>
        <w:lastRenderedPageBreak/>
        <w:t xml:space="preserve">Por ello, este organismo garante </w:t>
      </w:r>
      <w:r w:rsidRPr="002207FE">
        <w:rPr>
          <w:rFonts w:cs="Tahoma"/>
        </w:rPr>
        <w:t>comprometido</w:t>
      </w:r>
      <w:r w:rsidRPr="002207FE">
        <w:rPr>
          <w:rFonts w:cs="Arial"/>
        </w:rPr>
        <w:t xml:space="preserve"> con la tutela de los derechos humanos confiados señala que este exceso del plazo legal para resolver el asunto resulta de carácter excepcional.</w:t>
      </w:r>
    </w:p>
    <w:p w14:paraId="286C42BD" w14:textId="77777777" w:rsidR="001D3EAB" w:rsidRPr="002207FE" w:rsidRDefault="001D3EAB" w:rsidP="002207FE">
      <w:pPr>
        <w:rPr>
          <w:rFonts w:cs="Arial"/>
        </w:rPr>
      </w:pPr>
    </w:p>
    <w:p w14:paraId="7C4AD80C" w14:textId="79ADB854" w:rsidR="001D3EAB" w:rsidRPr="002207FE" w:rsidRDefault="001D3EAB" w:rsidP="002207FE">
      <w:pPr>
        <w:pStyle w:val="Ttulo3"/>
      </w:pPr>
      <w:bookmarkStart w:id="21" w:name="_Toc207804458"/>
      <w:r w:rsidRPr="002207FE">
        <w:t>g) Cierre de instrucción</w:t>
      </w:r>
      <w:bookmarkEnd w:id="21"/>
    </w:p>
    <w:p w14:paraId="5E4F337A" w14:textId="17D23C86" w:rsidR="001D3EAB" w:rsidRPr="002207FE" w:rsidRDefault="001D3EAB" w:rsidP="002207FE">
      <w:r w:rsidRPr="002207FE">
        <w:t xml:space="preserve">Al no existir diligencias pendientes por desahogar, el </w:t>
      </w:r>
      <w:r w:rsidR="00586954" w:rsidRPr="002207FE">
        <w:rPr>
          <w:b/>
        </w:rPr>
        <w:t>veintiocho de agosto</w:t>
      </w:r>
      <w:r w:rsidRPr="002207FE">
        <w:rPr>
          <w:b/>
        </w:rPr>
        <w:t xml:space="preserve"> de dos mil veinticinco,</w:t>
      </w:r>
      <w:r w:rsidRPr="002207FE">
        <w:t xml:space="preserve"> la </w:t>
      </w:r>
      <w:r w:rsidRPr="002207FE">
        <w:rPr>
          <w:b/>
        </w:rPr>
        <w:t xml:space="preserve">Comisionada Sharon Cristina Morales Martínez </w:t>
      </w:r>
      <w:r w:rsidRPr="002207FE">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2207FE">
        <w:rPr>
          <w:b/>
        </w:rPr>
        <w:t>SAIMEX</w:t>
      </w:r>
      <w:r w:rsidRPr="002207FE">
        <w:t>.</w:t>
      </w:r>
    </w:p>
    <w:p w14:paraId="5806AFCE" w14:textId="2BBFE898" w:rsidR="00554CC5" w:rsidRPr="002207FE" w:rsidRDefault="00554CC5" w:rsidP="002207FE">
      <w:pPr>
        <w:rPr>
          <w:rFonts w:eastAsia="Arial Unicode MS" w:cs="Arial"/>
        </w:rPr>
      </w:pPr>
    </w:p>
    <w:p w14:paraId="18E22F3B" w14:textId="77777777" w:rsidR="003B3CD6" w:rsidRPr="002207FE" w:rsidRDefault="004C3B66" w:rsidP="002207FE">
      <w:pPr>
        <w:pStyle w:val="Ttulo1"/>
      </w:pPr>
      <w:bookmarkStart w:id="22" w:name="_Toc207804459"/>
      <w:r w:rsidRPr="002207FE">
        <w:t>CONSIDERANDOS</w:t>
      </w:r>
      <w:bookmarkEnd w:id="22"/>
    </w:p>
    <w:p w14:paraId="383A98AA" w14:textId="77777777" w:rsidR="003B3CD6" w:rsidRPr="002207FE" w:rsidRDefault="003B3CD6" w:rsidP="002207FE">
      <w:pPr>
        <w:jc w:val="center"/>
        <w:rPr>
          <w:b/>
        </w:rPr>
      </w:pPr>
    </w:p>
    <w:p w14:paraId="3AFF8E5F" w14:textId="77777777" w:rsidR="003B3CD6" w:rsidRPr="002207FE" w:rsidRDefault="004C3B66" w:rsidP="002207FE">
      <w:pPr>
        <w:pStyle w:val="Ttulo2"/>
      </w:pPr>
      <w:bookmarkStart w:id="23" w:name="_Toc207804460"/>
      <w:r w:rsidRPr="002207FE">
        <w:t>PRIMERO. Procedibilidad</w:t>
      </w:r>
      <w:bookmarkEnd w:id="23"/>
    </w:p>
    <w:p w14:paraId="79059977" w14:textId="77777777" w:rsidR="003B3CD6" w:rsidRPr="002207FE" w:rsidRDefault="004C3B66" w:rsidP="002207FE">
      <w:pPr>
        <w:pStyle w:val="Ttulo3"/>
      </w:pPr>
      <w:bookmarkStart w:id="24" w:name="_Toc207804461"/>
      <w:r w:rsidRPr="002207FE">
        <w:t>a) Competencia del Instituto</w:t>
      </w:r>
      <w:bookmarkEnd w:id="24"/>
    </w:p>
    <w:p w14:paraId="42BB1DC8" w14:textId="77777777" w:rsidR="00976D90" w:rsidRPr="002207FE" w:rsidRDefault="00976D90" w:rsidP="002207FE">
      <w:r w:rsidRPr="002207FE">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2207FE">
        <w:lastRenderedPageBreak/>
        <w:t>Transparencia, Acceso a la Información Pública y Protección de Datos Personales del Estado de México y Municipios.</w:t>
      </w:r>
    </w:p>
    <w:p w14:paraId="575D153D" w14:textId="77777777" w:rsidR="003B3CD6" w:rsidRPr="002207FE" w:rsidRDefault="003B3CD6" w:rsidP="002207FE"/>
    <w:p w14:paraId="2904B601" w14:textId="77777777" w:rsidR="003B3CD6" w:rsidRPr="002207FE" w:rsidRDefault="004C3B66" w:rsidP="002207FE">
      <w:pPr>
        <w:pStyle w:val="Ttulo3"/>
      </w:pPr>
      <w:bookmarkStart w:id="25" w:name="_Toc207804462"/>
      <w:r w:rsidRPr="002207FE">
        <w:t>b) Legitimidad de la parte recurrente</w:t>
      </w:r>
      <w:bookmarkEnd w:id="25"/>
    </w:p>
    <w:p w14:paraId="34C70CF8" w14:textId="77777777" w:rsidR="003B3CD6" w:rsidRPr="002207FE" w:rsidRDefault="004C3B66" w:rsidP="002207FE">
      <w:r w:rsidRPr="002207FE">
        <w:t>El recurso de revisión fue interpuesto por parte legítima, ya que se presentó por la misma persona que formuló la solicitud de acceso a la Información Pública,</w:t>
      </w:r>
      <w:r w:rsidRPr="002207FE">
        <w:rPr>
          <w:b/>
        </w:rPr>
        <w:t xml:space="preserve"> </w:t>
      </w:r>
      <w:r w:rsidRPr="002207FE">
        <w:t>debido a que los datos de acceso</w:t>
      </w:r>
      <w:r w:rsidRPr="002207FE">
        <w:rPr>
          <w:b/>
        </w:rPr>
        <w:t xml:space="preserve"> SAIMEX</w:t>
      </w:r>
      <w:r w:rsidRPr="002207FE">
        <w:t xml:space="preserve"> son personales e irrepetibles.</w:t>
      </w:r>
    </w:p>
    <w:p w14:paraId="5349604E" w14:textId="77777777" w:rsidR="003B3CD6" w:rsidRPr="002207FE" w:rsidRDefault="003B3CD6" w:rsidP="002207FE"/>
    <w:p w14:paraId="410084DA" w14:textId="77777777" w:rsidR="003B3CD6" w:rsidRPr="002207FE" w:rsidRDefault="004C3B66" w:rsidP="002207FE">
      <w:pPr>
        <w:pStyle w:val="Ttulo3"/>
      </w:pPr>
      <w:bookmarkStart w:id="26" w:name="_Toc207804463"/>
      <w:r w:rsidRPr="002207FE">
        <w:t>c) Plazo para interponer el recurso</w:t>
      </w:r>
      <w:bookmarkEnd w:id="26"/>
    </w:p>
    <w:p w14:paraId="4BF563FB" w14:textId="1E62FB42" w:rsidR="003B3CD6" w:rsidRPr="002207FE" w:rsidRDefault="004C3B66" w:rsidP="002207FE">
      <w:r w:rsidRPr="002207FE">
        <w:rPr>
          <w:b/>
        </w:rPr>
        <w:t>EL SUJETO OBLIGADO</w:t>
      </w:r>
      <w:r w:rsidRPr="002207FE">
        <w:t xml:space="preserve"> notificó la respuesta a la solicitud de acceso a la Información Pública el </w:t>
      </w:r>
      <w:r w:rsidR="00930359" w:rsidRPr="002207FE">
        <w:rPr>
          <w:b/>
        </w:rPr>
        <w:t xml:space="preserve">veintinueve </w:t>
      </w:r>
      <w:r w:rsidR="004B29CC" w:rsidRPr="002207FE">
        <w:rPr>
          <w:b/>
        </w:rPr>
        <w:t>de mayo</w:t>
      </w:r>
      <w:r w:rsidRPr="002207FE">
        <w:rPr>
          <w:b/>
        </w:rPr>
        <w:t xml:space="preserve"> de dos mil veinticinco,</w:t>
      </w:r>
      <w:r w:rsidRPr="002207FE">
        <w:t xml:space="preserve"> y el recurso que nos ocupa se tuvo por presentado el </w:t>
      </w:r>
      <w:r w:rsidR="00930359" w:rsidRPr="002207FE">
        <w:rPr>
          <w:b/>
        </w:rPr>
        <w:t xml:space="preserve">veintinueve de mayo </w:t>
      </w:r>
      <w:r w:rsidRPr="002207FE">
        <w:rPr>
          <w:b/>
        </w:rPr>
        <w:t>de dos mil veinticinco</w:t>
      </w:r>
      <w:r w:rsidRPr="002207FE">
        <w:t>; por lo tanto, éste se encuentra dentro del margen temporal previsto en el artículo 178 de la Ley de Transparencia y Acceso a la Información Pública del Estado de México y Municipios.</w:t>
      </w:r>
    </w:p>
    <w:p w14:paraId="01778169" w14:textId="77777777" w:rsidR="003715F3" w:rsidRPr="002207FE" w:rsidRDefault="003715F3" w:rsidP="002207FE"/>
    <w:p w14:paraId="4C9D2103" w14:textId="4423951C" w:rsidR="003715F3" w:rsidRPr="002207FE" w:rsidRDefault="003715F3" w:rsidP="002207FE">
      <w:r w:rsidRPr="002207FE">
        <w:t xml:space="preserve">En ese tenor, se advierte que </w:t>
      </w:r>
      <w:r w:rsidRPr="002207FE">
        <w:rPr>
          <w:b/>
        </w:rPr>
        <w:t>LA PARTE RECURRENTE</w:t>
      </w:r>
      <w:r w:rsidRPr="002207FE">
        <w:t xml:space="preserve"> presentó el medio de impugnación, el mismo día en que se le notificó la respuesta impugnada; no obstante lo anterior, ello no implica que su interposición sea extemporánea, es decir, fuera del plazo señalado para tales efectos, en razón de que si bien el artículo 178 de la Ley de Transparencia y Acceso a la Información Pública del Estado de México y Municipios, establece que el recurso de revisión se ha de promover dentro de los quince días hábiles siguientes en que </w:t>
      </w:r>
      <w:r w:rsidRPr="002207FE">
        <w:rPr>
          <w:b/>
        </w:rPr>
        <w:t>LA PARTE RECURRENTE</w:t>
      </w:r>
      <w:r w:rsidRPr="002207FE">
        <w:t xml:space="preserve"> tenga conocimiento de la respuesta impugnada, no limita a los particulares para que lo puedan presentar el mismo día en que le sea notificada dicha respuesta; esto es, no implica que de presentarse el recurso de revisión el mismo día de su notificación, deba considerarse como extemporáneo.</w:t>
      </w:r>
    </w:p>
    <w:p w14:paraId="43084429" w14:textId="77777777" w:rsidR="003715F3" w:rsidRPr="002207FE" w:rsidRDefault="003715F3" w:rsidP="002207FE"/>
    <w:p w14:paraId="2F2BAB18" w14:textId="77777777" w:rsidR="003715F3" w:rsidRPr="002207FE" w:rsidRDefault="003715F3" w:rsidP="002207FE">
      <w:r w:rsidRPr="002207FE">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394F7529" w14:textId="77777777" w:rsidR="003715F3" w:rsidRPr="002207FE" w:rsidRDefault="003715F3" w:rsidP="002207FE"/>
    <w:p w14:paraId="384E7DA3" w14:textId="77777777" w:rsidR="003715F3" w:rsidRPr="002207FE" w:rsidRDefault="003715F3" w:rsidP="002207FE">
      <w:pPr>
        <w:pStyle w:val="Puesto"/>
        <w:ind w:firstLine="0"/>
        <w:rPr>
          <w:color w:val="auto"/>
        </w:rPr>
      </w:pPr>
      <w:r w:rsidRPr="002207FE">
        <w:rPr>
          <w:color w:val="auto"/>
        </w:rPr>
        <w:t>“</w:t>
      </w:r>
      <w:r w:rsidRPr="002207FE">
        <w:rPr>
          <w:b/>
          <w:color w:val="auto"/>
        </w:rPr>
        <w:t>RECURSO DE RECLAMACIÓN. SU INTERPOSICIÓN NO ES EXTEMPORÁNEA SI SE REALIZA ANTES DE QUE INICIE EL PLAZO PARA HACERLO.</w:t>
      </w:r>
      <w:r w:rsidRPr="002207FE">
        <w:rPr>
          <w:color w:val="auto"/>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636A497" w14:textId="77777777" w:rsidR="003715F3" w:rsidRPr="002207FE" w:rsidRDefault="003715F3" w:rsidP="002207FE"/>
    <w:p w14:paraId="69550E8B" w14:textId="77777777" w:rsidR="003715F3" w:rsidRPr="002207FE" w:rsidRDefault="003715F3" w:rsidP="002207FE">
      <w:pPr>
        <w:pStyle w:val="Puesto"/>
        <w:ind w:firstLine="0"/>
        <w:rPr>
          <w:color w:val="auto"/>
        </w:rPr>
      </w:pPr>
      <w:r w:rsidRPr="002207FE">
        <w:rPr>
          <w:color w:val="auto"/>
        </w:rPr>
        <w:t>Recurso de reclamación 953/2013. 9 de abril de 2014. Cinco votos de los Ministros Arturo Zaldívar Lelo de Larrea, José Ramón Cossío Díaz, Alfredo Gutiérrez Ortiz.</w:t>
      </w:r>
    </w:p>
    <w:p w14:paraId="32CBC99B" w14:textId="77777777" w:rsidR="002B792E" w:rsidRPr="002207FE" w:rsidRDefault="002B792E" w:rsidP="002207FE"/>
    <w:p w14:paraId="2358FEAA" w14:textId="77777777" w:rsidR="003B3CD6" w:rsidRPr="002207FE" w:rsidRDefault="004C3B66" w:rsidP="002207FE">
      <w:pPr>
        <w:pStyle w:val="Ttulo3"/>
      </w:pPr>
      <w:bookmarkStart w:id="27" w:name="_Toc207804464"/>
      <w:r w:rsidRPr="002207FE">
        <w:t>d) Causal de Procedencia</w:t>
      </w:r>
      <w:bookmarkEnd w:id="27"/>
    </w:p>
    <w:p w14:paraId="282E97CD" w14:textId="050A508B" w:rsidR="003B3CD6" w:rsidRPr="002207FE" w:rsidRDefault="004C3B66" w:rsidP="002207FE">
      <w:r w:rsidRPr="002207FE">
        <w:t xml:space="preserve">Resulta procedente la interposición del recurso de revisión, ya que se actualiza la causal de procedencia señalada en el artículo 179, fracción </w:t>
      </w:r>
      <w:r w:rsidR="00930359" w:rsidRPr="002207FE">
        <w:t>I</w:t>
      </w:r>
      <w:r w:rsidRPr="002207FE">
        <w:t xml:space="preserve"> de la Ley de Transparencia y Acceso a la Información Pública del Estado de México y Municipios.</w:t>
      </w:r>
    </w:p>
    <w:p w14:paraId="1E82575C" w14:textId="77777777" w:rsidR="003B3CD6" w:rsidRPr="002207FE" w:rsidRDefault="003B3CD6" w:rsidP="002207FE"/>
    <w:p w14:paraId="095E2DA1" w14:textId="77777777" w:rsidR="003B3CD6" w:rsidRPr="002207FE" w:rsidRDefault="004C3B66" w:rsidP="002207FE">
      <w:pPr>
        <w:pStyle w:val="Ttulo3"/>
      </w:pPr>
      <w:bookmarkStart w:id="28" w:name="_Toc207804465"/>
      <w:r w:rsidRPr="002207FE">
        <w:t>e) Requisitos formales para la interposición del recurso</w:t>
      </w:r>
      <w:bookmarkEnd w:id="28"/>
    </w:p>
    <w:p w14:paraId="4E423D27" w14:textId="77777777" w:rsidR="008B18AE" w:rsidRPr="002207FE" w:rsidRDefault="008B18AE" w:rsidP="002207FE">
      <w:pPr>
        <w:rPr>
          <w:rFonts w:cs="Arial"/>
        </w:rPr>
      </w:pPr>
      <w:r w:rsidRPr="002207FE">
        <w:rPr>
          <w:rFonts w:cs="Arial"/>
          <w:b/>
          <w:bCs/>
        </w:rPr>
        <w:t xml:space="preserve">LA PARTE RECURRENTE </w:t>
      </w:r>
      <w:r w:rsidRPr="002207FE">
        <w:rPr>
          <w:rFonts w:cs="Arial"/>
        </w:rPr>
        <w:t>acreditó todos y cada uno de los elementos formales exigidos por el artículo 180 de la misma normatividad.</w:t>
      </w:r>
    </w:p>
    <w:p w14:paraId="5E30E951" w14:textId="77777777" w:rsidR="008B18AE" w:rsidRPr="002207FE" w:rsidRDefault="008B18AE" w:rsidP="002207FE">
      <w:pPr>
        <w:rPr>
          <w:rFonts w:cs="Arial"/>
        </w:rPr>
      </w:pPr>
    </w:p>
    <w:p w14:paraId="397731B2" w14:textId="77777777" w:rsidR="003B3CD6" w:rsidRPr="002207FE" w:rsidRDefault="004C3B66" w:rsidP="002207FE">
      <w:pPr>
        <w:pStyle w:val="Ttulo2"/>
      </w:pPr>
      <w:bookmarkStart w:id="29" w:name="_Toc207804466"/>
      <w:r w:rsidRPr="002207FE">
        <w:lastRenderedPageBreak/>
        <w:t>SEGUNDO. Estudio de Fondo</w:t>
      </w:r>
      <w:bookmarkEnd w:id="29"/>
    </w:p>
    <w:p w14:paraId="2CBA3AB4" w14:textId="77777777" w:rsidR="003B3CD6" w:rsidRPr="002207FE" w:rsidRDefault="004C3B66" w:rsidP="002207FE">
      <w:pPr>
        <w:pStyle w:val="Ttulo3"/>
      </w:pPr>
      <w:bookmarkStart w:id="30" w:name="_Toc207804467"/>
      <w:r w:rsidRPr="002207FE">
        <w:t>a) Mandato de transparencia y responsabilidad del Sujeto Obligado</w:t>
      </w:r>
      <w:bookmarkEnd w:id="30"/>
    </w:p>
    <w:p w14:paraId="7F6AD857" w14:textId="77777777" w:rsidR="003B3CD6" w:rsidRPr="002207FE" w:rsidRDefault="004C3B66" w:rsidP="002207FE">
      <w:r w:rsidRPr="002207FE">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40FA705A" w14:textId="77777777" w:rsidR="003B3CD6" w:rsidRPr="002207FE" w:rsidRDefault="003B3CD6" w:rsidP="002207FE"/>
    <w:p w14:paraId="62B4F227" w14:textId="77777777" w:rsidR="003B3CD6" w:rsidRPr="002207FE" w:rsidRDefault="004C3B66" w:rsidP="002207FE">
      <w:pPr>
        <w:spacing w:line="240" w:lineRule="auto"/>
        <w:ind w:left="567" w:right="539"/>
        <w:rPr>
          <w:b/>
          <w:i/>
        </w:rPr>
      </w:pPr>
      <w:r w:rsidRPr="002207FE">
        <w:rPr>
          <w:b/>
          <w:i/>
        </w:rPr>
        <w:t>Constitución Política de los Estados Unidos Mexicanos</w:t>
      </w:r>
    </w:p>
    <w:p w14:paraId="52BAAA9E" w14:textId="77777777" w:rsidR="003B3CD6" w:rsidRPr="002207FE" w:rsidRDefault="004C3B66" w:rsidP="002207FE">
      <w:pPr>
        <w:spacing w:line="240" w:lineRule="auto"/>
        <w:ind w:left="567" w:right="539"/>
        <w:rPr>
          <w:b/>
          <w:i/>
        </w:rPr>
      </w:pPr>
      <w:r w:rsidRPr="002207FE">
        <w:rPr>
          <w:b/>
          <w:i/>
        </w:rPr>
        <w:t>“Artículo 6.</w:t>
      </w:r>
    </w:p>
    <w:p w14:paraId="5E30512E" w14:textId="77777777" w:rsidR="003B3CD6" w:rsidRPr="002207FE" w:rsidRDefault="004C3B66" w:rsidP="002207FE">
      <w:pPr>
        <w:spacing w:line="240" w:lineRule="auto"/>
        <w:ind w:left="567" w:right="539"/>
        <w:rPr>
          <w:i/>
        </w:rPr>
      </w:pPr>
      <w:r w:rsidRPr="002207FE">
        <w:rPr>
          <w:i/>
        </w:rPr>
        <w:t>(…)</w:t>
      </w:r>
    </w:p>
    <w:p w14:paraId="7EA72D1F" w14:textId="77777777" w:rsidR="003B3CD6" w:rsidRPr="002207FE" w:rsidRDefault="004C3B66" w:rsidP="002207FE">
      <w:pPr>
        <w:spacing w:line="240" w:lineRule="auto"/>
        <w:ind w:left="567" w:right="539"/>
        <w:rPr>
          <w:i/>
        </w:rPr>
      </w:pPr>
      <w:r w:rsidRPr="002207FE">
        <w:rPr>
          <w:i/>
        </w:rPr>
        <w:t>Para efectos de lo dispuesto en el presente artículo se observará lo siguiente:</w:t>
      </w:r>
    </w:p>
    <w:p w14:paraId="6E7AEF2D" w14:textId="77777777" w:rsidR="003B3CD6" w:rsidRPr="002207FE" w:rsidRDefault="004C3B66" w:rsidP="002207FE">
      <w:pPr>
        <w:spacing w:line="240" w:lineRule="auto"/>
        <w:ind w:left="567" w:right="539"/>
        <w:rPr>
          <w:b/>
          <w:i/>
        </w:rPr>
      </w:pPr>
      <w:r w:rsidRPr="002207FE">
        <w:rPr>
          <w:b/>
          <w:i/>
        </w:rPr>
        <w:t>A</w:t>
      </w:r>
      <w:r w:rsidRPr="002207FE">
        <w:rPr>
          <w:i/>
        </w:rPr>
        <w:t xml:space="preserve">. </w:t>
      </w:r>
      <w:r w:rsidRPr="002207FE">
        <w:rPr>
          <w:b/>
          <w:i/>
        </w:rPr>
        <w:t>Para el ejercicio del derecho de acceso a la información</w:t>
      </w:r>
      <w:r w:rsidRPr="002207FE">
        <w:rPr>
          <w:i/>
        </w:rPr>
        <w:t xml:space="preserve">, la Federación y </w:t>
      </w:r>
      <w:r w:rsidRPr="002207FE">
        <w:rPr>
          <w:b/>
          <w:i/>
        </w:rPr>
        <w:t>las entidades federativas, en el ámbito de sus respectivas competencias, se regirán por los siguientes principios y bases:</w:t>
      </w:r>
    </w:p>
    <w:p w14:paraId="7D36875B" w14:textId="77777777" w:rsidR="003B3CD6" w:rsidRPr="002207FE" w:rsidRDefault="004C3B66" w:rsidP="002207FE">
      <w:pPr>
        <w:spacing w:line="240" w:lineRule="auto"/>
        <w:ind w:left="567" w:right="539"/>
        <w:rPr>
          <w:i/>
        </w:rPr>
      </w:pPr>
      <w:r w:rsidRPr="002207FE">
        <w:rPr>
          <w:b/>
          <w:i/>
        </w:rPr>
        <w:t xml:space="preserve">I. </w:t>
      </w:r>
      <w:r w:rsidRPr="002207FE">
        <w:rPr>
          <w:b/>
          <w:i/>
        </w:rPr>
        <w:tab/>
        <w:t>Toda la información en posesión de cualquier</w:t>
      </w:r>
      <w:r w:rsidRPr="002207FE">
        <w:rPr>
          <w:i/>
        </w:rPr>
        <w:t xml:space="preserve"> </w:t>
      </w:r>
      <w:r w:rsidRPr="002207FE">
        <w:rPr>
          <w:b/>
          <w:i/>
        </w:rPr>
        <w:t>autoridad</w:t>
      </w:r>
      <w:r w:rsidRPr="002207FE">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207FE">
        <w:rPr>
          <w:b/>
          <w:i/>
        </w:rPr>
        <w:t>municipal</w:t>
      </w:r>
      <w:r w:rsidRPr="002207FE">
        <w:rPr>
          <w:i/>
        </w:rPr>
        <w:t xml:space="preserve">, </w:t>
      </w:r>
      <w:r w:rsidRPr="002207FE">
        <w:rPr>
          <w:b/>
          <w:i/>
        </w:rPr>
        <w:t>es pública</w:t>
      </w:r>
      <w:r w:rsidRPr="002207FE">
        <w:rPr>
          <w:i/>
        </w:rPr>
        <w:t xml:space="preserve"> y sólo podrá ser reservada temporalmente por razones de interés público y seguridad nacional, en los términos que fijen las leyes. </w:t>
      </w:r>
      <w:r w:rsidRPr="002207FE">
        <w:rPr>
          <w:b/>
          <w:i/>
        </w:rPr>
        <w:t>En la interpretación de este derecho deberá prevalecer el principio de máxima publicidad. Los sujetos obligados deberán documentar todo acto que derive del ejercicio de sus facultades, competencias o funciones</w:t>
      </w:r>
      <w:r w:rsidRPr="002207FE">
        <w:rPr>
          <w:i/>
        </w:rPr>
        <w:t>, la ley determinará los supuestos específicos bajo los cuales procederá la declaración de inexistencia de la información.”</w:t>
      </w:r>
    </w:p>
    <w:p w14:paraId="2FF3B18F" w14:textId="77777777" w:rsidR="003B3CD6" w:rsidRPr="002207FE" w:rsidRDefault="003B3CD6" w:rsidP="002207FE">
      <w:pPr>
        <w:spacing w:line="240" w:lineRule="auto"/>
        <w:ind w:left="567" w:right="539"/>
        <w:rPr>
          <w:b/>
          <w:i/>
        </w:rPr>
      </w:pPr>
    </w:p>
    <w:p w14:paraId="32EF8C66" w14:textId="77777777" w:rsidR="003B3CD6" w:rsidRPr="002207FE" w:rsidRDefault="004C3B66" w:rsidP="002207FE">
      <w:pPr>
        <w:spacing w:line="240" w:lineRule="auto"/>
        <w:ind w:left="567" w:right="539"/>
        <w:rPr>
          <w:b/>
          <w:i/>
        </w:rPr>
      </w:pPr>
      <w:r w:rsidRPr="002207FE">
        <w:rPr>
          <w:b/>
          <w:i/>
        </w:rPr>
        <w:t>Constitución Política del Estado Libre y Soberano de México</w:t>
      </w:r>
    </w:p>
    <w:p w14:paraId="2AE9E98A" w14:textId="77777777" w:rsidR="003B3CD6" w:rsidRPr="002207FE" w:rsidRDefault="004C3B66" w:rsidP="002207FE">
      <w:pPr>
        <w:spacing w:line="240" w:lineRule="auto"/>
        <w:ind w:left="567" w:right="539"/>
        <w:rPr>
          <w:i/>
        </w:rPr>
      </w:pPr>
      <w:r w:rsidRPr="002207FE">
        <w:rPr>
          <w:b/>
          <w:i/>
        </w:rPr>
        <w:t>“Artículo 5</w:t>
      </w:r>
      <w:r w:rsidRPr="002207FE">
        <w:rPr>
          <w:i/>
        </w:rPr>
        <w:t xml:space="preserve">.- </w:t>
      </w:r>
    </w:p>
    <w:p w14:paraId="6AB12DB8" w14:textId="77777777" w:rsidR="003B3CD6" w:rsidRPr="002207FE" w:rsidRDefault="004C3B66" w:rsidP="002207FE">
      <w:pPr>
        <w:spacing w:line="240" w:lineRule="auto"/>
        <w:ind w:left="567" w:right="539"/>
        <w:rPr>
          <w:i/>
        </w:rPr>
      </w:pPr>
      <w:r w:rsidRPr="002207FE">
        <w:rPr>
          <w:i/>
        </w:rPr>
        <w:t>(…)</w:t>
      </w:r>
    </w:p>
    <w:p w14:paraId="2A33DCD6" w14:textId="77777777" w:rsidR="003B3CD6" w:rsidRPr="002207FE" w:rsidRDefault="004C3B66" w:rsidP="002207FE">
      <w:pPr>
        <w:spacing w:line="240" w:lineRule="auto"/>
        <w:ind w:left="567" w:right="539"/>
        <w:rPr>
          <w:i/>
        </w:rPr>
      </w:pPr>
      <w:r w:rsidRPr="002207FE">
        <w:rPr>
          <w:b/>
          <w:i/>
        </w:rPr>
        <w:t>El derecho a la información será garantizado por el Estado. La ley establecerá las previsiones que permitan asegurar la protección, el respeto y la difusión de este derecho</w:t>
      </w:r>
      <w:r w:rsidRPr="002207FE">
        <w:rPr>
          <w:i/>
        </w:rPr>
        <w:t>.</w:t>
      </w:r>
    </w:p>
    <w:p w14:paraId="22ABD449" w14:textId="77777777" w:rsidR="003B3CD6" w:rsidRPr="002207FE" w:rsidRDefault="004C3B66" w:rsidP="002207FE">
      <w:pPr>
        <w:spacing w:line="240" w:lineRule="auto"/>
        <w:ind w:left="567" w:right="539"/>
        <w:rPr>
          <w:i/>
        </w:rPr>
      </w:pPr>
      <w:r w:rsidRPr="002207FE">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4FBC67E" w14:textId="77777777" w:rsidR="003B3CD6" w:rsidRPr="002207FE" w:rsidRDefault="004C3B66" w:rsidP="002207FE">
      <w:pPr>
        <w:spacing w:line="240" w:lineRule="auto"/>
        <w:ind w:left="567" w:right="539"/>
        <w:rPr>
          <w:i/>
        </w:rPr>
      </w:pPr>
      <w:r w:rsidRPr="002207FE">
        <w:rPr>
          <w:b/>
          <w:i/>
        </w:rPr>
        <w:t>Este derecho se regirá por los principios y bases siguientes</w:t>
      </w:r>
      <w:r w:rsidRPr="002207FE">
        <w:rPr>
          <w:i/>
        </w:rPr>
        <w:t>:</w:t>
      </w:r>
    </w:p>
    <w:p w14:paraId="39FA9EAC" w14:textId="77777777" w:rsidR="003B3CD6" w:rsidRPr="002207FE" w:rsidRDefault="004C3B66" w:rsidP="002207FE">
      <w:pPr>
        <w:spacing w:line="240" w:lineRule="auto"/>
        <w:ind w:left="567" w:right="539"/>
        <w:rPr>
          <w:i/>
        </w:rPr>
      </w:pPr>
      <w:r w:rsidRPr="002207FE">
        <w:rPr>
          <w:b/>
          <w:i/>
        </w:rPr>
        <w:lastRenderedPageBreak/>
        <w:t>I. Toda la información en posesión de cualquier autoridad, entidad, órgano y organismos de los</w:t>
      </w:r>
      <w:r w:rsidRPr="002207FE">
        <w:rPr>
          <w:i/>
        </w:rPr>
        <w:t xml:space="preserve"> Poderes Ejecutivo, Legislativo y Judicial, órganos autónomos, partidos políticos, fideicomisos y fondos públicos estatales y </w:t>
      </w:r>
      <w:r w:rsidRPr="002207FE">
        <w:rPr>
          <w:b/>
          <w:i/>
        </w:rPr>
        <w:t>municipales</w:t>
      </w:r>
      <w:r w:rsidRPr="002207FE">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207FE">
        <w:rPr>
          <w:b/>
          <w:i/>
        </w:rPr>
        <w:t>es pública</w:t>
      </w:r>
      <w:r w:rsidRPr="002207FE">
        <w:rPr>
          <w:i/>
        </w:rPr>
        <w:t xml:space="preserve"> y sólo podrá ser reservada temporalmente por razones previstas en la Constitución Política de los Estados Unidos Mexicanos de interés público y seguridad, en los términos que fijen las leyes. </w:t>
      </w:r>
      <w:r w:rsidRPr="002207FE">
        <w:rPr>
          <w:b/>
          <w:i/>
        </w:rPr>
        <w:t>En la interpretación de este derecho deberá prevalecer el principio de máxima publicidad</w:t>
      </w:r>
      <w:r w:rsidRPr="002207FE">
        <w:rPr>
          <w:i/>
        </w:rPr>
        <w:t xml:space="preserve">. </w:t>
      </w:r>
      <w:r w:rsidRPr="002207FE">
        <w:rPr>
          <w:b/>
          <w:i/>
        </w:rPr>
        <w:t>Los sujetos obligados deberán documentar todo acto que derive del ejercicio de sus facultades, competencias o funciones</w:t>
      </w:r>
      <w:r w:rsidRPr="002207FE">
        <w:rPr>
          <w:i/>
        </w:rPr>
        <w:t>, la ley determinará los supuestos específicos bajo los cuales procederá la declaración de inexistencia de la información.”</w:t>
      </w:r>
    </w:p>
    <w:p w14:paraId="5EA61096" w14:textId="77777777" w:rsidR="003B3CD6" w:rsidRPr="002207FE" w:rsidRDefault="003B3CD6" w:rsidP="002207FE">
      <w:pPr>
        <w:rPr>
          <w:b/>
          <w:i/>
        </w:rPr>
      </w:pPr>
    </w:p>
    <w:p w14:paraId="23D73E1C" w14:textId="77777777" w:rsidR="003B3CD6" w:rsidRPr="002207FE" w:rsidRDefault="004C3B66" w:rsidP="002207FE">
      <w:pPr>
        <w:rPr>
          <w:i/>
        </w:rPr>
      </w:pPr>
      <w:r w:rsidRPr="002207FE">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2207FE">
        <w:rPr>
          <w:i/>
        </w:rPr>
        <w:t>por los principios de simplicidad, rapidez, gratuidad del procedimiento, auxilio y orientación a los particulares.</w:t>
      </w:r>
    </w:p>
    <w:p w14:paraId="13767611" w14:textId="77777777" w:rsidR="003B3CD6" w:rsidRPr="002207FE" w:rsidRDefault="003B3CD6" w:rsidP="002207FE">
      <w:pPr>
        <w:rPr>
          <w:i/>
        </w:rPr>
      </w:pPr>
    </w:p>
    <w:p w14:paraId="429C1F00" w14:textId="77777777" w:rsidR="003B3CD6" w:rsidRPr="002207FE" w:rsidRDefault="004C3B66" w:rsidP="002207FE">
      <w:pPr>
        <w:rPr>
          <w:i/>
        </w:rPr>
      </w:pPr>
      <w:r w:rsidRPr="002207FE">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7A5E1F02" w14:textId="77777777" w:rsidR="003B3CD6" w:rsidRPr="002207FE" w:rsidRDefault="003B3CD6" w:rsidP="002207FE"/>
    <w:p w14:paraId="07D89208" w14:textId="77777777" w:rsidR="003B3CD6" w:rsidRPr="002207FE" w:rsidRDefault="004C3B66" w:rsidP="002207FE">
      <w:r w:rsidRPr="002207FE">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1A66EB97" w14:textId="77777777" w:rsidR="003B3CD6" w:rsidRPr="002207FE" w:rsidRDefault="003B3CD6" w:rsidP="002207FE"/>
    <w:p w14:paraId="7968B98C" w14:textId="77777777" w:rsidR="003B3CD6" w:rsidRPr="002207FE" w:rsidRDefault="004C3B66" w:rsidP="002207FE">
      <w:r w:rsidRPr="002207FE">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41A32AD1" w14:textId="77777777" w:rsidR="003B3CD6" w:rsidRPr="002207FE" w:rsidRDefault="003B3CD6" w:rsidP="002207FE"/>
    <w:p w14:paraId="39EB658E" w14:textId="747E072A" w:rsidR="006505FC" w:rsidRPr="002207FE" w:rsidRDefault="004C3B66" w:rsidP="002207FE">
      <w:r w:rsidRPr="002207FE">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1861326D" w14:textId="77777777" w:rsidR="004B29CC" w:rsidRPr="002207FE" w:rsidRDefault="004B29CC" w:rsidP="002207FE"/>
    <w:p w14:paraId="0082279D" w14:textId="11E81099" w:rsidR="003B3CD6" w:rsidRPr="002207FE" w:rsidRDefault="005E5D95" w:rsidP="002207FE">
      <w:pPr>
        <w:pStyle w:val="Ttulo3"/>
      </w:pPr>
      <w:r w:rsidRPr="002207FE">
        <w:t xml:space="preserve"> </w:t>
      </w:r>
      <w:bookmarkStart w:id="31" w:name="_Toc207804468"/>
      <w:r w:rsidR="004C3B66" w:rsidRPr="002207FE">
        <w:t>b) Controversia a resolver</w:t>
      </w:r>
      <w:bookmarkEnd w:id="31"/>
    </w:p>
    <w:p w14:paraId="67CEC442" w14:textId="37619B74" w:rsidR="00561F56" w:rsidRPr="002207FE" w:rsidRDefault="004C3B66" w:rsidP="002207FE">
      <w:r w:rsidRPr="002207FE">
        <w:t xml:space="preserve">Con el objeto de ilustrar la controversia planteada, resulta conveniente precisar que, una vez realizado el estudio de las constancias que integran el expediente en que se actúa, se desprende que </w:t>
      </w:r>
      <w:r w:rsidRPr="002207FE">
        <w:rPr>
          <w:b/>
        </w:rPr>
        <w:t>LA PARTE RECURRENTE</w:t>
      </w:r>
      <w:r w:rsidRPr="002207FE">
        <w:t xml:space="preserve"> solicitó</w:t>
      </w:r>
      <w:r w:rsidR="008B18AE" w:rsidRPr="002207FE">
        <w:t xml:space="preserve"> los </w:t>
      </w:r>
      <w:r w:rsidR="00930359" w:rsidRPr="002207FE">
        <w:t xml:space="preserve">recibos de nómina de la </w:t>
      </w:r>
      <w:r w:rsidR="008B18AE" w:rsidRPr="002207FE">
        <w:t>Presidenta Municipal</w:t>
      </w:r>
      <w:r w:rsidR="00930359" w:rsidRPr="002207FE">
        <w:t xml:space="preserve">, </w:t>
      </w:r>
      <w:r w:rsidR="008B18AE" w:rsidRPr="002207FE">
        <w:t>Síndicos</w:t>
      </w:r>
      <w:r w:rsidR="00930359" w:rsidRPr="002207FE">
        <w:t xml:space="preserve">, </w:t>
      </w:r>
      <w:r w:rsidR="008B18AE" w:rsidRPr="002207FE">
        <w:t xml:space="preserve">Regidores </w:t>
      </w:r>
      <w:r w:rsidR="00930359" w:rsidRPr="002207FE">
        <w:t xml:space="preserve">y </w:t>
      </w:r>
      <w:r w:rsidR="008B18AE" w:rsidRPr="002207FE">
        <w:t xml:space="preserve">Directores </w:t>
      </w:r>
      <w:r w:rsidR="00930359" w:rsidRPr="002207FE">
        <w:t>de área correspondientes a la segunda quincena del mes de abril de 2025.</w:t>
      </w:r>
    </w:p>
    <w:p w14:paraId="38F4E0A2" w14:textId="77777777" w:rsidR="00930359" w:rsidRPr="002207FE" w:rsidRDefault="00930359" w:rsidP="002207FE"/>
    <w:p w14:paraId="5ABF6063" w14:textId="67FB6639" w:rsidR="004A017D" w:rsidRPr="002207FE" w:rsidRDefault="004C3B66" w:rsidP="002207FE">
      <w:pPr>
        <w:pBdr>
          <w:top w:val="nil"/>
          <w:left w:val="nil"/>
          <w:bottom w:val="nil"/>
          <w:right w:val="nil"/>
          <w:between w:val="nil"/>
        </w:pBdr>
      </w:pPr>
      <w:r w:rsidRPr="002207FE">
        <w:t xml:space="preserve">En respuesta </w:t>
      </w:r>
      <w:r w:rsidRPr="002207FE">
        <w:rPr>
          <w:b/>
        </w:rPr>
        <w:t>EL SUJETO OBLIGADO</w:t>
      </w:r>
      <w:r w:rsidRPr="002207FE">
        <w:t xml:space="preserve"> </w:t>
      </w:r>
      <w:r w:rsidR="0043623F" w:rsidRPr="002207FE">
        <w:t xml:space="preserve">a través de la Subdirectora de Administración de Personal, informó que la información solicitada </w:t>
      </w:r>
      <w:r w:rsidR="003715F3" w:rsidRPr="002207FE">
        <w:t xml:space="preserve">se encuentra </w:t>
      </w:r>
      <w:r w:rsidR="0043623F" w:rsidRPr="002207FE">
        <w:t xml:space="preserve">disponible en la página oficial de Información Pública de Oficio de los Sujetos Obligados del Estado de México y Municipios </w:t>
      </w:r>
      <w:r w:rsidR="0043623F" w:rsidRPr="002207FE">
        <w:lastRenderedPageBreak/>
        <w:t xml:space="preserve">(IPOMEX), en el apartado del artículo 92 fracción VIII A correspondiente a “Remuneraciones”, disponible en el link referido. </w:t>
      </w:r>
    </w:p>
    <w:p w14:paraId="449E75BF" w14:textId="77777777" w:rsidR="004A017D" w:rsidRPr="002207FE" w:rsidRDefault="004A017D" w:rsidP="002207FE">
      <w:pPr>
        <w:pBdr>
          <w:top w:val="nil"/>
          <w:left w:val="nil"/>
          <w:bottom w:val="nil"/>
          <w:right w:val="nil"/>
          <w:between w:val="nil"/>
        </w:pBdr>
      </w:pPr>
    </w:p>
    <w:p w14:paraId="24068782" w14:textId="77777777" w:rsidR="0043623F" w:rsidRPr="002207FE" w:rsidRDefault="004C3B66" w:rsidP="002207FE">
      <w:pPr>
        <w:rPr>
          <w:lang w:val="es-ES"/>
        </w:rPr>
      </w:pPr>
      <w:r w:rsidRPr="002207FE">
        <w:t>En esta tesitura, una vez conocida la respuesta</w:t>
      </w:r>
      <w:r w:rsidR="0060252E" w:rsidRPr="002207FE">
        <w:t xml:space="preserve">, </w:t>
      </w:r>
      <w:r w:rsidRPr="002207FE">
        <w:rPr>
          <w:b/>
        </w:rPr>
        <w:t>LA PARTE RECURRENTE</w:t>
      </w:r>
      <w:r w:rsidRPr="002207FE">
        <w:t xml:space="preserve"> se inconformó </w:t>
      </w:r>
      <w:r w:rsidR="0043623F" w:rsidRPr="002207FE">
        <w:rPr>
          <w:lang w:val="es-ES"/>
        </w:rPr>
        <w:t xml:space="preserve">en lo medular de la falta de entrega de la información solicitada. </w:t>
      </w:r>
    </w:p>
    <w:p w14:paraId="59571249" w14:textId="298938E1" w:rsidR="003B3CD6" w:rsidRPr="002207FE" w:rsidRDefault="003B3CD6" w:rsidP="002207FE">
      <w:pPr>
        <w:rPr>
          <w:lang w:val="es-ES"/>
        </w:rPr>
      </w:pPr>
    </w:p>
    <w:p w14:paraId="7C655421" w14:textId="21467419" w:rsidR="003B3CD6" w:rsidRPr="002207FE" w:rsidRDefault="004C3B66" w:rsidP="002207FE">
      <w:r w:rsidRPr="002207FE">
        <w:t xml:space="preserve">Abierta la etapa de instrucción, </w:t>
      </w:r>
      <w:r w:rsidRPr="002207FE">
        <w:rPr>
          <w:b/>
        </w:rPr>
        <w:t>EL SUJETO OBLIGADO</w:t>
      </w:r>
      <w:r w:rsidRPr="002207FE">
        <w:t xml:space="preserve"> rindió su Informe Justificado, </w:t>
      </w:r>
      <w:r w:rsidR="0043623F" w:rsidRPr="002207FE">
        <w:t>remitiendo en versión pública diversos recibos de nómina correspondientes a la segunda quincena de abril de 2025</w:t>
      </w:r>
      <w:r w:rsidR="00301F31" w:rsidRPr="002207FE">
        <w:t xml:space="preserve">. </w:t>
      </w:r>
      <w:r w:rsidRPr="002207FE">
        <w:rPr>
          <w:b/>
        </w:rPr>
        <w:t xml:space="preserve">LA PARTE RECURRENTE </w:t>
      </w:r>
      <w:r w:rsidR="0043623F" w:rsidRPr="002207FE">
        <w:t>realizó las manifestaciones que a su derecho convino.</w:t>
      </w:r>
    </w:p>
    <w:p w14:paraId="56597F7B" w14:textId="77777777" w:rsidR="003B3CD6" w:rsidRPr="002207FE" w:rsidRDefault="003B3CD6" w:rsidP="002207FE"/>
    <w:p w14:paraId="12B03C4E" w14:textId="77777777" w:rsidR="00D81785" w:rsidRPr="002207FE" w:rsidRDefault="00D81785" w:rsidP="002207FE">
      <w:pPr>
        <w:tabs>
          <w:tab w:val="left" w:pos="709"/>
        </w:tabs>
      </w:pPr>
      <w:r w:rsidRPr="002207FE">
        <w:t xml:space="preserve">Bajo las premisas anteriores, se concluye que la controversia a dilucidar en el presente medio de impugnación será verificar si la información proporcionada por </w:t>
      </w:r>
      <w:r w:rsidRPr="002207FE">
        <w:rPr>
          <w:b/>
        </w:rPr>
        <w:t xml:space="preserve">EL SUJETO OBLIGADO </w:t>
      </w:r>
      <w:r w:rsidRPr="002207FE">
        <w:t xml:space="preserve">en respuesta y en informe justificado, es adecuada y suficiente para tener por satisfecho el derecho de acceso a la información pública de </w:t>
      </w:r>
      <w:r w:rsidRPr="002207FE">
        <w:rPr>
          <w:b/>
        </w:rPr>
        <w:t>LA PARTE RECURRENTE</w:t>
      </w:r>
      <w:r w:rsidRPr="002207FE">
        <w:t xml:space="preserve"> o, en su caso, ordenar la entrega de la información que corresponda. </w:t>
      </w:r>
    </w:p>
    <w:p w14:paraId="3C01B0A9" w14:textId="77777777" w:rsidR="003B3CD6" w:rsidRPr="002207FE" w:rsidRDefault="003B3CD6" w:rsidP="002207FE"/>
    <w:p w14:paraId="27E31598" w14:textId="77777777" w:rsidR="003B3CD6" w:rsidRPr="002207FE" w:rsidRDefault="004C3B66" w:rsidP="002207FE">
      <w:pPr>
        <w:pStyle w:val="Ttulo3"/>
      </w:pPr>
      <w:bookmarkStart w:id="32" w:name="_Toc207804469"/>
      <w:r w:rsidRPr="002207FE">
        <w:t>c) Estudio de la controversia</w:t>
      </w:r>
      <w:bookmarkEnd w:id="32"/>
    </w:p>
    <w:p w14:paraId="61F8E0BF" w14:textId="6C3F6997" w:rsidR="0043623F" w:rsidRPr="002207FE" w:rsidRDefault="0043623F" w:rsidP="002207FE">
      <w:pPr>
        <w:pBdr>
          <w:top w:val="nil"/>
          <w:left w:val="nil"/>
          <w:bottom w:val="nil"/>
          <w:right w:val="nil"/>
          <w:between w:val="nil"/>
        </w:pBdr>
        <w:ind w:right="-25"/>
        <w:rPr>
          <w:lang w:val="es-ES"/>
        </w:rPr>
      </w:pPr>
      <w:r w:rsidRPr="002207FE">
        <w:rPr>
          <w:lang w:val="es-ES"/>
        </w:rPr>
        <w:t xml:space="preserve">Expuestas las posturas de las partes, es de vital importancia iniciar el presente análisis destacando el hecho de que en el presente asunto, se pronunció </w:t>
      </w:r>
      <w:r w:rsidR="00916325" w:rsidRPr="002207FE">
        <w:rPr>
          <w:lang w:val="es-ES"/>
        </w:rPr>
        <w:t xml:space="preserve">de manera primigenia </w:t>
      </w:r>
      <w:r w:rsidRPr="002207FE">
        <w:rPr>
          <w:lang w:val="es-ES"/>
        </w:rPr>
        <w:t>la Subdirección de Administración de Personal dependiente de la Dirección de Administración, el cual de conformidad con el Reglamento Orgánico de la Administración Pública Municipal de Huixquilucan vigente, cuenta con las atribuciones</w:t>
      </w:r>
      <w:r w:rsidR="003715F3" w:rsidRPr="002207FE">
        <w:rPr>
          <w:lang w:val="es-ES"/>
        </w:rPr>
        <w:t xml:space="preserve"> siguientes</w:t>
      </w:r>
      <w:r w:rsidRPr="002207FE">
        <w:rPr>
          <w:lang w:val="es-ES"/>
        </w:rPr>
        <w:t>:</w:t>
      </w:r>
    </w:p>
    <w:p w14:paraId="3B811E6E" w14:textId="77777777" w:rsidR="00916325" w:rsidRPr="002207FE" w:rsidRDefault="00916325" w:rsidP="002207FE">
      <w:pPr>
        <w:pBdr>
          <w:top w:val="nil"/>
          <w:left w:val="nil"/>
          <w:bottom w:val="nil"/>
          <w:right w:val="nil"/>
          <w:between w:val="nil"/>
        </w:pBdr>
        <w:ind w:right="-25"/>
        <w:rPr>
          <w:lang w:val="es-ES"/>
        </w:rPr>
      </w:pPr>
    </w:p>
    <w:p w14:paraId="2063A2D4" w14:textId="77777777" w:rsidR="00916325" w:rsidRPr="002207FE" w:rsidRDefault="00916325" w:rsidP="002207FE">
      <w:pPr>
        <w:pStyle w:val="Puesto"/>
        <w:ind w:firstLine="0"/>
        <w:rPr>
          <w:color w:val="auto"/>
        </w:rPr>
      </w:pPr>
      <w:r w:rsidRPr="002207FE">
        <w:rPr>
          <w:color w:val="auto"/>
        </w:rPr>
        <w:t>“Artículo 124. La Dirección General de Administración tendrá las siguientes atribuciones:</w:t>
      </w:r>
    </w:p>
    <w:p w14:paraId="296A5A83" w14:textId="77777777" w:rsidR="00916325" w:rsidRPr="002207FE" w:rsidRDefault="00916325" w:rsidP="002207FE">
      <w:pPr>
        <w:pStyle w:val="Puesto"/>
        <w:ind w:firstLine="0"/>
        <w:rPr>
          <w:color w:val="auto"/>
        </w:rPr>
      </w:pPr>
      <w:r w:rsidRPr="002207FE">
        <w:rPr>
          <w:color w:val="auto"/>
        </w:rPr>
        <w:t>(…)</w:t>
      </w:r>
    </w:p>
    <w:p w14:paraId="701F0F9B" w14:textId="77777777" w:rsidR="00916325" w:rsidRPr="002207FE" w:rsidRDefault="00916325" w:rsidP="002207FE">
      <w:pPr>
        <w:pStyle w:val="Puesto"/>
        <w:ind w:firstLine="0"/>
        <w:rPr>
          <w:color w:val="auto"/>
        </w:rPr>
      </w:pPr>
      <w:r w:rsidRPr="002207FE">
        <w:rPr>
          <w:color w:val="auto"/>
        </w:rPr>
        <w:lastRenderedPageBreak/>
        <w:t xml:space="preserve">XX. </w:t>
      </w:r>
      <w:r w:rsidRPr="002207FE">
        <w:rPr>
          <w:b/>
          <w:bCs/>
          <w:color w:val="auto"/>
          <w:u w:val="single"/>
        </w:rPr>
        <w:t>Elaborar y controlar la nómina de pago, y coordinar con el área correspondiente el pago oportuno de los salarios a los servidores públicos</w:t>
      </w:r>
      <w:r w:rsidRPr="002207FE">
        <w:rPr>
          <w:color w:val="auto"/>
        </w:rPr>
        <w:t>;”</w:t>
      </w:r>
    </w:p>
    <w:p w14:paraId="3B6E2ADD" w14:textId="77777777" w:rsidR="00916325" w:rsidRPr="002207FE" w:rsidRDefault="00916325" w:rsidP="002207FE">
      <w:pPr>
        <w:pBdr>
          <w:top w:val="nil"/>
          <w:left w:val="nil"/>
          <w:bottom w:val="nil"/>
          <w:right w:val="nil"/>
          <w:between w:val="nil"/>
        </w:pBdr>
        <w:spacing w:line="240" w:lineRule="auto"/>
        <w:ind w:right="-25"/>
      </w:pPr>
    </w:p>
    <w:p w14:paraId="3A55B7C2" w14:textId="77777777" w:rsidR="003715F3" w:rsidRPr="002207FE" w:rsidRDefault="003715F3" w:rsidP="002207FE">
      <w:pPr>
        <w:pBdr>
          <w:top w:val="nil"/>
          <w:left w:val="nil"/>
          <w:bottom w:val="nil"/>
          <w:right w:val="nil"/>
          <w:between w:val="nil"/>
        </w:pBdr>
        <w:spacing w:line="240" w:lineRule="auto"/>
        <w:ind w:right="-25"/>
        <w:rPr>
          <w:lang w:val="es-ES"/>
        </w:rPr>
      </w:pPr>
    </w:p>
    <w:p w14:paraId="23D2F553" w14:textId="77777777" w:rsidR="0043623F" w:rsidRPr="002207FE" w:rsidRDefault="0043623F" w:rsidP="002207FE">
      <w:pPr>
        <w:pBdr>
          <w:top w:val="nil"/>
          <w:left w:val="nil"/>
          <w:bottom w:val="nil"/>
          <w:right w:val="nil"/>
          <w:between w:val="nil"/>
        </w:pBdr>
        <w:spacing w:line="240" w:lineRule="auto"/>
        <w:ind w:left="709" w:right="680"/>
        <w:rPr>
          <w:b/>
          <w:i/>
          <w:u w:val="single"/>
          <w:lang w:val="es-ES"/>
        </w:rPr>
      </w:pPr>
      <w:r w:rsidRPr="002207FE">
        <w:rPr>
          <w:i/>
          <w:lang w:val="es-ES"/>
        </w:rPr>
        <w:t xml:space="preserve">“Artículo 128. La </w:t>
      </w:r>
      <w:r w:rsidRPr="002207FE">
        <w:rPr>
          <w:b/>
          <w:i/>
          <w:u w:val="single"/>
          <w:lang w:val="es-ES"/>
        </w:rPr>
        <w:t>Dirección General de Administración tendrá adscritas las siguientes Unidades Administrativas:</w:t>
      </w:r>
    </w:p>
    <w:p w14:paraId="6F1A473E" w14:textId="77777777" w:rsidR="0043623F" w:rsidRPr="002207FE" w:rsidRDefault="0043623F" w:rsidP="002207FE">
      <w:pPr>
        <w:pBdr>
          <w:top w:val="nil"/>
          <w:left w:val="nil"/>
          <w:bottom w:val="nil"/>
          <w:right w:val="nil"/>
          <w:between w:val="nil"/>
        </w:pBdr>
        <w:spacing w:line="240" w:lineRule="auto"/>
        <w:ind w:left="709" w:right="680"/>
        <w:rPr>
          <w:i/>
          <w:lang w:val="es-ES"/>
        </w:rPr>
      </w:pPr>
      <w:r w:rsidRPr="002207FE">
        <w:rPr>
          <w:i/>
          <w:lang w:val="es-ES"/>
        </w:rPr>
        <w:t>I. Dirección de Recursos Materiales, Adquisiciones y Servicios Generales;</w:t>
      </w:r>
    </w:p>
    <w:p w14:paraId="5E2C0A69" w14:textId="77777777" w:rsidR="0043623F" w:rsidRPr="002207FE" w:rsidRDefault="0043623F" w:rsidP="002207FE">
      <w:pPr>
        <w:pBdr>
          <w:top w:val="nil"/>
          <w:left w:val="nil"/>
          <w:bottom w:val="nil"/>
          <w:right w:val="nil"/>
          <w:between w:val="nil"/>
        </w:pBdr>
        <w:spacing w:line="240" w:lineRule="auto"/>
        <w:ind w:left="709" w:right="680"/>
        <w:rPr>
          <w:i/>
          <w:lang w:val="es-ES"/>
        </w:rPr>
      </w:pPr>
      <w:r w:rsidRPr="002207FE">
        <w:rPr>
          <w:i/>
          <w:lang w:val="es-ES"/>
        </w:rPr>
        <w:t>a) Subdirección de Recursos Materiales y Adquisiciones;</w:t>
      </w:r>
    </w:p>
    <w:p w14:paraId="5A9845C5" w14:textId="77777777" w:rsidR="0043623F" w:rsidRPr="002207FE" w:rsidRDefault="0043623F" w:rsidP="002207FE">
      <w:pPr>
        <w:pBdr>
          <w:top w:val="nil"/>
          <w:left w:val="nil"/>
          <w:bottom w:val="nil"/>
          <w:right w:val="nil"/>
          <w:between w:val="nil"/>
        </w:pBdr>
        <w:spacing w:line="240" w:lineRule="auto"/>
        <w:ind w:left="709" w:right="680"/>
        <w:rPr>
          <w:i/>
          <w:lang w:val="es-ES"/>
        </w:rPr>
      </w:pPr>
      <w:r w:rsidRPr="002207FE">
        <w:rPr>
          <w:i/>
          <w:lang w:val="es-ES"/>
        </w:rPr>
        <w:t>b) Subdirección de Servicios Generales;</w:t>
      </w:r>
    </w:p>
    <w:p w14:paraId="1EB9786D" w14:textId="77777777" w:rsidR="0043623F" w:rsidRPr="002207FE" w:rsidRDefault="0043623F" w:rsidP="002207FE">
      <w:pPr>
        <w:pBdr>
          <w:top w:val="nil"/>
          <w:left w:val="nil"/>
          <w:bottom w:val="nil"/>
          <w:right w:val="nil"/>
          <w:between w:val="nil"/>
        </w:pBdr>
        <w:spacing w:line="240" w:lineRule="auto"/>
        <w:ind w:left="709" w:right="680"/>
        <w:rPr>
          <w:i/>
          <w:lang w:val="es-ES"/>
        </w:rPr>
      </w:pPr>
      <w:r w:rsidRPr="002207FE">
        <w:rPr>
          <w:i/>
          <w:lang w:val="es-ES"/>
        </w:rPr>
        <w:t>II. Dirección de Factor Humano y Productividad;</w:t>
      </w:r>
    </w:p>
    <w:p w14:paraId="4C4DA99D" w14:textId="77777777" w:rsidR="0043623F" w:rsidRPr="002207FE" w:rsidRDefault="0043623F" w:rsidP="002207FE">
      <w:pPr>
        <w:pBdr>
          <w:top w:val="nil"/>
          <w:left w:val="nil"/>
          <w:bottom w:val="nil"/>
          <w:right w:val="nil"/>
          <w:between w:val="nil"/>
        </w:pBdr>
        <w:spacing w:line="240" w:lineRule="auto"/>
        <w:ind w:left="709" w:right="680"/>
        <w:rPr>
          <w:b/>
          <w:i/>
          <w:lang w:val="es-ES"/>
        </w:rPr>
      </w:pPr>
      <w:r w:rsidRPr="002207FE">
        <w:rPr>
          <w:b/>
          <w:i/>
          <w:lang w:val="es-ES"/>
        </w:rPr>
        <w:t>a) Subdirección de Administración de Personal;</w:t>
      </w:r>
    </w:p>
    <w:p w14:paraId="5A70D8D4" w14:textId="77777777" w:rsidR="0043623F" w:rsidRPr="002207FE" w:rsidRDefault="0043623F" w:rsidP="002207FE">
      <w:pPr>
        <w:pBdr>
          <w:top w:val="nil"/>
          <w:left w:val="nil"/>
          <w:bottom w:val="nil"/>
          <w:right w:val="nil"/>
          <w:between w:val="nil"/>
        </w:pBdr>
        <w:spacing w:line="240" w:lineRule="auto"/>
        <w:ind w:left="709" w:right="680"/>
        <w:rPr>
          <w:i/>
          <w:lang w:val="es-ES"/>
        </w:rPr>
      </w:pPr>
      <w:r w:rsidRPr="002207FE">
        <w:rPr>
          <w:i/>
          <w:lang w:val="es-ES"/>
        </w:rPr>
        <w:t>III. Subdirección de Sistemas;</w:t>
      </w:r>
    </w:p>
    <w:p w14:paraId="363B3354" w14:textId="77777777" w:rsidR="0043623F" w:rsidRPr="002207FE" w:rsidRDefault="0043623F" w:rsidP="002207FE">
      <w:pPr>
        <w:pBdr>
          <w:top w:val="nil"/>
          <w:left w:val="nil"/>
          <w:bottom w:val="nil"/>
          <w:right w:val="nil"/>
          <w:between w:val="nil"/>
        </w:pBdr>
        <w:spacing w:line="240" w:lineRule="auto"/>
        <w:ind w:left="709" w:right="680"/>
        <w:rPr>
          <w:i/>
        </w:rPr>
      </w:pPr>
      <w:r w:rsidRPr="002207FE">
        <w:rPr>
          <w:i/>
        </w:rPr>
        <w:t>IV. Subdirección de Proceso Administrativo Interno.</w:t>
      </w:r>
    </w:p>
    <w:p w14:paraId="182CF017" w14:textId="77777777" w:rsidR="0043623F" w:rsidRPr="002207FE" w:rsidRDefault="0043623F" w:rsidP="002207FE">
      <w:pPr>
        <w:pBdr>
          <w:top w:val="nil"/>
          <w:left w:val="nil"/>
          <w:bottom w:val="nil"/>
          <w:right w:val="nil"/>
          <w:between w:val="nil"/>
        </w:pBdr>
        <w:spacing w:line="240" w:lineRule="auto"/>
        <w:ind w:left="709" w:right="680"/>
        <w:rPr>
          <w:i/>
          <w:lang w:val="es-ES"/>
        </w:rPr>
      </w:pPr>
      <w:r w:rsidRPr="002207FE">
        <w:rPr>
          <w:i/>
          <w:lang w:val="es-ES"/>
        </w:rPr>
        <w:t>…</w:t>
      </w:r>
    </w:p>
    <w:p w14:paraId="0F035C47" w14:textId="77777777" w:rsidR="0043623F" w:rsidRPr="002207FE" w:rsidRDefault="0043623F" w:rsidP="002207FE">
      <w:pPr>
        <w:pBdr>
          <w:top w:val="nil"/>
          <w:left w:val="nil"/>
          <w:bottom w:val="nil"/>
          <w:right w:val="nil"/>
          <w:between w:val="nil"/>
        </w:pBdr>
        <w:spacing w:line="240" w:lineRule="auto"/>
        <w:ind w:left="709" w:right="680"/>
        <w:rPr>
          <w:b/>
          <w:i/>
          <w:lang w:val="es-ES"/>
        </w:rPr>
      </w:pPr>
      <w:r w:rsidRPr="002207FE">
        <w:rPr>
          <w:b/>
          <w:i/>
          <w:lang w:val="es-ES"/>
        </w:rPr>
        <w:t>Artículo 137.</w:t>
      </w:r>
      <w:r w:rsidRPr="002207FE">
        <w:rPr>
          <w:i/>
          <w:lang w:val="es-ES"/>
        </w:rPr>
        <w:t xml:space="preserve"> La </w:t>
      </w:r>
      <w:r w:rsidRPr="002207FE">
        <w:rPr>
          <w:b/>
          <w:u w:val="single"/>
          <w:lang w:val="es-ES"/>
        </w:rPr>
        <w:t>Subdirección de Administración de Personal</w:t>
      </w:r>
      <w:r w:rsidRPr="002207FE">
        <w:rPr>
          <w:u w:val="single"/>
          <w:lang w:val="es-ES"/>
        </w:rPr>
        <w:t xml:space="preserve"> tendrá las siguientes </w:t>
      </w:r>
      <w:r w:rsidRPr="002207FE">
        <w:rPr>
          <w:b/>
          <w:i/>
          <w:u w:val="single"/>
          <w:lang w:val="es-ES"/>
        </w:rPr>
        <w:t>atribuciones</w:t>
      </w:r>
      <w:r w:rsidRPr="002207FE">
        <w:rPr>
          <w:b/>
          <w:i/>
          <w:lang w:val="es-ES"/>
        </w:rPr>
        <w:t>:</w:t>
      </w:r>
    </w:p>
    <w:p w14:paraId="0EF7D2EF" w14:textId="77777777" w:rsidR="0043623F" w:rsidRPr="002207FE" w:rsidRDefault="0043623F" w:rsidP="002207FE">
      <w:pPr>
        <w:pBdr>
          <w:top w:val="nil"/>
          <w:left w:val="nil"/>
          <w:bottom w:val="nil"/>
          <w:right w:val="nil"/>
          <w:between w:val="nil"/>
        </w:pBdr>
        <w:spacing w:line="240" w:lineRule="auto"/>
        <w:ind w:left="709" w:right="680"/>
        <w:rPr>
          <w:i/>
          <w:lang w:val="es-ES"/>
        </w:rPr>
      </w:pPr>
      <w:r w:rsidRPr="002207FE">
        <w:rPr>
          <w:i/>
          <w:lang w:val="es-ES"/>
        </w:rPr>
        <w:t>I. Vigilar la elaboración y actualización del registro del personal que labora en la Administración Pública Municipal Centralizada;</w:t>
      </w:r>
    </w:p>
    <w:p w14:paraId="5463C4B5" w14:textId="77777777" w:rsidR="0043623F" w:rsidRPr="002207FE" w:rsidRDefault="0043623F" w:rsidP="002207FE">
      <w:pPr>
        <w:pBdr>
          <w:top w:val="nil"/>
          <w:left w:val="nil"/>
          <w:bottom w:val="nil"/>
          <w:right w:val="nil"/>
          <w:between w:val="nil"/>
        </w:pBdr>
        <w:spacing w:line="240" w:lineRule="auto"/>
        <w:ind w:left="709" w:right="680"/>
        <w:rPr>
          <w:i/>
          <w:lang w:val="es-ES"/>
        </w:rPr>
      </w:pPr>
      <w:r w:rsidRPr="002207FE">
        <w:rPr>
          <w:i/>
          <w:lang w:val="es-ES"/>
        </w:rPr>
        <w:t xml:space="preserve">II. Supervisar la elaboración de la nómina de pago a los servidores públicos municipales, </w:t>
      </w:r>
    </w:p>
    <w:p w14:paraId="127E4234" w14:textId="77777777" w:rsidR="0043623F" w:rsidRPr="002207FE" w:rsidRDefault="0043623F" w:rsidP="002207FE">
      <w:pPr>
        <w:pBdr>
          <w:top w:val="nil"/>
          <w:left w:val="nil"/>
          <w:bottom w:val="nil"/>
          <w:right w:val="nil"/>
          <w:between w:val="nil"/>
        </w:pBdr>
        <w:spacing w:line="240" w:lineRule="auto"/>
        <w:ind w:left="709" w:right="680"/>
        <w:rPr>
          <w:i/>
          <w:lang w:val="es-ES"/>
        </w:rPr>
      </w:pPr>
      <w:r w:rsidRPr="002207FE">
        <w:rPr>
          <w:i/>
          <w:lang w:val="es-ES"/>
        </w:rPr>
        <w:t>III. Verificar que los pagos de nómina se efectúen en tiempo y forma;</w:t>
      </w:r>
    </w:p>
    <w:p w14:paraId="10BE6E54" w14:textId="77777777" w:rsidR="0043623F" w:rsidRPr="002207FE" w:rsidRDefault="0043623F" w:rsidP="002207FE">
      <w:pPr>
        <w:pBdr>
          <w:top w:val="nil"/>
          <w:left w:val="nil"/>
          <w:bottom w:val="nil"/>
          <w:right w:val="nil"/>
          <w:between w:val="nil"/>
        </w:pBdr>
        <w:spacing w:line="240" w:lineRule="auto"/>
        <w:ind w:left="709" w:right="680"/>
        <w:rPr>
          <w:i/>
          <w:lang w:val="es-ES"/>
        </w:rPr>
      </w:pPr>
      <w:r w:rsidRPr="002207FE">
        <w:rPr>
          <w:i/>
          <w:lang w:val="es-ES"/>
        </w:rPr>
        <w:t>IV. Atender las solicitudes de finiquitos, liquidaciones, laudos o convenios, con la intervención de las Dependencias competentes;</w:t>
      </w:r>
    </w:p>
    <w:p w14:paraId="749B5126" w14:textId="77777777" w:rsidR="0043623F" w:rsidRPr="002207FE" w:rsidRDefault="0043623F" w:rsidP="002207FE">
      <w:pPr>
        <w:pBdr>
          <w:top w:val="nil"/>
          <w:left w:val="nil"/>
          <w:bottom w:val="nil"/>
          <w:right w:val="nil"/>
          <w:between w:val="nil"/>
        </w:pBdr>
        <w:spacing w:line="240" w:lineRule="auto"/>
        <w:ind w:left="709" w:right="680"/>
        <w:rPr>
          <w:b/>
          <w:i/>
          <w:u w:val="single"/>
          <w:lang w:val="es-ES"/>
        </w:rPr>
      </w:pPr>
      <w:r w:rsidRPr="002207FE">
        <w:rPr>
          <w:b/>
          <w:i/>
          <w:u w:val="single"/>
          <w:lang w:val="es-ES"/>
        </w:rPr>
        <w:t>V. Brindar atención y seguimiento a las cláusulas del Convenio de Sueldos, Prestaciones Colaterales y de Ley.</w:t>
      </w:r>
    </w:p>
    <w:p w14:paraId="05850755" w14:textId="77777777" w:rsidR="0043623F" w:rsidRPr="002207FE" w:rsidRDefault="0043623F" w:rsidP="002207FE">
      <w:pPr>
        <w:pBdr>
          <w:top w:val="nil"/>
          <w:left w:val="nil"/>
          <w:bottom w:val="nil"/>
          <w:right w:val="nil"/>
          <w:between w:val="nil"/>
        </w:pBdr>
        <w:spacing w:line="240" w:lineRule="auto"/>
        <w:ind w:left="709" w:right="680"/>
        <w:rPr>
          <w:i/>
          <w:lang w:val="es-ES"/>
        </w:rPr>
      </w:pPr>
      <w:r w:rsidRPr="002207FE">
        <w:rPr>
          <w:i/>
          <w:lang w:val="es-ES"/>
        </w:rPr>
        <w:t>VI. Coordinar el proceso de credencialización de los servidores públicos de la administración pública municipal centralizada.</w:t>
      </w:r>
    </w:p>
    <w:p w14:paraId="5B770A57" w14:textId="77777777" w:rsidR="0043623F" w:rsidRPr="002207FE" w:rsidRDefault="0043623F" w:rsidP="002207FE">
      <w:pPr>
        <w:pBdr>
          <w:top w:val="nil"/>
          <w:left w:val="nil"/>
          <w:bottom w:val="nil"/>
          <w:right w:val="nil"/>
          <w:between w:val="nil"/>
        </w:pBdr>
        <w:spacing w:line="240" w:lineRule="auto"/>
        <w:ind w:left="709" w:right="680"/>
        <w:rPr>
          <w:i/>
          <w:lang w:val="es-ES"/>
        </w:rPr>
      </w:pPr>
      <w:r w:rsidRPr="002207FE">
        <w:rPr>
          <w:i/>
          <w:lang w:val="es-ES"/>
        </w:rPr>
        <w:t>VII. Proponer programas de profesionalismo y capacitación para el personal de la administración pública municipal centralizada.</w:t>
      </w:r>
    </w:p>
    <w:p w14:paraId="00D489DF" w14:textId="77777777" w:rsidR="0043623F" w:rsidRPr="002207FE" w:rsidRDefault="0043623F" w:rsidP="002207FE">
      <w:pPr>
        <w:pBdr>
          <w:top w:val="nil"/>
          <w:left w:val="nil"/>
          <w:bottom w:val="nil"/>
          <w:right w:val="nil"/>
          <w:between w:val="nil"/>
        </w:pBdr>
        <w:spacing w:line="240" w:lineRule="auto"/>
        <w:ind w:left="709" w:right="680"/>
        <w:rPr>
          <w:i/>
          <w:lang w:val="es-ES"/>
        </w:rPr>
      </w:pPr>
      <w:r w:rsidRPr="002207FE">
        <w:rPr>
          <w:i/>
          <w:lang w:val="es-ES"/>
        </w:rPr>
        <w:t>VIII. Las demás que las disposiciones legales aplicables le confieran, las que le encomiende la Dirección de Factor Humano y Productividad y las que correspondan a las Dependencias que se les adscriban.”</w:t>
      </w:r>
    </w:p>
    <w:p w14:paraId="74B9D074" w14:textId="77777777" w:rsidR="0043623F" w:rsidRPr="002207FE" w:rsidRDefault="0043623F" w:rsidP="002207FE">
      <w:pPr>
        <w:pBdr>
          <w:top w:val="nil"/>
          <w:left w:val="nil"/>
          <w:bottom w:val="nil"/>
          <w:right w:val="nil"/>
          <w:between w:val="nil"/>
        </w:pBdr>
        <w:spacing w:line="240" w:lineRule="auto"/>
        <w:ind w:left="709" w:right="680"/>
        <w:rPr>
          <w:i/>
          <w:lang w:val="es-ES"/>
        </w:rPr>
      </w:pPr>
      <w:r w:rsidRPr="002207FE">
        <w:rPr>
          <w:i/>
          <w:lang w:val="es-ES"/>
        </w:rPr>
        <w:t>(Énfasis Añadido)</w:t>
      </w:r>
    </w:p>
    <w:p w14:paraId="177EE4EF" w14:textId="77777777" w:rsidR="0043623F" w:rsidRPr="002207FE" w:rsidRDefault="0043623F" w:rsidP="002207FE">
      <w:pPr>
        <w:pBdr>
          <w:top w:val="nil"/>
          <w:left w:val="nil"/>
          <w:bottom w:val="nil"/>
          <w:right w:val="nil"/>
          <w:between w:val="nil"/>
        </w:pBdr>
        <w:ind w:right="-25"/>
        <w:rPr>
          <w:i/>
          <w:lang w:val="es-ES"/>
        </w:rPr>
      </w:pPr>
    </w:p>
    <w:p w14:paraId="7A216E53" w14:textId="77777777" w:rsidR="0043623F" w:rsidRPr="002207FE" w:rsidRDefault="0043623F" w:rsidP="002207FE">
      <w:pPr>
        <w:pBdr>
          <w:top w:val="nil"/>
          <w:left w:val="nil"/>
          <w:bottom w:val="nil"/>
          <w:right w:val="nil"/>
          <w:between w:val="nil"/>
        </w:pBdr>
        <w:ind w:right="-25"/>
        <w:rPr>
          <w:lang w:val="es-ES"/>
        </w:rPr>
      </w:pPr>
      <w:r w:rsidRPr="002207FE">
        <w:rPr>
          <w:lang w:val="es-ES"/>
        </w:rPr>
        <w:t xml:space="preserve">Asimismo, el artículo 138 del mismo Reglamento refiere que la Subdirección de Administración de Personal se auxiliara de un Departamento de Proceso de Nómina y Prestaciones Laborales, tal y como se muestra a continuación: </w:t>
      </w:r>
    </w:p>
    <w:p w14:paraId="6F926D9F" w14:textId="77777777" w:rsidR="0043623F" w:rsidRPr="002207FE" w:rsidRDefault="0043623F" w:rsidP="002207FE">
      <w:pPr>
        <w:pBdr>
          <w:top w:val="nil"/>
          <w:left w:val="nil"/>
          <w:bottom w:val="nil"/>
          <w:right w:val="nil"/>
          <w:between w:val="nil"/>
        </w:pBdr>
        <w:ind w:right="-25"/>
        <w:rPr>
          <w:i/>
          <w:lang w:val="es-ES"/>
        </w:rPr>
      </w:pPr>
    </w:p>
    <w:p w14:paraId="5F84562F" w14:textId="77777777" w:rsidR="0043623F" w:rsidRPr="002207FE" w:rsidRDefault="0043623F" w:rsidP="002207FE">
      <w:pPr>
        <w:pStyle w:val="Puesto"/>
        <w:ind w:firstLine="0"/>
        <w:rPr>
          <w:color w:val="auto"/>
          <w:lang w:val="es-ES"/>
        </w:rPr>
      </w:pPr>
      <w:r w:rsidRPr="002207FE">
        <w:rPr>
          <w:color w:val="auto"/>
          <w:lang w:val="es-ES"/>
        </w:rPr>
        <w:lastRenderedPageBreak/>
        <w:t>“</w:t>
      </w:r>
      <w:r w:rsidRPr="002207FE">
        <w:rPr>
          <w:b/>
          <w:color w:val="auto"/>
          <w:lang w:val="es-ES"/>
        </w:rPr>
        <w:t>Artículo 138</w:t>
      </w:r>
      <w:r w:rsidRPr="002207FE">
        <w:rPr>
          <w:color w:val="auto"/>
          <w:lang w:val="es-ES"/>
        </w:rPr>
        <w:t>. Para el despacho de los asuntos de su competencia, el titular de la Subdirección de Administración de Personal, se apoyará de:</w:t>
      </w:r>
    </w:p>
    <w:p w14:paraId="72EB38CA" w14:textId="77777777" w:rsidR="0043623F" w:rsidRPr="002207FE" w:rsidRDefault="0043623F" w:rsidP="002207FE">
      <w:pPr>
        <w:pStyle w:val="Puesto"/>
        <w:ind w:firstLine="0"/>
        <w:rPr>
          <w:b/>
          <w:color w:val="auto"/>
          <w:lang w:val="es-ES"/>
        </w:rPr>
      </w:pPr>
      <w:r w:rsidRPr="002207FE">
        <w:rPr>
          <w:b/>
          <w:color w:val="auto"/>
          <w:lang w:val="es-ES"/>
        </w:rPr>
        <w:t>1. Departamento de Proceso de Nómina y Prestaciones Laborales;</w:t>
      </w:r>
    </w:p>
    <w:p w14:paraId="44EE96EB" w14:textId="77777777" w:rsidR="0043623F" w:rsidRPr="002207FE" w:rsidRDefault="0043623F" w:rsidP="002207FE">
      <w:pPr>
        <w:pStyle w:val="Puesto"/>
        <w:ind w:firstLine="0"/>
        <w:rPr>
          <w:color w:val="auto"/>
          <w:lang w:val="es-ES"/>
        </w:rPr>
      </w:pPr>
      <w:r w:rsidRPr="002207FE">
        <w:rPr>
          <w:color w:val="auto"/>
          <w:lang w:val="es-ES"/>
        </w:rPr>
        <w:t>2. Departamento de Prestaciones por Terminación Laboral;</w:t>
      </w:r>
    </w:p>
    <w:p w14:paraId="102080D4" w14:textId="77777777" w:rsidR="0043623F" w:rsidRPr="002207FE" w:rsidRDefault="0043623F" w:rsidP="002207FE">
      <w:pPr>
        <w:pStyle w:val="Puesto"/>
        <w:ind w:firstLine="0"/>
        <w:rPr>
          <w:color w:val="auto"/>
          <w:lang w:val="es-ES"/>
        </w:rPr>
      </w:pPr>
      <w:r w:rsidRPr="002207FE">
        <w:rPr>
          <w:color w:val="auto"/>
          <w:lang w:val="es-ES"/>
        </w:rPr>
        <w:t>3. Departamento de Prestaciones por Convenio; y</w:t>
      </w:r>
    </w:p>
    <w:p w14:paraId="49FAF51F" w14:textId="77777777" w:rsidR="0043623F" w:rsidRPr="002207FE" w:rsidRDefault="0043623F" w:rsidP="002207FE">
      <w:pPr>
        <w:pStyle w:val="Puesto"/>
        <w:ind w:firstLine="0"/>
        <w:rPr>
          <w:color w:val="auto"/>
          <w:lang w:val="es-ES"/>
        </w:rPr>
      </w:pPr>
      <w:r w:rsidRPr="002207FE">
        <w:rPr>
          <w:color w:val="auto"/>
          <w:lang w:val="es-ES"/>
        </w:rPr>
        <w:t>4. Departamento de Capacitación y Evaluación del Servicio Público.”(Sic)</w:t>
      </w:r>
    </w:p>
    <w:p w14:paraId="7BFE295D" w14:textId="77777777" w:rsidR="003715F3" w:rsidRPr="002207FE" w:rsidRDefault="003715F3" w:rsidP="002207FE">
      <w:pPr>
        <w:pBdr>
          <w:top w:val="nil"/>
          <w:left w:val="nil"/>
          <w:bottom w:val="nil"/>
          <w:right w:val="nil"/>
          <w:between w:val="nil"/>
        </w:pBdr>
        <w:ind w:right="-25"/>
        <w:rPr>
          <w:lang w:val="es-ES"/>
        </w:rPr>
      </w:pPr>
    </w:p>
    <w:p w14:paraId="3B9A7144" w14:textId="6D5F4C47" w:rsidR="0043623F" w:rsidRPr="002207FE" w:rsidRDefault="0043623F" w:rsidP="002207FE">
      <w:pPr>
        <w:pBdr>
          <w:top w:val="nil"/>
          <w:left w:val="nil"/>
          <w:bottom w:val="nil"/>
          <w:right w:val="nil"/>
          <w:between w:val="nil"/>
        </w:pBdr>
        <w:ind w:right="-25"/>
        <w:rPr>
          <w:lang w:val="es-ES"/>
        </w:rPr>
      </w:pPr>
      <w:r w:rsidRPr="002207FE">
        <w:rPr>
          <w:lang w:val="es-ES"/>
        </w:rPr>
        <w:t xml:space="preserve">Por su parte, el Manual de Organización de la Dirección General de Administración refiere que el Departamento de Proceso de Nómina y Prestaciones Laborales tiene como objetivo llevar el registro del personal que labore en la Administración Pública Municipal, </w:t>
      </w:r>
      <w:r w:rsidRPr="002207FE">
        <w:rPr>
          <w:b/>
          <w:u w:val="single"/>
          <w:lang w:val="es-ES"/>
        </w:rPr>
        <w:t>elaborar con oportunidad las nóminas quincenales, vigilar el proceso de la nómina para que los pagos se efectúen en tiempo y forma</w:t>
      </w:r>
      <w:r w:rsidRPr="002207FE">
        <w:rPr>
          <w:lang w:val="es-ES"/>
        </w:rPr>
        <w:t xml:space="preserve">, así como mantener actualizados los registros de los trabajadores. </w:t>
      </w:r>
    </w:p>
    <w:p w14:paraId="08E7040F" w14:textId="77777777" w:rsidR="003715F3" w:rsidRPr="002207FE" w:rsidRDefault="003715F3" w:rsidP="002207FE">
      <w:pPr>
        <w:pBdr>
          <w:top w:val="nil"/>
          <w:left w:val="nil"/>
          <w:bottom w:val="nil"/>
          <w:right w:val="nil"/>
          <w:between w:val="nil"/>
        </w:pBdr>
        <w:ind w:right="-25"/>
        <w:rPr>
          <w:lang w:val="es-ES"/>
        </w:rPr>
      </w:pPr>
    </w:p>
    <w:p w14:paraId="2EF810BA" w14:textId="6085D270" w:rsidR="0043623F" w:rsidRPr="002207FE" w:rsidRDefault="0043623F" w:rsidP="002207FE">
      <w:pPr>
        <w:pBdr>
          <w:top w:val="nil"/>
          <w:left w:val="nil"/>
          <w:bottom w:val="nil"/>
          <w:right w:val="nil"/>
          <w:between w:val="nil"/>
        </w:pBdr>
        <w:ind w:right="-25"/>
        <w:rPr>
          <w:lang w:val="es-ES"/>
        </w:rPr>
      </w:pPr>
      <w:r w:rsidRPr="002207FE">
        <w:rPr>
          <w:lang w:val="es-ES"/>
        </w:rPr>
        <w:t xml:space="preserve">Aunado a ello, señala que el Departamento de Proceso de Nómina y Prestaciones Laborales, cuenta con las siguientes funciones: </w:t>
      </w:r>
    </w:p>
    <w:p w14:paraId="5E685CAB" w14:textId="77777777" w:rsidR="009520F8" w:rsidRPr="002207FE" w:rsidRDefault="009520F8" w:rsidP="002207FE">
      <w:pPr>
        <w:pBdr>
          <w:top w:val="nil"/>
          <w:left w:val="nil"/>
          <w:bottom w:val="nil"/>
          <w:right w:val="nil"/>
          <w:between w:val="nil"/>
        </w:pBdr>
        <w:spacing w:line="240" w:lineRule="auto"/>
        <w:ind w:right="-25"/>
        <w:rPr>
          <w:lang w:val="es-ES"/>
        </w:rPr>
      </w:pPr>
    </w:p>
    <w:p w14:paraId="7DA66CEF" w14:textId="77777777" w:rsidR="0043623F" w:rsidRPr="002207FE" w:rsidRDefault="0043623F" w:rsidP="002207FE">
      <w:pPr>
        <w:pBdr>
          <w:top w:val="nil"/>
          <w:left w:val="nil"/>
          <w:bottom w:val="nil"/>
          <w:right w:val="nil"/>
          <w:between w:val="nil"/>
        </w:pBdr>
        <w:spacing w:line="240" w:lineRule="auto"/>
        <w:ind w:right="-25"/>
        <w:jc w:val="left"/>
        <w:rPr>
          <w:i/>
          <w:lang w:val="es-ES"/>
        </w:rPr>
      </w:pPr>
      <w:r w:rsidRPr="002207FE">
        <w:rPr>
          <w:i/>
          <w:lang w:val="es-ES"/>
        </w:rPr>
        <w:t xml:space="preserve">“Funciones: </w:t>
      </w:r>
    </w:p>
    <w:p w14:paraId="689EA170" w14:textId="77777777" w:rsidR="009520F8" w:rsidRPr="002207FE" w:rsidRDefault="009520F8" w:rsidP="002207FE">
      <w:pPr>
        <w:pBdr>
          <w:top w:val="nil"/>
          <w:left w:val="nil"/>
          <w:bottom w:val="nil"/>
          <w:right w:val="nil"/>
          <w:between w:val="nil"/>
        </w:pBdr>
        <w:spacing w:line="240" w:lineRule="auto"/>
        <w:ind w:right="-25"/>
        <w:jc w:val="left"/>
        <w:rPr>
          <w:i/>
          <w:lang w:val="es-ES"/>
        </w:rPr>
      </w:pPr>
    </w:p>
    <w:p w14:paraId="74AE03F5" w14:textId="77777777" w:rsidR="0043623F" w:rsidRPr="002207FE" w:rsidRDefault="0043623F" w:rsidP="002207FE">
      <w:pPr>
        <w:numPr>
          <w:ilvl w:val="0"/>
          <w:numId w:val="32"/>
        </w:numPr>
        <w:pBdr>
          <w:top w:val="nil"/>
          <w:left w:val="nil"/>
          <w:bottom w:val="nil"/>
          <w:right w:val="nil"/>
          <w:between w:val="nil"/>
        </w:pBdr>
        <w:spacing w:line="240" w:lineRule="auto"/>
        <w:ind w:right="680"/>
        <w:rPr>
          <w:i/>
        </w:rPr>
      </w:pPr>
      <w:r w:rsidRPr="002207FE">
        <w:rPr>
          <w:i/>
          <w:u w:val="single"/>
        </w:rPr>
        <w:t>Aplicar las disposiciones en materia laboral,</w:t>
      </w:r>
      <w:r w:rsidRPr="002207FE">
        <w:rPr>
          <w:i/>
        </w:rPr>
        <w:t xml:space="preserve"> de prestación social y presupuestación, en el marco normativo al que refiera cada caso en particular, tal es el caso de; la Ley del Trabajo de los Servidores Públicos del Estado y Municipios, la Ley del Impuesto sobre la Renta, la Ley de Seguridad Social para los Servidores Públicos del Estado de México y Municipios, </w:t>
      </w:r>
      <w:r w:rsidRPr="002207FE">
        <w:rPr>
          <w:b/>
          <w:i/>
        </w:rPr>
        <w:t xml:space="preserve">el </w:t>
      </w:r>
      <w:r w:rsidRPr="002207FE">
        <w:rPr>
          <w:bCs/>
          <w:i/>
        </w:rPr>
        <w:t>Convenio Sindical,</w:t>
      </w:r>
      <w:r w:rsidRPr="002207FE">
        <w:rPr>
          <w:i/>
        </w:rPr>
        <w:t xml:space="preserve"> y demás Leyes y Reglamentos aplicables, para salvaguardar los derechos y obligaciones de los servidores públicos de la Administración Pública Municipal. </w:t>
      </w:r>
    </w:p>
    <w:p w14:paraId="52DAC703" w14:textId="77777777" w:rsidR="0043623F" w:rsidRPr="002207FE" w:rsidRDefault="0043623F" w:rsidP="002207FE">
      <w:pPr>
        <w:numPr>
          <w:ilvl w:val="0"/>
          <w:numId w:val="32"/>
        </w:numPr>
        <w:pBdr>
          <w:top w:val="nil"/>
          <w:left w:val="nil"/>
          <w:bottom w:val="nil"/>
          <w:right w:val="nil"/>
          <w:between w:val="nil"/>
        </w:pBdr>
        <w:spacing w:line="240" w:lineRule="auto"/>
        <w:ind w:right="680"/>
        <w:rPr>
          <w:i/>
        </w:rPr>
      </w:pPr>
      <w:r w:rsidRPr="002207FE">
        <w:rPr>
          <w:i/>
        </w:rPr>
        <w:t xml:space="preserve">Llevar acabo la elaboración de oficios de respuesta a las áreas de la Administración Pública Municipal que lo requieran. </w:t>
      </w:r>
    </w:p>
    <w:p w14:paraId="2E11A56B" w14:textId="77777777" w:rsidR="0043623F" w:rsidRPr="002207FE" w:rsidRDefault="0043623F" w:rsidP="002207FE">
      <w:pPr>
        <w:numPr>
          <w:ilvl w:val="0"/>
          <w:numId w:val="32"/>
        </w:numPr>
        <w:pBdr>
          <w:top w:val="nil"/>
          <w:left w:val="nil"/>
          <w:bottom w:val="nil"/>
          <w:right w:val="nil"/>
          <w:between w:val="nil"/>
        </w:pBdr>
        <w:spacing w:line="240" w:lineRule="auto"/>
        <w:ind w:right="680"/>
        <w:rPr>
          <w:b/>
          <w:i/>
        </w:rPr>
      </w:pPr>
      <w:r w:rsidRPr="002207FE">
        <w:rPr>
          <w:b/>
          <w:i/>
        </w:rPr>
        <w:t xml:space="preserve">Actualizar el Sistema de Nómina, de acuerdo a las reformas fiscales y de seguridad social. </w:t>
      </w:r>
    </w:p>
    <w:p w14:paraId="7603BFDA" w14:textId="77777777" w:rsidR="0043623F" w:rsidRPr="002207FE" w:rsidRDefault="0043623F" w:rsidP="002207FE">
      <w:pPr>
        <w:numPr>
          <w:ilvl w:val="0"/>
          <w:numId w:val="32"/>
        </w:numPr>
        <w:pBdr>
          <w:top w:val="nil"/>
          <w:left w:val="nil"/>
          <w:bottom w:val="nil"/>
          <w:right w:val="nil"/>
          <w:between w:val="nil"/>
        </w:pBdr>
        <w:spacing w:line="240" w:lineRule="auto"/>
        <w:ind w:right="680"/>
        <w:rPr>
          <w:b/>
          <w:i/>
        </w:rPr>
      </w:pPr>
      <w:r w:rsidRPr="002207FE">
        <w:rPr>
          <w:b/>
          <w:i/>
        </w:rPr>
        <w:t xml:space="preserve">Llevar a cabo oportunamente la apertura del sistema de nómina y realizar la captura de movimientos del personal mediante documentación soporte y comprobatoria, para constatar mediante los registros correspondientes, que los servidores públicos reciban correcta y oportunamente las remuneraciones, a que tienen derecho. </w:t>
      </w:r>
    </w:p>
    <w:p w14:paraId="08E40110" w14:textId="77777777" w:rsidR="0043623F" w:rsidRPr="002207FE" w:rsidRDefault="0043623F" w:rsidP="002207FE">
      <w:pPr>
        <w:numPr>
          <w:ilvl w:val="0"/>
          <w:numId w:val="32"/>
        </w:numPr>
        <w:pBdr>
          <w:top w:val="nil"/>
          <w:left w:val="nil"/>
          <w:bottom w:val="nil"/>
          <w:right w:val="nil"/>
          <w:between w:val="nil"/>
        </w:pBdr>
        <w:spacing w:line="240" w:lineRule="auto"/>
        <w:ind w:right="680"/>
        <w:rPr>
          <w:i/>
        </w:rPr>
      </w:pPr>
      <w:r w:rsidRPr="002207FE">
        <w:rPr>
          <w:i/>
        </w:rPr>
        <w:lastRenderedPageBreak/>
        <w:t xml:space="preserve">Registrar la nómina de los préstamos a corto y mediano plazo, seguros de vida y subcuentas voluntarias, tramitados ante ISSEMYM por los servidores públicos, de la Administración Pública Municipal. </w:t>
      </w:r>
    </w:p>
    <w:p w14:paraId="2E0987D3" w14:textId="77777777" w:rsidR="0043623F" w:rsidRPr="002207FE" w:rsidRDefault="0043623F" w:rsidP="002207FE">
      <w:pPr>
        <w:numPr>
          <w:ilvl w:val="0"/>
          <w:numId w:val="32"/>
        </w:numPr>
        <w:pBdr>
          <w:top w:val="nil"/>
          <w:left w:val="nil"/>
          <w:bottom w:val="nil"/>
          <w:right w:val="nil"/>
          <w:between w:val="nil"/>
        </w:pBdr>
        <w:spacing w:line="240" w:lineRule="auto"/>
        <w:ind w:right="680"/>
        <w:rPr>
          <w:i/>
        </w:rPr>
      </w:pPr>
      <w:r w:rsidRPr="002207FE">
        <w:rPr>
          <w:i/>
        </w:rPr>
        <w:t xml:space="preserve">Calcular en tiempo y forma el aguinaldo (anual) y prima vacacional (semestral) para proceder con los trámites administrativos del pago oportuno de las prestaciones a que tienen derechos, los servidores públicos de la Administración Pública Municipal. </w:t>
      </w:r>
    </w:p>
    <w:p w14:paraId="3EAC684B" w14:textId="77777777" w:rsidR="0043623F" w:rsidRPr="002207FE" w:rsidRDefault="0043623F" w:rsidP="002207FE">
      <w:pPr>
        <w:numPr>
          <w:ilvl w:val="0"/>
          <w:numId w:val="32"/>
        </w:numPr>
        <w:pBdr>
          <w:top w:val="nil"/>
          <w:left w:val="nil"/>
          <w:bottom w:val="nil"/>
          <w:right w:val="nil"/>
          <w:between w:val="nil"/>
        </w:pBdr>
        <w:spacing w:line="240" w:lineRule="auto"/>
        <w:ind w:right="680"/>
        <w:rPr>
          <w:i/>
        </w:rPr>
      </w:pPr>
      <w:r w:rsidRPr="002207FE">
        <w:rPr>
          <w:b/>
          <w:i/>
        </w:rPr>
        <w:t>Llevar acabo oportunamente el cierre del sistema de nómina,</w:t>
      </w:r>
      <w:r w:rsidRPr="002207FE">
        <w:rPr>
          <w:i/>
        </w:rPr>
        <w:t xml:space="preserve"> vigilando el estricto cumplimiento de las fechas establecidas en el calendario de pagos, así como de los procesos que se deriven de esta actividad. </w:t>
      </w:r>
    </w:p>
    <w:p w14:paraId="7729D963" w14:textId="77777777" w:rsidR="0043623F" w:rsidRPr="002207FE" w:rsidRDefault="0043623F" w:rsidP="002207FE">
      <w:pPr>
        <w:numPr>
          <w:ilvl w:val="0"/>
          <w:numId w:val="32"/>
        </w:numPr>
        <w:pBdr>
          <w:top w:val="nil"/>
          <w:left w:val="nil"/>
          <w:bottom w:val="nil"/>
          <w:right w:val="nil"/>
          <w:between w:val="nil"/>
        </w:pBdr>
        <w:spacing w:line="240" w:lineRule="auto"/>
        <w:ind w:right="680"/>
        <w:rPr>
          <w:i/>
        </w:rPr>
      </w:pPr>
      <w:r w:rsidRPr="002207FE">
        <w:rPr>
          <w:b/>
          <w:i/>
        </w:rPr>
        <w:t>Informar el importe total a erogar por concepto de nómina, lista de raya y ayudas sociales de forma quincenal según corresponda al superior jerárquico y a su vez al área competente, para su procedencia</w:t>
      </w:r>
      <w:r w:rsidRPr="002207FE">
        <w:rPr>
          <w:i/>
        </w:rPr>
        <w:t xml:space="preserve">. </w:t>
      </w:r>
    </w:p>
    <w:p w14:paraId="1B85AA7F" w14:textId="77777777" w:rsidR="0043623F" w:rsidRPr="002207FE" w:rsidRDefault="0043623F" w:rsidP="002207FE">
      <w:pPr>
        <w:numPr>
          <w:ilvl w:val="0"/>
          <w:numId w:val="32"/>
        </w:numPr>
        <w:pBdr>
          <w:top w:val="nil"/>
          <w:left w:val="nil"/>
          <w:bottom w:val="nil"/>
          <w:right w:val="nil"/>
          <w:between w:val="nil"/>
        </w:pBdr>
        <w:spacing w:line="240" w:lineRule="auto"/>
        <w:ind w:right="680"/>
        <w:rPr>
          <w:i/>
        </w:rPr>
      </w:pPr>
      <w:r w:rsidRPr="002207FE">
        <w:rPr>
          <w:i/>
        </w:rPr>
        <w:t xml:space="preserve">Timbrar y poner a disposición de los servidores públicos el recibo de nómina, que ampare el importe de las remuneraciones a que tienen derecho. </w:t>
      </w:r>
    </w:p>
    <w:p w14:paraId="71EA839B" w14:textId="77777777" w:rsidR="0043623F" w:rsidRPr="002207FE" w:rsidRDefault="0043623F" w:rsidP="002207FE">
      <w:pPr>
        <w:numPr>
          <w:ilvl w:val="0"/>
          <w:numId w:val="32"/>
        </w:numPr>
        <w:pBdr>
          <w:top w:val="nil"/>
          <w:left w:val="nil"/>
          <w:bottom w:val="nil"/>
          <w:right w:val="nil"/>
          <w:between w:val="nil"/>
        </w:pBdr>
        <w:spacing w:line="240" w:lineRule="auto"/>
        <w:ind w:right="680"/>
        <w:rPr>
          <w:i/>
        </w:rPr>
      </w:pPr>
      <w:r w:rsidRPr="002207FE">
        <w:rPr>
          <w:i/>
        </w:rPr>
        <w:t xml:space="preserve">Elaborar los archivos de dispersión de las diferentes cuentas bancarias, para efecto del pago de nómina de los servidores públicos, personal de lista de raya y ayudas sociales, y remitirlos al área competente, para su procedencia. </w:t>
      </w:r>
    </w:p>
    <w:p w14:paraId="24C1FD42" w14:textId="77777777" w:rsidR="00916325" w:rsidRPr="002207FE" w:rsidRDefault="0043623F" w:rsidP="002207FE">
      <w:pPr>
        <w:numPr>
          <w:ilvl w:val="0"/>
          <w:numId w:val="32"/>
        </w:numPr>
        <w:pBdr>
          <w:top w:val="nil"/>
          <w:left w:val="nil"/>
          <w:bottom w:val="nil"/>
          <w:right w:val="nil"/>
          <w:between w:val="nil"/>
        </w:pBdr>
        <w:spacing w:line="240" w:lineRule="auto"/>
        <w:ind w:right="680"/>
        <w:rPr>
          <w:i/>
        </w:rPr>
      </w:pPr>
      <w:r w:rsidRPr="002207FE">
        <w:rPr>
          <w:b/>
          <w:i/>
          <w:u w:val="single"/>
        </w:rPr>
        <w:t>Instrumentar y llevar acabo el control eficiente de nóminas</w:t>
      </w:r>
      <w:r w:rsidRPr="002207FE">
        <w:rPr>
          <w:i/>
        </w:rPr>
        <w:t xml:space="preserve">, </w:t>
      </w:r>
      <w:r w:rsidRPr="002207FE">
        <w:rPr>
          <w:b/>
          <w:i/>
          <w:u w:val="single"/>
        </w:rPr>
        <w:t>para dar atención en tiempo y forma a la información solicitada por las diferentes áreas contables y presupuestales respecto a la entrega y comprobación de las nóminas</w:t>
      </w:r>
      <w:r w:rsidRPr="002207FE">
        <w:rPr>
          <w:i/>
        </w:rPr>
        <w:t xml:space="preserve"> (nómina digital, reporte de percepciones, reporte de deducciones, reporte mensual de mandos medios, reporte de altas y bajas, entre otros), así como efectuar los respaldos de información en cinta magnética. </w:t>
      </w:r>
    </w:p>
    <w:p w14:paraId="6DC831E0" w14:textId="77777777" w:rsidR="00916325" w:rsidRPr="002207FE" w:rsidRDefault="0043623F" w:rsidP="002207FE">
      <w:pPr>
        <w:pBdr>
          <w:top w:val="nil"/>
          <w:left w:val="nil"/>
          <w:bottom w:val="nil"/>
          <w:right w:val="nil"/>
          <w:between w:val="nil"/>
        </w:pBdr>
        <w:spacing w:line="240" w:lineRule="auto"/>
        <w:ind w:left="1211" w:right="680"/>
        <w:rPr>
          <w:i/>
        </w:rPr>
      </w:pPr>
      <w:r w:rsidRPr="002207FE">
        <w:rPr>
          <w:i/>
        </w:rPr>
        <w:t>…”</w:t>
      </w:r>
    </w:p>
    <w:p w14:paraId="2E2A27A1" w14:textId="127A02C0" w:rsidR="0043623F" w:rsidRPr="002207FE" w:rsidRDefault="0043623F" w:rsidP="002207FE">
      <w:pPr>
        <w:pBdr>
          <w:top w:val="nil"/>
          <w:left w:val="nil"/>
          <w:bottom w:val="nil"/>
          <w:right w:val="nil"/>
          <w:between w:val="nil"/>
        </w:pBdr>
        <w:spacing w:line="240" w:lineRule="auto"/>
        <w:ind w:left="1211" w:right="680"/>
        <w:rPr>
          <w:i/>
        </w:rPr>
      </w:pPr>
      <w:r w:rsidRPr="002207FE">
        <w:rPr>
          <w:i/>
        </w:rPr>
        <w:t>(Énfasis Añadido)</w:t>
      </w:r>
    </w:p>
    <w:p w14:paraId="2DDACF8A" w14:textId="77777777" w:rsidR="003715F3" w:rsidRPr="002207FE" w:rsidRDefault="003715F3" w:rsidP="002207FE">
      <w:pPr>
        <w:pBdr>
          <w:top w:val="nil"/>
          <w:left w:val="nil"/>
          <w:bottom w:val="nil"/>
          <w:right w:val="nil"/>
          <w:between w:val="nil"/>
        </w:pBdr>
        <w:spacing w:line="240" w:lineRule="auto"/>
        <w:ind w:right="-25"/>
        <w:rPr>
          <w:i/>
        </w:rPr>
      </w:pPr>
    </w:p>
    <w:p w14:paraId="5DE1412D" w14:textId="77777777" w:rsidR="00916325" w:rsidRPr="002207FE" w:rsidRDefault="0043623F" w:rsidP="002207FE">
      <w:pPr>
        <w:pBdr>
          <w:top w:val="nil"/>
          <w:left w:val="nil"/>
          <w:bottom w:val="nil"/>
          <w:right w:val="nil"/>
          <w:between w:val="nil"/>
        </w:pBdr>
        <w:ind w:right="-25"/>
        <w:rPr>
          <w:lang w:val="es-ES"/>
        </w:rPr>
      </w:pPr>
      <w:r w:rsidRPr="002207FE">
        <w:rPr>
          <w:lang w:val="es-ES"/>
        </w:rPr>
        <w:t>De manera que como se desprende de la cita insertada, la Dirección de Administración a través del Departamento de Proceso de Nómina y Prestaciones Laborales, es la competente para dirigir y supervisar el sistema de nómina y realizar la captura de movimientos del personal mediante documentación soporte y comprobatoria, para constatar mediante los registros correspondientes, que los servidores públicos reciban correcta y oportunamente las remuneraciones, a que tienen derecho</w:t>
      </w:r>
      <w:r w:rsidR="00916325" w:rsidRPr="002207FE">
        <w:rPr>
          <w:lang w:val="es-ES"/>
        </w:rPr>
        <w:t>.</w:t>
      </w:r>
    </w:p>
    <w:p w14:paraId="491AD0A0" w14:textId="77777777" w:rsidR="00916325" w:rsidRPr="002207FE" w:rsidRDefault="00916325" w:rsidP="002207FE">
      <w:pPr>
        <w:pStyle w:val="Puesto"/>
        <w:ind w:left="0" w:firstLine="0"/>
        <w:rPr>
          <w:color w:val="auto"/>
        </w:rPr>
      </w:pPr>
    </w:p>
    <w:p w14:paraId="694566C6" w14:textId="6356AE25" w:rsidR="0070393B" w:rsidRPr="002207FE" w:rsidRDefault="00916325" w:rsidP="002207FE">
      <w:pPr>
        <w:pBdr>
          <w:top w:val="nil"/>
          <w:left w:val="nil"/>
          <w:bottom w:val="nil"/>
          <w:right w:val="nil"/>
          <w:between w:val="nil"/>
        </w:pBdr>
        <w:ind w:right="-25"/>
      </w:pPr>
      <w:r w:rsidRPr="002207FE">
        <w:rPr>
          <w:lang w:val="es-ES"/>
        </w:rPr>
        <w:lastRenderedPageBreak/>
        <w:t>P</w:t>
      </w:r>
      <w:r w:rsidR="0043623F" w:rsidRPr="002207FE">
        <w:rPr>
          <w:lang w:val="es-ES"/>
        </w:rPr>
        <w:t>or lo tanto, se tiene que se agotó el procedimiento de búsqueda de la información previsto en el artículo 162 de la Ley de Transparencia y Acceso a la Información Pública del Estado de México y Municipios</w:t>
      </w:r>
      <w:r w:rsidR="0070393B" w:rsidRPr="002207FE">
        <w:rPr>
          <w:lang w:val="es-ES"/>
        </w:rPr>
        <w:t xml:space="preserve">, </w:t>
      </w:r>
      <w:r w:rsidR="0070393B" w:rsidRPr="002207FE">
        <w:t>que índica:</w:t>
      </w:r>
    </w:p>
    <w:p w14:paraId="47B577C6" w14:textId="77777777" w:rsidR="0070393B" w:rsidRPr="002207FE" w:rsidRDefault="0070393B" w:rsidP="002207FE">
      <w:pPr>
        <w:pBdr>
          <w:top w:val="nil"/>
          <w:left w:val="nil"/>
          <w:bottom w:val="nil"/>
          <w:right w:val="nil"/>
          <w:between w:val="nil"/>
        </w:pBdr>
        <w:ind w:right="-25"/>
      </w:pPr>
    </w:p>
    <w:p w14:paraId="17C0B216" w14:textId="77777777" w:rsidR="0070393B" w:rsidRPr="002207FE" w:rsidRDefault="0070393B" w:rsidP="002207FE">
      <w:pPr>
        <w:pStyle w:val="Puesto"/>
        <w:ind w:firstLine="0"/>
        <w:rPr>
          <w:color w:val="auto"/>
        </w:rPr>
      </w:pPr>
      <w:r w:rsidRPr="002207FE">
        <w:rPr>
          <w:color w:val="auto"/>
        </w:rPr>
        <w:t>“</w:t>
      </w:r>
      <w:r w:rsidRPr="002207FE">
        <w:rPr>
          <w:b/>
          <w:color w:val="auto"/>
        </w:rPr>
        <w:t xml:space="preserve">Artículo 162. </w:t>
      </w:r>
      <w:r w:rsidRPr="002207FE">
        <w:rPr>
          <w:color w:val="auto"/>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223F282D" w14:textId="567CB096" w:rsidR="0043623F" w:rsidRPr="002207FE" w:rsidRDefault="0043623F" w:rsidP="002207FE">
      <w:pPr>
        <w:pBdr>
          <w:top w:val="nil"/>
          <w:left w:val="nil"/>
          <w:bottom w:val="nil"/>
          <w:right w:val="nil"/>
          <w:between w:val="nil"/>
        </w:pBdr>
        <w:ind w:right="-25"/>
        <w:rPr>
          <w:lang w:val="es-ES"/>
        </w:rPr>
      </w:pPr>
      <w:r w:rsidRPr="002207FE">
        <w:rPr>
          <w:lang w:val="es-ES"/>
        </w:rPr>
        <w:t xml:space="preserve"> </w:t>
      </w:r>
    </w:p>
    <w:p w14:paraId="2A3B16BB" w14:textId="77777777" w:rsidR="00F57435" w:rsidRPr="002207FE" w:rsidRDefault="00F57435" w:rsidP="002207FE">
      <w:pPr>
        <w:pBdr>
          <w:top w:val="nil"/>
          <w:left w:val="nil"/>
          <w:bottom w:val="nil"/>
          <w:right w:val="nil"/>
          <w:between w:val="nil"/>
        </w:pBdr>
        <w:ind w:right="-25"/>
      </w:pPr>
      <w:r w:rsidRPr="002207FE">
        <w:rPr>
          <w:lang w:val="es-ES"/>
        </w:rPr>
        <w:t xml:space="preserve">Una vez precisado lo anterior, es de recordar que en el presente caso, de manera primigenia </w:t>
      </w:r>
      <w:r w:rsidRPr="002207FE">
        <w:rPr>
          <w:b/>
          <w:bCs/>
          <w:lang w:val="es-ES"/>
        </w:rPr>
        <w:t xml:space="preserve">EL SUJETO OBLIGADO </w:t>
      </w:r>
      <w:r w:rsidRPr="002207FE">
        <w:rPr>
          <w:lang w:val="es-ES"/>
        </w:rPr>
        <w:t xml:space="preserve">a fin de atender el derecho de acceso a la información del particular, remitió un link, en donde se localiza la información requerida, </w:t>
      </w:r>
      <w:r w:rsidRPr="002207FE">
        <w:t>siendo el siguiente:</w:t>
      </w:r>
    </w:p>
    <w:p w14:paraId="400A2BE0" w14:textId="37E3C87E" w:rsidR="00F57435" w:rsidRPr="002207FE" w:rsidRDefault="00F57435" w:rsidP="002207FE">
      <w:pPr>
        <w:pBdr>
          <w:top w:val="nil"/>
          <w:left w:val="nil"/>
          <w:bottom w:val="nil"/>
          <w:right w:val="nil"/>
          <w:between w:val="nil"/>
        </w:pBdr>
        <w:ind w:right="-25"/>
      </w:pPr>
    </w:p>
    <w:p w14:paraId="3FD42AC4" w14:textId="49796F94" w:rsidR="00F57435" w:rsidRPr="002207FE" w:rsidRDefault="00F57435" w:rsidP="002207FE">
      <w:pPr>
        <w:pBdr>
          <w:top w:val="nil"/>
          <w:left w:val="nil"/>
          <w:bottom w:val="nil"/>
          <w:right w:val="nil"/>
          <w:between w:val="nil"/>
        </w:pBdr>
        <w:ind w:right="-25"/>
        <w:jc w:val="center"/>
      </w:pPr>
      <w:r w:rsidRPr="002207FE">
        <w:rPr>
          <w:noProof/>
        </w:rPr>
        <w:drawing>
          <wp:inline distT="0" distB="0" distL="0" distR="0" wp14:anchorId="52BA5A74" wp14:editId="522CFE3D">
            <wp:extent cx="3458058" cy="228632"/>
            <wp:effectExtent l="0" t="0" r="0" b="0"/>
            <wp:docPr id="16948200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406244" name=""/>
                    <pic:cNvPicPr/>
                  </pic:nvPicPr>
                  <pic:blipFill>
                    <a:blip r:embed="rId12"/>
                    <a:stretch>
                      <a:fillRect/>
                    </a:stretch>
                  </pic:blipFill>
                  <pic:spPr>
                    <a:xfrm>
                      <a:off x="0" y="0"/>
                      <a:ext cx="3458058" cy="228632"/>
                    </a:xfrm>
                    <a:prstGeom prst="rect">
                      <a:avLst/>
                    </a:prstGeom>
                  </pic:spPr>
                </pic:pic>
              </a:graphicData>
            </a:graphic>
          </wp:inline>
        </w:drawing>
      </w:r>
    </w:p>
    <w:p w14:paraId="440B8DF4" w14:textId="77777777" w:rsidR="00F57435" w:rsidRPr="002207FE" w:rsidRDefault="00F57435" w:rsidP="002207FE">
      <w:pPr>
        <w:pBdr>
          <w:top w:val="nil"/>
          <w:left w:val="nil"/>
          <w:bottom w:val="nil"/>
          <w:right w:val="nil"/>
          <w:between w:val="nil"/>
        </w:pBdr>
        <w:ind w:right="-25"/>
      </w:pPr>
    </w:p>
    <w:p w14:paraId="1FBB3765" w14:textId="77777777" w:rsidR="00F57435" w:rsidRPr="002207FE" w:rsidRDefault="00F57435" w:rsidP="002207FE">
      <w:pPr>
        <w:pBdr>
          <w:top w:val="nil"/>
          <w:left w:val="nil"/>
          <w:bottom w:val="nil"/>
          <w:right w:val="nil"/>
          <w:between w:val="nil"/>
        </w:pBdr>
        <w:ind w:right="-25"/>
        <w:rPr>
          <w:lang w:val="es-ES"/>
        </w:rPr>
      </w:pPr>
      <w:r w:rsidRPr="002207FE">
        <w:rPr>
          <w:lang w:val="es-ES"/>
        </w:rPr>
        <w:t xml:space="preserve">En ese sentido, se considera conveniente señalar que el artículo 161 de la de Transparencia y Acceso a la Información Pública del Estado de México y Municipios,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dentro de un plazo no mayor a cinco días, como a continuación se observa: </w:t>
      </w:r>
    </w:p>
    <w:p w14:paraId="6C48D3CA" w14:textId="77777777" w:rsidR="00F57435" w:rsidRPr="002207FE" w:rsidRDefault="00F57435" w:rsidP="002207FE">
      <w:pPr>
        <w:pBdr>
          <w:top w:val="nil"/>
          <w:left w:val="nil"/>
          <w:bottom w:val="nil"/>
          <w:right w:val="nil"/>
          <w:between w:val="nil"/>
        </w:pBdr>
        <w:ind w:right="-25"/>
        <w:rPr>
          <w:i/>
          <w:lang w:val="es-ES"/>
        </w:rPr>
      </w:pPr>
    </w:p>
    <w:p w14:paraId="40F1CBC4" w14:textId="77777777" w:rsidR="00F57435" w:rsidRPr="002207FE" w:rsidRDefault="00F57435" w:rsidP="002207FE">
      <w:pPr>
        <w:pStyle w:val="Puesto"/>
        <w:ind w:firstLine="0"/>
        <w:rPr>
          <w:color w:val="auto"/>
          <w:lang w:val="es-ES_tradnl"/>
        </w:rPr>
      </w:pPr>
      <w:r w:rsidRPr="002207FE">
        <w:rPr>
          <w:color w:val="auto"/>
          <w:lang w:val="es-ES"/>
        </w:rPr>
        <w:t>“</w:t>
      </w:r>
      <w:r w:rsidRPr="002207FE">
        <w:rPr>
          <w:b/>
          <w:color w:val="auto"/>
          <w:lang w:val="es-ES"/>
        </w:rPr>
        <w:t>Artículo 161.</w:t>
      </w:r>
      <w:r w:rsidRPr="002207FE">
        <w:rPr>
          <w:color w:val="auto"/>
          <w:lang w:val="es-E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2207FE">
        <w:rPr>
          <w:b/>
          <w:color w:val="auto"/>
          <w:lang w:val="es-ES"/>
        </w:rPr>
        <w:t>la forma</w:t>
      </w:r>
      <w:r w:rsidRPr="002207FE">
        <w:rPr>
          <w:color w:val="auto"/>
          <w:lang w:val="es-ES"/>
        </w:rPr>
        <w:t xml:space="preserve"> en que puede consultar, reproducir o adquirir dicha información en un plazo no mayor a cinco días hábiles.</w:t>
      </w:r>
      <w:r w:rsidRPr="002207FE">
        <w:rPr>
          <w:b/>
          <w:color w:val="auto"/>
          <w:lang w:val="es-ES"/>
        </w:rPr>
        <w:t xml:space="preserve"> La fuente deberá ser precisa y </w:t>
      </w:r>
      <w:r w:rsidRPr="002207FE">
        <w:rPr>
          <w:b/>
          <w:iCs/>
          <w:color w:val="auto"/>
          <w:lang w:val="es-ES"/>
        </w:rPr>
        <w:t>concreta</w:t>
      </w:r>
      <w:r w:rsidRPr="002207FE">
        <w:rPr>
          <w:b/>
          <w:color w:val="auto"/>
          <w:lang w:val="es-ES"/>
        </w:rPr>
        <w:t xml:space="preserve"> y no debe implicar que el solicitante realice una búsqueda en toda la información que se encuentre disponible.</w:t>
      </w:r>
      <w:r w:rsidRPr="002207FE">
        <w:rPr>
          <w:color w:val="auto"/>
          <w:lang w:val="es-ES"/>
        </w:rPr>
        <w:t>”</w:t>
      </w:r>
    </w:p>
    <w:p w14:paraId="172300E3" w14:textId="77777777" w:rsidR="00F57435" w:rsidRPr="002207FE" w:rsidRDefault="00F57435" w:rsidP="002207FE">
      <w:pPr>
        <w:pBdr>
          <w:top w:val="nil"/>
          <w:left w:val="nil"/>
          <w:bottom w:val="nil"/>
          <w:right w:val="nil"/>
          <w:between w:val="nil"/>
        </w:pBdr>
        <w:ind w:right="-25"/>
        <w:rPr>
          <w:lang w:val="es-ES"/>
        </w:rPr>
      </w:pPr>
    </w:p>
    <w:p w14:paraId="34E5C069" w14:textId="20F6FB75" w:rsidR="00F57435" w:rsidRPr="002207FE" w:rsidRDefault="00F57435" w:rsidP="002207FE">
      <w:pPr>
        <w:pBdr>
          <w:top w:val="nil"/>
          <w:left w:val="nil"/>
          <w:bottom w:val="nil"/>
          <w:right w:val="nil"/>
          <w:between w:val="nil"/>
        </w:pBdr>
        <w:ind w:right="-25"/>
        <w:rPr>
          <w:lang w:val="es-ES"/>
        </w:rPr>
      </w:pPr>
      <w:r w:rsidRPr="002207FE">
        <w:rPr>
          <w:lang w:val="es-ES"/>
        </w:rPr>
        <w:t xml:space="preserve">Así las cosas este Órgano Garante advierte que la información que pretendía entregar </w:t>
      </w:r>
      <w:r w:rsidRPr="002207FE">
        <w:rPr>
          <w:b/>
          <w:lang w:val="es-ES"/>
        </w:rPr>
        <w:t>EL</w:t>
      </w:r>
      <w:r w:rsidRPr="002207FE">
        <w:rPr>
          <w:lang w:val="es-ES"/>
        </w:rPr>
        <w:t xml:space="preserve"> </w:t>
      </w:r>
      <w:r w:rsidRPr="002207FE">
        <w:rPr>
          <w:b/>
          <w:lang w:val="es-ES"/>
        </w:rPr>
        <w:t xml:space="preserve">SUJETO OBLIGADO </w:t>
      </w:r>
      <w:r w:rsidRPr="002207FE">
        <w:rPr>
          <w:lang w:val="es-ES"/>
        </w:rPr>
        <w:t xml:space="preserve">mediante respuesta, no se encuentra acorde a lo que establece la Ley de la materia, pues en primer término no se realizó dentro de los primero cinco días; pues la solicitud fue recibida el </w:t>
      </w:r>
      <w:r w:rsidRPr="002207FE">
        <w:rPr>
          <w:b/>
          <w:u w:val="single"/>
          <w:lang w:val="es-ES"/>
        </w:rPr>
        <w:t>ocho de mayo de dos mil veinticinco</w:t>
      </w:r>
      <w:r w:rsidRPr="002207FE">
        <w:rPr>
          <w:lang w:val="es-ES"/>
        </w:rPr>
        <w:t xml:space="preserve"> y la respuesta fue proporcionada </w:t>
      </w:r>
      <w:r w:rsidRPr="002207FE">
        <w:rPr>
          <w:b/>
          <w:bCs/>
          <w:u w:val="single"/>
          <w:lang w:val="es-ES"/>
        </w:rPr>
        <w:t>veintinueve de mayo</w:t>
      </w:r>
      <w:r w:rsidRPr="002207FE">
        <w:rPr>
          <w:b/>
          <w:u w:val="single"/>
          <w:lang w:val="es-ES"/>
        </w:rPr>
        <w:t xml:space="preserve"> de dos mil veinticinco</w:t>
      </w:r>
      <w:r w:rsidRPr="002207FE">
        <w:rPr>
          <w:lang w:val="es-ES"/>
        </w:rPr>
        <w:t xml:space="preserve">; es decir al décimo quinto día hábil, cuando la solicitud debió ser atendida a más tardar el </w:t>
      </w:r>
      <w:r w:rsidRPr="002207FE">
        <w:rPr>
          <w:b/>
          <w:bCs/>
          <w:u w:val="single"/>
          <w:lang w:val="es-ES"/>
        </w:rPr>
        <w:t>quince de mayo</w:t>
      </w:r>
      <w:r w:rsidRPr="002207FE">
        <w:rPr>
          <w:b/>
          <w:u w:val="single"/>
          <w:lang w:val="es-ES"/>
        </w:rPr>
        <w:t xml:space="preserve"> de dos mil veinticinco</w:t>
      </w:r>
      <w:r w:rsidRPr="002207FE">
        <w:rPr>
          <w:lang w:val="es-ES"/>
        </w:rPr>
        <w:t>.</w:t>
      </w:r>
    </w:p>
    <w:p w14:paraId="6D133B9B" w14:textId="77777777" w:rsidR="00F57435" w:rsidRPr="002207FE" w:rsidRDefault="00F57435" w:rsidP="002207FE">
      <w:pPr>
        <w:pBdr>
          <w:top w:val="nil"/>
          <w:left w:val="nil"/>
          <w:bottom w:val="nil"/>
          <w:right w:val="nil"/>
          <w:between w:val="nil"/>
        </w:pBdr>
        <w:ind w:right="-25"/>
        <w:rPr>
          <w:lang w:val="es-ES"/>
        </w:rPr>
      </w:pPr>
    </w:p>
    <w:p w14:paraId="15E2A3BF" w14:textId="77777777" w:rsidR="00F57435" w:rsidRPr="002207FE" w:rsidRDefault="00F57435" w:rsidP="002207FE">
      <w:pPr>
        <w:pBdr>
          <w:top w:val="nil"/>
          <w:left w:val="nil"/>
          <w:bottom w:val="nil"/>
          <w:right w:val="nil"/>
          <w:between w:val="nil"/>
        </w:pBdr>
        <w:ind w:right="-25"/>
      </w:pPr>
      <w:r w:rsidRPr="002207FE">
        <w:t>De lo que, se estima que la orientación no cumple con lo dispuesto en el artículo 161 de la Ley de Transparencia y Acceso a la Información Pública del Estado de México y Municipios</w:t>
      </w:r>
      <w:r w:rsidRPr="002207FE">
        <w:rPr>
          <w:i/>
        </w:rPr>
        <w:t xml:space="preserve">, </w:t>
      </w:r>
      <w:r w:rsidRPr="002207FE">
        <w:t xml:space="preserve">el cual establece las características que debe tener la información desde el momento en el que se genera, su publicación y entrega; así como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w:t>
      </w:r>
      <w:r w:rsidRPr="002207FE">
        <w:rPr>
          <w:b/>
          <w:bCs/>
          <w:u w:val="single"/>
        </w:rPr>
        <w:t>a cinco días hábiles</w:t>
      </w:r>
      <w:r w:rsidRPr="002207FE">
        <w:t>, comprendiendo:</w:t>
      </w:r>
    </w:p>
    <w:p w14:paraId="32B0825F" w14:textId="77777777" w:rsidR="00F57435" w:rsidRPr="002207FE" w:rsidRDefault="00F57435" w:rsidP="002207FE">
      <w:pPr>
        <w:pBdr>
          <w:top w:val="nil"/>
          <w:left w:val="nil"/>
          <w:bottom w:val="nil"/>
          <w:right w:val="nil"/>
          <w:between w:val="nil"/>
        </w:pBdr>
        <w:ind w:right="-25"/>
      </w:pPr>
    </w:p>
    <w:p w14:paraId="388641E4" w14:textId="77777777" w:rsidR="00F57435" w:rsidRPr="002207FE" w:rsidRDefault="00F57435" w:rsidP="002207FE">
      <w:pPr>
        <w:pBdr>
          <w:top w:val="nil"/>
          <w:left w:val="nil"/>
          <w:bottom w:val="nil"/>
          <w:right w:val="nil"/>
          <w:between w:val="nil"/>
        </w:pBdr>
        <w:ind w:right="-25"/>
      </w:pPr>
      <w:r w:rsidRPr="002207FE">
        <w:t>a) La fuente</w:t>
      </w:r>
    </w:p>
    <w:p w14:paraId="119A9755" w14:textId="77777777" w:rsidR="00F57435" w:rsidRPr="002207FE" w:rsidRDefault="00F57435" w:rsidP="002207FE">
      <w:pPr>
        <w:pBdr>
          <w:top w:val="nil"/>
          <w:left w:val="nil"/>
          <w:bottom w:val="nil"/>
          <w:right w:val="nil"/>
          <w:between w:val="nil"/>
        </w:pBdr>
        <w:ind w:right="-25"/>
      </w:pPr>
      <w:r w:rsidRPr="002207FE">
        <w:t>b) El lugar y</w:t>
      </w:r>
    </w:p>
    <w:p w14:paraId="72AC40A3" w14:textId="77777777" w:rsidR="00F57435" w:rsidRPr="002207FE" w:rsidRDefault="00F57435" w:rsidP="002207FE">
      <w:pPr>
        <w:pBdr>
          <w:top w:val="nil"/>
          <w:left w:val="nil"/>
          <w:bottom w:val="nil"/>
          <w:right w:val="nil"/>
          <w:between w:val="nil"/>
        </w:pBdr>
        <w:ind w:right="-25"/>
      </w:pPr>
      <w:r w:rsidRPr="002207FE">
        <w:t>c) La forma</w:t>
      </w:r>
    </w:p>
    <w:p w14:paraId="5538A639" w14:textId="77777777" w:rsidR="00F57435" w:rsidRPr="002207FE" w:rsidRDefault="00F57435" w:rsidP="002207FE">
      <w:pPr>
        <w:pBdr>
          <w:top w:val="nil"/>
          <w:left w:val="nil"/>
          <w:bottom w:val="nil"/>
          <w:right w:val="nil"/>
          <w:between w:val="nil"/>
        </w:pBdr>
        <w:ind w:right="-25"/>
      </w:pPr>
      <w:r w:rsidRPr="002207FE">
        <w:t>Asimismo, se establece que la fuente de la información deberá ser:</w:t>
      </w:r>
    </w:p>
    <w:p w14:paraId="794DC008" w14:textId="77777777" w:rsidR="00F57435" w:rsidRPr="002207FE" w:rsidRDefault="00F57435" w:rsidP="002207FE">
      <w:pPr>
        <w:pBdr>
          <w:top w:val="nil"/>
          <w:left w:val="nil"/>
          <w:bottom w:val="nil"/>
          <w:right w:val="nil"/>
          <w:between w:val="nil"/>
        </w:pBdr>
        <w:ind w:right="-25"/>
      </w:pPr>
      <w:r w:rsidRPr="002207FE">
        <w:t>a) Precisa</w:t>
      </w:r>
    </w:p>
    <w:p w14:paraId="36CCDF41" w14:textId="77777777" w:rsidR="00F57435" w:rsidRPr="002207FE" w:rsidRDefault="00F57435" w:rsidP="002207FE">
      <w:pPr>
        <w:pBdr>
          <w:top w:val="nil"/>
          <w:left w:val="nil"/>
          <w:bottom w:val="nil"/>
          <w:right w:val="nil"/>
          <w:between w:val="nil"/>
        </w:pBdr>
        <w:ind w:right="-25"/>
      </w:pPr>
      <w:r w:rsidRPr="002207FE">
        <w:t>b) Concreta</w:t>
      </w:r>
    </w:p>
    <w:p w14:paraId="6C9D8D43" w14:textId="77777777" w:rsidR="00F57435" w:rsidRPr="002207FE" w:rsidRDefault="00F57435" w:rsidP="002207FE">
      <w:pPr>
        <w:pBdr>
          <w:top w:val="nil"/>
          <w:left w:val="nil"/>
          <w:bottom w:val="nil"/>
          <w:right w:val="nil"/>
          <w:between w:val="nil"/>
        </w:pBdr>
        <w:ind w:right="-25"/>
      </w:pPr>
      <w:r w:rsidRPr="002207FE">
        <w:t>c) Y no debe implicar que el solicitante realice una búsqueda en toda la información que se encuentre disponible.</w:t>
      </w:r>
    </w:p>
    <w:p w14:paraId="73413C92" w14:textId="77777777" w:rsidR="00F57435" w:rsidRPr="002207FE" w:rsidRDefault="00F57435" w:rsidP="002207FE">
      <w:pPr>
        <w:pBdr>
          <w:top w:val="nil"/>
          <w:left w:val="nil"/>
          <w:bottom w:val="nil"/>
          <w:right w:val="nil"/>
          <w:between w:val="nil"/>
        </w:pBdr>
        <w:ind w:right="-25"/>
      </w:pPr>
    </w:p>
    <w:p w14:paraId="28BDA959" w14:textId="77777777" w:rsidR="00F57435" w:rsidRPr="002207FE" w:rsidRDefault="00F57435" w:rsidP="002207FE">
      <w:pPr>
        <w:pBdr>
          <w:top w:val="nil"/>
          <w:left w:val="nil"/>
          <w:bottom w:val="nil"/>
          <w:right w:val="nil"/>
          <w:between w:val="nil"/>
        </w:pBdr>
        <w:ind w:right="-25"/>
      </w:pPr>
      <w:r w:rsidRPr="002207FE">
        <w:lastRenderedPageBreak/>
        <w:t>Imperativos legales que establecen el procedimiento que deben seguir los Sujetos Obligados para que pueda tomarse como válida su orientación sobre la forma en que puede consultar la información requerida.</w:t>
      </w:r>
    </w:p>
    <w:p w14:paraId="0F167C00" w14:textId="77777777" w:rsidR="00F57435" w:rsidRPr="002207FE" w:rsidRDefault="00F57435" w:rsidP="002207FE">
      <w:pPr>
        <w:pBdr>
          <w:top w:val="nil"/>
          <w:left w:val="nil"/>
          <w:bottom w:val="nil"/>
          <w:right w:val="nil"/>
          <w:between w:val="nil"/>
        </w:pBdr>
        <w:ind w:right="-25"/>
      </w:pPr>
    </w:p>
    <w:p w14:paraId="6C9FB61B" w14:textId="77777777" w:rsidR="00F57435" w:rsidRPr="002207FE" w:rsidRDefault="00F57435" w:rsidP="002207FE">
      <w:pPr>
        <w:pBdr>
          <w:top w:val="nil"/>
          <w:left w:val="nil"/>
          <w:bottom w:val="nil"/>
          <w:right w:val="nil"/>
          <w:between w:val="nil"/>
        </w:pBdr>
        <w:ind w:right="-25"/>
      </w:pPr>
      <w:r w:rsidRPr="002207FE">
        <w:t>Los cuales en el presente asunto no aconteció, pues si bien es cierto le proporcionó un link, también lo es que él mismo se encuentra en un formato cerrado, además de que no le señaló el procedimiento a seguir para consultar la información.</w:t>
      </w:r>
    </w:p>
    <w:p w14:paraId="461A2D28" w14:textId="77777777" w:rsidR="00F57435" w:rsidRPr="002207FE" w:rsidRDefault="00F57435" w:rsidP="002207FE">
      <w:pPr>
        <w:pBdr>
          <w:top w:val="nil"/>
          <w:left w:val="nil"/>
          <w:bottom w:val="nil"/>
          <w:right w:val="nil"/>
          <w:between w:val="nil"/>
        </w:pBdr>
        <w:ind w:right="-25"/>
      </w:pPr>
    </w:p>
    <w:p w14:paraId="75434167" w14:textId="77777777" w:rsidR="00F57435" w:rsidRPr="002207FE" w:rsidRDefault="00F57435" w:rsidP="002207FE">
      <w:pPr>
        <w:pBdr>
          <w:top w:val="nil"/>
          <w:left w:val="nil"/>
          <w:bottom w:val="nil"/>
          <w:right w:val="nil"/>
          <w:between w:val="nil"/>
        </w:pBdr>
        <w:ind w:right="-25"/>
      </w:pPr>
      <w:r w:rsidRPr="002207FE">
        <w:rPr>
          <w:lang w:val="es-ES"/>
        </w:rPr>
        <w:t xml:space="preserve">Al respecto, cabe destacar que </w:t>
      </w:r>
      <w:r w:rsidRPr="002207FE">
        <w:t>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3030FF82" w14:textId="77777777" w:rsidR="00F57435" w:rsidRPr="002207FE" w:rsidRDefault="00F57435" w:rsidP="002207FE">
      <w:pPr>
        <w:pBdr>
          <w:top w:val="nil"/>
          <w:left w:val="nil"/>
          <w:bottom w:val="nil"/>
          <w:right w:val="nil"/>
          <w:between w:val="nil"/>
        </w:pBdr>
        <w:ind w:right="-25"/>
      </w:pPr>
      <w:r w:rsidRPr="002207FE">
        <w:t> </w:t>
      </w:r>
    </w:p>
    <w:p w14:paraId="62C6F810" w14:textId="77777777" w:rsidR="00F57435" w:rsidRPr="002207FE" w:rsidRDefault="00F57435" w:rsidP="002207FE">
      <w:pPr>
        <w:pBdr>
          <w:top w:val="nil"/>
          <w:left w:val="nil"/>
          <w:bottom w:val="nil"/>
          <w:right w:val="nil"/>
          <w:between w:val="nil"/>
        </w:pBdr>
        <w:ind w:right="-25"/>
      </w:pPr>
      <w:r w:rsidRPr="002207FE">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062775DA" w14:textId="77777777" w:rsidR="00F57435" w:rsidRPr="002207FE" w:rsidRDefault="00F57435" w:rsidP="002207FE">
      <w:pPr>
        <w:pBdr>
          <w:top w:val="nil"/>
          <w:left w:val="nil"/>
          <w:bottom w:val="nil"/>
          <w:right w:val="nil"/>
          <w:between w:val="nil"/>
        </w:pBdr>
        <w:ind w:right="-25"/>
      </w:pPr>
      <w:r w:rsidRPr="002207FE">
        <w:t> </w:t>
      </w:r>
    </w:p>
    <w:p w14:paraId="32E0DF39" w14:textId="77777777" w:rsidR="00F57435" w:rsidRPr="002207FE" w:rsidRDefault="00F57435" w:rsidP="002207FE">
      <w:pPr>
        <w:pBdr>
          <w:top w:val="nil"/>
          <w:left w:val="nil"/>
          <w:bottom w:val="nil"/>
          <w:right w:val="nil"/>
          <w:between w:val="nil"/>
        </w:pBdr>
        <w:ind w:right="-25"/>
        <w:rPr>
          <w:b/>
          <w:bCs/>
          <w:i/>
        </w:rPr>
      </w:pPr>
      <w:r w:rsidRPr="002207FE">
        <w:rPr>
          <w:bCs/>
        </w:rPr>
        <w:t>Derivado de lo anterior, se considera necesario precisar que datos abiertos, conforme a la Carta Internacional de Datos Abiertos</w:t>
      </w:r>
      <w:r w:rsidRPr="002207FE">
        <w:rPr>
          <w:bCs/>
          <w:vertAlign w:val="superscript"/>
        </w:rPr>
        <w:footnoteReference w:id="1"/>
      </w:r>
      <w:r w:rsidRPr="002207FE">
        <w:rPr>
          <w:bCs/>
        </w:rPr>
        <w:t xml:space="preserve"> </w:t>
      </w:r>
      <w:r w:rsidRPr="002207FE">
        <w:rPr>
          <w:bCs/>
          <w:i/>
        </w:rPr>
        <w:t xml:space="preserve">son datos digitales que son puestos a disposición con las características técnicas y jurídicas necesarias para que </w:t>
      </w:r>
      <w:r w:rsidRPr="002207FE">
        <w:rPr>
          <w:b/>
          <w:bCs/>
          <w:i/>
        </w:rPr>
        <w:t xml:space="preserve">puedan ser </w:t>
      </w:r>
      <w:r w:rsidRPr="002207FE">
        <w:rPr>
          <w:b/>
          <w:bCs/>
          <w:i/>
          <w:u w:val="single"/>
        </w:rPr>
        <w:t>usados, reutilizados y redistribuidos</w:t>
      </w:r>
      <w:r w:rsidRPr="002207FE">
        <w:rPr>
          <w:b/>
          <w:bCs/>
          <w:i/>
        </w:rPr>
        <w:t xml:space="preserve"> libremente por cualquier persona, en cualquier momento y en cualquier lugar.</w:t>
      </w:r>
    </w:p>
    <w:p w14:paraId="77E05BEE" w14:textId="77777777" w:rsidR="00F57435" w:rsidRPr="002207FE" w:rsidRDefault="00F57435" w:rsidP="002207FE">
      <w:pPr>
        <w:pBdr>
          <w:top w:val="nil"/>
          <w:left w:val="nil"/>
          <w:bottom w:val="nil"/>
          <w:right w:val="nil"/>
          <w:between w:val="nil"/>
        </w:pBdr>
        <w:ind w:right="-25"/>
      </w:pPr>
    </w:p>
    <w:p w14:paraId="7533AB93" w14:textId="77777777" w:rsidR="00F57435" w:rsidRPr="002207FE" w:rsidRDefault="00F57435" w:rsidP="002207FE">
      <w:pPr>
        <w:pBdr>
          <w:top w:val="nil"/>
          <w:left w:val="nil"/>
          <w:bottom w:val="nil"/>
          <w:right w:val="nil"/>
          <w:between w:val="nil"/>
        </w:pBdr>
        <w:ind w:right="-25"/>
      </w:pPr>
      <w:r w:rsidRPr="002207FE">
        <w:lastRenderedPageBreak/>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5A4A18D1" w14:textId="77777777" w:rsidR="00F57435" w:rsidRPr="002207FE" w:rsidRDefault="00F57435" w:rsidP="002207FE">
      <w:pPr>
        <w:pBdr>
          <w:top w:val="nil"/>
          <w:left w:val="nil"/>
          <w:bottom w:val="nil"/>
          <w:right w:val="nil"/>
          <w:between w:val="nil"/>
        </w:pBdr>
        <w:ind w:right="-25"/>
      </w:pPr>
      <w:r w:rsidRPr="002207FE">
        <w:t> </w:t>
      </w:r>
    </w:p>
    <w:p w14:paraId="67A6F1D9" w14:textId="77777777" w:rsidR="00F57435" w:rsidRPr="002207FE" w:rsidRDefault="00F57435" w:rsidP="002207FE">
      <w:pPr>
        <w:pBdr>
          <w:top w:val="nil"/>
          <w:left w:val="nil"/>
          <w:bottom w:val="nil"/>
          <w:right w:val="nil"/>
          <w:between w:val="nil"/>
        </w:pBdr>
        <w:ind w:right="-25"/>
      </w:pPr>
      <w:r w:rsidRPr="002207FE">
        <w:t xml:space="preserve">·         </w:t>
      </w:r>
      <w:r w:rsidRPr="002207FE">
        <w:rPr>
          <w:b/>
          <w:bCs/>
        </w:rPr>
        <w:t xml:space="preserve">Dato abierto: </w:t>
      </w:r>
      <w:r w:rsidRPr="002207FE">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0A990F91" w14:textId="77777777" w:rsidR="00F57435" w:rsidRPr="002207FE" w:rsidRDefault="00F57435" w:rsidP="002207FE">
      <w:pPr>
        <w:pBdr>
          <w:top w:val="nil"/>
          <w:left w:val="nil"/>
          <w:bottom w:val="nil"/>
          <w:right w:val="nil"/>
          <w:between w:val="nil"/>
        </w:pBdr>
        <w:ind w:right="-25"/>
      </w:pPr>
      <w:r w:rsidRPr="002207FE">
        <w:rPr>
          <w:b/>
          <w:bCs/>
        </w:rPr>
        <w:t> </w:t>
      </w:r>
    </w:p>
    <w:p w14:paraId="2CF6D936" w14:textId="77777777" w:rsidR="00F57435" w:rsidRPr="002207FE" w:rsidRDefault="00F57435" w:rsidP="002207FE">
      <w:pPr>
        <w:pBdr>
          <w:top w:val="nil"/>
          <w:left w:val="nil"/>
          <w:bottom w:val="nil"/>
          <w:right w:val="nil"/>
          <w:between w:val="nil"/>
        </w:pBdr>
        <w:ind w:right="-25"/>
      </w:pPr>
      <w:r w:rsidRPr="002207FE">
        <w:t xml:space="preserve">·         </w:t>
      </w:r>
      <w:r w:rsidRPr="002207FE">
        <w:rPr>
          <w:b/>
          <w:bCs/>
        </w:rPr>
        <w:t xml:space="preserve">Formato accesible: </w:t>
      </w:r>
      <w:r w:rsidRPr="002207FE">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14F7B48D" w14:textId="77777777" w:rsidR="00F57435" w:rsidRPr="002207FE" w:rsidRDefault="00F57435" w:rsidP="002207FE">
      <w:pPr>
        <w:pBdr>
          <w:top w:val="nil"/>
          <w:left w:val="nil"/>
          <w:bottom w:val="nil"/>
          <w:right w:val="nil"/>
          <w:between w:val="nil"/>
        </w:pBdr>
        <w:ind w:right="-25"/>
      </w:pPr>
    </w:p>
    <w:p w14:paraId="7DD64715" w14:textId="77777777" w:rsidR="00F57435" w:rsidRPr="002207FE" w:rsidRDefault="00F57435" w:rsidP="002207FE">
      <w:pPr>
        <w:pBdr>
          <w:top w:val="nil"/>
          <w:left w:val="nil"/>
          <w:bottom w:val="nil"/>
          <w:right w:val="nil"/>
          <w:between w:val="nil"/>
        </w:pBdr>
        <w:ind w:right="-25"/>
        <w:rPr>
          <w:bCs/>
        </w:rPr>
      </w:pPr>
      <w:r w:rsidRPr="002207FE">
        <w:rPr>
          <w:bCs/>
        </w:rPr>
        <w:t xml:space="preserve">Es así que, los datos abiertos cumplen con la finalidad de poder ser utilizados, </w:t>
      </w:r>
      <w:r w:rsidRPr="002207FE">
        <w:rPr>
          <w:b/>
          <w:bCs/>
          <w:u w:val="single"/>
        </w:rPr>
        <w:t xml:space="preserve">reutilizados </w:t>
      </w:r>
      <w:r w:rsidRPr="002207FE">
        <w:rPr>
          <w:bCs/>
        </w:rPr>
        <w:t xml:space="preserve">y redistribuidos; y que el formato de datos abiertos, </w:t>
      </w:r>
      <w:r w:rsidRPr="002207FE">
        <w:rPr>
          <w:b/>
          <w:bCs/>
        </w:rPr>
        <w:t>debe permitir la aplicación y reproducción</w:t>
      </w:r>
      <w:r w:rsidRPr="002207FE">
        <w:rPr>
          <w:bCs/>
        </w:rPr>
        <w:t xml:space="preserve"> de la información sin estar condicionados a contraprestaciones; lo anterior no debe traducirse en la posibilidad de alteración, edición o modificación del original; entonces, podemos advertir que el documento entregado en formato pdf, no permite seleccionar texto, copiarlo y pegarlo; por tanto, tampoco permite que la información pueda ser utilizada, reutilizada o redistribuida.</w:t>
      </w:r>
    </w:p>
    <w:p w14:paraId="2071E3DF" w14:textId="77777777" w:rsidR="00F57435" w:rsidRPr="002207FE" w:rsidRDefault="00F57435" w:rsidP="002207FE">
      <w:pPr>
        <w:pBdr>
          <w:top w:val="nil"/>
          <w:left w:val="nil"/>
          <w:bottom w:val="nil"/>
          <w:right w:val="nil"/>
          <w:between w:val="nil"/>
        </w:pBdr>
        <w:ind w:right="-25"/>
      </w:pPr>
      <w:r w:rsidRPr="002207FE">
        <w:t xml:space="preserve">Además es de reiterar que, la dirección electrónica se proporcionó a través de un documento digitalizado, por lo tanto, al no ser posible la edición, modificación, procesamiento, o manipulación de su contenido, es necesario capturar la dirección electrónica dígito por dígito, tarea que resulta compleja si tomamos en consideración la longitud de la dirección electrónica, que además está compuesta por símbolos y caracteres, así como por mayúsculas y minúsculas, </w:t>
      </w:r>
      <w:r w:rsidRPr="002207FE">
        <w:lastRenderedPageBreak/>
        <w:t xml:space="preserve">lo cual es altamente susceptible a la comisión de errores que impedirían acceder a la página que aloja la información. </w:t>
      </w:r>
    </w:p>
    <w:p w14:paraId="7B57FC10" w14:textId="77777777" w:rsidR="00F57435" w:rsidRPr="002207FE" w:rsidRDefault="00F57435" w:rsidP="002207FE">
      <w:pPr>
        <w:pBdr>
          <w:top w:val="nil"/>
          <w:left w:val="nil"/>
          <w:bottom w:val="nil"/>
          <w:right w:val="nil"/>
          <w:between w:val="nil"/>
        </w:pBdr>
        <w:ind w:right="-25"/>
      </w:pPr>
    </w:p>
    <w:p w14:paraId="3BE544CB" w14:textId="7494E6CE" w:rsidR="00F57435" w:rsidRPr="002207FE" w:rsidRDefault="002C4541" w:rsidP="002207FE">
      <w:pPr>
        <w:pBdr>
          <w:top w:val="nil"/>
          <w:left w:val="nil"/>
          <w:bottom w:val="nil"/>
          <w:right w:val="nil"/>
          <w:between w:val="nil"/>
        </w:pBdr>
        <w:ind w:right="-25"/>
        <w:rPr>
          <w:lang w:val="es-ES"/>
        </w:rPr>
      </w:pPr>
      <w:r w:rsidRPr="002207FE">
        <w:rPr>
          <w:lang w:val="es-ES"/>
        </w:rPr>
        <w:t>Aunado a ello, es de tener en cuenta que en la solicitud de información se peticionó los recibos de nómina, no así las remuneraciones.</w:t>
      </w:r>
    </w:p>
    <w:p w14:paraId="0DF168D5" w14:textId="77777777" w:rsidR="002C4541" w:rsidRPr="002207FE" w:rsidRDefault="002C4541" w:rsidP="002207FE">
      <w:pPr>
        <w:pBdr>
          <w:top w:val="nil"/>
          <w:left w:val="nil"/>
          <w:bottom w:val="nil"/>
          <w:right w:val="nil"/>
          <w:between w:val="nil"/>
        </w:pBdr>
        <w:ind w:right="-25"/>
        <w:rPr>
          <w:lang w:val="es-ES"/>
        </w:rPr>
      </w:pPr>
    </w:p>
    <w:p w14:paraId="746D1AC5" w14:textId="17D524DE" w:rsidR="002C4541" w:rsidRPr="002207FE" w:rsidRDefault="002C4541" w:rsidP="002207FE">
      <w:pPr>
        <w:pBdr>
          <w:top w:val="nil"/>
          <w:left w:val="nil"/>
          <w:bottom w:val="nil"/>
          <w:right w:val="nil"/>
          <w:between w:val="nil"/>
        </w:pBdr>
        <w:ind w:right="-25"/>
        <w:rPr>
          <w:bCs/>
          <w:iCs/>
        </w:rPr>
      </w:pPr>
      <w:r w:rsidRPr="002207FE">
        <w:t>En ese sentido, a fin</w:t>
      </w:r>
      <w:r w:rsidR="009520F8" w:rsidRPr="002207FE">
        <w:t xml:space="preserve"> </w:t>
      </w:r>
      <w:r w:rsidRPr="002207FE">
        <w:t xml:space="preserve">de establecer las diferencias, entre recibos de nómina y las remuneraciones,  se trae a contexto lo establecido en </w:t>
      </w:r>
      <w:r w:rsidRPr="002207FE">
        <w:rPr>
          <w:bCs/>
          <w:iCs/>
        </w:rPr>
        <w:t xml:space="preserve">artículo 3°, fracción XXXII, del Código Financiero del Estado de México y Municipios establece que la </w:t>
      </w:r>
      <w:r w:rsidRPr="002207FE">
        <w:rPr>
          <w:b/>
          <w:bCs/>
          <w:iCs/>
          <w:u w:val="single"/>
        </w:rPr>
        <w:t>remuneración consiste en los pagos hechos por concepto de sueldo, compensaciones, gratificaciones, habitación, primas, comisiones, prestaciones, en especie y cualquier otra percepción o prestación que se entregue al servidor por su trabajo</w:t>
      </w:r>
      <w:r w:rsidRPr="002207FE">
        <w:rPr>
          <w:bCs/>
          <w:iCs/>
        </w:rPr>
        <w:t>.</w:t>
      </w:r>
    </w:p>
    <w:p w14:paraId="4A116178" w14:textId="77777777" w:rsidR="009520F8" w:rsidRPr="002207FE" w:rsidRDefault="009520F8" w:rsidP="002207FE">
      <w:pPr>
        <w:pBdr>
          <w:top w:val="nil"/>
          <w:left w:val="nil"/>
          <w:bottom w:val="nil"/>
          <w:right w:val="nil"/>
          <w:between w:val="nil"/>
        </w:pBdr>
        <w:ind w:right="-25"/>
        <w:rPr>
          <w:bCs/>
          <w:iCs/>
        </w:rPr>
      </w:pPr>
    </w:p>
    <w:p w14:paraId="18A8E57D" w14:textId="77777777" w:rsidR="002C4541" w:rsidRPr="002207FE" w:rsidRDefault="002C4541" w:rsidP="002207FE">
      <w:pPr>
        <w:pBdr>
          <w:top w:val="nil"/>
          <w:left w:val="nil"/>
          <w:bottom w:val="nil"/>
          <w:right w:val="nil"/>
          <w:between w:val="nil"/>
        </w:pBdr>
        <w:ind w:right="-25"/>
      </w:pPr>
      <w:r w:rsidRPr="002207FE">
        <w:t>Por su parte la Ley del Trabajo de los Servidores Públicos del Estado y Municipios, en su artículo 220-K fracciones II y IV y último párrafo, establecen lo siguiente:</w:t>
      </w:r>
    </w:p>
    <w:p w14:paraId="542294FD" w14:textId="77777777" w:rsidR="002C4541" w:rsidRPr="002207FE" w:rsidRDefault="002C4541" w:rsidP="002207FE">
      <w:pPr>
        <w:pBdr>
          <w:top w:val="nil"/>
          <w:left w:val="nil"/>
          <w:bottom w:val="nil"/>
          <w:right w:val="nil"/>
          <w:between w:val="nil"/>
        </w:pBdr>
        <w:ind w:right="-25"/>
      </w:pPr>
    </w:p>
    <w:p w14:paraId="2278B1DF" w14:textId="77777777" w:rsidR="002C4541" w:rsidRPr="002207FE" w:rsidRDefault="002C4541" w:rsidP="002207FE">
      <w:pPr>
        <w:pStyle w:val="Puesto"/>
        <w:ind w:firstLine="0"/>
        <w:rPr>
          <w:color w:val="auto"/>
        </w:rPr>
      </w:pPr>
      <w:r w:rsidRPr="002207FE">
        <w:rPr>
          <w:b/>
          <w:color w:val="auto"/>
        </w:rPr>
        <w:t>“ARTÍCULO 220 K.-</w:t>
      </w:r>
      <w:r w:rsidRPr="002207FE">
        <w:rPr>
          <w:color w:val="auto"/>
        </w:rPr>
        <w:t xml:space="preserve"> La institución o dependencia pública tiene la obligación de conservar y exhibir en el proceso los documentos que a continuación se precisan:</w:t>
      </w:r>
    </w:p>
    <w:p w14:paraId="0B4C7A1A" w14:textId="77777777" w:rsidR="002C4541" w:rsidRPr="002207FE" w:rsidRDefault="002C4541" w:rsidP="002207FE">
      <w:pPr>
        <w:pStyle w:val="Puesto"/>
        <w:ind w:firstLine="0"/>
        <w:rPr>
          <w:color w:val="auto"/>
        </w:rPr>
      </w:pPr>
      <w:r w:rsidRPr="002207FE">
        <w:rPr>
          <w:color w:val="auto"/>
        </w:rPr>
        <w:t>…</w:t>
      </w:r>
    </w:p>
    <w:p w14:paraId="0FF4F2DE" w14:textId="77777777" w:rsidR="002C4541" w:rsidRPr="002207FE" w:rsidRDefault="002C4541" w:rsidP="002207FE">
      <w:pPr>
        <w:pStyle w:val="Puesto"/>
        <w:ind w:firstLine="0"/>
        <w:rPr>
          <w:color w:val="auto"/>
        </w:rPr>
      </w:pPr>
      <w:r w:rsidRPr="002207FE">
        <w:rPr>
          <w:b/>
          <w:color w:val="auto"/>
        </w:rPr>
        <w:t>II</w:t>
      </w:r>
      <w:r w:rsidRPr="002207FE">
        <w:rPr>
          <w:color w:val="auto"/>
        </w:rPr>
        <w:t>. Recibos de pagos de salarios o las constancias documentales del pago de salario cuando sea por depósito o mediante información electrónica;</w:t>
      </w:r>
    </w:p>
    <w:p w14:paraId="4315E3B3" w14:textId="77777777" w:rsidR="002C4541" w:rsidRPr="002207FE" w:rsidRDefault="002C4541" w:rsidP="002207FE">
      <w:pPr>
        <w:pStyle w:val="Puesto"/>
        <w:ind w:firstLine="0"/>
        <w:rPr>
          <w:color w:val="auto"/>
        </w:rPr>
      </w:pPr>
      <w:r w:rsidRPr="002207FE">
        <w:rPr>
          <w:color w:val="auto"/>
        </w:rPr>
        <w:t>…</w:t>
      </w:r>
    </w:p>
    <w:p w14:paraId="39CD1495" w14:textId="77777777" w:rsidR="002C4541" w:rsidRPr="002207FE" w:rsidRDefault="002C4541" w:rsidP="002207FE">
      <w:pPr>
        <w:pStyle w:val="Puesto"/>
        <w:ind w:firstLine="0"/>
        <w:rPr>
          <w:color w:val="auto"/>
        </w:rPr>
      </w:pPr>
      <w:r w:rsidRPr="002207FE">
        <w:rPr>
          <w:b/>
          <w:color w:val="auto"/>
        </w:rPr>
        <w:t>IV</w:t>
      </w:r>
      <w:r w:rsidRPr="002207FE">
        <w:rPr>
          <w:color w:val="auto"/>
        </w:rPr>
        <w:t>. Recibos o las constancias de depósito o del medio de información magnética o electrónica que sean utilizadas para el pago de salarios, prima vacacional, aguinaldo y demás prestaciones establecidas en la presente ley; y…</w:t>
      </w:r>
    </w:p>
    <w:p w14:paraId="0B9B67B5" w14:textId="77777777" w:rsidR="002C4541" w:rsidRPr="002207FE" w:rsidRDefault="002C4541" w:rsidP="002207FE">
      <w:pPr>
        <w:pStyle w:val="Puesto"/>
        <w:ind w:firstLine="0"/>
        <w:rPr>
          <w:color w:val="auto"/>
        </w:rPr>
      </w:pPr>
      <w:r w:rsidRPr="002207FE">
        <w:rPr>
          <w:color w:val="auto"/>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w:t>
      </w:r>
      <w:r w:rsidRPr="002207FE">
        <w:rPr>
          <w:color w:val="auto"/>
        </w:rPr>
        <w:lastRenderedPageBreak/>
        <w:t>descubierto por la ciencia y las constancias expedidas por el encargado del área de personal de éstas, harán prueba plena.</w:t>
      </w:r>
    </w:p>
    <w:p w14:paraId="63E63A7B" w14:textId="77777777" w:rsidR="002C4541" w:rsidRPr="002207FE" w:rsidRDefault="002C4541" w:rsidP="002207FE">
      <w:pPr>
        <w:pStyle w:val="Puesto"/>
        <w:ind w:firstLine="0"/>
        <w:rPr>
          <w:color w:val="auto"/>
        </w:rPr>
      </w:pPr>
      <w:r w:rsidRPr="002207FE">
        <w:rPr>
          <w:color w:val="auto"/>
        </w:rPr>
        <w:t>El incumplimiento por lo dispuesto por este artículo, establecerá la presunción de ser ciertos los hechos que el actor exprese en su demanda, en relación con tales documentos, salvo prueba en contrario.”</w:t>
      </w:r>
    </w:p>
    <w:p w14:paraId="503130EA" w14:textId="77777777" w:rsidR="002C4541" w:rsidRPr="002207FE" w:rsidRDefault="002C4541" w:rsidP="002207FE">
      <w:pPr>
        <w:pBdr>
          <w:top w:val="nil"/>
          <w:left w:val="nil"/>
          <w:bottom w:val="nil"/>
          <w:right w:val="nil"/>
          <w:between w:val="nil"/>
        </w:pBdr>
        <w:ind w:right="-25"/>
        <w:rPr>
          <w:i/>
        </w:rPr>
      </w:pPr>
    </w:p>
    <w:p w14:paraId="125E7593" w14:textId="77777777" w:rsidR="002C4541" w:rsidRPr="002207FE" w:rsidRDefault="002C4541" w:rsidP="002207FE">
      <w:pPr>
        <w:pBdr>
          <w:top w:val="nil"/>
          <w:left w:val="nil"/>
          <w:bottom w:val="nil"/>
          <w:right w:val="nil"/>
          <w:between w:val="nil"/>
        </w:pBdr>
        <w:ind w:right="-25"/>
      </w:pPr>
      <w:r w:rsidRPr="002207FE">
        <w:t xml:space="preserve">Es decir, del precepto normativo se advierte que entre los documentos que tiene la obligación de conservar </w:t>
      </w:r>
      <w:r w:rsidRPr="002207FE">
        <w:rPr>
          <w:b/>
        </w:rPr>
        <w:t>EL SUJETO OBLIGADO</w:t>
      </w:r>
      <w:r w:rsidRPr="002207FE">
        <w:t>, se encuentran los recibos de pago de 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w:t>
      </w:r>
    </w:p>
    <w:p w14:paraId="3C306C57" w14:textId="77777777" w:rsidR="002C4541" w:rsidRPr="002207FE" w:rsidRDefault="002C4541" w:rsidP="002207FE">
      <w:pPr>
        <w:pBdr>
          <w:top w:val="nil"/>
          <w:left w:val="nil"/>
          <w:bottom w:val="nil"/>
          <w:right w:val="nil"/>
          <w:between w:val="nil"/>
        </w:pBdr>
        <w:ind w:right="-25"/>
      </w:pPr>
    </w:p>
    <w:p w14:paraId="4CD149AA" w14:textId="77777777" w:rsidR="002C4541" w:rsidRPr="002207FE" w:rsidRDefault="002C4541" w:rsidP="002207FE">
      <w:pPr>
        <w:pBdr>
          <w:top w:val="nil"/>
          <w:left w:val="nil"/>
          <w:bottom w:val="nil"/>
          <w:right w:val="nil"/>
          <w:between w:val="nil"/>
        </w:pBdr>
        <w:ind w:right="-25"/>
      </w:pPr>
      <w:r w:rsidRPr="002207FE">
        <w:t xml:space="preserve">Por tanto, los </w:t>
      </w:r>
      <w:r w:rsidRPr="002207FE">
        <w:rPr>
          <w:i/>
        </w:rPr>
        <w:t xml:space="preserve">recibos de nómina o comprobantes digitales por concepto de nómina </w:t>
      </w:r>
      <w:r w:rsidRPr="002207FE">
        <w:t>tienen como objetivo presentar la información del pago de las remuneraciones de cada uno de los servidores públicos de la entidad fiscalizable de que se trate correspondiente a un periodo determinado.</w:t>
      </w:r>
    </w:p>
    <w:p w14:paraId="5D7A591E" w14:textId="77777777" w:rsidR="002C4541" w:rsidRPr="002207FE" w:rsidRDefault="002C4541" w:rsidP="002207FE">
      <w:pPr>
        <w:pBdr>
          <w:top w:val="nil"/>
          <w:left w:val="nil"/>
          <w:bottom w:val="nil"/>
          <w:right w:val="nil"/>
          <w:between w:val="nil"/>
        </w:pBdr>
        <w:ind w:right="-25"/>
      </w:pPr>
    </w:p>
    <w:p w14:paraId="064268D4" w14:textId="75FE031C" w:rsidR="004A794D" w:rsidRPr="002207FE" w:rsidRDefault="00FF6520" w:rsidP="002207FE">
      <w:pPr>
        <w:pBdr>
          <w:top w:val="nil"/>
          <w:left w:val="nil"/>
          <w:bottom w:val="nil"/>
          <w:right w:val="nil"/>
          <w:between w:val="nil"/>
        </w:pBdr>
        <w:ind w:right="-25"/>
      </w:pPr>
      <w:r w:rsidRPr="002207FE">
        <w:rPr>
          <w:lang w:val="es-ES"/>
        </w:rPr>
        <w:t xml:space="preserve">Ahora bien, es de destacar que mediante informe justificado </w:t>
      </w:r>
      <w:r w:rsidRPr="002207FE">
        <w:rPr>
          <w:b/>
          <w:bCs/>
          <w:lang w:val="es-ES"/>
        </w:rPr>
        <w:t xml:space="preserve">EL SUJETO OBLIGADO </w:t>
      </w:r>
      <w:r w:rsidRPr="002207FE">
        <w:rPr>
          <w:lang w:val="es-ES"/>
        </w:rPr>
        <w:t>remitió diversos recibos de nómina correspondientes a la segunda quincena de abril de 2025, en versión pública</w:t>
      </w:r>
      <w:r w:rsidR="004A794D" w:rsidRPr="002207FE">
        <w:rPr>
          <w:lang w:val="es-ES"/>
        </w:rPr>
        <w:t xml:space="preserve">, no obstante como se apuntó en las líneas que preceden dichos documentos no fueron puestos a disposición de </w:t>
      </w:r>
      <w:r w:rsidR="004A794D" w:rsidRPr="002207FE">
        <w:rPr>
          <w:b/>
          <w:lang w:val="es-ES"/>
        </w:rPr>
        <w:t xml:space="preserve">LA PARTE RECURRENTE </w:t>
      </w:r>
      <w:r w:rsidR="004A794D" w:rsidRPr="002207FE">
        <w:rPr>
          <w:lang w:val="es-ES"/>
        </w:rPr>
        <w:t xml:space="preserve">en virtud de que su contenido, se advirtió que se dejó visible el dato correspondiente a deducciones de carácter personal, </w:t>
      </w:r>
      <w:r w:rsidR="004A794D" w:rsidRPr="002207FE">
        <w:t>en específico el dato denominado SUBCUENT VOL ISSEMYM, el cuál corresponde a una aportación voluntaria; y por lo tanto se debe de clasificar como confidencial, en términos de la fracción I del artículo 143 de la Ley de Transparencia Local.</w:t>
      </w:r>
    </w:p>
    <w:p w14:paraId="2CCA39A4" w14:textId="77777777" w:rsidR="004A794D" w:rsidRPr="002207FE" w:rsidRDefault="004A794D" w:rsidP="002207FE">
      <w:pPr>
        <w:pBdr>
          <w:top w:val="nil"/>
          <w:left w:val="nil"/>
          <w:bottom w:val="nil"/>
          <w:right w:val="nil"/>
          <w:between w:val="nil"/>
        </w:pBdr>
        <w:ind w:right="-25"/>
      </w:pPr>
    </w:p>
    <w:p w14:paraId="32333A31" w14:textId="3696D350" w:rsidR="004A794D" w:rsidRPr="002207FE" w:rsidRDefault="004A794D" w:rsidP="002207FE">
      <w:pPr>
        <w:tabs>
          <w:tab w:val="left" w:pos="709"/>
        </w:tabs>
        <w:rPr>
          <w:rFonts w:eastAsia="Calibri" w:cs="Arial"/>
          <w:lang w:eastAsia="en-US"/>
        </w:rPr>
      </w:pPr>
      <w:r w:rsidRPr="002207FE">
        <w:lastRenderedPageBreak/>
        <w:t xml:space="preserve">Luego entonces, y toda vez que el derecho de acceso a la información pública de </w:t>
      </w:r>
      <w:r w:rsidRPr="002207FE">
        <w:rPr>
          <w:b/>
        </w:rPr>
        <w:t xml:space="preserve">LA PARTE RECURRENTE </w:t>
      </w:r>
      <w:r w:rsidRPr="002207FE">
        <w:t xml:space="preserve">no se ha satisfecho, en el entendido que, </w:t>
      </w:r>
      <w:r w:rsidRPr="002207FE">
        <w:rPr>
          <w:rFonts w:eastAsia="Calibri" w:cs="Arial"/>
          <w:lang w:eastAsia="en-US"/>
        </w:rPr>
        <w:t>el derecho de acceso a la información pública se satisface en aquellos casos en que se entregue el soporte documental en que conste la información pública, toda vez que, los Sujetos Obligados</w:t>
      </w:r>
      <w:r w:rsidRPr="002207FE">
        <w:rPr>
          <w:rFonts w:eastAsia="Calibri" w:cs="Arial"/>
          <w:b/>
          <w:lang w:eastAsia="en-US"/>
        </w:rPr>
        <w:t xml:space="preserve"> </w:t>
      </w:r>
      <w:r w:rsidRPr="002207FE">
        <w:rPr>
          <w:rFonts w:eastAsia="Calibri" w:cs="Arial"/>
          <w:lang w:eastAsia="en-US"/>
        </w:rPr>
        <w:t xml:space="preserve">no tienen el deber de generar, poseer o administrar la información pública con el grado de detalle solicitado; esto es, que no tienen el deber de generar un documento </w:t>
      </w:r>
      <w:r w:rsidRPr="002207FE">
        <w:rPr>
          <w:rFonts w:eastAsia="Calibri" w:cs="Arial"/>
          <w:i/>
          <w:lang w:eastAsia="en-US"/>
        </w:rPr>
        <w:t>ad hoc</w:t>
      </w:r>
      <w:r w:rsidRPr="002207FE">
        <w:rPr>
          <w:rFonts w:eastAsia="Calibri" w:cs="Arial"/>
          <w:lang w:eastAsia="en-US"/>
        </w:rPr>
        <w:t xml:space="preserve">, para satisfacer el derecho de acceso a la información pública, como lo establece el artículo 12 de la Ley de Transparencia y Acceso a la Información Pública del Estado de México y Municipios; y toda vez que en el caso en particular no ha acontecido que </w:t>
      </w:r>
      <w:r w:rsidRPr="002207FE">
        <w:rPr>
          <w:rFonts w:eastAsia="Calibri" w:cs="Arial"/>
          <w:b/>
          <w:lang w:eastAsia="en-US"/>
        </w:rPr>
        <w:t xml:space="preserve">LA PARTE RECURRENTE </w:t>
      </w:r>
      <w:r w:rsidRPr="002207FE">
        <w:rPr>
          <w:rFonts w:eastAsia="Calibri" w:cs="Arial"/>
          <w:lang w:eastAsia="en-US"/>
        </w:rPr>
        <w:t xml:space="preserve">tenga acceso a la información requerida. </w:t>
      </w:r>
    </w:p>
    <w:p w14:paraId="651214C7" w14:textId="7C876016" w:rsidR="004A794D" w:rsidRPr="002207FE" w:rsidRDefault="004A794D" w:rsidP="002207FE">
      <w:pPr>
        <w:pBdr>
          <w:top w:val="nil"/>
          <w:left w:val="nil"/>
          <w:bottom w:val="nil"/>
          <w:right w:val="nil"/>
          <w:between w:val="nil"/>
        </w:pBdr>
        <w:ind w:right="-25"/>
      </w:pPr>
    </w:p>
    <w:p w14:paraId="61402FAA" w14:textId="530612E7" w:rsidR="00E57DEA" w:rsidRPr="002207FE" w:rsidRDefault="004A794D" w:rsidP="002207FE">
      <w:pPr>
        <w:pBdr>
          <w:top w:val="nil"/>
          <w:left w:val="nil"/>
          <w:bottom w:val="nil"/>
          <w:right w:val="nil"/>
          <w:between w:val="nil"/>
        </w:pBdr>
        <w:ind w:right="-25"/>
      </w:pPr>
      <w:r w:rsidRPr="002207FE">
        <w:t xml:space="preserve">Luego entonces, lo procedente en el presente caso, es ordenar la entrega de la información peticionada, a fin de restituir a </w:t>
      </w:r>
      <w:r w:rsidRPr="002207FE">
        <w:rPr>
          <w:b/>
        </w:rPr>
        <w:t>LA PARTE</w:t>
      </w:r>
      <w:r w:rsidRPr="002207FE">
        <w:t xml:space="preserve"> </w:t>
      </w:r>
      <w:r w:rsidRPr="002207FE">
        <w:rPr>
          <w:b/>
        </w:rPr>
        <w:t xml:space="preserve">RECURRENTE </w:t>
      </w:r>
      <w:r w:rsidRPr="002207FE">
        <w:t>cualquier posible afectación al derecho de acceso a la información pública.</w:t>
      </w:r>
    </w:p>
    <w:p w14:paraId="44584A17" w14:textId="77777777" w:rsidR="0073336E" w:rsidRPr="002207FE" w:rsidRDefault="0073336E" w:rsidP="002207FE"/>
    <w:p w14:paraId="68D76A5C" w14:textId="144F092B" w:rsidR="0073336E" w:rsidRPr="002207FE" w:rsidRDefault="0073336E" w:rsidP="002207FE">
      <w:r w:rsidRPr="002207FE">
        <w:t xml:space="preserve">Por otro lado, es importante señalar que si bien el particular indicó que deseaba recibir la información en copias, también es que eligió también como modalidad de entrega vía </w:t>
      </w:r>
      <w:r w:rsidRPr="002207FE">
        <w:rPr>
          <w:b/>
        </w:rPr>
        <w:t>SAIMEX</w:t>
      </w:r>
      <w:r w:rsidRPr="002207FE">
        <w:t xml:space="preserve">, la cual se homologa a copias simples; ya que </w:t>
      </w:r>
      <w:r w:rsidR="009520F8" w:rsidRPr="002207FE">
        <w:t xml:space="preserve">de </w:t>
      </w:r>
      <w:r w:rsidRPr="002207FE">
        <w:t>la impresión del archivo digital que se remita en cumplimiento de la resolución comparte la misma naturaleza de una copia simple, adicionalmente, la entrega de información vía SAIMEX otorga el beneficio de disponer inmediata y gratuitamente de la información solicitada.</w:t>
      </w:r>
    </w:p>
    <w:p w14:paraId="273DEAE8" w14:textId="77777777" w:rsidR="00D00736" w:rsidRPr="002207FE" w:rsidRDefault="00D00736" w:rsidP="002207FE"/>
    <w:p w14:paraId="774AE09C" w14:textId="77777777" w:rsidR="003B3CD6" w:rsidRPr="002207FE" w:rsidRDefault="004C3B66" w:rsidP="002207FE">
      <w:pPr>
        <w:pStyle w:val="Ttulo3"/>
      </w:pPr>
      <w:bookmarkStart w:id="33" w:name="_Toc207804470"/>
      <w:r w:rsidRPr="002207FE">
        <w:t>d) Versión pública</w:t>
      </w:r>
      <w:bookmarkEnd w:id="33"/>
    </w:p>
    <w:p w14:paraId="0E97AEBF" w14:textId="77777777" w:rsidR="003B3CD6" w:rsidRPr="002207FE" w:rsidRDefault="004C3B66" w:rsidP="002207FE">
      <w:r w:rsidRPr="002207FE">
        <w:t xml:space="preserve">Para el caso de que el o los documentos de los cuales se ordena su entrega contengan datos personales susceptibles de ser testados, deberán ser entregados en </w:t>
      </w:r>
      <w:r w:rsidRPr="002207FE">
        <w:rPr>
          <w:b/>
        </w:rPr>
        <w:t>versión pública</w:t>
      </w:r>
      <w:r w:rsidRPr="002207FE">
        <w:t xml:space="preserve">, pues el derecho de acceso a la información tiene como limitante el respeto a la intimidad y a la vida </w:t>
      </w:r>
      <w:r w:rsidRPr="002207FE">
        <w:lastRenderedPageBreak/>
        <w:t>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C17826B" w14:textId="77777777" w:rsidR="003B3CD6" w:rsidRPr="002207FE" w:rsidRDefault="003B3CD6" w:rsidP="002207FE"/>
    <w:p w14:paraId="5CF32314" w14:textId="77777777" w:rsidR="003B3CD6" w:rsidRPr="002207FE" w:rsidRDefault="004C3B66" w:rsidP="002207FE">
      <w:r w:rsidRPr="002207FE">
        <w:t>A este respecto, los artículos 3, fracciones IX, XX, XXI y XLV; 51 y 52 de la Ley de Transparencia y Acceso a la Información Pública del Estado de México y Municipios establecen:</w:t>
      </w:r>
    </w:p>
    <w:p w14:paraId="769598CB" w14:textId="77777777" w:rsidR="003B3CD6" w:rsidRPr="002207FE" w:rsidRDefault="003B3CD6" w:rsidP="002207FE"/>
    <w:p w14:paraId="64139E7A" w14:textId="77777777" w:rsidR="003B3CD6" w:rsidRPr="002207FE" w:rsidRDefault="004C3B66" w:rsidP="002207FE">
      <w:pPr>
        <w:pStyle w:val="Puesto"/>
        <w:ind w:firstLine="0"/>
        <w:rPr>
          <w:color w:val="auto"/>
        </w:rPr>
      </w:pPr>
      <w:r w:rsidRPr="002207FE">
        <w:rPr>
          <w:b/>
          <w:color w:val="auto"/>
        </w:rPr>
        <w:t xml:space="preserve">“Artículo 3. </w:t>
      </w:r>
      <w:r w:rsidRPr="002207FE">
        <w:rPr>
          <w:color w:val="auto"/>
        </w:rPr>
        <w:t xml:space="preserve">Para los efectos de la presente Ley se entenderá por: </w:t>
      </w:r>
    </w:p>
    <w:p w14:paraId="5FB39C8A" w14:textId="77777777" w:rsidR="003B3CD6" w:rsidRPr="002207FE" w:rsidRDefault="004C3B66" w:rsidP="002207FE">
      <w:pPr>
        <w:pStyle w:val="Puesto"/>
        <w:ind w:firstLine="0"/>
        <w:rPr>
          <w:color w:val="auto"/>
        </w:rPr>
      </w:pPr>
      <w:r w:rsidRPr="002207FE">
        <w:rPr>
          <w:b/>
          <w:color w:val="auto"/>
        </w:rPr>
        <w:t>IX.</w:t>
      </w:r>
      <w:r w:rsidRPr="002207FE">
        <w:rPr>
          <w:color w:val="auto"/>
        </w:rPr>
        <w:t xml:space="preserve"> </w:t>
      </w:r>
      <w:r w:rsidRPr="002207FE">
        <w:rPr>
          <w:b/>
          <w:color w:val="auto"/>
        </w:rPr>
        <w:t xml:space="preserve">Datos personales: </w:t>
      </w:r>
      <w:r w:rsidRPr="002207FE">
        <w:rPr>
          <w:color w:val="auto"/>
        </w:rPr>
        <w:t xml:space="preserve">La información concerniente a una persona, identificada o identificable según lo dispuesto por la Ley de Protección de Datos Personales del Estado de México; </w:t>
      </w:r>
    </w:p>
    <w:p w14:paraId="08893B65" w14:textId="77777777" w:rsidR="003B3CD6" w:rsidRPr="002207FE" w:rsidRDefault="003B3CD6" w:rsidP="002207FE"/>
    <w:p w14:paraId="13B83C54" w14:textId="77777777" w:rsidR="003B3CD6" w:rsidRPr="002207FE" w:rsidRDefault="004C3B66" w:rsidP="002207FE">
      <w:pPr>
        <w:pStyle w:val="Puesto"/>
        <w:ind w:firstLine="0"/>
        <w:rPr>
          <w:color w:val="auto"/>
        </w:rPr>
      </w:pPr>
      <w:r w:rsidRPr="002207FE">
        <w:rPr>
          <w:b/>
          <w:color w:val="auto"/>
        </w:rPr>
        <w:t>XX.</w:t>
      </w:r>
      <w:r w:rsidRPr="002207FE">
        <w:rPr>
          <w:color w:val="auto"/>
        </w:rPr>
        <w:t xml:space="preserve"> </w:t>
      </w:r>
      <w:r w:rsidRPr="002207FE">
        <w:rPr>
          <w:b/>
          <w:color w:val="auto"/>
        </w:rPr>
        <w:t>Información clasificada:</w:t>
      </w:r>
      <w:r w:rsidRPr="002207FE">
        <w:rPr>
          <w:color w:val="auto"/>
        </w:rPr>
        <w:t xml:space="preserve"> Aquella considerada por la presente Ley como reservada o confidencial; </w:t>
      </w:r>
    </w:p>
    <w:p w14:paraId="1DEF238E" w14:textId="77777777" w:rsidR="003B3CD6" w:rsidRPr="002207FE" w:rsidRDefault="003B3CD6" w:rsidP="002207FE"/>
    <w:p w14:paraId="7A33CB89" w14:textId="77777777" w:rsidR="003B3CD6" w:rsidRPr="002207FE" w:rsidRDefault="004C3B66" w:rsidP="002207FE">
      <w:pPr>
        <w:pStyle w:val="Puesto"/>
        <w:ind w:firstLine="0"/>
        <w:rPr>
          <w:color w:val="auto"/>
        </w:rPr>
      </w:pPr>
      <w:r w:rsidRPr="002207FE">
        <w:rPr>
          <w:b/>
          <w:color w:val="auto"/>
        </w:rPr>
        <w:t>XXI.</w:t>
      </w:r>
      <w:r w:rsidRPr="002207FE">
        <w:rPr>
          <w:color w:val="auto"/>
        </w:rPr>
        <w:t xml:space="preserve"> </w:t>
      </w:r>
      <w:r w:rsidRPr="002207FE">
        <w:rPr>
          <w:b/>
          <w:color w:val="auto"/>
        </w:rPr>
        <w:t>Información confidencial</w:t>
      </w:r>
      <w:r w:rsidRPr="002207FE">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0143584" w14:textId="77777777" w:rsidR="003B3CD6" w:rsidRPr="002207FE" w:rsidRDefault="003B3CD6" w:rsidP="002207FE"/>
    <w:p w14:paraId="1255CE6A" w14:textId="77777777" w:rsidR="003B3CD6" w:rsidRPr="002207FE" w:rsidRDefault="004C3B66" w:rsidP="002207FE">
      <w:pPr>
        <w:pStyle w:val="Puesto"/>
        <w:ind w:firstLine="0"/>
        <w:rPr>
          <w:color w:val="auto"/>
        </w:rPr>
      </w:pPr>
      <w:r w:rsidRPr="002207FE">
        <w:rPr>
          <w:b/>
          <w:color w:val="auto"/>
        </w:rPr>
        <w:t>XLV. Versión pública:</w:t>
      </w:r>
      <w:r w:rsidRPr="002207FE">
        <w:rPr>
          <w:color w:val="auto"/>
        </w:rPr>
        <w:t xml:space="preserve"> Documento en el que se elimine, suprime o borra la información clasificada como reservada o confidencial para permitir su acceso. </w:t>
      </w:r>
    </w:p>
    <w:p w14:paraId="00DC7A99" w14:textId="77777777" w:rsidR="003B3CD6" w:rsidRPr="002207FE" w:rsidRDefault="003B3CD6" w:rsidP="002207FE"/>
    <w:p w14:paraId="2557FB01" w14:textId="77777777" w:rsidR="003B3CD6" w:rsidRPr="002207FE" w:rsidRDefault="004C3B66" w:rsidP="002207FE">
      <w:pPr>
        <w:pStyle w:val="Puesto"/>
        <w:ind w:firstLine="0"/>
        <w:rPr>
          <w:color w:val="auto"/>
        </w:rPr>
      </w:pPr>
      <w:r w:rsidRPr="002207FE">
        <w:rPr>
          <w:b/>
          <w:color w:val="auto"/>
        </w:rPr>
        <w:t>Artículo 51.</w:t>
      </w:r>
      <w:r w:rsidRPr="002207FE">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207FE">
        <w:rPr>
          <w:b/>
          <w:color w:val="auto"/>
        </w:rPr>
        <w:t xml:space="preserve">y tendrá la responsabilidad de verificar en cada caso que la misma no sea confidencial o </w:t>
      </w:r>
      <w:r w:rsidRPr="002207FE">
        <w:rPr>
          <w:b/>
          <w:color w:val="auto"/>
        </w:rPr>
        <w:lastRenderedPageBreak/>
        <w:t xml:space="preserve">reservada. </w:t>
      </w:r>
      <w:r w:rsidRPr="002207FE">
        <w:rPr>
          <w:color w:val="auto"/>
        </w:rPr>
        <w:t>Dicha Unidad contará con las facultades internas necesarias para gestionar la atención a las solicitudes de información en los términos de la Ley General y la presente Ley.</w:t>
      </w:r>
    </w:p>
    <w:p w14:paraId="3B450A6A" w14:textId="77777777" w:rsidR="003B3CD6" w:rsidRPr="002207FE" w:rsidRDefault="003B3CD6" w:rsidP="002207FE"/>
    <w:p w14:paraId="62AD5A90" w14:textId="77777777" w:rsidR="003B3CD6" w:rsidRPr="002207FE" w:rsidRDefault="004C3B66" w:rsidP="002207FE">
      <w:pPr>
        <w:pStyle w:val="Puesto"/>
        <w:ind w:firstLine="0"/>
        <w:rPr>
          <w:color w:val="auto"/>
        </w:rPr>
      </w:pPr>
      <w:r w:rsidRPr="002207FE">
        <w:rPr>
          <w:b/>
          <w:color w:val="auto"/>
        </w:rPr>
        <w:t>Artículo 52.</w:t>
      </w:r>
      <w:r w:rsidRPr="002207FE">
        <w:rPr>
          <w:color w:val="auto"/>
        </w:rPr>
        <w:t xml:space="preserve"> Las solicitudes de acceso a la información y las respuestas que se les dé, incluyendo, en su caso, </w:t>
      </w:r>
      <w:r w:rsidRPr="002207FE">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2207FE">
        <w:rPr>
          <w:color w:val="auto"/>
        </w:rPr>
        <w:t xml:space="preserve">, siempre y cuando la resolución de referencia se someta a un proceso de disociación, es decir, no haga identificable al titular de tales datos personales.” </w:t>
      </w:r>
      <w:r w:rsidRPr="002207FE">
        <w:rPr>
          <w:i w:val="0"/>
          <w:color w:val="auto"/>
        </w:rPr>
        <w:t>(Énfasis añadido)</w:t>
      </w:r>
    </w:p>
    <w:p w14:paraId="2F782493" w14:textId="77777777" w:rsidR="003B3CD6" w:rsidRPr="002207FE" w:rsidRDefault="003B3CD6" w:rsidP="002207FE"/>
    <w:p w14:paraId="2F1FE236" w14:textId="77777777" w:rsidR="003B3CD6" w:rsidRPr="002207FE" w:rsidRDefault="004C3B66" w:rsidP="002207FE">
      <w:r w:rsidRPr="002207FE">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7535FE0B" w14:textId="77777777" w:rsidR="003B3CD6" w:rsidRPr="002207FE" w:rsidRDefault="003B3CD6" w:rsidP="002207FE"/>
    <w:p w14:paraId="335FD054" w14:textId="77777777" w:rsidR="003B3CD6" w:rsidRPr="002207FE" w:rsidRDefault="004C3B66" w:rsidP="002207FE">
      <w:pPr>
        <w:pStyle w:val="Puesto"/>
        <w:ind w:firstLine="0"/>
        <w:rPr>
          <w:color w:val="auto"/>
        </w:rPr>
      </w:pPr>
      <w:r w:rsidRPr="002207FE">
        <w:rPr>
          <w:b/>
          <w:color w:val="auto"/>
        </w:rPr>
        <w:t>“Artículo 22.</w:t>
      </w:r>
      <w:r w:rsidRPr="002207FE">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7DC7E261" w14:textId="77777777" w:rsidR="003B3CD6" w:rsidRPr="002207FE" w:rsidRDefault="003B3CD6" w:rsidP="002207FE"/>
    <w:p w14:paraId="7844A875" w14:textId="77777777" w:rsidR="003B3CD6" w:rsidRPr="002207FE" w:rsidRDefault="004C3B66" w:rsidP="002207FE">
      <w:pPr>
        <w:pStyle w:val="Puesto"/>
        <w:ind w:firstLine="0"/>
        <w:rPr>
          <w:color w:val="auto"/>
        </w:rPr>
      </w:pPr>
      <w:r w:rsidRPr="002207FE">
        <w:rPr>
          <w:b/>
          <w:color w:val="auto"/>
        </w:rPr>
        <w:t>Artículo 38.</w:t>
      </w:r>
      <w:r w:rsidRPr="002207FE">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2207FE">
        <w:rPr>
          <w:b/>
          <w:color w:val="auto"/>
        </w:rPr>
        <w:t>”</w:t>
      </w:r>
      <w:r w:rsidRPr="002207FE">
        <w:rPr>
          <w:color w:val="auto"/>
        </w:rPr>
        <w:t xml:space="preserve"> </w:t>
      </w:r>
    </w:p>
    <w:p w14:paraId="7CFF8F34" w14:textId="77777777" w:rsidR="003B3CD6" w:rsidRPr="002207FE" w:rsidRDefault="003B3CD6" w:rsidP="002207FE">
      <w:pPr>
        <w:rPr>
          <w:i/>
        </w:rPr>
      </w:pPr>
    </w:p>
    <w:p w14:paraId="7325C416" w14:textId="77777777" w:rsidR="003B3CD6" w:rsidRPr="002207FE" w:rsidRDefault="004C3B66" w:rsidP="002207FE">
      <w:r w:rsidRPr="002207FE">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AE0661F" w14:textId="77777777" w:rsidR="003B3CD6" w:rsidRPr="002207FE" w:rsidRDefault="003B3CD6" w:rsidP="002207FE"/>
    <w:p w14:paraId="5DBA7CEA" w14:textId="77777777" w:rsidR="003B3CD6" w:rsidRPr="002207FE" w:rsidRDefault="004C3B66" w:rsidP="002207FE">
      <w:r w:rsidRPr="002207FE">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2207FE">
        <w:rPr>
          <w:b/>
        </w:rPr>
        <w:t>EL SUJETO OBLIGADO,</w:t>
      </w:r>
      <w:r w:rsidRPr="002207FE">
        <w:t xml:space="preserve"> por lo que, todo dato personal susceptible de clasificación debe ser protegido.</w:t>
      </w:r>
    </w:p>
    <w:p w14:paraId="56570C0D" w14:textId="77777777" w:rsidR="003B3CD6" w:rsidRPr="002207FE" w:rsidRDefault="003B3CD6" w:rsidP="002207FE"/>
    <w:p w14:paraId="64762FE7" w14:textId="77777777" w:rsidR="003B3CD6" w:rsidRPr="002207FE" w:rsidRDefault="004C3B66" w:rsidP="002207FE">
      <w:r w:rsidRPr="002207FE">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2518A150" w14:textId="77777777" w:rsidR="003B3CD6" w:rsidRPr="002207FE" w:rsidRDefault="003B3CD6" w:rsidP="002207FE"/>
    <w:p w14:paraId="3CF13F39" w14:textId="77777777" w:rsidR="003B3CD6" w:rsidRPr="002207FE" w:rsidRDefault="004C3B66" w:rsidP="002207FE">
      <w:r w:rsidRPr="002207FE">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E133A4A" w14:textId="77777777" w:rsidR="003B3CD6" w:rsidRPr="002207FE" w:rsidRDefault="003B3CD6" w:rsidP="002207FE"/>
    <w:p w14:paraId="12AFCE6D" w14:textId="77777777" w:rsidR="003B3CD6" w:rsidRPr="002207FE" w:rsidRDefault="004C3B66" w:rsidP="002207FE">
      <w:pPr>
        <w:pStyle w:val="Puesto"/>
        <w:ind w:firstLine="0"/>
        <w:jc w:val="center"/>
        <w:rPr>
          <w:b/>
          <w:color w:val="auto"/>
        </w:rPr>
      </w:pPr>
      <w:r w:rsidRPr="002207FE">
        <w:rPr>
          <w:b/>
          <w:color w:val="auto"/>
        </w:rPr>
        <w:t>Ley de Transparencia y Acceso a la Información Pública del Estado de México y Municipios</w:t>
      </w:r>
    </w:p>
    <w:p w14:paraId="7D8EDF25" w14:textId="77777777" w:rsidR="003B3CD6" w:rsidRPr="002207FE" w:rsidRDefault="003B3CD6" w:rsidP="002207FE">
      <w:pPr>
        <w:pStyle w:val="Puesto"/>
        <w:ind w:firstLine="0"/>
        <w:rPr>
          <w:color w:val="auto"/>
        </w:rPr>
      </w:pPr>
    </w:p>
    <w:p w14:paraId="6D138D71" w14:textId="77777777" w:rsidR="003B3CD6" w:rsidRPr="002207FE" w:rsidRDefault="004C3B66" w:rsidP="002207FE">
      <w:pPr>
        <w:pStyle w:val="Puesto"/>
        <w:ind w:firstLine="0"/>
        <w:rPr>
          <w:color w:val="auto"/>
        </w:rPr>
      </w:pPr>
      <w:r w:rsidRPr="002207FE">
        <w:rPr>
          <w:color w:val="auto"/>
        </w:rPr>
        <w:t>“</w:t>
      </w:r>
      <w:r w:rsidRPr="002207FE">
        <w:rPr>
          <w:b/>
          <w:color w:val="auto"/>
        </w:rPr>
        <w:t>Artículo 49.</w:t>
      </w:r>
      <w:r w:rsidRPr="002207FE">
        <w:rPr>
          <w:color w:val="auto"/>
        </w:rPr>
        <w:t xml:space="preserve"> Los Comités de Transparencia tendrán las siguientes atribuciones:</w:t>
      </w:r>
    </w:p>
    <w:p w14:paraId="222623C2" w14:textId="77777777" w:rsidR="003B3CD6" w:rsidRPr="002207FE" w:rsidRDefault="004C3B66" w:rsidP="002207FE">
      <w:pPr>
        <w:pStyle w:val="Puesto"/>
        <w:ind w:firstLine="0"/>
        <w:rPr>
          <w:color w:val="auto"/>
        </w:rPr>
      </w:pPr>
      <w:r w:rsidRPr="002207FE">
        <w:rPr>
          <w:color w:val="auto"/>
        </w:rPr>
        <w:t>VIII. Aprobar, modificar o revocar la clasificación de la información;</w:t>
      </w:r>
    </w:p>
    <w:p w14:paraId="2C369F1F" w14:textId="77777777" w:rsidR="003B3CD6" w:rsidRPr="002207FE" w:rsidRDefault="003B3CD6" w:rsidP="002207FE">
      <w:pPr>
        <w:pStyle w:val="Puesto"/>
        <w:ind w:firstLine="0"/>
        <w:rPr>
          <w:color w:val="auto"/>
        </w:rPr>
      </w:pPr>
    </w:p>
    <w:p w14:paraId="46833357" w14:textId="77777777" w:rsidR="003B3CD6" w:rsidRPr="002207FE" w:rsidRDefault="004C3B66" w:rsidP="002207FE">
      <w:pPr>
        <w:pStyle w:val="Puesto"/>
        <w:ind w:firstLine="0"/>
        <w:rPr>
          <w:color w:val="auto"/>
        </w:rPr>
      </w:pPr>
      <w:r w:rsidRPr="002207FE">
        <w:rPr>
          <w:b/>
          <w:color w:val="auto"/>
        </w:rPr>
        <w:t>Artículo 132.</w:t>
      </w:r>
      <w:r w:rsidRPr="002207FE">
        <w:rPr>
          <w:color w:val="auto"/>
        </w:rPr>
        <w:t xml:space="preserve"> La clasificación de la información se llevará a cabo en el momento en que:</w:t>
      </w:r>
    </w:p>
    <w:p w14:paraId="32556A98" w14:textId="77777777" w:rsidR="003B3CD6" w:rsidRPr="002207FE" w:rsidRDefault="004C3B66" w:rsidP="002207FE">
      <w:pPr>
        <w:pStyle w:val="Puesto"/>
        <w:ind w:firstLine="0"/>
        <w:rPr>
          <w:color w:val="auto"/>
        </w:rPr>
      </w:pPr>
      <w:r w:rsidRPr="002207FE">
        <w:rPr>
          <w:color w:val="auto"/>
        </w:rPr>
        <w:t>I. Se reciba una solicitud de acceso a la información;</w:t>
      </w:r>
    </w:p>
    <w:p w14:paraId="11E728D5" w14:textId="77777777" w:rsidR="003B3CD6" w:rsidRPr="002207FE" w:rsidRDefault="004C3B66" w:rsidP="002207FE">
      <w:pPr>
        <w:pStyle w:val="Puesto"/>
        <w:ind w:firstLine="0"/>
        <w:rPr>
          <w:color w:val="auto"/>
        </w:rPr>
      </w:pPr>
      <w:r w:rsidRPr="002207FE">
        <w:rPr>
          <w:color w:val="auto"/>
        </w:rPr>
        <w:t>II. Se determine mediante resolución de autoridad competente; o</w:t>
      </w:r>
    </w:p>
    <w:p w14:paraId="6C161E29" w14:textId="77777777" w:rsidR="003B3CD6" w:rsidRPr="002207FE" w:rsidRDefault="004C3B66" w:rsidP="002207FE">
      <w:pPr>
        <w:pStyle w:val="Puesto"/>
        <w:ind w:firstLine="0"/>
        <w:rPr>
          <w:color w:val="auto"/>
        </w:rPr>
      </w:pPr>
      <w:r w:rsidRPr="002207FE">
        <w:rPr>
          <w:color w:val="auto"/>
        </w:rPr>
        <w:t>III. Se generen versiones públicas para dar cumplimiento a las obligaciones de transparencia previstas en esta Ley.”</w:t>
      </w:r>
    </w:p>
    <w:p w14:paraId="2790003C" w14:textId="77777777" w:rsidR="003B3CD6" w:rsidRPr="002207FE" w:rsidRDefault="003B3CD6" w:rsidP="002207FE">
      <w:pPr>
        <w:pStyle w:val="Puesto"/>
        <w:ind w:firstLine="0"/>
        <w:rPr>
          <w:color w:val="auto"/>
        </w:rPr>
      </w:pPr>
    </w:p>
    <w:p w14:paraId="5A65C2A8" w14:textId="77777777" w:rsidR="003B3CD6" w:rsidRPr="002207FE" w:rsidRDefault="004C3B66" w:rsidP="002207FE">
      <w:pPr>
        <w:pStyle w:val="Puesto"/>
        <w:ind w:firstLine="0"/>
        <w:rPr>
          <w:color w:val="auto"/>
        </w:rPr>
      </w:pPr>
      <w:r w:rsidRPr="002207FE">
        <w:rPr>
          <w:color w:val="auto"/>
        </w:rPr>
        <w:t>“</w:t>
      </w:r>
      <w:r w:rsidRPr="002207FE">
        <w:rPr>
          <w:b/>
          <w:color w:val="auto"/>
        </w:rPr>
        <w:t>Segundo. -</w:t>
      </w:r>
      <w:r w:rsidRPr="002207FE">
        <w:rPr>
          <w:color w:val="auto"/>
        </w:rPr>
        <w:t xml:space="preserve"> Para efectos de los presentes Lineamientos Generales, se entenderá por:</w:t>
      </w:r>
    </w:p>
    <w:p w14:paraId="0CE97E1A" w14:textId="77777777" w:rsidR="003B3CD6" w:rsidRPr="002207FE" w:rsidRDefault="004C3B66" w:rsidP="002207FE">
      <w:pPr>
        <w:pStyle w:val="Puesto"/>
        <w:ind w:firstLine="0"/>
        <w:rPr>
          <w:color w:val="auto"/>
        </w:rPr>
      </w:pPr>
      <w:r w:rsidRPr="002207FE">
        <w:rPr>
          <w:color w:val="auto"/>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4976177" w14:textId="77777777" w:rsidR="003B3CD6" w:rsidRPr="002207FE" w:rsidRDefault="003B3CD6" w:rsidP="002207FE">
      <w:pPr>
        <w:pStyle w:val="Puesto"/>
        <w:ind w:firstLine="0"/>
        <w:rPr>
          <w:color w:val="auto"/>
        </w:rPr>
      </w:pPr>
    </w:p>
    <w:p w14:paraId="6E831102" w14:textId="77777777" w:rsidR="003B3CD6" w:rsidRPr="002207FE" w:rsidRDefault="004C3B66" w:rsidP="002207FE">
      <w:pPr>
        <w:pStyle w:val="Puesto"/>
        <w:ind w:firstLine="0"/>
        <w:jc w:val="center"/>
        <w:rPr>
          <w:b/>
          <w:color w:val="auto"/>
        </w:rPr>
      </w:pPr>
      <w:r w:rsidRPr="002207FE">
        <w:rPr>
          <w:b/>
          <w:color w:val="auto"/>
        </w:rPr>
        <w:t>Lineamientos Generales en materia de Clasificación y Desclasificación de la Información</w:t>
      </w:r>
    </w:p>
    <w:p w14:paraId="35306074" w14:textId="77777777" w:rsidR="003B3CD6" w:rsidRPr="002207FE" w:rsidRDefault="003B3CD6" w:rsidP="002207FE">
      <w:pPr>
        <w:pStyle w:val="Puesto"/>
        <w:ind w:firstLine="0"/>
        <w:jc w:val="center"/>
        <w:rPr>
          <w:b/>
          <w:color w:val="auto"/>
        </w:rPr>
      </w:pPr>
    </w:p>
    <w:p w14:paraId="1BF11D2E" w14:textId="77777777" w:rsidR="003B3CD6" w:rsidRPr="002207FE" w:rsidRDefault="004C3B66" w:rsidP="002207FE">
      <w:pPr>
        <w:pStyle w:val="Puesto"/>
        <w:ind w:firstLine="0"/>
        <w:rPr>
          <w:color w:val="auto"/>
        </w:rPr>
      </w:pPr>
      <w:r w:rsidRPr="002207FE">
        <w:rPr>
          <w:b/>
          <w:color w:val="auto"/>
        </w:rPr>
        <w:t>Cuarto.</w:t>
      </w:r>
      <w:r w:rsidRPr="002207FE">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BF93BCA" w14:textId="77777777" w:rsidR="003B3CD6" w:rsidRPr="002207FE" w:rsidRDefault="004C3B66" w:rsidP="002207FE">
      <w:pPr>
        <w:pStyle w:val="Puesto"/>
        <w:ind w:firstLine="0"/>
        <w:rPr>
          <w:color w:val="auto"/>
        </w:rPr>
      </w:pPr>
      <w:r w:rsidRPr="002207FE">
        <w:rPr>
          <w:color w:val="auto"/>
        </w:rPr>
        <w:t>Los sujetos obligados deberán aplicar, de manera estricta, las excepciones al derecho de acceso a la información y sólo podrán invocarlas cuando acrediten su procedencia.</w:t>
      </w:r>
    </w:p>
    <w:p w14:paraId="73777232" w14:textId="77777777" w:rsidR="003B3CD6" w:rsidRPr="002207FE" w:rsidRDefault="003B3CD6" w:rsidP="002207FE">
      <w:pPr>
        <w:pStyle w:val="Puesto"/>
        <w:ind w:firstLine="0"/>
        <w:rPr>
          <w:color w:val="auto"/>
        </w:rPr>
      </w:pPr>
    </w:p>
    <w:p w14:paraId="4864E2BF" w14:textId="77777777" w:rsidR="003B3CD6" w:rsidRPr="002207FE" w:rsidRDefault="004C3B66" w:rsidP="002207FE">
      <w:pPr>
        <w:pStyle w:val="Puesto"/>
        <w:ind w:firstLine="0"/>
        <w:rPr>
          <w:color w:val="auto"/>
        </w:rPr>
      </w:pPr>
      <w:r w:rsidRPr="002207FE">
        <w:rPr>
          <w:b/>
          <w:color w:val="auto"/>
        </w:rPr>
        <w:t>Quinto.</w:t>
      </w:r>
      <w:r w:rsidRPr="002207FE">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15B9985" w14:textId="77777777" w:rsidR="003B3CD6" w:rsidRPr="002207FE" w:rsidRDefault="003B3CD6" w:rsidP="002207FE">
      <w:pPr>
        <w:pStyle w:val="Puesto"/>
        <w:ind w:firstLine="0"/>
        <w:rPr>
          <w:color w:val="auto"/>
        </w:rPr>
      </w:pPr>
    </w:p>
    <w:p w14:paraId="121D5EE2" w14:textId="77777777" w:rsidR="003B3CD6" w:rsidRPr="002207FE" w:rsidRDefault="004C3B66" w:rsidP="002207FE">
      <w:pPr>
        <w:pStyle w:val="Puesto"/>
        <w:ind w:firstLine="0"/>
        <w:rPr>
          <w:color w:val="auto"/>
        </w:rPr>
      </w:pPr>
      <w:r w:rsidRPr="002207FE">
        <w:rPr>
          <w:b/>
          <w:color w:val="auto"/>
        </w:rPr>
        <w:t>Sexto.</w:t>
      </w:r>
      <w:r w:rsidRPr="002207FE">
        <w:rPr>
          <w:color w:val="auto"/>
        </w:rPr>
        <w:t xml:space="preserve"> Se deroga.</w:t>
      </w:r>
    </w:p>
    <w:p w14:paraId="0BCDB63B" w14:textId="77777777" w:rsidR="003B3CD6" w:rsidRPr="002207FE" w:rsidRDefault="003B3CD6" w:rsidP="002207FE">
      <w:pPr>
        <w:pStyle w:val="Puesto"/>
        <w:ind w:firstLine="0"/>
        <w:rPr>
          <w:color w:val="auto"/>
        </w:rPr>
      </w:pPr>
    </w:p>
    <w:p w14:paraId="6DD4BCC3" w14:textId="77777777" w:rsidR="003B3CD6" w:rsidRPr="002207FE" w:rsidRDefault="004C3B66" w:rsidP="002207FE">
      <w:pPr>
        <w:pStyle w:val="Puesto"/>
        <w:ind w:firstLine="0"/>
        <w:rPr>
          <w:color w:val="auto"/>
        </w:rPr>
      </w:pPr>
      <w:r w:rsidRPr="002207FE">
        <w:rPr>
          <w:b/>
          <w:color w:val="auto"/>
        </w:rPr>
        <w:t>Séptimo.</w:t>
      </w:r>
      <w:r w:rsidRPr="002207FE">
        <w:rPr>
          <w:color w:val="auto"/>
        </w:rPr>
        <w:t xml:space="preserve"> La clasificación de la información se llevará a cabo en el momento en que:</w:t>
      </w:r>
    </w:p>
    <w:p w14:paraId="155A820C" w14:textId="77777777" w:rsidR="003B3CD6" w:rsidRPr="002207FE" w:rsidRDefault="004C3B66" w:rsidP="002207FE">
      <w:pPr>
        <w:pStyle w:val="Puesto"/>
        <w:ind w:firstLine="0"/>
        <w:rPr>
          <w:color w:val="auto"/>
        </w:rPr>
      </w:pPr>
      <w:r w:rsidRPr="002207FE">
        <w:rPr>
          <w:color w:val="auto"/>
        </w:rPr>
        <w:t>I.        Se reciba una solicitud de acceso a la información;</w:t>
      </w:r>
    </w:p>
    <w:p w14:paraId="4C3BCDEA" w14:textId="77777777" w:rsidR="003B3CD6" w:rsidRPr="002207FE" w:rsidRDefault="004C3B66" w:rsidP="002207FE">
      <w:pPr>
        <w:pStyle w:val="Puesto"/>
        <w:ind w:firstLine="0"/>
        <w:rPr>
          <w:color w:val="auto"/>
        </w:rPr>
      </w:pPr>
      <w:r w:rsidRPr="002207FE">
        <w:rPr>
          <w:color w:val="auto"/>
        </w:rPr>
        <w:t>II.       Se determine mediante resolución del Comité de Transparencia, el órgano garante competente, o en cumplimiento a una sentencia del Poder Judicial; o</w:t>
      </w:r>
    </w:p>
    <w:p w14:paraId="2D5775C2" w14:textId="77777777" w:rsidR="003B3CD6" w:rsidRPr="002207FE" w:rsidRDefault="004C3B66" w:rsidP="002207FE">
      <w:pPr>
        <w:pStyle w:val="Puesto"/>
        <w:ind w:firstLine="0"/>
        <w:rPr>
          <w:color w:val="auto"/>
        </w:rPr>
      </w:pPr>
      <w:r w:rsidRPr="002207FE">
        <w:rPr>
          <w:color w:val="auto"/>
        </w:rPr>
        <w:t>III.      Se generen versiones públicas para dar cumplimiento a las obligaciones de transparencia previstas en la Ley General, la Ley Federal y las correspondientes de las entidades federativas.</w:t>
      </w:r>
    </w:p>
    <w:p w14:paraId="0F4D4E99" w14:textId="77777777" w:rsidR="003B3CD6" w:rsidRPr="002207FE" w:rsidRDefault="004C3B66" w:rsidP="002207FE">
      <w:pPr>
        <w:pStyle w:val="Puesto"/>
        <w:ind w:firstLine="0"/>
        <w:rPr>
          <w:color w:val="auto"/>
        </w:rPr>
      </w:pPr>
      <w:r w:rsidRPr="002207FE">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23CD0320" w14:textId="77777777" w:rsidR="003B3CD6" w:rsidRPr="002207FE" w:rsidRDefault="003B3CD6" w:rsidP="002207FE">
      <w:pPr>
        <w:pStyle w:val="Puesto"/>
        <w:ind w:firstLine="0"/>
        <w:rPr>
          <w:color w:val="auto"/>
        </w:rPr>
      </w:pPr>
    </w:p>
    <w:p w14:paraId="0AFD974E" w14:textId="77777777" w:rsidR="003B3CD6" w:rsidRPr="002207FE" w:rsidRDefault="004C3B66" w:rsidP="002207FE">
      <w:pPr>
        <w:pStyle w:val="Puesto"/>
        <w:ind w:firstLine="0"/>
        <w:rPr>
          <w:color w:val="auto"/>
        </w:rPr>
      </w:pPr>
      <w:r w:rsidRPr="002207FE">
        <w:rPr>
          <w:b/>
          <w:color w:val="auto"/>
        </w:rPr>
        <w:t>Octavo.</w:t>
      </w:r>
      <w:r w:rsidRPr="002207FE">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DA2330C" w14:textId="77777777" w:rsidR="003B3CD6" w:rsidRPr="002207FE" w:rsidRDefault="004C3B66" w:rsidP="002207FE">
      <w:pPr>
        <w:pStyle w:val="Puesto"/>
        <w:ind w:firstLine="0"/>
        <w:rPr>
          <w:color w:val="auto"/>
        </w:rPr>
      </w:pPr>
      <w:r w:rsidRPr="002207FE">
        <w:rPr>
          <w:color w:val="auto"/>
        </w:rPr>
        <w:t>Para motivar la clasificación se deberán señalar las razones o circunstancias especiales que lo llevaron a concluir que el caso particular se ajusta al supuesto previsto por la norma legal invocada como fundamento.</w:t>
      </w:r>
    </w:p>
    <w:p w14:paraId="128D378B" w14:textId="77777777" w:rsidR="003B3CD6" w:rsidRPr="002207FE" w:rsidRDefault="004C3B66" w:rsidP="002207FE">
      <w:pPr>
        <w:pStyle w:val="Puesto"/>
        <w:ind w:firstLine="0"/>
        <w:rPr>
          <w:color w:val="auto"/>
        </w:rPr>
      </w:pPr>
      <w:r w:rsidRPr="002207FE">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E987D5A" w14:textId="77777777" w:rsidR="003B3CD6" w:rsidRPr="002207FE" w:rsidRDefault="003B3CD6" w:rsidP="002207FE">
      <w:pPr>
        <w:pStyle w:val="Puesto"/>
        <w:ind w:firstLine="0"/>
        <w:rPr>
          <w:color w:val="auto"/>
        </w:rPr>
      </w:pPr>
    </w:p>
    <w:p w14:paraId="4B0DC5D4" w14:textId="77777777" w:rsidR="003B3CD6" w:rsidRPr="002207FE" w:rsidRDefault="004C3B66" w:rsidP="002207FE">
      <w:pPr>
        <w:pStyle w:val="Puesto"/>
        <w:ind w:firstLine="0"/>
        <w:rPr>
          <w:color w:val="auto"/>
        </w:rPr>
      </w:pPr>
      <w:r w:rsidRPr="002207FE">
        <w:rPr>
          <w:b/>
          <w:color w:val="auto"/>
        </w:rPr>
        <w:t>Noveno.</w:t>
      </w:r>
      <w:r w:rsidRPr="002207FE">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A6B3193" w14:textId="77777777" w:rsidR="003B3CD6" w:rsidRPr="002207FE" w:rsidRDefault="003B3CD6" w:rsidP="002207FE">
      <w:pPr>
        <w:pStyle w:val="Puesto"/>
        <w:ind w:firstLine="0"/>
        <w:rPr>
          <w:color w:val="auto"/>
        </w:rPr>
      </w:pPr>
    </w:p>
    <w:p w14:paraId="2D59D342" w14:textId="77777777" w:rsidR="003B3CD6" w:rsidRPr="002207FE" w:rsidRDefault="004C3B66" w:rsidP="002207FE">
      <w:pPr>
        <w:pStyle w:val="Puesto"/>
        <w:ind w:firstLine="0"/>
        <w:rPr>
          <w:color w:val="auto"/>
        </w:rPr>
      </w:pPr>
      <w:r w:rsidRPr="002207FE">
        <w:rPr>
          <w:b/>
          <w:color w:val="auto"/>
        </w:rPr>
        <w:t>Décimo.</w:t>
      </w:r>
      <w:r w:rsidRPr="002207FE">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6A0A524E" w14:textId="77777777" w:rsidR="003B3CD6" w:rsidRPr="002207FE" w:rsidRDefault="004C3B66" w:rsidP="002207FE">
      <w:pPr>
        <w:pStyle w:val="Puesto"/>
        <w:ind w:firstLine="0"/>
        <w:rPr>
          <w:color w:val="auto"/>
        </w:rPr>
      </w:pPr>
      <w:r w:rsidRPr="002207FE">
        <w:rPr>
          <w:color w:val="auto"/>
        </w:rPr>
        <w:t>En ausencia de los titulares de las áreas, la información será clasificada o desclasificada por la persona que lo supla, en términos de la normativa que rija la actuación del sujeto obligado.</w:t>
      </w:r>
    </w:p>
    <w:p w14:paraId="2904778B" w14:textId="77777777" w:rsidR="003B3CD6" w:rsidRPr="002207FE" w:rsidRDefault="004C3B66" w:rsidP="002207FE">
      <w:pPr>
        <w:pStyle w:val="Puesto"/>
        <w:ind w:firstLine="0"/>
        <w:rPr>
          <w:color w:val="auto"/>
        </w:rPr>
      </w:pPr>
      <w:r w:rsidRPr="002207FE">
        <w:rPr>
          <w:b/>
          <w:color w:val="auto"/>
        </w:rPr>
        <w:lastRenderedPageBreak/>
        <w:t xml:space="preserve">Décimo primero. </w:t>
      </w:r>
      <w:r w:rsidRPr="002207FE">
        <w:rPr>
          <w:color w:val="auto"/>
        </w:rPr>
        <w:t>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B6AD6FB" w14:textId="77777777" w:rsidR="003B3CD6" w:rsidRPr="002207FE" w:rsidRDefault="003B3CD6" w:rsidP="002207FE"/>
    <w:p w14:paraId="3CC61999" w14:textId="77777777" w:rsidR="003B3CD6" w:rsidRPr="002207FE" w:rsidRDefault="004C3B66" w:rsidP="002207FE">
      <w:r w:rsidRPr="002207FE">
        <w:t xml:space="preserve">Consecuentemente, se destaca que la versión pública que elabore </w:t>
      </w:r>
      <w:r w:rsidRPr="002207FE">
        <w:rPr>
          <w:b/>
        </w:rPr>
        <w:t>EL SUJETO OBLIGADO</w:t>
      </w:r>
      <w:r w:rsidRPr="002207FE">
        <w:t xml:space="preserve"> debe cumplir con las formalidades exigidas en la Ley, por lo que para tal efecto emitirá el </w:t>
      </w:r>
      <w:r w:rsidRPr="002207FE">
        <w:rPr>
          <w:b/>
        </w:rPr>
        <w:t>Acuerdo del Comité de Transparencia</w:t>
      </w:r>
      <w:r w:rsidRPr="002207FE">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6F292561" w14:textId="77777777" w:rsidR="00916325" w:rsidRPr="002207FE" w:rsidRDefault="00916325" w:rsidP="002207FE"/>
    <w:p w14:paraId="1CAD3658" w14:textId="77777777" w:rsidR="00916325" w:rsidRPr="002207FE" w:rsidRDefault="00916325" w:rsidP="002207FE">
      <w:r w:rsidRPr="002207FE">
        <w:t>Es importante señalar que, para el caso en concreto, se deben tomar en consideración adicional  a lo anterior, los siguientes criterios respecto a la información que debe ser, o no, clasificada como confidencial:</w:t>
      </w:r>
    </w:p>
    <w:p w14:paraId="1F4584C4" w14:textId="77777777" w:rsidR="00AE461B" w:rsidRPr="002207FE" w:rsidRDefault="00AE461B" w:rsidP="002207FE"/>
    <w:p w14:paraId="5526EFC1" w14:textId="5F91D8D7" w:rsidR="004A794D" w:rsidRPr="002207FE" w:rsidRDefault="00AE461B" w:rsidP="002207FE">
      <w:pPr>
        <w:pStyle w:val="Prrafodelista"/>
        <w:numPr>
          <w:ilvl w:val="0"/>
          <w:numId w:val="45"/>
        </w:numPr>
        <w:rPr>
          <w:b/>
          <w:bCs/>
        </w:rPr>
      </w:pPr>
      <w:r w:rsidRPr="002207FE">
        <w:rPr>
          <w:b/>
          <w:bCs/>
        </w:rPr>
        <w:t>Registro Federal de Contribuyentes:</w:t>
      </w:r>
    </w:p>
    <w:p w14:paraId="542C057D" w14:textId="77777777" w:rsidR="00AE461B" w:rsidRPr="002207FE" w:rsidRDefault="00AE461B" w:rsidP="002207FE"/>
    <w:p w14:paraId="035FE339" w14:textId="77777777" w:rsidR="004A794D" w:rsidRPr="002207FE" w:rsidRDefault="004A794D" w:rsidP="002207FE">
      <w:r w:rsidRPr="002207FE">
        <w:t xml:space="preserve">Por cuanto hace al </w:t>
      </w:r>
      <w:r w:rsidRPr="002207FE">
        <w:rPr>
          <w:b/>
          <w:bCs/>
        </w:rPr>
        <w:t>Registro Federal de Contribuyentes</w:t>
      </w:r>
      <w:r w:rsidRPr="002207FE">
        <w:t xml:space="preserve"> de las personas físicas, constituye un dato personal, pues se genera con caracteres alfanuméricos a partir del nombre y la fecha de nacimiento de cada persona, y finalmente la homoclave, por lo que para su obtención es </w:t>
      </w:r>
      <w:r w:rsidRPr="002207FE">
        <w:lastRenderedPageBreak/>
        <w:t>necesario acreditar ante la autoridad fiscal previamente la identidad de la persona, su fecha de nacimiento, entre otros aspectos.</w:t>
      </w:r>
    </w:p>
    <w:p w14:paraId="109CA6F3" w14:textId="77777777" w:rsidR="004A794D" w:rsidRPr="002207FE" w:rsidRDefault="004A794D" w:rsidP="002207FE"/>
    <w:p w14:paraId="64BD7651" w14:textId="77777777" w:rsidR="004A794D" w:rsidRPr="002207FE" w:rsidRDefault="004A794D" w:rsidP="002207FE">
      <w:r w:rsidRPr="002207FE">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370EA8D" w14:textId="77777777" w:rsidR="004A794D" w:rsidRPr="002207FE" w:rsidRDefault="004A794D" w:rsidP="002207FE">
      <w:r w:rsidRPr="002207FE">
        <w:t>Lo anterior es compartido por el Instituto Nacional de Transparencia, Acceso a la Información y Protección de Datos Personales, INAI, a través del Criterio 19/17, el cual es del tenor literal siguiente:</w:t>
      </w:r>
    </w:p>
    <w:p w14:paraId="2DE2F6FE" w14:textId="77777777" w:rsidR="004A794D" w:rsidRPr="002207FE" w:rsidRDefault="004A794D" w:rsidP="002207FE">
      <w:pPr>
        <w:spacing w:line="240" w:lineRule="auto"/>
      </w:pPr>
    </w:p>
    <w:p w14:paraId="772A4AF5" w14:textId="77777777" w:rsidR="004A794D" w:rsidRPr="002207FE" w:rsidRDefault="004A794D" w:rsidP="002207FE">
      <w:pPr>
        <w:spacing w:line="240" w:lineRule="auto"/>
        <w:ind w:left="851" w:right="616"/>
        <w:rPr>
          <w:i/>
        </w:rPr>
      </w:pPr>
      <w:r w:rsidRPr="002207FE">
        <w:rPr>
          <w:b/>
          <w:i/>
        </w:rPr>
        <w:t>“Registro Federal de Contribuyentes (RFC) de personas físicas</w:t>
      </w:r>
      <w:r w:rsidRPr="002207FE">
        <w:rPr>
          <w:i/>
        </w:rPr>
        <w:t>. El RFC es una clave de carácter fiscal, única e irrepetible, que permite identificar al titular, su edad y fecha de nacimiento, por lo que es un dato personal de carácter confidencial.”</w:t>
      </w:r>
    </w:p>
    <w:p w14:paraId="2C8A8D4B" w14:textId="77777777" w:rsidR="004A794D" w:rsidRPr="002207FE" w:rsidRDefault="004A794D" w:rsidP="002207FE">
      <w:pPr>
        <w:ind w:left="851" w:right="616"/>
        <w:rPr>
          <w:i/>
        </w:rPr>
      </w:pPr>
    </w:p>
    <w:p w14:paraId="5A5B4C7D" w14:textId="77777777" w:rsidR="004A794D" w:rsidRPr="002207FE" w:rsidRDefault="004A794D" w:rsidP="002207FE">
      <w:r w:rsidRPr="002207FE">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7B9233DE" w14:textId="77777777" w:rsidR="004A794D" w:rsidRPr="002207FE" w:rsidRDefault="004A794D" w:rsidP="002207FE">
      <w:pPr>
        <w:pBdr>
          <w:top w:val="nil"/>
          <w:left w:val="nil"/>
          <w:bottom w:val="nil"/>
          <w:right w:val="nil"/>
          <w:between w:val="nil"/>
        </w:pBdr>
        <w:ind w:right="-25"/>
      </w:pPr>
    </w:p>
    <w:p w14:paraId="32DCD166" w14:textId="77777777" w:rsidR="004A794D" w:rsidRPr="002207FE" w:rsidRDefault="004A794D" w:rsidP="002207FE">
      <w:pPr>
        <w:pBdr>
          <w:top w:val="nil"/>
          <w:left w:val="nil"/>
          <w:bottom w:val="nil"/>
          <w:right w:val="nil"/>
          <w:between w:val="nil"/>
        </w:pBdr>
        <w:ind w:right="-25"/>
      </w:pPr>
      <w:r w:rsidRPr="002207FE">
        <w:t xml:space="preserve">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 </w:t>
      </w:r>
    </w:p>
    <w:p w14:paraId="5C59F25F" w14:textId="763EBFCF" w:rsidR="004A794D" w:rsidRPr="002207FE" w:rsidRDefault="00AE461B" w:rsidP="002207FE">
      <w:pPr>
        <w:pStyle w:val="Prrafodelista"/>
        <w:numPr>
          <w:ilvl w:val="0"/>
          <w:numId w:val="45"/>
        </w:numPr>
        <w:pBdr>
          <w:top w:val="nil"/>
          <w:left w:val="nil"/>
          <w:bottom w:val="nil"/>
          <w:right w:val="nil"/>
          <w:between w:val="nil"/>
        </w:pBdr>
        <w:ind w:right="-25"/>
        <w:rPr>
          <w:b/>
          <w:bCs/>
        </w:rPr>
      </w:pPr>
      <w:r w:rsidRPr="002207FE">
        <w:rPr>
          <w:b/>
          <w:bCs/>
        </w:rPr>
        <w:lastRenderedPageBreak/>
        <w:t>Clave Única de Registro de Población, CURP:</w:t>
      </w:r>
    </w:p>
    <w:p w14:paraId="6763C31C" w14:textId="77777777" w:rsidR="00AE461B" w:rsidRPr="002207FE" w:rsidRDefault="00AE461B" w:rsidP="002207FE">
      <w:pPr>
        <w:pBdr>
          <w:top w:val="nil"/>
          <w:left w:val="nil"/>
          <w:bottom w:val="nil"/>
          <w:right w:val="nil"/>
          <w:between w:val="nil"/>
        </w:pBdr>
        <w:ind w:right="-25"/>
      </w:pPr>
    </w:p>
    <w:p w14:paraId="01B408D2" w14:textId="77777777" w:rsidR="004A794D" w:rsidRPr="002207FE" w:rsidRDefault="004A794D" w:rsidP="002207FE">
      <w:r w:rsidRPr="002207FE">
        <w:t xml:space="preserve">De la </w:t>
      </w:r>
      <w:r w:rsidRPr="002207FE">
        <w:rPr>
          <w:bCs/>
        </w:rPr>
        <w:t>Clave Única de Registro de Población, CURP</w:t>
      </w:r>
      <w:r w:rsidRPr="002207FE">
        <w:t>, se tiene que 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72C31FC0" w14:textId="77777777" w:rsidR="004A794D" w:rsidRPr="002207FE" w:rsidRDefault="004A794D" w:rsidP="002207FE"/>
    <w:p w14:paraId="42A6032F" w14:textId="77777777" w:rsidR="004A794D" w:rsidRPr="002207FE" w:rsidRDefault="004A794D" w:rsidP="002207FE">
      <w:r w:rsidRPr="002207FE">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75D50B58" w14:textId="77777777" w:rsidR="004A794D" w:rsidRPr="002207FE" w:rsidRDefault="004A794D" w:rsidP="002207FE"/>
    <w:p w14:paraId="0921370B" w14:textId="77777777" w:rsidR="004A794D" w:rsidRPr="002207FE" w:rsidRDefault="004A794D" w:rsidP="002207FE">
      <w:r w:rsidRPr="002207FE">
        <w:t xml:space="preserve">En ese orden de ideas, la Secretaría de Gobernación en las direcciones </w:t>
      </w:r>
      <w:hyperlink r:id="rId13" w:history="1">
        <w:r w:rsidRPr="002207FE">
          <w:rPr>
            <w:rStyle w:val="Hipervnculo"/>
            <w:color w:val="auto"/>
          </w:rPr>
          <w:t>https://consultas.curp.gob.mx/CurpSP/html/informacionecurpPS.html</w:t>
        </w:r>
      </w:hyperlink>
      <w:r w:rsidRPr="002207FE">
        <w:t xml:space="preserve"> y </w:t>
      </w:r>
      <w:hyperlink r:id="rId14" w:history="1">
        <w:r w:rsidRPr="002207FE">
          <w:rPr>
            <w:rStyle w:val="Hipervnculo"/>
            <w:color w:val="auto"/>
          </w:rPr>
          <w:t>https://www.gob.mx/segob/renapo/acciones-y-programas/clave-unica-de-registro-de-poblacion-curp-142226</w:t>
        </w:r>
      </w:hyperlink>
      <w:r w:rsidRPr="002207FE">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2207FE">
        <w:rPr>
          <w:b/>
        </w:rPr>
        <w:t>se generan a partir de los datos contenidos en el documento probatorio de la identidad</w:t>
      </w:r>
      <w:r w:rsidRPr="002207FE">
        <w:t xml:space="preserve"> </w:t>
      </w:r>
      <w:r w:rsidRPr="002207FE">
        <w:rPr>
          <w:b/>
        </w:rPr>
        <w:t xml:space="preserve">del interesado </w:t>
      </w:r>
      <w:r w:rsidRPr="002207FE">
        <w:t>(acta de nacimiento, carta de naturalización o documento migratorio) de la siguiente forma:</w:t>
      </w:r>
    </w:p>
    <w:p w14:paraId="5A494F13" w14:textId="77777777" w:rsidR="004A794D" w:rsidRPr="002207FE" w:rsidRDefault="004A794D" w:rsidP="002207FE"/>
    <w:p w14:paraId="496B80F1" w14:textId="77777777" w:rsidR="004A794D" w:rsidRPr="002207FE" w:rsidRDefault="004A794D" w:rsidP="002207FE">
      <w:pPr>
        <w:numPr>
          <w:ilvl w:val="0"/>
          <w:numId w:val="36"/>
        </w:numPr>
      </w:pPr>
      <w:r w:rsidRPr="002207FE">
        <w:t>El primero y segundo apellidos, así como al nombre de pila;</w:t>
      </w:r>
    </w:p>
    <w:p w14:paraId="3C3E6CC0" w14:textId="77777777" w:rsidR="004A794D" w:rsidRPr="002207FE" w:rsidRDefault="004A794D" w:rsidP="002207FE">
      <w:pPr>
        <w:numPr>
          <w:ilvl w:val="0"/>
          <w:numId w:val="36"/>
        </w:numPr>
      </w:pPr>
      <w:r w:rsidRPr="002207FE">
        <w:lastRenderedPageBreak/>
        <w:t>La fecha de nacimiento;</w:t>
      </w:r>
    </w:p>
    <w:p w14:paraId="41DEDB5D" w14:textId="77777777" w:rsidR="004A794D" w:rsidRPr="002207FE" w:rsidRDefault="004A794D" w:rsidP="002207FE">
      <w:pPr>
        <w:numPr>
          <w:ilvl w:val="0"/>
          <w:numId w:val="36"/>
        </w:numPr>
      </w:pPr>
      <w:r w:rsidRPr="002207FE">
        <w:t>El sexo, y</w:t>
      </w:r>
    </w:p>
    <w:p w14:paraId="1D9261EB" w14:textId="77777777" w:rsidR="004A794D" w:rsidRPr="002207FE" w:rsidRDefault="004A794D" w:rsidP="002207FE">
      <w:pPr>
        <w:numPr>
          <w:ilvl w:val="0"/>
          <w:numId w:val="36"/>
        </w:numPr>
      </w:pPr>
      <w:r w:rsidRPr="002207FE">
        <w:t>La entidad federativa de nacimiento.</w:t>
      </w:r>
    </w:p>
    <w:p w14:paraId="13C333C3" w14:textId="77777777" w:rsidR="004A794D" w:rsidRPr="002207FE" w:rsidRDefault="004A794D" w:rsidP="002207FE"/>
    <w:p w14:paraId="42A58CF1" w14:textId="77777777" w:rsidR="004A794D" w:rsidRPr="002207FE" w:rsidRDefault="004A794D" w:rsidP="002207FE">
      <w:r w:rsidRPr="002207FE">
        <w:t>Los dos últimos elementos de la Clave Única de Registro de Población evitan la duplicidad de la Clave y garantizan su correcta integración.</w:t>
      </w:r>
    </w:p>
    <w:p w14:paraId="641CCFDE" w14:textId="77777777" w:rsidR="004A794D" w:rsidRPr="002207FE" w:rsidRDefault="004A794D" w:rsidP="002207FE"/>
    <w:p w14:paraId="405F5B14" w14:textId="77777777" w:rsidR="004A794D" w:rsidRPr="002207FE" w:rsidRDefault="004A794D" w:rsidP="002207FE">
      <w:r w:rsidRPr="002207FE">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535E988" w14:textId="77777777" w:rsidR="004A794D" w:rsidRPr="002207FE" w:rsidRDefault="004A794D" w:rsidP="002207FE"/>
    <w:p w14:paraId="204CC307" w14:textId="77777777" w:rsidR="004A794D" w:rsidRPr="002207FE" w:rsidRDefault="004A794D" w:rsidP="002207FE">
      <w:r w:rsidRPr="002207FE">
        <w:t>Situación que se robustece, con el Criterio de Interpretación, de la Segunda Época, con número de registro SO/018/2017, emitido por el entonces Instituto Nacional de Transparencia, Acceso a la Información y Protección de Datos Personales, que establece lo siguiente:</w:t>
      </w:r>
    </w:p>
    <w:p w14:paraId="3BE294FF" w14:textId="77777777" w:rsidR="004A794D" w:rsidRPr="002207FE" w:rsidRDefault="004A794D" w:rsidP="002207FE"/>
    <w:p w14:paraId="7E7ACFFA" w14:textId="77777777" w:rsidR="004A794D" w:rsidRPr="002207FE" w:rsidRDefault="004A794D" w:rsidP="002207FE">
      <w:pPr>
        <w:pStyle w:val="Puesto"/>
        <w:ind w:firstLine="0"/>
        <w:rPr>
          <w:color w:val="auto"/>
        </w:rPr>
      </w:pPr>
      <w:r w:rsidRPr="002207FE">
        <w:rPr>
          <w:b/>
          <w:color w:val="auto"/>
        </w:rPr>
        <w:t xml:space="preserve">“Clave Única de Registro de Población (CURP). </w:t>
      </w:r>
      <w:r w:rsidRPr="002207FE">
        <w:rPr>
          <w:color w:val="auto"/>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889A5C0" w14:textId="77777777" w:rsidR="004A794D" w:rsidRPr="002207FE" w:rsidRDefault="004A794D" w:rsidP="002207FE"/>
    <w:p w14:paraId="63A8A15F" w14:textId="77777777" w:rsidR="004A794D" w:rsidRPr="002207FE" w:rsidRDefault="004A794D" w:rsidP="002207FE">
      <w:r w:rsidRPr="002207FE">
        <w:t xml:space="preserve">De acuerdo con lo anterior, resulta procedente la clasificación de la Clave Única de Registro de Población, por tratarse de un dato personal confidencial, en términos del artículo 143, </w:t>
      </w:r>
      <w:r w:rsidRPr="002207FE">
        <w:lastRenderedPageBreak/>
        <w:t>fracción I, de la Ley de Transparencia y Acceso a la Información Pública del Estado de México y Municipios.</w:t>
      </w:r>
    </w:p>
    <w:p w14:paraId="65669543" w14:textId="77777777" w:rsidR="00815238" w:rsidRPr="002207FE" w:rsidRDefault="00815238" w:rsidP="002207FE"/>
    <w:p w14:paraId="614EF343" w14:textId="4B2A14F5" w:rsidR="00815238" w:rsidRPr="002207FE" w:rsidRDefault="00815238" w:rsidP="002207FE">
      <w:pPr>
        <w:pStyle w:val="Prrafodelista"/>
        <w:numPr>
          <w:ilvl w:val="0"/>
          <w:numId w:val="45"/>
        </w:numPr>
        <w:pBdr>
          <w:top w:val="nil"/>
          <w:left w:val="nil"/>
          <w:bottom w:val="nil"/>
          <w:right w:val="nil"/>
          <w:between w:val="nil"/>
        </w:pBdr>
        <w:ind w:right="-25"/>
        <w:rPr>
          <w:b/>
          <w:bCs/>
        </w:rPr>
      </w:pPr>
      <w:r w:rsidRPr="002207FE">
        <w:rPr>
          <w:b/>
        </w:rPr>
        <w:t>Clave ISSEMYM</w:t>
      </w:r>
      <w:r w:rsidRPr="002207FE">
        <w:rPr>
          <w:b/>
          <w:bCs/>
        </w:rPr>
        <w:t>:</w:t>
      </w:r>
    </w:p>
    <w:p w14:paraId="5743A58F" w14:textId="77777777" w:rsidR="004A794D" w:rsidRPr="002207FE" w:rsidRDefault="004A794D" w:rsidP="002207FE"/>
    <w:p w14:paraId="593335F1" w14:textId="77777777" w:rsidR="004A794D" w:rsidRPr="002207FE" w:rsidRDefault="004A794D" w:rsidP="002207FE">
      <w:r w:rsidRPr="002207FE">
        <w:t xml:space="preserve">De la </w:t>
      </w:r>
      <w:r w:rsidRPr="002207FE">
        <w:rPr>
          <w:b/>
        </w:rPr>
        <w:t xml:space="preserve">Clave ISSEMYM, </w:t>
      </w:r>
      <w:r w:rsidRPr="002207FE">
        <w:rPr>
          <w:bCs/>
        </w:rPr>
        <w:t xml:space="preserve">el </w:t>
      </w:r>
      <w:r w:rsidRPr="002207FE">
        <w:t xml:space="preserve">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 </w:t>
      </w:r>
    </w:p>
    <w:p w14:paraId="1CA933F9" w14:textId="77777777" w:rsidR="004A794D" w:rsidRPr="002207FE" w:rsidRDefault="004A794D" w:rsidP="002207FE"/>
    <w:p w14:paraId="223B8DA2" w14:textId="77777777" w:rsidR="004A794D" w:rsidRPr="002207FE" w:rsidRDefault="004A794D" w:rsidP="002207FE">
      <w:r w:rsidRPr="002207FE">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ISSEMYM. </w:t>
      </w:r>
    </w:p>
    <w:p w14:paraId="61B53FD7" w14:textId="77777777" w:rsidR="004A794D" w:rsidRPr="002207FE" w:rsidRDefault="004A794D" w:rsidP="002207FE"/>
    <w:p w14:paraId="015EF998" w14:textId="77777777" w:rsidR="004A794D" w:rsidRPr="002207FE" w:rsidRDefault="004A794D" w:rsidP="002207FE">
      <w:r w:rsidRPr="002207FE">
        <w:t xml:space="preserve">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 </w:t>
      </w:r>
    </w:p>
    <w:p w14:paraId="3399F192" w14:textId="77777777" w:rsidR="004A794D" w:rsidRPr="002207FE" w:rsidRDefault="004A794D" w:rsidP="002207FE"/>
    <w:p w14:paraId="33D52E1B" w14:textId="77777777" w:rsidR="004A794D" w:rsidRPr="002207FE" w:rsidRDefault="004A794D" w:rsidP="002207FE">
      <w:r w:rsidRPr="002207FE">
        <w:lastRenderedPageBreak/>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14568C67" w14:textId="77777777" w:rsidR="004A794D" w:rsidRPr="002207FE" w:rsidRDefault="004A794D" w:rsidP="002207FE">
      <w:pPr>
        <w:pStyle w:val="Prrafodelista"/>
        <w:ind w:left="0"/>
        <w:rPr>
          <w:bCs/>
        </w:rPr>
      </w:pPr>
    </w:p>
    <w:p w14:paraId="2872DBE3" w14:textId="0DE53DEE" w:rsidR="00815238" w:rsidRPr="002207FE" w:rsidRDefault="00815238" w:rsidP="002207FE">
      <w:pPr>
        <w:pStyle w:val="Prrafodelista"/>
        <w:numPr>
          <w:ilvl w:val="0"/>
          <w:numId w:val="45"/>
        </w:numPr>
        <w:rPr>
          <w:b/>
        </w:rPr>
      </w:pPr>
      <w:r w:rsidRPr="002207FE">
        <w:rPr>
          <w:b/>
        </w:rPr>
        <w:t>Deducciones:</w:t>
      </w:r>
    </w:p>
    <w:p w14:paraId="1AC196E2" w14:textId="77777777" w:rsidR="00815238" w:rsidRPr="002207FE" w:rsidRDefault="00815238" w:rsidP="002207FE">
      <w:pPr>
        <w:pStyle w:val="Prrafodelista"/>
        <w:ind w:left="0"/>
        <w:rPr>
          <w:bCs/>
        </w:rPr>
      </w:pPr>
    </w:p>
    <w:p w14:paraId="57550B4B" w14:textId="77777777" w:rsidR="004A794D" w:rsidRPr="002207FE" w:rsidRDefault="004A794D" w:rsidP="002207FE">
      <w:r w:rsidRPr="002207FE">
        <w:t xml:space="preserve">Respecto de los </w:t>
      </w:r>
      <w:r w:rsidRPr="002207FE">
        <w:rPr>
          <w:b/>
        </w:rPr>
        <w:t>préstamos o descuentos</w:t>
      </w:r>
      <w:r w:rsidRPr="002207FE">
        <w:t xml:space="preserve"> </w:t>
      </w:r>
      <w:r w:rsidRPr="002207FE">
        <w:rPr>
          <w:b/>
        </w:rPr>
        <w:t>de carácter personal</w:t>
      </w:r>
      <w:r w:rsidRPr="002207FE">
        <w:t>,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749F2375" w14:textId="77777777" w:rsidR="004A794D" w:rsidRPr="002207FE" w:rsidRDefault="004A794D" w:rsidP="002207FE"/>
    <w:p w14:paraId="1820348B" w14:textId="77777777" w:rsidR="004A794D" w:rsidRPr="002207FE" w:rsidRDefault="004A794D" w:rsidP="002207FE">
      <w:pPr>
        <w:pBdr>
          <w:top w:val="nil"/>
          <w:left w:val="nil"/>
          <w:bottom w:val="nil"/>
          <w:right w:val="nil"/>
          <w:between w:val="nil"/>
        </w:pBdr>
      </w:pPr>
      <w:r w:rsidRPr="002207FE">
        <w:t>Por cuanto hace a las deducciones, para entender los límites y alcances de esta restricción, es oportuno recurrir al artículo 84 de la Ley del Trabajo de los Servidores Públicos del Estado y Municipios:</w:t>
      </w:r>
    </w:p>
    <w:p w14:paraId="268C87D9" w14:textId="77777777" w:rsidR="004A794D" w:rsidRPr="002207FE" w:rsidRDefault="004A794D" w:rsidP="002207FE">
      <w:pPr>
        <w:pBdr>
          <w:top w:val="nil"/>
          <w:left w:val="nil"/>
          <w:bottom w:val="nil"/>
          <w:right w:val="nil"/>
          <w:between w:val="nil"/>
        </w:pBdr>
      </w:pPr>
    </w:p>
    <w:p w14:paraId="78445104" w14:textId="77777777" w:rsidR="004A794D" w:rsidRPr="002207FE" w:rsidRDefault="004A794D" w:rsidP="002207FE">
      <w:pPr>
        <w:pStyle w:val="Puesto"/>
        <w:ind w:firstLine="0"/>
        <w:rPr>
          <w:b/>
          <w:color w:val="auto"/>
        </w:rPr>
      </w:pPr>
      <w:r w:rsidRPr="002207FE">
        <w:rPr>
          <w:b/>
          <w:color w:val="auto"/>
        </w:rPr>
        <w:t xml:space="preserve">“ARTÍCULO 84. </w:t>
      </w:r>
      <w:r w:rsidRPr="002207FE">
        <w:rPr>
          <w:color w:val="auto"/>
        </w:rPr>
        <w:t>Sólo podrán hacerse retenciones, descuentos o deducciones al sueldo de los servidores públicos por concepto de:</w:t>
      </w:r>
    </w:p>
    <w:p w14:paraId="6FE507B4" w14:textId="77777777" w:rsidR="004A794D" w:rsidRPr="002207FE" w:rsidRDefault="004A794D" w:rsidP="002207FE">
      <w:pPr>
        <w:pStyle w:val="Puesto"/>
        <w:ind w:firstLine="0"/>
        <w:rPr>
          <w:color w:val="auto"/>
        </w:rPr>
      </w:pPr>
      <w:r w:rsidRPr="002207FE">
        <w:rPr>
          <w:color w:val="auto"/>
        </w:rPr>
        <w:t>I. Gravámenes fiscales relacionados con el sueldo;</w:t>
      </w:r>
    </w:p>
    <w:p w14:paraId="40656AF8" w14:textId="77777777" w:rsidR="004A794D" w:rsidRPr="002207FE" w:rsidRDefault="004A794D" w:rsidP="002207FE">
      <w:pPr>
        <w:pStyle w:val="Puesto"/>
        <w:ind w:firstLine="0"/>
        <w:rPr>
          <w:b/>
          <w:color w:val="auto"/>
        </w:rPr>
      </w:pPr>
      <w:r w:rsidRPr="002207FE">
        <w:rPr>
          <w:b/>
          <w:color w:val="auto"/>
        </w:rPr>
        <w:t>II. Deudas contraídas con las instituciones públicas o dependencias por concepto de anticipos de sueldo, pagos hechos con exceso, errores o pérdidas debidamente comprobados;</w:t>
      </w:r>
    </w:p>
    <w:p w14:paraId="0DC57933" w14:textId="77777777" w:rsidR="004A794D" w:rsidRPr="002207FE" w:rsidRDefault="004A794D" w:rsidP="002207FE">
      <w:pPr>
        <w:pStyle w:val="Puesto"/>
        <w:ind w:firstLine="0"/>
        <w:rPr>
          <w:color w:val="auto"/>
        </w:rPr>
      </w:pPr>
      <w:r w:rsidRPr="002207FE">
        <w:rPr>
          <w:color w:val="auto"/>
        </w:rPr>
        <w:t>III. Cuotas sindicales;</w:t>
      </w:r>
    </w:p>
    <w:p w14:paraId="6BC7497B" w14:textId="77777777" w:rsidR="004A794D" w:rsidRPr="002207FE" w:rsidRDefault="004A794D" w:rsidP="002207FE">
      <w:pPr>
        <w:pStyle w:val="Puesto"/>
        <w:ind w:firstLine="0"/>
        <w:rPr>
          <w:color w:val="auto"/>
        </w:rPr>
      </w:pPr>
      <w:r w:rsidRPr="002207FE">
        <w:rPr>
          <w:color w:val="auto"/>
        </w:rPr>
        <w:lastRenderedPageBreak/>
        <w:t>IV. Cuotas de aportación a fondos para la constitución de cooperativas y de cajas de ahorro, siempre que el servidor público hubiese manifestado previamente, de manera expresa, su conformidad;</w:t>
      </w:r>
    </w:p>
    <w:p w14:paraId="575AD71D" w14:textId="77777777" w:rsidR="004A794D" w:rsidRPr="002207FE" w:rsidRDefault="004A794D" w:rsidP="002207FE">
      <w:pPr>
        <w:pStyle w:val="Puesto"/>
        <w:ind w:firstLine="0"/>
        <w:rPr>
          <w:color w:val="auto"/>
        </w:rPr>
      </w:pPr>
      <w:r w:rsidRPr="002207FE">
        <w:rPr>
          <w:color w:val="auto"/>
        </w:rPr>
        <w:t>V. Descuentos ordenados por el Instituto de Seguridad Social del Estado de México y Municipios, con motivo de cuotas y obligaciones contraídas con éste por los servidores públicos;</w:t>
      </w:r>
    </w:p>
    <w:p w14:paraId="52FB4EDF" w14:textId="77777777" w:rsidR="004A794D" w:rsidRPr="002207FE" w:rsidRDefault="004A794D" w:rsidP="002207FE">
      <w:pPr>
        <w:pStyle w:val="Puesto"/>
        <w:ind w:firstLine="0"/>
        <w:rPr>
          <w:color w:val="auto"/>
        </w:rPr>
      </w:pPr>
      <w:r w:rsidRPr="002207FE">
        <w:rPr>
          <w:color w:val="auto"/>
        </w:rPr>
        <w:t>VI. Obligaciones a cargo del servidor público con las que haya consentido, derivadas de la adquisición o del uso de habitaciones consideradas como de interés social;</w:t>
      </w:r>
    </w:p>
    <w:p w14:paraId="0E0DAAF7" w14:textId="77777777" w:rsidR="004A794D" w:rsidRPr="002207FE" w:rsidRDefault="004A794D" w:rsidP="002207FE">
      <w:pPr>
        <w:pStyle w:val="Puesto"/>
        <w:ind w:firstLine="0"/>
        <w:rPr>
          <w:color w:val="auto"/>
        </w:rPr>
      </w:pPr>
      <w:r w:rsidRPr="002207FE">
        <w:rPr>
          <w:color w:val="auto"/>
        </w:rPr>
        <w:t>VII. Faltas de puntualidad o de asistencia injustificadas;</w:t>
      </w:r>
    </w:p>
    <w:p w14:paraId="3D647310" w14:textId="77777777" w:rsidR="004A794D" w:rsidRPr="002207FE" w:rsidRDefault="004A794D" w:rsidP="002207FE">
      <w:pPr>
        <w:pStyle w:val="Puesto"/>
        <w:ind w:firstLine="0"/>
        <w:rPr>
          <w:color w:val="auto"/>
        </w:rPr>
      </w:pPr>
      <w:r w:rsidRPr="002207FE">
        <w:rPr>
          <w:b/>
          <w:color w:val="auto"/>
        </w:rPr>
        <w:t>VIII. Pensiones alimenticias ordenadas por la autoridad judicial;</w:t>
      </w:r>
      <w:r w:rsidRPr="002207FE">
        <w:rPr>
          <w:color w:val="auto"/>
        </w:rPr>
        <w:t xml:space="preserve"> o</w:t>
      </w:r>
    </w:p>
    <w:p w14:paraId="519F0288" w14:textId="77777777" w:rsidR="004A794D" w:rsidRPr="002207FE" w:rsidRDefault="004A794D" w:rsidP="002207FE">
      <w:pPr>
        <w:pStyle w:val="Puesto"/>
        <w:ind w:firstLine="0"/>
        <w:rPr>
          <w:b/>
          <w:color w:val="auto"/>
        </w:rPr>
      </w:pPr>
      <w:r w:rsidRPr="002207FE">
        <w:rPr>
          <w:b/>
          <w:color w:val="auto"/>
        </w:rPr>
        <w:t>IX. Cualquier otro convenido con instituciones de servicios y aceptado por el servidor público.</w:t>
      </w:r>
    </w:p>
    <w:p w14:paraId="5C30ED74" w14:textId="77777777" w:rsidR="004A794D" w:rsidRPr="002207FE" w:rsidRDefault="004A794D" w:rsidP="002207FE">
      <w:pPr>
        <w:pStyle w:val="Puesto"/>
        <w:ind w:firstLine="0"/>
        <w:rPr>
          <w:color w:val="auto"/>
        </w:rPr>
      </w:pPr>
      <w:r w:rsidRPr="002207FE">
        <w:rPr>
          <w:color w:val="auto"/>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5C125102" w14:textId="77777777" w:rsidR="004A794D" w:rsidRPr="002207FE" w:rsidRDefault="004A794D" w:rsidP="002207FE">
      <w:pPr>
        <w:ind w:left="851" w:right="851"/>
        <w:rPr>
          <w:i/>
        </w:rPr>
      </w:pPr>
    </w:p>
    <w:p w14:paraId="45BA99B6" w14:textId="77777777" w:rsidR="004A794D" w:rsidRPr="002207FE" w:rsidRDefault="004A794D" w:rsidP="002207FE">
      <w:r w:rsidRPr="002207FE">
        <w:t>Conforme a lo anterior dichas deducciones, suelen ser obligatorias y dan cuenta, de que el Sujeto Obligado cumple con sus responsabilidades como patrón, relacionadas con la retención de parte del ingreso de sus trabajadores, para cubrir las deducciones genéricas y obligatorias.</w:t>
      </w:r>
    </w:p>
    <w:p w14:paraId="22A7A8BF" w14:textId="77777777" w:rsidR="004A794D" w:rsidRPr="002207FE" w:rsidRDefault="004A794D" w:rsidP="002207FE"/>
    <w:p w14:paraId="150161C2" w14:textId="77777777" w:rsidR="004A794D" w:rsidRPr="002207FE" w:rsidRDefault="004A794D" w:rsidP="002207FE">
      <w:r w:rsidRPr="002207FE">
        <w:t>Como se logra observar, dichas deducciones, son las renciones que realizan las dependencias y entidades, de manera obligatoria por estar establecidas en diversas leyes, como la Ley del Impuesto sobre la Renta y la Ley de Seguridad Social para los Servidores Públicos del Estado de México y Municipios (gravámenes fiscales), o bien, la Ley de Servidores Públicos del Estado de México y Municipios (descuentos por faltas o inasistencias).</w:t>
      </w:r>
    </w:p>
    <w:p w14:paraId="7110160E" w14:textId="77777777" w:rsidR="004A794D" w:rsidRPr="002207FE" w:rsidRDefault="004A794D" w:rsidP="002207FE"/>
    <w:p w14:paraId="112B1B56" w14:textId="77777777" w:rsidR="004A794D" w:rsidRPr="002207FE" w:rsidRDefault="004A794D" w:rsidP="002207FE">
      <w:r w:rsidRPr="002207FE">
        <w:t xml:space="preserve">Por tal circunstancia y toda vez, que las deducciones por Ley, son de carácter obligatorio y ayuda a rendir cuentas, de que </w:t>
      </w:r>
      <w:r w:rsidRPr="002207FE">
        <w:rPr>
          <w:b/>
        </w:rPr>
        <w:t>EL SUJETO OBLIGADO</w:t>
      </w:r>
      <w:r w:rsidRPr="002207FE">
        <w:t xml:space="preserve"> cumple con sus funciones de patrón, al retener determinado monto del sueldo de los servidores públicos, es que se considera que </w:t>
      </w:r>
      <w:r w:rsidRPr="002207FE">
        <w:lastRenderedPageBreak/>
        <w:t>son de naturaleza pública y, por lo tanto, no procede la clasificación, en términos del artículo 143, fracción I, de la Ley de Transparencia y Acceso a la Información Pública del Estado de México y Municipios.</w:t>
      </w:r>
    </w:p>
    <w:p w14:paraId="3DC47CA5" w14:textId="77777777" w:rsidR="004A794D" w:rsidRPr="002207FE" w:rsidRDefault="004A794D" w:rsidP="002207FE"/>
    <w:p w14:paraId="35EEADF1" w14:textId="77777777" w:rsidR="004A794D" w:rsidRPr="002207FE" w:rsidRDefault="004A794D" w:rsidP="002207FE">
      <w:pPr>
        <w:pBdr>
          <w:top w:val="nil"/>
          <w:left w:val="nil"/>
          <w:bottom w:val="nil"/>
          <w:right w:val="nil"/>
          <w:between w:val="nil"/>
        </w:pBdr>
      </w:pPr>
      <w:r w:rsidRPr="002207FE">
        <w:t>Tal es el caso del</w:t>
      </w:r>
      <w:r w:rsidRPr="002207FE">
        <w:rPr>
          <w:b/>
        </w:rPr>
        <w:t xml:space="preserve"> Sistema De Capitalización Individual (SCI), </w:t>
      </w:r>
      <w:r w:rsidRPr="002207FE">
        <w:t>la cual está contemplada en los artículos 84 y 115 de la Ley de Seguridad Social para los Servidores Públicos del Estado de México y Municipios, al formar parte de uno de los sistemas que conforma el sistema mixto de pensiones, al corresponder específicamente a una reserva de ahorro en favor de los servidores públicos para su retiro, la cual señala:</w:t>
      </w:r>
    </w:p>
    <w:p w14:paraId="2093D4E3" w14:textId="77777777" w:rsidR="004A794D" w:rsidRPr="002207FE" w:rsidRDefault="004A794D" w:rsidP="002207FE">
      <w:pPr>
        <w:pBdr>
          <w:top w:val="nil"/>
          <w:left w:val="nil"/>
          <w:bottom w:val="nil"/>
          <w:right w:val="nil"/>
          <w:between w:val="nil"/>
        </w:pBdr>
      </w:pPr>
    </w:p>
    <w:p w14:paraId="625AD63D" w14:textId="77777777" w:rsidR="004A794D" w:rsidRPr="002207FE" w:rsidRDefault="004A794D" w:rsidP="002207FE">
      <w:pPr>
        <w:spacing w:line="276" w:lineRule="auto"/>
        <w:ind w:left="567" w:right="900"/>
        <w:rPr>
          <w:i/>
        </w:rPr>
      </w:pPr>
      <w:r w:rsidRPr="002207FE">
        <w:rPr>
          <w:b/>
          <w:i/>
        </w:rPr>
        <w:t>“ARTICULO 84.-</w:t>
      </w:r>
      <w:r w:rsidRPr="002207FE">
        <w:rPr>
          <w:i/>
        </w:rPr>
        <w:t xml:space="preserve"> Las pensiones que otorga esta ley, se basan en un régimen mixto, siendo una parte de beneficios definidos denominado </w:t>
      </w:r>
      <w:r w:rsidRPr="002207FE">
        <w:rPr>
          <w:b/>
          <w:i/>
        </w:rPr>
        <w:t>sistema solidario de reparto y otra de contribuciones definidas denominado sistema de capitalización individual</w:t>
      </w:r>
      <w:r w:rsidRPr="002207FE">
        <w:rPr>
          <w:i/>
        </w:rPr>
        <w:t>.</w:t>
      </w:r>
    </w:p>
    <w:p w14:paraId="51D9D0D4" w14:textId="77777777" w:rsidR="004A794D" w:rsidRPr="002207FE" w:rsidRDefault="004A794D" w:rsidP="002207FE">
      <w:pPr>
        <w:spacing w:line="276" w:lineRule="auto"/>
        <w:ind w:left="567" w:right="900"/>
        <w:rPr>
          <w:i/>
        </w:rPr>
      </w:pPr>
    </w:p>
    <w:p w14:paraId="2C2D39B9" w14:textId="77777777" w:rsidR="004A794D" w:rsidRPr="002207FE" w:rsidRDefault="004A794D" w:rsidP="002207FE">
      <w:pPr>
        <w:spacing w:line="276" w:lineRule="auto"/>
        <w:ind w:left="567" w:right="900"/>
        <w:rPr>
          <w:i/>
        </w:rPr>
      </w:pPr>
      <w:r w:rsidRPr="002207FE">
        <w:rPr>
          <w:i/>
        </w:rPr>
        <w:t>El monto total para el financiamiento de pensiones de cada servidor público, es equivalente al 16.77% de su sueldo sujeto a cotización, del cual el 13.52% se aplicará al fondo del sistema solidario de reparto y el 3.25% al sistema de capitalización individual.</w:t>
      </w:r>
    </w:p>
    <w:p w14:paraId="5E0C267A" w14:textId="77777777" w:rsidR="004A794D" w:rsidRPr="002207FE" w:rsidRDefault="004A794D" w:rsidP="002207FE">
      <w:pPr>
        <w:spacing w:line="276" w:lineRule="auto"/>
        <w:ind w:left="567" w:right="900"/>
        <w:rPr>
          <w:i/>
        </w:rPr>
      </w:pPr>
      <w:r w:rsidRPr="002207FE">
        <w:rPr>
          <w:i/>
        </w:rPr>
        <w:t xml:space="preserve"> </w:t>
      </w:r>
      <w:r w:rsidRPr="002207FE">
        <w:rPr>
          <w:b/>
          <w:i/>
        </w:rPr>
        <w:t>ARTICULO 115.-</w:t>
      </w:r>
      <w:r w:rsidRPr="002207FE">
        <w:rPr>
          <w:i/>
        </w:rPr>
        <w:t xml:space="preserve"> Por sistema de capitalización individual se entiende aquel régimen cuyo financiamiento es determinado y su beneficio variable, por lo que sus fondos se constituirán en una reserva, cuyo saldo será siempre igual a la suma de las partes alícuotas reconocidas a cada uno de los servidores públicos participantes en el sistema.”</w:t>
      </w:r>
    </w:p>
    <w:p w14:paraId="132CFFF9" w14:textId="77777777" w:rsidR="004A794D" w:rsidRPr="002207FE" w:rsidRDefault="004A794D" w:rsidP="002207FE"/>
    <w:p w14:paraId="4064AB47" w14:textId="77777777" w:rsidR="004A794D" w:rsidRPr="002207FE" w:rsidRDefault="004A794D" w:rsidP="002207FE">
      <w:r w:rsidRPr="002207FE">
        <w:t>En esta misma disposición normativa, en los artículos 5 fracciones II, VII y VIII; 32, 34 y 35, dispone lo siguiente:</w:t>
      </w:r>
    </w:p>
    <w:p w14:paraId="710BA8FE" w14:textId="77777777" w:rsidR="004A794D" w:rsidRPr="002207FE" w:rsidRDefault="004A794D" w:rsidP="002207FE"/>
    <w:p w14:paraId="675F0F2F" w14:textId="77777777" w:rsidR="004A794D" w:rsidRPr="002207FE" w:rsidRDefault="004A794D" w:rsidP="002207FE">
      <w:pPr>
        <w:spacing w:line="276" w:lineRule="auto"/>
        <w:ind w:left="567" w:right="616"/>
        <w:rPr>
          <w:i/>
        </w:rPr>
      </w:pPr>
      <w:r w:rsidRPr="002207FE">
        <w:rPr>
          <w:i/>
        </w:rPr>
        <w:t>“</w:t>
      </w:r>
      <w:r w:rsidRPr="002207FE">
        <w:rPr>
          <w:b/>
          <w:i/>
        </w:rPr>
        <w:t>ARTÍCULO 5</w:t>
      </w:r>
      <w:r w:rsidRPr="002207FE">
        <w:rPr>
          <w:i/>
        </w:rPr>
        <w:t>.- Para los efectos de esta ley se entiende por:</w:t>
      </w:r>
    </w:p>
    <w:p w14:paraId="44D6621B" w14:textId="77777777" w:rsidR="004A794D" w:rsidRPr="002207FE" w:rsidRDefault="004A794D" w:rsidP="002207FE">
      <w:pPr>
        <w:spacing w:line="276" w:lineRule="auto"/>
        <w:ind w:left="567" w:right="616"/>
        <w:rPr>
          <w:i/>
        </w:rPr>
      </w:pPr>
      <w:r w:rsidRPr="002207FE">
        <w:rPr>
          <w:i/>
        </w:rPr>
        <w:t>…</w:t>
      </w:r>
    </w:p>
    <w:p w14:paraId="6F7E6C17" w14:textId="77777777" w:rsidR="004A794D" w:rsidRPr="002207FE" w:rsidRDefault="004A794D" w:rsidP="002207FE">
      <w:pPr>
        <w:spacing w:line="276" w:lineRule="auto"/>
        <w:ind w:left="567" w:right="616"/>
        <w:rPr>
          <w:i/>
        </w:rPr>
      </w:pPr>
      <w:r w:rsidRPr="002207FE">
        <w:rPr>
          <w:i/>
        </w:rPr>
        <w:lastRenderedPageBreak/>
        <w:t>II. Institución pública, a los poderes públicos del estado, los ayuntamientos de los municipios y los tribunales administrativos, así como los organismos auxiliares y fideicomisos públicos de carácter estatal y municipal;</w:t>
      </w:r>
    </w:p>
    <w:p w14:paraId="600596BB" w14:textId="77777777" w:rsidR="004A794D" w:rsidRPr="002207FE" w:rsidRDefault="004A794D" w:rsidP="002207FE">
      <w:pPr>
        <w:spacing w:line="276" w:lineRule="auto"/>
        <w:ind w:left="567" w:right="616"/>
        <w:rPr>
          <w:i/>
        </w:rPr>
      </w:pPr>
      <w:r w:rsidRPr="002207FE">
        <w:rPr>
          <w:i/>
        </w:rPr>
        <w:t>…</w:t>
      </w:r>
    </w:p>
    <w:p w14:paraId="51745ED2" w14:textId="77777777" w:rsidR="004A794D" w:rsidRPr="002207FE" w:rsidRDefault="004A794D" w:rsidP="002207FE">
      <w:pPr>
        <w:spacing w:line="276" w:lineRule="auto"/>
        <w:ind w:left="567" w:right="616"/>
        <w:rPr>
          <w:i/>
        </w:rPr>
      </w:pPr>
      <w:r w:rsidRPr="002207FE">
        <w:rPr>
          <w:i/>
        </w:rPr>
        <w:t xml:space="preserve">VII. Cuota, al monto que le corresponde cubrir al servidor público, equivalente a un porcentaje determinado de sus sueldo sujeto a cotización, así como el que debe cubrir el pensionado o pensionista y que recibe el Instituto para otorgar las prestaciones establecidas en la presente ley; </w:t>
      </w:r>
    </w:p>
    <w:p w14:paraId="786684CA" w14:textId="77777777" w:rsidR="004A794D" w:rsidRPr="002207FE" w:rsidRDefault="004A794D" w:rsidP="002207FE">
      <w:pPr>
        <w:spacing w:line="276" w:lineRule="auto"/>
        <w:ind w:left="567" w:right="616"/>
        <w:rPr>
          <w:b/>
          <w:i/>
        </w:rPr>
      </w:pPr>
      <w:r w:rsidRPr="002207FE">
        <w:rPr>
          <w:i/>
        </w:rPr>
        <w:t xml:space="preserve">VIII. </w:t>
      </w:r>
      <w:r w:rsidRPr="002207FE">
        <w:rPr>
          <w:b/>
          <w:i/>
        </w:rPr>
        <w:t>Aportación, al monto que le corresponde cubrir a las instituciones públicas como porcentaje del sueldo sujeto a cotización de cada servidor público;</w:t>
      </w:r>
    </w:p>
    <w:p w14:paraId="100125CF" w14:textId="77777777" w:rsidR="004A794D" w:rsidRPr="002207FE" w:rsidRDefault="004A794D" w:rsidP="002207FE">
      <w:pPr>
        <w:spacing w:line="276" w:lineRule="auto"/>
        <w:ind w:left="567" w:right="616"/>
        <w:rPr>
          <w:i/>
        </w:rPr>
      </w:pPr>
      <w:r w:rsidRPr="002207FE">
        <w:rPr>
          <w:i/>
        </w:rPr>
        <w:t>…</w:t>
      </w:r>
    </w:p>
    <w:p w14:paraId="17142362" w14:textId="77777777" w:rsidR="004A794D" w:rsidRPr="002207FE" w:rsidRDefault="004A794D" w:rsidP="002207FE">
      <w:pPr>
        <w:spacing w:line="276" w:lineRule="auto"/>
        <w:ind w:left="567" w:right="616"/>
        <w:rPr>
          <w:i/>
        </w:rPr>
      </w:pPr>
    </w:p>
    <w:p w14:paraId="7A9E2E61" w14:textId="77777777" w:rsidR="004A794D" w:rsidRPr="002207FE" w:rsidRDefault="004A794D" w:rsidP="002207FE">
      <w:pPr>
        <w:spacing w:line="276" w:lineRule="auto"/>
        <w:ind w:left="567" w:right="616"/>
        <w:rPr>
          <w:b/>
          <w:i/>
        </w:rPr>
      </w:pPr>
      <w:r w:rsidRPr="002207FE">
        <w:rPr>
          <w:b/>
          <w:i/>
        </w:rPr>
        <w:t>Artículo 32.-</w:t>
      </w:r>
      <w:r w:rsidRPr="002207FE">
        <w:rPr>
          <w:i/>
        </w:rPr>
        <w:t xml:space="preserve"> </w:t>
      </w:r>
      <w:r w:rsidRPr="002207FE">
        <w:rPr>
          <w:b/>
          <w:i/>
        </w:rPr>
        <w:t xml:space="preserve">Las cuotas obligatorias que deberán cubrir los servidores públicos al Instituto, serán las siguientes: </w:t>
      </w:r>
    </w:p>
    <w:p w14:paraId="21663FE4" w14:textId="77777777" w:rsidR="004A794D" w:rsidRPr="002207FE" w:rsidRDefault="004A794D" w:rsidP="002207FE">
      <w:pPr>
        <w:spacing w:line="276" w:lineRule="auto"/>
        <w:ind w:left="567" w:right="616"/>
        <w:rPr>
          <w:i/>
        </w:rPr>
      </w:pPr>
      <w:r w:rsidRPr="002207FE">
        <w:rPr>
          <w:i/>
        </w:rPr>
        <w:t xml:space="preserve">I. El 4.625% del sueldo sujeto a cotización, para cubrir las prestaciones de servicios de salud; </w:t>
      </w:r>
    </w:p>
    <w:p w14:paraId="6AADE305" w14:textId="77777777" w:rsidR="004A794D" w:rsidRPr="002207FE" w:rsidRDefault="004A794D" w:rsidP="002207FE">
      <w:pPr>
        <w:spacing w:line="276" w:lineRule="auto"/>
        <w:ind w:left="567" w:right="616"/>
        <w:rPr>
          <w:i/>
        </w:rPr>
      </w:pPr>
      <w:r w:rsidRPr="002207FE">
        <w:rPr>
          <w:i/>
        </w:rPr>
        <w:t xml:space="preserve">II. El 7.50% del sueldo sujeto a cotización, para cubrir el financiamiento de pensiones, de la siguiente manera: </w:t>
      </w:r>
    </w:p>
    <w:p w14:paraId="2BEB24D0" w14:textId="77777777" w:rsidR="004A794D" w:rsidRPr="002207FE" w:rsidRDefault="004A794D" w:rsidP="002207FE">
      <w:pPr>
        <w:spacing w:line="276" w:lineRule="auto"/>
        <w:ind w:left="567" w:right="616"/>
        <w:rPr>
          <w:i/>
        </w:rPr>
      </w:pPr>
      <w:r w:rsidRPr="002207FE">
        <w:rPr>
          <w:i/>
        </w:rPr>
        <w:t xml:space="preserve">a. 6.10% para el fondo del sistema solidario de reparto. </w:t>
      </w:r>
    </w:p>
    <w:p w14:paraId="76F00BE9" w14:textId="77777777" w:rsidR="004A794D" w:rsidRPr="002207FE" w:rsidRDefault="004A794D" w:rsidP="002207FE">
      <w:pPr>
        <w:spacing w:line="276" w:lineRule="auto"/>
        <w:ind w:left="567" w:right="616"/>
        <w:rPr>
          <w:b/>
          <w:i/>
          <w:u w:val="single"/>
        </w:rPr>
      </w:pPr>
      <w:r w:rsidRPr="002207FE">
        <w:rPr>
          <w:b/>
          <w:i/>
          <w:u w:val="single"/>
        </w:rPr>
        <w:t xml:space="preserve">b. 1.40% para el sistema de capitalización individual. </w:t>
      </w:r>
    </w:p>
    <w:p w14:paraId="7205ED5E" w14:textId="77777777" w:rsidR="004A794D" w:rsidRPr="002207FE" w:rsidRDefault="004A794D" w:rsidP="002207FE">
      <w:pPr>
        <w:spacing w:line="276" w:lineRule="auto"/>
        <w:ind w:left="567" w:right="616"/>
        <w:rPr>
          <w:i/>
        </w:rPr>
      </w:pPr>
      <w:r w:rsidRPr="002207FE">
        <w:rPr>
          <w:i/>
        </w:rPr>
        <w:t>III. Las que determine anualmente el Consejo Directivo para otras prestaciones, señaladas en el Título IV.</w:t>
      </w:r>
    </w:p>
    <w:p w14:paraId="68701593" w14:textId="77777777" w:rsidR="004A794D" w:rsidRPr="002207FE" w:rsidRDefault="004A794D" w:rsidP="002207FE">
      <w:pPr>
        <w:spacing w:line="276" w:lineRule="auto"/>
        <w:ind w:left="567" w:right="616"/>
        <w:rPr>
          <w:i/>
        </w:rPr>
      </w:pPr>
      <w:r w:rsidRPr="002207FE">
        <w:rPr>
          <w:i/>
        </w:rPr>
        <w:t>…</w:t>
      </w:r>
    </w:p>
    <w:p w14:paraId="2EF88DEE" w14:textId="77777777" w:rsidR="004A794D" w:rsidRPr="002207FE" w:rsidRDefault="004A794D" w:rsidP="002207FE">
      <w:pPr>
        <w:spacing w:line="276" w:lineRule="auto"/>
        <w:ind w:left="567" w:right="616"/>
        <w:rPr>
          <w:i/>
        </w:rPr>
      </w:pPr>
    </w:p>
    <w:p w14:paraId="1069C206" w14:textId="77777777" w:rsidR="004A794D" w:rsidRPr="002207FE" w:rsidRDefault="004A794D" w:rsidP="002207FE">
      <w:pPr>
        <w:spacing w:line="276" w:lineRule="auto"/>
        <w:ind w:left="567" w:right="616"/>
        <w:rPr>
          <w:i/>
        </w:rPr>
      </w:pPr>
      <w:r w:rsidRPr="002207FE">
        <w:rPr>
          <w:b/>
          <w:i/>
        </w:rPr>
        <w:t>Artículo 34.-</w:t>
      </w:r>
      <w:r w:rsidRPr="002207FE">
        <w:rPr>
          <w:i/>
        </w:rPr>
        <w:t xml:space="preserve"> </w:t>
      </w:r>
      <w:r w:rsidRPr="002207FE">
        <w:rPr>
          <w:b/>
          <w:i/>
        </w:rPr>
        <w:t>Las aportaciones que deberán cubrir obligatoriamente las instituciones públicas serán las siguientes</w:t>
      </w:r>
      <w:r w:rsidRPr="002207FE">
        <w:rPr>
          <w:i/>
        </w:rPr>
        <w:t xml:space="preserve">: </w:t>
      </w:r>
    </w:p>
    <w:p w14:paraId="44451C7F" w14:textId="77777777" w:rsidR="004A794D" w:rsidRPr="002207FE" w:rsidRDefault="004A794D" w:rsidP="002207FE">
      <w:pPr>
        <w:spacing w:line="276" w:lineRule="auto"/>
        <w:ind w:left="567" w:right="616"/>
        <w:rPr>
          <w:i/>
        </w:rPr>
      </w:pPr>
      <w:r w:rsidRPr="002207FE">
        <w:rPr>
          <w:i/>
        </w:rPr>
        <w:t xml:space="preserve">I. El 10% del sueldo sujeto a cotización, para cubrir las prestaciones de servicios de salud; </w:t>
      </w:r>
    </w:p>
    <w:p w14:paraId="2A631672" w14:textId="77777777" w:rsidR="004A794D" w:rsidRPr="002207FE" w:rsidRDefault="004A794D" w:rsidP="002207FE">
      <w:pPr>
        <w:spacing w:line="276" w:lineRule="auto"/>
        <w:ind w:left="567" w:right="616"/>
        <w:rPr>
          <w:i/>
        </w:rPr>
      </w:pPr>
      <w:r w:rsidRPr="002207FE">
        <w:rPr>
          <w:i/>
        </w:rPr>
        <w:t xml:space="preserve">II. El 9.27% del sueldo sujeto a cotización, para cubrir el financiamiento de pensiones, de la siguiente manera: </w:t>
      </w:r>
    </w:p>
    <w:p w14:paraId="3660D2E1" w14:textId="77777777" w:rsidR="004A794D" w:rsidRPr="002207FE" w:rsidRDefault="004A794D" w:rsidP="002207FE">
      <w:pPr>
        <w:spacing w:line="276" w:lineRule="auto"/>
        <w:ind w:left="567" w:right="616"/>
        <w:rPr>
          <w:i/>
        </w:rPr>
      </w:pPr>
      <w:r w:rsidRPr="002207FE">
        <w:rPr>
          <w:i/>
        </w:rPr>
        <w:t xml:space="preserve">a. 7.42% para el fondo del sistema solidario de reparto. </w:t>
      </w:r>
    </w:p>
    <w:p w14:paraId="3B86D5CF" w14:textId="77777777" w:rsidR="004A794D" w:rsidRPr="002207FE" w:rsidRDefault="004A794D" w:rsidP="002207FE">
      <w:pPr>
        <w:spacing w:line="276" w:lineRule="auto"/>
        <w:ind w:left="567" w:right="616"/>
        <w:rPr>
          <w:b/>
          <w:i/>
          <w:u w:val="single"/>
        </w:rPr>
      </w:pPr>
      <w:r w:rsidRPr="002207FE">
        <w:rPr>
          <w:i/>
          <w:u w:val="single"/>
        </w:rPr>
        <w:t xml:space="preserve">b. </w:t>
      </w:r>
      <w:r w:rsidRPr="002207FE">
        <w:rPr>
          <w:b/>
          <w:i/>
          <w:u w:val="single"/>
        </w:rPr>
        <w:t xml:space="preserve">1.85% para el sistema de capitalización individual. </w:t>
      </w:r>
    </w:p>
    <w:p w14:paraId="3EC53865" w14:textId="77777777" w:rsidR="004A794D" w:rsidRPr="002207FE" w:rsidRDefault="004A794D" w:rsidP="002207FE">
      <w:pPr>
        <w:spacing w:line="276" w:lineRule="auto"/>
        <w:ind w:left="567" w:right="616"/>
        <w:rPr>
          <w:i/>
        </w:rPr>
      </w:pPr>
      <w:r w:rsidRPr="002207FE">
        <w:rPr>
          <w:i/>
        </w:rPr>
        <w:t xml:space="preserve">III. Las que determine anualmente el Consejo Directivo para otras prestaciones, señaladas en el Título IV; </w:t>
      </w:r>
    </w:p>
    <w:p w14:paraId="2F115E7F" w14:textId="77777777" w:rsidR="004A794D" w:rsidRPr="002207FE" w:rsidRDefault="004A794D" w:rsidP="002207FE">
      <w:pPr>
        <w:spacing w:line="276" w:lineRule="auto"/>
        <w:ind w:left="567" w:right="616"/>
        <w:rPr>
          <w:i/>
        </w:rPr>
      </w:pPr>
      <w:r w:rsidRPr="002207FE">
        <w:rPr>
          <w:i/>
        </w:rPr>
        <w:t xml:space="preserve">IV. El 0.875% para gastos de administración; </w:t>
      </w:r>
    </w:p>
    <w:p w14:paraId="486305E1" w14:textId="77777777" w:rsidR="004A794D" w:rsidRPr="002207FE" w:rsidRDefault="004A794D" w:rsidP="002207FE">
      <w:pPr>
        <w:spacing w:line="276" w:lineRule="auto"/>
        <w:ind w:left="567" w:right="616"/>
        <w:rPr>
          <w:i/>
        </w:rPr>
      </w:pPr>
      <w:r w:rsidRPr="002207FE">
        <w:rPr>
          <w:i/>
        </w:rPr>
        <w:lastRenderedPageBreak/>
        <w:t>V. Las que se generen a cargo de las Instituciones públicas por concepto de riesgos de trabajo.</w:t>
      </w:r>
    </w:p>
    <w:p w14:paraId="19E5571E" w14:textId="77777777" w:rsidR="004A794D" w:rsidRPr="002207FE" w:rsidRDefault="004A794D" w:rsidP="002207FE"/>
    <w:p w14:paraId="0E4BCD3A" w14:textId="77777777" w:rsidR="004A794D" w:rsidRPr="002207FE" w:rsidRDefault="004A794D" w:rsidP="002207FE">
      <w:r w:rsidRPr="002207FE">
        <w:t>Por lo antes señalado, las aportaciones ya están determinadas por un porcentaje en relación al sueldo del servidor público, las cuales son cubiertas obligatoriamente, tanto por los servidores públicos, como por las instituciones públicas, por lo que al considerar los porcentajes correspondientes al Sistema de Capitalización Individual (%1,40 de servidor público y %1.85 de la Institución pública), es fácilmente identificable al conocer el sueldo del servidor público, por tanto dichos conceptos deberán de ser públicos, aún y cuando se tratan de deducciones al sueldo del trabajador.</w:t>
      </w:r>
    </w:p>
    <w:p w14:paraId="0D0CEDCF" w14:textId="77777777" w:rsidR="004A794D" w:rsidRPr="002207FE" w:rsidRDefault="004A794D" w:rsidP="002207FE"/>
    <w:p w14:paraId="440BD978" w14:textId="77777777" w:rsidR="004A794D" w:rsidRPr="002207FE" w:rsidRDefault="004A794D" w:rsidP="002207FE">
      <w:pPr>
        <w:pBdr>
          <w:top w:val="nil"/>
          <w:left w:val="nil"/>
          <w:bottom w:val="nil"/>
          <w:right w:val="nil"/>
          <w:between w:val="nil"/>
        </w:pBdr>
        <w:rPr>
          <w:u w:val="single"/>
        </w:rPr>
      </w:pPr>
      <w:r w:rsidRPr="002207FE">
        <w:t xml:space="preserve">Es necesario precisar que existen deducciones que se generan con motivo de una decisión libre y voluntaria de los servidores públicos, como son: </w:t>
      </w:r>
      <w:r w:rsidRPr="002207FE">
        <w:rPr>
          <w:u w:val="single"/>
        </w:rPr>
        <w:t>créditos personales,</w:t>
      </w:r>
      <w:r w:rsidRPr="002207FE">
        <w:t xml:space="preserve"> </w:t>
      </w:r>
      <w:r w:rsidRPr="002207FE">
        <w:rPr>
          <w:u w:val="single"/>
        </w:rPr>
        <w:t xml:space="preserve">cuotas sindicales y fondo de resistencia del Sindicato Único de Trabajadores de los Poderes, Municipios e Institución Descentralizadas del Estado de México, seguro de vida, accidentes y enfermedades. </w:t>
      </w:r>
      <w:r w:rsidRPr="002207FE">
        <w:t xml:space="preserve">Asimismo, hay otras que se generan con motivo de una sentencia judicial, como es la pensión alimenticia que periódicamente se retira de la cuenta de un empleado, a efecto de que sea entregado a un tercero.  </w:t>
      </w:r>
    </w:p>
    <w:p w14:paraId="15A29E13" w14:textId="77777777" w:rsidR="004A794D" w:rsidRPr="002207FE" w:rsidRDefault="004A794D" w:rsidP="002207FE">
      <w:pPr>
        <w:pBdr>
          <w:top w:val="nil"/>
          <w:left w:val="nil"/>
          <w:bottom w:val="nil"/>
          <w:right w:val="nil"/>
          <w:between w:val="nil"/>
        </w:pBdr>
        <w:ind w:left="720"/>
      </w:pPr>
    </w:p>
    <w:p w14:paraId="1A96EB56" w14:textId="77777777" w:rsidR="004A794D" w:rsidRPr="002207FE" w:rsidRDefault="004A794D" w:rsidP="002207FE">
      <w:pPr>
        <w:pBdr>
          <w:top w:val="nil"/>
          <w:left w:val="nil"/>
          <w:bottom w:val="nil"/>
          <w:right w:val="nil"/>
          <w:between w:val="nil"/>
        </w:pBdr>
      </w:pPr>
      <w:r w:rsidRPr="002207FE">
        <w:t xml:space="preserve">En consecuencia, este tipo de deducciones son fruto de decisiones que impactan en el patrimonio de un servidor público con la finalidad de obtener un beneficio conforme a la decisión de un trabajador, </w:t>
      </w:r>
      <w:r w:rsidRPr="002207FE">
        <w:rPr>
          <w:b/>
        </w:rPr>
        <w:t xml:space="preserve">mismas que no implican la entrega de recursos con cargo al erario, y tampoco reflejan el ejercicio de una prestación; por el contrario, en dichos casos se trata del libre ejercicio del servidor público para disponer de un ingreso que forma parte de su patrimonio. </w:t>
      </w:r>
      <w:r w:rsidRPr="002207FE">
        <w:t xml:space="preserve"> Así, dichas deducciones reflejan el destino que un servidor público da a su </w:t>
      </w:r>
      <w:r w:rsidRPr="002207FE">
        <w:lastRenderedPageBreak/>
        <w:t>patrimonio, lo que se aleja de la transparencia y rendición de cuentas, por tanto, se deben de clasificar como confidenciales.</w:t>
      </w:r>
    </w:p>
    <w:p w14:paraId="2ACF1112" w14:textId="77777777" w:rsidR="004A794D" w:rsidRPr="002207FE" w:rsidRDefault="004A794D" w:rsidP="002207FE">
      <w:pPr>
        <w:pBdr>
          <w:top w:val="nil"/>
          <w:left w:val="nil"/>
          <w:bottom w:val="nil"/>
          <w:right w:val="nil"/>
          <w:between w:val="nil"/>
        </w:pBdr>
      </w:pPr>
    </w:p>
    <w:p w14:paraId="64CE964F" w14:textId="77777777" w:rsidR="004A794D" w:rsidRPr="002207FE" w:rsidRDefault="004A794D" w:rsidP="002207FE">
      <w:pPr>
        <w:pBdr>
          <w:top w:val="nil"/>
          <w:left w:val="nil"/>
          <w:bottom w:val="nil"/>
          <w:right w:val="nil"/>
          <w:between w:val="nil"/>
        </w:pBdr>
      </w:pPr>
      <w:r w:rsidRPr="002207FE">
        <w:t>En conclusión, los préstamos o descuentos de carácter personal, en virtud de no tener relación con la prestación del servicio y al no involucrar instituciones públicas, se consideran datos confidenciales en términos de la fracción I del artículo 143 de la Ley de Transparencia Local.</w:t>
      </w:r>
    </w:p>
    <w:p w14:paraId="64694C6F" w14:textId="77777777" w:rsidR="004A794D" w:rsidRPr="002207FE" w:rsidRDefault="004A794D" w:rsidP="002207FE">
      <w:pPr>
        <w:pBdr>
          <w:top w:val="nil"/>
          <w:left w:val="nil"/>
          <w:bottom w:val="nil"/>
          <w:right w:val="nil"/>
          <w:between w:val="nil"/>
        </w:pBdr>
      </w:pPr>
    </w:p>
    <w:p w14:paraId="368F15B1" w14:textId="01491187" w:rsidR="00815238" w:rsidRPr="002207FE" w:rsidRDefault="00815238" w:rsidP="002207FE">
      <w:pPr>
        <w:pStyle w:val="Prrafodelista"/>
        <w:numPr>
          <w:ilvl w:val="0"/>
          <w:numId w:val="45"/>
        </w:numPr>
        <w:pBdr>
          <w:top w:val="nil"/>
          <w:left w:val="nil"/>
          <w:bottom w:val="nil"/>
          <w:right w:val="nil"/>
          <w:between w:val="nil"/>
        </w:pBdr>
        <w:rPr>
          <w:b/>
        </w:rPr>
      </w:pPr>
      <w:r w:rsidRPr="002207FE">
        <w:rPr>
          <w:b/>
        </w:rPr>
        <w:t>Sellos digitales del emisor y del Servicio de Administración Tributaria y cadena original del complemento de certificación digital del órgano previamente señalado</w:t>
      </w:r>
    </w:p>
    <w:p w14:paraId="6B322ABA" w14:textId="77777777" w:rsidR="00815238" w:rsidRPr="002207FE" w:rsidRDefault="00815238" w:rsidP="002207FE">
      <w:pPr>
        <w:pBdr>
          <w:top w:val="nil"/>
          <w:left w:val="nil"/>
          <w:bottom w:val="nil"/>
          <w:right w:val="nil"/>
          <w:between w:val="nil"/>
        </w:pBdr>
      </w:pPr>
    </w:p>
    <w:p w14:paraId="7045F532" w14:textId="77777777" w:rsidR="004A794D" w:rsidRPr="002207FE" w:rsidRDefault="004A794D" w:rsidP="002207FE">
      <w:r w:rsidRPr="002207FE">
        <w:t xml:space="preserve">Ahora bien, respecto de </w:t>
      </w:r>
      <w:r w:rsidRPr="002207FE">
        <w:rPr>
          <w:b/>
          <w:i/>
        </w:rPr>
        <w:t xml:space="preserve">Sellos digitales del emisor y del Servicio de Administración Tributaria y cadena original del complemento de certificación digital del órgano previamente señalado, </w:t>
      </w:r>
      <w:r w:rsidRPr="002207FE">
        <w:rPr>
          <w:bCs/>
          <w:iCs/>
        </w:rPr>
        <w:t xml:space="preserve">teniendo que </w:t>
      </w:r>
      <w:r w:rsidRPr="002207FE">
        <w:t xml:space="preserve">la </w:t>
      </w:r>
      <w:r w:rsidRPr="002207FE">
        <w:rPr>
          <w:b/>
        </w:rPr>
        <w:t>Cadena Original</w:t>
      </w:r>
      <w:r w:rsidRPr="002207FE">
        <w:t xml:space="preserve"> es la secuencia de datos formada con la información contenida dentro de los comprobantes fiscales, entre los que podría encontrarse de manera enunciativa, más no limitativa, el RFC del receptor, es decir del servidor público.</w:t>
      </w:r>
    </w:p>
    <w:p w14:paraId="46DC7F97" w14:textId="77777777" w:rsidR="004A794D" w:rsidRPr="002207FE" w:rsidRDefault="004A794D" w:rsidP="002207FE"/>
    <w:p w14:paraId="1417AA96" w14:textId="77777777" w:rsidR="004A794D" w:rsidRPr="002207FE" w:rsidRDefault="004A794D" w:rsidP="002207FE">
      <w:r w:rsidRPr="002207FE">
        <w:t xml:space="preserve">En dicho supuesto, la cadena original constituiría información que únicamente atañe al contribuyente, siendo tarea del </w:t>
      </w:r>
      <w:r w:rsidRPr="002207FE">
        <w:rPr>
          <w:b/>
        </w:rPr>
        <w:t>Sujeto Obligado</w:t>
      </w:r>
      <w:r w:rsidRPr="002207FE">
        <w:t xml:space="preserve"> analizar dicha circunstancia con la finalidad de proteger, de ser el caso, la información a través de su clasificación por actualizarse el supuesto de confidencialidad.</w:t>
      </w:r>
    </w:p>
    <w:p w14:paraId="6AF7F117" w14:textId="77777777" w:rsidR="004A794D" w:rsidRPr="002207FE" w:rsidRDefault="004A794D" w:rsidP="002207FE"/>
    <w:p w14:paraId="44E8ECD3" w14:textId="77777777" w:rsidR="004A794D" w:rsidRPr="002207FE" w:rsidRDefault="004A794D" w:rsidP="002207FE">
      <w:r w:rsidRPr="002207FE">
        <w:t xml:space="preserve">Misma cuestión con los </w:t>
      </w:r>
      <w:r w:rsidRPr="002207FE">
        <w:rPr>
          <w:b/>
        </w:rPr>
        <w:t>Sellos Digitales</w:t>
      </w:r>
      <w:r w:rsidRPr="002207FE">
        <w:t xml:space="preserve">, corresponde al </w:t>
      </w:r>
      <w:r w:rsidRPr="002207FE">
        <w:rPr>
          <w:b/>
        </w:rPr>
        <w:t>Sujeto Obligado</w:t>
      </w:r>
      <w:r w:rsidRPr="002207FE">
        <w:t xml:space="preserve"> valorar si el mismo se conforma por información que arroja datos de índole confidencial se deberán clasificar.</w:t>
      </w:r>
    </w:p>
    <w:p w14:paraId="36D24307" w14:textId="77777777" w:rsidR="004A794D" w:rsidRPr="002207FE" w:rsidRDefault="004A794D" w:rsidP="002207FE"/>
    <w:p w14:paraId="3B623E5B" w14:textId="77777777" w:rsidR="004A794D" w:rsidRPr="002207FE" w:rsidRDefault="004A794D" w:rsidP="002207FE">
      <w:r w:rsidRPr="002207FE">
        <w:t xml:space="preserve">Los </w:t>
      </w:r>
      <w:r w:rsidRPr="002207FE">
        <w:rPr>
          <w:b/>
        </w:rPr>
        <w:t>códigos bidimensionales</w:t>
      </w:r>
      <w:r w:rsidRPr="002207FE">
        <w:t xml:space="preserve"> o </w:t>
      </w:r>
      <w:r w:rsidRPr="002207FE">
        <w:rPr>
          <w:b/>
        </w:rPr>
        <w:t xml:space="preserve">códigos QR, </w:t>
      </w:r>
      <w:r w:rsidRPr="002207FE">
        <w:t xml:space="preserve">al corresponder a barras en dos dimensiones que, al igual que los códigos de barras o códigos unidimensionales, son utilizados para almacenar </w:t>
      </w:r>
      <w:r w:rsidRPr="002207FE">
        <w:lastRenderedPageBreak/>
        <w:t>diversos tipos de datos de manera codificada, los cuales a través de lectores que pueden ser obtenidos por cualquier persona, pueden contener datos personales, no susceptibles de conocimiento público, lo que actualiza algún supuesto de confidencialidad.</w:t>
      </w:r>
    </w:p>
    <w:p w14:paraId="73DD0D55" w14:textId="77777777" w:rsidR="00AE461B" w:rsidRPr="002207FE" w:rsidRDefault="00AE461B" w:rsidP="002207FE"/>
    <w:p w14:paraId="4607DE73" w14:textId="5BF71821" w:rsidR="00AE461B" w:rsidRPr="002207FE" w:rsidRDefault="00AE461B" w:rsidP="002207FE">
      <w:pPr>
        <w:pStyle w:val="Prrafodelista"/>
        <w:numPr>
          <w:ilvl w:val="0"/>
          <w:numId w:val="44"/>
        </w:numPr>
      </w:pPr>
      <w:r w:rsidRPr="002207FE">
        <w:rPr>
          <w:b/>
        </w:rPr>
        <w:t>Números de cuentas bancari</w:t>
      </w:r>
      <w:r w:rsidRPr="002207FE">
        <w:t xml:space="preserve">as, </w:t>
      </w:r>
      <w:r w:rsidRPr="002207FE">
        <w:rPr>
          <w:b/>
        </w:rPr>
        <w:t>claves estandarizadas –interbancarias- (CLABES) y de tarjetas:</w:t>
      </w:r>
    </w:p>
    <w:p w14:paraId="31658900" w14:textId="77777777" w:rsidR="00AE461B" w:rsidRPr="002207FE" w:rsidRDefault="00AE461B" w:rsidP="002207FE">
      <w:pPr>
        <w:pStyle w:val="Prrafodelista"/>
        <w:ind w:left="360"/>
      </w:pPr>
    </w:p>
    <w:p w14:paraId="3C0AA0EA" w14:textId="77777777" w:rsidR="00916325" w:rsidRPr="002207FE" w:rsidRDefault="00916325" w:rsidP="002207FE">
      <w:r w:rsidRPr="002207FE">
        <w:t xml:space="preserve">Respecto de los </w:t>
      </w:r>
      <w:r w:rsidRPr="002207FE">
        <w:rPr>
          <w:b/>
        </w:rPr>
        <w:t>números de cuentas bancari</w:t>
      </w:r>
      <w:r w:rsidRPr="002207FE">
        <w:t xml:space="preserve">as, </w:t>
      </w:r>
      <w:r w:rsidRPr="002207FE">
        <w:rPr>
          <w:b/>
        </w:rPr>
        <w:t>claves estandarizadas –interbancarias- (CLABES) y de tarjetas</w:t>
      </w:r>
      <w:r w:rsidRPr="002207FE">
        <w:t>, el Pleno de este Instituto ha determinado que esa información debe clasificarse como confidencial, y elaborarse una versión pública en la que se teste la misma.</w:t>
      </w:r>
    </w:p>
    <w:p w14:paraId="7ECC0DC4" w14:textId="77777777" w:rsidR="00916325" w:rsidRPr="002207FE" w:rsidRDefault="00916325" w:rsidP="002207FE">
      <w:r w:rsidRPr="002207FE">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6FEBF48B" w14:textId="77777777" w:rsidR="009520F8" w:rsidRPr="002207FE" w:rsidRDefault="009520F8" w:rsidP="002207FE"/>
    <w:p w14:paraId="75391375" w14:textId="77777777" w:rsidR="00916325" w:rsidRPr="002207FE" w:rsidRDefault="00916325" w:rsidP="002207FE">
      <w:r w:rsidRPr="002207FE">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5FB9A496" w14:textId="77777777" w:rsidR="009520F8" w:rsidRPr="002207FE" w:rsidRDefault="009520F8" w:rsidP="002207FE"/>
    <w:p w14:paraId="29AC6811" w14:textId="77777777" w:rsidR="00916325" w:rsidRPr="002207FE" w:rsidRDefault="00916325" w:rsidP="002207FE">
      <w:r w:rsidRPr="002207FE">
        <w:t xml:space="preserve">En esa virtud, este Pleno determina que dicha información no puede ser del dominio público, toda vez que se podría dar un uso inadecuado a la misma o cometer algún ilícito o fraude como ya ha sido expuesto. </w:t>
      </w:r>
    </w:p>
    <w:p w14:paraId="5FD3E9B5" w14:textId="77777777" w:rsidR="009520F8" w:rsidRPr="002207FE" w:rsidRDefault="009520F8" w:rsidP="002207FE"/>
    <w:p w14:paraId="562111B1" w14:textId="77777777" w:rsidR="00916325" w:rsidRPr="002207FE" w:rsidRDefault="00916325" w:rsidP="002207FE">
      <w:r w:rsidRPr="002207FE">
        <w:lastRenderedPageBreak/>
        <w:t>Lo anterior no es así tratándose de las cuentas bancarias o claves interbancarias de los Sujetos Obligados ya que su publicidad cede a la rendición de cuentas al transparentar la forma en que son administrados los recursos públicos.</w:t>
      </w:r>
    </w:p>
    <w:p w14:paraId="0D49B5E6" w14:textId="77777777" w:rsidR="009520F8" w:rsidRPr="002207FE" w:rsidRDefault="009520F8" w:rsidP="002207FE"/>
    <w:p w14:paraId="4DB09202" w14:textId="77777777" w:rsidR="00916325" w:rsidRPr="002207FE" w:rsidRDefault="00916325" w:rsidP="002207FE">
      <w:r w:rsidRPr="002207FE">
        <w:t>Lo argumentado encuentra sustento en los Criterios de interpretación con clave de control SO/010/2017 y SO/011/2017, emitidos por el entonces Instituto Nacional de Transparencia, Acceso a la Información y Protección de Datos Personales, INAI, que llevan por rubro y texto los siguientes:</w:t>
      </w:r>
    </w:p>
    <w:p w14:paraId="371F6EF8" w14:textId="77777777" w:rsidR="009520F8" w:rsidRPr="002207FE" w:rsidRDefault="009520F8" w:rsidP="002207FE"/>
    <w:p w14:paraId="09DE4759" w14:textId="77777777" w:rsidR="00916325" w:rsidRPr="002207FE" w:rsidRDefault="00916325" w:rsidP="002207FE">
      <w:pPr>
        <w:pStyle w:val="Puesto"/>
        <w:ind w:firstLine="0"/>
        <w:rPr>
          <w:color w:val="auto"/>
        </w:rPr>
      </w:pPr>
      <w:r w:rsidRPr="002207FE">
        <w:rPr>
          <w:color w:val="auto"/>
        </w:rPr>
        <w:t>“</w:t>
      </w:r>
      <w:r w:rsidRPr="002207FE">
        <w:rPr>
          <w:b/>
          <w:color w:val="auto"/>
        </w:rPr>
        <w:t>Cuentas bancarias y/o CLABE interbancaria de personas físicas y morales privadas.</w:t>
      </w:r>
      <w:r w:rsidRPr="002207FE">
        <w:rPr>
          <w:color w:val="auto"/>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074C1837" w14:textId="77777777" w:rsidR="009520F8" w:rsidRPr="002207FE" w:rsidRDefault="009520F8" w:rsidP="002207FE"/>
    <w:p w14:paraId="2F63D509" w14:textId="77777777" w:rsidR="00916325" w:rsidRPr="002207FE" w:rsidRDefault="00916325" w:rsidP="002207FE">
      <w:pPr>
        <w:pStyle w:val="Puesto"/>
        <w:ind w:firstLine="0"/>
        <w:rPr>
          <w:color w:val="auto"/>
        </w:rPr>
      </w:pPr>
      <w:r w:rsidRPr="002207FE">
        <w:rPr>
          <w:color w:val="auto"/>
        </w:rPr>
        <w:t>“</w:t>
      </w:r>
      <w:r w:rsidRPr="002207FE">
        <w:rPr>
          <w:b/>
          <w:color w:val="auto"/>
        </w:rPr>
        <w:t>Cuentas bancarias y/o CLABE interbancaria de sujetos obligados que reciben y/o transfieren recursos públicos, son información pública</w:t>
      </w:r>
      <w:r w:rsidRPr="002207FE">
        <w:rPr>
          <w:color w:val="auto"/>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23F07A7C" w14:textId="77777777" w:rsidR="00916325" w:rsidRPr="002207FE" w:rsidRDefault="00916325" w:rsidP="002207FE">
      <w:pPr>
        <w:pStyle w:val="Puesto"/>
        <w:ind w:firstLine="0"/>
        <w:rPr>
          <w:color w:val="auto"/>
        </w:rPr>
      </w:pPr>
    </w:p>
    <w:p w14:paraId="48E427F0" w14:textId="77777777" w:rsidR="00AE461B" w:rsidRPr="002207FE" w:rsidRDefault="00AE461B" w:rsidP="002207FE"/>
    <w:p w14:paraId="58B7593A" w14:textId="30265052" w:rsidR="00AE461B" w:rsidRPr="002207FE" w:rsidRDefault="00AE461B" w:rsidP="002207FE">
      <w:pPr>
        <w:pStyle w:val="Prrafodelista"/>
        <w:numPr>
          <w:ilvl w:val="0"/>
          <w:numId w:val="44"/>
        </w:numPr>
        <w:rPr>
          <w:b/>
          <w:u w:val="single"/>
        </w:rPr>
      </w:pPr>
      <w:r w:rsidRPr="002207FE">
        <w:rPr>
          <w:b/>
        </w:rPr>
        <w:t>Firma</w:t>
      </w:r>
    </w:p>
    <w:p w14:paraId="75C66FAE" w14:textId="77777777" w:rsidR="00AE461B" w:rsidRPr="002207FE" w:rsidRDefault="00AE461B" w:rsidP="002207FE"/>
    <w:p w14:paraId="5B97B412" w14:textId="77777777" w:rsidR="00916325" w:rsidRPr="002207FE" w:rsidRDefault="00916325" w:rsidP="002207FE">
      <w:pPr>
        <w:rPr>
          <w:u w:val="single"/>
        </w:rPr>
      </w:pPr>
      <w:r w:rsidRPr="002207FE">
        <w:t xml:space="preserve">La </w:t>
      </w:r>
      <w:r w:rsidRPr="002207FE">
        <w:rPr>
          <w:b/>
        </w:rPr>
        <w:t xml:space="preserve">firma </w:t>
      </w:r>
      <w:r w:rsidRPr="002207FE">
        <w:t xml:space="preserve">constituye un dato personal confidencial y únicamente será público dicho dato cuando sirva para la emisión de un acto de autoridad, en ejercicio de sus funciones, en el caso se considera que al tratarse de recibos de nómina por la prestación de servicios como servidores públicos y realizar actividades laborales en una institución pública se considera </w:t>
      </w:r>
      <w:r w:rsidRPr="002207FE">
        <w:lastRenderedPageBreak/>
        <w:t xml:space="preserve">que </w:t>
      </w:r>
      <w:r w:rsidRPr="002207FE">
        <w:rPr>
          <w:u w:val="single"/>
        </w:rPr>
        <w:t>su firma es pública, ya que acepta la conformidad del pago por la prestación de sus servicios.</w:t>
      </w:r>
    </w:p>
    <w:p w14:paraId="65E40C40" w14:textId="77777777" w:rsidR="00916325" w:rsidRPr="002207FE" w:rsidRDefault="00916325" w:rsidP="002207FE"/>
    <w:p w14:paraId="78B6DACC" w14:textId="77777777" w:rsidR="00916325" w:rsidRPr="002207FE" w:rsidRDefault="00916325" w:rsidP="002207FE">
      <w:r w:rsidRPr="002207FE">
        <w:t>De esta manera, se colige que la firma de servidores públicos, vinculada al ejercicio de la función pública es información de naturaleza pública, pues documenta y rinde cuentas sobre el debido ejercicio de los recursos públicos en contraprestación a sus servicios prestados.</w:t>
      </w:r>
    </w:p>
    <w:p w14:paraId="19F4C55D" w14:textId="77777777" w:rsidR="00916325" w:rsidRPr="002207FE" w:rsidRDefault="00916325" w:rsidP="002207FE"/>
    <w:p w14:paraId="5E4440FF" w14:textId="77777777" w:rsidR="00916325" w:rsidRPr="002207FE" w:rsidRDefault="00916325" w:rsidP="002207FE">
      <w:r w:rsidRPr="002207FE">
        <w:t>La publicidad de dicho dato, se robustece, con el Criterio de Interpretación, de la Segunda Época, con clave de control SO/002/2019, emitido por el Instituto Nacional de Transparencia, Acceso a la Información y Protección de Datos Personales, que establece lo siguiente:</w:t>
      </w:r>
    </w:p>
    <w:p w14:paraId="7082D0A7" w14:textId="77777777" w:rsidR="0010739D" w:rsidRPr="002207FE" w:rsidRDefault="0010739D" w:rsidP="002207FE"/>
    <w:p w14:paraId="7B7E6A06" w14:textId="77777777" w:rsidR="00916325" w:rsidRPr="002207FE" w:rsidRDefault="00916325" w:rsidP="002207FE">
      <w:pPr>
        <w:ind w:left="567" w:right="397"/>
        <w:rPr>
          <w:i/>
        </w:rPr>
      </w:pPr>
      <w:r w:rsidRPr="002207FE">
        <w:t> </w:t>
      </w:r>
      <w:r w:rsidRPr="002207FE">
        <w:rPr>
          <w:b/>
          <w:i/>
        </w:rPr>
        <w:t>“Firma y rúbrica de servidores públicos.</w:t>
      </w:r>
      <w:r w:rsidRPr="002207FE">
        <w:rPr>
          <w:i/>
        </w:rPr>
        <w:t> Si bien la firma y la rúbrica son datos personales confidenciales, cuando un servidor público emite un acto como autoridad, en ejercicio de las funciones que tiene conferidas, la firma o rúbrica mediante la cual se valida dicho acto es pública.”</w:t>
      </w:r>
    </w:p>
    <w:p w14:paraId="3BB65DE5" w14:textId="77777777" w:rsidR="00916325" w:rsidRPr="002207FE" w:rsidRDefault="00916325" w:rsidP="002207FE"/>
    <w:p w14:paraId="5E3CDB74" w14:textId="77777777" w:rsidR="00916325" w:rsidRPr="002207FE" w:rsidRDefault="00916325" w:rsidP="002207FE">
      <w:r w:rsidRPr="002207FE">
        <w:t>Conforme lo expuesto, de ser el caso que los recibos de nómina contengan la firma de los servidores públicos, no es susceptible su clasificación como información confidencial.</w:t>
      </w:r>
    </w:p>
    <w:p w14:paraId="6B0C4596" w14:textId="77777777" w:rsidR="00AE461B" w:rsidRPr="002207FE" w:rsidRDefault="00AE461B" w:rsidP="002207FE">
      <w:pPr>
        <w:rPr>
          <w:b/>
        </w:rPr>
      </w:pPr>
    </w:p>
    <w:p w14:paraId="3493051C" w14:textId="4CA6B7DE" w:rsidR="0010739D" w:rsidRPr="002207FE" w:rsidRDefault="00AE461B" w:rsidP="002207FE">
      <w:pPr>
        <w:pStyle w:val="Prrafodelista"/>
        <w:numPr>
          <w:ilvl w:val="0"/>
          <w:numId w:val="44"/>
        </w:numPr>
        <w:rPr>
          <w:b/>
          <w:u w:val="single"/>
        </w:rPr>
      </w:pPr>
      <w:r w:rsidRPr="002207FE">
        <w:rPr>
          <w:b/>
        </w:rPr>
        <w:t>Número de empleado</w:t>
      </w:r>
    </w:p>
    <w:p w14:paraId="11EBCA20" w14:textId="77777777" w:rsidR="00AE461B" w:rsidRPr="002207FE" w:rsidRDefault="00AE461B" w:rsidP="002207FE">
      <w:pPr>
        <w:rPr>
          <w:b/>
          <w:u w:val="single"/>
        </w:rPr>
      </w:pPr>
    </w:p>
    <w:p w14:paraId="590EED0C" w14:textId="77777777" w:rsidR="0010739D" w:rsidRPr="002207FE" w:rsidRDefault="0010739D" w:rsidP="002207FE">
      <w:r w:rsidRPr="002207FE">
        <w:t xml:space="preserve">En relación con el </w:t>
      </w:r>
      <w:r w:rsidRPr="002207FE">
        <w:rPr>
          <w:b/>
        </w:rPr>
        <w:t>número de empleado</w:t>
      </w:r>
      <w:r w:rsidRPr="002207FE">
        <w:t xml:space="preserve">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2CA8B9A8" w14:textId="77777777" w:rsidR="0010739D" w:rsidRPr="002207FE" w:rsidRDefault="0010739D" w:rsidP="002207FE"/>
    <w:p w14:paraId="5FE739C5" w14:textId="77777777" w:rsidR="0010739D" w:rsidRPr="002207FE" w:rsidRDefault="0010739D" w:rsidP="002207FE">
      <w:r w:rsidRPr="002207FE">
        <w:lastRenderedPageBreak/>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44A02F4E" w14:textId="77777777" w:rsidR="0010739D" w:rsidRPr="002207FE" w:rsidRDefault="0010739D" w:rsidP="002207FE"/>
    <w:p w14:paraId="50439D06" w14:textId="77777777" w:rsidR="0010739D" w:rsidRPr="002207FE" w:rsidRDefault="0010739D" w:rsidP="002207FE">
      <w:r w:rsidRPr="002207FE">
        <w:t>Lo anterior, toma sustento en el Criterio de Interpretación, de la Segunda Época, con número de registro SO/006/2019, emitido por el Instituto Nacional de Transparencia, Acceso a la Información y Protección de Datos Personales, que establece lo siguiente:</w:t>
      </w:r>
    </w:p>
    <w:p w14:paraId="4CEBD947" w14:textId="77777777" w:rsidR="0010739D" w:rsidRPr="002207FE" w:rsidRDefault="0010739D" w:rsidP="002207FE"/>
    <w:p w14:paraId="0EFB5A6E" w14:textId="77777777" w:rsidR="0010739D" w:rsidRPr="002207FE" w:rsidRDefault="0010739D" w:rsidP="002207FE">
      <w:pPr>
        <w:pStyle w:val="Puesto"/>
        <w:ind w:firstLine="0"/>
        <w:rPr>
          <w:color w:val="auto"/>
        </w:rPr>
      </w:pPr>
      <w:r w:rsidRPr="002207FE">
        <w:rPr>
          <w:color w:val="auto"/>
        </w:rPr>
        <w:t>“</w:t>
      </w:r>
      <w:r w:rsidRPr="002207FE">
        <w:rPr>
          <w:b/>
          <w:color w:val="auto"/>
        </w:rPr>
        <w:t>Número de empleado</w:t>
      </w:r>
      <w:r w:rsidRPr="002207FE">
        <w:rPr>
          <w:color w:val="auto"/>
        </w:rPr>
        <w:t>.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confidencial.”(Sic)</w:t>
      </w:r>
    </w:p>
    <w:p w14:paraId="5BC8D512" w14:textId="77777777" w:rsidR="0010739D" w:rsidRPr="002207FE" w:rsidRDefault="0010739D" w:rsidP="002207FE">
      <w:pPr>
        <w:ind w:left="851" w:right="851"/>
        <w:rPr>
          <w:i/>
        </w:rPr>
      </w:pPr>
    </w:p>
    <w:p w14:paraId="42A30CB3" w14:textId="77777777" w:rsidR="0010739D" w:rsidRPr="002207FE" w:rsidRDefault="0010739D" w:rsidP="002207FE">
      <w:r w:rsidRPr="002207FE">
        <w:t>Así, se colige que solamente procederá la clasificación del número de empleado, cuando se integre con datos personales de los servidores públicos o funcione como clave de acceso que no requiera una contraseña para ingresar a sistemas o bases de datos.</w:t>
      </w:r>
    </w:p>
    <w:p w14:paraId="042AFDDB" w14:textId="77777777" w:rsidR="0010739D" w:rsidRPr="002207FE" w:rsidRDefault="0010739D" w:rsidP="002207FE"/>
    <w:p w14:paraId="00597156" w14:textId="77777777" w:rsidR="0010739D" w:rsidRPr="002207FE" w:rsidRDefault="0010739D" w:rsidP="002207FE">
      <w:r w:rsidRPr="002207FE">
        <w:t xml:space="preserve">De tales circunstancias, se considera que el </w:t>
      </w:r>
      <w:r w:rsidRPr="002207FE">
        <w:rPr>
          <w:b/>
        </w:rPr>
        <w:t>Sujeto Obligado</w:t>
      </w:r>
      <w:r w:rsidRPr="002207FE">
        <w:t xml:space="preserve"> deberá proporcionar dicho dato,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025D9B41" w14:textId="77777777" w:rsidR="0010739D" w:rsidRPr="002207FE" w:rsidRDefault="0010739D" w:rsidP="002207FE">
      <w:pPr>
        <w:rPr>
          <w:b/>
        </w:rPr>
      </w:pPr>
    </w:p>
    <w:p w14:paraId="5C19CA21" w14:textId="77777777" w:rsidR="0010739D" w:rsidRPr="002207FE" w:rsidRDefault="0010739D" w:rsidP="002207FE">
      <w:pPr>
        <w:pStyle w:val="Prrafodelista"/>
        <w:numPr>
          <w:ilvl w:val="0"/>
          <w:numId w:val="39"/>
        </w:numPr>
        <w:ind w:left="284" w:hanging="284"/>
        <w:rPr>
          <w:b/>
        </w:rPr>
      </w:pPr>
      <w:r w:rsidRPr="002207FE">
        <w:rPr>
          <w:b/>
        </w:rPr>
        <w:t xml:space="preserve">Inicio de Labores y Antigüedad: </w:t>
      </w:r>
    </w:p>
    <w:p w14:paraId="646C4112" w14:textId="77777777" w:rsidR="0010739D" w:rsidRPr="002207FE" w:rsidRDefault="0010739D" w:rsidP="002207FE">
      <w:pPr>
        <w:pStyle w:val="Prrafodelista"/>
        <w:ind w:left="284"/>
        <w:rPr>
          <w:b/>
        </w:rPr>
      </w:pPr>
    </w:p>
    <w:p w14:paraId="28093B70" w14:textId="77777777" w:rsidR="0010739D" w:rsidRPr="002207FE" w:rsidRDefault="0010739D" w:rsidP="002207FE">
      <w:r w:rsidRPr="002207FE">
        <w:t>Se considera como información pública por no actualizar alguna hipótesis del artículo 143 de la Ley de la Materia, ya que al dar a conocer dichos datos no se revela alguna información privada o que le afecten a su esfera personal del servidor público, pues únicamente se trata de la fecha en que el servidor público ingreso a laborar en el ente público, así como el tiempo que lleva laborando, o bien, su antigüedad.</w:t>
      </w:r>
    </w:p>
    <w:p w14:paraId="053A00BF" w14:textId="77777777" w:rsidR="0010739D" w:rsidRPr="002207FE" w:rsidRDefault="0010739D" w:rsidP="002207FE"/>
    <w:p w14:paraId="1D3B56B0" w14:textId="77777777" w:rsidR="0010739D" w:rsidRPr="002207FE" w:rsidRDefault="0010739D" w:rsidP="002207FE">
      <w:pPr>
        <w:pStyle w:val="Prrafodelista"/>
        <w:numPr>
          <w:ilvl w:val="0"/>
          <w:numId w:val="39"/>
        </w:numPr>
        <w:tabs>
          <w:tab w:val="left" w:pos="284"/>
        </w:tabs>
        <w:ind w:left="426" w:hanging="426"/>
        <w:rPr>
          <w:b/>
        </w:rPr>
      </w:pPr>
      <w:r w:rsidRPr="002207FE">
        <w:rPr>
          <w:b/>
        </w:rPr>
        <w:t>Número de certificado del emisor y número de certificado del SAT:</w:t>
      </w:r>
    </w:p>
    <w:p w14:paraId="0879535D" w14:textId="77777777" w:rsidR="0010739D" w:rsidRPr="002207FE" w:rsidRDefault="0010739D" w:rsidP="002207FE"/>
    <w:p w14:paraId="317FDDD2" w14:textId="77777777" w:rsidR="0010739D" w:rsidRPr="002207FE" w:rsidRDefault="0010739D" w:rsidP="002207FE">
      <w:r w:rsidRPr="002207FE">
        <w:t xml:space="preserve">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(consultado en la página electrónica </w:t>
      </w:r>
      <w:hyperlink r:id="rId15">
        <w:r w:rsidRPr="002207FE">
          <w:rPr>
            <w:u w:val="single"/>
          </w:rPr>
          <w:t>https://portalanterior.ine.mx/archivos2/tutoriales/sistemas/ApoyoInstitucional/SIF/docs/candidatos/folioFiscalFactura.pdf</w:t>
        </w:r>
      </w:hyperlink>
      <w:r w:rsidRPr="002207FE">
        <w:t>), en la cual se advierte que únicamente se encuentra conformado por números, se muestra a continuación:</w:t>
      </w:r>
    </w:p>
    <w:p w14:paraId="116D7C43" w14:textId="77777777" w:rsidR="0010739D" w:rsidRPr="002207FE" w:rsidRDefault="0010739D" w:rsidP="002207FE"/>
    <w:p w14:paraId="3044C7F2" w14:textId="77777777" w:rsidR="0010739D" w:rsidRPr="002207FE" w:rsidRDefault="0010739D" w:rsidP="002207FE">
      <w:pPr>
        <w:jc w:val="center"/>
      </w:pPr>
      <w:r w:rsidRPr="002207FE">
        <w:rPr>
          <w:noProof/>
        </w:rPr>
        <w:drawing>
          <wp:inline distT="0" distB="0" distL="0" distR="0" wp14:anchorId="6F07BEC6" wp14:editId="172E918A">
            <wp:extent cx="5456959" cy="1061076"/>
            <wp:effectExtent l="0" t="0" r="0" b="0"/>
            <wp:docPr id="17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6"/>
                    <a:srcRect/>
                    <a:stretch>
                      <a:fillRect/>
                    </a:stretch>
                  </pic:blipFill>
                  <pic:spPr>
                    <a:xfrm>
                      <a:off x="0" y="0"/>
                      <a:ext cx="5456959" cy="1061076"/>
                    </a:xfrm>
                    <a:prstGeom prst="rect">
                      <a:avLst/>
                    </a:prstGeom>
                    <a:ln/>
                  </pic:spPr>
                </pic:pic>
              </a:graphicData>
            </a:graphic>
          </wp:inline>
        </w:drawing>
      </w:r>
      <w:r w:rsidRPr="002207FE">
        <w:rPr>
          <w:noProof/>
        </w:rPr>
        <mc:AlternateContent>
          <mc:Choice Requires="wps">
            <w:drawing>
              <wp:anchor distT="0" distB="0" distL="114300" distR="114300" simplePos="0" relativeHeight="251659264" behindDoc="0" locked="0" layoutInCell="1" hidden="0" allowOverlap="1" wp14:anchorId="70922C47" wp14:editId="32B99522">
                <wp:simplePos x="0" y="0"/>
                <wp:positionH relativeFrom="column">
                  <wp:posOffset>292100</wp:posOffset>
                </wp:positionH>
                <wp:positionV relativeFrom="paragraph">
                  <wp:posOffset>812800</wp:posOffset>
                </wp:positionV>
                <wp:extent cx="3486150" cy="247650"/>
                <wp:effectExtent l="0" t="0" r="0" b="0"/>
                <wp:wrapNone/>
                <wp:docPr id="146" name="Rectángulo 146"/>
                <wp:cNvGraphicFramePr/>
                <a:graphic xmlns:a="http://schemas.openxmlformats.org/drawingml/2006/main">
                  <a:graphicData uri="http://schemas.microsoft.com/office/word/2010/wordprocessingShape">
                    <wps:wsp>
                      <wps:cNvSpPr/>
                      <wps:spPr>
                        <a:xfrm>
                          <a:off x="3617213" y="3670463"/>
                          <a:ext cx="3457575" cy="219075"/>
                        </a:xfrm>
                        <a:prstGeom prst="rect">
                          <a:avLst/>
                        </a:prstGeom>
                        <a:noFill/>
                        <a:ln w="28575" cap="flat" cmpd="sng">
                          <a:solidFill>
                            <a:srgbClr val="000000"/>
                          </a:solidFill>
                          <a:prstDash val="solid"/>
                          <a:miter lim="800000"/>
                          <a:headEnd type="none" w="sm" len="sm"/>
                          <a:tailEnd type="none" w="sm" len="sm"/>
                        </a:ln>
                      </wps:spPr>
                      <wps:txbx>
                        <w:txbxContent>
                          <w:p w14:paraId="4412FD8C" w14:textId="77777777" w:rsidR="004A794D" w:rsidRDefault="004A794D" w:rsidP="0010739D">
                            <w:pPr>
                              <w:textDirection w:val="btLr"/>
                            </w:pPr>
                          </w:p>
                        </w:txbxContent>
                      </wps:txbx>
                      <wps:bodyPr spcFirstLastPara="1" wrap="square" lIns="91425" tIns="91425" rIns="91425" bIns="91425" anchor="ctr" anchorCtr="0">
                        <a:noAutofit/>
                      </wps:bodyPr>
                    </wps:wsp>
                  </a:graphicData>
                </a:graphic>
              </wp:anchor>
            </w:drawing>
          </mc:Choice>
          <mc:Fallback>
            <w:pict>
              <v:rect w14:anchorId="70922C47" id="Rectángulo 146" o:spid="_x0000_s1026" style="position:absolute;left:0;text-align:left;margin-left:23pt;margin-top:64pt;width:274.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" filled="f" strokeweight="2.25pt">
                <v:stroke startarrowwidth="narrow" startarrowlength="short" endarrowwidth="narrow" endarrowlength="short"/>
                <v:textbox inset="2.53958mm,2.53958mm,2.53958mm,2.53958mm">
                  <w:txbxContent>
                    <w:p w14:paraId="4412FD8C" w14:textId="77777777" w:rsidR="004A794D" w:rsidRDefault="004A794D" w:rsidP="0010739D">
                      <w:pPr>
                        <w:textDirection w:val="btLr"/>
                      </w:pPr>
                    </w:p>
                  </w:txbxContent>
                </v:textbox>
              </v:rect>
            </w:pict>
          </mc:Fallback>
        </mc:AlternateContent>
      </w:r>
    </w:p>
    <w:p w14:paraId="59B74BD4" w14:textId="77777777" w:rsidR="0010739D" w:rsidRPr="002207FE" w:rsidRDefault="0010739D" w:rsidP="002207FE"/>
    <w:p w14:paraId="67E4F7B4" w14:textId="77777777" w:rsidR="0010739D" w:rsidRPr="002207FE" w:rsidRDefault="0010739D" w:rsidP="002207FE">
      <w:r w:rsidRPr="002207FE">
        <w:t xml:space="preserve">Así, los números de serie del certificado de sello digital no contiene datos personales y con dichos dígitos tampoco se puede obtener información de carácter confidencial, por lo que, tampoco actualizan la causal de clasificación, establecida en el artículo 143, fracción I, de la </w:t>
      </w:r>
      <w:r w:rsidRPr="002207FE">
        <w:lastRenderedPageBreak/>
        <w:t>Ley de Transparencia y Acceso a la Información Pública del Estado de México y Municipios, máxime que permite corroborar la legitimidad a la factura, pues amparan la utilización de los certificados de sellos digitales válidos.</w:t>
      </w:r>
    </w:p>
    <w:p w14:paraId="55FF9F9D" w14:textId="77777777" w:rsidR="0010739D" w:rsidRPr="002207FE" w:rsidRDefault="0010739D" w:rsidP="002207FE"/>
    <w:p w14:paraId="4A9B211A" w14:textId="77777777" w:rsidR="0010739D" w:rsidRPr="002207FE" w:rsidRDefault="0010739D" w:rsidP="002207FE">
      <w:r w:rsidRPr="002207FE">
        <w:t>Para el caso de que dichos números certificados, al ser copiados e ingresados a una plataforma electrónica, revelen datos personales del servidor público, deberán ser protegidos en términos del artículo 143, fracción I, de la Ley de la materia.</w:t>
      </w:r>
    </w:p>
    <w:p w14:paraId="3C51BED5" w14:textId="77777777" w:rsidR="0010739D" w:rsidRPr="002207FE" w:rsidRDefault="0010739D" w:rsidP="002207FE"/>
    <w:p w14:paraId="2712C9CC" w14:textId="77777777" w:rsidR="0010739D" w:rsidRPr="002207FE" w:rsidRDefault="0010739D" w:rsidP="002207FE">
      <w:pPr>
        <w:pStyle w:val="Prrafodelista"/>
        <w:numPr>
          <w:ilvl w:val="0"/>
          <w:numId w:val="39"/>
        </w:numPr>
        <w:ind w:left="284" w:hanging="284"/>
        <w:rPr>
          <w:b/>
        </w:rPr>
      </w:pPr>
      <w:r w:rsidRPr="002207FE">
        <w:rPr>
          <w:b/>
        </w:rPr>
        <w:t>Folio Fiscal:</w:t>
      </w:r>
    </w:p>
    <w:p w14:paraId="16D4577A" w14:textId="77777777" w:rsidR="0010739D" w:rsidRPr="002207FE" w:rsidRDefault="0010739D" w:rsidP="002207FE">
      <w:pPr>
        <w:contextualSpacing/>
        <w:rPr>
          <w:b/>
        </w:rPr>
      </w:pPr>
    </w:p>
    <w:p w14:paraId="6B2C97EB" w14:textId="77777777" w:rsidR="0010739D" w:rsidRPr="002207FE" w:rsidRDefault="0010739D" w:rsidP="002207FE">
      <w:r w:rsidRPr="002207FE">
        <w:t>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28CCFFD8" w14:textId="77777777" w:rsidR="0010739D" w:rsidRPr="002207FE" w:rsidRDefault="0010739D" w:rsidP="002207FE"/>
    <w:p w14:paraId="5B7FC37B" w14:textId="77777777" w:rsidR="0010739D" w:rsidRPr="002207FE" w:rsidRDefault="0010739D" w:rsidP="002207FE">
      <w:pPr>
        <w:jc w:val="center"/>
      </w:pPr>
      <w:r w:rsidRPr="002207FE">
        <w:rPr>
          <w:noProof/>
        </w:rPr>
        <w:drawing>
          <wp:inline distT="0" distB="0" distL="0" distR="0" wp14:anchorId="149AFE37" wp14:editId="191734B0">
            <wp:extent cx="5457825" cy="1562100"/>
            <wp:effectExtent l="0" t="0" r="0" b="0"/>
            <wp:docPr id="17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7"/>
                    <a:srcRect b="32787"/>
                    <a:stretch>
                      <a:fillRect/>
                    </a:stretch>
                  </pic:blipFill>
                  <pic:spPr>
                    <a:xfrm>
                      <a:off x="0" y="0"/>
                      <a:ext cx="5457825" cy="1562100"/>
                    </a:xfrm>
                    <a:prstGeom prst="rect">
                      <a:avLst/>
                    </a:prstGeom>
                    <a:ln/>
                  </pic:spPr>
                </pic:pic>
              </a:graphicData>
            </a:graphic>
          </wp:inline>
        </w:drawing>
      </w:r>
    </w:p>
    <w:p w14:paraId="4F7B207F" w14:textId="77777777" w:rsidR="0010739D" w:rsidRPr="002207FE" w:rsidRDefault="0010739D" w:rsidP="002207FE">
      <w:pPr>
        <w:rPr>
          <w:b/>
          <w:u w:val="single"/>
        </w:rPr>
      </w:pPr>
    </w:p>
    <w:p w14:paraId="419A87AC" w14:textId="77777777" w:rsidR="0010739D" w:rsidRPr="002207FE" w:rsidRDefault="0010739D" w:rsidP="002207FE">
      <w:r w:rsidRPr="002207FE">
        <w:lastRenderedPageBreak/>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60539BA9" w14:textId="77777777" w:rsidR="0010739D" w:rsidRPr="002207FE" w:rsidRDefault="0010739D" w:rsidP="002207FE"/>
    <w:p w14:paraId="02879BDB" w14:textId="77777777" w:rsidR="0010739D" w:rsidRPr="002207FE" w:rsidRDefault="0010739D" w:rsidP="002207FE">
      <w:r w:rsidRPr="002207FE">
        <w:t>Para el caso de que dicho folio fiscal, al ser copiado e ingresado a una plataforma electrónica, revelen datos personales del servidor público, deberán ser protegidos en términos del artículo 143, fracción I, de la Ley de la materia.</w:t>
      </w:r>
    </w:p>
    <w:p w14:paraId="2772E4E5" w14:textId="77777777" w:rsidR="0010739D" w:rsidRPr="002207FE" w:rsidRDefault="0010739D" w:rsidP="002207FE"/>
    <w:p w14:paraId="7DC3F1D8" w14:textId="77777777" w:rsidR="0010739D" w:rsidRPr="002207FE" w:rsidRDefault="0010739D" w:rsidP="002207FE">
      <w:pPr>
        <w:pStyle w:val="Prrafodelista"/>
        <w:numPr>
          <w:ilvl w:val="0"/>
          <w:numId w:val="39"/>
        </w:numPr>
        <w:ind w:left="426"/>
        <w:rPr>
          <w:b/>
        </w:rPr>
      </w:pPr>
      <w:r w:rsidRPr="002207FE">
        <w:rPr>
          <w:b/>
        </w:rPr>
        <w:t>Lugar y fecha de emisión del comprobante:</w:t>
      </w:r>
    </w:p>
    <w:p w14:paraId="6121D557" w14:textId="77777777" w:rsidR="0010739D" w:rsidRPr="002207FE" w:rsidRDefault="0010739D" w:rsidP="002207FE"/>
    <w:p w14:paraId="6A025DC5" w14:textId="77777777" w:rsidR="0010739D" w:rsidRPr="002207FE" w:rsidRDefault="0010739D" w:rsidP="002207FE">
      <w:r w:rsidRPr="002207FE">
        <w:t>Se considera que dichos datos son públicos, en virtud de que únicamente revelan el municipio y entidad federativa donde se expidió el comprobante por parte de la institución pública; por tanto, no es procedente su clasificación como información confidencial.</w:t>
      </w:r>
    </w:p>
    <w:p w14:paraId="77D42F5F" w14:textId="77777777" w:rsidR="0010739D" w:rsidRPr="002207FE" w:rsidRDefault="0010739D" w:rsidP="002207FE"/>
    <w:p w14:paraId="222A436E" w14:textId="77777777" w:rsidR="0010739D" w:rsidRPr="002207FE" w:rsidRDefault="0010739D" w:rsidP="002207FE">
      <w:pPr>
        <w:pStyle w:val="Prrafodelista"/>
        <w:numPr>
          <w:ilvl w:val="0"/>
          <w:numId w:val="39"/>
        </w:numPr>
        <w:ind w:left="426"/>
        <w:rPr>
          <w:b/>
        </w:rPr>
      </w:pPr>
      <w:r w:rsidRPr="002207FE">
        <w:rPr>
          <w:b/>
        </w:rPr>
        <w:t>Régimen Fiscal del Emisor:</w:t>
      </w:r>
    </w:p>
    <w:p w14:paraId="4A698670" w14:textId="77777777" w:rsidR="0010739D" w:rsidRPr="002207FE" w:rsidRDefault="0010739D" w:rsidP="002207FE">
      <w:pPr>
        <w:pStyle w:val="Prrafodelista"/>
        <w:ind w:left="426"/>
        <w:rPr>
          <w:b/>
        </w:rPr>
      </w:pPr>
    </w:p>
    <w:p w14:paraId="4D57485C" w14:textId="77777777" w:rsidR="0010739D" w:rsidRPr="002207FE" w:rsidRDefault="0010739D" w:rsidP="002207FE">
      <w:pPr>
        <w:ind w:left="66"/>
      </w:pPr>
      <w:r w:rsidRPr="002207FE">
        <w:t>Constituye información relativa al régimen fiscal bajo el cual se encuentra tributando el ente público, en este caso el Ayuntamiento de Rayón, ejemplo: Régimen Personas Morales con Fines no Lucrativos, el cual constituye un dato público, en razón de que no arroja ningún tipo de información que actualice la hipótesis prevista en la fracción I del artículo 143 de la Ley de la materia.</w:t>
      </w:r>
    </w:p>
    <w:p w14:paraId="287FCAD0" w14:textId="77777777" w:rsidR="0010739D" w:rsidRPr="002207FE" w:rsidRDefault="0010739D" w:rsidP="002207FE">
      <w:pPr>
        <w:ind w:left="66"/>
      </w:pPr>
    </w:p>
    <w:p w14:paraId="49945BCA" w14:textId="77777777" w:rsidR="0010739D" w:rsidRPr="002207FE" w:rsidRDefault="0010739D" w:rsidP="002207FE">
      <w:pPr>
        <w:pStyle w:val="Prrafodelista"/>
        <w:numPr>
          <w:ilvl w:val="0"/>
          <w:numId w:val="39"/>
        </w:numPr>
        <w:ind w:left="426"/>
        <w:rPr>
          <w:b/>
        </w:rPr>
      </w:pPr>
      <w:r w:rsidRPr="002207FE">
        <w:rPr>
          <w:b/>
        </w:rPr>
        <w:t>Tipo de comprobante:</w:t>
      </w:r>
    </w:p>
    <w:p w14:paraId="5B922022" w14:textId="77777777" w:rsidR="0010739D" w:rsidRPr="002207FE" w:rsidRDefault="0010739D" w:rsidP="002207FE"/>
    <w:p w14:paraId="0FE7AAB2" w14:textId="77777777" w:rsidR="0010739D" w:rsidRPr="002207FE" w:rsidRDefault="0010739D" w:rsidP="002207FE">
      <w:r w:rsidRPr="002207FE">
        <w:t>Es información relativa al tipo de factura que se está emitiendo, encontrándonos dentro de la tipología de comprobantes a los de egresos, ingresos y nómina, el cual constituye un dato público, en razón de que no arroja ningún tipo de información que actualice la hipótesis prevista en la fracción I del artículo 143 de la Ley de la materia.</w:t>
      </w:r>
    </w:p>
    <w:p w14:paraId="458C292F" w14:textId="77777777" w:rsidR="0010739D" w:rsidRPr="002207FE" w:rsidRDefault="0010739D" w:rsidP="002207FE"/>
    <w:p w14:paraId="2D14C498" w14:textId="77777777" w:rsidR="0010739D" w:rsidRPr="002207FE" w:rsidRDefault="0010739D" w:rsidP="002207FE">
      <w:pPr>
        <w:numPr>
          <w:ilvl w:val="0"/>
          <w:numId w:val="43"/>
        </w:numPr>
        <w:rPr>
          <w:b/>
        </w:rPr>
      </w:pPr>
      <w:r w:rsidRPr="002207FE">
        <w:rPr>
          <w:b/>
        </w:rPr>
        <w:t>Forma y método de pago:</w:t>
      </w:r>
    </w:p>
    <w:p w14:paraId="10C6D0DD" w14:textId="77777777" w:rsidR="0010739D" w:rsidRPr="002207FE" w:rsidRDefault="0010739D" w:rsidP="002207FE">
      <w:pPr>
        <w:rPr>
          <w:b/>
        </w:rPr>
      </w:pPr>
    </w:p>
    <w:p w14:paraId="3647795D" w14:textId="77777777" w:rsidR="0010739D" w:rsidRPr="002207FE" w:rsidRDefault="0010739D" w:rsidP="002207FE">
      <w:pPr>
        <w:pStyle w:val="Prrafodelista"/>
        <w:ind w:left="0"/>
      </w:pPr>
      <w:r w:rsidRPr="002207FE">
        <w:t>Se refiere a las parcialidades en que se efectuará el pago del comprobante (una exhibición o parcialidades); así como, la modalidad en que se efectúa: efectivo, transferencia, tarjeta de débito o crédito; información que es susceptible de entregarse, al no actualizar la hipótesis prevista en la fracción I del artículo 143 de la Ley de la materia.</w:t>
      </w:r>
    </w:p>
    <w:p w14:paraId="6247E9C2" w14:textId="77777777" w:rsidR="00F80A58" w:rsidRPr="002207FE" w:rsidRDefault="00F80A58" w:rsidP="002207FE"/>
    <w:p w14:paraId="2524CE89" w14:textId="77777777" w:rsidR="003B3CD6" w:rsidRPr="002207FE" w:rsidRDefault="004C3B66" w:rsidP="002207FE">
      <w:pPr>
        <w:pStyle w:val="Ttulo3"/>
        <w:spacing w:line="360" w:lineRule="auto"/>
        <w:ind w:right="-312"/>
      </w:pPr>
      <w:bookmarkStart w:id="34" w:name="_Toc207804471"/>
      <w:r w:rsidRPr="002207FE">
        <w:t>e) Conclusión</w:t>
      </w:r>
      <w:bookmarkEnd w:id="34"/>
    </w:p>
    <w:p w14:paraId="1014275A" w14:textId="2B873FEC" w:rsidR="003B3CD6" w:rsidRPr="002207FE" w:rsidRDefault="004C3B66" w:rsidP="002207FE">
      <w:pPr>
        <w:widowControl w:val="0"/>
        <w:tabs>
          <w:tab w:val="left" w:pos="1701"/>
          <w:tab w:val="left" w:pos="1843"/>
        </w:tabs>
      </w:pPr>
      <w:r w:rsidRPr="002207FE">
        <w:t xml:space="preserve">En razón de lo anteriormente expuesto, este Instituto estima que las razones o motivos de inconformidad hechos valer por </w:t>
      </w:r>
      <w:r w:rsidRPr="002207FE">
        <w:rPr>
          <w:b/>
        </w:rPr>
        <w:t>LA PARTE RECURRENTE</w:t>
      </w:r>
      <w:r w:rsidRPr="002207FE">
        <w:t xml:space="preserve"> devienen </w:t>
      </w:r>
      <w:r w:rsidRPr="002207FE">
        <w:rPr>
          <w:b/>
        </w:rPr>
        <w:t>fundadas</w:t>
      </w:r>
      <w:r w:rsidRPr="002207FE">
        <w:t xml:space="preserve"> y suficientes para </w:t>
      </w:r>
      <w:r w:rsidR="00EB51EB" w:rsidRPr="002207FE">
        <w:rPr>
          <w:b/>
        </w:rPr>
        <w:t xml:space="preserve">REVOCAR </w:t>
      </w:r>
      <w:r w:rsidRPr="002207FE">
        <w:t xml:space="preserve">la respuesta del </w:t>
      </w:r>
      <w:r w:rsidRPr="002207FE">
        <w:rPr>
          <w:b/>
        </w:rPr>
        <w:t>SUJETO OBLIGADO</w:t>
      </w:r>
      <w:r w:rsidRPr="002207FE">
        <w:t xml:space="preserve"> y ordenarle haga entrega de la informació</w:t>
      </w:r>
      <w:r w:rsidR="00EB51EB" w:rsidRPr="002207FE">
        <w:t>n precisada en el presente considerando.</w:t>
      </w:r>
    </w:p>
    <w:p w14:paraId="70366968" w14:textId="77777777" w:rsidR="003B3CD6" w:rsidRPr="002207FE" w:rsidRDefault="003B3CD6" w:rsidP="002207FE">
      <w:pPr>
        <w:widowControl w:val="0"/>
        <w:tabs>
          <w:tab w:val="left" w:pos="1701"/>
          <w:tab w:val="left" w:pos="1843"/>
        </w:tabs>
      </w:pPr>
    </w:p>
    <w:p w14:paraId="79F084B7" w14:textId="77777777" w:rsidR="00AB758F" w:rsidRPr="002207FE" w:rsidRDefault="00AB758F" w:rsidP="002207FE">
      <w:pPr>
        <w:ind w:right="-93"/>
      </w:pPr>
      <w:bookmarkStart w:id="35" w:name="_heading=h.mqnvgwcxoib9" w:colFirst="0" w:colLast="0"/>
      <w:bookmarkEnd w:id="35"/>
      <w:r w:rsidRPr="002207FE">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BE835A5" w14:textId="77777777" w:rsidR="003B3CD6" w:rsidRPr="002207FE" w:rsidRDefault="003B3CD6" w:rsidP="002207FE"/>
    <w:p w14:paraId="265EEA10" w14:textId="77777777" w:rsidR="003B3CD6" w:rsidRPr="002207FE" w:rsidRDefault="004C3B66" w:rsidP="002207FE">
      <w:pPr>
        <w:pStyle w:val="Ttulo1"/>
        <w:spacing w:after="240"/>
      </w:pPr>
      <w:bookmarkStart w:id="36" w:name="_Toc207804472"/>
      <w:r w:rsidRPr="002207FE">
        <w:lastRenderedPageBreak/>
        <w:t>RESUELVE</w:t>
      </w:r>
      <w:bookmarkEnd w:id="36"/>
    </w:p>
    <w:p w14:paraId="78B6BEDA" w14:textId="7C5455E0" w:rsidR="003B3CD6" w:rsidRPr="002207FE" w:rsidRDefault="004C3B66" w:rsidP="002207FE">
      <w:pPr>
        <w:widowControl w:val="0"/>
        <w:spacing w:after="240"/>
      </w:pPr>
      <w:r w:rsidRPr="002207FE">
        <w:rPr>
          <w:b/>
        </w:rPr>
        <w:t>PRIMERO.</w:t>
      </w:r>
      <w:r w:rsidRPr="002207FE">
        <w:t xml:space="preserve"> Se</w:t>
      </w:r>
      <w:r w:rsidR="009318BD" w:rsidRPr="002207FE">
        <w:rPr>
          <w:b/>
        </w:rPr>
        <w:t xml:space="preserve"> </w:t>
      </w:r>
      <w:r w:rsidR="00EB51EB" w:rsidRPr="002207FE">
        <w:rPr>
          <w:b/>
        </w:rPr>
        <w:t xml:space="preserve">REVOCA </w:t>
      </w:r>
      <w:r w:rsidRPr="002207FE">
        <w:t xml:space="preserve">la respuesta entregada por el </w:t>
      </w:r>
      <w:r w:rsidRPr="002207FE">
        <w:rPr>
          <w:b/>
        </w:rPr>
        <w:t>SUJETO OBLIGADO</w:t>
      </w:r>
      <w:r w:rsidRPr="002207FE">
        <w:t xml:space="preserve"> en la solicitud de información </w:t>
      </w:r>
      <w:r w:rsidR="00703BB6" w:rsidRPr="002207FE">
        <w:rPr>
          <w:b/>
        </w:rPr>
        <w:t>00074/HUIXQUIL/IP/2025</w:t>
      </w:r>
      <w:r w:rsidRPr="002207FE">
        <w:t xml:space="preserve">, por resultar </w:t>
      </w:r>
      <w:r w:rsidRPr="002207FE">
        <w:rPr>
          <w:b/>
        </w:rPr>
        <w:t>FUNDADAS</w:t>
      </w:r>
      <w:r w:rsidRPr="002207FE">
        <w:t xml:space="preserve"> las razones o motivos de inconformidad hechos valer por </w:t>
      </w:r>
      <w:r w:rsidRPr="002207FE">
        <w:rPr>
          <w:b/>
        </w:rPr>
        <w:t>LA PARTE RECURRENTE</w:t>
      </w:r>
      <w:r w:rsidRPr="002207FE">
        <w:t xml:space="preserve"> en el Recurso de Revisión </w:t>
      </w:r>
      <w:r w:rsidR="00703BB6" w:rsidRPr="002207FE">
        <w:rPr>
          <w:b/>
        </w:rPr>
        <w:t>06217/INFOEM/IP/RR/2025</w:t>
      </w:r>
      <w:r w:rsidRPr="002207FE">
        <w:t>,</w:t>
      </w:r>
      <w:r w:rsidRPr="002207FE">
        <w:rPr>
          <w:b/>
        </w:rPr>
        <w:t xml:space="preserve"> </w:t>
      </w:r>
      <w:r w:rsidRPr="002207FE">
        <w:t xml:space="preserve">en términos del considerando </w:t>
      </w:r>
      <w:r w:rsidRPr="002207FE">
        <w:rPr>
          <w:b/>
        </w:rPr>
        <w:t>SEGUNDO</w:t>
      </w:r>
      <w:r w:rsidRPr="002207FE">
        <w:t xml:space="preserve"> de la presente Resolución.</w:t>
      </w:r>
    </w:p>
    <w:p w14:paraId="7D8D145F" w14:textId="025127BE" w:rsidR="00BA1E3F" w:rsidRPr="002207FE" w:rsidRDefault="004C3B66" w:rsidP="002207FE">
      <w:pPr>
        <w:spacing w:after="240"/>
        <w:ind w:right="-93"/>
      </w:pPr>
      <w:r w:rsidRPr="002207FE">
        <w:rPr>
          <w:b/>
        </w:rPr>
        <w:t>SEGUNDO.</w:t>
      </w:r>
      <w:r w:rsidRPr="002207FE">
        <w:t xml:space="preserve"> Se </w:t>
      </w:r>
      <w:r w:rsidRPr="002207FE">
        <w:rPr>
          <w:b/>
        </w:rPr>
        <w:t xml:space="preserve">ORDENA </w:t>
      </w:r>
      <w:r w:rsidRPr="002207FE">
        <w:t xml:space="preserve">al </w:t>
      </w:r>
      <w:r w:rsidRPr="002207FE">
        <w:rPr>
          <w:b/>
        </w:rPr>
        <w:t>SUJETO OBLIGADO</w:t>
      </w:r>
      <w:r w:rsidRPr="002207FE">
        <w:t xml:space="preserve">, a efecto de que a través del </w:t>
      </w:r>
      <w:r w:rsidRPr="002207FE">
        <w:rPr>
          <w:b/>
        </w:rPr>
        <w:t>SAIMEX</w:t>
      </w:r>
      <w:r w:rsidRPr="002207FE">
        <w:t xml:space="preserve">, </w:t>
      </w:r>
      <w:r w:rsidR="00AC1055" w:rsidRPr="002207FE">
        <w:t>en</w:t>
      </w:r>
      <w:r w:rsidRPr="002207FE">
        <w:t xml:space="preserve"> </w:t>
      </w:r>
      <w:r w:rsidRPr="002207FE">
        <w:rPr>
          <w:b/>
        </w:rPr>
        <w:t>versión pública</w:t>
      </w:r>
      <w:r w:rsidR="00BA1E3F" w:rsidRPr="002207FE">
        <w:rPr>
          <w:b/>
        </w:rPr>
        <w:t xml:space="preserve">, </w:t>
      </w:r>
      <w:r w:rsidR="00902394" w:rsidRPr="002207FE">
        <w:rPr>
          <w:bCs/>
        </w:rPr>
        <w:t xml:space="preserve">de </w:t>
      </w:r>
      <w:r w:rsidRPr="002207FE">
        <w:t>lo siguiente:</w:t>
      </w:r>
    </w:p>
    <w:p w14:paraId="559E8FFC" w14:textId="64ADBE79" w:rsidR="00485AEF" w:rsidRPr="002207FE" w:rsidRDefault="00694F78" w:rsidP="002207FE">
      <w:pPr>
        <w:spacing w:after="240" w:line="276" w:lineRule="auto"/>
        <w:ind w:left="720" w:right="822"/>
        <w:rPr>
          <w:b/>
          <w:i/>
        </w:rPr>
      </w:pPr>
      <w:r w:rsidRPr="002207FE">
        <w:rPr>
          <w:b/>
          <w:i/>
        </w:rPr>
        <w:t>Los recibos de nómina de la Presidenta Municipal, Síndicos, Regidores y Directores de área correspondientes a la segunda quincena del mes de abril de 2025</w:t>
      </w:r>
      <w:r w:rsidR="00485AEF" w:rsidRPr="002207FE">
        <w:rPr>
          <w:b/>
          <w:i/>
        </w:rPr>
        <w:t>.</w:t>
      </w:r>
    </w:p>
    <w:p w14:paraId="122F271C" w14:textId="2AB6AA07" w:rsidR="00BA1E3F" w:rsidRPr="002207FE" w:rsidRDefault="00EB51EB" w:rsidP="002207FE">
      <w:pPr>
        <w:spacing w:after="240"/>
      </w:pPr>
      <w:r w:rsidRPr="002207FE">
        <w:t>S</w:t>
      </w:r>
      <w:r w:rsidR="004C3B66" w:rsidRPr="002207FE">
        <w:t>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55F9F51B" w14:textId="77777777" w:rsidR="003B3CD6" w:rsidRPr="002207FE" w:rsidRDefault="004C3B66" w:rsidP="002207FE">
      <w:bookmarkStart w:id="37" w:name="_heading=h.qffin7z8zpqs" w:colFirst="0" w:colLast="0"/>
      <w:bookmarkEnd w:id="37"/>
      <w:r w:rsidRPr="002207FE">
        <w:rPr>
          <w:b/>
        </w:rPr>
        <w:t>TERCERO.</w:t>
      </w:r>
      <w:r w:rsidRPr="002207FE">
        <w:t xml:space="preserve"> </w:t>
      </w:r>
      <w:r w:rsidRPr="002207FE">
        <w:rPr>
          <w:b/>
        </w:rPr>
        <w:t xml:space="preserve">Notifíquese </w:t>
      </w:r>
      <w:r w:rsidRPr="002207FE">
        <w:t>vía Sistema de Acceso a la Información Mexiquense (</w:t>
      </w:r>
      <w:r w:rsidRPr="002207FE">
        <w:rPr>
          <w:b/>
        </w:rPr>
        <w:t>SAIMEX</w:t>
      </w:r>
      <w:r w:rsidRPr="002207FE">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2207FE">
        <w:rPr>
          <w:b/>
          <w:i/>
        </w:rPr>
        <w:t>diez días hábiles</w:t>
      </w:r>
      <w:r w:rsidRPr="002207FE">
        <w:t xml:space="preserve">, e informe a este Instituto en un plazo de </w:t>
      </w:r>
      <w:r w:rsidRPr="002207FE">
        <w:rPr>
          <w:b/>
          <w:i/>
        </w:rPr>
        <w:t xml:space="preserve">tres días hábiles </w:t>
      </w:r>
      <w:r w:rsidRPr="002207FE">
        <w:t>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7B42820" w14:textId="77777777" w:rsidR="003B3CD6" w:rsidRPr="002207FE" w:rsidRDefault="004C3B66" w:rsidP="002207FE">
      <w:r w:rsidRPr="002207FE">
        <w:rPr>
          <w:b/>
        </w:rPr>
        <w:lastRenderedPageBreak/>
        <w:t>CUARTO.</w:t>
      </w:r>
      <w:r w:rsidRPr="002207FE">
        <w:t xml:space="preserve"> Notifíquese a </w:t>
      </w:r>
      <w:r w:rsidRPr="002207FE">
        <w:rPr>
          <w:b/>
        </w:rPr>
        <w:t>LA PARTE RECURRENTE</w:t>
      </w:r>
      <w:r w:rsidRPr="002207FE">
        <w:t xml:space="preserve"> la presente resolución vía Sistema de Acceso a la Información Mexiquense (</w:t>
      </w:r>
      <w:r w:rsidRPr="002207FE">
        <w:rPr>
          <w:b/>
        </w:rPr>
        <w:t>SAIMEX</w:t>
      </w:r>
      <w:r w:rsidRPr="002207FE">
        <w:t>).</w:t>
      </w:r>
    </w:p>
    <w:p w14:paraId="6574242C" w14:textId="77777777" w:rsidR="003B3CD6" w:rsidRPr="002207FE" w:rsidRDefault="003B3CD6" w:rsidP="002207FE"/>
    <w:p w14:paraId="339C8FF1" w14:textId="77777777" w:rsidR="003B3CD6" w:rsidRPr="002207FE" w:rsidRDefault="004C3B66" w:rsidP="002207FE">
      <w:r w:rsidRPr="002207FE">
        <w:rPr>
          <w:b/>
        </w:rPr>
        <w:t>QUINTO</w:t>
      </w:r>
      <w:r w:rsidRPr="002207FE">
        <w:t xml:space="preserve">. Hágase del conocimiento a </w:t>
      </w:r>
      <w:r w:rsidRPr="002207FE">
        <w:rPr>
          <w:b/>
        </w:rPr>
        <w:t>LA PARTE RECURRENTE</w:t>
      </w:r>
      <w:r w:rsidRPr="002207FE">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184ACFDE" w14:textId="77777777" w:rsidR="003B3CD6" w:rsidRPr="002207FE" w:rsidRDefault="003B3CD6" w:rsidP="002207FE"/>
    <w:p w14:paraId="09153DC9" w14:textId="77777777" w:rsidR="003B3CD6" w:rsidRPr="002207FE" w:rsidRDefault="004C3B66" w:rsidP="002207FE">
      <w:r w:rsidRPr="002207FE">
        <w:rPr>
          <w:b/>
        </w:rPr>
        <w:t>SEXTO.</w:t>
      </w:r>
      <w:r w:rsidRPr="002207FE">
        <w:t xml:space="preserve"> De conformidad con el artículo 198 de la Ley de Transparencia y Acceso a la Información Pública del Estado de México y Municipios, el </w:t>
      </w:r>
      <w:r w:rsidRPr="002207FE">
        <w:rPr>
          <w:b/>
        </w:rPr>
        <w:t>SUJETO OBLIGADO</w:t>
      </w:r>
      <w:r w:rsidRPr="002207FE">
        <w:t xml:space="preserve"> podrá solicitar una ampliación de plazo de manera fundada y motivada, para el cumplimiento de la presente resolución.</w:t>
      </w:r>
    </w:p>
    <w:p w14:paraId="0EEFFC19" w14:textId="77777777" w:rsidR="003B3CD6" w:rsidRPr="002207FE" w:rsidRDefault="003B3CD6" w:rsidP="002207FE"/>
    <w:p w14:paraId="27A707C7" w14:textId="5BF98D2B" w:rsidR="003B3CD6" w:rsidRPr="002207FE" w:rsidRDefault="002207FE" w:rsidP="002207FE">
      <w:pPr>
        <w:ind w:right="-93"/>
      </w:pPr>
      <w:r w:rsidRPr="00595222">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t xml:space="preserve"> (AUSENCIA JUSTIFICADA)</w:t>
      </w:r>
      <w:r w:rsidRPr="00595222">
        <w:t>, S</w:t>
      </w:r>
      <w:r>
        <w:t xml:space="preserve">HARON CRISTINA MORALES MARTÍNEZ, LUIS GUSTAVO PARRA NORIEGA </w:t>
      </w:r>
      <w:r w:rsidRPr="00595222">
        <w:t xml:space="preserve">Y GUADALUPE RAMÍREZ PEÑA, EN LA </w:t>
      </w:r>
      <w:r>
        <w:t>TRIGÉSIMA PRIMERA</w:t>
      </w:r>
      <w:r w:rsidRPr="00595222">
        <w:t xml:space="preserve"> SESIÓN ORDINARIA, CELEBRADA EL </w:t>
      </w:r>
      <w:r>
        <w:t>TRES DE SEPTIEMBRE</w:t>
      </w:r>
      <w:r w:rsidRPr="00595222">
        <w:t xml:space="preserve"> DE DOS MIL VEINTICINCO ANTE EL SECRETARIO TÉCNICO DEL PLENO, ALEXIS TAPIA RAMÍREZ.</w:t>
      </w:r>
    </w:p>
    <w:p w14:paraId="4DE215B7" w14:textId="77777777" w:rsidR="003B3CD6" w:rsidRPr="002207FE" w:rsidRDefault="004C3B66" w:rsidP="002207FE">
      <w:pPr>
        <w:ind w:right="-93"/>
      </w:pPr>
      <w:bookmarkStart w:id="38" w:name="_heading=h.qxgq53ks1kt3" w:colFirst="0" w:colLast="0"/>
      <w:bookmarkEnd w:id="38"/>
      <w:r w:rsidRPr="002207FE">
        <w:t>SCMM/AGZ/DEMF/PAG</w:t>
      </w:r>
    </w:p>
    <w:p w14:paraId="7567DEB3" w14:textId="77777777" w:rsidR="003B3CD6" w:rsidRPr="002207FE" w:rsidRDefault="003B3CD6" w:rsidP="002207FE">
      <w:pPr>
        <w:ind w:right="-93"/>
      </w:pPr>
    </w:p>
    <w:p w14:paraId="2CD77556" w14:textId="77777777" w:rsidR="003B3CD6" w:rsidRPr="002207FE" w:rsidRDefault="003B3CD6" w:rsidP="002207FE">
      <w:pPr>
        <w:ind w:right="-93"/>
      </w:pPr>
    </w:p>
    <w:p w14:paraId="60BD24E7" w14:textId="77777777" w:rsidR="003B3CD6" w:rsidRPr="002207FE" w:rsidRDefault="003B3CD6" w:rsidP="002207FE">
      <w:pPr>
        <w:ind w:right="-93"/>
      </w:pPr>
    </w:p>
    <w:p w14:paraId="533DA8C1" w14:textId="77777777" w:rsidR="003B3CD6" w:rsidRPr="002207FE" w:rsidRDefault="003B3CD6" w:rsidP="002207FE">
      <w:pPr>
        <w:ind w:right="-93"/>
      </w:pPr>
    </w:p>
    <w:p w14:paraId="7F7FD119" w14:textId="77777777" w:rsidR="003B3CD6" w:rsidRPr="002207FE" w:rsidRDefault="003B3CD6" w:rsidP="002207FE">
      <w:pPr>
        <w:ind w:right="-93"/>
      </w:pPr>
    </w:p>
    <w:p w14:paraId="658595E1" w14:textId="77777777" w:rsidR="003B3CD6" w:rsidRPr="002207FE" w:rsidRDefault="003B3CD6" w:rsidP="002207FE">
      <w:pPr>
        <w:ind w:right="-93"/>
      </w:pPr>
    </w:p>
    <w:p w14:paraId="50D3C4DC" w14:textId="77777777" w:rsidR="003B3CD6" w:rsidRPr="002207FE" w:rsidRDefault="003B3CD6" w:rsidP="002207FE">
      <w:pPr>
        <w:ind w:right="-93"/>
      </w:pPr>
    </w:p>
    <w:p w14:paraId="673409E1" w14:textId="77777777" w:rsidR="003B3CD6" w:rsidRPr="002207FE" w:rsidRDefault="003B3CD6" w:rsidP="002207FE">
      <w:pPr>
        <w:ind w:right="-93"/>
      </w:pPr>
    </w:p>
    <w:p w14:paraId="526BF466" w14:textId="77777777" w:rsidR="003B3CD6" w:rsidRPr="002207FE" w:rsidRDefault="003B3CD6" w:rsidP="002207FE">
      <w:pPr>
        <w:tabs>
          <w:tab w:val="center" w:pos="4568"/>
        </w:tabs>
        <w:ind w:right="-93"/>
      </w:pPr>
    </w:p>
    <w:p w14:paraId="128BC9F8" w14:textId="77777777" w:rsidR="003B3CD6" w:rsidRPr="002207FE" w:rsidRDefault="003B3CD6" w:rsidP="002207FE">
      <w:pPr>
        <w:tabs>
          <w:tab w:val="center" w:pos="4568"/>
        </w:tabs>
        <w:ind w:right="-93"/>
      </w:pPr>
    </w:p>
    <w:p w14:paraId="17CFEB90" w14:textId="77777777" w:rsidR="003B3CD6" w:rsidRPr="002207FE" w:rsidRDefault="003B3CD6" w:rsidP="002207FE">
      <w:pPr>
        <w:tabs>
          <w:tab w:val="center" w:pos="4568"/>
        </w:tabs>
        <w:ind w:right="-93"/>
      </w:pPr>
    </w:p>
    <w:p w14:paraId="1E8CBD32" w14:textId="77777777" w:rsidR="003B3CD6" w:rsidRPr="002207FE" w:rsidRDefault="003B3CD6" w:rsidP="002207FE">
      <w:pPr>
        <w:tabs>
          <w:tab w:val="center" w:pos="4568"/>
        </w:tabs>
        <w:ind w:right="-93"/>
      </w:pPr>
    </w:p>
    <w:p w14:paraId="1842DE64" w14:textId="77777777" w:rsidR="003B3CD6" w:rsidRPr="002207FE" w:rsidRDefault="003B3CD6" w:rsidP="002207FE">
      <w:pPr>
        <w:tabs>
          <w:tab w:val="center" w:pos="4568"/>
        </w:tabs>
        <w:ind w:right="-93"/>
      </w:pPr>
    </w:p>
    <w:p w14:paraId="585A50C8" w14:textId="77777777" w:rsidR="003B3CD6" w:rsidRPr="002207FE" w:rsidRDefault="003B3CD6" w:rsidP="002207FE">
      <w:pPr>
        <w:tabs>
          <w:tab w:val="center" w:pos="4568"/>
        </w:tabs>
        <w:ind w:right="-93"/>
      </w:pPr>
    </w:p>
    <w:p w14:paraId="1BD9FA2D" w14:textId="77777777" w:rsidR="003B3CD6" w:rsidRPr="002207FE" w:rsidRDefault="003B3CD6" w:rsidP="002207FE">
      <w:pPr>
        <w:tabs>
          <w:tab w:val="center" w:pos="4568"/>
        </w:tabs>
        <w:ind w:right="-93"/>
      </w:pPr>
    </w:p>
    <w:p w14:paraId="145F4AF2" w14:textId="77777777" w:rsidR="003B3CD6" w:rsidRPr="002207FE" w:rsidRDefault="003B3CD6" w:rsidP="002207FE">
      <w:pPr>
        <w:tabs>
          <w:tab w:val="center" w:pos="4568"/>
        </w:tabs>
        <w:ind w:right="-93"/>
      </w:pPr>
    </w:p>
    <w:p w14:paraId="26CADB0A" w14:textId="77777777" w:rsidR="003B3CD6" w:rsidRPr="002207FE" w:rsidRDefault="003B3CD6" w:rsidP="002207FE">
      <w:pPr>
        <w:tabs>
          <w:tab w:val="center" w:pos="4568"/>
        </w:tabs>
        <w:ind w:right="-93"/>
      </w:pPr>
    </w:p>
    <w:p w14:paraId="4F41E027" w14:textId="77777777" w:rsidR="003B3CD6" w:rsidRPr="002207FE" w:rsidRDefault="003B3CD6" w:rsidP="002207FE">
      <w:pPr>
        <w:tabs>
          <w:tab w:val="center" w:pos="4568"/>
        </w:tabs>
        <w:ind w:right="-93"/>
      </w:pPr>
    </w:p>
    <w:p w14:paraId="2D4129FC" w14:textId="77777777" w:rsidR="003B3CD6" w:rsidRPr="002207FE" w:rsidRDefault="003B3CD6" w:rsidP="002207FE">
      <w:pPr>
        <w:tabs>
          <w:tab w:val="center" w:pos="4568"/>
        </w:tabs>
        <w:ind w:right="-93"/>
      </w:pPr>
    </w:p>
    <w:p w14:paraId="37F47F04" w14:textId="77777777" w:rsidR="003B3CD6" w:rsidRPr="002207FE" w:rsidRDefault="003B3CD6" w:rsidP="002207FE">
      <w:pPr>
        <w:tabs>
          <w:tab w:val="center" w:pos="4568"/>
        </w:tabs>
        <w:ind w:right="-93"/>
      </w:pPr>
    </w:p>
    <w:p w14:paraId="39B98775" w14:textId="77777777" w:rsidR="003B3CD6" w:rsidRPr="002207FE" w:rsidRDefault="003B3CD6" w:rsidP="002207FE">
      <w:pPr>
        <w:tabs>
          <w:tab w:val="center" w:pos="4568"/>
        </w:tabs>
        <w:ind w:right="-93"/>
      </w:pPr>
    </w:p>
    <w:p w14:paraId="1D8E6687" w14:textId="77777777" w:rsidR="003B3CD6" w:rsidRPr="002207FE" w:rsidRDefault="003B3CD6" w:rsidP="002207FE"/>
    <w:sectPr w:rsidR="003B3CD6" w:rsidRPr="002207FE">
      <w:footerReference w:type="default" r:id="rId18"/>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763777" w14:textId="77777777" w:rsidR="00FB29D7" w:rsidRDefault="00FB29D7">
      <w:pPr>
        <w:spacing w:line="240" w:lineRule="auto"/>
      </w:pPr>
      <w:r>
        <w:separator/>
      </w:r>
    </w:p>
  </w:endnote>
  <w:endnote w:type="continuationSeparator" w:id="0">
    <w:p w14:paraId="6FA8A080" w14:textId="77777777" w:rsidR="00FB29D7" w:rsidRDefault="00FB29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2CA94" w14:textId="77777777" w:rsidR="004A794D" w:rsidRDefault="004A794D">
    <w:pPr>
      <w:tabs>
        <w:tab w:val="center" w:pos="4550"/>
        <w:tab w:val="left" w:pos="5818"/>
      </w:tabs>
      <w:ind w:right="260"/>
      <w:jc w:val="right"/>
      <w:rPr>
        <w:color w:val="071320"/>
        <w:sz w:val="24"/>
        <w:szCs w:val="24"/>
      </w:rPr>
    </w:pPr>
  </w:p>
  <w:p w14:paraId="0FB292AB" w14:textId="77777777" w:rsidR="004A794D" w:rsidRDefault="004A794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69C3" w14:textId="77777777" w:rsidR="004A794D" w:rsidRDefault="004A794D">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A8498E">
      <w:rPr>
        <w:noProof/>
        <w:color w:val="0A1D30"/>
        <w:sz w:val="24"/>
        <w:szCs w:val="24"/>
      </w:rPr>
      <w:t>19</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A8498E">
      <w:rPr>
        <w:noProof/>
        <w:color w:val="0A1D30"/>
        <w:sz w:val="24"/>
        <w:szCs w:val="24"/>
      </w:rPr>
      <w:t>55</w:t>
    </w:r>
    <w:r>
      <w:rPr>
        <w:color w:val="0A1D30"/>
        <w:sz w:val="24"/>
        <w:szCs w:val="24"/>
      </w:rPr>
      <w:fldChar w:fldCharType="end"/>
    </w:r>
  </w:p>
  <w:p w14:paraId="32F03D26" w14:textId="77777777" w:rsidR="004A794D" w:rsidRDefault="004A794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E4253" w14:textId="77777777" w:rsidR="00FB29D7" w:rsidRDefault="00FB29D7">
      <w:pPr>
        <w:spacing w:line="240" w:lineRule="auto"/>
      </w:pPr>
      <w:r>
        <w:separator/>
      </w:r>
    </w:p>
  </w:footnote>
  <w:footnote w:type="continuationSeparator" w:id="0">
    <w:p w14:paraId="1BE453E7" w14:textId="77777777" w:rsidR="00FB29D7" w:rsidRDefault="00FB29D7">
      <w:pPr>
        <w:spacing w:line="240" w:lineRule="auto"/>
      </w:pPr>
      <w:r>
        <w:continuationSeparator/>
      </w:r>
    </w:p>
  </w:footnote>
  <w:footnote w:id="1">
    <w:p w14:paraId="4C3FA393" w14:textId="77777777" w:rsidR="004A794D" w:rsidRDefault="004A794D" w:rsidP="00F57435">
      <w:pPr>
        <w:pStyle w:val="Textonotapie"/>
        <w:rPr>
          <w:i/>
          <w:iCs/>
          <w:sz w:val="18"/>
          <w:szCs w:val="18"/>
        </w:rPr>
      </w:pPr>
      <w:r>
        <w:rPr>
          <w:rStyle w:val="Refdenotaalpie"/>
          <w:rFonts w:eastAsiaTheme="majorEastAsia"/>
        </w:rPr>
        <w:footnoteRef/>
      </w:r>
      <w:r>
        <w:t xml:space="preserve"> </w:t>
      </w:r>
      <w:hyperlink r:id="rId1" w:history="1">
        <w:r>
          <w:rPr>
            <w:rStyle w:val="Hipervnculo"/>
            <w:rFonts w:eastAsiaTheme="majorEastAsia" w:cs="Tahoma"/>
            <w:bCs/>
            <w:i/>
            <w:iCs/>
            <w:sz w:val="18"/>
            <w:szCs w:val="18"/>
          </w:rPr>
          <w:t>https://opendatacharter.net/principles-es/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10145" w14:textId="77777777" w:rsidR="004A794D" w:rsidRDefault="004A794D">
    <w:pPr>
      <w:widowControl w:val="0"/>
      <w:pBdr>
        <w:top w:val="nil"/>
        <w:left w:val="nil"/>
        <w:bottom w:val="nil"/>
        <w:right w:val="nil"/>
        <w:between w:val="nil"/>
      </w:pBdr>
      <w:spacing w:line="276" w:lineRule="auto"/>
      <w:jc w:val="left"/>
      <w:rPr>
        <w:color w:val="000000"/>
        <w:sz w:val="20"/>
        <w:szCs w:val="20"/>
      </w:rPr>
    </w:pPr>
  </w:p>
  <w:tbl>
    <w:tblPr>
      <w:tblStyle w:val="a7"/>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4A794D" w14:paraId="4DFC20B6" w14:textId="77777777">
      <w:trPr>
        <w:trHeight w:val="144"/>
        <w:jc w:val="right"/>
      </w:trPr>
      <w:tc>
        <w:tcPr>
          <w:tcW w:w="2727" w:type="dxa"/>
        </w:tcPr>
        <w:p w14:paraId="703A86A3" w14:textId="77777777" w:rsidR="004A794D" w:rsidRDefault="004A794D">
          <w:pPr>
            <w:tabs>
              <w:tab w:val="right" w:pos="8838"/>
            </w:tabs>
            <w:ind w:left="-74" w:right="-105"/>
            <w:rPr>
              <w:b/>
            </w:rPr>
          </w:pPr>
          <w:r>
            <w:rPr>
              <w:b/>
            </w:rPr>
            <w:t>Recurso de Revisión:</w:t>
          </w:r>
        </w:p>
      </w:tc>
      <w:tc>
        <w:tcPr>
          <w:tcW w:w="3402" w:type="dxa"/>
        </w:tcPr>
        <w:p w14:paraId="104BFB80" w14:textId="0DF82033" w:rsidR="004A794D" w:rsidRDefault="004A794D">
          <w:pPr>
            <w:tabs>
              <w:tab w:val="right" w:pos="8838"/>
            </w:tabs>
            <w:ind w:left="-74" w:right="-105"/>
          </w:pPr>
          <w:r w:rsidRPr="00703BB6">
            <w:t>06217/INFOEM/IP/RR/2025</w:t>
          </w:r>
        </w:p>
      </w:tc>
    </w:tr>
    <w:tr w:rsidR="004A794D" w14:paraId="3404AB11" w14:textId="77777777">
      <w:trPr>
        <w:trHeight w:val="283"/>
        <w:jc w:val="right"/>
      </w:trPr>
      <w:tc>
        <w:tcPr>
          <w:tcW w:w="2727" w:type="dxa"/>
        </w:tcPr>
        <w:p w14:paraId="5C7FBD55" w14:textId="77777777" w:rsidR="004A794D" w:rsidRDefault="004A794D">
          <w:pPr>
            <w:tabs>
              <w:tab w:val="right" w:pos="8838"/>
            </w:tabs>
            <w:ind w:left="-74" w:right="-105"/>
            <w:rPr>
              <w:b/>
            </w:rPr>
          </w:pPr>
          <w:r>
            <w:rPr>
              <w:b/>
            </w:rPr>
            <w:t>Sujeto Obligado:</w:t>
          </w:r>
        </w:p>
      </w:tc>
      <w:tc>
        <w:tcPr>
          <w:tcW w:w="3402" w:type="dxa"/>
        </w:tcPr>
        <w:p w14:paraId="2B8F5034" w14:textId="3FBEBC98" w:rsidR="004A794D" w:rsidRDefault="004A794D">
          <w:pPr>
            <w:tabs>
              <w:tab w:val="left" w:pos="2834"/>
              <w:tab w:val="right" w:pos="8838"/>
            </w:tabs>
            <w:ind w:left="-108" w:right="-105"/>
          </w:pPr>
          <w:r w:rsidRPr="00703BB6">
            <w:t>Ayuntamiento de Huixquilucan</w:t>
          </w:r>
        </w:p>
      </w:tc>
    </w:tr>
    <w:tr w:rsidR="004A794D" w14:paraId="18237119" w14:textId="77777777">
      <w:trPr>
        <w:trHeight w:val="283"/>
        <w:jc w:val="right"/>
      </w:trPr>
      <w:tc>
        <w:tcPr>
          <w:tcW w:w="2727" w:type="dxa"/>
        </w:tcPr>
        <w:p w14:paraId="32236C4A" w14:textId="77777777" w:rsidR="004A794D" w:rsidRDefault="004A794D">
          <w:pPr>
            <w:tabs>
              <w:tab w:val="right" w:pos="8838"/>
            </w:tabs>
            <w:ind w:left="-74" w:right="-105"/>
            <w:rPr>
              <w:b/>
            </w:rPr>
          </w:pPr>
          <w:r>
            <w:rPr>
              <w:b/>
            </w:rPr>
            <w:t>Comisionada Ponente:</w:t>
          </w:r>
        </w:p>
      </w:tc>
      <w:tc>
        <w:tcPr>
          <w:tcW w:w="3402" w:type="dxa"/>
        </w:tcPr>
        <w:p w14:paraId="13FE26CE" w14:textId="77777777" w:rsidR="004A794D" w:rsidRDefault="004A794D">
          <w:pPr>
            <w:tabs>
              <w:tab w:val="right" w:pos="8838"/>
            </w:tabs>
            <w:ind w:left="-108" w:right="-105"/>
          </w:pPr>
          <w:r>
            <w:t>Sharon Cristina Morales Martínez</w:t>
          </w:r>
        </w:p>
      </w:tc>
    </w:tr>
  </w:tbl>
  <w:p w14:paraId="22B691C4" w14:textId="77777777" w:rsidR="004A794D" w:rsidRDefault="004A794D">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7D8B20CC" wp14:editId="5D762FB0">
          <wp:simplePos x="0" y="0"/>
          <wp:positionH relativeFrom="margin">
            <wp:posOffset>-995041</wp:posOffset>
          </wp:positionH>
          <wp:positionV relativeFrom="margin">
            <wp:posOffset>-1782442</wp:posOffset>
          </wp:positionV>
          <wp:extent cx="8426450" cy="10972800"/>
          <wp:effectExtent l="0" t="0" r="0" b="0"/>
          <wp:wrapNone/>
          <wp:docPr id="68367787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37287" w14:textId="4912C962" w:rsidR="004A794D" w:rsidRDefault="004A794D">
    <w:pPr>
      <w:widowControl w:val="0"/>
      <w:pBdr>
        <w:top w:val="nil"/>
        <w:left w:val="nil"/>
        <w:bottom w:val="nil"/>
        <w:right w:val="nil"/>
        <w:between w:val="nil"/>
      </w:pBdr>
      <w:spacing w:line="276" w:lineRule="auto"/>
      <w:jc w:val="left"/>
      <w:rPr>
        <w:color w:val="000000"/>
        <w:sz w:val="14"/>
        <w:szCs w:val="14"/>
      </w:rPr>
    </w:pPr>
  </w:p>
  <w:tbl>
    <w:tblPr>
      <w:tblStyle w:val="a8"/>
      <w:tblW w:w="6660" w:type="dxa"/>
      <w:tblInd w:w="2552" w:type="dxa"/>
      <w:tblLayout w:type="fixed"/>
      <w:tblLook w:val="0400" w:firstRow="0" w:lastRow="0" w:firstColumn="0" w:lastColumn="0" w:noHBand="0" w:noVBand="1"/>
    </w:tblPr>
    <w:tblGrid>
      <w:gridCol w:w="283"/>
      <w:gridCol w:w="6377"/>
    </w:tblGrid>
    <w:tr w:rsidR="004A794D" w14:paraId="7E006341" w14:textId="77777777">
      <w:trPr>
        <w:trHeight w:val="1435"/>
      </w:trPr>
      <w:tc>
        <w:tcPr>
          <w:tcW w:w="283" w:type="dxa"/>
        </w:tcPr>
        <w:p w14:paraId="538D7CA2" w14:textId="77777777" w:rsidR="004A794D" w:rsidRDefault="004A794D">
          <w:pPr>
            <w:tabs>
              <w:tab w:val="right" w:pos="4273"/>
            </w:tabs>
            <w:rPr>
              <w:rFonts w:ascii="Garamond" w:eastAsia="Garamond" w:hAnsi="Garamond" w:cs="Garamond"/>
            </w:rPr>
          </w:pPr>
        </w:p>
      </w:tc>
      <w:tc>
        <w:tcPr>
          <w:tcW w:w="6377" w:type="dxa"/>
        </w:tcPr>
        <w:p w14:paraId="75F339A6" w14:textId="77777777" w:rsidR="004A794D" w:rsidRDefault="004A794D">
          <w:pPr>
            <w:widowControl w:val="0"/>
            <w:pBdr>
              <w:top w:val="nil"/>
              <w:left w:val="nil"/>
              <w:bottom w:val="nil"/>
              <w:right w:val="nil"/>
              <w:between w:val="nil"/>
            </w:pBdr>
            <w:spacing w:line="276" w:lineRule="auto"/>
            <w:jc w:val="left"/>
            <w:rPr>
              <w:rFonts w:ascii="Garamond" w:eastAsia="Garamond" w:hAnsi="Garamond" w:cs="Garamond"/>
            </w:rPr>
          </w:pPr>
        </w:p>
        <w:tbl>
          <w:tblPr>
            <w:tblStyle w:val="a9"/>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4A794D" w14:paraId="326EF6EE" w14:textId="77777777">
            <w:trPr>
              <w:trHeight w:val="144"/>
            </w:trPr>
            <w:tc>
              <w:tcPr>
                <w:tcW w:w="2581" w:type="dxa"/>
              </w:tcPr>
              <w:p w14:paraId="0EF79D9A" w14:textId="77777777" w:rsidR="004A794D" w:rsidRDefault="004A794D">
                <w:pPr>
                  <w:tabs>
                    <w:tab w:val="right" w:pos="8838"/>
                  </w:tabs>
                  <w:ind w:left="-74" w:right="-108"/>
                  <w:rPr>
                    <w:b/>
                  </w:rPr>
                </w:pPr>
                <w:bookmarkStart w:id="0" w:name="_heading=h.d9zvx1ipjpdw" w:colFirst="0" w:colLast="0"/>
                <w:bookmarkEnd w:id="0"/>
                <w:r>
                  <w:rPr>
                    <w:b/>
                  </w:rPr>
                  <w:t>Recurso de Revisión:</w:t>
                </w:r>
              </w:p>
            </w:tc>
            <w:tc>
              <w:tcPr>
                <w:tcW w:w="3548" w:type="dxa"/>
              </w:tcPr>
              <w:p w14:paraId="4C65E001" w14:textId="3B731801" w:rsidR="004A794D" w:rsidRDefault="004A794D">
                <w:pPr>
                  <w:tabs>
                    <w:tab w:val="left" w:pos="3122"/>
                    <w:tab w:val="right" w:pos="8838"/>
                  </w:tabs>
                  <w:ind w:left="-105" w:right="-108"/>
                </w:pPr>
                <w:r w:rsidRPr="00703BB6">
                  <w:t>06217/INFOEM/IP/RR/2025</w:t>
                </w:r>
              </w:p>
            </w:tc>
            <w:tc>
              <w:tcPr>
                <w:tcW w:w="3402" w:type="dxa"/>
              </w:tcPr>
              <w:p w14:paraId="7B4F7601" w14:textId="77777777" w:rsidR="004A794D" w:rsidRDefault="004A794D">
                <w:pPr>
                  <w:tabs>
                    <w:tab w:val="right" w:pos="8838"/>
                  </w:tabs>
                  <w:ind w:left="-74" w:right="-108"/>
                </w:pPr>
              </w:p>
            </w:tc>
          </w:tr>
          <w:tr w:rsidR="004A794D" w14:paraId="37609320" w14:textId="77777777">
            <w:trPr>
              <w:trHeight w:val="144"/>
            </w:trPr>
            <w:tc>
              <w:tcPr>
                <w:tcW w:w="2581" w:type="dxa"/>
              </w:tcPr>
              <w:p w14:paraId="6603D7F5" w14:textId="77777777" w:rsidR="004A794D" w:rsidRDefault="004A794D">
                <w:pPr>
                  <w:tabs>
                    <w:tab w:val="right" w:pos="8838"/>
                  </w:tabs>
                  <w:ind w:left="-74" w:right="-108"/>
                  <w:rPr>
                    <w:b/>
                  </w:rPr>
                </w:pPr>
                <w:bookmarkStart w:id="1" w:name="_heading=h.c9y95bv301qu" w:colFirst="0" w:colLast="0"/>
                <w:bookmarkEnd w:id="1"/>
                <w:r>
                  <w:rPr>
                    <w:b/>
                  </w:rPr>
                  <w:t>Recurrente:</w:t>
                </w:r>
              </w:p>
            </w:tc>
            <w:tc>
              <w:tcPr>
                <w:tcW w:w="3548" w:type="dxa"/>
              </w:tcPr>
              <w:p w14:paraId="3C80C77E" w14:textId="001E8B02" w:rsidR="004A794D" w:rsidRDefault="00A8498E">
                <w:pPr>
                  <w:tabs>
                    <w:tab w:val="left" w:pos="3122"/>
                    <w:tab w:val="right" w:pos="8838"/>
                  </w:tabs>
                  <w:ind w:left="-105" w:right="-108"/>
                </w:pPr>
                <w:r>
                  <w:t>XXXXX XXXXXX XXXXXXXX</w:t>
                </w:r>
              </w:p>
            </w:tc>
            <w:tc>
              <w:tcPr>
                <w:tcW w:w="3402" w:type="dxa"/>
              </w:tcPr>
              <w:p w14:paraId="3371FF6C" w14:textId="77777777" w:rsidR="004A794D" w:rsidRDefault="004A794D">
                <w:pPr>
                  <w:tabs>
                    <w:tab w:val="left" w:pos="3122"/>
                    <w:tab w:val="right" w:pos="8838"/>
                  </w:tabs>
                  <w:ind w:left="-105" w:right="-108"/>
                </w:pPr>
              </w:p>
            </w:tc>
          </w:tr>
          <w:tr w:rsidR="004A794D" w14:paraId="70244968" w14:textId="77777777">
            <w:trPr>
              <w:trHeight w:val="283"/>
            </w:trPr>
            <w:tc>
              <w:tcPr>
                <w:tcW w:w="2581" w:type="dxa"/>
              </w:tcPr>
              <w:p w14:paraId="0EF8F1A5" w14:textId="77777777" w:rsidR="004A794D" w:rsidRDefault="004A794D">
                <w:pPr>
                  <w:tabs>
                    <w:tab w:val="right" w:pos="8838"/>
                  </w:tabs>
                  <w:ind w:left="-74" w:right="-108"/>
                  <w:rPr>
                    <w:b/>
                  </w:rPr>
                </w:pPr>
                <w:r>
                  <w:rPr>
                    <w:b/>
                  </w:rPr>
                  <w:t>Sujeto Obligado:</w:t>
                </w:r>
              </w:p>
            </w:tc>
            <w:tc>
              <w:tcPr>
                <w:tcW w:w="3548" w:type="dxa"/>
              </w:tcPr>
              <w:p w14:paraId="7F5AF133" w14:textId="06C9A264" w:rsidR="004A794D" w:rsidRDefault="004A794D">
                <w:pPr>
                  <w:tabs>
                    <w:tab w:val="left" w:pos="2834"/>
                    <w:tab w:val="right" w:pos="8838"/>
                  </w:tabs>
                  <w:ind w:left="-108" w:right="-108"/>
                </w:pPr>
                <w:r w:rsidRPr="00703BB6">
                  <w:t>Ayuntamiento de Huixquilucan</w:t>
                </w:r>
              </w:p>
            </w:tc>
            <w:tc>
              <w:tcPr>
                <w:tcW w:w="3402" w:type="dxa"/>
              </w:tcPr>
              <w:p w14:paraId="5EE41C73" w14:textId="77777777" w:rsidR="004A794D" w:rsidRDefault="004A794D">
                <w:pPr>
                  <w:tabs>
                    <w:tab w:val="left" w:pos="2834"/>
                    <w:tab w:val="right" w:pos="8838"/>
                  </w:tabs>
                  <w:ind w:left="-108" w:right="-108"/>
                </w:pPr>
              </w:p>
            </w:tc>
          </w:tr>
          <w:tr w:rsidR="004A794D" w14:paraId="24F8C500" w14:textId="77777777">
            <w:trPr>
              <w:trHeight w:val="283"/>
            </w:trPr>
            <w:tc>
              <w:tcPr>
                <w:tcW w:w="2581" w:type="dxa"/>
              </w:tcPr>
              <w:p w14:paraId="3B210E9F" w14:textId="77777777" w:rsidR="004A794D" w:rsidRDefault="004A794D">
                <w:pPr>
                  <w:tabs>
                    <w:tab w:val="right" w:pos="8838"/>
                  </w:tabs>
                  <w:ind w:left="-74" w:right="-108"/>
                  <w:rPr>
                    <w:b/>
                  </w:rPr>
                </w:pPr>
                <w:r>
                  <w:rPr>
                    <w:b/>
                  </w:rPr>
                  <w:t>Comisionada Ponente:</w:t>
                </w:r>
              </w:p>
            </w:tc>
            <w:tc>
              <w:tcPr>
                <w:tcW w:w="3548" w:type="dxa"/>
              </w:tcPr>
              <w:p w14:paraId="7E3ABCB4" w14:textId="77777777" w:rsidR="004A794D" w:rsidRDefault="004A794D">
                <w:pPr>
                  <w:tabs>
                    <w:tab w:val="right" w:pos="8838"/>
                  </w:tabs>
                  <w:ind w:left="-108" w:right="-108"/>
                </w:pPr>
                <w:r>
                  <w:t>Sharon Cristina Morales Martínez</w:t>
                </w:r>
              </w:p>
            </w:tc>
            <w:tc>
              <w:tcPr>
                <w:tcW w:w="3402" w:type="dxa"/>
              </w:tcPr>
              <w:p w14:paraId="2E664884" w14:textId="77777777" w:rsidR="004A794D" w:rsidRDefault="004A794D">
                <w:pPr>
                  <w:tabs>
                    <w:tab w:val="right" w:pos="8838"/>
                  </w:tabs>
                  <w:ind w:left="-108" w:right="-108"/>
                </w:pPr>
              </w:p>
            </w:tc>
          </w:tr>
        </w:tbl>
        <w:p w14:paraId="76AA4AB1" w14:textId="77777777" w:rsidR="004A794D" w:rsidRDefault="004A794D">
          <w:pPr>
            <w:tabs>
              <w:tab w:val="right" w:pos="8838"/>
            </w:tabs>
            <w:ind w:left="-28"/>
            <w:rPr>
              <w:rFonts w:ascii="Arial" w:eastAsia="Arial" w:hAnsi="Arial" w:cs="Arial"/>
              <w:b/>
            </w:rPr>
          </w:pPr>
        </w:p>
      </w:tc>
    </w:tr>
  </w:tbl>
  <w:p w14:paraId="6FECB7A9" w14:textId="77777777" w:rsidR="004A794D" w:rsidRDefault="00FB29D7">
    <w:pPr>
      <w:pBdr>
        <w:top w:val="nil"/>
        <w:left w:val="nil"/>
        <w:bottom w:val="nil"/>
        <w:right w:val="nil"/>
        <w:between w:val="nil"/>
      </w:pBdr>
      <w:tabs>
        <w:tab w:val="center" w:pos="4419"/>
        <w:tab w:val="right" w:pos="8838"/>
        <w:tab w:val="left" w:pos="2957"/>
      </w:tabs>
      <w:rPr>
        <w:color w:val="000000"/>
      </w:rPr>
    </w:pPr>
    <w:r>
      <w:rPr>
        <w:noProof/>
        <w:color w:val="000000"/>
        <w:sz w:val="36"/>
        <w:szCs w:val="36"/>
      </w:rPr>
      <w:pict w14:anchorId="1A105D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D36C64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F38002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FC61F0"/>
    <w:multiLevelType w:val="hybridMultilevel"/>
    <w:tmpl w:val="DA0ED1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8B5646"/>
    <w:multiLevelType w:val="multilevel"/>
    <w:tmpl w:val="15E8AF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B667DFF"/>
    <w:multiLevelType w:val="hybridMultilevel"/>
    <w:tmpl w:val="D0F624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0070BF"/>
    <w:multiLevelType w:val="multilevel"/>
    <w:tmpl w:val="1DB04A40"/>
    <w:lvl w:ilvl="0">
      <w:start w:val="1"/>
      <w:numFmt w:val="lowerLetter"/>
      <w:lvlText w:val="%1)"/>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 w15:restartNumberingAfterBreak="0">
    <w:nsid w:val="125E4F9B"/>
    <w:multiLevelType w:val="hybridMultilevel"/>
    <w:tmpl w:val="AC9C7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4115C"/>
    <w:multiLevelType w:val="hybridMultilevel"/>
    <w:tmpl w:val="85DCD030"/>
    <w:lvl w:ilvl="0" w:tplc="A07C4C4C">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39C53B3"/>
    <w:multiLevelType w:val="hybridMultilevel"/>
    <w:tmpl w:val="7F7C43BE"/>
    <w:lvl w:ilvl="0" w:tplc="B470D128">
      <w:start w:val="1"/>
      <w:numFmt w:val="decimal"/>
      <w:lvlText w:val="%1."/>
      <w:lvlJc w:val="left"/>
      <w:pPr>
        <w:ind w:left="1440" w:hanging="360"/>
      </w:pPr>
      <w:rPr>
        <w:rFonts w:hint="default"/>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23B4751B"/>
    <w:multiLevelType w:val="multilevel"/>
    <w:tmpl w:val="C5A4A6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55E2DF2"/>
    <w:multiLevelType w:val="multilevel"/>
    <w:tmpl w:val="9906240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BF7AC6"/>
    <w:multiLevelType w:val="multilevel"/>
    <w:tmpl w:val="AAD2D9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FED4D2E"/>
    <w:multiLevelType w:val="hybridMultilevel"/>
    <w:tmpl w:val="A9606BAC"/>
    <w:lvl w:ilvl="0" w:tplc="080A000F">
      <w:start w:val="1"/>
      <w:numFmt w:val="decimal"/>
      <w:lvlText w:val="%1."/>
      <w:lvlJc w:val="left"/>
      <w:pPr>
        <w:ind w:left="1571" w:hanging="360"/>
      </w:pPr>
      <w:rPr>
        <w:rFont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4" w15:restartNumberingAfterBreak="0">
    <w:nsid w:val="32E81EBF"/>
    <w:multiLevelType w:val="hybridMultilevel"/>
    <w:tmpl w:val="8080334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33992DE4"/>
    <w:multiLevelType w:val="hybridMultilevel"/>
    <w:tmpl w:val="64B880CC"/>
    <w:lvl w:ilvl="0" w:tplc="4C0E42D0">
      <w:start w:val="4"/>
      <w:numFmt w:val="bullet"/>
      <w:lvlText w:val="-"/>
      <w:lvlJc w:val="left"/>
      <w:pPr>
        <w:ind w:left="1211"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FF6ED9"/>
    <w:multiLevelType w:val="hybridMultilevel"/>
    <w:tmpl w:val="9776F904"/>
    <w:lvl w:ilvl="0" w:tplc="4C0E42D0">
      <w:start w:val="4"/>
      <w:numFmt w:val="bullet"/>
      <w:lvlText w:val="-"/>
      <w:lvlJc w:val="left"/>
      <w:pPr>
        <w:ind w:left="1211"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7DB7A4E"/>
    <w:multiLevelType w:val="hybridMultilevel"/>
    <w:tmpl w:val="FD3A23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38304189"/>
    <w:multiLevelType w:val="hybridMultilevel"/>
    <w:tmpl w:val="EB70A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A24C88"/>
    <w:multiLevelType w:val="multilevel"/>
    <w:tmpl w:val="75862F5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04E3C78"/>
    <w:multiLevelType w:val="multilevel"/>
    <w:tmpl w:val="2BFCE63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0DB4E9F"/>
    <w:multiLevelType w:val="hybridMultilevel"/>
    <w:tmpl w:val="FC0AC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2D82DE4"/>
    <w:multiLevelType w:val="hybridMultilevel"/>
    <w:tmpl w:val="8EAE186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445C337A"/>
    <w:multiLevelType w:val="hybridMultilevel"/>
    <w:tmpl w:val="2AC2BA4E"/>
    <w:lvl w:ilvl="0" w:tplc="080A0001">
      <w:start w:val="1"/>
      <w:numFmt w:val="bullet"/>
      <w:lvlText w:val=""/>
      <w:lvlJc w:val="left"/>
      <w:pPr>
        <w:ind w:left="1130" w:hanging="360"/>
      </w:pPr>
      <w:rPr>
        <w:rFonts w:ascii="Symbol" w:hAnsi="Symbol" w:hint="default"/>
      </w:rPr>
    </w:lvl>
    <w:lvl w:ilvl="1" w:tplc="080A0003" w:tentative="1">
      <w:start w:val="1"/>
      <w:numFmt w:val="bullet"/>
      <w:lvlText w:val="o"/>
      <w:lvlJc w:val="left"/>
      <w:pPr>
        <w:ind w:left="1850" w:hanging="360"/>
      </w:pPr>
      <w:rPr>
        <w:rFonts w:ascii="Courier New" w:hAnsi="Courier New" w:cs="Courier New" w:hint="default"/>
      </w:rPr>
    </w:lvl>
    <w:lvl w:ilvl="2" w:tplc="080A0005" w:tentative="1">
      <w:start w:val="1"/>
      <w:numFmt w:val="bullet"/>
      <w:lvlText w:val=""/>
      <w:lvlJc w:val="left"/>
      <w:pPr>
        <w:ind w:left="2570" w:hanging="360"/>
      </w:pPr>
      <w:rPr>
        <w:rFonts w:ascii="Wingdings" w:hAnsi="Wingdings" w:hint="default"/>
      </w:rPr>
    </w:lvl>
    <w:lvl w:ilvl="3" w:tplc="080A0001" w:tentative="1">
      <w:start w:val="1"/>
      <w:numFmt w:val="bullet"/>
      <w:lvlText w:val=""/>
      <w:lvlJc w:val="left"/>
      <w:pPr>
        <w:ind w:left="3290" w:hanging="360"/>
      </w:pPr>
      <w:rPr>
        <w:rFonts w:ascii="Symbol" w:hAnsi="Symbol" w:hint="default"/>
      </w:rPr>
    </w:lvl>
    <w:lvl w:ilvl="4" w:tplc="080A0003" w:tentative="1">
      <w:start w:val="1"/>
      <w:numFmt w:val="bullet"/>
      <w:lvlText w:val="o"/>
      <w:lvlJc w:val="left"/>
      <w:pPr>
        <w:ind w:left="4010" w:hanging="360"/>
      </w:pPr>
      <w:rPr>
        <w:rFonts w:ascii="Courier New" w:hAnsi="Courier New" w:cs="Courier New" w:hint="default"/>
      </w:rPr>
    </w:lvl>
    <w:lvl w:ilvl="5" w:tplc="080A0005" w:tentative="1">
      <w:start w:val="1"/>
      <w:numFmt w:val="bullet"/>
      <w:lvlText w:val=""/>
      <w:lvlJc w:val="left"/>
      <w:pPr>
        <w:ind w:left="4730" w:hanging="360"/>
      </w:pPr>
      <w:rPr>
        <w:rFonts w:ascii="Wingdings" w:hAnsi="Wingdings" w:hint="default"/>
      </w:rPr>
    </w:lvl>
    <w:lvl w:ilvl="6" w:tplc="080A0001" w:tentative="1">
      <w:start w:val="1"/>
      <w:numFmt w:val="bullet"/>
      <w:lvlText w:val=""/>
      <w:lvlJc w:val="left"/>
      <w:pPr>
        <w:ind w:left="5450" w:hanging="360"/>
      </w:pPr>
      <w:rPr>
        <w:rFonts w:ascii="Symbol" w:hAnsi="Symbol" w:hint="default"/>
      </w:rPr>
    </w:lvl>
    <w:lvl w:ilvl="7" w:tplc="080A0003" w:tentative="1">
      <w:start w:val="1"/>
      <w:numFmt w:val="bullet"/>
      <w:lvlText w:val="o"/>
      <w:lvlJc w:val="left"/>
      <w:pPr>
        <w:ind w:left="6170" w:hanging="360"/>
      </w:pPr>
      <w:rPr>
        <w:rFonts w:ascii="Courier New" w:hAnsi="Courier New" w:cs="Courier New" w:hint="default"/>
      </w:rPr>
    </w:lvl>
    <w:lvl w:ilvl="8" w:tplc="080A0005" w:tentative="1">
      <w:start w:val="1"/>
      <w:numFmt w:val="bullet"/>
      <w:lvlText w:val=""/>
      <w:lvlJc w:val="left"/>
      <w:pPr>
        <w:ind w:left="6890" w:hanging="360"/>
      </w:pPr>
      <w:rPr>
        <w:rFonts w:ascii="Wingdings" w:hAnsi="Wingdings" w:hint="default"/>
      </w:rPr>
    </w:lvl>
  </w:abstractNum>
  <w:abstractNum w:abstractNumId="24" w15:restartNumberingAfterBreak="0">
    <w:nsid w:val="4B8B61B8"/>
    <w:multiLevelType w:val="hybridMultilevel"/>
    <w:tmpl w:val="236C3F12"/>
    <w:lvl w:ilvl="0" w:tplc="4C0E42D0">
      <w:start w:val="4"/>
      <w:numFmt w:val="bullet"/>
      <w:lvlText w:val="-"/>
      <w:lvlJc w:val="left"/>
      <w:pPr>
        <w:ind w:left="1211"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C8F453B"/>
    <w:multiLevelType w:val="multilevel"/>
    <w:tmpl w:val="7494D1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EB25111"/>
    <w:multiLevelType w:val="hybridMultilevel"/>
    <w:tmpl w:val="97983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44236F7"/>
    <w:multiLevelType w:val="hybridMultilevel"/>
    <w:tmpl w:val="C6403C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9205951"/>
    <w:multiLevelType w:val="hybridMultilevel"/>
    <w:tmpl w:val="F85A3360"/>
    <w:lvl w:ilvl="0" w:tplc="2416E70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5B616854"/>
    <w:multiLevelType w:val="multilevel"/>
    <w:tmpl w:val="5AF2891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D64AE5"/>
    <w:multiLevelType w:val="hybridMultilevel"/>
    <w:tmpl w:val="5C708EB4"/>
    <w:lvl w:ilvl="0" w:tplc="080A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31" w15:restartNumberingAfterBreak="0">
    <w:nsid w:val="5E3B59F0"/>
    <w:multiLevelType w:val="multilevel"/>
    <w:tmpl w:val="1E4489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F46391E"/>
    <w:multiLevelType w:val="multilevel"/>
    <w:tmpl w:val="C67C31D8"/>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33" w15:restartNumberingAfterBreak="0">
    <w:nsid w:val="62164381"/>
    <w:multiLevelType w:val="hybridMultilevel"/>
    <w:tmpl w:val="4F549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22148CC"/>
    <w:multiLevelType w:val="multilevel"/>
    <w:tmpl w:val="F88A5D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7894468"/>
    <w:multiLevelType w:val="multilevel"/>
    <w:tmpl w:val="0B32FC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95E7759"/>
    <w:multiLevelType w:val="multilevel"/>
    <w:tmpl w:val="DDF458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8" w15:restartNumberingAfterBreak="0">
    <w:nsid w:val="6F4755EA"/>
    <w:multiLevelType w:val="hybridMultilevel"/>
    <w:tmpl w:val="4F281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1F512C8"/>
    <w:multiLevelType w:val="multilevel"/>
    <w:tmpl w:val="846E16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4094C5D"/>
    <w:multiLevelType w:val="multilevel"/>
    <w:tmpl w:val="81180D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C744B6A"/>
    <w:multiLevelType w:val="hybridMultilevel"/>
    <w:tmpl w:val="EA9C1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D7C56B5"/>
    <w:multiLevelType w:val="hybridMultilevel"/>
    <w:tmpl w:val="8B500A94"/>
    <w:lvl w:ilvl="0" w:tplc="4C0E42D0">
      <w:start w:val="4"/>
      <w:numFmt w:val="bullet"/>
      <w:lvlText w:val="-"/>
      <w:lvlJc w:val="left"/>
      <w:pPr>
        <w:ind w:left="1211" w:hanging="360"/>
      </w:pPr>
      <w:rPr>
        <w:rFonts w:ascii="Palatino Linotype" w:eastAsia="Palatino Linotype" w:hAnsi="Palatino Linotype" w:cs="Palatino Linotype" w:hint="default"/>
      </w:rPr>
    </w:lvl>
    <w:lvl w:ilvl="1" w:tplc="080A0003">
      <w:start w:val="1"/>
      <w:numFmt w:val="bullet"/>
      <w:lvlText w:val="o"/>
      <w:lvlJc w:val="left"/>
      <w:pPr>
        <w:ind w:left="1931" w:hanging="360"/>
      </w:pPr>
      <w:rPr>
        <w:rFonts w:ascii="Courier New" w:hAnsi="Courier New" w:cs="Courier New" w:hint="default"/>
      </w:rPr>
    </w:lvl>
    <w:lvl w:ilvl="2" w:tplc="080A0005">
      <w:start w:val="1"/>
      <w:numFmt w:val="bullet"/>
      <w:lvlText w:val=""/>
      <w:lvlJc w:val="left"/>
      <w:pPr>
        <w:ind w:left="2651" w:hanging="360"/>
      </w:pPr>
      <w:rPr>
        <w:rFonts w:ascii="Wingdings" w:hAnsi="Wingdings" w:hint="default"/>
      </w:rPr>
    </w:lvl>
    <w:lvl w:ilvl="3" w:tplc="080A0001">
      <w:start w:val="1"/>
      <w:numFmt w:val="bullet"/>
      <w:lvlText w:val=""/>
      <w:lvlJc w:val="left"/>
      <w:pPr>
        <w:ind w:left="3371" w:hanging="360"/>
      </w:pPr>
      <w:rPr>
        <w:rFonts w:ascii="Symbol" w:hAnsi="Symbol" w:hint="default"/>
      </w:rPr>
    </w:lvl>
    <w:lvl w:ilvl="4" w:tplc="080A0003">
      <w:start w:val="1"/>
      <w:numFmt w:val="bullet"/>
      <w:lvlText w:val="o"/>
      <w:lvlJc w:val="left"/>
      <w:pPr>
        <w:ind w:left="4091" w:hanging="360"/>
      </w:pPr>
      <w:rPr>
        <w:rFonts w:ascii="Courier New" w:hAnsi="Courier New" w:cs="Courier New" w:hint="default"/>
      </w:rPr>
    </w:lvl>
    <w:lvl w:ilvl="5" w:tplc="080A0005">
      <w:start w:val="1"/>
      <w:numFmt w:val="bullet"/>
      <w:lvlText w:val=""/>
      <w:lvlJc w:val="left"/>
      <w:pPr>
        <w:ind w:left="4811" w:hanging="360"/>
      </w:pPr>
      <w:rPr>
        <w:rFonts w:ascii="Wingdings" w:hAnsi="Wingdings" w:hint="default"/>
      </w:rPr>
    </w:lvl>
    <w:lvl w:ilvl="6" w:tplc="080A0001">
      <w:start w:val="1"/>
      <w:numFmt w:val="bullet"/>
      <w:lvlText w:val=""/>
      <w:lvlJc w:val="left"/>
      <w:pPr>
        <w:ind w:left="5531" w:hanging="360"/>
      </w:pPr>
      <w:rPr>
        <w:rFonts w:ascii="Symbol" w:hAnsi="Symbol" w:hint="default"/>
      </w:rPr>
    </w:lvl>
    <w:lvl w:ilvl="7" w:tplc="080A0003">
      <w:start w:val="1"/>
      <w:numFmt w:val="bullet"/>
      <w:lvlText w:val="o"/>
      <w:lvlJc w:val="left"/>
      <w:pPr>
        <w:ind w:left="6251" w:hanging="360"/>
      </w:pPr>
      <w:rPr>
        <w:rFonts w:ascii="Courier New" w:hAnsi="Courier New" w:cs="Courier New" w:hint="default"/>
      </w:rPr>
    </w:lvl>
    <w:lvl w:ilvl="8" w:tplc="080A0005">
      <w:start w:val="1"/>
      <w:numFmt w:val="bullet"/>
      <w:lvlText w:val=""/>
      <w:lvlJc w:val="left"/>
      <w:pPr>
        <w:ind w:left="6971" w:hanging="360"/>
      </w:pPr>
      <w:rPr>
        <w:rFonts w:ascii="Wingdings" w:hAnsi="Wingdings" w:hint="default"/>
      </w:rPr>
    </w:lvl>
  </w:abstractNum>
  <w:abstractNum w:abstractNumId="43" w15:restartNumberingAfterBreak="0">
    <w:nsid w:val="7FFA616B"/>
    <w:multiLevelType w:val="multilevel"/>
    <w:tmpl w:val="150CE5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5"/>
  </w:num>
  <w:num w:numId="2">
    <w:abstractNumId w:val="10"/>
  </w:num>
  <w:num w:numId="3">
    <w:abstractNumId w:val="31"/>
  </w:num>
  <w:num w:numId="4">
    <w:abstractNumId w:val="3"/>
  </w:num>
  <w:num w:numId="5">
    <w:abstractNumId w:val="5"/>
  </w:num>
  <w:num w:numId="6">
    <w:abstractNumId w:val="40"/>
  </w:num>
  <w:num w:numId="7">
    <w:abstractNumId w:val="36"/>
  </w:num>
  <w:num w:numId="8">
    <w:abstractNumId w:val="35"/>
  </w:num>
  <w:num w:numId="9">
    <w:abstractNumId w:val="21"/>
  </w:num>
  <w:num w:numId="10">
    <w:abstractNumId w:val="27"/>
  </w:num>
  <w:num w:numId="11">
    <w:abstractNumId w:val="28"/>
  </w:num>
  <w:num w:numId="12">
    <w:abstractNumId w:val="9"/>
  </w:num>
  <w:num w:numId="13">
    <w:abstractNumId w:val="32"/>
  </w:num>
  <w:num w:numId="14">
    <w:abstractNumId w:val="23"/>
  </w:num>
  <w:num w:numId="15">
    <w:abstractNumId w:val="13"/>
  </w:num>
  <w:num w:numId="16">
    <w:abstractNumId w:val="26"/>
  </w:num>
  <w:num w:numId="17">
    <w:abstractNumId w:val="1"/>
  </w:num>
  <w:num w:numId="18">
    <w:abstractNumId w:val="0"/>
  </w:num>
  <w:num w:numId="19">
    <w:abstractNumId w:val="18"/>
  </w:num>
  <w:num w:numId="20">
    <w:abstractNumId w:val="33"/>
  </w:num>
  <w:num w:numId="21">
    <w:abstractNumId w:val="8"/>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20"/>
  </w:num>
  <w:num w:numId="26">
    <w:abstractNumId w:val="12"/>
  </w:num>
  <w:num w:numId="27">
    <w:abstractNumId w:val="29"/>
  </w:num>
  <w:num w:numId="28">
    <w:abstractNumId w:val="22"/>
  </w:num>
  <w:num w:numId="29">
    <w:abstractNumId w:val="2"/>
  </w:num>
  <w:num w:numId="30">
    <w:abstractNumId w:val="7"/>
  </w:num>
  <w:num w:numId="31">
    <w:abstractNumId w:val="41"/>
  </w:num>
  <w:num w:numId="32">
    <w:abstractNumId w:val="42"/>
  </w:num>
  <w:num w:numId="33">
    <w:abstractNumId w:val="38"/>
  </w:num>
  <w:num w:numId="34">
    <w:abstractNumId w:val="4"/>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num>
  <w:num w:numId="37">
    <w:abstractNumId w:val="42"/>
  </w:num>
  <w:num w:numId="38">
    <w:abstractNumId w:val="16"/>
  </w:num>
  <w:num w:numId="39">
    <w:abstractNumId w:val="6"/>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24"/>
  </w:num>
  <w:num w:numId="43">
    <w:abstractNumId w:val="30"/>
  </w:num>
  <w:num w:numId="44">
    <w:abstractNumId w:val="14"/>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CD6"/>
    <w:rsid w:val="00000441"/>
    <w:rsid w:val="0000718E"/>
    <w:rsid w:val="00023413"/>
    <w:rsid w:val="000243FC"/>
    <w:rsid w:val="00031335"/>
    <w:rsid w:val="0007690D"/>
    <w:rsid w:val="000776C5"/>
    <w:rsid w:val="00093BC0"/>
    <w:rsid w:val="00095440"/>
    <w:rsid w:val="00095BD0"/>
    <w:rsid w:val="000A1898"/>
    <w:rsid w:val="000A3A46"/>
    <w:rsid w:val="000A525C"/>
    <w:rsid w:val="000B1127"/>
    <w:rsid w:val="000B1EBD"/>
    <w:rsid w:val="000B3C98"/>
    <w:rsid w:val="000F225C"/>
    <w:rsid w:val="00101C2F"/>
    <w:rsid w:val="00104A52"/>
    <w:rsid w:val="0010739D"/>
    <w:rsid w:val="001077EF"/>
    <w:rsid w:val="00142A97"/>
    <w:rsid w:val="00173308"/>
    <w:rsid w:val="00177594"/>
    <w:rsid w:val="00184B19"/>
    <w:rsid w:val="001862AA"/>
    <w:rsid w:val="00194FA1"/>
    <w:rsid w:val="0019781F"/>
    <w:rsid w:val="001C4430"/>
    <w:rsid w:val="001D3EAB"/>
    <w:rsid w:val="001D457A"/>
    <w:rsid w:val="001E05A1"/>
    <w:rsid w:val="001F28CA"/>
    <w:rsid w:val="00200125"/>
    <w:rsid w:val="0020126A"/>
    <w:rsid w:val="002061C2"/>
    <w:rsid w:val="002074D2"/>
    <w:rsid w:val="002113A7"/>
    <w:rsid w:val="002207FE"/>
    <w:rsid w:val="0022080E"/>
    <w:rsid w:val="00240F32"/>
    <w:rsid w:val="00263116"/>
    <w:rsid w:val="00264153"/>
    <w:rsid w:val="00270417"/>
    <w:rsid w:val="002759A3"/>
    <w:rsid w:val="0028694D"/>
    <w:rsid w:val="00291C9E"/>
    <w:rsid w:val="002A1D35"/>
    <w:rsid w:val="002B13D1"/>
    <w:rsid w:val="002B792E"/>
    <w:rsid w:val="002C16C8"/>
    <w:rsid w:val="002C275F"/>
    <w:rsid w:val="002C4541"/>
    <w:rsid w:val="002C7531"/>
    <w:rsid w:val="002D1E85"/>
    <w:rsid w:val="002D40E1"/>
    <w:rsid w:val="002F10E8"/>
    <w:rsid w:val="002F3942"/>
    <w:rsid w:val="003007DB"/>
    <w:rsid w:val="00300B3A"/>
    <w:rsid w:val="00301F31"/>
    <w:rsid w:val="00315D90"/>
    <w:rsid w:val="00323BB4"/>
    <w:rsid w:val="00335F83"/>
    <w:rsid w:val="00351352"/>
    <w:rsid w:val="00352F7F"/>
    <w:rsid w:val="003550B0"/>
    <w:rsid w:val="00363C9C"/>
    <w:rsid w:val="003715F3"/>
    <w:rsid w:val="00385E0C"/>
    <w:rsid w:val="00395B8A"/>
    <w:rsid w:val="003A2E03"/>
    <w:rsid w:val="003A7BB8"/>
    <w:rsid w:val="003A7C85"/>
    <w:rsid w:val="003B22D1"/>
    <w:rsid w:val="003B3CD6"/>
    <w:rsid w:val="003D18A0"/>
    <w:rsid w:val="003F415E"/>
    <w:rsid w:val="004012D6"/>
    <w:rsid w:val="004077BE"/>
    <w:rsid w:val="00412698"/>
    <w:rsid w:val="0041382A"/>
    <w:rsid w:val="00425340"/>
    <w:rsid w:val="00431F7A"/>
    <w:rsid w:val="0043623F"/>
    <w:rsid w:val="00473112"/>
    <w:rsid w:val="00485AEF"/>
    <w:rsid w:val="00496C4A"/>
    <w:rsid w:val="00497FA1"/>
    <w:rsid w:val="004A017D"/>
    <w:rsid w:val="004A04C5"/>
    <w:rsid w:val="004A4CA0"/>
    <w:rsid w:val="004A794D"/>
    <w:rsid w:val="004B29CC"/>
    <w:rsid w:val="004C3B66"/>
    <w:rsid w:val="004C6B7F"/>
    <w:rsid w:val="004D403A"/>
    <w:rsid w:val="004E335C"/>
    <w:rsid w:val="00506A0C"/>
    <w:rsid w:val="00536AE6"/>
    <w:rsid w:val="005447F6"/>
    <w:rsid w:val="005449BA"/>
    <w:rsid w:val="00554CC5"/>
    <w:rsid w:val="00556A9A"/>
    <w:rsid w:val="00557D00"/>
    <w:rsid w:val="00561F56"/>
    <w:rsid w:val="005673B0"/>
    <w:rsid w:val="005737AD"/>
    <w:rsid w:val="00586954"/>
    <w:rsid w:val="005A41E9"/>
    <w:rsid w:val="005B24CA"/>
    <w:rsid w:val="005C191A"/>
    <w:rsid w:val="005E122A"/>
    <w:rsid w:val="005E12F2"/>
    <w:rsid w:val="005E3079"/>
    <w:rsid w:val="005E5D95"/>
    <w:rsid w:val="005F1833"/>
    <w:rsid w:val="005F7B6A"/>
    <w:rsid w:val="0060252E"/>
    <w:rsid w:val="006153F2"/>
    <w:rsid w:val="00616CD8"/>
    <w:rsid w:val="00620FD3"/>
    <w:rsid w:val="0062401A"/>
    <w:rsid w:val="006260F8"/>
    <w:rsid w:val="0063529B"/>
    <w:rsid w:val="00641757"/>
    <w:rsid w:val="006505FC"/>
    <w:rsid w:val="00683C66"/>
    <w:rsid w:val="00694F78"/>
    <w:rsid w:val="006B5AEA"/>
    <w:rsid w:val="006C188D"/>
    <w:rsid w:val="006C26D1"/>
    <w:rsid w:val="006D23C4"/>
    <w:rsid w:val="006E59D2"/>
    <w:rsid w:val="006F27D4"/>
    <w:rsid w:val="0070393B"/>
    <w:rsid w:val="00703BB6"/>
    <w:rsid w:val="00705494"/>
    <w:rsid w:val="0073336E"/>
    <w:rsid w:val="00736634"/>
    <w:rsid w:val="007445AA"/>
    <w:rsid w:val="007550BE"/>
    <w:rsid w:val="007578BF"/>
    <w:rsid w:val="007637FC"/>
    <w:rsid w:val="00764F1A"/>
    <w:rsid w:val="00780507"/>
    <w:rsid w:val="007822DB"/>
    <w:rsid w:val="007907FA"/>
    <w:rsid w:val="007A4011"/>
    <w:rsid w:val="007B114C"/>
    <w:rsid w:val="007D28AB"/>
    <w:rsid w:val="007D39C7"/>
    <w:rsid w:val="007D7C2D"/>
    <w:rsid w:val="007E6B04"/>
    <w:rsid w:val="00815238"/>
    <w:rsid w:val="00817A00"/>
    <w:rsid w:val="00820403"/>
    <w:rsid w:val="00823D7D"/>
    <w:rsid w:val="0082446F"/>
    <w:rsid w:val="00830592"/>
    <w:rsid w:val="0086586B"/>
    <w:rsid w:val="0087070D"/>
    <w:rsid w:val="00871478"/>
    <w:rsid w:val="00886AD7"/>
    <w:rsid w:val="008974F8"/>
    <w:rsid w:val="008A515E"/>
    <w:rsid w:val="008B18AE"/>
    <w:rsid w:val="008B47B1"/>
    <w:rsid w:val="008C4059"/>
    <w:rsid w:val="008E28BF"/>
    <w:rsid w:val="008F59C7"/>
    <w:rsid w:val="00902394"/>
    <w:rsid w:val="00903F36"/>
    <w:rsid w:val="00906F3D"/>
    <w:rsid w:val="00916325"/>
    <w:rsid w:val="00930359"/>
    <w:rsid w:val="0093060A"/>
    <w:rsid w:val="009318BD"/>
    <w:rsid w:val="00934FA3"/>
    <w:rsid w:val="0093688D"/>
    <w:rsid w:val="00943719"/>
    <w:rsid w:val="009520F8"/>
    <w:rsid w:val="0096358D"/>
    <w:rsid w:val="009713D6"/>
    <w:rsid w:val="00976D90"/>
    <w:rsid w:val="00987C51"/>
    <w:rsid w:val="009C39F5"/>
    <w:rsid w:val="009D3A9C"/>
    <w:rsid w:val="009E60D2"/>
    <w:rsid w:val="009E7F5D"/>
    <w:rsid w:val="00A04000"/>
    <w:rsid w:val="00A40816"/>
    <w:rsid w:val="00A4120E"/>
    <w:rsid w:val="00A4721D"/>
    <w:rsid w:val="00A55766"/>
    <w:rsid w:val="00A66EF4"/>
    <w:rsid w:val="00A7098D"/>
    <w:rsid w:val="00A8498E"/>
    <w:rsid w:val="00A95345"/>
    <w:rsid w:val="00AA1F74"/>
    <w:rsid w:val="00AA68D2"/>
    <w:rsid w:val="00AA7999"/>
    <w:rsid w:val="00AB758F"/>
    <w:rsid w:val="00AC1055"/>
    <w:rsid w:val="00AC32C2"/>
    <w:rsid w:val="00AE461B"/>
    <w:rsid w:val="00AF50AB"/>
    <w:rsid w:val="00B10154"/>
    <w:rsid w:val="00B15B4C"/>
    <w:rsid w:val="00B25348"/>
    <w:rsid w:val="00B31360"/>
    <w:rsid w:val="00B3373D"/>
    <w:rsid w:val="00B34AA4"/>
    <w:rsid w:val="00B40048"/>
    <w:rsid w:val="00B41EEF"/>
    <w:rsid w:val="00B62D97"/>
    <w:rsid w:val="00B6548A"/>
    <w:rsid w:val="00B66831"/>
    <w:rsid w:val="00B75876"/>
    <w:rsid w:val="00BA0C0A"/>
    <w:rsid w:val="00BA1E3F"/>
    <w:rsid w:val="00BA43DF"/>
    <w:rsid w:val="00BC1F52"/>
    <w:rsid w:val="00BC5C03"/>
    <w:rsid w:val="00BC73A4"/>
    <w:rsid w:val="00BD2FC7"/>
    <w:rsid w:val="00BD3258"/>
    <w:rsid w:val="00BE1A75"/>
    <w:rsid w:val="00C01F5A"/>
    <w:rsid w:val="00C21D69"/>
    <w:rsid w:val="00C618A2"/>
    <w:rsid w:val="00C74DEE"/>
    <w:rsid w:val="00C90050"/>
    <w:rsid w:val="00CA2C31"/>
    <w:rsid w:val="00CA2C64"/>
    <w:rsid w:val="00CA373C"/>
    <w:rsid w:val="00CB4A32"/>
    <w:rsid w:val="00CD278F"/>
    <w:rsid w:val="00D003CE"/>
    <w:rsid w:val="00D00736"/>
    <w:rsid w:val="00D010B8"/>
    <w:rsid w:val="00D23EAF"/>
    <w:rsid w:val="00D34B1E"/>
    <w:rsid w:val="00D37232"/>
    <w:rsid w:val="00D47333"/>
    <w:rsid w:val="00D67C7F"/>
    <w:rsid w:val="00D81785"/>
    <w:rsid w:val="00D81ACD"/>
    <w:rsid w:val="00D86707"/>
    <w:rsid w:val="00DA1752"/>
    <w:rsid w:val="00DF45A6"/>
    <w:rsid w:val="00E50DBF"/>
    <w:rsid w:val="00E57DEA"/>
    <w:rsid w:val="00E73627"/>
    <w:rsid w:val="00E75519"/>
    <w:rsid w:val="00E75FAE"/>
    <w:rsid w:val="00E8727C"/>
    <w:rsid w:val="00E92C8F"/>
    <w:rsid w:val="00E97A97"/>
    <w:rsid w:val="00EB2047"/>
    <w:rsid w:val="00EB51EB"/>
    <w:rsid w:val="00EC6619"/>
    <w:rsid w:val="00ED0A96"/>
    <w:rsid w:val="00ED0E2B"/>
    <w:rsid w:val="00ED1C90"/>
    <w:rsid w:val="00ED7444"/>
    <w:rsid w:val="00EE5FA4"/>
    <w:rsid w:val="00EE6022"/>
    <w:rsid w:val="00EE775D"/>
    <w:rsid w:val="00F00DE6"/>
    <w:rsid w:val="00F248BE"/>
    <w:rsid w:val="00F3596D"/>
    <w:rsid w:val="00F41C93"/>
    <w:rsid w:val="00F57435"/>
    <w:rsid w:val="00F80A58"/>
    <w:rsid w:val="00F94A95"/>
    <w:rsid w:val="00FB289C"/>
    <w:rsid w:val="00FB29D7"/>
    <w:rsid w:val="00FB592B"/>
    <w:rsid w:val="00FC26E2"/>
    <w:rsid w:val="00FE5E10"/>
    <w:rsid w:val="00FE65A0"/>
    <w:rsid w:val="00FF4461"/>
    <w:rsid w:val="00FF65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6B078DD"/>
  <w15:docId w15:val="{F2B5A305-98EF-4F48-8F62-8A4B1934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rPr>
      <w:color w:val="595959"/>
      <w:sz w:val="28"/>
      <w:szCs w:val="28"/>
    </w:rPr>
  </w:style>
  <w:style w:type="table" w:customStyle="1" w:styleId="a">
    <w:basedOn w:val="TableNormal1"/>
    <w:pPr>
      <w:spacing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line="240" w:lineRule="auto"/>
    </w:pPr>
    <w:tblPr>
      <w:tblStyleRowBandSize w:val="1"/>
      <w:tblStyleColBandSize w:val="1"/>
      <w:tblCellMar>
        <w:left w:w="108" w:type="dxa"/>
        <w:right w:w="108" w:type="dxa"/>
      </w:tblCellMar>
    </w:tblPr>
  </w:style>
  <w:style w:type="character" w:customStyle="1" w:styleId="PuestoCar">
    <w:name w:val="Puesto Car"/>
    <w:aliases w:val="Cita textual Car"/>
    <w:basedOn w:val="Fuentedeprrafopredeter"/>
    <w:link w:val="Puesto"/>
    <w:uiPriority w:val="10"/>
    <w:rsid w:val="002D613C"/>
    <w:rPr>
      <w:i/>
      <w:color w:val="000000"/>
    </w:rPr>
  </w:style>
  <w:style w:type="paragraph" w:styleId="TtulodeTDC">
    <w:name w:val="TOC Heading"/>
    <w:basedOn w:val="Ttulo1"/>
    <w:next w:val="Normal"/>
    <w:uiPriority w:val="39"/>
    <w:unhideWhenUsed/>
    <w:qFormat/>
    <w:rsid w:val="00FD20C4"/>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764F1A"/>
    <w:pPr>
      <w:spacing w:line="240" w:lineRule="auto"/>
    </w:pPr>
  </w:style>
  <w:style w:type="paragraph" w:styleId="TDC2">
    <w:name w:val="toc 2"/>
    <w:basedOn w:val="Normal"/>
    <w:next w:val="Normal"/>
    <w:autoRedefine/>
    <w:uiPriority w:val="39"/>
    <w:unhideWhenUsed/>
    <w:rsid w:val="00FD20C4"/>
    <w:pPr>
      <w:spacing w:after="100"/>
      <w:ind w:left="220"/>
    </w:pPr>
  </w:style>
  <w:style w:type="paragraph" w:styleId="TDC3">
    <w:name w:val="toc 3"/>
    <w:basedOn w:val="Normal"/>
    <w:next w:val="Normal"/>
    <w:autoRedefine/>
    <w:uiPriority w:val="39"/>
    <w:unhideWhenUsed/>
    <w:rsid w:val="00FD20C4"/>
    <w:pPr>
      <w:spacing w:after="100"/>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FD20C4"/>
    <w:rPr>
      <w:color w:val="0000FF" w:themeColor="hyperlink"/>
      <w:u w:val="single"/>
    </w:rPr>
  </w:style>
  <w:style w:type="paragraph" w:styleId="Encabezado">
    <w:name w:val="header"/>
    <w:basedOn w:val="Normal"/>
    <w:link w:val="EncabezadoCar"/>
    <w:uiPriority w:val="99"/>
    <w:unhideWhenUsed/>
    <w:rsid w:val="004268E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268EA"/>
  </w:style>
  <w:style w:type="paragraph" w:styleId="Piedepgina">
    <w:name w:val="footer"/>
    <w:basedOn w:val="Normal"/>
    <w:link w:val="PiedepginaCar"/>
    <w:uiPriority w:val="99"/>
    <w:unhideWhenUsed/>
    <w:rsid w:val="004268E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268EA"/>
  </w:style>
  <w:style w:type="character" w:customStyle="1" w:styleId="Mencinsinresolver1">
    <w:name w:val="Mención sin resolver1"/>
    <w:basedOn w:val="Fuentedeprrafopredeter"/>
    <w:uiPriority w:val="99"/>
    <w:semiHidden/>
    <w:unhideWhenUsed/>
    <w:rsid w:val="004268EA"/>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292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154AB"/>
  </w:style>
  <w:style w:type="character" w:styleId="nfasissutil">
    <w:name w:val="Subtle Emphasis"/>
    <w:basedOn w:val="Fuentedeprrafopredeter"/>
    <w:uiPriority w:val="19"/>
    <w:qFormat/>
    <w:rsid w:val="00475509"/>
    <w:rPr>
      <w:i/>
      <w:iCs/>
      <w:color w:val="404040" w:themeColor="text1" w:themeTint="BF"/>
    </w:rPr>
  </w:style>
  <w:style w:type="table" w:styleId="Tablaconcuadrcula">
    <w:name w:val="Table Grid"/>
    <w:basedOn w:val="Tablanormal"/>
    <w:uiPriority w:val="39"/>
    <w:rsid w:val="003D3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61315A"/>
    <w:pPr>
      <w:spacing w:line="240" w:lineRule="auto"/>
    </w:pPr>
    <w:rPr>
      <w:rFonts w:eastAsia="Times New Roman" w:cs="Times New Roman"/>
      <w:szCs w:val="20"/>
      <w:lang w:eastAsia="es-ES"/>
    </w:rPr>
  </w:style>
  <w:style w:type="character" w:customStyle="1" w:styleId="SinespaciadoCar">
    <w:name w:val="Sin espaciado Car"/>
    <w:aliases w:val="Francesa Car,INAI Car"/>
    <w:link w:val="Sinespaciado"/>
    <w:uiPriority w:val="1"/>
    <w:locked/>
    <w:rsid w:val="0061315A"/>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1315A"/>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1315A"/>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315A"/>
    <w:rPr>
      <w:vertAlign w:val="superscript"/>
    </w:rPr>
  </w:style>
  <w:style w:type="character" w:customStyle="1" w:styleId="apple-converted-space">
    <w:name w:val="apple-converted-space"/>
    <w:basedOn w:val="Fuentedeprrafopredeter"/>
    <w:rsid w:val="00E22793"/>
  </w:style>
  <w:style w:type="character" w:customStyle="1" w:styleId="il">
    <w:name w:val="il"/>
    <w:basedOn w:val="Fuentedeprrafopredeter"/>
    <w:rsid w:val="00E22793"/>
    <w:rPr>
      <w:rFonts w:cs="Times New Roman"/>
    </w:rPr>
  </w:style>
  <w:style w:type="paragraph" w:styleId="NormalWeb">
    <w:name w:val="Normal (Web)"/>
    <w:basedOn w:val="Normal"/>
    <w:uiPriority w:val="99"/>
    <w:unhideWhenUsed/>
    <w:rsid w:val="004B77C8"/>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a2">
    <w:basedOn w:val="TableNormal1"/>
    <w:pPr>
      <w:spacing w:line="240" w:lineRule="auto"/>
    </w:pPr>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pPr>
      <w:spacing w:line="240" w:lineRule="auto"/>
    </w:pPr>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pPr>
      <w:spacing w:line="240" w:lineRule="auto"/>
    </w:pPr>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pPr>
      <w:spacing w:line="240" w:lineRule="auto"/>
    </w:p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AA68D2"/>
    <w:rPr>
      <w:color w:val="605E5C"/>
      <w:shd w:val="clear" w:color="auto" w:fill="E1DFDD"/>
    </w:rPr>
  </w:style>
  <w:style w:type="character" w:styleId="Hipervnculovisitado">
    <w:name w:val="FollowedHyperlink"/>
    <w:basedOn w:val="Fuentedeprrafopredeter"/>
    <w:uiPriority w:val="99"/>
    <w:semiHidden/>
    <w:unhideWhenUsed/>
    <w:rsid w:val="0063529B"/>
    <w:rPr>
      <w:color w:val="800080" w:themeColor="followedHyperlink"/>
      <w:u w:val="single"/>
    </w:rPr>
  </w:style>
  <w:style w:type="paragraph" w:styleId="Lista2">
    <w:name w:val="List 2"/>
    <w:basedOn w:val="Normal"/>
    <w:uiPriority w:val="99"/>
    <w:unhideWhenUsed/>
    <w:rsid w:val="005447F6"/>
    <w:pPr>
      <w:ind w:left="566" w:hanging="283"/>
      <w:contextualSpacing/>
    </w:pPr>
  </w:style>
  <w:style w:type="paragraph" w:styleId="Lista3">
    <w:name w:val="List 3"/>
    <w:basedOn w:val="Normal"/>
    <w:uiPriority w:val="99"/>
    <w:unhideWhenUsed/>
    <w:rsid w:val="005447F6"/>
    <w:pPr>
      <w:ind w:left="849" w:hanging="283"/>
      <w:contextualSpacing/>
    </w:pPr>
  </w:style>
  <w:style w:type="paragraph" w:styleId="Saludo">
    <w:name w:val="Salutation"/>
    <w:basedOn w:val="Normal"/>
    <w:next w:val="Normal"/>
    <w:link w:val="SaludoCar"/>
    <w:uiPriority w:val="99"/>
    <w:unhideWhenUsed/>
    <w:rsid w:val="005447F6"/>
  </w:style>
  <w:style w:type="character" w:customStyle="1" w:styleId="SaludoCar">
    <w:name w:val="Saludo Car"/>
    <w:basedOn w:val="Fuentedeprrafopredeter"/>
    <w:link w:val="Saludo"/>
    <w:uiPriority w:val="99"/>
    <w:rsid w:val="005447F6"/>
  </w:style>
  <w:style w:type="paragraph" w:styleId="Listaconvietas">
    <w:name w:val="List Bullet"/>
    <w:basedOn w:val="Normal"/>
    <w:uiPriority w:val="99"/>
    <w:unhideWhenUsed/>
    <w:rsid w:val="005447F6"/>
    <w:pPr>
      <w:numPr>
        <w:numId w:val="17"/>
      </w:numPr>
      <w:contextualSpacing/>
    </w:pPr>
  </w:style>
  <w:style w:type="paragraph" w:styleId="Listaconvietas2">
    <w:name w:val="List Bullet 2"/>
    <w:basedOn w:val="Normal"/>
    <w:uiPriority w:val="99"/>
    <w:unhideWhenUsed/>
    <w:rsid w:val="005447F6"/>
    <w:pPr>
      <w:numPr>
        <w:numId w:val="18"/>
      </w:numPr>
      <w:contextualSpacing/>
    </w:pPr>
  </w:style>
  <w:style w:type="paragraph" w:styleId="Textoindependiente">
    <w:name w:val="Body Text"/>
    <w:basedOn w:val="Normal"/>
    <w:link w:val="TextoindependienteCar"/>
    <w:uiPriority w:val="99"/>
    <w:unhideWhenUsed/>
    <w:rsid w:val="005447F6"/>
    <w:pPr>
      <w:spacing w:after="120"/>
    </w:pPr>
  </w:style>
  <w:style w:type="character" w:customStyle="1" w:styleId="TextoindependienteCar">
    <w:name w:val="Texto independiente Car"/>
    <w:basedOn w:val="Fuentedeprrafopredeter"/>
    <w:link w:val="Textoindependiente"/>
    <w:uiPriority w:val="99"/>
    <w:rsid w:val="005447F6"/>
  </w:style>
  <w:style w:type="paragraph" w:styleId="Sangradetextonormal">
    <w:name w:val="Body Text Indent"/>
    <w:basedOn w:val="Normal"/>
    <w:link w:val="SangradetextonormalCar"/>
    <w:uiPriority w:val="99"/>
    <w:unhideWhenUsed/>
    <w:rsid w:val="005447F6"/>
    <w:pPr>
      <w:spacing w:after="120"/>
      <w:ind w:left="283"/>
    </w:pPr>
  </w:style>
  <w:style w:type="character" w:customStyle="1" w:styleId="SangradetextonormalCar">
    <w:name w:val="Sangría de texto normal Car"/>
    <w:basedOn w:val="Fuentedeprrafopredeter"/>
    <w:link w:val="Sangradetextonormal"/>
    <w:uiPriority w:val="99"/>
    <w:rsid w:val="005447F6"/>
  </w:style>
  <w:style w:type="paragraph" w:styleId="Textoindependienteprimerasangra2">
    <w:name w:val="Body Text First Indent 2"/>
    <w:basedOn w:val="Sangradetextonormal"/>
    <w:link w:val="Textoindependienteprimerasangra2Car"/>
    <w:uiPriority w:val="99"/>
    <w:unhideWhenUsed/>
    <w:rsid w:val="005447F6"/>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447F6"/>
  </w:style>
  <w:style w:type="paragraph" w:customStyle="1" w:styleId="Citas">
    <w:name w:val="Citas"/>
    <w:basedOn w:val="Normal"/>
    <w:qFormat/>
    <w:rsid w:val="00B41EEF"/>
    <w:pPr>
      <w:spacing w:before="240" w:after="160"/>
      <w:ind w:left="851" w:right="851"/>
    </w:pPr>
    <w:rPr>
      <w:rFonts w:eastAsiaTheme="minorHAnsi" w:cs="Arial"/>
      <w:i/>
      <w:lang w:eastAsia="en-US"/>
    </w:rPr>
  </w:style>
  <w:style w:type="character" w:customStyle="1" w:styleId="Mencinsinresolver3">
    <w:name w:val="Mención sin resolver3"/>
    <w:basedOn w:val="Fuentedeprrafopredeter"/>
    <w:uiPriority w:val="99"/>
    <w:semiHidden/>
    <w:unhideWhenUsed/>
    <w:rsid w:val="00FF4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63567">
      <w:bodyDiv w:val="1"/>
      <w:marLeft w:val="0"/>
      <w:marRight w:val="0"/>
      <w:marTop w:val="0"/>
      <w:marBottom w:val="0"/>
      <w:divBdr>
        <w:top w:val="none" w:sz="0" w:space="0" w:color="auto"/>
        <w:left w:val="none" w:sz="0" w:space="0" w:color="auto"/>
        <w:bottom w:val="none" w:sz="0" w:space="0" w:color="auto"/>
        <w:right w:val="none" w:sz="0" w:space="0" w:color="auto"/>
      </w:divBdr>
      <w:divsChild>
        <w:div w:id="995183804">
          <w:marLeft w:val="0"/>
          <w:marRight w:val="0"/>
          <w:marTop w:val="0"/>
          <w:marBottom w:val="0"/>
          <w:divBdr>
            <w:top w:val="none" w:sz="0" w:space="0" w:color="auto"/>
            <w:left w:val="none" w:sz="0" w:space="0" w:color="auto"/>
            <w:bottom w:val="none" w:sz="0" w:space="0" w:color="auto"/>
            <w:right w:val="none" w:sz="0" w:space="0" w:color="auto"/>
          </w:divBdr>
        </w:div>
      </w:divsChild>
    </w:div>
    <w:div w:id="181554442">
      <w:bodyDiv w:val="1"/>
      <w:marLeft w:val="0"/>
      <w:marRight w:val="0"/>
      <w:marTop w:val="0"/>
      <w:marBottom w:val="0"/>
      <w:divBdr>
        <w:top w:val="none" w:sz="0" w:space="0" w:color="auto"/>
        <w:left w:val="none" w:sz="0" w:space="0" w:color="auto"/>
        <w:bottom w:val="none" w:sz="0" w:space="0" w:color="auto"/>
        <w:right w:val="none" w:sz="0" w:space="0" w:color="auto"/>
      </w:divBdr>
      <w:divsChild>
        <w:div w:id="1970817865">
          <w:marLeft w:val="0"/>
          <w:marRight w:val="0"/>
          <w:marTop w:val="0"/>
          <w:marBottom w:val="0"/>
          <w:divBdr>
            <w:top w:val="none" w:sz="0" w:space="0" w:color="auto"/>
            <w:left w:val="none" w:sz="0" w:space="0" w:color="auto"/>
            <w:bottom w:val="none" w:sz="0" w:space="0" w:color="auto"/>
            <w:right w:val="none" w:sz="0" w:space="0" w:color="auto"/>
          </w:divBdr>
        </w:div>
      </w:divsChild>
    </w:div>
    <w:div w:id="626856472">
      <w:bodyDiv w:val="1"/>
      <w:marLeft w:val="0"/>
      <w:marRight w:val="0"/>
      <w:marTop w:val="0"/>
      <w:marBottom w:val="0"/>
      <w:divBdr>
        <w:top w:val="none" w:sz="0" w:space="0" w:color="auto"/>
        <w:left w:val="none" w:sz="0" w:space="0" w:color="auto"/>
        <w:bottom w:val="none" w:sz="0" w:space="0" w:color="auto"/>
        <w:right w:val="none" w:sz="0" w:space="0" w:color="auto"/>
      </w:divBdr>
    </w:div>
    <w:div w:id="900485310">
      <w:bodyDiv w:val="1"/>
      <w:marLeft w:val="0"/>
      <w:marRight w:val="0"/>
      <w:marTop w:val="0"/>
      <w:marBottom w:val="0"/>
      <w:divBdr>
        <w:top w:val="none" w:sz="0" w:space="0" w:color="auto"/>
        <w:left w:val="none" w:sz="0" w:space="0" w:color="auto"/>
        <w:bottom w:val="none" w:sz="0" w:space="0" w:color="auto"/>
        <w:right w:val="none" w:sz="0" w:space="0" w:color="auto"/>
      </w:divBdr>
      <w:divsChild>
        <w:div w:id="90275633">
          <w:marLeft w:val="0"/>
          <w:marRight w:val="0"/>
          <w:marTop w:val="0"/>
          <w:marBottom w:val="0"/>
          <w:divBdr>
            <w:top w:val="none" w:sz="0" w:space="0" w:color="auto"/>
            <w:left w:val="none" w:sz="0" w:space="0" w:color="auto"/>
            <w:bottom w:val="none" w:sz="0" w:space="0" w:color="auto"/>
            <w:right w:val="none" w:sz="0" w:space="0" w:color="auto"/>
          </w:divBdr>
        </w:div>
      </w:divsChild>
    </w:div>
    <w:div w:id="1400708141">
      <w:bodyDiv w:val="1"/>
      <w:marLeft w:val="0"/>
      <w:marRight w:val="0"/>
      <w:marTop w:val="0"/>
      <w:marBottom w:val="0"/>
      <w:divBdr>
        <w:top w:val="none" w:sz="0" w:space="0" w:color="auto"/>
        <w:left w:val="none" w:sz="0" w:space="0" w:color="auto"/>
        <w:bottom w:val="none" w:sz="0" w:space="0" w:color="auto"/>
        <w:right w:val="none" w:sz="0" w:space="0" w:color="auto"/>
      </w:divBdr>
    </w:div>
    <w:div w:id="1508710726">
      <w:bodyDiv w:val="1"/>
      <w:marLeft w:val="0"/>
      <w:marRight w:val="0"/>
      <w:marTop w:val="0"/>
      <w:marBottom w:val="0"/>
      <w:divBdr>
        <w:top w:val="none" w:sz="0" w:space="0" w:color="auto"/>
        <w:left w:val="none" w:sz="0" w:space="0" w:color="auto"/>
        <w:bottom w:val="none" w:sz="0" w:space="0" w:color="auto"/>
        <w:right w:val="none" w:sz="0" w:space="0" w:color="auto"/>
      </w:divBdr>
    </w:div>
    <w:div w:id="1875117282">
      <w:bodyDiv w:val="1"/>
      <w:marLeft w:val="0"/>
      <w:marRight w:val="0"/>
      <w:marTop w:val="0"/>
      <w:marBottom w:val="0"/>
      <w:divBdr>
        <w:top w:val="none" w:sz="0" w:space="0" w:color="auto"/>
        <w:left w:val="none" w:sz="0" w:space="0" w:color="auto"/>
        <w:bottom w:val="none" w:sz="0" w:space="0" w:color="auto"/>
        <w:right w:val="none" w:sz="0" w:space="0" w:color="auto"/>
      </w:divBdr>
      <w:divsChild>
        <w:div w:id="750658402">
          <w:marLeft w:val="0"/>
          <w:marRight w:val="0"/>
          <w:marTop w:val="0"/>
          <w:marBottom w:val="0"/>
          <w:divBdr>
            <w:top w:val="none" w:sz="0" w:space="0" w:color="auto"/>
            <w:left w:val="none" w:sz="0" w:space="0" w:color="auto"/>
            <w:bottom w:val="none" w:sz="0" w:space="0" w:color="auto"/>
            <w:right w:val="none" w:sz="0" w:space="0" w:color="auto"/>
          </w:divBdr>
        </w:div>
      </w:divsChild>
    </w:div>
    <w:div w:id="1996180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nsultas.curp.gob.mx/CurpSP/html/informacionecurpPS.html"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portalanterior.ine.mx/archivos2/tutoriales/sistemas/ApoyoInstitucional/SIF/docs/candidatos/folioFiscalFactura.pdf"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gob.mx/segob/renapo/acciones-y-programas/clave-unica-de-registro-de-poblacion-curp-14222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pendatacharter.net/principl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rolf9RIaJsIqhQ7Uf58J+hd/rA==">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8B8E648-A235-416E-BFE2-94E396F5A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55</Pages>
  <Words>14521</Words>
  <Characters>79868</Characters>
  <Application>Microsoft Office Word</Application>
  <DocSecurity>0</DocSecurity>
  <Lines>665</Lines>
  <Paragraphs>188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94201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USUARIO</cp:lastModifiedBy>
  <cp:revision>5</cp:revision>
  <cp:lastPrinted>2025-09-04T19:47:00Z</cp:lastPrinted>
  <dcterms:created xsi:type="dcterms:W3CDTF">2025-08-28T20:18:00Z</dcterms:created>
  <dcterms:modified xsi:type="dcterms:W3CDTF">2025-11-09T22:41:00Z</dcterms:modified>
</cp:coreProperties>
</file>