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D40D2C" w:rsidRDefault="009D3673" w:rsidP="00D40D2C">
      <w:pPr>
        <w:spacing w:line="360" w:lineRule="auto"/>
        <w:ind w:right="49"/>
        <w:jc w:val="both"/>
        <w:rPr>
          <w:rFonts w:ascii="Palatino Linotype" w:eastAsia="Palatino Linotype" w:hAnsi="Palatino Linotype" w:cs="Palatino Linotype"/>
          <w:color w:val="000000" w:themeColor="text1"/>
        </w:rPr>
      </w:pPr>
      <w:bookmarkStart w:id="0" w:name="_GoBack"/>
      <w:bookmarkEnd w:id="0"/>
      <w:r w:rsidRPr="00D40D2C">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D40D2C">
        <w:rPr>
          <w:rFonts w:ascii="Palatino Linotype" w:eastAsia="Palatino Linotype" w:hAnsi="Palatino Linotype" w:cs="Palatino Linotype"/>
          <w:color w:val="000000" w:themeColor="text1"/>
        </w:rPr>
        <w:t xml:space="preserve">tado de México; </w:t>
      </w:r>
      <w:r w:rsidR="0081462E" w:rsidRPr="00D40D2C">
        <w:rPr>
          <w:rFonts w:ascii="Palatino Linotype" w:eastAsia="Palatino Linotype" w:hAnsi="Palatino Linotype" w:cs="Palatino Linotype"/>
          <w:b/>
          <w:color w:val="000000" w:themeColor="text1"/>
        </w:rPr>
        <w:t xml:space="preserve">de fecha </w:t>
      </w:r>
      <w:r w:rsidR="004B5F96" w:rsidRPr="00D40D2C">
        <w:rPr>
          <w:rFonts w:ascii="Palatino Linotype" w:eastAsia="Palatino Linotype" w:hAnsi="Palatino Linotype" w:cs="Palatino Linotype"/>
          <w:b/>
          <w:color w:val="000000" w:themeColor="text1"/>
        </w:rPr>
        <w:t>diez</w:t>
      </w:r>
      <w:r w:rsidR="000709EA">
        <w:rPr>
          <w:rFonts w:ascii="Palatino Linotype" w:eastAsia="Palatino Linotype" w:hAnsi="Palatino Linotype" w:cs="Palatino Linotype"/>
          <w:b/>
          <w:color w:val="000000" w:themeColor="text1"/>
        </w:rPr>
        <w:t xml:space="preserve"> (10)</w:t>
      </w:r>
      <w:r w:rsidR="004B5F96" w:rsidRPr="00D40D2C">
        <w:rPr>
          <w:rFonts w:ascii="Palatino Linotype" w:eastAsia="Palatino Linotype" w:hAnsi="Palatino Linotype" w:cs="Palatino Linotype"/>
          <w:b/>
          <w:color w:val="000000" w:themeColor="text1"/>
        </w:rPr>
        <w:t xml:space="preserve"> de </w:t>
      </w:r>
      <w:r w:rsidR="005259D7" w:rsidRPr="00D40D2C">
        <w:rPr>
          <w:rFonts w:ascii="Palatino Linotype" w:eastAsia="Palatino Linotype" w:hAnsi="Palatino Linotype" w:cs="Palatino Linotype"/>
          <w:b/>
          <w:color w:val="000000" w:themeColor="text1"/>
        </w:rPr>
        <w:t>dic</w:t>
      </w:r>
      <w:r w:rsidR="004B5F96" w:rsidRPr="00D40D2C">
        <w:rPr>
          <w:rFonts w:ascii="Palatino Linotype" w:eastAsia="Palatino Linotype" w:hAnsi="Palatino Linotype" w:cs="Palatino Linotype"/>
          <w:b/>
          <w:color w:val="000000" w:themeColor="text1"/>
        </w:rPr>
        <w:t>iembre</w:t>
      </w:r>
      <w:r w:rsidRPr="00D40D2C">
        <w:rPr>
          <w:rFonts w:ascii="Palatino Linotype" w:eastAsia="Palatino Linotype" w:hAnsi="Palatino Linotype" w:cs="Palatino Linotype"/>
          <w:b/>
          <w:color w:val="000000" w:themeColor="text1"/>
        </w:rPr>
        <w:t xml:space="preserve"> de dos mil veinticinco</w:t>
      </w:r>
      <w:r w:rsidRPr="00D40D2C">
        <w:rPr>
          <w:rFonts w:ascii="Palatino Linotype" w:eastAsia="Palatino Linotype" w:hAnsi="Palatino Linotype" w:cs="Palatino Linotype"/>
          <w:color w:val="000000" w:themeColor="text1"/>
        </w:rPr>
        <w:t>.</w:t>
      </w:r>
    </w:p>
    <w:p w:rsidR="00B84DF1" w:rsidRPr="00D40D2C" w:rsidRDefault="00B84DF1" w:rsidP="00D40D2C">
      <w:pPr>
        <w:spacing w:line="360" w:lineRule="auto"/>
        <w:ind w:right="49"/>
        <w:jc w:val="both"/>
        <w:rPr>
          <w:rFonts w:ascii="Palatino Linotype" w:eastAsia="Palatino Linotype" w:hAnsi="Palatino Linotype" w:cs="Palatino Linotype"/>
          <w:color w:val="000000" w:themeColor="text1"/>
        </w:rPr>
      </w:pPr>
    </w:p>
    <w:p w:rsidR="00B84DF1" w:rsidRPr="00D40D2C" w:rsidRDefault="009D3673" w:rsidP="00D40D2C">
      <w:pPr>
        <w:spacing w:line="360" w:lineRule="auto"/>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b/>
          <w:color w:val="000000" w:themeColor="text1"/>
        </w:rPr>
        <w:t xml:space="preserve">VISTAS </w:t>
      </w:r>
      <w:r w:rsidRPr="00D40D2C">
        <w:rPr>
          <w:rFonts w:ascii="Palatino Linotype" w:eastAsia="Palatino Linotype" w:hAnsi="Palatino Linotype" w:cs="Palatino Linotype"/>
          <w:color w:val="000000" w:themeColor="text1"/>
        </w:rPr>
        <w:t xml:space="preserve">las constancias para resolver el Recurso de Revisión </w:t>
      </w:r>
      <w:r w:rsidR="00210E60" w:rsidRPr="00D40D2C">
        <w:rPr>
          <w:rFonts w:ascii="Palatino Linotype" w:eastAsia="Palatino Linotype" w:hAnsi="Palatino Linotype" w:cs="Palatino Linotype"/>
          <w:b/>
          <w:color w:val="000000" w:themeColor="text1"/>
        </w:rPr>
        <w:t>11588/INFOEM/IP/RR/2025</w:t>
      </w:r>
      <w:r w:rsidRPr="00D40D2C">
        <w:rPr>
          <w:rFonts w:ascii="Palatino Linotype" w:eastAsia="Palatino Linotype" w:hAnsi="Palatino Linotype" w:cs="Palatino Linotype"/>
          <w:b/>
          <w:color w:val="000000" w:themeColor="text1"/>
        </w:rPr>
        <w:t>,</w:t>
      </w:r>
      <w:r w:rsidRPr="00D40D2C">
        <w:rPr>
          <w:rFonts w:ascii="Palatino Linotype" w:eastAsia="Palatino Linotype" w:hAnsi="Palatino Linotype" w:cs="Palatino Linotype"/>
          <w:color w:val="000000" w:themeColor="text1"/>
        </w:rPr>
        <w:t xml:space="preserve"> presentado por </w:t>
      </w:r>
      <w:r w:rsidR="005259D7" w:rsidRPr="00D40D2C">
        <w:rPr>
          <w:rFonts w:ascii="Palatino Linotype" w:eastAsia="Palatino Linotype" w:hAnsi="Palatino Linotype" w:cs="Palatino Linotype"/>
          <w:b/>
          <w:color w:val="000000" w:themeColor="text1"/>
        </w:rPr>
        <w:t>una persona que no aportó datos de identificación</w:t>
      </w:r>
      <w:r w:rsidRPr="00D40D2C">
        <w:rPr>
          <w:rFonts w:ascii="Palatino Linotype" w:eastAsia="Palatino Linotype" w:hAnsi="Palatino Linotype" w:cs="Palatino Linotype"/>
          <w:b/>
          <w:color w:val="000000" w:themeColor="text1"/>
        </w:rPr>
        <w:t>,</w:t>
      </w:r>
      <w:r w:rsidRPr="00D40D2C">
        <w:rPr>
          <w:rFonts w:ascii="Palatino Linotype" w:eastAsia="Palatino Linotype" w:hAnsi="Palatino Linotype" w:cs="Palatino Linotype"/>
          <w:color w:val="000000" w:themeColor="text1"/>
        </w:rPr>
        <w:t xml:space="preserve"> a quie</w:t>
      </w:r>
      <w:r w:rsidR="0064652D" w:rsidRPr="00D40D2C">
        <w:rPr>
          <w:rFonts w:ascii="Palatino Linotype" w:eastAsia="Palatino Linotype" w:hAnsi="Palatino Linotype" w:cs="Palatino Linotype"/>
          <w:color w:val="000000" w:themeColor="text1"/>
        </w:rPr>
        <w:t xml:space="preserve">n en lo sucesivo se denominará </w:t>
      </w:r>
      <w:r w:rsidRPr="00D40D2C">
        <w:rPr>
          <w:rFonts w:ascii="Palatino Linotype" w:eastAsia="Palatino Linotype" w:hAnsi="Palatino Linotype" w:cs="Palatino Linotype"/>
          <w:b/>
          <w:color w:val="000000" w:themeColor="text1"/>
        </w:rPr>
        <w:t>EL RECURRENTE</w:t>
      </w:r>
      <w:r w:rsidRPr="00D40D2C">
        <w:rPr>
          <w:rFonts w:ascii="Palatino Linotype" w:eastAsia="Palatino Linotype" w:hAnsi="Palatino Linotype" w:cs="Palatino Linotype"/>
          <w:color w:val="000000" w:themeColor="text1"/>
        </w:rPr>
        <w:t xml:space="preserve">, en contra de la respuesta otorgada a la solicitud de información con número de folio </w:t>
      </w:r>
      <w:r w:rsidR="005259D7" w:rsidRPr="00D40D2C">
        <w:rPr>
          <w:rFonts w:ascii="Palatino Linotype" w:eastAsia="Palatino Linotype" w:hAnsi="Palatino Linotype" w:cs="Palatino Linotype"/>
          <w:b/>
          <w:color w:val="000000" w:themeColor="text1"/>
        </w:rPr>
        <w:t>00543/CUAUTIT/IP/2025</w:t>
      </w:r>
      <w:r w:rsidRPr="00D40D2C">
        <w:rPr>
          <w:rFonts w:ascii="Palatino Linotype" w:eastAsia="Palatino Linotype" w:hAnsi="Palatino Linotype" w:cs="Palatino Linotype"/>
          <w:color w:val="000000" w:themeColor="text1"/>
        </w:rPr>
        <w:t>, por parte de</w:t>
      </w:r>
      <w:r w:rsidR="004B5F96" w:rsidRPr="00D40D2C">
        <w:rPr>
          <w:rFonts w:ascii="Palatino Linotype" w:eastAsia="Palatino Linotype" w:hAnsi="Palatino Linotype" w:cs="Palatino Linotype"/>
          <w:color w:val="000000" w:themeColor="text1"/>
        </w:rPr>
        <w:t xml:space="preserve"> </w:t>
      </w:r>
      <w:r w:rsidRPr="00D40D2C">
        <w:rPr>
          <w:rFonts w:ascii="Palatino Linotype" w:eastAsia="Palatino Linotype" w:hAnsi="Palatino Linotype" w:cs="Palatino Linotype"/>
          <w:color w:val="000000" w:themeColor="text1"/>
        </w:rPr>
        <w:t>l</w:t>
      </w:r>
      <w:r w:rsidR="004B5F96" w:rsidRPr="00D40D2C">
        <w:rPr>
          <w:rFonts w:ascii="Palatino Linotype" w:eastAsia="Palatino Linotype" w:hAnsi="Palatino Linotype" w:cs="Palatino Linotype"/>
          <w:color w:val="000000" w:themeColor="text1"/>
        </w:rPr>
        <w:t>a</w:t>
      </w:r>
      <w:r w:rsidRPr="00D40D2C">
        <w:rPr>
          <w:rFonts w:ascii="Palatino Linotype" w:eastAsia="Palatino Linotype" w:hAnsi="Palatino Linotype" w:cs="Palatino Linotype"/>
          <w:color w:val="000000" w:themeColor="text1"/>
        </w:rPr>
        <w:t xml:space="preserve"> </w:t>
      </w:r>
      <w:r w:rsidR="005259D7" w:rsidRPr="00D40D2C">
        <w:rPr>
          <w:rFonts w:ascii="Palatino Linotype" w:eastAsia="Palatino Linotype" w:hAnsi="Palatino Linotype" w:cs="Palatino Linotype"/>
          <w:b/>
          <w:color w:val="000000" w:themeColor="text1"/>
        </w:rPr>
        <w:t>Ayuntamiento de Cuautitlán</w:t>
      </w:r>
      <w:r w:rsidRPr="00D40D2C">
        <w:rPr>
          <w:rFonts w:ascii="Palatino Linotype" w:eastAsia="Palatino Linotype" w:hAnsi="Palatino Linotype" w:cs="Palatino Linotype"/>
          <w:b/>
          <w:color w:val="000000" w:themeColor="text1"/>
        </w:rPr>
        <w:t xml:space="preserve">, </w:t>
      </w:r>
      <w:r w:rsidRPr="00D40D2C">
        <w:rPr>
          <w:rFonts w:ascii="Palatino Linotype" w:eastAsia="Palatino Linotype" w:hAnsi="Palatino Linotype" w:cs="Palatino Linotype"/>
          <w:color w:val="000000" w:themeColor="text1"/>
        </w:rPr>
        <w:t xml:space="preserve">en adelante </w:t>
      </w:r>
      <w:r w:rsidRPr="00D40D2C">
        <w:rPr>
          <w:rFonts w:ascii="Palatino Linotype" w:eastAsia="Palatino Linotype" w:hAnsi="Palatino Linotype" w:cs="Palatino Linotype"/>
          <w:b/>
          <w:color w:val="000000" w:themeColor="text1"/>
        </w:rPr>
        <w:t>EL SUJETO OBLIGADO,</w:t>
      </w:r>
      <w:r w:rsidRPr="00D40D2C">
        <w:rPr>
          <w:rFonts w:ascii="Palatino Linotype" w:eastAsia="Palatino Linotype" w:hAnsi="Palatino Linotype" w:cs="Palatino Linotype"/>
          <w:color w:val="000000" w:themeColor="text1"/>
        </w:rPr>
        <w:t xml:space="preserve"> se emite la presente </w:t>
      </w:r>
      <w:r w:rsidR="0081462E" w:rsidRPr="00D40D2C">
        <w:rPr>
          <w:rFonts w:ascii="Palatino Linotype" w:eastAsia="Palatino Linotype" w:hAnsi="Palatino Linotype" w:cs="Palatino Linotype"/>
          <w:color w:val="000000" w:themeColor="text1"/>
        </w:rPr>
        <w:t>R</w:t>
      </w:r>
      <w:r w:rsidRPr="00D40D2C">
        <w:rPr>
          <w:rFonts w:ascii="Palatino Linotype" w:eastAsia="Palatino Linotype" w:hAnsi="Palatino Linotype" w:cs="Palatino Linotype"/>
          <w:color w:val="000000" w:themeColor="text1"/>
        </w:rPr>
        <w:t>esolución con base en los siguientes:</w:t>
      </w:r>
    </w:p>
    <w:p w:rsidR="00B84DF1" w:rsidRPr="00D40D2C" w:rsidRDefault="00B84DF1" w:rsidP="00D40D2C">
      <w:pPr>
        <w:spacing w:line="360" w:lineRule="auto"/>
        <w:ind w:right="49"/>
        <w:jc w:val="both"/>
        <w:rPr>
          <w:rFonts w:ascii="Palatino Linotype" w:eastAsia="Palatino Linotype" w:hAnsi="Palatino Linotype" w:cs="Palatino Linotype"/>
          <w:color w:val="000000" w:themeColor="text1"/>
        </w:rPr>
      </w:pPr>
    </w:p>
    <w:p w:rsidR="00B84DF1" w:rsidRPr="00D40D2C" w:rsidRDefault="009D3673" w:rsidP="00D40D2C">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D40D2C">
        <w:rPr>
          <w:rFonts w:ascii="Palatino Linotype" w:eastAsia="Palatino Linotype" w:hAnsi="Palatino Linotype" w:cs="Palatino Linotype"/>
          <w:b/>
          <w:color w:val="000000" w:themeColor="text1"/>
          <w:sz w:val="24"/>
          <w:szCs w:val="24"/>
        </w:rPr>
        <w:t>A N T E C E D E N T E S</w:t>
      </w:r>
    </w:p>
    <w:p w:rsidR="00B84DF1" w:rsidRPr="00D40D2C" w:rsidRDefault="00B84DF1" w:rsidP="00D40D2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B84DF1" w:rsidRPr="00D40D2C" w:rsidRDefault="009D3673" w:rsidP="00D40D2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El día</w:t>
      </w:r>
      <w:r w:rsidRPr="00D40D2C">
        <w:rPr>
          <w:rFonts w:ascii="Palatino Linotype" w:eastAsia="Palatino Linotype" w:hAnsi="Palatino Linotype" w:cs="Palatino Linotype"/>
          <w:b/>
          <w:color w:val="000000" w:themeColor="text1"/>
        </w:rPr>
        <w:t xml:space="preserve"> </w:t>
      </w:r>
      <w:r w:rsidR="005259D7" w:rsidRPr="00D40D2C">
        <w:rPr>
          <w:rFonts w:ascii="Palatino Linotype" w:eastAsia="Palatino Linotype" w:hAnsi="Palatino Linotype" w:cs="Palatino Linotype"/>
          <w:b/>
          <w:color w:val="000000" w:themeColor="text1"/>
        </w:rPr>
        <w:t>tres de septiembre</w:t>
      </w:r>
      <w:r w:rsidRPr="00D40D2C">
        <w:rPr>
          <w:rFonts w:ascii="Palatino Linotype" w:eastAsia="Palatino Linotype" w:hAnsi="Palatino Linotype" w:cs="Palatino Linotype"/>
          <w:b/>
          <w:color w:val="000000" w:themeColor="text1"/>
        </w:rPr>
        <w:t xml:space="preserve"> dos mil veintic</w:t>
      </w:r>
      <w:r w:rsidR="00AC01CA" w:rsidRPr="00D40D2C">
        <w:rPr>
          <w:rFonts w:ascii="Palatino Linotype" w:eastAsia="Palatino Linotype" w:hAnsi="Palatino Linotype" w:cs="Palatino Linotype"/>
          <w:b/>
          <w:color w:val="000000" w:themeColor="text1"/>
        </w:rPr>
        <w:t>inco</w:t>
      </w:r>
      <w:r w:rsidRPr="00D40D2C">
        <w:rPr>
          <w:rFonts w:ascii="Palatino Linotype" w:eastAsia="Palatino Linotype" w:hAnsi="Palatino Linotype" w:cs="Palatino Linotype"/>
          <w:color w:val="000000" w:themeColor="text1"/>
        </w:rPr>
        <w:t>,</w:t>
      </w:r>
      <w:r w:rsidRPr="00D40D2C">
        <w:rPr>
          <w:rFonts w:ascii="Palatino Linotype" w:eastAsia="Palatino Linotype" w:hAnsi="Palatino Linotype" w:cs="Palatino Linotype"/>
          <w:b/>
          <w:color w:val="000000" w:themeColor="text1"/>
        </w:rPr>
        <w:t xml:space="preserve"> </w:t>
      </w:r>
      <w:r w:rsidRPr="00D40D2C">
        <w:rPr>
          <w:rFonts w:ascii="Palatino Linotype" w:eastAsia="Palatino Linotype" w:hAnsi="Palatino Linotype" w:cs="Palatino Linotype"/>
          <w:color w:val="000000" w:themeColor="text1"/>
        </w:rPr>
        <w:t>se presentó ante el Sujeto Obligado vía Sistema de Acceso a la Información Mexiquense, en adelante (SAIMEX), la siguiente solicitud de información pública:</w:t>
      </w:r>
    </w:p>
    <w:p w:rsidR="00B84DF1" w:rsidRPr="00D40D2C" w:rsidRDefault="00B84DF1" w:rsidP="00D40D2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D40D2C" w:rsidRDefault="009D3673"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r w:rsidR="005259D7" w:rsidRPr="00D40D2C">
        <w:rPr>
          <w:rFonts w:ascii="Palatino Linotype" w:eastAsia="Palatino Linotype" w:hAnsi="Palatino Linotype" w:cs="Palatino Linotype"/>
          <w:i/>
          <w:color w:val="000000" w:themeColor="text1"/>
        </w:rPr>
        <w:t>Solicito todos los oficios firmados por el subdirector de desarrollo metropolitano sostenible de su fecha de ingreso hasta la fecha de la presente solicitud</w:t>
      </w:r>
      <w:r w:rsidRPr="00D40D2C">
        <w:rPr>
          <w:rFonts w:ascii="Palatino Linotype" w:eastAsia="Palatino Linotype" w:hAnsi="Palatino Linotype" w:cs="Palatino Linotype"/>
          <w:i/>
          <w:color w:val="000000" w:themeColor="text1"/>
        </w:rPr>
        <w:t>”</w:t>
      </w:r>
    </w:p>
    <w:p w:rsidR="00B84DF1" w:rsidRPr="00D40D2C" w:rsidRDefault="00B84DF1" w:rsidP="00D40D2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0709EA" w:rsidRDefault="009D3673" w:rsidP="00D40D2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Se eligió como modalidad de entrega de la información: </w:t>
      </w:r>
      <w:r w:rsidR="00CB1566" w:rsidRPr="00D40D2C">
        <w:rPr>
          <w:rFonts w:ascii="Palatino Linotype" w:eastAsia="Palatino Linotype" w:hAnsi="Palatino Linotype" w:cs="Palatino Linotype"/>
          <w:b/>
          <w:color w:val="000000" w:themeColor="text1"/>
        </w:rPr>
        <w:t>a través de SAIMEX</w:t>
      </w:r>
    </w:p>
    <w:p w:rsidR="000709EA" w:rsidRPr="00D40D2C" w:rsidRDefault="000709EA" w:rsidP="000709E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64652D" w:rsidRPr="00D40D2C" w:rsidRDefault="009D3673" w:rsidP="00D40D2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color w:val="000000" w:themeColor="text1"/>
        </w:rPr>
        <w:t xml:space="preserve">El </w:t>
      </w:r>
      <w:r w:rsidR="008940A5" w:rsidRPr="00D40D2C">
        <w:rPr>
          <w:rFonts w:ascii="Palatino Linotype" w:eastAsia="Palatino Linotype" w:hAnsi="Palatino Linotype" w:cs="Palatino Linotype"/>
          <w:b/>
          <w:color w:val="000000" w:themeColor="text1"/>
        </w:rPr>
        <w:t>veinti</w:t>
      </w:r>
      <w:r w:rsidR="005259D7" w:rsidRPr="00D40D2C">
        <w:rPr>
          <w:rFonts w:ascii="Palatino Linotype" w:eastAsia="Palatino Linotype" w:hAnsi="Palatino Linotype" w:cs="Palatino Linotype"/>
          <w:b/>
          <w:color w:val="000000" w:themeColor="text1"/>
        </w:rPr>
        <w:t xml:space="preserve">cinco de septiembre </w:t>
      </w:r>
      <w:r w:rsidR="009F6E27" w:rsidRPr="00D40D2C">
        <w:rPr>
          <w:rFonts w:ascii="Palatino Linotype" w:eastAsia="Palatino Linotype" w:hAnsi="Palatino Linotype" w:cs="Palatino Linotype"/>
          <w:b/>
          <w:color w:val="000000" w:themeColor="text1"/>
        </w:rPr>
        <w:t>de</w:t>
      </w:r>
      <w:r w:rsidR="00BE415E" w:rsidRPr="00D40D2C">
        <w:rPr>
          <w:rFonts w:ascii="Palatino Linotype" w:eastAsia="Palatino Linotype" w:hAnsi="Palatino Linotype" w:cs="Palatino Linotype"/>
          <w:b/>
          <w:color w:val="000000" w:themeColor="text1"/>
        </w:rPr>
        <w:t xml:space="preserve"> </w:t>
      </w:r>
      <w:r w:rsidR="00654047" w:rsidRPr="00D40D2C">
        <w:rPr>
          <w:rFonts w:ascii="Palatino Linotype" w:eastAsia="Palatino Linotype" w:hAnsi="Palatino Linotype" w:cs="Palatino Linotype"/>
          <w:b/>
          <w:color w:val="000000" w:themeColor="text1"/>
        </w:rPr>
        <w:t>dos mil veinticinco</w:t>
      </w:r>
      <w:r w:rsidRPr="00D40D2C">
        <w:rPr>
          <w:rFonts w:ascii="Palatino Linotype" w:eastAsia="Palatino Linotype" w:hAnsi="Palatino Linotype" w:cs="Palatino Linotype"/>
          <w:color w:val="000000" w:themeColor="text1"/>
        </w:rPr>
        <w:t xml:space="preserve">, </w:t>
      </w:r>
      <w:r w:rsidR="00CB1566" w:rsidRPr="00D40D2C">
        <w:rPr>
          <w:rFonts w:ascii="Palatino Linotype" w:eastAsia="Palatino Linotype" w:hAnsi="Palatino Linotype" w:cs="Palatino Linotype"/>
          <w:color w:val="000000" w:themeColor="text1"/>
        </w:rPr>
        <w:t xml:space="preserve">el </w:t>
      </w:r>
      <w:r w:rsidR="0064652D" w:rsidRPr="00D40D2C">
        <w:rPr>
          <w:rFonts w:ascii="Palatino Linotype" w:eastAsia="Palatino Linotype" w:hAnsi="Palatino Linotype" w:cs="Palatino Linotype"/>
          <w:b/>
          <w:color w:val="000000" w:themeColor="text1"/>
        </w:rPr>
        <w:t>SUJETO OBLIGADO</w:t>
      </w:r>
      <w:r w:rsidR="00CB1566" w:rsidRPr="00D40D2C">
        <w:rPr>
          <w:rFonts w:ascii="Palatino Linotype" w:eastAsia="Palatino Linotype" w:hAnsi="Palatino Linotype" w:cs="Palatino Linotype"/>
          <w:b/>
          <w:color w:val="000000" w:themeColor="text1"/>
        </w:rPr>
        <w:t xml:space="preserve"> </w:t>
      </w:r>
      <w:r w:rsidR="00CB1566" w:rsidRPr="00D40D2C">
        <w:rPr>
          <w:rFonts w:ascii="Palatino Linotype" w:eastAsia="Palatino Linotype" w:hAnsi="Palatino Linotype" w:cs="Palatino Linotype"/>
          <w:color w:val="000000" w:themeColor="text1"/>
        </w:rPr>
        <w:t xml:space="preserve">envió su respuesta a la solicitud de acceso a la información a través de SAIMEX, </w:t>
      </w:r>
      <w:r w:rsidR="008940A5" w:rsidRPr="00D40D2C">
        <w:rPr>
          <w:rFonts w:ascii="Palatino Linotype" w:eastAsia="Palatino Linotype" w:hAnsi="Palatino Linotype" w:cs="Palatino Linotype"/>
          <w:color w:val="000000" w:themeColor="text1"/>
        </w:rPr>
        <w:t xml:space="preserve">mediante un </w:t>
      </w:r>
      <w:r w:rsidR="008940A5" w:rsidRPr="00D40D2C">
        <w:rPr>
          <w:rFonts w:ascii="Palatino Linotype" w:eastAsia="Palatino Linotype" w:hAnsi="Palatino Linotype" w:cs="Palatino Linotype"/>
          <w:color w:val="000000" w:themeColor="text1"/>
        </w:rPr>
        <w:lastRenderedPageBreak/>
        <w:t xml:space="preserve">archivo denominado respuesta </w:t>
      </w:r>
      <w:r w:rsidR="005259D7" w:rsidRPr="00D40D2C">
        <w:rPr>
          <w:rFonts w:ascii="Palatino Linotype" w:eastAsia="Palatino Linotype" w:hAnsi="Palatino Linotype" w:cs="Palatino Linotype"/>
          <w:b/>
          <w:i/>
          <w:color w:val="000000" w:themeColor="text1"/>
        </w:rPr>
        <w:t>00543 metropolitano.pdf</w:t>
      </w:r>
      <w:r w:rsidR="008940A5" w:rsidRPr="00D40D2C">
        <w:rPr>
          <w:rFonts w:ascii="Palatino Linotype" w:eastAsia="Palatino Linotype" w:hAnsi="Palatino Linotype" w:cs="Palatino Linotype"/>
          <w:color w:val="000000" w:themeColor="text1"/>
        </w:rPr>
        <w:t>, cuyo contenido  corresponde</w:t>
      </w:r>
      <w:r w:rsidR="005259D7" w:rsidRPr="00D40D2C">
        <w:rPr>
          <w:rFonts w:ascii="Palatino Linotype" w:eastAsia="Palatino Linotype" w:hAnsi="Palatino Linotype" w:cs="Palatino Linotype"/>
          <w:color w:val="000000" w:themeColor="text1"/>
        </w:rPr>
        <w:t xml:space="preserve"> </w:t>
      </w:r>
      <w:r w:rsidR="0016745C" w:rsidRPr="00D40D2C">
        <w:rPr>
          <w:rFonts w:ascii="Palatino Linotype" w:eastAsia="Palatino Linotype" w:hAnsi="Palatino Linotype" w:cs="Palatino Linotype"/>
          <w:color w:val="000000" w:themeColor="text1"/>
        </w:rPr>
        <w:t>que contiene dos oficios; el primero signado por el Director de Desarrollo Metropolitano Sostenible de Cuautitlán a través del cual informa que en la estructura orgánica del Gobierno Municipal no existe la Subdirección de Desarrollo Metropolitano Sostenible, por tal razón no hay servidor público que desempeñe dicho cargo, consecuentemente no hay documentos, ni oficios firmados por servidor público con el cargo referido en la solicitud de información y, el segundo oficio signado por el Encargado de Despacho de la Unidad de Transparencia en donde informa al solicitante de la respuesta emitida.</w:t>
      </w:r>
    </w:p>
    <w:p w:rsidR="005259D7" w:rsidRPr="00D40D2C" w:rsidRDefault="005259D7" w:rsidP="00D40D2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themeColor="text1"/>
        </w:rPr>
      </w:pPr>
    </w:p>
    <w:p w:rsidR="00CB1566" w:rsidRPr="00D40D2C" w:rsidRDefault="009D3673" w:rsidP="00D40D2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El</w:t>
      </w:r>
      <w:r w:rsidRPr="00D40D2C">
        <w:rPr>
          <w:rFonts w:ascii="Palatino Linotype" w:eastAsia="Palatino Linotype" w:hAnsi="Palatino Linotype" w:cs="Palatino Linotype"/>
          <w:b/>
          <w:color w:val="000000" w:themeColor="text1"/>
        </w:rPr>
        <w:t xml:space="preserve"> </w:t>
      </w:r>
      <w:r w:rsidR="005259D7" w:rsidRPr="00D40D2C">
        <w:rPr>
          <w:rFonts w:ascii="Palatino Linotype" w:eastAsia="Palatino Linotype" w:hAnsi="Palatino Linotype" w:cs="Palatino Linotype"/>
          <w:b/>
          <w:color w:val="000000" w:themeColor="text1"/>
        </w:rPr>
        <w:t>siete de octubre</w:t>
      </w:r>
      <w:r w:rsidR="00CB1566" w:rsidRPr="00D40D2C">
        <w:rPr>
          <w:rFonts w:ascii="Palatino Linotype" w:eastAsia="Palatino Linotype" w:hAnsi="Palatino Linotype" w:cs="Palatino Linotype"/>
          <w:b/>
          <w:color w:val="000000" w:themeColor="text1"/>
        </w:rPr>
        <w:t xml:space="preserve"> de dos mil veinticinco, </w:t>
      </w:r>
      <w:r w:rsidR="00CB1566" w:rsidRPr="00D40D2C">
        <w:rPr>
          <w:rFonts w:ascii="Palatino Linotype" w:eastAsia="Palatino Linotype" w:hAnsi="Palatino Linotype" w:cs="Palatino Linotype"/>
          <w:color w:val="000000" w:themeColor="text1"/>
        </w:rPr>
        <w:t xml:space="preserve">la parte </w:t>
      </w:r>
      <w:r w:rsidR="00CB1566" w:rsidRPr="00D40D2C">
        <w:rPr>
          <w:rFonts w:ascii="Palatino Linotype" w:eastAsia="Palatino Linotype" w:hAnsi="Palatino Linotype" w:cs="Palatino Linotype"/>
          <w:b/>
          <w:color w:val="000000" w:themeColor="text1"/>
        </w:rPr>
        <w:t>Recurrente</w:t>
      </w:r>
      <w:r w:rsidR="00CB1566" w:rsidRPr="00D40D2C">
        <w:rPr>
          <w:rFonts w:ascii="Palatino Linotype" w:eastAsia="Palatino Linotype" w:hAnsi="Palatino Linotype" w:cs="Palatino Linotype"/>
          <w:color w:val="000000" w:themeColor="text1"/>
        </w:rPr>
        <w:t xml:space="preserve"> interpuso el recurso de revisión a través de </w:t>
      </w:r>
      <w:r w:rsidR="00CB1566" w:rsidRPr="00D40D2C">
        <w:rPr>
          <w:rFonts w:ascii="Palatino Linotype" w:eastAsia="Palatino Linotype" w:hAnsi="Palatino Linotype" w:cs="Palatino Linotype"/>
          <w:b/>
          <w:color w:val="000000" w:themeColor="text1"/>
        </w:rPr>
        <w:t xml:space="preserve">SAIMEX, </w:t>
      </w:r>
      <w:r w:rsidR="00CB1566" w:rsidRPr="00D40D2C">
        <w:rPr>
          <w:rFonts w:ascii="Palatino Linotype" w:eastAsia="Palatino Linotype" w:hAnsi="Palatino Linotype" w:cs="Palatino Linotype"/>
          <w:color w:val="000000" w:themeColor="text1"/>
        </w:rPr>
        <w:t>en donde se manifestó de la siguiente manera:</w:t>
      </w:r>
    </w:p>
    <w:p w:rsidR="00CB1566" w:rsidRPr="00D40D2C" w:rsidRDefault="00CB1566" w:rsidP="00D40D2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CB1566" w:rsidRPr="000709EA" w:rsidRDefault="000709EA" w:rsidP="000709EA">
      <w:pPr>
        <w:pStyle w:val="Prrafodelista"/>
        <w:numPr>
          <w:ilvl w:val="0"/>
          <w:numId w:val="46"/>
        </w:numPr>
        <w:tabs>
          <w:tab w:val="left" w:pos="2745"/>
        </w:tabs>
        <w:spacing w:line="360" w:lineRule="auto"/>
        <w:ind w:right="49"/>
        <w:jc w:val="both"/>
        <w:rPr>
          <w:rFonts w:ascii="Palatino Linotype" w:eastAsia="Palatino Linotype" w:hAnsi="Palatino Linotype" w:cs="Palatino Linotype"/>
          <w:b/>
          <w:color w:val="000000" w:themeColor="text1"/>
        </w:rPr>
      </w:pPr>
      <w:r w:rsidRPr="000709EA">
        <w:rPr>
          <w:rFonts w:ascii="Palatino Linotype" w:eastAsia="Palatino Linotype" w:hAnsi="Palatino Linotype" w:cs="Palatino Linotype"/>
          <w:b/>
          <w:color w:val="000000" w:themeColor="text1"/>
        </w:rPr>
        <w:t xml:space="preserve">ACTO IMPUGNADO: </w:t>
      </w:r>
    </w:p>
    <w:p w:rsidR="00CB1566" w:rsidRPr="00D40D2C" w:rsidRDefault="00CB1566" w:rsidP="00D40D2C">
      <w:pPr>
        <w:tabs>
          <w:tab w:val="left" w:pos="2745"/>
        </w:tabs>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r w:rsidR="00D27CBD" w:rsidRPr="00D40D2C">
        <w:rPr>
          <w:rFonts w:ascii="Palatino Linotype" w:eastAsia="Palatino Linotype" w:hAnsi="Palatino Linotype" w:cs="Palatino Linotype"/>
          <w:i/>
          <w:color w:val="000000" w:themeColor="text1"/>
        </w:rPr>
        <w:t>Dicha respuesta vulnera mi derecho de acceso a la información pública, toda vez que: Niega la existencia de la Subdirección de Desarrollo Metropolitano Sostenible, contradiciendo lo establecido en el Reglamento Orgánico de la Administración Pública Municipal de Cuautitlán, aprobado en sesión de Cabildo el 18 de julio de 2025. Falsea información al desconocer un área administrativa que se encuentra formalmente reconocida. Omisión de entrega de la información solicitada, consistente en los oficios firmados por el Subdirector de Desarrollo Metropolitano Sostenible desde su fecha de ingreso hasta la fecha de la solicitud.</w:t>
      </w:r>
      <w:r w:rsidR="009F6E27" w:rsidRPr="00D40D2C">
        <w:rPr>
          <w:rFonts w:ascii="Palatino Linotype" w:eastAsia="Palatino Linotype" w:hAnsi="Palatino Linotype" w:cs="Palatino Linotype"/>
          <w:i/>
          <w:color w:val="000000" w:themeColor="text1"/>
        </w:rPr>
        <w:t>”</w:t>
      </w:r>
    </w:p>
    <w:p w:rsidR="00CB1566" w:rsidRPr="00D40D2C" w:rsidRDefault="00CB1566" w:rsidP="00D40D2C">
      <w:pPr>
        <w:tabs>
          <w:tab w:val="left" w:pos="2745"/>
        </w:tabs>
        <w:spacing w:line="360" w:lineRule="auto"/>
        <w:ind w:right="49"/>
        <w:jc w:val="both"/>
        <w:rPr>
          <w:rFonts w:ascii="Palatino Linotype" w:eastAsia="Palatino Linotype" w:hAnsi="Palatino Linotype" w:cs="Palatino Linotype"/>
          <w:i/>
          <w:color w:val="000000" w:themeColor="text1"/>
        </w:rPr>
      </w:pPr>
    </w:p>
    <w:p w:rsidR="00CB1566" w:rsidRPr="000709EA" w:rsidRDefault="000709EA" w:rsidP="000709EA">
      <w:pPr>
        <w:pStyle w:val="Prrafodelista"/>
        <w:numPr>
          <w:ilvl w:val="0"/>
          <w:numId w:val="46"/>
        </w:numPr>
        <w:spacing w:line="360" w:lineRule="auto"/>
        <w:ind w:right="49"/>
        <w:jc w:val="both"/>
        <w:rPr>
          <w:rFonts w:ascii="Palatino Linotype" w:eastAsia="Palatino Linotype" w:hAnsi="Palatino Linotype" w:cs="Palatino Linotype"/>
          <w:color w:val="000000" w:themeColor="text1"/>
        </w:rPr>
      </w:pPr>
      <w:bookmarkStart w:id="2" w:name="_heading=h.30j0zll" w:colFirst="0" w:colLast="0"/>
      <w:bookmarkEnd w:id="2"/>
      <w:r w:rsidRPr="000709EA">
        <w:rPr>
          <w:rFonts w:ascii="Palatino Linotype" w:eastAsia="Palatino Linotype" w:hAnsi="Palatino Linotype" w:cs="Palatino Linotype"/>
          <w:b/>
          <w:color w:val="000000" w:themeColor="text1"/>
        </w:rPr>
        <w:t>RAZONES O MOTIVOS DE INCONFORMIDAD</w:t>
      </w:r>
      <w:r w:rsidRPr="000709EA">
        <w:rPr>
          <w:rFonts w:ascii="Palatino Linotype" w:eastAsia="Palatino Linotype" w:hAnsi="Palatino Linotype" w:cs="Palatino Linotype"/>
          <w:color w:val="000000" w:themeColor="text1"/>
        </w:rPr>
        <w:t>:</w:t>
      </w:r>
    </w:p>
    <w:p w:rsidR="00CB1566" w:rsidRDefault="00CB1566" w:rsidP="00D40D2C">
      <w:pPr>
        <w:tabs>
          <w:tab w:val="left" w:pos="2745"/>
        </w:tabs>
        <w:spacing w:line="360" w:lineRule="auto"/>
        <w:ind w:right="49"/>
        <w:jc w:val="both"/>
        <w:rPr>
          <w:rFonts w:ascii="Palatino Linotype" w:eastAsia="Palatino Linotype" w:hAnsi="Palatino Linotype" w:cs="Palatino Linotype"/>
          <w:b/>
          <w:i/>
          <w:color w:val="000000" w:themeColor="text1"/>
        </w:rPr>
      </w:pPr>
      <w:r w:rsidRPr="00D40D2C">
        <w:rPr>
          <w:rFonts w:ascii="Palatino Linotype" w:eastAsia="Palatino Linotype" w:hAnsi="Palatino Linotype" w:cs="Palatino Linotype"/>
          <w:i/>
          <w:color w:val="000000" w:themeColor="text1"/>
        </w:rPr>
        <w:t>“</w:t>
      </w:r>
      <w:r w:rsidR="00D27CBD" w:rsidRPr="00D40D2C">
        <w:rPr>
          <w:rFonts w:ascii="Palatino Linotype" w:eastAsia="Palatino Linotype" w:hAnsi="Palatino Linotype" w:cs="Palatino Linotype"/>
          <w:i/>
          <w:color w:val="000000" w:themeColor="text1"/>
        </w:rPr>
        <w:t xml:space="preserve">Como lo establece el artículo 5 fracción V de la Constitución política del estado libre y soberano de México asi como el artículos 4, 9 fracciones VII, X , 15, 18,19,20 178 y 179 fracción I Y VI de la ley </w:t>
      </w:r>
      <w:r w:rsidR="00D27CBD" w:rsidRPr="00D40D2C">
        <w:rPr>
          <w:rFonts w:ascii="Palatino Linotype" w:eastAsia="Palatino Linotype" w:hAnsi="Palatino Linotype" w:cs="Palatino Linotype"/>
          <w:i/>
          <w:color w:val="000000" w:themeColor="text1"/>
        </w:rPr>
        <w:lastRenderedPageBreak/>
        <w:t xml:space="preserve">de transparencia y acceso a la información publica del estado de México y municipios vengo a interponer recurso de revisión en virtud de: Que la respuesta que dio Fabián Mariano Gómez Zuppa “ esta dependencia hace de su conocimiento que dentro de la estructura organica del gobierno municipal de cuautitlan estado de mexico no existe la subdirección de desarrollo metropolitano sostenible por tal razón no hay servidor o servidora publica que desempeñe cargo de subdirector de desarrollo metropolitano sostenible por tal motivo dentro de los archivos expedientes y documentos que están bajo resguardo de esta dependencia no hay documentos,ni oficios firmados por algún servidor publico con el cargo que refiere en la solicitud que se contesta” El director NO ANALIZO la petición que se vuelve a trascribir “Solicito todos los oficios firmados por el subdirector de desarrollo metropolitano sostenible de su fecha de ingreso hasta la fecha de la presente solicitud como se puede apreciar en su respuesta “que dentro de la estructura organica del gobierno municipal de cuautitlan estado de mexico no existe la subdirección de desarrollo metropolitano sostenible” por ende no satisface mi necesidad de derecho a la información vulnerando en todo momento mis derechos humanos discriminando y no atendiendo cabalmente me petición trasgrediendo lo invocado en la ley de transparencia y acceso a la información pública del estado de México falseando información, abusando de su cargo y manejando la información a su antojo actuando con DOLO MALA FE al querer alterar la respuesta a su antojo no entregando la información solicitada ya que en su reglamento orgánico de la administración publica del municipio de cuautitlan aprobado DECIMA PRIMERA SESION EXTRAORDINARIA DE CABILDO CON NUMERO CONSECUTIVO TRIGESIMA NOVENA celebrada el 18 de julio del 2025 , en la fracción VII de la orden del día se apruebe el Reglamento Orgánico de la Administración pública del municipio de Cuautitlán Estado de México en su Título Séptimo artículo 9.2 inciso A SUBDIRECCION DE DESARROLLO URBANO asi como su organigrama que se anexa al presente: Ya que en la respuesta de la solicitud 542 la lic Lizhet Berenice Pineda Gomez ME CONTESTA QUE EN LA SESION DE COMITÉ </w:t>
      </w:r>
      <w:r w:rsidR="00D27CBD" w:rsidRPr="00D40D2C">
        <w:rPr>
          <w:rFonts w:ascii="Palatino Linotype" w:eastAsia="Palatino Linotype" w:hAnsi="Palatino Linotype" w:cs="Palatino Linotype"/>
          <w:i/>
          <w:color w:val="000000" w:themeColor="text1"/>
        </w:rPr>
        <w:lastRenderedPageBreak/>
        <w:t>TRIGESIMA QUINTA CELEBRADA EL PRIMERO DE OCTUBRE DEL PRESENTE UNA VERSION PUBLICA SOBRE EL CURRICULUM CERTIFICADO DE COMPETENCIA LABORAL de MARTIN GERARDO ROJAS CUANDON AFIRMANDO QUE ES EL SUBDIRECTOR DE DESARROLLO METROPOLITANO SOSTENIBLE DE CUAUTITLAN EL CUAL ANEXO AL PRESENTE . Por lo que PIDO SE ME ENTREGUE LA INFORMACION EN LOS TERMINOS PLANTEADOS Y que si la ley en sus atribuciones esta se le imponga una muta al director de desarrollo urbano metropolitano sostenible por no entregar la información solicitada toda vez que vulnera mi derecho a la información actuando con dolo y mala fe queriendo engañarme al ocultar la información.</w:t>
      </w:r>
      <w:r w:rsidR="009F6E27" w:rsidRPr="00D40D2C">
        <w:rPr>
          <w:rFonts w:ascii="Palatino Linotype" w:eastAsia="Palatino Linotype" w:hAnsi="Palatino Linotype" w:cs="Palatino Linotype"/>
          <w:b/>
          <w:i/>
          <w:color w:val="000000" w:themeColor="text1"/>
        </w:rPr>
        <w:t>”</w:t>
      </w:r>
    </w:p>
    <w:p w:rsidR="000709EA" w:rsidRPr="00D40D2C" w:rsidRDefault="000709EA" w:rsidP="00D40D2C">
      <w:pPr>
        <w:tabs>
          <w:tab w:val="left" w:pos="2745"/>
        </w:tabs>
        <w:spacing w:line="360" w:lineRule="auto"/>
        <w:ind w:right="49"/>
        <w:jc w:val="both"/>
        <w:rPr>
          <w:rFonts w:ascii="Palatino Linotype" w:eastAsia="Palatino Linotype" w:hAnsi="Palatino Linotype" w:cs="Palatino Linotype"/>
          <w:i/>
          <w:color w:val="000000" w:themeColor="text1"/>
        </w:rPr>
      </w:pPr>
    </w:p>
    <w:p w:rsidR="00C227AA" w:rsidRPr="00D40D2C" w:rsidRDefault="00C227AA" w:rsidP="00D40D2C">
      <w:pPr>
        <w:pStyle w:val="Prrafodelista"/>
        <w:numPr>
          <w:ilvl w:val="0"/>
          <w:numId w:val="4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Se agrega el documento denominado </w:t>
      </w:r>
      <w:r w:rsidRPr="00D40D2C">
        <w:rPr>
          <w:rFonts w:ascii="Palatino Linotype" w:eastAsia="Palatino Linotype" w:hAnsi="Palatino Linotype" w:cs="Palatino Linotype"/>
          <w:b/>
          <w:i/>
          <w:color w:val="000000" w:themeColor="text1"/>
        </w:rPr>
        <w:t>anexo.pdf</w:t>
      </w:r>
      <w:r w:rsidRPr="00D40D2C">
        <w:rPr>
          <w:rFonts w:ascii="Palatino Linotype" w:eastAsia="Palatino Linotype" w:hAnsi="Palatino Linotype" w:cs="Palatino Linotype"/>
          <w:color w:val="000000" w:themeColor="text1"/>
        </w:rPr>
        <w:t>, que contiene el organigrama del Ayuntamiento de Cuautitlán.</w:t>
      </w:r>
    </w:p>
    <w:p w:rsidR="00C227AA" w:rsidRPr="00D40D2C" w:rsidRDefault="00C227AA" w:rsidP="00D40D2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D40D2C" w:rsidRDefault="00CB1566" w:rsidP="00D40D2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Con fecha</w:t>
      </w:r>
      <w:r w:rsidRPr="00D40D2C">
        <w:rPr>
          <w:rFonts w:ascii="Palatino Linotype" w:eastAsia="Palatino Linotype" w:hAnsi="Palatino Linotype" w:cs="Palatino Linotype"/>
          <w:b/>
          <w:color w:val="000000" w:themeColor="text1"/>
        </w:rPr>
        <w:t xml:space="preserve"> </w:t>
      </w:r>
      <w:r w:rsidR="00D27CBD" w:rsidRPr="00D40D2C">
        <w:rPr>
          <w:rFonts w:ascii="Palatino Linotype" w:eastAsia="Palatino Linotype" w:hAnsi="Palatino Linotype" w:cs="Palatino Linotype"/>
          <w:b/>
          <w:color w:val="000000" w:themeColor="text1"/>
        </w:rPr>
        <w:t>trece de octubre</w:t>
      </w:r>
      <w:r w:rsidR="0090156E" w:rsidRPr="00D40D2C">
        <w:rPr>
          <w:rFonts w:ascii="Palatino Linotype" w:eastAsia="Palatino Linotype" w:hAnsi="Palatino Linotype" w:cs="Palatino Linotype"/>
          <w:b/>
          <w:color w:val="000000" w:themeColor="text1"/>
        </w:rPr>
        <w:t xml:space="preserve"> </w:t>
      </w:r>
      <w:r w:rsidRPr="00D40D2C">
        <w:rPr>
          <w:rFonts w:ascii="Palatino Linotype" w:eastAsia="Palatino Linotype" w:hAnsi="Palatino Linotype" w:cs="Palatino Linotype"/>
          <w:b/>
          <w:color w:val="000000" w:themeColor="text1"/>
        </w:rPr>
        <w:t xml:space="preserve">dos mil veinticinco, </w:t>
      </w:r>
      <w:r w:rsidRPr="00D40D2C">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27CBD" w:rsidRPr="00D40D2C">
        <w:rPr>
          <w:rFonts w:ascii="Palatino Linotype" w:eastAsia="Palatino Linotype" w:hAnsi="Palatino Linotype" w:cs="Palatino Linotype"/>
          <w:b/>
          <w:color w:val="000000" w:themeColor="text1"/>
        </w:rPr>
        <w:t xml:space="preserve">SUJETO OBLIGADO </w:t>
      </w:r>
      <w:r w:rsidRPr="00D40D2C">
        <w:rPr>
          <w:rFonts w:ascii="Palatino Linotype" w:eastAsia="Palatino Linotype" w:hAnsi="Palatino Linotype" w:cs="Palatino Linotype"/>
          <w:color w:val="000000" w:themeColor="text1"/>
        </w:rPr>
        <w:t>presentara su informe justificado.</w:t>
      </w:r>
    </w:p>
    <w:p w:rsidR="00C273BD" w:rsidRPr="00D40D2C" w:rsidRDefault="00C273BD" w:rsidP="00D40D2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D40D2C" w:rsidRDefault="00760330" w:rsidP="00D40D2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color w:val="000000" w:themeColor="text1"/>
        </w:rPr>
        <w:t>E</w:t>
      </w:r>
      <w:r w:rsidR="00874872" w:rsidRPr="00D40D2C">
        <w:rPr>
          <w:rFonts w:ascii="Palatino Linotype" w:eastAsia="Palatino Linotype" w:hAnsi="Palatino Linotype" w:cs="Palatino Linotype"/>
          <w:color w:val="000000" w:themeColor="text1"/>
        </w:rPr>
        <w:t>l</w:t>
      </w:r>
      <w:r w:rsidR="00874872" w:rsidRPr="00D40D2C">
        <w:rPr>
          <w:rFonts w:ascii="Palatino Linotype" w:eastAsia="Palatino Linotype" w:hAnsi="Palatino Linotype" w:cs="Palatino Linotype"/>
          <w:b/>
          <w:color w:val="000000" w:themeColor="text1"/>
        </w:rPr>
        <w:t xml:space="preserve"> SUJETO OBLIGADO </w:t>
      </w:r>
      <w:r w:rsidR="009D0F55" w:rsidRPr="00D40D2C">
        <w:rPr>
          <w:rFonts w:ascii="Palatino Linotype" w:eastAsia="Palatino Linotype" w:hAnsi="Palatino Linotype" w:cs="Palatino Linotype"/>
          <w:color w:val="000000" w:themeColor="text1"/>
        </w:rPr>
        <w:t>fue omiso en emitir el informe justificado correspondiente</w:t>
      </w:r>
      <w:r w:rsidR="0090156E" w:rsidRPr="00D40D2C">
        <w:rPr>
          <w:rFonts w:ascii="Palatino Linotype" w:eastAsia="Palatino Linotype" w:hAnsi="Palatino Linotype" w:cs="Palatino Linotype"/>
          <w:color w:val="000000" w:themeColor="text1"/>
        </w:rPr>
        <w:t xml:space="preserve">. </w:t>
      </w:r>
      <w:r w:rsidR="00B05FE8" w:rsidRPr="00D40D2C">
        <w:rPr>
          <w:rFonts w:ascii="Palatino Linotype" w:eastAsia="Palatino Linotype" w:hAnsi="Palatino Linotype" w:cs="Palatino Linotype"/>
          <w:color w:val="000000" w:themeColor="text1"/>
        </w:rPr>
        <w:t xml:space="preserve">Por su parte el solicitante </w:t>
      </w:r>
      <w:r w:rsidR="00C227AA" w:rsidRPr="00D40D2C">
        <w:rPr>
          <w:rFonts w:ascii="Palatino Linotype" w:eastAsia="Palatino Linotype" w:hAnsi="Palatino Linotype" w:cs="Palatino Linotype"/>
          <w:color w:val="000000" w:themeColor="text1"/>
        </w:rPr>
        <w:t>anexó el Organigrama del Ayuntamiento de Cuautitlán, acompañado del siguiente texto:</w:t>
      </w:r>
    </w:p>
    <w:p w:rsidR="00C227AA" w:rsidRPr="00D40D2C" w:rsidRDefault="00C227AA" w:rsidP="00D40D2C">
      <w:pPr>
        <w:pStyle w:val="Prrafodelista"/>
        <w:ind w:left="0" w:right="49"/>
        <w:rPr>
          <w:rFonts w:ascii="Palatino Linotype" w:eastAsia="Palatino Linotype" w:hAnsi="Palatino Linotype" w:cs="Palatino Linotype"/>
          <w:b/>
          <w:color w:val="000000" w:themeColor="text1"/>
        </w:rPr>
      </w:pPr>
    </w:p>
    <w:p w:rsidR="00C227AA" w:rsidRPr="00D40D2C" w:rsidRDefault="00C227AA"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lastRenderedPageBreak/>
        <w:t>“Manifestando que no se entregó la información por las razones expuestas, que la respuesta que dio Fabián Mariano Gómez Zuppa “ esta dependencia hace de su conocimiento que dentro de la estructura orgánica del gobierno municipal de Cuautitlán estado de México no existe la subdirección de desarrollo metropolitano sostenible por tal razón no hay servidor o servidora pública que desempeñe cargo de subdirector de desarrollo metropolitano sostenible por tal motivo dentro de los archivos expedientes y documentos que están bajo resguardo de esta dependencia no hay documentos, ni oficios firmados por algún servidor público con el cargo que refiere en la solicitud que se contesta”</w:t>
      </w:r>
    </w:p>
    <w:p w:rsidR="00C227AA" w:rsidRPr="00D40D2C" w:rsidRDefault="00C227AA"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El director NO ANALIZO la petición que se vuelve a trascribir “Solicito todos los oficios firmados por el subdirector de desarrollo metropolitano sostenible de su fecha de ingreso hasta la fecha de la presente solicitud como se puede apreciar en su respuesta “que dentro de la estructura orgánica del gobierno municipal de Cuautitlán estado de México no existe la subdirección de desarrollo metropolitano sostenible” por ende no satisface mi necesidad de derecho a la información vulnerando en todo momento mis derechos humanos discriminando y no atendiendo cabalmente me petición trasgrediendo lo invocado en la ley de transparencia y acceso a la información pública del estado de México falseando información, abusando de su cargo y manejando la información a su antojo actuando con DOLO MALA FE al querer alterar la respuesta a su antojo no entregando la información solicitada ya que en su reglamento orgánico de la administración pública del municipio de Cuautitlán aprobado DECIMA PRIMERA SESION EXTRAORDINARIA DE CABILDO CON NUMERO CONSECUTIVO TRIGESIMA NOVENA celebrada el 18 de julio del 2025 , en la fracción VII de la orden del día se apruebe el Reglamento Orgánico de la Administración pública del municipio de Cuautitlán Estado de México en su Título Séptimo artículo 9.2 inciso A SUBDIRECCION DE DESARROLLO URBANO…”</w:t>
      </w:r>
    </w:p>
    <w:p w:rsidR="00C227AA" w:rsidRPr="00D40D2C" w:rsidRDefault="00C227AA"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C227AA" w:rsidRPr="00D135BD" w:rsidRDefault="00C227AA" w:rsidP="00D40D2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color w:val="000000" w:themeColor="text1"/>
        </w:rPr>
        <w:lastRenderedPageBreak/>
        <w:t xml:space="preserve">Seguidamente, mediante Acuerdo de fecha </w:t>
      </w:r>
      <w:r w:rsidRPr="00D40D2C">
        <w:rPr>
          <w:rFonts w:ascii="Palatino Linotype" w:eastAsia="Palatino Linotype" w:hAnsi="Palatino Linotype" w:cs="Palatino Linotype"/>
          <w:b/>
          <w:color w:val="000000" w:themeColor="text1"/>
        </w:rPr>
        <w:t xml:space="preserve">cuatro de diciembre de dos mil veinticinco, </w:t>
      </w:r>
      <w:r w:rsidRPr="00D40D2C">
        <w:rPr>
          <w:rFonts w:ascii="Palatino Linotype" w:eastAsia="Palatino Linotype" w:hAnsi="Palatino Linotype" w:cs="Palatino Linotype"/>
          <w:color w:val="000000" w:themeColor="text1"/>
        </w:rPr>
        <w:t xml:space="preserve">se amplió el termino para resolver, consecutivamente se decretó el cierre de instrucción mediante Acuerdo de misma fecha, </w:t>
      </w:r>
      <w:r w:rsidR="00BD31CB" w:rsidRPr="00D40D2C">
        <w:rPr>
          <w:rFonts w:ascii="Palatino Linotype" w:eastAsia="Palatino Linotype" w:hAnsi="Palatino Linotype" w:cs="Palatino Linotype"/>
          <w:color w:val="000000" w:themeColor="text1"/>
        </w:rPr>
        <w:t>por lo que no ha</w:t>
      </w:r>
      <w:r w:rsidR="00D135BD">
        <w:rPr>
          <w:rFonts w:ascii="Palatino Linotype" w:eastAsia="Palatino Linotype" w:hAnsi="Palatino Linotype" w:cs="Palatino Linotype"/>
          <w:color w:val="000000" w:themeColor="text1"/>
        </w:rPr>
        <w:t>biendo más que hacer constar, y</w:t>
      </w:r>
    </w:p>
    <w:p w:rsidR="00D135BD" w:rsidRPr="00D40D2C" w:rsidRDefault="00D135BD" w:rsidP="00D135B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B84DF1" w:rsidRPr="00D40D2C" w:rsidRDefault="00BD31CB" w:rsidP="00D40D2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C O N S I D E R A N D O</w:t>
      </w:r>
    </w:p>
    <w:p w:rsidR="00BD31CB" w:rsidRPr="00D40D2C" w:rsidRDefault="00BD31CB" w:rsidP="00D40D2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D40D2C" w:rsidRDefault="003B59FA" w:rsidP="00D40D2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3znysh7" w:colFirst="0" w:colLast="0"/>
      <w:bookmarkEnd w:id="3"/>
      <w:r w:rsidRPr="00D40D2C">
        <w:rPr>
          <w:rFonts w:ascii="Palatino Linotype" w:eastAsia="Palatino Linotype" w:hAnsi="Palatino Linotype" w:cs="Palatino Linotype"/>
          <w:b/>
          <w:color w:val="000000" w:themeColor="text1"/>
          <w:sz w:val="24"/>
          <w:szCs w:val="24"/>
        </w:rPr>
        <w:t>PRIMERO</w:t>
      </w:r>
      <w:r w:rsidR="009D3673" w:rsidRPr="00D40D2C">
        <w:rPr>
          <w:rFonts w:ascii="Palatino Linotype" w:eastAsia="Palatino Linotype" w:hAnsi="Palatino Linotype" w:cs="Palatino Linotype"/>
          <w:b/>
          <w:color w:val="000000" w:themeColor="text1"/>
          <w:sz w:val="24"/>
          <w:szCs w:val="24"/>
        </w:rPr>
        <w:t>. Competencia</w:t>
      </w:r>
    </w:p>
    <w:p w:rsidR="00B84DF1" w:rsidRPr="00D40D2C" w:rsidRDefault="0090156E" w:rsidP="00D40D2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227AA" w:rsidRPr="00D40D2C" w:rsidRDefault="00C227AA" w:rsidP="00D40D2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D40D2C" w:rsidRDefault="009D3673" w:rsidP="00D40D2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2et92p0" w:colFirst="0" w:colLast="0"/>
      <w:bookmarkEnd w:id="4"/>
      <w:r w:rsidRPr="00D40D2C">
        <w:rPr>
          <w:rFonts w:ascii="Palatino Linotype" w:eastAsia="Palatino Linotype" w:hAnsi="Palatino Linotype" w:cs="Palatino Linotype"/>
          <w:b/>
          <w:color w:val="000000" w:themeColor="text1"/>
          <w:sz w:val="24"/>
          <w:szCs w:val="24"/>
        </w:rPr>
        <w:t>SEGUND</w:t>
      </w:r>
      <w:r w:rsidR="003B59FA" w:rsidRPr="00D40D2C">
        <w:rPr>
          <w:rFonts w:ascii="Palatino Linotype" w:eastAsia="Palatino Linotype" w:hAnsi="Palatino Linotype" w:cs="Palatino Linotype"/>
          <w:b/>
          <w:color w:val="000000" w:themeColor="text1"/>
          <w:sz w:val="24"/>
          <w:szCs w:val="24"/>
        </w:rPr>
        <w:t>O</w:t>
      </w:r>
      <w:r w:rsidRPr="00D40D2C">
        <w:rPr>
          <w:rFonts w:ascii="Palatino Linotype" w:eastAsia="Palatino Linotype" w:hAnsi="Palatino Linotype" w:cs="Palatino Linotype"/>
          <w:b/>
          <w:color w:val="000000" w:themeColor="text1"/>
          <w:sz w:val="24"/>
          <w:szCs w:val="24"/>
        </w:rPr>
        <w:t>. Procedencia.</w:t>
      </w:r>
    </w:p>
    <w:p w:rsidR="00B84DF1" w:rsidRPr="00D40D2C" w:rsidRDefault="009D3673" w:rsidP="00D40D2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90156E" w:rsidRPr="00D40D2C" w:rsidRDefault="0090156E" w:rsidP="00D40D2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lastRenderedPageBreak/>
        <w:t>Por otro lado, es de suma importancia señalar que la parte recurrente no proporciona un nombre</w:t>
      </w:r>
      <w:r w:rsidR="00BD31CB" w:rsidRPr="00D40D2C">
        <w:rPr>
          <w:rFonts w:ascii="Palatino Linotype" w:eastAsia="Palatino Linotype" w:hAnsi="Palatino Linotype" w:cs="Palatino Linotype"/>
          <w:color w:val="000000" w:themeColor="text1"/>
        </w:rPr>
        <w:t xml:space="preserve"> completo</w:t>
      </w:r>
      <w:r w:rsidRPr="00D40D2C">
        <w:rPr>
          <w:rFonts w:ascii="Palatino Linotype" w:eastAsia="Palatino Linotype" w:hAnsi="Palatino Linotype" w:cs="Palatino Linotype"/>
          <w:color w:val="000000" w:themeColor="text1"/>
        </w:rPr>
        <w:t xml:space="preserve"> como se advierte en el detalle de seguimiento del SAIMEX, no obstante lo anterior, no proporcionar el nombre completo no es motivo para </w:t>
      </w:r>
      <w:r w:rsidRPr="00D40D2C">
        <w:rPr>
          <w:rFonts w:ascii="Palatino Linotype" w:eastAsia="Calibri" w:hAnsi="Palatino Linotype" w:cs="Arial"/>
          <w:color w:val="000000" w:themeColor="text1"/>
        </w:rPr>
        <w:t>archivar</w:t>
      </w:r>
      <w:r w:rsidRPr="00D40D2C">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rsidR="0090156E" w:rsidRPr="00D40D2C" w:rsidRDefault="0090156E"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r w:rsidRPr="00D40D2C">
        <w:rPr>
          <w:rFonts w:ascii="Palatino Linotype" w:eastAsia="Palatino Linotype" w:hAnsi="Palatino Linotype" w:cs="Palatino Linotype"/>
          <w:b/>
          <w:i/>
          <w:color w:val="000000" w:themeColor="text1"/>
        </w:rPr>
        <w:t>Las solicitudes anónimas</w:t>
      </w:r>
      <w:r w:rsidRPr="00D40D2C">
        <w:rPr>
          <w:rFonts w:ascii="Palatino Linotype" w:eastAsia="Palatino Linotype" w:hAnsi="Palatino Linotype" w:cs="Palatino Linotype"/>
          <w:i/>
          <w:color w:val="000000" w:themeColor="text1"/>
        </w:rPr>
        <w:t xml:space="preserve">, con nombre incompleto o seudónimo </w:t>
      </w:r>
      <w:r w:rsidRPr="00D40D2C">
        <w:rPr>
          <w:rFonts w:ascii="Palatino Linotype" w:eastAsia="Palatino Linotype" w:hAnsi="Palatino Linotype" w:cs="Palatino Linotype"/>
          <w:b/>
          <w:i/>
          <w:color w:val="000000" w:themeColor="text1"/>
        </w:rPr>
        <w:t>serán procedentes para su trámite por parte del sujeto obligado ante quien se presente</w:t>
      </w:r>
      <w:r w:rsidRPr="00D40D2C">
        <w:rPr>
          <w:rFonts w:ascii="Palatino Linotype" w:eastAsia="Palatino Linotype" w:hAnsi="Palatino Linotype" w:cs="Palatino Linotype"/>
          <w:i/>
          <w:color w:val="000000" w:themeColor="text1"/>
        </w:rPr>
        <w:t>. No podrá requerirse información adicional con motivo del nombre proporcionado por el solicitante."</w:t>
      </w:r>
    </w:p>
    <w:p w:rsidR="00B64111" w:rsidRPr="00D40D2C" w:rsidRDefault="00B64111" w:rsidP="00D40D2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D40D2C" w:rsidRDefault="009D3673" w:rsidP="00D40D2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Finalmente, el escrito contiene las formalidades previstas por el artículo 180 último </w:t>
      </w:r>
      <w:r w:rsidR="00A227E2" w:rsidRPr="00D40D2C">
        <w:rPr>
          <w:rFonts w:ascii="Palatino Linotype" w:eastAsia="Palatino Linotype" w:hAnsi="Palatino Linotype" w:cs="Palatino Linotype"/>
          <w:color w:val="000000" w:themeColor="text1"/>
        </w:rPr>
        <w:t>párrafo de la citada Ley de la M</w:t>
      </w:r>
      <w:r w:rsidRPr="00D40D2C">
        <w:rPr>
          <w:rFonts w:ascii="Palatino Linotype" w:eastAsia="Palatino Linotype" w:hAnsi="Palatino Linotype" w:cs="Palatino Linotype"/>
          <w:color w:val="000000" w:themeColor="text1"/>
        </w:rPr>
        <w:t>ateria, por lo que es procedente que este Instituto conozca y resuelva el presente Recurso de Revisión.</w:t>
      </w:r>
    </w:p>
    <w:p w:rsidR="00BD31CB" w:rsidRPr="00D40D2C" w:rsidRDefault="00BD31CB" w:rsidP="00D40D2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313EA6" w:rsidRPr="00D40D2C" w:rsidRDefault="00313EA6" w:rsidP="00D40D2C">
      <w:pPr>
        <w:pStyle w:val="Ttulo2"/>
        <w:tabs>
          <w:tab w:val="left" w:pos="284"/>
          <w:tab w:val="left" w:pos="426"/>
        </w:tabs>
        <w:spacing w:before="0" w:line="360" w:lineRule="auto"/>
        <w:ind w:right="49"/>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D40D2C">
        <w:rPr>
          <w:rFonts w:ascii="Palatino Linotype" w:hAnsi="Palatino Linotype"/>
          <w:b/>
          <w:bCs/>
          <w:color w:val="000000" w:themeColor="text1"/>
          <w:sz w:val="24"/>
          <w:szCs w:val="24"/>
        </w:rPr>
        <w:t xml:space="preserve">TERCERO. </w:t>
      </w:r>
      <w:bookmarkEnd w:id="6"/>
      <w:bookmarkEnd w:id="7"/>
      <w:r w:rsidRPr="00D40D2C">
        <w:rPr>
          <w:rFonts w:ascii="Palatino Linotype" w:hAnsi="Palatino Linotype"/>
          <w:b/>
          <w:bCs/>
          <w:color w:val="000000" w:themeColor="text1"/>
          <w:sz w:val="24"/>
          <w:szCs w:val="24"/>
        </w:rPr>
        <w:t xml:space="preserve">Del planteamiento de la </w:t>
      </w:r>
      <w:r w:rsidRPr="00D40D2C">
        <w:rPr>
          <w:rFonts w:ascii="Palatino Linotype" w:hAnsi="Palatino Linotype"/>
          <w:b/>
          <w:bCs/>
          <w:i/>
          <w:color w:val="000000" w:themeColor="text1"/>
          <w:sz w:val="24"/>
          <w:szCs w:val="24"/>
        </w:rPr>
        <w:t>Litis.</w:t>
      </w:r>
    </w:p>
    <w:p w:rsidR="00313EA6" w:rsidRPr="00D40D2C" w:rsidRDefault="00313EA6" w:rsidP="00D40D2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rPr>
        <w:t xml:space="preserve">Se solicitó </w:t>
      </w:r>
      <w:r w:rsidRPr="00D40D2C">
        <w:rPr>
          <w:rFonts w:ascii="Palatino Linotype" w:eastAsia="Palatino Linotype" w:hAnsi="Palatino Linotype" w:cs="Palatino Linotype"/>
          <w:color w:val="000000" w:themeColor="text1"/>
        </w:rPr>
        <w:t>tener</w:t>
      </w:r>
      <w:r w:rsidRPr="00D40D2C">
        <w:rPr>
          <w:rFonts w:ascii="Palatino Linotype" w:hAnsi="Palatino Linotype"/>
          <w:color w:val="000000" w:themeColor="text1"/>
        </w:rPr>
        <w:t xml:space="preserve"> </w:t>
      </w:r>
      <w:r w:rsidRPr="00D40D2C">
        <w:rPr>
          <w:rFonts w:ascii="Palatino Linotype" w:eastAsia="Palatino Linotype" w:hAnsi="Palatino Linotype" w:cs="Palatino Linotype"/>
          <w:color w:val="000000" w:themeColor="text1"/>
        </w:rPr>
        <w:t>acceso</w:t>
      </w:r>
      <w:r w:rsidRPr="00D40D2C">
        <w:rPr>
          <w:rFonts w:ascii="Palatino Linotype" w:hAnsi="Palatino Linotype"/>
          <w:color w:val="000000" w:themeColor="text1"/>
        </w:rPr>
        <w:t>, a la información que a continuación se simplifica:</w:t>
      </w:r>
    </w:p>
    <w:p w:rsidR="009D0F55" w:rsidRPr="00D40D2C" w:rsidRDefault="00D73B32" w:rsidP="00D40D2C">
      <w:pPr>
        <w:pStyle w:val="Prrafodelista"/>
        <w:numPr>
          <w:ilvl w:val="0"/>
          <w:numId w:val="35"/>
        </w:numPr>
        <w:spacing w:line="360" w:lineRule="auto"/>
        <w:ind w:left="0" w:right="49" w:firstLine="0"/>
        <w:contextualSpacing w:val="0"/>
        <w:jc w:val="both"/>
        <w:rPr>
          <w:rFonts w:ascii="Palatino Linotype" w:eastAsia="Calibri" w:hAnsi="Palatino Linotype" w:cs="Arial"/>
          <w:b/>
          <w:color w:val="000000" w:themeColor="text1"/>
          <w:lang w:val="es-AR"/>
        </w:rPr>
      </w:pPr>
      <w:r w:rsidRPr="00D40D2C">
        <w:rPr>
          <w:rFonts w:ascii="Palatino Linotype" w:eastAsia="Calibri" w:hAnsi="Palatino Linotype" w:cs="Arial"/>
          <w:b/>
          <w:color w:val="000000" w:themeColor="text1"/>
        </w:rPr>
        <w:t>Oficios firmados por el Subdirector de Desarrollo Metropolitano Sostenible desde su fecha de ingreso al 3 de septiembre de 2015.</w:t>
      </w:r>
      <w:r w:rsidR="009D0F55" w:rsidRPr="00D40D2C">
        <w:rPr>
          <w:rFonts w:ascii="Palatino Linotype" w:eastAsia="Calibri" w:hAnsi="Palatino Linotype" w:cs="Arial"/>
          <w:b/>
          <w:color w:val="000000" w:themeColor="text1"/>
        </w:rPr>
        <w:t xml:space="preserve"> </w:t>
      </w:r>
    </w:p>
    <w:p w:rsidR="00313EA6" w:rsidRPr="00D40D2C" w:rsidRDefault="00313EA6" w:rsidP="00D40D2C">
      <w:pPr>
        <w:pStyle w:val="Prrafodelista"/>
        <w:spacing w:line="360" w:lineRule="auto"/>
        <w:ind w:left="0" w:right="49"/>
        <w:jc w:val="both"/>
        <w:rPr>
          <w:rFonts w:ascii="Palatino Linotype" w:hAnsi="Palatino Linotype"/>
          <w:color w:val="000000" w:themeColor="text1"/>
        </w:rPr>
      </w:pPr>
    </w:p>
    <w:p w:rsidR="00313EA6" w:rsidRPr="00D40D2C" w:rsidRDefault="00313EA6" w:rsidP="00D40D2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rPr>
        <w:t xml:space="preserve">Inconforme con la respuesta, el solicitante interpuso recurso de revisión </w:t>
      </w:r>
      <w:r w:rsidR="00945C3B" w:rsidRPr="00D40D2C">
        <w:rPr>
          <w:rFonts w:ascii="Palatino Linotype" w:hAnsi="Palatino Linotype"/>
          <w:color w:val="000000" w:themeColor="text1"/>
        </w:rPr>
        <w:t xml:space="preserve">de manera general </w:t>
      </w:r>
      <w:r w:rsidR="00F11260" w:rsidRPr="00D40D2C">
        <w:rPr>
          <w:rFonts w:ascii="Palatino Linotype" w:hAnsi="Palatino Linotype"/>
          <w:color w:val="000000" w:themeColor="text1"/>
        </w:rPr>
        <w:t>en contra de</w:t>
      </w:r>
      <w:r w:rsidR="00945C3B" w:rsidRPr="00D40D2C">
        <w:rPr>
          <w:rFonts w:ascii="Palatino Linotype" w:hAnsi="Palatino Linotype"/>
          <w:color w:val="000000" w:themeColor="text1"/>
        </w:rPr>
        <w:t xml:space="preserve"> </w:t>
      </w:r>
      <w:r w:rsidR="00F11260" w:rsidRPr="00D40D2C">
        <w:rPr>
          <w:rFonts w:ascii="Palatino Linotype" w:hAnsi="Palatino Linotype"/>
          <w:color w:val="000000" w:themeColor="text1"/>
        </w:rPr>
        <w:t>l</w:t>
      </w:r>
      <w:r w:rsidR="00945C3B" w:rsidRPr="00D40D2C">
        <w:rPr>
          <w:rFonts w:ascii="Palatino Linotype" w:hAnsi="Palatino Linotype"/>
          <w:color w:val="000000" w:themeColor="text1"/>
        </w:rPr>
        <w:t>a</w:t>
      </w:r>
      <w:r w:rsidR="00F11260" w:rsidRPr="00D40D2C">
        <w:rPr>
          <w:rFonts w:ascii="Palatino Linotype" w:hAnsi="Palatino Linotype"/>
          <w:color w:val="000000" w:themeColor="text1"/>
        </w:rPr>
        <w:t xml:space="preserve"> </w:t>
      </w:r>
      <w:r w:rsidR="00945C3B" w:rsidRPr="00D40D2C">
        <w:rPr>
          <w:rFonts w:ascii="Palatino Linotype" w:hAnsi="Palatino Linotype"/>
          <w:color w:val="000000" w:themeColor="text1"/>
        </w:rPr>
        <w:t>negativa a la entrega de la información</w:t>
      </w:r>
      <w:r w:rsidRPr="00D40D2C">
        <w:rPr>
          <w:rFonts w:ascii="Palatino Linotype" w:eastAsia="Palatino Linotype" w:hAnsi="Palatino Linotype" w:cs="Palatino Linotype"/>
          <w:color w:val="000000" w:themeColor="text1"/>
        </w:rPr>
        <w:t xml:space="preserve">. </w:t>
      </w:r>
      <w:r w:rsidRPr="00D40D2C">
        <w:rPr>
          <w:rFonts w:ascii="Palatino Linotype" w:hAnsi="Palatino Linotype"/>
          <w:color w:val="000000" w:themeColor="text1"/>
        </w:rPr>
        <w:t>En dichas condiciones, la controversia a resolver en el presente proveído, corresponde a determinar si se actualiza la causal de procedencia previst</w:t>
      </w:r>
      <w:r w:rsidR="007147C0" w:rsidRPr="00D40D2C">
        <w:rPr>
          <w:rFonts w:ascii="Palatino Linotype" w:hAnsi="Palatino Linotype"/>
          <w:color w:val="000000" w:themeColor="text1"/>
        </w:rPr>
        <w:t xml:space="preserve">a en el artículo 179, fracción </w:t>
      </w:r>
      <w:r w:rsidR="00F11260" w:rsidRPr="00D40D2C">
        <w:rPr>
          <w:rFonts w:ascii="Palatino Linotype" w:hAnsi="Palatino Linotype"/>
          <w:color w:val="000000" w:themeColor="text1"/>
        </w:rPr>
        <w:t>I</w:t>
      </w:r>
      <w:r w:rsidRPr="00D40D2C">
        <w:rPr>
          <w:rFonts w:ascii="Palatino Linotype" w:hAnsi="Palatino Linotype"/>
          <w:color w:val="000000" w:themeColor="text1"/>
        </w:rPr>
        <w:t xml:space="preserve">, de la Ley de Transparencia y Acceso a la Información Pública del Estado de México y Municipios; fracción que determina </w:t>
      </w:r>
      <w:r w:rsidRPr="00D40D2C">
        <w:rPr>
          <w:rFonts w:ascii="Palatino Linotype" w:hAnsi="Palatino Linotype"/>
          <w:color w:val="000000" w:themeColor="text1"/>
        </w:rPr>
        <w:lastRenderedPageBreak/>
        <w:t xml:space="preserve">la hipótesis relativa a la </w:t>
      </w:r>
      <w:r w:rsidR="007147C0" w:rsidRPr="00D40D2C">
        <w:rPr>
          <w:rFonts w:ascii="Palatino Linotype" w:hAnsi="Palatino Linotype"/>
          <w:color w:val="000000" w:themeColor="text1"/>
        </w:rPr>
        <w:t>negativa de la entrega de la información</w:t>
      </w:r>
      <w:r w:rsidR="00F11260" w:rsidRPr="00D40D2C">
        <w:rPr>
          <w:rFonts w:ascii="Palatino Linotype" w:hAnsi="Palatino Linotype"/>
          <w:color w:val="000000" w:themeColor="text1"/>
        </w:rPr>
        <w:t>;</w:t>
      </w:r>
      <w:r w:rsidRPr="00D40D2C">
        <w:rPr>
          <w:rFonts w:ascii="Palatino Linotype" w:hAnsi="Palatino Linotype"/>
          <w:color w:val="000000" w:themeColor="text1"/>
        </w:rPr>
        <w:t xml:space="preserve"> contexto del cual se dolió el Recurrente al momento de interponer su inconformidad. De modo tal que el presente recurso de revisión se abocará en determinar si el Sujeto Obligado con su respuesta ciertamente actualiza la causal de procedencia señalada. </w:t>
      </w:r>
    </w:p>
    <w:p w:rsidR="00313EA6" w:rsidRPr="00D40D2C" w:rsidRDefault="00313EA6" w:rsidP="00D40D2C">
      <w:pPr>
        <w:pStyle w:val="Prrafodelista"/>
        <w:spacing w:line="360" w:lineRule="auto"/>
        <w:ind w:left="0" w:right="49"/>
        <w:rPr>
          <w:rFonts w:ascii="Palatino Linotype" w:hAnsi="Palatino Linotype"/>
          <w:color w:val="000000" w:themeColor="text1"/>
        </w:rPr>
      </w:pPr>
    </w:p>
    <w:p w:rsidR="00313EA6" w:rsidRPr="00D40D2C" w:rsidRDefault="00313EA6" w:rsidP="00D40D2C">
      <w:pPr>
        <w:spacing w:line="360" w:lineRule="auto"/>
        <w:ind w:right="49"/>
        <w:rPr>
          <w:rFonts w:ascii="Palatino Linotype" w:hAnsi="Palatino Linotype"/>
          <w:b/>
          <w:bCs/>
          <w:color w:val="000000" w:themeColor="text1"/>
        </w:rPr>
      </w:pPr>
      <w:r w:rsidRPr="00D40D2C">
        <w:rPr>
          <w:rFonts w:ascii="Palatino Linotype" w:hAnsi="Palatino Linotype"/>
          <w:b/>
          <w:bCs/>
          <w:color w:val="000000" w:themeColor="text1"/>
        </w:rPr>
        <w:t>CUARTO. Del estudio y resolución del asunto.</w:t>
      </w:r>
    </w:p>
    <w:p w:rsidR="00313EA6" w:rsidRPr="00D40D2C" w:rsidRDefault="00313EA6" w:rsidP="00D40D2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3EA6" w:rsidRPr="00D40D2C" w:rsidRDefault="00313EA6" w:rsidP="00D40D2C">
      <w:pPr>
        <w:pStyle w:val="Prrafodelista"/>
        <w:spacing w:line="360" w:lineRule="auto"/>
        <w:ind w:left="0" w:right="49"/>
        <w:jc w:val="both"/>
        <w:rPr>
          <w:rFonts w:ascii="Palatino Linotype" w:hAnsi="Palatino Linotype"/>
          <w:color w:val="000000" w:themeColor="text1"/>
        </w:rPr>
      </w:pPr>
    </w:p>
    <w:p w:rsidR="00313EA6" w:rsidRPr="00D40D2C" w:rsidRDefault="00313EA6" w:rsidP="00D40D2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3EA6" w:rsidRPr="00D40D2C" w:rsidRDefault="00313EA6" w:rsidP="00D40D2C">
      <w:pPr>
        <w:pStyle w:val="Prrafodelista"/>
        <w:spacing w:line="360" w:lineRule="auto"/>
        <w:ind w:left="0" w:right="49"/>
        <w:rPr>
          <w:rFonts w:ascii="Palatino Linotype" w:hAnsi="Palatino Linotype"/>
          <w:color w:val="000000" w:themeColor="text1"/>
        </w:rPr>
      </w:pPr>
    </w:p>
    <w:p w:rsidR="00313EA6" w:rsidRPr="00D40D2C" w:rsidRDefault="00313EA6" w:rsidP="00D40D2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rPr>
        <w:t xml:space="preserve">Los artículos antes citados, refieren que el derecho de acceso a la información pública es un derecho humano que abarca el solicitar, investigar, difundir y buscar información que </w:t>
      </w:r>
      <w:r w:rsidRPr="00D40D2C">
        <w:rPr>
          <w:rFonts w:ascii="Palatino Linotype" w:hAnsi="Palatino Linotype"/>
          <w:color w:val="000000" w:themeColor="text1"/>
        </w:rPr>
        <w:lastRenderedPageBreak/>
        <w:t>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867E2" w:rsidRPr="00D40D2C" w:rsidRDefault="00F867E2" w:rsidP="00D40D2C">
      <w:pPr>
        <w:pStyle w:val="Prrafodelista"/>
        <w:spacing w:line="360" w:lineRule="auto"/>
        <w:ind w:left="0" w:right="49"/>
        <w:rPr>
          <w:rFonts w:ascii="Palatino Linotype" w:hAnsi="Palatino Linotype"/>
          <w:color w:val="000000" w:themeColor="text1"/>
        </w:rPr>
      </w:pPr>
    </w:p>
    <w:p w:rsidR="007E1DBF" w:rsidRPr="00D40D2C" w:rsidRDefault="00313EA6" w:rsidP="00D40D2C">
      <w:pPr>
        <w:numPr>
          <w:ilvl w:val="0"/>
          <w:numId w:val="1"/>
        </w:numPr>
        <w:spacing w:line="360" w:lineRule="auto"/>
        <w:ind w:left="0" w:right="49" w:firstLine="0"/>
        <w:jc w:val="both"/>
        <w:rPr>
          <w:rFonts w:ascii="Palatino Linotype" w:hAnsi="Palatino Linotype" w:cs="Arial"/>
          <w:color w:val="000000" w:themeColor="text1"/>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D40D2C">
        <w:rPr>
          <w:rFonts w:ascii="Palatino Linotype" w:eastAsia="Palatino Linotype" w:hAnsi="Palatino Linotype" w:cs="Palatino Linotype"/>
          <w:color w:val="000000" w:themeColor="text1"/>
        </w:rPr>
        <w:t>Dicho lo anterior es necesario recordar</w:t>
      </w:r>
      <w:r w:rsidR="00C1203A" w:rsidRPr="00D40D2C">
        <w:rPr>
          <w:rFonts w:ascii="Palatino Linotype" w:eastAsia="Palatino Linotype" w:hAnsi="Palatino Linotype" w:cs="Palatino Linotype"/>
          <w:color w:val="000000" w:themeColor="text1"/>
        </w:rPr>
        <w:t xml:space="preserve"> la respuesta en su parte </w:t>
      </w:r>
      <w:r w:rsidR="00D73B32" w:rsidRPr="00D40D2C">
        <w:rPr>
          <w:rFonts w:ascii="Palatino Linotype" w:eastAsia="Palatino Linotype" w:hAnsi="Palatino Linotype" w:cs="Palatino Linotype"/>
          <w:color w:val="000000" w:themeColor="text1"/>
        </w:rPr>
        <w:t>relativa a ña negativa de la entrega de la información en razón de no existir la unidad administrativa del servidor público de la que se requiere la información, lo que naturalmente conlleva a que no existan los oficios solicitados.</w:t>
      </w:r>
    </w:p>
    <w:p w:rsidR="0066627C" w:rsidRPr="00D40D2C" w:rsidRDefault="0066627C" w:rsidP="00D40D2C">
      <w:pPr>
        <w:pStyle w:val="Prrafodelista"/>
        <w:spacing w:line="360" w:lineRule="auto"/>
        <w:ind w:left="0" w:right="49"/>
        <w:rPr>
          <w:rFonts w:ascii="Palatino Linotype" w:hAnsi="Palatino Linotype" w:cs="Arial"/>
          <w:color w:val="000000" w:themeColor="text1"/>
        </w:rPr>
      </w:pPr>
    </w:p>
    <w:p w:rsidR="002B6B27" w:rsidRPr="000709EA" w:rsidRDefault="00592464" w:rsidP="00D40D2C">
      <w:pPr>
        <w:numPr>
          <w:ilvl w:val="0"/>
          <w:numId w:val="1"/>
        </w:numPr>
        <w:spacing w:line="360" w:lineRule="auto"/>
        <w:ind w:left="0" w:right="49" w:firstLine="0"/>
        <w:jc w:val="both"/>
        <w:rPr>
          <w:rFonts w:ascii="Palatino Linotype" w:hAnsi="Palatino Linotype"/>
          <w:color w:val="000000" w:themeColor="text1"/>
        </w:rPr>
      </w:pPr>
      <w:r w:rsidRPr="00D40D2C">
        <w:rPr>
          <w:rFonts w:ascii="Palatino Linotype" w:eastAsia="Palatino Linotype" w:hAnsi="Palatino Linotype" w:cs="Palatino Linotype"/>
          <w:color w:val="000000" w:themeColor="text1"/>
        </w:rPr>
        <w:t xml:space="preserve">Contexto que trajo la inconformidad del ahora </w:t>
      </w:r>
      <w:r w:rsidRPr="00D40D2C">
        <w:rPr>
          <w:rFonts w:ascii="Palatino Linotype" w:eastAsia="Palatino Linotype" w:hAnsi="Palatino Linotype" w:cs="Palatino Linotype"/>
          <w:b/>
          <w:color w:val="000000" w:themeColor="text1"/>
        </w:rPr>
        <w:t>RECURRENTE,</w:t>
      </w:r>
      <w:r w:rsidRPr="00D40D2C">
        <w:rPr>
          <w:rFonts w:ascii="Palatino Linotype" w:eastAsia="Palatino Linotype" w:hAnsi="Palatino Linotype" w:cs="Palatino Linotype"/>
          <w:color w:val="000000" w:themeColor="text1"/>
        </w:rPr>
        <w:t xml:space="preserve"> quien insiste a </w:t>
      </w:r>
      <w:r w:rsidR="00C227AA" w:rsidRPr="00D40D2C">
        <w:rPr>
          <w:rFonts w:ascii="Palatino Linotype" w:eastAsia="Palatino Linotype" w:hAnsi="Palatino Linotype" w:cs="Palatino Linotype"/>
          <w:color w:val="000000" w:themeColor="text1"/>
        </w:rPr>
        <w:t>través</w:t>
      </w:r>
      <w:r w:rsidRPr="00D40D2C">
        <w:rPr>
          <w:rFonts w:ascii="Palatino Linotype" w:eastAsia="Palatino Linotype" w:hAnsi="Palatino Linotype" w:cs="Palatino Linotype"/>
          <w:color w:val="000000" w:themeColor="text1"/>
        </w:rPr>
        <w:t xml:space="preserve"> del recurso de revisión de la existencia de la unidad administrativa y de la información solicitad</w:t>
      </w:r>
      <w:r w:rsidR="00C227AA" w:rsidRPr="00D40D2C">
        <w:rPr>
          <w:rFonts w:ascii="Palatino Linotype" w:eastAsia="Palatino Linotype" w:hAnsi="Palatino Linotype" w:cs="Palatino Linotype"/>
          <w:color w:val="000000" w:themeColor="text1"/>
        </w:rPr>
        <w:t xml:space="preserve">a. </w:t>
      </w:r>
      <w:r w:rsidR="007645A1" w:rsidRPr="00D40D2C">
        <w:rPr>
          <w:rFonts w:ascii="Palatino Linotype" w:eastAsia="Palatino Linotype" w:hAnsi="Palatino Linotype" w:cs="Palatino Linotype"/>
          <w:color w:val="000000" w:themeColor="text1"/>
        </w:rPr>
        <w:t>Seguidamente: u</w:t>
      </w:r>
      <w:r w:rsidR="00C227AA" w:rsidRPr="00D40D2C">
        <w:rPr>
          <w:rFonts w:ascii="Palatino Linotype" w:eastAsia="Palatino Linotype" w:hAnsi="Palatino Linotype" w:cs="Palatino Linotype"/>
          <w:color w:val="000000" w:themeColor="text1"/>
        </w:rPr>
        <w:t>na vez abierta la etapa de Manifestaciones</w:t>
      </w:r>
      <w:r w:rsidR="007645A1" w:rsidRPr="00D40D2C">
        <w:rPr>
          <w:rFonts w:ascii="Palatino Linotype" w:eastAsia="Palatino Linotype" w:hAnsi="Palatino Linotype" w:cs="Palatino Linotype"/>
          <w:color w:val="000000" w:themeColor="text1"/>
        </w:rPr>
        <w:t xml:space="preserve"> reitero su dicho trayendo a colación el Reglamento Orgánico de la Administración Pública del Municipio de Cuautitlán, el cual refiere que fue aprobado en la Décima Primera Sesión Extraordinaria de Cabildo; mismo que en su Título Séptimo artículo 9.2, Inciso a) , se localiza la denominada Subdirección de Desarrollo Urbano.</w:t>
      </w:r>
    </w:p>
    <w:p w:rsidR="000709EA" w:rsidRDefault="000709EA" w:rsidP="000709EA">
      <w:pPr>
        <w:pStyle w:val="Prrafodelista"/>
        <w:rPr>
          <w:rFonts w:ascii="Palatino Linotype" w:hAnsi="Palatino Linotype"/>
          <w:color w:val="000000" w:themeColor="text1"/>
        </w:rPr>
      </w:pPr>
    </w:p>
    <w:p w:rsidR="000709EA" w:rsidRPr="00D40D2C" w:rsidRDefault="000709EA" w:rsidP="000709EA">
      <w:pPr>
        <w:spacing w:line="360" w:lineRule="auto"/>
        <w:ind w:right="49"/>
        <w:jc w:val="both"/>
        <w:rPr>
          <w:rFonts w:ascii="Palatino Linotype" w:hAnsi="Palatino Linotype"/>
          <w:color w:val="000000" w:themeColor="text1"/>
        </w:rPr>
      </w:pPr>
    </w:p>
    <w:p w:rsidR="007645A1" w:rsidRPr="00D40D2C" w:rsidRDefault="007645A1" w:rsidP="00D40D2C">
      <w:pPr>
        <w:numPr>
          <w:ilvl w:val="0"/>
          <w:numId w:val="1"/>
        </w:numPr>
        <w:spacing w:line="360" w:lineRule="auto"/>
        <w:ind w:left="0" w:right="49" w:firstLine="0"/>
        <w:jc w:val="both"/>
        <w:rPr>
          <w:rFonts w:ascii="Palatino Linotype" w:hAnsi="Palatino Linotype" w:cs="Arial"/>
          <w:color w:val="000000" w:themeColor="text1"/>
          <w:lang w:val="es-ES"/>
        </w:rPr>
      </w:pPr>
      <w:r w:rsidRPr="00D40D2C">
        <w:rPr>
          <w:rFonts w:ascii="Palatino Linotype" w:hAnsi="Palatino Linotype" w:cs="Arial"/>
          <w:color w:val="000000" w:themeColor="text1"/>
          <w:lang w:val="es-ES"/>
        </w:rPr>
        <w:lastRenderedPageBreak/>
        <w:t>Siendo entonces deber del Organismo Garante dar observancia a los elementos de prueba aportados por la parte</w:t>
      </w:r>
      <w:r w:rsidR="00695A2D" w:rsidRPr="00D40D2C">
        <w:rPr>
          <w:rFonts w:ascii="Palatino Linotype" w:hAnsi="Palatino Linotype" w:cs="Arial"/>
          <w:color w:val="000000" w:themeColor="text1"/>
          <w:lang w:val="es-ES"/>
        </w:rPr>
        <w:t xml:space="preserve"> </w:t>
      </w:r>
      <w:r w:rsidR="00695A2D" w:rsidRPr="00D40D2C">
        <w:rPr>
          <w:rFonts w:ascii="Palatino Linotype" w:hAnsi="Palatino Linotype" w:cs="Arial"/>
          <w:b/>
          <w:color w:val="000000" w:themeColor="text1"/>
          <w:lang w:val="es-ES"/>
        </w:rPr>
        <w:t>RECURRENTE</w:t>
      </w:r>
      <w:r w:rsidRPr="00D40D2C">
        <w:rPr>
          <w:rFonts w:ascii="Palatino Linotype" w:hAnsi="Palatino Linotype" w:cs="Arial"/>
          <w:color w:val="000000" w:themeColor="text1"/>
          <w:lang w:val="es-ES"/>
        </w:rPr>
        <w:t>. Del Reglamento de referencia en el apartado señalado, se desprende lo siguiente:</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Artículo 9.2.</w:t>
      </w:r>
      <w:r w:rsidR="001F15B1" w:rsidRPr="00D40D2C">
        <w:rPr>
          <w:rFonts w:ascii="Palatino Linotype" w:hAnsi="Palatino Linotype" w:cs="Arial"/>
          <w:i/>
          <w:color w:val="000000" w:themeColor="text1"/>
          <w:lang w:val="es-ES"/>
        </w:rPr>
        <w:t xml:space="preserve"> </w:t>
      </w:r>
      <w:r w:rsidRPr="00D40D2C">
        <w:rPr>
          <w:rFonts w:ascii="Palatino Linotype" w:hAnsi="Palatino Linotype" w:cs="Arial"/>
          <w:i/>
          <w:color w:val="000000" w:themeColor="text1"/>
          <w:lang w:val="es-ES"/>
        </w:rPr>
        <w:t xml:space="preserve">La </w:t>
      </w:r>
      <w:r w:rsidRPr="00D40D2C">
        <w:rPr>
          <w:rFonts w:ascii="Palatino Linotype" w:hAnsi="Palatino Linotype" w:cs="Arial"/>
          <w:b/>
          <w:i/>
          <w:color w:val="000000" w:themeColor="text1"/>
          <w:lang w:val="es-ES"/>
        </w:rPr>
        <w:t>Dirección de Desarrollo Metropolitano Sostenible</w:t>
      </w:r>
      <w:r w:rsidRPr="00D40D2C">
        <w:rPr>
          <w:rFonts w:ascii="Palatino Linotype" w:hAnsi="Palatino Linotype" w:cs="Arial"/>
          <w:i/>
          <w:color w:val="000000" w:themeColor="text1"/>
          <w:lang w:val="es-ES"/>
        </w:rPr>
        <w:t xml:space="preserve"> está conformada por las siguientes unidades administrativas: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a) Enlace Administrativo;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b) Departamento de Gestión y Convenios;  </w:t>
      </w:r>
    </w:p>
    <w:p w:rsidR="001F15B1" w:rsidRPr="00D40D2C" w:rsidRDefault="007645A1" w:rsidP="00D40D2C">
      <w:pPr>
        <w:spacing w:line="360" w:lineRule="auto"/>
        <w:ind w:right="49"/>
        <w:jc w:val="both"/>
        <w:rPr>
          <w:rFonts w:ascii="Palatino Linotype" w:hAnsi="Palatino Linotype" w:cs="Arial"/>
          <w:b/>
          <w:i/>
          <w:color w:val="000000" w:themeColor="text1"/>
          <w:lang w:val="es-ES"/>
        </w:rPr>
      </w:pPr>
      <w:r w:rsidRPr="00D40D2C">
        <w:rPr>
          <w:rFonts w:ascii="Palatino Linotype" w:hAnsi="Palatino Linotype" w:cs="Arial"/>
          <w:b/>
          <w:i/>
          <w:color w:val="000000" w:themeColor="text1"/>
          <w:u w:val="single"/>
          <w:lang w:val="es-ES"/>
        </w:rPr>
        <w:t>A.</w:t>
      </w:r>
      <w:r w:rsidR="001F15B1" w:rsidRPr="00D40D2C">
        <w:rPr>
          <w:rFonts w:ascii="Palatino Linotype" w:hAnsi="Palatino Linotype" w:cs="Arial"/>
          <w:b/>
          <w:i/>
          <w:color w:val="000000" w:themeColor="text1"/>
          <w:u w:val="single"/>
          <w:lang w:val="es-ES"/>
        </w:rPr>
        <w:t xml:space="preserve"> </w:t>
      </w:r>
      <w:r w:rsidRPr="00D40D2C">
        <w:rPr>
          <w:rFonts w:ascii="Palatino Linotype" w:hAnsi="Palatino Linotype" w:cs="Arial"/>
          <w:b/>
          <w:i/>
          <w:color w:val="000000" w:themeColor="text1"/>
          <w:u w:val="single"/>
          <w:lang w:val="es-ES"/>
        </w:rPr>
        <w:t>Subdirección de Desarrollo Urbano</w:t>
      </w:r>
      <w:r w:rsidRPr="00D40D2C">
        <w:rPr>
          <w:rFonts w:ascii="Palatino Linotype" w:hAnsi="Palatino Linotype" w:cs="Arial"/>
          <w:b/>
          <w:i/>
          <w:color w:val="000000" w:themeColor="text1"/>
          <w:lang w:val="es-ES"/>
        </w:rPr>
        <w:t xml:space="preserve">;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I. Coordinación Jurídica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a) Departamento de Inspección y Verificación;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b) Departamento de Procedimientos;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c) Departamento de Clausuras y Demolición;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d) Departamento de Planeación Urbana;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e) Departamento de Tenencia de la Tierra; y </w:t>
      </w:r>
    </w:p>
    <w:p w:rsidR="007645A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f) Departamento de Licencias;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B.</w:t>
      </w:r>
      <w:r w:rsidR="001F15B1" w:rsidRPr="00D40D2C">
        <w:rPr>
          <w:rFonts w:ascii="Palatino Linotype" w:hAnsi="Palatino Linotype" w:cs="Arial"/>
          <w:i/>
          <w:color w:val="000000" w:themeColor="text1"/>
          <w:lang w:val="es-ES"/>
        </w:rPr>
        <w:t xml:space="preserve"> </w:t>
      </w:r>
      <w:r w:rsidRPr="00D40D2C">
        <w:rPr>
          <w:rFonts w:ascii="Palatino Linotype" w:hAnsi="Palatino Linotype" w:cs="Arial"/>
          <w:i/>
          <w:color w:val="000000" w:themeColor="text1"/>
          <w:lang w:val="es-ES"/>
        </w:rPr>
        <w:t xml:space="preserve">Subdirección de Movilidad;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a) Departamento de Movilidad;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b) Departamento de Transporte; y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c) Departamento Jurídico de Movilidad. </w:t>
      </w:r>
    </w:p>
    <w:p w:rsidR="001F15B1" w:rsidRPr="00D40D2C" w:rsidRDefault="007645A1" w:rsidP="00D40D2C">
      <w:pPr>
        <w:spacing w:line="360" w:lineRule="auto"/>
        <w:ind w:right="49"/>
        <w:jc w:val="both"/>
        <w:rPr>
          <w:rFonts w:ascii="Palatino Linotype" w:hAnsi="Palatino Linotype" w:cs="Arial"/>
          <w:i/>
          <w:color w:val="000000" w:themeColor="text1"/>
          <w:lang w:val="es-ES"/>
        </w:rPr>
      </w:pPr>
      <w:r w:rsidRPr="00D40D2C">
        <w:rPr>
          <w:rFonts w:ascii="Palatino Linotype" w:hAnsi="Palatino Linotype" w:cs="Arial"/>
          <w:i/>
          <w:color w:val="000000" w:themeColor="text1"/>
          <w:lang w:val="es-ES"/>
        </w:rPr>
        <w:t xml:space="preserve">I. Coordinación de Medio Ambiente; </w:t>
      </w:r>
    </w:p>
    <w:p w:rsidR="007645A1" w:rsidRPr="00D40D2C" w:rsidRDefault="007645A1" w:rsidP="00D40D2C">
      <w:pPr>
        <w:spacing w:line="360" w:lineRule="auto"/>
        <w:ind w:right="49"/>
        <w:jc w:val="both"/>
        <w:rPr>
          <w:rFonts w:ascii="Palatino Linotype" w:hAnsi="Palatino Linotype" w:cs="Arial"/>
          <w:color w:val="000000" w:themeColor="text1"/>
          <w:lang w:val="es-ES"/>
        </w:rPr>
      </w:pPr>
      <w:r w:rsidRPr="00D40D2C">
        <w:rPr>
          <w:rFonts w:ascii="Palatino Linotype" w:hAnsi="Palatino Linotype" w:cs="Arial"/>
          <w:i/>
          <w:color w:val="000000" w:themeColor="text1"/>
          <w:lang w:val="es-ES"/>
        </w:rPr>
        <w:t>a) Unidad de Atención y vigilancia mascotas y pequeñas especies</w:t>
      </w:r>
      <w:r w:rsidRPr="00D40D2C">
        <w:rPr>
          <w:rFonts w:ascii="Palatino Linotype" w:hAnsi="Palatino Linotype" w:cs="Arial"/>
          <w:color w:val="000000" w:themeColor="text1"/>
          <w:lang w:val="es-ES"/>
        </w:rPr>
        <w:t>.</w:t>
      </w:r>
    </w:p>
    <w:p w:rsidR="007645A1" w:rsidRPr="00D40D2C" w:rsidRDefault="007645A1" w:rsidP="00D40D2C">
      <w:pPr>
        <w:pStyle w:val="Prrafodelista"/>
        <w:ind w:left="0" w:right="49"/>
        <w:rPr>
          <w:rFonts w:ascii="Palatino Linotype" w:hAnsi="Palatino Linotype" w:cs="Arial"/>
          <w:color w:val="000000" w:themeColor="text1"/>
          <w:lang w:val="es-ES"/>
        </w:rPr>
      </w:pPr>
    </w:p>
    <w:p w:rsidR="001F15B1" w:rsidRPr="00D40D2C" w:rsidRDefault="001F15B1" w:rsidP="00D40D2C">
      <w:pPr>
        <w:numPr>
          <w:ilvl w:val="0"/>
          <w:numId w:val="1"/>
        </w:numPr>
        <w:spacing w:line="360" w:lineRule="auto"/>
        <w:ind w:left="0" w:right="49" w:firstLine="0"/>
        <w:jc w:val="both"/>
        <w:rPr>
          <w:rFonts w:ascii="Palatino Linotype" w:hAnsi="Palatino Linotype" w:cs="Arial"/>
          <w:color w:val="000000" w:themeColor="text1"/>
          <w:lang w:val="es-ES"/>
        </w:rPr>
      </w:pPr>
      <w:r w:rsidRPr="00D40D2C">
        <w:rPr>
          <w:rFonts w:ascii="Palatino Linotype" w:hAnsi="Palatino Linotype" w:cs="Arial"/>
          <w:color w:val="000000" w:themeColor="text1"/>
          <w:lang w:val="es-ES"/>
        </w:rPr>
        <w:t xml:space="preserve">De lo anterior, se logra concluir que la respuesta emitida por el </w:t>
      </w:r>
      <w:r w:rsidRPr="00D40D2C">
        <w:rPr>
          <w:rFonts w:ascii="Palatino Linotype" w:hAnsi="Palatino Linotype" w:cs="Arial"/>
          <w:b/>
          <w:color w:val="000000" w:themeColor="text1"/>
          <w:lang w:val="es-ES"/>
        </w:rPr>
        <w:t>SUJETO OBLIGADO</w:t>
      </w:r>
      <w:r w:rsidRPr="00D40D2C">
        <w:rPr>
          <w:rFonts w:ascii="Palatino Linotype" w:hAnsi="Palatino Linotype" w:cs="Arial"/>
          <w:color w:val="000000" w:themeColor="text1"/>
          <w:lang w:val="es-ES"/>
        </w:rPr>
        <w:t xml:space="preserve"> en estricto sentido es procedente; toda vez que ciertamente no existe una </w:t>
      </w:r>
      <w:r w:rsidRPr="00D40D2C">
        <w:rPr>
          <w:rFonts w:ascii="Palatino Linotype" w:hAnsi="Palatino Linotype" w:cs="Arial"/>
          <w:color w:val="000000" w:themeColor="text1"/>
          <w:lang w:val="es-ES"/>
        </w:rPr>
        <w:lastRenderedPageBreak/>
        <w:t xml:space="preserve">unidad administrativa denominada Subdirección de Desarrollo Metropolitano como se desprende del propio Reglamento invocado por el </w:t>
      </w:r>
      <w:r w:rsidRPr="00D40D2C">
        <w:rPr>
          <w:rFonts w:ascii="Palatino Linotype" w:hAnsi="Palatino Linotype" w:cs="Arial"/>
          <w:b/>
          <w:color w:val="000000" w:themeColor="text1"/>
          <w:lang w:val="es-ES"/>
        </w:rPr>
        <w:t xml:space="preserve">RECURRENTE. </w:t>
      </w:r>
      <w:r w:rsidRPr="00D40D2C">
        <w:rPr>
          <w:rFonts w:ascii="Palatino Linotype" w:hAnsi="Palatino Linotype" w:cs="Arial"/>
          <w:color w:val="000000" w:themeColor="text1"/>
          <w:lang w:val="es-ES"/>
        </w:rPr>
        <w:t>Lo que se refuerza con el contenido de la estructura orgánica municipal que establece el vigent</w:t>
      </w:r>
      <w:r w:rsidR="00695A2D" w:rsidRPr="00D40D2C">
        <w:rPr>
          <w:rFonts w:ascii="Palatino Linotype" w:hAnsi="Palatino Linotype" w:cs="Arial"/>
          <w:color w:val="000000" w:themeColor="text1"/>
          <w:lang w:val="es-ES"/>
        </w:rPr>
        <w:t>e Bando Municipal de Cuautitlán</w:t>
      </w:r>
      <w:r w:rsidRPr="00D40D2C">
        <w:rPr>
          <w:rFonts w:ascii="Palatino Linotype" w:hAnsi="Palatino Linotype" w:cs="Arial"/>
          <w:color w:val="000000" w:themeColor="text1"/>
          <w:lang w:val="es-ES"/>
        </w:rPr>
        <w:t>, a saber:</w:t>
      </w:r>
    </w:p>
    <w:p w:rsidR="001F15B1" w:rsidRPr="00D40D2C" w:rsidRDefault="001F15B1" w:rsidP="000709EA">
      <w:pPr>
        <w:spacing w:line="360" w:lineRule="auto"/>
        <w:ind w:right="49"/>
        <w:jc w:val="center"/>
        <w:rPr>
          <w:rFonts w:ascii="Palatino Linotype" w:hAnsi="Palatino Linotype" w:cs="Arial"/>
          <w:color w:val="000000" w:themeColor="text1"/>
          <w:lang w:val="es-ES"/>
        </w:rPr>
      </w:pPr>
      <w:r w:rsidRPr="00D40D2C">
        <w:rPr>
          <w:rFonts w:ascii="Palatino Linotype" w:hAnsi="Palatino Linotype" w:cs="Arial"/>
          <w:noProof/>
          <w:color w:val="000000" w:themeColor="text1"/>
          <w:lang w:val="es-MX" w:eastAsia="es-MX"/>
        </w:rPr>
        <w:drawing>
          <wp:inline distT="0" distB="0" distL="0" distR="0" wp14:anchorId="7B8049E5" wp14:editId="5467E926">
            <wp:extent cx="5612130" cy="239903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399030"/>
                    </a:xfrm>
                    <a:prstGeom prst="rect">
                      <a:avLst/>
                    </a:prstGeom>
                  </pic:spPr>
                </pic:pic>
              </a:graphicData>
            </a:graphic>
          </wp:inline>
        </w:drawing>
      </w:r>
    </w:p>
    <w:p w:rsidR="001F15B1" w:rsidRPr="00D40D2C" w:rsidRDefault="001F15B1" w:rsidP="00D40D2C">
      <w:pPr>
        <w:spacing w:line="360" w:lineRule="auto"/>
        <w:ind w:right="49"/>
        <w:jc w:val="both"/>
        <w:rPr>
          <w:rFonts w:ascii="Palatino Linotype" w:hAnsi="Palatino Linotype" w:cs="Arial"/>
          <w:color w:val="000000" w:themeColor="text1"/>
          <w:lang w:val="es-ES"/>
        </w:rPr>
      </w:pPr>
    </w:p>
    <w:p w:rsidR="001F15B1" w:rsidRPr="00D40D2C" w:rsidRDefault="001F15B1" w:rsidP="00D40D2C">
      <w:pPr>
        <w:numPr>
          <w:ilvl w:val="0"/>
          <w:numId w:val="1"/>
        </w:numPr>
        <w:spacing w:line="360" w:lineRule="auto"/>
        <w:ind w:left="0" w:right="49" w:firstLine="0"/>
        <w:jc w:val="both"/>
        <w:rPr>
          <w:rFonts w:ascii="Palatino Linotype" w:hAnsi="Palatino Linotype" w:cs="Arial"/>
          <w:color w:val="000000" w:themeColor="text1"/>
          <w:lang w:val="es-ES"/>
        </w:rPr>
      </w:pPr>
      <w:r w:rsidRPr="00D40D2C">
        <w:rPr>
          <w:rFonts w:ascii="Palatino Linotype" w:hAnsi="Palatino Linotype" w:cs="Arial"/>
          <w:color w:val="000000" w:themeColor="text1"/>
          <w:lang w:val="es-ES"/>
        </w:rPr>
        <w:t xml:space="preserve">No obstante lo anterior, no se considera impedimento para dar atención a la solicitud de información, </w:t>
      </w:r>
      <w:r w:rsidRPr="00D40D2C">
        <w:rPr>
          <w:rFonts w:ascii="Palatino Linotype" w:hAnsi="Palatino Linotype" w:cs="Arial"/>
          <w:i/>
          <w:color w:val="000000" w:themeColor="text1"/>
          <w:lang w:val="es-ES"/>
        </w:rPr>
        <w:t>máxime</w:t>
      </w:r>
      <w:r w:rsidRPr="00D40D2C">
        <w:rPr>
          <w:rFonts w:ascii="Palatino Linotype" w:hAnsi="Palatino Linotype" w:cs="Arial"/>
          <w:color w:val="000000" w:themeColor="text1"/>
          <w:lang w:val="es-ES"/>
        </w:rPr>
        <w:t xml:space="preserve"> que en la etapa de Manifestaciones, el particular indica el área administrativa de la cual requiere la información</w:t>
      </w:r>
      <w:r w:rsidR="00062602" w:rsidRPr="00D40D2C">
        <w:rPr>
          <w:rFonts w:ascii="Palatino Linotype" w:hAnsi="Palatino Linotype" w:cs="Arial"/>
          <w:color w:val="000000" w:themeColor="text1"/>
          <w:lang w:val="es-ES"/>
        </w:rPr>
        <w:t xml:space="preserve">, </w:t>
      </w:r>
      <w:r w:rsidRPr="00D40D2C">
        <w:rPr>
          <w:rFonts w:ascii="Palatino Linotype" w:hAnsi="Palatino Linotype" w:cs="Arial"/>
          <w:color w:val="000000" w:themeColor="text1"/>
          <w:lang w:val="es-ES"/>
        </w:rPr>
        <w:t xml:space="preserve">siendo la Subdirección contenida en </w:t>
      </w:r>
      <w:r w:rsidR="00062602" w:rsidRPr="00D40D2C">
        <w:rPr>
          <w:rFonts w:ascii="Palatino Linotype" w:hAnsi="Palatino Linotype" w:cs="Arial"/>
          <w:color w:val="000000" w:themeColor="text1"/>
          <w:lang w:val="es-ES"/>
        </w:rPr>
        <w:t xml:space="preserve">el Artículo 9.2 A. del Reglamento Orgánico de la Administración Publica del Municipio de Cuautitlán, Estado de México; es decir la Subdirección de Desarrollo Urbano. </w:t>
      </w:r>
    </w:p>
    <w:p w:rsidR="001F15B1" w:rsidRPr="00D40D2C" w:rsidRDefault="001F15B1" w:rsidP="00D40D2C">
      <w:pPr>
        <w:spacing w:line="360" w:lineRule="auto"/>
        <w:ind w:right="49"/>
        <w:jc w:val="both"/>
        <w:rPr>
          <w:rFonts w:ascii="Palatino Linotype" w:hAnsi="Palatino Linotype" w:cs="Arial"/>
          <w:color w:val="000000" w:themeColor="text1"/>
          <w:lang w:val="es-ES"/>
        </w:rPr>
      </w:pPr>
    </w:p>
    <w:p w:rsidR="00FC2AD8" w:rsidRPr="00D40D2C" w:rsidRDefault="00062602" w:rsidP="00D40D2C">
      <w:pPr>
        <w:numPr>
          <w:ilvl w:val="0"/>
          <w:numId w:val="1"/>
        </w:numPr>
        <w:spacing w:line="360" w:lineRule="auto"/>
        <w:ind w:left="0" w:right="49" w:firstLine="0"/>
        <w:jc w:val="both"/>
        <w:rPr>
          <w:rFonts w:ascii="Palatino Linotype" w:hAnsi="Palatino Linotype"/>
          <w:color w:val="000000" w:themeColor="text1"/>
          <w:lang w:val="es-ES"/>
        </w:rPr>
      </w:pPr>
      <w:r w:rsidRPr="00D40D2C">
        <w:rPr>
          <w:rFonts w:ascii="Palatino Linotype" w:hAnsi="Palatino Linotype" w:cs="Arial"/>
          <w:color w:val="000000" w:themeColor="text1"/>
          <w:lang w:val="es-ES"/>
        </w:rPr>
        <w:t xml:space="preserve">Al respecto es de recordar que los solicitantes no están obligados a ser expertos en materia de acceso a la información pública; tampoco a conocer con exactitud el nombre legal, técnico o administrativo del soporte documental al que desean acceder y, tampoco a conocer con escrupulosidad el nombre de las áreas administrativas que integran las estructuras de los entes públicos. Bastando en todo caso con otorgar una expresión </w:t>
      </w:r>
      <w:r w:rsidRPr="00D40D2C">
        <w:rPr>
          <w:rFonts w:ascii="Palatino Linotype" w:hAnsi="Palatino Linotype" w:cs="Arial"/>
          <w:color w:val="000000" w:themeColor="text1"/>
          <w:lang w:val="es-ES"/>
        </w:rPr>
        <w:lastRenderedPageBreak/>
        <w:t>documental</w:t>
      </w:r>
      <w:r w:rsidR="003038A1" w:rsidRPr="00D40D2C">
        <w:rPr>
          <w:rFonts w:ascii="Palatino Linotype" w:hAnsi="Palatino Linotype" w:cs="Arial"/>
          <w:color w:val="000000" w:themeColor="text1"/>
          <w:lang w:val="es-ES"/>
        </w:rPr>
        <w:t xml:space="preserve">. </w:t>
      </w:r>
      <w:r w:rsidR="003038A1" w:rsidRPr="00D40D2C">
        <w:rPr>
          <w:rFonts w:ascii="Palatino Linotype" w:eastAsia="MS Mincho" w:hAnsi="Palatino Linotype" w:cs="Arial"/>
          <w:color w:val="000000" w:themeColor="text1"/>
        </w:rPr>
        <w:t xml:space="preserve">En repetidas ocasiones este Órgano Garante ha dejado en claro que </w:t>
      </w:r>
      <w:r w:rsidR="003038A1" w:rsidRPr="00D40D2C">
        <w:rPr>
          <w:rFonts w:ascii="Palatino Linotype" w:hAnsi="Palatino Linotype" w:cs="Arial"/>
          <w:bCs/>
          <w:iCs/>
          <w:color w:val="000000" w:themeColor="text1"/>
        </w:rPr>
        <w:t xml:space="preserve">cuando en una solicitud de información no se identifique un </w:t>
      </w:r>
      <w:r w:rsidR="003038A1" w:rsidRPr="00D40D2C">
        <w:rPr>
          <w:rFonts w:ascii="Palatino Linotype" w:eastAsia="MS Mincho" w:hAnsi="Palatino Linotype" w:cs="Arial"/>
          <w:color w:val="000000" w:themeColor="text1"/>
        </w:rPr>
        <w:t>documento</w:t>
      </w:r>
      <w:r w:rsidR="003038A1" w:rsidRPr="00D40D2C">
        <w:rPr>
          <w:rFonts w:ascii="Palatino Linotype" w:hAnsi="Palatino Linotype" w:cs="Arial"/>
          <w:bCs/>
          <w:iCs/>
          <w:color w:val="000000" w:themeColor="text1"/>
        </w:rPr>
        <w:t xml:space="preserve"> en específico o como resulta del caso concreto el nombre del área con puntualidad, si ésta tiene una expresión documental</w:t>
      </w:r>
      <w:r w:rsidR="00695A2D" w:rsidRPr="00D40D2C">
        <w:rPr>
          <w:rFonts w:ascii="Palatino Linotype" w:hAnsi="Palatino Linotype" w:cs="Arial"/>
          <w:bCs/>
          <w:iCs/>
          <w:color w:val="000000" w:themeColor="text1"/>
        </w:rPr>
        <w:t xml:space="preserve">, </w:t>
      </w:r>
      <w:r w:rsidR="003038A1" w:rsidRPr="00D40D2C">
        <w:rPr>
          <w:rFonts w:ascii="Palatino Linotype" w:hAnsi="Palatino Linotype" w:cs="Arial"/>
          <w:bCs/>
          <w:iCs/>
          <w:color w:val="000000" w:themeColor="text1"/>
        </w:rPr>
        <w:t>l</w:t>
      </w:r>
      <w:r w:rsidR="00695A2D" w:rsidRPr="00D40D2C">
        <w:rPr>
          <w:rFonts w:ascii="Palatino Linotype" w:hAnsi="Palatino Linotype" w:cs="Arial"/>
          <w:bCs/>
          <w:iCs/>
          <w:color w:val="000000" w:themeColor="text1"/>
        </w:rPr>
        <w:t>os</w:t>
      </w:r>
      <w:r w:rsidR="003038A1" w:rsidRPr="00D40D2C">
        <w:rPr>
          <w:rFonts w:ascii="Palatino Linotype" w:hAnsi="Palatino Linotype" w:cs="Arial"/>
          <w:bCs/>
          <w:iCs/>
          <w:color w:val="000000" w:themeColor="text1"/>
        </w:rPr>
        <w:t xml:space="preserve"> sujeto</w:t>
      </w:r>
      <w:r w:rsidR="00695A2D" w:rsidRPr="00D40D2C">
        <w:rPr>
          <w:rFonts w:ascii="Palatino Linotype" w:hAnsi="Palatino Linotype" w:cs="Arial"/>
          <w:bCs/>
          <w:iCs/>
          <w:color w:val="000000" w:themeColor="text1"/>
        </w:rPr>
        <w:t>s</w:t>
      </w:r>
      <w:r w:rsidR="003038A1" w:rsidRPr="00D40D2C">
        <w:rPr>
          <w:rFonts w:ascii="Palatino Linotype" w:hAnsi="Palatino Linotype" w:cs="Arial"/>
          <w:bCs/>
          <w:iCs/>
          <w:color w:val="000000" w:themeColor="text1"/>
        </w:rPr>
        <w:t xml:space="preserve"> obligado</w:t>
      </w:r>
      <w:r w:rsidR="00695A2D" w:rsidRPr="00D40D2C">
        <w:rPr>
          <w:rFonts w:ascii="Palatino Linotype" w:hAnsi="Palatino Linotype" w:cs="Arial"/>
          <w:bCs/>
          <w:iCs/>
          <w:color w:val="000000" w:themeColor="text1"/>
        </w:rPr>
        <w:t>s</w:t>
      </w:r>
      <w:r w:rsidR="003038A1" w:rsidRPr="00D40D2C">
        <w:rPr>
          <w:rFonts w:ascii="Palatino Linotype" w:hAnsi="Palatino Linotype" w:cs="Arial"/>
          <w:bCs/>
          <w:iCs/>
          <w:color w:val="000000" w:themeColor="text1"/>
        </w:rPr>
        <w:t xml:space="preserve"> deberá</w:t>
      </w:r>
      <w:r w:rsidR="00695A2D" w:rsidRPr="00D40D2C">
        <w:rPr>
          <w:rFonts w:ascii="Palatino Linotype" w:hAnsi="Palatino Linotype" w:cs="Arial"/>
          <w:bCs/>
          <w:iCs/>
          <w:color w:val="000000" w:themeColor="text1"/>
        </w:rPr>
        <w:t>n</w:t>
      </w:r>
      <w:r w:rsidR="003038A1" w:rsidRPr="00D40D2C">
        <w:rPr>
          <w:rFonts w:ascii="Palatino Linotype" w:hAnsi="Palatino Linotype" w:cs="Arial"/>
          <w:bCs/>
          <w:iCs/>
          <w:color w:val="000000" w:themeColor="text1"/>
        </w:rPr>
        <w:t xml:space="preserve"> entregar a</w:t>
      </w:r>
      <w:r w:rsidR="00695A2D" w:rsidRPr="00D40D2C">
        <w:rPr>
          <w:rFonts w:ascii="Palatino Linotype" w:hAnsi="Palatino Linotype" w:cs="Arial"/>
          <w:bCs/>
          <w:iCs/>
          <w:color w:val="000000" w:themeColor="text1"/>
        </w:rPr>
        <w:t xml:space="preserve"> </w:t>
      </w:r>
      <w:r w:rsidR="003038A1" w:rsidRPr="00D40D2C">
        <w:rPr>
          <w:rFonts w:ascii="Palatino Linotype" w:hAnsi="Palatino Linotype" w:cs="Arial"/>
          <w:bCs/>
          <w:iCs/>
          <w:color w:val="000000" w:themeColor="text1"/>
        </w:rPr>
        <w:t>l</w:t>
      </w:r>
      <w:r w:rsidR="00695A2D" w:rsidRPr="00D40D2C">
        <w:rPr>
          <w:rFonts w:ascii="Palatino Linotype" w:hAnsi="Palatino Linotype" w:cs="Arial"/>
          <w:bCs/>
          <w:iCs/>
          <w:color w:val="000000" w:themeColor="text1"/>
        </w:rPr>
        <w:t>os</w:t>
      </w:r>
      <w:r w:rsidR="003038A1" w:rsidRPr="00D40D2C">
        <w:rPr>
          <w:rFonts w:ascii="Palatino Linotype" w:hAnsi="Palatino Linotype" w:cs="Arial"/>
          <w:bCs/>
          <w:iCs/>
          <w:color w:val="000000" w:themeColor="text1"/>
        </w:rPr>
        <w:t xml:space="preserve"> </w:t>
      </w:r>
      <w:r w:rsidR="00695A2D" w:rsidRPr="00D40D2C">
        <w:rPr>
          <w:rFonts w:ascii="Palatino Linotype" w:hAnsi="Palatino Linotype" w:cs="Arial"/>
          <w:bCs/>
          <w:iCs/>
          <w:color w:val="000000" w:themeColor="text1"/>
        </w:rPr>
        <w:t>solicitantes</w:t>
      </w:r>
      <w:r w:rsidR="003038A1" w:rsidRPr="00D40D2C">
        <w:rPr>
          <w:rFonts w:ascii="Palatino Linotype" w:hAnsi="Palatino Linotype" w:cs="Arial"/>
          <w:bCs/>
          <w:iCs/>
          <w:color w:val="000000" w:themeColor="text1"/>
        </w:rPr>
        <w:t xml:space="preserve"> el</w:t>
      </w:r>
      <w:r w:rsidR="00695A2D" w:rsidRPr="00D40D2C">
        <w:rPr>
          <w:rFonts w:ascii="Palatino Linotype" w:hAnsi="Palatino Linotype" w:cs="Arial"/>
          <w:bCs/>
          <w:iCs/>
          <w:color w:val="000000" w:themeColor="text1"/>
        </w:rPr>
        <w:t xml:space="preserve"> o los</w:t>
      </w:r>
      <w:r w:rsidR="003038A1" w:rsidRPr="00D40D2C">
        <w:rPr>
          <w:rFonts w:ascii="Palatino Linotype" w:hAnsi="Palatino Linotype" w:cs="Arial"/>
          <w:bCs/>
          <w:iCs/>
          <w:color w:val="000000" w:themeColor="text1"/>
        </w:rPr>
        <w:t xml:space="preserve"> documento</w:t>
      </w:r>
      <w:r w:rsidR="00695A2D" w:rsidRPr="00D40D2C">
        <w:rPr>
          <w:rFonts w:ascii="Palatino Linotype" w:hAnsi="Palatino Linotype" w:cs="Arial"/>
          <w:bCs/>
          <w:iCs/>
          <w:color w:val="000000" w:themeColor="text1"/>
        </w:rPr>
        <w:t>s</w:t>
      </w:r>
      <w:r w:rsidR="003038A1" w:rsidRPr="00D40D2C">
        <w:rPr>
          <w:rFonts w:ascii="Palatino Linotype" w:hAnsi="Palatino Linotype" w:cs="Arial"/>
          <w:bCs/>
          <w:iCs/>
          <w:color w:val="000000" w:themeColor="text1"/>
        </w:rPr>
        <w:t xml:space="preserve"> mediante el cual se pueda colmar </w:t>
      </w:r>
      <w:r w:rsidR="00695A2D" w:rsidRPr="00D40D2C">
        <w:rPr>
          <w:rFonts w:ascii="Palatino Linotype" w:hAnsi="Palatino Linotype" w:cs="Arial"/>
          <w:bCs/>
          <w:iCs/>
          <w:color w:val="000000" w:themeColor="text1"/>
        </w:rPr>
        <w:t>sus requerimientos</w:t>
      </w:r>
      <w:r w:rsidR="003038A1" w:rsidRPr="00D40D2C">
        <w:rPr>
          <w:rFonts w:ascii="Palatino Linotype" w:hAnsi="Palatino Linotype" w:cs="Arial"/>
          <w:bCs/>
          <w:iCs/>
          <w:color w:val="000000" w:themeColor="text1"/>
        </w:rPr>
        <w:t>.</w:t>
      </w:r>
      <w:r w:rsidR="00025B15" w:rsidRPr="00D40D2C">
        <w:rPr>
          <w:rFonts w:ascii="Palatino Linotype" w:hAnsi="Palatino Linotype" w:cs="Arial"/>
          <w:bCs/>
          <w:iCs/>
          <w:color w:val="000000" w:themeColor="text1"/>
        </w:rPr>
        <w:t xml:space="preserve"> </w:t>
      </w:r>
    </w:p>
    <w:p w:rsidR="00FC2AD8" w:rsidRPr="00D40D2C" w:rsidRDefault="00FC2AD8" w:rsidP="00D40D2C">
      <w:pPr>
        <w:pStyle w:val="Prrafodelista"/>
        <w:ind w:left="0" w:right="49"/>
        <w:rPr>
          <w:rFonts w:ascii="Palatino Linotype" w:hAnsi="Palatino Linotype" w:cs="Arial"/>
          <w:bCs/>
          <w:iCs/>
          <w:color w:val="000000" w:themeColor="text1"/>
        </w:rPr>
      </w:pPr>
    </w:p>
    <w:p w:rsidR="003038A1" w:rsidRPr="00D40D2C" w:rsidRDefault="00FC2AD8" w:rsidP="00D40D2C">
      <w:pPr>
        <w:numPr>
          <w:ilvl w:val="0"/>
          <w:numId w:val="1"/>
        </w:numPr>
        <w:spacing w:line="360" w:lineRule="auto"/>
        <w:ind w:left="0" w:right="49" w:firstLine="0"/>
        <w:jc w:val="both"/>
        <w:rPr>
          <w:rFonts w:ascii="Palatino Linotype" w:hAnsi="Palatino Linotype"/>
          <w:color w:val="000000" w:themeColor="text1"/>
          <w:lang w:val="es-ES"/>
        </w:rPr>
      </w:pPr>
      <w:r w:rsidRPr="00D40D2C">
        <w:rPr>
          <w:rFonts w:ascii="Palatino Linotype" w:hAnsi="Palatino Linotype" w:cs="Arial"/>
          <w:bCs/>
          <w:iCs/>
          <w:color w:val="000000" w:themeColor="text1"/>
        </w:rPr>
        <w:t>Exactamente,</w:t>
      </w:r>
      <w:r w:rsidR="00025B15" w:rsidRPr="00D40D2C">
        <w:rPr>
          <w:rFonts w:ascii="Palatino Linotype" w:hAnsi="Palatino Linotype" w:cs="Arial"/>
          <w:bCs/>
          <w:iCs/>
          <w:color w:val="000000" w:themeColor="text1"/>
        </w:rPr>
        <w:t xml:space="preserve"> </w:t>
      </w:r>
      <w:r w:rsidR="00025B15" w:rsidRPr="00D40D2C">
        <w:rPr>
          <w:rFonts w:ascii="Palatino Linotype" w:hAnsi="Palatino Linotype" w:cs="Arial"/>
          <w:b/>
          <w:bCs/>
          <w:iCs/>
          <w:color w:val="000000" w:themeColor="text1"/>
        </w:rPr>
        <w:t>como previamente</w:t>
      </w:r>
      <w:r w:rsidR="00025B15" w:rsidRPr="00D40D2C">
        <w:rPr>
          <w:rFonts w:ascii="Palatino Linotype" w:hAnsi="Palatino Linotype" w:cs="Arial"/>
          <w:bCs/>
          <w:iCs/>
          <w:color w:val="000000" w:themeColor="text1"/>
        </w:rPr>
        <w:t xml:space="preserve"> lo hizo el </w:t>
      </w:r>
      <w:r w:rsidR="00025B15" w:rsidRPr="00D40D2C">
        <w:rPr>
          <w:rFonts w:ascii="Palatino Linotype" w:hAnsi="Palatino Linotype" w:cs="Arial"/>
          <w:b/>
          <w:bCs/>
          <w:iCs/>
          <w:color w:val="000000" w:themeColor="text1"/>
        </w:rPr>
        <w:t>SUJETO OBLIGADO</w:t>
      </w:r>
      <w:r w:rsidR="00025B15" w:rsidRPr="00D40D2C">
        <w:rPr>
          <w:rFonts w:ascii="Palatino Linotype" w:hAnsi="Palatino Linotype" w:cs="Arial"/>
          <w:bCs/>
          <w:iCs/>
          <w:color w:val="000000" w:themeColor="text1"/>
        </w:rPr>
        <w:t xml:space="preserve"> en la solicitud de información diversa </w:t>
      </w:r>
      <w:r w:rsidR="00D135BD">
        <w:rPr>
          <w:rFonts w:ascii="Palatino Linotype" w:hAnsi="Palatino Linotype" w:cs="Arial"/>
          <w:b/>
          <w:bCs/>
          <w:iCs/>
          <w:color w:val="000000" w:themeColor="text1"/>
        </w:rPr>
        <w:t>00543</w:t>
      </w:r>
      <w:r w:rsidR="00025B15" w:rsidRPr="00D40D2C">
        <w:rPr>
          <w:rFonts w:ascii="Palatino Linotype" w:hAnsi="Palatino Linotype" w:cs="Arial"/>
          <w:b/>
          <w:bCs/>
          <w:iCs/>
          <w:color w:val="000000" w:themeColor="text1"/>
        </w:rPr>
        <w:t>/CUAUTIT/IP/2025</w:t>
      </w:r>
      <w:r w:rsidRPr="00D40D2C">
        <w:rPr>
          <w:rFonts w:ascii="Palatino Linotype" w:hAnsi="Palatino Linotype" w:cs="Arial"/>
          <w:b/>
          <w:bCs/>
          <w:iCs/>
          <w:color w:val="000000" w:themeColor="text1"/>
        </w:rPr>
        <w:t>,</w:t>
      </w:r>
      <w:r w:rsidRPr="00D40D2C">
        <w:rPr>
          <w:rFonts w:ascii="Palatino Linotype" w:hAnsi="Palatino Linotype" w:cs="Arial"/>
          <w:bCs/>
          <w:iCs/>
          <w:color w:val="000000" w:themeColor="text1"/>
        </w:rPr>
        <w:t xml:space="preserve"> en donde el mismo solicitante requirió información del mismo servidor público.</w:t>
      </w:r>
    </w:p>
    <w:p w:rsidR="003038A1" w:rsidRPr="00D40D2C" w:rsidRDefault="003038A1" w:rsidP="00D40D2C">
      <w:pPr>
        <w:pStyle w:val="Prrafodelista"/>
        <w:ind w:left="0" w:right="49"/>
        <w:rPr>
          <w:rFonts w:ascii="Palatino Linotype" w:hAnsi="Palatino Linotype"/>
          <w:color w:val="000000" w:themeColor="text1"/>
          <w:lang w:val="es-ES"/>
        </w:rPr>
      </w:pPr>
    </w:p>
    <w:p w:rsidR="003038A1" w:rsidRPr="00D40D2C" w:rsidRDefault="003038A1" w:rsidP="00D40D2C">
      <w:pPr>
        <w:numPr>
          <w:ilvl w:val="0"/>
          <w:numId w:val="1"/>
        </w:numPr>
        <w:spacing w:line="360" w:lineRule="auto"/>
        <w:ind w:left="0" w:right="49" w:firstLine="0"/>
        <w:jc w:val="both"/>
        <w:rPr>
          <w:rFonts w:ascii="Palatino Linotype" w:hAnsi="Palatino Linotype"/>
          <w:color w:val="000000" w:themeColor="text1"/>
          <w:lang w:val="es-ES"/>
        </w:rPr>
      </w:pPr>
      <w:r w:rsidRPr="00D40D2C">
        <w:rPr>
          <w:rFonts w:ascii="Palatino Linotype" w:eastAsia="MS Mincho" w:hAnsi="Palatino Linotype" w:cs="Arial"/>
          <w:color w:val="000000" w:themeColor="text1"/>
        </w:rPr>
        <w:t xml:space="preserve">En ese sentido el </w:t>
      </w:r>
      <w:r w:rsidRPr="00D40D2C">
        <w:rPr>
          <w:rFonts w:ascii="Palatino Linotype" w:eastAsia="MS Mincho" w:hAnsi="Palatino Linotype"/>
          <w:color w:val="000000" w:themeColor="text1"/>
        </w:rPr>
        <w:t>Criterio</w:t>
      </w:r>
      <w:r w:rsidRPr="00D40D2C">
        <w:rPr>
          <w:rFonts w:ascii="Palatino Linotype" w:eastAsia="MS Mincho" w:hAnsi="Palatino Linotype" w:cs="Arial"/>
          <w:color w:val="000000" w:themeColor="text1"/>
        </w:rPr>
        <w:t xml:space="preserve"> </w:t>
      </w:r>
      <w:r w:rsidRPr="00D40D2C">
        <w:rPr>
          <w:rFonts w:ascii="Palatino Linotype" w:eastAsia="MS Mincho" w:hAnsi="Palatino Linotype"/>
          <w:color w:val="000000" w:themeColor="text1"/>
        </w:rPr>
        <w:t>028</w:t>
      </w:r>
      <w:r w:rsidRPr="00D40D2C">
        <w:rPr>
          <w:rFonts w:ascii="Palatino Linotype" w:eastAsia="MS Mincho" w:hAnsi="Palatino Linotype" w:cs="Arial"/>
          <w:color w:val="000000" w:themeColor="text1"/>
        </w:rPr>
        <w:t>-</w:t>
      </w:r>
      <w:r w:rsidRPr="00D40D2C">
        <w:rPr>
          <w:rFonts w:ascii="Palatino Linotype" w:eastAsia="MS Mincho" w:hAnsi="Palatino Linotype"/>
          <w:color w:val="000000" w:themeColor="text1"/>
        </w:rPr>
        <w:t>10</w:t>
      </w:r>
      <w:r w:rsidRPr="00D40D2C">
        <w:rPr>
          <w:rFonts w:ascii="Palatino Linotype" w:eastAsia="MS Mincho" w:hAnsi="Palatino Linotype" w:cs="Arial"/>
          <w:color w:val="000000" w:themeColor="text1"/>
        </w:rPr>
        <w:t xml:space="preserve"> emitido por el Pleno del entonces llamado Instituto Federal de Acceso a la Información y Protección de Datos, ahora Instituto Nacional de Transparencia, Acceso a la Información y Protección de Datos Personales: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rsidR="003038A1" w:rsidRPr="00D40D2C" w:rsidRDefault="003038A1" w:rsidP="00D40D2C">
      <w:pPr>
        <w:pStyle w:val="m5907675151158779931gmail-msolistparagraph"/>
        <w:shd w:val="clear" w:color="auto" w:fill="FFFFFF"/>
        <w:spacing w:before="240" w:beforeAutospacing="0" w:after="360" w:afterAutospacing="0" w:line="276" w:lineRule="auto"/>
        <w:ind w:right="49"/>
        <w:jc w:val="both"/>
        <w:rPr>
          <w:rFonts w:ascii="Palatino Linotype" w:hAnsi="Palatino Linotype" w:cs="Arial"/>
          <w:color w:val="000000" w:themeColor="text1"/>
        </w:rPr>
      </w:pPr>
      <w:r w:rsidRPr="00D40D2C">
        <w:rPr>
          <w:rFonts w:ascii="Palatino Linotype"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D40D2C">
        <w:rPr>
          <w:rFonts w:ascii="Palatino Linotype" w:hAnsi="Palatino Linotype" w:cs="Arial"/>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w:t>
      </w:r>
      <w:r w:rsidRPr="00D40D2C">
        <w:rPr>
          <w:rFonts w:ascii="Palatino Linotype" w:hAnsi="Palatino Linotype" w:cs="Arial"/>
          <w:i/>
          <w:iCs/>
          <w:color w:val="000000" w:themeColor="text1"/>
          <w:lang w:val="es-ES_tradnl"/>
        </w:rPr>
        <w:lastRenderedPageBreak/>
        <w:t>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3038A1" w:rsidRPr="00D40D2C" w:rsidRDefault="003038A1" w:rsidP="00D40D2C">
      <w:pPr>
        <w:numPr>
          <w:ilvl w:val="0"/>
          <w:numId w:val="1"/>
        </w:numPr>
        <w:spacing w:line="360" w:lineRule="auto"/>
        <w:ind w:left="0" w:right="49" w:firstLine="0"/>
        <w:jc w:val="both"/>
        <w:rPr>
          <w:rFonts w:ascii="Palatino Linotype" w:eastAsia="MS Mincho" w:hAnsi="Palatino Linotype" w:cs="Arial"/>
          <w:color w:val="000000" w:themeColor="text1"/>
        </w:rPr>
      </w:pPr>
      <w:r w:rsidRPr="00D40D2C">
        <w:rPr>
          <w:rFonts w:ascii="Palatino Linotype" w:eastAsia="MS Mincho" w:hAnsi="Palatino Linotype" w:cs="Arial"/>
          <w:color w:val="000000" w:themeColor="text1"/>
        </w:rPr>
        <w:t>Robustece</w:t>
      </w:r>
      <w:r w:rsidRPr="00D40D2C">
        <w:rPr>
          <w:rFonts w:ascii="Palatino Linotype" w:eastAsia="MS Mincho" w:hAnsi="Palatino Linotype" w:cs="Arial"/>
          <w:color w:val="000000" w:themeColor="text1"/>
          <w:lang w:val="es-ES"/>
        </w:rPr>
        <w:t xml:space="preserve"> lo anterior </w:t>
      </w:r>
      <w:r w:rsidRPr="00D40D2C">
        <w:rPr>
          <w:rFonts w:ascii="Palatino Linotype" w:eastAsia="MS Mincho" w:hAnsi="Palatino Linotype" w:cs="Arial"/>
          <w:color w:val="000000" w:themeColor="text1"/>
        </w:rPr>
        <w:t>el Criterio orientador 16/17 emitido de igual forma por el entonces Instituto Nacional de Transparencia, Acceso a la Información y Protección de Datos Personales que a la literalidad prevé:</w:t>
      </w:r>
    </w:p>
    <w:p w:rsidR="003038A1" w:rsidRPr="00D40D2C" w:rsidRDefault="003038A1" w:rsidP="00D40D2C">
      <w:pPr>
        <w:spacing w:before="240" w:after="240" w:line="276" w:lineRule="auto"/>
        <w:ind w:right="49"/>
        <w:jc w:val="both"/>
        <w:rPr>
          <w:rFonts w:ascii="Palatino Linotype" w:eastAsia="MS Mincho" w:hAnsi="Palatino Linotype" w:cs="Arial"/>
          <w:i/>
          <w:color w:val="000000" w:themeColor="text1"/>
        </w:rPr>
      </w:pPr>
      <w:r w:rsidRPr="00D40D2C">
        <w:rPr>
          <w:rFonts w:ascii="Palatino Linotype" w:eastAsia="MS Mincho" w:hAnsi="Palatino Linotype" w:cs="Arial"/>
          <w:b/>
          <w:i/>
          <w:color w:val="000000" w:themeColor="text1"/>
        </w:rPr>
        <w:t>“Expresión documental</w:t>
      </w:r>
      <w:r w:rsidRPr="00D40D2C">
        <w:rPr>
          <w:rFonts w:ascii="Palatino Linotype" w:eastAsia="MS Mincho" w:hAnsi="Palatino Linotype" w:cs="Arial"/>
          <w:i/>
          <w:color w:val="000000" w:themeColor="text1"/>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7101C4" w:rsidRPr="00D40D2C" w:rsidRDefault="007101C4" w:rsidP="00D40D2C">
      <w:pPr>
        <w:spacing w:line="360" w:lineRule="auto"/>
        <w:ind w:right="49"/>
        <w:jc w:val="both"/>
        <w:rPr>
          <w:rFonts w:ascii="Palatino Linotype" w:hAnsi="Palatino Linotype" w:cs="Arial"/>
          <w:color w:val="000000" w:themeColor="text1"/>
          <w:lang w:val="es-ES"/>
        </w:rPr>
      </w:pPr>
    </w:p>
    <w:p w:rsidR="003038A1" w:rsidRPr="00D40D2C" w:rsidRDefault="00F43912" w:rsidP="00D40D2C">
      <w:pPr>
        <w:numPr>
          <w:ilvl w:val="0"/>
          <w:numId w:val="1"/>
        </w:numPr>
        <w:spacing w:line="360" w:lineRule="auto"/>
        <w:ind w:left="0" w:right="49" w:firstLine="0"/>
        <w:jc w:val="both"/>
        <w:rPr>
          <w:rFonts w:ascii="Palatino Linotype" w:hAnsi="Palatino Linotype" w:cs="Arial"/>
          <w:color w:val="000000" w:themeColor="text1"/>
          <w:lang w:val="es-ES"/>
        </w:rPr>
      </w:pPr>
      <w:r w:rsidRPr="00D40D2C">
        <w:rPr>
          <w:rFonts w:ascii="Palatino Linotype" w:hAnsi="Palatino Linotype" w:cs="Arial"/>
          <w:color w:val="000000" w:themeColor="text1"/>
          <w:lang w:val="es-ES"/>
        </w:rPr>
        <w:t xml:space="preserve">Por lo que en relatadas </w:t>
      </w:r>
      <w:r w:rsidRPr="00D40D2C">
        <w:rPr>
          <w:rFonts w:ascii="Palatino Linotype" w:eastAsia="MS Mincho" w:hAnsi="Palatino Linotype" w:cs="Arial"/>
          <w:color w:val="000000" w:themeColor="text1"/>
        </w:rPr>
        <w:t>circunstancias</w:t>
      </w:r>
      <w:r w:rsidRPr="00D40D2C">
        <w:rPr>
          <w:rFonts w:ascii="Palatino Linotype" w:hAnsi="Palatino Linotype" w:cs="Arial"/>
          <w:color w:val="000000" w:themeColor="text1"/>
          <w:lang w:val="es-ES"/>
        </w:rPr>
        <w:t xml:space="preserve"> lo procedente </w:t>
      </w:r>
      <w:r w:rsidR="00364C59" w:rsidRPr="00D40D2C">
        <w:rPr>
          <w:rFonts w:ascii="Palatino Linotype" w:hAnsi="Palatino Linotype" w:cs="Arial"/>
          <w:color w:val="000000" w:themeColor="text1"/>
          <w:lang w:val="es-ES"/>
        </w:rPr>
        <w:t xml:space="preserve">es la aplicación de la suplencia de la queja en favor del solicitante; que corresponde a la </w:t>
      </w:r>
      <w:r w:rsidR="00364C59" w:rsidRPr="00D40D2C">
        <w:rPr>
          <w:rFonts w:ascii="Palatino Linotype" w:hAnsi="Palatino Linotype" w:cs="Arial"/>
          <w:b/>
          <w:color w:val="000000" w:themeColor="text1"/>
          <w:lang w:val="es-ES"/>
        </w:rPr>
        <w:t>figura que prevé la ley de la materia para subsanar errores técnicos</w:t>
      </w:r>
      <w:r w:rsidR="00364C59" w:rsidRPr="00D40D2C">
        <w:rPr>
          <w:rFonts w:ascii="Palatino Linotype" w:hAnsi="Palatino Linotype" w:cs="Arial"/>
          <w:color w:val="000000" w:themeColor="text1"/>
          <w:lang w:val="es-ES"/>
        </w:rPr>
        <w:t xml:space="preserve"> o la eventual falta de conocimientos del ciudadano, </w:t>
      </w:r>
      <w:r w:rsidR="00364C59" w:rsidRPr="00D40D2C">
        <w:rPr>
          <w:rFonts w:ascii="Palatino Linotype" w:hAnsi="Palatino Linotype" w:cs="Arial"/>
          <w:b/>
          <w:color w:val="000000" w:themeColor="text1"/>
          <w:lang w:val="es-ES"/>
        </w:rPr>
        <w:t>garantizando así que el acceso a la información sea efectivo y no meramente formal</w:t>
      </w:r>
      <w:r w:rsidR="00364C59" w:rsidRPr="00D40D2C">
        <w:rPr>
          <w:rFonts w:ascii="Palatino Linotype" w:hAnsi="Palatino Linotype" w:cs="Arial"/>
          <w:color w:val="000000" w:themeColor="text1"/>
          <w:lang w:val="es-ES"/>
        </w:rPr>
        <w:t>.</w:t>
      </w:r>
    </w:p>
    <w:p w:rsidR="003038A1" w:rsidRPr="00D40D2C" w:rsidRDefault="003038A1" w:rsidP="00D40D2C">
      <w:pPr>
        <w:spacing w:line="360" w:lineRule="auto"/>
        <w:ind w:right="49"/>
        <w:jc w:val="both"/>
        <w:rPr>
          <w:rFonts w:ascii="Palatino Linotype" w:hAnsi="Palatino Linotype" w:cs="Arial"/>
          <w:color w:val="000000" w:themeColor="text1"/>
          <w:lang w:val="es-ES"/>
        </w:rPr>
      </w:pPr>
    </w:p>
    <w:p w:rsidR="007101C4" w:rsidRPr="00D40D2C" w:rsidRDefault="00FC2AD8" w:rsidP="00D40D2C">
      <w:pPr>
        <w:numPr>
          <w:ilvl w:val="0"/>
          <w:numId w:val="1"/>
        </w:numPr>
        <w:spacing w:line="360" w:lineRule="auto"/>
        <w:ind w:left="0" w:right="49" w:firstLine="0"/>
        <w:jc w:val="both"/>
        <w:rPr>
          <w:rFonts w:ascii="Palatino Linotype" w:hAnsi="Palatino Linotype"/>
          <w:color w:val="000000" w:themeColor="text1"/>
          <w:lang w:eastAsia="es-ES_tradnl"/>
        </w:rPr>
      </w:pPr>
      <w:r w:rsidRPr="00D40D2C">
        <w:rPr>
          <w:rFonts w:ascii="Palatino Linotype" w:hAnsi="Palatino Linotype"/>
          <w:color w:val="000000" w:themeColor="text1"/>
          <w:lang w:eastAsia="es-ES_tradnl"/>
        </w:rPr>
        <w:lastRenderedPageBreak/>
        <w:t>En ese contexto,</w:t>
      </w:r>
      <w:r w:rsidR="007101C4" w:rsidRPr="00D40D2C">
        <w:rPr>
          <w:rFonts w:ascii="Palatino Linotype" w:hAnsi="Palatino Linotype"/>
          <w:color w:val="000000" w:themeColor="text1"/>
          <w:lang w:eastAsia="es-ES_tradnl"/>
        </w:rPr>
        <w:t xml:space="preserve"> la Ley de Transparencia y Acceso a la información Pública del Estado de México y Municipios contempla la suplencia de la deficiencia para garantizar el derecho de acceso de acceso a la información pública a favor del recurrente, sin que se cambien los hechos expuestos por éste; lo cual, encuentra sustento en la jurisprudencia emitida por la Suprema Corte de Justicia de la Nación que a continuación se inserta:</w:t>
      </w:r>
    </w:p>
    <w:p w:rsidR="007101C4" w:rsidRPr="00D40D2C" w:rsidRDefault="007101C4" w:rsidP="00D40D2C">
      <w:pPr>
        <w:spacing w:after="120"/>
        <w:ind w:right="49"/>
        <w:jc w:val="both"/>
        <w:rPr>
          <w:rFonts w:ascii="Palatino Linotype" w:hAnsi="Palatino Linotype"/>
          <w:i/>
          <w:color w:val="000000" w:themeColor="text1"/>
        </w:rPr>
      </w:pPr>
      <w:r w:rsidRPr="00D40D2C">
        <w:rPr>
          <w:rFonts w:ascii="Palatino Linotype" w:hAnsi="Palatino Linotype"/>
          <w:b/>
          <w:i/>
          <w:color w:val="000000" w:themeColor="text1"/>
        </w:rPr>
        <w:t xml:space="preserve">“SUPLENCIA DE LA QUEJA DEFICIENTE. DEBE HACERSE A PARTIR DE LOS CONCEPTOS DE VIOLACIÓN O, EN SU CASO, DE LOS AGRAVIOS EXPRESADOS, POR LO TANTO NO ES ILIMITADA. </w:t>
      </w:r>
      <w:r w:rsidRPr="00D40D2C">
        <w:rPr>
          <w:rFonts w:ascii="Palatino Linotype" w:hAnsi="Palatino Linotype"/>
          <w:i/>
          <w:color w:val="000000" w:themeColor="text1"/>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rsidR="007101C4" w:rsidRPr="00D40D2C" w:rsidRDefault="007101C4" w:rsidP="00D40D2C">
      <w:pPr>
        <w:spacing w:after="120"/>
        <w:ind w:right="49"/>
        <w:jc w:val="both"/>
        <w:rPr>
          <w:rFonts w:ascii="Palatino Linotype" w:hAnsi="Palatino Linotype"/>
          <w:i/>
          <w:color w:val="000000" w:themeColor="text1"/>
        </w:rPr>
      </w:pPr>
    </w:p>
    <w:p w:rsidR="007101C4" w:rsidRPr="00D40D2C" w:rsidRDefault="007101C4" w:rsidP="00D40D2C">
      <w:pPr>
        <w:numPr>
          <w:ilvl w:val="0"/>
          <w:numId w:val="1"/>
        </w:numPr>
        <w:spacing w:line="360" w:lineRule="auto"/>
        <w:ind w:left="0" w:right="49" w:firstLine="0"/>
        <w:jc w:val="both"/>
        <w:rPr>
          <w:rFonts w:ascii="Palatino Linotype" w:hAnsi="Palatino Linotype"/>
          <w:color w:val="000000" w:themeColor="text1"/>
          <w:lang w:eastAsia="es-ES_tradnl"/>
        </w:rPr>
      </w:pPr>
      <w:r w:rsidRPr="00D40D2C">
        <w:rPr>
          <w:rFonts w:ascii="Palatino Linotype" w:hAnsi="Palatino Linotype"/>
          <w:color w:val="000000" w:themeColor="text1"/>
          <w:lang w:eastAsia="es-ES_tradnl"/>
        </w:rPr>
        <w:t>De modo tal que debe interpretarse la solicitud de información atendiendo el principio de interpretación más favorable a la persona</w:t>
      </w:r>
      <w:r w:rsidRPr="00D40D2C">
        <w:rPr>
          <w:rStyle w:val="Refdenotaalpie"/>
          <w:rFonts w:ascii="Palatino Linotype" w:hAnsi="Palatino Linotype"/>
          <w:color w:val="000000" w:themeColor="text1"/>
          <w:lang w:eastAsia="es-ES_tradnl"/>
        </w:rPr>
        <w:footnoteReference w:id="1"/>
      </w:r>
      <w:r w:rsidRPr="00D40D2C">
        <w:rPr>
          <w:rFonts w:ascii="Palatino Linotype" w:hAnsi="Palatino Linotype"/>
          <w:color w:val="000000" w:themeColor="text1"/>
          <w:lang w:eastAsia="es-ES_tradnl"/>
        </w:rPr>
        <w:t>, con fundamento en los artículos 13 y 181 cuarto párrafo de la Ley de la Materia, que rezan así:</w:t>
      </w:r>
    </w:p>
    <w:p w:rsidR="007101C4" w:rsidRPr="00D40D2C" w:rsidRDefault="007101C4" w:rsidP="00D40D2C">
      <w:pPr>
        <w:spacing w:after="120"/>
        <w:ind w:right="49"/>
        <w:jc w:val="both"/>
        <w:rPr>
          <w:rFonts w:ascii="Palatino Linotype" w:hAnsi="Palatino Linotype"/>
          <w:i/>
          <w:color w:val="000000" w:themeColor="text1"/>
          <w:lang w:eastAsia="es-ES_tradnl"/>
        </w:rPr>
      </w:pPr>
      <w:r w:rsidRPr="00D40D2C">
        <w:rPr>
          <w:rFonts w:ascii="Palatino Linotype" w:hAnsi="Palatino Linotype"/>
          <w:b/>
          <w:i/>
          <w:color w:val="000000" w:themeColor="text1"/>
          <w:lang w:eastAsia="es-ES_tradnl"/>
        </w:rPr>
        <w:lastRenderedPageBreak/>
        <w:t>“Artículo 13.</w:t>
      </w:r>
      <w:r w:rsidRPr="00D40D2C">
        <w:rPr>
          <w:rFonts w:ascii="Palatino Linotype" w:hAnsi="Palatino Linotype"/>
          <w:i/>
          <w:color w:val="000000" w:themeColor="text1"/>
          <w:lang w:eastAsia="es-ES_tradnl"/>
        </w:rPr>
        <w:t xml:space="preserve"> El Instituto, en el ámbito de sus atribuciones, deberá suplir cualquier deficiencia para garantizar el ejercicio del derecho de acceso a la información.</w:t>
      </w:r>
    </w:p>
    <w:p w:rsidR="007101C4" w:rsidRPr="00D40D2C" w:rsidRDefault="007101C4" w:rsidP="00D40D2C">
      <w:pPr>
        <w:spacing w:after="120"/>
        <w:ind w:right="49"/>
        <w:jc w:val="both"/>
        <w:rPr>
          <w:rFonts w:ascii="Palatino Linotype" w:hAnsi="Palatino Linotype"/>
          <w:i/>
          <w:color w:val="000000" w:themeColor="text1"/>
          <w:lang w:eastAsia="es-ES_tradnl"/>
        </w:rPr>
      </w:pPr>
    </w:p>
    <w:p w:rsidR="007101C4" w:rsidRPr="00D40D2C" w:rsidRDefault="007101C4" w:rsidP="00D40D2C">
      <w:pPr>
        <w:spacing w:after="120"/>
        <w:ind w:right="49"/>
        <w:jc w:val="both"/>
        <w:rPr>
          <w:rFonts w:ascii="Palatino Linotype" w:hAnsi="Palatino Linotype"/>
          <w:i/>
          <w:color w:val="000000" w:themeColor="text1"/>
          <w:lang w:eastAsia="es-ES_tradnl"/>
        </w:rPr>
      </w:pPr>
      <w:r w:rsidRPr="00D40D2C">
        <w:rPr>
          <w:rFonts w:ascii="Palatino Linotype" w:hAnsi="Palatino Linotype"/>
          <w:b/>
          <w:i/>
          <w:color w:val="000000" w:themeColor="text1"/>
          <w:lang w:eastAsia="es-ES_tradnl"/>
        </w:rPr>
        <w:t>Artículo 181.</w:t>
      </w:r>
      <w:r w:rsidRPr="00D40D2C">
        <w:rPr>
          <w:rFonts w:ascii="Palatino Linotype" w:hAnsi="Palatino Linotype"/>
          <w:i/>
          <w:color w:val="000000" w:themeColor="text1"/>
          <w:lang w:eastAsia="es-ES_tradnl"/>
        </w:rPr>
        <w:t xml:space="preserve"> …</w:t>
      </w:r>
      <w:r w:rsidRPr="00D40D2C">
        <w:rPr>
          <w:rFonts w:ascii="Palatino Linotype" w:hAnsi="Palatino Linotype"/>
          <w:i/>
          <w:color w:val="000000" w:themeColor="text1"/>
        </w:rPr>
        <w:t xml:space="preserve"> </w:t>
      </w:r>
      <w:r w:rsidRPr="00D40D2C">
        <w:rPr>
          <w:rFonts w:ascii="Palatino Linotype" w:hAnsi="Palatino Linotype"/>
          <w:i/>
          <w:color w:val="000000" w:themeColor="text1"/>
          <w:lang w:eastAsia="es-ES_tradnl"/>
        </w:rPr>
        <w:t>Durante el procedimiento deberá aplicarse la suplencia de la queja a favor del recurrente, sin cambiar los hechos expuestos, asegurándose de que las partes puedan presentar, de manera oral o escrita, los argumentos que funden y motiven sus pretensiones.”</w:t>
      </w:r>
    </w:p>
    <w:p w:rsidR="007101C4" w:rsidRPr="00D40D2C" w:rsidRDefault="007101C4" w:rsidP="00D40D2C">
      <w:pPr>
        <w:spacing w:after="120"/>
        <w:ind w:right="49"/>
        <w:jc w:val="both"/>
        <w:rPr>
          <w:rFonts w:ascii="Palatino Linotype" w:hAnsi="Palatino Linotype"/>
          <w:i/>
          <w:color w:val="000000" w:themeColor="text1"/>
          <w:lang w:eastAsia="es-ES_tradnl"/>
        </w:rPr>
      </w:pPr>
    </w:p>
    <w:p w:rsidR="007101C4" w:rsidRPr="00D40D2C" w:rsidRDefault="007101C4" w:rsidP="00D40D2C">
      <w:pPr>
        <w:numPr>
          <w:ilvl w:val="0"/>
          <w:numId w:val="1"/>
        </w:numPr>
        <w:spacing w:line="360" w:lineRule="auto"/>
        <w:ind w:left="0" w:right="49" w:firstLine="0"/>
        <w:jc w:val="both"/>
        <w:rPr>
          <w:rFonts w:ascii="Palatino Linotype" w:hAnsi="Palatino Linotype"/>
          <w:color w:val="000000" w:themeColor="text1"/>
          <w:lang w:eastAsia="es-ES_tradnl"/>
        </w:rPr>
      </w:pPr>
      <w:r w:rsidRPr="00D40D2C">
        <w:rPr>
          <w:rFonts w:ascii="Palatino Linotype" w:hAnsi="Palatino Linotype"/>
          <w:color w:val="000000" w:themeColor="text1"/>
          <w:lang w:eastAsia="es-ES_tradnl"/>
        </w:rPr>
        <w:t xml:space="preserve">En ese contexto, si bien este </w:t>
      </w:r>
      <w:r w:rsidRPr="00D40D2C">
        <w:rPr>
          <w:rFonts w:ascii="Palatino Linotype" w:hAnsi="Palatino Linotype" w:cs="Arial"/>
          <w:color w:val="000000" w:themeColor="text1"/>
        </w:rPr>
        <w:t xml:space="preserve">Instituto de Transparencia como Órgano Garante </w:t>
      </w:r>
      <w:r w:rsidRPr="00D40D2C">
        <w:rPr>
          <w:rFonts w:ascii="Palatino Linotype" w:hAnsi="Palatino Linotype" w:cs="Arial"/>
          <w:color w:val="000000" w:themeColor="text1"/>
          <w:lang w:eastAsia="es-MX"/>
        </w:rPr>
        <w:t xml:space="preserve">de la difusión, protección y respeto al derecho de acceso a la información pública y a la protección de </w:t>
      </w:r>
      <w:r w:rsidRPr="00D40D2C">
        <w:rPr>
          <w:rFonts w:ascii="Palatino Linotype" w:hAnsi="Palatino Linotype"/>
          <w:color w:val="000000" w:themeColor="text1"/>
          <w:lang w:eastAsia="es-ES_tradnl"/>
        </w:rPr>
        <w:t>datos</w:t>
      </w:r>
      <w:r w:rsidRPr="00D40D2C">
        <w:rPr>
          <w:rFonts w:ascii="Palatino Linotype" w:hAnsi="Palatino Linotype" w:cs="Arial"/>
          <w:color w:val="000000" w:themeColor="text1"/>
          <w:lang w:eastAsia="es-MX"/>
        </w:rPr>
        <w:t xml:space="preserve"> personales, conforme a su naturaleza jurídica y a las atribuciones previstas en los artículos 29 y 36 de la Ley de Transparencia y Acceso a la Información Pública del Estado de México y Municipios, </w:t>
      </w:r>
      <w:r w:rsidRPr="00D40D2C">
        <w:rPr>
          <w:rFonts w:ascii="Palatino Linotype" w:hAnsi="Palatino Linotype" w:cs="Arial"/>
          <w:color w:val="000000" w:themeColor="text1"/>
        </w:rPr>
        <w:t>es competente para resolver los recursos de revisión, cuando se niegue la información solicitada, se les entregue la información incompleta, no corresponda a la solicitada y/o el particular considere que la respuesta es desfavorable a su solicitud</w:t>
      </w:r>
      <w:r w:rsidR="00FC2AD8" w:rsidRPr="00D40D2C">
        <w:rPr>
          <w:rFonts w:ascii="Palatino Linotype" w:hAnsi="Palatino Linotype" w:cs="Arial"/>
          <w:color w:val="000000" w:themeColor="text1"/>
        </w:rPr>
        <w:t>.</w:t>
      </w:r>
    </w:p>
    <w:p w:rsidR="00FC2AD8" w:rsidRPr="00D40D2C" w:rsidRDefault="00FC2AD8" w:rsidP="00D40D2C">
      <w:pPr>
        <w:spacing w:line="360" w:lineRule="auto"/>
        <w:ind w:right="49"/>
        <w:jc w:val="both"/>
        <w:rPr>
          <w:rFonts w:ascii="Palatino Linotype" w:hAnsi="Palatino Linotype"/>
          <w:color w:val="000000" w:themeColor="text1"/>
          <w:lang w:eastAsia="es-ES_tradnl"/>
        </w:rPr>
      </w:pPr>
    </w:p>
    <w:p w:rsidR="007101C4" w:rsidRPr="00D40D2C" w:rsidRDefault="007101C4" w:rsidP="00D40D2C">
      <w:pPr>
        <w:numPr>
          <w:ilvl w:val="0"/>
          <w:numId w:val="1"/>
        </w:numP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lang w:eastAsia="es-ES_tradnl"/>
        </w:rPr>
        <w:t xml:space="preserve">Luego entonces supliendo la deficiencia de la queja en favor del particular, resulta procedente que la solicitud de información verse respecto de la denominada </w:t>
      </w:r>
      <w:r w:rsidRPr="00D40D2C">
        <w:rPr>
          <w:rFonts w:ascii="Palatino Linotype" w:hAnsi="Palatino Linotype" w:cs="Arial"/>
          <w:color w:val="000000" w:themeColor="text1"/>
          <w:u w:val="single"/>
          <w:lang w:val="es-ES"/>
        </w:rPr>
        <w:t>Subdirección de Desarrollo Urbano</w:t>
      </w:r>
      <w:r w:rsidRPr="00D40D2C">
        <w:rPr>
          <w:rFonts w:ascii="Palatino Linotype" w:hAnsi="Palatino Linotype" w:cs="Arial"/>
          <w:color w:val="000000" w:themeColor="text1"/>
          <w:lang w:val="es-ES"/>
        </w:rPr>
        <w:t>, lo que no cambia los hechos expuestos de manera inicial</w:t>
      </w:r>
      <w:r w:rsidRPr="00D40D2C">
        <w:rPr>
          <w:rFonts w:ascii="Palatino Linotype" w:hAnsi="Palatino Linotype"/>
          <w:color w:val="000000" w:themeColor="text1"/>
        </w:rPr>
        <w:t>.</w:t>
      </w:r>
    </w:p>
    <w:p w:rsidR="00E01178" w:rsidRPr="00D40D2C" w:rsidRDefault="00E01178" w:rsidP="00D40D2C">
      <w:pPr>
        <w:spacing w:line="360" w:lineRule="auto"/>
        <w:ind w:right="49"/>
        <w:jc w:val="both"/>
        <w:rPr>
          <w:rFonts w:ascii="Palatino Linotype" w:hAnsi="Palatino Linotype"/>
          <w:color w:val="000000" w:themeColor="text1"/>
        </w:rPr>
      </w:pPr>
    </w:p>
    <w:p w:rsidR="00E01178" w:rsidRPr="00D40D2C" w:rsidRDefault="00E01178" w:rsidP="00D40D2C">
      <w:pPr>
        <w:numPr>
          <w:ilvl w:val="0"/>
          <w:numId w:val="1"/>
        </w:numP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rPr>
        <w:t xml:space="preserve">Ahora bien, el particular refiere que en una solicitud diversa, se le informo que el C. Martin Gerardo </w:t>
      </w:r>
      <w:r w:rsidRPr="00D40D2C">
        <w:rPr>
          <w:rFonts w:ascii="Palatino Linotype" w:hAnsi="Palatino Linotype"/>
          <w:color w:val="000000" w:themeColor="text1"/>
          <w:lang w:eastAsia="es-ES_tradnl"/>
        </w:rPr>
        <w:t xml:space="preserve">Rojas, es quien detenta el cargo de </w:t>
      </w:r>
      <w:r w:rsidRPr="00D40D2C">
        <w:rPr>
          <w:rFonts w:ascii="Palatino Linotype" w:hAnsi="Palatino Linotype"/>
          <w:color w:val="000000" w:themeColor="text1"/>
          <w:lang w:eastAsia="es-ES_tradnl"/>
        </w:rPr>
        <w:tab/>
        <w:t xml:space="preserve">Subdirector de Desarrollo Urbano. Hecho </w:t>
      </w:r>
      <w:r w:rsidR="00FC2AD8" w:rsidRPr="00D40D2C">
        <w:rPr>
          <w:rFonts w:ascii="Palatino Linotype" w:hAnsi="Palatino Linotype"/>
          <w:color w:val="000000" w:themeColor="text1"/>
          <w:lang w:eastAsia="es-ES_tradnl"/>
        </w:rPr>
        <w:t xml:space="preserve">que se hace constar </w:t>
      </w:r>
      <w:r w:rsidRPr="00D40D2C">
        <w:rPr>
          <w:rFonts w:ascii="Palatino Linotype" w:hAnsi="Palatino Linotype"/>
          <w:color w:val="000000" w:themeColor="text1"/>
          <w:lang w:eastAsia="es-ES_tradnl"/>
        </w:rPr>
        <w:t xml:space="preserve"> de acuerdo a diversas documentales publicas alojadas en </w:t>
      </w:r>
      <w:r w:rsidR="00FC2AD8" w:rsidRPr="00D40D2C">
        <w:rPr>
          <w:rFonts w:ascii="Palatino Linotype" w:hAnsi="Palatino Linotype"/>
          <w:color w:val="000000" w:themeColor="text1"/>
          <w:lang w:eastAsia="es-ES_tradnl"/>
        </w:rPr>
        <w:t xml:space="preserve">fuentes </w:t>
      </w:r>
      <w:r w:rsidR="00FC2AD8" w:rsidRPr="00D40D2C">
        <w:rPr>
          <w:rFonts w:ascii="Palatino Linotype" w:hAnsi="Palatino Linotype"/>
          <w:color w:val="000000" w:themeColor="text1"/>
          <w:lang w:eastAsia="es-ES_tradnl"/>
        </w:rPr>
        <w:lastRenderedPageBreak/>
        <w:t xml:space="preserve">de acceso público como el siguiente extracto de un </w:t>
      </w:r>
      <w:r w:rsidRPr="00D40D2C">
        <w:rPr>
          <w:rFonts w:ascii="Palatino Linotype" w:hAnsi="Palatino Linotype"/>
          <w:color w:val="000000" w:themeColor="text1"/>
          <w:lang w:eastAsia="es-ES_tradnl"/>
        </w:rPr>
        <w:t>Acta del Comité de Mejora Regulatoria</w:t>
      </w:r>
      <w:r w:rsidR="00FC2AD8" w:rsidRPr="00D40D2C">
        <w:rPr>
          <w:rFonts w:ascii="Palatino Linotype" w:hAnsi="Palatino Linotype"/>
          <w:color w:val="000000" w:themeColor="text1"/>
          <w:lang w:eastAsia="es-ES_tradnl"/>
        </w:rPr>
        <w:t xml:space="preserve"> del Municipio de Cuautitlán</w:t>
      </w:r>
      <w:r w:rsidRPr="00D40D2C">
        <w:rPr>
          <w:rFonts w:ascii="Palatino Linotype" w:hAnsi="Palatino Linotype"/>
          <w:color w:val="000000" w:themeColor="text1"/>
          <w:lang w:eastAsia="es-ES_tradnl"/>
        </w:rPr>
        <w:t>:</w:t>
      </w:r>
    </w:p>
    <w:p w:rsidR="00E01178" w:rsidRPr="00D40D2C" w:rsidRDefault="00E01178" w:rsidP="00D40D2C">
      <w:pPr>
        <w:pStyle w:val="Prrafodelista"/>
        <w:ind w:left="0" w:right="49"/>
        <w:rPr>
          <w:rFonts w:ascii="Palatino Linotype" w:hAnsi="Palatino Linotype"/>
          <w:color w:val="000000" w:themeColor="text1"/>
        </w:rPr>
      </w:pPr>
    </w:p>
    <w:p w:rsidR="00E01178" w:rsidRPr="00D40D2C" w:rsidRDefault="00E01178" w:rsidP="00D40D2C">
      <w:pPr>
        <w:spacing w:line="360" w:lineRule="auto"/>
        <w:ind w:right="49"/>
        <w:jc w:val="both"/>
        <w:rPr>
          <w:rFonts w:ascii="Palatino Linotype" w:hAnsi="Palatino Linotype"/>
          <w:color w:val="000000" w:themeColor="text1"/>
        </w:rPr>
      </w:pPr>
      <w:r w:rsidRPr="00D40D2C">
        <w:rPr>
          <w:rFonts w:ascii="Palatino Linotype" w:hAnsi="Palatino Linotype"/>
          <w:noProof/>
          <w:color w:val="000000" w:themeColor="text1"/>
          <w:lang w:val="es-MX" w:eastAsia="es-MX"/>
        </w:rPr>
        <w:drawing>
          <wp:inline distT="0" distB="0" distL="0" distR="0" wp14:anchorId="2CCB9968" wp14:editId="407C7DA8">
            <wp:extent cx="5612130" cy="39890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989070"/>
                    </a:xfrm>
                    <a:prstGeom prst="rect">
                      <a:avLst/>
                    </a:prstGeom>
                  </pic:spPr>
                </pic:pic>
              </a:graphicData>
            </a:graphic>
          </wp:inline>
        </w:drawing>
      </w:r>
    </w:p>
    <w:p w:rsidR="00FC2AD8" w:rsidRPr="00D40D2C" w:rsidRDefault="00FC2AD8" w:rsidP="00D40D2C">
      <w:pPr>
        <w:spacing w:line="360" w:lineRule="auto"/>
        <w:ind w:right="49"/>
        <w:jc w:val="both"/>
        <w:rPr>
          <w:rFonts w:ascii="Palatino Linotype" w:hAnsi="Palatino Linotype"/>
          <w:color w:val="000000" w:themeColor="text1"/>
        </w:rPr>
      </w:pPr>
    </w:p>
    <w:p w:rsidR="007101C4" w:rsidRDefault="00FC2AD8" w:rsidP="00D40D2C">
      <w:pPr>
        <w:numPr>
          <w:ilvl w:val="0"/>
          <w:numId w:val="1"/>
        </w:numPr>
        <w:spacing w:line="360" w:lineRule="auto"/>
        <w:ind w:left="0" w:right="49" w:firstLine="0"/>
        <w:jc w:val="both"/>
        <w:rPr>
          <w:rFonts w:ascii="Palatino Linotype" w:hAnsi="Palatino Linotype" w:cs="Arial"/>
          <w:color w:val="000000" w:themeColor="text1"/>
          <w:lang w:val="es-ES"/>
        </w:rPr>
      </w:pPr>
      <w:r w:rsidRPr="00D40D2C">
        <w:rPr>
          <w:rFonts w:ascii="Palatino Linotype" w:hAnsi="Palatino Linotype" w:cs="Arial"/>
          <w:color w:val="000000" w:themeColor="text1"/>
          <w:lang w:val="es-ES"/>
        </w:rPr>
        <w:t>Sin embargo,</w:t>
      </w:r>
      <w:r w:rsidR="00025B15" w:rsidRPr="00D40D2C">
        <w:rPr>
          <w:rFonts w:ascii="Palatino Linotype" w:hAnsi="Palatino Linotype" w:cs="Arial"/>
          <w:color w:val="000000" w:themeColor="text1"/>
          <w:lang w:val="es-ES"/>
        </w:rPr>
        <w:t xml:space="preserve"> no existe indicio documental que otorgue certeza de la fecha de ingreso de</w:t>
      </w:r>
      <w:r w:rsidRPr="00D40D2C">
        <w:rPr>
          <w:rFonts w:ascii="Palatino Linotype" w:hAnsi="Palatino Linotype" w:cs="Arial"/>
          <w:color w:val="000000" w:themeColor="text1"/>
          <w:lang w:val="es-ES"/>
        </w:rPr>
        <w:t xml:space="preserve"> ese</w:t>
      </w:r>
      <w:r w:rsidR="00025B15" w:rsidRPr="00D40D2C">
        <w:rPr>
          <w:rFonts w:ascii="Palatino Linotype" w:hAnsi="Palatino Linotype" w:cs="Arial"/>
          <w:color w:val="000000" w:themeColor="text1"/>
          <w:lang w:val="es-ES"/>
        </w:rPr>
        <w:t xml:space="preserve"> servidor público al cargo de Subdirector de Desarrollo Urbano a efecto de delimitar con puntualidad el extremo temporal inicial del cual se deberá realizar la entrega. Tampoco que el C. Martin Gerardo Rojas Cuandon, haya sido el servidor público en funciones con dicho cargo al día 3 de septiembre de 2025. Por lo que en relatadas circunstancias se deberá </w:t>
      </w:r>
      <w:r w:rsidR="007646A4" w:rsidRPr="00D40D2C">
        <w:rPr>
          <w:rFonts w:ascii="Palatino Linotype" w:hAnsi="Palatino Linotype" w:cs="Arial"/>
          <w:color w:val="000000" w:themeColor="text1"/>
          <w:lang w:val="es-ES"/>
        </w:rPr>
        <w:t xml:space="preserve">realizar la búsqueda exhaustiva y razonable de lo solicitado de los oficios firmados por el </w:t>
      </w:r>
      <w:r w:rsidR="007646A4" w:rsidRPr="00D40D2C">
        <w:rPr>
          <w:rFonts w:ascii="Palatino Linotype" w:hAnsi="Palatino Linotype" w:cs="Arial"/>
          <w:color w:val="000000" w:themeColor="text1"/>
          <w:lang w:val="es-ES"/>
        </w:rPr>
        <w:lastRenderedPageBreak/>
        <w:t>Subdirector de Desarrollo Urbano en funciones al día 3 de septiembre del año en curso</w:t>
      </w:r>
      <w:r w:rsidRPr="00D40D2C">
        <w:rPr>
          <w:rFonts w:ascii="Palatino Linotype" w:hAnsi="Palatino Linotype" w:cs="Arial"/>
          <w:color w:val="000000" w:themeColor="text1"/>
          <w:lang w:val="es-ES"/>
        </w:rPr>
        <w:t xml:space="preserve">, a partir de que </w:t>
      </w:r>
      <w:r w:rsidR="007646A4" w:rsidRPr="00D40D2C">
        <w:rPr>
          <w:rFonts w:ascii="Palatino Linotype" w:hAnsi="Palatino Linotype" w:cs="Arial"/>
          <w:color w:val="000000" w:themeColor="text1"/>
          <w:lang w:val="es-ES"/>
        </w:rPr>
        <w:t>haya ocupado dicho cargo púb</w:t>
      </w:r>
      <w:r w:rsidRPr="00D40D2C">
        <w:rPr>
          <w:rFonts w:ascii="Palatino Linotype" w:hAnsi="Palatino Linotype" w:cs="Arial"/>
          <w:color w:val="000000" w:themeColor="text1"/>
          <w:lang w:val="es-ES"/>
        </w:rPr>
        <w:t>lico y al 3 de septiembre de 2025.</w:t>
      </w:r>
    </w:p>
    <w:p w:rsidR="00D135BD" w:rsidRPr="00D40D2C" w:rsidRDefault="00D135BD" w:rsidP="00D135BD">
      <w:pPr>
        <w:spacing w:line="360" w:lineRule="auto"/>
        <w:ind w:right="49"/>
        <w:jc w:val="both"/>
        <w:rPr>
          <w:rFonts w:ascii="Palatino Linotype" w:hAnsi="Palatino Linotype" w:cs="Arial"/>
          <w:color w:val="000000" w:themeColor="text1"/>
          <w:lang w:val="es-ES"/>
        </w:rPr>
      </w:pP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Al respecto resulta necesario referir que, el artículo 6° apartado A fracción I, de la Constitución Política de los Estados Unidos Mexicanos, artículo 5 fracción I de la Constitución </w:t>
      </w:r>
      <w:r w:rsidRPr="00D40D2C">
        <w:rPr>
          <w:rFonts w:ascii="Palatino Linotype" w:hAnsi="Palatino Linotype" w:cs="Arial"/>
          <w:color w:val="000000" w:themeColor="text1"/>
          <w:lang w:val="es-ES"/>
        </w:rPr>
        <w:t>Política</w:t>
      </w:r>
      <w:r w:rsidRPr="00D40D2C">
        <w:rPr>
          <w:rFonts w:ascii="Palatino Linotype" w:eastAsia="Palatino Linotype" w:hAnsi="Palatino Linotype" w:cs="Palatino Linotype"/>
          <w:color w:val="000000" w:themeColor="text1"/>
        </w:rPr>
        <w:t xml:space="preserve">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7646A4" w:rsidRPr="00D40D2C" w:rsidRDefault="007646A4" w:rsidP="00D40D2C">
      <w:pPr>
        <w:spacing w:line="360" w:lineRule="auto"/>
        <w:ind w:right="49"/>
        <w:jc w:val="both"/>
        <w:rPr>
          <w:rFonts w:ascii="Palatino Linotype" w:eastAsia="Palatino Linotype" w:hAnsi="Palatino Linotype" w:cs="Palatino Linotype"/>
          <w:color w:val="000000" w:themeColor="text1"/>
        </w:rPr>
      </w:pP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Artículo 4.</w:t>
      </w:r>
      <w:r w:rsidRPr="00D40D2C">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D40D2C">
        <w:rPr>
          <w:rFonts w:ascii="Palatino Linotype" w:eastAsia="Palatino Linotype" w:hAnsi="Palatino Linotype" w:cs="Palatino Linotype"/>
          <w:i/>
          <w:color w:val="000000" w:themeColor="text1"/>
        </w:rPr>
        <w:lastRenderedPageBreak/>
        <w:t>temporalmente por razones de interés público, en los términos de las causas legítimas y estrictamente necesarias previstas por esta Ley.</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Artículo 12.</w:t>
      </w:r>
      <w:r w:rsidRPr="00D40D2C">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646A4" w:rsidRPr="00D40D2C" w:rsidRDefault="007646A4" w:rsidP="00D40D2C">
      <w:pPr>
        <w:spacing w:line="360" w:lineRule="auto"/>
        <w:ind w:right="49"/>
        <w:jc w:val="both"/>
        <w:rPr>
          <w:rFonts w:ascii="Palatino Linotype" w:eastAsia="Palatino Linotype" w:hAnsi="Palatino Linotype" w:cs="Palatino Linotype"/>
          <w:color w:val="000000" w:themeColor="text1"/>
        </w:rPr>
      </w:pP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D40D2C">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lastRenderedPageBreak/>
        <w:t xml:space="preserve">Como se ha señalado, los Sujetos Obligados deberán proporcionar toda la información que se encuentre en su posesión bajo los estándares más altos de transparencia y máxima publicidad. </w:t>
      </w:r>
    </w:p>
    <w:p w:rsidR="007646A4" w:rsidRPr="00D40D2C" w:rsidRDefault="007646A4" w:rsidP="00D40D2C">
      <w:pPr>
        <w:spacing w:line="360" w:lineRule="auto"/>
        <w:ind w:right="49"/>
        <w:jc w:val="both"/>
        <w:rPr>
          <w:rFonts w:ascii="Palatino Linotype" w:eastAsia="Palatino Linotype" w:hAnsi="Palatino Linotype" w:cs="Palatino Linotype"/>
          <w:color w:val="000000" w:themeColor="text1"/>
        </w:rPr>
      </w:pP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“Artículo 6o.</w:t>
      </w:r>
      <w:r w:rsidRPr="00D40D2C">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Para efectos de lo dispuesto en el presente artículo se observará lo siguiente:</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numPr>
          <w:ilvl w:val="4"/>
          <w:numId w:val="4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D40D2C">
        <w:rPr>
          <w:rFonts w:ascii="Palatino Linotype" w:eastAsia="Palatino Linotype" w:hAnsi="Palatino Linotype" w:cs="Palatino Linotype"/>
          <w:i/>
          <w:color w:val="000000" w:themeColor="text1"/>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La información que se refiere a la vida privada y los datos personales será protegida en los términos y con las excepciones que fijen las leyes.</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Se establecerán mecanismos de acceso a la información y procedimientos de revisión expeditos que se sustanciarán ante los organismos autónomos especializados e imparciales que establece esta Constitución.</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Las leyes determinarán la manera en que los sujetos obligados deberán hacer pública la información relativa a los recursos públicos que entreguen a personas físicas o morales.</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lastRenderedPageBreak/>
        <w:t>La inobservancia a las disposiciones en materia de acceso a la información pública será sancionada en los términos que dispongan las leyes.</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La ley establecerá aquella información que se considere reservada o confidencial.”</w:t>
      </w:r>
    </w:p>
    <w:p w:rsidR="007646A4" w:rsidRPr="00D40D2C" w:rsidRDefault="007646A4" w:rsidP="00D40D2C">
      <w:pPr>
        <w:spacing w:line="360" w:lineRule="auto"/>
        <w:ind w:right="49"/>
        <w:jc w:val="both"/>
        <w:rPr>
          <w:rFonts w:ascii="Palatino Linotype" w:eastAsia="Palatino Linotype" w:hAnsi="Palatino Linotype" w:cs="Palatino Linotype"/>
          <w:color w:val="000000" w:themeColor="text1"/>
        </w:rPr>
      </w:pP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D40D2C">
        <w:rPr>
          <w:rFonts w:ascii="Palatino Linotype" w:eastAsia="Palatino Linotype" w:hAnsi="Palatino Linotype" w:cs="Palatino Linotype"/>
          <w:b/>
          <w:i/>
          <w:color w:val="000000" w:themeColor="text1"/>
        </w:rPr>
        <w:t xml:space="preserve">“Artículo 5. … </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El derecho a la información será garantizado por el Estado</w:t>
      </w:r>
      <w:r w:rsidRPr="00D40D2C">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Este derecho se regirá por los principios y bases siguientes:</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numPr>
          <w:ilvl w:val="3"/>
          <w:numId w:val="4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Toda la información en posesión de cualquier autoridad</w:t>
      </w:r>
      <w:r w:rsidRPr="00D40D2C">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y fondos públicos estatales y municipales, </w:t>
      </w:r>
      <w:r w:rsidRPr="00D40D2C">
        <w:rPr>
          <w:rFonts w:ascii="Palatino Linotype" w:eastAsia="Palatino Linotype" w:hAnsi="Palatino Linotype" w:cs="Palatino Linotype"/>
          <w:b/>
          <w:i/>
          <w:color w:val="000000" w:themeColor="text1"/>
        </w:rPr>
        <w:t xml:space="preserve">así como del gobierno y de la administración pública </w:t>
      </w:r>
      <w:r w:rsidRPr="00D40D2C">
        <w:rPr>
          <w:rFonts w:ascii="Palatino Linotype" w:eastAsia="Palatino Linotype" w:hAnsi="Palatino Linotype" w:cs="Palatino Linotype"/>
          <w:b/>
          <w:i/>
          <w:color w:val="000000" w:themeColor="text1"/>
        </w:rPr>
        <w:lastRenderedPageBreak/>
        <w:t>municipal y sus organismos descentralizados</w:t>
      </w:r>
      <w:r w:rsidRPr="00D40D2C">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D40D2C">
        <w:rPr>
          <w:rFonts w:ascii="Palatino Linotype" w:eastAsia="Palatino Linotype" w:hAnsi="Palatino Linotype" w:cs="Palatino Linotype"/>
          <w:b/>
          <w:i/>
          <w:color w:val="000000" w:themeColor="text1"/>
        </w:rPr>
        <w:t>es pública</w:t>
      </w:r>
      <w:r w:rsidRPr="00D40D2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646A4" w:rsidRPr="00D40D2C" w:rsidRDefault="007646A4" w:rsidP="00D40D2C">
      <w:pPr>
        <w:numPr>
          <w:ilvl w:val="3"/>
          <w:numId w:val="4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rsidR="007646A4" w:rsidRPr="00D40D2C" w:rsidRDefault="007646A4" w:rsidP="00D40D2C">
      <w:pPr>
        <w:numPr>
          <w:ilvl w:val="3"/>
          <w:numId w:val="4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7646A4" w:rsidRPr="00D40D2C" w:rsidRDefault="007646A4" w:rsidP="00D40D2C">
      <w:pPr>
        <w:numPr>
          <w:ilvl w:val="3"/>
          <w:numId w:val="4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Se establecerán mecanismos de acceso a la información y procedimientos de revisión expeditos que se sustanciarán ante el organismo autónomo especializado e imparcial que establece esta Constitución.</w:t>
      </w:r>
    </w:p>
    <w:p w:rsidR="007646A4" w:rsidRPr="00D40D2C" w:rsidRDefault="007646A4" w:rsidP="00D40D2C">
      <w:pPr>
        <w:numPr>
          <w:ilvl w:val="3"/>
          <w:numId w:val="4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646A4" w:rsidRPr="00D40D2C" w:rsidRDefault="007646A4" w:rsidP="00D40D2C">
      <w:pPr>
        <w:numPr>
          <w:ilvl w:val="3"/>
          <w:numId w:val="4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 xml:space="preserve">Los sujetos obligados deberán preservar sus documentos en archivos administrativos actualizados y publicarán, a través de los medios electrónicos disponibles, la información completa y actualizada sobre el ejercicio de los recursos </w:t>
      </w:r>
      <w:r w:rsidRPr="00D40D2C">
        <w:rPr>
          <w:rFonts w:ascii="Palatino Linotype" w:eastAsia="Palatino Linotype" w:hAnsi="Palatino Linotype" w:cs="Palatino Linotype"/>
          <w:b/>
          <w:i/>
          <w:color w:val="000000" w:themeColor="text1"/>
        </w:rPr>
        <w:lastRenderedPageBreak/>
        <w:t>públicos</w:t>
      </w:r>
      <w:r w:rsidRPr="00D40D2C">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7646A4" w:rsidRPr="00D40D2C" w:rsidRDefault="007646A4" w:rsidP="00D40D2C">
      <w:pPr>
        <w:numPr>
          <w:ilvl w:val="3"/>
          <w:numId w:val="4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“Artículo 23.</w:t>
      </w:r>
      <w:r w:rsidRPr="00D40D2C">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646A4" w:rsidRPr="00D40D2C" w:rsidRDefault="007646A4" w:rsidP="00D40D2C">
      <w:pPr>
        <w:spacing w:line="360" w:lineRule="auto"/>
        <w:ind w:right="49"/>
        <w:jc w:val="both"/>
        <w:rPr>
          <w:rFonts w:ascii="Palatino Linotype" w:eastAsia="Palatino Linotype" w:hAnsi="Palatino Linotype" w:cs="Palatino Linotype"/>
          <w:i/>
          <w:color w:val="000000" w:themeColor="text1"/>
        </w:rPr>
      </w:pPr>
    </w:p>
    <w:p w:rsidR="007646A4" w:rsidRPr="00D40D2C" w:rsidRDefault="007646A4" w:rsidP="00D40D2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rsidR="007646A4" w:rsidRPr="00D40D2C" w:rsidRDefault="007646A4" w:rsidP="00D40D2C">
      <w:pPr>
        <w:spacing w:line="360" w:lineRule="auto"/>
        <w:ind w:right="49"/>
        <w:jc w:val="both"/>
        <w:rPr>
          <w:rFonts w:ascii="Palatino Linotype" w:eastAsia="Palatino Linotype" w:hAnsi="Palatino Linotype" w:cs="Palatino Linotype"/>
          <w:color w:val="000000" w:themeColor="text1"/>
        </w:rPr>
      </w:pP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w:t>
      </w:r>
      <w:r w:rsidRPr="00D40D2C">
        <w:rPr>
          <w:rFonts w:ascii="Palatino Linotype" w:eastAsia="Palatino Linotype" w:hAnsi="Palatino Linotype" w:cs="Palatino Linotype"/>
          <w:color w:val="000000" w:themeColor="text1"/>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7646A4" w:rsidRPr="00D40D2C" w:rsidRDefault="007646A4" w:rsidP="00D40D2C">
      <w:pPr>
        <w:spacing w:line="360" w:lineRule="auto"/>
        <w:ind w:right="49"/>
        <w:jc w:val="both"/>
        <w:rPr>
          <w:rFonts w:ascii="Palatino Linotype" w:eastAsia="Palatino Linotype" w:hAnsi="Palatino Linotype" w:cs="Palatino Linotype"/>
          <w:color w:val="000000" w:themeColor="text1"/>
        </w:rPr>
      </w:pPr>
    </w:p>
    <w:p w:rsidR="007646A4" w:rsidRPr="00D40D2C" w:rsidRDefault="007646A4"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Por lo anterior, es de referir que, el </w:t>
      </w:r>
      <w:r w:rsidRPr="00D40D2C">
        <w:rPr>
          <w:rFonts w:ascii="Palatino Linotype" w:eastAsia="Palatino Linotype" w:hAnsi="Palatino Linotype" w:cs="Palatino Linotype"/>
          <w:b/>
          <w:color w:val="000000" w:themeColor="text1"/>
        </w:rPr>
        <w:t>Ayuntamiento de Cuautitlán</w:t>
      </w:r>
      <w:r w:rsidRPr="00D40D2C">
        <w:rPr>
          <w:rFonts w:ascii="Palatino Linotype" w:eastAsia="Palatino Linotype" w:hAnsi="Palatino Linotype" w:cs="Palatino Linotype"/>
          <w:color w:val="000000" w:themeColor="text1"/>
        </w:rPr>
        <w:t>, al ser un Sujeto Obligado comprendido por la Legislación Local en materia de Transparencia, se encuentra obligado a hacer pública toda aquella información que genere, administre o posea.</w:t>
      </w:r>
    </w:p>
    <w:p w:rsidR="00844968" w:rsidRPr="00D40D2C" w:rsidRDefault="00844968" w:rsidP="00D40D2C">
      <w:pPr>
        <w:pStyle w:val="Prrafodelista"/>
        <w:ind w:left="0" w:right="49"/>
        <w:rPr>
          <w:rFonts w:ascii="Palatino Linotype" w:eastAsia="Palatino Linotype" w:hAnsi="Palatino Linotype" w:cs="Palatino Linotype"/>
          <w:color w:val="000000" w:themeColor="text1"/>
        </w:rPr>
      </w:pPr>
    </w:p>
    <w:p w:rsidR="00844968" w:rsidRPr="00D40D2C" w:rsidRDefault="00844968" w:rsidP="00D40D2C">
      <w:pPr>
        <w:numPr>
          <w:ilvl w:val="0"/>
          <w:numId w:val="1"/>
        </w:numPr>
        <w:spacing w:line="360" w:lineRule="auto"/>
        <w:ind w:left="0" w:right="49" w:firstLine="0"/>
        <w:jc w:val="both"/>
        <w:rPr>
          <w:rFonts w:ascii="Palatino Linotype" w:hAnsi="Palatino Linotype"/>
          <w:color w:val="000000" w:themeColor="text1"/>
        </w:rPr>
      </w:pPr>
      <w:r w:rsidRPr="00D40D2C">
        <w:rPr>
          <w:rFonts w:ascii="Palatino Linotype" w:eastAsia="Palatino Linotype" w:hAnsi="Palatino Linotype" w:cs="Palatino Linotype"/>
          <w:color w:val="000000" w:themeColor="text1"/>
        </w:rPr>
        <w:t xml:space="preserve">Por tanto es procedente ordenar los oficios que hayan sido signados por el servidor público de referencia </w:t>
      </w:r>
      <w:r w:rsidRPr="00D40D2C">
        <w:rPr>
          <w:rFonts w:ascii="Palatino Linotype" w:hAnsi="Palatino Linotype"/>
          <w:color w:val="000000" w:themeColor="text1"/>
        </w:rPr>
        <w:t xml:space="preserve">no pasando desapercibido que existe la posibilidad que no se entreguen oficios con número oficial consecutivo, en razón de que no todos son signados de manera consecutiva por el mismo servidor público; o bien por haber sido cancelados, que corresponde a una acción administrativamente válida y común que puede realizar las áreas generadoras; en el caso concreto la </w:t>
      </w:r>
      <w:r w:rsidR="00CC4F68" w:rsidRPr="00D40D2C">
        <w:rPr>
          <w:rFonts w:ascii="Palatino Linotype" w:hAnsi="Palatino Linotype" w:cs="Arial"/>
          <w:color w:val="000000" w:themeColor="text1"/>
          <w:lang w:val="es-ES"/>
        </w:rPr>
        <w:t>Subdirección de Desarrollo Urbano</w:t>
      </w:r>
      <w:r w:rsidRPr="00D40D2C">
        <w:rPr>
          <w:rFonts w:ascii="Palatino Linotype" w:hAnsi="Palatino Linotype"/>
          <w:color w:val="000000" w:themeColor="text1"/>
        </w:rPr>
        <w:t xml:space="preserve">. </w:t>
      </w:r>
    </w:p>
    <w:p w:rsidR="00844968" w:rsidRPr="00D40D2C" w:rsidRDefault="00844968" w:rsidP="00D40D2C">
      <w:pPr>
        <w:pStyle w:val="Prrafodelista"/>
        <w:spacing w:line="360" w:lineRule="auto"/>
        <w:ind w:left="0" w:right="49"/>
        <w:rPr>
          <w:rFonts w:ascii="Palatino Linotype" w:hAnsi="Palatino Linotype"/>
          <w:color w:val="000000" w:themeColor="text1"/>
        </w:rPr>
      </w:pPr>
    </w:p>
    <w:p w:rsidR="00844968" w:rsidRDefault="00844968" w:rsidP="00D40D2C">
      <w:pPr>
        <w:numPr>
          <w:ilvl w:val="0"/>
          <w:numId w:val="1"/>
        </w:numP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rPr>
        <w:t xml:space="preserve">Dicho ejercicio no se trata de acciones negligentes, sino de un mecanismo necesario para mantener la </w:t>
      </w:r>
      <w:r w:rsidRPr="00D40D2C">
        <w:rPr>
          <w:rFonts w:ascii="Palatino Linotype" w:eastAsia="Palatino Linotype" w:hAnsi="Palatino Linotype" w:cs="Palatino Linotype"/>
          <w:color w:val="000000" w:themeColor="text1"/>
        </w:rPr>
        <w:t>precisión</w:t>
      </w:r>
      <w:r w:rsidRPr="00D40D2C">
        <w:rPr>
          <w:rFonts w:ascii="Palatino Linotype" w:hAnsi="Palatino Linotype"/>
          <w:color w:val="000000" w:themeColor="text1"/>
        </w:rPr>
        <w:t>, legalidad y eficiencia en la gestión documental de cualquier ente público y, que generalmente obedece a errores tipográficos, de fondo, jurídicos, administrativos, etcétera.</w:t>
      </w:r>
    </w:p>
    <w:p w:rsidR="00D135BD" w:rsidRPr="00D40D2C" w:rsidRDefault="00D135BD" w:rsidP="00D135BD">
      <w:pPr>
        <w:spacing w:line="360" w:lineRule="auto"/>
        <w:ind w:right="49"/>
        <w:jc w:val="both"/>
        <w:rPr>
          <w:rFonts w:ascii="Palatino Linotype" w:hAnsi="Palatino Linotype"/>
          <w:color w:val="000000" w:themeColor="text1"/>
        </w:rPr>
      </w:pPr>
    </w:p>
    <w:p w:rsidR="00844968" w:rsidRPr="00D40D2C" w:rsidRDefault="00844968" w:rsidP="00D40D2C">
      <w:pPr>
        <w:numPr>
          <w:ilvl w:val="0"/>
          <w:numId w:val="1"/>
        </w:numPr>
        <w:spacing w:line="360" w:lineRule="auto"/>
        <w:ind w:left="0" w:right="49" w:firstLine="0"/>
        <w:jc w:val="both"/>
        <w:rPr>
          <w:rFonts w:ascii="Palatino Linotype" w:hAnsi="Palatino Linotype"/>
          <w:color w:val="000000" w:themeColor="text1"/>
        </w:rPr>
      </w:pPr>
      <w:r w:rsidRPr="00D40D2C">
        <w:rPr>
          <w:rFonts w:ascii="Palatino Linotype" w:hAnsi="Palatino Linotype"/>
          <w:color w:val="000000" w:themeColor="text1"/>
        </w:rPr>
        <w:t xml:space="preserve">Luego entonces, al existir la posibilidad de que haya una ausencia de oficios en razón de </w:t>
      </w:r>
      <w:r w:rsidRPr="00D40D2C">
        <w:rPr>
          <w:rFonts w:ascii="Palatino Linotype" w:hAnsi="Palatino Linotype"/>
          <w:color w:val="000000" w:themeColor="text1"/>
          <w:u w:val="single"/>
        </w:rPr>
        <w:t>haber sido cancelados y no notificados a sus destinatario</w:t>
      </w:r>
      <w:r w:rsidRPr="00D40D2C">
        <w:rPr>
          <w:rFonts w:ascii="Palatino Linotype" w:hAnsi="Palatino Linotype"/>
          <w:color w:val="000000" w:themeColor="text1"/>
        </w:rPr>
        <w:t xml:space="preserve">s, por determinado error o corrección a efecto evitar malentendidos, problemas legales o administrativos, es que se estima dable contemplar una salvedad para el caso de que luego de la búsqueda exhaustiva </w:t>
      </w:r>
      <w:r w:rsidRPr="00D40D2C">
        <w:rPr>
          <w:rFonts w:ascii="Palatino Linotype" w:hAnsi="Palatino Linotype"/>
          <w:color w:val="000000" w:themeColor="text1"/>
        </w:rPr>
        <w:lastRenderedPageBreak/>
        <w:t xml:space="preserve">y razonable, sean los oficios entregados en calidad de respuesta la totalidad con los que cuenta en sus archivos, en razón de que uno o algunos hayan sido objeto de cancelación, páralo cual bastará que así lo haga del conocimiento del </w:t>
      </w:r>
      <w:r w:rsidRPr="00D40D2C">
        <w:rPr>
          <w:rFonts w:ascii="Palatino Linotype" w:hAnsi="Palatino Linotype"/>
          <w:b/>
          <w:color w:val="000000" w:themeColor="text1"/>
        </w:rPr>
        <w:t>RECURRENTE</w:t>
      </w:r>
      <w:r w:rsidRPr="00D40D2C">
        <w:rPr>
          <w:rFonts w:ascii="Palatino Linotype" w:hAnsi="Palatino Linotype"/>
          <w:color w:val="000000" w:themeColor="text1"/>
        </w:rPr>
        <w:t xml:space="preserve"> al momento de dar cumplimiento a la presente Resolución en términos del artículo 19 párrafo segundo de la Ley de Transparencia, Acceso a la Información Pública del Estado de México y Municipios.</w:t>
      </w:r>
    </w:p>
    <w:p w:rsidR="00844968" w:rsidRPr="00D40D2C" w:rsidRDefault="00844968" w:rsidP="00D40D2C">
      <w:pPr>
        <w:pStyle w:val="Prrafodelista"/>
        <w:spacing w:line="360" w:lineRule="auto"/>
        <w:ind w:left="0" w:right="49"/>
        <w:rPr>
          <w:rFonts w:ascii="Palatino Linotype" w:hAnsi="Palatino Linotype"/>
          <w:color w:val="000000" w:themeColor="text1"/>
        </w:rPr>
      </w:pPr>
    </w:p>
    <w:p w:rsidR="00844968" w:rsidRPr="00D40D2C" w:rsidRDefault="00844968" w:rsidP="00D40D2C">
      <w:pPr>
        <w:numPr>
          <w:ilvl w:val="0"/>
          <w:numId w:val="1"/>
        </w:numPr>
        <w:spacing w:line="360" w:lineRule="auto"/>
        <w:ind w:left="0" w:right="49" w:firstLine="0"/>
        <w:jc w:val="both"/>
        <w:rPr>
          <w:rFonts w:ascii="Palatino Linotype" w:hAnsi="Palatino Linotype" w:cs="Arial"/>
          <w:color w:val="000000" w:themeColor="text1"/>
        </w:rPr>
      </w:pPr>
      <w:r w:rsidRPr="00D40D2C">
        <w:rPr>
          <w:rFonts w:ascii="Palatino Linotype" w:eastAsia="Palatino Linotype" w:hAnsi="Palatino Linotype" w:cs="Palatino Linotype"/>
          <w:color w:val="000000" w:themeColor="text1"/>
        </w:rPr>
        <w:t>Asimism</w:t>
      </w:r>
      <w:r w:rsidRPr="00D40D2C">
        <w:rPr>
          <w:rFonts w:ascii="Palatino Linotype" w:hAnsi="Palatino Linotype"/>
          <w:color w:val="000000" w:themeColor="text1"/>
        </w:rPr>
        <w:t>o</w:t>
      </w:r>
      <w:r w:rsidRPr="00D40D2C">
        <w:rPr>
          <w:rFonts w:ascii="Palatino Linotype" w:eastAsia="Palatino Linotype" w:hAnsi="Palatino Linotype" w:cs="Palatino Linotype"/>
          <w:color w:val="000000" w:themeColor="text1"/>
        </w:rPr>
        <w:t xml:space="preserve">, no pasa desapercibido que </w:t>
      </w:r>
      <w:r w:rsidR="00CC4F68" w:rsidRPr="00D40D2C">
        <w:rPr>
          <w:rFonts w:ascii="Palatino Linotype" w:eastAsia="Palatino Linotype" w:hAnsi="Palatino Linotype" w:cs="Palatino Linotype"/>
          <w:color w:val="000000" w:themeColor="text1"/>
        </w:rPr>
        <w:t xml:space="preserve">los oficios eventualmente pudieran tener </w:t>
      </w:r>
      <w:r w:rsidRPr="00D40D2C">
        <w:rPr>
          <w:rFonts w:ascii="Palatino Linotype" w:eastAsia="Palatino Linotype" w:hAnsi="Palatino Linotype" w:cs="Palatino Linotype"/>
          <w:color w:val="000000" w:themeColor="text1"/>
        </w:rPr>
        <w:t xml:space="preserve">anexos. Al respecto es de señalar que resulta procedente su entrega </w:t>
      </w:r>
      <w:r w:rsidR="00CC4F68" w:rsidRPr="00D40D2C">
        <w:rPr>
          <w:rFonts w:ascii="Palatino Linotype" w:eastAsia="Palatino Linotype" w:hAnsi="Palatino Linotype" w:cs="Palatino Linotype"/>
          <w:color w:val="000000" w:themeColor="text1"/>
        </w:rPr>
        <w:t xml:space="preserve">aun y cuando no lo haya </w:t>
      </w:r>
      <w:r w:rsidRPr="00D40D2C">
        <w:rPr>
          <w:rFonts w:ascii="Palatino Linotype" w:eastAsia="Palatino Linotype" w:hAnsi="Palatino Linotype" w:cs="Palatino Linotype"/>
          <w:color w:val="000000" w:themeColor="text1"/>
        </w:rPr>
        <w:t xml:space="preserve">manifestado de manera expresa el ahora </w:t>
      </w:r>
      <w:r w:rsidRPr="00D40D2C">
        <w:rPr>
          <w:rFonts w:ascii="Palatino Linotype" w:eastAsia="Palatino Linotype" w:hAnsi="Palatino Linotype" w:cs="Palatino Linotype"/>
          <w:b/>
          <w:color w:val="000000" w:themeColor="text1"/>
        </w:rPr>
        <w:t>RECURRENTE</w:t>
      </w:r>
      <w:r w:rsidRPr="00D40D2C">
        <w:rPr>
          <w:rFonts w:ascii="Palatino Linotype" w:eastAsia="Palatino Linotype" w:hAnsi="Palatino Linotype" w:cs="Palatino Linotype"/>
          <w:color w:val="000000" w:themeColor="text1"/>
        </w:rPr>
        <w:t xml:space="preserve"> conforme a lo dispuesto por el entonces</w:t>
      </w:r>
      <w:r w:rsidRPr="00D40D2C">
        <w:rPr>
          <w:rFonts w:ascii="Palatino Linotype" w:hAnsi="Palatino Linotype" w:cs="Arial"/>
          <w:color w:val="000000" w:themeColor="text1"/>
        </w:rPr>
        <w:t xml:space="preserve"> Instituto Nacional de Transparencia, Acceso a la Información Pública y Protección de Datos (INAI) quien determinó que los anexos se consideran parte del documento y deben ser entregados. Sirve de apoyo a lo anterior los Criterio 20-10 y 17/17 que son del tenor literal siguiente:</w:t>
      </w:r>
    </w:p>
    <w:p w:rsidR="00844968" w:rsidRPr="00D40D2C" w:rsidRDefault="00844968" w:rsidP="00D40D2C">
      <w:pPr>
        <w:spacing w:line="360" w:lineRule="auto"/>
        <w:ind w:right="49"/>
        <w:jc w:val="both"/>
        <w:rPr>
          <w:rFonts w:ascii="Palatino Linotype" w:hAnsi="Palatino Linotype" w:cs="Arial"/>
          <w:b/>
          <w:i/>
          <w:color w:val="000000" w:themeColor="text1"/>
        </w:rPr>
      </w:pPr>
      <w:r w:rsidRPr="00D40D2C">
        <w:rPr>
          <w:rFonts w:ascii="Palatino Linotype" w:hAnsi="Palatino Linotype" w:cs="Arial"/>
          <w:b/>
          <w:i/>
          <w:color w:val="000000" w:themeColor="text1"/>
        </w:rPr>
        <w:t>“Criterio 20/10</w:t>
      </w:r>
    </w:p>
    <w:p w:rsidR="00844968" w:rsidRPr="00D40D2C" w:rsidRDefault="00844968" w:rsidP="00D40D2C">
      <w:pPr>
        <w:spacing w:line="360" w:lineRule="auto"/>
        <w:ind w:right="49"/>
        <w:jc w:val="both"/>
        <w:rPr>
          <w:rFonts w:ascii="Palatino Linotype" w:hAnsi="Palatino Linotype" w:cs="Arial"/>
          <w:i/>
          <w:color w:val="000000" w:themeColor="text1"/>
        </w:rPr>
      </w:pPr>
      <w:r w:rsidRPr="00D40D2C">
        <w:rPr>
          <w:rFonts w:ascii="Palatino Linotype" w:hAnsi="Palatino Linotype" w:cs="Arial"/>
          <w:b/>
          <w:i/>
          <w:color w:val="000000" w:themeColor="text1"/>
        </w:rPr>
        <w:t>Los anexos son parte integral del documento principal.</w:t>
      </w:r>
      <w:r w:rsidRPr="00D40D2C">
        <w:rPr>
          <w:rFonts w:ascii="Palatino Linotype" w:hAnsi="Palatino Linotype" w:cs="Arial"/>
          <w:i/>
          <w:color w:val="000000" w:themeColor="text1"/>
        </w:rPr>
        <w:t xml:space="preserve"> Cuando un documento gubernamental contiene anexos éstos </w:t>
      </w:r>
      <w:r w:rsidRPr="00D40D2C">
        <w:rPr>
          <w:rFonts w:ascii="Palatino Linotype" w:hAnsi="Palatino Linotype" w:cs="Arial"/>
          <w:b/>
          <w:i/>
          <w:color w:val="000000" w:themeColor="text1"/>
        </w:rPr>
        <w:t>se consideran parte del documento</w:t>
      </w:r>
      <w:r w:rsidRPr="00D40D2C">
        <w:rPr>
          <w:rFonts w:ascii="Palatino Linotype" w:hAnsi="Palatino Linotype" w:cs="Arial"/>
          <w:i/>
          <w:color w:val="000000" w:themeColor="text1"/>
        </w:rPr>
        <w:t xml:space="preserve">, ya que a  partir  de  él  se  explican  o  detallan  diversas  cuestiones  relacionadas  con  la materia del mismo. En esta tesitura, </w:t>
      </w:r>
      <w:r w:rsidRPr="00D40D2C">
        <w:rPr>
          <w:rFonts w:ascii="Palatino Linotype" w:hAnsi="Palatino Linotype" w:cs="Arial"/>
          <w:b/>
          <w:i/>
          <w:color w:val="000000" w:themeColor="text1"/>
        </w:rPr>
        <w:t>ante solicitudes de información relacionadas con documentos que incluyen anexos</w:t>
      </w:r>
      <w:r w:rsidRPr="00D40D2C">
        <w:rPr>
          <w:rFonts w:ascii="Palatino Linotype" w:hAnsi="Palatino Linotype" w:cs="Arial"/>
          <w:i/>
          <w:color w:val="000000" w:themeColor="text1"/>
        </w:rPr>
        <w:t xml:space="preserve">, particularmente en aquellas que no aludan expresamente a estos últimos, las dependencias y entidades deberán considerar que las mismas refieren a los documentos requeridos, así como a los anexos correspondientes, </w:t>
      </w:r>
      <w:r w:rsidRPr="00D40D2C">
        <w:rPr>
          <w:rFonts w:ascii="Palatino Linotype" w:hAnsi="Palatino Linotype" w:cs="Arial"/>
          <w:b/>
          <w:i/>
          <w:color w:val="000000" w:themeColor="text1"/>
        </w:rPr>
        <w:t>salvo que el solicitante manifieste su deseo de acceder únicamente al documento principal</w:t>
      </w:r>
      <w:r w:rsidRPr="00D40D2C">
        <w:rPr>
          <w:rFonts w:ascii="Palatino Linotype" w:hAnsi="Palatino Linotype" w:cs="Arial"/>
          <w:i/>
          <w:color w:val="000000" w:themeColor="text1"/>
        </w:rPr>
        <w:t>.”</w:t>
      </w:r>
    </w:p>
    <w:p w:rsidR="00844968" w:rsidRPr="00D40D2C" w:rsidRDefault="00844968" w:rsidP="00D40D2C">
      <w:pPr>
        <w:spacing w:line="360" w:lineRule="auto"/>
        <w:ind w:right="49"/>
        <w:jc w:val="both"/>
        <w:rPr>
          <w:rFonts w:ascii="Palatino Linotype" w:hAnsi="Palatino Linotype" w:cs="Arial"/>
          <w:i/>
          <w:color w:val="000000" w:themeColor="text1"/>
        </w:rPr>
      </w:pPr>
    </w:p>
    <w:p w:rsidR="00844968" w:rsidRPr="00D40D2C" w:rsidRDefault="00844968" w:rsidP="00D40D2C">
      <w:pPr>
        <w:spacing w:line="360" w:lineRule="auto"/>
        <w:ind w:right="49"/>
        <w:jc w:val="both"/>
        <w:rPr>
          <w:rFonts w:ascii="Palatino Linotype" w:hAnsi="Palatino Linotype" w:cs="Arial"/>
          <w:bCs/>
          <w:i/>
          <w:color w:val="000000" w:themeColor="text1"/>
        </w:rPr>
      </w:pPr>
      <w:r w:rsidRPr="00D40D2C">
        <w:rPr>
          <w:rFonts w:ascii="Palatino Linotype" w:hAnsi="Palatino Linotype" w:cs="Arial"/>
          <w:b/>
          <w:bCs/>
          <w:i/>
          <w:color w:val="000000" w:themeColor="text1"/>
        </w:rPr>
        <w:lastRenderedPageBreak/>
        <w:t xml:space="preserve">“Anexos de los documentos solicitados. </w:t>
      </w:r>
      <w:r w:rsidRPr="00D40D2C">
        <w:rPr>
          <w:rFonts w:ascii="Palatino Linotype" w:hAnsi="Palatino Linotype" w:cs="Arial"/>
          <w:bCs/>
          <w:i/>
          <w:color w:val="000000" w:themeColor="text1"/>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CC4F68" w:rsidRPr="00D40D2C" w:rsidRDefault="00CC4F68" w:rsidP="00D40D2C">
      <w:pPr>
        <w:spacing w:line="360" w:lineRule="auto"/>
        <w:ind w:right="49"/>
        <w:jc w:val="both"/>
        <w:rPr>
          <w:rFonts w:ascii="Palatino Linotype" w:hAnsi="Palatino Linotype" w:cs="Arial"/>
          <w:bCs/>
          <w:i/>
          <w:color w:val="000000" w:themeColor="text1"/>
        </w:rPr>
      </w:pPr>
    </w:p>
    <w:p w:rsidR="00CC4F68" w:rsidRPr="00D40D2C" w:rsidRDefault="00CC4F68" w:rsidP="00D40D2C">
      <w:pPr>
        <w:numPr>
          <w:ilvl w:val="0"/>
          <w:numId w:val="1"/>
        </w:numPr>
        <w:spacing w:line="360" w:lineRule="auto"/>
        <w:ind w:left="0" w:right="49" w:firstLine="0"/>
        <w:jc w:val="both"/>
        <w:rPr>
          <w:rFonts w:ascii="Palatino Linotype" w:hAnsi="Palatino Linotype"/>
          <w:color w:val="000000" w:themeColor="text1"/>
        </w:rPr>
      </w:pPr>
      <w:bookmarkStart w:id="32" w:name="_Toc466371865"/>
      <w:bookmarkStart w:id="33" w:name="_Toc466377653"/>
      <w:bookmarkStart w:id="34" w:name="_Toc495427547"/>
      <w:bookmarkStart w:id="35"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D40D2C">
        <w:rPr>
          <w:rFonts w:ascii="Palatino Linotype" w:hAnsi="Palatino Linotype"/>
          <w:color w:val="000000" w:themeColor="text1"/>
        </w:rPr>
        <w:t xml:space="preserve">Con la </w:t>
      </w:r>
      <w:r w:rsidRPr="00D40D2C">
        <w:rPr>
          <w:rFonts w:ascii="Palatino Linotype" w:eastAsia="Palatino Linotype" w:hAnsi="Palatino Linotype" w:cs="Palatino Linotype"/>
          <w:color w:val="000000" w:themeColor="text1"/>
        </w:rPr>
        <w:t>determinación</w:t>
      </w:r>
      <w:r w:rsidRPr="00D40D2C">
        <w:rPr>
          <w:rFonts w:ascii="Palatino Linotype" w:hAnsi="Palatino Linotype"/>
          <w:color w:val="000000" w:themeColor="text1"/>
        </w:rPr>
        <w:t xml:space="preserve"> anterior, se tendrá por colmado el derecho de acceso a la información del ahora </w:t>
      </w:r>
      <w:r w:rsidRPr="00D40D2C">
        <w:rPr>
          <w:rFonts w:ascii="Palatino Linotype" w:hAnsi="Palatino Linotype"/>
          <w:b/>
          <w:color w:val="000000" w:themeColor="text1"/>
        </w:rPr>
        <w:t>RECURRENTE</w:t>
      </w:r>
      <w:r w:rsidRPr="00D40D2C">
        <w:rPr>
          <w:rFonts w:ascii="Palatino Linotype" w:hAnsi="Palatino Linotype"/>
          <w:color w:val="000000" w:themeColor="text1"/>
        </w:rPr>
        <w:t xml:space="preserve">; toda vez </w:t>
      </w:r>
      <w:r w:rsidRPr="00D40D2C">
        <w:rPr>
          <w:rFonts w:ascii="Palatino Linotype" w:eastAsia="Times New Roman" w:hAnsi="Palatino Linotype" w:cs="Arial"/>
          <w:color w:val="000000" w:themeColor="text1"/>
        </w:rPr>
        <w:t xml:space="preserve">que </w:t>
      </w:r>
      <w:r w:rsidRPr="00D40D2C">
        <w:rPr>
          <w:rFonts w:ascii="Palatino Linotype" w:hAnsi="Palatino Linotype"/>
          <w:color w:val="000000" w:themeColor="text1"/>
        </w:rPr>
        <w:t xml:space="preserve">el Derecho que tutela este Órgano Garante </w:t>
      </w:r>
      <w:r w:rsidRPr="00D40D2C">
        <w:rPr>
          <w:rFonts w:ascii="Palatino Linotype" w:hAnsi="Palatino Linotype" w:cs="Arial"/>
          <w:color w:val="000000" w:themeColor="text1"/>
        </w:rPr>
        <w:t>corresponde</w:t>
      </w:r>
      <w:r w:rsidRPr="00D40D2C">
        <w:rPr>
          <w:rFonts w:ascii="Palatino Linotype" w:hAnsi="Palatino Linotype"/>
          <w:color w:val="000000" w:themeColor="text1"/>
        </w:rPr>
        <w:t xml:space="preserve"> a la </w:t>
      </w:r>
      <w:r w:rsidRPr="00D40D2C">
        <w:rPr>
          <w:rFonts w:ascii="Palatino Linotype" w:eastAsia="Times New Roman" w:hAnsi="Palatino Linotype" w:cs="Arial"/>
          <w:color w:val="000000" w:themeColor="text1"/>
        </w:rPr>
        <w:t xml:space="preserve"> </w:t>
      </w:r>
      <w:r w:rsidRPr="00D40D2C">
        <w:rPr>
          <w:rFonts w:ascii="Palatino Linotype" w:eastAsia="MS Mincho" w:hAnsi="Palatino Linotype" w:cs="Times New Roman"/>
          <w:i/>
          <w:color w:val="000000" w:themeColor="text1"/>
        </w:rPr>
        <w:t>igualdad de oportunidades para recibir, buscar e impartir información</w:t>
      </w:r>
      <w:r w:rsidRPr="00D40D2C">
        <w:rPr>
          <w:rStyle w:val="Refdenotaalpie"/>
          <w:rFonts w:ascii="Palatino Linotype" w:eastAsia="MS Mincho" w:hAnsi="Palatino Linotype"/>
          <w:i/>
          <w:color w:val="000000" w:themeColor="text1"/>
        </w:rPr>
        <w:footnoteReference w:id="2"/>
      </w:r>
      <w:r w:rsidRPr="00D40D2C">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40D2C">
        <w:rPr>
          <w:rStyle w:val="Refdenotaalpie"/>
          <w:rFonts w:ascii="Palatino Linotype" w:eastAsia="MS Mincho" w:hAnsi="Palatino Linotype"/>
          <w:color w:val="000000" w:themeColor="text1"/>
        </w:rPr>
        <w:footnoteReference w:id="3"/>
      </w:r>
      <w:r w:rsidRPr="00D40D2C">
        <w:rPr>
          <w:rFonts w:ascii="Palatino Linotype" w:eastAsia="MS Mincho" w:hAnsi="Palatino Linotype" w:cs="Times New Roman"/>
          <w:i/>
          <w:color w:val="000000" w:themeColor="text1"/>
        </w:rPr>
        <w:t xml:space="preserve"> </w:t>
      </w:r>
      <w:r w:rsidRPr="00D40D2C">
        <w:rPr>
          <w:rFonts w:ascii="Palatino Linotype" w:eastAsia="MS Mincho" w:hAnsi="Palatino Linotype" w:cs="Times New Roman"/>
          <w:color w:val="000000" w:themeColor="text1"/>
        </w:rPr>
        <w:t xml:space="preserve">que se constituye como una herramienta fundamental para </w:t>
      </w:r>
      <w:r w:rsidRPr="00D40D2C">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Pr="00D40D2C">
        <w:rPr>
          <w:rStyle w:val="Refdenotaalpie"/>
          <w:rFonts w:ascii="Palatino Linotype" w:eastAsia="MS Mincho" w:hAnsi="Palatino Linotype"/>
          <w:i/>
          <w:color w:val="000000" w:themeColor="text1"/>
        </w:rPr>
        <w:footnoteReference w:id="4"/>
      </w:r>
      <w:r w:rsidRPr="00D40D2C">
        <w:rPr>
          <w:rFonts w:ascii="Palatino Linotype" w:eastAsia="MS Mincho" w:hAnsi="Palatino Linotype" w:cs="Times New Roman"/>
          <w:color w:val="000000" w:themeColor="text1"/>
        </w:rPr>
        <w:t>fomentando</w:t>
      </w:r>
      <w:r w:rsidRPr="00D40D2C">
        <w:rPr>
          <w:rFonts w:ascii="Palatino Linotype" w:eastAsia="MS Mincho" w:hAnsi="Palatino Linotype" w:cs="Times New Roman"/>
          <w:i/>
          <w:color w:val="000000" w:themeColor="text1"/>
        </w:rPr>
        <w:t xml:space="preserve"> la transparencia de las actividades estatales y</w:t>
      </w:r>
      <w:r w:rsidRPr="00D40D2C">
        <w:rPr>
          <w:rFonts w:ascii="Palatino Linotype" w:eastAsia="MS Mincho" w:hAnsi="Palatino Linotype" w:cs="Times New Roman"/>
          <w:color w:val="000000" w:themeColor="text1"/>
        </w:rPr>
        <w:t xml:space="preserve"> promoviendo</w:t>
      </w:r>
      <w:r w:rsidRPr="00D40D2C">
        <w:rPr>
          <w:rFonts w:ascii="Palatino Linotype" w:eastAsia="MS Mincho" w:hAnsi="Palatino Linotype" w:cs="Times New Roman"/>
          <w:i/>
          <w:color w:val="000000" w:themeColor="text1"/>
        </w:rPr>
        <w:t xml:space="preserve"> la responsabilidad de los funcionarios sobre su gestión pública</w:t>
      </w:r>
      <w:r w:rsidRPr="00D40D2C">
        <w:rPr>
          <w:rStyle w:val="Refdenotaalpie"/>
          <w:rFonts w:ascii="Palatino Linotype" w:eastAsia="MS Mincho" w:hAnsi="Palatino Linotype"/>
          <w:i/>
          <w:color w:val="000000" w:themeColor="text1"/>
        </w:rPr>
        <w:footnoteReference w:id="5"/>
      </w:r>
      <w:r w:rsidRPr="00D40D2C">
        <w:rPr>
          <w:rFonts w:ascii="Palatino Linotype" w:eastAsia="MS Mincho" w:hAnsi="Palatino Linotype" w:cs="Times New Roman"/>
          <w:i/>
          <w:color w:val="000000" w:themeColor="text1"/>
        </w:rPr>
        <w:t xml:space="preserve"> </w:t>
      </w:r>
      <w:r w:rsidRPr="00D40D2C">
        <w:rPr>
          <w:rFonts w:ascii="Palatino Linotype" w:eastAsia="MS Mincho" w:hAnsi="Palatino Linotype" w:cs="Times New Roman"/>
          <w:color w:val="000000" w:themeColor="text1"/>
        </w:rPr>
        <w:t>que permite</w:t>
      </w:r>
      <w:r w:rsidRPr="00D40D2C">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Pr="00D40D2C">
        <w:rPr>
          <w:rStyle w:val="Refdenotaalpie"/>
          <w:rFonts w:ascii="Palatino Linotype" w:eastAsia="MS Mincho" w:hAnsi="Palatino Linotype"/>
          <w:i/>
          <w:color w:val="000000" w:themeColor="text1"/>
        </w:rPr>
        <w:footnoteReference w:id="6"/>
      </w:r>
      <w:r w:rsidRPr="00D40D2C">
        <w:rPr>
          <w:rFonts w:ascii="Palatino Linotype" w:eastAsia="MS Mincho" w:hAnsi="Palatino Linotype" w:cs="Times New Roman"/>
          <w:color w:val="000000" w:themeColor="text1"/>
        </w:rPr>
        <w:t xml:space="preserve"> ” </w:t>
      </w:r>
    </w:p>
    <w:p w:rsidR="00CC4F68" w:rsidRPr="00D40D2C" w:rsidRDefault="00CC4F68" w:rsidP="00D40D2C">
      <w:pPr>
        <w:numPr>
          <w:ilvl w:val="0"/>
          <w:numId w:val="1"/>
        </w:numPr>
        <w:spacing w:line="360" w:lineRule="auto"/>
        <w:ind w:left="0" w:right="49" w:firstLine="0"/>
        <w:jc w:val="both"/>
        <w:rPr>
          <w:rFonts w:ascii="Palatino Linotype" w:hAnsi="Palatino Linotype"/>
          <w:color w:val="000000" w:themeColor="text1"/>
          <w:lang w:val="es-ES"/>
        </w:rPr>
      </w:pPr>
      <w:r w:rsidRPr="00D40D2C">
        <w:rPr>
          <w:rFonts w:ascii="Palatino Linotype" w:hAnsi="Palatino Linotype"/>
          <w:color w:val="000000" w:themeColor="text1"/>
          <w:lang w:val="es-ES"/>
        </w:rPr>
        <w:lastRenderedPageBreak/>
        <w:t xml:space="preserve">Es así </w:t>
      </w:r>
      <w:r w:rsidRPr="00D40D2C">
        <w:rPr>
          <w:rFonts w:ascii="Palatino Linotype" w:hAnsi="Palatino Linotype"/>
          <w:color w:val="000000" w:themeColor="text1"/>
        </w:rPr>
        <w:t>que</w:t>
      </w:r>
      <w:r w:rsidRPr="00D40D2C">
        <w:rPr>
          <w:rFonts w:ascii="Palatino Linotype" w:hAnsi="Palatino Linotype"/>
          <w:color w:val="000000" w:themeColor="text1"/>
          <w:lang w:val="es-ES"/>
        </w:rPr>
        <w:t xml:space="preserve">, todos los actos de autoridad que realicen los Sujetos Obligados </w:t>
      </w:r>
      <w:r w:rsidRPr="00D40D2C">
        <w:rPr>
          <w:rFonts w:ascii="Palatino Linotype" w:hAnsi="Palatino Linotype"/>
          <w:b/>
          <w:color w:val="000000" w:themeColor="text1"/>
          <w:lang w:val="es-ES"/>
        </w:rPr>
        <w:t>deben estar documentados</w:t>
      </w:r>
      <w:r w:rsidRPr="00D40D2C">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rsidR="00CC4F68" w:rsidRPr="00D40D2C" w:rsidRDefault="00CC4F68" w:rsidP="00D40D2C">
      <w:pPr>
        <w:pStyle w:val="Prrafodelista"/>
        <w:spacing w:line="360" w:lineRule="auto"/>
        <w:ind w:left="0" w:right="49"/>
        <w:jc w:val="both"/>
        <w:rPr>
          <w:rFonts w:ascii="Palatino Linotype" w:hAnsi="Palatino Linotype"/>
          <w:color w:val="000000" w:themeColor="text1"/>
          <w:lang w:val="es-ES"/>
        </w:rPr>
      </w:pPr>
    </w:p>
    <w:p w:rsidR="00CC4F68" w:rsidRPr="00D40D2C" w:rsidRDefault="00CC4F68" w:rsidP="00D40D2C">
      <w:pPr>
        <w:numPr>
          <w:ilvl w:val="0"/>
          <w:numId w:val="1"/>
        </w:numPr>
        <w:spacing w:line="360" w:lineRule="auto"/>
        <w:ind w:left="0" w:right="49" w:firstLine="0"/>
        <w:jc w:val="both"/>
        <w:rPr>
          <w:rFonts w:ascii="Palatino Linotype" w:hAnsi="Palatino Linotype"/>
          <w:color w:val="000000" w:themeColor="text1"/>
          <w:lang w:val="es-ES"/>
        </w:rPr>
      </w:pPr>
      <w:r w:rsidRPr="00D40D2C">
        <w:rPr>
          <w:rFonts w:ascii="Palatino Linotype" w:eastAsia="Times New Roman" w:hAnsi="Palatino Linotype" w:cs="Arial"/>
          <w:color w:val="000000" w:themeColor="text1"/>
        </w:rPr>
        <w:t xml:space="preserve">Además, </w:t>
      </w:r>
      <w:r w:rsidRPr="00D40D2C">
        <w:rPr>
          <w:rFonts w:ascii="Palatino Linotype" w:hAnsi="Palatino Linotype"/>
          <w:color w:val="000000" w:themeColor="text1"/>
          <w:lang w:val="es-ES"/>
        </w:rPr>
        <w:t>debemos</w:t>
      </w:r>
      <w:r w:rsidRPr="00D40D2C">
        <w:rPr>
          <w:rFonts w:ascii="Palatino Linotype" w:eastAsia="Times New Roman" w:hAnsi="Palatino Linotype" w:cs="Arial"/>
          <w:color w:val="000000" w:themeColor="text1"/>
        </w:rPr>
        <w:t xml:space="preserve"> tomar en cuenta los artículos 4 y 12 (antes transcrito</w:t>
      </w:r>
      <w:r w:rsidR="00FC2AD8" w:rsidRPr="00D40D2C">
        <w:rPr>
          <w:rFonts w:ascii="Palatino Linotype" w:eastAsia="Times New Roman" w:hAnsi="Palatino Linotype" w:cs="Arial"/>
          <w:color w:val="000000" w:themeColor="text1"/>
        </w:rPr>
        <w:t>s</w:t>
      </w:r>
      <w:r w:rsidRPr="00D40D2C">
        <w:rPr>
          <w:rFonts w:ascii="Palatino Linotype" w:eastAsia="Times New Roman" w:hAnsi="Palatino Linotype" w:cs="Arial"/>
          <w:color w:val="000000" w:themeColor="text1"/>
        </w:rPr>
        <w:t xml:space="preserve">), de la Ley de Transparencia y Acceso a la Información Pública del Estado de México y </w:t>
      </w:r>
      <w:r w:rsidRPr="00D40D2C">
        <w:rPr>
          <w:rFonts w:ascii="Palatino Linotype" w:hAnsi="Palatino Linotype"/>
          <w:color w:val="000000" w:themeColor="text1"/>
          <w:lang w:val="es-ES"/>
        </w:rPr>
        <w:t>Municipios</w:t>
      </w:r>
      <w:r w:rsidR="00FC2AD8" w:rsidRPr="00D40D2C">
        <w:rPr>
          <w:rFonts w:ascii="Palatino Linotype" w:eastAsia="Times New Roman" w:hAnsi="Palatino Linotype" w:cs="Arial"/>
          <w:color w:val="000000" w:themeColor="text1"/>
        </w:rPr>
        <w:t xml:space="preserve">. </w:t>
      </w:r>
      <w:r w:rsidRPr="00D40D2C">
        <w:rPr>
          <w:rFonts w:ascii="Palatino Linotype" w:hAnsi="Palatino Linotype"/>
          <w:color w:val="000000" w:themeColor="text1"/>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w:t>
      </w:r>
      <w:r w:rsidRPr="00D40D2C">
        <w:rPr>
          <w:rFonts w:ascii="Palatino Linotype" w:eastAsia="Times New Roman" w:hAnsi="Palatino Linotype" w:cs="Arial"/>
          <w:color w:val="000000" w:themeColor="text1"/>
        </w:rPr>
        <w:t>información</w:t>
      </w:r>
      <w:r w:rsidRPr="00D40D2C">
        <w:rPr>
          <w:rFonts w:ascii="Palatino Linotype" w:hAnsi="Palatino Linotype"/>
          <w:color w:val="000000" w:themeColor="text1"/>
          <w:lang w:val="es-ES"/>
        </w:rPr>
        <w:t xml:space="preserve"> que se encuentre en su posesión en estricto apego a los principios de eficacia</w:t>
      </w:r>
      <w:r w:rsidRPr="00D40D2C">
        <w:rPr>
          <w:rStyle w:val="Refdenotaalpie"/>
          <w:rFonts w:ascii="Palatino Linotype" w:hAnsi="Palatino Linotype"/>
          <w:color w:val="000000" w:themeColor="text1"/>
          <w:lang w:val="es-ES"/>
        </w:rPr>
        <w:footnoteReference w:id="7"/>
      </w:r>
      <w:r w:rsidRPr="00D40D2C">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C4F68" w:rsidRPr="00D40D2C" w:rsidRDefault="00CC4F68" w:rsidP="00D40D2C">
      <w:pPr>
        <w:spacing w:line="360" w:lineRule="auto"/>
        <w:ind w:right="49"/>
        <w:contextualSpacing/>
        <w:jc w:val="both"/>
        <w:rPr>
          <w:rFonts w:ascii="Palatino Linotype" w:hAnsi="Palatino Linotype"/>
          <w:color w:val="000000" w:themeColor="text1"/>
          <w:lang w:val="es-ES"/>
        </w:rPr>
      </w:pPr>
    </w:p>
    <w:p w:rsidR="00CC4F68" w:rsidRPr="00D40D2C" w:rsidRDefault="00CC4F68" w:rsidP="00D40D2C">
      <w:pPr>
        <w:spacing w:line="360" w:lineRule="auto"/>
        <w:ind w:right="49"/>
        <w:jc w:val="both"/>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QUINTO. De la versión pública.</w:t>
      </w:r>
    </w:p>
    <w:p w:rsidR="00CC4F68" w:rsidRPr="00D40D2C" w:rsidRDefault="00CC4F68"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Finalmente, debe señalarse que lo ordenado </w:t>
      </w:r>
      <w:r w:rsidRPr="00D40D2C">
        <w:rPr>
          <w:rFonts w:ascii="Palatino Linotype" w:eastAsia="Palatino Linotype" w:hAnsi="Palatino Linotype" w:cs="Palatino Linotype"/>
          <w:color w:val="000000" w:themeColor="text1"/>
          <w:u w:val="single"/>
        </w:rPr>
        <w:t>eventualmente</w:t>
      </w:r>
      <w:r w:rsidRPr="00D40D2C">
        <w:rPr>
          <w:rFonts w:ascii="Palatino Linotype" w:eastAsia="Palatino Linotype" w:hAnsi="Palatino Linotype" w:cs="Palatino Linotype"/>
          <w:color w:val="000000" w:themeColor="text1"/>
        </w:rPr>
        <w:t xml:space="preserve"> pudiera contener datos </w:t>
      </w:r>
      <w:r w:rsidRPr="00D40D2C">
        <w:rPr>
          <w:rFonts w:ascii="Palatino Linotype" w:hAnsi="Palatino Linotype"/>
          <w:color w:val="000000" w:themeColor="text1"/>
          <w:lang w:val="es-ES"/>
        </w:rPr>
        <w:t>personales</w:t>
      </w:r>
      <w:r w:rsidRPr="00D40D2C">
        <w:rPr>
          <w:rFonts w:ascii="Palatino Linotype" w:eastAsia="Palatino Linotype" w:hAnsi="Palatino Linotype" w:cs="Palatino Linotype"/>
          <w:color w:val="000000" w:themeColor="text1"/>
        </w:rPr>
        <w:t xml:space="preserve">, por lo que de ser el caso, sujeto obligado, para dar cumplimiento a la presente Resolución, deberá proceder a la elaboración de la versión pública de tales documentos a </w:t>
      </w:r>
      <w:r w:rsidRPr="00D40D2C">
        <w:rPr>
          <w:rFonts w:ascii="Palatino Linotype" w:eastAsia="Palatino Linotype" w:hAnsi="Palatino Linotype" w:cs="Palatino Linotype"/>
          <w:color w:val="000000" w:themeColor="text1"/>
        </w:rPr>
        <w:lastRenderedPageBreak/>
        <w:t>fin de satisfacer el derecho de acceso a la información pública del recurrente sin menoscabo al derecho a la protección de los datos personales de terceros.</w:t>
      </w:r>
    </w:p>
    <w:p w:rsidR="00CC4F68" w:rsidRPr="00D40D2C" w:rsidRDefault="00CC4F68" w:rsidP="00D40D2C">
      <w:pPr>
        <w:spacing w:line="360" w:lineRule="auto"/>
        <w:ind w:right="49"/>
        <w:jc w:val="both"/>
        <w:rPr>
          <w:rFonts w:ascii="Palatino Linotype" w:eastAsia="Palatino Linotype" w:hAnsi="Palatino Linotype" w:cs="Palatino Linotype"/>
          <w:color w:val="000000" w:themeColor="text1"/>
        </w:rPr>
      </w:pPr>
    </w:p>
    <w:p w:rsidR="00CC4F68" w:rsidRPr="00D40D2C" w:rsidRDefault="00CC4F68"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r w:rsidRPr="00D40D2C">
        <w:rPr>
          <w:rFonts w:ascii="Palatino Linotype" w:eastAsia="Palatino Linotype" w:hAnsi="Palatino Linotype" w:cs="Palatino Linotype"/>
          <w:b/>
          <w:i/>
          <w:color w:val="000000" w:themeColor="text1"/>
        </w:rPr>
        <w:t>Artículo 3</w:t>
      </w:r>
      <w:r w:rsidRPr="00D40D2C">
        <w:rPr>
          <w:rFonts w:ascii="Palatino Linotype" w:eastAsia="Palatino Linotype" w:hAnsi="Palatino Linotype" w:cs="Palatino Linotype"/>
          <w:i/>
          <w:color w:val="000000" w:themeColor="text1"/>
        </w:rPr>
        <w:t>. Para los efectos de la presente Ley se entenderá por:</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IX. Datos personales</w:t>
      </w:r>
      <w:r w:rsidRPr="00D40D2C">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XX. Información clasificada</w:t>
      </w:r>
      <w:r w:rsidRPr="00D40D2C">
        <w:rPr>
          <w:rFonts w:ascii="Palatino Linotype" w:eastAsia="Palatino Linotype" w:hAnsi="Palatino Linotype" w:cs="Palatino Linotype"/>
          <w:i/>
          <w:color w:val="000000" w:themeColor="text1"/>
        </w:rPr>
        <w:t>: Aquella considerada por la presente Ley como reservada o confidencial;</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 xml:space="preserve">XXI. Información confidencial: </w:t>
      </w:r>
      <w:r w:rsidRPr="00D40D2C">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XLV. Versión pública:</w:t>
      </w:r>
      <w:r w:rsidRPr="00D40D2C">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Artículo 91.</w:t>
      </w:r>
      <w:r w:rsidRPr="00D40D2C">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lastRenderedPageBreak/>
        <w:t>Artículo 132.</w:t>
      </w:r>
      <w:r w:rsidRPr="00D40D2C">
        <w:rPr>
          <w:rFonts w:ascii="Palatino Linotype" w:eastAsia="Palatino Linotype" w:hAnsi="Palatino Linotype" w:cs="Palatino Linotype"/>
          <w:i/>
          <w:color w:val="000000" w:themeColor="text1"/>
        </w:rPr>
        <w:t xml:space="preserve"> La clasificación de la información se llevará a cabo en el momento en que:</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w:t>
      </w:r>
      <w:r w:rsidRPr="00D40D2C">
        <w:rPr>
          <w:rFonts w:ascii="Palatino Linotype" w:eastAsia="Palatino Linotype" w:hAnsi="Palatino Linotype" w:cs="Palatino Linotype"/>
          <w:i/>
          <w:color w:val="000000" w:themeColor="text1"/>
        </w:rPr>
        <w:t>. Se reciba una solicitud de acceso a la información;</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II.</w:t>
      </w:r>
      <w:r w:rsidRPr="00D40D2C">
        <w:rPr>
          <w:rFonts w:ascii="Palatino Linotype" w:eastAsia="Palatino Linotype" w:hAnsi="Palatino Linotype" w:cs="Palatino Linotype"/>
          <w:i/>
          <w:color w:val="000000" w:themeColor="text1"/>
        </w:rPr>
        <w:t xml:space="preserve"> Se determine mediante resolución de autoridad competente; o</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III.</w:t>
      </w:r>
      <w:r w:rsidRPr="00D40D2C">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Artículo 143</w:t>
      </w:r>
      <w:r w:rsidRPr="00D40D2C">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w:t>
      </w:r>
      <w:r w:rsidRPr="00D40D2C">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II.</w:t>
      </w:r>
      <w:r w:rsidRPr="00D40D2C">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III.</w:t>
      </w:r>
      <w:r w:rsidRPr="00D40D2C">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p>
    <w:p w:rsidR="00CC4F68" w:rsidRPr="00D40D2C" w:rsidRDefault="00CC4F68"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w:t>
      </w:r>
      <w:r w:rsidRPr="00D40D2C">
        <w:rPr>
          <w:rFonts w:ascii="Palatino Linotype" w:eastAsia="Palatino Linotype" w:hAnsi="Palatino Linotype" w:cs="Palatino Linotype"/>
          <w:color w:val="000000" w:themeColor="text1"/>
        </w:rPr>
        <w:lastRenderedPageBreak/>
        <w:t>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C4F68" w:rsidRPr="00D40D2C" w:rsidRDefault="00CC4F68" w:rsidP="00D40D2C">
      <w:pPr>
        <w:pStyle w:val="Prrafodelista"/>
        <w:spacing w:line="360" w:lineRule="auto"/>
        <w:ind w:left="0" w:right="49"/>
        <w:jc w:val="both"/>
        <w:rPr>
          <w:rFonts w:ascii="Palatino Linotype" w:eastAsia="Palatino Linotype" w:hAnsi="Palatino Linotype" w:cs="Palatino Linotype"/>
          <w:color w:val="000000" w:themeColor="text1"/>
        </w:rPr>
      </w:pPr>
    </w:p>
    <w:p w:rsidR="00CC4F68" w:rsidRPr="00D40D2C" w:rsidRDefault="00CC4F68"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“Quincuagésimo sexto</w:t>
      </w:r>
      <w:r w:rsidRPr="00D40D2C">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Quincuagésimo séptimo</w:t>
      </w:r>
      <w:r w:rsidRPr="00D40D2C">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w:t>
      </w:r>
      <w:r w:rsidRPr="00D40D2C">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II.</w:t>
      </w:r>
      <w:r w:rsidRPr="00D40D2C">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t>III.</w:t>
      </w:r>
      <w:r w:rsidRPr="00D40D2C">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p>
    <w:p w:rsidR="00CC4F68" w:rsidRPr="00D40D2C" w:rsidRDefault="00CC4F68" w:rsidP="00D40D2C">
      <w:pPr>
        <w:spacing w:line="360" w:lineRule="auto"/>
        <w:ind w:right="49"/>
        <w:jc w:val="both"/>
        <w:rPr>
          <w:rFonts w:ascii="Palatino Linotype" w:eastAsia="Palatino Linotype" w:hAnsi="Palatino Linotype" w:cs="Palatino Linotype"/>
          <w:i/>
          <w:color w:val="000000" w:themeColor="text1"/>
        </w:rPr>
      </w:pPr>
      <w:r w:rsidRPr="00D40D2C">
        <w:rPr>
          <w:rFonts w:ascii="Palatino Linotype" w:eastAsia="Palatino Linotype" w:hAnsi="Palatino Linotype" w:cs="Palatino Linotype"/>
          <w:b/>
          <w:i/>
          <w:color w:val="000000" w:themeColor="text1"/>
        </w:rPr>
        <w:lastRenderedPageBreak/>
        <w:t>Quincuagésimo octavo</w:t>
      </w:r>
      <w:r w:rsidRPr="00D40D2C">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FC2AD8" w:rsidRPr="00D40D2C" w:rsidRDefault="00FC2AD8" w:rsidP="00D40D2C">
      <w:pPr>
        <w:spacing w:line="360" w:lineRule="auto"/>
        <w:ind w:right="49"/>
        <w:jc w:val="both"/>
        <w:rPr>
          <w:rFonts w:ascii="Palatino Linotype" w:eastAsia="Palatino Linotype" w:hAnsi="Palatino Linotype" w:cs="Palatino Linotype"/>
          <w:i/>
          <w:color w:val="000000" w:themeColor="text1"/>
        </w:rPr>
      </w:pPr>
    </w:p>
    <w:p w:rsidR="00CC4F68" w:rsidRDefault="00CC4F68"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Luego entonces, el </w:t>
      </w:r>
      <w:r w:rsidRPr="00D40D2C">
        <w:rPr>
          <w:rFonts w:ascii="Palatino Linotype" w:eastAsia="Palatino Linotype" w:hAnsi="Palatino Linotype" w:cs="Palatino Linotype"/>
          <w:b/>
          <w:color w:val="000000" w:themeColor="text1"/>
        </w:rPr>
        <w:t xml:space="preserve">SUJETOS OBLIGADOS </w:t>
      </w:r>
      <w:r w:rsidRPr="00D40D2C">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135BD" w:rsidRPr="00D40D2C" w:rsidRDefault="00D135BD" w:rsidP="00D135BD">
      <w:pPr>
        <w:spacing w:line="360" w:lineRule="auto"/>
        <w:ind w:right="49"/>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D40D2C" w:rsidRPr="00D40D2C" w:rsidTr="000709EA">
        <w:tc>
          <w:tcPr>
            <w:tcW w:w="2689" w:type="dxa"/>
          </w:tcPr>
          <w:p w:rsidR="00CC4F68" w:rsidRPr="00D40D2C" w:rsidRDefault="00CC4F68" w:rsidP="00D40D2C">
            <w:pPr>
              <w:tabs>
                <w:tab w:val="left" w:pos="284"/>
              </w:tabs>
              <w:ind w:right="49"/>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a) Requisitos previos.</w:t>
            </w:r>
          </w:p>
        </w:tc>
        <w:tc>
          <w:tcPr>
            <w:tcW w:w="6945" w:type="dxa"/>
          </w:tcPr>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40D2C">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40D2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p>
        </w:tc>
      </w:tr>
      <w:tr w:rsidR="00D40D2C" w:rsidRPr="00D40D2C" w:rsidTr="000709EA">
        <w:tc>
          <w:tcPr>
            <w:tcW w:w="2689" w:type="dxa"/>
          </w:tcPr>
          <w:p w:rsidR="00CC4F68" w:rsidRPr="00D40D2C" w:rsidRDefault="00CC4F68" w:rsidP="00D40D2C">
            <w:pPr>
              <w:tabs>
                <w:tab w:val="left" w:pos="284"/>
              </w:tabs>
              <w:ind w:right="49"/>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lastRenderedPageBreak/>
              <w:t>b) Supuestos de clasificación.</w:t>
            </w:r>
          </w:p>
        </w:tc>
        <w:tc>
          <w:tcPr>
            <w:tcW w:w="6945" w:type="dxa"/>
          </w:tcPr>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El </w:t>
            </w:r>
            <w:r w:rsidRPr="00D40D2C">
              <w:rPr>
                <w:rFonts w:ascii="Palatino Linotype" w:eastAsia="Palatino Linotype" w:hAnsi="Palatino Linotype" w:cs="Palatino Linotype"/>
                <w:b/>
                <w:color w:val="000000" w:themeColor="text1"/>
              </w:rPr>
              <w:t>Sujeto Obligado</w:t>
            </w:r>
            <w:r w:rsidRPr="00D40D2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p>
        </w:tc>
      </w:tr>
      <w:tr w:rsidR="00D40D2C" w:rsidRPr="00D40D2C" w:rsidTr="000709EA">
        <w:tc>
          <w:tcPr>
            <w:tcW w:w="2689" w:type="dxa"/>
          </w:tcPr>
          <w:p w:rsidR="00CC4F68" w:rsidRPr="00D40D2C" w:rsidRDefault="00CC4F68" w:rsidP="00D40D2C">
            <w:pPr>
              <w:tabs>
                <w:tab w:val="left" w:pos="284"/>
              </w:tabs>
              <w:ind w:right="49"/>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c) Formalidades para emitir el acuerdo de clasificación.</w:t>
            </w:r>
          </w:p>
        </w:tc>
        <w:tc>
          <w:tcPr>
            <w:tcW w:w="6945" w:type="dxa"/>
          </w:tcPr>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Es necesario que </w:t>
            </w:r>
            <w:r w:rsidRPr="00D40D2C">
              <w:rPr>
                <w:rFonts w:ascii="Palatino Linotype" w:eastAsia="Palatino Linotype" w:hAnsi="Palatino Linotype" w:cs="Palatino Linotype"/>
                <w:b/>
                <w:color w:val="000000" w:themeColor="text1"/>
                <w:u w:val="single"/>
              </w:rPr>
              <w:t>el acto reúna con los requisitos elementales</w:t>
            </w:r>
            <w:r w:rsidRPr="00D40D2C">
              <w:rPr>
                <w:rFonts w:ascii="Palatino Linotype" w:eastAsia="Palatino Linotype" w:hAnsi="Palatino Linotype" w:cs="Palatino Linotype"/>
                <w:color w:val="000000" w:themeColor="text1"/>
              </w:rPr>
              <w:t>, entre ellos, que la autoridad que va a emitir el acto de autoridad sea la legalmente facultada para ello.</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p>
        </w:tc>
      </w:tr>
      <w:tr w:rsidR="00D40D2C" w:rsidRPr="00D40D2C" w:rsidTr="000709EA">
        <w:tc>
          <w:tcPr>
            <w:tcW w:w="2689" w:type="dxa"/>
          </w:tcPr>
          <w:p w:rsidR="00CC4F68" w:rsidRPr="00D40D2C" w:rsidRDefault="00CC4F68" w:rsidP="00D40D2C">
            <w:pPr>
              <w:tabs>
                <w:tab w:val="left" w:pos="284"/>
              </w:tabs>
              <w:ind w:right="49"/>
              <w:rPr>
                <w:rFonts w:ascii="Palatino Linotype" w:eastAsia="Palatino Linotype" w:hAnsi="Palatino Linotype" w:cs="Palatino Linotype"/>
                <w:color w:val="000000" w:themeColor="text1"/>
              </w:rPr>
            </w:pP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40D2C">
              <w:rPr>
                <w:rFonts w:ascii="Palatino Linotype" w:eastAsia="Palatino Linotype" w:hAnsi="Palatino Linotype" w:cs="Palatino Linotype"/>
                <w:b/>
                <w:color w:val="000000" w:themeColor="text1"/>
              </w:rPr>
              <w:t>Sujetos Obligados</w:t>
            </w:r>
            <w:r w:rsidRPr="00D40D2C">
              <w:rPr>
                <w:rFonts w:ascii="Palatino Linotype" w:eastAsia="Palatino Linotype" w:hAnsi="Palatino Linotype" w:cs="Palatino Linotype"/>
                <w:color w:val="000000" w:themeColor="text1"/>
              </w:rPr>
              <w:t xml:space="preserve">, por lo que deberán fundar y motivar debidamente la clasificación. </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De lo anterior, se desprende que para una correcta </w:t>
            </w:r>
            <w:r w:rsidRPr="00D40D2C">
              <w:rPr>
                <w:rFonts w:ascii="Palatino Linotype" w:eastAsia="Palatino Linotype" w:hAnsi="Palatino Linotype" w:cs="Palatino Linotype"/>
                <w:b/>
                <w:color w:val="000000" w:themeColor="text1"/>
              </w:rPr>
              <w:t>clasificación total o parcial</w:t>
            </w:r>
            <w:r w:rsidRPr="00D40D2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Ahora bien, </w:t>
            </w:r>
            <w:r w:rsidRPr="00D40D2C">
              <w:rPr>
                <w:rFonts w:ascii="Palatino Linotype" w:eastAsia="Palatino Linotype" w:hAnsi="Palatino Linotype" w:cs="Palatino Linotype"/>
                <w:b/>
                <w:color w:val="000000" w:themeColor="text1"/>
                <w:u w:val="single"/>
              </w:rPr>
              <w:t>para cada caso además de fundar y motivar</w:t>
            </w:r>
            <w:r w:rsidRPr="00D40D2C">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p>
        </w:tc>
      </w:tr>
      <w:tr w:rsidR="00CC4F68" w:rsidRPr="00D40D2C" w:rsidTr="000709EA">
        <w:tc>
          <w:tcPr>
            <w:tcW w:w="2689" w:type="dxa"/>
          </w:tcPr>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CC4F68" w:rsidRPr="00D40D2C" w:rsidRDefault="00CC4F68" w:rsidP="00D40D2C">
            <w:pPr>
              <w:tabs>
                <w:tab w:val="left" w:pos="284"/>
              </w:tabs>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C4F68" w:rsidRPr="00D40D2C" w:rsidRDefault="00CC4F68" w:rsidP="00D40D2C">
            <w:pPr>
              <w:tabs>
                <w:tab w:val="left" w:pos="284"/>
              </w:tabs>
              <w:ind w:right="49"/>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CC4F68" w:rsidRPr="00D40D2C" w:rsidRDefault="00CC4F68" w:rsidP="00D40D2C">
            <w:pPr>
              <w:tabs>
                <w:tab w:val="left" w:pos="284"/>
              </w:tabs>
              <w:ind w:right="49"/>
              <w:rPr>
                <w:rFonts w:ascii="Palatino Linotype" w:eastAsia="Palatino Linotype" w:hAnsi="Palatino Linotype" w:cs="Palatino Linotype"/>
                <w:color w:val="000000" w:themeColor="text1"/>
              </w:rPr>
            </w:pPr>
          </w:p>
        </w:tc>
      </w:tr>
    </w:tbl>
    <w:p w:rsidR="00CC4F68" w:rsidRPr="00D40D2C" w:rsidRDefault="00CC4F68" w:rsidP="00D40D2C">
      <w:pPr>
        <w:pStyle w:val="Prrafodelista"/>
        <w:spacing w:line="360" w:lineRule="auto"/>
        <w:ind w:left="0" w:right="49"/>
        <w:jc w:val="both"/>
        <w:rPr>
          <w:rFonts w:ascii="Palatino Linotype" w:eastAsia="Palatino Linotype" w:hAnsi="Palatino Linotype" w:cs="Palatino Linotype"/>
          <w:color w:val="000000" w:themeColor="text1"/>
        </w:rPr>
      </w:pPr>
    </w:p>
    <w:p w:rsidR="00CC4F68" w:rsidRPr="00D40D2C" w:rsidRDefault="00CC4F68" w:rsidP="00D40D2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246311" w:rsidRPr="00D40D2C" w:rsidRDefault="00246311" w:rsidP="00D40D2C">
      <w:pPr>
        <w:pStyle w:val="Prrafodelista"/>
        <w:widowControl w:val="0"/>
        <w:autoSpaceDE w:val="0"/>
        <w:autoSpaceDN w:val="0"/>
        <w:adjustRightInd w:val="0"/>
        <w:spacing w:line="360" w:lineRule="auto"/>
        <w:ind w:left="0" w:right="49"/>
        <w:jc w:val="both"/>
        <w:rPr>
          <w:rFonts w:ascii="Palatino Linotype" w:eastAsia="Calibri" w:hAnsi="Palatino Linotype" w:cs="Arial"/>
          <w:color w:val="000000" w:themeColor="text1"/>
        </w:rPr>
      </w:pPr>
    </w:p>
    <w:p w:rsidR="00246311" w:rsidRPr="00D135BD" w:rsidRDefault="00246311" w:rsidP="00D40D2C">
      <w:pPr>
        <w:numPr>
          <w:ilvl w:val="0"/>
          <w:numId w:val="1"/>
        </w:numPr>
        <w:spacing w:line="360" w:lineRule="auto"/>
        <w:ind w:left="0" w:right="49" w:firstLine="0"/>
        <w:jc w:val="both"/>
        <w:rPr>
          <w:rFonts w:ascii="Palatino Linotype" w:hAnsi="Palatino Linotype" w:cs="Arial"/>
          <w:color w:val="000000" w:themeColor="text1"/>
        </w:rPr>
      </w:pPr>
      <w:r w:rsidRPr="00D40D2C">
        <w:rPr>
          <w:rFonts w:ascii="Palatino Linotype" w:eastAsia="Arial Unicode MS" w:hAnsi="Palatino Linotype" w:cs="Arial"/>
          <w:color w:val="000000" w:themeColor="text1"/>
        </w:rPr>
        <w:t>Por</w:t>
      </w:r>
      <w:r w:rsidRPr="00D40D2C">
        <w:rPr>
          <w:rFonts w:ascii="Palatino Linotype" w:eastAsia="MS Mincho" w:hAnsi="Palatino Linotype"/>
          <w:color w:val="000000" w:themeColor="text1"/>
        </w:rPr>
        <w:t xml:space="preserve"> lo </w:t>
      </w:r>
      <w:r w:rsidRPr="00D40D2C">
        <w:rPr>
          <w:rFonts w:ascii="Palatino Linotype" w:eastAsia="Arial Unicode MS" w:hAnsi="Palatino Linotype" w:cs="Arial"/>
          <w:color w:val="000000" w:themeColor="text1"/>
        </w:rPr>
        <w:t>anteriormente</w:t>
      </w:r>
      <w:r w:rsidRPr="00D40D2C">
        <w:rPr>
          <w:rFonts w:ascii="Palatino Linotype" w:eastAsia="MS Mincho" w:hAnsi="Palatino Linotype"/>
          <w:color w:val="000000" w:themeColor="text1"/>
        </w:rPr>
        <w:t xml:space="preserve"> expuesto y fundado, este Órgano Garante emite los siguientes: </w:t>
      </w:r>
    </w:p>
    <w:p w:rsidR="00D135BD" w:rsidRDefault="00D135BD" w:rsidP="00D135BD">
      <w:pPr>
        <w:spacing w:line="360" w:lineRule="auto"/>
        <w:ind w:right="49"/>
        <w:jc w:val="both"/>
        <w:rPr>
          <w:rFonts w:ascii="Palatino Linotype" w:eastAsia="Arial Unicode MS" w:hAnsi="Palatino Linotype" w:cs="Arial"/>
          <w:color w:val="000000" w:themeColor="text1"/>
        </w:rPr>
      </w:pPr>
    </w:p>
    <w:p w:rsidR="00D135BD" w:rsidRDefault="00D135BD" w:rsidP="00D135BD">
      <w:pPr>
        <w:spacing w:line="360" w:lineRule="auto"/>
        <w:ind w:right="49"/>
        <w:jc w:val="both"/>
        <w:rPr>
          <w:rFonts w:ascii="Palatino Linotype" w:eastAsia="Arial Unicode MS" w:hAnsi="Palatino Linotype" w:cs="Arial"/>
          <w:color w:val="000000" w:themeColor="text1"/>
        </w:rPr>
      </w:pPr>
    </w:p>
    <w:p w:rsidR="000709EA" w:rsidRDefault="000709EA" w:rsidP="00D135BD">
      <w:pPr>
        <w:spacing w:line="360" w:lineRule="auto"/>
        <w:ind w:right="49"/>
        <w:jc w:val="both"/>
        <w:rPr>
          <w:rFonts w:ascii="Palatino Linotype" w:eastAsia="Arial Unicode MS" w:hAnsi="Palatino Linotype" w:cs="Arial"/>
          <w:color w:val="000000" w:themeColor="text1"/>
        </w:rPr>
      </w:pPr>
    </w:p>
    <w:p w:rsidR="000709EA" w:rsidRDefault="000709EA" w:rsidP="00D135BD">
      <w:pPr>
        <w:spacing w:line="360" w:lineRule="auto"/>
        <w:ind w:right="49"/>
        <w:jc w:val="both"/>
        <w:rPr>
          <w:rFonts w:ascii="Palatino Linotype" w:eastAsia="Arial Unicode MS" w:hAnsi="Palatino Linotype" w:cs="Arial"/>
          <w:color w:val="000000" w:themeColor="text1"/>
        </w:rPr>
      </w:pPr>
    </w:p>
    <w:p w:rsidR="00D135BD" w:rsidRPr="00D40D2C" w:rsidRDefault="00D135BD" w:rsidP="00D135BD">
      <w:pPr>
        <w:spacing w:line="360" w:lineRule="auto"/>
        <w:ind w:right="49"/>
        <w:jc w:val="both"/>
        <w:rPr>
          <w:rFonts w:ascii="Palatino Linotype" w:hAnsi="Palatino Linotype" w:cs="Arial"/>
          <w:color w:val="000000" w:themeColor="text1"/>
        </w:rPr>
      </w:pPr>
    </w:p>
    <w:p w:rsidR="00313EA6" w:rsidRPr="00D40D2C" w:rsidRDefault="00313EA6" w:rsidP="00D40D2C">
      <w:pPr>
        <w:pStyle w:val="Ttulo1"/>
        <w:spacing w:before="0" w:line="360" w:lineRule="auto"/>
        <w:ind w:right="49"/>
        <w:jc w:val="center"/>
        <w:rPr>
          <w:rFonts w:ascii="Palatino Linotype" w:hAnsi="Palatino Linotype"/>
          <w:b/>
          <w:color w:val="000000" w:themeColor="text1"/>
          <w:sz w:val="24"/>
          <w:szCs w:val="24"/>
        </w:rPr>
      </w:pPr>
      <w:bookmarkStart w:id="36" w:name="_Toc81233128"/>
      <w:r w:rsidRPr="00D40D2C">
        <w:rPr>
          <w:rFonts w:ascii="Palatino Linotype" w:hAnsi="Palatino Linotype"/>
          <w:b/>
          <w:color w:val="000000" w:themeColor="text1"/>
          <w:sz w:val="24"/>
          <w:szCs w:val="24"/>
        </w:rPr>
        <w:lastRenderedPageBreak/>
        <w:t>R E S O L U T I V O S</w:t>
      </w:r>
      <w:bookmarkEnd w:id="32"/>
      <w:bookmarkEnd w:id="33"/>
      <w:bookmarkEnd w:id="34"/>
      <w:bookmarkEnd w:id="35"/>
      <w:bookmarkEnd w:id="36"/>
    </w:p>
    <w:p w:rsidR="00313EA6" w:rsidRPr="00D40D2C" w:rsidRDefault="00313EA6" w:rsidP="00D40D2C">
      <w:pPr>
        <w:spacing w:line="360" w:lineRule="auto"/>
        <w:ind w:right="49"/>
        <w:rPr>
          <w:rFonts w:ascii="Palatino Linotype" w:hAnsi="Palatino Linotype"/>
          <w:color w:val="000000" w:themeColor="text1"/>
        </w:rPr>
      </w:pPr>
    </w:p>
    <w:p w:rsidR="00313EA6" w:rsidRPr="00D40D2C" w:rsidRDefault="00313EA6" w:rsidP="00D40D2C">
      <w:pPr>
        <w:spacing w:line="360" w:lineRule="auto"/>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b/>
          <w:color w:val="000000" w:themeColor="text1"/>
        </w:rPr>
        <w:t>PRIMERO</w:t>
      </w:r>
      <w:r w:rsidRPr="00D40D2C">
        <w:rPr>
          <w:rFonts w:ascii="Palatino Linotype" w:eastAsia="Palatino Linotype" w:hAnsi="Palatino Linotype" w:cs="Palatino Linotype"/>
          <w:color w:val="000000" w:themeColor="text1"/>
        </w:rPr>
        <w:t xml:space="preserve">. Resultan </w:t>
      </w:r>
      <w:r w:rsidR="00FA1827" w:rsidRPr="00D40D2C">
        <w:rPr>
          <w:rFonts w:ascii="Palatino Linotype" w:eastAsia="Palatino Linotype" w:hAnsi="Palatino Linotype" w:cs="Palatino Linotype"/>
          <w:color w:val="000000" w:themeColor="text1"/>
        </w:rPr>
        <w:t xml:space="preserve">parcialmente </w:t>
      </w:r>
      <w:r w:rsidRPr="00D40D2C">
        <w:rPr>
          <w:rFonts w:ascii="Palatino Linotype" w:eastAsia="Palatino Linotype" w:hAnsi="Palatino Linotype" w:cs="Palatino Linotype"/>
          <w:color w:val="000000" w:themeColor="text1"/>
        </w:rPr>
        <w:t>fundadas las</w:t>
      </w:r>
      <w:r w:rsidRPr="00D40D2C">
        <w:rPr>
          <w:rFonts w:ascii="Palatino Linotype" w:eastAsia="Palatino Linotype" w:hAnsi="Palatino Linotype" w:cs="Palatino Linotype"/>
          <w:b/>
          <w:color w:val="000000" w:themeColor="text1"/>
        </w:rPr>
        <w:t xml:space="preserve"> </w:t>
      </w:r>
      <w:r w:rsidRPr="00D40D2C">
        <w:rPr>
          <w:rFonts w:ascii="Palatino Linotype" w:eastAsia="Palatino Linotype" w:hAnsi="Palatino Linotype" w:cs="Palatino Linotype"/>
          <w:color w:val="000000" w:themeColor="text1"/>
        </w:rPr>
        <w:t xml:space="preserve">razones o motivos de inconformidad hechos valer en el Recurso de Revisión </w:t>
      </w:r>
      <w:r w:rsidR="00210E60" w:rsidRPr="00D40D2C">
        <w:rPr>
          <w:rFonts w:ascii="Palatino Linotype" w:hAnsi="Palatino Linotype"/>
          <w:b/>
          <w:bCs/>
          <w:color w:val="000000" w:themeColor="text1"/>
        </w:rPr>
        <w:t>11588/INFOEM/IP/RR/2025</w:t>
      </w:r>
      <w:r w:rsidRPr="00D40D2C">
        <w:rPr>
          <w:rFonts w:ascii="Palatino Linotype" w:eastAsia="Palatino Linotype" w:hAnsi="Palatino Linotype" w:cs="Palatino Linotype"/>
          <w:b/>
          <w:color w:val="000000" w:themeColor="text1"/>
        </w:rPr>
        <w:t xml:space="preserve">, </w:t>
      </w:r>
      <w:r w:rsidRPr="00D40D2C">
        <w:rPr>
          <w:rFonts w:ascii="Palatino Linotype" w:eastAsia="Palatino Linotype" w:hAnsi="Palatino Linotype" w:cs="Palatino Linotype"/>
          <w:color w:val="000000" w:themeColor="text1"/>
        </w:rPr>
        <w:t xml:space="preserve">en términos de los </w:t>
      </w:r>
      <w:r w:rsidRPr="00D40D2C">
        <w:rPr>
          <w:rFonts w:ascii="Palatino Linotype" w:eastAsia="Palatino Linotype" w:hAnsi="Palatino Linotype" w:cs="Palatino Linotype"/>
          <w:b/>
          <w:color w:val="000000" w:themeColor="text1"/>
        </w:rPr>
        <w:t>Considerandos</w:t>
      </w:r>
      <w:r w:rsidRPr="00D40D2C">
        <w:rPr>
          <w:rFonts w:ascii="Palatino Linotype" w:eastAsia="Palatino Linotype" w:hAnsi="Palatino Linotype" w:cs="Palatino Linotype"/>
          <w:color w:val="000000" w:themeColor="text1"/>
        </w:rPr>
        <w:t xml:space="preserve"> </w:t>
      </w:r>
      <w:r w:rsidRPr="00D40D2C">
        <w:rPr>
          <w:rFonts w:ascii="Palatino Linotype" w:eastAsia="Palatino Linotype" w:hAnsi="Palatino Linotype" w:cs="Palatino Linotype"/>
          <w:b/>
          <w:color w:val="000000" w:themeColor="text1"/>
        </w:rPr>
        <w:t>CUARTO</w:t>
      </w:r>
      <w:r w:rsidRPr="00D40D2C">
        <w:rPr>
          <w:rFonts w:ascii="Palatino Linotype" w:eastAsia="Palatino Linotype" w:hAnsi="Palatino Linotype" w:cs="Palatino Linotype"/>
          <w:color w:val="000000" w:themeColor="text1"/>
        </w:rPr>
        <w:t xml:space="preserve"> y </w:t>
      </w:r>
      <w:r w:rsidRPr="00D40D2C">
        <w:rPr>
          <w:rFonts w:ascii="Palatino Linotype" w:eastAsia="Palatino Linotype" w:hAnsi="Palatino Linotype" w:cs="Palatino Linotype"/>
          <w:b/>
          <w:color w:val="000000" w:themeColor="text1"/>
        </w:rPr>
        <w:t xml:space="preserve">QUINTO </w:t>
      </w:r>
      <w:r w:rsidRPr="00D40D2C">
        <w:rPr>
          <w:rFonts w:ascii="Palatino Linotype" w:eastAsia="Palatino Linotype" w:hAnsi="Palatino Linotype" w:cs="Palatino Linotype"/>
          <w:color w:val="000000" w:themeColor="text1"/>
        </w:rPr>
        <w:t>de la presente Resolución.</w:t>
      </w:r>
    </w:p>
    <w:p w:rsidR="009F74E7" w:rsidRPr="00D40D2C" w:rsidRDefault="009F74E7" w:rsidP="00D40D2C">
      <w:pPr>
        <w:spacing w:line="360" w:lineRule="auto"/>
        <w:ind w:right="49"/>
        <w:jc w:val="both"/>
        <w:rPr>
          <w:rFonts w:ascii="Palatino Linotype" w:eastAsia="Palatino Linotype" w:hAnsi="Palatino Linotype" w:cs="Palatino Linotype"/>
          <w:color w:val="000000" w:themeColor="text1"/>
        </w:rPr>
      </w:pPr>
    </w:p>
    <w:p w:rsidR="00313EA6" w:rsidRPr="00D40D2C" w:rsidRDefault="00313EA6" w:rsidP="00D40D2C">
      <w:pPr>
        <w:spacing w:line="360" w:lineRule="auto"/>
        <w:ind w:right="49"/>
        <w:jc w:val="both"/>
        <w:rPr>
          <w:rFonts w:ascii="Palatino Linotype" w:hAnsi="Palatino Linotype" w:cs="Arial"/>
          <w:color w:val="000000" w:themeColor="text1"/>
        </w:rPr>
      </w:pPr>
      <w:r w:rsidRPr="00D40D2C">
        <w:rPr>
          <w:rFonts w:ascii="Palatino Linotype" w:hAnsi="Palatino Linotype"/>
          <w:b/>
          <w:color w:val="000000" w:themeColor="text1"/>
        </w:rPr>
        <w:t xml:space="preserve">SEGUNDO. </w:t>
      </w:r>
      <w:r w:rsidRPr="00D40D2C">
        <w:rPr>
          <w:rFonts w:ascii="Palatino Linotype" w:eastAsia="MS Mincho" w:hAnsi="Palatino Linotype"/>
          <w:color w:val="000000" w:themeColor="text1"/>
        </w:rPr>
        <w:t xml:space="preserve">Se </w:t>
      </w:r>
      <w:r w:rsidR="005E066A" w:rsidRPr="00D40D2C">
        <w:rPr>
          <w:rFonts w:ascii="Palatino Linotype" w:eastAsia="MS Mincho" w:hAnsi="Palatino Linotype"/>
          <w:b/>
          <w:color w:val="000000" w:themeColor="text1"/>
        </w:rPr>
        <w:t>REVO</w:t>
      </w:r>
      <w:r w:rsidR="00FA1827" w:rsidRPr="00D40D2C">
        <w:rPr>
          <w:rFonts w:ascii="Palatino Linotype" w:eastAsia="MS Mincho" w:hAnsi="Palatino Linotype"/>
          <w:b/>
          <w:color w:val="000000" w:themeColor="text1"/>
        </w:rPr>
        <w:t>CA</w:t>
      </w:r>
      <w:r w:rsidRPr="00D40D2C">
        <w:rPr>
          <w:rFonts w:ascii="Palatino Linotype" w:eastAsia="MS Mincho" w:hAnsi="Palatino Linotype"/>
          <w:b/>
          <w:color w:val="000000" w:themeColor="text1"/>
        </w:rPr>
        <w:t xml:space="preserve"> </w:t>
      </w:r>
      <w:r w:rsidR="009F74E7" w:rsidRPr="00D40D2C">
        <w:rPr>
          <w:rFonts w:ascii="Palatino Linotype" w:eastAsia="MS Mincho" w:hAnsi="Palatino Linotype"/>
          <w:color w:val="000000" w:themeColor="text1"/>
        </w:rPr>
        <w:t xml:space="preserve">la respuesta emitida por </w:t>
      </w:r>
      <w:r w:rsidRPr="00D40D2C">
        <w:rPr>
          <w:rFonts w:ascii="Palatino Linotype" w:eastAsia="MS Mincho" w:hAnsi="Palatino Linotype"/>
          <w:color w:val="000000" w:themeColor="text1"/>
        </w:rPr>
        <w:t>l</w:t>
      </w:r>
      <w:r w:rsidR="009F74E7" w:rsidRPr="00D40D2C">
        <w:rPr>
          <w:rFonts w:ascii="Palatino Linotype" w:eastAsia="MS Mincho" w:hAnsi="Palatino Linotype"/>
          <w:color w:val="000000" w:themeColor="text1"/>
        </w:rPr>
        <w:t>a</w:t>
      </w:r>
      <w:r w:rsidRPr="00D40D2C">
        <w:rPr>
          <w:rFonts w:ascii="Palatino Linotype" w:eastAsia="MS Mincho" w:hAnsi="Palatino Linotype"/>
          <w:color w:val="000000" w:themeColor="text1"/>
        </w:rPr>
        <w:t xml:space="preserve"> </w:t>
      </w:r>
      <w:r w:rsidR="005259D7" w:rsidRPr="00D40D2C">
        <w:rPr>
          <w:rFonts w:ascii="Palatino Linotype" w:eastAsia="Calibri" w:hAnsi="Palatino Linotype" w:cs="Tahoma"/>
          <w:b/>
          <w:color w:val="000000" w:themeColor="text1"/>
          <w:lang w:eastAsia="en-US"/>
        </w:rPr>
        <w:t>Ayuntamiento de Cuautitlán</w:t>
      </w:r>
      <w:r w:rsidRPr="00D40D2C">
        <w:rPr>
          <w:rFonts w:ascii="Palatino Linotype" w:eastAsia="MS Mincho" w:hAnsi="Palatino Linotype"/>
          <w:color w:val="000000" w:themeColor="text1"/>
        </w:rPr>
        <w:t xml:space="preserve"> y se </w:t>
      </w:r>
      <w:r w:rsidRPr="00D40D2C">
        <w:rPr>
          <w:rFonts w:ascii="Palatino Linotype" w:eastAsia="MS Mincho" w:hAnsi="Palatino Linotype"/>
          <w:b/>
          <w:color w:val="000000" w:themeColor="text1"/>
        </w:rPr>
        <w:t>ORDENA</w:t>
      </w:r>
      <w:r w:rsidRPr="00D40D2C">
        <w:rPr>
          <w:rFonts w:ascii="Palatino Linotype" w:eastAsia="MS Mincho" w:hAnsi="Palatino Linotype"/>
          <w:color w:val="000000" w:themeColor="text1"/>
        </w:rPr>
        <w:t xml:space="preserve"> </w:t>
      </w: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D40D2C">
        <w:rPr>
          <w:rFonts w:ascii="Palatino Linotype" w:eastAsia="MS Mincho" w:hAnsi="Palatino Linotype"/>
          <w:color w:val="000000" w:themeColor="text1"/>
        </w:rPr>
        <w:t xml:space="preserve">entregar vía Sistema de Acceso a la Información Mexiquense (SAIMEX), </w:t>
      </w:r>
      <w:r w:rsidR="00FC2AD8" w:rsidRPr="00D40D2C">
        <w:rPr>
          <w:rFonts w:ascii="Palatino Linotype" w:eastAsia="MS Mincho" w:hAnsi="Palatino Linotype"/>
          <w:color w:val="000000" w:themeColor="text1"/>
        </w:rPr>
        <w:t xml:space="preserve">previa búsqueda exhaustiva y razonable, </w:t>
      </w:r>
      <w:r w:rsidRPr="00D40D2C">
        <w:rPr>
          <w:rFonts w:ascii="Palatino Linotype" w:eastAsia="MS Mincho" w:hAnsi="Palatino Linotype"/>
          <w:color w:val="000000" w:themeColor="text1"/>
        </w:rPr>
        <w:t>en versión pública, la siguiente información</w:t>
      </w:r>
      <w:r w:rsidRPr="00D40D2C">
        <w:rPr>
          <w:rFonts w:ascii="Palatino Linotype" w:hAnsi="Palatino Linotype" w:cs="Arial"/>
          <w:color w:val="000000" w:themeColor="text1"/>
        </w:rPr>
        <w:t>:</w:t>
      </w:r>
    </w:p>
    <w:p w:rsidR="00313EA6" w:rsidRPr="00D40D2C" w:rsidRDefault="00313EA6" w:rsidP="00D40D2C">
      <w:pPr>
        <w:pStyle w:val="Prrafodelista"/>
        <w:tabs>
          <w:tab w:val="left" w:pos="8080"/>
        </w:tabs>
        <w:spacing w:line="360" w:lineRule="auto"/>
        <w:ind w:left="0" w:right="49"/>
        <w:jc w:val="both"/>
        <w:rPr>
          <w:rFonts w:ascii="Palatino Linotype" w:hAnsi="Palatino Linotype" w:cs="Arial"/>
          <w:i/>
          <w:color w:val="000000" w:themeColor="text1"/>
        </w:rPr>
      </w:pPr>
    </w:p>
    <w:p w:rsidR="00FA1827" w:rsidRPr="00D40D2C" w:rsidRDefault="005E066A" w:rsidP="00D40D2C">
      <w:pPr>
        <w:pStyle w:val="Prrafodelista"/>
        <w:numPr>
          <w:ilvl w:val="0"/>
          <w:numId w:val="34"/>
        </w:numPr>
        <w:spacing w:line="360" w:lineRule="auto"/>
        <w:ind w:left="0" w:right="49" w:firstLine="0"/>
        <w:contextualSpacing w:val="0"/>
        <w:jc w:val="both"/>
        <w:rPr>
          <w:rFonts w:ascii="Palatino Linotype" w:eastAsia="Calibri" w:hAnsi="Palatino Linotype" w:cs="Arial"/>
          <w:b/>
          <w:color w:val="000000" w:themeColor="text1"/>
          <w:lang w:val="es-AR"/>
        </w:rPr>
      </w:pPr>
      <w:r w:rsidRPr="00D40D2C">
        <w:rPr>
          <w:rFonts w:ascii="Palatino Linotype" w:hAnsi="Palatino Linotype" w:cs="Arial"/>
          <w:b/>
          <w:color w:val="000000" w:themeColor="text1"/>
        </w:rPr>
        <w:t xml:space="preserve">Los oficios </w:t>
      </w:r>
      <w:r w:rsidR="00695A2D" w:rsidRPr="00D40D2C">
        <w:rPr>
          <w:rFonts w:ascii="Palatino Linotype" w:hAnsi="Palatino Linotype" w:cs="Arial"/>
          <w:b/>
          <w:color w:val="000000" w:themeColor="text1"/>
        </w:rPr>
        <w:t xml:space="preserve">firmados por el </w:t>
      </w:r>
      <w:r w:rsidR="00695A2D" w:rsidRPr="00D40D2C">
        <w:rPr>
          <w:rFonts w:ascii="Palatino Linotype" w:hAnsi="Palatino Linotype"/>
          <w:b/>
          <w:color w:val="000000" w:themeColor="text1"/>
          <w:lang w:eastAsia="es-ES_tradnl"/>
        </w:rPr>
        <w:t>Subdirector de Desarrollo Urbano</w:t>
      </w:r>
      <w:r w:rsidR="00695A2D" w:rsidRPr="00D40D2C">
        <w:rPr>
          <w:rFonts w:ascii="Palatino Linotype" w:hAnsi="Palatino Linotype" w:cs="Arial"/>
          <w:b/>
          <w:color w:val="000000" w:themeColor="text1"/>
        </w:rPr>
        <w:t xml:space="preserve"> en funciones al 3 de septiembre de 2025</w:t>
      </w:r>
      <w:r w:rsidRPr="00D40D2C">
        <w:rPr>
          <w:rFonts w:ascii="Palatino Linotype" w:hAnsi="Palatino Linotype" w:cs="Arial"/>
          <w:b/>
          <w:color w:val="000000" w:themeColor="text1"/>
        </w:rPr>
        <w:t xml:space="preserve">, </w:t>
      </w:r>
      <w:r w:rsidR="00FC2AD8" w:rsidRPr="00D40D2C">
        <w:rPr>
          <w:rFonts w:ascii="Palatino Linotype" w:hAnsi="Palatino Linotype" w:cs="Arial"/>
          <w:b/>
          <w:color w:val="000000" w:themeColor="text1"/>
        </w:rPr>
        <w:t xml:space="preserve">a partir de </w:t>
      </w:r>
      <w:r w:rsidR="00695A2D" w:rsidRPr="00D40D2C">
        <w:rPr>
          <w:rFonts w:ascii="Palatino Linotype" w:hAnsi="Palatino Linotype" w:cs="Arial"/>
          <w:b/>
          <w:color w:val="000000" w:themeColor="text1"/>
        </w:rPr>
        <w:t>la fecha en que ocupo el cargo y al</w:t>
      </w:r>
      <w:r w:rsidR="00FA1827" w:rsidRPr="00D40D2C">
        <w:rPr>
          <w:rFonts w:ascii="Palatino Linotype" w:eastAsia="Calibri" w:hAnsi="Palatino Linotype" w:cs="Arial"/>
          <w:b/>
          <w:color w:val="000000" w:themeColor="text1"/>
        </w:rPr>
        <w:t xml:space="preserve"> </w:t>
      </w:r>
      <w:r w:rsidR="00695A2D" w:rsidRPr="00D40D2C">
        <w:rPr>
          <w:rFonts w:ascii="Palatino Linotype" w:hAnsi="Palatino Linotype" w:cs="Arial"/>
          <w:b/>
          <w:color w:val="000000" w:themeColor="text1"/>
        </w:rPr>
        <w:t>3 de septiembre de 2025.</w:t>
      </w:r>
    </w:p>
    <w:p w:rsidR="00313EA6" w:rsidRPr="00D40D2C" w:rsidRDefault="00313EA6" w:rsidP="00D40D2C">
      <w:pPr>
        <w:pStyle w:val="Prrafodelista"/>
        <w:spacing w:line="360" w:lineRule="auto"/>
        <w:ind w:left="0" w:right="49"/>
        <w:rPr>
          <w:rFonts w:ascii="Palatino Linotype" w:eastAsia="Palatino Linotype" w:hAnsi="Palatino Linotype" w:cs="Palatino Linotype"/>
          <w:b/>
          <w:color w:val="000000" w:themeColor="text1"/>
        </w:rPr>
      </w:pPr>
    </w:p>
    <w:p w:rsidR="00313EA6" w:rsidRPr="00D40D2C" w:rsidRDefault="00313EA6" w:rsidP="00D40D2C">
      <w:pPr>
        <w:tabs>
          <w:tab w:val="left" w:pos="8080"/>
        </w:tabs>
        <w:spacing w:line="360" w:lineRule="auto"/>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D40D2C">
        <w:rPr>
          <w:rFonts w:ascii="Palatino Linotype" w:eastAsia="Palatino Linotype" w:hAnsi="Palatino Linotype" w:cs="Palatino Linotype"/>
          <w:b/>
          <w:color w:val="000000" w:themeColor="text1"/>
        </w:rPr>
        <w:t>RECURRENTE</w:t>
      </w:r>
      <w:r w:rsidRPr="00D40D2C">
        <w:rPr>
          <w:rFonts w:ascii="Palatino Linotype" w:eastAsia="Palatino Linotype" w:hAnsi="Palatino Linotype" w:cs="Palatino Linotype"/>
          <w:color w:val="000000" w:themeColor="text1"/>
        </w:rPr>
        <w:t>.</w:t>
      </w:r>
    </w:p>
    <w:p w:rsidR="00313EA6" w:rsidRPr="00D40D2C" w:rsidRDefault="00313EA6" w:rsidP="00D40D2C">
      <w:pPr>
        <w:tabs>
          <w:tab w:val="left" w:pos="8080"/>
        </w:tabs>
        <w:spacing w:line="360" w:lineRule="auto"/>
        <w:ind w:right="49"/>
        <w:jc w:val="both"/>
        <w:rPr>
          <w:rFonts w:ascii="Palatino Linotype" w:eastAsia="Palatino Linotype" w:hAnsi="Palatino Linotype" w:cs="Palatino Linotype"/>
          <w:color w:val="000000" w:themeColor="text1"/>
        </w:rPr>
      </w:pPr>
    </w:p>
    <w:p w:rsidR="005E066A" w:rsidRPr="00D40D2C" w:rsidRDefault="005E066A" w:rsidP="00D40D2C">
      <w:pPr>
        <w:spacing w:line="360" w:lineRule="auto"/>
        <w:ind w:right="49"/>
        <w:jc w:val="both"/>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 xml:space="preserve">Para el caso de existir </w:t>
      </w:r>
      <w:r w:rsidR="00FC2AD8" w:rsidRPr="00D40D2C">
        <w:rPr>
          <w:rFonts w:ascii="Palatino Linotype" w:eastAsia="Palatino Linotype" w:hAnsi="Palatino Linotype" w:cs="Palatino Linotype"/>
          <w:color w:val="000000" w:themeColor="text1"/>
        </w:rPr>
        <w:t>l</w:t>
      </w:r>
      <w:r w:rsidRPr="00D40D2C">
        <w:rPr>
          <w:rFonts w:ascii="Palatino Linotype" w:eastAsia="Palatino Linotype" w:hAnsi="Palatino Linotype" w:cs="Palatino Linotype"/>
          <w:color w:val="000000" w:themeColor="text1"/>
        </w:rPr>
        <w:t xml:space="preserve">a imposibilidad </w:t>
      </w:r>
      <w:r w:rsidR="00FC2AD8" w:rsidRPr="00D40D2C">
        <w:rPr>
          <w:rFonts w:ascii="Palatino Linotype" w:eastAsia="Palatino Linotype" w:hAnsi="Palatino Linotype" w:cs="Palatino Linotype"/>
          <w:color w:val="000000" w:themeColor="text1"/>
        </w:rPr>
        <w:t xml:space="preserve">de entregar alguno(s) de los </w:t>
      </w:r>
      <w:r w:rsidRPr="00D40D2C">
        <w:rPr>
          <w:rFonts w:ascii="Palatino Linotype" w:eastAsia="Palatino Linotype" w:hAnsi="Palatino Linotype" w:cs="Palatino Linotype"/>
          <w:color w:val="000000" w:themeColor="text1"/>
        </w:rPr>
        <w:t xml:space="preserve">oficios ordenados en el </w:t>
      </w:r>
      <w:r w:rsidRPr="00D40D2C">
        <w:rPr>
          <w:rFonts w:ascii="Palatino Linotype" w:eastAsia="Palatino Linotype" w:hAnsi="Palatino Linotype" w:cs="Palatino Linotype"/>
          <w:b/>
          <w:color w:val="000000" w:themeColor="text1"/>
        </w:rPr>
        <w:t>Inciso a)</w:t>
      </w:r>
      <w:r w:rsidRPr="00D40D2C">
        <w:rPr>
          <w:rFonts w:ascii="Palatino Linotype" w:eastAsia="Palatino Linotype" w:hAnsi="Palatino Linotype" w:cs="Palatino Linotype"/>
          <w:color w:val="000000" w:themeColor="text1"/>
        </w:rPr>
        <w:t xml:space="preserve">, en razón de haber sido cancelado(s) bastará que lo haga del conocimiento del </w:t>
      </w:r>
      <w:r w:rsidRPr="00D40D2C">
        <w:rPr>
          <w:rFonts w:ascii="Palatino Linotype" w:eastAsia="Palatino Linotype" w:hAnsi="Palatino Linotype" w:cs="Palatino Linotype"/>
          <w:b/>
          <w:color w:val="000000" w:themeColor="text1"/>
        </w:rPr>
        <w:t>RECURRENTE</w:t>
      </w:r>
      <w:r w:rsidRPr="00D40D2C">
        <w:rPr>
          <w:rFonts w:ascii="Palatino Linotype" w:eastAsia="Palatino Linotype" w:hAnsi="Palatino Linotype" w:cs="Palatino Linotype"/>
          <w:color w:val="000000" w:themeColor="text1"/>
        </w:rPr>
        <w:t xml:space="preserve"> al momento de dar cumplimiento a la presente Resolución en términos del </w:t>
      </w:r>
      <w:r w:rsidRPr="00D40D2C">
        <w:rPr>
          <w:rFonts w:ascii="Palatino Linotype" w:eastAsia="Palatino Linotype" w:hAnsi="Palatino Linotype" w:cs="Palatino Linotype"/>
          <w:color w:val="000000" w:themeColor="text1"/>
        </w:rPr>
        <w:lastRenderedPageBreak/>
        <w:t>artículo 19 segundo párrafo de la Ley de Transparencia y Acceso a la Información Pública del Estado de México y Municipios.</w:t>
      </w:r>
    </w:p>
    <w:p w:rsidR="007E6134" w:rsidRPr="00D40D2C" w:rsidRDefault="007E6134" w:rsidP="00D40D2C">
      <w:pPr>
        <w:tabs>
          <w:tab w:val="left" w:pos="8080"/>
        </w:tabs>
        <w:spacing w:line="360" w:lineRule="auto"/>
        <w:ind w:right="49"/>
        <w:jc w:val="both"/>
        <w:rPr>
          <w:rFonts w:ascii="Palatino Linotype" w:eastAsia="Palatino Linotype" w:hAnsi="Palatino Linotype" w:cs="Palatino Linotype"/>
          <w:color w:val="000000" w:themeColor="text1"/>
        </w:rPr>
      </w:pPr>
    </w:p>
    <w:bookmarkEnd w:id="37"/>
    <w:bookmarkEnd w:id="38"/>
    <w:bookmarkEnd w:id="39"/>
    <w:bookmarkEnd w:id="40"/>
    <w:bookmarkEnd w:id="41"/>
    <w:bookmarkEnd w:id="42"/>
    <w:bookmarkEnd w:id="43"/>
    <w:bookmarkEnd w:id="44"/>
    <w:p w:rsidR="00313EA6" w:rsidRPr="00D40D2C" w:rsidRDefault="00313EA6" w:rsidP="00D40D2C">
      <w:pPr>
        <w:spacing w:line="360" w:lineRule="auto"/>
        <w:ind w:right="49"/>
        <w:jc w:val="both"/>
        <w:rPr>
          <w:rFonts w:ascii="Palatino Linotype" w:hAnsi="Palatino Linotype"/>
          <w:color w:val="000000" w:themeColor="text1"/>
        </w:rPr>
      </w:pPr>
      <w:r w:rsidRPr="00D40D2C">
        <w:rPr>
          <w:rFonts w:ascii="Palatino Linotype" w:hAnsi="Palatino Linotype" w:cs="Arial"/>
          <w:b/>
          <w:bCs/>
          <w:color w:val="000000" w:themeColor="text1"/>
        </w:rPr>
        <w:t>TERCERO</w:t>
      </w:r>
      <w:r w:rsidRPr="00D40D2C">
        <w:rPr>
          <w:rFonts w:ascii="Palatino Linotype" w:hAnsi="Palatino Linotype" w:cs="Arial"/>
          <w:b/>
          <w:color w:val="000000" w:themeColor="text1"/>
        </w:rPr>
        <w:t>.</w:t>
      </w:r>
      <w:r w:rsidRPr="00D40D2C">
        <w:rPr>
          <w:rFonts w:ascii="Palatino Linotype" w:eastAsia="Palatino Linotype" w:hAnsi="Palatino Linotype" w:cs="Palatino Linotype"/>
          <w:b/>
          <w:color w:val="000000" w:themeColor="text1"/>
        </w:rPr>
        <w:t xml:space="preserve"> </w:t>
      </w:r>
      <w:r w:rsidRPr="00D40D2C">
        <w:rPr>
          <w:rFonts w:ascii="Palatino Linotype" w:hAnsi="Palatino Linotype"/>
          <w:b/>
          <w:color w:val="000000" w:themeColor="text1"/>
        </w:rPr>
        <w:t xml:space="preserve">Notifíquese </w:t>
      </w:r>
      <w:r w:rsidRPr="00D40D2C">
        <w:rPr>
          <w:rFonts w:ascii="Palatino Linotype" w:hAnsi="Palatino Linotype"/>
          <w:color w:val="000000" w:themeColor="text1"/>
        </w:rPr>
        <w:t xml:space="preserve">la presente Resolución al Titular de la Unidad de Transparencia del Sujeto Obligado vía </w:t>
      </w:r>
      <w:r w:rsidRPr="00D40D2C">
        <w:rPr>
          <w:rFonts w:ascii="Palatino Linotype" w:hAnsi="Palatino Linotype"/>
          <w:b/>
          <w:color w:val="000000" w:themeColor="text1"/>
        </w:rPr>
        <w:t>SAIMEX</w:t>
      </w:r>
      <w:r w:rsidRPr="00D40D2C">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D40D2C">
        <w:rPr>
          <w:rFonts w:ascii="Palatino Linotype" w:hAnsi="Palatino Linotype"/>
          <w:b/>
          <w:color w:val="000000" w:themeColor="text1"/>
        </w:rPr>
        <w:t>dé cumplimiento a lo ordenado dentro del plazo de diez días hábiles</w:t>
      </w:r>
      <w:r w:rsidRPr="00D40D2C">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13EA6" w:rsidRPr="00D40D2C" w:rsidRDefault="00313EA6" w:rsidP="00D40D2C">
      <w:pPr>
        <w:spacing w:line="360" w:lineRule="auto"/>
        <w:ind w:right="49"/>
        <w:jc w:val="both"/>
        <w:rPr>
          <w:rFonts w:ascii="Palatino Linotype" w:hAnsi="Palatino Linotype"/>
          <w:color w:val="000000" w:themeColor="text1"/>
        </w:rPr>
      </w:pPr>
    </w:p>
    <w:p w:rsidR="00313EA6" w:rsidRPr="00D40D2C" w:rsidRDefault="00313EA6" w:rsidP="00D40D2C">
      <w:pPr>
        <w:spacing w:line="360" w:lineRule="auto"/>
        <w:ind w:right="49"/>
        <w:jc w:val="both"/>
        <w:rPr>
          <w:rFonts w:ascii="Palatino Linotype" w:hAnsi="Palatino Linotype" w:cs="Arial"/>
          <w:bCs/>
          <w:color w:val="000000" w:themeColor="text1"/>
        </w:rPr>
      </w:pPr>
      <w:r w:rsidRPr="00D40D2C">
        <w:rPr>
          <w:rFonts w:ascii="Palatino Linotype" w:hAnsi="Palatino Linotype" w:cs="Arial"/>
          <w:b/>
          <w:color w:val="000000" w:themeColor="text1"/>
        </w:rPr>
        <w:t xml:space="preserve">CUARTO. </w:t>
      </w:r>
      <w:r w:rsidRPr="00D40D2C">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D40D2C">
        <w:rPr>
          <w:rFonts w:ascii="Palatino Linotype" w:hAnsi="Palatino Linotype" w:cs="Arial"/>
          <w:b/>
          <w:bCs/>
          <w:color w:val="000000" w:themeColor="text1"/>
        </w:rPr>
        <w:t>SUJETO OBLIGADO</w:t>
      </w:r>
      <w:r w:rsidRPr="00D40D2C">
        <w:rPr>
          <w:rFonts w:ascii="Palatino Linotype" w:hAnsi="Palatino Linotype" w:cs="Arial"/>
          <w:bCs/>
          <w:color w:val="000000" w:themeColor="text1"/>
        </w:rPr>
        <w:t xml:space="preserve"> de manera fundada y motivada, podrá solicitar una ampliación de plazo para el cumplimiento de la presente Resolución.</w:t>
      </w:r>
    </w:p>
    <w:p w:rsidR="00313EA6" w:rsidRPr="00D40D2C" w:rsidRDefault="00313EA6" w:rsidP="00D40D2C">
      <w:pPr>
        <w:spacing w:line="360" w:lineRule="auto"/>
        <w:ind w:right="49"/>
        <w:jc w:val="both"/>
        <w:rPr>
          <w:rFonts w:ascii="Palatino Linotype" w:hAnsi="Palatino Linotype" w:cs="Arial"/>
          <w:bCs/>
          <w:color w:val="000000" w:themeColor="text1"/>
        </w:rPr>
      </w:pPr>
    </w:p>
    <w:p w:rsidR="00313EA6" w:rsidRPr="00D40D2C" w:rsidRDefault="00313EA6" w:rsidP="00D40D2C">
      <w:pPr>
        <w:tabs>
          <w:tab w:val="left" w:pos="8080"/>
        </w:tabs>
        <w:spacing w:line="360" w:lineRule="auto"/>
        <w:ind w:right="49"/>
        <w:jc w:val="both"/>
        <w:rPr>
          <w:rFonts w:ascii="Palatino Linotype" w:hAnsi="Palatino Linotype"/>
          <w:color w:val="000000" w:themeColor="text1"/>
        </w:rPr>
      </w:pPr>
      <w:bookmarkStart w:id="45" w:name="_Toc492590393"/>
      <w:bookmarkStart w:id="46" w:name="_Toc503891611"/>
      <w:bookmarkStart w:id="47" w:name="_Toc511647759"/>
      <w:bookmarkStart w:id="48" w:name="_Toc511647820"/>
      <w:r w:rsidRPr="00D40D2C">
        <w:rPr>
          <w:rFonts w:ascii="Palatino Linotype" w:hAnsi="Palatino Linotype"/>
          <w:b/>
          <w:color w:val="000000" w:themeColor="text1"/>
        </w:rPr>
        <w:t xml:space="preserve">QUINTO. </w:t>
      </w:r>
      <w:r w:rsidRPr="00D40D2C">
        <w:rPr>
          <w:rFonts w:ascii="Palatino Linotype" w:hAnsi="Palatino Linotype"/>
          <w:color w:val="000000" w:themeColor="text1"/>
        </w:rPr>
        <w:t>Notifíquese</w:t>
      </w:r>
      <w:bookmarkEnd w:id="45"/>
      <w:bookmarkEnd w:id="46"/>
      <w:bookmarkEnd w:id="47"/>
      <w:bookmarkEnd w:id="48"/>
      <w:r w:rsidRPr="00D40D2C">
        <w:rPr>
          <w:rFonts w:ascii="Palatino Linotype" w:hAnsi="Palatino Linotype"/>
          <w:color w:val="000000" w:themeColor="text1"/>
        </w:rPr>
        <w:t xml:space="preserve"> al </w:t>
      </w:r>
      <w:r w:rsidRPr="00D40D2C">
        <w:rPr>
          <w:rFonts w:ascii="Palatino Linotype" w:hAnsi="Palatino Linotype"/>
          <w:b/>
          <w:color w:val="000000" w:themeColor="text1"/>
        </w:rPr>
        <w:t>RECURRENTE</w:t>
      </w:r>
      <w:r w:rsidRPr="00D40D2C">
        <w:rPr>
          <w:rFonts w:ascii="Palatino Linotype" w:hAnsi="Palatino Linotype"/>
          <w:color w:val="000000" w:themeColor="text1"/>
        </w:rPr>
        <w:t xml:space="preserve"> la presente Resolución, vía </w:t>
      </w:r>
      <w:r w:rsidRPr="00D40D2C">
        <w:rPr>
          <w:rFonts w:ascii="Palatino Linotype" w:hAnsi="Palatino Linotype"/>
          <w:b/>
          <w:color w:val="000000" w:themeColor="text1"/>
        </w:rPr>
        <w:t>SAIMEX</w:t>
      </w:r>
      <w:r w:rsidRPr="00D40D2C">
        <w:rPr>
          <w:rFonts w:ascii="Palatino Linotype" w:hAnsi="Palatino Linotype"/>
          <w:color w:val="000000" w:themeColor="text1"/>
        </w:rPr>
        <w:t>.</w:t>
      </w:r>
    </w:p>
    <w:p w:rsidR="00313EA6" w:rsidRPr="00D40D2C" w:rsidRDefault="00313EA6" w:rsidP="00D40D2C">
      <w:pPr>
        <w:shd w:val="clear" w:color="auto" w:fill="FFFFFF"/>
        <w:spacing w:line="360" w:lineRule="auto"/>
        <w:ind w:right="49"/>
        <w:jc w:val="both"/>
        <w:rPr>
          <w:rFonts w:ascii="Palatino Linotype" w:hAnsi="Palatino Linotype"/>
          <w:color w:val="000000" w:themeColor="text1"/>
          <w:lang w:eastAsia="en-US"/>
        </w:rPr>
      </w:pPr>
      <w:r w:rsidRPr="00D40D2C">
        <w:rPr>
          <w:rFonts w:ascii="Palatino Linotype" w:hAnsi="Palatino Linotype"/>
          <w:b/>
          <w:color w:val="000000" w:themeColor="text1"/>
          <w:lang w:eastAsia="en-US"/>
        </w:rPr>
        <w:t xml:space="preserve">SEXTO. </w:t>
      </w:r>
      <w:r w:rsidRPr="00D40D2C">
        <w:rPr>
          <w:rFonts w:ascii="Palatino Linotype" w:hAnsi="Palatino Linotype"/>
          <w:color w:val="000000" w:themeColor="text1"/>
          <w:lang w:eastAsia="en-US"/>
        </w:rPr>
        <w:t>Se hace del conocimiento del</w:t>
      </w:r>
      <w:r w:rsidRPr="00D40D2C">
        <w:rPr>
          <w:rFonts w:ascii="Palatino Linotype" w:hAnsi="Palatino Linotype"/>
          <w:b/>
          <w:color w:val="000000" w:themeColor="text1"/>
          <w:lang w:eastAsia="en-US"/>
        </w:rPr>
        <w:t xml:space="preserve"> RECURRENTE </w:t>
      </w:r>
      <w:r w:rsidRPr="00D40D2C">
        <w:rPr>
          <w:rFonts w:ascii="Palatino Linotype" w:hAnsi="Palatino Linotype"/>
          <w:color w:val="000000" w:themeColor="text1"/>
          <w:lang w:eastAsia="en-US"/>
        </w:rPr>
        <w:t xml:space="preserve">que, de conformidad con lo establecido en el artículo 196 de la Ley de Transparencia y Acceso a la Información Pública del Estado de México y Municipios, en caso de que considere que la Resolución le cause </w:t>
      </w:r>
      <w:r w:rsidRPr="00D40D2C">
        <w:rPr>
          <w:rFonts w:ascii="Palatino Linotype" w:hAnsi="Palatino Linotype"/>
          <w:color w:val="000000" w:themeColor="text1"/>
          <w:lang w:eastAsia="en-US"/>
        </w:rPr>
        <w:lastRenderedPageBreak/>
        <w:t>algún perjuicio podrá impugnarla vía juicio de amparo en los términos de las leyes aplicables.</w:t>
      </w:r>
    </w:p>
    <w:p w:rsidR="00D135BD" w:rsidRPr="00D40D2C" w:rsidRDefault="00D135BD" w:rsidP="00D40D2C">
      <w:pPr>
        <w:shd w:val="clear" w:color="auto" w:fill="FFFFFF"/>
        <w:spacing w:line="360" w:lineRule="auto"/>
        <w:ind w:right="49"/>
        <w:jc w:val="both"/>
        <w:rPr>
          <w:rFonts w:ascii="Palatino Linotype" w:eastAsia="Palatino Linotype" w:hAnsi="Palatino Linotype" w:cs="Palatino Linotype"/>
          <w:color w:val="000000" w:themeColor="text1"/>
        </w:rPr>
      </w:pPr>
    </w:p>
    <w:p w:rsidR="007D54BC" w:rsidRPr="00444783" w:rsidRDefault="007D54BC" w:rsidP="007D54B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w:t>
      </w:r>
      <w:r w:rsidR="00715C19">
        <w:rPr>
          <w:rFonts w:ascii="Palatino Linotype" w:eastAsia="Palatino Linotype" w:hAnsi="Palatino Linotype" w:cs="Palatino Linotype"/>
        </w:rPr>
        <w:t xml:space="preserve">MAYORÍA </w:t>
      </w:r>
      <w:r w:rsidRPr="00575AE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15C19">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B84DF1" w:rsidRPr="00D40D2C" w:rsidRDefault="00B84DF1" w:rsidP="00D40D2C">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D40D2C" w:rsidRDefault="00B84DF1" w:rsidP="00D40D2C">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jc w:val="both"/>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jc w:val="both"/>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jc w:val="both"/>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jc w:val="both"/>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jc w:val="both"/>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jc w:val="both"/>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rPr>
          <w:rFonts w:ascii="Palatino Linotype" w:eastAsia="Palatino Linotype" w:hAnsi="Palatino Linotype" w:cs="Palatino Linotype"/>
          <w:color w:val="000000" w:themeColor="text1"/>
        </w:rPr>
      </w:pPr>
    </w:p>
    <w:p w:rsidR="00B84DF1" w:rsidRPr="00D40D2C" w:rsidRDefault="009D3673" w:rsidP="00D40D2C">
      <w:pPr>
        <w:tabs>
          <w:tab w:val="left" w:pos="3374"/>
        </w:tabs>
        <w:spacing w:line="360" w:lineRule="auto"/>
        <w:ind w:right="49"/>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ab/>
      </w:r>
    </w:p>
    <w:p w:rsidR="00B84DF1" w:rsidRPr="00D40D2C" w:rsidRDefault="00B84DF1" w:rsidP="00D40D2C">
      <w:pPr>
        <w:tabs>
          <w:tab w:val="left" w:pos="3374"/>
        </w:tabs>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tabs>
          <w:tab w:val="left" w:pos="3374"/>
        </w:tabs>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tabs>
          <w:tab w:val="left" w:pos="3374"/>
        </w:tabs>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tabs>
          <w:tab w:val="left" w:pos="3374"/>
        </w:tabs>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tabs>
          <w:tab w:val="left" w:pos="3374"/>
        </w:tabs>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tabs>
          <w:tab w:val="left" w:pos="3374"/>
        </w:tabs>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tabs>
          <w:tab w:val="left" w:pos="3374"/>
        </w:tabs>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tabs>
          <w:tab w:val="left" w:pos="3374"/>
        </w:tabs>
        <w:spacing w:line="360" w:lineRule="auto"/>
        <w:ind w:right="49"/>
        <w:rPr>
          <w:rFonts w:ascii="Palatino Linotype" w:eastAsia="Palatino Linotype" w:hAnsi="Palatino Linotype" w:cs="Palatino Linotype"/>
          <w:color w:val="000000" w:themeColor="text1"/>
        </w:rPr>
      </w:pPr>
    </w:p>
    <w:p w:rsidR="00B84DF1" w:rsidRPr="00D40D2C" w:rsidRDefault="00B84DF1" w:rsidP="00D40D2C">
      <w:pPr>
        <w:spacing w:line="360" w:lineRule="auto"/>
        <w:ind w:right="49"/>
        <w:rPr>
          <w:rFonts w:ascii="Palatino Linotype" w:eastAsia="Palatino Linotype" w:hAnsi="Palatino Linotype" w:cs="Palatino Linotype"/>
          <w:color w:val="000000" w:themeColor="text1"/>
        </w:rPr>
      </w:pPr>
    </w:p>
    <w:sectPr w:rsidR="00B84DF1" w:rsidRPr="00D40D2C" w:rsidSect="000709EA">
      <w:headerReference w:type="even" r:id="rId11"/>
      <w:headerReference w:type="default" r:id="rId12"/>
      <w:footerReference w:type="default" r:id="rId13"/>
      <w:headerReference w:type="first" r:id="rId14"/>
      <w:footerReference w:type="first" r:id="rId15"/>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63D" w:rsidRDefault="009B063D">
      <w:r>
        <w:separator/>
      </w:r>
    </w:p>
  </w:endnote>
  <w:endnote w:type="continuationSeparator" w:id="0">
    <w:p w:rsidR="009B063D" w:rsidRDefault="009B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A4" w:rsidRDefault="007646A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709EA">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709EA">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7646A4" w:rsidRDefault="007646A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A4" w:rsidRPr="000709EA" w:rsidRDefault="007646A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0709EA">
      <w:rPr>
        <w:rFonts w:ascii="Palatino Linotype" w:eastAsia="Palatino Linotype" w:hAnsi="Palatino Linotype" w:cs="Palatino Linotype"/>
        <w:color w:val="000000"/>
        <w:sz w:val="22"/>
        <w:szCs w:val="20"/>
      </w:rPr>
      <w:t xml:space="preserve">Página </w:t>
    </w:r>
    <w:r w:rsidRPr="000709EA">
      <w:rPr>
        <w:rFonts w:ascii="Palatino Linotype" w:eastAsia="Palatino Linotype" w:hAnsi="Palatino Linotype" w:cs="Palatino Linotype"/>
        <w:color w:val="000000"/>
        <w:sz w:val="22"/>
        <w:szCs w:val="20"/>
      </w:rPr>
      <w:fldChar w:fldCharType="begin"/>
    </w:r>
    <w:r w:rsidRPr="000709EA">
      <w:rPr>
        <w:rFonts w:ascii="Palatino Linotype" w:eastAsia="Palatino Linotype" w:hAnsi="Palatino Linotype" w:cs="Palatino Linotype"/>
        <w:color w:val="000000"/>
        <w:sz w:val="22"/>
        <w:szCs w:val="20"/>
      </w:rPr>
      <w:instrText>PAGE</w:instrText>
    </w:r>
    <w:r w:rsidRPr="000709EA">
      <w:rPr>
        <w:rFonts w:ascii="Palatino Linotype" w:eastAsia="Palatino Linotype" w:hAnsi="Palatino Linotype" w:cs="Palatino Linotype"/>
        <w:color w:val="000000"/>
        <w:sz w:val="22"/>
        <w:szCs w:val="20"/>
      </w:rPr>
      <w:fldChar w:fldCharType="separate"/>
    </w:r>
    <w:r w:rsidR="000709EA">
      <w:rPr>
        <w:rFonts w:ascii="Palatino Linotype" w:eastAsia="Palatino Linotype" w:hAnsi="Palatino Linotype" w:cs="Palatino Linotype"/>
        <w:noProof/>
        <w:color w:val="000000"/>
        <w:sz w:val="22"/>
        <w:szCs w:val="20"/>
      </w:rPr>
      <w:t>1</w:t>
    </w:r>
    <w:r w:rsidRPr="000709EA">
      <w:rPr>
        <w:rFonts w:ascii="Palatino Linotype" w:eastAsia="Palatino Linotype" w:hAnsi="Palatino Linotype" w:cs="Palatino Linotype"/>
        <w:color w:val="000000"/>
        <w:sz w:val="22"/>
        <w:szCs w:val="20"/>
      </w:rPr>
      <w:fldChar w:fldCharType="end"/>
    </w:r>
    <w:r w:rsidRPr="000709EA">
      <w:rPr>
        <w:rFonts w:ascii="Palatino Linotype" w:eastAsia="Palatino Linotype" w:hAnsi="Palatino Linotype" w:cs="Palatino Linotype"/>
        <w:color w:val="000000"/>
        <w:sz w:val="22"/>
        <w:szCs w:val="20"/>
      </w:rPr>
      <w:t xml:space="preserve"> de </w:t>
    </w:r>
    <w:r w:rsidRPr="000709EA">
      <w:rPr>
        <w:rFonts w:ascii="Palatino Linotype" w:eastAsia="Palatino Linotype" w:hAnsi="Palatino Linotype" w:cs="Palatino Linotype"/>
        <w:color w:val="000000"/>
        <w:sz w:val="22"/>
        <w:szCs w:val="20"/>
      </w:rPr>
      <w:fldChar w:fldCharType="begin"/>
    </w:r>
    <w:r w:rsidRPr="000709EA">
      <w:rPr>
        <w:rFonts w:ascii="Palatino Linotype" w:eastAsia="Palatino Linotype" w:hAnsi="Palatino Linotype" w:cs="Palatino Linotype"/>
        <w:color w:val="000000"/>
        <w:sz w:val="22"/>
        <w:szCs w:val="20"/>
      </w:rPr>
      <w:instrText>NUMPAGES</w:instrText>
    </w:r>
    <w:r w:rsidRPr="000709EA">
      <w:rPr>
        <w:rFonts w:ascii="Palatino Linotype" w:eastAsia="Palatino Linotype" w:hAnsi="Palatino Linotype" w:cs="Palatino Linotype"/>
        <w:color w:val="000000"/>
        <w:sz w:val="22"/>
        <w:szCs w:val="20"/>
      </w:rPr>
      <w:fldChar w:fldCharType="separate"/>
    </w:r>
    <w:r w:rsidR="000709EA">
      <w:rPr>
        <w:rFonts w:ascii="Palatino Linotype" w:eastAsia="Palatino Linotype" w:hAnsi="Palatino Linotype" w:cs="Palatino Linotype"/>
        <w:noProof/>
        <w:color w:val="000000"/>
        <w:sz w:val="22"/>
        <w:szCs w:val="20"/>
      </w:rPr>
      <w:t>39</w:t>
    </w:r>
    <w:r w:rsidRPr="000709EA">
      <w:rPr>
        <w:rFonts w:ascii="Palatino Linotype" w:eastAsia="Palatino Linotype" w:hAnsi="Palatino Linotype" w:cs="Palatino Linotype"/>
        <w:color w:val="000000"/>
        <w:sz w:val="22"/>
        <w:szCs w:val="20"/>
      </w:rPr>
      <w:fldChar w:fldCharType="end"/>
    </w:r>
  </w:p>
  <w:p w:rsidR="007646A4" w:rsidRDefault="007646A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63D" w:rsidRDefault="009B063D">
      <w:r>
        <w:separator/>
      </w:r>
    </w:p>
  </w:footnote>
  <w:footnote w:type="continuationSeparator" w:id="0">
    <w:p w:rsidR="009B063D" w:rsidRDefault="009B063D">
      <w:r>
        <w:continuationSeparator/>
      </w:r>
    </w:p>
  </w:footnote>
  <w:footnote w:id="1">
    <w:p w:rsidR="007646A4" w:rsidRPr="008A3C06" w:rsidRDefault="007646A4" w:rsidP="007101C4">
      <w:pPr>
        <w:jc w:val="both"/>
        <w:rPr>
          <w:rFonts w:ascii="Palatino Linotype" w:hAnsi="Palatino Linotype"/>
          <w:i/>
          <w:sz w:val="16"/>
          <w:szCs w:val="16"/>
        </w:rPr>
      </w:pPr>
      <w:r>
        <w:rPr>
          <w:rStyle w:val="Refdenotaalpie"/>
        </w:rPr>
        <w:footnoteRef/>
      </w:r>
      <w:r>
        <w:t xml:space="preserve"> “</w:t>
      </w:r>
      <w:r w:rsidRPr="008A3C06">
        <w:rPr>
          <w:rFonts w:ascii="Palatino Linotype" w:hAnsi="Palatino Linotype"/>
          <w:b/>
          <w:i/>
          <w:sz w:val="16"/>
          <w:szCs w:val="16"/>
        </w:rPr>
        <w:t>PRINCIPIO DE INTERPRETACIÓN MÁS FAVORABLE A LA PERSONA. ES APLICABLE RESPECTO DE LAS NORMAS RELATIVAS A LOS DERECHOS HUMANOS DE LOS QUE SEAN TITULARES LAS PERSONAS MORALES.</w:t>
      </w:r>
      <w:r w:rsidRPr="008A3C06">
        <w:rPr>
          <w:rFonts w:ascii="Palatino Linotype" w:hAnsi="Palatino Linotype"/>
          <w:i/>
          <w:sz w:val="16"/>
          <w:szCs w:val="16"/>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w:t>
      </w:r>
      <w:r>
        <w:rPr>
          <w:rFonts w:ascii="Palatino Linotype" w:hAnsi="Palatino Linotype"/>
          <w:i/>
          <w:sz w:val="16"/>
          <w:szCs w:val="16"/>
        </w:rPr>
        <w:t>”</w:t>
      </w:r>
    </w:p>
    <w:p w:rsidR="007646A4" w:rsidRDefault="007646A4" w:rsidP="007101C4"/>
    <w:p w:rsidR="007646A4" w:rsidRDefault="007646A4" w:rsidP="007101C4">
      <w:pPr>
        <w:pStyle w:val="Textonotapie"/>
      </w:pPr>
    </w:p>
  </w:footnote>
  <w:footnote w:id="2">
    <w:p w:rsidR="00CC4F68" w:rsidRDefault="00CC4F68" w:rsidP="00CC4F68">
      <w:pPr>
        <w:pStyle w:val="Textonotapie"/>
      </w:pPr>
      <w:r>
        <w:rPr>
          <w:rStyle w:val="Refdenotaalpie"/>
        </w:rPr>
        <w:footnoteRef/>
      </w:r>
      <w:r>
        <w:t xml:space="preserve"> Convención Americana sobre Derechos Humanos. Artículo 13.</w:t>
      </w:r>
    </w:p>
  </w:footnote>
  <w:footnote w:id="3">
    <w:p w:rsidR="00CC4F68" w:rsidRDefault="00CC4F68" w:rsidP="00CC4F68">
      <w:pPr>
        <w:pStyle w:val="Textonotapie"/>
      </w:pPr>
      <w:r>
        <w:rPr>
          <w:rStyle w:val="Refdenotaalpie"/>
        </w:rPr>
        <w:footnoteRef/>
      </w:r>
      <w:r>
        <w:t xml:space="preserve"> Constitución Política de los Estados Unidos Mexicanos. Artículo sexto, sección A, Fracción I.</w:t>
      </w:r>
    </w:p>
  </w:footnote>
  <w:footnote w:id="4">
    <w:p w:rsidR="00CC4F68" w:rsidRPr="00F411B8" w:rsidRDefault="00CC4F68"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CC4F68" w:rsidRPr="00F411B8" w:rsidRDefault="00CC4F68"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rsidR="00CC4F68" w:rsidRDefault="00CC4F68" w:rsidP="00CC4F68">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rsidR="00CC4F68" w:rsidRDefault="00CC4F68" w:rsidP="00CC4F68">
      <w:pPr>
        <w:pStyle w:val="Textonotapie"/>
      </w:pPr>
      <w:r>
        <w:rPr>
          <w:rStyle w:val="Refdenotaalpie"/>
        </w:rPr>
        <w:footnoteRef/>
      </w:r>
      <w:r>
        <w:t xml:space="preserve"> Ley de Transparencia y Acceso a la Información Pública del Estado de México y Municipios. Artículo 9. …</w:t>
      </w:r>
    </w:p>
    <w:p w:rsidR="00CC4F68" w:rsidRDefault="00CC4F68" w:rsidP="00CC4F68">
      <w:pPr>
        <w:pStyle w:val="Textonotapie"/>
      </w:pPr>
      <w:r>
        <w:t>II. Eficacia: Obligación del Instituto para tutelar, de manera efectiva, el derecho de acceso a la información;</w:t>
      </w:r>
    </w:p>
    <w:p w:rsidR="00CC4F68" w:rsidRDefault="00CC4F68" w:rsidP="00CC4F6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A4" w:rsidRDefault="009B063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519" w:type="dxa"/>
      <w:tblInd w:w="3119" w:type="dxa"/>
      <w:tblLayout w:type="fixed"/>
      <w:tblLook w:val="0400" w:firstRow="0" w:lastRow="0" w:firstColumn="0" w:lastColumn="0" w:noHBand="0" w:noVBand="1"/>
    </w:tblPr>
    <w:tblGrid>
      <w:gridCol w:w="2976"/>
      <w:gridCol w:w="3543"/>
    </w:tblGrid>
    <w:tr w:rsidR="007646A4" w:rsidTr="000709EA">
      <w:trPr>
        <w:trHeight w:val="227"/>
      </w:trPr>
      <w:tc>
        <w:tcPr>
          <w:tcW w:w="2976" w:type="dxa"/>
          <w:vAlign w:val="center"/>
        </w:tcPr>
        <w:p w:rsidR="007646A4" w:rsidRPr="00D40D2C" w:rsidRDefault="007646A4" w:rsidP="00D40D2C">
          <w:pPr>
            <w:ind w:right="34"/>
            <w:jc w:val="right"/>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Recurso de Revisión:</w:t>
          </w:r>
        </w:p>
      </w:tc>
      <w:tc>
        <w:tcPr>
          <w:tcW w:w="3543" w:type="dxa"/>
          <w:vAlign w:val="center"/>
        </w:tcPr>
        <w:p w:rsidR="007646A4" w:rsidRPr="00D40D2C" w:rsidRDefault="007646A4" w:rsidP="00D40D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D40D2C">
            <w:rPr>
              <w:rFonts w:ascii="Palatino Linotype" w:eastAsia="Palatino Linotype" w:hAnsi="Palatino Linotype" w:cs="Palatino Linotype"/>
              <w:color w:val="000000" w:themeColor="text1"/>
            </w:rPr>
            <w:t>11588/INFOEM/IP/RR/2025</w:t>
          </w:r>
        </w:p>
      </w:tc>
    </w:tr>
    <w:tr w:rsidR="007646A4" w:rsidTr="000709EA">
      <w:trPr>
        <w:trHeight w:val="242"/>
      </w:trPr>
      <w:tc>
        <w:tcPr>
          <w:tcW w:w="2976" w:type="dxa"/>
          <w:vAlign w:val="center"/>
        </w:tcPr>
        <w:p w:rsidR="007646A4" w:rsidRPr="00D40D2C" w:rsidRDefault="007646A4" w:rsidP="00D40D2C">
          <w:pPr>
            <w:ind w:right="34"/>
            <w:jc w:val="right"/>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Sujeto Obligado:</w:t>
          </w:r>
        </w:p>
      </w:tc>
      <w:tc>
        <w:tcPr>
          <w:tcW w:w="3543" w:type="dxa"/>
          <w:vAlign w:val="center"/>
        </w:tcPr>
        <w:p w:rsidR="007646A4" w:rsidRPr="00D40D2C" w:rsidRDefault="007646A4" w:rsidP="00D40D2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D40D2C">
            <w:rPr>
              <w:rFonts w:ascii="Palatino Linotype" w:eastAsia="Palatino Linotype" w:hAnsi="Palatino Linotype" w:cs="Palatino Linotype"/>
              <w:color w:val="000000" w:themeColor="text1"/>
            </w:rPr>
            <w:t>Ayuntamiento de Cuautitlán</w:t>
          </w:r>
        </w:p>
      </w:tc>
    </w:tr>
    <w:tr w:rsidR="007646A4" w:rsidTr="000709EA">
      <w:trPr>
        <w:trHeight w:val="342"/>
      </w:trPr>
      <w:tc>
        <w:tcPr>
          <w:tcW w:w="2976" w:type="dxa"/>
          <w:vAlign w:val="center"/>
        </w:tcPr>
        <w:p w:rsidR="007646A4" w:rsidRPr="00D40D2C" w:rsidRDefault="007646A4" w:rsidP="00D40D2C">
          <w:pPr>
            <w:ind w:right="34"/>
            <w:jc w:val="right"/>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Comisionada Ponente:</w:t>
          </w:r>
        </w:p>
      </w:tc>
      <w:tc>
        <w:tcPr>
          <w:tcW w:w="3543" w:type="dxa"/>
          <w:vAlign w:val="center"/>
        </w:tcPr>
        <w:p w:rsidR="007646A4" w:rsidRPr="00D40D2C" w:rsidRDefault="007646A4" w:rsidP="00D40D2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María del Rosario Mejía Ayala</w:t>
          </w:r>
        </w:p>
      </w:tc>
    </w:tr>
  </w:tbl>
  <w:p w:rsidR="007646A4" w:rsidRDefault="009B063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6.9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804" w:type="dxa"/>
      <w:tblInd w:w="3402" w:type="dxa"/>
      <w:tblLayout w:type="fixed"/>
      <w:tblLook w:val="0400" w:firstRow="0" w:lastRow="0" w:firstColumn="0" w:lastColumn="0" w:noHBand="0" w:noVBand="1"/>
    </w:tblPr>
    <w:tblGrid>
      <w:gridCol w:w="2977"/>
      <w:gridCol w:w="3827"/>
    </w:tblGrid>
    <w:tr w:rsidR="007646A4" w:rsidTr="000709EA">
      <w:trPr>
        <w:trHeight w:val="227"/>
      </w:trPr>
      <w:tc>
        <w:tcPr>
          <w:tcW w:w="2977" w:type="dxa"/>
          <w:vAlign w:val="center"/>
        </w:tcPr>
        <w:p w:rsidR="007646A4" w:rsidRPr="00D40D2C" w:rsidRDefault="007646A4" w:rsidP="00D40D2C">
          <w:pPr>
            <w:jc w:val="right"/>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Recurso de Revisión:</w:t>
          </w:r>
        </w:p>
      </w:tc>
      <w:tc>
        <w:tcPr>
          <w:tcW w:w="3827" w:type="dxa"/>
          <w:vAlign w:val="center"/>
        </w:tcPr>
        <w:p w:rsidR="007646A4" w:rsidRPr="00D40D2C" w:rsidRDefault="007646A4" w:rsidP="00D40D2C">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D40D2C">
            <w:rPr>
              <w:rFonts w:ascii="Palatino Linotype" w:eastAsia="Palatino Linotype" w:hAnsi="Palatino Linotype" w:cs="Palatino Linotype"/>
              <w:color w:val="000000" w:themeColor="text1"/>
            </w:rPr>
            <w:t>11588/INFOEM/IP/RR/2025</w:t>
          </w:r>
        </w:p>
      </w:tc>
    </w:tr>
    <w:tr w:rsidR="007646A4" w:rsidTr="000709EA">
      <w:trPr>
        <w:trHeight w:val="242"/>
      </w:trPr>
      <w:tc>
        <w:tcPr>
          <w:tcW w:w="2977" w:type="dxa"/>
          <w:vAlign w:val="center"/>
        </w:tcPr>
        <w:p w:rsidR="007646A4" w:rsidRPr="00D40D2C" w:rsidRDefault="007646A4" w:rsidP="00D40D2C">
          <w:pPr>
            <w:jc w:val="right"/>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Recurrente:</w:t>
          </w:r>
        </w:p>
      </w:tc>
      <w:tc>
        <w:tcPr>
          <w:tcW w:w="3827" w:type="dxa"/>
        </w:tcPr>
        <w:p w:rsidR="007646A4" w:rsidRPr="00D40D2C" w:rsidRDefault="007646A4" w:rsidP="00D40D2C">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7646A4" w:rsidTr="000709EA">
      <w:trPr>
        <w:trHeight w:val="342"/>
      </w:trPr>
      <w:tc>
        <w:tcPr>
          <w:tcW w:w="2977" w:type="dxa"/>
          <w:vAlign w:val="center"/>
        </w:tcPr>
        <w:p w:rsidR="007646A4" w:rsidRPr="00D40D2C" w:rsidRDefault="007646A4" w:rsidP="00D40D2C">
          <w:pPr>
            <w:jc w:val="right"/>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Sujeto Obligado:</w:t>
          </w:r>
        </w:p>
      </w:tc>
      <w:tc>
        <w:tcPr>
          <w:tcW w:w="3827" w:type="dxa"/>
          <w:vAlign w:val="center"/>
        </w:tcPr>
        <w:p w:rsidR="007646A4" w:rsidRPr="00D40D2C" w:rsidRDefault="007646A4" w:rsidP="00D40D2C">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D40D2C">
            <w:rPr>
              <w:rFonts w:ascii="Palatino Linotype" w:eastAsia="Palatino Linotype" w:hAnsi="Palatino Linotype" w:cs="Palatino Linotype"/>
              <w:color w:val="000000" w:themeColor="text1"/>
            </w:rPr>
            <w:t>Ayuntamiento de Cuautitlán</w:t>
          </w:r>
        </w:p>
      </w:tc>
    </w:tr>
    <w:tr w:rsidR="007646A4" w:rsidTr="000709EA">
      <w:trPr>
        <w:trHeight w:val="342"/>
      </w:trPr>
      <w:tc>
        <w:tcPr>
          <w:tcW w:w="2977" w:type="dxa"/>
          <w:vAlign w:val="center"/>
        </w:tcPr>
        <w:p w:rsidR="007646A4" w:rsidRPr="00D40D2C" w:rsidRDefault="007646A4" w:rsidP="00D40D2C">
          <w:pPr>
            <w:jc w:val="right"/>
            <w:rPr>
              <w:rFonts w:ascii="Palatino Linotype" w:eastAsia="Palatino Linotype" w:hAnsi="Palatino Linotype" w:cs="Palatino Linotype"/>
              <w:b/>
              <w:color w:val="000000" w:themeColor="text1"/>
            </w:rPr>
          </w:pPr>
          <w:r w:rsidRPr="00D40D2C">
            <w:rPr>
              <w:rFonts w:ascii="Palatino Linotype" w:eastAsia="Palatino Linotype" w:hAnsi="Palatino Linotype" w:cs="Palatino Linotype"/>
              <w:b/>
              <w:color w:val="000000" w:themeColor="text1"/>
            </w:rPr>
            <w:t>Comisionada Ponente:</w:t>
          </w:r>
        </w:p>
      </w:tc>
      <w:tc>
        <w:tcPr>
          <w:tcW w:w="3827" w:type="dxa"/>
          <w:vAlign w:val="center"/>
        </w:tcPr>
        <w:p w:rsidR="007646A4" w:rsidRPr="00D40D2C" w:rsidRDefault="007646A4" w:rsidP="00D40D2C">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D40D2C">
            <w:rPr>
              <w:rFonts w:ascii="Palatino Linotype" w:eastAsia="Palatino Linotype" w:hAnsi="Palatino Linotype" w:cs="Palatino Linotype"/>
              <w:color w:val="000000" w:themeColor="text1"/>
            </w:rPr>
            <w:t>María del Rosario Mejía Ayala</w:t>
          </w:r>
        </w:p>
      </w:tc>
    </w:tr>
  </w:tbl>
  <w:p w:rsidR="007646A4" w:rsidRDefault="009B063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5.4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4EF4BDC"/>
    <w:multiLevelType w:val="hybridMultilevel"/>
    <w:tmpl w:val="E53CC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BC62631"/>
    <w:multiLevelType w:val="hybridMultilevel"/>
    <w:tmpl w:val="5D364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504990"/>
    <w:multiLevelType w:val="hybridMultilevel"/>
    <w:tmpl w:val="9ACCF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BD4987"/>
    <w:multiLevelType w:val="hybridMultilevel"/>
    <w:tmpl w:val="0B565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8"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2"/>
  </w:num>
  <w:num w:numId="3">
    <w:abstractNumId w:val="25"/>
  </w:num>
  <w:num w:numId="4">
    <w:abstractNumId w:val="39"/>
  </w:num>
  <w:num w:numId="5">
    <w:abstractNumId w:val="37"/>
  </w:num>
  <w:num w:numId="6">
    <w:abstractNumId w:val="3"/>
  </w:num>
  <w:num w:numId="7">
    <w:abstractNumId w:val="1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4"/>
    <w:lvlOverride w:ilvl="0">
      <w:lvl w:ilvl="0">
        <w:numFmt w:val="decimal"/>
        <w:lvlText w:val="%1."/>
        <w:lvlJc w:val="left"/>
        <w:rPr>
          <w:b/>
        </w:rPr>
      </w:lvl>
    </w:lvlOverride>
  </w:num>
  <w:num w:numId="11">
    <w:abstractNumId w:val="14"/>
  </w:num>
  <w:num w:numId="12">
    <w:abstractNumId w:val="17"/>
  </w:num>
  <w:num w:numId="13">
    <w:abstractNumId w:val="6"/>
  </w:num>
  <w:num w:numId="14">
    <w:abstractNumId w:val="41"/>
  </w:num>
  <w:num w:numId="15">
    <w:abstractNumId w:val="22"/>
  </w:num>
  <w:num w:numId="16">
    <w:abstractNumId w:val="13"/>
  </w:num>
  <w:num w:numId="17">
    <w:abstractNumId w:val="0"/>
  </w:num>
  <w:num w:numId="18">
    <w:abstractNumId w:val="5"/>
  </w:num>
  <w:num w:numId="19">
    <w:abstractNumId w:val="29"/>
  </w:num>
  <w:num w:numId="20">
    <w:abstractNumId w:val="40"/>
  </w:num>
  <w:num w:numId="21">
    <w:abstractNumId w:val="2"/>
  </w:num>
  <w:num w:numId="22">
    <w:abstractNumId w:val="26"/>
  </w:num>
  <w:num w:numId="23">
    <w:abstractNumId w:val="35"/>
  </w:num>
  <w:num w:numId="24">
    <w:abstractNumId w:val="45"/>
  </w:num>
  <w:num w:numId="25">
    <w:abstractNumId w:val="4"/>
  </w:num>
  <w:num w:numId="26">
    <w:abstractNumId w:val="18"/>
  </w:num>
  <w:num w:numId="27">
    <w:abstractNumId w:val="19"/>
  </w:num>
  <w:num w:numId="28">
    <w:abstractNumId w:val="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8"/>
  </w:num>
  <w:num w:numId="33">
    <w:abstractNumId w:val="2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2"/>
  </w:num>
  <w:num w:numId="37">
    <w:abstractNumId w:val="42"/>
  </w:num>
  <w:num w:numId="38">
    <w:abstractNumId w:val="7"/>
  </w:num>
  <w:num w:numId="39">
    <w:abstractNumId w:val="36"/>
  </w:num>
  <w:num w:numId="40">
    <w:abstractNumId w:val="9"/>
  </w:num>
  <w:num w:numId="41">
    <w:abstractNumId w:val="43"/>
  </w:num>
  <w:num w:numId="42">
    <w:abstractNumId w:val="28"/>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25289"/>
    <w:rsid w:val="00025B15"/>
    <w:rsid w:val="00031DF2"/>
    <w:rsid w:val="00034F10"/>
    <w:rsid w:val="000378F8"/>
    <w:rsid w:val="00041443"/>
    <w:rsid w:val="000444BD"/>
    <w:rsid w:val="00053809"/>
    <w:rsid w:val="00062602"/>
    <w:rsid w:val="000709EA"/>
    <w:rsid w:val="00071823"/>
    <w:rsid w:val="000877E9"/>
    <w:rsid w:val="000A6833"/>
    <w:rsid w:val="000B137A"/>
    <w:rsid w:val="000B554D"/>
    <w:rsid w:val="000C7A68"/>
    <w:rsid w:val="000E5750"/>
    <w:rsid w:val="000E7F59"/>
    <w:rsid w:val="000F1E77"/>
    <w:rsid w:val="00120600"/>
    <w:rsid w:val="001268E9"/>
    <w:rsid w:val="00134848"/>
    <w:rsid w:val="00137E3A"/>
    <w:rsid w:val="0016745C"/>
    <w:rsid w:val="001737E1"/>
    <w:rsid w:val="00194544"/>
    <w:rsid w:val="001964B7"/>
    <w:rsid w:val="001C3453"/>
    <w:rsid w:val="001E06BF"/>
    <w:rsid w:val="001F15B1"/>
    <w:rsid w:val="0021003A"/>
    <w:rsid w:val="00210E60"/>
    <w:rsid w:val="00212FD8"/>
    <w:rsid w:val="0023609E"/>
    <w:rsid w:val="00237382"/>
    <w:rsid w:val="00246311"/>
    <w:rsid w:val="00256C47"/>
    <w:rsid w:val="00260274"/>
    <w:rsid w:val="00261EEB"/>
    <w:rsid w:val="0026445F"/>
    <w:rsid w:val="0026452F"/>
    <w:rsid w:val="00267DE2"/>
    <w:rsid w:val="0029404D"/>
    <w:rsid w:val="002B1760"/>
    <w:rsid w:val="002B6B27"/>
    <w:rsid w:val="002C2106"/>
    <w:rsid w:val="002D3FE5"/>
    <w:rsid w:val="002D50F0"/>
    <w:rsid w:val="002E0DF4"/>
    <w:rsid w:val="002E5220"/>
    <w:rsid w:val="003038A1"/>
    <w:rsid w:val="00305388"/>
    <w:rsid w:val="003063EE"/>
    <w:rsid w:val="00313EA6"/>
    <w:rsid w:val="00320F2D"/>
    <w:rsid w:val="00320FD6"/>
    <w:rsid w:val="0032619C"/>
    <w:rsid w:val="0034676E"/>
    <w:rsid w:val="00364C59"/>
    <w:rsid w:val="00380BD1"/>
    <w:rsid w:val="003A10C2"/>
    <w:rsid w:val="003B54B3"/>
    <w:rsid w:val="003B59FA"/>
    <w:rsid w:val="003B6629"/>
    <w:rsid w:val="003D2130"/>
    <w:rsid w:val="003D408C"/>
    <w:rsid w:val="003D7E7B"/>
    <w:rsid w:val="003E15C4"/>
    <w:rsid w:val="003E42B6"/>
    <w:rsid w:val="004204F5"/>
    <w:rsid w:val="00425628"/>
    <w:rsid w:val="00425B7C"/>
    <w:rsid w:val="00430300"/>
    <w:rsid w:val="00435EA5"/>
    <w:rsid w:val="00447084"/>
    <w:rsid w:val="00454DEC"/>
    <w:rsid w:val="00456AC6"/>
    <w:rsid w:val="004656BC"/>
    <w:rsid w:val="00472A9C"/>
    <w:rsid w:val="00481DE3"/>
    <w:rsid w:val="004A0C6B"/>
    <w:rsid w:val="004A2ACD"/>
    <w:rsid w:val="004B459A"/>
    <w:rsid w:val="004B5F96"/>
    <w:rsid w:val="004D4188"/>
    <w:rsid w:val="004D47CA"/>
    <w:rsid w:val="004E4B9F"/>
    <w:rsid w:val="00514236"/>
    <w:rsid w:val="005211AE"/>
    <w:rsid w:val="005259D7"/>
    <w:rsid w:val="005311B9"/>
    <w:rsid w:val="005432FF"/>
    <w:rsid w:val="005531B6"/>
    <w:rsid w:val="00555782"/>
    <w:rsid w:val="00561B00"/>
    <w:rsid w:val="00564C26"/>
    <w:rsid w:val="0057241F"/>
    <w:rsid w:val="00592464"/>
    <w:rsid w:val="005A0D41"/>
    <w:rsid w:val="005B2DCD"/>
    <w:rsid w:val="005D442D"/>
    <w:rsid w:val="005E066A"/>
    <w:rsid w:val="006027C3"/>
    <w:rsid w:val="006261B6"/>
    <w:rsid w:val="00644E0D"/>
    <w:rsid w:val="0064652D"/>
    <w:rsid w:val="00651421"/>
    <w:rsid w:val="006535A3"/>
    <w:rsid w:val="00654047"/>
    <w:rsid w:val="00655B77"/>
    <w:rsid w:val="0066627C"/>
    <w:rsid w:val="00671E11"/>
    <w:rsid w:val="00681C04"/>
    <w:rsid w:val="00695A2D"/>
    <w:rsid w:val="006B7977"/>
    <w:rsid w:val="006C4668"/>
    <w:rsid w:val="006C4EFA"/>
    <w:rsid w:val="006E36A4"/>
    <w:rsid w:val="006E6C2D"/>
    <w:rsid w:val="006E7948"/>
    <w:rsid w:val="006E79B6"/>
    <w:rsid w:val="00704604"/>
    <w:rsid w:val="007101C4"/>
    <w:rsid w:val="007137AB"/>
    <w:rsid w:val="007147C0"/>
    <w:rsid w:val="00714C89"/>
    <w:rsid w:val="00715C19"/>
    <w:rsid w:val="00725BBA"/>
    <w:rsid w:val="0073213D"/>
    <w:rsid w:val="00760330"/>
    <w:rsid w:val="007645A1"/>
    <w:rsid w:val="007646A4"/>
    <w:rsid w:val="00792763"/>
    <w:rsid w:val="007939B9"/>
    <w:rsid w:val="007A402E"/>
    <w:rsid w:val="007D1050"/>
    <w:rsid w:val="007D4A48"/>
    <w:rsid w:val="007D54BC"/>
    <w:rsid w:val="007E1DBF"/>
    <w:rsid w:val="007E6134"/>
    <w:rsid w:val="007F745B"/>
    <w:rsid w:val="007F7F26"/>
    <w:rsid w:val="00805083"/>
    <w:rsid w:val="00805D93"/>
    <w:rsid w:val="0081462E"/>
    <w:rsid w:val="00825F36"/>
    <w:rsid w:val="00826A75"/>
    <w:rsid w:val="008311D3"/>
    <w:rsid w:val="0083179B"/>
    <w:rsid w:val="00831F7B"/>
    <w:rsid w:val="008330D2"/>
    <w:rsid w:val="00834AB8"/>
    <w:rsid w:val="00844968"/>
    <w:rsid w:val="00850FB6"/>
    <w:rsid w:val="00854B9E"/>
    <w:rsid w:val="0086180F"/>
    <w:rsid w:val="008704F4"/>
    <w:rsid w:val="00874872"/>
    <w:rsid w:val="00874B71"/>
    <w:rsid w:val="00885F80"/>
    <w:rsid w:val="00886BE8"/>
    <w:rsid w:val="008940A5"/>
    <w:rsid w:val="008F56FA"/>
    <w:rsid w:val="00900624"/>
    <w:rsid w:val="0090156E"/>
    <w:rsid w:val="00924256"/>
    <w:rsid w:val="00945C3B"/>
    <w:rsid w:val="00961CA6"/>
    <w:rsid w:val="00972157"/>
    <w:rsid w:val="00972164"/>
    <w:rsid w:val="009B063D"/>
    <w:rsid w:val="009C08D3"/>
    <w:rsid w:val="009D0F55"/>
    <w:rsid w:val="009D3673"/>
    <w:rsid w:val="009E4804"/>
    <w:rsid w:val="009F12B3"/>
    <w:rsid w:val="009F6E27"/>
    <w:rsid w:val="009F74E7"/>
    <w:rsid w:val="009F7C6A"/>
    <w:rsid w:val="00A07D00"/>
    <w:rsid w:val="00A1164D"/>
    <w:rsid w:val="00A227E2"/>
    <w:rsid w:val="00A31ACC"/>
    <w:rsid w:val="00A34C8C"/>
    <w:rsid w:val="00A36A65"/>
    <w:rsid w:val="00A43841"/>
    <w:rsid w:val="00A502B5"/>
    <w:rsid w:val="00A634F0"/>
    <w:rsid w:val="00A73911"/>
    <w:rsid w:val="00A77DDE"/>
    <w:rsid w:val="00AA53A0"/>
    <w:rsid w:val="00AC01CA"/>
    <w:rsid w:val="00AD2D90"/>
    <w:rsid w:val="00AD30C0"/>
    <w:rsid w:val="00AD753F"/>
    <w:rsid w:val="00AE3D3C"/>
    <w:rsid w:val="00AF6023"/>
    <w:rsid w:val="00B01467"/>
    <w:rsid w:val="00B02063"/>
    <w:rsid w:val="00B040C3"/>
    <w:rsid w:val="00B05FE8"/>
    <w:rsid w:val="00B11C54"/>
    <w:rsid w:val="00B21ADF"/>
    <w:rsid w:val="00B33052"/>
    <w:rsid w:val="00B3387E"/>
    <w:rsid w:val="00B36DB4"/>
    <w:rsid w:val="00B41162"/>
    <w:rsid w:val="00B44995"/>
    <w:rsid w:val="00B5309F"/>
    <w:rsid w:val="00B60BC1"/>
    <w:rsid w:val="00B62425"/>
    <w:rsid w:val="00B64111"/>
    <w:rsid w:val="00B65101"/>
    <w:rsid w:val="00B77AB7"/>
    <w:rsid w:val="00B84DF1"/>
    <w:rsid w:val="00B91685"/>
    <w:rsid w:val="00BA3D27"/>
    <w:rsid w:val="00BB4401"/>
    <w:rsid w:val="00BD31CB"/>
    <w:rsid w:val="00BD5B3D"/>
    <w:rsid w:val="00BD7237"/>
    <w:rsid w:val="00BE415E"/>
    <w:rsid w:val="00BE5C3A"/>
    <w:rsid w:val="00C01AA3"/>
    <w:rsid w:val="00C1203A"/>
    <w:rsid w:val="00C227AA"/>
    <w:rsid w:val="00C273BD"/>
    <w:rsid w:val="00C33B64"/>
    <w:rsid w:val="00C449F2"/>
    <w:rsid w:val="00C45F15"/>
    <w:rsid w:val="00C73A98"/>
    <w:rsid w:val="00CA7D5D"/>
    <w:rsid w:val="00CB0A99"/>
    <w:rsid w:val="00CB1255"/>
    <w:rsid w:val="00CB1566"/>
    <w:rsid w:val="00CB4A28"/>
    <w:rsid w:val="00CC4F68"/>
    <w:rsid w:val="00CC616B"/>
    <w:rsid w:val="00CC78CD"/>
    <w:rsid w:val="00CD27D3"/>
    <w:rsid w:val="00CD2FD3"/>
    <w:rsid w:val="00CE34F2"/>
    <w:rsid w:val="00CE38F5"/>
    <w:rsid w:val="00CE4EA5"/>
    <w:rsid w:val="00CF5DF5"/>
    <w:rsid w:val="00CF698F"/>
    <w:rsid w:val="00CF798E"/>
    <w:rsid w:val="00D03874"/>
    <w:rsid w:val="00D03A0D"/>
    <w:rsid w:val="00D11877"/>
    <w:rsid w:val="00D135BD"/>
    <w:rsid w:val="00D22942"/>
    <w:rsid w:val="00D27CBD"/>
    <w:rsid w:val="00D40D2C"/>
    <w:rsid w:val="00D41150"/>
    <w:rsid w:val="00D52722"/>
    <w:rsid w:val="00D73B32"/>
    <w:rsid w:val="00D77568"/>
    <w:rsid w:val="00D82D8C"/>
    <w:rsid w:val="00DB20B2"/>
    <w:rsid w:val="00DC2BB2"/>
    <w:rsid w:val="00DC7C5B"/>
    <w:rsid w:val="00DD370B"/>
    <w:rsid w:val="00DF2FE0"/>
    <w:rsid w:val="00DF36EF"/>
    <w:rsid w:val="00E01178"/>
    <w:rsid w:val="00E17E99"/>
    <w:rsid w:val="00E30F92"/>
    <w:rsid w:val="00E46D33"/>
    <w:rsid w:val="00E76B90"/>
    <w:rsid w:val="00E81E4D"/>
    <w:rsid w:val="00E845E2"/>
    <w:rsid w:val="00E8516D"/>
    <w:rsid w:val="00E87C17"/>
    <w:rsid w:val="00E96581"/>
    <w:rsid w:val="00EC2856"/>
    <w:rsid w:val="00ED0A54"/>
    <w:rsid w:val="00EE43F4"/>
    <w:rsid w:val="00EE5A08"/>
    <w:rsid w:val="00EF7EF9"/>
    <w:rsid w:val="00F0736F"/>
    <w:rsid w:val="00F11260"/>
    <w:rsid w:val="00F15452"/>
    <w:rsid w:val="00F167E6"/>
    <w:rsid w:val="00F22E98"/>
    <w:rsid w:val="00F321D3"/>
    <w:rsid w:val="00F33652"/>
    <w:rsid w:val="00F413BE"/>
    <w:rsid w:val="00F427A0"/>
    <w:rsid w:val="00F43912"/>
    <w:rsid w:val="00F6082D"/>
    <w:rsid w:val="00F62D4D"/>
    <w:rsid w:val="00F816BF"/>
    <w:rsid w:val="00F8679D"/>
    <w:rsid w:val="00F867E2"/>
    <w:rsid w:val="00F916D5"/>
    <w:rsid w:val="00F97F2C"/>
    <w:rsid w:val="00FA1827"/>
    <w:rsid w:val="00FC0FEF"/>
    <w:rsid w:val="00FC2AD8"/>
    <w:rsid w:val="00FC4FFC"/>
    <w:rsid w:val="00FD54ED"/>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3038A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0B1B36-8139-4DF0-AB6D-82BB2D6F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9366</Words>
  <Characters>51519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10</cp:revision>
  <cp:lastPrinted>2025-12-11T22:06:00Z</cp:lastPrinted>
  <dcterms:created xsi:type="dcterms:W3CDTF">2025-12-04T20:04:00Z</dcterms:created>
  <dcterms:modified xsi:type="dcterms:W3CDTF">2026-01-20T20:17:00Z</dcterms:modified>
</cp:coreProperties>
</file>